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DA1" w:rsidRPr="007B1A88" w:rsidRDefault="00C06DA1" w:rsidP="00031B0D">
      <w:pPr>
        <w:jc w:val="right"/>
        <w:rPr>
          <w:rFonts w:cs="Calibri"/>
          <w:b/>
          <w:bCs/>
          <w:sz w:val="22"/>
          <w:szCs w:val="22"/>
          <w:lang w:val="cs-CZ"/>
        </w:rPr>
      </w:pPr>
      <w:r w:rsidRPr="007B1A88">
        <w:rPr>
          <w:rFonts w:cs="Calibri"/>
          <w:b/>
          <w:bCs/>
          <w:sz w:val="22"/>
          <w:szCs w:val="22"/>
          <w:lang w:val="cs-CZ"/>
        </w:rPr>
        <w:t xml:space="preserve">Příloha č. </w:t>
      </w:r>
      <w:r>
        <w:rPr>
          <w:rFonts w:cs="Calibri"/>
          <w:b/>
          <w:bCs/>
          <w:sz w:val="22"/>
          <w:szCs w:val="22"/>
          <w:lang w:val="cs-CZ"/>
        </w:rPr>
        <w:t>1</w:t>
      </w:r>
    </w:p>
    <w:p w:rsidR="00C06DA1" w:rsidRPr="005C15AF" w:rsidRDefault="00C06DA1" w:rsidP="000622C8">
      <w:pPr>
        <w:jc w:val="center"/>
        <w:rPr>
          <w:rFonts w:cs="Calibri"/>
          <w:b/>
          <w:bCs/>
          <w:color w:val="548DD4"/>
          <w:sz w:val="72"/>
          <w:szCs w:val="72"/>
          <w:lang w:val="cs-CZ"/>
        </w:rPr>
      </w:pPr>
      <w:r w:rsidRPr="005C15AF">
        <w:rPr>
          <w:rFonts w:cs="Calibri"/>
          <w:b/>
          <w:bCs/>
          <w:color w:val="548DD4"/>
          <w:sz w:val="72"/>
          <w:szCs w:val="72"/>
          <w:lang w:val="cs-CZ"/>
        </w:rPr>
        <w:t>ROZVOJ SYSTÉMU ELEKTRONICKÉHO MÝTA V ČESKÉ REPUBLICE</w:t>
      </w:r>
    </w:p>
    <w:p w:rsidR="00C06DA1" w:rsidRPr="005C15AF" w:rsidRDefault="00C06DA1" w:rsidP="000622C8">
      <w:pPr>
        <w:jc w:val="center"/>
        <w:rPr>
          <w:rFonts w:cs="Calibri"/>
          <w:b/>
          <w:bCs/>
          <w:color w:val="548DD4"/>
          <w:sz w:val="72"/>
          <w:szCs w:val="72"/>
          <w:lang w:val="cs-CZ"/>
        </w:rPr>
      </w:pPr>
      <w:r w:rsidRPr="005C15AF">
        <w:rPr>
          <w:rFonts w:cs="Calibri"/>
          <w:b/>
          <w:bCs/>
          <w:color w:val="548DD4"/>
          <w:sz w:val="72"/>
          <w:szCs w:val="72"/>
          <w:lang w:val="cs-CZ"/>
        </w:rPr>
        <w:t>-</w:t>
      </w:r>
      <w:r w:rsidRPr="005C15AF">
        <w:rPr>
          <w:rFonts w:cs="Calibri"/>
          <w:b/>
          <w:bCs/>
          <w:color w:val="548DD4"/>
          <w:sz w:val="72"/>
          <w:szCs w:val="72"/>
          <w:lang w:val="cs-CZ"/>
        </w:rPr>
        <w:br/>
        <w:t>KONCEPCE ZPOPLATNĚNÍ POZEMNÍCH KOMUNIKACÍ V ČESKÉ REPUBLICE</w:t>
      </w:r>
    </w:p>
    <w:p w:rsidR="00C06DA1" w:rsidRPr="005C15AF" w:rsidRDefault="00C06DA1" w:rsidP="000622C8">
      <w:pPr>
        <w:jc w:val="center"/>
        <w:rPr>
          <w:rFonts w:cs="Calibri"/>
          <w:b/>
          <w:bCs/>
          <w:color w:val="365F91"/>
          <w:sz w:val="22"/>
          <w:szCs w:val="22"/>
          <w:lang w:val="cs-CZ"/>
        </w:rPr>
      </w:pPr>
    </w:p>
    <w:p w:rsidR="00C06DA1" w:rsidRPr="005C15AF" w:rsidRDefault="00C06DA1" w:rsidP="000622C8">
      <w:pPr>
        <w:jc w:val="center"/>
        <w:rPr>
          <w:rFonts w:cs="Calibri"/>
          <w:b/>
          <w:bCs/>
          <w:color w:val="365F91"/>
          <w:sz w:val="22"/>
          <w:szCs w:val="22"/>
          <w:lang w:val="cs-CZ"/>
        </w:rPr>
      </w:pPr>
    </w:p>
    <w:p w:rsidR="00C06DA1" w:rsidRPr="005C15AF" w:rsidRDefault="00C06DA1" w:rsidP="00651EC2">
      <w:pPr>
        <w:jc w:val="right"/>
        <w:rPr>
          <w:rFonts w:cs="Calibri"/>
          <w:b/>
          <w:bCs/>
          <w:color w:val="365F91"/>
          <w:sz w:val="22"/>
          <w:szCs w:val="22"/>
          <w:lang w:val="cs-CZ"/>
        </w:rPr>
      </w:pPr>
    </w:p>
    <w:p w:rsidR="00C06DA1" w:rsidRPr="005C15AF" w:rsidRDefault="00C06DA1" w:rsidP="00651EC2">
      <w:pPr>
        <w:jc w:val="right"/>
        <w:rPr>
          <w:rFonts w:cs="Calibri"/>
          <w:b/>
          <w:bCs/>
          <w:color w:val="365F91"/>
          <w:sz w:val="22"/>
          <w:szCs w:val="22"/>
          <w:lang w:val="cs-CZ"/>
        </w:rPr>
      </w:pPr>
    </w:p>
    <w:p w:rsidR="00C06DA1" w:rsidRPr="005C15AF" w:rsidRDefault="00C06DA1" w:rsidP="00651EC2">
      <w:pPr>
        <w:jc w:val="right"/>
        <w:rPr>
          <w:rFonts w:cs="Calibri"/>
          <w:b/>
          <w:bCs/>
          <w:color w:val="365F91"/>
          <w:sz w:val="22"/>
          <w:szCs w:val="22"/>
          <w:lang w:val="cs-CZ"/>
        </w:rPr>
      </w:pPr>
    </w:p>
    <w:p w:rsidR="00C06DA1" w:rsidRPr="005C15AF" w:rsidRDefault="00C06DA1" w:rsidP="00651EC2">
      <w:pPr>
        <w:jc w:val="right"/>
        <w:rPr>
          <w:rFonts w:cs="Calibri"/>
          <w:b/>
          <w:bCs/>
          <w:color w:val="365F91"/>
          <w:sz w:val="22"/>
          <w:szCs w:val="22"/>
          <w:lang w:val="cs-CZ"/>
        </w:rPr>
      </w:pPr>
    </w:p>
    <w:p w:rsidR="00C06DA1" w:rsidRPr="005C15AF" w:rsidRDefault="00C06DA1" w:rsidP="00651EC2">
      <w:pPr>
        <w:jc w:val="right"/>
        <w:rPr>
          <w:rFonts w:cs="Calibri"/>
          <w:b/>
          <w:bCs/>
          <w:color w:val="365F91"/>
          <w:sz w:val="22"/>
          <w:szCs w:val="22"/>
          <w:lang w:val="cs-CZ"/>
        </w:rPr>
      </w:pPr>
    </w:p>
    <w:p w:rsidR="00C06DA1" w:rsidRPr="00F31475" w:rsidRDefault="00C06DA1" w:rsidP="00651EC2">
      <w:pPr>
        <w:jc w:val="right"/>
        <w:rPr>
          <w:rFonts w:cs="Calibri"/>
          <w:b/>
          <w:bCs/>
          <w:color w:val="365F91"/>
          <w:sz w:val="22"/>
          <w:szCs w:val="22"/>
          <w:lang w:val="cs-CZ"/>
        </w:rPr>
      </w:pPr>
      <w:r w:rsidRPr="00F31475">
        <w:rPr>
          <w:rFonts w:cs="Calibri"/>
          <w:b/>
          <w:bCs/>
          <w:color w:val="365F91"/>
          <w:sz w:val="22"/>
          <w:szCs w:val="22"/>
          <w:lang w:val="cs-CZ"/>
        </w:rPr>
        <w:t>Česká republika – Ministerstvo dopravy</w:t>
      </w:r>
    </w:p>
    <w:p w:rsidR="00C06DA1" w:rsidRPr="005C15AF" w:rsidRDefault="00C06DA1" w:rsidP="00651EC2">
      <w:pPr>
        <w:jc w:val="right"/>
        <w:rPr>
          <w:rFonts w:cs="Calibri"/>
          <w:b/>
          <w:bCs/>
          <w:color w:val="365F91"/>
          <w:sz w:val="22"/>
          <w:szCs w:val="22"/>
          <w:lang w:val="cs-CZ"/>
        </w:rPr>
      </w:pPr>
      <w:r w:rsidRPr="005C15AF">
        <w:rPr>
          <w:rFonts w:cs="Calibri"/>
          <w:b/>
          <w:bCs/>
          <w:color w:val="365F91"/>
          <w:sz w:val="22"/>
          <w:szCs w:val="22"/>
          <w:lang w:val="cs-CZ"/>
        </w:rPr>
        <w:t>Nábřeží Ludvíka Svobody 12</w:t>
      </w:r>
    </w:p>
    <w:p w:rsidR="00C06DA1" w:rsidRPr="005C15AF" w:rsidRDefault="00C06DA1" w:rsidP="00651EC2">
      <w:pPr>
        <w:jc w:val="right"/>
        <w:rPr>
          <w:rFonts w:cs="Calibri"/>
          <w:b/>
          <w:bCs/>
          <w:color w:val="365F91"/>
          <w:sz w:val="22"/>
          <w:szCs w:val="22"/>
          <w:lang w:val="cs-CZ"/>
        </w:rPr>
      </w:pPr>
      <w:r w:rsidRPr="005C15AF">
        <w:rPr>
          <w:rFonts w:cs="Calibri"/>
          <w:b/>
          <w:bCs/>
          <w:color w:val="365F91"/>
          <w:sz w:val="22"/>
          <w:szCs w:val="22"/>
          <w:lang w:val="cs-CZ"/>
        </w:rPr>
        <w:t>110 15 Praha 1</w:t>
      </w:r>
    </w:p>
    <w:p w:rsidR="00C06DA1" w:rsidRPr="005C15AF" w:rsidRDefault="00C06DA1" w:rsidP="000622C8">
      <w:pPr>
        <w:jc w:val="both"/>
        <w:rPr>
          <w:rFonts w:cs="Calibri"/>
          <w:lang w:val="cs-CZ"/>
        </w:rPr>
      </w:pPr>
    </w:p>
    <w:p w:rsidR="00C06DA1" w:rsidRPr="005C15AF" w:rsidRDefault="00C06DA1" w:rsidP="00651EC2">
      <w:pPr>
        <w:pStyle w:val="Nadpis1"/>
        <w:rPr>
          <w:sz w:val="40"/>
          <w:szCs w:val="40"/>
          <w:lang w:val="cs-CZ"/>
        </w:rPr>
      </w:pPr>
      <w:r w:rsidRPr="005C15AF">
        <w:rPr>
          <w:sz w:val="40"/>
          <w:szCs w:val="40"/>
          <w:lang w:val="cs-CZ"/>
        </w:rPr>
        <w:br w:type="page"/>
      </w:r>
      <w:bookmarkStart w:id="0" w:name="_Toc368063520"/>
      <w:bookmarkStart w:id="1" w:name="_Toc370398409"/>
      <w:r w:rsidRPr="005C15AF">
        <w:rPr>
          <w:sz w:val="40"/>
          <w:szCs w:val="40"/>
          <w:lang w:val="cs-CZ"/>
        </w:rPr>
        <w:lastRenderedPageBreak/>
        <w:t>OBSAH</w:t>
      </w:r>
      <w:bookmarkEnd w:id="0"/>
      <w:bookmarkEnd w:id="1"/>
    </w:p>
    <w:p w:rsidR="00C06DA1" w:rsidRDefault="001C18DA">
      <w:pPr>
        <w:pStyle w:val="Obsah1"/>
        <w:rPr>
          <w:sz w:val="22"/>
          <w:szCs w:val="22"/>
          <w:shd w:val="clear" w:color="auto" w:fill="auto"/>
          <w:lang w:eastAsia="cs-CZ"/>
        </w:rPr>
      </w:pPr>
      <w:r w:rsidRPr="001C18DA">
        <w:fldChar w:fldCharType="begin"/>
      </w:r>
      <w:r w:rsidR="00C06DA1" w:rsidRPr="005C15AF">
        <w:instrText xml:space="preserve"> TOC \o "1-3" \h \z \u </w:instrText>
      </w:r>
      <w:r w:rsidRPr="001C18DA">
        <w:fldChar w:fldCharType="separate"/>
      </w:r>
      <w:hyperlink w:anchor="_Toc370398409" w:history="1">
        <w:r w:rsidR="00C06DA1" w:rsidRPr="00A25D8A">
          <w:rPr>
            <w:rStyle w:val="Hypertextovodkaz"/>
          </w:rPr>
          <w:t>OBSAH</w:t>
        </w:r>
        <w:r w:rsidR="00C06DA1">
          <w:rPr>
            <w:webHidden/>
          </w:rPr>
          <w:tab/>
        </w:r>
        <w:r>
          <w:rPr>
            <w:webHidden/>
          </w:rPr>
          <w:fldChar w:fldCharType="begin"/>
        </w:r>
        <w:r w:rsidR="00C06DA1">
          <w:rPr>
            <w:webHidden/>
          </w:rPr>
          <w:instrText xml:space="preserve"> PAGEREF _Toc370398409 \h </w:instrText>
        </w:r>
        <w:r>
          <w:rPr>
            <w:webHidden/>
          </w:rPr>
        </w:r>
        <w:r>
          <w:rPr>
            <w:webHidden/>
          </w:rPr>
          <w:fldChar w:fldCharType="separate"/>
        </w:r>
        <w:r w:rsidR="00CE3896">
          <w:rPr>
            <w:webHidden/>
          </w:rPr>
          <w:t>2</w:t>
        </w:r>
        <w:r>
          <w:rPr>
            <w:webHidden/>
          </w:rPr>
          <w:fldChar w:fldCharType="end"/>
        </w:r>
      </w:hyperlink>
    </w:p>
    <w:p w:rsidR="00C06DA1" w:rsidRDefault="001C18DA">
      <w:pPr>
        <w:pStyle w:val="Obsah2"/>
        <w:rPr>
          <w:sz w:val="22"/>
          <w:szCs w:val="22"/>
          <w:shd w:val="clear" w:color="auto" w:fill="auto"/>
          <w:lang w:eastAsia="cs-CZ"/>
        </w:rPr>
      </w:pPr>
      <w:hyperlink w:anchor="_Toc370398410" w:history="1">
        <w:r w:rsidR="00C06DA1" w:rsidRPr="00A25D8A">
          <w:rPr>
            <w:rStyle w:val="Hypertextovodkaz"/>
          </w:rPr>
          <w:t>Seznamy</w:t>
        </w:r>
        <w:r w:rsidR="00C06DA1">
          <w:rPr>
            <w:webHidden/>
          </w:rPr>
          <w:tab/>
        </w:r>
        <w:r>
          <w:rPr>
            <w:webHidden/>
          </w:rPr>
          <w:fldChar w:fldCharType="begin"/>
        </w:r>
        <w:r w:rsidR="00C06DA1">
          <w:rPr>
            <w:webHidden/>
          </w:rPr>
          <w:instrText xml:space="preserve"> PAGEREF _Toc370398410 \h </w:instrText>
        </w:r>
        <w:r>
          <w:rPr>
            <w:webHidden/>
          </w:rPr>
        </w:r>
        <w:r>
          <w:rPr>
            <w:webHidden/>
          </w:rPr>
          <w:fldChar w:fldCharType="separate"/>
        </w:r>
        <w:r w:rsidR="00CE3896">
          <w:rPr>
            <w:webHidden/>
          </w:rPr>
          <w:t>4</w:t>
        </w:r>
        <w:r>
          <w:rPr>
            <w:webHidden/>
          </w:rPr>
          <w:fldChar w:fldCharType="end"/>
        </w:r>
      </w:hyperlink>
    </w:p>
    <w:p w:rsidR="00C06DA1" w:rsidRDefault="001C18DA">
      <w:pPr>
        <w:pStyle w:val="Obsah3"/>
        <w:rPr>
          <w:noProof/>
          <w:sz w:val="22"/>
          <w:szCs w:val="22"/>
          <w:lang w:val="cs-CZ" w:eastAsia="cs-CZ"/>
        </w:rPr>
      </w:pPr>
      <w:hyperlink w:anchor="_Toc370398411" w:history="1">
        <w:r w:rsidR="00C06DA1" w:rsidRPr="00A25D8A">
          <w:rPr>
            <w:rStyle w:val="Hypertextovodkaz"/>
            <w:noProof/>
            <w:lang w:val="cs-CZ"/>
          </w:rPr>
          <w:t>Seznam obrázků</w:t>
        </w:r>
        <w:r w:rsidR="00C06DA1">
          <w:rPr>
            <w:noProof/>
            <w:webHidden/>
          </w:rPr>
          <w:tab/>
        </w:r>
        <w:r>
          <w:rPr>
            <w:noProof/>
            <w:webHidden/>
          </w:rPr>
          <w:fldChar w:fldCharType="begin"/>
        </w:r>
        <w:r w:rsidR="00C06DA1">
          <w:rPr>
            <w:noProof/>
            <w:webHidden/>
          </w:rPr>
          <w:instrText xml:space="preserve"> PAGEREF _Toc370398411 \h </w:instrText>
        </w:r>
        <w:r>
          <w:rPr>
            <w:noProof/>
            <w:webHidden/>
          </w:rPr>
        </w:r>
        <w:r>
          <w:rPr>
            <w:noProof/>
            <w:webHidden/>
          </w:rPr>
          <w:fldChar w:fldCharType="separate"/>
        </w:r>
        <w:r w:rsidR="00CE3896">
          <w:rPr>
            <w:noProof/>
            <w:webHidden/>
          </w:rPr>
          <w:t>4</w:t>
        </w:r>
        <w:r>
          <w:rPr>
            <w:noProof/>
            <w:webHidden/>
          </w:rPr>
          <w:fldChar w:fldCharType="end"/>
        </w:r>
      </w:hyperlink>
    </w:p>
    <w:p w:rsidR="00C06DA1" w:rsidRDefault="001C18DA">
      <w:pPr>
        <w:pStyle w:val="Obsah3"/>
        <w:rPr>
          <w:noProof/>
          <w:sz w:val="22"/>
          <w:szCs w:val="22"/>
          <w:lang w:val="cs-CZ" w:eastAsia="cs-CZ"/>
        </w:rPr>
      </w:pPr>
      <w:hyperlink w:anchor="_Toc370398412" w:history="1">
        <w:r w:rsidR="00C06DA1" w:rsidRPr="00A25D8A">
          <w:rPr>
            <w:rStyle w:val="Hypertextovodkaz"/>
            <w:noProof/>
            <w:lang w:val="cs-CZ"/>
          </w:rPr>
          <w:t>Seznam grafů</w:t>
        </w:r>
        <w:r w:rsidR="00C06DA1">
          <w:rPr>
            <w:noProof/>
            <w:webHidden/>
          </w:rPr>
          <w:tab/>
        </w:r>
        <w:r>
          <w:rPr>
            <w:noProof/>
            <w:webHidden/>
          </w:rPr>
          <w:fldChar w:fldCharType="begin"/>
        </w:r>
        <w:r w:rsidR="00C06DA1">
          <w:rPr>
            <w:noProof/>
            <w:webHidden/>
          </w:rPr>
          <w:instrText xml:space="preserve"> PAGEREF _Toc370398412 \h </w:instrText>
        </w:r>
        <w:r>
          <w:rPr>
            <w:noProof/>
            <w:webHidden/>
          </w:rPr>
        </w:r>
        <w:r>
          <w:rPr>
            <w:noProof/>
            <w:webHidden/>
          </w:rPr>
          <w:fldChar w:fldCharType="separate"/>
        </w:r>
        <w:r w:rsidR="00CE3896">
          <w:rPr>
            <w:noProof/>
            <w:webHidden/>
          </w:rPr>
          <w:t>4</w:t>
        </w:r>
        <w:r>
          <w:rPr>
            <w:noProof/>
            <w:webHidden/>
          </w:rPr>
          <w:fldChar w:fldCharType="end"/>
        </w:r>
      </w:hyperlink>
    </w:p>
    <w:p w:rsidR="00C06DA1" w:rsidRDefault="001C18DA">
      <w:pPr>
        <w:pStyle w:val="Obsah3"/>
        <w:rPr>
          <w:noProof/>
          <w:sz w:val="22"/>
          <w:szCs w:val="22"/>
          <w:lang w:val="cs-CZ" w:eastAsia="cs-CZ"/>
        </w:rPr>
      </w:pPr>
      <w:hyperlink w:anchor="_Toc370398413" w:history="1">
        <w:r w:rsidR="00C06DA1" w:rsidRPr="00A25D8A">
          <w:rPr>
            <w:rStyle w:val="Hypertextovodkaz"/>
            <w:noProof/>
            <w:lang w:val="cs-CZ"/>
          </w:rPr>
          <w:t>Seznam tabulek</w:t>
        </w:r>
        <w:r w:rsidR="00C06DA1">
          <w:rPr>
            <w:noProof/>
            <w:webHidden/>
          </w:rPr>
          <w:tab/>
        </w:r>
        <w:r>
          <w:rPr>
            <w:noProof/>
            <w:webHidden/>
          </w:rPr>
          <w:fldChar w:fldCharType="begin"/>
        </w:r>
        <w:r w:rsidR="00C06DA1">
          <w:rPr>
            <w:noProof/>
            <w:webHidden/>
          </w:rPr>
          <w:instrText xml:space="preserve"> PAGEREF _Toc370398413 \h </w:instrText>
        </w:r>
        <w:r>
          <w:rPr>
            <w:noProof/>
            <w:webHidden/>
          </w:rPr>
        </w:r>
        <w:r>
          <w:rPr>
            <w:noProof/>
            <w:webHidden/>
          </w:rPr>
          <w:fldChar w:fldCharType="separate"/>
        </w:r>
        <w:r w:rsidR="00CE3896">
          <w:rPr>
            <w:noProof/>
            <w:webHidden/>
          </w:rPr>
          <w:t>4</w:t>
        </w:r>
        <w:r>
          <w:rPr>
            <w:noProof/>
            <w:webHidden/>
          </w:rPr>
          <w:fldChar w:fldCharType="end"/>
        </w:r>
      </w:hyperlink>
    </w:p>
    <w:p w:rsidR="00C06DA1" w:rsidRDefault="001C18DA">
      <w:pPr>
        <w:pStyle w:val="Obsah3"/>
        <w:rPr>
          <w:noProof/>
          <w:sz w:val="22"/>
          <w:szCs w:val="22"/>
          <w:lang w:val="cs-CZ" w:eastAsia="cs-CZ"/>
        </w:rPr>
      </w:pPr>
      <w:hyperlink w:anchor="_Toc370398414" w:history="1">
        <w:r w:rsidR="00C06DA1" w:rsidRPr="00A25D8A">
          <w:rPr>
            <w:rStyle w:val="Hypertextovodkaz"/>
            <w:noProof/>
            <w:lang w:val="cs-CZ"/>
          </w:rPr>
          <w:t>Seznam příloh</w:t>
        </w:r>
        <w:r w:rsidR="00C06DA1">
          <w:rPr>
            <w:noProof/>
            <w:webHidden/>
          </w:rPr>
          <w:tab/>
        </w:r>
        <w:r>
          <w:rPr>
            <w:noProof/>
            <w:webHidden/>
          </w:rPr>
          <w:fldChar w:fldCharType="begin"/>
        </w:r>
        <w:r w:rsidR="00C06DA1">
          <w:rPr>
            <w:noProof/>
            <w:webHidden/>
          </w:rPr>
          <w:instrText xml:space="preserve"> PAGEREF _Toc370398414 \h </w:instrText>
        </w:r>
        <w:r>
          <w:rPr>
            <w:noProof/>
            <w:webHidden/>
          </w:rPr>
        </w:r>
        <w:r>
          <w:rPr>
            <w:noProof/>
            <w:webHidden/>
          </w:rPr>
          <w:fldChar w:fldCharType="separate"/>
        </w:r>
        <w:r w:rsidR="00CE3896">
          <w:rPr>
            <w:noProof/>
            <w:webHidden/>
          </w:rPr>
          <w:t>4</w:t>
        </w:r>
        <w:r>
          <w:rPr>
            <w:noProof/>
            <w:webHidden/>
          </w:rPr>
          <w:fldChar w:fldCharType="end"/>
        </w:r>
      </w:hyperlink>
    </w:p>
    <w:p w:rsidR="00C06DA1" w:rsidRDefault="001C18DA">
      <w:pPr>
        <w:pStyle w:val="Obsah3"/>
        <w:rPr>
          <w:noProof/>
          <w:sz w:val="22"/>
          <w:szCs w:val="22"/>
          <w:lang w:val="cs-CZ" w:eastAsia="cs-CZ"/>
        </w:rPr>
      </w:pPr>
      <w:hyperlink w:anchor="_Toc370398415" w:history="1">
        <w:r w:rsidR="00C06DA1" w:rsidRPr="00A25D8A">
          <w:rPr>
            <w:rStyle w:val="Hypertextovodkaz"/>
            <w:noProof/>
            <w:lang w:val="cs-CZ"/>
          </w:rPr>
          <w:t>Seznam použité literatury</w:t>
        </w:r>
        <w:r w:rsidR="00C06DA1">
          <w:rPr>
            <w:noProof/>
            <w:webHidden/>
          </w:rPr>
          <w:tab/>
        </w:r>
        <w:r>
          <w:rPr>
            <w:noProof/>
            <w:webHidden/>
          </w:rPr>
          <w:fldChar w:fldCharType="begin"/>
        </w:r>
        <w:r w:rsidR="00C06DA1">
          <w:rPr>
            <w:noProof/>
            <w:webHidden/>
          </w:rPr>
          <w:instrText xml:space="preserve"> PAGEREF _Toc370398415 \h </w:instrText>
        </w:r>
        <w:r>
          <w:rPr>
            <w:noProof/>
            <w:webHidden/>
          </w:rPr>
        </w:r>
        <w:r>
          <w:rPr>
            <w:noProof/>
            <w:webHidden/>
          </w:rPr>
          <w:fldChar w:fldCharType="separate"/>
        </w:r>
        <w:r w:rsidR="00CE3896">
          <w:rPr>
            <w:noProof/>
            <w:webHidden/>
          </w:rPr>
          <w:t>5</w:t>
        </w:r>
        <w:r>
          <w:rPr>
            <w:noProof/>
            <w:webHidden/>
          </w:rPr>
          <w:fldChar w:fldCharType="end"/>
        </w:r>
      </w:hyperlink>
    </w:p>
    <w:p w:rsidR="00C06DA1" w:rsidRDefault="001C18DA">
      <w:pPr>
        <w:pStyle w:val="Obsah3"/>
        <w:rPr>
          <w:noProof/>
          <w:sz w:val="22"/>
          <w:szCs w:val="22"/>
          <w:lang w:val="cs-CZ" w:eastAsia="cs-CZ"/>
        </w:rPr>
      </w:pPr>
      <w:hyperlink w:anchor="_Toc370398416" w:history="1">
        <w:r w:rsidR="00C06DA1" w:rsidRPr="00A25D8A">
          <w:rPr>
            <w:rStyle w:val="Hypertextovodkaz"/>
            <w:noProof/>
            <w:lang w:val="cs-CZ"/>
          </w:rPr>
          <w:t>Seznam zkratek</w:t>
        </w:r>
        <w:r w:rsidR="00C06DA1">
          <w:rPr>
            <w:noProof/>
            <w:webHidden/>
          </w:rPr>
          <w:tab/>
        </w:r>
        <w:r>
          <w:rPr>
            <w:noProof/>
            <w:webHidden/>
          </w:rPr>
          <w:fldChar w:fldCharType="begin"/>
        </w:r>
        <w:r w:rsidR="00C06DA1">
          <w:rPr>
            <w:noProof/>
            <w:webHidden/>
          </w:rPr>
          <w:instrText xml:space="preserve"> PAGEREF _Toc370398416 \h </w:instrText>
        </w:r>
        <w:r>
          <w:rPr>
            <w:noProof/>
            <w:webHidden/>
          </w:rPr>
        </w:r>
        <w:r>
          <w:rPr>
            <w:noProof/>
            <w:webHidden/>
          </w:rPr>
          <w:fldChar w:fldCharType="separate"/>
        </w:r>
        <w:r w:rsidR="00CE3896">
          <w:rPr>
            <w:noProof/>
            <w:webHidden/>
          </w:rPr>
          <w:t>6</w:t>
        </w:r>
        <w:r>
          <w:rPr>
            <w:noProof/>
            <w:webHidden/>
          </w:rPr>
          <w:fldChar w:fldCharType="end"/>
        </w:r>
      </w:hyperlink>
    </w:p>
    <w:p w:rsidR="00C06DA1" w:rsidRDefault="001C18DA">
      <w:pPr>
        <w:pStyle w:val="Obsah1"/>
        <w:rPr>
          <w:sz w:val="22"/>
          <w:szCs w:val="22"/>
          <w:shd w:val="clear" w:color="auto" w:fill="auto"/>
          <w:lang w:eastAsia="cs-CZ"/>
        </w:rPr>
      </w:pPr>
      <w:hyperlink w:anchor="_Toc370398417" w:history="1">
        <w:r w:rsidR="00C06DA1" w:rsidRPr="00A25D8A">
          <w:rPr>
            <w:rStyle w:val="Hypertextovodkaz"/>
          </w:rPr>
          <w:t>ÚVODNÍ ČÁST</w:t>
        </w:r>
        <w:r w:rsidR="00C06DA1">
          <w:rPr>
            <w:webHidden/>
          </w:rPr>
          <w:tab/>
        </w:r>
        <w:r>
          <w:rPr>
            <w:webHidden/>
          </w:rPr>
          <w:fldChar w:fldCharType="begin"/>
        </w:r>
        <w:r w:rsidR="00C06DA1">
          <w:rPr>
            <w:webHidden/>
          </w:rPr>
          <w:instrText xml:space="preserve"> PAGEREF _Toc370398417 \h </w:instrText>
        </w:r>
        <w:r>
          <w:rPr>
            <w:webHidden/>
          </w:rPr>
        </w:r>
        <w:r>
          <w:rPr>
            <w:webHidden/>
          </w:rPr>
          <w:fldChar w:fldCharType="separate"/>
        </w:r>
        <w:r w:rsidR="00CE3896">
          <w:rPr>
            <w:webHidden/>
          </w:rPr>
          <w:t>8</w:t>
        </w:r>
        <w:r>
          <w:rPr>
            <w:webHidden/>
          </w:rPr>
          <w:fldChar w:fldCharType="end"/>
        </w:r>
      </w:hyperlink>
    </w:p>
    <w:p w:rsidR="00C06DA1" w:rsidRDefault="001C18DA">
      <w:pPr>
        <w:pStyle w:val="Obsah2"/>
        <w:rPr>
          <w:sz w:val="22"/>
          <w:szCs w:val="22"/>
          <w:shd w:val="clear" w:color="auto" w:fill="auto"/>
          <w:lang w:eastAsia="cs-CZ"/>
        </w:rPr>
      </w:pPr>
      <w:hyperlink w:anchor="_Toc370398418" w:history="1">
        <w:r w:rsidR="00C06DA1" w:rsidRPr="00A25D8A">
          <w:rPr>
            <w:rStyle w:val="Hypertextovodkaz"/>
          </w:rPr>
          <w:t>Cíle zpoplatnění obecného užívání pozemních komunikací</w:t>
        </w:r>
        <w:r w:rsidR="00C06DA1">
          <w:rPr>
            <w:webHidden/>
          </w:rPr>
          <w:tab/>
        </w:r>
        <w:r>
          <w:rPr>
            <w:webHidden/>
          </w:rPr>
          <w:fldChar w:fldCharType="begin"/>
        </w:r>
        <w:r w:rsidR="00C06DA1">
          <w:rPr>
            <w:webHidden/>
          </w:rPr>
          <w:instrText xml:space="preserve"> PAGEREF _Toc370398418 \h </w:instrText>
        </w:r>
        <w:r>
          <w:rPr>
            <w:webHidden/>
          </w:rPr>
        </w:r>
        <w:r>
          <w:rPr>
            <w:webHidden/>
          </w:rPr>
          <w:fldChar w:fldCharType="separate"/>
        </w:r>
        <w:r w:rsidR="00CE3896">
          <w:rPr>
            <w:webHidden/>
          </w:rPr>
          <w:t>9</w:t>
        </w:r>
        <w:r>
          <w:rPr>
            <w:webHidden/>
          </w:rPr>
          <w:fldChar w:fldCharType="end"/>
        </w:r>
      </w:hyperlink>
    </w:p>
    <w:p w:rsidR="00C06DA1" w:rsidRDefault="001C18DA">
      <w:pPr>
        <w:pStyle w:val="Obsah2"/>
        <w:rPr>
          <w:sz w:val="22"/>
          <w:szCs w:val="22"/>
          <w:shd w:val="clear" w:color="auto" w:fill="auto"/>
          <w:lang w:eastAsia="cs-CZ"/>
        </w:rPr>
      </w:pPr>
      <w:hyperlink w:anchor="_Toc370398419" w:history="1">
        <w:r w:rsidR="00C06DA1" w:rsidRPr="00A25D8A">
          <w:rPr>
            <w:rStyle w:val="Hypertextovodkaz"/>
          </w:rPr>
          <w:t>Manažerské shrnutí</w:t>
        </w:r>
        <w:r w:rsidR="00C06DA1">
          <w:rPr>
            <w:webHidden/>
          </w:rPr>
          <w:tab/>
        </w:r>
        <w:r>
          <w:rPr>
            <w:webHidden/>
          </w:rPr>
          <w:fldChar w:fldCharType="begin"/>
        </w:r>
        <w:r w:rsidR="00C06DA1">
          <w:rPr>
            <w:webHidden/>
          </w:rPr>
          <w:instrText xml:space="preserve"> PAGEREF _Toc370398419 \h </w:instrText>
        </w:r>
        <w:r>
          <w:rPr>
            <w:webHidden/>
          </w:rPr>
        </w:r>
        <w:r>
          <w:rPr>
            <w:webHidden/>
          </w:rPr>
          <w:fldChar w:fldCharType="separate"/>
        </w:r>
        <w:r w:rsidR="00CE3896">
          <w:rPr>
            <w:webHidden/>
          </w:rPr>
          <w:t>11</w:t>
        </w:r>
        <w:r>
          <w:rPr>
            <w:webHidden/>
          </w:rPr>
          <w:fldChar w:fldCharType="end"/>
        </w:r>
      </w:hyperlink>
    </w:p>
    <w:p w:rsidR="00C06DA1" w:rsidRDefault="001C18DA">
      <w:pPr>
        <w:pStyle w:val="Obsah2"/>
        <w:rPr>
          <w:sz w:val="22"/>
          <w:szCs w:val="22"/>
          <w:shd w:val="clear" w:color="auto" w:fill="auto"/>
          <w:lang w:eastAsia="cs-CZ"/>
        </w:rPr>
      </w:pPr>
      <w:hyperlink w:anchor="_Toc370398420" w:history="1">
        <w:r w:rsidR="00C06DA1" w:rsidRPr="00A25D8A">
          <w:rPr>
            <w:rStyle w:val="Hypertextovodkaz"/>
          </w:rPr>
          <w:t>Základní otázky</w:t>
        </w:r>
        <w:r w:rsidR="00C06DA1">
          <w:rPr>
            <w:webHidden/>
          </w:rPr>
          <w:tab/>
        </w:r>
        <w:r>
          <w:rPr>
            <w:webHidden/>
          </w:rPr>
          <w:fldChar w:fldCharType="begin"/>
        </w:r>
        <w:r w:rsidR="00C06DA1">
          <w:rPr>
            <w:webHidden/>
          </w:rPr>
          <w:instrText xml:space="preserve"> PAGEREF _Toc370398420 \h </w:instrText>
        </w:r>
        <w:r>
          <w:rPr>
            <w:webHidden/>
          </w:rPr>
        </w:r>
        <w:r>
          <w:rPr>
            <w:webHidden/>
          </w:rPr>
          <w:fldChar w:fldCharType="separate"/>
        </w:r>
        <w:r w:rsidR="00CE3896">
          <w:rPr>
            <w:webHidden/>
          </w:rPr>
          <w:t>14</w:t>
        </w:r>
        <w:r>
          <w:rPr>
            <w:webHidden/>
          </w:rPr>
          <w:fldChar w:fldCharType="end"/>
        </w:r>
      </w:hyperlink>
    </w:p>
    <w:p w:rsidR="00C06DA1" w:rsidRDefault="001C18DA">
      <w:pPr>
        <w:pStyle w:val="Obsah1"/>
        <w:rPr>
          <w:sz w:val="22"/>
          <w:szCs w:val="22"/>
          <w:shd w:val="clear" w:color="auto" w:fill="auto"/>
          <w:lang w:eastAsia="cs-CZ"/>
        </w:rPr>
      </w:pPr>
      <w:hyperlink w:anchor="_Toc370398421" w:history="1">
        <w:r w:rsidR="00C06DA1" w:rsidRPr="00A25D8A">
          <w:rPr>
            <w:rStyle w:val="Hypertextovodkaz"/>
          </w:rPr>
          <w:t>OBECNÁ ČÁST</w:t>
        </w:r>
        <w:r w:rsidR="00C06DA1">
          <w:rPr>
            <w:webHidden/>
          </w:rPr>
          <w:tab/>
        </w:r>
        <w:r>
          <w:rPr>
            <w:webHidden/>
          </w:rPr>
          <w:fldChar w:fldCharType="begin"/>
        </w:r>
        <w:r w:rsidR="00C06DA1">
          <w:rPr>
            <w:webHidden/>
          </w:rPr>
          <w:instrText xml:space="preserve"> PAGEREF _Toc370398421 \h </w:instrText>
        </w:r>
        <w:r>
          <w:rPr>
            <w:webHidden/>
          </w:rPr>
        </w:r>
        <w:r>
          <w:rPr>
            <w:webHidden/>
          </w:rPr>
          <w:fldChar w:fldCharType="separate"/>
        </w:r>
        <w:r w:rsidR="00CE3896">
          <w:rPr>
            <w:webHidden/>
          </w:rPr>
          <w:t>24</w:t>
        </w:r>
        <w:r>
          <w:rPr>
            <w:webHidden/>
          </w:rPr>
          <w:fldChar w:fldCharType="end"/>
        </w:r>
      </w:hyperlink>
    </w:p>
    <w:p w:rsidR="00C06DA1" w:rsidRDefault="001C18DA">
      <w:pPr>
        <w:pStyle w:val="Obsah2"/>
        <w:rPr>
          <w:sz w:val="22"/>
          <w:szCs w:val="22"/>
          <w:shd w:val="clear" w:color="auto" w:fill="auto"/>
          <w:lang w:eastAsia="cs-CZ"/>
        </w:rPr>
      </w:pPr>
      <w:hyperlink w:anchor="_Toc370398422" w:history="1">
        <w:r w:rsidR="00C06DA1" w:rsidRPr="00A25D8A">
          <w:rPr>
            <w:rStyle w:val="Hypertextovodkaz"/>
          </w:rPr>
          <w:t>Důležité milníky ve zpoplatnění pozemních komunikací v České republice</w:t>
        </w:r>
        <w:r w:rsidR="00C06DA1">
          <w:rPr>
            <w:webHidden/>
          </w:rPr>
          <w:tab/>
        </w:r>
        <w:r>
          <w:rPr>
            <w:webHidden/>
          </w:rPr>
          <w:fldChar w:fldCharType="begin"/>
        </w:r>
        <w:r w:rsidR="00C06DA1">
          <w:rPr>
            <w:webHidden/>
          </w:rPr>
          <w:instrText xml:space="preserve"> PAGEREF _Toc370398422 \h </w:instrText>
        </w:r>
        <w:r>
          <w:rPr>
            <w:webHidden/>
          </w:rPr>
        </w:r>
        <w:r>
          <w:rPr>
            <w:webHidden/>
          </w:rPr>
          <w:fldChar w:fldCharType="separate"/>
        </w:r>
        <w:r w:rsidR="00CE3896">
          <w:rPr>
            <w:webHidden/>
          </w:rPr>
          <w:t>24</w:t>
        </w:r>
        <w:r>
          <w:rPr>
            <w:webHidden/>
          </w:rPr>
          <w:fldChar w:fldCharType="end"/>
        </w:r>
      </w:hyperlink>
    </w:p>
    <w:p w:rsidR="00C06DA1" w:rsidRDefault="001C18DA">
      <w:pPr>
        <w:pStyle w:val="Obsah2"/>
        <w:rPr>
          <w:sz w:val="22"/>
          <w:szCs w:val="22"/>
          <w:shd w:val="clear" w:color="auto" w:fill="auto"/>
          <w:lang w:eastAsia="cs-CZ"/>
        </w:rPr>
      </w:pPr>
      <w:hyperlink w:anchor="_Toc370398423" w:history="1">
        <w:r w:rsidR="00C06DA1" w:rsidRPr="00A25D8A">
          <w:rPr>
            <w:rStyle w:val="Hypertextovodkaz"/>
          </w:rPr>
          <w:t>Základní informace o Systému elektronického mýta v České republice</w:t>
        </w:r>
        <w:r w:rsidR="00C06DA1">
          <w:rPr>
            <w:webHidden/>
          </w:rPr>
          <w:tab/>
        </w:r>
        <w:r>
          <w:rPr>
            <w:webHidden/>
          </w:rPr>
          <w:fldChar w:fldCharType="begin"/>
        </w:r>
        <w:r w:rsidR="00C06DA1">
          <w:rPr>
            <w:webHidden/>
          </w:rPr>
          <w:instrText xml:space="preserve"> PAGEREF _Toc370398423 \h </w:instrText>
        </w:r>
        <w:r>
          <w:rPr>
            <w:webHidden/>
          </w:rPr>
        </w:r>
        <w:r>
          <w:rPr>
            <w:webHidden/>
          </w:rPr>
          <w:fldChar w:fldCharType="separate"/>
        </w:r>
        <w:r w:rsidR="00CE3896">
          <w:rPr>
            <w:webHidden/>
          </w:rPr>
          <w:t>25</w:t>
        </w:r>
        <w:r>
          <w:rPr>
            <w:webHidden/>
          </w:rPr>
          <w:fldChar w:fldCharType="end"/>
        </w:r>
      </w:hyperlink>
    </w:p>
    <w:p w:rsidR="00C06DA1" w:rsidRDefault="001C18DA">
      <w:pPr>
        <w:pStyle w:val="Obsah3"/>
        <w:rPr>
          <w:noProof/>
          <w:sz w:val="22"/>
          <w:szCs w:val="22"/>
          <w:lang w:val="cs-CZ" w:eastAsia="cs-CZ"/>
        </w:rPr>
      </w:pPr>
      <w:hyperlink w:anchor="_Toc370398424" w:history="1">
        <w:r w:rsidR="00C06DA1" w:rsidRPr="00A25D8A">
          <w:rPr>
            <w:rStyle w:val="Hypertextovodkaz"/>
            <w:noProof/>
            <w:lang w:val="cs-CZ" w:bidi="my-MM"/>
          </w:rPr>
          <w:t>Notifikované maximální vážené pr</w:t>
        </w:r>
        <w:r w:rsidR="00C06DA1" w:rsidRPr="00A25D8A">
          <w:rPr>
            <w:rStyle w:val="Hypertextovodkaz"/>
            <w:rFonts w:cs="Arial,Bold"/>
            <w:noProof/>
            <w:lang w:val="cs-CZ" w:bidi="my-MM"/>
          </w:rPr>
          <w:t>ů</w:t>
        </w:r>
        <w:r w:rsidR="00C06DA1" w:rsidRPr="00A25D8A">
          <w:rPr>
            <w:rStyle w:val="Hypertextovodkaz"/>
            <w:noProof/>
            <w:lang w:val="cs-CZ" w:bidi="my-MM"/>
          </w:rPr>
          <w:t>m</w:t>
        </w:r>
        <w:r w:rsidR="00C06DA1" w:rsidRPr="00A25D8A">
          <w:rPr>
            <w:rStyle w:val="Hypertextovodkaz"/>
            <w:rFonts w:cs="Arial,Bold"/>
            <w:noProof/>
            <w:lang w:val="cs-CZ" w:bidi="my-MM"/>
          </w:rPr>
          <w:t>ě</w:t>
        </w:r>
        <w:r w:rsidR="00C06DA1" w:rsidRPr="00A25D8A">
          <w:rPr>
            <w:rStyle w:val="Hypertextovodkaz"/>
            <w:noProof/>
            <w:lang w:val="cs-CZ" w:bidi="my-MM"/>
          </w:rPr>
          <w:t>rné mýtné</w:t>
        </w:r>
        <w:r w:rsidR="00C06DA1">
          <w:rPr>
            <w:noProof/>
            <w:webHidden/>
          </w:rPr>
          <w:tab/>
        </w:r>
        <w:r>
          <w:rPr>
            <w:noProof/>
            <w:webHidden/>
          </w:rPr>
          <w:fldChar w:fldCharType="begin"/>
        </w:r>
        <w:r w:rsidR="00C06DA1">
          <w:rPr>
            <w:noProof/>
            <w:webHidden/>
          </w:rPr>
          <w:instrText xml:space="preserve"> PAGEREF _Toc370398424 \h </w:instrText>
        </w:r>
        <w:r>
          <w:rPr>
            <w:noProof/>
            <w:webHidden/>
          </w:rPr>
        </w:r>
        <w:r>
          <w:rPr>
            <w:noProof/>
            <w:webHidden/>
          </w:rPr>
          <w:fldChar w:fldCharType="separate"/>
        </w:r>
        <w:r w:rsidR="00CE3896">
          <w:rPr>
            <w:noProof/>
            <w:webHidden/>
          </w:rPr>
          <w:t>27</w:t>
        </w:r>
        <w:r>
          <w:rPr>
            <w:noProof/>
            <w:webHidden/>
          </w:rPr>
          <w:fldChar w:fldCharType="end"/>
        </w:r>
      </w:hyperlink>
    </w:p>
    <w:p w:rsidR="00C06DA1" w:rsidRDefault="001C18DA">
      <w:pPr>
        <w:pStyle w:val="Obsah3"/>
        <w:rPr>
          <w:noProof/>
          <w:sz w:val="22"/>
          <w:szCs w:val="22"/>
          <w:lang w:val="cs-CZ" w:eastAsia="cs-CZ"/>
        </w:rPr>
      </w:pPr>
      <w:hyperlink w:anchor="_Toc370398425" w:history="1">
        <w:r w:rsidR="00C06DA1" w:rsidRPr="00A25D8A">
          <w:rPr>
            <w:rStyle w:val="Hypertextovodkaz"/>
            <w:noProof/>
            <w:lang w:val="cs-CZ" w:bidi="my-MM"/>
          </w:rPr>
          <w:t>Odhad dopad</w:t>
        </w:r>
        <w:r w:rsidR="00C06DA1" w:rsidRPr="00A25D8A">
          <w:rPr>
            <w:rStyle w:val="Hypertextovodkaz"/>
            <w:rFonts w:cs="TimesNewRoman,Bold"/>
            <w:noProof/>
            <w:lang w:val="cs-CZ" w:bidi="my-MM"/>
          </w:rPr>
          <w:t xml:space="preserve">ů </w:t>
        </w:r>
        <w:r w:rsidR="00C06DA1" w:rsidRPr="00A25D8A">
          <w:rPr>
            <w:rStyle w:val="Hypertextovodkaz"/>
            <w:noProof/>
            <w:lang w:val="cs-CZ" w:bidi="my-MM"/>
          </w:rPr>
          <w:t>zm</w:t>
        </w:r>
        <w:r w:rsidR="00C06DA1" w:rsidRPr="00A25D8A">
          <w:rPr>
            <w:rStyle w:val="Hypertextovodkaz"/>
            <w:rFonts w:cs="TimesNewRoman,Bold"/>
            <w:noProof/>
            <w:lang w:val="cs-CZ" w:bidi="my-MM"/>
          </w:rPr>
          <w:t>ě</w:t>
        </w:r>
        <w:r w:rsidR="00C06DA1" w:rsidRPr="00A25D8A">
          <w:rPr>
            <w:rStyle w:val="Hypertextovodkaz"/>
            <w:noProof/>
            <w:lang w:val="cs-CZ" w:bidi="my-MM"/>
          </w:rPr>
          <w:t>n mýtných sazeb a slev na výb</w:t>
        </w:r>
        <w:r w:rsidR="00C06DA1" w:rsidRPr="00A25D8A">
          <w:rPr>
            <w:rStyle w:val="Hypertextovodkaz"/>
            <w:rFonts w:cs="TimesNewRoman,Bold"/>
            <w:noProof/>
            <w:lang w:val="cs-CZ" w:bidi="my-MM"/>
          </w:rPr>
          <w:t>ě</w:t>
        </w:r>
        <w:r w:rsidR="00C06DA1" w:rsidRPr="00A25D8A">
          <w:rPr>
            <w:rStyle w:val="Hypertextovodkaz"/>
            <w:noProof/>
            <w:lang w:val="cs-CZ" w:bidi="my-MM"/>
          </w:rPr>
          <w:t>r mýtného v roce 2012</w:t>
        </w:r>
        <w:r w:rsidR="00C06DA1">
          <w:rPr>
            <w:noProof/>
            <w:webHidden/>
          </w:rPr>
          <w:tab/>
        </w:r>
        <w:r>
          <w:rPr>
            <w:noProof/>
            <w:webHidden/>
          </w:rPr>
          <w:fldChar w:fldCharType="begin"/>
        </w:r>
        <w:r w:rsidR="00C06DA1">
          <w:rPr>
            <w:noProof/>
            <w:webHidden/>
          </w:rPr>
          <w:instrText xml:space="preserve"> PAGEREF _Toc370398425 \h </w:instrText>
        </w:r>
        <w:r>
          <w:rPr>
            <w:noProof/>
            <w:webHidden/>
          </w:rPr>
        </w:r>
        <w:r>
          <w:rPr>
            <w:noProof/>
            <w:webHidden/>
          </w:rPr>
          <w:fldChar w:fldCharType="separate"/>
        </w:r>
        <w:r w:rsidR="00CE3896">
          <w:rPr>
            <w:noProof/>
            <w:webHidden/>
          </w:rPr>
          <w:t>27</w:t>
        </w:r>
        <w:r>
          <w:rPr>
            <w:noProof/>
            <w:webHidden/>
          </w:rPr>
          <w:fldChar w:fldCharType="end"/>
        </w:r>
      </w:hyperlink>
    </w:p>
    <w:p w:rsidR="00C06DA1" w:rsidRDefault="001C18DA">
      <w:pPr>
        <w:pStyle w:val="Obsah3"/>
        <w:rPr>
          <w:noProof/>
          <w:sz w:val="22"/>
          <w:szCs w:val="22"/>
          <w:lang w:val="cs-CZ" w:eastAsia="cs-CZ"/>
        </w:rPr>
      </w:pPr>
      <w:hyperlink w:anchor="_Toc370398426" w:history="1">
        <w:r w:rsidR="00C06DA1" w:rsidRPr="00A25D8A">
          <w:rPr>
            <w:rStyle w:val="Hypertextovodkaz"/>
            <w:noProof/>
            <w:lang w:val="cs-CZ" w:bidi="my-MM"/>
          </w:rPr>
          <w:t>Tranzit nákladních vozidel s hmotností 12 t a výše p</w:t>
        </w:r>
        <w:r w:rsidR="00C06DA1" w:rsidRPr="00A25D8A">
          <w:rPr>
            <w:rStyle w:val="Hypertextovodkaz"/>
            <w:rFonts w:cs="Arial,Bold"/>
            <w:noProof/>
            <w:lang w:val="cs-CZ" w:bidi="my-MM"/>
          </w:rPr>
          <w:t>ř</w:t>
        </w:r>
        <w:r w:rsidR="00C06DA1" w:rsidRPr="00A25D8A">
          <w:rPr>
            <w:rStyle w:val="Hypertextovodkaz"/>
            <w:noProof/>
            <w:lang w:val="cs-CZ" w:bidi="my-MM"/>
          </w:rPr>
          <w:t xml:space="preserve">es </w:t>
        </w:r>
        <w:r w:rsidR="00C06DA1" w:rsidRPr="00A25D8A">
          <w:rPr>
            <w:rStyle w:val="Hypertextovodkaz"/>
            <w:rFonts w:cs="Arial,Bold"/>
            <w:noProof/>
            <w:lang w:val="cs-CZ" w:bidi="my-MM"/>
          </w:rPr>
          <w:t>Č</w:t>
        </w:r>
        <w:r w:rsidR="00C06DA1" w:rsidRPr="00A25D8A">
          <w:rPr>
            <w:rStyle w:val="Hypertextovodkaz"/>
            <w:noProof/>
            <w:lang w:val="cs-CZ" w:bidi="my-MM"/>
          </w:rPr>
          <w:t>R - rok 2011</w:t>
        </w:r>
        <w:r w:rsidR="00C06DA1">
          <w:rPr>
            <w:noProof/>
            <w:webHidden/>
          </w:rPr>
          <w:tab/>
        </w:r>
        <w:r>
          <w:rPr>
            <w:noProof/>
            <w:webHidden/>
          </w:rPr>
          <w:fldChar w:fldCharType="begin"/>
        </w:r>
        <w:r w:rsidR="00C06DA1">
          <w:rPr>
            <w:noProof/>
            <w:webHidden/>
          </w:rPr>
          <w:instrText xml:space="preserve"> PAGEREF _Toc370398426 \h </w:instrText>
        </w:r>
        <w:r>
          <w:rPr>
            <w:noProof/>
            <w:webHidden/>
          </w:rPr>
        </w:r>
        <w:r>
          <w:rPr>
            <w:noProof/>
            <w:webHidden/>
          </w:rPr>
          <w:fldChar w:fldCharType="separate"/>
        </w:r>
        <w:r w:rsidR="00CE3896">
          <w:rPr>
            <w:noProof/>
            <w:webHidden/>
          </w:rPr>
          <w:t>28</w:t>
        </w:r>
        <w:r>
          <w:rPr>
            <w:noProof/>
            <w:webHidden/>
          </w:rPr>
          <w:fldChar w:fldCharType="end"/>
        </w:r>
      </w:hyperlink>
    </w:p>
    <w:p w:rsidR="00C06DA1" w:rsidRDefault="001C18DA">
      <w:pPr>
        <w:pStyle w:val="Obsah3"/>
        <w:rPr>
          <w:noProof/>
          <w:sz w:val="22"/>
          <w:szCs w:val="22"/>
          <w:lang w:val="cs-CZ" w:eastAsia="cs-CZ"/>
        </w:rPr>
      </w:pPr>
      <w:hyperlink w:anchor="_Toc370398427" w:history="1">
        <w:r w:rsidR="00C06DA1" w:rsidRPr="00A25D8A">
          <w:rPr>
            <w:rStyle w:val="Hypertextovodkaz"/>
            <w:noProof/>
            <w:lang w:val="cs-CZ"/>
          </w:rPr>
          <w:t>Organizační a administrativní rámec</w:t>
        </w:r>
        <w:r w:rsidR="00C06DA1">
          <w:rPr>
            <w:noProof/>
            <w:webHidden/>
          </w:rPr>
          <w:tab/>
        </w:r>
        <w:r>
          <w:rPr>
            <w:noProof/>
            <w:webHidden/>
          </w:rPr>
          <w:fldChar w:fldCharType="begin"/>
        </w:r>
        <w:r w:rsidR="00C06DA1">
          <w:rPr>
            <w:noProof/>
            <w:webHidden/>
          </w:rPr>
          <w:instrText xml:space="preserve"> PAGEREF _Toc370398427 \h </w:instrText>
        </w:r>
        <w:r>
          <w:rPr>
            <w:noProof/>
            <w:webHidden/>
          </w:rPr>
        </w:r>
        <w:r>
          <w:rPr>
            <w:noProof/>
            <w:webHidden/>
          </w:rPr>
          <w:fldChar w:fldCharType="separate"/>
        </w:r>
        <w:r w:rsidR="00CE3896">
          <w:rPr>
            <w:noProof/>
            <w:webHidden/>
          </w:rPr>
          <w:t>29</w:t>
        </w:r>
        <w:r>
          <w:rPr>
            <w:noProof/>
            <w:webHidden/>
          </w:rPr>
          <w:fldChar w:fldCharType="end"/>
        </w:r>
      </w:hyperlink>
    </w:p>
    <w:p w:rsidR="00C06DA1" w:rsidRDefault="001C18DA">
      <w:pPr>
        <w:pStyle w:val="Obsah1"/>
        <w:rPr>
          <w:sz w:val="22"/>
          <w:szCs w:val="22"/>
          <w:shd w:val="clear" w:color="auto" w:fill="auto"/>
          <w:lang w:eastAsia="cs-CZ"/>
        </w:rPr>
      </w:pPr>
      <w:hyperlink w:anchor="_Toc370398428" w:history="1">
        <w:r w:rsidR="00C06DA1" w:rsidRPr="00A25D8A">
          <w:rPr>
            <w:rStyle w:val="Hypertextovodkaz"/>
          </w:rPr>
          <w:t>KONCEPCE DO ROKU 2016</w:t>
        </w:r>
        <w:r w:rsidR="00C06DA1">
          <w:rPr>
            <w:webHidden/>
          </w:rPr>
          <w:tab/>
        </w:r>
        <w:r>
          <w:rPr>
            <w:webHidden/>
          </w:rPr>
          <w:fldChar w:fldCharType="begin"/>
        </w:r>
        <w:r w:rsidR="00C06DA1">
          <w:rPr>
            <w:webHidden/>
          </w:rPr>
          <w:instrText xml:space="preserve"> PAGEREF _Toc370398428 \h </w:instrText>
        </w:r>
        <w:r>
          <w:rPr>
            <w:webHidden/>
          </w:rPr>
        </w:r>
        <w:r>
          <w:rPr>
            <w:webHidden/>
          </w:rPr>
          <w:fldChar w:fldCharType="separate"/>
        </w:r>
        <w:r w:rsidR="00CE3896">
          <w:rPr>
            <w:webHidden/>
          </w:rPr>
          <w:t>30</w:t>
        </w:r>
        <w:r>
          <w:rPr>
            <w:webHidden/>
          </w:rPr>
          <w:fldChar w:fldCharType="end"/>
        </w:r>
      </w:hyperlink>
    </w:p>
    <w:p w:rsidR="00C06DA1" w:rsidRDefault="001C18DA">
      <w:pPr>
        <w:pStyle w:val="Obsah2"/>
        <w:rPr>
          <w:sz w:val="22"/>
          <w:szCs w:val="22"/>
          <w:shd w:val="clear" w:color="auto" w:fill="auto"/>
          <w:lang w:eastAsia="cs-CZ"/>
        </w:rPr>
      </w:pPr>
      <w:hyperlink w:anchor="_Toc370398429" w:history="1">
        <w:r w:rsidR="00C06DA1" w:rsidRPr="00A25D8A">
          <w:rPr>
            <w:rStyle w:val="Hypertextovodkaz"/>
            <w:kern w:val="32"/>
          </w:rPr>
          <w:t>Rozsah zpoplatněných pozemních komunikací</w:t>
        </w:r>
        <w:r w:rsidR="00C06DA1">
          <w:rPr>
            <w:webHidden/>
          </w:rPr>
          <w:tab/>
        </w:r>
        <w:r>
          <w:rPr>
            <w:webHidden/>
          </w:rPr>
          <w:fldChar w:fldCharType="begin"/>
        </w:r>
        <w:r w:rsidR="00C06DA1">
          <w:rPr>
            <w:webHidden/>
          </w:rPr>
          <w:instrText xml:space="preserve"> PAGEREF _Toc370398429 \h </w:instrText>
        </w:r>
        <w:r>
          <w:rPr>
            <w:webHidden/>
          </w:rPr>
        </w:r>
        <w:r>
          <w:rPr>
            <w:webHidden/>
          </w:rPr>
          <w:fldChar w:fldCharType="separate"/>
        </w:r>
        <w:r w:rsidR="00CE3896">
          <w:rPr>
            <w:webHidden/>
          </w:rPr>
          <w:t>30</w:t>
        </w:r>
        <w:r>
          <w:rPr>
            <w:webHidden/>
          </w:rPr>
          <w:fldChar w:fldCharType="end"/>
        </w:r>
      </w:hyperlink>
    </w:p>
    <w:p w:rsidR="00C06DA1" w:rsidRDefault="001C18DA">
      <w:pPr>
        <w:pStyle w:val="Obsah2"/>
        <w:rPr>
          <w:sz w:val="22"/>
          <w:szCs w:val="22"/>
          <w:shd w:val="clear" w:color="auto" w:fill="auto"/>
          <w:lang w:eastAsia="cs-CZ"/>
        </w:rPr>
      </w:pPr>
      <w:hyperlink w:anchor="_Toc370398430" w:history="1">
        <w:r w:rsidR="00C06DA1" w:rsidRPr="00A25D8A">
          <w:rPr>
            <w:rStyle w:val="Hypertextovodkaz"/>
            <w:kern w:val="32"/>
          </w:rPr>
          <w:t>Změny výkonového zpoplatnění do roku 2016</w:t>
        </w:r>
        <w:r w:rsidR="00C06DA1">
          <w:rPr>
            <w:webHidden/>
          </w:rPr>
          <w:tab/>
        </w:r>
        <w:r>
          <w:rPr>
            <w:webHidden/>
          </w:rPr>
          <w:fldChar w:fldCharType="begin"/>
        </w:r>
        <w:r w:rsidR="00C06DA1">
          <w:rPr>
            <w:webHidden/>
          </w:rPr>
          <w:instrText xml:space="preserve"> PAGEREF _Toc370398430 \h </w:instrText>
        </w:r>
        <w:r>
          <w:rPr>
            <w:webHidden/>
          </w:rPr>
        </w:r>
        <w:r>
          <w:rPr>
            <w:webHidden/>
          </w:rPr>
          <w:fldChar w:fldCharType="separate"/>
        </w:r>
        <w:r w:rsidR="00CE3896">
          <w:rPr>
            <w:webHidden/>
          </w:rPr>
          <w:t>30</w:t>
        </w:r>
        <w:r>
          <w:rPr>
            <w:webHidden/>
          </w:rPr>
          <w:fldChar w:fldCharType="end"/>
        </w:r>
      </w:hyperlink>
    </w:p>
    <w:p w:rsidR="00C06DA1" w:rsidRDefault="001C18DA">
      <w:pPr>
        <w:pStyle w:val="Obsah2"/>
        <w:rPr>
          <w:sz w:val="22"/>
          <w:szCs w:val="22"/>
          <w:shd w:val="clear" w:color="auto" w:fill="auto"/>
          <w:lang w:eastAsia="cs-CZ"/>
        </w:rPr>
      </w:pPr>
      <w:hyperlink w:anchor="_Toc370398431" w:history="1">
        <w:r w:rsidR="00C06DA1" w:rsidRPr="00A25D8A">
          <w:rPr>
            <w:rStyle w:val="Hypertextovodkaz"/>
          </w:rPr>
          <w:t>Evropská služba elektronického mýta v České republice</w:t>
        </w:r>
        <w:r w:rsidR="00C06DA1">
          <w:rPr>
            <w:webHidden/>
          </w:rPr>
          <w:tab/>
        </w:r>
        <w:r>
          <w:rPr>
            <w:webHidden/>
          </w:rPr>
          <w:fldChar w:fldCharType="begin"/>
        </w:r>
        <w:r w:rsidR="00C06DA1">
          <w:rPr>
            <w:webHidden/>
          </w:rPr>
          <w:instrText xml:space="preserve"> PAGEREF _Toc370398431 \h </w:instrText>
        </w:r>
        <w:r>
          <w:rPr>
            <w:webHidden/>
          </w:rPr>
        </w:r>
        <w:r>
          <w:rPr>
            <w:webHidden/>
          </w:rPr>
          <w:fldChar w:fldCharType="separate"/>
        </w:r>
        <w:r w:rsidR="00CE3896">
          <w:rPr>
            <w:webHidden/>
          </w:rPr>
          <w:t>30</w:t>
        </w:r>
        <w:r>
          <w:rPr>
            <w:webHidden/>
          </w:rPr>
          <w:fldChar w:fldCharType="end"/>
        </w:r>
      </w:hyperlink>
    </w:p>
    <w:p w:rsidR="00C06DA1" w:rsidRDefault="001C18DA">
      <w:pPr>
        <w:pStyle w:val="Obsah1"/>
        <w:rPr>
          <w:sz w:val="22"/>
          <w:szCs w:val="22"/>
          <w:shd w:val="clear" w:color="auto" w:fill="auto"/>
          <w:lang w:eastAsia="cs-CZ"/>
        </w:rPr>
      </w:pPr>
      <w:hyperlink w:anchor="_Toc370398432" w:history="1">
        <w:r w:rsidR="00C06DA1" w:rsidRPr="00A25D8A">
          <w:rPr>
            <w:rStyle w:val="Hypertextovodkaz"/>
          </w:rPr>
          <w:t>KONCEPCE PO ROCE 2016</w:t>
        </w:r>
        <w:r w:rsidR="00C06DA1">
          <w:rPr>
            <w:webHidden/>
          </w:rPr>
          <w:tab/>
        </w:r>
        <w:r>
          <w:rPr>
            <w:webHidden/>
          </w:rPr>
          <w:fldChar w:fldCharType="begin"/>
        </w:r>
        <w:r w:rsidR="00C06DA1">
          <w:rPr>
            <w:webHidden/>
          </w:rPr>
          <w:instrText xml:space="preserve"> PAGEREF _Toc370398432 \h </w:instrText>
        </w:r>
        <w:r>
          <w:rPr>
            <w:webHidden/>
          </w:rPr>
        </w:r>
        <w:r>
          <w:rPr>
            <w:webHidden/>
          </w:rPr>
          <w:fldChar w:fldCharType="separate"/>
        </w:r>
        <w:r w:rsidR="00CE3896">
          <w:rPr>
            <w:webHidden/>
          </w:rPr>
          <w:t>32</w:t>
        </w:r>
        <w:r>
          <w:rPr>
            <w:webHidden/>
          </w:rPr>
          <w:fldChar w:fldCharType="end"/>
        </w:r>
      </w:hyperlink>
    </w:p>
    <w:p w:rsidR="00C06DA1" w:rsidRDefault="001C18DA">
      <w:pPr>
        <w:pStyle w:val="Obsah2"/>
        <w:rPr>
          <w:sz w:val="22"/>
          <w:szCs w:val="22"/>
          <w:shd w:val="clear" w:color="auto" w:fill="auto"/>
          <w:lang w:eastAsia="cs-CZ"/>
        </w:rPr>
      </w:pPr>
      <w:hyperlink w:anchor="_Toc370398433" w:history="1">
        <w:r w:rsidR="00C06DA1" w:rsidRPr="00A25D8A">
          <w:rPr>
            <w:rStyle w:val="Hypertextovodkaz"/>
            <w:kern w:val="32"/>
          </w:rPr>
          <w:t>Rozsah zpoplatněných pozemních komunikací</w:t>
        </w:r>
        <w:r w:rsidR="00C06DA1">
          <w:rPr>
            <w:webHidden/>
          </w:rPr>
          <w:tab/>
        </w:r>
        <w:r>
          <w:rPr>
            <w:webHidden/>
          </w:rPr>
          <w:fldChar w:fldCharType="begin"/>
        </w:r>
        <w:r w:rsidR="00C06DA1">
          <w:rPr>
            <w:webHidden/>
          </w:rPr>
          <w:instrText xml:space="preserve"> PAGEREF _Toc370398433 \h </w:instrText>
        </w:r>
        <w:r>
          <w:rPr>
            <w:webHidden/>
          </w:rPr>
        </w:r>
        <w:r>
          <w:rPr>
            <w:webHidden/>
          </w:rPr>
          <w:fldChar w:fldCharType="separate"/>
        </w:r>
        <w:r w:rsidR="00CE3896">
          <w:rPr>
            <w:webHidden/>
          </w:rPr>
          <w:t>32</w:t>
        </w:r>
        <w:r>
          <w:rPr>
            <w:webHidden/>
          </w:rPr>
          <w:fldChar w:fldCharType="end"/>
        </w:r>
      </w:hyperlink>
    </w:p>
    <w:p w:rsidR="00C06DA1" w:rsidRDefault="001C18DA">
      <w:pPr>
        <w:pStyle w:val="Obsah3"/>
        <w:rPr>
          <w:noProof/>
          <w:sz w:val="22"/>
          <w:szCs w:val="22"/>
          <w:lang w:val="cs-CZ" w:eastAsia="cs-CZ"/>
        </w:rPr>
      </w:pPr>
      <w:hyperlink w:anchor="_Toc370398434" w:history="1">
        <w:r w:rsidR="00C06DA1" w:rsidRPr="00A25D8A">
          <w:rPr>
            <w:rStyle w:val="Hypertextovodkaz"/>
            <w:noProof/>
            <w:lang w:val="cs-CZ"/>
          </w:rPr>
          <w:t>Varianty způsobu zpoplatnění</w:t>
        </w:r>
        <w:r w:rsidR="00C06DA1">
          <w:rPr>
            <w:noProof/>
            <w:webHidden/>
          </w:rPr>
          <w:tab/>
        </w:r>
        <w:r>
          <w:rPr>
            <w:noProof/>
            <w:webHidden/>
          </w:rPr>
          <w:fldChar w:fldCharType="begin"/>
        </w:r>
        <w:r w:rsidR="00C06DA1">
          <w:rPr>
            <w:noProof/>
            <w:webHidden/>
          </w:rPr>
          <w:instrText xml:space="preserve"> PAGEREF _Toc370398434 \h </w:instrText>
        </w:r>
        <w:r>
          <w:rPr>
            <w:noProof/>
            <w:webHidden/>
          </w:rPr>
        </w:r>
        <w:r>
          <w:rPr>
            <w:noProof/>
            <w:webHidden/>
          </w:rPr>
          <w:fldChar w:fldCharType="separate"/>
        </w:r>
        <w:r w:rsidR="00CE3896">
          <w:rPr>
            <w:noProof/>
            <w:webHidden/>
          </w:rPr>
          <w:t>32</w:t>
        </w:r>
        <w:r>
          <w:rPr>
            <w:noProof/>
            <w:webHidden/>
          </w:rPr>
          <w:fldChar w:fldCharType="end"/>
        </w:r>
      </w:hyperlink>
    </w:p>
    <w:p w:rsidR="00C06DA1" w:rsidRDefault="001C18DA">
      <w:pPr>
        <w:pStyle w:val="Obsah3"/>
        <w:rPr>
          <w:noProof/>
          <w:sz w:val="22"/>
          <w:szCs w:val="22"/>
          <w:lang w:val="cs-CZ" w:eastAsia="cs-CZ"/>
        </w:rPr>
      </w:pPr>
      <w:hyperlink w:anchor="_Toc370398435" w:history="1">
        <w:r w:rsidR="00C06DA1" w:rsidRPr="00A25D8A">
          <w:rPr>
            <w:rStyle w:val="Hypertextovodkaz"/>
            <w:noProof/>
            <w:lang w:val="cs-CZ"/>
          </w:rPr>
          <w:t>Varianty zachování stávajícího systému elektronického mýta</w:t>
        </w:r>
        <w:r w:rsidR="00C06DA1">
          <w:rPr>
            <w:noProof/>
            <w:webHidden/>
          </w:rPr>
          <w:tab/>
        </w:r>
        <w:r>
          <w:rPr>
            <w:noProof/>
            <w:webHidden/>
          </w:rPr>
          <w:fldChar w:fldCharType="begin"/>
        </w:r>
        <w:r w:rsidR="00C06DA1">
          <w:rPr>
            <w:noProof/>
            <w:webHidden/>
          </w:rPr>
          <w:instrText xml:space="preserve"> PAGEREF _Toc370398435 \h </w:instrText>
        </w:r>
        <w:r>
          <w:rPr>
            <w:noProof/>
            <w:webHidden/>
          </w:rPr>
        </w:r>
        <w:r>
          <w:rPr>
            <w:noProof/>
            <w:webHidden/>
          </w:rPr>
          <w:fldChar w:fldCharType="separate"/>
        </w:r>
        <w:r w:rsidR="00CE3896">
          <w:rPr>
            <w:noProof/>
            <w:webHidden/>
          </w:rPr>
          <w:t>33</w:t>
        </w:r>
        <w:r>
          <w:rPr>
            <w:noProof/>
            <w:webHidden/>
          </w:rPr>
          <w:fldChar w:fldCharType="end"/>
        </w:r>
      </w:hyperlink>
    </w:p>
    <w:p w:rsidR="00C06DA1" w:rsidRDefault="001C18DA">
      <w:pPr>
        <w:pStyle w:val="Obsah3"/>
        <w:rPr>
          <w:noProof/>
          <w:sz w:val="22"/>
          <w:szCs w:val="22"/>
          <w:lang w:val="cs-CZ" w:eastAsia="cs-CZ"/>
        </w:rPr>
      </w:pPr>
      <w:hyperlink w:anchor="_Toc370398436" w:history="1">
        <w:r w:rsidR="00C06DA1" w:rsidRPr="00A25D8A">
          <w:rPr>
            <w:rStyle w:val="Hypertextovodkaz"/>
            <w:noProof/>
            <w:lang w:val="cs-CZ"/>
          </w:rPr>
          <w:t>Varianty rozsahu</w:t>
        </w:r>
        <w:r w:rsidR="00C06DA1">
          <w:rPr>
            <w:noProof/>
            <w:webHidden/>
          </w:rPr>
          <w:tab/>
        </w:r>
        <w:r>
          <w:rPr>
            <w:noProof/>
            <w:webHidden/>
          </w:rPr>
          <w:fldChar w:fldCharType="begin"/>
        </w:r>
        <w:r w:rsidR="00C06DA1">
          <w:rPr>
            <w:noProof/>
            <w:webHidden/>
          </w:rPr>
          <w:instrText xml:space="preserve"> PAGEREF _Toc370398436 \h </w:instrText>
        </w:r>
        <w:r>
          <w:rPr>
            <w:noProof/>
            <w:webHidden/>
          </w:rPr>
        </w:r>
        <w:r>
          <w:rPr>
            <w:noProof/>
            <w:webHidden/>
          </w:rPr>
          <w:fldChar w:fldCharType="separate"/>
        </w:r>
        <w:r w:rsidR="00CE3896">
          <w:rPr>
            <w:noProof/>
            <w:webHidden/>
          </w:rPr>
          <w:t>34</w:t>
        </w:r>
        <w:r>
          <w:rPr>
            <w:noProof/>
            <w:webHidden/>
          </w:rPr>
          <w:fldChar w:fldCharType="end"/>
        </w:r>
      </w:hyperlink>
    </w:p>
    <w:p w:rsidR="00C06DA1" w:rsidRDefault="001C18DA">
      <w:pPr>
        <w:pStyle w:val="Obsah3"/>
        <w:rPr>
          <w:noProof/>
          <w:sz w:val="22"/>
          <w:szCs w:val="22"/>
          <w:lang w:val="cs-CZ" w:eastAsia="cs-CZ"/>
        </w:rPr>
      </w:pPr>
      <w:hyperlink w:anchor="_Toc370398437" w:history="1">
        <w:r w:rsidR="00C06DA1" w:rsidRPr="00A25D8A">
          <w:rPr>
            <w:rStyle w:val="Hypertextovodkaz"/>
            <w:noProof/>
            <w:lang w:val="cs-CZ"/>
          </w:rPr>
          <w:t>Zpoplatnění dálnic, rychlostních silnic a 1000 km silnic I. třídy</w:t>
        </w:r>
        <w:r w:rsidR="00C06DA1">
          <w:rPr>
            <w:noProof/>
            <w:webHidden/>
          </w:rPr>
          <w:tab/>
        </w:r>
        <w:r>
          <w:rPr>
            <w:noProof/>
            <w:webHidden/>
          </w:rPr>
          <w:fldChar w:fldCharType="begin"/>
        </w:r>
        <w:r w:rsidR="00C06DA1">
          <w:rPr>
            <w:noProof/>
            <w:webHidden/>
          </w:rPr>
          <w:instrText xml:space="preserve"> PAGEREF _Toc370398437 \h </w:instrText>
        </w:r>
        <w:r>
          <w:rPr>
            <w:noProof/>
            <w:webHidden/>
          </w:rPr>
        </w:r>
        <w:r>
          <w:rPr>
            <w:noProof/>
            <w:webHidden/>
          </w:rPr>
          <w:fldChar w:fldCharType="separate"/>
        </w:r>
        <w:r w:rsidR="00CE3896">
          <w:rPr>
            <w:noProof/>
            <w:webHidden/>
          </w:rPr>
          <w:t>35</w:t>
        </w:r>
        <w:r>
          <w:rPr>
            <w:noProof/>
            <w:webHidden/>
          </w:rPr>
          <w:fldChar w:fldCharType="end"/>
        </w:r>
      </w:hyperlink>
    </w:p>
    <w:p w:rsidR="00C06DA1" w:rsidRDefault="001C18DA">
      <w:pPr>
        <w:pStyle w:val="Obsah3"/>
        <w:rPr>
          <w:noProof/>
          <w:sz w:val="22"/>
          <w:szCs w:val="22"/>
          <w:lang w:val="cs-CZ" w:eastAsia="cs-CZ"/>
        </w:rPr>
      </w:pPr>
      <w:hyperlink w:anchor="_Toc370398438" w:history="1">
        <w:r w:rsidR="00C06DA1" w:rsidRPr="00A25D8A">
          <w:rPr>
            <w:rStyle w:val="Hypertextovodkaz"/>
            <w:noProof/>
            <w:lang w:val="cs-CZ"/>
          </w:rPr>
          <w:t>Zpoplatnění silnic II. a III. třídy</w:t>
        </w:r>
        <w:r w:rsidR="00C06DA1">
          <w:rPr>
            <w:noProof/>
            <w:webHidden/>
          </w:rPr>
          <w:tab/>
        </w:r>
        <w:r>
          <w:rPr>
            <w:noProof/>
            <w:webHidden/>
          </w:rPr>
          <w:fldChar w:fldCharType="begin"/>
        </w:r>
        <w:r w:rsidR="00C06DA1">
          <w:rPr>
            <w:noProof/>
            <w:webHidden/>
          </w:rPr>
          <w:instrText xml:space="preserve"> PAGEREF _Toc370398438 \h </w:instrText>
        </w:r>
        <w:r>
          <w:rPr>
            <w:noProof/>
            <w:webHidden/>
          </w:rPr>
        </w:r>
        <w:r>
          <w:rPr>
            <w:noProof/>
            <w:webHidden/>
          </w:rPr>
          <w:fldChar w:fldCharType="separate"/>
        </w:r>
        <w:r w:rsidR="00CE3896">
          <w:rPr>
            <w:noProof/>
            <w:webHidden/>
          </w:rPr>
          <w:t>36</w:t>
        </w:r>
        <w:r>
          <w:rPr>
            <w:noProof/>
            <w:webHidden/>
          </w:rPr>
          <w:fldChar w:fldCharType="end"/>
        </w:r>
      </w:hyperlink>
    </w:p>
    <w:p w:rsidR="00C06DA1" w:rsidRDefault="001C18DA">
      <w:pPr>
        <w:pStyle w:val="Obsah3"/>
        <w:rPr>
          <w:noProof/>
          <w:sz w:val="22"/>
          <w:szCs w:val="22"/>
          <w:lang w:val="cs-CZ" w:eastAsia="cs-CZ"/>
        </w:rPr>
      </w:pPr>
      <w:hyperlink w:anchor="_Toc370398439" w:history="1">
        <w:r w:rsidR="00C06DA1" w:rsidRPr="00A25D8A">
          <w:rPr>
            <w:rStyle w:val="Hypertextovodkaz"/>
            <w:noProof/>
            <w:lang w:val="cs-CZ"/>
          </w:rPr>
          <w:t>Vyvolané investice</w:t>
        </w:r>
        <w:r w:rsidR="00C06DA1">
          <w:rPr>
            <w:noProof/>
            <w:webHidden/>
          </w:rPr>
          <w:tab/>
        </w:r>
        <w:r>
          <w:rPr>
            <w:noProof/>
            <w:webHidden/>
          </w:rPr>
          <w:fldChar w:fldCharType="begin"/>
        </w:r>
        <w:r w:rsidR="00C06DA1">
          <w:rPr>
            <w:noProof/>
            <w:webHidden/>
          </w:rPr>
          <w:instrText xml:space="preserve"> PAGEREF _Toc370398439 \h </w:instrText>
        </w:r>
        <w:r>
          <w:rPr>
            <w:noProof/>
            <w:webHidden/>
          </w:rPr>
        </w:r>
        <w:r>
          <w:rPr>
            <w:noProof/>
            <w:webHidden/>
          </w:rPr>
          <w:fldChar w:fldCharType="separate"/>
        </w:r>
        <w:r w:rsidR="00CE3896">
          <w:rPr>
            <w:noProof/>
            <w:webHidden/>
          </w:rPr>
          <w:t>36</w:t>
        </w:r>
        <w:r>
          <w:rPr>
            <w:noProof/>
            <w:webHidden/>
          </w:rPr>
          <w:fldChar w:fldCharType="end"/>
        </w:r>
      </w:hyperlink>
    </w:p>
    <w:p w:rsidR="00C06DA1" w:rsidRDefault="001C18DA">
      <w:pPr>
        <w:pStyle w:val="Obsah2"/>
        <w:rPr>
          <w:sz w:val="22"/>
          <w:szCs w:val="22"/>
          <w:shd w:val="clear" w:color="auto" w:fill="auto"/>
          <w:lang w:eastAsia="cs-CZ"/>
        </w:rPr>
      </w:pPr>
      <w:hyperlink w:anchor="_Toc370398440" w:history="1">
        <w:r w:rsidR="00C06DA1" w:rsidRPr="00A25D8A">
          <w:rPr>
            <w:rStyle w:val="Hypertextovodkaz"/>
            <w:rFonts w:cs="Calibri"/>
          </w:rPr>
          <w:t>Posuzované realizační varianty</w:t>
        </w:r>
        <w:r w:rsidR="00C06DA1">
          <w:rPr>
            <w:webHidden/>
          </w:rPr>
          <w:tab/>
        </w:r>
        <w:r>
          <w:rPr>
            <w:webHidden/>
          </w:rPr>
          <w:fldChar w:fldCharType="begin"/>
        </w:r>
        <w:r w:rsidR="00C06DA1">
          <w:rPr>
            <w:webHidden/>
          </w:rPr>
          <w:instrText xml:space="preserve"> PAGEREF _Toc370398440 \h </w:instrText>
        </w:r>
        <w:r>
          <w:rPr>
            <w:webHidden/>
          </w:rPr>
        </w:r>
        <w:r>
          <w:rPr>
            <w:webHidden/>
          </w:rPr>
          <w:fldChar w:fldCharType="separate"/>
        </w:r>
        <w:r w:rsidR="00CE3896">
          <w:rPr>
            <w:webHidden/>
          </w:rPr>
          <w:t>38</w:t>
        </w:r>
        <w:r>
          <w:rPr>
            <w:webHidden/>
          </w:rPr>
          <w:fldChar w:fldCharType="end"/>
        </w:r>
      </w:hyperlink>
    </w:p>
    <w:p w:rsidR="00C06DA1" w:rsidRDefault="001C18DA">
      <w:pPr>
        <w:pStyle w:val="Obsah2"/>
        <w:rPr>
          <w:sz w:val="22"/>
          <w:szCs w:val="22"/>
          <w:shd w:val="clear" w:color="auto" w:fill="auto"/>
          <w:lang w:eastAsia="cs-CZ"/>
        </w:rPr>
      </w:pPr>
      <w:hyperlink w:anchor="_Toc370398441" w:history="1">
        <w:r w:rsidR="00C06DA1" w:rsidRPr="00A25D8A">
          <w:rPr>
            <w:rStyle w:val="Hypertextovodkaz"/>
          </w:rPr>
          <w:t>Ekonomické hodnocení a analýza rizik posuzovaných variant</w:t>
        </w:r>
        <w:r w:rsidR="00C06DA1">
          <w:rPr>
            <w:webHidden/>
          </w:rPr>
          <w:tab/>
        </w:r>
        <w:r>
          <w:rPr>
            <w:webHidden/>
          </w:rPr>
          <w:fldChar w:fldCharType="begin"/>
        </w:r>
        <w:r w:rsidR="00C06DA1">
          <w:rPr>
            <w:webHidden/>
          </w:rPr>
          <w:instrText xml:space="preserve"> PAGEREF _Toc370398441 \h </w:instrText>
        </w:r>
        <w:r>
          <w:rPr>
            <w:webHidden/>
          </w:rPr>
        </w:r>
        <w:r>
          <w:rPr>
            <w:webHidden/>
          </w:rPr>
          <w:fldChar w:fldCharType="separate"/>
        </w:r>
        <w:r w:rsidR="00CE3896">
          <w:rPr>
            <w:webHidden/>
          </w:rPr>
          <w:t>43</w:t>
        </w:r>
        <w:r>
          <w:rPr>
            <w:webHidden/>
          </w:rPr>
          <w:fldChar w:fldCharType="end"/>
        </w:r>
      </w:hyperlink>
    </w:p>
    <w:p w:rsidR="00C06DA1" w:rsidRDefault="001C18DA">
      <w:pPr>
        <w:pStyle w:val="Obsah2"/>
        <w:rPr>
          <w:sz w:val="22"/>
          <w:szCs w:val="22"/>
          <w:shd w:val="clear" w:color="auto" w:fill="auto"/>
          <w:lang w:eastAsia="cs-CZ"/>
        </w:rPr>
      </w:pPr>
      <w:hyperlink w:anchor="_Toc370398442" w:history="1">
        <w:r w:rsidR="00C06DA1" w:rsidRPr="00A25D8A">
          <w:rPr>
            <w:rStyle w:val="Hypertextovodkaz"/>
            <w:rFonts w:cs="Calibri"/>
          </w:rPr>
          <w:t>Systém elektronického mýta</w:t>
        </w:r>
        <w:r w:rsidR="00C06DA1">
          <w:rPr>
            <w:webHidden/>
          </w:rPr>
          <w:tab/>
        </w:r>
        <w:r>
          <w:rPr>
            <w:webHidden/>
          </w:rPr>
          <w:fldChar w:fldCharType="begin"/>
        </w:r>
        <w:r w:rsidR="00C06DA1">
          <w:rPr>
            <w:webHidden/>
          </w:rPr>
          <w:instrText xml:space="preserve"> PAGEREF _Toc370398442 \h </w:instrText>
        </w:r>
        <w:r>
          <w:rPr>
            <w:webHidden/>
          </w:rPr>
        </w:r>
        <w:r>
          <w:rPr>
            <w:webHidden/>
          </w:rPr>
          <w:fldChar w:fldCharType="separate"/>
        </w:r>
        <w:r w:rsidR="00CE3896">
          <w:rPr>
            <w:webHidden/>
          </w:rPr>
          <w:t>45</w:t>
        </w:r>
        <w:r>
          <w:rPr>
            <w:webHidden/>
          </w:rPr>
          <w:fldChar w:fldCharType="end"/>
        </w:r>
      </w:hyperlink>
    </w:p>
    <w:p w:rsidR="00C06DA1" w:rsidRDefault="001C18DA">
      <w:pPr>
        <w:pStyle w:val="Obsah2"/>
        <w:rPr>
          <w:sz w:val="22"/>
          <w:szCs w:val="22"/>
          <w:shd w:val="clear" w:color="auto" w:fill="auto"/>
          <w:lang w:eastAsia="cs-CZ"/>
        </w:rPr>
      </w:pPr>
      <w:hyperlink w:anchor="_Toc370398443" w:history="1">
        <w:r w:rsidR="00C06DA1" w:rsidRPr="00A25D8A">
          <w:rPr>
            <w:rStyle w:val="Hypertextovodkaz"/>
          </w:rPr>
          <w:t>Evropská služba elektronického mýta v České republice</w:t>
        </w:r>
        <w:r w:rsidR="00C06DA1">
          <w:rPr>
            <w:webHidden/>
          </w:rPr>
          <w:tab/>
        </w:r>
        <w:r>
          <w:rPr>
            <w:webHidden/>
          </w:rPr>
          <w:fldChar w:fldCharType="begin"/>
        </w:r>
        <w:r w:rsidR="00C06DA1">
          <w:rPr>
            <w:webHidden/>
          </w:rPr>
          <w:instrText xml:space="preserve"> PAGEREF _Toc370398443 \h </w:instrText>
        </w:r>
        <w:r>
          <w:rPr>
            <w:webHidden/>
          </w:rPr>
        </w:r>
        <w:r>
          <w:rPr>
            <w:webHidden/>
          </w:rPr>
          <w:fldChar w:fldCharType="separate"/>
        </w:r>
        <w:r w:rsidR="00CE3896">
          <w:rPr>
            <w:webHidden/>
          </w:rPr>
          <w:t>45</w:t>
        </w:r>
        <w:r>
          <w:rPr>
            <w:webHidden/>
          </w:rPr>
          <w:fldChar w:fldCharType="end"/>
        </w:r>
      </w:hyperlink>
    </w:p>
    <w:p w:rsidR="00C06DA1" w:rsidRDefault="001C18DA">
      <w:pPr>
        <w:pStyle w:val="Obsah1"/>
        <w:rPr>
          <w:sz w:val="22"/>
          <w:szCs w:val="22"/>
          <w:shd w:val="clear" w:color="auto" w:fill="auto"/>
          <w:lang w:eastAsia="cs-CZ"/>
        </w:rPr>
      </w:pPr>
      <w:hyperlink w:anchor="_Toc370398444" w:history="1">
        <w:r w:rsidR="00C06DA1" w:rsidRPr="00A25D8A">
          <w:rPr>
            <w:rStyle w:val="Hypertextovodkaz"/>
          </w:rPr>
          <w:t>ČASOVÝ RÁMEC ROZVOJE VÝKONOVÉHO ZPOPLATNĚNÍ V ČR</w:t>
        </w:r>
        <w:r w:rsidR="00C06DA1">
          <w:rPr>
            <w:webHidden/>
          </w:rPr>
          <w:tab/>
        </w:r>
        <w:r>
          <w:rPr>
            <w:webHidden/>
          </w:rPr>
          <w:fldChar w:fldCharType="begin"/>
        </w:r>
        <w:r w:rsidR="00C06DA1">
          <w:rPr>
            <w:webHidden/>
          </w:rPr>
          <w:instrText xml:space="preserve"> PAGEREF _Toc370398444 \h </w:instrText>
        </w:r>
        <w:r>
          <w:rPr>
            <w:webHidden/>
          </w:rPr>
        </w:r>
        <w:r>
          <w:rPr>
            <w:webHidden/>
          </w:rPr>
          <w:fldChar w:fldCharType="separate"/>
        </w:r>
        <w:r w:rsidR="00CE3896">
          <w:rPr>
            <w:webHidden/>
          </w:rPr>
          <w:t>46</w:t>
        </w:r>
        <w:r>
          <w:rPr>
            <w:webHidden/>
          </w:rPr>
          <w:fldChar w:fldCharType="end"/>
        </w:r>
      </w:hyperlink>
    </w:p>
    <w:p w:rsidR="00C06DA1" w:rsidRDefault="001C18DA">
      <w:pPr>
        <w:pStyle w:val="Obsah1"/>
        <w:rPr>
          <w:sz w:val="22"/>
          <w:szCs w:val="22"/>
          <w:shd w:val="clear" w:color="auto" w:fill="auto"/>
          <w:lang w:eastAsia="cs-CZ"/>
        </w:rPr>
      </w:pPr>
      <w:hyperlink w:anchor="_Toc370398445" w:history="1">
        <w:r w:rsidR="00C06DA1" w:rsidRPr="00A25D8A">
          <w:rPr>
            <w:rStyle w:val="Hypertextovodkaz"/>
          </w:rPr>
          <w:t>PRÁVNÍ ASPEKTY</w:t>
        </w:r>
        <w:r w:rsidR="00C06DA1">
          <w:rPr>
            <w:webHidden/>
          </w:rPr>
          <w:tab/>
        </w:r>
        <w:r>
          <w:rPr>
            <w:webHidden/>
          </w:rPr>
          <w:fldChar w:fldCharType="begin"/>
        </w:r>
        <w:r w:rsidR="00C06DA1">
          <w:rPr>
            <w:webHidden/>
          </w:rPr>
          <w:instrText xml:space="preserve"> PAGEREF _Toc370398445 \h </w:instrText>
        </w:r>
        <w:r>
          <w:rPr>
            <w:webHidden/>
          </w:rPr>
        </w:r>
        <w:r>
          <w:rPr>
            <w:webHidden/>
          </w:rPr>
          <w:fldChar w:fldCharType="separate"/>
        </w:r>
        <w:r w:rsidR="00CE3896">
          <w:rPr>
            <w:webHidden/>
          </w:rPr>
          <w:t>49</w:t>
        </w:r>
        <w:r>
          <w:rPr>
            <w:webHidden/>
          </w:rPr>
          <w:fldChar w:fldCharType="end"/>
        </w:r>
      </w:hyperlink>
    </w:p>
    <w:p w:rsidR="00C06DA1" w:rsidRDefault="001C18DA">
      <w:pPr>
        <w:pStyle w:val="Obsah2"/>
        <w:rPr>
          <w:sz w:val="22"/>
          <w:szCs w:val="22"/>
          <w:shd w:val="clear" w:color="auto" w:fill="auto"/>
          <w:lang w:eastAsia="cs-CZ"/>
        </w:rPr>
      </w:pPr>
      <w:hyperlink w:anchor="_Toc370398446" w:history="1">
        <w:r w:rsidR="00C06DA1" w:rsidRPr="00A25D8A">
          <w:rPr>
            <w:rStyle w:val="Hypertextovodkaz"/>
          </w:rPr>
          <w:t>Standardní zadávací řízení na provoz stávajícího SEM pro další stanovené období</w:t>
        </w:r>
        <w:r w:rsidR="00C06DA1">
          <w:rPr>
            <w:webHidden/>
          </w:rPr>
          <w:tab/>
        </w:r>
        <w:r>
          <w:rPr>
            <w:webHidden/>
          </w:rPr>
          <w:fldChar w:fldCharType="begin"/>
        </w:r>
        <w:r w:rsidR="00C06DA1">
          <w:rPr>
            <w:webHidden/>
          </w:rPr>
          <w:instrText xml:space="preserve"> PAGEREF _Toc370398446 \h </w:instrText>
        </w:r>
        <w:r>
          <w:rPr>
            <w:webHidden/>
          </w:rPr>
        </w:r>
        <w:r>
          <w:rPr>
            <w:webHidden/>
          </w:rPr>
          <w:fldChar w:fldCharType="separate"/>
        </w:r>
        <w:r w:rsidR="00CE3896">
          <w:rPr>
            <w:webHidden/>
          </w:rPr>
          <w:t>50</w:t>
        </w:r>
        <w:r>
          <w:rPr>
            <w:webHidden/>
          </w:rPr>
          <w:fldChar w:fldCharType="end"/>
        </w:r>
      </w:hyperlink>
    </w:p>
    <w:p w:rsidR="00C06DA1" w:rsidRDefault="001C18DA">
      <w:pPr>
        <w:pStyle w:val="Obsah2"/>
        <w:rPr>
          <w:sz w:val="22"/>
          <w:szCs w:val="22"/>
          <w:shd w:val="clear" w:color="auto" w:fill="auto"/>
          <w:lang w:eastAsia="cs-CZ"/>
        </w:rPr>
      </w:pPr>
      <w:hyperlink w:anchor="_Toc370398447" w:history="1">
        <w:r w:rsidR="00C06DA1" w:rsidRPr="00A25D8A">
          <w:rPr>
            <w:rStyle w:val="Hypertextovodkaz"/>
          </w:rPr>
          <w:t>Standardní zadávací řízení na dodávku zcela nového SEM a jeho následný provoz po stanovené období</w:t>
        </w:r>
        <w:r w:rsidR="00C06DA1">
          <w:rPr>
            <w:webHidden/>
          </w:rPr>
          <w:tab/>
        </w:r>
        <w:r>
          <w:rPr>
            <w:webHidden/>
          </w:rPr>
          <w:fldChar w:fldCharType="begin"/>
        </w:r>
        <w:r w:rsidR="00C06DA1">
          <w:rPr>
            <w:webHidden/>
          </w:rPr>
          <w:instrText xml:space="preserve"> PAGEREF _Toc370398447 \h </w:instrText>
        </w:r>
        <w:r>
          <w:rPr>
            <w:webHidden/>
          </w:rPr>
        </w:r>
        <w:r>
          <w:rPr>
            <w:webHidden/>
          </w:rPr>
          <w:fldChar w:fldCharType="separate"/>
        </w:r>
        <w:r w:rsidR="00CE3896">
          <w:rPr>
            <w:webHidden/>
          </w:rPr>
          <w:t>51</w:t>
        </w:r>
        <w:r>
          <w:rPr>
            <w:webHidden/>
          </w:rPr>
          <w:fldChar w:fldCharType="end"/>
        </w:r>
      </w:hyperlink>
    </w:p>
    <w:p w:rsidR="00C06DA1" w:rsidRDefault="001C18DA">
      <w:pPr>
        <w:pStyle w:val="Obsah2"/>
        <w:rPr>
          <w:sz w:val="22"/>
          <w:szCs w:val="22"/>
          <w:shd w:val="clear" w:color="auto" w:fill="auto"/>
          <w:lang w:eastAsia="cs-CZ"/>
        </w:rPr>
      </w:pPr>
      <w:hyperlink w:anchor="_Toc370398448" w:history="1">
        <w:r w:rsidR="00C06DA1" w:rsidRPr="00A25D8A">
          <w:rPr>
            <w:rStyle w:val="Hypertextovodkaz"/>
          </w:rPr>
          <w:t>Standardní zadávací řízení, v němž bude umožněno dodavatelům navrhnout jak dodávku zcela nového SEM, tak i použití celého nebo části stávajícího SEM pro další výběr mýtného</w:t>
        </w:r>
        <w:r w:rsidR="00C06DA1">
          <w:rPr>
            <w:webHidden/>
          </w:rPr>
          <w:tab/>
        </w:r>
        <w:r>
          <w:rPr>
            <w:webHidden/>
          </w:rPr>
          <w:fldChar w:fldCharType="begin"/>
        </w:r>
        <w:r w:rsidR="00C06DA1">
          <w:rPr>
            <w:webHidden/>
          </w:rPr>
          <w:instrText xml:space="preserve"> PAGEREF _Toc370398448 \h </w:instrText>
        </w:r>
        <w:r>
          <w:rPr>
            <w:webHidden/>
          </w:rPr>
        </w:r>
        <w:r>
          <w:rPr>
            <w:webHidden/>
          </w:rPr>
          <w:fldChar w:fldCharType="separate"/>
        </w:r>
        <w:r w:rsidR="00CE3896">
          <w:rPr>
            <w:webHidden/>
          </w:rPr>
          <w:t>52</w:t>
        </w:r>
        <w:r>
          <w:rPr>
            <w:webHidden/>
          </w:rPr>
          <w:fldChar w:fldCharType="end"/>
        </w:r>
      </w:hyperlink>
    </w:p>
    <w:p w:rsidR="00C06DA1" w:rsidRDefault="001C18DA">
      <w:pPr>
        <w:pStyle w:val="Obsah2"/>
        <w:rPr>
          <w:sz w:val="22"/>
          <w:szCs w:val="22"/>
          <w:shd w:val="clear" w:color="auto" w:fill="auto"/>
          <w:lang w:eastAsia="cs-CZ"/>
        </w:rPr>
      </w:pPr>
      <w:hyperlink w:anchor="_Toc370398449" w:history="1">
        <w:r w:rsidR="00C06DA1" w:rsidRPr="00A25D8A">
          <w:rPr>
            <w:rStyle w:val="Hypertextovodkaz"/>
          </w:rPr>
          <w:t>Jednací řízení bez uveřejnění (JŘBU) se stávajícím poskytovatelem služeb souvisejících s provozem SEM</w:t>
        </w:r>
        <w:r w:rsidR="00C06DA1">
          <w:rPr>
            <w:webHidden/>
          </w:rPr>
          <w:tab/>
        </w:r>
        <w:r>
          <w:rPr>
            <w:webHidden/>
          </w:rPr>
          <w:fldChar w:fldCharType="begin"/>
        </w:r>
        <w:r w:rsidR="00C06DA1">
          <w:rPr>
            <w:webHidden/>
          </w:rPr>
          <w:instrText xml:space="preserve"> PAGEREF _Toc370398449 \h </w:instrText>
        </w:r>
        <w:r>
          <w:rPr>
            <w:webHidden/>
          </w:rPr>
        </w:r>
        <w:r>
          <w:rPr>
            <w:webHidden/>
          </w:rPr>
          <w:fldChar w:fldCharType="separate"/>
        </w:r>
        <w:r w:rsidR="00CE3896">
          <w:rPr>
            <w:webHidden/>
          </w:rPr>
          <w:t>53</w:t>
        </w:r>
        <w:r>
          <w:rPr>
            <w:webHidden/>
          </w:rPr>
          <w:fldChar w:fldCharType="end"/>
        </w:r>
      </w:hyperlink>
    </w:p>
    <w:p w:rsidR="00C06DA1" w:rsidRDefault="001C18DA">
      <w:pPr>
        <w:pStyle w:val="Obsah1"/>
        <w:rPr>
          <w:sz w:val="22"/>
          <w:szCs w:val="22"/>
          <w:shd w:val="clear" w:color="auto" w:fill="auto"/>
          <w:lang w:eastAsia="cs-CZ"/>
        </w:rPr>
      </w:pPr>
      <w:hyperlink w:anchor="_Toc370398450" w:history="1">
        <w:r w:rsidR="00C06DA1" w:rsidRPr="00A25D8A">
          <w:rPr>
            <w:rStyle w:val="Hypertextovodkaz"/>
          </w:rPr>
          <w:t>ZVÝŠENÍ EFEKTIVITY SYSTÉMU ELEKTRONICKÉHO MÝTA, ÚSPORY A NEDOPLATKY</w:t>
        </w:r>
        <w:r w:rsidR="00C06DA1">
          <w:rPr>
            <w:webHidden/>
          </w:rPr>
          <w:tab/>
        </w:r>
        <w:r>
          <w:rPr>
            <w:webHidden/>
          </w:rPr>
          <w:fldChar w:fldCharType="begin"/>
        </w:r>
        <w:r w:rsidR="00C06DA1">
          <w:rPr>
            <w:webHidden/>
          </w:rPr>
          <w:instrText xml:space="preserve"> PAGEREF _Toc370398450 \h </w:instrText>
        </w:r>
        <w:r>
          <w:rPr>
            <w:webHidden/>
          </w:rPr>
        </w:r>
        <w:r>
          <w:rPr>
            <w:webHidden/>
          </w:rPr>
          <w:fldChar w:fldCharType="separate"/>
        </w:r>
        <w:r w:rsidR="00CE3896">
          <w:rPr>
            <w:webHidden/>
          </w:rPr>
          <w:t>54</w:t>
        </w:r>
        <w:r>
          <w:rPr>
            <w:webHidden/>
          </w:rPr>
          <w:fldChar w:fldCharType="end"/>
        </w:r>
      </w:hyperlink>
    </w:p>
    <w:p w:rsidR="00C06DA1" w:rsidRDefault="001C18DA">
      <w:pPr>
        <w:pStyle w:val="Obsah2"/>
        <w:rPr>
          <w:sz w:val="22"/>
          <w:szCs w:val="22"/>
          <w:shd w:val="clear" w:color="auto" w:fill="auto"/>
          <w:lang w:eastAsia="cs-CZ"/>
        </w:rPr>
      </w:pPr>
      <w:hyperlink w:anchor="_Toc370398451" w:history="1">
        <w:r w:rsidR="00C06DA1" w:rsidRPr="00A25D8A">
          <w:rPr>
            <w:rStyle w:val="Hypertextovodkaz"/>
          </w:rPr>
          <w:t>Zvýšení efektivity Systému elektronického mýta</w:t>
        </w:r>
        <w:r w:rsidR="00C06DA1">
          <w:rPr>
            <w:webHidden/>
          </w:rPr>
          <w:tab/>
        </w:r>
        <w:r>
          <w:rPr>
            <w:webHidden/>
          </w:rPr>
          <w:fldChar w:fldCharType="begin"/>
        </w:r>
        <w:r w:rsidR="00C06DA1">
          <w:rPr>
            <w:webHidden/>
          </w:rPr>
          <w:instrText xml:space="preserve"> PAGEREF _Toc370398451 \h </w:instrText>
        </w:r>
        <w:r>
          <w:rPr>
            <w:webHidden/>
          </w:rPr>
        </w:r>
        <w:r>
          <w:rPr>
            <w:webHidden/>
          </w:rPr>
          <w:fldChar w:fldCharType="separate"/>
        </w:r>
        <w:r w:rsidR="00CE3896">
          <w:rPr>
            <w:webHidden/>
          </w:rPr>
          <w:t>54</w:t>
        </w:r>
        <w:r>
          <w:rPr>
            <w:webHidden/>
          </w:rPr>
          <w:fldChar w:fldCharType="end"/>
        </w:r>
      </w:hyperlink>
    </w:p>
    <w:p w:rsidR="00C06DA1" w:rsidRDefault="001C18DA">
      <w:pPr>
        <w:pStyle w:val="Obsah2"/>
        <w:rPr>
          <w:sz w:val="22"/>
          <w:szCs w:val="22"/>
          <w:shd w:val="clear" w:color="auto" w:fill="auto"/>
          <w:lang w:eastAsia="cs-CZ"/>
        </w:rPr>
      </w:pPr>
      <w:hyperlink w:anchor="_Toc370398452" w:history="1">
        <w:r w:rsidR="00C06DA1" w:rsidRPr="00A25D8A">
          <w:rPr>
            <w:rStyle w:val="Hypertextovodkaz"/>
          </w:rPr>
          <w:t>Úspory v systému elektornického mýta</w:t>
        </w:r>
        <w:r w:rsidR="00C06DA1">
          <w:rPr>
            <w:webHidden/>
          </w:rPr>
          <w:tab/>
        </w:r>
        <w:r>
          <w:rPr>
            <w:webHidden/>
          </w:rPr>
          <w:fldChar w:fldCharType="begin"/>
        </w:r>
        <w:r w:rsidR="00C06DA1">
          <w:rPr>
            <w:webHidden/>
          </w:rPr>
          <w:instrText xml:space="preserve"> PAGEREF _Toc370398452 \h </w:instrText>
        </w:r>
        <w:r>
          <w:rPr>
            <w:webHidden/>
          </w:rPr>
        </w:r>
        <w:r>
          <w:rPr>
            <w:webHidden/>
          </w:rPr>
          <w:fldChar w:fldCharType="separate"/>
        </w:r>
        <w:r w:rsidR="00CE3896">
          <w:rPr>
            <w:webHidden/>
          </w:rPr>
          <w:t>54</w:t>
        </w:r>
        <w:r>
          <w:rPr>
            <w:webHidden/>
          </w:rPr>
          <w:fldChar w:fldCharType="end"/>
        </w:r>
      </w:hyperlink>
    </w:p>
    <w:p w:rsidR="00C06DA1" w:rsidRDefault="001C18DA">
      <w:pPr>
        <w:pStyle w:val="Obsah3"/>
        <w:rPr>
          <w:noProof/>
          <w:sz w:val="22"/>
          <w:szCs w:val="22"/>
          <w:lang w:val="cs-CZ" w:eastAsia="cs-CZ"/>
        </w:rPr>
      </w:pPr>
      <w:hyperlink w:anchor="_Toc370398453" w:history="1">
        <w:r w:rsidR="00C06DA1" w:rsidRPr="00A25D8A">
          <w:rPr>
            <w:rStyle w:val="Hypertextovodkaz"/>
            <w:noProof/>
            <w:lang w:val="cs-CZ"/>
          </w:rPr>
          <w:t>Propadnutí kaucí u palubních jednotek</w:t>
        </w:r>
        <w:r w:rsidR="00C06DA1">
          <w:rPr>
            <w:noProof/>
            <w:webHidden/>
          </w:rPr>
          <w:tab/>
        </w:r>
        <w:r>
          <w:rPr>
            <w:noProof/>
            <w:webHidden/>
          </w:rPr>
          <w:fldChar w:fldCharType="begin"/>
        </w:r>
        <w:r w:rsidR="00C06DA1">
          <w:rPr>
            <w:noProof/>
            <w:webHidden/>
          </w:rPr>
          <w:instrText xml:space="preserve"> PAGEREF _Toc370398453 \h </w:instrText>
        </w:r>
        <w:r>
          <w:rPr>
            <w:noProof/>
            <w:webHidden/>
          </w:rPr>
        </w:r>
        <w:r>
          <w:rPr>
            <w:noProof/>
            <w:webHidden/>
          </w:rPr>
          <w:fldChar w:fldCharType="separate"/>
        </w:r>
        <w:r w:rsidR="00CE3896">
          <w:rPr>
            <w:noProof/>
            <w:webHidden/>
          </w:rPr>
          <w:t>55</w:t>
        </w:r>
        <w:r>
          <w:rPr>
            <w:noProof/>
            <w:webHidden/>
          </w:rPr>
          <w:fldChar w:fldCharType="end"/>
        </w:r>
      </w:hyperlink>
    </w:p>
    <w:p w:rsidR="00C06DA1" w:rsidRDefault="001C18DA">
      <w:pPr>
        <w:pStyle w:val="Obsah3"/>
        <w:rPr>
          <w:noProof/>
          <w:sz w:val="22"/>
          <w:szCs w:val="22"/>
          <w:lang w:val="cs-CZ" w:eastAsia="cs-CZ"/>
        </w:rPr>
      </w:pPr>
      <w:hyperlink w:anchor="_Toc370398454" w:history="1">
        <w:r w:rsidR="00C06DA1" w:rsidRPr="00A25D8A">
          <w:rPr>
            <w:rStyle w:val="Hypertextovodkaz"/>
            <w:noProof/>
            <w:lang w:val="cs-CZ"/>
          </w:rPr>
          <w:t>Nižší slevy z mýtného</w:t>
        </w:r>
        <w:r w:rsidR="00C06DA1">
          <w:rPr>
            <w:noProof/>
            <w:webHidden/>
          </w:rPr>
          <w:tab/>
        </w:r>
        <w:r>
          <w:rPr>
            <w:noProof/>
            <w:webHidden/>
          </w:rPr>
          <w:fldChar w:fldCharType="begin"/>
        </w:r>
        <w:r w:rsidR="00C06DA1">
          <w:rPr>
            <w:noProof/>
            <w:webHidden/>
          </w:rPr>
          <w:instrText xml:space="preserve"> PAGEREF _Toc370398454 \h </w:instrText>
        </w:r>
        <w:r>
          <w:rPr>
            <w:noProof/>
            <w:webHidden/>
          </w:rPr>
        </w:r>
        <w:r>
          <w:rPr>
            <w:noProof/>
            <w:webHidden/>
          </w:rPr>
          <w:fldChar w:fldCharType="separate"/>
        </w:r>
        <w:r w:rsidR="00CE3896">
          <w:rPr>
            <w:noProof/>
            <w:webHidden/>
          </w:rPr>
          <w:t>55</w:t>
        </w:r>
        <w:r>
          <w:rPr>
            <w:noProof/>
            <w:webHidden/>
          </w:rPr>
          <w:fldChar w:fldCharType="end"/>
        </w:r>
      </w:hyperlink>
    </w:p>
    <w:p w:rsidR="00C06DA1" w:rsidRDefault="001C18DA">
      <w:pPr>
        <w:pStyle w:val="Obsah3"/>
        <w:rPr>
          <w:noProof/>
          <w:sz w:val="22"/>
          <w:szCs w:val="22"/>
          <w:lang w:val="cs-CZ" w:eastAsia="cs-CZ"/>
        </w:rPr>
      </w:pPr>
      <w:hyperlink w:anchor="_Toc370398455" w:history="1">
        <w:r w:rsidR="00C06DA1" w:rsidRPr="00A25D8A">
          <w:rPr>
            <w:rStyle w:val="Hypertextovodkaz"/>
            <w:noProof/>
            <w:lang w:val="cs-CZ"/>
          </w:rPr>
          <w:t>Propadnutí kreditu u palubních jednotek</w:t>
        </w:r>
        <w:r w:rsidR="00C06DA1">
          <w:rPr>
            <w:noProof/>
            <w:webHidden/>
          </w:rPr>
          <w:tab/>
        </w:r>
        <w:r>
          <w:rPr>
            <w:noProof/>
            <w:webHidden/>
          </w:rPr>
          <w:fldChar w:fldCharType="begin"/>
        </w:r>
        <w:r w:rsidR="00C06DA1">
          <w:rPr>
            <w:noProof/>
            <w:webHidden/>
          </w:rPr>
          <w:instrText xml:space="preserve"> PAGEREF _Toc370398455 \h </w:instrText>
        </w:r>
        <w:r>
          <w:rPr>
            <w:noProof/>
            <w:webHidden/>
          </w:rPr>
        </w:r>
        <w:r>
          <w:rPr>
            <w:noProof/>
            <w:webHidden/>
          </w:rPr>
          <w:fldChar w:fldCharType="separate"/>
        </w:r>
        <w:r w:rsidR="00CE3896">
          <w:rPr>
            <w:noProof/>
            <w:webHidden/>
          </w:rPr>
          <w:t>56</w:t>
        </w:r>
        <w:r>
          <w:rPr>
            <w:noProof/>
            <w:webHidden/>
          </w:rPr>
          <w:fldChar w:fldCharType="end"/>
        </w:r>
      </w:hyperlink>
    </w:p>
    <w:p w:rsidR="00C06DA1" w:rsidRDefault="001C18DA">
      <w:pPr>
        <w:pStyle w:val="Obsah3"/>
        <w:rPr>
          <w:noProof/>
          <w:sz w:val="22"/>
          <w:szCs w:val="22"/>
          <w:lang w:val="cs-CZ" w:eastAsia="cs-CZ"/>
        </w:rPr>
      </w:pPr>
      <w:hyperlink w:anchor="_Toc370398456" w:history="1">
        <w:r w:rsidR="00C06DA1" w:rsidRPr="00A25D8A">
          <w:rPr>
            <w:rStyle w:val="Hypertextovodkaz"/>
            <w:noProof/>
            <w:lang w:val="cs-CZ"/>
          </w:rPr>
          <w:t>Návrh možných řešení</w:t>
        </w:r>
        <w:r w:rsidR="00C06DA1">
          <w:rPr>
            <w:noProof/>
            <w:webHidden/>
          </w:rPr>
          <w:tab/>
        </w:r>
        <w:r>
          <w:rPr>
            <w:noProof/>
            <w:webHidden/>
          </w:rPr>
          <w:fldChar w:fldCharType="begin"/>
        </w:r>
        <w:r w:rsidR="00C06DA1">
          <w:rPr>
            <w:noProof/>
            <w:webHidden/>
          </w:rPr>
          <w:instrText xml:space="preserve"> PAGEREF _Toc370398456 \h </w:instrText>
        </w:r>
        <w:r>
          <w:rPr>
            <w:noProof/>
            <w:webHidden/>
          </w:rPr>
        </w:r>
        <w:r>
          <w:rPr>
            <w:noProof/>
            <w:webHidden/>
          </w:rPr>
          <w:fldChar w:fldCharType="separate"/>
        </w:r>
        <w:r w:rsidR="00CE3896">
          <w:rPr>
            <w:noProof/>
            <w:webHidden/>
          </w:rPr>
          <w:t>56</w:t>
        </w:r>
        <w:r>
          <w:rPr>
            <w:noProof/>
            <w:webHidden/>
          </w:rPr>
          <w:fldChar w:fldCharType="end"/>
        </w:r>
      </w:hyperlink>
    </w:p>
    <w:p w:rsidR="00C06DA1" w:rsidRDefault="001C18DA">
      <w:pPr>
        <w:pStyle w:val="Obsah3"/>
        <w:rPr>
          <w:noProof/>
          <w:sz w:val="22"/>
          <w:szCs w:val="22"/>
          <w:lang w:val="cs-CZ" w:eastAsia="cs-CZ"/>
        </w:rPr>
      </w:pPr>
      <w:hyperlink w:anchor="_Toc370398457" w:history="1">
        <w:r w:rsidR="00C06DA1" w:rsidRPr="00A25D8A">
          <w:rPr>
            <w:rStyle w:val="Hypertextovodkaz"/>
            <w:noProof/>
            <w:lang w:val="cs-CZ"/>
          </w:rPr>
          <w:t>Správa nižšího počtu palubních jednotek</w:t>
        </w:r>
        <w:r w:rsidR="00C06DA1">
          <w:rPr>
            <w:noProof/>
            <w:webHidden/>
          </w:rPr>
          <w:tab/>
        </w:r>
        <w:r>
          <w:rPr>
            <w:noProof/>
            <w:webHidden/>
          </w:rPr>
          <w:fldChar w:fldCharType="begin"/>
        </w:r>
        <w:r w:rsidR="00C06DA1">
          <w:rPr>
            <w:noProof/>
            <w:webHidden/>
          </w:rPr>
          <w:instrText xml:space="preserve"> PAGEREF _Toc370398457 \h </w:instrText>
        </w:r>
        <w:r>
          <w:rPr>
            <w:noProof/>
            <w:webHidden/>
          </w:rPr>
        </w:r>
        <w:r>
          <w:rPr>
            <w:noProof/>
            <w:webHidden/>
          </w:rPr>
          <w:fldChar w:fldCharType="separate"/>
        </w:r>
        <w:r w:rsidR="00CE3896">
          <w:rPr>
            <w:noProof/>
            <w:webHidden/>
          </w:rPr>
          <w:t>57</w:t>
        </w:r>
        <w:r>
          <w:rPr>
            <w:noProof/>
            <w:webHidden/>
          </w:rPr>
          <w:fldChar w:fldCharType="end"/>
        </w:r>
      </w:hyperlink>
    </w:p>
    <w:p w:rsidR="00C06DA1" w:rsidRDefault="001C18DA">
      <w:pPr>
        <w:pStyle w:val="Obsah3"/>
        <w:rPr>
          <w:noProof/>
          <w:sz w:val="22"/>
          <w:szCs w:val="22"/>
          <w:lang w:val="cs-CZ" w:eastAsia="cs-CZ"/>
        </w:rPr>
      </w:pPr>
      <w:hyperlink w:anchor="_Toc370398458" w:history="1">
        <w:r w:rsidR="00C06DA1" w:rsidRPr="00A25D8A">
          <w:rPr>
            <w:rStyle w:val="Hypertextovodkaz"/>
            <w:noProof/>
            <w:lang w:val="cs-CZ"/>
          </w:rPr>
          <w:t>Optimalizace sítě Distribučních míst</w:t>
        </w:r>
        <w:r w:rsidR="00C06DA1">
          <w:rPr>
            <w:noProof/>
            <w:webHidden/>
          </w:rPr>
          <w:tab/>
        </w:r>
        <w:r>
          <w:rPr>
            <w:noProof/>
            <w:webHidden/>
          </w:rPr>
          <w:fldChar w:fldCharType="begin"/>
        </w:r>
        <w:r w:rsidR="00C06DA1">
          <w:rPr>
            <w:noProof/>
            <w:webHidden/>
          </w:rPr>
          <w:instrText xml:space="preserve"> PAGEREF _Toc370398458 \h </w:instrText>
        </w:r>
        <w:r>
          <w:rPr>
            <w:noProof/>
            <w:webHidden/>
          </w:rPr>
        </w:r>
        <w:r>
          <w:rPr>
            <w:noProof/>
            <w:webHidden/>
          </w:rPr>
          <w:fldChar w:fldCharType="separate"/>
        </w:r>
        <w:r w:rsidR="00CE3896">
          <w:rPr>
            <w:noProof/>
            <w:webHidden/>
          </w:rPr>
          <w:t>57</w:t>
        </w:r>
        <w:r>
          <w:rPr>
            <w:noProof/>
            <w:webHidden/>
          </w:rPr>
          <w:fldChar w:fldCharType="end"/>
        </w:r>
      </w:hyperlink>
    </w:p>
    <w:p w:rsidR="00C06DA1" w:rsidRDefault="001C18DA">
      <w:pPr>
        <w:pStyle w:val="Obsah3"/>
        <w:rPr>
          <w:noProof/>
          <w:sz w:val="22"/>
          <w:szCs w:val="22"/>
          <w:lang w:val="cs-CZ" w:eastAsia="cs-CZ"/>
        </w:rPr>
      </w:pPr>
      <w:hyperlink w:anchor="_Toc370398459" w:history="1">
        <w:r w:rsidR="00C06DA1" w:rsidRPr="00A25D8A">
          <w:rPr>
            <w:rStyle w:val="Hypertextovodkaz"/>
            <w:noProof/>
            <w:lang w:val="cs-CZ"/>
          </w:rPr>
          <w:t>Optimalizace mobilní kontroly</w:t>
        </w:r>
        <w:r w:rsidR="00C06DA1">
          <w:rPr>
            <w:noProof/>
            <w:webHidden/>
          </w:rPr>
          <w:tab/>
        </w:r>
        <w:r>
          <w:rPr>
            <w:noProof/>
            <w:webHidden/>
          </w:rPr>
          <w:fldChar w:fldCharType="begin"/>
        </w:r>
        <w:r w:rsidR="00C06DA1">
          <w:rPr>
            <w:noProof/>
            <w:webHidden/>
          </w:rPr>
          <w:instrText xml:space="preserve"> PAGEREF _Toc370398459 \h </w:instrText>
        </w:r>
        <w:r>
          <w:rPr>
            <w:noProof/>
            <w:webHidden/>
          </w:rPr>
        </w:r>
        <w:r>
          <w:rPr>
            <w:noProof/>
            <w:webHidden/>
          </w:rPr>
          <w:fldChar w:fldCharType="separate"/>
        </w:r>
        <w:r w:rsidR="00CE3896">
          <w:rPr>
            <w:noProof/>
            <w:webHidden/>
          </w:rPr>
          <w:t>58</w:t>
        </w:r>
        <w:r>
          <w:rPr>
            <w:noProof/>
            <w:webHidden/>
          </w:rPr>
          <w:fldChar w:fldCharType="end"/>
        </w:r>
      </w:hyperlink>
    </w:p>
    <w:p w:rsidR="00C06DA1" w:rsidRDefault="001C18DA">
      <w:pPr>
        <w:pStyle w:val="Obsah2"/>
        <w:rPr>
          <w:sz w:val="22"/>
          <w:szCs w:val="22"/>
          <w:shd w:val="clear" w:color="auto" w:fill="auto"/>
          <w:lang w:eastAsia="cs-CZ"/>
        </w:rPr>
      </w:pPr>
      <w:hyperlink w:anchor="_Toc370398460" w:history="1">
        <w:r w:rsidR="00C06DA1" w:rsidRPr="00A25D8A">
          <w:rPr>
            <w:rStyle w:val="Hypertextovodkaz"/>
          </w:rPr>
          <w:t>Nedoplatky</w:t>
        </w:r>
        <w:r w:rsidR="00C06DA1">
          <w:rPr>
            <w:webHidden/>
          </w:rPr>
          <w:tab/>
        </w:r>
        <w:r>
          <w:rPr>
            <w:webHidden/>
          </w:rPr>
          <w:fldChar w:fldCharType="begin"/>
        </w:r>
        <w:r w:rsidR="00C06DA1">
          <w:rPr>
            <w:webHidden/>
          </w:rPr>
          <w:instrText xml:space="preserve"> PAGEREF _Toc370398460 \h </w:instrText>
        </w:r>
        <w:r>
          <w:rPr>
            <w:webHidden/>
          </w:rPr>
        </w:r>
        <w:r>
          <w:rPr>
            <w:webHidden/>
          </w:rPr>
          <w:fldChar w:fldCharType="separate"/>
        </w:r>
        <w:r w:rsidR="00CE3896">
          <w:rPr>
            <w:webHidden/>
          </w:rPr>
          <w:t>59</w:t>
        </w:r>
        <w:r>
          <w:rPr>
            <w:webHidden/>
          </w:rPr>
          <w:fldChar w:fldCharType="end"/>
        </w:r>
      </w:hyperlink>
    </w:p>
    <w:p w:rsidR="00C06DA1" w:rsidRDefault="001C18DA">
      <w:pPr>
        <w:pStyle w:val="Obsah1"/>
        <w:rPr>
          <w:sz w:val="22"/>
          <w:szCs w:val="22"/>
          <w:shd w:val="clear" w:color="auto" w:fill="auto"/>
          <w:lang w:eastAsia="cs-CZ"/>
        </w:rPr>
      </w:pPr>
      <w:hyperlink w:anchor="_Toc370398461" w:history="1">
        <w:r w:rsidR="00C06DA1" w:rsidRPr="00A25D8A">
          <w:rPr>
            <w:rStyle w:val="Hypertextovodkaz"/>
          </w:rPr>
          <w:t>REALIZACE POSUZOVANÝCH VARIANT</w:t>
        </w:r>
        <w:r w:rsidR="00C06DA1">
          <w:rPr>
            <w:webHidden/>
          </w:rPr>
          <w:tab/>
        </w:r>
        <w:r>
          <w:rPr>
            <w:webHidden/>
          </w:rPr>
          <w:fldChar w:fldCharType="begin"/>
        </w:r>
        <w:r w:rsidR="00C06DA1">
          <w:rPr>
            <w:webHidden/>
          </w:rPr>
          <w:instrText xml:space="preserve"> PAGEREF _Toc370398461 \h </w:instrText>
        </w:r>
        <w:r>
          <w:rPr>
            <w:webHidden/>
          </w:rPr>
        </w:r>
        <w:r>
          <w:rPr>
            <w:webHidden/>
          </w:rPr>
          <w:fldChar w:fldCharType="separate"/>
        </w:r>
        <w:r w:rsidR="00CE3896">
          <w:rPr>
            <w:webHidden/>
          </w:rPr>
          <w:t>61</w:t>
        </w:r>
        <w:r>
          <w:rPr>
            <w:webHidden/>
          </w:rPr>
          <w:fldChar w:fldCharType="end"/>
        </w:r>
      </w:hyperlink>
    </w:p>
    <w:p w:rsidR="00C06DA1" w:rsidRDefault="001C18DA">
      <w:pPr>
        <w:pStyle w:val="Obsah2"/>
        <w:rPr>
          <w:sz w:val="22"/>
          <w:szCs w:val="22"/>
          <w:shd w:val="clear" w:color="auto" w:fill="auto"/>
          <w:lang w:eastAsia="cs-CZ"/>
        </w:rPr>
      </w:pPr>
      <w:hyperlink w:anchor="_Toc370398462" w:history="1">
        <w:r w:rsidR="00C06DA1" w:rsidRPr="00A25D8A">
          <w:rPr>
            <w:rStyle w:val="Hypertextovodkaz"/>
          </w:rPr>
          <w:t>Postup realizace varianty 0</w:t>
        </w:r>
        <w:r w:rsidR="00C06DA1">
          <w:rPr>
            <w:webHidden/>
          </w:rPr>
          <w:tab/>
        </w:r>
        <w:r>
          <w:rPr>
            <w:webHidden/>
          </w:rPr>
          <w:fldChar w:fldCharType="begin"/>
        </w:r>
        <w:r w:rsidR="00C06DA1">
          <w:rPr>
            <w:webHidden/>
          </w:rPr>
          <w:instrText xml:space="preserve"> PAGEREF _Toc370398462 \h </w:instrText>
        </w:r>
        <w:r>
          <w:rPr>
            <w:webHidden/>
          </w:rPr>
        </w:r>
        <w:r>
          <w:rPr>
            <w:webHidden/>
          </w:rPr>
          <w:fldChar w:fldCharType="separate"/>
        </w:r>
        <w:r w:rsidR="00CE3896">
          <w:rPr>
            <w:webHidden/>
          </w:rPr>
          <w:t>61</w:t>
        </w:r>
        <w:r>
          <w:rPr>
            <w:webHidden/>
          </w:rPr>
          <w:fldChar w:fldCharType="end"/>
        </w:r>
      </w:hyperlink>
    </w:p>
    <w:p w:rsidR="00C06DA1" w:rsidRDefault="001C18DA">
      <w:pPr>
        <w:pStyle w:val="Obsah2"/>
        <w:rPr>
          <w:sz w:val="22"/>
          <w:szCs w:val="22"/>
          <w:shd w:val="clear" w:color="auto" w:fill="auto"/>
          <w:lang w:eastAsia="cs-CZ"/>
        </w:rPr>
      </w:pPr>
      <w:hyperlink w:anchor="_Toc370398463" w:history="1">
        <w:r w:rsidR="00C06DA1" w:rsidRPr="00A25D8A">
          <w:rPr>
            <w:rStyle w:val="Hypertextovodkaz"/>
          </w:rPr>
          <w:t>Postup realizace varianty 01</w:t>
        </w:r>
        <w:r w:rsidR="00C06DA1">
          <w:rPr>
            <w:webHidden/>
          </w:rPr>
          <w:tab/>
        </w:r>
        <w:r>
          <w:rPr>
            <w:webHidden/>
          </w:rPr>
          <w:fldChar w:fldCharType="begin"/>
        </w:r>
        <w:r w:rsidR="00C06DA1">
          <w:rPr>
            <w:webHidden/>
          </w:rPr>
          <w:instrText xml:space="preserve"> PAGEREF _Toc370398463 \h </w:instrText>
        </w:r>
        <w:r>
          <w:rPr>
            <w:webHidden/>
          </w:rPr>
        </w:r>
        <w:r>
          <w:rPr>
            <w:webHidden/>
          </w:rPr>
          <w:fldChar w:fldCharType="separate"/>
        </w:r>
        <w:r w:rsidR="00CE3896">
          <w:rPr>
            <w:webHidden/>
          </w:rPr>
          <w:t>61</w:t>
        </w:r>
        <w:r>
          <w:rPr>
            <w:webHidden/>
          </w:rPr>
          <w:fldChar w:fldCharType="end"/>
        </w:r>
      </w:hyperlink>
    </w:p>
    <w:p w:rsidR="00C06DA1" w:rsidRDefault="001C18DA">
      <w:pPr>
        <w:pStyle w:val="Obsah2"/>
        <w:rPr>
          <w:sz w:val="22"/>
          <w:szCs w:val="22"/>
          <w:shd w:val="clear" w:color="auto" w:fill="auto"/>
          <w:lang w:eastAsia="cs-CZ"/>
        </w:rPr>
      </w:pPr>
      <w:hyperlink w:anchor="_Toc370398464" w:history="1">
        <w:r w:rsidR="00C06DA1" w:rsidRPr="00A25D8A">
          <w:rPr>
            <w:rStyle w:val="Hypertextovodkaz"/>
          </w:rPr>
          <w:t>Postup realizace varianty A</w:t>
        </w:r>
        <w:r w:rsidR="00C06DA1">
          <w:rPr>
            <w:webHidden/>
          </w:rPr>
          <w:tab/>
        </w:r>
        <w:r>
          <w:rPr>
            <w:webHidden/>
          </w:rPr>
          <w:fldChar w:fldCharType="begin"/>
        </w:r>
        <w:r w:rsidR="00C06DA1">
          <w:rPr>
            <w:webHidden/>
          </w:rPr>
          <w:instrText xml:space="preserve"> PAGEREF _Toc370398464 \h </w:instrText>
        </w:r>
        <w:r>
          <w:rPr>
            <w:webHidden/>
          </w:rPr>
        </w:r>
        <w:r>
          <w:rPr>
            <w:webHidden/>
          </w:rPr>
          <w:fldChar w:fldCharType="separate"/>
        </w:r>
        <w:r w:rsidR="00CE3896">
          <w:rPr>
            <w:webHidden/>
          </w:rPr>
          <w:t>61</w:t>
        </w:r>
        <w:r>
          <w:rPr>
            <w:webHidden/>
          </w:rPr>
          <w:fldChar w:fldCharType="end"/>
        </w:r>
      </w:hyperlink>
    </w:p>
    <w:p w:rsidR="00C06DA1" w:rsidRDefault="001C18DA">
      <w:pPr>
        <w:pStyle w:val="Obsah2"/>
        <w:rPr>
          <w:sz w:val="22"/>
          <w:szCs w:val="22"/>
          <w:shd w:val="clear" w:color="auto" w:fill="auto"/>
          <w:lang w:eastAsia="cs-CZ"/>
        </w:rPr>
      </w:pPr>
      <w:hyperlink w:anchor="_Toc370398465" w:history="1">
        <w:r w:rsidR="00C06DA1" w:rsidRPr="00A25D8A">
          <w:rPr>
            <w:rStyle w:val="Hypertextovodkaz"/>
          </w:rPr>
          <w:t>Postup realizace varianty BH a BS</w:t>
        </w:r>
        <w:r w:rsidR="00C06DA1">
          <w:rPr>
            <w:webHidden/>
          </w:rPr>
          <w:tab/>
        </w:r>
        <w:r>
          <w:rPr>
            <w:webHidden/>
          </w:rPr>
          <w:fldChar w:fldCharType="begin"/>
        </w:r>
        <w:r w:rsidR="00C06DA1">
          <w:rPr>
            <w:webHidden/>
          </w:rPr>
          <w:instrText xml:space="preserve"> PAGEREF _Toc370398465 \h </w:instrText>
        </w:r>
        <w:r>
          <w:rPr>
            <w:webHidden/>
          </w:rPr>
        </w:r>
        <w:r>
          <w:rPr>
            <w:webHidden/>
          </w:rPr>
          <w:fldChar w:fldCharType="separate"/>
        </w:r>
        <w:r w:rsidR="00CE3896">
          <w:rPr>
            <w:webHidden/>
          </w:rPr>
          <w:t>62</w:t>
        </w:r>
        <w:r>
          <w:rPr>
            <w:webHidden/>
          </w:rPr>
          <w:fldChar w:fldCharType="end"/>
        </w:r>
      </w:hyperlink>
    </w:p>
    <w:p w:rsidR="00C06DA1" w:rsidRDefault="001C18DA">
      <w:pPr>
        <w:pStyle w:val="Obsah1"/>
        <w:rPr>
          <w:sz w:val="22"/>
          <w:szCs w:val="22"/>
          <w:shd w:val="clear" w:color="auto" w:fill="auto"/>
          <w:lang w:eastAsia="cs-CZ"/>
        </w:rPr>
      </w:pPr>
      <w:hyperlink w:anchor="_Toc370398466" w:history="1">
        <w:r w:rsidR="00C06DA1" w:rsidRPr="00A25D8A">
          <w:rPr>
            <w:rStyle w:val="Hypertextovodkaz"/>
          </w:rPr>
          <w:t>PŘÍLOHY</w:t>
        </w:r>
        <w:r w:rsidR="00C06DA1">
          <w:rPr>
            <w:webHidden/>
          </w:rPr>
          <w:tab/>
        </w:r>
        <w:r>
          <w:rPr>
            <w:webHidden/>
          </w:rPr>
          <w:fldChar w:fldCharType="begin"/>
        </w:r>
        <w:r w:rsidR="00C06DA1">
          <w:rPr>
            <w:webHidden/>
          </w:rPr>
          <w:instrText xml:space="preserve"> PAGEREF _Toc370398466 \h </w:instrText>
        </w:r>
        <w:r>
          <w:rPr>
            <w:webHidden/>
          </w:rPr>
        </w:r>
        <w:r>
          <w:rPr>
            <w:webHidden/>
          </w:rPr>
          <w:fldChar w:fldCharType="separate"/>
        </w:r>
        <w:r w:rsidR="00CE3896">
          <w:rPr>
            <w:webHidden/>
          </w:rPr>
          <w:t>64</w:t>
        </w:r>
        <w:r>
          <w:rPr>
            <w:webHidden/>
          </w:rPr>
          <w:fldChar w:fldCharType="end"/>
        </w:r>
      </w:hyperlink>
    </w:p>
    <w:p w:rsidR="00C06DA1" w:rsidRPr="00370E69" w:rsidRDefault="001C18DA" w:rsidP="00DD2F1B">
      <w:pPr>
        <w:pStyle w:val="Nadpis2"/>
        <w:spacing w:before="0" w:line="360" w:lineRule="auto"/>
        <w:rPr>
          <w:sz w:val="28"/>
          <w:szCs w:val="28"/>
          <w:lang w:val="cs-CZ"/>
        </w:rPr>
      </w:pPr>
      <w:r w:rsidRPr="005C15AF">
        <w:fldChar w:fldCharType="end"/>
      </w:r>
      <w:r w:rsidR="00C06DA1" w:rsidRPr="00370E69">
        <w:rPr>
          <w:sz w:val="28"/>
          <w:szCs w:val="28"/>
          <w:lang w:val="cs-CZ"/>
        </w:rPr>
        <w:br w:type="page"/>
      </w:r>
      <w:bookmarkStart w:id="2" w:name="_Toc368063521"/>
      <w:bookmarkStart w:id="3" w:name="_Toc370398410"/>
      <w:r w:rsidR="00C06DA1" w:rsidRPr="00370E69">
        <w:rPr>
          <w:sz w:val="28"/>
          <w:szCs w:val="28"/>
          <w:lang w:val="cs-CZ"/>
        </w:rPr>
        <w:lastRenderedPageBreak/>
        <w:t>Seznamy</w:t>
      </w:r>
      <w:bookmarkEnd w:id="2"/>
      <w:bookmarkEnd w:id="3"/>
    </w:p>
    <w:p w:rsidR="00C06DA1" w:rsidRPr="005C15AF" w:rsidRDefault="00C06DA1" w:rsidP="00FD0F27">
      <w:pPr>
        <w:pStyle w:val="Nadpis3"/>
        <w:rPr>
          <w:lang w:val="cs-CZ"/>
        </w:rPr>
      </w:pPr>
      <w:bookmarkStart w:id="4" w:name="_Toc368063522"/>
      <w:bookmarkStart w:id="5" w:name="_Toc370398411"/>
      <w:r w:rsidRPr="005C15AF">
        <w:rPr>
          <w:lang w:val="cs-CZ"/>
        </w:rPr>
        <w:t>Seznam obrázků</w:t>
      </w:r>
      <w:bookmarkEnd w:id="4"/>
      <w:bookmarkEnd w:id="5"/>
    </w:p>
    <w:p w:rsidR="00C06DA1" w:rsidRPr="00804766" w:rsidRDefault="00C06DA1" w:rsidP="009E6576">
      <w:pPr>
        <w:spacing w:before="120" w:after="0"/>
        <w:rPr>
          <w:lang w:val="cs-CZ"/>
        </w:rPr>
      </w:pPr>
      <w:r w:rsidRPr="00804766">
        <w:rPr>
          <w:lang w:val="cs-CZ"/>
        </w:rPr>
        <w:t>Obrázek č. 1 – Základní rozhraní EETS</w:t>
      </w:r>
    </w:p>
    <w:p w:rsidR="00C06DA1" w:rsidRPr="00804766" w:rsidRDefault="00C06DA1" w:rsidP="009E6576">
      <w:pPr>
        <w:spacing w:before="120" w:after="0"/>
        <w:rPr>
          <w:lang w:val="cs-CZ"/>
        </w:rPr>
      </w:pPr>
      <w:r w:rsidRPr="00804766">
        <w:rPr>
          <w:lang w:val="cs-CZ"/>
        </w:rPr>
        <w:t>Obrázek č. 2 – Rozhraní závislé na technologii mýtného</w:t>
      </w:r>
    </w:p>
    <w:p w:rsidR="00C06DA1" w:rsidRPr="00804766" w:rsidRDefault="00C06DA1" w:rsidP="009E6576">
      <w:pPr>
        <w:spacing w:before="120" w:after="0"/>
        <w:rPr>
          <w:lang w:val="cs-CZ"/>
        </w:rPr>
      </w:pPr>
      <w:r w:rsidRPr="00804766">
        <w:rPr>
          <w:lang w:val="cs-CZ"/>
        </w:rPr>
        <w:t>Obrázek č. 3 – Rozhraní nezávislé na technologii mýtného</w:t>
      </w:r>
    </w:p>
    <w:p w:rsidR="00C06DA1" w:rsidRDefault="00C06DA1" w:rsidP="005A56B1">
      <w:pPr>
        <w:spacing w:before="120" w:after="0"/>
        <w:rPr>
          <w:lang w:val="cs-CZ"/>
        </w:rPr>
      </w:pPr>
      <w:r w:rsidRPr="00804766">
        <w:rPr>
          <w:lang w:val="cs-CZ"/>
        </w:rPr>
        <w:t>Obrázek č. 4 – Mapa výkonové zpoplatněných pozemních komunikací v České republice</w:t>
      </w:r>
    </w:p>
    <w:p w:rsidR="00C06DA1" w:rsidRPr="005C15AF" w:rsidRDefault="00C06DA1" w:rsidP="00FD0F27">
      <w:pPr>
        <w:pStyle w:val="Nadpis3"/>
        <w:rPr>
          <w:lang w:val="cs-CZ"/>
        </w:rPr>
      </w:pPr>
      <w:bookmarkStart w:id="6" w:name="_Toc368063523"/>
      <w:bookmarkStart w:id="7" w:name="_Toc370398412"/>
      <w:r w:rsidRPr="005C15AF">
        <w:rPr>
          <w:lang w:val="cs-CZ"/>
        </w:rPr>
        <w:t>Seznam grafů</w:t>
      </w:r>
      <w:bookmarkEnd w:id="6"/>
      <w:bookmarkEnd w:id="7"/>
    </w:p>
    <w:p w:rsidR="00C06DA1" w:rsidRPr="00B45C39" w:rsidRDefault="00C06DA1" w:rsidP="009E6576">
      <w:pPr>
        <w:spacing w:before="120" w:after="0"/>
        <w:rPr>
          <w:lang w:val="cs-CZ"/>
        </w:rPr>
      </w:pPr>
      <w:r w:rsidRPr="00B45C39">
        <w:rPr>
          <w:lang w:val="cs-CZ"/>
        </w:rPr>
        <w:t>Graf č. 1 – Vývoj průměrného mýtného pro nákladní vozidla</w:t>
      </w:r>
    </w:p>
    <w:p w:rsidR="00C06DA1" w:rsidRPr="00B45C39" w:rsidRDefault="00C06DA1" w:rsidP="009E6576">
      <w:pPr>
        <w:spacing w:before="120" w:after="0"/>
        <w:rPr>
          <w:lang w:val="cs-CZ"/>
        </w:rPr>
      </w:pPr>
      <w:r w:rsidRPr="00B45C39">
        <w:rPr>
          <w:lang w:val="cs-CZ"/>
        </w:rPr>
        <w:t>Graf č. 2 – Meziroční změny dopravních výkonů podle emisních tříd</w:t>
      </w:r>
    </w:p>
    <w:p w:rsidR="00C06DA1" w:rsidRPr="00B45C39" w:rsidRDefault="00C06DA1" w:rsidP="009E6576">
      <w:pPr>
        <w:autoSpaceDE w:val="0"/>
        <w:autoSpaceDN w:val="0"/>
        <w:adjustRightInd w:val="0"/>
        <w:spacing w:before="120" w:after="0"/>
        <w:rPr>
          <w:rFonts w:cs="Arial"/>
          <w:lang w:val="cs-CZ" w:bidi="my-MM"/>
        </w:rPr>
      </w:pPr>
      <w:r w:rsidRPr="00B45C39">
        <w:rPr>
          <w:rFonts w:cs="Arial"/>
          <w:lang w:val="cs-CZ" w:bidi="my-MM"/>
        </w:rPr>
        <w:t>Graf č. 3 – Tranzit vozidel přes území České republiky</w:t>
      </w:r>
    </w:p>
    <w:p w:rsidR="00C06DA1" w:rsidRPr="00B45C39" w:rsidRDefault="00C06DA1" w:rsidP="00456D5B">
      <w:pPr>
        <w:spacing w:before="120" w:after="0"/>
        <w:rPr>
          <w:lang w:val="cs-CZ"/>
        </w:rPr>
      </w:pPr>
      <w:r w:rsidRPr="00B45C39">
        <w:rPr>
          <w:lang w:val="cs-CZ"/>
        </w:rPr>
        <w:t xml:space="preserve">Graf č. 4 – Průměrné platby mýtného na </w:t>
      </w:r>
      <w:smartTag w:uri="urn:schemas-microsoft-com:office:smarttags" w:element="metricconverter">
        <w:smartTagPr>
          <w:attr w:name="ProductID" w:val="1 km"/>
        </w:smartTagPr>
        <w:r w:rsidRPr="00B45C39">
          <w:rPr>
            <w:lang w:val="cs-CZ"/>
          </w:rPr>
          <w:t>1 km</w:t>
        </w:r>
      </w:smartTag>
      <w:r w:rsidRPr="00B45C39">
        <w:rPr>
          <w:lang w:val="cs-CZ"/>
        </w:rPr>
        <w:t xml:space="preserve"> délky pozemní komunikace v roce 2012</w:t>
      </w:r>
    </w:p>
    <w:p w:rsidR="00C06DA1" w:rsidRPr="00B45C39" w:rsidRDefault="00C06DA1" w:rsidP="009E6576">
      <w:pPr>
        <w:spacing w:before="120" w:after="0"/>
        <w:rPr>
          <w:lang w:val="cs-CZ"/>
        </w:rPr>
      </w:pPr>
      <w:r w:rsidRPr="00B45C39">
        <w:rPr>
          <w:lang w:val="cs-CZ"/>
        </w:rPr>
        <w:t>Graf č. 5 –</w:t>
      </w:r>
      <w:r>
        <w:rPr>
          <w:lang w:val="cs-CZ"/>
        </w:rPr>
        <w:t xml:space="preserve"> Odhadované roční příjmy a náklady v závislosti na délce zpoplatněných pozemních komunikací</w:t>
      </w:r>
    </w:p>
    <w:p w:rsidR="00C06DA1" w:rsidRPr="00B45C39" w:rsidRDefault="00C06DA1" w:rsidP="009E6576">
      <w:pPr>
        <w:spacing w:before="120" w:after="0"/>
        <w:rPr>
          <w:lang w:val="cs-CZ"/>
        </w:rPr>
      </w:pPr>
      <w:r w:rsidRPr="00B45C39">
        <w:rPr>
          <w:lang w:val="cs-CZ"/>
        </w:rPr>
        <w:t>Graf č. 6 – Časový průběh a struktura varianty 0</w:t>
      </w:r>
    </w:p>
    <w:p w:rsidR="00C06DA1" w:rsidRPr="00B45C39" w:rsidRDefault="00C06DA1" w:rsidP="009E6576">
      <w:pPr>
        <w:spacing w:before="120" w:after="0"/>
        <w:rPr>
          <w:lang w:val="cs-CZ"/>
        </w:rPr>
      </w:pPr>
      <w:r w:rsidRPr="00B45C39">
        <w:rPr>
          <w:lang w:val="cs-CZ"/>
        </w:rPr>
        <w:t>Graf č. 7 – Časový průběh a struktura varianty 01</w:t>
      </w:r>
    </w:p>
    <w:p w:rsidR="00C06DA1" w:rsidRPr="00B45C39" w:rsidRDefault="00C06DA1" w:rsidP="009E6576">
      <w:pPr>
        <w:spacing w:before="120" w:after="0"/>
        <w:rPr>
          <w:lang w:val="cs-CZ"/>
        </w:rPr>
      </w:pPr>
      <w:r w:rsidRPr="00B45C39">
        <w:rPr>
          <w:lang w:val="cs-CZ"/>
        </w:rPr>
        <w:t xml:space="preserve">Graf č. </w:t>
      </w:r>
      <w:r>
        <w:rPr>
          <w:lang w:val="cs-CZ"/>
        </w:rPr>
        <w:t>8</w:t>
      </w:r>
      <w:r w:rsidRPr="00B45C39">
        <w:rPr>
          <w:lang w:val="cs-CZ"/>
        </w:rPr>
        <w:t xml:space="preserve"> – Časový průběh a struktura varianty A</w:t>
      </w:r>
    </w:p>
    <w:p w:rsidR="00C06DA1" w:rsidRPr="005C15AF" w:rsidRDefault="00C06DA1" w:rsidP="009E6576">
      <w:pPr>
        <w:spacing w:before="120" w:after="0"/>
        <w:rPr>
          <w:lang w:val="cs-CZ"/>
        </w:rPr>
      </w:pPr>
      <w:r w:rsidRPr="00B45C39">
        <w:rPr>
          <w:lang w:val="cs-CZ"/>
        </w:rPr>
        <w:t xml:space="preserve">Graf č. </w:t>
      </w:r>
      <w:r>
        <w:rPr>
          <w:lang w:val="cs-CZ"/>
        </w:rPr>
        <w:t>9</w:t>
      </w:r>
      <w:r w:rsidRPr="00B45C39">
        <w:rPr>
          <w:lang w:val="cs-CZ"/>
        </w:rPr>
        <w:t xml:space="preserve"> – Časový průběh a struktura varianty B</w:t>
      </w:r>
    </w:p>
    <w:p w:rsidR="00C06DA1" w:rsidRPr="005C15AF" w:rsidRDefault="00C06DA1" w:rsidP="00FD0F27">
      <w:pPr>
        <w:pStyle w:val="Nadpis3"/>
        <w:rPr>
          <w:lang w:val="cs-CZ"/>
        </w:rPr>
      </w:pPr>
      <w:bookmarkStart w:id="8" w:name="_Toc368063524"/>
      <w:bookmarkStart w:id="9" w:name="_Toc370398413"/>
      <w:r w:rsidRPr="005C15AF">
        <w:rPr>
          <w:lang w:val="cs-CZ"/>
        </w:rPr>
        <w:t>Seznam tabulek</w:t>
      </w:r>
      <w:bookmarkEnd w:id="8"/>
      <w:bookmarkEnd w:id="9"/>
    </w:p>
    <w:p w:rsidR="00C06DA1" w:rsidRPr="00B45C39" w:rsidRDefault="00C06DA1" w:rsidP="009E6576">
      <w:pPr>
        <w:spacing w:before="120" w:after="0"/>
        <w:rPr>
          <w:lang w:val="cs-CZ"/>
        </w:rPr>
      </w:pPr>
      <w:r w:rsidRPr="00B45C39">
        <w:rPr>
          <w:lang w:val="cs-CZ"/>
        </w:rPr>
        <w:t>Tabulka č. 1 – Důležité milníky ve zpoplatnění pozemních komunikací</w:t>
      </w:r>
    </w:p>
    <w:p w:rsidR="00C06DA1" w:rsidRPr="00B45C39" w:rsidRDefault="00C06DA1" w:rsidP="009E6576">
      <w:pPr>
        <w:autoSpaceDE w:val="0"/>
        <w:autoSpaceDN w:val="0"/>
        <w:adjustRightInd w:val="0"/>
        <w:spacing w:before="120" w:after="0"/>
        <w:rPr>
          <w:rFonts w:cs="Arial"/>
          <w:bCs/>
          <w:lang w:val="cs-CZ" w:bidi="my-MM"/>
        </w:rPr>
      </w:pPr>
      <w:r w:rsidRPr="00B45C39">
        <w:rPr>
          <w:rFonts w:cs="Arial"/>
          <w:bCs/>
          <w:lang w:val="cs-CZ" w:bidi="my-MM"/>
        </w:rPr>
        <w:t>Tabulka č. 2 – Vývoj výběru mýtného v letech 2007 – 2012, odhad 2013</w:t>
      </w:r>
    </w:p>
    <w:p w:rsidR="00C06DA1" w:rsidRPr="00B45C39" w:rsidRDefault="00C06DA1" w:rsidP="009E6576">
      <w:pPr>
        <w:spacing w:before="120" w:after="0"/>
        <w:rPr>
          <w:lang w:val="cs-CZ"/>
        </w:rPr>
      </w:pPr>
      <w:r w:rsidRPr="00B45C39">
        <w:rPr>
          <w:lang w:val="cs-CZ"/>
        </w:rPr>
        <w:t>Tabulka č. 3 – Notifikované maximální vážené průměrné mýtné</w:t>
      </w:r>
    </w:p>
    <w:p w:rsidR="00C06DA1" w:rsidRPr="00B45C39" w:rsidRDefault="00C06DA1" w:rsidP="009E6576">
      <w:pPr>
        <w:spacing w:before="120" w:after="0"/>
        <w:rPr>
          <w:lang w:val="cs-CZ"/>
        </w:rPr>
      </w:pPr>
      <w:r w:rsidRPr="00B45C39">
        <w:rPr>
          <w:lang w:val="cs-CZ"/>
        </w:rPr>
        <w:t>Tabulka č. 4 – Odhad dopadů na předepsané mýtné</w:t>
      </w:r>
    </w:p>
    <w:p w:rsidR="00C06DA1" w:rsidRPr="00B45C39" w:rsidRDefault="00C06DA1" w:rsidP="009E6576">
      <w:pPr>
        <w:spacing w:before="120" w:after="0"/>
        <w:rPr>
          <w:bCs/>
          <w:lang w:val="cs-CZ"/>
        </w:rPr>
      </w:pPr>
      <w:r w:rsidRPr="00B45C39">
        <w:rPr>
          <w:bCs/>
          <w:lang w:val="cs-CZ"/>
        </w:rPr>
        <w:t xml:space="preserve">Tabulka č. 5 – </w:t>
      </w:r>
      <w:r>
        <w:rPr>
          <w:bCs/>
          <w:lang w:val="cs-CZ"/>
        </w:rPr>
        <w:t>Kombinace variant rozsahu a způsobu zpoplatnění a využití komponent stávajícího SEM</w:t>
      </w:r>
    </w:p>
    <w:p w:rsidR="00C06DA1" w:rsidRDefault="00C06DA1" w:rsidP="009E6576">
      <w:pPr>
        <w:spacing w:before="120" w:after="0"/>
        <w:rPr>
          <w:bCs/>
          <w:lang w:val="cs-CZ"/>
        </w:rPr>
      </w:pPr>
      <w:r w:rsidRPr="00B45C39">
        <w:rPr>
          <w:bCs/>
          <w:lang w:val="cs-CZ"/>
        </w:rPr>
        <w:t>Tabulka č. 6</w:t>
      </w:r>
      <w:r>
        <w:rPr>
          <w:bCs/>
          <w:lang w:val="cs-CZ"/>
        </w:rPr>
        <w:t xml:space="preserve"> – Souhrnné vyhodnocení posuzovaných variant</w:t>
      </w:r>
    </w:p>
    <w:p w:rsidR="00C06DA1" w:rsidRDefault="00C06DA1" w:rsidP="009E6576">
      <w:pPr>
        <w:spacing w:before="120" w:after="0"/>
        <w:rPr>
          <w:bCs/>
          <w:lang w:val="cs-CZ"/>
        </w:rPr>
      </w:pPr>
      <w:r>
        <w:rPr>
          <w:bCs/>
          <w:lang w:val="cs-CZ"/>
        </w:rPr>
        <w:t>Tabulka č. 7 – Přehled rizik jednotlivých variant</w:t>
      </w:r>
    </w:p>
    <w:p w:rsidR="00C06DA1" w:rsidRPr="00B45C39" w:rsidRDefault="00C06DA1" w:rsidP="009E6576">
      <w:pPr>
        <w:spacing w:before="120" w:after="0"/>
        <w:rPr>
          <w:bCs/>
          <w:lang w:val="cs-CZ"/>
        </w:rPr>
      </w:pPr>
      <w:r>
        <w:rPr>
          <w:bCs/>
          <w:lang w:val="cs-CZ"/>
        </w:rPr>
        <w:t xml:space="preserve">Tabulka č. 8 – </w:t>
      </w:r>
      <w:r w:rsidRPr="00B45C39">
        <w:rPr>
          <w:bCs/>
          <w:lang w:val="cs-CZ"/>
        </w:rPr>
        <w:t>Alokované</w:t>
      </w:r>
      <w:r>
        <w:rPr>
          <w:bCs/>
          <w:lang w:val="cs-CZ"/>
        </w:rPr>
        <w:t xml:space="preserve"> </w:t>
      </w:r>
      <w:r w:rsidRPr="00B45C39">
        <w:rPr>
          <w:bCs/>
          <w:lang w:val="cs-CZ"/>
        </w:rPr>
        <w:t>slevy z mýtného pro rok 2013</w:t>
      </w:r>
    </w:p>
    <w:p w:rsidR="00C06DA1" w:rsidRPr="005D47D4" w:rsidRDefault="00C06DA1" w:rsidP="009E6576">
      <w:pPr>
        <w:spacing w:before="120" w:after="0"/>
        <w:rPr>
          <w:bCs/>
          <w:lang w:val="cs-CZ"/>
        </w:rPr>
      </w:pPr>
      <w:r w:rsidRPr="00B45C39">
        <w:rPr>
          <w:bCs/>
          <w:lang w:val="cs-CZ"/>
        </w:rPr>
        <w:t xml:space="preserve">Tabulka č. </w:t>
      </w:r>
      <w:r>
        <w:rPr>
          <w:bCs/>
          <w:lang w:val="cs-CZ"/>
        </w:rPr>
        <w:t>9</w:t>
      </w:r>
      <w:r w:rsidRPr="00B45C39">
        <w:rPr>
          <w:bCs/>
          <w:lang w:val="cs-CZ"/>
        </w:rPr>
        <w:t xml:space="preserve"> – Odhad vyplacených slev za rok 2013</w:t>
      </w:r>
    </w:p>
    <w:p w:rsidR="00C06DA1" w:rsidRDefault="00C06DA1" w:rsidP="00623862">
      <w:pPr>
        <w:pStyle w:val="Nadpis3"/>
        <w:pBdr>
          <w:left w:val="single" w:sz="6" w:space="1" w:color="4F81BD"/>
        </w:pBdr>
        <w:rPr>
          <w:lang w:val="cs-CZ"/>
        </w:rPr>
      </w:pPr>
      <w:bookmarkStart w:id="10" w:name="_Toc368063525"/>
      <w:bookmarkStart w:id="11" w:name="_Toc370398414"/>
      <w:r>
        <w:rPr>
          <w:lang w:val="cs-CZ"/>
        </w:rPr>
        <w:t>Seznam příloh</w:t>
      </w:r>
      <w:bookmarkEnd w:id="10"/>
      <w:bookmarkEnd w:id="11"/>
    </w:p>
    <w:p w:rsidR="00C06DA1" w:rsidRDefault="00C06DA1" w:rsidP="00DD2F1B">
      <w:pPr>
        <w:pStyle w:val="Bezmezer"/>
        <w:ind w:left="1134" w:hanging="1134"/>
        <w:rPr>
          <w:rFonts w:cs="ArialNarrow,Italic"/>
          <w:lang w:val="cs-CZ"/>
        </w:rPr>
      </w:pPr>
      <w:r w:rsidRPr="00982D29">
        <w:rPr>
          <w:rFonts w:cs="ArialNarrow,Italic"/>
          <w:lang w:val="cs-CZ"/>
        </w:rPr>
        <w:t xml:space="preserve">Příloha č. </w:t>
      </w:r>
      <w:r>
        <w:rPr>
          <w:rFonts w:cs="ArialNarrow,Italic"/>
          <w:lang w:val="cs-CZ"/>
        </w:rPr>
        <w:t>2</w:t>
      </w:r>
      <w:r w:rsidRPr="00982D29">
        <w:rPr>
          <w:rFonts w:cs="ArialNarrow,Italic"/>
          <w:lang w:val="cs-CZ"/>
        </w:rPr>
        <w:t xml:space="preserve"> – </w:t>
      </w:r>
      <w:r>
        <w:rPr>
          <w:rFonts w:cs="ArialNarrow,Italic"/>
          <w:lang w:val="cs-CZ"/>
        </w:rPr>
        <w:tab/>
      </w:r>
      <w:r w:rsidRPr="00982D29">
        <w:rPr>
          <w:rFonts w:cs="ArialNarrow,Italic"/>
          <w:lang w:val="cs-CZ"/>
        </w:rPr>
        <w:t xml:space="preserve">Výhody a nevýhody realizovatelných kombinací variant rozsahu a způsobu zpoplatnění a využití </w:t>
      </w:r>
      <w:r>
        <w:rPr>
          <w:rFonts w:cs="ArialNarrow,Italic"/>
          <w:lang w:val="cs-CZ"/>
        </w:rPr>
        <w:t xml:space="preserve">komponent </w:t>
      </w:r>
      <w:r w:rsidRPr="00982D29">
        <w:rPr>
          <w:rFonts w:cs="ArialNarrow,Italic"/>
          <w:lang w:val="cs-CZ"/>
        </w:rPr>
        <w:t>stávajícího SEM rozšířené o předpokládané kumulativní peněžní toky a nákladovost</w:t>
      </w:r>
    </w:p>
    <w:p w:rsidR="00C06DA1" w:rsidRDefault="00C06DA1" w:rsidP="00105E1A">
      <w:pPr>
        <w:rPr>
          <w:bCs/>
          <w:lang w:val="cs-CZ"/>
        </w:rPr>
      </w:pPr>
      <w:r>
        <w:rPr>
          <w:bCs/>
          <w:lang w:val="cs-CZ"/>
        </w:rPr>
        <w:t xml:space="preserve">Příloha č. 3 –  </w:t>
      </w:r>
      <w:r w:rsidRPr="00105E1A">
        <w:rPr>
          <w:bCs/>
          <w:lang w:val="cs-CZ"/>
        </w:rPr>
        <w:t>Ekonomické hodnocení variant</w:t>
      </w:r>
    </w:p>
    <w:p w:rsidR="00C06DA1" w:rsidRDefault="00C06DA1" w:rsidP="00105E1A">
      <w:pPr>
        <w:rPr>
          <w:bCs/>
          <w:lang w:val="cs-CZ"/>
        </w:rPr>
      </w:pPr>
    </w:p>
    <w:p w:rsidR="00C06DA1" w:rsidRDefault="00C06DA1" w:rsidP="001D66CD">
      <w:pPr>
        <w:pStyle w:val="Nadpis3"/>
        <w:rPr>
          <w:lang w:val="cs-CZ"/>
        </w:rPr>
      </w:pPr>
      <w:bookmarkStart w:id="12" w:name="_Toc370398415"/>
      <w:r>
        <w:rPr>
          <w:lang w:val="cs-CZ"/>
        </w:rPr>
        <w:lastRenderedPageBreak/>
        <w:t>Seznam použité literatury</w:t>
      </w:r>
      <w:bookmarkEnd w:id="12"/>
    </w:p>
    <w:p w:rsidR="00C06DA1" w:rsidRDefault="00C06DA1" w:rsidP="001D66CD">
      <w:pPr>
        <w:pStyle w:val="Odstavecseseznamem"/>
        <w:numPr>
          <w:ilvl w:val="0"/>
          <w:numId w:val="45"/>
        </w:numPr>
        <w:jc w:val="both"/>
        <w:rPr>
          <w:bCs/>
          <w:lang w:val="cs-CZ"/>
        </w:rPr>
      </w:pPr>
      <w:r w:rsidRPr="001D66CD">
        <w:rPr>
          <w:bCs/>
          <w:lang w:val="cs-CZ"/>
        </w:rPr>
        <w:t>Zpracování návrhů sazeb tarifů mýtného v ČR pro roky 2010 až 2017</w:t>
      </w:r>
      <w:r>
        <w:rPr>
          <w:bCs/>
          <w:lang w:val="cs-CZ"/>
        </w:rPr>
        <w:t xml:space="preserve"> – Fakulta dopravní ČVUT v Praze, Deloitte Advisory s.r.o. (2009)</w:t>
      </w:r>
    </w:p>
    <w:p w:rsidR="00C06DA1" w:rsidRDefault="00C06DA1" w:rsidP="001D66CD">
      <w:pPr>
        <w:pStyle w:val="Odstavecseseznamem"/>
        <w:numPr>
          <w:ilvl w:val="0"/>
          <w:numId w:val="45"/>
        </w:numPr>
        <w:jc w:val="both"/>
        <w:rPr>
          <w:bCs/>
          <w:lang w:val="cs-CZ"/>
        </w:rPr>
      </w:pPr>
      <w:r w:rsidRPr="001D66CD">
        <w:rPr>
          <w:bCs/>
          <w:lang w:val="cs-CZ"/>
        </w:rPr>
        <w:t>Změny sazeb mýtného a vyhodnocení pátečních jízd</w:t>
      </w:r>
      <w:r>
        <w:rPr>
          <w:bCs/>
          <w:lang w:val="cs-CZ"/>
        </w:rPr>
        <w:t xml:space="preserve"> – Fakulta dopravní ČVUT v Praze, Deloitte Advisory s.r.o. (2010)</w:t>
      </w:r>
    </w:p>
    <w:p w:rsidR="00C06DA1" w:rsidRDefault="00C06DA1" w:rsidP="001D66CD">
      <w:pPr>
        <w:pStyle w:val="Odstavecseseznamem"/>
        <w:numPr>
          <w:ilvl w:val="0"/>
          <w:numId w:val="45"/>
        </w:numPr>
        <w:jc w:val="both"/>
        <w:rPr>
          <w:bCs/>
          <w:lang w:val="cs-CZ"/>
        </w:rPr>
      </w:pPr>
      <w:r w:rsidRPr="001D66CD">
        <w:rPr>
          <w:bCs/>
          <w:lang w:val="cs-CZ"/>
        </w:rPr>
        <w:t>Návrh nových sazeb mýtného pro rok 2011</w:t>
      </w:r>
      <w:r>
        <w:rPr>
          <w:bCs/>
          <w:lang w:val="cs-CZ"/>
        </w:rPr>
        <w:t xml:space="preserve"> – Fakulta dopravní ČVUT v Praze, Deloitte Advisory s.r.o. (2010)</w:t>
      </w:r>
    </w:p>
    <w:p w:rsidR="00C06DA1" w:rsidRDefault="00C06DA1" w:rsidP="001D66CD">
      <w:pPr>
        <w:pStyle w:val="Odstavecseseznamem"/>
        <w:numPr>
          <w:ilvl w:val="0"/>
          <w:numId w:val="45"/>
        </w:numPr>
        <w:jc w:val="both"/>
        <w:rPr>
          <w:bCs/>
          <w:lang w:val="cs-CZ"/>
        </w:rPr>
      </w:pPr>
      <w:r w:rsidRPr="001D66CD">
        <w:rPr>
          <w:bCs/>
          <w:lang w:val="cs-CZ"/>
        </w:rPr>
        <w:t>Zajištění přípravné fáze certifikačního procesu dopravně-telematických aplikací a systémů</w:t>
      </w:r>
      <w:r>
        <w:rPr>
          <w:bCs/>
          <w:lang w:val="cs-CZ"/>
        </w:rPr>
        <w:t xml:space="preserve"> – Fakulta dopravní ČVUT v Praze (2011)</w:t>
      </w:r>
    </w:p>
    <w:p w:rsidR="00C06DA1" w:rsidRDefault="00C06DA1" w:rsidP="001D66CD">
      <w:pPr>
        <w:pStyle w:val="Odstavecseseznamem"/>
        <w:numPr>
          <w:ilvl w:val="0"/>
          <w:numId w:val="45"/>
        </w:numPr>
        <w:jc w:val="both"/>
        <w:rPr>
          <w:bCs/>
          <w:lang w:val="cs-CZ"/>
        </w:rPr>
      </w:pPr>
      <w:r w:rsidRPr="001D66CD">
        <w:rPr>
          <w:bCs/>
          <w:lang w:val="cs-CZ"/>
        </w:rPr>
        <w:t>Analýza výnosů a nákladů na rozšíření elektronického mýta při zavedení výkonového zpoplatnění silnic I., II. a III. třídy pro vozidla nad 3,5</w:t>
      </w:r>
      <w:r>
        <w:rPr>
          <w:bCs/>
          <w:lang w:val="cs-CZ"/>
        </w:rPr>
        <w:t xml:space="preserve"> </w:t>
      </w:r>
      <w:r w:rsidRPr="001D66CD">
        <w:rPr>
          <w:bCs/>
          <w:lang w:val="cs-CZ"/>
        </w:rPr>
        <w:t>t</w:t>
      </w:r>
      <w:r>
        <w:rPr>
          <w:bCs/>
          <w:lang w:val="cs-CZ"/>
        </w:rPr>
        <w:t xml:space="preserve"> – Fakulta dopravní ČVUT v Praze, Deloitte Advisory s.r.o. (2011)</w:t>
      </w:r>
    </w:p>
    <w:p w:rsidR="00C06DA1" w:rsidRDefault="00C06DA1" w:rsidP="001D66CD">
      <w:pPr>
        <w:pStyle w:val="Odstavecseseznamem"/>
        <w:numPr>
          <w:ilvl w:val="0"/>
          <w:numId w:val="45"/>
        </w:numPr>
        <w:jc w:val="both"/>
        <w:rPr>
          <w:bCs/>
          <w:lang w:val="cs-CZ"/>
        </w:rPr>
      </w:pPr>
      <w:r w:rsidRPr="001D66CD">
        <w:rPr>
          <w:bCs/>
          <w:lang w:val="cs-CZ"/>
        </w:rPr>
        <w:t>Analýza implementace projektu „</w:t>
      </w:r>
      <w:proofErr w:type="spellStart"/>
      <w:r w:rsidRPr="001D66CD">
        <w:rPr>
          <w:bCs/>
          <w:lang w:val="cs-CZ"/>
        </w:rPr>
        <w:t>supermýta</w:t>
      </w:r>
      <w:proofErr w:type="spellEnd"/>
      <w:r w:rsidRPr="001D66CD">
        <w:rPr>
          <w:bCs/>
          <w:lang w:val="cs-CZ"/>
        </w:rPr>
        <w:t>“ v České republice</w:t>
      </w:r>
      <w:r>
        <w:rPr>
          <w:bCs/>
          <w:lang w:val="cs-CZ"/>
        </w:rPr>
        <w:t xml:space="preserve"> – </w:t>
      </w:r>
      <w:proofErr w:type="spellStart"/>
      <w:r>
        <w:rPr>
          <w:bCs/>
          <w:lang w:val="cs-CZ"/>
        </w:rPr>
        <w:t>PricewaterhouseCoopers</w:t>
      </w:r>
      <w:proofErr w:type="spellEnd"/>
      <w:r>
        <w:rPr>
          <w:bCs/>
          <w:lang w:val="cs-CZ"/>
        </w:rPr>
        <w:t xml:space="preserve"> Česká republika s.r.o. (2011)</w:t>
      </w:r>
    </w:p>
    <w:p w:rsidR="00C06DA1" w:rsidRDefault="00C06DA1" w:rsidP="001D66CD">
      <w:pPr>
        <w:pStyle w:val="Odstavecseseznamem"/>
        <w:numPr>
          <w:ilvl w:val="0"/>
          <w:numId w:val="45"/>
        </w:numPr>
        <w:jc w:val="both"/>
        <w:rPr>
          <w:bCs/>
          <w:lang w:val="cs-CZ"/>
        </w:rPr>
      </w:pPr>
      <w:r>
        <w:rPr>
          <w:bCs/>
          <w:lang w:val="cs-CZ"/>
        </w:rPr>
        <w:t>Aplikační návod pro zavedení EETS v ČR – INTENS Corporation s.r.o. (2011)</w:t>
      </w:r>
    </w:p>
    <w:p w:rsidR="00C06DA1" w:rsidRDefault="00C06DA1" w:rsidP="001D66CD">
      <w:pPr>
        <w:pStyle w:val="Odstavecseseznamem"/>
        <w:numPr>
          <w:ilvl w:val="0"/>
          <w:numId w:val="45"/>
        </w:numPr>
        <w:jc w:val="both"/>
        <w:rPr>
          <w:bCs/>
          <w:lang w:val="cs-CZ"/>
        </w:rPr>
      </w:pPr>
      <w:r>
        <w:rPr>
          <w:bCs/>
          <w:lang w:val="cs-CZ"/>
        </w:rPr>
        <w:t>Historie a rozsah mýtného systému v ČR v letech 2007 – 2010 – Fakulta dopravní ČVUT v Praze, Deloitte Advisory s.r.o. (2011)</w:t>
      </w:r>
    </w:p>
    <w:p w:rsidR="00C06DA1" w:rsidRDefault="00C06DA1" w:rsidP="001D66CD">
      <w:pPr>
        <w:pStyle w:val="Odstavecseseznamem"/>
        <w:numPr>
          <w:ilvl w:val="0"/>
          <w:numId w:val="45"/>
        </w:numPr>
        <w:jc w:val="both"/>
        <w:rPr>
          <w:bCs/>
          <w:lang w:val="cs-CZ"/>
        </w:rPr>
      </w:pPr>
      <w:r>
        <w:rPr>
          <w:bCs/>
          <w:lang w:val="cs-CZ"/>
        </w:rPr>
        <w:t>Metodika a kalkulace maximálního váženého průměrného mýtného pro notifikace mýtného systému v ČR u Evropské komise – Fakulta dopravní ČVUT v Praze, Deloitte Advisory s.r.o. (2011)</w:t>
      </w:r>
    </w:p>
    <w:p w:rsidR="00C06DA1" w:rsidRDefault="00C06DA1" w:rsidP="001D66CD">
      <w:pPr>
        <w:pStyle w:val="Odstavecseseznamem"/>
        <w:numPr>
          <w:ilvl w:val="0"/>
          <w:numId w:val="45"/>
        </w:numPr>
        <w:jc w:val="both"/>
        <w:rPr>
          <w:bCs/>
          <w:lang w:val="cs-CZ"/>
        </w:rPr>
      </w:pPr>
      <w:r>
        <w:rPr>
          <w:bCs/>
          <w:lang w:val="cs-CZ"/>
        </w:rPr>
        <w:t xml:space="preserve">Návrh technického a organizačního řešení vysokorychlostního vážení na pozemních komunikacích České republiky – </w:t>
      </w:r>
      <w:proofErr w:type="spellStart"/>
      <w:r>
        <w:rPr>
          <w:bCs/>
          <w:lang w:val="cs-CZ"/>
        </w:rPr>
        <w:t>PricewaterhouseCoopers</w:t>
      </w:r>
      <w:proofErr w:type="spellEnd"/>
      <w:r>
        <w:rPr>
          <w:bCs/>
          <w:lang w:val="cs-CZ"/>
        </w:rPr>
        <w:t xml:space="preserve"> Česká republika s.r.o. (2012)</w:t>
      </w:r>
    </w:p>
    <w:p w:rsidR="00C06DA1" w:rsidRDefault="00C06DA1" w:rsidP="001D66CD">
      <w:pPr>
        <w:pStyle w:val="Odstavecseseznamem"/>
        <w:numPr>
          <w:ilvl w:val="0"/>
          <w:numId w:val="45"/>
        </w:numPr>
        <w:jc w:val="both"/>
        <w:rPr>
          <w:bCs/>
          <w:lang w:val="cs-CZ"/>
        </w:rPr>
      </w:pPr>
      <w:r>
        <w:rPr>
          <w:bCs/>
          <w:lang w:val="cs-CZ"/>
        </w:rPr>
        <w:t>Vstupní analýza právního poradenství pro Projekt rozšíření Systému elektronického mýta v České republice – DLA Piper Prague LLP (2012)</w:t>
      </w:r>
    </w:p>
    <w:p w:rsidR="00C06DA1" w:rsidRDefault="00C06DA1" w:rsidP="001D66CD">
      <w:pPr>
        <w:pStyle w:val="Odstavecseseznamem"/>
        <w:numPr>
          <w:ilvl w:val="0"/>
          <w:numId w:val="45"/>
        </w:numPr>
        <w:jc w:val="both"/>
        <w:rPr>
          <w:bCs/>
          <w:lang w:val="cs-CZ"/>
        </w:rPr>
      </w:pPr>
      <w:r>
        <w:rPr>
          <w:bCs/>
          <w:lang w:val="cs-CZ"/>
        </w:rPr>
        <w:t>Analýza využitelnosti stávající právní úpravy vysokorychlostního kontrolního vážení vozidel – DLA Piper Prague LLP (2012)</w:t>
      </w:r>
    </w:p>
    <w:p w:rsidR="00C06DA1" w:rsidRDefault="00C06DA1" w:rsidP="001D66CD">
      <w:pPr>
        <w:pStyle w:val="Odstavecseseznamem"/>
        <w:numPr>
          <w:ilvl w:val="0"/>
          <w:numId w:val="45"/>
        </w:numPr>
        <w:jc w:val="both"/>
        <w:rPr>
          <w:bCs/>
          <w:lang w:val="cs-CZ"/>
        </w:rPr>
      </w:pPr>
      <w:r>
        <w:rPr>
          <w:bCs/>
          <w:lang w:val="cs-CZ"/>
        </w:rPr>
        <w:t>Analýza rozšíření výkonového zpoplatnění a rozšíření časového zpoplatnění v případě odklonu od rozšíření výkonového zpoplatnění – DLA Piper Prague LLP (2012)</w:t>
      </w:r>
    </w:p>
    <w:p w:rsidR="00C06DA1" w:rsidRDefault="00C06DA1" w:rsidP="001D66CD">
      <w:pPr>
        <w:pStyle w:val="Odstavecseseznamem"/>
        <w:numPr>
          <w:ilvl w:val="0"/>
          <w:numId w:val="45"/>
        </w:numPr>
        <w:jc w:val="both"/>
        <w:rPr>
          <w:bCs/>
          <w:lang w:val="cs-CZ"/>
        </w:rPr>
      </w:pPr>
      <w:r>
        <w:rPr>
          <w:bCs/>
          <w:lang w:val="cs-CZ"/>
        </w:rPr>
        <w:t>Doplnění analýzy rozšíření výkonového zpoplatnění a rozšíření časového zpoplatnění v případě odklonu od rozšíření výkonového zpoplatnění – posouzení varianty 01 – zvýšení sazeb emisní třídy Euro V o 25 % - DLA Piper Prague LLP (2012)</w:t>
      </w:r>
    </w:p>
    <w:p w:rsidR="00C06DA1" w:rsidRDefault="00C06DA1" w:rsidP="007E1B76">
      <w:pPr>
        <w:pStyle w:val="Odstavecseseznamem"/>
        <w:numPr>
          <w:ilvl w:val="0"/>
          <w:numId w:val="45"/>
        </w:numPr>
        <w:jc w:val="both"/>
        <w:rPr>
          <w:bCs/>
          <w:lang w:val="cs-CZ"/>
        </w:rPr>
      </w:pPr>
      <w:r>
        <w:rPr>
          <w:bCs/>
          <w:lang w:val="cs-CZ"/>
        </w:rPr>
        <w:t>Vstupní analýza pro vytvoření předpokladů pro budoucí rozvoj zpoplatnění silniční infrastruktury – Deloitte Advisory s.r.o. (2012)</w:t>
      </w:r>
    </w:p>
    <w:p w:rsidR="00C06DA1" w:rsidRPr="007E1B76" w:rsidRDefault="00C06DA1" w:rsidP="007E1B76">
      <w:pPr>
        <w:pStyle w:val="Odstavecseseznamem"/>
        <w:numPr>
          <w:ilvl w:val="0"/>
          <w:numId w:val="45"/>
        </w:numPr>
        <w:jc w:val="both"/>
        <w:rPr>
          <w:bCs/>
          <w:lang w:val="cs-CZ"/>
        </w:rPr>
      </w:pPr>
      <w:r w:rsidRPr="007E1B76">
        <w:rPr>
          <w:lang w:val="cs-CZ"/>
        </w:rPr>
        <w:t>Analýza možností rozšíření časového zpoplatnění silniční infrastruktury v případě odklonu od rozšíření výkonového zpoplatnění silniční infrastruktury – Deloitte Advisory s.r.o. (2012)</w:t>
      </w:r>
    </w:p>
    <w:p w:rsidR="00C06DA1" w:rsidRDefault="00C06DA1" w:rsidP="007E1B76">
      <w:pPr>
        <w:pStyle w:val="Odstavecseseznamem"/>
        <w:numPr>
          <w:ilvl w:val="0"/>
          <w:numId w:val="45"/>
        </w:numPr>
        <w:jc w:val="both"/>
        <w:rPr>
          <w:lang w:val="cs-CZ"/>
        </w:rPr>
      </w:pPr>
      <w:r w:rsidRPr="007E1B76">
        <w:rPr>
          <w:color w:val="000000"/>
          <w:lang w:val="cs-CZ" w:eastAsia="cs-CZ"/>
        </w:rPr>
        <w:t xml:space="preserve">Analýza možností rozšíření výkonového zpoplatnění silniční </w:t>
      </w:r>
      <w:r w:rsidRPr="007E1B76">
        <w:rPr>
          <w:lang w:val="cs-CZ"/>
        </w:rPr>
        <w:t>infrastruktury</w:t>
      </w:r>
      <w:r>
        <w:rPr>
          <w:lang w:val="cs-CZ"/>
        </w:rPr>
        <w:t xml:space="preserve"> – Deloitte Advisory s.r.o. (2012)</w:t>
      </w:r>
    </w:p>
    <w:p w:rsidR="00C06DA1" w:rsidRDefault="00C06DA1" w:rsidP="007E1B76">
      <w:pPr>
        <w:pStyle w:val="Odstavecseseznamem"/>
        <w:numPr>
          <w:ilvl w:val="0"/>
          <w:numId w:val="45"/>
        </w:numPr>
        <w:jc w:val="both"/>
        <w:rPr>
          <w:lang w:val="cs-CZ"/>
        </w:rPr>
      </w:pPr>
      <w:r w:rsidRPr="007E1B76">
        <w:rPr>
          <w:lang w:val="cs-CZ"/>
        </w:rPr>
        <w:t xml:space="preserve">Koncepce zpoplatnění silniční infrastruktury a rozvoje mýtného systému v ČR </w:t>
      </w:r>
      <w:r w:rsidRPr="007E1B76">
        <w:rPr>
          <w:i/>
          <w:lang w:val="cs-CZ"/>
        </w:rPr>
        <w:t xml:space="preserve">(technicko-ekonomická část) </w:t>
      </w:r>
      <w:r w:rsidRPr="007E1B76">
        <w:rPr>
          <w:lang w:val="cs-CZ"/>
        </w:rPr>
        <w:t>– Dodatek zohledňující závěry z ŘV konaného 5. 11. 2012</w:t>
      </w:r>
      <w:r>
        <w:rPr>
          <w:lang w:val="cs-CZ"/>
        </w:rPr>
        <w:t xml:space="preserve"> – Deloitte Advisory s.r.o. (2012)</w:t>
      </w:r>
    </w:p>
    <w:p w:rsidR="00C06DA1" w:rsidRDefault="00C06DA1" w:rsidP="009F5278">
      <w:pPr>
        <w:jc w:val="both"/>
        <w:rPr>
          <w:lang w:val="cs-CZ"/>
        </w:rPr>
      </w:pPr>
    </w:p>
    <w:p w:rsidR="00C06DA1" w:rsidRDefault="00C06DA1" w:rsidP="009F5278">
      <w:pPr>
        <w:jc w:val="both"/>
        <w:rPr>
          <w:lang w:val="cs-CZ"/>
        </w:rPr>
      </w:pPr>
    </w:p>
    <w:p w:rsidR="00C06DA1" w:rsidRDefault="00C06DA1" w:rsidP="009F5278">
      <w:pPr>
        <w:jc w:val="both"/>
        <w:rPr>
          <w:lang w:val="cs-CZ"/>
        </w:rPr>
      </w:pPr>
    </w:p>
    <w:p w:rsidR="00C06DA1" w:rsidRDefault="00C06DA1" w:rsidP="009F5278">
      <w:pPr>
        <w:jc w:val="both"/>
        <w:rPr>
          <w:lang w:val="cs-CZ"/>
        </w:rPr>
      </w:pPr>
    </w:p>
    <w:p w:rsidR="00C06DA1" w:rsidRDefault="00C06DA1" w:rsidP="009F5278">
      <w:pPr>
        <w:jc w:val="both"/>
        <w:rPr>
          <w:lang w:val="cs-CZ"/>
        </w:rPr>
      </w:pPr>
    </w:p>
    <w:p w:rsidR="00C06DA1" w:rsidRPr="009F5278" w:rsidRDefault="00C06DA1" w:rsidP="009F5278">
      <w:pPr>
        <w:jc w:val="both"/>
        <w:rPr>
          <w:lang w:val="cs-CZ"/>
        </w:rPr>
      </w:pPr>
    </w:p>
    <w:p w:rsidR="00C06DA1" w:rsidRPr="005C15AF" w:rsidRDefault="00C06DA1" w:rsidP="007E1B76">
      <w:pPr>
        <w:pStyle w:val="Nadpis3"/>
        <w:rPr>
          <w:lang w:val="cs-CZ"/>
        </w:rPr>
      </w:pPr>
      <w:r>
        <w:lastRenderedPageBreak/>
        <w:t xml:space="preserve"> </w:t>
      </w:r>
      <w:bookmarkStart w:id="13" w:name="_Toc368063526"/>
      <w:bookmarkStart w:id="14" w:name="_Toc370398416"/>
      <w:r w:rsidRPr="005C15AF">
        <w:rPr>
          <w:lang w:val="cs-CZ"/>
        </w:rPr>
        <w:t>Seznam zkratek</w:t>
      </w:r>
      <w:bookmarkEnd w:id="13"/>
      <w:bookmarkEnd w:id="14"/>
    </w:p>
    <w:p w:rsidR="00C06DA1" w:rsidRPr="001026D2" w:rsidRDefault="00C06DA1" w:rsidP="00623862">
      <w:pPr>
        <w:spacing w:before="0" w:after="0"/>
        <w:rPr>
          <w:sz w:val="10"/>
          <w:szCs w:val="10"/>
          <w:lang w:val="cs-CZ"/>
        </w:rPr>
      </w:pPr>
    </w:p>
    <w:tbl>
      <w:tblPr>
        <w:tblW w:w="5000" w:type="pct"/>
        <w:tblBorders>
          <w:bottom w:val="single" w:sz="4" w:space="0" w:color="72C7E7"/>
          <w:insideH w:val="single" w:sz="4" w:space="0" w:color="72C7E7"/>
        </w:tblBorders>
        <w:tblCellMar>
          <w:top w:w="28" w:type="dxa"/>
          <w:left w:w="28" w:type="dxa"/>
          <w:bottom w:w="28" w:type="dxa"/>
          <w:right w:w="28" w:type="dxa"/>
        </w:tblCellMar>
        <w:tblLook w:val="00A0"/>
      </w:tblPr>
      <w:tblGrid>
        <w:gridCol w:w="6"/>
        <w:gridCol w:w="2305"/>
        <w:gridCol w:w="6816"/>
      </w:tblGrid>
      <w:tr w:rsidR="00C06DA1" w:rsidRPr="00D95ED2">
        <w:trPr>
          <w:cantSplit/>
          <w:tblHeader/>
        </w:trPr>
        <w:tc>
          <w:tcPr>
            <w:tcW w:w="1264" w:type="pct"/>
            <w:gridSpan w:val="2"/>
            <w:shd w:val="clear" w:color="auto" w:fill="80CCE4"/>
          </w:tcPr>
          <w:p w:rsidR="00C06DA1" w:rsidRPr="00D95ED2" w:rsidRDefault="00C06DA1" w:rsidP="00623862">
            <w:pPr>
              <w:suppressAutoHyphens/>
              <w:overflowPunct w:val="0"/>
              <w:autoSpaceDE w:val="0"/>
              <w:autoSpaceDN w:val="0"/>
              <w:adjustRightInd w:val="0"/>
              <w:spacing w:before="0" w:after="0"/>
              <w:jc w:val="both"/>
              <w:textAlignment w:val="baseline"/>
              <w:rPr>
                <w:b/>
                <w:color w:val="FFFFFF"/>
                <w:sz w:val="22"/>
                <w:szCs w:val="22"/>
                <w:lang w:val="cs-CZ"/>
              </w:rPr>
            </w:pPr>
            <w:r w:rsidRPr="00D95ED2">
              <w:rPr>
                <w:b/>
                <w:color w:val="FFFFFF"/>
                <w:sz w:val="22"/>
                <w:szCs w:val="22"/>
                <w:lang w:val="cs-CZ"/>
              </w:rPr>
              <w:t>Pojem / Zkratka</w:t>
            </w:r>
          </w:p>
        </w:tc>
        <w:tc>
          <w:tcPr>
            <w:tcW w:w="3736" w:type="pct"/>
            <w:shd w:val="clear" w:color="auto" w:fill="80CCE4"/>
          </w:tcPr>
          <w:p w:rsidR="00C06DA1" w:rsidRPr="00D95ED2" w:rsidRDefault="00C06DA1" w:rsidP="00623862">
            <w:pPr>
              <w:suppressAutoHyphens/>
              <w:overflowPunct w:val="0"/>
              <w:autoSpaceDE w:val="0"/>
              <w:autoSpaceDN w:val="0"/>
              <w:adjustRightInd w:val="0"/>
              <w:spacing w:before="0" w:after="0"/>
              <w:jc w:val="both"/>
              <w:textAlignment w:val="baseline"/>
              <w:rPr>
                <w:b/>
                <w:color w:val="FFFFFF"/>
                <w:sz w:val="22"/>
                <w:szCs w:val="22"/>
                <w:lang w:val="cs-CZ"/>
              </w:rPr>
            </w:pPr>
            <w:r w:rsidRPr="00D95ED2">
              <w:rPr>
                <w:b/>
                <w:color w:val="FFFFFF"/>
                <w:sz w:val="22"/>
                <w:szCs w:val="22"/>
                <w:lang w:val="cs-CZ"/>
              </w:rPr>
              <w:t>Význam</w:t>
            </w:r>
          </w:p>
        </w:tc>
      </w:tr>
      <w:tr w:rsidR="00C06DA1" w:rsidRPr="00B14A1B">
        <w:trPr>
          <w:cantSplit/>
        </w:trPr>
        <w:tc>
          <w:tcPr>
            <w:tcW w:w="1264" w:type="pct"/>
            <w:gridSpan w:val="2"/>
            <w:shd w:val="clear" w:color="auto" w:fill="FFFFFF"/>
          </w:tcPr>
          <w:p w:rsidR="00C06DA1" w:rsidRPr="00D95ED2" w:rsidRDefault="00C06DA1" w:rsidP="00623862">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ABC analýza</w:t>
            </w:r>
          </w:p>
        </w:tc>
        <w:tc>
          <w:tcPr>
            <w:tcW w:w="3736" w:type="pct"/>
            <w:shd w:val="clear" w:color="auto" w:fill="FFFFFF"/>
          </w:tcPr>
          <w:p w:rsidR="00C06DA1" w:rsidRPr="00D95ED2" w:rsidRDefault="00C06DA1" w:rsidP="00623862">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 xml:space="preserve">Nebo také </w:t>
            </w:r>
            <w:proofErr w:type="spellStart"/>
            <w:r w:rsidRPr="00D95ED2">
              <w:rPr>
                <w:sz w:val="18"/>
                <w:szCs w:val="18"/>
                <w:lang w:val="cs-CZ"/>
              </w:rPr>
              <w:t>Paretova</w:t>
            </w:r>
            <w:proofErr w:type="spellEnd"/>
            <w:r w:rsidRPr="00D95ED2">
              <w:rPr>
                <w:sz w:val="18"/>
                <w:szCs w:val="18"/>
                <w:lang w:val="cs-CZ"/>
              </w:rPr>
              <w:t xml:space="preserve"> analýza spočívá v rozdělení zkoumané oblasti na věci klíčové a nepodstatné, tzn., že je založena na praktickém uplatnění </w:t>
            </w:r>
            <w:proofErr w:type="spellStart"/>
            <w:r w:rsidRPr="00D95ED2">
              <w:rPr>
                <w:sz w:val="18"/>
                <w:szCs w:val="18"/>
                <w:lang w:val="cs-CZ"/>
              </w:rPr>
              <w:t>Paretova</w:t>
            </w:r>
            <w:proofErr w:type="spellEnd"/>
            <w:r w:rsidRPr="00D95ED2">
              <w:rPr>
                <w:sz w:val="18"/>
                <w:szCs w:val="18"/>
                <w:lang w:val="cs-CZ"/>
              </w:rPr>
              <w:t xml:space="preserve"> pravidla.</w:t>
            </w:r>
          </w:p>
        </w:tc>
      </w:tr>
      <w:tr w:rsidR="00C06DA1" w:rsidRPr="00B14A1B">
        <w:trPr>
          <w:cantSplit/>
          <w:trHeight w:val="530"/>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Distribuční místo</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Místo, kde uživatel komunikace může získat a zaregistrovat OBU pro platbu předem (</w:t>
            </w:r>
            <w:proofErr w:type="spellStart"/>
            <w:r w:rsidRPr="00D95ED2">
              <w:rPr>
                <w:sz w:val="18"/>
                <w:szCs w:val="18"/>
                <w:lang w:val="cs-CZ"/>
              </w:rPr>
              <w:t>pre</w:t>
            </w:r>
            <w:proofErr w:type="spellEnd"/>
            <w:r w:rsidRPr="00D95ED2">
              <w:rPr>
                <w:sz w:val="18"/>
                <w:szCs w:val="18"/>
                <w:lang w:val="cs-CZ"/>
              </w:rPr>
              <w:t>-</w:t>
            </w:r>
            <w:proofErr w:type="spellStart"/>
            <w:r w:rsidRPr="00D95ED2">
              <w:rPr>
                <w:sz w:val="18"/>
                <w:szCs w:val="18"/>
                <w:lang w:val="cs-CZ"/>
              </w:rPr>
              <w:t>pay</w:t>
            </w:r>
            <w:proofErr w:type="spellEnd"/>
            <w:r w:rsidRPr="00D95ED2">
              <w:rPr>
                <w:sz w:val="18"/>
                <w:szCs w:val="18"/>
                <w:lang w:val="cs-CZ"/>
              </w:rPr>
              <w:t xml:space="preserve">). Tato místa jsou typicky určena pro poskytování služeb řidičům na cestách. Jsou umístěna na zpoplatněných komunikacích či v jejich blízkosti a na vybraných hraničních přechodech. </w:t>
            </w:r>
          </w:p>
        </w:tc>
      </w:tr>
      <w:tr w:rsidR="00C06DA1" w:rsidRPr="00D95ED2">
        <w:trPr>
          <w:cantSplit/>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DSRC 5,8 GHz</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proofErr w:type="spellStart"/>
            <w:r w:rsidRPr="00D95ED2">
              <w:rPr>
                <w:sz w:val="18"/>
                <w:szCs w:val="18"/>
                <w:lang w:val="cs-CZ"/>
              </w:rPr>
              <w:t>Dedicated</w:t>
            </w:r>
            <w:proofErr w:type="spellEnd"/>
            <w:r w:rsidRPr="00D95ED2">
              <w:rPr>
                <w:sz w:val="18"/>
                <w:szCs w:val="18"/>
                <w:lang w:val="cs-CZ"/>
              </w:rPr>
              <w:t xml:space="preserve"> </w:t>
            </w:r>
            <w:proofErr w:type="spellStart"/>
            <w:r w:rsidRPr="00D95ED2">
              <w:rPr>
                <w:sz w:val="18"/>
                <w:szCs w:val="18"/>
                <w:lang w:val="cs-CZ"/>
              </w:rPr>
              <w:t>Short</w:t>
            </w:r>
            <w:proofErr w:type="spellEnd"/>
            <w:r w:rsidRPr="00D95ED2">
              <w:rPr>
                <w:sz w:val="18"/>
                <w:szCs w:val="18"/>
                <w:lang w:val="cs-CZ"/>
              </w:rPr>
              <w:t xml:space="preserve"> </w:t>
            </w:r>
            <w:proofErr w:type="spellStart"/>
            <w:r w:rsidRPr="00D95ED2">
              <w:rPr>
                <w:sz w:val="18"/>
                <w:szCs w:val="18"/>
                <w:lang w:val="cs-CZ"/>
              </w:rPr>
              <w:t>Range</w:t>
            </w:r>
            <w:proofErr w:type="spellEnd"/>
            <w:r w:rsidRPr="00D95ED2">
              <w:rPr>
                <w:sz w:val="18"/>
                <w:szCs w:val="18"/>
                <w:lang w:val="cs-CZ"/>
              </w:rPr>
              <w:t xml:space="preserve"> </w:t>
            </w:r>
            <w:proofErr w:type="spellStart"/>
            <w:r w:rsidRPr="00D95ED2">
              <w:rPr>
                <w:sz w:val="18"/>
                <w:szCs w:val="18"/>
                <w:lang w:val="cs-CZ"/>
              </w:rPr>
              <w:t>Communication</w:t>
            </w:r>
            <w:proofErr w:type="spellEnd"/>
            <w:r w:rsidRPr="00D95ED2">
              <w:rPr>
                <w:sz w:val="18"/>
                <w:szCs w:val="18"/>
                <w:lang w:val="cs-CZ"/>
              </w:rPr>
              <w:t xml:space="preserve"> 5,8 GHz - Komunikace dedikovaného spojení krátkého dosahu s frekvencí 5,8 GHz.</w:t>
            </w:r>
          </w:p>
        </w:tc>
      </w:tr>
      <w:tr w:rsidR="00C06DA1" w:rsidRPr="00B14A1B">
        <w:trPr>
          <w:cantSplit/>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proofErr w:type="spellStart"/>
            <w:r w:rsidRPr="00D95ED2">
              <w:rPr>
                <w:sz w:val="18"/>
                <w:szCs w:val="18"/>
                <w:lang w:val="cs-CZ"/>
              </w:rPr>
              <w:t>EasyGo</w:t>
            </w:r>
            <w:proofErr w:type="spellEnd"/>
            <w:r w:rsidRPr="00D95ED2">
              <w:rPr>
                <w:sz w:val="18"/>
                <w:szCs w:val="18"/>
                <w:lang w:val="cs-CZ"/>
              </w:rPr>
              <w:t>+</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Projekt regionální interoperability, do něhož jsou zapojeny skandinávské státy společně s Republikou Rakousko.</w:t>
            </w:r>
          </w:p>
        </w:tc>
      </w:tr>
      <w:tr w:rsidR="00C06DA1" w:rsidRPr="00D95ED2">
        <w:trPr>
          <w:cantSplit/>
          <w:trHeight w:val="490"/>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EETS</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Evropská služba elektronického mýtného.</w:t>
            </w:r>
          </w:p>
        </w:tc>
      </w:tr>
      <w:tr w:rsidR="00C06DA1" w:rsidRPr="00B14A1B">
        <w:trPr>
          <w:cantSplit/>
          <w:trHeight w:val="580"/>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Emisní kategorie</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Mýtné sazby jsou diferencované dle počtu náprav (2, 3, 4 a více) a dle třech emisních kategorií, ve kterých jsou rozloženy jednotlivé emisní třídy (Euro 0-II, Euro III a IV, Euro V a vyšší).</w:t>
            </w:r>
          </w:p>
        </w:tc>
      </w:tr>
      <w:tr w:rsidR="00C06DA1" w:rsidRPr="00B14A1B">
        <w:trPr>
          <w:cantSplit/>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proofErr w:type="spellStart"/>
            <w:r w:rsidRPr="00D95ED2">
              <w:rPr>
                <w:sz w:val="18"/>
                <w:szCs w:val="18"/>
                <w:lang w:val="cs-CZ"/>
              </w:rPr>
              <w:t>Enforcement</w:t>
            </w:r>
            <w:proofErr w:type="spellEnd"/>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Soubor částí technického a programového vybavení Mýtného systému sloužící pro kontrolu výběru mýtného a soubor dalších činností sloužících k vymáhání nedoplatků mýtného a pokut.</w:t>
            </w:r>
          </w:p>
        </w:tc>
      </w:tr>
      <w:tr w:rsidR="00C06DA1" w:rsidRPr="00B14A1B">
        <w:trPr>
          <w:cantSplit/>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Euro (emisní třída)</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Vozidla třídy “Euro 0”, “Euro I”, “Euro II”, “Euro III”, “Euro IV”, “Euro V”,“Euro VI”, “EEV”, dle ustanovení v příloze 0 (uvedené mezní hodnoty) směrnice Evropského parlamentu a Rady 1999/62/ES ze dne 17. června 1999 o výběru poplatků za užívání určitých pozemních komunikací těžkými nákladními vozidly.</w:t>
            </w:r>
          </w:p>
        </w:tc>
      </w:tr>
      <w:tr w:rsidR="00C06DA1" w:rsidRPr="00D95ED2">
        <w:trPr>
          <w:cantSplit/>
          <w:trHeight w:val="407"/>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GNSS/CN</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proofErr w:type="spellStart"/>
            <w:r w:rsidRPr="00D95ED2">
              <w:rPr>
                <w:sz w:val="18"/>
                <w:szCs w:val="18"/>
                <w:lang w:val="cs-CZ"/>
              </w:rPr>
              <w:t>Global</w:t>
            </w:r>
            <w:proofErr w:type="spellEnd"/>
            <w:r w:rsidRPr="00D95ED2">
              <w:rPr>
                <w:sz w:val="18"/>
                <w:szCs w:val="18"/>
                <w:lang w:val="cs-CZ"/>
              </w:rPr>
              <w:t xml:space="preserve"> </w:t>
            </w:r>
            <w:proofErr w:type="spellStart"/>
            <w:r w:rsidRPr="00D95ED2">
              <w:rPr>
                <w:sz w:val="18"/>
                <w:szCs w:val="18"/>
                <w:lang w:val="cs-CZ"/>
              </w:rPr>
              <w:t>Navigation</w:t>
            </w:r>
            <w:proofErr w:type="spellEnd"/>
            <w:r w:rsidRPr="00D95ED2">
              <w:rPr>
                <w:sz w:val="18"/>
                <w:szCs w:val="18"/>
                <w:lang w:val="cs-CZ"/>
              </w:rPr>
              <w:t xml:space="preserve"> </w:t>
            </w:r>
            <w:proofErr w:type="spellStart"/>
            <w:r w:rsidRPr="00D95ED2">
              <w:rPr>
                <w:sz w:val="18"/>
                <w:szCs w:val="18"/>
                <w:lang w:val="cs-CZ"/>
              </w:rPr>
              <w:t>Satellite</w:t>
            </w:r>
            <w:proofErr w:type="spellEnd"/>
            <w:r w:rsidRPr="00D95ED2">
              <w:rPr>
                <w:sz w:val="18"/>
                <w:szCs w:val="18"/>
                <w:lang w:val="cs-CZ"/>
              </w:rPr>
              <w:t xml:space="preserve"> </w:t>
            </w:r>
            <w:proofErr w:type="spellStart"/>
            <w:r w:rsidRPr="00D95ED2">
              <w:rPr>
                <w:sz w:val="18"/>
                <w:szCs w:val="18"/>
                <w:lang w:val="cs-CZ"/>
              </w:rPr>
              <w:t>Systems</w:t>
            </w:r>
            <w:proofErr w:type="spellEnd"/>
            <w:r w:rsidRPr="00D95ED2">
              <w:rPr>
                <w:sz w:val="18"/>
                <w:szCs w:val="18"/>
                <w:lang w:val="cs-CZ"/>
              </w:rPr>
              <w:t xml:space="preserve"> </w:t>
            </w:r>
            <w:proofErr w:type="spellStart"/>
            <w:r w:rsidRPr="00D95ED2">
              <w:rPr>
                <w:sz w:val="18"/>
                <w:szCs w:val="18"/>
                <w:lang w:val="cs-CZ"/>
              </w:rPr>
              <w:t>and</w:t>
            </w:r>
            <w:proofErr w:type="spellEnd"/>
            <w:r w:rsidRPr="00D95ED2">
              <w:rPr>
                <w:sz w:val="18"/>
                <w:szCs w:val="18"/>
                <w:lang w:val="cs-CZ"/>
              </w:rPr>
              <w:t xml:space="preserve"> </w:t>
            </w:r>
            <w:proofErr w:type="spellStart"/>
            <w:r w:rsidRPr="00D95ED2">
              <w:rPr>
                <w:sz w:val="18"/>
                <w:szCs w:val="18"/>
                <w:lang w:val="cs-CZ"/>
              </w:rPr>
              <w:t>Cellular</w:t>
            </w:r>
            <w:proofErr w:type="spellEnd"/>
            <w:r w:rsidRPr="00D95ED2">
              <w:rPr>
                <w:sz w:val="18"/>
                <w:szCs w:val="18"/>
                <w:lang w:val="cs-CZ"/>
              </w:rPr>
              <w:t xml:space="preserve"> </w:t>
            </w:r>
            <w:proofErr w:type="spellStart"/>
            <w:r w:rsidRPr="00D95ED2">
              <w:rPr>
                <w:sz w:val="18"/>
                <w:szCs w:val="18"/>
                <w:lang w:val="cs-CZ"/>
              </w:rPr>
              <w:t>Networks</w:t>
            </w:r>
            <w:proofErr w:type="spellEnd"/>
            <w:r w:rsidRPr="00D95ED2">
              <w:rPr>
                <w:sz w:val="18"/>
                <w:szCs w:val="18"/>
                <w:lang w:val="cs-CZ"/>
              </w:rPr>
              <w:t xml:space="preserve"> – Globální navigační satelitní systémy a celulární sítě. </w:t>
            </w:r>
          </w:p>
        </w:tc>
      </w:tr>
      <w:tr w:rsidR="00C06DA1" w:rsidRPr="00D95ED2">
        <w:trPr>
          <w:cantSplit/>
          <w:trHeight w:val="529"/>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Konsorcium Kapsch</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 xml:space="preserve">Kapsch </w:t>
            </w:r>
            <w:proofErr w:type="spellStart"/>
            <w:r w:rsidRPr="00D95ED2">
              <w:rPr>
                <w:sz w:val="18"/>
                <w:szCs w:val="18"/>
                <w:lang w:val="cs-CZ"/>
              </w:rPr>
              <w:t>TrafficCom</w:t>
            </w:r>
            <w:proofErr w:type="spellEnd"/>
            <w:r w:rsidRPr="00D95ED2">
              <w:rPr>
                <w:sz w:val="18"/>
                <w:szCs w:val="18"/>
                <w:lang w:val="cs-CZ"/>
              </w:rPr>
              <w:t xml:space="preserve"> AG, KAPSCH TELECOM spol. s r.o., Kapsch </w:t>
            </w:r>
            <w:proofErr w:type="spellStart"/>
            <w:r w:rsidRPr="00D95ED2">
              <w:rPr>
                <w:sz w:val="18"/>
                <w:szCs w:val="18"/>
                <w:lang w:val="cs-CZ"/>
              </w:rPr>
              <w:t>BusinessCom</w:t>
            </w:r>
            <w:proofErr w:type="spellEnd"/>
            <w:r w:rsidRPr="00D95ED2">
              <w:rPr>
                <w:sz w:val="18"/>
                <w:szCs w:val="18"/>
                <w:lang w:val="cs-CZ"/>
              </w:rPr>
              <w:t xml:space="preserve"> AG, Kapsch </w:t>
            </w:r>
            <w:proofErr w:type="spellStart"/>
            <w:r w:rsidRPr="00D95ED2">
              <w:rPr>
                <w:sz w:val="18"/>
                <w:szCs w:val="18"/>
                <w:lang w:val="cs-CZ"/>
              </w:rPr>
              <w:t>CarrierCom</w:t>
            </w:r>
            <w:proofErr w:type="spellEnd"/>
            <w:r w:rsidRPr="00D95ED2">
              <w:rPr>
                <w:sz w:val="18"/>
                <w:szCs w:val="18"/>
                <w:lang w:val="cs-CZ"/>
              </w:rPr>
              <w:t xml:space="preserve"> AG, Kapsch </w:t>
            </w:r>
            <w:proofErr w:type="spellStart"/>
            <w:r w:rsidRPr="00D95ED2">
              <w:rPr>
                <w:sz w:val="18"/>
                <w:szCs w:val="18"/>
                <w:lang w:val="cs-CZ"/>
              </w:rPr>
              <w:t>TrafficCom</w:t>
            </w:r>
            <w:proofErr w:type="spellEnd"/>
            <w:r w:rsidRPr="00D95ED2">
              <w:rPr>
                <w:sz w:val="18"/>
                <w:szCs w:val="18"/>
                <w:lang w:val="cs-CZ"/>
              </w:rPr>
              <w:t xml:space="preserve"> </w:t>
            </w:r>
            <w:proofErr w:type="spellStart"/>
            <w:r w:rsidRPr="00D95ED2">
              <w:rPr>
                <w:sz w:val="18"/>
                <w:szCs w:val="18"/>
                <w:lang w:val="cs-CZ"/>
              </w:rPr>
              <w:t>Construction</w:t>
            </w:r>
            <w:proofErr w:type="spellEnd"/>
            <w:r w:rsidRPr="00D95ED2">
              <w:rPr>
                <w:sz w:val="18"/>
                <w:szCs w:val="18"/>
                <w:lang w:val="cs-CZ"/>
              </w:rPr>
              <w:t xml:space="preserve"> &amp; </w:t>
            </w:r>
            <w:proofErr w:type="spellStart"/>
            <w:r w:rsidRPr="00D95ED2">
              <w:rPr>
                <w:sz w:val="18"/>
                <w:szCs w:val="18"/>
                <w:lang w:val="cs-CZ"/>
              </w:rPr>
              <w:t>Realization</w:t>
            </w:r>
            <w:proofErr w:type="spellEnd"/>
            <w:r w:rsidRPr="00D95ED2">
              <w:rPr>
                <w:sz w:val="18"/>
                <w:szCs w:val="18"/>
                <w:lang w:val="cs-CZ"/>
              </w:rPr>
              <w:t xml:space="preserve"> spol. s r.o., Kapsch </w:t>
            </w:r>
            <w:proofErr w:type="spellStart"/>
            <w:r w:rsidRPr="00D95ED2">
              <w:rPr>
                <w:sz w:val="18"/>
                <w:szCs w:val="18"/>
                <w:lang w:val="cs-CZ"/>
              </w:rPr>
              <w:t>Telematic</w:t>
            </w:r>
            <w:proofErr w:type="spellEnd"/>
            <w:r w:rsidRPr="00D95ED2">
              <w:rPr>
                <w:sz w:val="18"/>
                <w:szCs w:val="18"/>
                <w:lang w:val="cs-CZ"/>
              </w:rPr>
              <w:t xml:space="preserve"> </w:t>
            </w:r>
            <w:proofErr w:type="spellStart"/>
            <w:r w:rsidRPr="00D95ED2">
              <w:rPr>
                <w:sz w:val="18"/>
                <w:szCs w:val="18"/>
                <w:lang w:val="cs-CZ"/>
              </w:rPr>
              <w:t>Services</w:t>
            </w:r>
            <w:proofErr w:type="spellEnd"/>
            <w:r w:rsidRPr="00D95ED2">
              <w:rPr>
                <w:sz w:val="18"/>
                <w:szCs w:val="18"/>
                <w:lang w:val="cs-CZ"/>
              </w:rPr>
              <w:t xml:space="preserve"> spol. s r.o., PVT, a.s.</w:t>
            </w:r>
          </w:p>
        </w:tc>
      </w:tr>
      <w:tr w:rsidR="00C06DA1" w:rsidRPr="00B14A1B">
        <w:trPr>
          <w:cantSplit/>
          <w:trHeight w:val="422"/>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Kontaktní místo</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Místo, kde uživatel komunikace může získat a zaregistrovat OBU jak pro platbu předem (</w:t>
            </w:r>
            <w:proofErr w:type="spellStart"/>
            <w:r w:rsidRPr="00D95ED2">
              <w:rPr>
                <w:sz w:val="18"/>
                <w:szCs w:val="18"/>
                <w:lang w:val="cs-CZ"/>
              </w:rPr>
              <w:t>pre</w:t>
            </w:r>
            <w:proofErr w:type="spellEnd"/>
            <w:r w:rsidRPr="00D95ED2">
              <w:rPr>
                <w:sz w:val="18"/>
                <w:szCs w:val="18"/>
                <w:lang w:val="cs-CZ"/>
              </w:rPr>
              <w:t>-</w:t>
            </w:r>
            <w:proofErr w:type="spellStart"/>
            <w:r w:rsidRPr="00D95ED2">
              <w:rPr>
                <w:sz w:val="18"/>
                <w:szCs w:val="18"/>
                <w:lang w:val="cs-CZ"/>
              </w:rPr>
              <w:t>pay</w:t>
            </w:r>
            <w:proofErr w:type="spellEnd"/>
            <w:r w:rsidRPr="00D95ED2">
              <w:rPr>
                <w:sz w:val="18"/>
                <w:szCs w:val="18"/>
                <w:lang w:val="cs-CZ"/>
              </w:rPr>
              <w:t>), tak i pro platbu následnou (post-</w:t>
            </w:r>
            <w:proofErr w:type="spellStart"/>
            <w:r w:rsidRPr="00D95ED2">
              <w:rPr>
                <w:sz w:val="18"/>
                <w:szCs w:val="18"/>
                <w:lang w:val="cs-CZ"/>
              </w:rPr>
              <w:t>pay</w:t>
            </w:r>
            <w:proofErr w:type="spellEnd"/>
            <w:r w:rsidRPr="00D95ED2">
              <w:rPr>
                <w:sz w:val="18"/>
                <w:szCs w:val="18"/>
                <w:lang w:val="cs-CZ"/>
              </w:rPr>
              <w:t>). Tato místa jsou typicky určena především pro poskytování služeb dopravním společnostem.</w:t>
            </w:r>
          </w:p>
        </w:tc>
      </w:tr>
      <w:tr w:rsidR="00C06DA1" w:rsidRPr="00B14A1B">
        <w:trPr>
          <w:cantSplit/>
          <w:trHeight w:val="638"/>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Kontrolní orgán</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Orgán státní správy, který na základě zvláštního právního předpisu vykonává kontrolu užití zpoplatněných komunikací.</w:t>
            </w:r>
          </w:p>
        </w:tc>
      </w:tr>
      <w:tr w:rsidR="00C06DA1" w:rsidRPr="00B14A1B">
        <w:trPr>
          <w:cantSplit/>
          <w:trHeight w:val="606"/>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Mýtná transakce</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Činnost nebo sled činností, jimiž je výkaz o mýtném předán Subjektu pro výběr mýtného.</w:t>
            </w:r>
          </w:p>
        </w:tc>
      </w:tr>
      <w:tr w:rsidR="00C06DA1" w:rsidRPr="00B14A1B">
        <w:trPr>
          <w:cantSplit/>
          <w:trHeight w:val="435"/>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Mýtné</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Platba za užití zpoplatněné komunikace zpoplatněným vozidlem ve smyslu Zákona 13/1997 Sb., jehož výše je stanovena prováděcími právními předpisy.</w:t>
            </w:r>
          </w:p>
        </w:tc>
      </w:tr>
      <w:tr w:rsidR="00C06DA1" w:rsidRPr="00B14A1B">
        <w:trPr>
          <w:cantSplit/>
          <w:trHeight w:val="435"/>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Mýtný úsek</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Úsek pozemní komunikace, pro který je předepsán konkrétní poplatek za užití zpoplatněné pozemní komunikace vycházející ze součinu mýtné sazby a délky tohoto úseku.</w:t>
            </w:r>
          </w:p>
        </w:tc>
      </w:tr>
      <w:tr w:rsidR="00C06DA1" w:rsidRPr="00D95ED2">
        <w:trPr>
          <w:cantSplit/>
          <w:trHeight w:val="585"/>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OBE</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 xml:space="preserve">On </w:t>
            </w:r>
            <w:proofErr w:type="spellStart"/>
            <w:r w:rsidRPr="00D95ED2">
              <w:rPr>
                <w:sz w:val="18"/>
                <w:szCs w:val="18"/>
                <w:lang w:val="cs-CZ"/>
              </w:rPr>
              <w:t>Board</w:t>
            </w:r>
            <w:proofErr w:type="spellEnd"/>
            <w:r w:rsidRPr="00D95ED2">
              <w:rPr>
                <w:sz w:val="18"/>
                <w:szCs w:val="18"/>
                <w:lang w:val="cs-CZ"/>
              </w:rPr>
              <w:t xml:space="preserve"> </w:t>
            </w:r>
            <w:proofErr w:type="spellStart"/>
            <w:r w:rsidRPr="00D95ED2">
              <w:rPr>
                <w:sz w:val="18"/>
                <w:szCs w:val="18"/>
                <w:lang w:val="cs-CZ"/>
              </w:rPr>
              <w:t>Equipment</w:t>
            </w:r>
            <w:proofErr w:type="spellEnd"/>
            <w:r w:rsidRPr="00D95ED2">
              <w:rPr>
                <w:sz w:val="18"/>
                <w:szCs w:val="18"/>
                <w:lang w:val="cs-CZ"/>
              </w:rPr>
              <w:t xml:space="preserve"> - palubní zařízení, které je používáno v Oblasti EETS.</w:t>
            </w:r>
          </w:p>
        </w:tc>
      </w:tr>
      <w:tr w:rsidR="00C06DA1" w:rsidRPr="00D95ED2">
        <w:trPr>
          <w:cantSplit/>
          <w:trHeight w:val="380"/>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Oblast EETS</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 xml:space="preserve">Oblast podléhající výběru mýtného, která spadá do oblasti působnosti směrnice Evropského parlamentu a Rady 2004/52/ES ze dne 29. dubna 2004 o interoperabilitě elektronických systémů pro výběr mýtného ve Společenství. Uživatelé pohybující se v této oblasti používají OBE. </w:t>
            </w:r>
          </w:p>
        </w:tc>
      </w:tr>
      <w:tr w:rsidR="00C06DA1" w:rsidRPr="00D95ED2">
        <w:trPr>
          <w:cantSplit/>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lastRenderedPageBreak/>
              <w:t>OBU</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 xml:space="preserve">On </w:t>
            </w:r>
            <w:proofErr w:type="spellStart"/>
            <w:r w:rsidRPr="00D95ED2">
              <w:rPr>
                <w:sz w:val="18"/>
                <w:szCs w:val="18"/>
                <w:lang w:val="cs-CZ"/>
              </w:rPr>
              <w:t>Board</w:t>
            </w:r>
            <w:proofErr w:type="spellEnd"/>
            <w:r w:rsidRPr="00D95ED2">
              <w:rPr>
                <w:sz w:val="18"/>
                <w:szCs w:val="18"/>
                <w:lang w:val="cs-CZ"/>
              </w:rPr>
              <w:t xml:space="preserve"> Unit - palubní jednotka, tj. elektronické palubní zařízení schválené podle zákona č. 22/1997 Sb., o technických požadavcích na výrobky a o změně a doplnění některých zákonů, ve znění pozdějších předpisů, které je používáno v Oblasti Subjektu pro výběr mýtného. Na území České republiky jde o všechny Zpoplatněné komunikace.</w:t>
            </w:r>
          </w:p>
        </w:tc>
      </w:tr>
      <w:tr w:rsidR="00C06DA1" w:rsidRPr="00D95ED2">
        <w:trPr>
          <w:cantSplit/>
          <w:trHeight w:val="475"/>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Poskytovatel EETS</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Právnická osoba splňující požadavky článku 3 Rozhodnutí 2009/750/ES a registrovaná v členském státě usazení, která uděluje přístup k EETS Uživatelům EETS. Subjekt poskytuje EETS a OBE.</w:t>
            </w:r>
          </w:p>
        </w:tc>
      </w:tr>
      <w:tr w:rsidR="00C06DA1" w:rsidRPr="00B14A1B">
        <w:trPr>
          <w:cantSplit/>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Prohlášení o systému elektronického mýtného</w:t>
            </w:r>
          </w:p>
        </w:tc>
        <w:tc>
          <w:tcPr>
            <w:tcW w:w="3736" w:type="pct"/>
            <w:shd w:val="clear" w:color="auto" w:fill="FFFFFF"/>
          </w:tcPr>
          <w:p w:rsidR="00C06DA1" w:rsidRPr="00D95ED2" w:rsidRDefault="00C06DA1" w:rsidP="00895E15">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Také „Prohlášení o oblasti EETS v České republice“ je dokument, který vznikl v rámci implementace Evropské služby elektronického mýtného v České republice, a to na základě článku 5 odst. 2 Rozhodnutí Komise 2009/750/ES ze dne 6. října 2009 o definici evropské služby elektronického mýtného a jejích technických prvků.</w:t>
            </w:r>
          </w:p>
        </w:tc>
      </w:tr>
      <w:tr w:rsidR="00C06DA1" w:rsidRPr="00B14A1B">
        <w:trPr>
          <w:cantSplit/>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Provozovatel Systému elektronického mýta</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Veřejnoprávní organizace v České republice, která ukládá mýtné za pohyb vozidel v Oblasti Subjektu pro výběr mýtného a v Oblasti EETS na území České republiky; též ŘSD.</w:t>
            </w:r>
          </w:p>
        </w:tc>
      </w:tr>
      <w:tr w:rsidR="00C06DA1" w:rsidRPr="00B14A1B">
        <w:trPr>
          <w:cantSplit/>
          <w:trHeight w:val="516"/>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rFonts w:cs="Calibri"/>
                <w:sz w:val="18"/>
                <w:szCs w:val="18"/>
                <w:lang w:val="cs-CZ"/>
              </w:rPr>
              <w:t>REETS</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Regionální způsob zavádění Evropské služby elektronického mýta v rámci Evropské unie</w:t>
            </w:r>
          </w:p>
        </w:tc>
      </w:tr>
      <w:tr w:rsidR="00C06DA1" w:rsidRPr="00B14A1B">
        <w:trPr>
          <w:cantSplit/>
          <w:trHeight w:val="516"/>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Režim platby Post-</w:t>
            </w:r>
            <w:proofErr w:type="spellStart"/>
            <w:r w:rsidRPr="00D95ED2">
              <w:rPr>
                <w:sz w:val="18"/>
                <w:szCs w:val="18"/>
                <w:lang w:val="cs-CZ"/>
              </w:rPr>
              <w:t>pay</w:t>
            </w:r>
            <w:proofErr w:type="spellEnd"/>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Placení následné - po užití zpoplatněné komunikace za předpokladu předchozího uzavření smlouvy se Subjektem pro výběr mýtného.</w:t>
            </w:r>
          </w:p>
        </w:tc>
      </w:tr>
      <w:tr w:rsidR="00C06DA1" w:rsidRPr="00B14A1B">
        <w:trPr>
          <w:cantSplit/>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 xml:space="preserve">Režim platby </w:t>
            </w:r>
            <w:proofErr w:type="spellStart"/>
            <w:r w:rsidRPr="00D95ED2">
              <w:rPr>
                <w:sz w:val="18"/>
                <w:szCs w:val="18"/>
                <w:lang w:val="cs-CZ"/>
              </w:rPr>
              <w:t>Pre</w:t>
            </w:r>
            <w:proofErr w:type="spellEnd"/>
            <w:r w:rsidRPr="00D95ED2">
              <w:rPr>
                <w:sz w:val="18"/>
                <w:szCs w:val="18"/>
                <w:lang w:val="cs-CZ"/>
              </w:rPr>
              <w:t>-</w:t>
            </w:r>
            <w:proofErr w:type="spellStart"/>
            <w:r w:rsidRPr="00D95ED2">
              <w:rPr>
                <w:sz w:val="18"/>
                <w:szCs w:val="18"/>
                <w:lang w:val="cs-CZ"/>
              </w:rPr>
              <w:t>pay</w:t>
            </w:r>
            <w:proofErr w:type="spellEnd"/>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Placení předem – předplacení částky za použití zpoplatněné komunikace před vjezdem na zpoplatněnou komunikaci.</w:t>
            </w:r>
          </w:p>
        </w:tc>
      </w:tr>
      <w:tr w:rsidR="00C06DA1" w:rsidRPr="00B14A1B">
        <w:trPr>
          <w:cantSplit/>
          <w:trHeight w:val="462"/>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Rozhodnutí 2009/750/ES</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Rozhodnutí Komise 2009/750/ES ze dne 6. října 2009 o definici evropské služby elektronického mýtného a jejích technických prvků</w:t>
            </w:r>
          </w:p>
        </w:tc>
      </w:tr>
      <w:tr w:rsidR="00C06DA1" w:rsidRPr="00D95ED2">
        <w:trPr>
          <w:cantSplit/>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RSE</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proofErr w:type="spellStart"/>
            <w:r w:rsidRPr="00D95ED2">
              <w:rPr>
                <w:sz w:val="18"/>
                <w:szCs w:val="18"/>
                <w:lang w:val="cs-CZ"/>
              </w:rPr>
              <w:t>Road</w:t>
            </w:r>
            <w:proofErr w:type="spellEnd"/>
            <w:r w:rsidRPr="00D95ED2">
              <w:rPr>
                <w:sz w:val="18"/>
                <w:szCs w:val="18"/>
                <w:lang w:val="cs-CZ"/>
              </w:rPr>
              <w:t xml:space="preserve"> </w:t>
            </w:r>
            <w:proofErr w:type="spellStart"/>
            <w:r w:rsidRPr="00D95ED2">
              <w:rPr>
                <w:sz w:val="18"/>
                <w:szCs w:val="18"/>
                <w:lang w:val="cs-CZ"/>
              </w:rPr>
              <w:t>Side</w:t>
            </w:r>
            <w:proofErr w:type="spellEnd"/>
            <w:r w:rsidRPr="00D95ED2">
              <w:rPr>
                <w:sz w:val="18"/>
                <w:szCs w:val="18"/>
                <w:lang w:val="cs-CZ"/>
              </w:rPr>
              <w:t xml:space="preserve"> </w:t>
            </w:r>
            <w:proofErr w:type="spellStart"/>
            <w:r w:rsidRPr="00D95ED2">
              <w:rPr>
                <w:sz w:val="18"/>
                <w:szCs w:val="18"/>
                <w:lang w:val="cs-CZ"/>
              </w:rPr>
              <w:t>Equipment</w:t>
            </w:r>
            <w:proofErr w:type="spellEnd"/>
            <w:r w:rsidRPr="00D95ED2">
              <w:rPr>
                <w:sz w:val="18"/>
                <w:szCs w:val="18"/>
                <w:lang w:val="cs-CZ"/>
              </w:rPr>
              <w:t xml:space="preserve"> – zařízení podél komunikací. Zde mýtné a kontrolní brány.</w:t>
            </w:r>
          </w:p>
        </w:tc>
      </w:tr>
      <w:tr w:rsidR="00C06DA1" w:rsidRPr="00B14A1B">
        <w:trPr>
          <w:cantSplit/>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ŘSD ČR</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Provozovatel Systému elektronického mýtného</w:t>
            </w:r>
            <w:r w:rsidRPr="00D95ED2" w:rsidDel="005511A4">
              <w:rPr>
                <w:sz w:val="18"/>
                <w:szCs w:val="18"/>
                <w:lang w:val="cs-CZ"/>
              </w:rPr>
              <w:t xml:space="preserve"> </w:t>
            </w:r>
            <w:r w:rsidRPr="00D95ED2">
              <w:rPr>
                <w:sz w:val="18"/>
                <w:szCs w:val="18"/>
                <w:lang w:val="cs-CZ"/>
              </w:rPr>
              <w:t>v České republice; též Subjekt pro výběr mýtného.</w:t>
            </w:r>
          </w:p>
        </w:tc>
      </w:tr>
      <w:tr w:rsidR="00C06DA1" w:rsidRPr="00B14A1B">
        <w:trPr>
          <w:cantSplit/>
          <w:trHeight w:val="516"/>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rFonts w:cs="Calibri"/>
                <w:bCs/>
                <w:sz w:val="18"/>
                <w:szCs w:val="18"/>
                <w:lang w:val="cs-CZ"/>
              </w:rPr>
              <w:t>Směrnice 1999/62/ES</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rFonts w:cs="Calibri"/>
                <w:bCs/>
                <w:sz w:val="18"/>
                <w:szCs w:val="18"/>
                <w:lang w:val="cs-CZ"/>
              </w:rPr>
              <w:t>Směrnice Evropského parlamentu a Rady 1999/62/ES ze dne 17. června 1999 o výběru poplatků za užívání určitých pozemních komunikací těžkými nákladními vozidly</w:t>
            </w:r>
          </w:p>
        </w:tc>
      </w:tr>
      <w:tr w:rsidR="00C06DA1" w:rsidRPr="00B14A1B">
        <w:trPr>
          <w:cantSplit/>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SWOT analýza</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Metoda, jejíž pomocí je možno identifikovat silné a slabé stránky, příležitosti a hrozby, spojené s určitým projektem,</w:t>
            </w:r>
          </w:p>
        </w:tc>
      </w:tr>
      <w:tr w:rsidR="00C06DA1" w:rsidRPr="00B14A1B">
        <w:trPr>
          <w:cantSplit/>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Systém elektronického mýtného (SEM)</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Systém elektronického mýtného ve smyslu § 22 odst. 2 Zákona 13/1997 Sb., který je ve vlastnictví České republiky, jehož prostřednictvím je v souladu se Zákonem 13/1997 Sb. vybíráno Mýtné na zpoplatněných komunikacích.</w:t>
            </w:r>
          </w:p>
        </w:tc>
      </w:tr>
      <w:tr w:rsidR="00C06DA1" w:rsidRPr="00B14A1B">
        <w:trPr>
          <w:cantSplit/>
        </w:trPr>
        <w:tc>
          <w:tcPr>
            <w:tcW w:w="1264" w:type="pct"/>
            <w:gridSpan w:val="2"/>
            <w:shd w:val="clear" w:color="auto" w:fill="FFFFFF"/>
          </w:tcPr>
          <w:p w:rsidR="00C06DA1" w:rsidRPr="00D95ED2" w:rsidDel="00887736"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Uživatel EETS</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bCs/>
                <w:iCs/>
                <w:sz w:val="18"/>
                <w:szCs w:val="18"/>
                <w:lang w:val="cs-CZ"/>
              </w:rPr>
              <w:t xml:space="preserve">Fyzická nebo právnická osoba, která byla jako Uživatel EETS řádně </w:t>
            </w:r>
            <w:r w:rsidRPr="00D95ED2">
              <w:rPr>
                <w:sz w:val="18"/>
                <w:szCs w:val="18"/>
                <w:lang w:val="cs-CZ"/>
              </w:rPr>
              <w:t>Subjektu pro výběr mýtného</w:t>
            </w:r>
            <w:r w:rsidRPr="00D95ED2">
              <w:rPr>
                <w:bCs/>
                <w:iCs/>
                <w:sz w:val="18"/>
                <w:szCs w:val="18"/>
                <w:lang w:val="cs-CZ"/>
              </w:rPr>
              <w:t xml:space="preserve"> oznámena Poskytovatelem EETS</w:t>
            </w:r>
            <w:r w:rsidRPr="00D95ED2">
              <w:rPr>
                <w:sz w:val="18"/>
                <w:szCs w:val="18"/>
                <w:lang w:val="cs-CZ"/>
              </w:rPr>
              <w:t>.</w:t>
            </w:r>
          </w:p>
        </w:tc>
      </w:tr>
      <w:tr w:rsidR="00C06DA1" w:rsidRPr="00B14A1B">
        <w:trPr>
          <w:cantSplit/>
        </w:trPr>
        <w:tc>
          <w:tcPr>
            <w:tcW w:w="1264" w:type="pct"/>
            <w:gridSpan w:val="2"/>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Vážený průměr</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Zobecňuje aritmetický průměr a poskytuje charakteristiku statistického souboru v případě, že hodnoty v tomto souboru mají různou důležitost, různou váhu. Používá se zejména při počítání celkového aritmetického průměru souboru složeného z více podsouborů.</w:t>
            </w:r>
          </w:p>
        </w:tc>
      </w:tr>
      <w:tr w:rsidR="00C06DA1" w:rsidRPr="00B14A1B">
        <w:trPr>
          <w:gridBefore w:val="1"/>
          <w:cantSplit/>
          <w:trHeight w:val="476"/>
        </w:trPr>
        <w:tc>
          <w:tcPr>
            <w:tcW w:w="1264" w:type="pct"/>
            <w:shd w:val="clear" w:color="auto" w:fill="FFFFFF"/>
          </w:tcPr>
          <w:p w:rsidR="00C06DA1" w:rsidRPr="00D95ED2" w:rsidRDefault="00C06DA1" w:rsidP="00E424D3">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Zákon 13/1997 Sb.</w:t>
            </w:r>
          </w:p>
        </w:tc>
        <w:tc>
          <w:tcPr>
            <w:tcW w:w="3736" w:type="pct"/>
            <w:shd w:val="clear" w:color="auto" w:fill="FFFFFF"/>
          </w:tcPr>
          <w:p w:rsidR="00C06DA1" w:rsidRPr="00D95ED2" w:rsidRDefault="00C06DA1" w:rsidP="00E424D3">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 xml:space="preserve">Zákon č. 13/1997 Sb., o pozemních komunikacích, ve znění pozdějších předpisů. </w:t>
            </w:r>
          </w:p>
        </w:tc>
      </w:tr>
      <w:tr w:rsidR="00C06DA1" w:rsidRPr="00B14A1B">
        <w:trPr>
          <w:gridBefore w:val="1"/>
          <w:cantSplit/>
        </w:trPr>
        <w:tc>
          <w:tcPr>
            <w:tcW w:w="1264" w:type="pct"/>
            <w:shd w:val="clear" w:color="auto" w:fill="FFFFFF"/>
          </w:tcPr>
          <w:p w:rsidR="00C06DA1" w:rsidRPr="00D95ED2" w:rsidRDefault="00C06DA1" w:rsidP="00623862">
            <w:pPr>
              <w:suppressAutoHyphens/>
              <w:overflowPunct w:val="0"/>
              <w:autoSpaceDE w:val="0"/>
              <w:autoSpaceDN w:val="0"/>
              <w:adjustRightInd w:val="0"/>
              <w:spacing w:before="0" w:after="0"/>
              <w:textAlignment w:val="baseline"/>
              <w:rPr>
                <w:sz w:val="18"/>
                <w:szCs w:val="18"/>
                <w:lang w:val="cs-CZ"/>
              </w:rPr>
            </w:pPr>
            <w:r w:rsidRPr="00D95ED2">
              <w:rPr>
                <w:sz w:val="18"/>
                <w:szCs w:val="18"/>
                <w:lang w:val="cs-CZ"/>
              </w:rPr>
              <w:t>ZVZ</w:t>
            </w:r>
          </w:p>
        </w:tc>
        <w:tc>
          <w:tcPr>
            <w:tcW w:w="3736" w:type="pct"/>
            <w:shd w:val="clear" w:color="auto" w:fill="FFFFFF"/>
          </w:tcPr>
          <w:p w:rsidR="00C06DA1" w:rsidRPr="00D95ED2" w:rsidRDefault="00C06DA1" w:rsidP="00623862">
            <w:pPr>
              <w:suppressAutoHyphens/>
              <w:overflowPunct w:val="0"/>
              <w:autoSpaceDE w:val="0"/>
              <w:autoSpaceDN w:val="0"/>
              <w:adjustRightInd w:val="0"/>
              <w:spacing w:before="0" w:after="0"/>
              <w:jc w:val="both"/>
              <w:textAlignment w:val="baseline"/>
              <w:rPr>
                <w:sz w:val="18"/>
                <w:szCs w:val="18"/>
                <w:lang w:val="cs-CZ"/>
              </w:rPr>
            </w:pPr>
            <w:r w:rsidRPr="00D95ED2">
              <w:rPr>
                <w:sz w:val="18"/>
                <w:szCs w:val="18"/>
                <w:lang w:val="cs-CZ"/>
              </w:rPr>
              <w:t>Zákon č. 137/2006 Sb., o veřejných zakázkách, ve znění pozdějších předpisů.</w:t>
            </w:r>
          </w:p>
        </w:tc>
      </w:tr>
    </w:tbl>
    <w:p w:rsidR="00C06DA1" w:rsidRPr="005C15AF" w:rsidRDefault="00C06DA1" w:rsidP="006B59DF">
      <w:pPr>
        <w:pStyle w:val="Nadpis1"/>
        <w:rPr>
          <w:b w:val="0"/>
          <w:sz w:val="40"/>
          <w:szCs w:val="40"/>
          <w:lang w:val="cs-CZ"/>
        </w:rPr>
      </w:pPr>
      <w:r w:rsidRPr="005C15AF">
        <w:rPr>
          <w:b w:val="0"/>
          <w:sz w:val="40"/>
          <w:szCs w:val="40"/>
          <w:lang w:val="cs-CZ"/>
        </w:rPr>
        <w:br w:type="page"/>
      </w:r>
      <w:bookmarkStart w:id="15" w:name="_Toc368063527"/>
      <w:bookmarkStart w:id="16" w:name="_Toc370398417"/>
      <w:r w:rsidRPr="005C15AF">
        <w:rPr>
          <w:b w:val="0"/>
          <w:sz w:val="40"/>
          <w:szCs w:val="40"/>
          <w:lang w:val="cs-CZ"/>
        </w:rPr>
        <w:lastRenderedPageBreak/>
        <w:t>ÚVOD</w:t>
      </w:r>
      <w:r>
        <w:rPr>
          <w:b w:val="0"/>
          <w:sz w:val="40"/>
          <w:szCs w:val="40"/>
          <w:lang w:val="cs-CZ"/>
        </w:rPr>
        <w:t>NÍ ČÁST</w:t>
      </w:r>
      <w:bookmarkEnd w:id="15"/>
      <w:bookmarkEnd w:id="16"/>
    </w:p>
    <w:p w:rsidR="00C06DA1" w:rsidRDefault="00C06DA1" w:rsidP="000622C8">
      <w:pPr>
        <w:jc w:val="both"/>
        <w:rPr>
          <w:sz w:val="22"/>
          <w:szCs w:val="22"/>
          <w:lang w:val="cs-CZ"/>
        </w:rPr>
      </w:pPr>
      <w:r w:rsidRPr="005C15AF">
        <w:rPr>
          <w:sz w:val="22"/>
          <w:szCs w:val="22"/>
          <w:lang w:val="cs-CZ"/>
        </w:rPr>
        <w:t>Cílem tohoto materiálu je představení dalšího postupu ve zpoplatnění obecného užívání pozemních komunikací vozidly s celkovou hmotností nad 3,5 tuny, což vyplývá z povinnosti Ministerstva dopravy předložit vládě materiál, který by takový postup stanovil a to pro období do 31. 12. 2016, tedy do doby, kdy skončí platnost smlouvy o službách uzavřené s Konsorciem vedeným společnostmi Kapsch, a současně od 1. 1. 2017, tj. po skončení platnosti této smlouvy o službách.</w:t>
      </w:r>
    </w:p>
    <w:p w:rsidR="00C06DA1" w:rsidRPr="005C15AF" w:rsidRDefault="00C06DA1" w:rsidP="000622C8">
      <w:pPr>
        <w:jc w:val="both"/>
        <w:rPr>
          <w:rFonts w:cs="Calibri"/>
          <w:sz w:val="22"/>
          <w:szCs w:val="22"/>
          <w:lang w:val="cs-CZ"/>
        </w:rPr>
      </w:pPr>
      <w:r>
        <w:rPr>
          <w:sz w:val="22"/>
          <w:szCs w:val="22"/>
          <w:lang w:val="cs-CZ"/>
        </w:rPr>
        <w:t xml:space="preserve">V případě, že je v tomto dokumentu uváděno zpoplatnění silnic I., II. a III. třídy, je nutné reflektovat, že zpoplatnění těchto pozemních komunikací je pouze v extravilánu, tedy v území mimo zastavěné části obcí, a to z důvodu zamezení případného objíždění zpoplatněných </w:t>
      </w:r>
      <w:proofErr w:type="spellStart"/>
      <w:r>
        <w:rPr>
          <w:sz w:val="22"/>
          <w:szCs w:val="22"/>
          <w:lang w:val="cs-CZ"/>
        </w:rPr>
        <w:t>intravilánových</w:t>
      </w:r>
      <w:proofErr w:type="spellEnd"/>
      <w:r>
        <w:rPr>
          <w:sz w:val="22"/>
          <w:szCs w:val="22"/>
          <w:lang w:val="cs-CZ"/>
        </w:rPr>
        <w:t xml:space="preserve"> úseků těchto pozemních komunikací především po místních komunikacích.</w:t>
      </w:r>
    </w:p>
    <w:p w:rsidR="00C06DA1" w:rsidRDefault="00C06DA1" w:rsidP="0003388E">
      <w:pPr>
        <w:pStyle w:val="Nadpis2"/>
        <w:rPr>
          <w:sz w:val="28"/>
          <w:szCs w:val="28"/>
          <w:lang w:val="cs-CZ"/>
        </w:rPr>
      </w:pPr>
      <w:r w:rsidRPr="007F7788">
        <w:rPr>
          <w:sz w:val="28"/>
          <w:szCs w:val="28"/>
          <w:lang w:val="cs-CZ"/>
        </w:rPr>
        <w:br w:type="page"/>
      </w:r>
      <w:bookmarkStart w:id="17" w:name="_Toc368063528"/>
      <w:bookmarkStart w:id="18" w:name="_Toc370398418"/>
      <w:r>
        <w:rPr>
          <w:sz w:val="28"/>
          <w:szCs w:val="28"/>
          <w:lang w:val="cs-CZ"/>
        </w:rPr>
        <w:lastRenderedPageBreak/>
        <w:t>Cíle zpoplatnění obecného užívání pozemních komunikací</w:t>
      </w:r>
      <w:bookmarkEnd w:id="17"/>
      <w:bookmarkEnd w:id="18"/>
    </w:p>
    <w:p w:rsidR="00C06DA1" w:rsidRDefault="00C06DA1">
      <w:pPr>
        <w:pStyle w:val="BodyText1"/>
        <w:rPr>
          <w:lang w:val="cs-CZ"/>
        </w:rPr>
      </w:pPr>
      <w:r>
        <w:rPr>
          <w:lang w:val="cs-CZ"/>
        </w:rPr>
        <w:t>Ministerstvo dopravy považuje za klíčové následující dva cíle zpoplatnění obecného užívání pozemních komunikací</w:t>
      </w:r>
      <w:r w:rsidRPr="003A60B6">
        <w:rPr>
          <w:szCs w:val="22"/>
          <w:lang w:val="cs-CZ"/>
        </w:rPr>
        <w:t xml:space="preserve"> </w:t>
      </w:r>
      <w:r w:rsidRPr="005C15AF">
        <w:rPr>
          <w:szCs w:val="22"/>
          <w:lang w:val="cs-CZ"/>
        </w:rPr>
        <w:t>vozidly s celkovou hmotností nad 3,5 tuny</w:t>
      </w:r>
      <w:r>
        <w:rPr>
          <w:lang w:val="cs-CZ"/>
        </w:rPr>
        <w:t>:</w:t>
      </w:r>
    </w:p>
    <w:p w:rsidR="00C06DA1" w:rsidRDefault="00C06DA1">
      <w:pPr>
        <w:pStyle w:val="BodyText1"/>
        <w:numPr>
          <w:ilvl w:val="0"/>
          <w:numId w:val="30"/>
        </w:numPr>
        <w:rPr>
          <w:lang w:val="cs-CZ"/>
        </w:rPr>
      </w:pPr>
      <w:r>
        <w:rPr>
          <w:b/>
          <w:lang w:val="cs-CZ"/>
        </w:rPr>
        <w:t xml:space="preserve">mýtné jako </w:t>
      </w:r>
      <w:r w:rsidRPr="004D5A7D">
        <w:rPr>
          <w:b/>
          <w:lang w:val="cs-CZ"/>
        </w:rPr>
        <w:t>fiskální cíl</w:t>
      </w:r>
      <w:r>
        <w:rPr>
          <w:lang w:val="cs-CZ"/>
        </w:rPr>
        <w:t xml:space="preserve"> = zajištění</w:t>
      </w:r>
      <w:r w:rsidRPr="009F4ADA">
        <w:rPr>
          <w:lang w:val="cs-CZ"/>
        </w:rPr>
        <w:t xml:space="preserve"> příjmů ze zpoplatnění pro Státní fond dopravní infrastruktury</w:t>
      </w:r>
      <w:r>
        <w:rPr>
          <w:lang w:val="cs-CZ"/>
        </w:rPr>
        <w:t xml:space="preserve">, tzn. dosažení </w:t>
      </w:r>
      <w:r w:rsidRPr="009F4ADA">
        <w:rPr>
          <w:lang w:val="cs-CZ"/>
        </w:rPr>
        <w:t>větší stability financování dopravní infrastruktury</w:t>
      </w:r>
      <w:r>
        <w:rPr>
          <w:lang w:val="cs-CZ"/>
        </w:rPr>
        <w:t xml:space="preserve"> zdrojem, který není přímo závislý na fiskální politice státu</w:t>
      </w:r>
      <w:r w:rsidR="004E1496">
        <w:rPr>
          <w:lang w:val="cs-CZ"/>
        </w:rPr>
        <w:t xml:space="preserve"> – tento cíl lze považovat s ohledem na současný stav poznání v dané problematice za zásadní</w:t>
      </w:r>
      <w:r>
        <w:rPr>
          <w:lang w:val="cs-CZ"/>
        </w:rPr>
        <w:t>;</w:t>
      </w:r>
    </w:p>
    <w:p w:rsidR="00C06DA1" w:rsidRDefault="00C06DA1">
      <w:pPr>
        <w:pStyle w:val="BodyText1"/>
        <w:numPr>
          <w:ilvl w:val="0"/>
          <w:numId w:val="30"/>
        </w:numPr>
        <w:rPr>
          <w:lang w:val="cs-CZ"/>
        </w:rPr>
      </w:pPr>
      <w:r>
        <w:rPr>
          <w:b/>
          <w:lang w:val="cs-CZ"/>
        </w:rPr>
        <w:t xml:space="preserve">nástroj </w:t>
      </w:r>
      <w:r w:rsidRPr="004D5A7D">
        <w:rPr>
          <w:b/>
          <w:lang w:val="cs-CZ"/>
        </w:rPr>
        <w:t>regulace dopravy</w:t>
      </w:r>
      <w:r>
        <w:rPr>
          <w:lang w:val="cs-CZ"/>
        </w:rPr>
        <w:t xml:space="preserve"> = zpoplatnění může určitým způsobem napomoci regulaci dopravy (prostorové, časové nebo kombinaci obou) a zajistit pozitivní motivaci k využívání páteřní sítě pozemních komunikací v ČR.</w:t>
      </w:r>
    </w:p>
    <w:p w:rsidR="00C06DA1" w:rsidRPr="00B01FB6" w:rsidRDefault="00C06DA1" w:rsidP="00905AAF">
      <w:pPr>
        <w:pStyle w:val="BodyText1"/>
        <w:rPr>
          <w:lang w:val="cs-CZ"/>
        </w:rPr>
      </w:pPr>
      <w:r w:rsidRPr="00B01FB6">
        <w:rPr>
          <w:lang w:val="cs-CZ"/>
        </w:rPr>
        <w:t xml:space="preserve">Mezi další stěžejní cíle </w:t>
      </w:r>
      <w:r>
        <w:rPr>
          <w:lang w:val="cs-CZ"/>
        </w:rPr>
        <w:t xml:space="preserve">koncepce </w:t>
      </w:r>
      <w:r w:rsidRPr="00B01FB6">
        <w:rPr>
          <w:lang w:val="cs-CZ"/>
        </w:rPr>
        <w:t>zpoplatnění obecného užívání pozemních komunikací lze zařadit:</w:t>
      </w:r>
    </w:p>
    <w:p w:rsidR="00C06DA1" w:rsidRDefault="00C06DA1" w:rsidP="00905AAF">
      <w:pPr>
        <w:pStyle w:val="BodyText1"/>
        <w:numPr>
          <w:ilvl w:val="0"/>
          <w:numId w:val="44"/>
        </w:numPr>
        <w:rPr>
          <w:lang w:val="cs-CZ"/>
        </w:rPr>
      </w:pPr>
      <w:r>
        <w:rPr>
          <w:lang w:val="cs-CZ"/>
        </w:rPr>
        <w:t xml:space="preserve">zajištění </w:t>
      </w:r>
      <w:r w:rsidRPr="008D4875">
        <w:rPr>
          <w:b/>
          <w:lang w:val="cs-CZ"/>
        </w:rPr>
        <w:t>interoperability</w:t>
      </w:r>
      <w:r>
        <w:rPr>
          <w:lang w:val="cs-CZ"/>
        </w:rPr>
        <w:t xml:space="preserve"> Systému elektronického mýta skrze zavedení regionální interoperability v duchu Evropské služby elektronického mýta a zavedení samotné Evropské služby elektronického mýta (dále také „EETS“);</w:t>
      </w:r>
    </w:p>
    <w:p w:rsidR="00C06DA1" w:rsidRDefault="00C06DA1" w:rsidP="00905AAF">
      <w:pPr>
        <w:pStyle w:val="BodyText1"/>
        <w:numPr>
          <w:ilvl w:val="0"/>
          <w:numId w:val="44"/>
        </w:numPr>
        <w:rPr>
          <w:lang w:val="cs-CZ"/>
        </w:rPr>
      </w:pPr>
      <w:r w:rsidRPr="00B01FB6">
        <w:rPr>
          <w:lang w:val="cs-CZ"/>
        </w:rPr>
        <w:t xml:space="preserve">rozšíření možností </w:t>
      </w:r>
      <w:r w:rsidRPr="008D4875">
        <w:rPr>
          <w:b/>
          <w:lang w:val="cs-CZ"/>
        </w:rPr>
        <w:t>regulačních účinků</w:t>
      </w:r>
      <w:r w:rsidRPr="00B01FB6">
        <w:rPr>
          <w:lang w:val="cs-CZ"/>
        </w:rPr>
        <w:t xml:space="preserve"> mýta na silniční provoz s využitím možnosti flexibilního rozšiřování mýtných úseků a změn </w:t>
      </w:r>
      <w:r>
        <w:rPr>
          <w:lang w:val="cs-CZ"/>
        </w:rPr>
        <w:t xml:space="preserve">mýtných </w:t>
      </w:r>
      <w:r w:rsidRPr="00B01FB6">
        <w:rPr>
          <w:lang w:val="cs-CZ"/>
        </w:rPr>
        <w:t>sazeb nebo zaveden</w:t>
      </w:r>
      <w:r>
        <w:rPr>
          <w:lang w:val="cs-CZ"/>
        </w:rPr>
        <w:t>í</w:t>
      </w:r>
      <w:r w:rsidRPr="00B01FB6">
        <w:rPr>
          <w:lang w:val="cs-CZ"/>
        </w:rPr>
        <w:t>m nov</w:t>
      </w:r>
      <w:r>
        <w:rPr>
          <w:lang w:val="cs-CZ"/>
        </w:rPr>
        <w:t>ý</w:t>
      </w:r>
      <w:r w:rsidRPr="00B01FB6">
        <w:rPr>
          <w:lang w:val="cs-CZ"/>
        </w:rPr>
        <w:t xml:space="preserve">ch </w:t>
      </w:r>
      <w:r>
        <w:rPr>
          <w:lang w:val="cs-CZ"/>
        </w:rPr>
        <w:t xml:space="preserve">mýtných </w:t>
      </w:r>
      <w:r w:rsidRPr="00B01FB6">
        <w:rPr>
          <w:lang w:val="cs-CZ"/>
        </w:rPr>
        <w:t>sazeb</w:t>
      </w:r>
      <w:r>
        <w:rPr>
          <w:lang w:val="cs-CZ"/>
        </w:rPr>
        <w:t>;</w:t>
      </w:r>
    </w:p>
    <w:p w:rsidR="00C06DA1" w:rsidRDefault="00C06DA1" w:rsidP="00905AAF">
      <w:pPr>
        <w:pStyle w:val="BodyText1"/>
        <w:numPr>
          <w:ilvl w:val="0"/>
          <w:numId w:val="44"/>
        </w:numPr>
        <w:rPr>
          <w:lang w:val="cs-CZ"/>
        </w:rPr>
      </w:pPr>
      <w:r>
        <w:rPr>
          <w:lang w:val="cs-CZ"/>
        </w:rPr>
        <w:t xml:space="preserve">zajištění </w:t>
      </w:r>
      <w:r w:rsidRPr="008D4875">
        <w:rPr>
          <w:b/>
          <w:lang w:val="cs-CZ"/>
        </w:rPr>
        <w:t>dat</w:t>
      </w:r>
      <w:r>
        <w:rPr>
          <w:lang w:val="cs-CZ"/>
        </w:rPr>
        <w:t xml:space="preserve"> o chování dopravního proudu pro řízení provozu na pozemních komunikacích;</w:t>
      </w:r>
    </w:p>
    <w:p w:rsidR="00C06DA1" w:rsidRDefault="00C06DA1" w:rsidP="00905AAF">
      <w:pPr>
        <w:pStyle w:val="BodyText1"/>
        <w:numPr>
          <w:ilvl w:val="0"/>
          <w:numId w:val="44"/>
        </w:numPr>
        <w:rPr>
          <w:lang w:val="cs-CZ"/>
        </w:rPr>
      </w:pPr>
      <w:r>
        <w:rPr>
          <w:lang w:val="cs-CZ"/>
        </w:rPr>
        <w:t xml:space="preserve">zajištění </w:t>
      </w:r>
      <w:r w:rsidRPr="008D4875">
        <w:rPr>
          <w:b/>
          <w:lang w:val="cs-CZ"/>
        </w:rPr>
        <w:t>dat</w:t>
      </w:r>
      <w:r>
        <w:rPr>
          <w:lang w:val="cs-CZ"/>
        </w:rPr>
        <w:t xml:space="preserve"> pro efektivní hospodaření s vozovkou z hlediska údržby a oprav dle dopravní zátěže a skladby dopravního proudu a</w:t>
      </w:r>
    </w:p>
    <w:p w:rsidR="00C06DA1" w:rsidRPr="008D4875" w:rsidRDefault="00C06DA1" w:rsidP="00905AAF">
      <w:pPr>
        <w:pStyle w:val="BodyText1"/>
        <w:numPr>
          <w:ilvl w:val="0"/>
          <w:numId w:val="44"/>
        </w:numPr>
        <w:rPr>
          <w:lang w:val="cs-CZ"/>
        </w:rPr>
      </w:pPr>
      <w:r>
        <w:rPr>
          <w:lang w:val="cs-CZ"/>
        </w:rPr>
        <w:t xml:space="preserve">nalezení </w:t>
      </w:r>
      <w:r w:rsidRPr="008D4875">
        <w:rPr>
          <w:b/>
          <w:lang w:val="cs-CZ"/>
        </w:rPr>
        <w:t>flexibilního a otevřeného</w:t>
      </w:r>
      <w:r>
        <w:rPr>
          <w:lang w:val="cs-CZ"/>
        </w:rPr>
        <w:t xml:space="preserve"> řešení umožňující další rozšiřování Systému elektronického mýta.</w:t>
      </w:r>
    </w:p>
    <w:p w:rsidR="00C06DA1" w:rsidRDefault="00C06DA1">
      <w:pPr>
        <w:pStyle w:val="BodyText1"/>
        <w:rPr>
          <w:lang w:val="cs-CZ"/>
        </w:rPr>
      </w:pPr>
      <w:r w:rsidRPr="00DD2F1B">
        <w:rPr>
          <w:lang w:val="cs-CZ"/>
        </w:rPr>
        <w:t xml:space="preserve">Mýtné je prostředkem pro zajištění </w:t>
      </w:r>
      <w:r w:rsidRPr="00DD2F1B">
        <w:rPr>
          <w:b/>
          <w:lang w:val="cs-CZ"/>
        </w:rPr>
        <w:t>návratnosti</w:t>
      </w:r>
      <w:r w:rsidRPr="00DD2F1B">
        <w:rPr>
          <w:lang w:val="cs-CZ"/>
        </w:rPr>
        <w:t xml:space="preserve"> investic do silniční infrastruktury. Mýtné by tak mělo zajistit </w:t>
      </w:r>
      <w:r w:rsidRPr="00DD2F1B">
        <w:rPr>
          <w:b/>
          <w:lang w:val="cs-CZ"/>
        </w:rPr>
        <w:t xml:space="preserve">roční </w:t>
      </w:r>
      <w:r w:rsidRPr="00DD2F1B">
        <w:rPr>
          <w:lang w:val="cs-CZ"/>
        </w:rPr>
        <w:t xml:space="preserve">návratnost prostředků na údržbu zpoplatněné sítě pozemních komunikací a </w:t>
      </w:r>
      <w:r w:rsidRPr="00DD2F1B">
        <w:rPr>
          <w:b/>
          <w:lang w:val="cs-CZ"/>
        </w:rPr>
        <w:t>roční podíl</w:t>
      </w:r>
      <w:r w:rsidRPr="00DD2F1B">
        <w:rPr>
          <w:lang w:val="cs-CZ"/>
        </w:rPr>
        <w:t xml:space="preserve"> z investičních nákladů tak, aby došlo k jejich úhradě za dobu životnosti této infrastruktury. Neopominutelným přínosem zpoplatnění je to, že se na úhradě nákladů na silniční infrastrukturu podílejí také </w:t>
      </w:r>
      <w:r w:rsidRPr="00DD2F1B">
        <w:rPr>
          <w:b/>
          <w:lang w:val="cs-CZ"/>
        </w:rPr>
        <w:t>zahraniční</w:t>
      </w:r>
      <w:r w:rsidRPr="00DD2F1B">
        <w:rPr>
          <w:lang w:val="cs-CZ"/>
        </w:rPr>
        <w:t xml:space="preserve"> vozidla, resp. všichni uživatelé této infrastruktury.</w:t>
      </w:r>
    </w:p>
    <w:p w:rsidR="00C06DA1" w:rsidRDefault="00C06DA1">
      <w:pPr>
        <w:pStyle w:val="BodyText1"/>
        <w:rPr>
          <w:lang w:val="cs-CZ"/>
        </w:rPr>
      </w:pPr>
      <w:r>
        <w:rPr>
          <w:lang w:val="cs-CZ"/>
        </w:rPr>
        <w:t xml:space="preserve">Indikátorem naplnění cílů zpoplatnění obecného užívání pozemních komunikací vozidly s celkovou hmotností nad 3,5 tuny by měla být </w:t>
      </w:r>
      <w:r w:rsidRPr="004D5A7D">
        <w:rPr>
          <w:b/>
          <w:lang w:val="cs-CZ"/>
        </w:rPr>
        <w:t>míra nákladové efektivity</w:t>
      </w:r>
      <w:r>
        <w:rPr>
          <w:b/>
          <w:lang w:val="cs-CZ"/>
        </w:rPr>
        <w:t xml:space="preserve"> celého systému, tj. poměr výdajů a výnosů celého zpoplatnění</w:t>
      </w:r>
      <w:r>
        <w:rPr>
          <w:lang w:val="cs-CZ"/>
        </w:rPr>
        <w:t xml:space="preserve">, kterou Dopravní politika ČR pro období 2014 – 2020 s výhledem do roku 2050 stanovuje na úrovni </w:t>
      </w:r>
      <w:r w:rsidRPr="004D5A7D">
        <w:rPr>
          <w:b/>
          <w:lang w:val="cs-CZ"/>
        </w:rPr>
        <w:t>30</w:t>
      </w:r>
      <w:r>
        <w:rPr>
          <w:b/>
          <w:lang w:val="cs-CZ"/>
        </w:rPr>
        <w:t xml:space="preserve"> </w:t>
      </w:r>
      <w:r w:rsidRPr="004D5A7D">
        <w:rPr>
          <w:b/>
          <w:lang w:val="cs-CZ"/>
        </w:rPr>
        <w:t>%</w:t>
      </w:r>
      <w:r>
        <w:rPr>
          <w:lang w:val="cs-CZ"/>
        </w:rPr>
        <w:t>.</w:t>
      </w:r>
    </w:p>
    <w:p w:rsidR="00C06DA1" w:rsidRPr="004E1496" w:rsidRDefault="004E1496" w:rsidP="004E1496">
      <w:pPr>
        <w:pStyle w:val="BodyText1"/>
        <w:rPr>
          <w:lang w:val="cs-CZ"/>
        </w:rPr>
      </w:pPr>
      <w:r>
        <w:rPr>
          <w:lang w:val="cs-CZ"/>
        </w:rPr>
        <w:t xml:space="preserve">V souvislosti se zpoplatněním pozemních komunikací nepřímo souvisí problematika objíždění těchto pozemních komunikací, případně regulace tranzitní (zbytné) dopravy na pozemních komunikacích, které nejsou k tomuto účelu navrženy. Ministerstvo dopravy považuje problematiku objíždění zpoplatněných pozemích komunikací za marginální záležitost, kterou ovšem již nyní mohou mnohé obce dle v současnosti platné legislativy řešit, a to především s využitím zákona č. 13/1997 Sb., o pozemních komunikacích a zákona č. 361/2000 Sb., o provozu na pozemních komunikacích.  </w:t>
      </w:r>
      <w:r>
        <w:rPr>
          <w:lang w:val="cs-CZ"/>
        </w:rPr>
        <w:lastRenderedPageBreak/>
        <w:t>Problematiku regulace tranzitní dopravy také důkladněji řeší připravované novela zákona č. 13/1997 Sb., o pozemních komunikacích, která v Poslanecké sněmovně Parlamentu České republiky prošla 1. čtením, avšak v souvislosti s jejím rozpuštěním bude nutné celý proces opětovně zahájit.</w:t>
      </w:r>
      <w:bookmarkStart w:id="19" w:name="_Toc368063529"/>
    </w:p>
    <w:p w:rsidR="00C06DA1" w:rsidRPr="00905AAF" w:rsidRDefault="004E1496" w:rsidP="00905AAF">
      <w:pPr>
        <w:pStyle w:val="Nadpis2"/>
        <w:rPr>
          <w:sz w:val="28"/>
          <w:szCs w:val="28"/>
          <w:lang w:val="cs-CZ"/>
        </w:rPr>
      </w:pPr>
      <w:bookmarkStart w:id="20" w:name="_Toc370398419"/>
      <w:r>
        <w:rPr>
          <w:sz w:val="28"/>
          <w:szCs w:val="28"/>
          <w:lang w:val="cs-CZ"/>
        </w:rPr>
        <w:br w:type="page"/>
      </w:r>
      <w:r w:rsidR="00C06DA1" w:rsidRPr="00905AAF">
        <w:rPr>
          <w:sz w:val="28"/>
          <w:szCs w:val="28"/>
          <w:lang w:val="cs-CZ"/>
        </w:rPr>
        <w:lastRenderedPageBreak/>
        <w:t>Manažerské shrnutí</w:t>
      </w:r>
      <w:bookmarkEnd w:id="20"/>
    </w:p>
    <w:p w:rsidR="00C06DA1" w:rsidRPr="00DD2F1B" w:rsidRDefault="00C06DA1" w:rsidP="00905AAF">
      <w:pPr>
        <w:pStyle w:val="BodyText1"/>
        <w:rPr>
          <w:lang w:val="cs-CZ"/>
        </w:rPr>
      </w:pPr>
      <w:r>
        <w:rPr>
          <w:lang w:val="cs-CZ"/>
        </w:rPr>
        <w:t xml:space="preserve">S ohledem na výše uvedené cíle je nutné </w:t>
      </w:r>
      <w:r w:rsidRPr="00DD2F1B">
        <w:rPr>
          <w:lang w:val="cs-CZ"/>
        </w:rPr>
        <w:t>se</w:t>
      </w:r>
      <w:r>
        <w:rPr>
          <w:lang w:val="cs-CZ"/>
        </w:rPr>
        <w:t xml:space="preserve"> zabývat</w:t>
      </w:r>
      <w:r w:rsidRPr="00DD2F1B">
        <w:rPr>
          <w:lang w:val="cs-CZ"/>
        </w:rPr>
        <w:t xml:space="preserve"> možnostmi případného rozšíření výkonového zpoplatnění, a to v</w:t>
      </w:r>
      <w:r>
        <w:rPr>
          <w:lang w:val="cs-CZ"/>
        </w:rPr>
        <w:t>e dvou</w:t>
      </w:r>
      <w:r w:rsidRPr="00DD2F1B">
        <w:rPr>
          <w:lang w:val="cs-CZ"/>
        </w:rPr>
        <w:t> níže uvedených časových etapách.</w:t>
      </w:r>
    </w:p>
    <w:p w:rsidR="00C06DA1" w:rsidRPr="00DD2F1B" w:rsidRDefault="00C06DA1" w:rsidP="00905AAF">
      <w:pPr>
        <w:rPr>
          <w:b/>
          <w:sz w:val="24"/>
          <w:szCs w:val="24"/>
          <w:lang w:val="cs-CZ"/>
        </w:rPr>
      </w:pPr>
      <w:r w:rsidRPr="00DD2F1B">
        <w:rPr>
          <w:b/>
          <w:sz w:val="24"/>
          <w:szCs w:val="24"/>
          <w:lang w:val="cs-CZ"/>
        </w:rPr>
        <w:t>Do roku 2016</w:t>
      </w:r>
    </w:p>
    <w:p w:rsidR="00C06DA1" w:rsidRPr="00DD2F1B" w:rsidRDefault="00C06DA1" w:rsidP="00905AAF">
      <w:pPr>
        <w:pStyle w:val="BodyText1"/>
        <w:rPr>
          <w:lang w:val="cs-CZ"/>
        </w:rPr>
      </w:pPr>
      <w:r w:rsidRPr="00DD2F1B">
        <w:rPr>
          <w:lang w:val="cs-CZ"/>
        </w:rPr>
        <w:t>Do konce roku 2016 není možné realizovat zásadní systémové změny v oblasti výkonového zpoplatnění, a to z důvodu existence smlouvy se stávajícím p</w:t>
      </w:r>
      <w:r>
        <w:rPr>
          <w:lang w:val="cs-CZ"/>
        </w:rPr>
        <w:t>oskytovatelem služeb souvisejících s provozem Systému elektronického mýta (dále také „SEM“)</w:t>
      </w:r>
      <w:r w:rsidRPr="00DD2F1B">
        <w:rPr>
          <w:lang w:val="cs-CZ"/>
        </w:rPr>
        <w:t>. Výjimkou je zavedení Evropské sl</w:t>
      </w:r>
      <w:r>
        <w:rPr>
          <w:lang w:val="cs-CZ"/>
        </w:rPr>
        <w:t>užby elektronického mýta či zavedení regionální interoperability.</w:t>
      </w:r>
    </w:p>
    <w:p w:rsidR="00C06DA1" w:rsidRPr="00DD2F1B" w:rsidRDefault="004E1496" w:rsidP="00905AAF">
      <w:pPr>
        <w:pStyle w:val="BodyText1"/>
        <w:rPr>
          <w:lang w:val="cs-CZ"/>
        </w:rPr>
      </w:pPr>
      <w:r w:rsidRPr="00DD2F1B">
        <w:rPr>
          <w:lang w:val="cs-CZ"/>
        </w:rPr>
        <w:t xml:space="preserve">Navýšení příjmů je možné </w:t>
      </w:r>
      <w:r>
        <w:rPr>
          <w:lang w:val="cs-CZ"/>
        </w:rPr>
        <w:t>o</w:t>
      </w:r>
      <w:r w:rsidRPr="00DD2F1B">
        <w:rPr>
          <w:lang w:val="cs-CZ"/>
        </w:rPr>
        <w:t xml:space="preserve">d 1. 1. 2015 </w:t>
      </w:r>
      <w:r>
        <w:rPr>
          <w:lang w:val="cs-CZ"/>
        </w:rPr>
        <w:t>realizovat zvýšením</w:t>
      </w:r>
      <w:r w:rsidRPr="00DD2F1B">
        <w:rPr>
          <w:lang w:val="cs-CZ"/>
        </w:rPr>
        <w:t xml:space="preserve"> </w:t>
      </w:r>
      <w:r>
        <w:rPr>
          <w:lang w:val="cs-CZ"/>
        </w:rPr>
        <w:t xml:space="preserve">mýtných </w:t>
      </w:r>
      <w:r w:rsidRPr="00DD2F1B">
        <w:rPr>
          <w:lang w:val="cs-CZ"/>
        </w:rPr>
        <w:t>saz</w:t>
      </w:r>
      <w:r>
        <w:rPr>
          <w:lang w:val="cs-CZ"/>
        </w:rPr>
        <w:t>e</w:t>
      </w:r>
      <w:r w:rsidRPr="00DD2F1B">
        <w:rPr>
          <w:lang w:val="cs-CZ"/>
        </w:rPr>
        <w:t>b v emisní kategorii Euro V a vyšší a dosáhnout tak jejich přiblížení k</w:t>
      </w:r>
      <w:r>
        <w:rPr>
          <w:lang w:val="cs-CZ"/>
        </w:rPr>
        <w:t xml:space="preserve"> mýtným sazbám </w:t>
      </w:r>
      <w:r w:rsidRPr="00DD2F1B">
        <w:rPr>
          <w:lang w:val="cs-CZ"/>
        </w:rPr>
        <w:t>ostatní</w:t>
      </w:r>
      <w:r>
        <w:rPr>
          <w:lang w:val="cs-CZ"/>
        </w:rPr>
        <w:t>ch</w:t>
      </w:r>
      <w:r w:rsidRPr="00DD2F1B">
        <w:rPr>
          <w:lang w:val="cs-CZ"/>
        </w:rPr>
        <w:t xml:space="preserve"> emisní</w:t>
      </w:r>
      <w:r>
        <w:rPr>
          <w:lang w:val="cs-CZ"/>
        </w:rPr>
        <w:t>ch</w:t>
      </w:r>
      <w:r w:rsidRPr="00DD2F1B">
        <w:rPr>
          <w:lang w:val="cs-CZ"/>
        </w:rPr>
        <w:t xml:space="preserve"> kategorií. V rámci této změny může dojít také k úpravě struktury tarifních skupin s ohledem na zavádění vozidel splňujících emisní normu Euro VI.</w:t>
      </w:r>
      <w:r w:rsidR="00C06DA1" w:rsidRPr="00DD2F1B">
        <w:rPr>
          <w:lang w:val="cs-CZ"/>
        </w:rPr>
        <w:t xml:space="preserve"> </w:t>
      </w:r>
    </w:p>
    <w:p w:rsidR="00C06DA1" w:rsidRPr="00DD2F1B" w:rsidRDefault="00C06DA1" w:rsidP="00905AAF">
      <w:pPr>
        <w:pStyle w:val="BodyText1"/>
        <w:rPr>
          <w:b/>
          <w:sz w:val="24"/>
          <w:szCs w:val="24"/>
          <w:lang w:val="cs-CZ"/>
        </w:rPr>
      </w:pPr>
      <w:r w:rsidRPr="00DD2F1B">
        <w:rPr>
          <w:b/>
          <w:sz w:val="24"/>
          <w:szCs w:val="24"/>
          <w:lang w:val="cs-CZ"/>
        </w:rPr>
        <w:t>Po roce 2016</w:t>
      </w:r>
    </w:p>
    <w:p w:rsidR="00C06DA1" w:rsidRPr="00DD2F1B" w:rsidRDefault="00C06DA1" w:rsidP="00905AAF">
      <w:pPr>
        <w:pStyle w:val="BodyText1"/>
        <w:rPr>
          <w:lang w:val="cs-CZ"/>
        </w:rPr>
      </w:pPr>
      <w:r w:rsidRPr="00DD2F1B">
        <w:rPr>
          <w:lang w:val="cs-CZ"/>
        </w:rPr>
        <w:t xml:space="preserve">Pokud bude po roce 2016 provozován systém v rozsahu nynější zpoplatněné sítě, bude možno využít </w:t>
      </w:r>
      <w:r>
        <w:rPr>
          <w:lang w:val="cs-CZ"/>
        </w:rPr>
        <w:t xml:space="preserve">součásti </w:t>
      </w:r>
      <w:r w:rsidRPr="00DD2F1B">
        <w:rPr>
          <w:lang w:val="cs-CZ"/>
        </w:rPr>
        <w:t>stávající mýtné infrastruktury a bude potřeba zajistit formou zadávacího řízení poskytovatele služeb souvisejících s provozem tohoto mýtného systému.</w:t>
      </w:r>
    </w:p>
    <w:p w:rsidR="00C06DA1" w:rsidRPr="00DD2F1B" w:rsidRDefault="00C06DA1" w:rsidP="00905AAF">
      <w:pPr>
        <w:pStyle w:val="BodyText1"/>
        <w:rPr>
          <w:lang w:val="cs-CZ"/>
        </w:rPr>
      </w:pPr>
      <w:r w:rsidRPr="00DD2F1B">
        <w:rPr>
          <w:lang w:val="cs-CZ"/>
        </w:rPr>
        <w:t xml:space="preserve">Pokud bude </w:t>
      </w:r>
      <w:r>
        <w:rPr>
          <w:lang w:val="cs-CZ"/>
        </w:rPr>
        <w:t>realizováno</w:t>
      </w:r>
      <w:r w:rsidRPr="00DD2F1B">
        <w:rPr>
          <w:lang w:val="cs-CZ"/>
        </w:rPr>
        <w:t xml:space="preserve"> rozšíření rozsahu zpoplatněných pozemních komunikací, bude nutné zajistit:</w:t>
      </w:r>
    </w:p>
    <w:p w:rsidR="00C06DA1" w:rsidRPr="00DD2F1B" w:rsidRDefault="00C06DA1" w:rsidP="00905AAF">
      <w:pPr>
        <w:pStyle w:val="BodyText1"/>
        <w:numPr>
          <w:ilvl w:val="0"/>
          <w:numId w:val="30"/>
        </w:numPr>
        <w:rPr>
          <w:lang w:val="cs-CZ"/>
        </w:rPr>
      </w:pPr>
      <w:r w:rsidRPr="00DD2F1B">
        <w:rPr>
          <w:lang w:val="cs-CZ"/>
        </w:rPr>
        <w:t>rozhodnutí o rozsahu zpoplatnění;</w:t>
      </w:r>
    </w:p>
    <w:p w:rsidR="00C06DA1" w:rsidRPr="00DD2F1B" w:rsidRDefault="00C06DA1" w:rsidP="00905AAF">
      <w:pPr>
        <w:pStyle w:val="BodyText1"/>
        <w:numPr>
          <w:ilvl w:val="0"/>
          <w:numId w:val="30"/>
        </w:numPr>
        <w:rPr>
          <w:lang w:val="cs-CZ"/>
        </w:rPr>
      </w:pPr>
      <w:r w:rsidRPr="00DD2F1B">
        <w:rPr>
          <w:lang w:val="cs-CZ"/>
        </w:rPr>
        <w:t>služby projektového manažera;</w:t>
      </w:r>
    </w:p>
    <w:p w:rsidR="00C06DA1" w:rsidRPr="00DD2F1B" w:rsidRDefault="00C06DA1" w:rsidP="00905AAF">
      <w:pPr>
        <w:pStyle w:val="BodyText1"/>
        <w:numPr>
          <w:ilvl w:val="0"/>
          <w:numId w:val="30"/>
        </w:numPr>
        <w:rPr>
          <w:lang w:val="cs-CZ"/>
        </w:rPr>
      </w:pPr>
      <w:r w:rsidRPr="00DD2F1B">
        <w:rPr>
          <w:lang w:val="cs-CZ"/>
        </w:rPr>
        <w:t>zadávací řízení na nový (rozšířený) systém výkonového zpoplatnění a jeho provozování;</w:t>
      </w:r>
    </w:p>
    <w:p w:rsidR="00C06DA1" w:rsidRPr="00DD2F1B" w:rsidRDefault="00C06DA1" w:rsidP="00905AAF">
      <w:pPr>
        <w:pStyle w:val="BodyText1"/>
        <w:numPr>
          <w:ilvl w:val="0"/>
          <w:numId w:val="30"/>
        </w:numPr>
        <w:rPr>
          <w:lang w:val="cs-CZ"/>
        </w:rPr>
      </w:pPr>
      <w:r w:rsidRPr="00DD2F1B">
        <w:rPr>
          <w:lang w:val="cs-CZ"/>
        </w:rPr>
        <w:t>návaznost nového systému výkonového zpoplatnění na stávající systém;</w:t>
      </w:r>
    </w:p>
    <w:p w:rsidR="00C06DA1" w:rsidRPr="00DD2F1B" w:rsidRDefault="00C06DA1" w:rsidP="00905AAF">
      <w:pPr>
        <w:pStyle w:val="BodyText1"/>
        <w:numPr>
          <w:ilvl w:val="0"/>
          <w:numId w:val="30"/>
        </w:numPr>
        <w:rPr>
          <w:lang w:val="cs-CZ"/>
        </w:rPr>
      </w:pPr>
      <w:r w:rsidRPr="00DD2F1B">
        <w:rPr>
          <w:lang w:val="cs-CZ"/>
        </w:rPr>
        <w:t>zadávací řízení na označení zpoplatněných komunikací i pozemních komunikací na ně navazujících.</w:t>
      </w:r>
    </w:p>
    <w:p w:rsidR="00C06DA1" w:rsidRPr="00DD2F1B" w:rsidRDefault="00C06DA1" w:rsidP="00905AAF">
      <w:pPr>
        <w:pStyle w:val="BodyText1"/>
        <w:rPr>
          <w:lang w:val="cs-CZ"/>
        </w:rPr>
      </w:pPr>
      <w:r w:rsidRPr="00DD2F1B">
        <w:rPr>
          <w:lang w:val="cs-CZ"/>
        </w:rPr>
        <w:t xml:space="preserve">Z provedené technicko-ekonomické analýzy různých variant rozsahu zpoplatnění vyplývá, že výkonové zpoplatnění silnic II., případně III. třídy není </w:t>
      </w:r>
      <w:r>
        <w:rPr>
          <w:lang w:val="cs-CZ"/>
        </w:rPr>
        <w:t xml:space="preserve">dle současné úrovně znalostí </w:t>
      </w:r>
      <w:r w:rsidRPr="00DD2F1B">
        <w:rPr>
          <w:lang w:val="cs-CZ"/>
        </w:rPr>
        <w:t xml:space="preserve">ekonomicky výhodné. V případě, že bude uvažováno se zpoplatněním vybraných úseků silnic </w:t>
      </w:r>
      <w:r>
        <w:rPr>
          <w:lang w:val="cs-CZ"/>
        </w:rPr>
        <w:t xml:space="preserve">jiných vlastníků (např. silnic </w:t>
      </w:r>
      <w:r w:rsidRPr="00DD2F1B">
        <w:rPr>
          <w:lang w:val="cs-CZ"/>
        </w:rPr>
        <w:t>II.</w:t>
      </w:r>
      <w:r>
        <w:rPr>
          <w:lang w:val="cs-CZ"/>
        </w:rPr>
        <w:t xml:space="preserve"> a III.</w:t>
      </w:r>
      <w:r w:rsidRPr="00DD2F1B">
        <w:rPr>
          <w:lang w:val="cs-CZ"/>
        </w:rPr>
        <w:t xml:space="preserve"> třídy</w:t>
      </w:r>
      <w:r>
        <w:rPr>
          <w:lang w:val="cs-CZ"/>
        </w:rPr>
        <w:t>)</w:t>
      </w:r>
      <w:r w:rsidRPr="00DD2F1B">
        <w:rPr>
          <w:lang w:val="cs-CZ"/>
        </w:rPr>
        <w:t>, musí být vyřešeno na jedné straně směrování příjmů z vybraného mýtného vlastníkům komunikací (tedy krajům</w:t>
      </w:r>
      <w:r>
        <w:rPr>
          <w:lang w:val="cs-CZ"/>
        </w:rPr>
        <w:t xml:space="preserve"> v případě silnic II. a III. třídy</w:t>
      </w:r>
      <w:r w:rsidRPr="00DD2F1B">
        <w:rPr>
          <w:lang w:val="cs-CZ"/>
        </w:rPr>
        <w:t xml:space="preserve">) a na druhé straně musí být zajištěno, aby se </w:t>
      </w:r>
      <w:r>
        <w:rPr>
          <w:lang w:val="cs-CZ"/>
        </w:rPr>
        <w:t xml:space="preserve">vlastníci těchto pozemních komunikací </w:t>
      </w:r>
      <w:r w:rsidRPr="00DD2F1B">
        <w:rPr>
          <w:lang w:val="cs-CZ"/>
        </w:rPr>
        <w:t>podílel</w:t>
      </w:r>
      <w:r>
        <w:rPr>
          <w:lang w:val="cs-CZ"/>
        </w:rPr>
        <w:t>i</w:t>
      </w:r>
      <w:r w:rsidRPr="00DD2F1B">
        <w:rPr>
          <w:lang w:val="cs-CZ"/>
        </w:rPr>
        <w:t xml:space="preserve"> na úhradě přiměřené části nákladů na výběr mýtného. </w:t>
      </w:r>
      <w:r>
        <w:rPr>
          <w:lang w:val="cs-CZ"/>
        </w:rPr>
        <w:t>V každém případě by mělo být zajištěno dodržení míry nákladové efektivity pod hranicí 30 %.</w:t>
      </w:r>
    </w:p>
    <w:p w:rsidR="00C06DA1" w:rsidRDefault="00C06DA1" w:rsidP="00905AAF">
      <w:pPr>
        <w:pStyle w:val="BodyText1"/>
        <w:rPr>
          <w:lang w:val="cs-CZ"/>
        </w:rPr>
      </w:pPr>
      <w:r w:rsidRPr="00DD2F1B">
        <w:rPr>
          <w:lang w:val="cs-CZ"/>
        </w:rPr>
        <w:t xml:space="preserve">Jako doplněk k současnému výkonovému zpoplatnění dálnic, rychlostních silnic a vybraných úseků silnic I. třídy lze realizovat časové zpoplatnění silnic I. třídy, případně i silnic nižších tříd. Na základě provedených analýz lze konstatovat, že časové zpoplatnění je možným způsobem zpoplatnění, který ovšem má i mnohé nevýhody (ne příliš systémové a koncepčně omezené řešení bez rozvojového </w:t>
      </w:r>
      <w:r w:rsidRPr="00DD2F1B">
        <w:rPr>
          <w:lang w:val="cs-CZ"/>
        </w:rPr>
        <w:lastRenderedPageBreak/>
        <w:t>potenciálu). Na druhou stranu se jedná o způsob zpoplatnění s vysokou efektivitou výběru časových poplatků, avšak bez zabezpečení příjmů velkých finančních prostředků</w:t>
      </w:r>
      <w:r>
        <w:rPr>
          <w:lang w:val="cs-CZ"/>
        </w:rPr>
        <w:t xml:space="preserve"> (tj. není zcela naplňován fiskální cíl zpoplatnění obecného užívání pozemních komunikací)</w:t>
      </w:r>
      <w:r w:rsidRPr="00DD2F1B">
        <w:rPr>
          <w:lang w:val="cs-CZ"/>
        </w:rPr>
        <w:t>.</w:t>
      </w:r>
    </w:p>
    <w:p w:rsidR="00C06DA1" w:rsidRPr="00D50D0C" w:rsidRDefault="00C06DA1" w:rsidP="00905AAF">
      <w:pPr>
        <w:pStyle w:val="BodyText1"/>
        <w:rPr>
          <w:b/>
          <w:lang w:val="cs-CZ"/>
        </w:rPr>
      </w:pPr>
      <w:r>
        <w:rPr>
          <w:b/>
          <w:lang w:val="cs-CZ"/>
        </w:rPr>
        <w:t xml:space="preserve">Základní východiska </w:t>
      </w:r>
    </w:p>
    <w:p w:rsidR="00C06DA1" w:rsidRDefault="00C06DA1" w:rsidP="00905AAF">
      <w:pPr>
        <w:pStyle w:val="BodyText1"/>
        <w:rPr>
          <w:lang w:val="cs-CZ"/>
        </w:rPr>
      </w:pPr>
      <w:r>
        <w:rPr>
          <w:lang w:val="cs-CZ"/>
        </w:rPr>
        <w:t>V dalším textu jsou uvedeny argumenty a souvislosti mapující problematiku různých variant zpoplatnění a rozsahu zpoplatněné sítě a jejich ekonomické porovnání. Na základě dále uvedených skutečností je nutné se zaměřit především na následující východiska:</w:t>
      </w:r>
    </w:p>
    <w:p w:rsidR="00C06DA1" w:rsidRPr="001B3875" w:rsidRDefault="00C06DA1" w:rsidP="00905AAF">
      <w:pPr>
        <w:pStyle w:val="BodyText1"/>
        <w:numPr>
          <w:ilvl w:val="0"/>
          <w:numId w:val="43"/>
        </w:numPr>
        <w:rPr>
          <w:lang w:val="cs-CZ"/>
        </w:rPr>
      </w:pPr>
      <w:r w:rsidRPr="004D5A7D">
        <w:rPr>
          <w:b/>
          <w:lang w:val="cs-CZ"/>
        </w:rPr>
        <w:t>výkon</w:t>
      </w:r>
      <w:r>
        <w:rPr>
          <w:b/>
          <w:lang w:val="cs-CZ"/>
        </w:rPr>
        <w:t>ová</w:t>
      </w:r>
      <w:r w:rsidRPr="004D5A7D">
        <w:rPr>
          <w:b/>
          <w:lang w:val="cs-CZ"/>
        </w:rPr>
        <w:t xml:space="preserve"> variant</w:t>
      </w:r>
      <w:r>
        <w:rPr>
          <w:b/>
          <w:lang w:val="cs-CZ"/>
        </w:rPr>
        <w:t>a</w:t>
      </w:r>
      <w:r w:rsidRPr="004D5A7D">
        <w:rPr>
          <w:b/>
          <w:lang w:val="cs-CZ"/>
        </w:rPr>
        <w:t xml:space="preserve"> zpoplatnění</w:t>
      </w:r>
      <w:r>
        <w:rPr>
          <w:lang w:val="cs-CZ"/>
        </w:rPr>
        <w:t xml:space="preserve"> – z důvodu zajištění základního fiskálního cíle mýtného systému, kterou časové zpoplatnění nedokáže v plné míře naplnit;</w:t>
      </w:r>
    </w:p>
    <w:p w:rsidR="00C06DA1" w:rsidRPr="001B3875" w:rsidRDefault="00C06DA1" w:rsidP="00905AAF">
      <w:pPr>
        <w:pStyle w:val="BodyText1"/>
        <w:numPr>
          <w:ilvl w:val="0"/>
          <w:numId w:val="43"/>
        </w:numPr>
        <w:rPr>
          <w:lang w:val="cs-CZ"/>
        </w:rPr>
      </w:pPr>
      <w:r w:rsidRPr="004D5A7D">
        <w:rPr>
          <w:b/>
          <w:lang w:val="cs-CZ"/>
        </w:rPr>
        <w:t>nabídnutí komponent stávajícího Systému elektronického mýta</w:t>
      </w:r>
      <w:r>
        <w:rPr>
          <w:lang w:val="cs-CZ"/>
        </w:rPr>
        <w:t xml:space="preserve"> uchazečům ve výběrovém řízení na nový Systém elektronického mýtného – z důvodu využití již realizovaných investic do technologických částí stávajícího systému (např. kontrolní brány, palubní jednotky atd.);</w:t>
      </w:r>
    </w:p>
    <w:p w:rsidR="00C06DA1" w:rsidRPr="001B3875" w:rsidRDefault="00C06DA1" w:rsidP="00905AAF">
      <w:pPr>
        <w:pStyle w:val="BodyText1"/>
        <w:numPr>
          <w:ilvl w:val="0"/>
          <w:numId w:val="43"/>
        </w:numPr>
        <w:rPr>
          <w:lang w:val="cs-CZ"/>
        </w:rPr>
      </w:pPr>
      <w:r w:rsidRPr="004D5A7D">
        <w:rPr>
          <w:b/>
          <w:lang w:val="cs-CZ"/>
        </w:rPr>
        <w:t>zpoplatnění rozšířit</w:t>
      </w:r>
      <w:r>
        <w:rPr>
          <w:lang w:val="cs-CZ"/>
        </w:rPr>
        <w:t xml:space="preserve"> na cílový rozsah sítě zahrnující </w:t>
      </w:r>
      <w:r w:rsidRPr="004D5A7D">
        <w:rPr>
          <w:b/>
          <w:lang w:val="cs-CZ"/>
        </w:rPr>
        <w:t>všechny dálnice, rychlostní silnice a silnice I. třídy</w:t>
      </w:r>
      <w:r>
        <w:rPr>
          <w:lang w:val="cs-CZ"/>
        </w:rPr>
        <w:t xml:space="preserve"> s tím, že uchazeč bude povinen nabídnout v rámci podané nabídky finanční podmínky pro rozšiřování zpoplatněné sítě o pozemní komunikace jiných vlastníků, ke kterému by mohlo dojít pouze za předpokladu splnění indikátoru naplnění cíle (tj. nákladovost do 30 %);</w:t>
      </w:r>
    </w:p>
    <w:p w:rsidR="00C06DA1" w:rsidRDefault="00C06DA1" w:rsidP="00905AAF">
      <w:pPr>
        <w:pStyle w:val="BodyText1"/>
        <w:numPr>
          <w:ilvl w:val="0"/>
          <w:numId w:val="43"/>
        </w:numPr>
        <w:rPr>
          <w:lang w:val="cs-CZ"/>
        </w:rPr>
      </w:pPr>
      <w:r w:rsidRPr="004D5A7D">
        <w:rPr>
          <w:b/>
          <w:lang w:val="cs-CZ"/>
        </w:rPr>
        <w:t>bez odkladu</w:t>
      </w:r>
      <w:r w:rsidRPr="001B3875">
        <w:rPr>
          <w:lang w:val="cs-CZ"/>
        </w:rPr>
        <w:t xml:space="preserve"> zavést Evropskou službu elektronického mýta do roku 2016</w:t>
      </w:r>
      <w:r>
        <w:rPr>
          <w:lang w:val="cs-CZ"/>
        </w:rPr>
        <w:t xml:space="preserve"> – z důvodu naplnění evropské legislativy, a to r</w:t>
      </w:r>
      <w:r w:rsidRPr="00E27206">
        <w:rPr>
          <w:lang w:val="cs-CZ"/>
        </w:rPr>
        <w:t>ozhodnutí Komise 2009/750/ES ze dne 6. října 2009 o definici evropské služby elektronického mýtného a jejích technických prvků</w:t>
      </w:r>
      <w:r>
        <w:rPr>
          <w:lang w:val="cs-CZ"/>
        </w:rPr>
        <w:t xml:space="preserve"> (dále také Rozhodnutí 2009/750/ES“);</w:t>
      </w:r>
    </w:p>
    <w:p w:rsidR="00C06DA1" w:rsidRPr="00905AAF" w:rsidRDefault="00C06DA1" w:rsidP="00905AAF">
      <w:pPr>
        <w:pStyle w:val="BodyText1"/>
        <w:numPr>
          <w:ilvl w:val="0"/>
          <w:numId w:val="43"/>
        </w:numPr>
        <w:ind w:left="568" w:hanging="284"/>
        <w:rPr>
          <w:szCs w:val="22"/>
          <w:lang w:val="cs-CZ"/>
        </w:rPr>
      </w:pPr>
      <w:r w:rsidRPr="00905AAF">
        <w:rPr>
          <w:b/>
          <w:lang w:val="cs-CZ"/>
        </w:rPr>
        <w:t>Systém elektronického mýta</w:t>
      </w:r>
      <w:r w:rsidRPr="00905AAF">
        <w:rPr>
          <w:lang w:val="cs-CZ"/>
        </w:rPr>
        <w:t xml:space="preserve"> po roce 2016 navrhnout a provozovat v souladu s unijním právem a</w:t>
      </w:r>
    </w:p>
    <w:p w:rsidR="00C06DA1" w:rsidRPr="00905AAF" w:rsidRDefault="00C06DA1" w:rsidP="00905AAF">
      <w:pPr>
        <w:pStyle w:val="BodyText1"/>
        <w:numPr>
          <w:ilvl w:val="0"/>
          <w:numId w:val="43"/>
        </w:numPr>
        <w:ind w:left="568" w:hanging="284"/>
        <w:rPr>
          <w:szCs w:val="22"/>
          <w:lang w:val="cs-CZ"/>
        </w:rPr>
      </w:pPr>
      <w:r w:rsidRPr="00905AAF">
        <w:rPr>
          <w:b/>
          <w:lang w:val="cs-CZ"/>
        </w:rPr>
        <w:t>Systém elektronického mýta</w:t>
      </w:r>
      <w:r w:rsidRPr="00905AAF">
        <w:rPr>
          <w:lang w:val="cs-CZ"/>
        </w:rPr>
        <w:t xml:space="preserve"> po roce 2016 otevřít novým funkcionalitám, resp. dalším telematickým aplikacím a systémům, které by mohly využít jak mýtnou infrastrukturu, tak systém samotný.</w:t>
      </w:r>
    </w:p>
    <w:p w:rsidR="00C06DA1" w:rsidRPr="008D4875" w:rsidRDefault="00C06DA1" w:rsidP="00905AAF">
      <w:pPr>
        <w:jc w:val="both"/>
        <w:rPr>
          <w:b/>
          <w:sz w:val="22"/>
          <w:szCs w:val="22"/>
          <w:lang w:val="cs-CZ"/>
        </w:rPr>
      </w:pPr>
      <w:r w:rsidRPr="008D4875">
        <w:rPr>
          <w:b/>
          <w:sz w:val="22"/>
          <w:szCs w:val="22"/>
          <w:lang w:val="cs-CZ"/>
        </w:rPr>
        <w:t>Základní ekonomické parametry koncepce výkonového zpoplatnění pozemních komunikací</w:t>
      </w:r>
    </w:p>
    <w:p w:rsidR="00C06DA1" w:rsidRDefault="00C06DA1" w:rsidP="00905AAF">
      <w:pPr>
        <w:jc w:val="both"/>
        <w:rPr>
          <w:sz w:val="22"/>
          <w:szCs w:val="22"/>
          <w:lang w:val="cs-CZ"/>
        </w:rPr>
      </w:pPr>
      <w:r>
        <w:rPr>
          <w:sz w:val="22"/>
          <w:szCs w:val="22"/>
          <w:lang w:val="cs-CZ"/>
        </w:rPr>
        <w:t>Mezi základní ekonomické aspekty koncepce výkonového zpoplatnění obecného užívání pozemních komunikací lze řadit následující:</w:t>
      </w:r>
    </w:p>
    <w:p w:rsidR="00C06DA1" w:rsidRDefault="00C06DA1" w:rsidP="00905AAF">
      <w:pPr>
        <w:pStyle w:val="BodyText1"/>
        <w:numPr>
          <w:ilvl w:val="0"/>
          <w:numId w:val="43"/>
        </w:numPr>
        <w:rPr>
          <w:lang w:val="cs-CZ"/>
        </w:rPr>
      </w:pPr>
      <w:r w:rsidRPr="00C76E75">
        <w:rPr>
          <w:lang w:val="cs-CZ"/>
        </w:rPr>
        <w:t>Potenciál navýšení čistých příjmů z výkonového zpoplatnění všech silnic I. třídy v délce cca 4000 km je cca 2,5 mld. Kč při mýtných sazbách roku 2011</w:t>
      </w:r>
      <w:r>
        <w:rPr>
          <w:lang w:val="cs-CZ"/>
        </w:rPr>
        <w:t>.</w:t>
      </w:r>
    </w:p>
    <w:p w:rsidR="00C06DA1" w:rsidRPr="00C76E75" w:rsidRDefault="00C06DA1" w:rsidP="00905AAF">
      <w:pPr>
        <w:pStyle w:val="BodyText1"/>
        <w:numPr>
          <w:ilvl w:val="0"/>
          <w:numId w:val="43"/>
        </w:numPr>
        <w:rPr>
          <w:lang w:val="cs-CZ"/>
        </w:rPr>
      </w:pPr>
      <w:r w:rsidRPr="00715F11">
        <w:rPr>
          <w:szCs w:val="22"/>
          <w:lang w:val="cs-CZ"/>
        </w:rPr>
        <w:t>Potenciál ročního výběru mýtného na silnicích II. třídy není významný, ale některé z nich může být vhodné zpoplatnit z regulačních důvodů, na druhou stranu ekonomika systému bude podstatně složitější, neboť se náklady a výnosy z mýta budou dělit mezi stát a kraje</w:t>
      </w:r>
      <w:r>
        <w:rPr>
          <w:szCs w:val="22"/>
          <w:lang w:val="cs-CZ"/>
        </w:rPr>
        <w:t>.</w:t>
      </w:r>
    </w:p>
    <w:p w:rsidR="00C06DA1" w:rsidRDefault="00C06DA1" w:rsidP="00905AAF">
      <w:pPr>
        <w:pStyle w:val="BodyText1"/>
        <w:numPr>
          <w:ilvl w:val="0"/>
          <w:numId w:val="43"/>
        </w:numPr>
        <w:rPr>
          <w:lang w:val="cs-CZ"/>
        </w:rPr>
      </w:pPr>
      <w:r w:rsidRPr="00C76E75">
        <w:rPr>
          <w:szCs w:val="22"/>
          <w:lang w:val="cs-CZ"/>
        </w:rPr>
        <w:t xml:space="preserve">Investiční náklady na rozšíření mýta na dálnice, rychlostní silnice a silnice I. třídy byly odhadnuty v závislosti na </w:t>
      </w:r>
      <w:r>
        <w:rPr>
          <w:szCs w:val="22"/>
          <w:lang w:val="cs-CZ"/>
        </w:rPr>
        <w:t>rozsahu</w:t>
      </w:r>
      <w:r w:rsidRPr="00C76E75">
        <w:rPr>
          <w:szCs w:val="22"/>
          <w:lang w:val="cs-CZ"/>
        </w:rPr>
        <w:t xml:space="preserve"> zpoplatněn</w:t>
      </w:r>
      <w:r>
        <w:rPr>
          <w:szCs w:val="22"/>
          <w:lang w:val="cs-CZ"/>
        </w:rPr>
        <w:t>ých pozemních komunikací</w:t>
      </w:r>
      <w:r w:rsidRPr="00C76E75">
        <w:rPr>
          <w:szCs w:val="22"/>
          <w:lang w:val="cs-CZ"/>
        </w:rPr>
        <w:t xml:space="preserve"> a zvolené technologii zpoplatnění v rozmezí 3,6 až 4,4 mld. Kč</w:t>
      </w:r>
      <w:r>
        <w:rPr>
          <w:lang w:val="cs-CZ"/>
        </w:rPr>
        <w:t>.</w:t>
      </w:r>
    </w:p>
    <w:p w:rsidR="00C06DA1" w:rsidRDefault="00C06DA1" w:rsidP="00905AAF">
      <w:pPr>
        <w:pStyle w:val="BodyText1"/>
        <w:numPr>
          <w:ilvl w:val="0"/>
          <w:numId w:val="43"/>
        </w:numPr>
        <w:rPr>
          <w:szCs w:val="22"/>
          <w:lang w:val="cs-CZ"/>
        </w:rPr>
      </w:pPr>
      <w:r w:rsidRPr="00C76E75">
        <w:rPr>
          <w:szCs w:val="22"/>
          <w:lang w:val="cs-CZ"/>
        </w:rPr>
        <w:lastRenderedPageBreak/>
        <w:t>Průměrné roční provozní náklady na mýtný systém byly odhadnuty na cca 1,9 až 2,4 mld. Kč.</w:t>
      </w:r>
    </w:p>
    <w:p w:rsidR="00C06DA1" w:rsidRDefault="00C06DA1" w:rsidP="00905AAF">
      <w:pPr>
        <w:pStyle w:val="BodyText1"/>
        <w:numPr>
          <w:ilvl w:val="0"/>
          <w:numId w:val="43"/>
        </w:numPr>
        <w:rPr>
          <w:szCs w:val="22"/>
          <w:lang w:val="cs-CZ"/>
        </w:rPr>
      </w:pPr>
      <w:r w:rsidRPr="00045D16">
        <w:rPr>
          <w:szCs w:val="22"/>
          <w:lang w:val="cs-CZ"/>
        </w:rPr>
        <w:t>Nákladová efektivita Systému elektronického mýta je odhadována v rozmezí 18 – 21</w:t>
      </w:r>
      <w:r>
        <w:rPr>
          <w:szCs w:val="22"/>
          <w:lang w:val="cs-CZ"/>
        </w:rPr>
        <w:t xml:space="preserve"> </w:t>
      </w:r>
      <w:r w:rsidRPr="00045D16">
        <w:rPr>
          <w:szCs w:val="22"/>
          <w:lang w:val="cs-CZ"/>
        </w:rPr>
        <w:t>% s hodnotou rizik v rozmezí od 9 do 51</w:t>
      </w:r>
      <w:r>
        <w:rPr>
          <w:szCs w:val="22"/>
          <w:lang w:val="cs-CZ"/>
        </w:rPr>
        <w:t xml:space="preserve"> </w:t>
      </w:r>
      <w:r w:rsidRPr="0030323E">
        <w:rPr>
          <w:szCs w:val="22"/>
          <w:lang w:val="cs-CZ"/>
        </w:rPr>
        <w:t xml:space="preserve">(viz Tabulka č. </w:t>
      </w:r>
      <w:r>
        <w:rPr>
          <w:szCs w:val="22"/>
          <w:lang w:val="cs-CZ"/>
        </w:rPr>
        <w:t>7</w:t>
      </w:r>
      <w:r w:rsidRPr="0030323E">
        <w:rPr>
          <w:szCs w:val="22"/>
          <w:lang w:val="cs-CZ"/>
        </w:rPr>
        <w:t>)</w:t>
      </w:r>
      <w:r w:rsidRPr="00045D16">
        <w:rPr>
          <w:szCs w:val="22"/>
          <w:lang w:val="cs-CZ"/>
        </w:rPr>
        <w:t>, a to na základě zvolené posouzené varianty.</w:t>
      </w:r>
    </w:p>
    <w:p w:rsidR="00C06DA1" w:rsidRDefault="00C06DA1" w:rsidP="00905AAF">
      <w:pPr>
        <w:pStyle w:val="BodyText1"/>
        <w:numPr>
          <w:ilvl w:val="0"/>
          <w:numId w:val="43"/>
        </w:numPr>
        <w:spacing w:before="120"/>
        <w:rPr>
          <w:szCs w:val="22"/>
          <w:lang w:val="cs-CZ"/>
        </w:rPr>
      </w:pPr>
      <w:r w:rsidRPr="00D828F4">
        <w:rPr>
          <w:szCs w:val="22"/>
          <w:lang w:val="cs-CZ"/>
        </w:rPr>
        <w:t xml:space="preserve">Náklady na Systém elektronického mýta po roce 2016 budou určeny na základě </w:t>
      </w:r>
      <w:r>
        <w:rPr>
          <w:szCs w:val="22"/>
          <w:lang w:val="cs-CZ"/>
        </w:rPr>
        <w:t>zadávacího</w:t>
      </w:r>
      <w:r w:rsidRPr="00D828F4">
        <w:rPr>
          <w:szCs w:val="22"/>
          <w:lang w:val="cs-CZ"/>
        </w:rPr>
        <w:t xml:space="preserve"> řízení.</w:t>
      </w:r>
    </w:p>
    <w:p w:rsidR="00C06DA1" w:rsidRPr="00D828F4" w:rsidRDefault="00C06DA1" w:rsidP="00905AAF">
      <w:pPr>
        <w:pStyle w:val="BodyText1"/>
        <w:numPr>
          <w:ilvl w:val="0"/>
          <w:numId w:val="43"/>
        </w:numPr>
        <w:spacing w:before="120"/>
        <w:rPr>
          <w:szCs w:val="22"/>
          <w:lang w:val="cs-CZ"/>
        </w:rPr>
      </w:pPr>
      <w:r w:rsidRPr="00D828F4">
        <w:rPr>
          <w:szCs w:val="22"/>
          <w:lang w:val="cs-CZ"/>
        </w:rPr>
        <w:t>K nákladům na rozšíření zpoplatnění je nutné připočíst náklady na zákonem předepsané dopravní značení zpoplatněných úseků silnic I. a případně silnic nižších tříd. Náklady na dopravní značení pro zpoplatnění silnic I. třídy byly odhadnuty na cca 220 mil. Kč.</w:t>
      </w:r>
    </w:p>
    <w:p w:rsidR="00C06DA1" w:rsidRPr="00DD2F1B" w:rsidRDefault="004E1496" w:rsidP="0003388E">
      <w:pPr>
        <w:pStyle w:val="Nadpis2"/>
        <w:rPr>
          <w:sz w:val="28"/>
          <w:szCs w:val="28"/>
          <w:lang w:val="cs-CZ"/>
        </w:rPr>
      </w:pPr>
      <w:bookmarkStart w:id="21" w:name="_Toc370398420"/>
      <w:r>
        <w:rPr>
          <w:sz w:val="28"/>
          <w:szCs w:val="28"/>
          <w:lang w:val="cs-CZ"/>
        </w:rPr>
        <w:br w:type="page"/>
      </w:r>
      <w:r w:rsidR="00C06DA1" w:rsidRPr="00DD2F1B">
        <w:rPr>
          <w:sz w:val="28"/>
          <w:szCs w:val="28"/>
          <w:lang w:val="cs-CZ"/>
        </w:rPr>
        <w:lastRenderedPageBreak/>
        <w:t>Základní otázky</w:t>
      </w:r>
      <w:bookmarkEnd w:id="19"/>
      <w:bookmarkEnd w:id="21"/>
    </w:p>
    <w:p w:rsidR="00C06DA1" w:rsidRPr="00DD2F1B" w:rsidRDefault="00C06DA1" w:rsidP="00155CE5">
      <w:pPr>
        <w:pStyle w:val="BodyText1"/>
        <w:rPr>
          <w:lang w:val="cs-CZ"/>
        </w:rPr>
      </w:pPr>
      <w:r w:rsidRPr="00DD2F1B">
        <w:rPr>
          <w:lang w:val="cs-CZ"/>
        </w:rPr>
        <w:t>V manažerském shrnutí jsou zkráceně zdůrazněny základní směry přístupu k rozšíření zpoplatnění v ČR. V další části tohoto materiálu jsou shrnuty základní otázky, které by měly být podkladem pro rozhodnutí o dalších krocích v oblasti zpoplatnění obecného užití pozemních komunikací.</w:t>
      </w:r>
    </w:p>
    <w:p w:rsidR="00C06DA1" w:rsidRPr="00DD2F1B" w:rsidRDefault="00C06DA1" w:rsidP="00111128">
      <w:pPr>
        <w:pBdr>
          <w:bottom w:val="single" w:sz="4" w:space="1" w:color="auto"/>
        </w:pBdr>
        <w:rPr>
          <w:b/>
          <w:sz w:val="24"/>
          <w:szCs w:val="24"/>
          <w:lang w:val="cs-CZ"/>
        </w:rPr>
      </w:pPr>
      <w:r w:rsidRPr="00DD2F1B">
        <w:rPr>
          <w:b/>
          <w:sz w:val="24"/>
          <w:szCs w:val="24"/>
          <w:lang w:val="cs-CZ"/>
        </w:rPr>
        <w:t>Zvýšení výběru mýta ve stávajícím Systému elektronického mýta</w:t>
      </w:r>
    </w:p>
    <w:p w:rsidR="00C06DA1" w:rsidRPr="00DD2F1B" w:rsidRDefault="00C06DA1" w:rsidP="00155CE5">
      <w:pPr>
        <w:pStyle w:val="BodyText1"/>
        <w:rPr>
          <w:lang w:val="cs-CZ"/>
        </w:rPr>
      </w:pPr>
      <w:r w:rsidRPr="00DD2F1B">
        <w:rPr>
          <w:lang w:val="cs-CZ"/>
        </w:rPr>
        <w:t>Zvýšení výběru mýta ve stávajícím Systému elektronického mýta lze provést za pomocí úprav tarifních sazeb mýtného, které jsou dosud nižší než notifikované maximální vážené průměry mýtných sazeb. Výhled výše výběru mýtného je pro nejbližší období stagnující, spíše klesající. Příčinu tohoto trendu je možné spatřovat v poklesu dopravních výkonů vozidel, dále z důvodu vysoké citlivosti mýtných sazeb na zařazení vozidel do emisních kategorií, nepropojení růstu mýtných sazeb na inflaci a zejména k tomu, že pro vozidla v emisní kategorii Euro V a vyšší nedošlo ke zvýšení mýtných sazeb. Dalšími negativními vlivy na výběr mýtného je snížení sazeb pro autobusy a zavedení slev z mýtného.</w:t>
      </w:r>
    </w:p>
    <w:p w:rsidR="00C06DA1" w:rsidRPr="00DD2F1B" w:rsidRDefault="00C06DA1" w:rsidP="00EA47D5">
      <w:pPr>
        <w:pBdr>
          <w:bottom w:val="single" w:sz="4" w:space="1" w:color="auto"/>
        </w:pBdr>
        <w:rPr>
          <w:b/>
          <w:sz w:val="24"/>
          <w:szCs w:val="24"/>
          <w:lang w:val="cs-CZ"/>
        </w:rPr>
      </w:pPr>
      <w:r w:rsidRPr="00DD2F1B">
        <w:rPr>
          <w:b/>
          <w:sz w:val="24"/>
          <w:szCs w:val="24"/>
          <w:lang w:val="cs-CZ"/>
        </w:rPr>
        <w:t>Rozšíření výkonového zpoplatnění na silnice I., II. a III. třídy</w:t>
      </w:r>
    </w:p>
    <w:p w:rsidR="00C06DA1" w:rsidRPr="00DD2F1B" w:rsidRDefault="00C06DA1" w:rsidP="00366622">
      <w:pPr>
        <w:pStyle w:val="BodyText1"/>
        <w:rPr>
          <w:lang w:val="cs-CZ"/>
        </w:rPr>
      </w:pPr>
      <w:r w:rsidRPr="00DD2F1B">
        <w:rPr>
          <w:lang w:val="cs-CZ"/>
        </w:rPr>
        <w:t xml:space="preserve">Technicky lze rozšířit výkonové zpoplatnění i na silnice I., II. a III. třídy, avšak za předpokladu nasazení efektivní technologie identifikace vozidel na zpoplatněných komunikacích. </w:t>
      </w:r>
    </w:p>
    <w:p w:rsidR="00C06DA1" w:rsidRPr="00DD2F1B" w:rsidRDefault="00C06DA1" w:rsidP="00366622">
      <w:pPr>
        <w:pStyle w:val="BodyText1"/>
        <w:rPr>
          <w:lang w:val="cs-CZ"/>
        </w:rPr>
      </w:pPr>
      <w:r w:rsidRPr="00DD2F1B">
        <w:rPr>
          <w:lang w:val="cs-CZ"/>
        </w:rPr>
        <w:t xml:space="preserve">Zde je však nutné zdůraznit, že náklady na </w:t>
      </w:r>
      <w:proofErr w:type="spellStart"/>
      <w:r w:rsidRPr="00DD2F1B">
        <w:rPr>
          <w:lang w:val="cs-CZ"/>
        </w:rPr>
        <w:t>enforcement</w:t>
      </w:r>
      <w:proofErr w:type="spellEnd"/>
      <w:r w:rsidRPr="00DD2F1B">
        <w:rPr>
          <w:lang w:val="cs-CZ"/>
        </w:rPr>
        <w:t xml:space="preserve"> (vymáhání povinnosti platit mýtné), obsluhu uživatelů pozemních komunikací a ceny satelitních palubních jednotek způsobí, že zpoplatnění silnic II. a III. tříd nebude ekonomicky efektivní a dojde ke zpoplatnění téměř výhradně domácích uživatelů. V případě zpoplatnění pouze silnic I. třídy lze také předpokládat jeho dopad především na domácí uživatele nikoliv zahraniční.</w:t>
      </w:r>
    </w:p>
    <w:p w:rsidR="00C06DA1" w:rsidRPr="00DD2F1B" w:rsidRDefault="00C06DA1" w:rsidP="00106353">
      <w:pPr>
        <w:pStyle w:val="BodyText1"/>
        <w:pBdr>
          <w:top w:val="single" w:sz="4" w:space="1" w:color="auto"/>
          <w:left w:val="single" w:sz="4" w:space="4" w:color="auto"/>
          <w:bottom w:val="single" w:sz="4" w:space="1" w:color="auto"/>
          <w:right w:val="single" w:sz="4" w:space="4" w:color="auto"/>
        </w:pBdr>
        <w:rPr>
          <w:b/>
          <w:lang w:val="cs-CZ"/>
        </w:rPr>
      </w:pPr>
      <w:r w:rsidRPr="00DD2F1B">
        <w:rPr>
          <w:b/>
          <w:lang w:val="cs-CZ"/>
        </w:rPr>
        <w:t>Dopravní výkony na silnicích I. třídy jsou rozděleny nerovnoměrně. Lze tedy teoreticky zpoplatnit buď všechny silnice I. třídy nebo jen tu jejich část, která je zatížena nejvyššími dopravními výkony.</w:t>
      </w:r>
    </w:p>
    <w:p w:rsidR="00C06DA1" w:rsidRPr="00DD2F1B" w:rsidRDefault="00C06DA1" w:rsidP="00106353">
      <w:pPr>
        <w:pStyle w:val="BodyText1"/>
        <w:pBdr>
          <w:top w:val="single" w:sz="4" w:space="1" w:color="auto"/>
          <w:left w:val="single" w:sz="4" w:space="4" w:color="auto"/>
          <w:bottom w:val="single" w:sz="4" w:space="1" w:color="auto"/>
          <w:right w:val="single" w:sz="4" w:space="4" w:color="auto"/>
        </w:pBdr>
        <w:rPr>
          <w:b/>
          <w:lang w:val="cs-CZ"/>
        </w:rPr>
      </w:pPr>
      <w:r w:rsidRPr="00DD2F1B">
        <w:rPr>
          <w:b/>
          <w:lang w:val="cs-CZ"/>
        </w:rPr>
        <w:t>Ve druhém případě by měl jejich konečný rozsah být předmětem modelování intenzit dopravy a nákladů na výstavbu a provoz systému.</w:t>
      </w:r>
    </w:p>
    <w:p w:rsidR="00C06DA1" w:rsidRPr="00DD2F1B" w:rsidRDefault="00C06DA1" w:rsidP="00106353">
      <w:pPr>
        <w:pStyle w:val="BodyText1"/>
        <w:pBdr>
          <w:top w:val="single" w:sz="4" w:space="1" w:color="auto"/>
          <w:left w:val="single" w:sz="4" w:space="4" w:color="auto"/>
          <w:bottom w:val="single" w:sz="4" w:space="1" w:color="auto"/>
          <w:right w:val="single" w:sz="4" w:space="4" w:color="auto"/>
        </w:pBdr>
        <w:rPr>
          <w:b/>
          <w:lang w:val="cs-CZ"/>
        </w:rPr>
      </w:pPr>
      <w:r w:rsidRPr="00DD2F1B">
        <w:rPr>
          <w:b/>
          <w:lang w:val="cs-CZ"/>
        </w:rPr>
        <w:t>Pro rozhodnutí o zpoplatnění silnic I. a nižších tříd kromě ekonomického hlediska se musí navíc zvažovat i hlediska sociální, politické či ekologické (objíždění, paralelní provoz, řízení dopravních toků apod.). Zpoplatnění u silnic nižších tříd navíc přináší potřebu řešit otázky spojené s přerozdělením nákladů a příjmů z mýtného na kraje.</w:t>
      </w:r>
    </w:p>
    <w:p w:rsidR="00C06DA1" w:rsidRPr="00D50D0C" w:rsidRDefault="00C06DA1" w:rsidP="00C92FC5">
      <w:pPr>
        <w:pStyle w:val="BodyText1"/>
        <w:pBdr>
          <w:top w:val="single" w:sz="4" w:space="1" w:color="auto"/>
          <w:left w:val="single" w:sz="4" w:space="4" w:color="auto"/>
          <w:bottom w:val="single" w:sz="4" w:space="1" w:color="auto"/>
          <w:right w:val="single" w:sz="4" w:space="4" w:color="auto"/>
        </w:pBdr>
        <w:rPr>
          <w:b/>
          <w:lang w:val="cs-CZ"/>
        </w:rPr>
      </w:pPr>
      <w:r w:rsidRPr="00DD2F1B">
        <w:rPr>
          <w:b/>
          <w:lang w:val="cs-CZ"/>
        </w:rPr>
        <w:t>Možnou alternativou je také ponechat současný rozsah zpoplatněných pozemních komunikací a upravit tarifní politiku. Tato alternativa neobsahuje žádné významné investice v případě zachování stávajícího Systému elektronického mýta (vyjma zavedení Evropské služby elektronického mýta).</w:t>
      </w:r>
      <w:r w:rsidRPr="004D5A7D">
        <w:rPr>
          <w:b/>
          <w:lang w:val="cs-CZ"/>
        </w:rPr>
        <w:t xml:space="preserve">  </w:t>
      </w:r>
      <w:r w:rsidRPr="00DD2F1B">
        <w:rPr>
          <w:b/>
          <w:lang w:val="cs-CZ"/>
        </w:rPr>
        <w:t>V takové variantě musí dojít k uzavření smlouvy o službách souvisejících s provozem stávajícího Systému elektronického mýta po roce 2016.</w:t>
      </w:r>
    </w:p>
    <w:p w:rsidR="004E1496" w:rsidRDefault="004E1496" w:rsidP="007B1A88">
      <w:pPr>
        <w:rPr>
          <w:b/>
          <w:sz w:val="24"/>
          <w:szCs w:val="24"/>
          <w:lang w:val="cs-CZ"/>
        </w:rPr>
      </w:pPr>
    </w:p>
    <w:p w:rsidR="004E1496" w:rsidRDefault="004E1496" w:rsidP="007B1A88">
      <w:pPr>
        <w:rPr>
          <w:b/>
          <w:sz w:val="24"/>
          <w:szCs w:val="24"/>
          <w:lang w:val="cs-CZ"/>
        </w:rPr>
      </w:pPr>
    </w:p>
    <w:p w:rsidR="00C06DA1" w:rsidRPr="00DD2F1B" w:rsidRDefault="00C06DA1" w:rsidP="007B1A88">
      <w:pPr>
        <w:rPr>
          <w:b/>
          <w:sz w:val="24"/>
          <w:szCs w:val="24"/>
          <w:lang w:val="cs-CZ"/>
        </w:rPr>
      </w:pPr>
      <w:r w:rsidRPr="00DD2F1B">
        <w:rPr>
          <w:b/>
          <w:sz w:val="24"/>
          <w:szCs w:val="24"/>
          <w:lang w:val="cs-CZ"/>
        </w:rPr>
        <w:lastRenderedPageBreak/>
        <w:t>Notifikace mýtných sazeb pro silnice I., II. a III. třídy</w:t>
      </w:r>
    </w:p>
    <w:p w:rsidR="00C06DA1" w:rsidRPr="00DD2F1B" w:rsidRDefault="00C06DA1" w:rsidP="00C92FC5">
      <w:pPr>
        <w:pStyle w:val="BodyText1"/>
        <w:rPr>
          <w:lang w:val="cs-CZ"/>
        </w:rPr>
      </w:pPr>
      <w:r w:rsidRPr="00DD2F1B">
        <w:rPr>
          <w:lang w:val="cs-CZ"/>
        </w:rPr>
        <w:t>Mýtné sazby pro silnice I. třídy byly notifikovány již v roce 2011, a to s výhledem rozvoje mýtných sazeb do konce roku 2017.  V pravidelných intervalech (alespoň 1x za 2 roky) je potřeba tyto sazby kalkulovat podle notifikované metodiky a porovnat skutečně dosažené vážené průměry mýtných sazeb proti plánovaným a případně provést jejich úpravu.</w:t>
      </w:r>
    </w:p>
    <w:p w:rsidR="00C06DA1" w:rsidRPr="00DD2F1B" w:rsidRDefault="00C06DA1" w:rsidP="005428FB">
      <w:pPr>
        <w:pStyle w:val="BodyText1"/>
        <w:rPr>
          <w:lang w:val="cs-CZ"/>
        </w:rPr>
      </w:pPr>
      <w:r w:rsidRPr="00DD2F1B">
        <w:rPr>
          <w:lang w:val="cs-CZ"/>
        </w:rPr>
        <w:t>Na silnicích nižších tříd nebude nutné sazby notifikovat u Evropské komise, nicméně bude potřeba tyto změny Evropské komisi oznámit tak, aby bylo zřejmé, že změna rozsahu zpoplatnění nebude mít vliv na volný pohyb zboží na území ČR.</w:t>
      </w:r>
    </w:p>
    <w:p w:rsidR="00C06DA1" w:rsidRPr="00DD2F1B" w:rsidRDefault="00C06DA1" w:rsidP="005428FB">
      <w:pPr>
        <w:pStyle w:val="BodyText1"/>
        <w:rPr>
          <w:b/>
          <w:lang w:val="cs-CZ"/>
        </w:rPr>
      </w:pPr>
      <w:r w:rsidRPr="00DD2F1B">
        <w:rPr>
          <w:lang w:val="cs-CZ"/>
        </w:rPr>
        <w:t>Pro stanovení mýtných sazeb je doporučeno, aby se i pro silnice nižších tříd pro stanovení těchto sazeb vycházelo z týchž nákladových postupů jako při stanovení sazeb mýtného na současně zpoplatněných pozemních komunikacích.</w:t>
      </w:r>
    </w:p>
    <w:p w:rsidR="00C06DA1" w:rsidRPr="00DD2F1B" w:rsidRDefault="00C06DA1" w:rsidP="00EA47D5">
      <w:pPr>
        <w:pBdr>
          <w:bottom w:val="single" w:sz="4" w:space="1" w:color="auto"/>
        </w:pBdr>
        <w:rPr>
          <w:b/>
          <w:sz w:val="24"/>
          <w:szCs w:val="24"/>
          <w:lang w:val="cs-CZ"/>
        </w:rPr>
      </w:pPr>
      <w:r w:rsidRPr="00DD2F1B">
        <w:rPr>
          <w:b/>
          <w:sz w:val="24"/>
          <w:szCs w:val="24"/>
          <w:lang w:val="cs-CZ"/>
        </w:rPr>
        <w:t>Označení zpoplatněných pozemních komunikací (silnic I., II. a III. třídy)</w:t>
      </w:r>
    </w:p>
    <w:p w:rsidR="00C06DA1" w:rsidRPr="00DD2F1B" w:rsidRDefault="00C06DA1" w:rsidP="005428FB">
      <w:pPr>
        <w:pStyle w:val="BodyText1"/>
        <w:rPr>
          <w:lang w:val="cs-CZ"/>
        </w:rPr>
      </w:pPr>
      <w:r w:rsidRPr="00DD2F1B">
        <w:rPr>
          <w:lang w:val="cs-CZ"/>
        </w:rPr>
        <w:t xml:space="preserve">Dle stávající legislativy bude </w:t>
      </w:r>
      <w:r w:rsidRPr="00DD2F1B">
        <w:rPr>
          <w:b/>
          <w:lang w:val="cs-CZ"/>
        </w:rPr>
        <w:t xml:space="preserve">povinné </w:t>
      </w:r>
      <w:r w:rsidRPr="00DD2F1B">
        <w:rPr>
          <w:lang w:val="cs-CZ"/>
        </w:rPr>
        <w:t xml:space="preserve">vybavit všechny nájezdy na zpoplatněné úseky pozemních komunikací příslušných svislým dopravním značením, a to </w:t>
      </w:r>
      <w:r w:rsidRPr="00DD2F1B">
        <w:rPr>
          <w:b/>
          <w:lang w:val="cs-CZ"/>
        </w:rPr>
        <w:t>před</w:t>
      </w:r>
      <w:r w:rsidRPr="00DD2F1B">
        <w:rPr>
          <w:lang w:val="cs-CZ"/>
        </w:rPr>
        <w:t xml:space="preserve"> zahájením zpoplatnění, tzn., že bude nutné označit i nezpoplatněné pozemní komunikace, které však na ty zpoplatněné navazují.</w:t>
      </w:r>
    </w:p>
    <w:p w:rsidR="00C06DA1" w:rsidRDefault="00C06DA1" w:rsidP="005428FB">
      <w:pPr>
        <w:pStyle w:val="BodyText1"/>
        <w:rPr>
          <w:lang w:val="cs-CZ"/>
        </w:rPr>
      </w:pPr>
      <w:r w:rsidRPr="00DD2F1B">
        <w:rPr>
          <w:lang w:val="cs-CZ"/>
        </w:rPr>
        <w:t>Označení zpoplatněných pozemních komunikací si vyžádá nemalé finanční prostředky, a bude nutné je realizovat v dostatečném předstihu před rozšířením zpoplatnění vzhledem k době potřebné na zadávací řízení, zpracování dokumentace a nezbytná vyjádření místně příslušných orgánů veřejné správy a Policie ČR.</w:t>
      </w:r>
    </w:p>
    <w:p w:rsidR="00C06DA1" w:rsidRPr="00DD2F1B" w:rsidRDefault="00C06DA1" w:rsidP="00F5496A">
      <w:pPr>
        <w:pBdr>
          <w:bottom w:val="single" w:sz="4" w:space="1" w:color="auto"/>
        </w:pBdr>
        <w:rPr>
          <w:b/>
          <w:sz w:val="24"/>
          <w:szCs w:val="24"/>
          <w:lang w:val="cs-CZ"/>
        </w:rPr>
      </w:pPr>
      <w:r w:rsidRPr="00DD2F1B">
        <w:rPr>
          <w:b/>
          <w:sz w:val="24"/>
          <w:szCs w:val="24"/>
          <w:lang w:val="cs-CZ"/>
        </w:rPr>
        <w:t>Centrální koordinace činností spojených s přípravou, realizací rozšíření zpoplatnění a zajištěním provozu Systému elektronického mýta po roce 2016</w:t>
      </w:r>
    </w:p>
    <w:p w:rsidR="00C06DA1" w:rsidRPr="00DD2F1B" w:rsidRDefault="00C06DA1" w:rsidP="00A35469">
      <w:pPr>
        <w:pStyle w:val="BodyText1"/>
        <w:rPr>
          <w:lang w:val="cs-CZ"/>
        </w:rPr>
      </w:pPr>
      <w:r w:rsidRPr="00DD2F1B">
        <w:rPr>
          <w:lang w:val="cs-CZ"/>
        </w:rPr>
        <w:t>Pro úspěšné zajištění výkonového zpoplatnění vybraných pozemních komunikací po roce 2016 je nutné centrální koordinace všech nezbytných činností spojených se zajištěním provozu mýtného systému po roce 2016 a s rozšířením zpoplatnění. Projektový manažer by měl být vybaven příslušnými pravomocemi pro zajištění součinnosti   všech orgánů státní a veřejné správy a dodavatelů a provozovatelů při řízení kontroly dodávek systému a služeb. Jeho základním úkolem bude koordinace přípravy zadávacích řízení a vlastní realizace rozšíření výkonového zpoplatnění a zajištění návazností, či kontinuity provozu předcházejících systémů.</w:t>
      </w:r>
    </w:p>
    <w:p w:rsidR="00C06DA1" w:rsidRPr="00DD2F1B" w:rsidRDefault="00C06DA1" w:rsidP="005428FB">
      <w:pPr>
        <w:pStyle w:val="BodyText1"/>
        <w:pBdr>
          <w:top w:val="single" w:sz="4" w:space="1" w:color="auto"/>
          <w:left w:val="single" w:sz="4" w:space="4" w:color="auto"/>
          <w:bottom w:val="single" w:sz="4" w:space="1" w:color="auto"/>
          <w:right w:val="single" w:sz="4" w:space="4" w:color="auto"/>
        </w:pBdr>
        <w:rPr>
          <w:b/>
          <w:lang w:val="cs-CZ"/>
        </w:rPr>
      </w:pPr>
      <w:r w:rsidRPr="00DD2F1B">
        <w:rPr>
          <w:b/>
          <w:lang w:val="cs-CZ"/>
        </w:rPr>
        <w:t>Součástí rozhodnutí o rozšíření zpoplatnění a o zajištění provozu mýtného systému po roce 2016 by měla být i realizace zadávacího řízení na výběr projektového manažera, a to minimálně do konce roku 2013, nejpozději však do poloviny roku 2014.</w:t>
      </w:r>
    </w:p>
    <w:p w:rsidR="004E1496" w:rsidRDefault="004E1496" w:rsidP="004E1496">
      <w:pPr>
        <w:jc w:val="both"/>
        <w:rPr>
          <w:b/>
          <w:sz w:val="24"/>
          <w:szCs w:val="24"/>
          <w:lang w:val="cs-CZ" w:eastAsia="cs-CZ"/>
        </w:rPr>
      </w:pPr>
    </w:p>
    <w:p w:rsidR="004E1496" w:rsidRDefault="004E1496" w:rsidP="004E1496">
      <w:pPr>
        <w:jc w:val="both"/>
        <w:rPr>
          <w:b/>
          <w:sz w:val="24"/>
          <w:szCs w:val="24"/>
          <w:lang w:val="cs-CZ" w:eastAsia="cs-CZ"/>
        </w:rPr>
      </w:pPr>
    </w:p>
    <w:p w:rsidR="004E1496" w:rsidRDefault="004E1496" w:rsidP="004E1496">
      <w:pPr>
        <w:jc w:val="both"/>
        <w:rPr>
          <w:b/>
          <w:sz w:val="24"/>
          <w:szCs w:val="24"/>
          <w:lang w:val="cs-CZ" w:eastAsia="cs-CZ"/>
        </w:rPr>
      </w:pPr>
    </w:p>
    <w:p w:rsidR="004E1496" w:rsidRDefault="004E1496" w:rsidP="004E1496">
      <w:pPr>
        <w:jc w:val="both"/>
        <w:rPr>
          <w:b/>
          <w:sz w:val="24"/>
          <w:szCs w:val="24"/>
          <w:lang w:val="cs-CZ" w:eastAsia="cs-CZ"/>
        </w:rPr>
      </w:pPr>
    </w:p>
    <w:p w:rsidR="00C06DA1" w:rsidRPr="00EB1618" w:rsidRDefault="00C06DA1" w:rsidP="00EB1618">
      <w:pPr>
        <w:pBdr>
          <w:bottom w:val="single" w:sz="4" w:space="1" w:color="auto"/>
        </w:pBdr>
        <w:jc w:val="both"/>
        <w:rPr>
          <w:b/>
          <w:sz w:val="24"/>
          <w:szCs w:val="24"/>
          <w:lang w:val="cs-CZ" w:eastAsia="cs-CZ"/>
        </w:rPr>
      </w:pPr>
      <w:r w:rsidRPr="00EB1618">
        <w:rPr>
          <w:b/>
          <w:sz w:val="24"/>
          <w:szCs w:val="24"/>
          <w:lang w:val="cs-CZ" w:eastAsia="cs-CZ"/>
        </w:rPr>
        <w:lastRenderedPageBreak/>
        <w:t>Nastavení Systému elektronického mýta v kontextu Evropské služby elektronického mýta</w:t>
      </w:r>
    </w:p>
    <w:p w:rsidR="00C06DA1" w:rsidRPr="00C9003E" w:rsidRDefault="00C06DA1" w:rsidP="00EB1618">
      <w:pPr>
        <w:jc w:val="both"/>
        <w:rPr>
          <w:sz w:val="22"/>
          <w:szCs w:val="22"/>
          <w:lang w:val="cs-CZ"/>
        </w:rPr>
      </w:pPr>
      <w:r>
        <w:rPr>
          <w:sz w:val="22"/>
          <w:szCs w:val="22"/>
          <w:lang w:val="cs-CZ" w:eastAsia="cs-CZ"/>
        </w:rPr>
        <w:t>Zavedení Evropské služby elektronického mýta či pouhé zavedení regionální interoperability mýtných systémů musí plně odpovídat požadavkům kladeným Evropskou komisí na členské státy Evropské unie skrze Rozhodnutí 2009/750/ES. Jedná se především o definici el</w:t>
      </w:r>
      <w:r w:rsidRPr="00C9003E">
        <w:rPr>
          <w:sz w:val="22"/>
          <w:szCs w:val="22"/>
          <w:lang w:val="cs-CZ"/>
        </w:rPr>
        <w:t>ektronick</w:t>
      </w:r>
      <w:r>
        <w:rPr>
          <w:sz w:val="22"/>
          <w:szCs w:val="22"/>
          <w:lang w:val="cs-CZ"/>
        </w:rPr>
        <w:t>ých</w:t>
      </w:r>
      <w:r w:rsidRPr="00C9003E">
        <w:rPr>
          <w:sz w:val="22"/>
          <w:szCs w:val="22"/>
          <w:lang w:val="cs-CZ"/>
        </w:rPr>
        <w:t xml:space="preserve"> rozhraní mezi Poskytovatel</w:t>
      </w:r>
      <w:r>
        <w:rPr>
          <w:sz w:val="22"/>
          <w:szCs w:val="22"/>
          <w:lang w:val="cs-CZ"/>
        </w:rPr>
        <w:t>em</w:t>
      </w:r>
      <w:r w:rsidRPr="00C9003E">
        <w:rPr>
          <w:sz w:val="22"/>
          <w:szCs w:val="22"/>
          <w:lang w:val="cs-CZ"/>
        </w:rPr>
        <w:t xml:space="preserve"> EETS a Subjekt</w:t>
      </w:r>
      <w:r>
        <w:rPr>
          <w:sz w:val="22"/>
          <w:szCs w:val="22"/>
          <w:lang w:val="cs-CZ"/>
        </w:rPr>
        <w:t>em</w:t>
      </w:r>
      <w:r w:rsidRPr="00C9003E">
        <w:rPr>
          <w:sz w:val="22"/>
          <w:szCs w:val="22"/>
          <w:lang w:val="cs-CZ"/>
        </w:rPr>
        <w:t xml:space="preserve"> pro výběr mýtného</w:t>
      </w:r>
      <w:r>
        <w:rPr>
          <w:sz w:val="22"/>
          <w:szCs w:val="22"/>
          <w:lang w:val="cs-CZ"/>
        </w:rPr>
        <w:t>, ty se pak</w:t>
      </w:r>
      <w:r w:rsidRPr="00C9003E">
        <w:rPr>
          <w:sz w:val="22"/>
          <w:szCs w:val="22"/>
          <w:lang w:val="cs-CZ"/>
        </w:rPr>
        <w:t xml:space="preserve"> dělí do dvou kategorií:</w:t>
      </w:r>
    </w:p>
    <w:p w:rsidR="00C06DA1" w:rsidRPr="00C9003E" w:rsidRDefault="00C06DA1" w:rsidP="00EB1618">
      <w:pPr>
        <w:numPr>
          <w:ilvl w:val="0"/>
          <w:numId w:val="41"/>
        </w:numPr>
        <w:spacing w:before="120" w:after="120" w:line="288" w:lineRule="auto"/>
        <w:jc w:val="both"/>
        <w:rPr>
          <w:sz w:val="22"/>
          <w:szCs w:val="22"/>
          <w:lang w:val="cs-CZ"/>
        </w:rPr>
      </w:pPr>
      <w:r w:rsidRPr="00C9003E">
        <w:rPr>
          <w:sz w:val="22"/>
          <w:szCs w:val="22"/>
          <w:lang w:val="cs-CZ"/>
        </w:rPr>
        <w:t xml:space="preserve">silniční elektronická rozhraní mezi palubním zařízením Poskytovatele EETS a pevným nebo </w:t>
      </w:r>
      <w:r>
        <w:rPr>
          <w:sz w:val="22"/>
          <w:szCs w:val="22"/>
          <w:lang w:val="cs-CZ"/>
        </w:rPr>
        <w:t>mobilním</w:t>
      </w:r>
      <w:r w:rsidRPr="00C9003E">
        <w:rPr>
          <w:sz w:val="22"/>
          <w:szCs w:val="22"/>
          <w:lang w:val="cs-CZ"/>
        </w:rPr>
        <w:t xml:space="preserve"> zařízením Subjektu pro výběr mýtného;</w:t>
      </w:r>
    </w:p>
    <w:p w:rsidR="00C06DA1" w:rsidRPr="00C9003E" w:rsidRDefault="00C06DA1" w:rsidP="00EB1618">
      <w:pPr>
        <w:numPr>
          <w:ilvl w:val="0"/>
          <w:numId w:val="41"/>
        </w:numPr>
        <w:spacing w:before="120" w:after="120" w:line="288" w:lineRule="auto"/>
        <w:jc w:val="both"/>
        <w:rPr>
          <w:sz w:val="22"/>
          <w:szCs w:val="22"/>
          <w:lang w:val="cs-CZ"/>
        </w:rPr>
      </w:pPr>
      <w:r w:rsidRPr="00C9003E">
        <w:rPr>
          <w:sz w:val="22"/>
          <w:szCs w:val="22"/>
          <w:lang w:val="cs-CZ"/>
        </w:rPr>
        <w:t>elektronická rozhraní mezi příslušnými systémy obslužného oddělení.</w:t>
      </w:r>
    </w:p>
    <w:p w:rsidR="00C06DA1" w:rsidRPr="00C9003E" w:rsidRDefault="00C06DA1" w:rsidP="00EB1618">
      <w:pPr>
        <w:jc w:val="both"/>
        <w:rPr>
          <w:sz w:val="22"/>
          <w:szCs w:val="22"/>
          <w:lang w:val="cs-CZ"/>
        </w:rPr>
      </w:pPr>
      <w:r w:rsidRPr="00C9003E">
        <w:rPr>
          <w:sz w:val="22"/>
          <w:szCs w:val="22"/>
          <w:lang w:val="cs-CZ"/>
        </w:rPr>
        <w:t>Všechny systémy a rozhraní jsou realizovány v kompetenci příslušného partnera, což umožňuje diferenciaci služeb a soutěž na trhu. Popsaná struktura EETS nenavrhuje metodu pro detekci mýtných událostí</w:t>
      </w:r>
      <w:r>
        <w:rPr>
          <w:sz w:val="22"/>
          <w:szCs w:val="22"/>
          <w:lang w:val="cs-CZ"/>
        </w:rPr>
        <w:t xml:space="preserve">, avšak </w:t>
      </w:r>
      <w:r w:rsidRPr="00C9003E">
        <w:rPr>
          <w:sz w:val="22"/>
          <w:szCs w:val="22"/>
          <w:lang w:val="cs-CZ"/>
        </w:rPr>
        <w:t>Poskytovatel</w:t>
      </w:r>
      <w:r>
        <w:rPr>
          <w:sz w:val="22"/>
          <w:szCs w:val="22"/>
          <w:lang w:val="cs-CZ"/>
        </w:rPr>
        <w:t xml:space="preserve"> EETS</w:t>
      </w:r>
      <w:r w:rsidRPr="00C9003E">
        <w:rPr>
          <w:sz w:val="22"/>
          <w:szCs w:val="22"/>
          <w:lang w:val="cs-CZ"/>
        </w:rPr>
        <w:t xml:space="preserve"> m</w:t>
      </w:r>
      <w:r>
        <w:rPr>
          <w:sz w:val="22"/>
          <w:szCs w:val="22"/>
          <w:lang w:val="cs-CZ"/>
        </w:rPr>
        <w:t xml:space="preserve">ůže </w:t>
      </w:r>
      <w:r w:rsidRPr="00C9003E">
        <w:rPr>
          <w:sz w:val="22"/>
          <w:szCs w:val="22"/>
          <w:lang w:val="cs-CZ"/>
        </w:rPr>
        <w:t xml:space="preserve">realizovat různá řešení, </w:t>
      </w:r>
      <w:r>
        <w:rPr>
          <w:sz w:val="22"/>
          <w:szCs w:val="22"/>
          <w:lang w:val="cs-CZ"/>
        </w:rPr>
        <w:t xml:space="preserve">od palubního zařízení pracujícího na bázi mikrovlnné technologie (DSRC 5,8 GHz) po palubní zařízení využívající satelitní technologii pro určování polohy vozidla na zpoplatnění síti pozemních komunikací. V tomto případě se může jednat o </w:t>
      </w:r>
      <w:r w:rsidRPr="00C9003E">
        <w:rPr>
          <w:sz w:val="22"/>
          <w:szCs w:val="22"/>
          <w:lang w:val="cs-CZ"/>
        </w:rPr>
        <w:t xml:space="preserve">“tzv. tlusté nebo inteligentní klienty“ poskytující </w:t>
      </w:r>
      <w:proofErr w:type="spellStart"/>
      <w:r w:rsidRPr="00C9003E">
        <w:rPr>
          <w:sz w:val="22"/>
          <w:szCs w:val="22"/>
          <w:lang w:val="cs-CZ"/>
        </w:rPr>
        <w:t>georeference</w:t>
      </w:r>
      <w:proofErr w:type="spellEnd"/>
      <w:r w:rsidRPr="00C9003E">
        <w:rPr>
          <w:sz w:val="22"/>
          <w:szCs w:val="22"/>
          <w:lang w:val="cs-CZ"/>
        </w:rPr>
        <w:t xml:space="preserve"> a kalkulující mýto uvnitř palubního zařízení nebo tzv. “tenké klienty”, kteří pouze sbírají základní časová / polohová data a předávají je do systém</w:t>
      </w:r>
      <w:r>
        <w:rPr>
          <w:sz w:val="22"/>
          <w:szCs w:val="22"/>
          <w:lang w:val="cs-CZ"/>
        </w:rPr>
        <w:t>u</w:t>
      </w:r>
      <w:r w:rsidRPr="00C9003E">
        <w:rPr>
          <w:sz w:val="22"/>
          <w:szCs w:val="22"/>
          <w:lang w:val="cs-CZ"/>
        </w:rPr>
        <w:t xml:space="preserve"> Poskytovatel</w:t>
      </w:r>
      <w:r>
        <w:rPr>
          <w:sz w:val="22"/>
          <w:szCs w:val="22"/>
          <w:lang w:val="cs-CZ"/>
        </w:rPr>
        <w:t>e</w:t>
      </w:r>
      <w:r w:rsidRPr="00C9003E">
        <w:rPr>
          <w:sz w:val="22"/>
          <w:szCs w:val="22"/>
          <w:lang w:val="cs-CZ"/>
        </w:rPr>
        <w:t xml:space="preserve"> EETS pro další zpracování. Subjekt pro výběr mýtného </w:t>
      </w:r>
      <w:r>
        <w:rPr>
          <w:sz w:val="22"/>
          <w:szCs w:val="22"/>
          <w:lang w:val="cs-CZ"/>
        </w:rPr>
        <w:t xml:space="preserve">vždy </w:t>
      </w:r>
      <w:r w:rsidRPr="00C9003E">
        <w:rPr>
          <w:sz w:val="22"/>
          <w:szCs w:val="22"/>
          <w:lang w:val="cs-CZ"/>
        </w:rPr>
        <w:t>může vyžadovat obdržen</w:t>
      </w:r>
      <w:r>
        <w:rPr>
          <w:sz w:val="22"/>
          <w:szCs w:val="22"/>
          <w:lang w:val="cs-CZ"/>
        </w:rPr>
        <w:t>í kompletních mýtných transakcí v případě palubního zařízení pracující na bázi GNSS/CN.</w:t>
      </w:r>
    </w:p>
    <w:p w:rsidR="00C06DA1" w:rsidRPr="00C9003E" w:rsidRDefault="00C06DA1" w:rsidP="00EB1618">
      <w:pPr>
        <w:jc w:val="both"/>
        <w:rPr>
          <w:sz w:val="22"/>
          <w:szCs w:val="22"/>
          <w:lang w:val="cs-CZ"/>
        </w:rPr>
      </w:pPr>
      <w:r w:rsidRPr="00C9003E">
        <w:rPr>
          <w:sz w:val="22"/>
          <w:szCs w:val="22"/>
          <w:lang w:val="cs-CZ"/>
        </w:rPr>
        <w:t>Níže uvedený obrázek ilustruje celkovou architekturu EETS, ukazuje čtyři entity korespondující s aktuálními systémy nebo skupinami systémů a jejich rozhraní. Tato architektura zahrnuje pouze entity zmíněné Rozhodnutím 2009/750/ES</w:t>
      </w:r>
      <w:r>
        <w:rPr>
          <w:sz w:val="22"/>
          <w:szCs w:val="22"/>
          <w:lang w:val="cs-CZ"/>
        </w:rPr>
        <w:t>, avšak plně</w:t>
      </w:r>
      <w:r w:rsidRPr="00C9003E">
        <w:rPr>
          <w:sz w:val="22"/>
          <w:szCs w:val="22"/>
          <w:lang w:val="cs-CZ"/>
        </w:rPr>
        <w:t xml:space="preserve"> odpovídá i detailním modelů</w:t>
      </w:r>
      <w:r>
        <w:rPr>
          <w:sz w:val="22"/>
          <w:szCs w:val="22"/>
          <w:lang w:val="cs-CZ"/>
        </w:rPr>
        <w:t>m</w:t>
      </w:r>
      <w:r w:rsidRPr="00C9003E">
        <w:rPr>
          <w:sz w:val="22"/>
          <w:szCs w:val="22"/>
          <w:lang w:val="cs-CZ"/>
        </w:rPr>
        <w:t>, jako je architektura popsaná ve studii RCI (</w:t>
      </w:r>
      <w:proofErr w:type="spellStart"/>
      <w:r w:rsidRPr="00C9003E">
        <w:rPr>
          <w:sz w:val="22"/>
          <w:szCs w:val="22"/>
          <w:lang w:val="cs-CZ"/>
        </w:rPr>
        <w:t>Road</w:t>
      </w:r>
      <w:proofErr w:type="spellEnd"/>
      <w:r w:rsidRPr="00C9003E">
        <w:rPr>
          <w:sz w:val="22"/>
          <w:szCs w:val="22"/>
          <w:lang w:val="cs-CZ"/>
        </w:rPr>
        <w:t xml:space="preserve"> </w:t>
      </w:r>
      <w:proofErr w:type="spellStart"/>
      <w:r w:rsidRPr="00C9003E">
        <w:rPr>
          <w:sz w:val="22"/>
          <w:szCs w:val="22"/>
          <w:lang w:val="cs-CZ"/>
        </w:rPr>
        <w:t>Charging</w:t>
      </w:r>
      <w:proofErr w:type="spellEnd"/>
      <w:r w:rsidRPr="00C9003E">
        <w:rPr>
          <w:sz w:val="22"/>
          <w:szCs w:val="22"/>
          <w:lang w:val="cs-CZ"/>
        </w:rPr>
        <w:t xml:space="preserve"> Interoperability) a volitelný </w:t>
      </w:r>
      <w:proofErr w:type="spellStart"/>
      <w:r w:rsidRPr="00C9003E">
        <w:rPr>
          <w:sz w:val="22"/>
          <w:szCs w:val="22"/>
          <w:lang w:val="cs-CZ"/>
        </w:rPr>
        <w:t>proxy</w:t>
      </w:r>
      <w:proofErr w:type="spellEnd"/>
      <w:r w:rsidRPr="00C9003E">
        <w:rPr>
          <w:sz w:val="22"/>
          <w:szCs w:val="22"/>
          <w:lang w:val="cs-CZ"/>
        </w:rPr>
        <w:t>-prvek ve front-</w:t>
      </w:r>
      <w:proofErr w:type="spellStart"/>
      <w:r w:rsidRPr="00C9003E">
        <w:rPr>
          <w:sz w:val="22"/>
          <w:szCs w:val="22"/>
          <w:lang w:val="cs-CZ"/>
        </w:rPr>
        <w:t>endu</w:t>
      </w:r>
      <w:proofErr w:type="spellEnd"/>
      <w:r w:rsidRPr="00C9003E">
        <w:rPr>
          <w:sz w:val="22"/>
          <w:szCs w:val="22"/>
          <w:lang w:val="cs-CZ"/>
        </w:rPr>
        <w:t xml:space="preserve"> EETS navržený v architektuře RCI tak může být přiřazen k </w:t>
      </w:r>
      <w:proofErr w:type="spellStart"/>
      <w:r w:rsidRPr="00C9003E">
        <w:rPr>
          <w:sz w:val="22"/>
          <w:szCs w:val="22"/>
          <w:lang w:val="cs-CZ"/>
        </w:rPr>
        <w:t>Back</w:t>
      </w:r>
      <w:proofErr w:type="spellEnd"/>
      <w:r w:rsidRPr="00C9003E">
        <w:rPr>
          <w:sz w:val="22"/>
          <w:szCs w:val="22"/>
          <w:lang w:val="cs-CZ"/>
        </w:rPr>
        <w:t>-Office systémům Poskytovatel</w:t>
      </w:r>
      <w:r>
        <w:rPr>
          <w:sz w:val="22"/>
          <w:szCs w:val="22"/>
          <w:lang w:val="cs-CZ"/>
        </w:rPr>
        <w:t>e</w:t>
      </w:r>
      <w:r w:rsidRPr="00C9003E">
        <w:rPr>
          <w:sz w:val="22"/>
          <w:szCs w:val="22"/>
          <w:lang w:val="cs-CZ"/>
        </w:rPr>
        <w:t xml:space="preserve"> EETS. Navržená celková architektura EETS prezentuje nastavení hlavních rozhraní mezi entitami.</w:t>
      </w:r>
    </w:p>
    <w:p w:rsidR="00C06DA1" w:rsidRPr="00762624" w:rsidRDefault="001C18DA" w:rsidP="00EB1618">
      <w:pPr>
        <w:jc w:val="center"/>
        <w:rPr>
          <w:szCs w:val="22"/>
        </w:rPr>
      </w:pPr>
      <w:r w:rsidRPr="001C18DA">
        <w:rPr>
          <w:noProof/>
          <w:szCs w:val="22"/>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7" o:spid="_x0000_i1025" type="#_x0000_t75" alt="Obr_2_Rozhranni_EETS.JPG" style="width:300pt;height:236.25pt;visibility:visible">
            <v:imagedata r:id="rId7" o:title=""/>
          </v:shape>
        </w:pict>
      </w:r>
    </w:p>
    <w:p w:rsidR="00C06DA1" w:rsidRPr="00DD2F1B" w:rsidRDefault="00C06DA1" w:rsidP="00EB1618">
      <w:pPr>
        <w:jc w:val="center"/>
        <w:rPr>
          <w:sz w:val="16"/>
          <w:szCs w:val="16"/>
          <w:lang w:val="cs-CZ"/>
        </w:rPr>
      </w:pPr>
      <w:r w:rsidRPr="00DD2F1B">
        <w:rPr>
          <w:sz w:val="16"/>
          <w:szCs w:val="16"/>
          <w:lang w:val="cs-CZ"/>
        </w:rPr>
        <w:t xml:space="preserve">Obrázek č. </w:t>
      </w:r>
      <w:r>
        <w:rPr>
          <w:sz w:val="16"/>
          <w:szCs w:val="16"/>
          <w:lang w:val="cs-CZ"/>
        </w:rPr>
        <w:t>1</w:t>
      </w:r>
      <w:r w:rsidRPr="00DD2F1B">
        <w:rPr>
          <w:sz w:val="16"/>
          <w:szCs w:val="16"/>
          <w:lang w:val="cs-CZ"/>
        </w:rPr>
        <w:t xml:space="preserve"> – </w:t>
      </w:r>
      <w:r>
        <w:rPr>
          <w:sz w:val="16"/>
          <w:szCs w:val="16"/>
          <w:lang w:val="cs-CZ"/>
        </w:rPr>
        <w:t>Základní rozhraní EETS</w:t>
      </w:r>
    </w:p>
    <w:p w:rsidR="00C06DA1" w:rsidRPr="003A1993" w:rsidRDefault="00C06DA1" w:rsidP="00EB1618">
      <w:pPr>
        <w:jc w:val="both"/>
        <w:rPr>
          <w:sz w:val="22"/>
          <w:szCs w:val="22"/>
          <w:lang w:val="cs-CZ"/>
        </w:rPr>
      </w:pPr>
      <w:r w:rsidRPr="003A1993">
        <w:rPr>
          <w:sz w:val="22"/>
          <w:szCs w:val="22"/>
          <w:lang w:val="cs-CZ"/>
        </w:rPr>
        <w:lastRenderedPageBreak/>
        <w:t>Dvě ze čtyř hlavních rozhraní (rozhraní 1 a 3) jsou zásadní pro dosažení interoperability mezi Poskytovatel</w:t>
      </w:r>
      <w:r>
        <w:rPr>
          <w:sz w:val="22"/>
          <w:szCs w:val="22"/>
          <w:lang w:val="cs-CZ"/>
        </w:rPr>
        <w:t>em</w:t>
      </w:r>
      <w:r w:rsidRPr="003A1993">
        <w:rPr>
          <w:sz w:val="22"/>
          <w:szCs w:val="22"/>
          <w:lang w:val="cs-CZ"/>
        </w:rPr>
        <w:t xml:space="preserve"> EETS a Subjekt</w:t>
      </w:r>
      <w:r>
        <w:rPr>
          <w:sz w:val="22"/>
          <w:szCs w:val="22"/>
          <w:lang w:val="cs-CZ"/>
        </w:rPr>
        <w:t>em</w:t>
      </w:r>
      <w:r w:rsidRPr="003A1993">
        <w:rPr>
          <w:sz w:val="22"/>
          <w:szCs w:val="22"/>
          <w:lang w:val="cs-CZ"/>
        </w:rPr>
        <w:t xml:space="preserve"> pro výběr mýtného. Tato rozhraní tedy musí být standardizována, aby byla docílena účinná realizace architektury EETS.</w:t>
      </w:r>
    </w:p>
    <w:p w:rsidR="00C06DA1" w:rsidRPr="003A1993" w:rsidRDefault="00C06DA1" w:rsidP="00EB1618">
      <w:pPr>
        <w:jc w:val="both"/>
        <w:rPr>
          <w:sz w:val="22"/>
          <w:szCs w:val="22"/>
          <w:lang w:val="cs-CZ"/>
        </w:rPr>
      </w:pPr>
      <w:r w:rsidRPr="003A1993">
        <w:rPr>
          <w:sz w:val="22"/>
          <w:szCs w:val="22"/>
          <w:lang w:val="cs-CZ"/>
        </w:rPr>
        <w:t>Standardizovaná silniční rozhraní mezi palubním zařízením a pevným nebo pohyblivým zařízením Subjekt</w:t>
      </w:r>
      <w:r>
        <w:rPr>
          <w:sz w:val="22"/>
          <w:szCs w:val="22"/>
          <w:lang w:val="cs-CZ"/>
        </w:rPr>
        <w:t>u</w:t>
      </w:r>
      <w:r w:rsidRPr="003A1993">
        <w:rPr>
          <w:sz w:val="22"/>
          <w:szCs w:val="22"/>
          <w:lang w:val="cs-CZ"/>
        </w:rPr>
        <w:t xml:space="preserve"> pro výběr mýtného zajišťují minimálně:</w:t>
      </w:r>
    </w:p>
    <w:p w:rsidR="00C06DA1" w:rsidRPr="003A1993" w:rsidRDefault="00C06DA1" w:rsidP="00EB1618">
      <w:pPr>
        <w:numPr>
          <w:ilvl w:val="0"/>
          <w:numId w:val="41"/>
        </w:numPr>
        <w:spacing w:before="120" w:after="120" w:line="288" w:lineRule="auto"/>
        <w:jc w:val="both"/>
        <w:rPr>
          <w:sz w:val="22"/>
          <w:szCs w:val="22"/>
          <w:lang w:val="cs-CZ"/>
        </w:rPr>
      </w:pPr>
      <w:r w:rsidRPr="003A1993">
        <w:rPr>
          <w:sz w:val="22"/>
          <w:szCs w:val="22"/>
          <w:lang w:val="cs-CZ"/>
        </w:rPr>
        <w:t>transakce zúčtování pomocí vyhrazeného spojení krátkého dosahu (DSRC);</w:t>
      </w:r>
    </w:p>
    <w:p w:rsidR="00C06DA1" w:rsidRPr="003A1993" w:rsidRDefault="00C06DA1" w:rsidP="00EB1618">
      <w:pPr>
        <w:numPr>
          <w:ilvl w:val="0"/>
          <w:numId w:val="41"/>
        </w:numPr>
        <w:spacing w:before="120" w:after="120" w:line="288" w:lineRule="auto"/>
        <w:jc w:val="both"/>
        <w:rPr>
          <w:sz w:val="22"/>
          <w:szCs w:val="22"/>
          <w:lang w:val="cs-CZ"/>
        </w:rPr>
      </w:pPr>
      <w:r w:rsidRPr="003A1993">
        <w:rPr>
          <w:sz w:val="22"/>
          <w:szCs w:val="22"/>
          <w:lang w:val="cs-CZ"/>
        </w:rPr>
        <w:t>transakce ověřování shody v reálném čase;</w:t>
      </w:r>
    </w:p>
    <w:p w:rsidR="00C06DA1" w:rsidRPr="003A1993" w:rsidRDefault="00C06DA1" w:rsidP="00EB1618">
      <w:pPr>
        <w:numPr>
          <w:ilvl w:val="0"/>
          <w:numId w:val="41"/>
        </w:numPr>
        <w:spacing w:before="120" w:after="120" w:line="288" w:lineRule="auto"/>
        <w:jc w:val="both"/>
        <w:rPr>
          <w:sz w:val="22"/>
          <w:szCs w:val="22"/>
          <w:lang w:val="cs-CZ"/>
        </w:rPr>
      </w:pPr>
      <w:r w:rsidRPr="003A1993">
        <w:rPr>
          <w:sz w:val="22"/>
          <w:szCs w:val="22"/>
          <w:lang w:val="cs-CZ"/>
        </w:rPr>
        <w:t>posílení lokalizace (je-li relevantní).</w:t>
      </w:r>
    </w:p>
    <w:p w:rsidR="00C06DA1" w:rsidRPr="003A1993" w:rsidRDefault="00C06DA1" w:rsidP="00EB1618">
      <w:pPr>
        <w:jc w:val="both"/>
        <w:rPr>
          <w:sz w:val="22"/>
          <w:szCs w:val="22"/>
          <w:lang w:val="cs-CZ"/>
        </w:rPr>
      </w:pPr>
      <w:r w:rsidRPr="003A1993">
        <w:rPr>
          <w:sz w:val="22"/>
          <w:szCs w:val="22"/>
          <w:lang w:val="cs-CZ"/>
        </w:rPr>
        <w:t>Rozhraní 1 provádí veškerou výměnu interoperabilních dat mezi palubním zařízením Poskytovatele EETS a pevným nebo mobilním (silničním) vybavením Subjektu pro výběr mýtného. Příloha II Rozhodnutí 20</w:t>
      </w:r>
      <w:r>
        <w:rPr>
          <w:sz w:val="22"/>
          <w:szCs w:val="22"/>
          <w:lang w:val="cs-CZ"/>
        </w:rPr>
        <w:t>09/750/ES rozlišuje následující:</w:t>
      </w:r>
    </w:p>
    <w:p w:rsidR="00C06DA1" w:rsidRPr="003A1993" w:rsidRDefault="00C06DA1" w:rsidP="00EB1618">
      <w:pPr>
        <w:numPr>
          <w:ilvl w:val="0"/>
          <w:numId w:val="41"/>
        </w:numPr>
        <w:spacing w:before="120" w:after="120" w:line="288" w:lineRule="auto"/>
        <w:jc w:val="both"/>
        <w:rPr>
          <w:sz w:val="22"/>
          <w:szCs w:val="22"/>
          <w:lang w:val="cs-CZ"/>
        </w:rPr>
      </w:pPr>
      <w:r w:rsidRPr="003A1993">
        <w:rPr>
          <w:sz w:val="22"/>
          <w:szCs w:val="22"/>
          <w:lang w:val="cs-CZ"/>
        </w:rPr>
        <w:t>výměna dat k výkazu o mýtném pomocí DSRC;</w:t>
      </w:r>
    </w:p>
    <w:p w:rsidR="00C06DA1" w:rsidRPr="003A1993" w:rsidRDefault="00C06DA1" w:rsidP="00EB1618">
      <w:pPr>
        <w:numPr>
          <w:ilvl w:val="0"/>
          <w:numId w:val="41"/>
        </w:numPr>
        <w:spacing w:before="120" w:after="120" w:line="288" w:lineRule="auto"/>
        <w:jc w:val="both"/>
        <w:rPr>
          <w:sz w:val="22"/>
          <w:szCs w:val="22"/>
          <w:lang w:val="cs-CZ"/>
        </w:rPr>
      </w:pPr>
      <w:r w:rsidRPr="003A1993">
        <w:rPr>
          <w:sz w:val="22"/>
          <w:szCs w:val="22"/>
          <w:lang w:val="cs-CZ"/>
        </w:rPr>
        <w:t>kontrola plateb v reálném čase;</w:t>
      </w:r>
    </w:p>
    <w:p w:rsidR="00C06DA1" w:rsidRPr="003A1993" w:rsidRDefault="00C06DA1" w:rsidP="00EB1618">
      <w:pPr>
        <w:numPr>
          <w:ilvl w:val="0"/>
          <w:numId w:val="41"/>
        </w:numPr>
        <w:spacing w:before="120" w:after="120" w:line="288" w:lineRule="auto"/>
        <w:jc w:val="both"/>
        <w:rPr>
          <w:sz w:val="22"/>
          <w:szCs w:val="22"/>
          <w:lang w:val="cs-CZ"/>
        </w:rPr>
      </w:pPr>
      <w:r w:rsidRPr="003A1993">
        <w:rPr>
          <w:sz w:val="22"/>
          <w:szCs w:val="22"/>
          <w:lang w:val="cs-CZ"/>
        </w:rPr>
        <w:t xml:space="preserve">posílení lokalizace (je-li relevantní – pro GNSS systémy). </w:t>
      </w:r>
    </w:p>
    <w:p w:rsidR="00C06DA1" w:rsidRPr="00D828F4" w:rsidRDefault="001C18DA" w:rsidP="00EB1618">
      <w:pPr>
        <w:jc w:val="center"/>
        <w:rPr>
          <w:szCs w:val="22"/>
          <w:lang w:eastAsia="de-DE"/>
        </w:rPr>
      </w:pPr>
      <w:r w:rsidRPr="001C18DA">
        <w:rPr>
          <w:noProof/>
          <w:szCs w:val="22"/>
          <w:lang w:val="cs-CZ" w:eastAsia="cs-CZ"/>
        </w:rPr>
        <w:pict>
          <v:shape id="obrázek 18" o:spid="_x0000_i1026" type="#_x0000_t75" alt="Obr_3_Rozhranni_EETS_detail.JPG" style="width:214.5pt;height:231.75pt;visibility:visible" o:bordertopcolor="black" o:borderleftcolor="black" o:borderbottomcolor="black" o:borderrightcolor="black">
            <v:imagedata r:id="rId8" o:title="" croptop="-4952f" cropbottom="-4952f" cropleft="-2167f" cropright="32950f"/>
            <w10:bordertop type="single" width="4"/>
            <w10:borderleft type="single" width="4"/>
            <w10:borderbottom type="single" width="4"/>
            <w10:borderright type="single" width="4"/>
          </v:shape>
        </w:pict>
      </w:r>
    </w:p>
    <w:p w:rsidR="00C06DA1" w:rsidRPr="00DD2F1B" w:rsidRDefault="00C06DA1" w:rsidP="00EB1618">
      <w:pPr>
        <w:jc w:val="center"/>
        <w:rPr>
          <w:sz w:val="16"/>
          <w:szCs w:val="16"/>
          <w:lang w:val="cs-CZ"/>
        </w:rPr>
      </w:pPr>
      <w:r w:rsidRPr="00DD2F1B">
        <w:rPr>
          <w:sz w:val="16"/>
          <w:szCs w:val="16"/>
          <w:lang w:val="cs-CZ"/>
        </w:rPr>
        <w:t xml:space="preserve">Obrázek č. </w:t>
      </w:r>
      <w:r>
        <w:rPr>
          <w:sz w:val="16"/>
          <w:szCs w:val="16"/>
          <w:lang w:val="cs-CZ"/>
        </w:rPr>
        <w:t>2</w:t>
      </w:r>
      <w:r w:rsidRPr="00DD2F1B">
        <w:rPr>
          <w:sz w:val="16"/>
          <w:szCs w:val="16"/>
          <w:lang w:val="cs-CZ"/>
        </w:rPr>
        <w:t xml:space="preserve"> – </w:t>
      </w:r>
      <w:r>
        <w:rPr>
          <w:sz w:val="16"/>
          <w:szCs w:val="16"/>
          <w:lang w:val="cs-CZ"/>
        </w:rPr>
        <w:t>Rozhraní závislé na technologii mýtného</w:t>
      </w:r>
    </w:p>
    <w:p w:rsidR="00C06DA1" w:rsidRPr="003A1993" w:rsidRDefault="00C06DA1" w:rsidP="00EB1618">
      <w:pPr>
        <w:jc w:val="both"/>
        <w:rPr>
          <w:sz w:val="22"/>
          <w:szCs w:val="22"/>
          <w:lang w:val="cs-CZ"/>
        </w:rPr>
      </w:pPr>
      <w:r w:rsidRPr="003A1993">
        <w:rPr>
          <w:sz w:val="22"/>
          <w:szCs w:val="22"/>
          <w:lang w:val="cs-CZ"/>
        </w:rPr>
        <w:t>Rozhraní 2 slouží pro výměnu dat mezi palubním zařízením a systémy obslužného oddělení Poskytovatel</w:t>
      </w:r>
      <w:r>
        <w:rPr>
          <w:sz w:val="22"/>
          <w:szCs w:val="22"/>
          <w:lang w:val="cs-CZ"/>
        </w:rPr>
        <w:t>e</w:t>
      </w:r>
      <w:r w:rsidRPr="003A1993">
        <w:rPr>
          <w:sz w:val="22"/>
          <w:szCs w:val="22"/>
          <w:lang w:val="cs-CZ"/>
        </w:rPr>
        <w:t xml:space="preserve"> EETS. To zahrnuje dálkově řízenou konfiguraci palubního zařízení se smlouvou nebo parametry vozidla, posílání dat o výběru poplatků, aktualizaci palubního zařízení kontextovými daty o mýtném, atd. Pro mýtné systémy založené na satelitním systému (GNSS</w:t>
      </w:r>
      <w:r>
        <w:rPr>
          <w:sz w:val="22"/>
          <w:szCs w:val="22"/>
          <w:lang w:val="cs-CZ"/>
        </w:rPr>
        <w:t>/CN</w:t>
      </w:r>
      <w:r w:rsidRPr="003A1993">
        <w:rPr>
          <w:sz w:val="22"/>
          <w:szCs w:val="22"/>
          <w:lang w:val="cs-CZ"/>
        </w:rPr>
        <w:t xml:space="preserve">) je rozhraní 2 prováděno pomocí technologie GSM/GPRS. Za toto rozhraní je výhradně odpovědný Poskytovatel EETS.  </w:t>
      </w:r>
    </w:p>
    <w:p w:rsidR="00C06DA1" w:rsidRPr="003A1993" w:rsidRDefault="00C06DA1" w:rsidP="00EB1618">
      <w:pPr>
        <w:jc w:val="both"/>
        <w:rPr>
          <w:sz w:val="22"/>
          <w:szCs w:val="22"/>
          <w:lang w:val="cs-CZ"/>
        </w:rPr>
      </w:pPr>
      <w:r w:rsidRPr="003A1993">
        <w:rPr>
          <w:sz w:val="22"/>
          <w:szCs w:val="22"/>
          <w:lang w:val="cs-CZ"/>
        </w:rPr>
        <w:t>Rozhraní 3 je určeno k výměně dat mezi systémy obslužných oddělení Poskytovatel</w:t>
      </w:r>
      <w:r>
        <w:rPr>
          <w:sz w:val="22"/>
          <w:szCs w:val="22"/>
          <w:lang w:val="cs-CZ"/>
        </w:rPr>
        <w:t>e</w:t>
      </w:r>
      <w:r w:rsidRPr="003A1993">
        <w:rPr>
          <w:sz w:val="22"/>
          <w:szCs w:val="22"/>
          <w:lang w:val="cs-CZ"/>
        </w:rPr>
        <w:t xml:space="preserve"> EETS a Subjekt</w:t>
      </w:r>
      <w:r>
        <w:rPr>
          <w:sz w:val="22"/>
          <w:szCs w:val="22"/>
          <w:lang w:val="cs-CZ"/>
        </w:rPr>
        <w:t>u</w:t>
      </w:r>
      <w:r w:rsidRPr="003A1993">
        <w:rPr>
          <w:sz w:val="22"/>
          <w:szCs w:val="22"/>
          <w:lang w:val="cs-CZ"/>
        </w:rPr>
        <w:t xml:space="preserve"> pro výběr mýtného. Provádí výměnu dat, jak ji specifikuje Příloha II Rozhodnutí Komise 2009/750/ES.</w:t>
      </w:r>
    </w:p>
    <w:p w:rsidR="00C06DA1" w:rsidRPr="00762624" w:rsidRDefault="001C18DA" w:rsidP="00EB1618">
      <w:pPr>
        <w:jc w:val="center"/>
        <w:rPr>
          <w:i/>
          <w:szCs w:val="22"/>
          <w:lang w:eastAsia="de-DE"/>
        </w:rPr>
      </w:pPr>
      <w:r w:rsidRPr="001C18DA">
        <w:rPr>
          <w:noProof/>
          <w:szCs w:val="22"/>
          <w:lang w:val="cs-CZ" w:eastAsia="cs-CZ"/>
        </w:rPr>
        <w:lastRenderedPageBreak/>
        <w:pict>
          <v:shape id="obrázek 19" o:spid="_x0000_i1027" type="#_x0000_t75" alt="Obr_3_Rozhranni_EETS_detail.JPG" style="width:246.75pt;height:240.75pt;visibility:visible" o:bordertopcolor="black" o:borderleftcolor="black" o:borderbottomcolor="black" o:borderrightcolor="black">
            <v:imagedata r:id="rId8" o:title="" croptop="-4278f" cropbottom="-4544f" cropleft="30410f" cropright="-2341f"/>
            <w10:bordertop type="single" width="4"/>
            <w10:borderleft type="single" width="4"/>
            <w10:borderbottom type="single" width="4"/>
            <w10:borderright type="single" width="4"/>
          </v:shape>
        </w:pict>
      </w:r>
    </w:p>
    <w:p w:rsidR="00C06DA1" w:rsidRPr="00762624" w:rsidRDefault="00C06DA1" w:rsidP="00EB1618">
      <w:pPr>
        <w:jc w:val="center"/>
        <w:rPr>
          <w:szCs w:val="22"/>
          <w:lang w:eastAsia="de-DE"/>
        </w:rPr>
      </w:pPr>
      <w:r w:rsidRPr="00DD2F1B">
        <w:rPr>
          <w:sz w:val="16"/>
          <w:szCs w:val="16"/>
          <w:lang w:val="cs-CZ"/>
        </w:rPr>
        <w:t xml:space="preserve">Obrázek č. </w:t>
      </w:r>
      <w:r>
        <w:rPr>
          <w:sz w:val="16"/>
          <w:szCs w:val="16"/>
          <w:lang w:val="cs-CZ"/>
        </w:rPr>
        <w:t>3</w:t>
      </w:r>
      <w:r w:rsidRPr="00DD2F1B">
        <w:rPr>
          <w:sz w:val="16"/>
          <w:szCs w:val="16"/>
          <w:lang w:val="cs-CZ"/>
        </w:rPr>
        <w:t xml:space="preserve"> – </w:t>
      </w:r>
      <w:r>
        <w:rPr>
          <w:sz w:val="16"/>
          <w:szCs w:val="16"/>
          <w:lang w:val="cs-CZ"/>
        </w:rPr>
        <w:t>Rozhraní nezávislé na technologii mýtného</w:t>
      </w:r>
    </w:p>
    <w:p w:rsidR="00C06DA1" w:rsidRDefault="00C06DA1" w:rsidP="00EB1618">
      <w:pPr>
        <w:jc w:val="both"/>
        <w:rPr>
          <w:sz w:val="22"/>
          <w:szCs w:val="22"/>
          <w:lang w:val="cs-CZ"/>
        </w:rPr>
      </w:pPr>
      <w:r w:rsidRPr="003A1993">
        <w:rPr>
          <w:sz w:val="22"/>
          <w:szCs w:val="22"/>
          <w:lang w:val="cs-CZ"/>
        </w:rPr>
        <w:t>Rozhraní 4 provádí výměnu dat mezi pevným nebo mobilním (silničním) vybavením Subjektu pro výběr mýtného a systémy obslužného oddělení. To zahrnuje zejména posílání dat o výběru poplatků nebo dat o vymáhání, a to z RSE do systémů obslužného oddělení. Toto rozhraní je plně v odpovědnosti Subjektu pro výběr mýtného, a proto už se o něm dále tento dokument nezmiňuje. V současnosti pro toto rozhraní není pláno</w:t>
      </w:r>
      <w:r>
        <w:rPr>
          <w:sz w:val="22"/>
          <w:szCs w:val="22"/>
          <w:lang w:val="cs-CZ"/>
        </w:rPr>
        <w:t>vána žádná aplikace standardů.</w:t>
      </w:r>
    </w:p>
    <w:p w:rsidR="00C06DA1" w:rsidRDefault="00C06DA1" w:rsidP="00EB1618">
      <w:pPr>
        <w:jc w:val="both"/>
        <w:rPr>
          <w:sz w:val="22"/>
          <w:szCs w:val="22"/>
          <w:lang w:val="cs-CZ"/>
        </w:rPr>
      </w:pPr>
      <w:r>
        <w:rPr>
          <w:sz w:val="22"/>
          <w:szCs w:val="22"/>
          <w:lang w:val="cs-CZ"/>
        </w:rPr>
        <w:t>Z výše uvedeného vyplývá, že model zavedení a fungování EETS pro Českou republiku je zcela zřejmý a nelze identifikovat jinou formu či jiný model pro zavedení EETS v České republice než je zde popsán či jinak definován v Rozhodnutí 2009/750/ES.</w:t>
      </w:r>
    </w:p>
    <w:p w:rsidR="00C06DA1" w:rsidRPr="00DD2F1B" w:rsidRDefault="00C06DA1" w:rsidP="00EB1618">
      <w:pPr>
        <w:jc w:val="both"/>
        <w:rPr>
          <w:rFonts w:cs="Calibri"/>
          <w:sz w:val="22"/>
          <w:szCs w:val="22"/>
          <w:lang w:val="cs-CZ"/>
        </w:rPr>
      </w:pPr>
      <w:r>
        <w:rPr>
          <w:sz w:val="22"/>
          <w:szCs w:val="22"/>
          <w:lang w:val="cs-CZ"/>
        </w:rPr>
        <w:t>Model nastavení EETS je zcela shodný bez ohledu na to, dojde-li k implementaci EETS do roku 2016 či po tomto roce. Role Subjektu pro výběr mýtného (Ředitelství silnic a dálnic ČR) bude s největší pravděpodobností shodná se současnou rolí, tedy se bude jednat o lokálního správce mýtného systému s vlastním souborem služeb, palubních zařízení a dalších komponent výkonového zpoplatnění. Uživatel EETS tak bude skrze Poskytovatele EETS vstupovat do omezeného vztahu se Subjektem pro výběr mýta, a to do doby, do které bude zařazen tento uživatel na listině uživatelů EETS.</w:t>
      </w:r>
    </w:p>
    <w:p w:rsidR="00C06DA1" w:rsidRPr="00DD2F1B" w:rsidRDefault="00C06DA1" w:rsidP="00B42BB2">
      <w:pPr>
        <w:pBdr>
          <w:bottom w:val="single" w:sz="4" w:space="1" w:color="auto"/>
        </w:pBdr>
        <w:rPr>
          <w:b/>
          <w:sz w:val="24"/>
          <w:szCs w:val="24"/>
          <w:lang w:val="cs-CZ"/>
        </w:rPr>
      </w:pPr>
      <w:r>
        <w:rPr>
          <w:b/>
          <w:sz w:val="24"/>
          <w:szCs w:val="24"/>
          <w:lang w:val="cs-CZ"/>
        </w:rPr>
        <w:t>Proces z</w:t>
      </w:r>
      <w:r w:rsidRPr="00DD2F1B">
        <w:rPr>
          <w:b/>
          <w:sz w:val="24"/>
          <w:szCs w:val="24"/>
          <w:lang w:val="cs-CZ"/>
        </w:rPr>
        <w:t>av</w:t>
      </w:r>
      <w:r>
        <w:rPr>
          <w:b/>
          <w:sz w:val="24"/>
          <w:szCs w:val="24"/>
          <w:lang w:val="cs-CZ"/>
        </w:rPr>
        <w:t>á</w:t>
      </w:r>
      <w:r w:rsidRPr="00DD2F1B">
        <w:rPr>
          <w:b/>
          <w:sz w:val="24"/>
          <w:szCs w:val="24"/>
          <w:lang w:val="cs-CZ"/>
        </w:rPr>
        <w:t>d</w:t>
      </w:r>
      <w:r>
        <w:rPr>
          <w:b/>
          <w:sz w:val="24"/>
          <w:szCs w:val="24"/>
          <w:lang w:val="cs-CZ"/>
        </w:rPr>
        <w:t>ě</w:t>
      </w:r>
      <w:r w:rsidRPr="00DD2F1B">
        <w:rPr>
          <w:b/>
          <w:sz w:val="24"/>
          <w:szCs w:val="24"/>
          <w:lang w:val="cs-CZ"/>
        </w:rPr>
        <w:t>ní Evropské služby elektronického mýta</w:t>
      </w:r>
    </w:p>
    <w:p w:rsidR="00C06DA1" w:rsidRPr="00DD2F1B" w:rsidRDefault="00C06DA1" w:rsidP="00895E15">
      <w:pPr>
        <w:pStyle w:val="BodyText1"/>
        <w:rPr>
          <w:lang w:val="cs-CZ"/>
        </w:rPr>
      </w:pPr>
      <w:r w:rsidRPr="00DD2F1B">
        <w:rPr>
          <w:lang w:val="cs-CZ"/>
        </w:rPr>
        <w:t>Česká republika je zavázána příslušnými právními akty Evropské unie k zavedení Evropské služby elektronického mýta na svém území. Samotná implementace této služby probíhá se značným zpožděním.</w:t>
      </w:r>
      <w:r>
        <w:rPr>
          <w:lang w:val="cs-CZ"/>
        </w:rPr>
        <w:t xml:space="preserve"> Původní termín zavedení této služby ve všech členských státech Evropské unie majících elektronické systémy pro výběr poplatků za užití pozemních komunikací byl stanoven na 6. října 2012, tedy do 36 měsíců od data uveřejnění Rozhodnutí 2009/750/ES ve věstníku tehdejšího Evropského společenství. Vzhledem k tomu, že se jedná o značně komplikovanou problematiku, kdy řada členských států Evropské unie již v době uvedení v platnost Rozhodnutí 2009/750/ES měla vybudovány elektronické systémy pro výběr poplatků a tyto systémy tak nebyly plně kompatibilní </w:t>
      </w:r>
      <w:r>
        <w:rPr>
          <w:lang w:val="cs-CZ"/>
        </w:rPr>
        <w:lastRenderedPageBreak/>
        <w:t>s požadavky předmětného rozhodnutí, je celkem logické, že při zavádění Evropské služby elektronického v těchto zemích došlo ke zpoždění. Výjimku by tak měly tvořit členské státy Evropské unie, které své systému zprovoznily po tomto datu, což ovšem neplatí. V současné době není v Evropské unii členský stát, který by umožnil poskytovat Evropskou službu elektronického mýta ve své doméně. Samotná Evropská komise začala v průběhu roku 2012 podporovat regionální iniciativy pro zavedení tzv. regionální interoperability, jako předstupně EETS, avšak i přes tento postoj nepřestala Evropská komise tlačit na členské státy v zavedení této služby. Lze tedy konstatovat, že Česká republika v procesu zavádění Evropské služby elektronického mýta nepatří k těm nejhorším, avšak současně také nepatří k těm nejlepším členským státům EU. Některé členské státy již realizovaly transpozici předmětného rozhodnutí do svých právních řádů, tak jako to udělala České republika, avšak současně dokončily prohlášení o oblasti EETS a zahájily nezbytné systémové úpravy.</w:t>
      </w:r>
    </w:p>
    <w:p w:rsidR="00C06DA1" w:rsidRDefault="00C06DA1" w:rsidP="00895E15">
      <w:pPr>
        <w:pStyle w:val="BodyText1"/>
        <w:rPr>
          <w:lang w:val="cs-CZ"/>
        </w:rPr>
      </w:pPr>
      <w:r>
        <w:rPr>
          <w:lang w:val="cs-CZ"/>
        </w:rPr>
        <w:t>Pro zavedení EETS v České republice je důležité n</w:t>
      </w:r>
      <w:r w:rsidRPr="00DD2F1B">
        <w:rPr>
          <w:lang w:val="cs-CZ"/>
        </w:rPr>
        <w:t>eprodleně dokončit dokument „Prohlášení o systému elektronického mýtného“ (také Přehled o oblasti EETS v České republice) popisující způsob přístupu Poskytovatelů Evropské služby elektronického mýta do prostředí Systému elektronického mýta v ČR. Pro jeho dokončení je nutná realizace první fáze zavedení Evropské služby elektronického mýta v České republice, která spočívá v doplnění specifikací do předmětného dokumentu, návrh systémových změn, návrh časového harmonogramu realizace těchto systémových změn a především finanční ohodnocení realizace těchto změn. Na základě těchto doplnění bude možné dokončit předmětný dokument a stanovit tak konkrétní podmínky poskytování Evropské služby elektronického mýta v České republice. Následně by bylo možné tuto službu v České republice zavést ještě do roku 2016. P</w:t>
      </w:r>
      <w:r w:rsidRPr="00DD2F1B">
        <w:rPr>
          <w:rFonts w:cs="Calibri"/>
          <w:szCs w:val="22"/>
          <w:lang w:val="cs-CZ"/>
        </w:rPr>
        <w:t xml:space="preserve">řípadné nezavedení Evropské služby elektronického mýta v České republice s určitostí povede k zahájení </w:t>
      </w:r>
      <w:r w:rsidRPr="00DD2F1B">
        <w:rPr>
          <w:szCs w:val="22"/>
          <w:lang w:val="cs-CZ" w:eastAsia="cs-CZ"/>
        </w:rPr>
        <w:t>řízení o porušení Smlouvy o fungování Evropské unie, jehož důsledkem mohou být citelné finanční sankce</w:t>
      </w:r>
      <w:r>
        <w:rPr>
          <w:szCs w:val="22"/>
          <w:lang w:val="cs-CZ" w:eastAsia="cs-CZ"/>
        </w:rPr>
        <w:t>, o kterých bude s největší pravděpodobností rozhodovat až Soudní dvůr Evropské unie</w:t>
      </w:r>
      <w:r w:rsidRPr="00DD2F1B">
        <w:rPr>
          <w:szCs w:val="22"/>
          <w:lang w:val="cs-CZ" w:eastAsia="cs-CZ"/>
        </w:rPr>
        <w:t xml:space="preserve">. </w:t>
      </w:r>
      <w:r>
        <w:rPr>
          <w:szCs w:val="22"/>
          <w:lang w:val="cs-CZ" w:eastAsia="cs-CZ"/>
        </w:rPr>
        <w:t xml:space="preserve">Předejít těmto sankcím či předjít případnému zahájení řízení pro porušení smlouvy o fungování Evropské unie lze okamžitým zahájením implementace Evropské služby elektronického mýta v České republice, tedy dokončením dokumentu s názvem: „Přehled o oblasti EETS v ČR“ a zadáním vypracování návrhu systémových úprav, časového harmonogramu a finanční kalkulace, a to společnosti Kapsch </w:t>
      </w:r>
      <w:proofErr w:type="spellStart"/>
      <w:r>
        <w:rPr>
          <w:szCs w:val="22"/>
          <w:lang w:val="cs-CZ" w:eastAsia="cs-CZ"/>
        </w:rPr>
        <w:t>Telematic</w:t>
      </w:r>
      <w:proofErr w:type="spellEnd"/>
      <w:r>
        <w:rPr>
          <w:szCs w:val="22"/>
          <w:lang w:val="cs-CZ" w:eastAsia="cs-CZ"/>
        </w:rPr>
        <w:t xml:space="preserve"> </w:t>
      </w:r>
      <w:proofErr w:type="spellStart"/>
      <w:r>
        <w:rPr>
          <w:szCs w:val="22"/>
          <w:lang w:val="cs-CZ" w:eastAsia="cs-CZ"/>
        </w:rPr>
        <w:t>Services</w:t>
      </w:r>
      <w:proofErr w:type="spellEnd"/>
      <w:r>
        <w:rPr>
          <w:szCs w:val="22"/>
          <w:lang w:val="cs-CZ" w:eastAsia="cs-CZ"/>
        </w:rPr>
        <w:t xml:space="preserve"> s.r.o. </w:t>
      </w:r>
      <w:r w:rsidRPr="00DD2F1B">
        <w:rPr>
          <w:szCs w:val="22"/>
          <w:lang w:val="cs-CZ" w:eastAsia="cs-CZ"/>
        </w:rPr>
        <w:t xml:space="preserve">Současně lze zavést </w:t>
      </w:r>
      <w:r>
        <w:rPr>
          <w:szCs w:val="22"/>
          <w:lang w:val="cs-CZ" w:eastAsia="cs-CZ"/>
        </w:rPr>
        <w:t>Evropskou službu elektronického mýta</w:t>
      </w:r>
      <w:r w:rsidRPr="00DD2F1B">
        <w:rPr>
          <w:szCs w:val="22"/>
          <w:lang w:val="cs-CZ" w:eastAsia="cs-CZ"/>
        </w:rPr>
        <w:t xml:space="preserve"> formou regionální interoperability se zeměmi, které mají své mýtné systémy založeny na stejné technologii, avšak pro tento způsob zavádění interoperability mýtných systémů je určující</w:t>
      </w:r>
      <w:r>
        <w:rPr>
          <w:szCs w:val="22"/>
          <w:lang w:val="cs-CZ" w:eastAsia="cs-CZ"/>
        </w:rPr>
        <w:t>,</w:t>
      </w:r>
      <w:r w:rsidRPr="00DD2F1B">
        <w:rPr>
          <w:szCs w:val="22"/>
          <w:lang w:val="cs-CZ" w:eastAsia="cs-CZ"/>
        </w:rPr>
        <w:t xml:space="preserve"> do jaké míry bude předurčena technologie identifikace vozidla na zpoplatněné síti pozemních komunikací, neboť lze předpokládat, že okolní státy s mýtnými systémy založenými na mikrovlnné technologii nebudou ochotni se zapojit do regionální interoperability s Českou republikou, která by měla trvat pouze do konce roku 2016 (za předpokladu rozšíření výkonového zpoplatnění na všechny silnice I. třídy a využití satelitní technologie pro určování polohy vozidla</w:t>
      </w:r>
      <w:r>
        <w:rPr>
          <w:szCs w:val="22"/>
          <w:lang w:val="cs-CZ" w:eastAsia="cs-CZ"/>
        </w:rPr>
        <w:t xml:space="preserve"> na síti zpoplatněných pozemních komunikací</w:t>
      </w:r>
      <w:r w:rsidRPr="00DD2F1B">
        <w:rPr>
          <w:szCs w:val="22"/>
          <w:lang w:val="cs-CZ" w:eastAsia="cs-CZ"/>
        </w:rPr>
        <w:t>).</w:t>
      </w:r>
    </w:p>
    <w:p w:rsidR="00C06DA1" w:rsidRPr="00DD2F1B" w:rsidRDefault="00C06DA1" w:rsidP="00895E15">
      <w:pPr>
        <w:pStyle w:val="BodyText1"/>
        <w:rPr>
          <w:lang w:val="cs-CZ"/>
        </w:rPr>
      </w:pPr>
      <w:r>
        <w:rPr>
          <w:lang w:val="cs-CZ"/>
        </w:rPr>
        <w:t xml:space="preserve">Na druhé straně se podařilo některá ustanovení Rozhodnutí 2009/750/ES již realizovat. Jedním z těchto ustanovení či požadavků je výše uvedené Prohlášení o systému elektronického mýta, byť tento dokument v současné době není stále dokončen. Tento dokument je přílohou Smlouvy </w:t>
      </w:r>
      <w:r w:rsidRPr="008B3A32">
        <w:rPr>
          <w:lang w:val="cs-CZ"/>
        </w:rPr>
        <w:t>o poskytování evropské služby elektronického mýtného v rámci systému elektronického mýtného</w:t>
      </w:r>
      <w:r>
        <w:rPr>
          <w:lang w:val="cs-CZ"/>
        </w:rPr>
        <w:t xml:space="preserve">, která bude uzavřena mezi Poskytovatelem / Poskytovateli EETS a Subjektem pro výběr mýta (Ředitelství silnic a dálnic ČR). Jako další přílohy této smlouvy lze uvést např. sazebník poplatků či smluvní pokuty. Dalším krokem implementace EETS v České republice byla integrace předmětné problematiky do zákona č. 13/1997 Sb., o pozemních komunikacích (transpozice Rozhodnutí </w:t>
      </w:r>
      <w:r>
        <w:rPr>
          <w:lang w:val="cs-CZ"/>
        </w:rPr>
        <w:lastRenderedPageBreak/>
        <w:t>2009/750/ES do právního řádu České republiky). Jedním z nejdůležitějších požadavků, kladených Rozhodnutím 2009/750/ES na členské státy Evropské unie, je ustanovení Smírčího orgánu, tj. subjektu, který by řešil případné vzniknuvší spory mezi Poskytovatelem EETS a Subjektem pro výběr mýta. Tento Smírčí orgán pro Českou republiku je ustaven od 1. září 2012, a to zákonem č. 13/1997 Sb., o pozemních komunikacích.</w:t>
      </w:r>
    </w:p>
    <w:p w:rsidR="00C06DA1" w:rsidRPr="00DD2F1B" w:rsidRDefault="00C06DA1" w:rsidP="00DE1959">
      <w:pPr>
        <w:pStyle w:val="BodyText1"/>
        <w:rPr>
          <w:lang w:val="cs-CZ"/>
        </w:rPr>
      </w:pPr>
      <w:r w:rsidRPr="00DD2F1B">
        <w:rPr>
          <w:lang w:val="cs-CZ"/>
        </w:rPr>
        <w:t>Funkcionalita Evropské služby elektronického mýta musí být součástí rozhodnutí o dalším rozvoji a zajištěním provozu mýtného systému do roku 2016 a po tomto roce. Dále bude nutné zajistit i organizační uspořádání subjektů v Systému elektronického mýta, a to i v legislativních normách, zejména specifikace rolí výběrčího mýtného a poskytovatele mýtných služeb, které jsou odlišné od současného uspořádání.</w:t>
      </w:r>
    </w:p>
    <w:p w:rsidR="00C06DA1" w:rsidRPr="00DD2F1B" w:rsidRDefault="00C06DA1" w:rsidP="00DE1959">
      <w:pPr>
        <w:pStyle w:val="BodyText1"/>
        <w:pBdr>
          <w:top w:val="single" w:sz="4" w:space="1" w:color="auto"/>
          <w:left w:val="single" w:sz="4" w:space="4" w:color="auto"/>
          <w:bottom w:val="single" w:sz="4" w:space="1" w:color="auto"/>
          <w:right w:val="single" w:sz="4" w:space="4" w:color="auto"/>
        </w:pBdr>
        <w:rPr>
          <w:b/>
          <w:lang w:val="cs-CZ"/>
        </w:rPr>
      </w:pPr>
      <w:r w:rsidRPr="00DD2F1B">
        <w:rPr>
          <w:b/>
          <w:lang w:val="cs-CZ"/>
        </w:rPr>
        <w:t>Součástí rozhodnutí o rozšíření systému zpoplatnění po roce 2016 musí být i rozhodnutí o formě EETS do roku 2016 a po tomto roce.</w:t>
      </w:r>
    </w:p>
    <w:p w:rsidR="00C06DA1" w:rsidRPr="00DD2F1B" w:rsidRDefault="00C06DA1" w:rsidP="00DE1959">
      <w:pPr>
        <w:pStyle w:val="BodyText1"/>
        <w:pBdr>
          <w:top w:val="single" w:sz="4" w:space="1" w:color="auto"/>
          <w:left w:val="single" w:sz="4" w:space="4" w:color="auto"/>
          <w:bottom w:val="single" w:sz="4" w:space="1" w:color="auto"/>
          <w:right w:val="single" w:sz="4" w:space="4" w:color="auto"/>
        </w:pBdr>
        <w:rPr>
          <w:b/>
          <w:lang w:val="cs-CZ"/>
        </w:rPr>
      </w:pPr>
      <w:r w:rsidRPr="00DD2F1B">
        <w:rPr>
          <w:b/>
          <w:lang w:val="cs-CZ"/>
        </w:rPr>
        <w:t>Podmínkou pro zahájení jednání o regionální interoperabilitě s okolními státy jako je Republika Rakousko a Polská republika je rozhodnutí o cílovém řešení Systému elektronického mýta po roce 2016.</w:t>
      </w:r>
    </w:p>
    <w:p w:rsidR="00C06DA1" w:rsidRPr="00DD2F1B" w:rsidRDefault="00C06DA1" w:rsidP="00A85D7C">
      <w:pPr>
        <w:pBdr>
          <w:bottom w:val="single" w:sz="4" w:space="1" w:color="auto"/>
        </w:pBdr>
        <w:rPr>
          <w:b/>
          <w:sz w:val="24"/>
          <w:szCs w:val="24"/>
          <w:lang w:val="cs-CZ"/>
        </w:rPr>
      </w:pPr>
      <w:r w:rsidRPr="00DD2F1B">
        <w:rPr>
          <w:b/>
          <w:sz w:val="24"/>
          <w:szCs w:val="24"/>
          <w:lang w:val="cs-CZ"/>
        </w:rPr>
        <w:t>Varianty pro rozšíření zpoplatnění</w:t>
      </w:r>
    </w:p>
    <w:p w:rsidR="00C06DA1" w:rsidRPr="00DD2F1B" w:rsidRDefault="00C06DA1" w:rsidP="00A96171">
      <w:pPr>
        <w:pStyle w:val="BodyText1"/>
        <w:rPr>
          <w:lang w:val="cs-CZ"/>
        </w:rPr>
      </w:pPr>
      <w:r w:rsidRPr="00DD2F1B">
        <w:rPr>
          <w:lang w:val="cs-CZ"/>
        </w:rPr>
        <w:t>Rozšíření zpoplatnění je možné dosáhnout více způsoby, které závisí na způsobu zpoplatnění, požadavku zachování či nezachování stávajícího systému po roce 2016 a rozsahu zpoplatnění a termínech jeho zahájení. Rozhodnutí o rozsahu zpoplatnění musí předcházet dílčí rozhodnutí v těchto otázkách:</w:t>
      </w:r>
    </w:p>
    <w:p w:rsidR="00C06DA1" w:rsidRPr="00DD2F1B" w:rsidRDefault="00C06DA1" w:rsidP="00A96171">
      <w:pPr>
        <w:pStyle w:val="BodyText1"/>
        <w:rPr>
          <w:lang w:val="cs-CZ"/>
        </w:rPr>
      </w:pPr>
      <w:r w:rsidRPr="00DD2F1B">
        <w:rPr>
          <w:lang w:val="cs-CZ"/>
        </w:rPr>
        <w:t>Varianty způsobu zpoplatnění:</w:t>
      </w:r>
    </w:p>
    <w:p w:rsidR="00C06DA1" w:rsidRPr="00DD2F1B" w:rsidRDefault="00C06DA1" w:rsidP="00C72D9C">
      <w:pPr>
        <w:pStyle w:val="BodyText1"/>
        <w:numPr>
          <w:ilvl w:val="0"/>
          <w:numId w:val="33"/>
        </w:numPr>
        <w:rPr>
          <w:lang w:val="cs-CZ"/>
        </w:rPr>
      </w:pPr>
      <w:r w:rsidRPr="00DD2F1B">
        <w:rPr>
          <w:lang w:val="cs-CZ"/>
        </w:rPr>
        <w:t>časové zpoplatnění jako doplněk stávajícího systému výkonového zpoplatnění – systém nereflektuje skutečný počet ujetých kilometrů po zpoplatněné komunikaci, naopak může tento systém eliminovat počet vozidel tranzitujících po silnicích nižších tříd;</w:t>
      </w:r>
    </w:p>
    <w:p w:rsidR="00C06DA1" w:rsidRPr="00DD2F1B" w:rsidRDefault="00C06DA1" w:rsidP="00C72D9C">
      <w:pPr>
        <w:pStyle w:val="BodyText1"/>
        <w:numPr>
          <w:ilvl w:val="0"/>
          <w:numId w:val="33"/>
        </w:numPr>
        <w:rPr>
          <w:lang w:val="cs-CZ"/>
        </w:rPr>
      </w:pPr>
      <w:r w:rsidRPr="00DD2F1B">
        <w:rPr>
          <w:lang w:val="cs-CZ"/>
        </w:rPr>
        <w:t>výkonové zpoplatnění – systém reflektuje skutečný počet ujetých kilometrů, efektivita systému je ale citlivá na rozsah zpoplatněné sítě.</w:t>
      </w:r>
    </w:p>
    <w:p w:rsidR="00C06DA1" w:rsidRPr="00DD2F1B" w:rsidRDefault="00C06DA1" w:rsidP="00A96171">
      <w:pPr>
        <w:pStyle w:val="BodyText1"/>
        <w:rPr>
          <w:lang w:val="cs-CZ"/>
        </w:rPr>
      </w:pPr>
      <w:r w:rsidRPr="00DD2F1B">
        <w:rPr>
          <w:lang w:val="cs-CZ"/>
        </w:rPr>
        <w:t>Varianty zachování stávajícího systému, který bude na konci roku 2016 v bezvadném stavu a plně funkční:</w:t>
      </w:r>
    </w:p>
    <w:p w:rsidR="00C06DA1" w:rsidRPr="00DD2F1B" w:rsidRDefault="00C06DA1" w:rsidP="00C72D9C">
      <w:pPr>
        <w:pStyle w:val="BodyText1"/>
        <w:numPr>
          <w:ilvl w:val="0"/>
          <w:numId w:val="34"/>
        </w:numPr>
        <w:rPr>
          <w:lang w:val="cs-CZ"/>
        </w:rPr>
      </w:pPr>
      <w:r w:rsidRPr="00DD2F1B">
        <w:rPr>
          <w:lang w:val="cs-CZ"/>
        </w:rPr>
        <w:t xml:space="preserve">povinnost využití </w:t>
      </w:r>
      <w:r>
        <w:rPr>
          <w:lang w:val="cs-CZ"/>
        </w:rPr>
        <w:t xml:space="preserve">komponent </w:t>
      </w:r>
      <w:r w:rsidRPr="00DD2F1B">
        <w:rPr>
          <w:lang w:val="cs-CZ"/>
        </w:rPr>
        <w:t>stávajícího systému po roce 2016 – tato varianta má největší riziko v podobě nutnosti propojení stávajícího systému se systémem nad rozšířenou zpoplatněnou sítí (pokud k rozšíření zpoplatnění dojde a v jakém rozsahu), toto riziko lze do určité míry minimalizovat včasným zavedením EETS ve stávajícím systému;</w:t>
      </w:r>
    </w:p>
    <w:p w:rsidR="00C06DA1" w:rsidRPr="00DD2F1B" w:rsidRDefault="00C06DA1" w:rsidP="00C72D9C">
      <w:pPr>
        <w:pStyle w:val="BodyText1"/>
        <w:numPr>
          <w:ilvl w:val="0"/>
          <w:numId w:val="34"/>
        </w:numPr>
        <w:rPr>
          <w:lang w:val="cs-CZ"/>
        </w:rPr>
      </w:pPr>
      <w:r w:rsidRPr="00DD2F1B">
        <w:rPr>
          <w:lang w:val="cs-CZ"/>
        </w:rPr>
        <w:t xml:space="preserve">neumožnění využití </w:t>
      </w:r>
      <w:r>
        <w:rPr>
          <w:lang w:val="cs-CZ"/>
        </w:rPr>
        <w:t xml:space="preserve">komponent </w:t>
      </w:r>
      <w:r w:rsidRPr="00DD2F1B">
        <w:rPr>
          <w:lang w:val="cs-CZ"/>
        </w:rPr>
        <w:t>stávajícího systému po roce 2016 – tato varianta přináší fakt, že dosavadní investice do systému bude zmařena a to v situaci, kdy technické součásti systému budou v bezvadném stavu;</w:t>
      </w:r>
    </w:p>
    <w:p w:rsidR="00C06DA1" w:rsidRPr="00DD2F1B" w:rsidRDefault="00C06DA1" w:rsidP="00C72D9C">
      <w:pPr>
        <w:pStyle w:val="BodyText1"/>
        <w:numPr>
          <w:ilvl w:val="0"/>
          <w:numId w:val="34"/>
        </w:numPr>
        <w:rPr>
          <w:lang w:val="cs-CZ"/>
        </w:rPr>
      </w:pPr>
      <w:r w:rsidRPr="00DD2F1B">
        <w:rPr>
          <w:lang w:val="cs-CZ"/>
        </w:rPr>
        <w:t xml:space="preserve">ponechání rozhodnutí o možnosti využití </w:t>
      </w:r>
      <w:r>
        <w:rPr>
          <w:lang w:val="cs-CZ"/>
        </w:rPr>
        <w:t xml:space="preserve">komponent </w:t>
      </w:r>
      <w:r w:rsidRPr="00DD2F1B">
        <w:rPr>
          <w:lang w:val="cs-CZ"/>
        </w:rPr>
        <w:t xml:space="preserve">stávajícího systému po roce 2016 na uchazeči v rámci </w:t>
      </w:r>
      <w:r>
        <w:rPr>
          <w:lang w:val="cs-CZ"/>
        </w:rPr>
        <w:t>zadávacího</w:t>
      </w:r>
      <w:r w:rsidRPr="00DD2F1B">
        <w:rPr>
          <w:lang w:val="cs-CZ"/>
        </w:rPr>
        <w:t xml:space="preserve"> řízení – tato varianta obsahuje obě výše uvedená rizika s tím, že </w:t>
      </w:r>
      <w:r w:rsidRPr="00DD2F1B">
        <w:rPr>
          <w:lang w:val="cs-CZ"/>
        </w:rPr>
        <w:lastRenderedPageBreak/>
        <w:t>zadavateli nebude do uzavření smlouvy s vítězným uchazečem jasné, zda bude stávající systém využit či nikoli.</w:t>
      </w:r>
    </w:p>
    <w:p w:rsidR="00C06DA1" w:rsidRPr="00E27206" w:rsidRDefault="00C06DA1" w:rsidP="00A96171">
      <w:pPr>
        <w:pStyle w:val="BodyText1"/>
        <w:rPr>
          <w:szCs w:val="22"/>
          <w:lang w:val="cs-CZ"/>
        </w:rPr>
      </w:pPr>
      <w:r w:rsidRPr="00E27206">
        <w:rPr>
          <w:szCs w:val="22"/>
          <w:lang w:val="cs-CZ"/>
        </w:rPr>
        <w:t>Varianty rozsahu zpoplatnění:</w:t>
      </w:r>
    </w:p>
    <w:p w:rsidR="00C06DA1" w:rsidRPr="00E27206" w:rsidRDefault="00C06DA1" w:rsidP="009C723C">
      <w:pPr>
        <w:pStyle w:val="Bezmezer"/>
        <w:numPr>
          <w:ilvl w:val="0"/>
          <w:numId w:val="35"/>
        </w:numPr>
        <w:ind w:left="567" w:hanging="283"/>
        <w:rPr>
          <w:sz w:val="22"/>
          <w:szCs w:val="22"/>
          <w:lang w:val="cs-CZ"/>
        </w:rPr>
      </w:pPr>
      <w:r w:rsidRPr="00E27206">
        <w:rPr>
          <w:b/>
          <w:sz w:val="22"/>
          <w:szCs w:val="22"/>
          <w:lang w:val="cs-CZ"/>
        </w:rPr>
        <w:t>Varianta I</w:t>
      </w:r>
      <w:r w:rsidRPr="00E27206">
        <w:rPr>
          <w:sz w:val="22"/>
          <w:szCs w:val="22"/>
          <w:lang w:val="cs-CZ"/>
        </w:rPr>
        <w:t xml:space="preserve"> – stávající rozsah zpoplatnění dálnic, rychlostních silnic a vybraných úseků silnic I. třídy rozšířený o postupnou výstavbu.</w:t>
      </w:r>
    </w:p>
    <w:p w:rsidR="00C06DA1" w:rsidRDefault="00C06DA1" w:rsidP="009C723C">
      <w:pPr>
        <w:pStyle w:val="Bezmezer"/>
        <w:numPr>
          <w:ilvl w:val="0"/>
          <w:numId w:val="35"/>
        </w:numPr>
        <w:spacing w:before="120"/>
        <w:ind w:left="567" w:hanging="283"/>
        <w:rPr>
          <w:sz w:val="22"/>
          <w:szCs w:val="22"/>
          <w:lang w:val="cs-CZ"/>
        </w:rPr>
      </w:pPr>
      <w:r w:rsidRPr="009C723C">
        <w:rPr>
          <w:b/>
          <w:sz w:val="22"/>
          <w:szCs w:val="22"/>
          <w:lang w:val="cs-CZ"/>
        </w:rPr>
        <w:t>Varianta II</w:t>
      </w:r>
      <w:r w:rsidRPr="009C723C">
        <w:rPr>
          <w:sz w:val="22"/>
          <w:szCs w:val="22"/>
          <w:lang w:val="cs-CZ"/>
        </w:rPr>
        <w:t xml:space="preserve"> – stávající rozsah zpoplatnění dálnic, rychlostních silnic a vybraných úseků silnic I. třídy rozšířený o postupnou výstavbu a síť silnic I. třídy o rozsahu cca 1000 km s vysokou efektivitou výběru mýta.</w:t>
      </w:r>
    </w:p>
    <w:p w:rsidR="00C06DA1" w:rsidRDefault="00C06DA1" w:rsidP="009C723C">
      <w:pPr>
        <w:pStyle w:val="Bezmezer"/>
        <w:numPr>
          <w:ilvl w:val="0"/>
          <w:numId w:val="35"/>
        </w:numPr>
        <w:spacing w:before="120"/>
        <w:ind w:left="567" w:hanging="283"/>
        <w:rPr>
          <w:sz w:val="22"/>
          <w:szCs w:val="22"/>
          <w:lang w:val="cs-CZ"/>
        </w:rPr>
      </w:pPr>
      <w:r w:rsidRPr="009C723C">
        <w:rPr>
          <w:b/>
          <w:sz w:val="22"/>
          <w:szCs w:val="22"/>
          <w:lang w:val="cs-CZ"/>
        </w:rPr>
        <w:t>Varianta III</w:t>
      </w:r>
      <w:r w:rsidRPr="009C723C">
        <w:rPr>
          <w:sz w:val="22"/>
          <w:szCs w:val="22"/>
          <w:lang w:val="cs-CZ"/>
        </w:rPr>
        <w:t xml:space="preserve"> - stávající rozsah zpoplatnění dálnic, rychlostních silnic a vybraných úseků silnic I. třídy rozšířený o postupnou výstavbu a všechny silnice I. třídy.</w:t>
      </w:r>
    </w:p>
    <w:p w:rsidR="00C06DA1" w:rsidRDefault="00C06DA1" w:rsidP="009C723C">
      <w:pPr>
        <w:pStyle w:val="Bezmezer"/>
        <w:numPr>
          <w:ilvl w:val="0"/>
          <w:numId w:val="35"/>
        </w:numPr>
        <w:spacing w:before="120"/>
        <w:ind w:left="567" w:hanging="283"/>
        <w:rPr>
          <w:sz w:val="22"/>
          <w:szCs w:val="22"/>
          <w:lang w:val="cs-CZ"/>
        </w:rPr>
      </w:pPr>
      <w:r w:rsidRPr="009C723C">
        <w:rPr>
          <w:b/>
          <w:sz w:val="22"/>
          <w:szCs w:val="22"/>
          <w:lang w:val="cs-CZ"/>
        </w:rPr>
        <w:t>Varianta IV</w:t>
      </w:r>
      <w:r w:rsidRPr="009C723C">
        <w:rPr>
          <w:sz w:val="22"/>
          <w:szCs w:val="22"/>
          <w:lang w:val="cs-CZ"/>
        </w:rPr>
        <w:t xml:space="preserve"> - stávající rozsah zpoplatnění dálnic, rychlostních silnic a vybraných úseků silnic I. třídy rozšířený o postupnou výstavbu, všechny silnice I. třídy a vybrané úseky silnic II. a III. třídy.</w:t>
      </w:r>
    </w:p>
    <w:p w:rsidR="00C06DA1" w:rsidRPr="009C723C" w:rsidRDefault="00C06DA1" w:rsidP="009C723C">
      <w:pPr>
        <w:pStyle w:val="Bezmezer"/>
        <w:numPr>
          <w:ilvl w:val="0"/>
          <w:numId w:val="35"/>
        </w:numPr>
        <w:spacing w:before="120"/>
        <w:ind w:left="567" w:hanging="283"/>
        <w:rPr>
          <w:sz w:val="22"/>
          <w:szCs w:val="22"/>
          <w:lang w:val="cs-CZ"/>
        </w:rPr>
      </w:pPr>
      <w:r w:rsidRPr="009C723C">
        <w:rPr>
          <w:b/>
          <w:sz w:val="22"/>
          <w:szCs w:val="22"/>
          <w:lang w:val="cs-CZ"/>
        </w:rPr>
        <w:t>Varianta V</w:t>
      </w:r>
      <w:r w:rsidRPr="009C723C">
        <w:rPr>
          <w:sz w:val="22"/>
          <w:szCs w:val="22"/>
          <w:lang w:val="cs-CZ"/>
        </w:rPr>
        <w:t xml:space="preserve"> - stávající rozsah zpoplatnění dálnic, rychlostních silnic a vybraných úseků silnic I. třídy rozšířený o postupnou výstavbu, všechny silnice I., II. a III. třídy.</w:t>
      </w:r>
    </w:p>
    <w:p w:rsidR="00C06DA1" w:rsidRPr="00DD2F1B" w:rsidRDefault="00C06DA1" w:rsidP="001026D2">
      <w:pPr>
        <w:pBdr>
          <w:bottom w:val="single" w:sz="4" w:space="1" w:color="auto"/>
        </w:pBdr>
        <w:rPr>
          <w:b/>
          <w:sz w:val="24"/>
          <w:szCs w:val="24"/>
          <w:lang w:val="cs-CZ"/>
        </w:rPr>
      </w:pPr>
      <w:r w:rsidRPr="00DD2F1B">
        <w:rPr>
          <w:b/>
          <w:sz w:val="24"/>
          <w:szCs w:val="24"/>
          <w:lang w:val="cs-CZ"/>
        </w:rPr>
        <w:t>Technologické varianty řešení rozšíření zpoplatnění</w:t>
      </w:r>
    </w:p>
    <w:p w:rsidR="00C06DA1" w:rsidRDefault="00C06DA1" w:rsidP="00DE1959">
      <w:pPr>
        <w:pStyle w:val="BodyText1"/>
        <w:rPr>
          <w:lang w:val="cs-CZ"/>
        </w:rPr>
      </w:pPr>
      <w:r w:rsidRPr="00DD2F1B">
        <w:rPr>
          <w:lang w:val="cs-CZ"/>
        </w:rPr>
        <w:t xml:space="preserve">Byly identifikovány čtyři hlavní varianty (0, 01, A </w:t>
      </w:r>
      <w:proofErr w:type="spellStart"/>
      <w:r w:rsidRPr="00DD2F1B">
        <w:rPr>
          <w:lang w:val="cs-CZ"/>
        </w:rPr>
        <w:t>a</w:t>
      </w:r>
      <w:proofErr w:type="spellEnd"/>
      <w:r w:rsidRPr="00DD2F1B">
        <w:rPr>
          <w:lang w:val="cs-CZ"/>
        </w:rPr>
        <w:t xml:space="preserve"> B</w:t>
      </w:r>
      <w:r>
        <w:rPr>
          <w:lang w:val="cs-CZ"/>
        </w:rPr>
        <w:t xml:space="preserve"> – podrobně definovány dále v textu dokumentu</w:t>
      </w:r>
      <w:r w:rsidRPr="00DD2F1B">
        <w:rPr>
          <w:lang w:val="cs-CZ"/>
        </w:rPr>
        <w:t>) možnosti rozšíření zpoplatnění, které byly porovnány s nulovou variantou, tj. současně provozovaným Systémem elektronického mýta. Pro každou z variant byl zpracován časový harmonogram realizace a byly určeny základní milníky, SWOT analýza, analýza rizik a ekonomická rozvaha.</w:t>
      </w:r>
    </w:p>
    <w:p w:rsidR="00C06DA1" w:rsidRDefault="00C06DA1" w:rsidP="00DE1959">
      <w:pPr>
        <w:pStyle w:val="BodyText1"/>
        <w:rPr>
          <w:lang w:val="cs-CZ"/>
        </w:rPr>
      </w:pPr>
      <w:r w:rsidRPr="0032247C">
        <w:rPr>
          <w:b/>
          <w:lang w:val="cs-CZ"/>
        </w:rPr>
        <w:t>Varianta 0</w:t>
      </w:r>
      <w:r>
        <w:rPr>
          <w:lang w:val="cs-CZ"/>
        </w:rPr>
        <w:t xml:space="preserve"> – tzv. nulová varianta spočívá v zachování stávajícího SEM a rozsahu sítě zpoplatněných pozemních komunikací, vyjma zpoplatňování nových dálnic a rychlostních silnic. Předpokládá se zadávací řízení na poskytovatele služeb souvisejících s provozem systému.</w:t>
      </w:r>
    </w:p>
    <w:p w:rsidR="00C06DA1" w:rsidRDefault="00C06DA1" w:rsidP="00DE1959">
      <w:pPr>
        <w:pStyle w:val="BodyText1"/>
        <w:rPr>
          <w:lang w:val="cs-CZ"/>
        </w:rPr>
      </w:pPr>
      <w:r w:rsidRPr="0032247C">
        <w:rPr>
          <w:b/>
          <w:lang w:val="cs-CZ"/>
        </w:rPr>
        <w:t>Varianta 01</w:t>
      </w:r>
      <w:r>
        <w:rPr>
          <w:lang w:val="cs-CZ"/>
        </w:rPr>
        <w:t xml:space="preserve"> – také nepředpokládá rozšíření sítě zpoplatněných pozemních komunikací, avšak počítá se zvýšením mýtných sazeb pro emisní kategorii Euro V a vyšší o 25 % v roce 2015. Zajištění provozu SEM po roce 2016 se předpokládá dodavatelem / poskytovatelem služeb vybraným v rámci zadávací řízení.</w:t>
      </w:r>
    </w:p>
    <w:p w:rsidR="00C06DA1" w:rsidRDefault="00C06DA1" w:rsidP="00DE1959">
      <w:pPr>
        <w:pStyle w:val="BodyText1"/>
        <w:rPr>
          <w:lang w:val="cs-CZ"/>
        </w:rPr>
      </w:pPr>
      <w:r w:rsidRPr="0032247C">
        <w:rPr>
          <w:b/>
          <w:lang w:val="cs-CZ"/>
        </w:rPr>
        <w:t>Varianta A</w:t>
      </w:r>
      <w:r>
        <w:rPr>
          <w:lang w:val="cs-CZ"/>
        </w:rPr>
        <w:t xml:space="preserve"> – předpokládá rozšíření sítě zpoplatněných pozemních komunikací pomocí časového zpoplatnění všech silnic I. třídy.</w:t>
      </w:r>
      <w:r w:rsidRPr="0032247C">
        <w:rPr>
          <w:lang w:val="cs-CZ"/>
        </w:rPr>
        <w:t xml:space="preserve"> </w:t>
      </w:r>
      <w:r>
        <w:rPr>
          <w:lang w:val="cs-CZ"/>
        </w:rPr>
        <w:t>Zajištění provozu SEM po roce 2016 se předpokládá dodavatelem / poskytovatelem služeb vybraným v rámci zadávací řízení.</w:t>
      </w:r>
    </w:p>
    <w:p w:rsidR="00C06DA1" w:rsidRDefault="00C06DA1" w:rsidP="00DE1959">
      <w:pPr>
        <w:pStyle w:val="BodyText1"/>
        <w:rPr>
          <w:lang w:val="cs-CZ"/>
        </w:rPr>
      </w:pPr>
      <w:r w:rsidRPr="0032247C">
        <w:rPr>
          <w:b/>
          <w:lang w:val="cs-CZ"/>
        </w:rPr>
        <w:t>Varianta B</w:t>
      </w:r>
      <w:r>
        <w:rPr>
          <w:lang w:val="cs-CZ"/>
        </w:rPr>
        <w:t xml:space="preserve"> – předpokládá rozšíření sítě zpoplatněných pozemních komunikací pomocí výkonového zpoplatnění všech silnic I. třídy v technologických variantách BH (využití hybridní technologie) a BS (využití satelitní technologie).</w:t>
      </w:r>
    </w:p>
    <w:p w:rsidR="00C06DA1" w:rsidRPr="00DD2F1B" w:rsidRDefault="00C06DA1" w:rsidP="00DE1959">
      <w:pPr>
        <w:pStyle w:val="BodyText1"/>
        <w:rPr>
          <w:lang w:val="cs-CZ"/>
        </w:rPr>
      </w:pPr>
      <w:r w:rsidRPr="00DD2F1B">
        <w:rPr>
          <w:lang w:val="cs-CZ"/>
        </w:rPr>
        <w:t xml:space="preserve">Vzhledem k tomu, že ještě </w:t>
      </w:r>
      <w:r w:rsidRPr="00DD2F1B">
        <w:rPr>
          <w:b/>
          <w:lang w:val="cs-CZ"/>
        </w:rPr>
        <w:t xml:space="preserve">nedošlo </w:t>
      </w:r>
      <w:r w:rsidRPr="00DD2F1B">
        <w:rPr>
          <w:lang w:val="cs-CZ"/>
        </w:rPr>
        <w:t>k rozhodnutí o cílovém řešení, je rozšíření Systému elektronického mýta před rokem 2016 nereálné. Následně, tj. po roce 2016 lze uvažovat jen o třech variantách, a to:</w:t>
      </w:r>
    </w:p>
    <w:p w:rsidR="00C06DA1" w:rsidRPr="00DD2F1B" w:rsidRDefault="00C06DA1" w:rsidP="00C72D9C">
      <w:pPr>
        <w:pStyle w:val="BodyText1"/>
        <w:numPr>
          <w:ilvl w:val="0"/>
          <w:numId w:val="31"/>
        </w:numPr>
        <w:rPr>
          <w:lang w:val="cs-CZ"/>
        </w:rPr>
      </w:pPr>
      <w:r w:rsidRPr="00DD2F1B">
        <w:rPr>
          <w:lang w:val="cs-CZ"/>
        </w:rPr>
        <w:lastRenderedPageBreak/>
        <w:t>zachovat stávající rozsah zpoplatnění a stávající Systém elektronického mýta (varianta 0, varianta 01) nebo</w:t>
      </w:r>
    </w:p>
    <w:p w:rsidR="00C06DA1" w:rsidRPr="00DD2F1B" w:rsidRDefault="00C06DA1" w:rsidP="00C72D9C">
      <w:pPr>
        <w:pStyle w:val="BodyText1"/>
        <w:numPr>
          <w:ilvl w:val="0"/>
          <w:numId w:val="31"/>
        </w:numPr>
        <w:rPr>
          <w:lang w:val="cs-CZ"/>
        </w:rPr>
      </w:pPr>
      <w:r w:rsidRPr="00DD2F1B">
        <w:rPr>
          <w:lang w:val="cs-CZ"/>
        </w:rPr>
        <w:t>doplnit stávající Systém elektronického mýta časovým zpoplatněním silnic I. třídy či všech silnic (tj. silnic I., II. a III. třídy) pro vozidla nad 3,5 t (varianta A)</w:t>
      </w:r>
    </w:p>
    <w:p w:rsidR="00C06DA1" w:rsidRPr="00DD2F1B" w:rsidRDefault="00C06DA1" w:rsidP="00C72D9C">
      <w:pPr>
        <w:pStyle w:val="BodyText1"/>
        <w:numPr>
          <w:ilvl w:val="0"/>
          <w:numId w:val="31"/>
        </w:numPr>
        <w:rPr>
          <w:lang w:val="cs-CZ"/>
        </w:rPr>
      </w:pPr>
      <w:r w:rsidRPr="00DD2F1B">
        <w:rPr>
          <w:lang w:val="cs-CZ"/>
        </w:rPr>
        <w:t>realizovat Systém elektronického mýta na rozšířené síti silnic I. třídy (varianta B s alternativou satelitního nebo hybridního principu identifikace vozidel na zpoplatněných pozemních komunikacích).</w:t>
      </w:r>
    </w:p>
    <w:p w:rsidR="00C06DA1" w:rsidRPr="00DD2F1B" w:rsidRDefault="00C06DA1" w:rsidP="000B35D4">
      <w:pPr>
        <w:pBdr>
          <w:bottom w:val="single" w:sz="4" w:space="1" w:color="auto"/>
        </w:pBdr>
        <w:rPr>
          <w:b/>
          <w:sz w:val="24"/>
          <w:szCs w:val="24"/>
          <w:lang w:val="cs-CZ"/>
        </w:rPr>
      </w:pPr>
      <w:r w:rsidRPr="00DD2F1B">
        <w:rPr>
          <w:b/>
          <w:sz w:val="24"/>
          <w:szCs w:val="24"/>
          <w:lang w:val="cs-CZ"/>
        </w:rPr>
        <w:t>Optimální postup pro variantu 0, 01 a variantu A při zachování stávajícího Systému elektronického mýta</w:t>
      </w:r>
    </w:p>
    <w:p w:rsidR="00C06DA1" w:rsidRPr="00DD2F1B" w:rsidRDefault="00C06DA1" w:rsidP="008F62BF">
      <w:pPr>
        <w:pStyle w:val="BodyText1"/>
        <w:rPr>
          <w:lang w:val="cs-CZ"/>
        </w:rPr>
      </w:pPr>
      <w:r w:rsidRPr="00DD2F1B">
        <w:rPr>
          <w:lang w:val="cs-CZ"/>
        </w:rPr>
        <w:t xml:space="preserve">Pokračování stávajícího způsobu zpoplatnění bude vyžadovat nové </w:t>
      </w:r>
      <w:r>
        <w:rPr>
          <w:lang w:val="cs-CZ"/>
        </w:rPr>
        <w:t>zadávací</w:t>
      </w:r>
      <w:r w:rsidRPr="00DD2F1B">
        <w:rPr>
          <w:lang w:val="cs-CZ"/>
        </w:rPr>
        <w:t xml:space="preserve"> řízení na poskytovatele služeb souvisejících s provozem Systému elektronického mýta po roce 2016. Příprava takovéhoto výběrového řízení při zachování jeho transparentnosti a zejména nediskriminace bude složitá, a proto by mělo být příslušné rozhodnutí přijato minimálně do konce roku 2013, avšak nejpozději do </w:t>
      </w:r>
      <w:r w:rsidRPr="00DD2F1B">
        <w:rPr>
          <w:b/>
          <w:lang w:val="cs-CZ"/>
        </w:rPr>
        <w:t>poloviny roku 2014</w:t>
      </w:r>
      <w:r w:rsidRPr="00DD2F1B">
        <w:rPr>
          <w:lang w:val="cs-CZ"/>
        </w:rPr>
        <w:t>.</w:t>
      </w:r>
    </w:p>
    <w:p w:rsidR="00C06DA1" w:rsidRPr="00DD2F1B" w:rsidRDefault="00C06DA1" w:rsidP="008F62BF">
      <w:pPr>
        <w:pStyle w:val="BodyText1"/>
        <w:rPr>
          <w:lang w:val="cs-CZ"/>
        </w:rPr>
      </w:pPr>
      <w:r w:rsidRPr="00DD2F1B">
        <w:rPr>
          <w:lang w:val="cs-CZ"/>
        </w:rPr>
        <w:t xml:space="preserve">V roce 2013 by mělo proběhnout </w:t>
      </w:r>
      <w:r>
        <w:rPr>
          <w:lang w:val="cs-CZ"/>
        </w:rPr>
        <w:t>zadávací ř</w:t>
      </w:r>
      <w:r w:rsidRPr="00DD2F1B">
        <w:rPr>
          <w:lang w:val="cs-CZ"/>
        </w:rPr>
        <w:t>ízení na projektového manažera.</w:t>
      </w:r>
    </w:p>
    <w:p w:rsidR="00C06DA1" w:rsidRPr="00DD2F1B" w:rsidRDefault="00C06DA1" w:rsidP="008F62BF">
      <w:pPr>
        <w:pStyle w:val="BodyText1"/>
        <w:rPr>
          <w:lang w:val="cs-CZ"/>
        </w:rPr>
      </w:pPr>
      <w:r w:rsidRPr="00DD2F1B">
        <w:rPr>
          <w:lang w:val="cs-CZ"/>
        </w:rPr>
        <w:t>V roce 2014 by měla proběhnout příprava zadávací dokumentace na poskytovatele služeb souvisejících s provozem Systému elektronického mýta. Současně by měly být realizovány potřebné legislativní změny spojené se změnou rolí výběrčího mýtného a poskytovatelů služeb ve vazbě na směrnice Evropské unie a Evropskou službu elektronického mýta, kterou by bylo možné zavést ještě do roku 2016.</w:t>
      </w:r>
    </w:p>
    <w:p w:rsidR="00C06DA1" w:rsidRPr="00DD2F1B" w:rsidRDefault="00C06DA1" w:rsidP="008F62BF">
      <w:pPr>
        <w:pStyle w:val="BodyText1"/>
        <w:rPr>
          <w:lang w:val="cs-CZ"/>
        </w:rPr>
      </w:pPr>
      <w:r w:rsidRPr="00DD2F1B">
        <w:rPr>
          <w:lang w:val="cs-CZ"/>
        </w:rPr>
        <w:t>V roce 2016 by došlo k migraci dodavatelů služeb. Zde je nutné upozornit na možné kompetenční problémy související s přechodem na jiného poskytovatele služeb.</w:t>
      </w:r>
    </w:p>
    <w:p w:rsidR="00C06DA1" w:rsidRPr="00DD2F1B" w:rsidRDefault="00C06DA1" w:rsidP="008F62BF">
      <w:pPr>
        <w:pStyle w:val="BodyText1"/>
        <w:rPr>
          <w:lang w:val="cs-CZ"/>
        </w:rPr>
      </w:pPr>
      <w:r w:rsidRPr="00DD2F1B">
        <w:rPr>
          <w:lang w:val="cs-CZ"/>
        </w:rPr>
        <w:t>Dále by od roku 2017 došlo k časovému zpoplatnění silnic I. třídy (ve variantě A), eventuálně ke zpoplatnění všech silnic, tj. silnic I., II. a III. třídy.</w:t>
      </w:r>
    </w:p>
    <w:p w:rsidR="00C06DA1" w:rsidRPr="00DD2F1B" w:rsidRDefault="00C06DA1" w:rsidP="00A85D7C">
      <w:pPr>
        <w:pBdr>
          <w:bottom w:val="single" w:sz="4" w:space="1" w:color="auto"/>
        </w:pBdr>
        <w:rPr>
          <w:b/>
          <w:sz w:val="24"/>
          <w:szCs w:val="24"/>
          <w:lang w:val="cs-CZ"/>
        </w:rPr>
      </w:pPr>
      <w:r w:rsidRPr="00DD2F1B">
        <w:rPr>
          <w:b/>
          <w:sz w:val="24"/>
          <w:szCs w:val="24"/>
          <w:lang w:val="cs-CZ"/>
        </w:rPr>
        <w:t>Optimální postup při rozšíření zpoplatnění pro variantu B</w:t>
      </w:r>
    </w:p>
    <w:p w:rsidR="00C06DA1" w:rsidRPr="00DD2F1B" w:rsidRDefault="00C06DA1" w:rsidP="005F7125">
      <w:pPr>
        <w:pStyle w:val="BodyText1"/>
        <w:rPr>
          <w:lang w:val="cs-CZ"/>
        </w:rPr>
      </w:pPr>
      <w:r w:rsidRPr="00DD2F1B">
        <w:rPr>
          <w:lang w:val="cs-CZ"/>
        </w:rPr>
        <w:t>Postup při rozšíření zpoplatnění závisí na výběru cílové varianty zpoplatněného rozsahu silnic I. třídy, která by měla být rozhodnuta minimálně do konce roku 2013, nejpozději však do poloviny roku 2014 tak, aby byl dostatek času na přípravu potřebných zadávacích řízení na označení zpoplatněných úseků silnic I. třídy a pozemních komunikací navazujících na tyto zpoplatněné silnice I. třídy a vlastního zadávacího řízení na nový Systém elektronického mýta.</w:t>
      </w:r>
    </w:p>
    <w:p w:rsidR="00C06DA1" w:rsidRPr="00DD2F1B" w:rsidRDefault="00C06DA1" w:rsidP="005F7125">
      <w:pPr>
        <w:pStyle w:val="BodyText1"/>
        <w:rPr>
          <w:lang w:val="cs-CZ"/>
        </w:rPr>
      </w:pPr>
      <w:r w:rsidRPr="00DD2F1B">
        <w:rPr>
          <w:lang w:val="cs-CZ"/>
        </w:rPr>
        <w:t xml:space="preserve">V roce 2013 by mělo </w:t>
      </w:r>
      <w:r>
        <w:rPr>
          <w:lang w:val="cs-CZ"/>
        </w:rPr>
        <w:t>být realizováno zadávací</w:t>
      </w:r>
      <w:r w:rsidRPr="00DD2F1B">
        <w:rPr>
          <w:lang w:val="cs-CZ"/>
        </w:rPr>
        <w:t xml:space="preserve"> řízení na projektového manažera.</w:t>
      </w:r>
    </w:p>
    <w:p w:rsidR="00C06DA1" w:rsidRPr="00DD2F1B" w:rsidRDefault="00C06DA1" w:rsidP="005F7125">
      <w:pPr>
        <w:pStyle w:val="BodyText1"/>
        <w:rPr>
          <w:lang w:val="cs-CZ"/>
        </w:rPr>
      </w:pPr>
      <w:r w:rsidRPr="00DD2F1B">
        <w:rPr>
          <w:lang w:val="cs-CZ"/>
        </w:rPr>
        <w:t>V roce 2014 by měla proběhnout příprava zadávacích dokumentací na výběr dodavatelů. Současně by měly být realizovány potřebné legislativní změny spojené se změnou rolí výběrčího mýtného a poskytovatelů služeb ve vazbě na směrnice Evropské unie a Evropskou službu elektronického mýta. Zavedení Evropské služby elektronického mýta by mělo proběhnout ještě do konce roku 2016.</w:t>
      </w:r>
    </w:p>
    <w:p w:rsidR="00C06DA1" w:rsidRPr="00DD2F1B" w:rsidRDefault="00C06DA1" w:rsidP="005F7125">
      <w:pPr>
        <w:pStyle w:val="BodyText1"/>
        <w:rPr>
          <w:lang w:val="cs-CZ"/>
        </w:rPr>
      </w:pPr>
      <w:r w:rsidRPr="00DD2F1B">
        <w:rPr>
          <w:lang w:val="cs-CZ"/>
        </w:rPr>
        <w:lastRenderedPageBreak/>
        <w:t xml:space="preserve">V roce 2015 by měla proběhnout zadávací řízení na dodavatele nového Systému elektronického mýta a dodavatele označení zpoplatněných úseků silnic I. třídy a pozemních komunikací navazujících na tyto zpoplatněné silnice I. třídy. </w:t>
      </w:r>
    </w:p>
    <w:p w:rsidR="00C06DA1" w:rsidRPr="00DD2F1B" w:rsidRDefault="00C06DA1" w:rsidP="005F7125">
      <w:pPr>
        <w:pStyle w:val="BodyText1"/>
        <w:rPr>
          <w:lang w:val="cs-CZ"/>
        </w:rPr>
      </w:pPr>
      <w:r w:rsidRPr="00DD2F1B">
        <w:rPr>
          <w:lang w:val="cs-CZ"/>
        </w:rPr>
        <w:t>V roce 2016 by měla proběhnout realizace nového Systému elektronického mýta, výroba a vydání OBE a postupná migrace dat mezi oběma mýtnými systémy. Současně by probíhaly změny dopravního značení, které je doporučeno zahájit již v roce 2015, vzhledem k dlouhým schvalovacím lhůtám a náročnější projektové přípravě.</w:t>
      </w:r>
    </w:p>
    <w:p w:rsidR="00C06DA1" w:rsidRPr="00DD2F1B" w:rsidRDefault="00C06DA1" w:rsidP="005F7125">
      <w:pPr>
        <w:pStyle w:val="BodyText1"/>
        <w:rPr>
          <w:lang w:val="cs-CZ"/>
        </w:rPr>
      </w:pPr>
      <w:r w:rsidRPr="00DD2F1B">
        <w:rPr>
          <w:lang w:val="cs-CZ"/>
        </w:rPr>
        <w:t>Od 1. 1. 2017 by mělo dojít k zahájení činnost nového Systému elektronického mýta, včetně poskytování Evropské služby elektronického mýta. Současně by měla být postupně řešena problematika vypořádání se stávajícím Systémem elektronického mýta, pokud to nebude řešeno současně s náběhem nového Systému elektronického mýta.</w:t>
      </w:r>
    </w:p>
    <w:p w:rsidR="00C06DA1" w:rsidRPr="00DD2F1B" w:rsidRDefault="00C06DA1" w:rsidP="009B687D">
      <w:pPr>
        <w:pStyle w:val="BodyText1"/>
        <w:rPr>
          <w:lang w:val="cs-CZ"/>
        </w:rPr>
      </w:pPr>
      <w:r w:rsidRPr="00DD2F1B">
        <w:rPr>
          <w:lang w:val="cs-CZ"/>
        </w:rPr>
        <w:t xml:space="preserve">V dostatečném předstihu, nejpozději však do poloviny roku 2014 by měl být vybrán projektový manažer, který by ihned po přijetí cílové varianty a cílových parametrech rozšíření zpoplatnění mohl zahájit činnosti spojené s jeho realizací. </w:t>
      </w:r>
    </w:p>
    <w:p w:rsidR="00C06DA1" w:rsidRPr="00DD2F1B" w:rsidRDefault="00C06DA1" w:rsidP="00A25C7A">
      <w:pPr>
        <w:pBdr>
          <w:bottom w:val="single" w:sz="4" w:space="1" w:color="auto"/>
        </w:pBdr>
        <w:rPr>
          <w:b/>
          <w:sz w:val="24"/>
          <w:szCs w:val="24"/>
          <w:lang w:val="cs-CZ"/>
        </w:rPr>
      </w:pPr>
      <w:r w:rsidRPr="00DD2F1B">
        <w:rPr>
          <w:b/>
          <w:sz w:val="24"/>
          <w:szCs w:val="24"/>
          <w:lang w:val="cs-CZ"/>
        </w:rPr>
        <w:t>Důležité následující kroky</w:t>
      </w:r>
    </w:p>
    <w:p w:rsidR="00C06DA1" w:rsidRPr="00DD2F1B" w:rsidRDefault="00C06DA1" w:rsidP="00C72D9C">
      <w:pPr>
        <w:pStyle w:val="BodyText1"/>
        <w:numPr>
          <w:ilvl w:val="0"/>
          <w:numId w:val="32"/>
        </w:numPr>
        <w:rPr>
          <w:lang w:val="cs-CZ"/>
        </w:rPr>
      </w:pPr>
      <w:r w:rsidRPr="00DD2F1B">
        <w:rPr>
          <w:lang w:val="cs-CZ"/>
        </w:rPr>
        <w:t>Vybrat projektového manažera - do konce roku 2013, nejpozději do poloviny roku 2014.</w:t>
      </w:r>
    </w:p>
    <w:p w:rsidR="00C06DA1" w:rsidRPr="00DD2F1B" w:rsidRDefault="00C06DA1" w:rsidP="00C72D9C">
      <w:pPr>
        <w:pStyle w:val="BodyText1"/>
        <w:numPr>
          <w:ilvl w:val="0"/>
          <w:numId w:val="32"/>
        </w:numPr>
        <w:rPr>
          <w:lang w:val="cs-CZ"/>
        </w:rPr>
      </w:pPr>
      <w:r w:rsidRPr="00DD2F1B">
        <w:rPr>
          <w:lang w:val="cs-CZ"/>
        </w:rPr>
        <w:t>Rozhodnout o zpoplatnění po roce 2016, tj. o rozsahu a způsobu zpoplatnění pozemních komunikací v ČR od 1. 1. 2017 - do konce roku 2013, nejpozději do poloviny 2014.</w:t>
      </w:r>
    </w:p>
    <w:p w:rsidR="00C06DA1" w:rsidRPr="00DD2F1B" w:rsidRDefault="00C06DA1" w:rsidP="00C72D9C">
      <w:pPr>
        <w:pStyle w:val="BodyText1"/>
        <w:numPr>
          <w:ilvl w:val="0"/>
          <w:numId w:val="32"/>
        </w:numPr>
        <w:rPr>
          <w:lang w:val="cs-CZ"/>
        </w:rPr>
      </w:pPr>
      <w:r w:rsidRPr="00DD2F1B">
        <w:rPr>
          <w:lang w:val="cs-CZ"/>
        </w:rPr>
        <w:t>Zpracovat střednědobou strategii tarifní politiky - do konce roku 2013.</w:t>
      </w:r>
    </w:p>
    <w:p w:rsidR="00C06DA1" w:rsidRPr="00DD2F1B" w:rsidRDefault="00C06DA1" w:rsidP="006973C3">
      <w:pPr>
        <w:pStyle w:val="Nadpis1"/>
        <w:rPr>
          <w:sz w:val="40"/>
          <w:szCs w:val="40"/>
          <w:lang w:val="cs-CZ"/>
        </w:rPr>
      </w:pPr>
      <w:r w:rsidRPr="00DD2F1B">
        <w:rPr>
          <w:sz w:val="40"/>
          <w:szCs w:val="40"/>
          <w:lang w:val="cs-CZ"/>
        </w:rPr>
        <w:br w:type="page"/>
      </w:r>
      <w:bookmarkStart w:id="22" w:name="_Toc368063530"/>
      <w:bookmarkStart w:id="23" w:name="_Toc370398421"/>
      <w:r w:rsidRPr="00DD2F1B">
        <w:rPr>
          <w:sz w:val="40"/>
          <w:szCs w:val="40"/>
          <w:lang w:val="cs-CZ"/>
        </w:rPr>
        <w:lastRenderedPageBreak/>
        <w:t>OBECNÁ ČÁST</w:t>
      </w:r>
      <w:bookmarkEnd w:id="22"/>
      <w:bookmarkEnd w:id="23"/>
    </w:p>
    <w:p w:rsidR="00C06DA1" w:rsidRPr="00DD2F1B" w:rsidRDefault="00C06DA1" w:rsidP="006973C3">
      <w:pPr>
        <w:spacing w:before="0" w:after="0"/>
        <w:rPr>
          <w:lang w:val="cs-CZ"/>
        </w:rPr>
      </w:pPr>
    </w:p>
    <w:p w:rsidR="00C06DA1" w:rsidRPr="00DD2F1B" w:rsidRDefault="00C06DA1" w:rsidP="00452CB6">
      <w:pPr>
        <w:pStyle w:val="Nadpis2"/>
        <w:rPr>
          <w:sz w:val="28"/>
          <w:szCs w:val="28"/>
          <w:lang w:val="cs-CZ"/>
        </w:rPr>
      </w:pPr>
      <w:bookmarkStart w:id="24" w:name="_Toc368063531"/>
      <w:bookmarkStart w:id="25" w:name="_Toc370398422"/>
      <w:r w:rsidRPr="00DD2F1B">
        <w:rPr>
          <w:sz w:val="28"/>
          <w:szCs w:val="28"/>
          <w:lang w:val="cs-CZ"/>
        </w:rPr>
        <w:t>Důležité milníky ve zpoplatnění pozemních komunikací v České republice</w:t>
      </w:r>
      <w:bookmarkEnd w:id="24"/>
      <w:bookmarkEnd w:id="25"/>
    </w:p>
    <w:p w:rsidR="00C06DA1" w:rsidRPr="00DD2F1B" w:rsidRDefault="00C06DA1" w:rsidP="006973C3">
      <w:pPr>
        <w:spacing w:before="0" w:after="0"/>
        <w:rPr>
          <w:lang w:val="cs-CZ"/>
        </w:rPr>
      </w:pPr>
    </w:p>
    <w:tbl>
      <w:tblPr>
        <w:tblW w:w="0" w:type="auto"/>
        <w:tblBorders>
          <w:bottom w:val="single" w:sz="4" w:space="0" w:color="72C7E7"/>
          <w:insideH w:val="single" w:sz="4" w:space="0" w:color="72C7E7"/>
        </w:tblBorders>
        <w:tblCellMar>
          <w:top w:w="28" w:type="dxa"/>
          <w:left w:w="28" w:type="dxa"/>
          <w:bottom w:w="28" w:type="dxa"/>
          <w:right w:w="28" w:type="dxa"/>
        </w:tblCellMar>
        <w:tblLook w:val="00A0"/>
      </w:tblPr>
      <w:tblGrid>
        <w:gridCol w:w="1588"/>
        <w:gridCol w:w="7512"/>
      </w:tblGrid>
      <w:tr w:rsidR="00C06DA1" w:rsidRPr="00D95ED2">
        <w:tc>
          <w:tcPr>
            <w:tcW w:w="1588" w:type="dxa"/>
            <w:shd w:val="clear" w:color="auto" w:fill="72C7E7"/>
          </w:tcPr>
          <w:p w:rsidR="00C06DA1" w:rsidRPr="00D95ED2" w:rsidRDefault="00C06DA1" w:rsidP="00272FD0">
            <w:pPr>
              <w:rPr>
                <w:rFonts w:ascii="Arial" w:hAnsi="Arial"/>
                <w:b/>
                <w:color w:val="FFFFFF"/>
                <w:sz w:val="19"/>
                <w:lang w:val="cs-CZ"/>
              </w:rPr>
            </w:pPr>
            <w:r w:rsidRPr="00D95ED2">
              <w:rPr>
                <w:rFonts w:ascii="Arial" w:hAnsi="Arial"/>
                <w:b/>
                <w:color w:val="FFFFFF"/>
                <w:sz w:val="19"/>
                <w:lang w:val="cs-CZ"/>
              </w:rPr>
              <w:t>Datum</w:t>
            </w:r>
          </w:p>
        </w:tc>
        <w:tc>
          <w:tcPr>
            <w:tcW w:w="7512" w:type="dxa"/>
            <w:shd w:val="clear" w:color="auto" w:fill="72C7E7"/>
          </w:tcPr>
          <w:p w:rsidR="00C06DA1" w:rsidRPr="00D95ED2" w:rsidRDefault="00C06DA1" w:rsidP="00272FD0">
            <w:pPr>
              <w:rPr>
                <w:rFonts w:ascii="Arial" w:hAnsi="Arial"/>
                <w:b/>
                <w:color w:val="FFFFFF"/>
                <w:sz w:val="19"/>
                <w:lang w:val="cs-CZ"/>
              </w:rPr>
            </w:pPr>
            <w:r w:rsidRPr="00D95ED2">
              <w:rPr>
                <w:rFonts w:ascii="Arial" w:hAnsi="Arial"/>
                <w:b/>
                <w:color w:val="FFFFFF"/>
                <w:sz w:val="19"/>
                <w:lang w:val="cs-CZ"/>
              </w:rPr>
              <w:t>Událost</w:t>
            </w:r>
          </w:p>
        </w:tc>
      </w:tr>
      <w:tr w:rsidR="00C06DA1" w:rsidRPr="00D95ED2">
        <w:tc>
          <w:tcPr>
            <w:tcW w:w="1588" w:type="dxa"/>
            <w:shd w:val="clear" w:color="auto" w:fill="FFFFFF"/>
          </w:tcPr>
          <w:p w:rsidR="00C06DA1" w:rsidRPr="00D95ED2" w:rsidRDefault="00C06DA1" w:rsidP="00614312">
            <w:pPr>
              <w:spacing w:before="120" w:after="120"/>
              <w:jc w:val="both"/>
              <w:rPr>
                <w:sz w:val="19"/>
                <w:lang w:val="cs-CZ"/>
              </w:rPr>
            </w:pPr>
            <w:r w:rsidRPr="00D95ED2">
              <w:rPr>
                <w:sz w:val="19"/>
                <w:lang w:val="cs-CZ"/>
              </w:rPr>
              <w:t>29. března 2006</w:t>
            </w:r>
          </w:p>
        </w:tc>
        <w:tc>
          <w:tcPr>
            <w:tcW w:w="7512" w:type="dxa"/>
            <w:shd w:val="clear" w:color="auto" w:fill="FFFFFF"/>
          </w:tcPr>
          <w:p w:rsidR="00C06DA1" w:rsidRPr="00D95ED2" w:rsidRDefault="00C06DA1" w:rsidP="00614312">
            <w:pPr>
              <w:tabs>
                <w:tab w:val="num" w:pos="650"/>
              </w:tabs>
              <w:spacing w:before="120" w:after="120"/>
              <w:jc w:val="both"/>
              <w:rPr>
                <w:sz w:val="19"/>
                <w:lang w:val="cs-CZ"/>
              </w:rPr>
            </w:pPr>
            <w:r w:rsidRPr="00D95ED2">
              <w:rPr>
                <w:sz w:val="19"/>
                <w:lang w:val="cs-CZ"/>
              </w:rPr>
              <w:t xml:space="preserve">Uzavřena smlouva s konsorciem Kapsch </w:t>
            </w:r>
            <w:proofErr w:type="spellStart"/>
            <w:r w:rsidRPr="00D95ED2">
              <w:rPr>
                <w:sz w:val="19"/>
                <w:lang w:val="cs-CZ"/>
              </w:rPr>
              <w:t>TrafficCom</w:t>
            </w:r>
            <w:proofErr w:type="spellEnd"/>
            <w:r w:rsidRPr="00D95ED2">
              <w:rPr>
                <w:sz w:val="19"/>
                <w:lang w:val="cs-CZ"/>
              </w:rPr>
              <w:t xml:space="preserve"> AG, KAPSCH TELECOM spol. s r.o., Kapsch </w:t>
            </w:r>
            <w:proofErr w:type="spellStart"/>
            <w:r w:rsidRPr="00D95ED2">
              <w:rPr>
                <w:sz w:val="19"/>
                <w:lang w:val="cs-CZ"/>
              </w:rPr>
              <w:t>BusinessCom</w:t>
            </w:r>
            <w:proofErr w:type="spellEnd"/>
            <w:r w:rsidRPr="00D95ED2">
              <w:rPr>
                <w:sz w:val="19"/>
                <w:lang w:val="cs-CZ"/>
              </w:rPr>
              <w:t xml:space="preserve"> AG, Kapsch </w:t>
            </w:r>
            <w:proofErr w:type="spellStart"/>
            <w:r w:rsidRPr="00D95ED2">
              <w:rPr>
                <w:sz w:val="19"/>
                <w:lang w:val="cs-CZ"/>
              </w:rPr>
              <w:t>CarrierCom</w:t>
            </w:r>
            <w:proofErr w:type="spellEnd"/>
            <w:r w:rsidRPr="00D95ED2">
              <w:rPr>
                <w:sz w:val="19"/>
                <w:lang w:val="cs-CZ"/>
              </w:rPr>
              <w:t xml:space="preserve"> AG, Kapsch </w:t>
            </w:r>
            <w:proofErr w:type="spellStart"/>
            <w:r w:rsidRPr="00D95ED2">
              <w:rPr>
                <w:sz w:val="19"/>
                <w:lang w:val="cs-CZ"/>
              </w:rPr>
              <w:t>TrafficCom</w:t>
            </w:r>
            <w:proofErr w:type="spellEnd"/>
            <w:r w:rsidRPr="00D95ED2">
              <w:rPr>
                <w:sz w:val="19"/>
                <w:lang w:val="cs-CZ"/>
              </w:rPr>
              <w:t xml:space="preserve"> </w:t>
            </w:r>
            <w:proofErr w:type="spellStart"/>
            <w:r w:rsidRPr="00D95ED2">
              <w:rPr>
                <w:sz w:val="19"/>
                <w:lang w:val="cs-CZ"/>
              </w:rPr>
              <w:t>Construction</w:t>
            </w:r>
            <w:proofErr w:type="spellEnd"/>
            <w:r w:rsidRPr="00D95ED2">
              <w:rPr>
                <w:sz w:val="19"/>
                <w:lang w:val="cs-CZ"/>
              </w:rPr>
              <w:t xml:space="preserve"> &amp; </w:t>
            </w:r>
            <w:proofErr w:type="spellStart"/>
            <w:r w:rsidRPr="00D95ED2">
              <w:rPr>
                <w:sz w:val="19"/>
                <w:lang w:val="cs-CZ"/>
              </w:rPr>
              <w:t>Realization</w:t>
            </w:r>
            <w:proofErr w:type="spellEnd"/>
            <w:r w:rsidRPr="00D95ED2">
              <w:rPr>
                <w:sz w:val="19"/>
                <w:lang w:val="cs-CZ"/>
              </w:rPr>
              <w:t xml:space="preserve"> spol. s r.o., Kapsch </w:t>
            </w:r>
            <w:proofErr w:type="spellStart"/>
            <w:r w:rsidRPr="00D95ED2">
              <w:rPr>
                <w:sz w:val="19"/>
                <w:lang w:val="cs-CZ"/>
              </w:rPr>
              <w:t>Telematic</w:t>
            </w:r>
            <w:proofErr w:type="spellEnd"/>
            <w:r w:rsidRPr="00D95ED2">
              <w:rPr>
                <w:sz w:val="19"/>
                <w:lang w:val="cs-CZ"/>
              </w:rPr>
              <w:t xml:space="preserve"> </w:t>
            </w:r>
            <w:proofErr w:type="spellStart"/>
            <w:r w:rsidRPr="00D95ED2">
              <w:rPr>
                <w:sz w:val="19"/>
                <w:lang w:val="cs-CZ"/>
              </w:rPr>
              <w:t>Services</w:t>
            </w:r>
            <w:proofErr w:type="spellEnd"/>
            <w:r w:rsidRPr="00D95ED2">
              <w:rPr>
                <w:sz w:val="19"/>
                <w:lang w:val="cs-CZ"/>
              </w:rPr>
              <w:t xml:space="preserve"> spol. s r.o., PVT, a.s. (dále také „Konsorcium společností Kapsch“) o dodávce a o službách - celková cena 18,556 mld. Kč bez DPH, tj. 22,094 mld. Kč včetně DPH (podpis smlouvy byl opožděn z důvodu odvolání jednotlivých účastníků řízení, šetření ÚOHS, parlamentní komise atd.).</w:t>
            </w:r>
          </w:p>
          <w:p w:rsidR="00C06DA1" w:rsidRPr="00D95ED2" w:rsidRDefault="00C06DA1" w:rsidP="00614312">
            <w:pPr>
              <w:spacing w:before="120" w:after="120"/>
              <w:jc w:val="both"/>
              <w:rPr>
                <w:sz w:val="19"/>
                <w:lang w:val="cs-CZ"/>
              </w:rPr>
            </w:pPr>
            <w:r w:rsidRPr="00D95ED2">
              <w:rPr>
                <w:sz w:val="19"/>
                <w:lang w:val="cs-CZ"/>
              </w:rPr>
              <w:t>Dle zadávací dokumentace mělo být zpoplatněno 1019 km dálnic a rychlostních silnic a 1562 km silnic I. třídy.</w:t>
            </w:r>
          </w:p>
          <w:p w:rsidR="00C06DA1" w:rsidRPr="00D95ED2" w:rsidRDefault="00C06DA1" w:rsidP="00614312">
            <w:pPr>
              <w:spacing w:before="120" w:after="120"/>
              <w:jc w:val="both"/>
              <w:rPr>
                <w:rFonts w:ascii="Arial" w:hAnsi="Arial"/>
                <w:sz w:val="19"/>
                <w:lang w:val="cs-CZ"/>
              </w:rPr>
            </w:pPr>
            <w:r w:rsidRPr="00D95ED2">
              <w:rPr>
                <w:sz w:val="19"/>
                <w:lang w:val="cs-CZ"/>
              </w:rPr>
              <w:t>Provozováním Systému elektronického mýta bylo pověřeno Ředitelství silnic a dálnic ČR.</w:t>
            </w:r>
          </w:p>
          <w:p w:rsidR="00C06DA1" w:rsidRPr="00D95ED2" w:rsidRDefault="00C06DA1" w:rsidP="00614312">
            <w:pPr>
              <w:spacing w:before="120" w:after="120"/>
              <w:jc w:val="both"/>
              <w:rPr>
                <w:rFonts w:ascii="Arial" w:hAnsi="Arial"/>
                <w:sz w:val="19"/>
                <w:lang w:val="cs-CZ"/>
              </w:rPr>
            </w:pPr>
            <w:r w:rsidRPr="00D95ED2">
              <w:rPr>
                <w:sz w:val="19"/>
                <w:lang w:val="cs-CZ"/>
              </w:rPr>
              <w:t>Použitá technologie: DSRC 5,8 GHz.</w:t>
            </w:r>
          </w:p>
        </w:tc>
      </w:tr>
      <w:tr w:rsidR="00C06DA1" w:rsidRPr="00B14A1B">
        <w:tc>
          <w:tcPr>
            <w:tcW w:w="1588" w:type="dxa"/>
            <w:shd w:val="clear" w:color="auto" w:fill="FFFFFF"/>
          </w:tcPr>
          <w:p w:rsidR="00C06DA1" w:rsidRPr="00D95ED2" w:rsidRDefault="00C06DA1" w:rsidP="00614312">
            <w:pPr>
              <w:spacing w:before="120" w:after="120"/>
              <w:jc w:val="both"/>
              <w:rPr>
                <w:rFonts w:ascii="Arial" w:hAnsi="Arial"/>
                <w:sz w:val="19"/>
                <w:lang w:val="cs-CZ"/>
              </w:rPr>
            </w:pPr>
            <w:r w:rsidRPr="00D95ED2">
              <w:rPr>
                <w:sz w:val="19"/>
                <w:lang w:val="cs-CZ"/>
              </w:rPr>
              <w:t>1. ledna 2007</w:t>
            </w:r>
          </w:p>
        </w:tc>
        <w:tc>
          <w:tcPr>
            <w:tcW w:w="7512" w:type="dxa"/>
            <w:shd w:val="clear" w:color="auto" w:fill="FFFFFF"/>
          </w:tcPr>
          <w:p w:rsidR="00C06DA1" w:rsidRPr="00D95ED2" w:rsidRDefault="00C06DA1" w:rsidP="00614312">
            <w:pPr>
              <w:spacing w:before="120" w:after="120"/>
              <w:rPr>
                <w:rFonts w:ascii="Arial" w:hAnsi="Arial"/>
                <w:sz w:val="19"/>
                <w:lang w:val="cs-CZ"/>
              </w:rPr>
            </w:pPr>
            <w:r w:rsidRPr="00D95ED2">
              <w:rPr>
                <w:sz w:val="19"/>
                <w:lang w:val="cs-CZ"/>
              </w:rPr>
              <w:t>Zahájeno výkonové zpoplatnění vozidel nad 12 tun na síti dálnic a rychlostních silnic.</w:t>
            </w:r>
          </w:p>
        </w:tc>
      </w:tr>
      <w:tr w:rsidR="00C06DA1" w:rsidRPr="00B14A1B">
        <w:tc>
          <w:tcPr>
            <w:tcW w:w="1588" w:type="dxa"/>
            <w:shd w:val="clear" w:color="auto" w:fill="FFFFFF"/>
          </w:tcPr>
          <w:p w:rsidR="00C06DA1" w:rsidRPr="00D95ED2" w:rsidRDefault="00C06DA1" w:rsidP="00614312">
            <w:pPr>
              <w:spacing w:before="120" w:after="120"/>
              <w:jc w:val="both"/>
              <w:rPr>
                <w:sz w:val="19"/>
                <w:lang w:val="cs-CZ"/>
              </w:rPr>
            </w:pPr>
            <w:r w:rsidRPr="00D95ED2">
              <w:rPr>
                <w:sz w:val="19"/>
                <w:lang w:val="cs-CZ"/>
              </w:rPr>
              <w:t>1. ledna 2008</w:t>
            </w:r>
          </w:p>
        </w:tc>
        <w:tc>
          <w:tcPr>
            <w:tcW w:w="7512" w:type="dxa"/>
            <w:shd w:val="clear" w:color="auto" w:fill="FFFFFF"/>
          </w:tcPr>
          <w:p w:rsidR="00C06DA1" w:rsidRPr="00D95ED2" w:rsidRDefault="00C06DA1" w:rsidP="00614312">
            <w:pPr>
              <w:spacing w:before="120" w:after="120"/>
              <w:rPr>
                <w:rFonts w:ascii="Arial" w:hAnsi="Arial"/>
                <w:sz w:val="19"/>
                <w:lang w:val="cs-CZ"/>
              </w:rPr>
            </w:pPr>
            <w:r w:rsidRPr="00D95ED2">
              <w:rPr>
                <w:sz w:val="19"/>
                <w:lang w:val="cs-CZ"/>
              </w:rPr>
              <w:t>Zahájeno výkonové zpoplatnění vozidel nad 12 tun na síti silnic I. třídy.</w:t>
            </w:r>
          </w:p>
        </w:tc>
      </w:tr>
      <w:tr w:rsidR="00C06DA1" w:rsidRPr="00B14A1B">
        <w:tc>
          <w:tcPr>
            <w:tcW w:w="1588" w:type="dxa"/>
            <w:shd w:val="clear" w:color="auto" w:fill="FFFFFF"/>
          </w:tcPr>
          <w:p w:rsidR="00C06DA1" w:rsidRPr="00D95ED2" w:rsidRDefault="00C06DA1" w:rsidP="00614312">
            <w:pPr>
              <w:spacing w:before="120" w:after="120"/>
              <w:jc w:val="both"/>
              <w:rPr>
                <w:sz w:val="19"/>
                <w:lang w:val="cs-CZ"/>
              </w:rPr>
            </w:pPr>
            <w:r w:rsidRPr="00D95ED2">
              <w:rPr>
                <w:sz w:val="19"/>
                <w:lang w:val="cs-CZ"/>
              </w:rPr>
              <w:t>1. ledna 2010</w:t>
            </w:r>
          </w:p>
        </w:tc>
        <w:tc>
          <w:tcPr>
            <w:tcW w:w="7512" w:type="dxa"/>
            <w:shd w:val="clear" w:color="auto" w:fill="FFFFFF"/>
          </w:tcPr>
          <w:p w:rsidR="00C06DA1" w:rsidRPr="00D95ED2" w:rsidRDefault="00C06DA1" w:rsidP="00614312">
            <w:pPr>
              <w:spacing w:before="120" w:after="120"/>
              <w:rPr>
                <w:rFonts w:ascii="Arial" w:hAnsi="Arial"/>
                <w:sz w:val="19"/>
                <w:lang w:val="cs-CZ"/>
              </w:rPr>
            </w:pPr>
            <w:r w:rsidRPr="00D95ED2">
              <w:rPr>
                <w:sz w:val="19"/>
                <w:lang w:val="cs-CZ"/>
              </w:rPr>
              <w:t>Zahájeno výkonové zpoplatnění vozidel nad 3,5 tuny do 12 tun.</w:t>
            </w:r>
          </w:p>
        </w:tc>
      </w:tr>
      <w:tr w:rsidR="00C06DA1" w:rsidRPr="00B14A1B">
        <w:tc>
          <w:tcPr>
            <w:tcW w:w="1588" w:type="dxa"/>
            <w:shd w:val="clear" w:color="auto" w:fill="FFFFFF"/>
          </w:tcPr>
          <w:p w:rsidR="00C06DA1" w:rsidRPr="00D95ED2" w:rsidRDefault="00C06DA1" w:rsidP="00614312">
            <w:pPr>
              <w:spacing w:before="120" w:after="120"/>
              <w:jc w:val="both"/>
              <w:rPr>
                <w:sz w:val="19"/>
                <w:lang w:val="cs-CZ"/>
              </w:rPr>
            </w:pPr>
            <w:r w:rsidRPr="00D95ED2">
              <w:rPr>
                <w:sz w:val="19"/>
                <w:lang w:val="cs-CZ"/>
              </w:rPr>
              <w:t>1. února 2010</w:t>
            </w:r>
          </w:p>
        </w:tc>
        <w:tc>
          <w:tcPr>
            <w:tcW w:w="7512" w:type="dxa"/>
            <w:shd w:val="clear" w:color="auto" w:fill="FFFFFF"/>
          </w:tcPr>
          <w:p w:rsidR="00C06DA1" w:rsidRPr="00D95ED2" w:rsidRDefault="00C06DA1" w:rsidP="00614312">
            <w:pPr>
              <w:spacing w:before="120" w:after="120"/>
              <w:rPr>
                <w:rFonts w:ascii="Arial" w:hAnsi="Arial"/>
                <w:sz w:val="19"/>
                <w:lang w:val="cs-CZ"/>
              </w:rPr>
            </w:pPr>
            <w:r w:rsidRPr="00D95ED2">
              <w:rPr>
                <w:sz w:val="19"/>
                <w:lang w:val="cs-CZ"/>
              </w:rPr>
              <w:t>Zavedeny zvýšené páteční mýtné sazby (15:00 – 21:00) z důvodu regulace pátečního provozu těžkých nákladních vozidel.</w:t>
            </w:r>
          </w:p>
        </w:tc>
      </w:tr>
      <w:tr w:rsidR="00C06DA1" w:rsidRPr="00B14A1B">
        <w:tc>
          <w:tcPr>
            <w:tcW w:w="1588" w:type="dxa"/>
            <w:shd w:val="clear" w:color="auto" w:fill="FFFFFF"/>
          </w:tcPr>
          <w:p w:rsidR="00C06DA1" w:rsidRPr="00D95ED2" w:rsidRDefault="00C06DA1" w:rsidP="00614312">
            <w:pPr>
              <w:spacing w:before="120" w:after="120"/>
              <w:jc w:val="both"/>
              <w:rPr>
                <w:sz w:val="19"/>
                <w:lang w:val="cs-CZ"/>
              </w:rPr>
            </w:pPr>
            <w:r w:rsidRPr="00D95ED2">
              <w:rPr>
                <w:sz w:val="19"/>
                <w:lang w:val="cs-CZ"/>
              </w:rPr>
              <w:t>1. ledna 2011</w:t>
            </w:r>
          </w:p>
        </w:tc>
        <w:tc>
          <w:tcPr>
            <w:tcW w:w="7512" w:type="dxa"/>
            <w:shd w:val="clear" w:color="auto" w:fill="FFFFFF"/>
          </w:tcPr>
          <w:p w:rsidR="00C06DA1" w:rsidRPr="00D95ED2" w:rsidRDefault="00C06DA1" w:rsidP="00614312">
            <w:pPr>
              <w:spacing w:before="120" w:after="120"/>
              <w:rPr>
                <w:rFonts w:ascii="Arial" w:hAnsi="Arial"/>
                <w:sz w:val="19"/>
                <w:lang w:val="cs-CZ"/>
              </w:rPr>
            </w:pPr>
            <w:r w:rsidRPr="00D95ED2">
              <w:rPr>
                <w:sz w:val="19"/>
                <w:lang w:val="cs-CZ"/>
              </w:rPr>
              <w:t xml:space="preserve">Zavedení 3 emisních kategorií (Euro 0-II, Euro III a IV, Euro V a vyšší), zvýšení mýtných sazeb o </w:t>
            </w:r>
            <w:r w:rsidR="00A14B1D">
              <w:rPr>
                <w:sz w:val="19"/>
                <w:lang w:val="cs-CZ"/>
              </w:rPr>
              <w:t xml:space="preserve"> </w:t>
            </w:r>
            <w:r w:rsidRPr="00D95ED2">
              <w:rPr>
                <w:sz w:val="19"/>
                <w:lang w:val="cs-CZ"/>
              </w:rPr>
              <w:t>25</w:t>
            </w:r>
            <w:r w:rsidR="004E1496">
              <w:rPr>
                <w:sz w:val="19"/>
                <w:lang w:val="cs-CZ"/>
              </w:rPr>
              <w:t xml:space="preserve"> </w:t>
            </w:r>
            <w:r w:rsidRPr="00D95ED2">
              <w:rPr>
                <w:sz w:val="19"/>
                <w:lang w:val="cs-CZ"/>
              </w:rPr>
              <w:t>% pro emisní kategorie Euro 0-II a Euro III a IV.</w:t>
            </w:r>
          </w:p>
        </w:tc>
      </w:tr>
      <w:tr w:rsidR="00C06DA1" w:rsidRPr="00D95ED2">
        <w:tc>
          <w:tcPr>
            <w:tcW w:w="1588" w:type="dxa"/>
            <w:shd w:val="clear" w:color="auto" w:fill="FFFFFF"/>
          </w:tcPr>
          <w:p w:rsidR="00C06DA1" w:rsidRPr="00D95ED2" w:rsidRDefault="00C06DA1" w:rsidP="00614312">
            <w:pPr>
              <w:spacing w:before="120" w:after="120"/>
              <w:jc w:val="both"/>
              <w:rPr>
                <w:sz w:val="19"/>
                <w:lang w:val="cs-CZ"/>
              </w:rPr>
            </w:pPr>
            <w:r w:rsidRPr="00D95ED2">
              <w:rPr>
                <w:sz w:val="19"/>
                <w:lang w:val="cs-CZ"/>
              </w:rPr>
              <w:t>1. září 2011</w:t>
            </w:r>
          </w:p>
        </w:tc>
        <w:tc>
          <w:tcPr>
            <w:tcW w:w="7512" w:type="dxa"/>
            <w:shd w:val="clear" w:color="auto" w:fill="FFFFFF"/>
          </w:tcPr>
          <w:p w:rsidR="00C06DA1" w:rsidRPr="00D95ED2" w:rsidRDefault="00C06DA1" w:rsidP="00614312">
            <w:pPr>
              <w:spacing w:before="120" w:after="120"/>
              <w:rPr>
                <w:rFonts w:ascii="Arial" w:hAnsi="Arial"/>
                <w:sz w:val="19"/>
                <w:lang w:val="cs-CZ"/>
              </w:rPr>
            </w:pPr>
            <w:r w:rsidRPr="00D95ED2">
              <w:rPr>
                <w:sz w:val="19"/>
                <w:lang w:val="cs-CZ"/>
              </w:rPr>
              <w:t>Zavedeny snížené mýtné sazby pro autobusy – vozidla kategorie M2 a M3.</w:t>
            </w:r>
          </w:p>
        </w:tc>
      </w:tr>
      <w:tr w:rsidR="00C06DA1" w:rsidRPr="00B14A1B">
        <w:tc>
          <w:tcPr>
            <w:tcW w:w="1588" w:type="dxa"/>
            <w:shd w:val="clear" w:color="auto" w:fill="FFFFFF"/>
          </w:tcPr>
          <w:p w:rsidR="00C06DA1" w:rsidRPr="00D95ED2" w:rsidRDefault="00C06DA1" w:rsidP="00614312">
            <w:pPr>
              <w:spacing w:before="120" w:after="120"/>
              <w:jc w:val="both"/>
              <w:rPr>
                <w:sz w:val="19"/>
                <w:lang w:val="cs-CZ"/>
              </w:rPr>
            </w:pPr>
            <w:r w:rsidRPr="00D95ED2">
              <w:rPr>
                <w:sz w:val="19"/>
                <w:lang w:val="cs-CZ"/>
              </w:rPr>
              <w:t>1. ledna 2012</w:t>
            </w:r>
          </w:p>
        </w:tc>
        <w:tc>
          <w:tcPr>
            <w:tcW w:w="7512" w:type="dxa"/>
            <w:shd w:val="clear" w:color="auto" w:fill="FFFFFF"/>
          </w:tcPr>
          <w:p w:rsidR="00C06DA1" w:rsidRPr="00D95ED2" w:rsidRDefault="00C06DA1" w:rsidP="00614312">
            <w:pPr>
              <w:spacing w:before="120" w:after="120"/>
              <w:jc w:val="both"/>
              <w:rPr>
                <w:sz w:val="19"/>
                <w:lang w:val="cs-CZ"/>
              </w:rPr>
            </w:pPr>
            <w:r w:rsidRPr="00D95ED2">
              <w:rPr>
                <w:sz w:val="19"/>
                <w:lang w:val="cs-CZ"/>
              </w:rPr>
              <w:t>Zvýšení mýtných sazeb v emisních kategoriích Euro 0-II a Euro III a IV o 25</w:t>
            </w:r>
            <w:r w:rsidR="004E1496">
              <w:rPr>
                <w:sz w:val="19"/>
                <w:lang w:val="cs-CZ"/>
              </w:rPr>
              <w:t xml:space="preserve"> </w:t>
            </w:r>
            <w:r w:rsidRPr="00D95ED2">
              <w:rPr>
                <w:sz w:val="19"/>
                <w:lang w:val="cs-CZ"/>
              </w:rPr>
              <w:t>%.</w:t>
            </w:r>
          </w:p>
        </w:tc>
      </w:tr>
      <w:tr w:rsidR="00C06DA1" w:rsidRPr="00B14A1B">
        <w:tc>
          <w:tcPr>
            <w:tcW w:w="1588" w:type="dxa"/>
            <w:shd w:val="clear" w:color="auto" w:fill="FFFFFF"/>
          </w:tcPr>
          <w:p w:rsidR="00C06DA1" w:rsidRPr="00D95ED2" w:rsidRDefault="00C06DA1" w:rsidP="00614312">
            <w:pPr>
              <w:spacing w:before="120" w:after="120"/>
              <w:jc w:val="both"/>
              <w:rPr>
                <w:sz w:val="19"/>
                <w:lang w:val="cs-CZ"/>
              </w:rPr>
            </w:pPr>
            <w:r w:rsidRPr="00D95ED2">
              <w:rPr>
                <w:sz w:val="19"/>
                <w:lang w:val="cs-CZ"/>
              </w:rPr>
              <w:t>1. ledna 2013</w:t>
            </w:r>
          </w:p>
        </w:tc>
        <w:tc>
          <w:tcPr>
            <w:tcW w:w="7512" w:type="dxa"/>
            <w:shd w:val="clear" w:color="auto" w:fill="FFFFFF"/>
          </w:tcPr>
          <w:p w:rsidR="00C06DA1" w:rsidRPr="00D95ED2" w:rsidRDefault="00C06DA1" w:rsidP="00614312">
            <w:pPr>
              <w:spacing w:before="120" w:after="120"/>
              <w:jc w:val="both"/>
              <w:rPr>
                <w:sz w:val="19"/>
                <w:lang w:val="cs-CZ"/>
              </w:rPr>
            </w:pPr>
            <w:r w:rsidRPr="00D95ED2">
              <w:rPr>
                <w:sz w:val="19"/>
                <w:lang w:val="cs-CZ"/>
              </w:rPr>
              <w:t>Celkem zpoplatněno 1244,3 km dálnic a rychlostních silnic a 201,9 km silnic I. třídy.</w:t>
            </w:r>
          </w:p>
        </w:tc>
      </w:tr>
    </w:tbl>
    <w:p w:rsidR="00C06DA1" w:rsidRPr="00DD2F1B" w:rsidRDefault="00C06DA1" w:rsidP="00272FD0">
      <w:pPr>
        <w:jc w:val="center"/>
        <w:rPr>
          <w:sz w:val="16"/>
          <w:szCs w:val="16"/>
          <w:lang w:val="cs-CZ"/>
        </w:rPr>
      </w:pPr>
      <w:r w:rsidRPr="00DD2F1B">
        <w:rPr>
          <w:sz w:val="16"/>
          <w:szCs w:val="16"/>
          <w:lang w:val="cs-CZ"/>
        </w:rPr>
        <w:t>Tabulka č. 1 – Důležité milníky ve zpoplatnění pozemních komunikací</w:t>
      </w:r>
    </w:p>
    <w:p w:rsidR="00C06DA1" w:rsidRPr="00DD2F1B" w:rsidRDefault="00C06DA1" w:rsidP="00272FD0">
      <w:pPr>
        <w:pStyle w:val="Nadpis2"/>
        <w:rPr>
          <w:sz w:val="28"/>
          <w:szCs w:val="28"/>
          <w:lang w:val="cs-CZ"/>
        </w:rPr>
      </w:pPr>
      <w:r w:rsidRPr="00DD2F1B">
        <w:rPr>
          <w:sz w:val="28"/>
          <w:szCs w:val="28"/>
          <w:lang w:val="cs-CZ"/>
        </w:rPr>
        <w:br w:type="page"/>
      </w:r>
      <w:bookmarkStart w:id="26" w:name="_Toc368063532"/>
      <w:bookmarkStart w:id="27" w:name="_Toc370398423"/>
      <w:r w:rsidRPr="00DD2F1B">
        <w:rPr>
          <w:sz w:val="28"/>
          <w:szCs w:val="28"/>
          <w:lang w:val="cs-CZ"/>
        </w:rPr>
        <w:lastRenderedPageBreak/>
        <w:t>Základní informace o Systému elektronického mýta v České republice</w:t>
      </w:r>
      <w:bookmarkEnd w:id="26"/>
      <w:bookmarkEnd w:id="27"/>
    </w:p>
    <w:p w:rsidR="00C06DA1" w:rsidRPr="00DD2F1B" w:rsidRDefault="00C06DA1" w:rsidP="00272FD0">
      <w:pPr>
        <w:jc w:val="both"/>
        <w:rPr>
          <w:sz w:val="22"/>
          <w:szCs w:val="22"/>
          <w:lang w:val="cs-CZ"/>
        </w:rPr>
      </w:pPr>
      <w:r w:rsidRPr="00DD2F1B">
        <w:rPr>
          <w:sz w:val="22"/>
          <w:szCs w:val="22"/>
          <w:lang w:val="cs-CZ"/>
        </w:rPr>
        <w:t>Systém elektronického mýta byl zprovozněn 1. ledna 2007, a to na 612,4 km dálnic a 319,8 km rychlostních silnic. K 1. lednu 2013 evidujeme v České republice 1244,3 km zpoplatněných dálnic a rychlostních silnic a 201,9 km silnic I. třídy.</w:t>
      </w:r>
    </w:p>
    <w:p w:rsidR="00C06DA1" w:rsidRPr="00DD2F1B" w:rsidRDefault="001C18DA" w:rsidP="00272FD0">
      <w:pPr>
        <w:jc w:val="both"/>
        <w:rPr>
          <w:sz w:val="22"/>
          <w:szCs w:val="22"/>
          <w:lang w:val="cs-CZ"/>
        </w:rPr>
      </w:pPr>
      <w:r w:rsidRPr="001C18DA">
        <w:rPr>
          <w:noProof/>
          <w:sz w:val="22"/>
          <w:szCs w:val="22"/>
          <w:lang w:val="cs-CZ" w:eastAsia="cs-CZ"/>
        </w:rPr>
        <w:pict>
          <v:shape id="obrázek 5" o:spid="_x0000_i1028" type="#_x0000_t75" style="width:416.25pt;height:279.75pt;visibility:visible">
            <v:imagedata r:id="rId9" o:title=""/>
          </v:shape>
        </w:pict>
      </w:r>
    </w:p>
    <w:p w:rsidR="00C06DA1" w:rsidRPr="00DD2F1B" w:rsidRDefault="00C06DA1" w:rsidP="0006055A">
      <w:pPr>
        <w:jc w:val="center"/>
        <w:rPr>
          <w:sz w:val="16"/>
          <w:szCs w:val="16"/>
          <w:lang w:val="cs-CZ"/>
        </w:rPr>
      </w:pPr>
      <w:r w:rsidRPr="00DD2F1B">
        <w:rPr>
          <w:sz w:val="16"/>
          <w:szCs w:val="16"/>
          <w:lang w:val="cs-CZ"/>
        </w:rPr>
        <w:t xml:space="preserve">Obrázek č. </w:t>
      </w:r>
      <w:r>
        <w:rPr>
          <w:sz w:val="16"/>
          <w:szCs w:val="16"/>
          <w:lang w:val="cs-CZ"/>
        </w:rPr>
        <w:t>4</w:t>
      </w:r>
      <w:r w:rsidRPr="00DD2F1B">
        <w:rPr>
          <w:sz w:val="16"/>
          <w:szCs w:val="16"/>
          <w:lang w:val="cs-CZ"/>
        </w:rPr>
        <w:t xml:space="preserve"> – Mapa výkonové zpoplatněných pozemních komunikací v České republice</w:t>
      </w:r>
    </w:p>
    <w:p w:rsidR="00C06DA1" w:rsidRPr="00DD2F1B" w:rsidRDefault="00C06DA1" w:rsidP="00272FD0">
      <w:pPr>
        <w:jc w:val="both"/>
        <w:rPr>
          <w:sz w:val="22"/>
          <w:szCs w:val="22"/>
          <w:lang w:val="cs-CZ"/>
        </w:rPr>
      </w:pPr>
      <w:r w:rsidRPr="00DD2F1B">
        <w:rPr>
          <w:sz w:val="22"/>
          <w:szCs w:val="22"/>
          <w:lang w:val="cs-CZ"/>
        </w:rPr>
        <w:t>Systém elektronického mýta byl spuštěn s předpokládaným váženým průměrem mýtných sazeb pro dálnice a rychlostní silnice ve výši 4,05 Kč/km a pro silnice I. třídy 1,80 Kč/km. Na následující tabulce je znázorněn vývoj dosaženého váženého průměru mýtných sazeb pro zpoplatněné pozemní komunikace v dělení na dálnice a rychlostní silnice a silnice I. třídy, a to pro nákladní vozidla.</w:t>
      </w:r>
    </w:p>
    <w:p w:rsidR="00C06DA1" w:rsidRPr="00DD2F1B" w:rsidRDefault="001C18DA" w:rsidP="006B59DF">
      <w:pPr>
        <w:ind w:left="60"/>
        <w:jc w:val="center"/>
        <w:rPr>
          <w:lang w:val="cs-CZ"/>
        </w:rPr>
      </w:pPr>
      <w:r w:rsidRPr="001C18DA">
        <w:rPr>
          <w:noProof/>
          <w:lang w:val="cs-CZ" w:eastAsia="cs-CZ"/>
        </w:rPr>
        <w:pict>
          <v:shape id="obrázek 6" o:spid="_x0000_i1029" type="#_x0000_t75" style="width:447pt;height:158.25pt;visibility:visible">
            <v:imagedata r:id="rId10" o:title=""/>
          </v:shape>
        </w:pict>
      </w:r>
    </w:p>
    <w:p w:rsidR="00C06DA1" w:rsidRPr="00DD2F1B" w:rsidRDefault="00C06DA1" w:rsidP="00AE029B">
      <w:pPr>
        <w:ind w:left="60"/>
        <w:jc w:val="center"/>
        <w:rPr>
          <w:sz w:val="16"/>
          <w:szCs w:val="16"/>
          <w:lang w:val="cs-CZ"/>
        </w:rPr>
      </w:pPr>
      <w:r w:rsidRPr="00DD2F1B">
        <w:rPr>
          <w:sz w:val="16"/>
          <w:szCs w:val="16"/>
          <w:lang w:val="cs-CZ"/>
        </w:rPr>
        <w:t>Graf č. 1 – Vývoj průměrného mýtného pro nákladní vozidla</w:t>
      </w:r>
    </w:p>
    <w:p w:rsidR="00C06DA1" w:rsidRPr="00DD2F1B" w:rsidRDefault="00C06DA1" w:rsidP="00AE029B">
      <w:pPr>
        <w:ind w:left="60"/>
        <w:jc w:val="both"/>
        <w:rPr>
          <w:sz w:val="22"/>
          <w:szCs w:val="22"/>
          <w:lang w:val="cs-CZ"/>
        </w:rPr>
      </w:pPr>
      <w:r w:rsidRPr="00DD2F1B">
        <w:rPr>
          <w:sz w:val="22"/>
          <w:szCs w:val="22"/>
          <w:lang w:val="cs-CZ"/>
        </w:rPr>
        <w:lastRenderedPageBreak/>
        <w:t>V souvislosti s předchozí tabulkou, která znázorňovala vývoj průměrného mýtného, byly v průběhu fungování výkonového zpoplatnění identifikovány změny dopravních výkonů podle emisních tříd. Tyto změny lze charakterizovat obnovou vozového parku, kdy ročně narůstal dopravní výkon ekologičtějších vozidel, tj. vozidel s lepší emisní třídou. Tyto změny se nejvíce promítly do předepsaného mýta v letech 2011 a 2012, kdy došlo k vytvoření nové emisní kategorie Euro V a vyšší. V této kategorii nebyly mýtné sazby zvyšovány.</w:t>
      </w:r>
    </w:p>
    <w:p w:rsidR="00C06DA1" w:rsidRPr="00DD2F1B" w:rsidRDefault="001C18DA" w:rsidP="006B59DF">
      <w:pPr>
        <w:ind w:left="60"/>
        <w:jc w:val="center"/>
        <w:rPr>
          <w:lang w:val="cs-CZ"/>
        </w:rPr>
      </w:pPr>
      <w:r w:rsidRPr="001C18DA">
        <w:rPr>
          <w:noProof/>
          <w:lang w:val="cs-CZ" w:eastAsia="cs-CZ"/>
        </w:rPr>
        <w:pict>
          <v:shape id="Picture 3" o:spid="_x0000_i1030" type="#_x0000_t75" style="width:453.75pt;height:184.5pt;visibility:visible">
            <v:imagedata r:id="rId11" o:title=""/>
          </v:shape>
        </w:pict>
      </w:r>
    </w:p>
    <w:p w:rsidR="00C06DA1" w:rsidRPr="00DD2F1B" w:rsidRDefault="00C06DA1" w:rsidP="00AE029B">
      <w:pPr>
        <w:ind w:left="60"/>
        <w:jc w:val="center"/>
        <w:rPr>
          <w:sz w:val="16"/>
          <w:szCs w:val="16"/>
          <w:lang w:val="cs-CZ"/>
        </w:rPr>
      </w:pPr>
      <w:r w:rsidRPr="00DD2F1B">
        <w:rPr>
          <w:sz w:val="16"/>
          <w:szCs w:val="16"/>
          <w:lang w:val="cs-CZ"/>
        </w:rPr>
        <w:t>Graf č. 2 – Meziroční změny dopravních výkonů podle emisních tříd</w:t>
      </w:r>
    </w:p>
    <w:p w:rsidR="00C06DA1" w:rsidRPr="00DD2F1B" w:rsidRDefault="00C06DA1" w:rsidP="00456C71">
      <w:pPr>
        <w:autoSpaceDE w:val="0"/>
        <w:autoSpaceDN w:val="0"/>
        <w:adjustRightInd w:val="0"/>
        <w:spacing w:after="240"/>
        <w:jc w:val="both"/>
        <w:rPr>
          <w:rFonts w:cs="Arial"/>
          <w:sz w:val="22"/>
          <w:szCs w:val="22"/>
          <w:lang w:val="cs-CZ" w:bidi="my-MM"/>
        </w:rPr>
      </w:pPr>
      <w:r w:rsidRPr="00DD2F1B">
        <w:rPr>
          <w:rFonts w:cs="Arial"/>
          <w:sz w:val="22"/>
          <w:szCs w:val="22"/>
          <w:lang w:val="cs-CZ" w:bidi="my-MM"/>
        </w:rPr>
        <w:t>Navýšení výb</w:t>
      </w:r>
      <w:r w:rsidRPr="00DD2F1B">
        <w:rPr>
          <w:rFonts w:cs="Arial,BoldItalic"/>
          <w:sz w:val="22"/>
          <w:szCs w:val="22"/>
          <w:lang w:val="cs-CZ" w:bidi="my-MM"/>
        </w:rPr>
        <w:t>ě</w:t>
      </w:r>
      <w:r w:rsidRPr="00DD2F1B">
        <w:rPr>
          <w:rFonts w:cs="Arial"/>
          <w:sz w:val="22"/>
          <w:szCs w:val="22"/>
          <w:lang w:val="cs-CZ" w:bidi="my-MM"/>
        </w:rPr>
        <w:t>ru mýtného v letech 2011 a 2012 bylo zp</w:t>
      </w:r>
      <w:r w:rsidRPr="00DD2F1B">
        <w:rPr>
          <w:rFonts w:cs="Arial,BoldItalic"/>
          <w:sz w:val="22"/>
          <w:szCs w:val="22"/>
          <w:lang w:val="cs-CZ" w:bidi="my-MM"/>
        </w:rPr>
        <w:t>ů</w:t>
      </w:r>
      <w:r w:rsidRPr="00DD2F1B">
        <w:rPr>
          <w:rFonts w:cs="Arial"/>
          <w:sz w:val="22"/>
          <w:szCs w:val="22"/>
          <w:lang w:val="cs-CZ" w:bidi="my-MM"/>
        </w:rPr>
        <w:t>sobeno p</w:t>
      </w:r>
      <w:r w:rsidRPr="00DD2F1B">
        <w:rPr>
          <w:rFonts w:cs="Arial,BoldItalic"/>
          <w:sz w:val="22"/>
          <w:szCs w:val="22"/>
          <w:lang w:val="cs-CZ" w:bidi="my-MM"/>
        </w:rPr>
        <w:t>ř</w:t>
      </w:r>
      <w:r w:rsidRPr="00DD2F1B">
        <w:rPr>
          <w:rFonts w:cs="Arial"/>
          <w:sz w:val="22"/>
          <w:szCs w:val="22"/>
          <w:lang w:val="cs-CZ" w:bidi="my-MM"/>
        </w:rPr>
        <w:t>edevším zvýšením sazeb mýtného a prodloužením délky zpoplatn</w:t>
      </w:r>
      <w:r w:rsidRPr="00DD2F1B">
        <w:rPr>
          <w:rFonts w:cs="Arial,BoldItalic"/>
          <w:sz w:val="22"/>
          <w:szCs w:val="22"/>
          <w:lang w:val="cs-CZ" w:bidi="my-MM"/>
        </w:rPr>
        <w:t>ě</w:t>
      </w:r>
      <w:r w:rsidRPr="00DD2F1B">
        <w:rPr>
          <w:rFonts w:cs="Arial"/>
          <w:sz w:val="22"/>
          <w:szCs w:val="22"/>
          <w:lang w:val="cs-CZ" w:bidi="my-MM"/>
        </w:rPr>
        <w:t>ných komunikací. Avšak nižší výběr mýtného v roce 2012 proti očekávání je způsoben nižšími dopravními výkony a nezvýšením mýtných sazeb u vozidel v emisní kategorii Euro V a vyšší při změně sazeb mýtného v roce 2012. Podíl autobusů na celkovém mýtném byl v roce 2012 1,2</w:t>
      </w:r>
      <w:r w:rsidR="004E1496">
        <w:rPr>
          <w:rFonts w:cs="Arial"/>
          <w:sz w:val="22"/>
          <w:szCs w:val="22"/>
          <w:lang w:val="cs-CZ" w:bidi="my-MM"/>
        </w:rPr>
        <w:t xml:space="preserve"> </w:t>
      </w:r>
      <w:r w:rsidRPr="00DD2F1B">
        <w:rPr>
          <w:rFonts w:cs="Arial"/>
          <w:sz w:val="22"/>
          <w:szCs w:val="22"/>
          <w:lang w:val="cs-CZ" w:bidi="my-MM"/>
        </w:rPr>
        <w:t>%, z tohoto důvodu jsou také autobusy, tedy vozidla kategorie M2 a M3, vyňaty, neboť mají od roku 2011 snížené mýtné sazby, na které nebude mít vliv změna případné tarifní politiky (zdražování mýtných sazeb především pro emisní kategorii Euro V a vyšší a současně by se vozidla této kategorie neměla významnou měrou podílet na slevách z mýtného). Následující kalkulace jsou tak realizován</w:t>
      </w:r>
      <w:r w:rsidR="009A7C08">
        <w:rPr>
          <w:rFonts w:cs="Arial"/>
          <w:sz w:val="22"/>
          <w:szCs w:val="22"/>
          <w:lang w:val="cs-CZ" w:bidi="my-MM"/>
        </w:rPr>
        <w:t>y pouze pro nákladní automobily. Veškeré úpravy mýtných sazeb v uplynulých letech byly realizovány ve shodě s dohodou, které byla uzavřena koncem roku 2010 mezi Českou republikou – Ministerstvem dopravy a Sdružením ČESMAD Bohemia.</w:t>
      </w:r>
    </w:p>
    <w:tbl>
      <w:tblPr>
        <w:tblW w:w="9125" w:type="dxa"/>
        <w:tblBorders>
          <w:bottom w:val="single" w:sz="4" w:space="0" w:color="72C7E7"/>
          <w:insideH w:val="single" w:sz="4" w:space="0" w:color="72C7E7"/>
        </w:tblBorders>
        <w:tblCellMar>
          <w:top w:w="28" w:type="dxa"/>
          <w:left w:w="28" w:type="dxa"/>
          <w:bottom w:w="28" w:type="dxa"/>
          <w:right w:w="28" w:type="dxa"/>
        </w:tblCellMar>
        <w:tblLook w:val="00A0"/>
      </w:tblPr>
      <w:tblGrid>
        <w:gridCol w:w="1711"/>
        <w:gridCol w:w="1059"/>
        <w:gridCol w:w="1060"/>
        <w:gridCol w:w="1059"/>
        <w:gridCol w:w="1059"/>
        <w:gridCol w:w="1059"/>
        <w:gridCol w:w="1059"/>
        <w:gridCol w:w="1059"/>
      </w:tblGrid>
      <w:tr w:rsidR="00C06DA1" w:rsidRPr="00D95ED2" w:rsidTr="00456C71">
        <w:trPr>
          <w:trHeight w:val="418"/>
        </w:trPr>
        <w:tc>
          <w:tcPr>
            <w:tcW w:w="1711" w:type="dxa"/>
            <w:shd w:val="clear" w:color="auto" w:fill="80CCE4"/>
          </w:tcPr>
          <w:p w:rsidR="00C06DA1" w:rsidRPr="00456C71" w:rsidRDefault="00C06DA1" w:rsidP="00456C71">
            <w:pPr>
              <w:spacing w:before="0" w:after="0" w:line="240" w:lineRule="auto"/>
              <w:jc w:val="center"/>
              <w:rPr>
                <w:b/>
                <w:color w:val="FFFFFF"/>
                <w:lang w:val="cs-CZ"/>
              </w:rPr>
            </w:pPr>
            <w:r w:rsidRPr="00456C71">
              <w:rPr>
                <w:b/>
                <w:color w:val="FFFFFF"/>
                <w:lang w:val="cs-CZ"/>
              </w:rPr>
              <w:t>Vývoj výběru mýta [mil. Kč]</w:t>
            </w:r>
          </w:p>
        </w:tc>
        <w:tc>
          <w:tcPr>
            <w:tcW w:w="1059" w:type="dxa"/>
            <w:shd w:val="clear" w:color="auto" w:fill="80CCE4"/>
          </w:tcPr>
          <w:p w:rsidR="00C06DA1" w:rsidRPr="00456C71" w:rsidRDefault="00C06DA1" w:rsidP="00456C71">
            <w:pPr>
              <w:spacing w:before="0" w:after="0" w:line="240" w:lineRule="auto"/>
              <w:jc w:val="center"/>
              <w:rPr>
                <w:b/>
                <w:color w:val="FFFFFF"/>
                <w:lang w:val="cs-CZ"/>
              </w:rPr>
            </w:pPr>
            <w:r w:rsidRPr="00456C71">
              <w:rPr>
                <w:b/>
                <w:color w:val="FFFFFF"/>
                <w:lang w:val="cs-CZ"/>
              </w:rPr>
              <w:t>2007</w:t>
            </w:r>
          </w:p>
        </w:tc>
        <w:tc>
          <w:tcPr>
            <w:tcW w:w="1059" w:type="dxa"/>
            <w:shd w:val="clear" w:color="auto" w:fill="80CCE4"/>
          </w:tcPr>
          <w:p w:rsidR="00C06DA1" w:rsidRPr="00456C71" w:rsidRDefault="00C06DA1" w:rsidP="00456C71">
            <w:pPr>
              <w:spacing w:before="0" w:after="0" w:line="240" w:lineRule="auto"/>
              <w:jc w:val="center"/>
              <w:rPr>
                <w:b/>
                <w:color w:val="FFFFFF"/>
                <w:lang w:val="cs-CZ"/>
              </w:rPr>
            </w:pPr>
            <w:r w:rsidRPr="00456C71">
              <w:rPr>
                <w:b/>
                <w:color w:val="FFFFFF"/>
                <w:lang w:val="cs-CZ"/>
              </w:rPr>
              <w:t>2008</w:t>
            </w:r>
          </w:p>
        </w:tc>
        <w:tc>
          <w:tcPr>
            <w:tcW w:w="1059" w:type="dxa"/>
            <w:shd w:val="clear" w:color="auto" w:fill="80CCE4"/>
          </w:tcPr>
          <w:p w:rsidR="00C06DA1" w:rsidRPr="00456C71" w:rsidRDefault="00C06DA1" w:rsidP="00456C71">
            <w:pPr>
              <w:spacing w:before="0" w:after="0" w:line="240" w:lineRule="auto"/>
              <w:jc w:val="center"/>
              <w:rPr>
                <w:b/>
                <w:color w:val="FFFFFF"/>
                <w:lang w:val="cs-CZ"/>
              </w:rPr>
            </w:pPr>
            <w:r w:rsidRPr="00456C71">
              <w:rPr>
                <w:b/>
                <w:color w:val="FFFFFF"/>
                <w:lang w:val="cs-CZ"/>
              </w:rPr>
              <w:t>2009</w:t>
            </w:r>
          </w:p>
        </w:tc>
        <w:tc>
          <w:tcPr>
            <w:tcW w:w="1059" w:type="dxa"/>
            <w:shd w:val="clear" w:color="auto" w:fill="80CCE4"/>
          </w:tcPr>
          <w:p w:rsidR="00C06DA1" w:rsidRPr="00456C71" w:rsidRDefault="00C06DA1" w:rsidP="00456C71">
            <w:pPr>
              <w:spacing w:before="0" w:after="0" w:line="240" w:lineRule="auto"/>
              <w:jc w:val="center"/>
              <w:rPr>
                <w:b/>
                <w:color w:val="FFFFFF"/>
                <w:lang w:val="cs-CZ"/>
              </w:rPr>
            </w:pPr>
            <w:r w:rsidRPr="00456C71">
              <w:rPr>
                <w:b/>
                <w:color w:val="FFFFFF"/>
                <w:lang w:val="cs-CZ"/>
              </w:rPr>
              <w:t>2010</w:t>
            </w:r>
          </w:p>
        </w:tc>
        <w:tc>
          <w:tcPr>
            <w:tcW w:w="1059" w:type="dxa"/>
            <w:shd w:val="clear" w:color="auto" w:fill="80CCE4"/>
          </w:tcPr>
          <w:p w:rsidR="00C06DA1" w:rsidRPr="00456C71" w:rsidRDefault="00C06DA1" w:rsidP="00456C71">
            <w:pPr>
              <w:spacing w:before="0" w:after="0" w:line="240" w:lineRule="auto"/>
              <w:jc w:val="center"/>
              <w:rPr>
                <w:b/>
                <w:color w:val="FFFFFF"/>
                <w:lang w:val="cs-CZ"/>
              </w:rPr>
            </w:pPr>
            <w:r w:rsidRPr="00456C71">
              <w:rPr>
                <w:b/>
                <w:color w:val="FFFFFF"/>
                <w:lang w:val="cs-CZ"/>
              </w:rPr>
              <w:t>2011</w:t>
            </w:r>
          </w:p>
        </w:tc>
        <w:tc>
          <w:tcPr>
            <w:tcW w:w="1059" w:type="dxa"/>
            <w:shd w:val="clear" w:color="auto" w:fill="80CCE4"/>
          </w:tcPr>
          <w:p w:rsidR="00C06DA1" w:rsidRPr="00456C71" w:rsidRDefault="00C06DA1" w:rsidP="00456C71">
            <w:pPr>
              <w:spacing w:before="0" w:after="0" w:line="240" w:lineRule="auto"/>
              <w:jc w:val="center"/>
              <w:rPr>
                <w:b/>
                <w:color w:val="FFFFFF"/>
                <w:lang w:val="cs-CZ"/>
              </w:rPr>
            </w:pPr>
            <w:r w:rsidRPr="00456C71">
              <w:rPr>
                <w:b/>
                <w:color w:val="FFFFFF"/>
                <w:lang w:val="cs-CZ"/>
              </w:rPr>
              <w:t>2012</w:t>
            </w:r>
          </w:p>
        </w:tc>
        <w:tc>
          <w:tcPr>
            <w:tcW w:w="1059" w:type="dxa"/>
            <w:shd w:val="clear" w:color="auto" w:fill="D9D9D9"/>
          </w:tcPr>
          <w:p w:rsidR="00C06DA1" w:rsidRPr="00456C71" w:rsidRDefault="00C06DA1" w:rsidP="00456C71">
            <w:pPr>
              <w:spacing w:before="0" w:after="0" w:line="240" w:lineRule="auto"/>
              <w:jc w:val="center"/>
              <w:rPr>
                <w:b/>
                <w:color w:val="FFFFFF"/>
                <w:lang w:val="cs-CZ"/>
              </w:rPr>
            </w:pPr>
            <w:r w:rsidRPr="00456C71">
              <w:rPr>
                <w:b/>
                <w:color w:val="FFFFFF"/>
                <w:lang w:val="cs-CZ"/>
              </w:rPr>
              <w:t xml:space="preserve">2013 </w:t>
            </w:r>
          </w:p>
          <w:p w:rsidR="00C06DA1" w:rsidRPr="00456C71" w:rsidRDefault="00C06DA1" w:rsidP="00456C71">
            <w:pPr>
              <w:spacing w:before="0" w:after="0" w:line="240" w:lineRule="auto"/>
              <w:jc w:val="center"/>
              <w:rPr>
                <w:b/>
                <w:color w:val="FFFFFF"/>
                <w:lang w:val="cs-CZ"/>
              </w:rPr>
            </w:pPr>
            <w:r w:rsidRPr="00456C71">
              <w:rPr>
                <w:b/>
                <w:color w:val="FFFFFF"/>
                <w:lang w:val="cs-CZ"/>
              </w:rPr>
              <w:t>odhad</w:t>
            </w:r>
          </w:p>
        </w:tc>
      </w:tr>
      <w:tr w:rsidR="00C06DA1" w:rsidRPr="00D95ED2" w:rsidTr="00456C71">
        <w:trPr>
          <w:trHeight w:val="246"/>
        </w:trPr>
        <w:tc>
          <w:tcPr>
            <w:tcW w:w="1711" w:type="dxa"/>
            <w:shd w:val="clear" w:color="auto" w:fill="C6D9F1"/>
          </w:tcPr>
          <w:p w:rsidR="00C06DA1" w:rsidRPr="00456C71" w:rsidRDefault="00C06DA1" w:rsidP="00456C71">
            <w:pPr>
              <w:spacing w:before="0" w:after="0" w:line="240" w:lineRule="auto"/>
              <w:rPr>
                <w:lang w:val="cs-CZ"/>
              </w:rPr>
            </w:pPr>
            <w:r w:rsidRPr="00456C71">
              <w:rPr>
                <w:lang w:val="cs-CZ"/>
              </w:rPr>
              <w:t>Dálnice</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1 041</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1 153</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1 036</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1 375</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1 918</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2 034</w:t>
            </w:r>
          </w:p>
        </w:tc>
        <w:tc>
          <w:tcPr>
            <w:tcW w:w="1059" w:type="dxa"/>
            <w:shd w:val="clear" w:color="auto" w:fill="D9D9D9"/>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1 914</w:t>
            </w:r>
          </w:p>
        </w:tc>
      </w:tr>
      <w:tr w:rsidR="00C06DA1" w:rsidRPr="00D95ED2" w:rsidTr="00456C71">
        <w:trPr>
          <w:trHeight w:val="246"/>
        </w:trPr>
        <w:tc>
          <w:tcPr>
            <w:tcW w:w="1711" w:type="dxa"/>
            <w:shd w:val="clear" w:color="auto" w:fill="C6D9F1"/>
          </w:tcPr>
          <w:p w:rsidR="00C06DA1" w:rsidRPr="00456C71" w:rsidRDefault="00C06DA1" w:rsidP="00456C71">
            <w:pPr>
              <w:spacing w:before="0" w:after="0" w:line="240" w:lineRule="auto"/>
              <w:rPr>
                <w:lang w:val="cs-CZ"/>
              </w:rPr>
            </w:pPr>
            <w:r w:rsidRPr="00456C71">
              <w:rPr>
                <w:lang w:val="cs-CZ"/>
              </w:rPr>
              <w:t>Rychlostní silnice</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4 503</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4 663</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4 242</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4 890</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5 831</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6 153</w:t>
            </w:r>
          </w:p>
        </w:tc>
        <w:tc>
          <w:tcPr>
            <w:tcW w:w="1059" w:type="dxa"/>
            <w:shd w:val="clear" w:color="auto" w:fill="D9D9D9"/>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5 962</w:t>
            </w:r>
          </w:p>
        </w:tc>
      </w:tr>
      <w:tr w:rsidR="00C06DA1" w:rsidRPr="00D95ED2" w:rsidTr="00456C71">
        <w:trPr>
          <w:trHeight w:val="234"/>
        </w:trPr>
        <w:tc>
          <w:tcPr>
            <w:tcW w:w="2770" w:type="dxa"/>
            <w:gridSpan w:val="2"/>
            <w:shd w:val="clear" w:color="auto" w:fill="C6D9F1"/>
          </w:tcPr>
          <w:p w:rsidR="00C06DA1" w:rsidRPr="00456C71" w:rsidRDefault="00C06DA1" w:rsidP="00456C71">
            <w:pPr>
              <w:spacing w:before="0" w:after="0" w:line="240" w:lineRule="auto"/>
              <w:rPr>
                <w:lang w:val="cs-CZ"/>
              </w:rPr>
            </w:pPr>
            <w:r w:rsidRPr="00456C71">
              <w:rPr>
                <w:lang w:val="cs-CZ"/>
              </w:rPr>
              <w:t>Silnice I. třídy</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319</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258</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299</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332</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377</w:t>
            </w:r>
          </w:p>
        </w:tc>
        <w:tc>
          <w:tcPr>
            <w:tcW w:w="1059" w:type="dxa"/>
            <w:shd w:val="clear" w:color="auto" w:fill="D9D9D9"/>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335</w:t>
            </w:r>
          </w:p>
        </w:tc>
      </w:tr>
      <w:tr w:rsidR="00C06DA1" w:rsidRPr="00D95ED2" w:rsidTr="00456C71">
        <w:trPr>
          <w:trHeight w:val="246"/>
        </w:trPr>
        <w:tc>
          <w:tcPr>
            <w:tcW w:w="1711" w:type="dxa"/>
            <w:shd w:val="clear" w:color="auto" w:fill="8DB3E2"/>
          </w:tcPr>
          <w:p w:rsidR="00C06DA1" w:rsidRPr="00456C71" w:rsidRDefault="00C06DA1" w:rsidP="00456C71">
            <w:pPr>
              <w:spacing w:before="0" w:after="0" w:line="240" w:lineRule="auto"/>
              <w:rPr>
                <w:lang w:val="cs-CZ"/>
              </w:rPr>
            </w:pPr>
            <w:r w:rsidRPr="00456C71">
              <w:rPr>
                <w:lang w:val="cs-CZ"/>
              </w:rPr>
              <w:t>Celkem</w:t>
            </w:r>
          </w:p>
        </w:tc>
        <w:tc>
          <w:tcPr>
            <w:tcW w:w="1059" w:type="dxa"/>
            <w:shd w:val="clear" w:color="auto" w:fill="8DB3E2"/>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5 544</w:t>
            </w:r>
          </w:p>
        </w:tc>
        <w:tc>
          <w:tcPr>
            <w:tcW w:w="1059" w:type="dxa"/>
            <w:shd w:val="clear" w:color="auto" w:fill="8DB3E2"/>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6 135</w:t>
            </w:r>
          </w:p>
        </w:tc>
        <w:tc>
          <w:tcPr>
            <w:tcW w:w="1059" w:type="dxa"/>
            <w:shd w:val="clear" w:color="auto" w:fill="8DB3E2"/>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5 536</w:t>
            </w:r>
          </w:p>
        </w:tc>
        <w:tc>
          <w:tcPr>
            <w:tcW w:w="1059" w:type="dxa"/>
            <w:shd w:val="clear" w:color="auto" w:fill="8DB3E2"/>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6 564</w:t>
            </w:r>
          </w:p>
        </w:tc>
        <w:tc>
          <w:tcPr>
            <w:tcW w:w="1059" w:type="dxa"/>
            <w:shd w:val="clear" w:color="auto" w:fill="8DB3E2"/>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8 081</w:t>
            </w:r>
          </w:p>
        </w:tc>
        <w:tc>
          <w:tcPr>
            <w:tcW w:w="1059" w:type="dxa"/>
            <w:shd w:val="clear" w:color="auto" w:fill="8DB3E2"/>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8 564</w:t>
            </w:r>
          </w:p>
        </w:tc>
        <w:tc>
          <w:tcPr>
            <w:tcW w:w="1059" w:type="dxa"/>
            <w:shd w:val="clear" w:color="auto" w:fill="D9D9D9"/>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8 211</w:t>
            </w:r>
          </w:p>
        </w:tc>
      </w:tr>
      <w:tr w:rsidR="00C06DA1" w:rsidRPr="00D95ED2" w:rsidTr="00456C71">
        <w:trPr>
          <w:trHeight w:val="481"/>
        </w:trPr>
        <w:tc>
          <w:tcPr>
            <w:tcW w:w="1711" w:type="dxa"/>
            <w:shd w:val="clear" w:color="auto" w:fill="C6D9F1"/>
          </w:tcPr>
          <w:p w:rsidR="00C06DA1" w:rsidRPr="00456C71" w:rsidRDefault="00C06DA1" w:rsidP="00456C71">
            <w:pPr>
              <w:spacing w:before="0" w:after="0" w:line="240" w:lineRule="auto"/>
              <w:rPr>
                <w:lang w:val="cs-CZ"/>
              </w:rPr>
            </w:pPr>
            <w:r w:rsidRPr="00456C71">
              <w:rPr>
                <w:lang w:val="cs-CZ"/>
              </w:rPr>
              <w:t>Dálnice a rychlostní silnice</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5 544</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5 816</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5 277</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6 265</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7 749</w:t>
            </w:r>
          </w:p>
        </w:tc>
        <w:tc>
          <w:tcPr>
            <w:tcW w:w="1059" w:type="dxa"/>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8 187</w:t>
            </w:r>
          </w:p>
        </w:tc>
        <w:tc>
          <w:tcPr>
            <w:tcW w:w="1059" w:type="dxa"/>
            <w:shd w:val="clear" w:color="auto" w:fill="D9D9D9"/>
            <w:vAlign w:val="bottom"/>
          </w:tcPr>
          <w:p w:rsidR="00C06DA1" w:rsidRPr="00456C71" w:rsidRDefault="00C06DA1" w:rsidP="00456C71">
            <w:pPr>
              <w:spacing w:before="0" w:after="0" w:line="240" w:lineRule="auto"/>
              <w:jc w:val="center"/>
              <w:rPr>
                <w:lang w:val="cs-CZ"/>
              </w:rPr>
            </w:pPr>
            <w:r w:rsidRPr="00456C71">
              <w:rPr>
                <w:rFonts w:ascii="Arial Narrow" w:hAnsi="Arial Narrow" w:cs="Arial"/>
                <w:lang w:val="cs-CZ"/>
              </w:rPr>
              <w:t>7 876</w:t>
            </w:r>
          </w:p>
        </w:tc>
      </w:tr>
      <w:tr w:rsidR="00C06DA1" w:rsidRPr="00D95ED2" w:rsidTr="00456C71">
        <w:trPr>
          <w:trHeight w:val="246"/>
        </w:trPr>
        <w:tc>
          <w:tcPr>
            <w:tcW w:w="3830" w:type="dxa"/>
            <w:gridSpan w:val="3"/>
            <w:shd w:val="clear" w:color="auto" w:fill="C6D9F1"/>
          </w:tcPr>
          <w:p w:rsidR="00C06DA1" w:rsidRPr="00456C71" w:rsidRDefault="00C06DA1" w:rsidP="00456C71">
            <w:pPr>
              <w:spacing w:before="0" w:after="0" w:line="240" w:lineRule="auto"/>
              <w:rPr>
                <w:lang w:val="cs-CZ"/>
              </w:rPr>
            </w:pPr>
            <w:r w:rsidRPr="00456C71">
              <w:rPr>
                <w:lang w:val="cs-CZ"/>
              </w:rPr>
              <w:t>Meziroční změna u silnic I. třídy</w:t>
            </w:r>
          </w:p>
        </w:tc>
        <w:tc>
          <w:tcPr>
            <w:tcW w:w="1059" w:type="dxa"/>
          </w:tcPr>
          <w:p w:rsidR="00C06DA1" w:rsidRPr="00456C71" w:rsidRDefault="00C06DA1" w:rsidP="00456C71">
            <w:pPr>
              <w:spacing w:before="0" w:after="0" w:line="240" w:lineRule="auto"/>
              <w:jc w:val="center"/>
              <w:rPr>
                <w:lang w:val="cs-CZ"/>
              </w:rPr>
            </w:pPr>
            <w:r w:rsidRPr="00456C71">
              <w:rPr>
                <w:lang w:val="cs-CZ"/>
              </w:rPr>
              <w:t>-19</w:t>
            </w:r>
            <w:r w:rsidR="004E1496">
              <w:rPr>
                <w:lang w:val="cs-CZ"/>
              </w:rPr>
              <w:t xml:space="preserve"> </w:t>
            </w:r>
            <w:r w:rsidRPr="00456C71">
              <w:rPr>
                <w:lang w:val="cs-CZ"/>
              </w:rPr>
              <w:t>%</w:t>
            </w:r>
          </w:p>
        </w:tc>
        <w:tc>
          <w:tcPr>
            <w:tcW w:w="1059" w:type="dxa"/>
          </w:tcPr>
          <w:p w:rsidR="00C06DA1" w:rsidRPr="00456C71" w:rsidRDefault="00C06DA1" w:rsidP="00456C71">
            <w:pPr>
              <w:spacing w:before="0" w:after="0" w:line="240" w:lineRule="auto"/>
              <w:jc w:val="center"/>
              <w:rPr>
                <w:lang w:val="cs-CZ"/>
              </w:rPr>
            </w:pPr>
            <w:r w:rsidRPr="00456C71">
              <w:rPr>
                <w:lang w:val="cs-CZ"/>
              </w:rPr>
              <w:t>16</w:t>
            </w:r>
            <w:r w:rsidR="004E1496">
              <w:rPr>
                <w:lang w:val="cs-CZ"/>
              </w:rPr>
              <w:t xml:space="preserve"> </w:t>
            </w:r>
            <w:r w:rsidRPr="00456C71">
              <w:rPr>
                <w:lang w:val="cs-CZ"/>
              </w:rPr>
              <w:t>%</w:t>
            </w:r>
          </w:p>
        </w:tc>
        <w:tc>
          <w:tcPr>
            <w:tcW w:w="1059" w:type="dxa"/>
          </w:tcPr>
          <w:p w:rsidR="00C06DA1" w:rsidRPr="00456C71" w:rsidRDefault="00C06DA1" w:rsidP="00456C71">
            <w:pPr>
              <w:spacing w:before="0" w:after="0" w:line="240" w:lineRule="auto"/>
              <w:jc w:val="center"/>
              <w:rPr>
                <w:lang w:val="cs-CZ"/>
              </w:rPr>
            </w:pPr>
            <w:r w:rsidRPr="00456C71">
              <w:rPr>
                <w:lang w:val="cs-CZ"/>
              </w:rPr>
              <w:t>11</w:t>
            </w:r>
            <w:r w:rsidR="004E1496">
              <w:rPr>
                <w:lang w:val="cs-CZ"/>
              </w:rPr>
              <w:t xml:space="preserve"> </w:t>
            </w:r>
            <w:r w:rsidRPr="00456C71">
              <w:rPr>
                <w:lang w:val="cs-CZ"/>
              </w:rPr>
              <w:t>%</w:t>
            </w:r>
          </w:p>
        </w:tc>
        <w:tc>
          <w:tcPr>
            <w:tcW w:w="1059" w:type="dxa"/>
          </w:tcPr>
          <w:p w:rsidR="00C06DA1" w:rsidRPr="00456C71" w:rsidRDefault="00C06DA1" w:rsidP="00456C71">
            <w:pPr>
              <w:spacing w:before="0" w:after="0" w:line="240" w:lineRule="auto"/>
              <w:jc w:val="center"/>
              <w:rPr>
                <w:lang w:val="cs-CZ"/>
              </w:rPr>
            </w:pPr>
            <w:r w:rsidRPr="00456C71">
              <w:rPr>
                <w:lang w:val="cs-CZ"/>
              </w:rPr>
              <w:t>14</w:t>
            </w:r>
            <w:r w:rsidR="004E1496">
              <w:rPr>
                <w:lang w:val="cs-CZ"/>
              </w:rPr>
              <w:t xml:space="preserve"> </w:t>
            </w:r>
            <w:r w:rsidRPr="00456C71">
              <w:rPr>
                <w:lang w:val="cs-CZ"/>
              </w:rPr>
              <w:t>%</w:t>
            </w:r>
          </w:p>
        </w:tc>
        <w:tc>
          <w:tcPr>
            <w:tcW w:w="1059" w:type="dxa"/>
            <w:shd w:val="clear" w:color="auto" w:fill="D9D9D9"/>
          </w:tcPr>
          <w:p w:rsidR="00C06DA1" w:rsidRPr="00456C71" w:rsidRDefault="00C06DA1" w:rsidP="00456C71">
            <w:pPr>
              <w:spacing w:before="0" w:after="0" w:line="240" w:lineRule="auto"/>
              <w:jc w:val="center"/>
              <w:rPr>
                <w:lang w:val="cs-CZ"/>
              </w:rPr>
            </w:pPr>
            <w:r w:rsidRPr="00456C71">
              <w:rPr>
                <w:lang w:val="cs-CZ"/>
              </w:rPr>
              <w:t>-11</w:t>
            </w:r>
            <w:r w:rsidR="004E1496">
              <w:rPr>
                <w:lang w:val="cs-CZ"/>
              </w:rPr>
              <w:t xml:space="preserve"> </w:t>
            </w:r>
            <w:r w:rsidRPr="00456C71">
              <w:rPr>
                <w:lang w:val="cs-CZ"/>
              </w:rPr>
              <w:t>%</w:t>
            </w:r>
          </w:p>
        </w:tc>
      </w:tr>
      <w:tr w:rsidR="00C06DA1" w:rsidRPr="00D95ED2" w:rsidTr="00456C71">
        <w:trPr>
          <w:trHeight w:val="481"/>
        </w:trPr>
        <w:tc>
          <w:tcPr>
            <w:tcW w:w="2770" w:type="dxa"/>
            <w:gridSpan w:val="2"/>
            <w:shd w:val="clear" w:color="auto" w:fill="C6D9F1"/>
          </w:tcPr>
          <w:p w:rsidR="00C06DA1" w:rsidRPr="00456C71" w:rsidRDefault="00C06DA1" w:rsidP="00456C71">
            <w:pPr>
              <w:spacing w:before="0" w:after="0" w:line="240" w:lineRule="auto"/>
              <w:rPr>
                <w:lang w:val="cs-CZ"/>
              </w:rPr>
            </w:pPr>
            <w:r w:rsidRPr="00456C71">
              <w:rPr>
                <w:lang w:val="cs-CZ"/>
              </w:rPr>
              <w:t>Meziroční změna u dálnic a rychlostních silnic</w:t>
            </w:r>
          </w:p>
        </w:tc>
        <w:tc>
          <w:tcPr>
            <w:tcW w:w="1059" w:type="dxa"/>
          </w:tcPr>
          <w:p w:rsidR="00C06DA1" w:rsidRPr="00456C71" w:rsidRDefault="00C06DA1" w:rsidP="00456C71">
            <w:pPr>
              <w:spacing w:before="0" w:after="0" w:line="240" w:lineRule="auto"/>
              <w:jc w:val="center"/>
              <w:rPr>
                <w:lang w:val="cs-CZ"/>
              </w:rPr>
            </w:pPr>
            <w:r w:rsidRPr="00456C71">
              <w:rPr>
                <w:lang w:val="cs-CZ"/>
              </w:rPr>
              <w:t>5</w:t>
            </w:r>
            <w:r w:rsidR="004E1496">
              <w:rPr>
                <w:lang w:val="cs-CZ"/>
              </w:rPr>
              <w:t xml:space="preserve"> </w:t>
            </w:r>
            <w:r w:rsidRPr="00456C71">
              <w:rPr>
                <w:lang w:val="cs-CZ"/>
              </w:rPr>
              <w:t>%</w:t>
            </w:r>
          </w:p>
        </w:tc>
        <w:tc>
          <w:tcPr>
            <w:tcW w:w="1059" w:type="dxa"/>
          </w:tcPr>
          <w:p w:rsidR="00C06DA1" w:rsidRPr="00456C71" w:rsidRDefault="00C06DA1" w:rsidP="00456C71">
            <w:pPr>
              <w:spacing w:before="0" w:after="0" w:line="240" w:lineRule="auto"/>
              <w:jc w:val="center"/>
              <w:rPr>
                <w:lang w:val="cs-CZ"/>
              </w:rPr>
            </w:pPr>
            <w:r w:rsidRPr="00456C71">
              <w:rPr>
                <w:lang w:val="cs-CZ"/>
              </w:rPr>
              <w:t>-9</w:t>
            </w:r>
            <w:r w:rsidR="004E1496">
              <w:rPr>
                <w:lang w:val="cs-CZ"/>
              </w:rPr>
              <w:t xml:space="preserve"> </w:t>
            </w:r>
            <w:r w:rsidRPr="00456C71">
              <w:rPr>
                <w:lang w:val="cs-CZ"/>
              </w:rPr>
              <w:t>%</w:t>
            </w:r>
          </w:p>
        </w:tc>
        <w:tc>
          <w:tcPr>
            <w:tcW w:w="1059" w:type="dxa"/>
          </w:tcPr>
          <w:p w:rsidR="00C06DA1" w:rsidRPr="00456C71" w:rsidRDefault="00C06DA1" w:rsidP="00456C71">
            <w:pPr>
              <w:spacing w:before="0" w:after="0" w:line="240" w:lineRule="auto"/>
              <w:jc w:val="center"/>
              <w:rPr>
                <w:lang w:val="cs-CZ"/>
              </w:rPr>
            </w:pPr>
            <w:r w:rsidRPr="00456C71">
              <w:rPr>
                <w:lang w:val="cs-CZ"/>
              </w:rPr>
              <w:t>19</w:t>
            </w:r>
            <w:r w:rsidR="004E1496">
              <w:rPr>
                <w:lang w:val="cs-CZ"/>
              </w:rPr>
              <w:t xml:space="preserve"> </w:t>
            </w:r>
            <w:r w:rsidRPr="00456C71">
              <w:rPr>
                <w:lang w:val="cs-CZ"/>
              </w:rPr>
              <w:t>%</w:t>
            </w:r>
          </w:p>
        </w:tc>
        <w:tc>
          <w:tcPr>
            <w:tcW w:w="1059" w:type="dxa"/>
          </w:tcPr>
          <w:p w:rsidR="00C06DA1" w:rsidRPr="00456C71" w:rsidRDefault="00C06DA1" w:rsidP="00456C71">
            <w:pPr>
              <w:spacing w:before="0" w:after="0" w:line="240" w:lineRule="auto"/>
              <w:jc w:val="center"/>
              <w:rPr>
                <w:lang w:val="cs-CZ"/>
              </w:rPr>
            </w:pPr>
            <w:r w:rsidRPr="00456C71">
              <w:rPr>
                <w:lang w:val="cs-CZ"/>
              </w:rPr>
              <w:t>24</w:t>
            </w:r>
            <w:r w:rsidR="004E1496">
              <w:rPr>
                <w:lang w:val="cs-CZ"/>
              </w:rPr>
              <w:t xml:space="preserve"> </w:t>
            </w:r>
            <w:r w:rsidRPr="00456C71">
              <w:rPr>
                <w:lang w:val="cs-CZ"/>
              </w:rPr>
              <w:t>%</w:t>
            </w:r>
          </w:p>
        </w:tc>
        <w:tc>
          <w:tcPr>
            <w:tcW w:w="1059" w:type="dxa"/>
          </w:tcPr>
          <w:p w:rsidR="00C06DA1" w:rsidRPr="00456C71" w:rsidRDefault="00C06DA1" w:rsidP="00456C71">
            <w:pPr>
              <w:spacing w:before="0" w:after="0" w:line="240" w:lineRule="auto"/>
              <w:jc w:val="center"/>
              <w:rPr>
                <w:lang w:val="cs-CZ"/>
              </w:rPr>
            </w:pPr>
            <w:r w:rsidRPr="00456C71">
              <w:rPr>
                <w:lang w:val="cs-CZ"/>
              </w:rPr>
              <w:t>6</w:t>
            </w:r>
            <w:r w:rsidR="004E1496">
              <w:rPr>
                <w:lang w:val="cs-CZ"/>
              </w:rPr>
              <w:t xml:space="preserve"> </w:t>
            </w:r>
            <w:r w:rsidRPr="00456C71">
              <w:rPr>
                <w:lang w:val="cs-CZ"/>
              </w:rPr>
              <w:t>%</w:t>
            </w:r>
          </w:p>
        </w:tc>
        <w:tc>
          <w:tcPr>
            <w:tcW w:w="1059" w:type="dxa"/>
            <w:shd w:val="clear" w:color="auto" w:fill="D9D9D9"/>
          </w:tcPr>
          <w:p w:rsidR="00C06DA1" w:rsidRPr="00456C71" w:rsidRDefault="00C06DA1" w:rsidP="00456C71">
            <w:pPr>
              <w:spacing w:before="0" w:after="0" w:line="240" w:lineRule="auto"/>
              <w:jc w:val="center"/>
              <w:rPr>
                <w:lang w:val="cs-CZ"/>
              </w:rPr>
            </w:pPr>
            <w:r w:rsidRPr="00456C71">
              <w:rPr>
                <w:lang w:val="cs-CZ"/>
              </w:rPr>
              <w:t>-4</w:t>
            </w:r>
            <w:r w:rsidR="004E1496">
              <w:rPr>
                <w:lang w:val="cs-CZ"/>
              </w:rPr>
              <w:t xml:space="preserve"> </w:t>
            </w:r>
            <w:r w:rsidRPr="00456C71">
              <w:rPr>
                <w:lang w:val="cs-CZ"/>
              </w:rPr>
              <w:t>%</w:t>
            </w:r>
          </w:p>
        </w:tc>
      </w:tr>
      <w:tr w:rsidR="00C06DA1" w:rsidRPr="00D95ED2" w:rsidTr="00456C71">
        <w:trPr>
          <w:trHeight w:val="234"/>
        </w:trPr>
        <w:tc>
          <w:tcPr>
            <w:tcW w:w="2770" w:type="dxa"/>
            <w:gridSpan w:val="2"/>
            <w:shd w:val="clear" w:color="auto" w:fill="8DB3E2"/>
          </w:tcPr>
          <w:p w:rsidR="00C06DA1" w:rsidRPr="00456C71" w:rsidRDefault="00C06DA1" w:rsidP="00456C71">
            <w:pPr>
              <w:spacing w:before="0" w:after="0" w:line="240" w:lineRule="auto"/>
              <w:rPr>
                <w:lang w:val="cs-CZ"/>
              </w:rPr>
            </w:pPr>
            <w:r w:rsidRPr="00456C71">
              <w:rPr>
                <w:lang w:val="cs-CZ"/>
              </w:rPr>
              <w:t>Meziroční změna celkem</w:t>
            </w:r>
          </w:p>
        </w:tc>
        <w:tc>
          <w:tcPr>
            <w:tcW w:w="1059" w:type="dxa"/>
            <w:shd w:val="clear" w:color="auto" w:fill="8DB3E2"/>
          </w:tcPr>
          <w:p w:rsidR="00C06DA1" w:rsidRPr="00456C71" w:rsidRDefault="00C06DA1" w:rsidP="00456C71">
            <w:pPr>
              <w:spacing w:before="0" w:after="0" w:line="240" w:lineRule="auto"/>
              <w:jc w:val="center"/>
              <w:rPr>
                <w:lang w:val="cs-CZ"/>
              </w:rPr>
            </w:pPr>
            <w:r w:rsidRPr="00456C71">
              <w:rPr>
                <w:lang w:val="cs-CZ"/>
              </w:rPr>
              <w:t>11</w:t>
            </w:r>
            <w:r w:rsidR="004E1496">
              <w:rPr>
                <w:lang w:val="cs-CZ"/>
              </w:rPr>
              <w:t xml:space="preserve"> </w:t>
            </w:r>
            <w:r w:rsidRPr="00456C71">
              <w:rPr>
                <w:lang w:val="cs-CZ"/>
              </w:rPr>
              <w:t>%</w:t>
            </w:r>
          </w:p>
        </w:tc>
        <w:tc>
          <w:tcPr>
            <w:tcW w:w="1059" w:type="dxa"/>
            <w:shd w:val="clear" w:color="auto" w:fill="8DB3E2"/>
          </w:tcPr>
          <w:p w:rsidR="00C06DA1" w:rsidRPr="00456C71" w:rsidRDefault="00C06DA1" w:rsidP="00456C71">
            <w:pPr>
              <w:spacing w:before="0" w:after="0" w:line="240" w:lineRule="auto"/>
              <w:jc w:val="center"/>
              <w:rPr>
                <w:lang w:val="cs-CZ"/>
              </w:rPr>
            </w:pPr>
            <w:r w:rsidRPr="00456C71">
              <w:rPr>
                <w:lang w:val="cs-CZ"/>
              </w:rPr>
              <w:t>-10</w:t>
            </w:r>
            <w:r w:rsidR="004E1496">
              <w:rPr>
                <w:lang w:val="cs-CZ"/>
              </w:rPr>
              <w:t xml:space="preserve"> </w:t>
            </w:r>
            <w:r w:rsidRPr="00456C71">
              <w:rPr>
                <w:lang w:val="cs-CZ"/>
              </w:rPr>
              <w:t>%</w:t>
            </w:r>
          </w:p>
        </w:tc>
        <w:tc>
          <w:tcPr>
            <w:tcW w:w="1059" w:type="dxa"/>
            <w:shd w:val="clear" w:color="auto" w:fill="8DB3E2"/>
          </w:tcPr>
          <w:p w:rsidR="00C06DA1" w:rsidRPr="00456C71" w:rsidRDefault="00C06DA1" w:rsidP="00456C71">
            <w:pPr>
              <w:spacing w:before="0" w:after="0" w:line="240" w:lineRule="auto"/>
              <w:jc w:val="center"/>
              <w:rPr>
                <w:lang w:val="cs-CZ"/>
              </w:rPr>
            </w:pPr>
            <w:r w:rsidRPr="00456C71">
              <w:rPr>
                <w:lang w:val="cs-CZ"/>
              </w:rPr>
              <w:t>19</w:t>
            </w:r>
            <w:r w:rsidR="004E1496">
              <w:rPr>
                <w:lang w:val="cs-CZ"/>
              </w:rPr>
              <w:t xml:space="preserve"> </w:t>
            </w:r>
            <w:r w:rsidRPr="00456C71">
              <w:rPr>
                <w:lang w:val="cs-CZ"/>
              </w:rPr>
              <w:t>%</w:t>
            </w:r>
          </w:p>
        </w:tc>
        <w:tc>
          <w:tcPr>
            <w:tcW w:w="1059" w:type="dxa"/>
            <w:shd w:val="clear" w:color="auto" w:fill="8DB3E2"/>
          </w:tcPr>
          <w:p w:rsidR="00C06DA1" w:rsidRPr="00456C71" w:rsidRDefault="00C06DA1" w:rsidP="00456C71">
            <w:pPr>
              <w:spacing w:before="0" w:after="0" w:line="240" w:lineRule="auto"/>
              <w:jc w:val="center"/>
              <w:rPr>
                <w:lang w:val="cs-CZ"/>
              </w:rPr>
            </w:pPr>
            <w:r w:rsidRPr="00456C71">
              <w:rPr>
                <w:lang w:val="cs-CZ"/>
              </w:rPr>
              <w:t>23</w:t>
            </w:r>
            <w:r w:rsidR="004E1496">
              <w:rPr>
                <w:lang w:val="cs-CZ"/>
              </w:rPr>
              <w:t xml:space="preserve"> </w:t>
            </w:r>
            <w:r w:rsidRPr="00456C71">
              <w:rPr>
                <w:lang w:val="cs-CZ"/>
              </w:rPr>
              <w:t>%</w:t>
            </w:r>
          </w:p>
        </w:tc>
        <w:tc>
          <w:tcPr>
            <w:tcW w:w="1059" w:type="dxa"/>
            <w:shd w:val="clear" w:color="auto" w:fill="8DB3E2"/>
          </w:tcPr>
          <w:p w:rsidR="00C06DA1" w:rsidRPr="00456C71" w:rsidRDefault="00C06DA1" w:rsidP="00456C71">
            <w:pPr>
              <w:spacing w:before="0" w:after="0" w:line="240" w:lineRule="auto"/>
              <w:jc w:val="center"/>
              <w:rPr>
                <w:lang w:val="cs-CZ"/>
              </w:rPr>
            </w:pPr>
            <w:r w:rsidRPr="00456C71">
              <w:rPr>
                <w:lang w:val="cs-CZ"/>
              </w:rPr>
              <w:t>6</w:t>
            </w:r>
            <w:r w:rsidR="004E1496">
              <w:rPr>
                <w:lang w:val="cs-CZ"/>
              </w:rPr>
              <w:t xml:space="preserve"> </w:t>
            </w:r>
            <w:r w:rsidRPr="00456C71">
              <w:rPr>
                <w:lang w:val="cs-CZ"/>
              </w:rPr>
              <w:t>%</w:t>
            </w:r>
          </w:p>
        </w:tc>
        <w:tc>
          <w:tcPr>
            <w:tcW w:w="1059" w:type="dxa"/>
            <w:shd w:val="clear" w:color="auto" w:fill="D9D9D9"/>
          </w:tcPr>
          <w:p w:rsidR="00C06DA1" w:rsidRPr="00456C71" w:rsidRDefault="00C06DA1" w:rsidP="00456C71">
            <w:pPr>
              <w:spacing w:before="0" w:after="0" w:line="240" w:lineRule="auto"/>
              <w:jc w:val="center"/>
              <w:rPr>
                <w:lang w:val="cs-CZ"/>
              </w:rPr>
            </w:pPr>
            <w:r w:rsidRPr="00456C71">
              <w:rPr>
                <w:lang w:val="cs-CZ"/>
              </w:rPr>
              <w:t>-4</w:t>
            </w:r>
            <w:r w:rsidR="004E1496">
              <w:rPr>
                <w:lang w:val="cs-CZ"/>
              </w:rPr>
              <w:t xml:space="preserve"> </w:t>
            </w:r>
            <w:r w:rsidRPr="00456C71">
              <w:rPr>
                <w:lang w:val="cs-CZ"/>
              </w:rPr>
              <w:t>%</w:t>
            </w:r>
          </w:p>
        </w:tc>
      </w:tr>
    </w:tbl>
    <w:p w:rsidR="00C06DA1" w:rsidRPr="00DD2F1B" w:rsidRDefault="00C06DA1" w:rsidP="00456C71">
      <w:pPr>
        <w:autoSpaceDE w:val="0"/>
        <w:autoSpaceDN w:val="0"/>
        <w:adjustRightInd w:val="0"/>
        <w:spacing w:after="0"/>
        <w:jc w:val="center"/>
        <w:rPr>
          <w:rFonts w:cs="Arial"/>
          <w:bCs/>
          <w:sz w:val="16"/>
          <w:szCs w:val="16"/>
          <w:lang w:val="cs-CZ" w:bidi="my-MM"/>
        </w:rPr>
      </w:pPr>
      <w:r w:rsidRPr="00DD2F1B">
        <w:rPr>
          <w:rFonts w:cs="Arial"/>
          <w:bCs/>
          <w:sz w:val="16"/>
          <w:szCs w:val="16"/>
          <w:lang w:val="cs-CZ" w:bidi="my-MM"/>
        </w:rPr>
        <w:t>Tabulka č. 2 – Vývoj výběru mýtného v letech 2007 – 2012, odhad 2013</w:t>
      </w:r>
    </w:p>
    <w:p w:rsidR="00C06DA1" w:rsidRPr="00DD2F1B" w:rsidRDefault="00C06DA1" w:rsidP="00651EC2">
      <w:pPr>
        <w:pStyle w:val="Nadpis3"/>
        <w:rPr>
          <w:lang w:val="cs-CZ" w:bidi="my-MM"/>
        </w:rPr>
      </w:pPr>
      <w:bookmarkStart w:id="28" w:name="_Toc368063533"/>
      <w:bookmarkStart w:id="29" w:name="_Toc370398424"/>
      <w:r w:rsidRPr="00DD2F1B">
        <w:rPr>
          <w:lang w:val="cs-CZ" w:bidi="my-MM"/>
        </w:rPr>
        <w:lastRenderedPageBreak/>
        <w:t>Notifikované maximální vážené pr</w:t>
      </w:r>
      <w:r w:rsidRPr="00DD2F1B">
        <w:rPr>
          <w:rFonts w:cs="Arial,Bold"/>
          <w:lang w:val="cs-CZ" w:bidi="my-MM"/>
        </w:rPr>
        <w:t>ů</w:t>
      </w:r>
      <w:r w:rsidRPr="00DD2F1B">
        <w:rPr>
          <w:lang w:val="cs-CZ" w:bidi="my-MM"/>
        </w:rPr>
        <w:t>m</w:t>
      </w:r>
      <w:r w:rsidRPr="00DD2F1B">
        <w:rPr>
          <w:rFonts w:cs="Arial,Bold"/>
          <w:lang w:val="cs-CZ" w:bidi="my-MM"/>
        </w:rPr>
        <w:t>ě</w:t>
      </w:r>
      <w:r w:rsidRPr="00DD2F1B">
        <w:rPr>
          <w:lang w:val="cs-CZ" w:bidi="my-MM"/>
        </w:rPr>
        <w:t>rné mýtné</w:t>
      </w:r>
      <w:bookmarkEnd w:id="28"/>
      <w:bookmarkEnd w:id="29"/>
    </w:p>
    <w:p w:rsidR="00C06DA1" w:rsidRPr="00DD2F1B" w:rsidRDefault="00C06DA1" w:rsidP="006B59DF">
      <w:pPr>
        <w:autoSpaceDE w:val="0"/>
        <w:autoSpaceDN w:val="0"/>
        <w:adjustRightInd w:val="0"/>
        <w:jc w:val="both"/>
        <w:rPr>
          <w:rFonts w:cs="Arial"/>
          <w:sz w:val="22"/>
          <w:szCs w:val="22"/>
          <w:lang w:val="cs-CZ" w:bidi="my-MM"/>
        </w:rPr>
      </w:pPr>
      <w:r w:rsidRPr="00DD2F1B">
        <w:rPr>
          <w:rFonts w:cs="Arial"/>
          <w:sz w:val="22"/>
          <w:szCs w:val="22"/>
          <w:lang w:val="cs-CZ" w:bidi="my-MM"/>
        </w:rPr>
        <w:t xml:space="preserve">V roce 2011 byly Evropskou komisí notifikovány níže uvedené maximální velikosti váženého průměrného mýtného. Výše maximálního váženého průměrného mýtného je závislá na finančních prostředcích vynakládaných na výstavbu, rekonstrukce, opravy a údržbu pozemních komunikací, od nichž jsou odečteny poskytnuté dotace ze strukturálních fondů Evropské unie. </w:t>
      </w:r>
    </w:p>
    <w:p w:rsidR="00C06DA1" w:rsidRPr="00DD2F1B" w:rsidRDefault="00C06DA1" w:rsidP="009B687D">
      <w:pPr>
        <w:pStyle w:val="BodyText1"/>
        <w:rPr>
          <w:lang w:val="cs-CZ"/>
        </w:rPr>
      </w:pPr>
      <w:r w:rsidRPr="00DD2F1B">
        <w:rPr>
          <w:lang w:val="cs-CZ"/>
        </w:rPr>
        <w:t>Splnění notifikačních podmínek je nezbytné ročně ověřovat, aby nedošlo právě k překročení níže uvedených maximálních vážených průměrů.</w:t>
      </w:r>
    </w:p>
    <w:tbl>
      <w:tblPr>
        <w:tblW w:w="9208" w:type="dxa"/>
        <w:tblBorders>
          <w:bottom w:val="single" w:sz="4" w:space="0" w:color="72C7E7"/>
          <w:insideH w:val="single" w:sz="4" w:space="0" w:color="72C7E7"/>
        </w:tblBorders>
        <w:tblCellMar>
          <w:top w:w="28" w:type="dxa"/>
          <w:left w:w="28" w:type="dxa"/>
          <w:bottom w:w="28" w:type="dxa"/>
          <w:right w:w="28" w:type="dxa"/>
        </w:tblCellMar>
        <w:tblLook w:val="00A0"/>
      </w:tblPr>
      <w:tblGrid>
        <w:gridCol w:w="2286"/>
        <w:gridCol w:w="693"/>
        <w:gridCol w:w="693"/>
        <w:gridCol w:w="692"/>
        <w:gridCol w:w="692"/>
        <w:gridCol w:w="692"/>
        <w:gridCol w:w="692"/>
        <w:gridCol w:w="692"/>
        <w:gridCol w:w="692"/>
        <w:gridCol w:w="692"/>
        <w:gridCol w:w="692"/>
      </w:tblGrid>
      <w:tr w:rsidR="00C06DA1" w:rsidRPr="00D95ED2">
        <w:tc>
          <w:tcPr>
            <w:tcW w:w="1871" w:type="dxa"/>
            <w:shd w:val="clear" w:color="auto" w:fill="72C7E7"/>
          </w:tcPr>
          <w:p w:rsidR="00C06DA1" w:rsidRPr="00D95ED2" w:rsidRDefault="00C06DA1" w:rsidP="00120C11">
            <w:pPr>
              <w:autoSpaceDE w:val="0"/>
              <w:autoSpaceDN w:val="0"/>
              <w:adjustRightInd w:val="0"/>
              <w:spacing w:before="0" w:after="0"/>
              <w:ind w:right="114"/>
              <w:jc w:val="both"/>
              <w:rPr>
                <w:rFonts w:cs="Arial"/>
                <w:b/>
                <w:color w:val="FFFFFF"/>
                <w:lang w:val="cs-CZ" w:bidi="my-MM"/>
              </w:rPr>
            </w:pPr>
            <w:r w:rsidRPr="00D95ED2">
              <w:rPr>
                <w:rFonts w:cs="Arial"/>
                <w:b/>
                <w:color w:val="FFFFFF"/>
                <w:lang w:val="cs-CZ" w:bidi="my-MM"/>
              </w:rPr>
              <w:t>Vážené průměrné mýtné [Kč/km]</w:t>
            </w:r>
          </w:p>
        </w:tc>
        <w:tc>
          <w:tcPr>
            <w:tcW w:w="567" w:type="dxa"/>
            <w:shd w:val="clear" w:color="auto" w:fill="72C7E7"/>
          </w:tcPr>
          <w:p w:rsidR="00C06DA1" w:rsidRPr="00D95ED2" w:rsidRDefault="00C06DA1" w:rsidP="00120C11">
            <w:pPr>
              <w:autoSpaceDE w:val="0"/>
              <w:autoSpaceDN w:val="0"/>
              <w:adjustRightInd w:val="0"/>
              <w:spacing w:before="0" w:after="0"/>
              <w:jc w:val="center"/>
              <w:rPr>
                <w:rFonts w:cs="Arial"/>
                <w:b/>
                <w:color w:val="FFFFFF"/>
                <w:lang w:val="cs-CZ" w:bidi="my-MM"/>
              </w:rPr>
            </w:pPr>
            <w:r w:rsidRPr="00D95ED2">
              <w:rPr>
                <w:rFonts w:cs="Arial"/>
                <w:b/>
                <w:color w:val="FFFFFF"/>
                <w:lang w:val="cs-CZ" w:bidi="my-MM"/>
              </w:rPr>
              <w:t>2008</w:t>
            </w:r>
          </w:p>
        </w:tc>
        <w:tc>
          <w:tcPr>
            <w:tcW w:w="567" w:type="dxa"/>
            <w:shd w:val="clear" w:color="auto" w:fill="72C7E7"/>
          </w:tcPr>
          <w:p w:rsidR="00C06DA1" w:rsidRPr="00D95ED2" w:rsidRDefault="00C06DA1" w:rsidP="00120C11">
            <w:pPr>
              <w:autoSpaceDE w:val="0"/>
              <w:autoSpaceDN w:val="0"/>
              <w:adjustRightInd w:val="0"/>
              <w:spacing w:before="0" w:after="0"/>
              <w:jc w:val="center"/>
              <w:rPr>
                <w:rFonts w:cs="Arial"/>
                <w:b/>
                <w:color w:val="FFFFFF"/>
                <w:lang w:val="cs-CZ" w:bidi="my-MM"/>
              </w:rPr>
            </w:pPr>
            <w:r w:rsidRPr="00D95ED2">
              <w:rPr>
                <w:rFonts w:cs="Arial"/>
                <w:b/>
                <w:color w:val="FFFFFF"/>
                <w:lang w:val="cs-CZ" w:bidi="my-MM"/>
              </w:rPr>
              <w:t>2009</w:t>
            </w:r>
          </w:p>
        </w:tc>
        <w:tc>
          <w:tcPr>
            <w:tcW w:w="567" w:type="dxa"/>
            <w:shd w:val="clear" w:color="auto" w:fill="72C7E7"/>
          </w:tcPr>
          <w:p w:rsidR="00C06DA1" w:rsidRPr="00D95ED2" w:rsidRDefault="00C06DA1" w:rsidP="00120C11">
            <w:pPr>
              <w:autoSpaceDE w:val="0"/>
              <w:autoSpaceDN w:val="0"/>
              <w:adjustRightInd w:val="0"/>
              <w:spacing w:before="0" w:after="0"/>
              <w:jc w:val="center"/>
              <w:rPr>
                <w:rFonts w:cs="Arial"/>
                <w:b/>
                <w:color w:val="FFFFFF"/>
                <w:lang w:val="cs-CZ" w:bidi="my-MM"/>
              </w:rPr>
            </w:pPr>
            <w:r w:rsidRPr="00D95ED2">
              <w:rPr>
                <w:rFonts w:cs="Arial"/>
                <w:b/>
                <w:color w:val="FFFFFF"/>
                <w:lang w:val="cs-CZ" w:bidi="my-MM"/>
              </w:rPr>
              <w:t>2010</w:t>
            </w:r>
          </w:p>
        </w:tc>
        <w:tc>
          <w:tcPr>
            <w:tcW w:w="567" w:type="dxa"/>
            <w:shd w:val="clear" w:color="auto" w:fill="72C7E7"/>
          </w:tcPr>
          <w:p w:rsidR="00C06DA1" w:rsidRPr="00D95ED2" w:rsidRDefault="00C06DA1" w:rsidP="00120C11">
            <w:pPr>
              <w:autoSpaceDE w:val="0"/>
              <w:autoSpaceDN w:val="0"/>
              <w:adjustRightInd w:val="0"/>
              <w:spacing w:before="0" w:after="0"/>
              <w:jc w:val="center"/>
              <w:rPr>
                <w:rFonts w:cs="Arial"/>
                <w:b/>
                <w:color w:val="FFFFFF"/>
                <w:lang w:val="cs-CZ" w:bidi="my-MM"/>
              </w:rPr>
            </w:pPr>
            <w:r w:rsidRPr="00D95ED2">
              <w:rPr>
                <w:rFonts w:cs="Arial"/>
                <w:b/>
                <w:color w:val="FFFFFF"/>
                <w:lang w:val="cs-CZ" w:bidi="my-MM"/>
              </w:rPr>
              <w:t>2011</w:t>
            </w:r>
          </w:p>
        </w:tc>
        <w:tc>
          <w:tcPr>
            <w:tcW w:w="567" w:type="dxa"/>
            <w:shd w:val="clear" w:color="auto" w:fill="72C7E7"/>
          </w:tcPr>
          <w:p w:rsidR="00C06DA1" w:rsidRPr="00D95ED2" w:rsidRDefault="00C06DA1" w:rsidP="00120C11">
            <w:pPr>
              <w:autoSpaceDE w:val="0"/>
              <w:autoSpaceDN w:val="0"/>
              <w:adjustRightInd w:val="0"/>
              <w:spacing w:before="0" w:after="0"/>
              <w:jc w:val="center"/>
              <w:rPr>
                <w:rFonts w:cs="Arial"/>
                <w:b/>
                <w:color w:val="FFFFFF"/>
                <w:lang w:val="cs-CZ" w:bidi="my-MM"/>
              </w:rPr>
            </w:pPr>
            <w:r w:rsidRPr="00D95ED2">
              <w:rPr>
                <w:rFonts w:cs="Arial"/>
                <w:b/>
                <w:color w:val="FFFFFF"/>
                <w:lang w:val="cs-CZ" w:bidi="my-MM"/>
              </w:rPr>
              <w:t>2012</w:t>
            </w:r>
          </w:p>
        </w:tc>
        <w:tc>
          <w:tcPr>
            <w:tcW w:w="567" w:type="dxa"/>
            <w:shd w:val="clear" w:color="auto" w:fill="72C7E7"/>
          </w:tcPr>
          <w:p w:rsidR="00C06DA1" w:rsidRPr="00D95ED2" w:rsidRDefault="00C06DA1" w:rsidP="00120C11">
            <w:pPr>
              <w:autoSpaceDE w:val="0"/>
              <w:autoSpaceDN w:val="0"/>
              <w:adjustRightInd w:val="0"/>
              <w:spacing w:before="0" w:after="0"/>
              <w:jc w:val="center"/>
              <w:rPr>
                <w:rFonts w:cs="Arial"/>
                <w:b/>
                <w:color w:val="FFFFFF"/>
                <w:lang w:val="cs-CZ" w:bidi="my-MM"/>
              </w:rPr>
            </w:pPr>
            <w:r w:rsidRPr="00D95ED2">
              <w:rPr>
                <w:rFonts w:cs="Arial"/>
                <w:b/>
                <w:color w:val="FFFFFF"/>
                <w:lang w:val="cs-CZ" w:bidi="my-MM"/>
              </w:rPr>
              <w:t>2013</w:t>
            </w:r>
          </w:p>
        </w:tc>
        <w:tc>
          <w:tcPr>
            <w:tcW w:w="567" w:type="dxa"/>
            <w:shd w:val="clear" w:color="auto" w:fill="72C7E7"/>
          </w:tcPr>
          <w:p w:rsidR="00C06DA1" w:rsidRPr="00D95ED2" w:rsidRDefault="00C06DA1" w:rsidP="00120C11">
            <w:pPr>
              <w:autoSpaceDE w:val="0"/>
              <w:autoSpaceDN w:val="0"/>
              <w:adjustRightInd w:val="0"/>
              <w:spacing w:before="0" w:after="0"/>
              <w:jc w:val="center"/>
              <w:rPr>
                <w:rFonts w:cs="Arial"/>
                <w:b/>
                <w:color w:val="FFFFFF"/>
                <w:lang w:val="cs-CZ" w:bidi="my-MM"/>
              </w:rPr>
            </w:pPr>
            <w:r w:rsidRPr="00D95ED2">
              <w:rPr>
                <w:rFonts w:cs="Arial"/>
                <w:b/>
                <w:color w:val="FFFFFF"/>
                <w:lang w:val="cs-CZ" w:bidi="my-MM"/>
              </w:rPr>
              <w:t>2014</w:t>
            </w:r>
          </w:p>
        </w:tc>
        <w:tc>
          <w:tcPr>
            <w:tcW w:w="567" w:type="dxa"/>
            <w:shd w:val="clear" w:color="auto" w:fill="72C7E7"/>
          </w:tcPr>
          <w:p w:rsidR="00C06DA1" w:rsidRPr="00D95ED2" w:rsidRDefault="00C06DA1" w:rsidP="00120C11">
            <w:pPr>
              <w:autoSpaceDE w:val="0"/>
              <w:autoSpaceDN w:val="0"/>
              <w:adjustRightInd w:val="0"/>
              <w:spacing w:before="0" w:after="0"/>
              <w:jc w:val="center"/>
              <w:rPr>
                <w:rFonts w:cs="Arial"/>
                <w:b/>
                <w:color w:val="FFFFFF"/>
                <w:lang w:val="cs-CZ" w:bidi="my-MM"/>
              </w:rPr>
            </w:pPr>
            <w:r w:rsidRPr="00D95ED2">
              <w:rPr>
                <w:rFonts w:cs="Arial"/>
                <w:b/>
                <w:color w:val="FFFFFF"/>
                <w:lang w:val="cs-CZ" w:bidi="my-MM"/>
              </w:rPr>
              <w:t>2015</w:t>
            </w:r>
          </w:p>
        </w:tc>
        <w:tc>
          <w:tcPr>
            <w:tcW w:w="567" w:type="dxa"/>
            <w:shd w:val="clear" w:color="auto" w:fill="72C7E7"/>
          </w:tcPr>
          <w:p w:rsidR="00C06DA1" w:rsidRPr="00D95ED2" w:rsidRDefault="00C06DA1" w:rsidP="00120C11">
            <w:pPr>
              <w:autoSpaceDE w:val="0"/>
              <w:autoSpaceDN w:val="0"/>
              <w:adjustRightInd w:val="0"/>
              <w:spacing w:before="0" w:after="0"/>
              <w:jc w:val="center"/>
              <w:rPr>
                <w:rFonts w:cs="Arial"/>
                <w:b/>
                <w:color w:val="FFFFFF"/>
                <w:lang w:val="cs-CZ" w:bidi="my-MM"/>
              </w:rPr>
            </w:pPr>
            <w:r w:rsidRPr="00D95ED2">
              <w:rPr>
                <w:rFonts w:cs="Arial"/>
                <w:b/>
                <w:color w:val="FFFFFF"/>
                <w:lang w:val="cs-CZ" w:bidi="my-MM"/>
              </w:rPr>
              <w:t>2016</w:t>
            </w:r>
          </w:p>
        </w:tc>
        <w:tc>
          <w:tcPr>
            <w:tcW w:w="567" w:type="dxa"/>
            <w:shd w:val="clear" w:color="auto" w:fill="72C7E7"/>
          </w:tcPr>
          <w:p w:rsidR="00C06DA1" w:rsidRPr="00D95ED2" w:rsidRDefault="00C06DA1" w:rsidP="00120C11">
            <w:pPr>
              <w:autoSpaceDE w:val="0"/>
              <w:autoSpaceDN w:val="0"/>
              <w:adjustRightInd w:val="0"/>
              <w:spacing w:before="0" w:after="0"/>
              <w:jc w:val="center"/>
              <w:rPr>
                <w:rFonts w:cs="Arial"/>
                <w:b/>
                <w:color w:val="FFFFFF"/>
                <w:lang w:val="cs-CZ" w:bidi="my-MM"/>
              </w:rPr>
            </w:pPr>
            <w:r w:rsidRPr="00D95ED2">
              <w:rPr>
                <w:rFonts w:cs="Arial"/>
                <w:b/>
                <w:color w:val="FFFFFF"/>
                <w:lang w:val="cs-CZ" w:bidi="my-MM"/>
              </w:rPr>
              <w:t>2017</w:t>
            </w:r>
          </w:p>
        </w:tc>
      </w:tr>
      <w:tr w:rsidR="00C06DA1" w:rsidRPr="00D95ED2">
        <w:tc>
          <w:tcPr>
            <w:tcW w:w="1871" w:type="dxa"/>
            <w:shd w:val="clear" w:color="auto" w:fill="C6D9F1"/>
          </w:tcPr>
          <w:p w:rsidR="00C06DA1" w:rsidRPr="00D95ED2" w:rsidRDefault="00C06DA1" w:rsidP="00120C11">
            <w:pPr>
              <w:autoSpaceDE w:val="0"/>
              <w:autoSpaceDN w:val="0"/>
              <w:adjustRightInd w:val="0"/>
              <w:spacing w:before="0" w:after="0"/>
              <w:rPr>
                <w:rFonts w:cs="Arial"/>
                <w:lang w:val="cs-CZ" w:bidi="my-MM"/>
              </w:rPr>
            </w:pPr>
            <w:r w:rsidRPr="00D95ED2">
              <w:rPr>
                <w:rFonts w:cs="Arial"/>
                <w:lang w:val="cs-CZ" w:bidi="my-MM"/>
              </w:rPr>
              <w:t>Maximální vážené průměrné mýtné pro dálnice a rychlostní silnice</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6,24</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7,48</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5,88</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5,57</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5,74</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5,95</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6,05</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6,16</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6,27</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6,20</w:t>
            </w:r>
          </w:p>
        </w:tc>
      </w:tr>
      <w:tr w:rsidR="00C06DA1" w:rsidRPr="00D95ED2">
        <w:tc>
          <w:tcPr>
            <w:tcW w:w="1871" w:type="dxa"/>
            <w:shd w:val="clear" w:color="auto" w:fill="FBD4B4"/>
          </w:tcPr>
          <w:p w:rsidR="00C06DA1" w:rsidRPr="00D95ED2" w:rsidRDefault="00C06DA1" w:rsidP="00120C11">
            <w:pPr>
              <w:autoSpaceDE w:val="0"/>
              <w:autoSpaceDN w:val="0"/>
              <w:adjustRightInd w:val="0"/>
              <w:spacing w:before="0" w:after="0"/>
              <w:ind w:right="114"/>
              <w:rPr>
                <w:rFonts w:cs="Arial"/>
                <w:lang w:val="cs-CZ" w:bidi="my-MM"/>
              </w:rPr>
            </w:pPr>
            <w:r w:rsidRPr="00D95ED2">
              <w:rPr>
                <w:rFonts w:cs="Arial"/>
                <w:lang w:val="cs-CZ" w:bidi="my-MM"/>
              </w:rPr>
              <w:t>Vážené průměrné mýtné pro dálnice a rychlostní silnice</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4,08</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4,01</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3,64</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4,21</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5,01</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5,11</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5,21</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5,32</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5,42</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5,53</w:t>
            </w:r>
          </w:p>
        </w:tc>
      </w:tr>
      <w:tr w:rsidR="00C06DA1" w:rsidRPr="00D95ED2">
        <w:tc>
          <w:tcPr>
            <w:tcW w:w="1871" w:type="dxa"/>
            <w:shd w:val="clear" w:color="auto" w:fill="C6D9F1"/>
          </w:tcPr>
          <w:p w:rsidR="00C06DA1" w:rsidRPr="00D95ED2" w:rsidRDefault="00C06DA1" w:rsidP="00120C11">
            <w:pPr>
              <w:autoSpaceDE w:val="0"/>
              <w:autoSpaceDN w:val="0"/>
              <w:adjustRightInd w:val="0"/>
              <w:spacing w:before="0" w:after="0"/>
              <w:ind w:right="114"/>
              <w:rPr>
                <w:rFonts w:cs="Arial"/>
                <w:lang w:val="cs-CZ" w:bidi="my-MM"/>
              </w:rPr>
            </w:pPr>
            <w:r w:rsidRPr="00D95ED2">
              <w:rPr>
                <w:rFonts w:cs="Arial"/>
                <w:lang w:val="cs-CZ" w:bidi="my-MM"/>
              </w:rPr>
              <w:t>Maximální vážené průměrné mýtné pro silnice I. třídy</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3,46</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4,65</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3,86</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3,84</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3,93</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4,08</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4,15</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4,22</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4,29</w:t>
            </w:r>
          </w:p>
        </w:tc>
        <w:tc>
          <w:tcPr>
            <w:tcW w:w="567" w:type="dxa"/>
            <w:shd w:val="clear" w:color="auto" w:fill="C6D9F1"/>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4,36</w:t>
            </w:r>
          </w:p>
        </w:tc>
      </w:tr>
      <w:tr w:rsidR="00C06DA1" w:rsidRPr="00D95ED2">
        <w:tc>
          <w:tcPr>
            <w:tcW w:w="1871" w:type="dxa"/>
            <w:shd w:val="clear" w:color="auto" w:fill="FBD4B4"/>
          </w:tcPr>
          <w:p w:rsidR="00C06DA1" w:rsidRPr="00D95ED2" w:rsidRDefault="00C06DA1" w:rsidP="00120C11">
            <w:pPr>
              <w:autoSpaceDE w:val="0"/>
              <w:autoSpaceDN w:val="0"/>
              <w:adjustRightInd w:val="0"/>
              <w:spacing w:before="0" w:after="0"/>
              <w:ind w:right="114"/>
              <w:rPr>
                <w:rFonts w:cs="Arial"/>
                <w:lang w:val="cs-CZ" w:bidi="my-MM"/>
              </w:rPr>
            </w:pPr>
            <w:r w:rsidRPr="00D95ED2">
              <w:rPr>
                <w:rFonts w:cs="Arial"/>
                <w:lang w:val="cs-CZ" w:bidi="my-MM"/>
              </w:rPr>
              <w:t>Vážené průměrné mýtné pro silnice I. třídy</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2,04</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2,04</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1,85</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2,12</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2,52</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2,57</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2,63</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2,68</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2,73</w:t>
            </w:r>
          </w:p>
        </w:tc>
        <w:tc>
          <w:tcPr>
            <w:tcW w:w="567" w:type="dxa"/>
            <w:shd w:val="clear" w:color="auto" w:fill="FBD4B4"/>
          </w:tcPr>
          <w:p w:rsidR="00C06DA1" w:rsidRPr="00D95ED2" w:rsidRDefault="00C06DA1" w:rsidP="00120C11">
            <w:pPr>
              <w:autoSpaceDE w:val="0"/>
              <w:autoSpaceDN w:val="0"/>
              <w:adjustRightInd w:val="0"/>
              <w:spacing w:before="0" w:after="0"/>
              <w:jc w:val="center"/>
              <w:rPr>
                <w:rFonts w:cs="Arial"/>
                <w:lang w:val="cs-CZ" w:bidi="my-MM"/>
              </w:rPr>
            </w:pPr>
            <w:r w:rsidRPr="00D95ED2">
              <w:rPr>
                <w:rFonts w:cs="Arial"/>
                <w:lang w:val="cs-CZ" w:bidi="my-MM"/>
              </w:rPr>
              <w:t>2,79</w:t>
            </w:r>
          </w:p>
        </w:tc>
      </w:tr>
    </w:tbl>
    <w:p w:rsidR="00C06DA1" w:rsidRPr="00DD2F1B" w:rsidRDefault="00C06DA1" w:rsidP="004F346F">
      <w:pPr>
        <w:jc w:val="center"/>
        <w:rPr>
          <w:sz w:val="16"/>
          <w:szCs w:val="16"/>
          <w:lang w:val="cs-CZ"/>
        </w:rPr>
      </w:pPr>
      <w:r w:rsidRPr="00DD2F1B">
        <w:rPr>
          <w:sz w:val="16"/>
          <w:szCs w:val="16"/>
          <w:lang w:val="cs-CZ"/>
        </w:rPr>
        <w:t>Tabulka č. 3 – Notifikované maximální vážené průměrné mýtné</w:t>
      </w:r>
    </w:p>
    <w:p w:rsidR="00C06DA1" w:rsidRPr="00DD2F1B" w:rsidRDefault="00C06DA1" w:rsidP="006B59DF">
      <w:pPr>
        <w:autoSpaceDE w:val="0"/>
        <w:autoSpaceDN w:val="0"/>
        <w:adjustRightInd w:val="0"/>
        <w:jc w:val="both"/>
        <w:rPr>
          <w:rFonts w:cs="Arial"/>
          <w:sz w:val="22"/>
          <w:szCs w:val="22"/>
          <w:lang w:val="cs-CZ" w:bidi="my-MM"/>
        </w:rPr>
      </w:pPr>
      <w:r w:rsidRPr="00DD2F1B">
        <w:rPr>
          <w:rFonts w:cs="Arial"/>
          <w:sz w:val="22"/>
          <w:szCs w:val="22"/>
          <w:lang w:val="cs-CZ" w:bidi="my-MM"/>
        </w:rPr>
        <w:t>Pro analýzy bylo p</w:t>
      </w:r>
      <w:r w:rsidRPr="00DD2F1B">
        <w:rPr>
          <w:rFonts w:cs="Arial,BoldItalic"/>
          <w:sz w:val="22"/>
          <w:szCs w:val="22"/>
          <w:lang w:val="cs-CZ" w:bidi="my-MM"/>
        </w:rPr>
        <w:t>ř</w:t>
      </w:r>
      <w:r w:rsidRPr="00DD2F1B">
        <w:rPr>
          <w:rFonts w:cs="Arial"/>
          <w:sz w:val="22"/>
          <w:szCs w:val="22"/>
          <w:lang w:val="cs-CZ" w:bidi="my-MM"/>
        </w:rPr>
        <w:t>edpokládáno ve shod</w:t>
      </w:r>
      <w:r w:rsidRPr="00DD2F1B">
        <w:rPr>
          <w:rFonts w:cs="Arial,BoldItalic"/>
          <w:sz w:val="22"/>
          <w:szCs w:val="22"/>
          <w:lang w:val="cs-CZ" w:bidi="my-MM"/>
        </w:rPr>
        <w:t xml:space="preserve">ě </w:t>
      </w:r>
      <w:r w:rsidRPr="00DD2F1B">
        <w:rPr>
          <w:rFonts w:cs="Arial"/>
          <w:sz w:val="22"/>
          <w:szCs w:val="22"/>
          <w:lang w:val="cs-CZ" w:bidi="my-MM"/>
        </w:rPr>
        <w:t xml:space="preserve">s notifikací a </w:t>
      </w:r>
      <w:r w:rsidRPr="00DD2F1B">
        <w:rPr>
          <w:rFonts w:cs="Arial,BoldItalic"/>
          <w:sz w:val="22"/>
          <w:szCs w:val="22"/>
          <w:lang w:val="cs-CZ" w:bidi="my-MM"/>
        </w:rPr>
        <w:t>č</w:t>
      </w:r>
      <w:r w:rsidRPr="00DD2F1B">
        <w:rPr>
          <w:rFonts w:cs="Arial"/>
          <w:sz w:val="22"/>
          <w:szCs w:val="22"/>
          <w:lang w:val="cs-CZ" w:bidi="my-MM"/>
        </w:rPr>
        <w:t>áste</w:t>
      </w:r>
      <w:r w:rsidRPr="00DD2F1B">
        <w:rPr>
          <w:rFonts w:cs="Arial,BoldItalic"/>
          <w:sz w:val="22"/>
          <w:szCs w:val="22"/>
          <w:lang w:val="cs-CZ" w:bidi="my-MM"/>
        </w:rPr>
        <w:t>č</w:t>
      </w:r>
      <w:r w:rsidRPr="00DD2F1B">
        <w:rPr>
          <w:rFonts w:cs="Arial"/>
          <w:sz w:val="22"/>
          <w:szCs w:val="22"/>
          <w:lang w:val="cs-CZ" w:bidi="my-MM"/>
        </w:rPr>
        <w:t>nou kompenzací inflace zvyšování mýtných sazeb o 2 % každé dva roky.</w:t>
      </w:r>
    </w:p>
    <w:p w:rsidR="00C06DA1" w:rsidRPr="00DD2F1B" w:rsidRDefault="00C06DA1" w:rsidP="00651EC2">
      <w:pPr>
        <w:pStyle w:val="Nadpis3"/>
        <w:rPr>
          <w:lang w:val="cs-CZ" w:bidi="my-MM"/>
        </w:rPr>
      </w:pPr>
      <w:bookmarkStart w:id="30" w:name="_Toc368063534"/>
      <w:bookmarkStart w:id="31" w:name="_Toc370398425"/>
      <w:r w:rsidRPr="00DD2F1B">
        <w:rPr>
          <w:lang w:val="cs-CZ" w:bidi="my-MM"/>
        </w:rPr>
        <w:t>Odhad dopad</w:t>
      </w:r>
      <w:r w:rsidRPr="00DD2F1B">
        <w:rPr>
          <w:rFonts w:cs="TimesNewRoman,Bold"/>
          <w:lang w:val="cs-CZ" w:bidi="my-MM"/>
        </w:rPr>
        <w:t xml:space="preserve">ů </w:t>
      </w:r>
      <w:r w:rsidRPr="00DD2F1B">
        <w:rPr>
          <w:lang w:val="cs-CZ" w:bidi="my-MM"/>
        </w:rPr>
        <w:t>zm</w:t>
      </w:r>
      <w:r w:rsidRPr="00DD2F1B">
        <w:rPr>
          <w:rFonts w:cs="TimesNewRoman,Bold"/>
          <w:lang w:val="cs-CZ" w:bidi="my-MM"/>
        </w:rPr>
        <w:t>ě</w:t>
      </w:r>
      <w:r w:rsidRPr="00DD2F1B">
        <w:rPr>
          <w:lang w:val="cs-CZ" w:bidi="my-MM"/>
        </w:rPr>
        <w:t>n mýtných sazeb a slev na výb</w:t>
      </w:r>
      <w:r w:rsidRPr="00DD2F1B">
        <w:rPr>
          <w:rFonts w:cs="TimesNewRoman,Bold"/>
          <w:lang w:val="cs-CZ" w:bidi="my-MM"/>
        </w:rPr>
        <w:t>ě</w:t>
      </w:r>
      <w:r w:rsidRPr="00DD2F1B">
        <w:rPr>
          <w:lang w:val="cs-CZ" w:bidi="my-MM"/>
        </w:rPr>
        <w:t>r mýtného v roce 2012</w:t>
      </w:r>
      <w:bookmarkEnd w:id="30"/>
      <w:bookmarkEnd w:id="31"/>
    </w:p>
    <w:p w:rsidR="00C06DA1" w:rsidRPr="00DD2F1B" w:rsidRDefault="00C06DA1" w:rsidP="006B59DF">
      <w:pPr>
        <w:jc w:val="both"/>
        <w:rPr>
          <w:sz w:val="22"/>
          <w:szCs w:val="22"/>
          <w:lang w:val="cs-CZ" w:bidi="my-MM"/>
        </w:rPr>
      </w:pPr>
      <w:r w:rsidRPr="00DD2F1B">
        <w:rPr>
          <w:sz w:val="22"/>
          <w:szCs w:val="22"/>
          <w:lang w:val="cs-CZ" w:bidi="my-MM"/>
        </w:rPr>
        <w:t>Jak již bylo uvedeno výše, tak především změny dopravních výkonů v závislosti na emisních třídách způsobily značný propad předepsaného mýta v roce 2012. V následující tabulce tak jsou uvedeny dopady na předepsané mýtné z důvodu změny dopravních výkonů v závislosti na emisních třídách, dále z důvodu snížení mýtných sazeb pro autobusy a z důvodu zavedení slev z mýta.</w:t>
      </w:r>
    </w:p>
    <w:tbl>
      <w:tblPr>
        <w:tblW w:w="0" w:type="auto"/>
        <w:tblBorders>
          <w:bottom w:val="single" w:sz="4" w:space="0" w:color="72C7E7"/>
          <w:insideH w:val="single" w:sz="4" w:space="0" w:color="72C7E7"/>
        </w:tblBorders>
        <w:tblCellMar>
          <w:top w:w="28" w:type="dxa"/>
          <w:left w:w="28" w:type="dxa"/>
          <w:bottom w:w="28" w:type="dxa"/>
          <w:right w:w="28" w:type="dxa"/>
        </w:tblCellMar>
        <w:tblLook w:val="00A0"/>
      </w:tblPr>
      <w:tblGrid>
        <w:gridCol w:w="3430"/>
        <w:gridCol w:w="1418"/>
        <w:gridCol w:w="1418"/>
        <w:gridCol w:w="1418"/>
        <w:gridCol w:w="1418"/>
      </w:tblGrid>
      <w:tr w:rsidR="00C06DA1" w:rsidRPr="00B14A1B">
        <w:tc>
          <w:tcPr>
            <w:tcW w:w="3430" w:type="dxa"/>
            <w:shd w:val="clear" w:color="auto" w:fill="72C7E7"/>
          </w:tcPr>
          <w:p w:rsidR="00C06DA1" w:rsidRPr="00D95ED2" w:rsidRDefault="00C06DA1" w:rsidP="00120C11">
            <w:pPr>
              <w:spacing w:before="0" w:after="0"/>
              <w:rPr>
                <w:b/>
                <w:color w:val="FFFFFF"/>
                <w:lang w:val="cs-CZ" w:bidi="my-MM"/>
              </w:rPr>
            </w:pPr>
            <w:r w:rsidRPr="00D95ED2">
              <w:rPr>
                <w:b/>
                <w:bCs/>
                <w:color w:val="FFFFFF"/>
                <w:lang w:val="cs-CZ" w:bidi="my-MM"/>
              </w:rPr>
              <w:t>Shrnutí dopadů změn mýtných sazeb a slev na příjmy z mýtného v roce 2012 [mil. Kč]</w:t>
            </w:r>
          </w:p>
        </w:tc>
        <w:tc>
          <w:tcPr>
            <w:tcW w:w="1418" w:type="dxa"/>
            <w:shd w:val="clear" w:color="auto" w:fill="72C7E7"/>
          </w:tcPr>
          <w:p w:rsidR="00C06DA1" w:rsidRPr="00D95ED2" w:rsidRDefault="00C06DA1" w:rsidP="00120C11">
            <w:pPr>
              <w:spacing w:before="0" w:after="0"/>
              <w:jc w:val="center"/>
              <w:rPr>
                <w:b/>
                <w:color w:val="FFFFFF"/>
                <w:lang w:val="cs-CZ" w:bidi="my-MM"/>
              </w:rPr>
            </w:pPr>
            <w:r w:rsidRPr="00D95ED2">
              <w:rPr>
                <w:b/>
                <w:color w:val="FFFFFF"/>
                <w:lang w:val="cs-CZ" w:bidi="my-MM"/>
              </w:rPr>
              <w:t>S vlivem změn</w:t>
            </w:r>
          </w:p>
        </w:tc>
        <w:tc>
          <w:tcPr>
            <w:tcW w:w="1418" w:type="dxa"/>
            <w:shd w:val="clear" w:color="auto" w:fill="72C7E7"/>
          </w:tcPr>
          <w:p w:rsidR="00C06DA1" w:rsidRPr="00D95ED2" w:rsidRDefault="00C06DA1" w:rsidP="00120C11">
            <w:pPr>
              <w:spacing w:before="0" w:after="0"/>
              <w:jc w:val="center"/>
              <w:rPr>
                <w:b/>
                <w:color w:val="FFFFFF"/>
                <w:lang w:val="cs-CZ" w:bidi="my-MM"/>
              </w:rPr>
            </w:pPr>
            <w:r w:rsidRPr="00D95ED2">
              <w:rPr>
                <w:b/>
                <w:color w:val="FFFFFF"/>
                <w:lang w:val="cs-CZ" w:bidi="my-MM"/>
              </w:rPr>
              <w:t>Bez vlivu změn</w:t>
            </w:r>
          </w:p>
        </w:tc>
        <w:tc>
          <w:tcPr>
            <w:tcW w:w="1418" w:type="dxa"/>
            <w:shd w:val="clear" w:color="auto" w:fill="72C7E7"/>
          </w:tcPr>
          <w:p w:rsidR="00C06DA1" w:rsidRPr="00D95ED2" w:rsidRDefault="00C06DA1" w:rsidP="00120C11">
            <w:pPr>
              <w:spacing w:before="0" w:after="0"/>
              <w:jc w:val="center"/>
              <w:rPr>
                <w:b/>
                <w:color w:val="FFFFFF"/>
                <w:lang w:val="cs-CZ" w:bidi="my-MM"/>
              </w:rPr>
            </w:pPr>
            <w:r w:rsidRPr="00D95ED2">
              <w:rPr>
                <w:b/>
                <w:color w:val="FFFFFF"/>
                <w:lang w:val="cs-CZ" w:bidi="my-MM"/>
              </w:rPr>
              <w:t>Dopad</w:t>
            </w:r>
          </w:p>
        </w:tc>
        <w:tc>
          <w:tcPr>
            <w:tcW w:w="1418" w:type="dxa"/>
            <w:shd w:val="clear" w:color="auto" w:fill="72C7E7"/>
          </w:tcPr>
          <w:p w:rsidR="00C06DA1" w:rsidRPr="00D95ED2" w:rsidRDefault="00C06DA1" w:rsidP="00120C11">
            <w:pPr>
              <w:spacing w:before="0" w:after="0"/>
              <w:jc w:val="center"/>
              <w:rPr>
                <w:b/>
                <w:color w:val="FFFFFF"/>
                <w:lang w:val="cs-CZ" w:bidi="my-MM"/>
              </w:rPr>
            </w:pPr>
            <w:r w:rsidRPr="00D95ED2">
              <w:rPr>
                <w:b/>
                <w:color w:val="FFFFFF"/>
                <w:lang w:val="cs-CZ" w:bidi="my-MM"/>
              </w:rPr>
              <w:t>Procentní změna vůči stavu beze změn</w:t>
            </w:r>
          </w:p>
        </w:tc>
      </w:tr>
      <w:tr w:rsidR="00C06DA1" w:rsidRPr="00D95ED2">
        <w:tc>
          <w:tcPr>
            <w:tcW w:w="3430" w:type="dxa"/>
            <w:shd w:val="clear" w:color="auto" w:fill="FFFFFF"/>
          </w:tcPr>
          <w:p w:rsidR="00C06DA1" w:rsidRPr="00D95ED2" w:rsidRDefault="00C06DA1" w:rsidP="00120C11">
            <w:pPr>
              <w:spacing w:before="0" w:after="0"/>
              <w:rPr>
                <w:lang w:val="cs-CZ" w:bidi="my-MM"/>
              </w:rPr>
            </w:pPr>
            <w:r w:rsidRPr="00D95ED2">
              <w:rPr>
                <w:lang w:val="cs-CZ" w:bidi="my-MM"/>
              </w:rPr>
              <w:t>Vliv nezvýšení mýtných sazeb vozidla v emisní kategorii Euro V a vyšší</w:t>
            </w:r>
          </w:p>
        </w:tc>
        <w:tc>
          <w:tcPr>
            <w:tcW w:w="1418" w:type="dxa"/>
            <w:shd w:val="clear" w:color="auto" w:fill="FFFFFF"/>
          </w:tcPr>
          <w:p w:rsidR="00C06DA1" w:rsidRPr="00D95ED2" w:rsidRDefault="00C06DA1" w:rsidP="00120C11">
            <w:pPr>
              <w:spacing w:before="0" w:after="0"/>
              <w:jc w:val="center"/>
              <w:rPr>
                <w:lang w:val="cs-CZ" w:bidi="my-MM"/>
              </w:rPr>
            </w:pPr>
            <w:r w:rsidRPr="00D95ED2">
              <w:rPr>
                <w:lang w:val="cs-CZ" w:bidi="my-MM"/>
              </w:rPr>
              <w:t>8 565</w:t>
            </w:r>
          </w:p>
        </w:tc>
        <w:tc>
          <w:tcPr>
            <w:tcW w:w="1418" w:type="dxa"/>
            <w:shd w:val="clear" w:color="auto" w:fill="FFFFFF"/>
          </w:tcPr>
          <w:p w:rsidR="00C06DA1" w:rsidRPr="00D95ED2" w:rsidRDefault="00C06DA1" w:rsidP="00120C11">
            <w:pPr>
              <w:spacing w:before="0" w:after="0"/>
              <w:jc w:val="center"/>
              <w:rPr>
                <w:lang w:val="cs-CZ" w:bidi="my-MM"/>
              </w:rPr>
            </w:pPr>
            <w:r w:rsidRPr="00D95ED2">
              <w:rPr>
                <w:lang w:val="cs-CZ" w:bidi="my-MM"/>
              </w:rPr>
              <w:t>9 403</w:t>
            </w:r>
          </w:p>
        </w:tc>
        <w:tc>
          <w:tcPr>
            <w:tcW w:w="1418" w:type="dxa"/>
            <w:shd w:val="clear" w:color="auto" w:fill="FFFFFF"/>
          </w:tcPr>
          <w:p w:rsidR="00C06DA1" w:rsidRPr="00D95ED2" w:rsidRDefault="00C06DA1" w:rsidP="00120C11">
            <w:pPr>
              <w:spacing w:before="0" w:after="0"/>
              <w:jc w:val="center"/>
              <w:rPr>
                <w:lang w:val="cs-CZ" w:bidi="my-MM"/>
              </w:rPr>
            </w:pPr>
            <w:r w:rsidRPr="00D95ED2">
              <w:rPr>
                <w:lang w:val="cs-CZ" w:bidi="my-MM"/>
              </w:rPr>
              <w:t>-838</w:t>
            </w:r>
          </w:p>
        </w:tc>
        <w:tc>
          <w:tcPr>
            <w:tcW w:w="1418" w:type="dxa"/>
            <w:shd w:val="clear" w:color="auto" w:fill="FFFFFF"/>
          </w:tcPr>
          <w:p w:rsidR="00C06DA1" w:rsidRPr="00D95ED2" w:rsidRDefault="00C06DA1" w:rsidP="00120C11">
            <w:pPr>
              <w:spacing w:before="0" w:after="0"/>
              <w:jc w:val="center"/>
              <w:rPr>
                <w:lang w:val="cs-CZ" w:bidi="my-MM"/>
              </w:rPr>
            </w:pPr>
            <w:r w:rsidRPr="00D95ED2">
              <w:rPr>
                <w:lang w:val="cs-CZ" w:bidi="my-MM"/>
              </w:rPr>
              <w:t>-9</w:t>
            </w:r>
            <w:r w:rsidR="004E1496">
              <w:rPr>
                <w:lang w:val="cs-CZ" w:bidi="my-MM"/>
              </w:rPr>
              <w:t xml:space="preserve"> </w:t>
            </w:r>
            <w:r w:rsidRPr="00D95ED2">
              <w:rPr>
                <w:lang w:val="cs-CZ" w:bidi="my-MM"/>
              </w:rPr>
              <w:t>%</w:t>
            </w:r>
          </w:p>
        </w:tc>
      </w:tr>
      <w:tr w:rsidR="00C06DA1" w:rsidRPr="00D95ED2">
        <w:tc>
          <w:tcPr>
            <w:tcW w:w="3430" w:type="dxa"/>
            <w:shd w:val="clear" w:color="auto" w:fill="FFFFFF"/>
          </w:tcPr>
          <w:p w:rsidR="00C06DA1" w:rsidRPr="00D95ED2" w:rsidRDefault="00C06DA1" w:rsidP="00120C11">
            <w:pPr>
              <w:spacing w:before="0" w:after="0"/>
              <w:rPr>
                <w:lang w:val="cs-CZ" w:bidi="my-MM"/>
              </w:rPr>
            </w:pPr>
            <w:r w:rsidRPr="00D95ED2">
              <w:rPr>
                <w:lang w:val="cs-CZ" w:bidi="my-MM"/>
              </w:rPr>
              <w:t>Vliv snížení mýtných sazeb pro autobusy</w:t>
            </w:r>
          </w:p>
        </w:tc>
        <w:tc>
          <w:tcPr>
            <w:tcW w:w="1418" w:type="dxa"/>
            <w:shd w:val="clear" w:color="auto" w:fill="FFFFFF"/>
          </w:tcPr>
          <w:p w:rsidR="00C06DA1" w:rsidRPr="00D95ED2" w:rsidRDefault="00C06DA1" w:rsidP="00120C11">
            <w:pPr>
              <w:spacing w:before="0" w:after="0"/>
              <w:jc w:val="center"/>
              <w:rPr>
                <w:lang w:val="cs-CZ" w:bidi="my-MM"/>
              </w:rPr>
            </w:pPr>
            <w:r w:rsidRPr="00D95ED2">
              <w:rPr>
                <w:lang w:val="cs-CZ" w:bidi="my-MM"/>
              </w:rPr>
              <w:t>53</w:t>
            </w:r>
          </w:p>
        </w:tc>
        <w:tc>
          <w:tcPr>
            <w:tcW w:w="1418" w:type="dxa"/>
            <w:shd w:val="clear" w:color="auto" w:fill="FFFFFF"/>
          </w:tcPr>
          <w:p w:rsidR="00C06DA1" w:rsidRPr="00D95ED2" w:rsidRDefault="00C06DA1" w:rsidP="00120C11">
            <w:pPr>
              <w:spacing w:before="0" w:after="0"/>
              <w:jc w:val="center"/>
              <w:rPr>
                <w:lang w:val="cs-CZ" w:bidi="my-MM"/>
              </w:rPr>
            </w:pPr>
            <w:r w:rsidRPr="00D95ED2">
              <w:rPr>
                <w:lang w:val="cs-CZ" w:bidi="my-MM"/>
              </w:rPr>
              <w:t>273</w:t>
            </w:r>
          </w:p>
        </w:tc>
        <w:tc>
          <w:tcPr>
            <w:tcW w:w="1418" w:type="dxa"/>
            <w:shd w:val="clear" w:color="auto" w:fill="FFFFFF"/>
          </w:tcPr>
          <w:p w:rsidR="00C06DA1" w:rsidRPr="00D95ED2" w:rsidRDefault="00C06DA1" w:rsidP="00120C11">
            <w:pPr>
              <w:spacing w:before="0" w:after="0"/>
              <w:jc w:val="center"/>
              <w:rPr>
                <w:lang w:val="cs-CZ" w:bidi="my-MM"/>
              </w:rPr>
            </w:pPr>
            <w:r w:rsidRPr="00D95ED2">
              <w:rPr>
                <w:lang w:val="cs-CZ" w:bidi="my-MM"/>
              </w:rPr>
              <w:t>-220</w:t>
            </w:r>
          </w:p>
        </w:tc>
        <w:tc>
          <w:tcPr>
            <w:tcW w:w="1418" w:type="dxa"/>
            <w:shd w:val="clear" w:color="auto" w:fill="FFFFFF"/>
          </w:tcPr>
          <w:p w:rsidR="00C06DA1" w:rsidRPr="00D95ED2" w:rsidRDefault="00C06DA1" w:rsidP="00120C11">
            <w:pPr>
              <w:spacing w:before="0" w:after="0"/>
              <w:jc w:val="center"/>
              <w:rPr>
                <w:lang w:val="cs-CZ" w:bidi="my-MM"/>
              </w:rPr>
            </w:pPr>
          </w:p>
        </w:tc>
      </w:tr>
      <w:tr w:rsidR="00C06DA1" w:rsidRPr="00D95ED2">
        <w:tc>
          <w:tcPr>
            <w:tcW w:w="3430" w:type="dxa"/>
            <w:shd w:val="clear" w:color="auto" w:fill="FFFFFF"/>
          </w:tcPr>
          <w:p w:rsidR="00C06DA1" w:rsidRPr="00D95ED2" w:rsidRDefault="00C06DA1" w:rsidP="00120C11">
            <w:pPr>
              <w:spacing w:before="0" w:after="0"/>
              <w:rPr>
                <w:lang w:val="cs-CZ" w:bidi="my-MM"/>
              </w:rPr>
            </w:pPr>
            <w:r w:rsidRPr="00D95ED2">
              <w:rPr>
                <w:lang w:val="cs-CZ" w:bidi="my-MM"/>
              </w:rPr>
              <w:t>Dopad tarifních změn</w:t>
            </w:r>
          </w:p>
        </w:tc>
        <w:tc>
          <w:tcPr>
            <w:tcW w:w="1418" w:type="dxa"/>
            <w:shd w:val="clear" w:color="auto" w:fill="FFFFFF"/>
          </w:tcPr>
          <w:p w:rsidR="00C06DA1" w:rsidRPr="00D95ED2" w:rsidRDefault="00C06DA1" w:rsidP="00120C11">
            <w:pPr>
              <w:spacing w:before="0" w:after="0"/>
              <w:jc w:val="center"/>
              <w:rPr>
                <w:lang w:val="cs-CZ" w:bidi="my-MM"/>
              </w:rPr>
            </w:pPr>
          </w:p>
        </w:tc>
        <w:tc>
          <w:tcPr>
            <w:tcW w:w="1418" w:type="dxa"/>
            <w:shd w:val="clear" w:color="auto" w:fill="FFFFFF"/>
          </w:tcPr>
          <w:p w:rsidR="00C06DA1" w:rsidRPr="00D95ED2" w:rsidRDefault="00C06DA1" w:rsidP="00120C11">
            <w:pPr>
              <w:spacing w:before="0" w:after="0"/>
              <w:jc w:val="center"/>
              <w:rPr>
                <w:lang w:val="cs-CZ" w:bidi="my-MM"/>
              </w:rPr>
            </w:pPr>
          </w:p>
        </w:tc>
        <w:tc>
          <w:tcPr>
            <w:tcW w:w="1418" w:type="dxa"/>
            <w:shd w:val="clear" w:color="auto" w:fill="FFFFFF"/>
          </w:tcPr>
          <w:p w:rsidR="00C06DA1" w:rsidRPr="00D95ED2" w:rsidRDefault="00C06DA1" w:rsidP="00120C11">
            <w:pPr>
              <w:spacing w:before="0" w:after="0"/>
              <w:jc w:val="center"/>
              <w:rPr>
                <w:lang w:val="cs-CZ" w:bidi="my-MM"/>
              </w:rPr>
            </w:pPr>
            <w:r w:rsidRPr="00D95ED2">
              <w:rPr>
                <w:lang w:val="cs-CZ" w:bidi="my-MM"/>
              </w:rPr>
              <w:t>-1 059</w:t>
            </w:r>
          </w:p>
        </w:tc>
        <w:tc>
          <w:tcPr>
            <w:tcW w:w="1418" w:type="dxa"/>
            <w:shd w:val="clear" w:color="auto" w:fill="FFFFFF"/>
          </w:tcPr>
          <w:p w:rsidR="00C06DA1" w:rsidRPr="00D95ED2" w:rsidRDefault="00C06DA1" w:rsidP="00120C11">
            <w:pPr>
              <w:spacing w:before="0" w:after="0"/>
              <w:jc w:val="center"/>
              <w:rPr>
                <w:lang w:val="cs-CZ" w:bidi="my-MM"/>
              </w:rPr>
            </w:pPr>
            <w:r w:rsidRPr="00D95ED2">
              <w:rPr>
                <w:lang w:val="cs-CZ" w:bidi="my-MM"/>
              </w:rPr>
              <w:t>-11</w:t>
            </w:r>
            <w:r w:rsidR="004E1496">
              <w:rPr>
                <w:lang w:val="cs-CZ" w:bidi="my-MM"/>
              </w:rPr>
              <w:t xml:space="preserve"> </w:t>
            </w:r>
            <w:r w:rsidRPr="00D95ED2">
              <w:rPr>
                <w:lang w:val="cs-CZ" w:bidi="my-MM"/>
              </w:rPr>
              <w:t>%</w:t>
            </w:r>
          </w:p>
        </w:tc>
      </w:tr>
      <w:tr w:rsidR="00C06DA1" w:rsidRPr="00D95ED2">
        <w:tc>
          <w:tcPr>
            <w:tcW w:w="3430" w:type="dxa"/>
            <w:shd w:val="clear" w:color="auto" w:fill="FFFFFF"/>
          </w:tcPr>
          <w:p w:rsidR="00C06DA1" w:rsidRPr="00D95ED2" w:rsidRDefault="00C06DA1" w:rsidP="00120C11">
            <w:pPr>
              <w:spacing w:before="0" w:after="0"/>
              <w:rPr>
                <w:lang w:val="cs-CZ" w:bidi="my-MM"/>
              </w:rPr>
            </w:pPr>
            <w:r w:rsidRPr="00D95ED2">
              <w:rPr>
                <w:lang w:val="cs-CZ" w:bidi="my-MM"/>
              </w:rPr>
              <w:t>Odhadovaná výše slev pro dopravce</w:t>
            </w:r>
          </w:p>
        </w:tc>
        <w:tc>
          <w:tcPr>
            <w:tcW w:w="1418" w:type="dxa"/>
            <w:shd w:val="clear" w:color="auto" w:fill="FFFFFF"/>
          </w:tcPr>
          <w:p w:rsidR="00C06DA1" w:rsidRPr="00D95ED2" w:rsidRDefault="00C06DA1" w:rsidP="00120C11">
            <w:pPr>
              <w:spacing w:before="0" w:after="0"/>
              <w:jc w:val="center"/>
              <w:rPr>
                <w:lang w:val="cs-CZ" w:bidi="my-MM"/>
              </w:rPr>
            </w:pPr>
          </w:p>
        </w:tc>
        <w:tc>
          <w:tcPr>
            <w:tcW w:w="1418" w:type="dxa"/>
            <w:shd w:val="clear" w:color="auto" w:fill="FFFFFF"/>
          </w:tcPr>
          <w:p w:rsidR="00C06DA1" w:rsidRPr="00D95ED2" w:rsidRDefault="00C06DA1" w:rsidP="00120C11">
            <w:pPr>
              <w:spacing w:before="0" w:after="0"/>
              <w:jc w:val="center"/>
              <w:rPr>
                <w:lang w:val="cs-CZ" w:bidi="my-MM"/>
              </w:rPr>
            </w:pPr>
          </w:p>
        </w:tc>
        <w:tc>
          <w:tcPr>
            <w:tcW w:w="1418" w:type="dxa"/>
            <w:shd w:val="clear" w:color="auto" w:fill="FFFFFF"/>
          </w:tcPr>
          <w:p w:rsidR="00C06DA1" w:rsidRPr="00D95ED2" w:rsidRDefault="00C06DA1" w:rsidP="006A5A11">
            <w:pPr>
              <w:spacing w:before="0" w:after="0"/>
              <w:jc w:val="center"/>
              <w:rPr>
                <w:lang w:val="cs-CZ" w:bidi="my-MM"/>
              </w:rPr>
            </w:pPr>
            <w:r w:rsidRPr="00D95ED2">
              <w:rPr>
                <w:lang w:val="cs-CZ" w:bidi="my-MM"/>
              </w:rPr>
              <w:t>-32</w:t>
            </w:r>
          </w:p>
        </w:tc>
        <w:tc>
          <w:tcPr>
            <w:tcW w:w="1418" w:type="dxa"/>
            <w:shd w:val="clear" w:color="auto" w:fill="FFFFFF"/>
          </w:tcPr>
          <w:p w:rsidR="00C06DA1" w:rsidRPr="00D95ED2" w:rsidRDefault="00C06DA1" w:rsidP="00120C11">
            <w:pPr>
              <w:spacing w:before="0" w:after="0"/>
              <w:jc w:val="center"/>
              <w:rPr>
                <w:lang w:val="cs-CZ" w:bidi="my-MM"/>
              </w:rPr>
            </w:pPr>
          </w:p>
        </w:tc>
      </w:tr>
      <w:tr w:rsidR="00C06DA1" w:rsidRPr="00D95ED2">
        <w:tc>
          <w:tcPr>
            <w:tcW w:w="3430" w:type="dxa"/>
            <w:shd w:val="clear" w:color="auto" w:fill="FFFFFF"/>
          </w:tcPr>
          <w:p w:rsidR="00C06DA1" w:rsidRPr="00D95ED2" w:rsidRDefault="00C06DA1" w:rsidP="00120C11">
            <w:pPr>
              <w:spacing w:before="0" w:after="0"/>
              <w:rPr>
                <w:lang w:val="cs-CZ" w:bidi="my-MM"/>
              </w:rPr>
            </w:pPr>
            <w:r w:rsidRPr="00D95ED2">
              <w:rPr>
                <w:lang w:val="cs-CZ" w:bidi="my-MM"/>
              </w:rPr>
              <w:t>Celkový dopad na příjmy z mýtného</w:t>
            </w:r>
          </w:p>
        </w:tc>
        <w:tc>
          <w:tcPr>
            <w:tcW w:w="1418" w:type="dxa"/>
            <w:shd w:val="clear" w:color="auto" w:fill="FFFFFF"/>
          </w:tcPr>
          <w:p w:rsidR="00C06DA1" w:rsidRPr="00D95ED2" w:rsidRDefault="00C06DA1" w:rsidP="00120C11">
            <w:pPr>
              <w:spacing w:before="0" w:after="0"/>
              <w:jc w:val="center"/>
              <w:rPr>
                <w:lang w:val="cs-CZ" w:bidi="my-MM"/>
              </w:rPr>
            </w:pPr>
          </w:p>
        </w:tc>
        <w:tc>
          <w:tcPr>
            <w:tcW w:w="1418" w:type="dxa"/>
            <w:shd w:val="clear" w:color="auto" w:fill="FFFFFF"/>
          </w:tcPr>
          <w:p w:rsidR="00C06DA1" w:rsidRPr="00D95ED2" w:rsidRDefault="00C06DA1" w:rsidP="00120C11">
            <w:pPr>
              <w:spacing w:before="0" w:after="0"/>
              <w:jc w:val="center"/>
              <w:rPr>
                <w:lang w:val="cs-CZ" w:bidi="my-MM"/>
              </w:rPr>
            </w:pPr>
            <w:r w:rsidRPr="00D95ED2">
              <w:rPr>
                <w:lang w:val="cs-CZ" w:bidi="my-MM"/>
              </w:rPr>
              <w:t>9 677</w:t>
            </w:r>
          </w:p>
        </w:tc>
        <w:tc>
          <w:tcPr>
            <w:tcW w:w="1418" w:type="dxa"/>
            <w:shd w:val="clear" w:color="auto" w:fill="FFFFFF"/>
          </w:tcPr>
          <w:p w:rsidR="00C06DA1" w:rsidRPr="00D95ED2" w:rsidRDefault="00C06DA1" w:rsidP="006A5A11">
            <w:pPr>
              <w:spacing w:before="0" w:after="0"/>
              <w:jc w:val="center"/>
              <w:rPr>
                <w:lang w:val="cs-CZ" w:bidi="my-MM"/>
              </w:rPr>
            </w:pPr>
            <w:r w:rsidRPr="00D95ED2">
              <w:rPr>
                <w:lang w:val="cs-CZ" w:bidi="my-MM"/>
              </w:rPr>
              <w:t>-1 091</w:t>
            </w:r>
          </w:p>
        </w:tc>
        <w:tc>
          <w:tcPr>
            <w:tcW w:w="1418" w:type="dxa"/>
            <w:shd w:val="clear" w:color="auto" w:fill="FFFFFF"/>
          </w:tcPr>
          <w:p w:rsidR="00C06DA1" w:rsidRPr="00D95ED2" w:rsidRDefault="00C06DA1" w:rsidP="00120C11">
            <w:pPr>
              <w:spacing w:before="0" w:after="0"/>
              <w:jc w:val="center"/>
              <w:rPr>
                <w:lang w:val="cs-CZ" w:bidi="my-MM"/>
              </w:rPr>
            </w:pPr>
            <w:r w:rsidRPr="00D95ED2">
              <w:rPr>
                <w:lang w:val="cs-CZ" w:bidi="my-MM"/>
              </w:rPr>
              <w:t>-12</w:t>
            </w:r>
            <w:r w:rsidR="004E1496">
              <w:rPr>
                <w:lang w:val="cs-CZ" w:bidi="my-MM"/>
              </w:rPr>
              <w:t xml:space="preserve"> </w:t>
            </w:r>
            <w:r w:rsidRPr="00D95ED2">
              <w:rPr>
                <w:lang w:val="cs-CZ" w:bidi="my-MM"/>
              </w:rPr>
              <w:t>%</w:t>
            </w:r>
          </w:p>
        </w:tc>
      </w:tr>
    </w:tbl>
    <w:p w:rsidR="00C06DA1" w:rsidRPr="00DD2F1B" w:rsidRDefault="00C06DA1" w:rsidP="004F346F">
      <w:pPr>
        <w:jc w:val="center"/>
        <w:rPr>
          <w:rFonts w:cs="ArialNarrow,Italic"/>
          <w:sz w:val="16"/>
          <w:szCs w:val="16"/>
          <w:lang w:val="cs-CZ" w:bidi="my-MM"/>
        </w:rPr>
      </w:pPr>
      <w:r w:rsidRPr="00DD2F1B">
        <w:rPr>
          <w:rFonts w:cs="ArialNarrow,Italic"/>
          <w:sz w:val="16"/>
          <w:szCs w:val="16"/>
          <w:lang w:val="cs-CZ" w:bidi="my-MM"/>
        </w:rPr>
        <w:t>Tabulka č. 4 – Odhad dopadů na předepsané mýtné</w:t>
      </w:r>
    </w:p>
    <w:p w:rsidR="00C06DA1" w:rsidRPr="00DD2F1B" w:rsidRDefault="00C06DA1" w:rsidP="00272FD0">
      <w:pPr>
        <w:pStyle w:val="Nadpis3"/>
        <w:rPr>
          <w:lang w:val="cs-CZ" w:bidi="my-MM"/>
        </w:rPr>
      </w:pPr>
      <w:bookmarkStart w:id="32" w:name="_Toc368063535"/>
      <w:bookmarkStart w:id="33" w:name="_Toc370398426"/>
      <w:r w:rsidRPr="00DD2F1B">
        <w:rPr>
          <w:lang w:val="cs-CZ" w:bidi="my-MM"/>
        </w:rPr>
        <w:lastRenderedPageBreak/>
        <w:t>Tranzit nákladních vozidel s hmotností 12 t a výše p</w:t>
      </w:r>
      <w:r w:rsidRPr="00DD2F1B">
        <w:rPr>
          <w:rFonts w:cs="Arial,Bold"/>
          <w:lang w:val="cs-CZ" w:bidi="my-MM"/>
        </w:rPr>
        <w:t>ř</w:t>
      </w:r>
      <w:r w:rsidRPr="00DD2F1B">
        <w:rPr>
          <w:lang w:val="cs-CZ" w:bidi="my-MM"/>
        </w:rPr>
        <w:t xml:space="preserve">es </w:t>
      </w:r>
      <w:r w:rsidRPr="00DD2F1B">
        <w:rPr>
          <w:rFonts w:cs="Arial,Bold"/>
          <w:lang w:val="cs-CZ" w:bidi="my-MM"/>
        </w:rPr>
        <w:t>Č</w:t>
      </w:r>
      <w:r w:rsidRPr="00DD2F1B">
        <w:rPr>
          <w:lang w:val="cs-CZ" w:bidi="my-MM"/>
        </w:rPr>
        <w:t>R - rok 2011</w:t>
      </w:r>
      <w:bookmarkEnd w:id="32"/>
      <w:bookmarkEnd w:id="33"/>
    </w:p>
    <w:p w:rsidR="00C06DA1" w:rsidRPr="00DD2F1B" w:rsidRDefault="00C06DA1" w:rsidP="006B59DF">
      <w:pPr>
        <w:autoSpaceDE w:val="0"/>
        <w:autoSpaceDN w:val="0"/>
        <w:adjustRightInd w:val="0"/>
        <w:jc w:val="both"/>
        <w:rPr>
          <w:rFonts w:cs="Arial"/>
          <w:sz w:val="22"/>
          <w:szCs w:val="22"/>
          <w:lang w:val="cs-CZ" w:bidi="my-MM"/>
        </w:rPr>
      </w:pPr>
      <w:r w:rsidRPr="00DD2F1B">
        <w:rPr>
          <w:rFonts w:cs="Arial"/>
          <w:color w:val="000000"/>
          <w:sz w:val="22"/>
          <w:szCs w:val="22"/>
          <w:lang w:val="cs-CZ" w:bidi="my-MM"/>
        </w:rPr>
        <w:t xml:space="preserve">Ve stávajícím mýtném systému dochází k mírnému nárůstu výběru mýtného od zahraničních vozidel. Dopravní výkon těchto vozidel je složen z výkonů vozidel, jejichž cílová stanice je na území ČR nebo se jedná o vozidla tranzitující. ČR je díky své poloze ve středu Evropy významnou tranzitní zemí. Rozsah tranzitu nákladních vozidel s hmotností nad 3,5 t je veden především po trase dálnic D2-D1-D5 a D8 v obou směrech. V níže uvedeném grafu jsou uvedeny pro vybrané hraniční přechody podíly vozidel, které do 24 hodin po vjezdu do ČR vyjedou na jiném hraničním přechodu mimo území ČR. Z </w:t>
      </w:r>
      <w:r w:rsidRPr="00DD2F1B">
        <w:rPr>
          <w:rFonts w:cs="Arial"/>
          <w:sz w:val="22"/>
          <w:szCs w:val="22"/>
          <w:lang w:val="cs-CZ" w:bidi="my-MM"/>
        </w:rPr>
        <w:t>pohledu tranzitu je nejvíce vytížený hraniční přechod na dálnici D2 se Slovenskou republikou, následovaný hraničním přechodem na dálnici D8 a D5 se Spolkovou republikou Německo. Na hraničních přechodech přímo navazujících na zpoplatněné pozemní komunikace tranzituje průměrně cca 29 % vozidel z celkového počtu vjíždějících vozidel.</w:t>
      </w:r>
    </w:p>
    <w:p w:rsidR="00C06DA1" w:rsidRPr="00DD2F1B" w:rsidRDefault="00C06DA1" w:rsidP="006B59DF">
      <w:pPr>
        <w:jc w:val="both"/>
        <w:rPr>
          <w:sz w:val="22"/>
          <w:szCs w:val="22"/>
          <w:lang w:val="cs-CZ" w:bidi="my-MM"/>
        </w:rPr>
      </w:pPr>
      <w:r w:rsidRPr="00DD2F1B">
        <w:rPr>
          <w:sz w:val="22"/>
          <w:szCs w:val="22"/>
          <w:lang w:val="cs-CZ" w:bidi="my-MM"/>
        </w:rPr>
        <w:t>V následujícím grafu je zobrazen počet nákladních vozidel nad 12 tun na hraničních přechodech přímo navazujících na zpoplatněné pozemní komunikace.</w:t>
      </w:r>
    </w:p>
    <w:p w:rsidR="00C06DA1" w:rsidRPr="00DD2F1B" w:rsidRDefault="001C18DA" w:rsidP="006B59DF">
      <w:pPr>
        <w:rPr>
          <w:lang w:val="cs-CZ"/>
        </w:rPr>
      </w:pPr>
      <w:r w:rsidRPr="001C18DA">
        <w:rPr>
          <w:noProof/>
          <w:lang w:val="cs-CZ" w:eastAsia="cs-CZ"/>
        </w:rPr>
        <w:pict>
          <v:shape id="obrázek 8" o:spid="_x0000_i1031" type="#_x0000_t75" style="width:449.25pt;height:254.25pt;visibility:visible">
            <v:imagedata r:id="rId12" o:title=""/>
          </v:shape>
        </w:pict>
      </w:r>
    </w:p>
    <w:p w:rsidR="00C06DA1" w:rsidRPr="00DD2F1B" w:rsidRDefault="00C06DA1" w:rsidP="004F346F">
      <w:pPr>
        <w:autoSpaceDE w:val="0"/>
        <w:autoSpaceDN w:val="0"/>
        <w:adjustRightInd w:val="0"/>
        <w:jc w:val="center"/>
        <w:rPr>
          <w:rFonts w:cs="Arial"/>
          <w:sz w:val="16"/>
          <w:szCs w:val="16"/>
          <w:lang w:val="cs-CZ" w:bidi="my-MM"/>
        </w:rPr>
      </w:pPr>
      <w:r w:rsidRPr="00DD2F1B">
        <w:rPr>
          <w:rFonts w:cs="Arial"/>
          <w:sz w:val="16"/>
          <w:szCs w:val="16"/>
          <w:lang w:val="cs-CZ" w:bidi="my-MM"/>
        </w:rPr>
        <w:t>Graf č. 3 – Tranzit vozidel přes území České republiky</w:t>
      </w:r>
    </w:p>
    <w:p w:rsidR="00C06DA1" w:rsidRPr="00DD2F1B" w:rsidRDefault="00C06DA1" w:rsidP="00A55517">
      <w:pPr>
        <w:jc w:val="both"/>
        <w:rPr>
          <w:rFonts w:cs="Arial"/>
          <w:sz w:val="22"/>
          <w:szCs w:val="22"/>
          <w:lang w:val="cs-CZ" w:bidi="my-MM"/>
        </w:rPr>
      </w:pPr>
      <w:r w:rsidRPr="00DD2F1B">
        <w:rPr>
          <w:rFonts w:cs="Arial"/>
          <w:sz w:val="22"/>
          <w:szCs w:val="22"/>
          <w:lang w:val="cs-CZ" w:bidi="my-MM"/>
        </w:rPr>
        <w:t>Tranzit tvo</w:t>
      </w:r>
      <w:r w:rsidRPr="00DD2F1B">
        <w:rPr>
          <w:rFonts w:cs="Arial,BoldItalic"/>
          <w:sz w:val="22"/>
          <w:szCs w:val="22"/>
          <w:lang w:val="cs-CZ" w:bidi="my-MM"/>
        </w:rPr>
        <w:t>ř</w:t>
      </w:r>
      <w:r w:rsidRPr="00DD2F1B">
        <w:rPr>
          <w:rFonts w:cs="Arial"/>
          <w:sz w:val="22"/>
          <w:szCs w:val="22"/>
          <w:lang w:val="cs-CZ" w:bidi="my-MM"/>
        </w:rPr>
        <w:t>í 29 % výkon</w:t>
      </w:r>
      <w:r w:rsidRPr="00DD2F1B">
        <w:rPr>
          <w:rFonts w:cs="Arial,BoldItalic"/>
          <w:sz w:val="22"/>
          <w:szCs w:val="22"/>
          <w:lang w:val="cs-CZ" w:bidi="my-MM"/>
        </w:rPr>
        <w:t xml:space="preserve">ů </w:t>
      </w:r>
      <w:r w:rsidRPr="00DD2F1B">
        <w:rPr>
          <w:rFonts w:cs="Arial"/>
          <w:sz w:val="22"/>
          <w:szCs w:val="22"/>
          <w:lang w:val="cs-CZ" w:bidi="my-MM"/>
        </w:rPr>
        <w:t>na zpoplatn</w:t>
      </w:r>
      <w:r w:rsidRPr="00DD2F1B">
        <w:rPr>
          <w:rFonts w:cs="Arial,BoldItalic"/>
          <w:sz w:val="22"/>
          <w:szCs w:val="22"/>
          <w:lang w:val="cs-CZ" w:bidi="my-MM"/>
        </w:rPr>
        <w:t>ě</w:t>
      </w:r>
      <w:r w:rsidRPr="00DD2F1B">
        <w:rPr>
          <w:rFonts w:cs="Arial"/>
          <w:sz w:val="22"/>
          <w:szCs w:val="22"/>
          <w:lang w:val="cs-CZ" w:bidi="my-MM"/>
        </w:rPr>
        <w:t>ných komunikacích, proto je d</w:t>
      </w:r>
      <w:r w:rsidRPr="00DD2F1B">
        <w:rPr>
          <w:rFonts w:cs="Arial,BoldItalic"/>
          <w:sz w:val="22"/>
          <w:szCs w:val="22"/>
          <w:lang w:val="cs-CZ" w:bidi="my-MM"/>
        </w:rPr>
        <w:t>ů</w:t>
      </w:r>
      <w:r w:rsidRPr="00DD2F1B">
        <w:rPr>
          <w:rFonts w:cs="Arial"/>
          <w:sz w:val="22"/>
          <w:szCs w:val="22"/>
          <w:lang w:val="cs-CZ" w:bidi="my-MM"/>
        </w:rPr>
        <w:t>ležité se zabývat p</w:t>
      </w:r>
      <w:r w:rsidRPr="00DD2F1B">
        <w:rPr>
          <w:rFonts w:cs="Arial,BoldItalic"/>
          <w:sz w:val="22"/>
          <w:szCs w:val="22"/>
          <w:lang w:val="cs-CZ" w:bidi="my-MM"/>
        </w:rPr>
        <w:t>ř</w:t>
      </w:r>
      <w:r w:rsidRPr="00DD2F1B">
        <w:rPr>
          <w:rFonts w:cs="Arial"/>
          <w:sz w:val="22"/>
          <w:szCs w:val="22"/>
          <w:lang w:val="cs-CZ" w:bidi="my-MM"/>
        </w:rPr>
        <w:t>ístupem k p</w:t>
      </w:r>
      <w:r w:rsidRPr="00DD2F1B">
        <w:rPr>
          <w:rFonts w:cs="Arial,BoldItalic"/>
          <w:sz w:val="22"/>
          <w:szCs w:val="22"/>
          <w:lang w:val="cs-CZ" w:bidi="my-MM"/>
        </w:rPr>
        <w:t>ř</w:t>
      </w:r>
      <w:r w:rsidRPr="00DD2F1B">
        <w:rPr>
          <w:rFonts w:cs="Arial"/>
          <w:sz w:val="22"/>
          <w:szCs w:val="22"/>
          <w:lang w:val="cs-CZ" w:bidi="my-MM"/>
        </w:rPr>
        <w:t>íležitostným uživatel</w:t>
      </w:r>
      <w:r w:rsidRPr="00DD2F1B">
        <w:rPr>
          <w:rFonts w:cs="Arial,BoldItalic"/>
          <w:sz w:val="22"/>
          <w:szCs w:val="22"/>
          <w:lang w:val="cs-CZ" w:bidi="my-MM"/>
        </w:rPr>
        <w:t>ů</w:t>
      </w:r>
      <w:r w:rsidRPr="00DD2F1B">
        <w:rPr>
          <w:rFonts w:cs="Arial"/>
          <w:sz w:val="22"/>
          <w:szCs w:val="22"/>
          <w:lang w:val="cs-CZ" w:bidi="my-MM"/>
        </w:rPr>
        <w:t>m zpoplatn</w:t>
      </w:r>
      <w:r w:rsidRPr="00DD2F1B">
        <w:rPr>
          <w:rFonts w:cs="Arial,BoldItalic"/>
          <w:sz w:val="22"/>
          <w:szCs w:val="22"/>
          <w:lang w:val="cs-CZ" w:bidi="my-MM"/>
        </w:rPr>
        <w:t>ě</w:t>
      </w:r>
      <w:r w:rsidRPr="00DD2F1B">
        <w:rPr>
          <w:rFonts w:cs="Arial"/>
          <w:sz w:val="22"/>
          <w:szCs w:val="22"/>
          <w:lang w:val="cs-CZ" w:bidi="my-MM"/>
        </w:rPr>
        <w:t xml:space="preserve">ných pozemních komunikací v </w:t>
      </w:r>
      <w:r w:rsidRPr="00DD2F1B">
        <w:rPr>
          <w:rFonts w:cs="Arial,BoldItalic"/>
          <w:sz w:val="22"/>
          <w:szCs w:val="22"/>
          <w:lang w:val="cs-CZ" w:bidi="my-MM"/>
        </w:rPr>
        <w:t>Č</w:t>
      </w:r>
      <w:r w:rsidRPr="00DD2F1B">
        <w:rPr>
          <w:rFonts w:cs="Arial"/>
          <w:sz w:val="22"/>
          <w:szCs w:val="22"/>
          <w:lang w:val="cs-CZ" w:bidi="my-MM"/>
        </w:rPr>
        <w:t>R.</w:t>
      </w:r>
    </w:p>
    <w:p w:rsidR="00C06DA1" w:rsidRPr="00DD2F1B" w:rsidRDefault="00C06DA1" w:rsidP="00A55517">
      <w:pPr>
        <w:jc w:val="both"/>
        <w:rPr>
          <w:rFonts w:cs="Arial"/>
          <w:sz w:val="22"/>
          <w:szCs w:val="22"/>
          <w:lang w:val="cs-CZ" w:bidi="my-MM"/>
        </w:rPr>
      </w:pPr>
      <w:r w:rsidRPr="00DD2F1B">
        <w:rPr>
          <w:rFonts w:cs="Arial"/>
          <w:sz w:val="22"/>
          <w:szCs w:val="22"/>
          <w:lang w:val="cs-CZ" w:bidi="my-MM"/>
        </w:rPr>
        <w:t>V souvislosti s posouzením výběru vhodné varianty vývoje výkonového zpoplatnění pozemních komunikací v České republice je vhodné reflektovat další důležité informace vzešlé z dat ze Systému elektronického mýta.</w:t>
      </w:r>
    </w:p>
    <w:p w:rsidR="00C06DA1" w:rsidRPr="00DD2F1B" w:rsidRDefault="00C06DA1" w:rsidP="00996B76">
      <w:pPr>
        <w:jc w:val="both"/>
        <w:rPr>
          <w:sz w:val="22"/>
          <w:szCs w:val="22"/>
          <w:lang w:val="cs-CZ"/>
        </w:rPr>
      </w:pPr>
      <w:r w:rsidRPr="00DD2F1B">
        <w:rPr>
          <w:rFonts w:cs="Arial"/>
          <w:sz w:val="22"/>
          <w:szCs w:val="22"/>
          <w:lang w:val="cs-CZ" w:bidi="my-MM"/>
        </w:rPr>
        <w:t>V</w:t>
      </w:r>
      <w:r w:rsidRPr="00DD2F1B">
        <w:rPr>
          <w:sz w:val="22"/>
          <w:szCs w:val="22"/>
          <w:lang w:val="cs-CZ"/>
        </w:rPr>
        <w:t xml:space="preserve">ýběr mýtného je přímo ovlivněn váženým průměrem odpovídajícím druhu pozemní komunikace, resp. samotné mýtné sazbě a dopravnímu výkonu na dané komunikaci. Z následujícího grafu je patrné, že výkonové zpoplatnění je vysoce efektivní na pozemních komunikacích s vyšším váženým průměrem, tj. u dálnic a rychlostních silnic, a vyšší intenzitou dopravy výkonově zpoplatněných </w:t>
      </w:r>
      <w:r w:rsidRPr="00DD2F1B">
        <w:rPr>
          <w:sz w:val="22"/>
          <w:szCs w:val="22"/>
          <w:lang w:val="cs-CZ"/>
        </w:rPr>
        <w:lastRenderedPageBreak/>
        <w:t xml:space="preserve">vozidel. Průměrná platba mýtného na 1 km </w:t>
      </w:r>
      <w:r w:rsidRPr="00DD2F1B">
        <w:rPr>
          <w:b/>
          <w:sz w:val="22"/>
          <w:szCs w:val="22"/>
          <w:lang w:val="cs-CZ"/>
        </w:rPr>
        <w:t>celkové</w:t>
      </w:r>
      <w:r w:rsidRPr="00DD2F1B">
        <w:rPr>
          <w:sz w:val="22"/>
          <w:szCs w:val="22"/>
          <w:lang w:val="cs-CZ"/>
        </w:rPr>
        <w:t xml:space="preserve"> délky zpoplatněných pozemních komunikací je cca 6,2 mil. Kč.</w:t>
      </w:r>
    </w:p>
    <w:p w:rsidR="00C06DA1" w:rsidRPr="00DD2F1B" w:rsidRDefault="001C18DA" w:rsidP="0006055A">
      <w:pPr>
        <w:jc w:val="center"/>
        <w:rPr>
          <w:szCs w:val="16"/>
          <w:lang w:val="cs-CZ"/>
        </w:rPr>
      </w:pPr>
      <w:r w:rsidRPr="001C18DA">
        <w:rPr>
          <w:noProof/>
          <w:szCs w:val="16"/>
          <w:lang w:val="cs-CZ" w:eastAsia="cs-CZ"/>
        </w:rPr>
        <w:pict>
          <v:shape id="Picture 1" o:spid="_x0000_i1032" type="#_x0000_t75" style="width:453.75pt;height:291pt;visibility:visible">
            <v:imagedata r:id="rId13" o:title=""/>
          </v:shape>
        </w:pict>
      </w:r>
    </w:p>
    <w:p w:rsidR="00C06DA1" w:rsidRPr="00DD2F1B" w:rsidRDefault="00C06DA1" w:rsidP="00E02210">
      <w:pPr>
        <w:jc w:val="center"/>
        <w:rPr>
          <w:rFonts w:cs="Calibri"/>
          <w:lang w:val="cs-CZ"/>
        </w:rPr>
      </w:pPr>
      <w:r w:rsidRPr="00DD2F1B">
        <w:rPr>
          <w:sz w:val="16"/>
          <w:szCs w:val="16"/>
          <w:lang w:val="cs-CZ"/>
        </w:rPr>
        <w:t>Graf č. 4 – Průměrné platby mýtného na 1 km délky pozemní komunikace v roce 2012</w:t>
      </w:r>
    </w:p>
    <w:p w:rsidR="00C06DA1" w:rsidRPr="00DD2F1B" w:rsidRDefault="00C06DA1" w:rsidP="000A77ED">
      <w:pPr>
        <w:pStyle w:val="Nadpis3"/>
        <w:rPr>
          <w:lang w:val="cs-CZ"/>
        </w:rPr>
      </w:pPr>
      <w:bookmarkStart w:id="34" w:name="_Toc368063536"/>
      <w:bookmarkStart w:id="35" w:name="_Toc370398427"/>
      <w:r w:rsidRPr="00DD2F1B">
        <w:rPr>
          <w:lang w:val="cs-CZ"/>
        </w:rPr>
        <w:t>Organizační a administrativní rámec</w:t>
      </w:r>
      <w:bookmarkEnd w:id="34"/>
      <w:bookmarkEnd w:id="35"/>
    </w:p>
    <w:p w:rsidR="00C06DA1" w:rsidRPr="00DD2F1B" w:rsidRDefault="00C06DA1" w:rsidP="000622C8">
      <w:pPr>
        <w:spacing w:before="120"/>
        <w:jc w:val="both"/>
        <w:rPr>
          <w:rFonts w:cs="Calibri"/>
          <w:sz w:val="22"/>
          <w:szCs w:val="22"/>
          <w:lang w:val="cs-CZ"/>
        </w:rPr>
      </w:pPr>
      <w:r w:rsidRPr="00DD2F1B">
        <w:rPr>
          <w:rFonts w:cs="Calibri"/>
          <w:sz w:val="22"/>
          <w:szCs w:val="22"/>
          <w:lang w:val="cs-CZ"/>
        </w:rPr>
        <w:t>Rozšíření Systému elektronického mýta v ČR musí zajistit úspěšnou a včasnou realizaci celého pro</w:t>
      </w:r>
      <w:r>
        <w:rPr>
          <w:rFonts w:cs="Calibri"/>
          <w:sz w:val="22"/>
          <w:szCs w:val="22"/>
          <w:lang w:val="cs-CZ"/>
        </w:rPr>
        <w:t>jektu</w:t>
      </w:r>
      <w:r w:rsidRPr="00DD2F1B">
        <w:rPr>
          <w:rFonts w:cs="Calibri"/>
          <w:sz w:val="22"/>
          <w:szCs w:val="22"/>
          <w:lang w:val="cs-CZ"/>
        </w:rPr>
        <w:t xml:space="preserve">. S ohledem na doporučený časový harmonogram je třeba </w:t>
      </w:r>
      <w:r w:rsidRPr="00DD2F1B">
        <w:rPr>
          <w:rFonts w:cs="Calibri"/>
          <w:b/>
          <w:sz w:val="22"/>
          <w:szCs w:val="22"/>
          <w:lang w:val="cs-CZ"/>
        </w:rPr>
        <w:t>neprodleně rozhodnout</w:t>
      </w:r>
      <w:r w:rsidRPr="00DD2F1B">
        <w:rPr>
          <w:rFonts w:cs="Calibri"/>
          <w:sz w:val="22"/>
          <w:szCs w:val="22"/>
          <w:lang w:val="cs-CZ"/>
        </w:rPr>
        <w:t xml:space="preserve"> o výběru nejvhodnější realizační varianty, zejména o rozsahu a způsobu zpoplatnění. Optimálním termínem rozhodnutí je rok 2013. Je vhodné, aby řízení a organizaci celého pro</w:t>
      </w:r>
      <w:r>
        <w:rPr>
          <w:rFonts w:cs="Calibri"/>
          <w:sz w:val="22"/>
          <w:szCs w:val="22"/>
          <w:lang w:val="cs-CZ"/>
        </w:rPr>
        <w:t>jektu</w:t>
      </w:r>
      <w:r w:rsidRPr="00DD2F1B">
        <w:rPr>
          <w:rFonts w:cs="Calibri"/>
          <w:sz w:val="22"/>
          <w:szCs w:val="22"/>
          <w:lang w:val="cs-CZ"/>
        </w:rPr>
        <w:t xml:space="preserve"> zabezpečil vybraný subjekt (jeden nebo více subjektů) s odpovídající kvalifikací a zkušeností z realizovaných projektů. Hlavní role, které je třeba zajistit, jsou:</w:t>
      </w:r>
    </w:p>
    <w:p w:rsidR="00C06DA1" w:rsidRPr="00DD2F1B" w:rsidRDefault="00C06DA1" w:rsidP="009C315E">
      <w:pPr>
        <w:numPr>
          <w:ilvl w:val="0"/>
          <w:numId w:val="2"/>
        </w:numPr>
        <w:spacing w:before="120"/>
        <w:jc w:val="both"/>
        <w:rPr>
          <w:rFonts w:cs="Calibri"/>
          <w:sz w:val="22"/>
          <w:szCs w:val="22"/>
          <w:lang w:val="cs-CZ"/>
        </w:rPr>
      </w:pPr>
      <w:r w:rsidRPr="00DD2F1B">
        <w:rPr>
          <w:rFonts w:cs="Calibri"/>
          <w:b/>
          <w:sz w:val="22"/>
          <w:szCs w:val="22"/>
          <w:lang w:val="cs-CZ"/>
        </w:rPr>
        <w:t>Projektový manažer</w:t>
      </w:r>
      <w:r w:rsidRPr="00DD2F1B">
        <w:rPr>
          <w:rFonts w:cs="Calibri"/>
          <w:sz w:val="22"/>
          <w:szCs w:val="22"/>
          <w:lang w:val="cs-CZ"/>
        </w:rPr>
        <w:t xml:space="preserve"> – odpovídá za přípravu zadávací dokumentace, řízení, organizaci a koordinaci prací a dodávek;</w:t>
      </w:r>
    </w:p>
    <w:p w:rsidR="00C06DA1" w:rsidRPr="00DD2F1B" w:rsidRDefault="00C06DA1" w:rsidP="009C315E">
      <w:pPr>
        <w:numPr>
          <w:ilvl w:val="0"/>
          <w:numId w:val="2"/>
        </w:numPr>
        <w:spacing w:before="120"/>
        <w:jc w:val="both"/>
        <w:rPr>
          <w:rFonts w:cs="Calibri"/>
          <w:sz w:val="22"/>
          <w:szCs w:val="22"/>
          <w:lang w:val="cs-CZ"/>
        </w:rPr>
      </w:pPr>
      <w:r w:rsidRPr="00DD2F1B">
        <w:rPr>
          <w:rFonts w:cs="Calibri"/>
          <w:b/>
          <w:sz w:val="22"/>
          <w:szCs w:val="22"/>
          <w:lang w:val="cs-CZ"/>
        </w:rPr>
        <w:t>Nezávislý technický inženýr</w:t>
      </w:r>
      <w:r w:rsidRPr="00DD2F1B">
        <w:rPr>
          <w:rFonts w:cs="Calibri"/>
          <w:sz w:val="22"/>
          <w:szCs w:val="22"/>
          <w:lang w:val="cs-CZ"/>
        </w:rPr>
        <w:t xml:space="preserve"> – odpovídá za kontrolu věcného rozsahu a kontrolu (měření) kvality realizovaných prací a dodávek.</w:t>
      </w:r>
    </w:p>
    <w:p w:rsidR="00C06DA1" w:rsidRDefault="00C06DA1" w:rsidP="00D828F4">
      <w:pPr>
        <w:pStyle w:val="Nadpis1"/>
        <w:rPr>
          <w:sz w:val="40"/>
          <w:szCs w:val="40"/>
          <w:lang w:val="cs-CZ"/>
        </w:rPr>
      </w:pPr>
      <w:bookmarkStart w:id="36" w:name="_Toc368311164"/>
      <w:bookmarkStart w:id="37" w:name="_Toc368327074"/>
    </w:p>
    <w:p w:rsidR="00C06DA1" w:rsidRDefault="00C06DA1">
      <w:pPr>
        <w:rPr>
          <w:b/>
          <w:bCs/>
          <w:caps/>
          <w:color w:val="FFFFFF"/>
          <w:spacing w:val="15"/>
          <w:sz w:val="40"/>
          <w:szCs w:val="40"/>
          <w:lang w:val="cs-CZ"/>
        </w:rPr>
      </w:pPr>
      <w:r>
        <w:rPr>
          <w:sz w:val="40"/>
          <w:szCs w:val="40"/>
          <w:lang w:val="cs-CZ"/>
        </w:rPr>
        <w:br w:type="page"/>
      </w:r>
    </w:p>
    <w:p w:rsidR="00C06DA1" w:rsidRPr="00DD2F1B" w:rsidRDefault="00C06DA1" w:rsidP="00D828F4">
      <w:pPr>
        <w:pStyle w:val="Nadpis1"/>
        <w:rPr>
          <w:sz w:val="40"/>
          <w:szCs w:val="40"/>
          <w:lang w:val="cs-CZ"/>
        </w:rPr>
      </w:pPr>
      <w:bookmarkStart w:id="38" w:name="_Toc370398428"/>
      <w:r w:rsidRPr="00DD2F1B">
        <w:rPr>
          <w:sz w:val="40"/>
          <w:szCs w:val="40"/>
          <w:lang w:val="cs-CZ"/>
        </w:rPr>
        <w:t>KONCEPCE DO ROKU 2016</w:t>
      </w:r>
      <w:bookmarkEnd w:id="36"/>
      <w:bookmarkEnd w:id="37"/>
      <w:bookmarkEnd w:id="38"/>
    </w:p>
    <w:p w:rsidR="00C06DA1" w:rsidRPr="00DD2F1B" w:rsidRDefault="00C06DA1" w:rsidP="00D828F4">
      <w:pPr>
        <w:spacing w:before="120"/>
        <w:jc w:val="both"/>
        <w:rPr>
          <w:rFonts w:cs="Calibri"/>
          <w:sz w:val="22"/>
          <w:szCs w:val="22"/>
          <w:lang w:val="cs-CZ"/>
        </w:rPr>
      </w:pPr>
      <w:r w:rsidRPr="00DD2F1B">
        <w:rPr>
          <w:rFonts w:cs="Calibri"/>
          <w:sz w:val="22"/>
          <w:szCs w:val="22"/>
          <w:lang w:val="cs-CZ"/>
        </w:rPr>
        <w:t xml:space="preserve">Do konce roku 2016 není možné realizovat zásadní systémové změny v oblasti výkonového zpoplatnění, vyjma zavedení Evropské služby elektronického mýta či zavedení případné regionální interoperability mýtných systémů České republiky, Republiky Rakouska a Polské republiky. Současně v rámci zavádění regionální interoperability je možné zapojit SEM České republiky do projektu </w:t>
      </w:r>
      <w:proofErr w:type="spellStart"/>
      <w:r w:rsidRPr="00DD2F1B">
        <w:rPr>
          <w:rFonts w:cs="Calibri"/>
          <w:sz w:val="22"/>
          <w:szCs w:val="22"/>
          <w:lang w:val="cs-CZ"/>
        </w:rPr>
        <w:t>EasyGo</w:t>
      </w:r>
      <w:proofErr w:type="spellEnd"/>
      <w:r w:rsidRPr="00DD2F1B">
        <w:rPr>
          <w:rFonts w:cs="Calibri"/>
          <w:sz w:val="22"/>
          <w:szCs w:val="22"/>
          <w:lang w:val="cs-CZ"/>
        </w:rPr>
        <w:t>+, který zavádí interoperabilitu mezi mikrovlnnými mýtnými systémy skandinávských zemí a Republiky Rakouska.</w:t>
      </w:r>
    </w:p>
    <w:p w:rsidR="00C06DA1" w:rsidRPr="00DD2F1B" w:rsidRDefault="00C06DA1" w:rsidP="00D828F4">
      <w:pPr>
        <w:pStyle w:val="Nadpis2"/>
        <w:rPr>
          <w:sz w:val="28"/>
          <w:szCs w:val="28"/>
          <w:lang w:val="cs-CZ"/>
        </w:rPr>
      </w:pPr>
      <w:bookmarkStart w:id="39" w:name="_Toc367436503"/>
      <w:bookmarkStart w:id="40" w:name="_Toc368311165"/>
      <w:bookmarkStart w:id="41" w:name="_Toc368327075"/>
      <w:bookmarkStart w:id="42" w:name="_Toc370398429"/>
      <w:r w:rsidRPr="00DD2F1B">
        <w:rPr>
          <w:kern w:val="32"/>
          <w:sz w:val="28"/>
          <w:szCs w:val="28"/>
          <w:lang w:val="cs-CZ"/>
        </w:rPr>
        <w:t>Rozsah zpoplatněných pozemních komunikací</w:t>
      </w:r>
      <w:bookmarkEnd w:id="39"/>
      <w:bookmarkEnd w:id="40"/>
      <w:bookmarkEnd w:id="41"/>
      <w:bookmarkEnd w:id="42"/>
      <w:r w:rsidRPr="00DD2F1B">
        <w:rPr>
          <w:sz w:val="28"/>
          <w:szCs w:val="28"/>
          <w:lang w:val="cs-CZ"/>
        </w:rPr>
        <w:t xml:space="preserve"> </w:t>
      </w:r>
    </w:p>
    <w:p w:rsidR="00C06DA1" w:rsidRPr="00DD2F1B" w:rsidRDefault="00C06DA1" w:rsidP="00D828F4">
      <w:pPr>
        <w:jc w:val="both"/>
        <w:rPr>
          <w:rFonts w:cs="Calibri"/>
          <w:sz w:val="22"/>
          <w:szCs w:val="22"/>
          <w:lang w:val="cs-CZ"/>
        </w:rPr>
      </w:pPr>
      <w:r w:rsidRPr="00DD2F1B">
        <w:rPr>
          <w:rFonts w:cs="Calibri"/>
          <w:sz w:val="22"/>
          <w:szCs w:val="22"/>
          <w:lang w:val="cs-CZ"/>
        </w:rPr>
        <w:t>Do roku 2016 bude zachován stávající rozsah zpoplatněných komunikací, tj. 1244,3 km zpoplatněných dálnic a rychlostních silnic a 201,9 km silnic I. třídy. Výjimkou budou nově budované úseky na dálniční síti, které budou zpoplatňovány postupně tak, jak budou uváděny do provozu.</w:t>
      </w:r>
    </w:p>
    <w:p w:rsidR="00C06DA1" w:rsidRPr="00DD2F1B" w:rsidRDefault="00C06DA1" w:rsidP="00D828F4">
      <w:pPr>
        <w:pStyle w:val="Nadpis2"/>
        <w:rPr>
          <w:sz w:val="28"/>
          <w:szCs w:val="28"/>
          <w:lang w:val="cs-CZ"/>
        </w:rPr>
      </w:pPr>
      <w:bookmarkStart w:id="43" w:name="_Toc367436504"/>
      <w:bookmarkStart w:id="44" w:name="_Toc368311166"/>
      <w:bookmarkStart w:id="45" w:name="_Toc368327076"/>
      <w:bookmarkStart w:id="46" w:name="_Toc370398430"/>
      <w:r w:rsidRPr="00DD2F1B">
        <w:rPr>
          <w:kern w:val="32"/>
          <w:sz w:val="28"/>
          <w:szCs w:val="28"/>
          <w:lang w:val="cs-CZ"/>
        </w:rPr>
        <w:t>Změny výkonového zpoplatnění do roku 2016</w:t>
      </w:r>
      <w:bookmarkEnd w:id="43"/>
      <w:bookmarkEnd w:id="44"/>
      <w:bookmarkEnd w:id="45"/>
      <w:bookmarkEnd w:id="46"/>
    </w:p>
    <w:p w:rsidR="00C06DA1" w:rsidRPr="00DD2F1B" w:rsidRDefault="00C06DA1" w:rsidP="00D828F4">
      <w:pPr>
        <w:jc w:val="both"/>
        <w:rPr>
          <w:rFonts w:cs="Calibri"/>
          <w:sz w:val="22"/>
          <w:szCs w:val="22"/>
          <w:lang w:val="cs-CZ"/>
        </w:rPr>
      </w:pPr>
      <w:r w:rsidRPr="00DD2F1B">
        <w:rPr>
          <w:rFonts w:cs="Calibri"/>
          <w:sz w:val="22"/>
          <w:szCs w:val="22"/>
          <w:lang w:val="cs-CZ"/>
        </w:rPr>
        <w:t>Změny ve výkonovém zpoplatnění budou realizovány výhradně úpravou sazeb, případně zaváděním Evropské služby elektronického mýta či regionální interoperability s okolními státy EU.</w:t>
      </w:r>
    </w:p>
    <w:p w:rsidR="00C06DA1" w:rsidRPr="00DD2F1B" w:rsidRDefault="00C06DA1" w:rsidP="00D828F4">
      <w:pPr>
        <w:jc w:val="both"/>
        <w:rPr>
          <w:rFonts w:cs="Calibri"/>
          <w:sz w:val="22"/>
          <w:szCs w:val="22"/>
          <w:lang w:val="cs-CZ"/>
        </w:rPr>
      </w:pPr>
      <w:r w:rsidRPr="00DD2F1B">
        <w:rPr>
          <w:rFonts w:cs="Calibri"/>
          <w:sz w:val="22"/>
          <w:szCs w:val="22"/>
          <w:lang w:val="cs-CZ"/>
        </w:rPr>
        <w:t xml:space="preserve">Od 1. 1. 2015 dojde k navýšení </w:t>
      </w:r>
      <w:r>
        <w:rPr>
          <w:rFonts w:cs="Calibri"/>
          <w:sz w:val="22"/>
          <w:szCs w:val="22"/>
          <w:lang w:val="cs-CZ"/>
        </w:rPr>
        <w:t xml:space="preserve">mýtných </w:t>
      </w:r>
      <w:r w:rsidRPr="00DD2F1B">
        <w:rPr>
          <w:rFonts w:cs="Calibri"/>
          <w:sz w:val="22"/>
          <w:szCs w:val="22"/>
          <w:lang w:val="cs-CZ"/>
        </w:rPr>
        <w:t xml:space="preserve">sazeb </w:t>
      </w:r>
      <w:r>
        <w:rPr>
          <w:rFonts w:cs="Calibri"/>
          <w:sz w:val="22"/>
          <w:szCs w:val="22"/>
          <w:lang w:val="cs-CZ"/>
        </w:rPr>
        <w:t xml:space="preserve">pro </w:t>
      </w:r>
      <w:r w:rsidRPr="00DD2F1B">
        <w:rPr>
          <w:rFonts w:cs="Calibri"/>
          <w:sz w:val="22"/>
          <w:szCs w:val="22"/>
          <w:lang w:val="cs-CZ"/>
        </w:rPr>
        <w:t>emisní kategorii Euro V a vyšší a přiblížení</w:t>
      </w:r>
      <w:r>
        <w:rPr>
          <w:rFonts w:cs="Calibri"/>
          <w:sz w:val="22"/>
          <w:szCs w:val="22"/>
          <w:lang w:val="cs-CZ"/>
        </w:rPr>
        <w:t xml:space="preserve"> těchto mýtných sazeb k mýtným sazbám ostatních emisních </w:t>
      </w:r>
      <w:r w:rsidRPr="00DD2F1B">
        <w:rPr>
          <w:rFonts w:cs="Calibri"/>
          <w:sz w:val="22"/>
          <w:szCs w:val="22"/>
          <w:lang w:val="cs-CZ"/>
        </w:rPr>
        <w:t xml:space="preserve">kategorií.  V rámci této změny může dojít také k úpravě struktury tarifních skupin s ohledem na zavádění vozidel splňujících </w:t>
      </w:r>
      <w:r>
        <w:rPr>
          <w:rFonts w:cs="Calibri"/>
          <w:sz w:val="22"/>
          <w:szCs w:val="22"/>
          <w:lang w:val="cs-CZ"/>
        </w:rPr>
        <w:t xml:space="preserve">emisní </w:t>
      </w:r>
      <w:r w:rsidRPr="00DD2F1B">
        <w:rPr>
          <w:rFonts w:cs="Calibri"/>
          <w:sz w:val="22"/>
          <w:szCs w:val="22"/>
          <w:lang w:val="cs-CZ"/>
        </w:rPr>
        <w:t>normu Euro VI. Také dojde ke zhodnocení fungování systému a slev a případně budou navrženy úpravy, které vyplynou z této analýzy.</w:t>
      </w:r>
    </w:p>
    <w:p w:rsidR="00C06DA1" w:rsidRPr="00DD2F1B" w:rsidRDefault="00C06DA1" w:rsidP="00D828F4">
      <w:pPr>
        <w:pStyle w:val="Nadpis2"/>
        <w:rPr>
          <w:sz w:val="28"/>
          <w:szCs w:val="28"/>
          <w:lang w:val="cs-CZ"/>
        </w:rPr>
      </w:pPr>
      <w:bookmarkStart w:id="47" w:name="_Toc367436505"/>
      <w:bookmarkStart w:id="48" w:name="_Toc368311167"/>
      <w:bookmarkStart w:id="49" w:name="_Toc368327077"/>
      <w:bookmarkStart w:id="50" w:name="_Toc370398431"/>
      <w:r w:rsidRPr="00DD2F1B">
        <w:rPr>
          <w:sz w:val="28"/>
          <w:szCs w:val="28"/>
          <w:lang w:val="cs-CZ"/>
        </w:rPr>
        <w:t>Evropská služba elektronického mýta v České republice</w:t>
      </w:r>
      <w:bookmarkEnd w:id="47"/>
      <w:bookmarkEnd w:id="48"/>
      <w:bookmarkEnd w:id="49"/>
      <w:bookmarkEnd w:id="50"/>
    </w:p>
    <w:p w:rsidR="00C06DA1" w:rsidRPr="00DD2F1B" w:rsidRDefault="00C06DA1" w:rsidP="00D828F4">
      <w:pPr>
        <w:jc w:val="both"/>
        <w:rPr>
          <w:rFonts w:cs="Calibri"/>
          <w:sz w:val="22"/>
          <w:szCs w:val="22"/>
          <w:lang w:val="cs-CZ"/>
        </w:rPr>
      </w:pPr>
      <w:r w:rsidRPr="00DD2F1B">
        <w:rPr>
          <w:rFonts w:cs="Calibri"/>
          <w:sz w:val="22"/>
          <w:szCs w:val="22"/>
          <w:lang w:val="cs-CZ"/>
        </w:rPr>
        <w:t xml:space="preserve">Jak již bylo uvedeno výše, tak do roku 2016 lze realizovat významnější změny v Systému elektronického mýta pouze v rámci zavádění EETS v České republice, k čemuž se Česká republika zavázala v rámci schválení návrhu rozhodnutí Evropské komise o definice Evropské služby elektronického mýta a jejích technických prvků, který byl hlasy všech členských států tehdejšího Evropského společenství podpořen. Součástí schváleného návrhu definice EETS byla i tzv. deklarace členských států Evropského společenství, v rámci níž se členské státy zavázaly do 36 měsíců od data uveřejnění rozhodnutí ve věstníku Evropského společenství uvést Evropskou službu elektronického mýta v život. Návrh rozhodnutí </w:t>
      </w:r>
      <w:r>
        <w:rPr>
          <w:rFonts w:cs="Calibri"/>
          <w:sz w:val="22"/>
          <w:szCs w:val="22"/>
          <w:lang w:val="cs-CZ"/>
        </w:rPr>
        <w:t xml:space="preserve">o </w:t>
      </w:r>
      <w:r w:rsidRPr="00DD2F1B">
        <w:rPr>
          <w:rFonts w:cs="Calibri"/>
          <w:sz w:val="22"/>
          <w:szCs w:val="22"/>
          <w:lang w:val="cs-CZ"/>
        </w:rPr>
        <w:t xml:space="preserve">definice EETS byl následně schválen Evropskou komisí a uveřejněn ve věstníku Evropského společenství dne 6. října 2009, jako </w:t>
      </w:r>
      <w:r w:rsidRPr="00DD2F1B">
        <w:rPr>
          <w:sz w:val="22"/>
          <w:szCs w:val="22"/>
          <w:lang w:val="cs-CZ"/>
        </w:rPr>
        <w:t>rozhodnutí Komise 2009/750/ES ze dne         6. října 2009 o definici evropské služby elektronického mýtného a jejích technických prvků</w:t>
      </w:r>
      <w:r w:rsidRPr="00DD2F1B">
        <w:rPr>
          <w:rFonts w:cs="Calibri"/>
          <w:sz w:val="22"/>
          <w:szCs w:val="22"/>
          <w:lang w:val="cs-CZ"/>
        </w:rPr>
        <w:t xml:space="preserve">. V rámci zavádění EETS je vhodné přistoupit k tzv. Regionální evropské službě elektronického mýta (dále také „REETS“), která si postupným zaváděním regionálních </w:t>
      </w:r>
      <w:proofErr w:type="spellStart"/>
      <w:r w:rsidRPr="00DD2F1B">
        <w:rPr>
          <w:rFonts w:cs="Calibri"/>
          <w:sz w:val="22"/>
          <w:szCs w:val="22"/>
          <w:lang w:val="cs-CZ"/>
        </w:rPr>
        <w:t>interoperabilit</w:t>
      </w:r>
      <w:proofErr w:type="spellEnd"/>
      <w:r w:rsidRPr="00DD2F1B">
        <w:rPr>
          <w:rFonts w:cs="Calibri"/>
          <w:sz w:val="22"/>
          <w:szCs w:val="22"/>
          <w:lang w:val="cs-CZ"/>
        </w:rPr>
        <w:t xml:space="preserve"> mýtných systémů klade za cíl zavést následně jednu univerzální službu v rámci celé Evropské unie. Zavádění REETS tak lze chápat jako zavádění regionální interoperability s okolními státy, jako je Republika Rakousko a Polská </w:t>
      </w:r>
      <w:r w:rsidRPr="00DD2F1B">
        <w:rPr>
          <w:rFonts w:cs="Calibri"/>
          <w:sz w:val="22"/>
          <w:szCs w:val="22"/>
          <w:lang w:val="cs-CZ"/>
        </w:rPr>
        <w:lastRenderedPageBreak/>
        <w:t>republika, resp. zavádění interoperability s okolními zeměmi se stejnou technologií výběru mýta (DS</w:t>
      </w:r>
      <w:r>
        <w:rPr>
          <w:rFonts w:cs="Calibri"/>
          <w:sz w:val="22"/>
          <w:szCs w:val="22"/>
          <w:lang w:val="cs-CZ"/>
        </w:rPr>
        <w:t>R</w:t>
      </w:r>
      <w:r w:rsidRPr="00DD2F1B">
        <w:rPr>
          <w:rFonts w:cs="Calibri"/>
          <w:sz w:val="22"/>
          <w:szCs w:val="22"/>
          <w:lang w:val="cs-CZ"/>
        </w:rPr>
        <w:t xml:space="preserve">C 5,8 GHz). Zavádění REETS také lze chápat jako případné připojení České republiky k projektu </w:t>
      </w:r>
      <w:proofErr w:type="spellStart"/>
      <w:r w:rsidRPr="00DD2F1B">
        <w:rPr>
          <w:rFonts w:cs="Calibri"/>
          <w:sz w:val="22"/>
          <w:szCs w:val="22"/>
          <w:lang w:val="cs-CZ"/>
        </w:rPr>
        <w:t>EasyGo</w:t>
      </w:r>
      <w:proofErr w:type="spellEnd"/>
      <w:r w:rsidRPr="00DD2F1B">
        <w:rPr>
          <w:rFonts w:cs="Calibri"/>
          <w:sz w:val="22"/>
          <w:szCs w:val="22"/>
          <w:lang w:val="cs-CZ"/>
        </w:rPr>
        <w:t>+, který k 1. lednu 2013 zavedl interoperabilitu mezi mikrovlnnými mýtnými systémy skandinávských zemí a Republiky Rakouska</w:t>
      </w:r>
      <w:r>
        <w:rPr>
          <w:rFonts w:cs="Calibri"/>
          <w:sz w:val="22"/>
          <w:szCs w:val="22"/>
          <w:lang w:val="cs-CZ"/>
        </w:rPr>
        <w:t xml:space="preserve"> fungující na </w:t>
      </w:r>
      <w:r w:rsidRPr="00DD2F1B">
        <w:rPr>
          <w:rFonts w:cs="Calibri"/>
          <w:sz w:val="22"/>
          <w:szCs w:val="22"/>
          <w:lang w:val="cs-CZ"/>
        </w:rPr>
        <w:t xml:space="preserve">DSRC 5,8 GHz. Evropskou službu elektronického mýta lze na základě mikrovlnné technologie zavést ještě do roku 2016. Určujícím faktorem pro zavedení EETS v České republice je potřebná součinnost Konsorcia Kapsch, resp. společnosti Kapsch </w:t>
      </w:r>
      <w:proofErr w:type="spellStart"/>
      <w:r w:rsidRPr="00DD2F1B">
        <w:rPr>
          <w:rFonts w:cs="Calibri"/>
          <w:sz w:val="22"/>
          <w:szCs w:val="22"/>
          <w:lang w:val="cs-CZ"/>
        </w:rPr>
        <w:t>Telematic</w:t>
      </w:r>
      <w:proofErr w:type="spellEnd"/>
      <w:r w:rsidRPr="00DD2F1B">
        <w:rPr>
          <w:rFonts w:cs="Calibri"/>
          <w:sz w:val="22"/>
          <w:szCs w:val="22"/>
          <w:lang w:val="cs-CZ"/>
        </w:rPr>
        <w:t xml:space="preserve"> </w:t>
      </w:r>
      <w:proofErr w:type="spellStart"/>
      <w:r w:rsidRPr="00DD2F1B">
        <w:rPr>
          <w:rFonts w:cs="Calibri"/>
          <w:sz w:val="22"/>
          <w:szCs w:val="22"/>
          <w:lang w:val="cs-CZ"/>
        </w:rPr>
        <w:t>Services</w:t>
      </w:r>
      <w:proofErr w:type="spellEnd"/>
      <w:r w:rsidRPr="00DD2F1B">
        <w:rPr>
          <w:rFonts w:cs="Calibri"/>
          <w:sz w:val="22"/>
          <w:szCs w:val="22"/>
          <w:lang w:val="cs-CZ"/>
        </w:rPr>
        <w:t xml:space="preserve"> s.r.o., která zastupuje Konsorcium Kapsch pro Smlouvu o službách. </w:t>
      </w:r>
      <w:r>
        <w:rPr>
          <w:rFonts w:cs="Calibri"/>
          <w:sz w:val="22"/>
          <w:szCs w:val="22"/>
          <w:lang w:val="cs-CZ"/>
        </w:rPr>
        <w:t xml:space="preserve">Je tedy nutné v první fázi zadat </w:t>
      </w:r>
      <w:r w:rsidRPr="00DD2F1B">
        <w:rPr>
          <w:rFonts w:cs="Calibri"/>
          <w:sz w:val="22"/>
          <w:szCs w:val="22"/>
          <w:lang w:val="cs-CZ"/>
        </w:rPr>
        <w:t>bezplatnou přípravu zavedení EETS v České republice, která by spočívala v:</w:t>
      </w:r>
    </w:p>
    <w:p w:rsidR="00C06DA1" w:rsidRPr="00DD2F1B" w:rsidRDefault="00C06DA1" w:rsidP="00D828F4">
      <w:pPr>
        <w:numPr>
          <w:ilvl w:val="0"/>
          <w:numId w:val="29"/>
        </w:numPr>
        <w:jc w:val="both"/>
        <w:rPr>
          <w:rFonts w:cs="Calibri"/>
          <w:sz w:val="22"/>
          <w:szCs w:val="22"/>
          <w:lang w:val="cs-CZ"/>
        </w:rPr>
      </w:pPr>
      <w:r w:rsidRPr="00DD2F1B">
        <w:rPr>
          <w:rFonts w:cs="Calibri"/>
          <w:sz w:val="22"/>
          <w:szCs w:val="22"/>
          <w:lang w:val="cs-CZ"/>
        </w:rPr>
        <w:t>návrhu systémových změn;</w:t>
      </w:r>
    </w:p>
    <w:p w:rsidR="00C06DA1" w:rsidRPr="00DD2F1B" w:rsidRDefault="00C06DA1" w:rsidP="00D828F4">
      <w:pPr>
        <w:numPr>
          <w:ilvl w:val="0"/>
          <w:numId w:val="29"/>
        </w:numPr>
        <w:jc w:val="both"/>
        <w:rPr>
          <w:rFonts w:cs="Calibri"/>
          <w:sz w:val="22"/>
          <w:szCs w:val="22"/>
          <w:lang w:val="cs-CZ"/>
        </w:rPr>
      </w:pPr>
      <w:r w:rsidRPr="00DD2F1B">
        <w:rPr>
          <w:rFonts w:cs="Calibri"/>
          <w:sz w:val="22"/>
          <w:szCs w:val="22"/>
          <w:lang w:val="cs-CZ"/>
        </w:rPr>
        <w:t>stanovení časového harmonogramu realizace navržených systémových změn a</w:t>
      </w:r>
    </w:p>
    <w:p w:rsidR="00C06DA1" w:rsidRPr="00DD2F1B" w:rsidRDefault="00C06DA1" w:rsidP="00D828F4">
      <w:pPr>
        <w:numPr>
          <w:ilvl w:val="0"/>
          <w:numId w:val="29"/>
        </w:numPr>
        <w:jc w:val="both"/>
        <w:rPr>
          <w:rFonts w:cs="Calibri"/>
          <w:sz w:val="22"/>
          <w:szCs w:val="22"/>
          <w:lang w:val="cs-CZ"/>
        </w:rPr>
      </w:pPr>
      <w:r w:rsidRPr="00DD2F1B">
        <w:rPr>
          <w:rFonts w:cs="Calibri"/>
          <w:sz w:val="22"/>
          <w:szCs w:val="22"/>
          <w:lang w:val="cs-CZ"/>
        </w:rPr>
        <w:t>finanční kalkulace realizace navržených systémových změn.</w:t>
      </w:r>
    </w:p>
    <w:p w:rsidR="00C06DA1" w:rsidRPr="00DD2F1B" w:rsidRDefault="00C06DA1" w:rsidP="00D828F4">
      <w:pPr>
        <w:jc w:val="both"/>
        <w:rPr>
          <w:sz w:val="22"/>
          <w:szCs w:val="22"/>
          <w:lang w:val="cs-CZ" w:eastAsia="cs-CZ"/>
        </w:rPr>
      </w:pPr>
      <w:r w:rsidRPr="00DD2F1B">
        <w:rPr>
          <w:rFonts w:cs="Calibri"/>
          <w:sz w:val="22"/>
          <w:szCs w:val="22"/>
          <w:lang w:val="cs-CZ"/>
        </w:rPr>
        <w:t xml:space="preserve">Současně se očekává doplnění dokumentu, který je určující pro zavádění EETS v České republice, a to Přehledu o </w:t>
      </w:r>
      <w:r>
        <w:rPr>
          <w:rFonts w:cs="Calibri"/>
          <w:sz w:val="22"/>
          <w:szCs w:val="22"/>
          <w:lang w:val="cs-CZ"/>
        </w:rPr>
        <w:t>oblasti EETS v České republice</w:t>
      </w:r>
      <w:r w:rsidRPr="00DD2F1B">
        <w:rPr>
          <w:rFonts w:cs="Calibri"/>
          <w:sz w:val="22"/>
          <w:szCs w:val="22"/>
          <w:lang w:val="cs-CZ"/>
        </w:rPr>
        <w:t xml:space="preserve">. Pojem „bezplatná“ příprava je zde uveden záměrně, neboť všechny tři body uvedené výše se Konsorcium Kapsch zavázalo uskutečnit bezplatně, tj. bez finančních nároků plynoucích se Smlouvy o službách či Smlouvy o dílo. </w:t>
      </w:r>
      <w:r>
        <w:rPr>
          <w:rFonts w:cs="Calibri"/>
          <w:sz w:val="22"/>
          <w:szCs w:val="22"/>
          <w:lang w:val="cs-CZ"/>
        </w:rPr>
        <w:t>B</w:t>
      </w:r>
      <w:r w:rsidRPr="00DD2F1B">
        <w:rPr>
          <w:rFonts w:cs="Calibri"/>
          <w:sz w:val="22"/>
          <w:szCs w:val="22"/>
          <w:lang w:val="cs-CZ"/>
        </w:rPr>
        <w:t xml:space="preserve">ez této přípravné fáze nelze odhadnout finanční prostředky, které by bylo nutné vynaložit na zavedení EETS v České republice, avšak důsledně upozorňujeme na to, že případné nezavedení EETS v České republice s určitostí povede k zahájení </w:t>
      </w:r>
      <w:r w:rsidRPr="00DD2F1B">
        <w:rPr>
          <w:sz w:val="22"/>
          <w:szCs w:val="22"/>
          <w:lang w:val="cs-CZ" w:eastAsia="cs-CZ"/>
        </w:rPr>
        <w:t>řízení o porušení Smlouvy o fungování Evropské unie, jehož důsledkem mo</w:t>
      </w:r>
      <w:r>
        <w:rPr>
          <w:sz w:val="22"/>
          <w:szCs w:val="22"/>
          <w:lang w:val="cs-CZ" w:eastAsia="cs-CZ"/>
        </w:rPr>
        <w:t xml:space="preserve">hou být citelné finanční sankce, které budou řešeny </w:t>
      </w:r>
      <w:r w:rsidRPr="002D2243">
        <w:rPr>
          <w:sz w:val="22"/>
          <w:szCs w:val="22"/>
          <w:lang w:val="cs-CZ" w:eastAsia="cs-CZ"/>
        </w:rPr>
        <w:t>s největší pravděpodobností Soudní</w:t>
      </w:r>
      <w:r>
        <w:rPr>
          <w:sz w:val="22"/>
          <w:szCs w:val="22"/>
          <w:lang w:val="cs-CZ" w:eastAsia="cs-CZ"/>
        </w:rPr>
        <w:t>m dvo</w:t>
      </w:r>
      <w:r w:rsidRPr="002D2243">
        <w:rPr>
          <w:sz w:val="22"/>
          <w:szCs w:val="22"/>
          <w:lang w:val="cs-CZ" w:eastAsia="cs-CZ"/>
        </w:rPr>
        <w:t>r</w:t>
      </w:r>
      <w:r>
        <w:rPr>
          <w:sz w:val="22"/>
          <w:szCs w:val="22"/>
          <w:lang w:val="cs-CZ" w:eastAsia="cs-CZ"/>
        </w:rPr>
        <w:t>em</w:t>
      </w:r>
      <w:r w:rsidRPr="002D2243">
        <w:rPr>
          <w:sz w:val="22"/>
          <w:szCs w:val="22"/>
          <w:lang w:val="cs-CZ" w:eastAsia="cs-CZ"/>
        </w:rPr>
        <w:t xml:space="preserve"> Evropské unie</w:t>
      </w:r>
      <w:r>
        <w:rPr>
          <w:sz w:val="22"/>
          <w:szCs w:val="22"/>
          <w:lang w:val="cs-CZ" w:eastAsia="cs-CZ"/>
        </w:rPr>
        <w:t>.</w:t>
      </w:r>
    </w:p>
    <w:p w:rsidR="00C06DA1" w:rsidRDefault="00C06DA1" w:rsidP="00D828F4">
      <w:pPr>
        <w:jc w:val="both"/>
        <w:rPr>
          <w:sz w:val="22"/>
          <w:szCs w:val="22"/>
          <w:lang w:val="cs-CZ" w:eastAsia="cs-CZ"/>
        </w:rPr>
      </w:pPr>
      <w:r w:rsidRPr="00DD2F1B">
        <w:rPr>
          <w:sz w:val="22"/>
          <w:szCs w:val="22"/>
          <w:lang w:val="cs-CZ" w:eastAsia="cs-CZ"/>
        </w:rPr>
        <w:t xml:space="preserve">Evropská služba elektronického mýta může být zavedena v České republice na bázi mikrovlnné technologie i v případě, že by došlo v roce 2016 ke změně technologie výběru mýta a od roku 2017 by byl SEM založen na technologii satelitního určování polohy vozidla (GNSS/CN). Náklady na straně případných Poskytovatelů EETS v České republice jdou k jejich tíži (ustanovení obsažené v návrhu smlouvy, která bude uzavírána mezi Poskytovatelem EETS a Provozovatelem SEM) a případný nový SEM od roku 2017 musí již funkcionalitu EETS obsahovat. Jediným negativem jsou pak investice do zavedení EETS, které se do konce roku 2016 </w:t>
      </w:r>
      <w:r>
        <w:rPr>
          <w:sz w:val="22"/>
          <w:szCs w:val="22"/>
          <w:lang w:val="cs-CZ" w:eastAsia="cs-CZ"/>
        </w:rPr>
        <w:t xml:space="preserve">nemusí jevit </w:t>
      </w:r>
      <w:r w:rsidRPr="00DD2F1B">
        <w:rPr>
          <w:sz w:val="22"/>
          <w:szCs w:val="22"/>
          <w:lang w:val="cs-CZ" w:eastAsia="cs-CZ"/>
        </w:rPr>
        <w:t>jako efektivní investice, byť lze veškeré náklady spojené se zavedením a provozem EETS započíst do mýtných sazeb, čímž se n</w:t>
      </w:r>
      <w:r>
        <w:rPr>
          <w:sz w:val="22"/>
          <w:szCs w:val="22"/>
          <w:lang w:val="cs-CZ" w:eastAsia="cs-CZ"/>
        </w:rPr>
        <w:t>e</w:t>
      </w:r>
      <w:r w:rsidRPr="00DD2F1B">
        <w:rPr>
          <w:sz w:val="22"/>
          <w:szCs w:val="22"/>
          <w:lang w:val="cs-CZ" w:eastAsia="cs-CZ"/>
        </w:rPr>
        <w:t>stanou finanční zátěž</w:t>
      </w:r>
      <w:r>
        <w:rPr>
          <w:sz w:val="22"/>
          <w:szCs w:val="22"/>
          <w:lang w:val="cs-CZ" w:eastAsia="cs-CZ"/>
        </w:rPr>
        <w:t>í</w:t>
      </w:r>
      <w:r w:rsidRPr="00DD2F1B">
        <w:rPr>
          <w:sz w:val="22"/>
          <w:szCs w:val="22"/>
          <w:lang w:val="cs-CZ" w:eastAsia="cs-CZ"/>
        </w:rPr>
        <w:t xml:space="preserve"> pro Provozovatele SEM</w:t>
      </w:r>
      <w:r>
        <w:rPr>
          <w:sz w:val="22"/>
          <w:szCs w:val="22"/>
          <w:lang w:val="cs-CZ" w:eastAsia="cs-CZ"/>
        </w:rPr>
        <w:t>, potažmo státní rozpočet</w:t>
      </w:r>
      <w:r w:rsidRPr="00DD2F1B">
        <w:rPr>
          <w:sz w:val="22"/>
          <w:szCs w:val="22"/>
          <w:lang w:val="cs-CZ" w:eastAsia="cs-CZ"/>
        </w:rPr>
        <w:t>.</w:t>
      </w:r>
    </w:p>
    <w:p w:rsidR="00C06DA1" w:rsidRPr="00DD2F1B" w:rsidRDefault="00C06DA1" w:rsidP="00D828F4">
      <w:pPr>
        <w:pStyle w:val="Nadpis1"/>
        <w:rPr>
          <w:sz w:val="40"/>
          <w:szCs w:val="40"/>
          <w:lang w:val="cs-CZ"/>
        </w:rPr>
      </w:pPr>
      <w:r w:rsidRPr="00DD2F1B">
        <w:rPr>
          <w:sz w:val="40"/>
          <w:szCs w:val="40"/>
          <w:lang w:val="cs-CZ"/>
        </w:rPr>
        <w:br w:type="page"/>
      </w:r>
      <w:bookmarkStart w:id="51" w:name="_Toc367436506"/>
      <w:bookmarkStart w:id="52" w:name="_Toc368311168"/>
      <w:bookmarkStart w:id="53" w:name="_Toc368327078"/>
      <w:bookmarkStart w:id="54" w:name="_Toc370398432"/>
      <w:r w:rsidRPr="00DD2F1B">
        <w:rPr>
          <w:sz w:val="40"/>
          <w:szCs w:val="40"/>
          <w:lang w:val="cs-CZ"/>
        </w:rPr>
        <w:lastRenderedPageBreak/>
        <w:t>KONCEPCE PO ROCE 2016</w:t>
      </w:r>
      <w:bookmarkEnd w:id="51"/>
      <w:bookmarkEnd w:id="52"/>
      <w:bookmarkEnd w:id="53"/>
      <w:bookmarkEnd w:id="54"/>
    </w:p>
    <w:p w:rsidR="00C06DA1" w:rsidRPr="00DD2F1B" w:rsidRDefault="00C06DA1" w:rsidP="00D828F4">
      <w:pPr>
        <w:pStyle w:val="Nadpis2"/>
        <w:rPr>
          <w:sz w:val="28"/>
          <w:szCs w:val="28"/>
          <w:lang w:val="cs-CZ"/>
        </w:rPr>
      </w:pPr>
      <w:bookmarkStart w:id="55" w:name="_Toc367436507"/>
      <w:bookmarkStart w:id="56" w:name="_Toc368311169"/>
      <w:bookmarkStart w:id="57" w:name="_Toc368327079"/>
      <w:bookmarkStart w:id="58" w:name="_Toc370398433"/>
      <w:r w:rsidRPr="00DD2F1B">
        <w:rPr>
          <w:kern w:val="32"/>
          <w:sz w:val="28"/>
          <w:szCs w:val="28"/>
          <w:lang w:val="cs-CZ"/>
        </w:rPr>
        <w:t>Rozsah zpoplatněných pozemních komunikací</w:t>
      </w:r>
      <w:bookmarkEnd w:id="55"/>
      <w:bookmarkEnd w:id="56"/>
      <w:bookmarkEnd w:id="57"/>
      <w:bookmarkEnd w:id="58"/>
      <w:r w:rsidRPr="00DD2F1B">
        <w:rPr>
          <w:sz w:val="28"/>
          <w:szCs w:val="28"/>
          <w:lang w:val="cs-CZ"/>
        </w:rPr>
        <w:t xml:space="preserve"> </w:t>
      </w:r>
    </w:p>
    <w:p w:rsidR="00C06DA1" w:rsidRPr="00DD2F1B" w:rsidRDefault="00C06DA1" w:rsidP="00D828F4">
      <w:pPr>
        <w:jc w:val="both"/>
        <w:rPr>
          <w:rFonts w:cs="Calibri"/>
          <w:sz w:val="22"/>
          <w:szCs w:val="22"/>
          <w:lang w:val="cs-CZ"/>
        </w:rPr>
      </w:pPr>
      <w:r w:rsidRPr="00DD2F1B">
        <w:rPr>
          <w:rFonts w:cs="Calibri"/>
          <w:sz w:val="22"/>
          <w:szCs w:val="22"/>
          <w:lang w:val="cs-CZ"/>
        </w:rPr>
        <w:t>Na následujícím grafu je znázorněna závislost ročních příjmů a výdajů na celkové délce zpoplatněných pozemních komunikací, z čehož vyplývá vysoká efektivita výkonového zpoplatnění dálnic, rychlostních silnic a vybraných úseků silnic I. třídy (silnice na síti TEN-T a paralelní).</w:t>
      </w:r>
    </w:p>
    <w:p w:rsidR="00C06DA1" w:rsidRPr="00DD2F1B" w:rsidRDefault="001C18DA" w:rsidP="00D828F4">
      <w:pPr>
        <w:jc w:val="both"/>
        <w:rPr>
          <w:rFonts w:cs="Calibri"/>
          <w:color w:val="000000"/>
          <w:szCs w:val="48"/>
          <w:lang w:val="cs-CZ"/>
        </w:rPr>
      </w:pPr>
      <w:r w:rsidRPr="001C18DA">
        <w:rPr>
          <w:rFonts w:cs="Calibri"/>
          <w:noProof/>
          <w:color w:val="000000"/>
          <w:szCs w:val="48"/>
          <w:lang w:val="cs-CZ" w:eastAsia="cs-CZ"/>
        </w:rPr>
        <w:pict>
          <v:shape id="Chart 1" o:spid="_x0000_i1033" type="#_x0000_t75" style="width:453.75pt;height:241.5pt;visibility:visible">
            <v:imagedata r:id="rId14" o:title="" cropright="-7f"/>
          </v:shape>
        </w:pict>
      </w:r>
    </w:p>
    <w:p w:rsidR="00C06DA1" w:rsidRPr="00DD2F1B" w:rsidRDefault="00C06DA1" w:rsidP="00D828F4">
      <w:pPr>
        <w:pStyle w:val="BodyText1"/>
        <w:jc w:val="center"/>
        <w:rPr>
          <w:rFonts w:cs="Calibri"/>
          <w:lang w:val="cs-CZ"/>
        </w:rPr>
      </w:pPr>
      <w:r w:rsidRPr="00DD2F1B">
        <w:rPr>
          <w:sz w:val="16"/>
          <w:szCs w:val="16"/>
          <w:lang w:val="cs-CZ"/>
        </w:rPr>
        <w:t xml:space="preserve">Graf č. </w:t>
      </w:r>
      <w:r>
        <w:rPr>
          <w:sz w:val="16"/>
          <w:szCs w:val="16"/>
          <w:lang w:val="cs-CZ"/>
        </w:rPr>
        <w:t>5</w:t>
      </w:r>
      <w:r w:rsidRPr="00DD2F1B">
        <w:rPr>
          <w:sz w:val="16"/>
          <w:szCs w:val="16"/>
          <w:lang w:val="cs-CZ"/>
        </w:rPr>
        <w:t xml:space="preserve"> – Odhadované roční příjmy a náklady v závislosti na délce zpoplatněných pozemních komunikací</w:t>
      </w:r>
    </w:p>
    <w:p w:rsidR="00C06DA1" w:rsidRPr="00DD2F1B" w:rsidRDefault="00C06DA1" w:rsidP="00D828F4">
      <w:pPr>
        <w:jc w:val="both"/>
        <w:rPr>
          <w:rFonts w:cs="Calibri"/>
          <w:sz w:val="22"/>
          <w:szCs w:val="22"/>
          <w:lang w:val="cs-CZ"/>
        </w:rPr>
      </w:pPr>
      <w:r w:rsidRPr="00DD2F1B">
        <w:rPr>
          <w:rFonts w:cs="Calibri"/>
          <w:sz w:val="22"/>
          <w:szCs w:val="22"/>
          <w:lang w:val="cs-CZ"/>
        </w:rPr>
        <w:t xml:space="preserve">Rozsah zpoplatněných pozemních komunikací lze stanovit s/bez ohledu na posuzované varianty, avšak nelze už s určitou mírou pravděpodobnosti konstatovat, která z těchto variant je efektivní či nikoliv. </w:t>
      </w:r>
      <w:r>
        <w:rPr>
          <w:rFonts w:cs="Calibri"/>
          <w:sz w:val="22"/>
          <w:szCs w:val="22"/>
          <w:lang w:val="cs-CZ"/>
        </w:rPr>
        <w:t xml:space="preserve">Varianty </w:t>
      </w:r>
      <w:r w:rsidRPr="00DD2F1B">
        <w:rPr>
          <w:rFonts w:cs="Calibri"/>
          <w:sz w:val="22"/>
          <w:szCs w:val="22"/>
          <w:lang w:val="cs-CZ"/>
        </w:rPr>
        <w:t>zpoplatněn</w:t>
      </w:r>
      <w:r>
        <w:rPr>
          <w:rFonts w:cs="Calibri"/>
          <w:sz w:val="22"/>
          <w:szCs w:val="22"/>
          <w:lang w:val="cs-CZ"/>
        </w:rPr>
        <w:t>í</w:t>
      </w:r>
      <w:r w:rsidRPr="00DD2F1B">
        <w:rPr>
          <w:rFonts w:cs="Calibri"/>
          <w:sz w:val="22"/>
          <w:szCs w:val="22"/>
          <w:lang w:val="cs-CZ"/>
        </w:rPr>
        <w:t xml:space="preserve"> po roce 2016 lze tak rozdělit do následujících variant:</w:t>
      </w:r>
    </w:p>
    <w:p w:rsidR="00C06DA1" w:rsidRPr="00F3479A" w:rsidRDefault="00C06DA1" w:rsidP="00D828F4">
      <w:pPr>
        <w:pStyle w:val="Nadpis3"/>
        <w:rPr>
          <w:lang w:val="cs-CZ"/>
        </w:rPr>
      </w:pPr>
      <w:bookmarkStart w:id="59" w:name="_Toc367436508"/>
      <w:bookmarkStart w:id="60" w:name="_Toc368311170"/>
      <w:bookmarkStart w:id="61" w:name="_Toc368327080"/>
      <w:bookmarkStart w:id="62" w:name="_Toc370398434"/>
      <w:r w:rsidRPr="00F3479A">
        <w:rPr>
          <w:lang w:val="cs-CZ"/>
        </w:rPr>
        <w:t>Varianty způsobu zpoplatnění</w:t>
      </w:r>
      <w:bookmarkEnd w:id="59"/>
      <w:bookmarkEnd w:id="60"/>
      <w:bookmarkEnd w:id="61"/>
      <w:bookmarkEnd w:id="62"/>
    </w:p>
    <w:p w:rsidR="00C06DA1" w:rsidRPr="00DD2F1B" w:rsidRDefault="00C06DA1" w:rsidP="00D828F4">
      <w:pPr>
        <w:pStyle w:val="BodyText1"/>
        <w:numPr>
          <w:ilvl w:val="0"/>
          <w:numId w:val="27"/>
        </w:numPr>
        <w:spacing w:before="120" w:after="0" w:line="240" w:lineRule="auto"/>
        <w:rPr>
          <w:rFonts w:cs="Calibri"/>
          <w:szCs w:val="22"/>
          <w:u w:val="single"/>
          <w:lang w:val="cs-CZ"/>
        </w:rPr>
      </w:pPr>
      <w:r w:rsidRPr="00DD2F1B">
        <w:rPr>
          <w:rFonts w:cs="Calibri"/>
          <w:szCs w:val="22"/>
          <w:u w:val="single"/>
          <w:lang w:val="cs-CZ"/>
        </w:rPr>
        <w:t>Časové zpoplatnění:</w:t>
      </w:r>
    </w:p>
    <w:p w:rsidR="00C06DA1" w:rsidRPr="00DD2F1B" w:rsidRDefault="00C06DA1" w:rsidP="00D828F4">
      <w:pPr>
        <w:pStyle w:val="BodyText1"/>
        <w:numPr>
          <w:ilvl w:val="1"/>
          <w:numId w:val="27"/>
        </w:numPr>
        <w:spacing w:before="120" w:after="0" w:line="240" w:lineRule="auto"/>
        <w:rPr>
          <w:rFonts w:cs="Calibri"/>
          <w:szCs w:val="22"/>
          <w:lang w:val="cs-CZ"/>
        </w:rPr>
      </w:pPr>
      <w:r w:rsidRPr="00DD2F1B">
        <w:rPr>
          <w:rFonts w:cs="Calibri"/>
          <w:szCs w:val="22"/>
          <w:lang w:val="cs-CZ"/>
        </w:rPr>
        <w:t>výhody:</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ověřený a spolehlivý způsob výběru časových poplatků;</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odpovídající distribuční sít;</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bez významných investičních nákladů (vyjma dopravního značení);</w:t>
      </w:r>
    </w:p>
    <w:p w:rsidR="00C06DA1"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vysoká efektivita výběru časových poplatků;</w:t>
      </w:r>
    </w:p>
    <w:p w:rsidR="00C06DA1" w:rsidRPr="00DD2F1B" w:rsidRDefault="00C06DA1" w:rsidP="00D828F4">
      <w:pPr>
        <w:pStyle w:val="BodyText1"/>
        <w:numPr>
          <w:ilvl w:val="1"/>
          <w:numId w:val="27"/>
        </w:numPr>
        <w:spacing w:before="120" w:after="0" w:line="240" w:lineRule="auto"/>
        <w:rPr>
          <w:rFonts w:cs="Calibri"/>
          <w:szCs w:val="22"/>
          <w:lang w:val="cs-CZ"/>
        </w:rPr>
      </w:pPr>
      <w:r w:rsidRPr="00DD2F1B">
        <w:rPr>
          <w:rFonts w:cs="Calibri"/>
          <w:szCs w:val="22"/>
          <w:lang w:val="cs-CZ"/>
        </w:rPr>
        <w:t>nevýhody:</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bez růstového a vývojového potenciálu;</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nedostatečný způsob kontroly – nízká vymahatelnost;</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nespravedlivý způsob zpoplatnění.</w:t>
      </w:r>
    </w:p>
    <w:p w:rsidR="00C06DA1" w:rsidRPr="00DD2F1B" w:rsidRDefault="00C06DA1" w:rsidP="00D828F4">
      <w:pPr>
        <w:pStyle w:val="BodyText1"/>
        <w:numPr>
          <w:ilvl w:val="0"/>
          <w:numId w:val="27"/>
        </w:numPr>
        <w:spacing w:before="120" w:after="0" w:line="240" w:lineRule="auto"/>
        <w:rPr>
          <w:rFonts w:cs="Calibri"/>
          <w:szCs w:val="22"/>
          <w:u w:val="single"/>
          <w:lang w:val="cs-CZ"/>
        </w:rPr>
      </w:pPr>
      <w:r w:rsidRPr="00DD2F1B">
        <w:rPr>
          <w:rFonts w:cs="Calibri"/>
          <w:szCs w:val="22"/>
          <w:u w:val="single"/>
          <w:lang w:val="cs-CZ"/>
        </w:rPr>
        <w:lastRenderedPageBreak/>
        <w:t>Výkonové zpoplatnění:</w:t>
      </w:r>
    </w:p>
    <w:p w:rsidR="00C06DA1" w:rsidRPr="00DD2F1B" w:rsidRDefault="00C06DA1" w:rsidP="00D828F4">
      <w:pPr>
        <w:pStyle w:val="BodyText1"/>
        <w:numPr>
          <w:ilvl w:val="1"/>
          <w:numId w:val="27"/>
        </w:numPr>
        <w:spacing w:before="120" w:after="0" w:line="240" w:lineRule="auto"/>
        <w:rPr>
          <w:rFonts w:cs="Calibri"/>
          <w:szCs w:val="22"/>
          <w:lang w:val="cs-CZ"/>
        </w:rPr>
      </w:pPr>
      <w:r w:rsidRPr="00DD2F1B">
        <w:rPr>
          <w:rFonts w:cs="Calibri"/>
          <w:szCs w:val="22"/>
          <w:lang w:val="cs-CZ"/>
        </w:rPr>
        <w:t>výhody:</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růstový a vývojový potenciál;</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spravedlivý způsob zpoplatnění;</w:t>
      </w:r>
    </w:p>
    <w:p w:rsidR="00C06DA1" w:rsidRPr="00DD2F1B" w:rsidRDefault="00C06DA1" w:rsidP="00D828F4">
      <w:pPr>
        <w:pStyle w:val="BodyText1"/>
        <w:numPr>
          <w:ilvl w:val="1"/>
          <w:numId w:val="27"/>
        </w:numPr>
        <w:spacing w:before="120" w:after="0" w:line="240" w:lineRule="auto"/>
        <w:rPr>
          <w:rFonts w:cs="Calibri"/>
          <w:szCs w:val="22"/>
          <w:lang w:val="cs-CZ"/>
        </w:rPr>
      </w:pPr>
      <w:r w:rsidRPr="00DD2F1B">
        <w:rPr>
          <w:rFonts w:cs="Calibri"/>
          <w:szCs w:val="22"/>
          <w:lang w:val="cs-CZ"/>
        </w:rPr>
        <w:t>nevýhody:</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 xml:space="preserve">v závislosti na technologickém řešení významné investiční náklady (především </w:t>
      </w:r>
      <w:r>
        <w:rPr>
          <w:rFonts w:cs="Calibri"/>
          <w:szCs w:val="22"/>
          <w:lang w:val="cs-CZ"/>
        </w:rPr>
        <w:t>palubní zařízení</w:t>
      </w:r>
      <w:r w:rsidRPr="00DD2F1B">
        <w:rPr>
          <w:rFonts w:cs="Calibri"/>
          <w:szCs w:val="22"/>
          <w:lang w:val="cs-CZ"/>
        </w:rPr>
        <w:t>);</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 xml:space="preserve">s růstem zpoplatněné sítě narůstá i počet jednotek podílejících se na vymáhání povinnosti platit mýtné (pevný a mobilní </w:t>
      </w:r>
      <w:proofErr w:type="spellStart"/>
      <w:r w:rsidRPr="00DD2F1B">
        <w:rPr>
          <w:rFonts w:cs="Calibri"/>
          <w:szCs w:val="22"/>
          <w:lang w:val="cs-CZ"/>
        </w:rPr>
        <w:t>enforcement</w:t>
      </w:r>
      <w:proofErr w:type="spellEnd"/>
      <w:r w:rsidRPr="00DD2F1B">
        <w:rPr>
          <w:rFonts w:cs="Calibri"/>
          <w:szCs w:val="22"/>
          <w:lang w:val="cs-CZ"/>
        </w:rPr>
        <w:t xml:space="preserve">, vozidla </w:t>
      </w:r>
      <w:proofErr w:type="spellStart"/>
      <w:r>
        <w:rPr>
          <w:rFonts w:cs="Calibri"/>
          <w:szCs w:val="22"/>
          <w:lang w:val="cs-CZ"/>
        </w:rPr>
        <w:t>enforcementu</w:t>
      </w:r>
      <w:proofErr w:type="spellEnd"/>
      <w:r>
        <w:rPr>
          <w:rFonts w:cs="Calibri"/>
          <w:szCs w:val="22"/>
          <w:lang w:val="cs-CZ"/>
        </w:rPr>
        <w:t>, počet pracovníků (</w:t>
      </w:r>
      <w:r w:rsidRPr="00DD2F1B">
        <w:rPr>
          <w:rFonts w:cs="Calibri"/>
          <w:szCs w:val="22"/>
          <w:lang w:val="cs-CZ"/>
        </w:rPr>
        <w:t xml:space="preserve">dnes příslušníci Celní správy ČR) vykonávajících </w:t>
      </w:r>
      <w:proofErr w:type="spellStart"/>
      <w:r w:rsidRPr="00DD2F1B">
        <w:rPr>
          <w:rFonts w:cs="Calibri"/>
          <w:szCs w:val="22"/>
          <w:lang w:val="cs-CZ"/>
        </w:rPr>
        <w:t>enformecement</w:t>
      </w:r>
      <w:proofErr w:type="spellEnd"/>
      <w:r w:rsidRPr="00DD2F1B">
        <w:rPr>
          <w:rFonts w:cs="Calibri"/>
          <w:szCs w:val="22"/>
          <w:lang w:val="cs-CZ"/>
        </w:rPr>
        <w:t xml:space="preserve"> atd.).</w:t>
      </w:r>
    </w:p>
    <w:p w:rsidR="00C06DA1" w:rsidRPr="00F3479A" w:rsidRDefault="00C06DA1" w:rsidP="00D828F4">
      <w:pPr>
        <w:pStyle w:val="Nadpis3"/>
        <w:rPr>
          <w:lang w:val="cs-CZ"/>
        </w:rPr>
      </w:pPr>
      <w:bookmarkStart w:id="63" w:name="_Toc367436509"/>
      <w:bookmarkStart w:id="64" w:name="_Toc368311171"/>
      <w:bookmarkStart w:id="65" w:name="_Toc368327081"/>
      <w:bookmarkStart w:id="66" w:name="_Toc370398435"/>
      <w:r w:rsidRPr="00F3479A">
        <w:rPr>
          <w:lang w:val="cs-CZ"/>
        </w:rPr>
        <w:t>Varianty zachování stávajícího systému elektronického mýta</w:t>
      </w:r>
      <w:bookmarkEnd w:id="63"/>
      <w:bookmarkEnd w:id="64"/>
      <w:bookmarkEnd w:id="65"/>
      <w:bookmarkEnd w:id="66"/>
    </w:p>
    <w:p w:rsidR="00C06DA1" w:rsidRPr="00DD2F1B" w:rsidRDefault="00C06DA1" w:rsidP="00D828F4">
      <w:pPr>
        <w:pStyle w:val="BodyText1"/>
        <w:numPr>
          <w:ilvl w:val="0"/>
          <w:numId w:val="27"/>
        </w:numPr>
        <w:spacing w:before="120" w:after="0" w:line="240" w:lineRule="auto"/>
        <w:rPr>
          <w:rFonts w:cs="Calibri"/>
          <w:szCs w:val="22"/>
          <w:u w:val="single"/>
          <w:lang w:val="cs-CZ"/>
        </w:rPr>
      </w:pPr>
      <w:r w:rsidRPr="00DD2F1B">
        <w:rPr>
          <w:rFonts w:cs="Calibri"/>
          <w:szCs w:val="22"/>
          <w:u w:val="single"/>
          <w:lang w:val="cs-CZ"/>
        </w:rPr>
        <w:t>Zachování a další využívání již pořízeného systému výkonového zpoplatnění:</w:t>
      </w:r>
    </w:p>
    <w:p w:rsidR="00C06DA1" w:rsidRPr="00DD2F1B" w:rsidRDefault="00C06DA1" w:rsidP="00D828F4">
      <w:pPr>
        <w:pStyle w:val="BodyText1"/>
        <w:numPr>
          <w:ilvl w:val="1"/>
          <w:numId w:val="27"/>
        </w:numPr>
        <w:spacing w:before="120" w:after="0" w:line="240" w:lineRule="auto"/>
        <w:rPr>
          <w:rFonts w:cs="Calibri"/>
          <w:szCs w:val="22"/>
          <w:lang w:val="cs-CZ"/>
        </w:rPr>
      </w:pPr>
      <w:r w:rsidRPr="00DD2F1B">
        <w:rPr>
          <w:rFonts w:cs="Calibri"/>
          <w:szCs w:val="22"/>
          <w:lang w:val="cs-CZ"/>
        </w:rPr>
        <w:t>výhody:</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využití značné investice do Systému elektronického mýta;</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využití systému, který bude koncem roku 2016 v bezvadném stavu a plně funkční;</w:t>
      </w:r>
    </w:p>
    <w:p w:rsidR="00C06DA1" w:rsidRDefault="00C06DA1" w:rsidP="00FF29F6">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použití ověřené, spolehlivé a plně standardizované technologie;</w:t>
      </w:r>
    </w:p>
    <w:p w:rsidR="00C06DA1" w:rsidRPr="00FF29F6" w:rsidRDefault="00C06DA1" w:rsidP="00D828F4">
      <w:pPr>
        <w:pStyle w:val="BodyText1"/>
        <w:numPr>
          <w:ilvl w:val="2"/>
          <w:numId w:val="27"/>
        </w:numPr>
        <w:spacing w:before="120" w:after="0" w:line="240" w:lineRule="auto"/>
        <w:ind w:left="2154" w:hanging="357"/>
        <w:rPr>
          <w:rFonts w:cs="Calibri"/>
          <w:szCs w:val="22"/>
          <w:lang w:val="cs-CZ"/>
        </w:rPr>
      </w:pPr>
      <w:r w:rsidRPr="00FF29F6">
        <w:rPr>
          <w:rFonts w:cs="Calibri"/>
          <w:szCs w:val="22"/>
          <w:lang w:val="cs-CZ"/>
        </w:rPr>
        <w:t>využití stávajících palubních jednotek (cca 690 tis. ks);</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okamžité zahájení implementace Evropské služby elektronického mýta</w:t>
      </w:r>
      <w:r w:rsidRPr="00DD2F1B">
        <w:rPr>
          <w:rFonts w:cs="Calibri"/>
          <w:szCs w:val="22"/>
          <w:lang w:val="cs-CZ"/>
        </w:rPr>
        <w:tab/>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okamžité zahájení regionální interoperability jako předstupně EETS;</w:t>
      </w:r>
    </w:p>
    <w:p w:rsidR="00C06DA1" w:rsidRPr="00DD2F1B" w:rsidRDefault="00C06DA1" w:rsidP="00D828F4">
      <w:pPr>
        <w:pStyle w:val="BodyText1"/>
        <w:numPr>
          <w:ilvl w:val="1"/>
          <w:numId w:val="27"/>
        </w:numPr>
        <w:spacing w:before="120" w:after="0" w:line="240" w:lineRule="auto"/>
        <w:rPr>
          <w:rFonts w:cs="Calibri"/>
          <w:szCs w:val="22"/>
          <w:lang w:val="cs-CZ"/>
        </w:rPr>
      </w:pPr>
      <w:r w:rsidRPr="00DD2F1B">
        <w:rPr>
          <w:rFonts w:cs="Calibri"/>
          <w:szCs w:val="22"/>
          <w:lang w:val="cs-CZ"/>
        </w:rPr>
        <w:t>nevýhody:</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szCs w:val="22"/>
          <w:lang w:val="cs-CZ"/>
        </w:rPr>
        <w:t>hrozba obtížného převzetí stávajícího Systému elektronického mýta.</w:t>
      </w:r>
    </w:p>
    <w:p w:rsidR="00C06DA1" w:rsidRPr="00DD2F1B" w:rsidRDefault="00C06DA1" w:rsidP="00D828F4">
      <w:pPr>
        <w:pStyle w:val="BodyText1"/>
        <w:numPr>
          <w:ilvl w:val="0"/>
          <w:numId w:val="27"/>
        </w:numPr>
        <w:spacing w:before="120" w:after="0" w:line="240" w:lineRule="auto"/>
        <w:rPr>
          <w:rFonts w:cs="Calibri"/>
          <w:szCs w:val="22"/>
          <w:u w:val="single"/>
          <w:lang w:val="cs-CZ"/>
        </w:rPr>
      </w:pPr>
      <w:r w:rsidRPr="00DD2F1B">
        <w:rPr>
          <w:rFonts w:cs="Calibri"/>
          <w:szCs w:val="22"/>
          <w:u w:val="single"/>
          <w:lang w:val="cs-CZ"/>
        </w:rPr>
        <w:t>Nahrazení již pořízeného systému výkonového zpoplatnění novým systémem:</w:t>
      </w:r>
    </w:p>
    <w:p w:rsidR="00C06DA1" w:rsidRPr="00DD2F1B" w:rsidRDefault="00C06DA1" w:rsidP="00D828F4">
      <w:pPr>
        <w:pStyle w:val="BodyText1"/>
        <w:numPr>
          <w:ilvl w:val="1"/>
          <w:numId w:val="27"/>
        </w:numPr>
        <w:spacing w:before="120" w:after="0" w:line="240" w:lineRule="auto"/>
        <w:rPr>
          <w:rFonts w:cs="Calibri"/>
          <w:szCs w:val="22"/>
          <w:lang w:val="cs-CZ"/>
        </w:rPr>
      </w:pPr>
      <w:r w:rsidRPr="00DD2F1B">
        <w:rPr>
          <w:rFonts w:cs="Calibri"/>
          <w:szCs w:val="22"/>
          <w:lang w:val="cs-CZ"/>
        </w:rPr>
        <w:t>výhody:</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nově navržený systém dle současně platných standardů z oblasti dopravní telematiky – elektronického zpoplatnění;</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lze zahájit implementaci Evropské služby elektronického mýta, avšak náklady spojené s jejím zavedením nebudou efektivně vynaloženy;</w:t>
      </w:r>
    </w:p>
    <w:p w:rsidR="00C06DA1" w:rsidRPr="00DD2F1B" w:rsidRDefault="00C06DA1" w:rsidP="00D828F4">
      <w:pPr>
        <w:pStyle w:val="BodyText1"/>
        <w:numPr>
          <w:ilvl w:val="1"/>
          <w:numId w:val="27"/>
        </w:numPr>
        <w:spacing w:before="120" w:after="0" w:line="240" w:lineRule="auto"/>
        <w:rPr>
          <w:rFonts w:cs="Calibri"/>
          <w:szCs w:val="22"/>
          <w:lang w:val="cs-CZ"/>
        </w:rPr>
      </w:pPr>
      <w:r w:rsidRPr="00DD2F1B">
        <w:rPr>
          <w:rFonts w:cs="Calibri"/>
          <w:szCs w:val="22"/>
          <w:lang w:val="cs-CZ"/>
        </w:rPr>
        <w:t>nevýhody:</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znehodnocení investice do současného Systému elektronického mýta;</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 xml:space="preserve">nová významná investice do nového systému a </w:t>
      </w:r>
      <w:r>
        <w:rPr>
          <w:rFonts w:cs="Calibri"/>
          <w:szCs w:val="22"/>
          <w:lang w:val="cs-CZ"/>
        </w:rPr>
        <w:t>palubních zařízení</w:t>
      </w:r>
      <w:r w:rsidRPr="00DD2F1B">
        <w:rPr>
          <w:szCs w:val="22"/>
          <w:lang w:val="cs-CZ"/>
        </w:rPr>
        <w:t xml:space="preserve"> (v řádu cca 3,6 až 4,4 mld. Kč)</w:t>
      </w:r>
      <w:r w:rsidRPr="00DD2F1B">
        <w:rPr>
          <w:rFonts w:cs="Calibri"/>
          <w:szCs w:val="22"/>
          <w:lang w:val="cs-CZ"/>
        </w:rPr>
        <w:t>;</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 xml:space="preserve">obtížná migrace dat mezi systémy a uživatelů mezi </w:t>
      </w:r>
      <w:r>
        <w:rPr>
          <w:rFonts w:cs="Calibri"/>
          <w:szCs w:val="22"/>
          <w:lang w:val="cs-CZ"/>
        </w:rPr>
        <w:t>palubními zařízeními</w:t>
      </w:r>
      <w:r w:rsidRPr="00DD2F1B">
        <w:rPr>
          <w:rFonts w:cs="Calibri"/>
          <w:szCs w:val="22"/>
          <w:lang w:val="cs-CZ"/>
        </w:rPr>
        <w:t>;</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t>v roce 2016 tak budou provozovány dva paralelní systémy;</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szCs w:val="22"/>
          <w:lang w:val="cs-CZ"/>
        </w:rPr>
        <w:t>dle rozsahu zpoplatnění může dojít k použití technologie, která není plně standardizována;</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rFonts w:cs="Calibri"/>
          <w:szCs w:val="22"/>
          <w:lang w:val="cs-CZ"/>
        </w:rPr>
        <w:lastRenderedPageBreak/>
        <w:t>lze zahájit implementaci Evropské služby elektronického mýta, avšak náklady spojené s jejím zavedením nebudou efektivně vynaloženy;</w:t>
      </w:r>
    </w:p>
    <w:p w:rsidR="00C06DA1" w:rsidRPr="00DD2F1B" w:rsidRDefault="00C06DA1" w:rsidP="00D828F4">
      <w:pPr>
        <w:pStyle w:val="BodyText1"/>
        <w:numPr>
          <w:ilvl w:val="2"/>
          <w:numId w:val="27"/>
        </w:numPr>
        <w:spacing w:before="120" w:after="0" w:line="240" w:lineRule="auto"/>
        <w:ind w:left="2154" w:hanging="357"/>
        <w:rPr>
          <w:rFonts w:cs="Calibri"/>
          <w:szCs w:val="22"/>
          <w:lang w:val="cs-CZ"/>
        </w:rPr>
      </w:pPr>
      <w:r w:rsidRPr="00DD2F1B">
        <w:rPr>
          <w:szCs w:val="22"/>
          <w:lang w:val="cs-CZ"/>
        </w:rPr>
        <w:t>nelze zahájit regionální interoperabilitu.</w:t>
      </w:r>
    </w:p>
    <w:p w:rsidR="00C06DA1" w:rsidRPr="00DD2F1B" w:rsidRDefault="00C06DA1" w:rsidP="00D828F4">
      <w:pPr>
        <w:pStyle w:val="BodyText1"/>
        <w:numPr>
          <w:ilvl w:val="0"/>
          <w:numId w:val="27"/>
        </w:numPr>
        <w:spacing w:before="120" w:after="0" w:line="240" w:lineRule="auto"/>
        <w:rPr>
          <w:rFonts w:cs="Calibri"/>
          <w:szCs w:val="22"/>
          <w:u w:val="single"/>
          <w:lang w:val="cs-CZ"/>
        </w:rPr>
      </w:pPr>
      <w:r w:rsidRPr="00DD2F1B">
        <w:rPr>
          <w:rFonts w:cs="Calibri"/>
          <w:szCs w:val="22"/>
          <w:u w:val="single"/>
          <w:lang w:val="cs-CZ"/>
        </w:rPr>
        <w:t>Rozhodnutí o využití ponechat na uchazeči v </w:t>
      </w:r>
      <w:r>
        <w:rPr>
          <w:rFonts w:cs="Calibri"/>
          <w:szCs w:val="22"/>
          <w:u w:val="single"/>
          <w:lang w:val="cs-CZ"/>
        </w:rPr>
        <w:t>zadávacím</w:t>
      </w:r>
      <w:r w:rsidRPr="00DD2F1B">
        <w:rPr>
          <w:rFonts w:cs="Calibri"/>
          <w:szCs w:val="22"/>
          <w:u w:val="single"/>
          <w:lang w:val="cs-CZ"/>
        </w:rPr>
        <w:t xml:space="preserve"> řízení:</w:t>
      </w:r>
    </w:p>
    <w:p w:rsidR="00C06DA1" w:rsidRPr="00DD2F1B" w:rsidRDefault="00C06DA1" w:rsidP="00D828F4">
      <w:pPr>
        <w:pStyle w:val="BodyText1"/>
        <w:numPr>
          <w:ilvl w:val="1"/>
          <w:numId w:val="27"/>
        </w:numPr>
        <w:spacing w:before="120" w:after="0" w:line="240" w:lineRule="auto"/>
        <w:rPr>
          <w:rFonts w:cs="Calibri"/>
          <w:szCs w:val="22"/>
          <w:lang w:val="cs-CZ"/>
        </w:rPr>
      </w:pPr>
      <w:r w:rsidRPr="00DD2F1B">
        <w:rPr>
          <w:rFonts w:cs="Calibri"/>
          <w:szCs w:val="22"/>
          <w:lang w:val="cs-CZ"/>
        </w:rPr>
        <w:t>výhody – vyplynou z konečného rozhodnutí, zda Systém elektronického mýta bude či nebude využit (mezi hlavní výhodu lze považovat fakt, že dojde ke srovnání nabídek různého technologického řešení);</w:t>
      </w:r>
    </w:p>
    <w:p w:rsidR="00C06DA1" w:rsidRPr="00DD2F1B" w:rsidRDefault="00C06DA1" w:rsidP="00D828F4">
      <w:pPr>
        <w:pStyle w:val="BodyText1"/>
        <w:numPr>
          <w:ilvl w:val="1"/>
          <w:numId w:val="27"/>
        </w:numPr>
        <w:spacing w:before="120" w:after="0" w:line="240" w:lineRule="auto"/>
        <w:rPr>
          <w:rFonts w:cs="Calibri"/>
          <w:szCs w:val="22"/>
          <w:lang w:val="cs-CZ"/>
        </w:rPr>
      </w:pPr>
      <w:r w:rsidRPr="00DD2F1B">
        <w:rPr>
          <w:rFonts w:cs="Calibri"/>
          <w:szCs w:val="22"/>
          <w:lang w:val="cs-CZ"/>
        </w:rPr>
        <w:t>nevýhody – vyplynou z konečného rozhodnutí, zda Systém elektronického mýta bude či nebude využit.</w:t>
      </w:r>
    </w:p>
    <w:p w:rsidR="00C06DA1" w:rsidRPr="00F3479A" w:rsidRDefault="00C06DA1" w:rsidP="00D828F4">
      <w:pPr>
        <w:pStyle w:val="Nadpis3"/>
        <w:rPr>
          <w:lang w:val="cs-CZ"/>
        </w:rPr>
      </w:pPr>
      <w:bookmarkStart w:id="67" w:name="_Toc367436510"/>
      <w:bookmarkStart w:id="68" w:name="_Toc368311172"/>
      <w:bookmarkStart w:id="69" w:name="_Toc368327082"/>
      <w:bookmarkStart w:id="70" w:name="_Toc370398436"/>
      <w:r w:rsidRPr="00F3479A">
        <w:rPr>
          <w:lang w:val="cs-CZ"/>
        </w:rPr>
        <w:t>Varianty rozsahu</w:t>
      </w:r>
      <w:bookmarkEnd w:id="67"/>
      <w:bookmarkEnd w:id="68"/>
      <w:bookmarkEnd w:id="69"/>
      <w:bookmarkEnd w:id="70"/>
    </w:p>
    <w:p w:rsidR="00C06DA1" w:rsidRPr="006A5A11" w:rsidRDefault="00C06DA1" w:rsidP="00D828F4">
      <w:pPr>
        <w:jc w:val="both"/>
        <w:rPr>
          <w:sz w:val="22"/>
          <w:szCs w:val="22"/>
          <w:lang w:val="cs-CZ"/>
        </w:rPr>
      </w:pPr>
      <w:r w:rsidRPr="006A5A11">
        <w:rPr>
          <w:b/>
          <w:sz w:val="22"/>
          <w:szCs w:val="22"/>
          <w:lang w:val="cs-CZ"/>
        </w:rPr>
        <w:t>Varianta I</w:t>
      </w:r>
      <w:r w:rsidRPr="006A5A11">
        <w:rPr>
          <w:sz w:val="22"/>
          <w:szCs w:val="22"/>
          <w:lang w:val="cs-CZ"/>
        </w:rPr>
        <w:t xml:space="preserve"> – tato varianta obsahuje po roce 2016 síť pozemních komunikací o rozsahu stávajícího stavu zpoplatněných pozemních komunikací rozšířenou o postupnou výstavbu, a to formou výkonového zpoplatnění. Ve své podstatě tak tato varianta obsahuje následné posuzované realizační varianty 0 a 01 (viz kapitola Posuzované realizační varianty).</w:t>
      </w:r>
    </w:p>
    <w:p w:rsidR="00C06DA1" w:rsidRPr="006A5A11" w:rsidRDefault="00C06DA1" w:rsidP="00D828F4">
      <w:pPr>
        <w:jc w:val="both"/>
        <w:rPr>
          <w:sz w:val="22"/>
          <w:szCs w:val="22"/>
          <w:lang w:val="cs-CZ"/>
        </w:rPr>
      </w:pPr>
      <w:r w:rsidRPr="006A5A11">
        <w:rPr>
          <w:b/>
          <w:sz w:val="22"/>
          <w:szCs w:val="22"/>
          <w:lang w:val="cs-CZ"/>
        </w:rPr>
        <w:t>Varianta II</w:t>
      </w:r>
      <w:r w:rsidRPr="006A5A11">
        <w:rPr>
          <w:sz w:val="22"/>
          <w:szCs w:val="22"/>
          <w:lang w:val="cs-CZ"/>
        </w:rPr>
        <w:t xml:space="preserve"> – tato varianta obsahuje po roce 2016 síť pozemních komunikací o rozsahu stávajícího stavu zpoplatněných pozemních komunikací rozšířenou o postupnou výstavbu a síť silnic I. třídy o rozsahu cca 1000 km s vysokou efektivitou výběru mýta. Jedná se tedy o silnice I. třídy s vysokým podílem nákladních vozidel, především vozidel nad 12 tun. Opět se jedná o výkonové zpoplatnění. Ve své podstatě tak tato varianta obsahuje částečně posuzovanou realizační variantu B.</w:t>
      </w:r>
    </w:p>
    <w:p w:rsidR="00C06DA1" w:rsidRPr="006A5A11" w:rsidRDefault="00C06DA1" w:rsidP="00D828F4">
      <w:pPr>
        <w:jc w:val="both"/>
        <w:rPr>
          <w:sz w:val="22"/>
          <w:szCs w:val="22"/>
          <w:lang w:val="cs-CZ"/>
        </w:rPr>
      </w:pPr>
      <w:r w:rsidRPr="006A5A11">
        <w:rPr>
          <w:b/>
          <w:sz w:val="22"/>
          <w:szCs w:val="22"/>
          <w:lang w:val="cs-CZ"/>
        </w:rPr>
        <w:t>Varianta III</w:t>
      </w:r>
      <w:r w:rsidRPr="006A5A11">
        <w:rPr>
          <w:sz w:val="22"/>
          <w:szCs w:val="22"/>
          <w:lang w:val="cs-CZ"/>
        </w:rPr>
        <w:t xml:space="preserve"> - tato varianta obsahuje po roce 2016 síť pozemních komunikací o rozsahu stávajícího stavu zpoplatněných pozemních komunikací rozšířenou o postupnou výstavbu a všechny silnice I. třídy. Ve své podstatě tak tato varianta obsahuje částečně posuzované realizační varianty A </w:t>
      </w:r>
      <w:proofErr w:type="spellStart"/>
      <w:r w:rsidRPr="006A5A11">
        <w:rPr>
          <w:sz w:val="22"/>
          <w:szCs w:val="22"/>
          <w:lang w:val="cs-CZ"/>
        </w:rPr>
        <w:t>a</w:t>
      </w:r>
      <w:proofErr w:type="spellEnd"/>
      <w:r w:rsidRPr="006A5A11">
        <w:rPr>
          <w:sz w:val="22"/>
          <w:szCs w:val="22"/>
          <w:lang w:val="cs-CZ"/>
        </w:rPr>
        <w:t xml:space="preserve"> B, tedy časové či výkonové zpoplatnění silnic I. třídy.</w:t>
      </w:r>
    </w:p>
    <w:p w:rsidR="00C06DA1" w:rsidRPr="006A5A11" w:rsidRDefault="00C06DA1" w:rsidP="00D828F4">
      <w:pPr>
        <w:jc w:val="both"/>
        <w:rPr>
          <w:sz w:val="22"/>
          <w:szCs w:val="22"/>
          <w:lang w:val="cs-CZ"/>
        </w:rPr>
      </w:pPr>
      <w:r w:rsidRPr="006A5A11">
        <w:rPr>
          <w:b/>
          <w:sz w:val="22"/>
          <w:szCs w:val="22"/>
          <w:lang w:val="cs-CZ"/>
        </w:rPr>
        <w:t>Varianta IV</w:t>
      </w:r>
      <w:r w:rsidRPr="006A5A11">
        <w:rPr>
          <w:sz w:val="22"/>
          <w:szCs w:val="22"/>
          <w:lang w:val="cs-CZ"/>
        </w:rPr>
        <w:t xml:space="preserve"> - tato varianta obsahuje po roce 2016 síť pozemních komunikací o rozsahu stávajícího stavu zpoplatněných pozemních komunikací rozšířenou o postupnou výstavbu, všechny silnice I. třídy a vybrané úseky silnic II. a III. třídy. Tato varianta byla na základě předběžných analýz vyřazena z doporučených variant, a to z důvodu neefektivního zpoplatnění silnic II. a III. třídy. Pro částečné zpoplatnění silnic II. a III. třídy lze uvažovat s největší pravděpodobností výkonové zpoplatnění.</w:t>
      </w:r>
    </w:p>
    <w:p w:rsidR="00C06DA1" w:rsidRPr="006A5A11" w:rsidRDefault="00C06DA1" w:rsidP="00D828F4">
      <w:pPr>
        <w:jc w:val="both"/>
        <w:rPr>
          <w:sz w:val="22"/>
          <w:szCs w:val="22"/>
          <w:lang w:val="cs-CZ"/>
        </w:rPr>
      </w:pPr>
      <w:r w:rsidRPr="006A5A11">
        <w:rPr>
          <w:b/>
          <w:sz w:val="22"/>
          <w:szCs w:val="22"/>
          <w:lang w:val="cs-CZ"/>
        </w:rPr>
        <w:t>Varianta V</w:t>
      </w:r>
      <w:r w:rsidRPr="006A5A11">
        <w:rPr>
          <w:sz w:val="22"/>
          <w:szCs w:val="22"/>
          <w:lang w:val="cs-CZ"/>
        </w:rPr>
        <w:t xml:space="preserve"> - tato varianta obsahuje po roce 2016 síť pozemních komunikací o rozsahu stávajícího stavu zpoplatněných pozemních komunikací rozšířenou o postupnou výstavbu, všechny silnice I. třídy a všechny silnic II. a III. třídy. Tato varianta, jak již bylo uvedeno výše, byla na základě předběžných analýz vyřazena z doporučených variant, a to z důvodu neefektivního zpoplatnění silnic II. a III. třídy. Pro zpoplatnění silnic II. a III. třídy lze uvažovat obě dvě formy zpoplatnění, kdy dálnice a rychlostní silnice lze zpoplatnit výkonově a silnice I., II. a III. třídy lze zpoplatnit časově, případně lze všechny tyto pozemní komunikace zpoplatnit výkonově.</w:t>
      </w:r>
    </w:p>
    <w:p w:rsidR="00C06DA1" w:rsidRPr="006A5A11" w:rsidRDefault="00C06DA1" w:rsidP="00D828F4">
      <w:pPr>
        <w:jc w:val="both"/>
        <w:rPr>
          <w:rFonts w:cs="Calibri"/>
          <w:sz w:val="22"/>
          <w:szCs w:val="22"/>
          <w:lang w:val="cs-CZ"/>
        </w:rPr>
      </w:pPr>
      <w:r w:rsidRPr="006A5A11">
        <w:rPr>
          <w:rFonts w:cs="Calibri"/>
          <w:sz w:val="22"/>
          <w:szCs w:val="22"/>
          <w:lang w:val="cs-CZ"/>
        </w:rPr>
        <w:t>Pro každou variantu je nutné posuzovat souvis</w:t>
      </w:r>
      <w:r>
        <w:rPr>
          <w:rFonts w:cs="Calibri"/>
          <w:sz w:val="22"/>
          <w:szCs w:val="22"/>
          <w:lang w:val="cs-CZ"/>
        </w:rPr>
        <w:t>ející faktory (viz následující T</w:t>
      </w:r>
      <w:r w:rsidRPr="006A5A11">
        <w:rPr>
          <w:rFonts w:cs="Calibri"/>
          <w:sz w:val="22"/>
          <w:szCs w:val="22"/>
          <w:lang w:val="cs-CZ"/>
        </w:rPr>
        <w:t>abulka</w:t>
      </w:r>
      <w:r>
        <w:rPr>
          <w:rFonts w:cs="Calibri"/>
          <w:sz w:val="22"/>
          <w:szCs w:val="22"/>
          <w:lang w:val="cs-CZ"/>
        </w:rPr>
        <w:t xml:space="preserve"> č. 5</w:t>
      </w:r>
      <w:r w:rsidRPr="006A5A11">
        <w:rPr>
          <w:rFonts w:cs="Calibri"/>
          <w:sz w:val="22"/>
          <w:szCs w:val="22"/>
          <w:lang w:val="cs-CZ"/>
        </w:rPr>
        <w:t>):</w:t>
      </w:r>
    </w:p>
    <w:p w:rsidR="00C06DA1" w:rsidRPr="00DD2F1B" w:rsidRDefault="00C06DA1" w:rsidP="00D828F4">
      <w:pPr>
        <w:pStyle w:val="BodyText1"/>
        <w:numPr>
          <w:ilvl w:val="0"/>
          <w:numId w:val="27"/>
        </w:numPr>
        <w:rPr>
          <w:rFonts w:cs="Calibri"/>
          <w:szCs w:val="22"/>
          <w:lang w:val="cs-CZ"/>
        </w:rPr>
      </w:pPr>
      <w:r w:rsidRPr="00DD2F1B">
        <w:rPr>
          <w:rFonts w:cs="Calibri"/>
          <w:szCs w:val="22"/>
          <w:lang w:val="cs-CZ"/>
        </w:rPr>
        <w:t>zda bude požadováno zachování a další využívání již pořízeného systému výkonového zpoplatnění</w:t>
      </w:r>
      <w:r>
        <w:rPr>
          <w:rFonts w:cs="Calibri"/>
          <w:szCs w:val="22"/>
          <w:lang w:val="cs-CZ"/>
        </w:rPr>
        <w:t xml:space="preserve">, resp. jeho komponent </w:t>
      </w:r>
      <w:r w:rsidRPr="00DD2F1B">
        <w:rPr>
          <w:rFonts w:cs="Calibri"/>
          <w:szCs w:val="22"/>
          <w:lang w:val="cs-CZ"/>
        </w:rPr>
        <w:t>(ano/ne/ponecháno na výběru uchazeče)</w:t>
      </w:r>
      <w:r>
        <w:rPr>
          <w:rFonts w:cs="Calibri"/>
          <w:szCs w:val="22"/>
          <w:lang w:val="cs-CZ"/>
        </w:rPr>
        <w:t>;</w:t>
      </w:r>
    </w:p>
    <w:p w:rsidR="00C06DA1" w:rsidRPr="00DD2F1B" w:rsidRDefault="00C06DA1" w:rsidP="00D828F4">
      <w:pPr>
        <w:pStyle w:val="BodyText1"/>
        <w:numPr>
          <w:ilvl w:val="0"/>
          <w:numId w:val="27"/>
        </w:numPr>
        <w:rPr>
          <w:rFonts w:cs="Calibri"/>
          <w:szCs w:val="22"/>
          <w:lang w:val="cs-CZ"/>
        </w:rPr>
      </w:pPr>
      <w:r w:rsidRPr="00DD2F1B">
        <w:rPr>
          <w:rFonts w:cs="Calibri"/>
          <w:szCs w:val="22"/>
          <w:lang w:val="cs-CZ"/>
        </w:rPr>
        <w:lastRenderedPageBreak/>
        <w:t>zda bude zvoleno časové nebo výkonové zpoplatnění silnic I. až III. tř</w:t>
      </w:r>
      <w:r>
        <w:rPr>
          <w:rFonts w:cs="Calibri"/>
          <w:szCs w:val="22"/>
          <w:lang w:val="cs-CZ"/>
        </w:rPr>
        <w:t>ídy.</w:t>
      </w:r>
      <w:r w:rsidRPr="00DD2F1B">
        <w:rPr>
          <w:rFonts w:cs="Calibri"/>
          <w:szCs w:val="22"/>
          <w:lang w:val="cs-CZ"/>
        </w:rPr>
        <w:t xml:space="preserve"> </w:t>
      </w:r>
    </w:p>
    <w:tbl>
      <w:tblPr>
        <w:tblW w:w="9048" w:type="dxa"/>
        <w:tblBorders>
          <w:bottom w:val="single" w:sz="4" w:space="0" w:color="72C7E7"/>
          <w:insideH w:val="single" w:sz="4" w:space="0" w:color="72C7E7"/>
        </w:tblBorders>
        <w:tblLayout w:type="fixed"/>
        <w:tblCellMar>
          <w:top w:w="28" w:type="dxa"/>
          <w:left w:w="28" w:type="dxa"/>
          <w:bottom w:w="28" w:type="dxa"/>
          <w:right w:w="28" w:type="dxa"/>
        </w:tblCellMar>
        <w:tblLook w:val="01E0"/>
      </w:tblPr>
      <w:tblGrid>
        <w:gridCol w:w="1368"/>
        <w:gridCol w:w="1900"/>
        <w:gridCol w:w="963"/>
        <w:gridCol w:w="963"/>
        <w:gridCol w:w="964"/>
        <w:gridCol w:w="963"/>
        <w:gridCol w:w="963"/>
        <w:gridCol w:w="964"/>
      </w:tblGrid>
      <w:tr w:rsidR="00C06DA1" w:rsidRPr="00D95ED2">
        <w:tc>
          <w:tcPr>
            <w:tcW w:w="1368" w:type="dxa"/>
            <w:shd w:val="clear" w:color="auto" w:fill="72C7E7"/>
          </w:tcPr>
          <w:p w:rsidR="00C06DA1" w:rsidRPr="00D95ED2" w:rsidRDefault="00C06DA1" w:rsidP="00A565CF">
            <w:pPr>
              <w:rPr>
                <w:rFonts w:ascii="Arial" w:hAnsi="Arial"/>
                <w:b/>
                <w:color w:val="FFFFFF"/>
                <w:sz w:val="19"/>
                <w:lang w:val="cs-CZ"/>
              </w:rPr>
            </w:pPr>
          </w:p>
        </w:tc>
        <w:tc>
          <w:tcPr>
            <w:tcW w:w="1900" w:type="dxa"/>
            <w:shd w:val="clear" w:color="auto" w:fill="72C7E7"/>
          </w:tcPr>
          <w:p w:rsidR="00C06DA1" w:rsidRPr="00D95ED2" w:rsidRDefault="00C06DA1" w:rsidP="00A565CF">
            <w:pPr>
              <w:rPr>
                <w:rFonts w:ascii="Arial" w:hAnsi="Arial"/>
                <w:b/>
                <w:color w:val="FFFFFF"/>
                <w:sz w:val="19"/>
                <w:lang w:val="cs-CZ"/>
              </w:rPr>
            </w:pPr>
            <w:r w:rsidRPr="00D95ED2">
              <w:rPr>
                <w:rFonts w:ascii="Arial" w:hAnsi="Arial"/>
                <w:b/>
                <w:color w:val="FFFFFF"/>
                <w:sz w:val="19"/>
                <w:lang w:val="cs-CZ"/>
              </w:rPr>
              <w:t>Způsob zpoplatnění</w:t>
            </w:r>
          </w:p>
        </w:tc>
        <w:tc>
          <w:tcPr>
            <w:tcW w:w="2890" w:type="dxa"/>
            <w:gridSpan w:val="3"/>
            <w:shd w:val="clear" w:color="auto" w:fill="72C7E7"/>
          </w:tcPr>
          <w:p w:rsidR="00C06DA1" w:rsidRPr="00D95ED2" w:rsidRDefault="00C06DA1" w:rsidP="00A565CF">
            <w:pPr>
              <w:jc w:val="center"/>
              <w:rPr>
                <w:rFonts w:ascii="Arial" w:hAnsi="Arial"/>
                <w:b/>
                <w:color w:val="FFFFFF"/>
                <w:sz w:val="19"/>
                <w:lang w:val="cs-CZ"/>
              </w:rPr>
            </w:pPr>
            <w:r w:rsidRPr="00D95ED2">
              <w:rPr>
                <w:rFonts w:ascii="Arial" w:hAnsi="Arial"/>
                <w:b/>
                <w:color w:val="FFFFFF"/>
                <w:sz w:val="19"/>
                <w:lang w:val="cs-CZ"/>
              </w:rPr>
              <w:t>Časové</w:t>
            </w:r>
            <w:r w:rsidRPr="00D95ED2">
              <w:rPr>
                <w:rFonts w:ascii="Arial" w:hAnsi="Arial"/>
                <w:b/>
                <w:color w:val="FFFFFF"/>
                <w:sz w:val="19"/>
                <w:lang w:val="cs-CZ"/>
              </w:rPr>
              <w:br/>
              <w:t>(Dálnice, rychlostní silnice a vybrané úseky silnic I. třídy zpoplatněny vždy výkonově)</w:t>
            </w:r>
          </w:p>
        </w:tc>
        <w:tc>
          <w:tcPr>
            <w:tcW w:w="2890" w:type="dxa"/>
            <w:gridSpan w:val="3"/>
            <w:shd w:val="clear" w:color="auto" w:fill="72C7E7"/>
          </w:tcPr>
          <w:p w:rsidR="00C06DA1" w:rsidRPr="00D95ED2" w:rsidRDefault="00C06DA1" w:rsidP="00A565CF">
            <w:pPr>
              <w:jc w:val="center"/>
              <w:rPr>
                <w:rFonts w:ascii="Arial" w:hAnsi="Arial"/>
                <w:b/>
                <w:color w:val="FFFFFF"/>
                <w:sz w:val="19"/>
                <w:lang w:val="cs-CZ"/>
              </w:rPr>
            </w:pPr>
            <w:r w:rsidRPr="00D95ED2">
              <w:rPr>
                <w:rFonts w:ascii="Arial" w:hAnsi="Arial"/>
                <w:b/>
                <w:color w:val="FFFFFF"/>
                <w:sz w:val="19"/>
                <w:lang w:val="cs-CZ"/>
              </w:rPr>
              <w:t>Výkonové</w:t>
            </w:r>
          </w:p>
        </w:tc>
      </w:tr>
      <w:tr w:rsidR="00C06DA1" w:rsidRPr="00D95ED2">
        <w:tc>
          <w:tcPr>
            <w:tcW w:w="1368" w:type="dxa"/>
            <w:shd w:val="clear" w:color="auto" w:fill="FFFFFF"/>
          </w:tcPr>
          <w:p w:rsidR="00C06DA1" w:rsidRPr="00D95ED2" w:rsidRDefault="00C06DA1" w:rsidP="00A565CF">
            <w:pPr>
              <w:spacing w:before="120" w:after="120" w:line="240" w:lineRule="auto"/>
              <w:rPr>
                <w:rFonts w:ascii="Arial" w:hAnsi="Arial"/>
                <w:sz w:val="19"/>
                <w:lang w:val="cs-CZ"/>
              </w:rPr>
            </w:pPr>
          </w:p>
        </w:tc>
        <w:tc>
          <w:tcPr>
            <w:tcW w:w="1900" w:type="dxa"/>
            <w:shd w:val="clear" w:color="auto" w:fill="FFFFFF"/>
          </w:tcPr>
          <w:p w:rsidR="00C06DA1" w:rsidRPr="00D95ED2" w:rsidRDefault="00C06DA1" w:rsidP="00A565CF">
            <w:pPr>
              <w:spacing w:before="120" w:after="120" w:line="240" w:lineRule="auto"/>
              <w:rPr>
                <w:rFonts w:ascii="Arial" w:hAnsi="Arial"/>
                <w:sz w:val="19"/>
                <w:lang w:val="cs-CZ"/>
              </w:rPr>
            </w:pPr>
            <w:r w:rsidRPr="00D95ED2">
              <w:rPr>
                <w:rFonts w:ascii="Arial" w:hAnsi="Arial"/>
                <w:sz w:val="19"/>
                <w:lang w:val="cs-CZ"/>
              </w:rPr>
              <w:t>Požadavek na zachování stávajícího systému</w:t>
            </w:r>
          </w:p>
        </w:tc>
        <w:tc>
          <w:tcPr>
            <w:tcW w:w="963" w:type="dxa"/>
            <w:shd w:val="clear" w:color="auto" w:fill="FFFFFF"/>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ANO</w:t>
            </w:r>
          </w:p>
        </w:tc>
        <w:tc>
          <w:tcPr>
            <w:tcW w:w="963" w:type="dxa"/>
            <w:shd w:val="clear" w:color="auto" w:fill="FFFFFF"/>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NE</w:t>
            </w:r>
          </w:p>
        </w:tc>
        <w:tc>
          <w:tcPr>
            <w:tcW w:w="964" w:type="dxa"/>
            <w:shd w:val="clear" w:color="auto" w:fill="FFFFFF"/>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Volitelné</w:t>
            </w:r>
          </w:p>
        </w:tc>
        <w:tc>
          <w:tcPr>
            <w:tcW w:w="963" w:type="dxa"/>
            <w:shd w:val="clear" w:color="auto" w:fill="FFFFFF"/>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ANO</w:t>
            </w:r>
          </w:p>
        </w:tc>
        <w:tc>
          <w:tcPr>
            <w:tcW w:w="963" w:type="dxa"/>
            <w:shd w:val="clear" w:color="auto" w:fill="FFFFFF"/>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NE</w:t>
            </w:r>
          </w:p>
        </w:tc>
        <w:tc>
          <w:tcPr>
            <w:tcW w:w="964" w:type="dxa"/>
            <w:shd w:val="clear" w:color="auto" w:fill="FFFFFF"/>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Volitelné</w:t>
            </w:r>
          </w:p>
        </w:tc>
      </w:tr>
      <w:tr w:rsidR="00C06DA1" w:rsidRPr="00D95ED2">
        <w:tc>
          <w:tcPr>
            <w:tcW w:w="1368" w:type="dxa"/>
          </w:tcPr>
          <w:p w:rsidR="00C06DA1" w:rsidRPr="00D95ED2" w:rsidRDefault="00C06DA1" w:rsidP="00A565CF">
            <w:pPr>
              <w:spacing w:before="120" w:after="120" w:line="240" w:lineRule="auto"/>
              <w:rPr>
                <w:rFonts w:ascii="Arial" w:hAnsi="Arial"/>
                <w:sz w:val="19"/>
                <w:lang w:val="cs-CZ"/>
              </w:rPr>
            </w:pPr>
            <w:r w:rsidRPr="00D95ED2">
              <w:rPr>
                <w:rFonts w:ascii="Arial" w:hAnsi="Arial"/>
                <w:sz w:val="19"/>
                <w:lang w:val="cs-CZ"/>
              </w:rPr>
              <w:t>Varianta I</w:t>
            </w:r>
          </w:p>
        </w:tc>
        <w:tc>
          <w:tcPr>
            <w:tcW w:w="1900" w:type="dxa"/>
          </w:tcPr>
          <w:p w:rsidR="00C06DA1" w:rsidRPr="00D95ED2" w:rsidRDefault="00C06DA1" w:rsidP="00A565CF">
            <w:pPr>
              <w:spacing w:before="120" w:after="120" w:line="240" w:lineRule="auto"/>
              <w:rPr>
                <w:rFonts w:ascii="Arial" w:hAnsi="Arial"/>
                <w:sz w:val="19"/>
                <w:lang w:val="cs-CZ"/>
              </w:rPr>
            </w:pPr>
            <w:r w:rsidRPr="00D95ED2">
              <w:rPr>
                <w:rFonts w:ascii="Arial" w:hAnsi="Arial"/>
                <w:sz w:val="19"/>
                <w:lang w:val="cs-CZ"/>
              </w:rPr>
              <w:t>D+R+VUSI</w:t>
            </w:r>
          </w:p>
        </w:tc>
        <w:tc>
          <w:tcPr>
            <w:tcW w:w="963" w:type="dxa"/>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X</w:t>
            </w:r>
          </w:p>
        </w:tc>
        <w:tc>
          <w:tcPr>
            <w:tcW w:w="963" w:type="dxa"/>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X</w:t>
            </w:r>
          </w:p>
        </w:tc>
        <w:tc>
          <w:tcPr>
            <w:tcW w:w="964" w:type="dxa"/>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X</w:t>
            </w:r>
          </w:p>
        </w:tc>
        <w:tc>
          <w:tcPr>
            <w:tcW w:w="963" w:type="dxa"/>
            <w:shd w:val="clear" w:color="auto" w:fill="99CC00"/>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A</w:t>
            </w:r>
          </w:p>
        </w:tc>
        <w:tc>
          <w:tcPr>
            <w:tcW w:w="963" w:type="dxa"/>
            <w:shd w:val="clear" w:color="auto" w:fill="FFCC99"/>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N</w:t>
            </w:r>
          </w:p>
        </w:tc>
        <w:tc>
          <w:tcPr>
            <w:tcW w:w="964" w:type="dxa"/>
            <w:shd w:val="clear" w:color="auto" w:fill="FFCC99"/>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N</w:t>
            </w:r>
          </w:p>
        </w:tc>
      </w:tr>
      <w:tr w:rsidR="00C06DA1" w:rsidRPr="00D95ED2">
        <w:tc>
          <w:tcPr>
            <w:tcW w:w="1368" w:type="dxa"/>
            <w:tcBorders>
              <w:right w:val="nil"/>
            </w:tcBorders>
          </w:tcPr>
          <w:p w:rsidR="00C06DA1" w:rsidRPr="00D95ED2" w:rsidRDefault="00C06DA1" w:rsidP="00A565CF">
            <w:pPr>
              <w:spacing w:before="120" w:after="120" w:line="240" w:lineRule="auto"/>
              <w:rPr>
                <w:rFonts w:ascii="Arial" w:hAnsi="Arial"/>
                <w:sz w:val="19"/>
                <w:lang w:val="cs-CZ"/>
              </w:rPr>
            </w:pPr>
            <w:r w:rsidRPr="00D95ED2">
              <w:rPr>
                <w:rFonts w:ascii="Arial" w:hAnsi="Arial"/>
                <w:sz w:val="19"/>
                <w:lang w:val="cs-CZ"/>
              </w:rPr>
              <w:t>Varianta II</w:t>
            </w:r>
          </w:p>
        </w:tc>
        <w:tc>
          <w:tcPr>
            <w:tcW w:w="1900" w:type="dxa"/>
            <w:tcBorders>
              <w:left w:val="nil"/>
              <w:right w:val="nil"/>
            </w:tcBorders>
          </w:tcPr>
          <w:p w:rsidR="00C06DA1" w:rsidRPr="00D95ED2" w:rsidRDefault="00C06DA1" w:rsidP="00A565CF">
            <w:pPr>
              <w:spacing w:before="120" w:after="120" w:line="240" w:lineRule="auto"/>
              <w:rPr>
                <w:rFonts w:ascii="Arial" w:hAnsi="Arial"/>
                <w:sz w:val="19"/>
                <w:lang w:val="cs-CZ"/>
              </w:rPr>
            </w:pPr>
            <w:r w:rsidRPr="00D95ED2">
              <w:rPr>
                <w:rFonts w:ascii="Arial" w:hAnsi="Arial"/>
                <w:sz w:val="19"/>
                <w:lang w:val="cs-CZ"/>
              </w:rPr>
              <w:t>D+R+1000</w:t>
            </w:r>
          </w:p>
        </w:tc>
        <w:tc>
          <w:tcPr>
            <w:tcW w:w="963" w:type="dxa"/>
            <w:tcBorders>
              <w:left w:val="nil"/>
              <w:right w:val="nil"/>
            </w:tcBorders>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X</w:t>
            </w:r>
          </w:p>
        </w:tc>
        <w:tc>
          <w:tcPr>
            <w:tcW w:w="963" w:type="dxa"/>
            <w:tcBorders>
              <w:left w:val="nil"/>
              <w:right w:val="nil"/>
            </w:tcBorders>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X</w:t>
            </w:r>
          </w:p>
        </w:tc>
        <w:tc>
          <w:tcPr>
            <w:tcW w:w="964" w:type="dxa"/>
            <w:tcBorders>
              <w:left w:val="nil"/>
              <w:right w:val="nil"/>
            </w:tcBorders>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X</w:t>
            </w:r>
          </w:p>
        </w:tc>
        <w:tc>
          <w:tcPr>
            <w:tcW w:w="963" w:type="dxa"/>
            <w:tcBorders>
              <w:left w:val="nil"/>
              <w:right w:val="nil"/>
            </w:tcBorders>
            <w:shd w:val="clear" w:color="auto" w:fill="99CC00"/>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A</w:t>
            </w:r>
          </w:p>
        </w:tc>
        <w:tc>
          <w:tcPr>
            <w:tcW w:w="963" w:type="dxa"/>
            <w:tcBorders>
              <w:left w:val="nil"/>
              <w:right w:val="nil"/>
            </w:tcBorders>
            <w:shd w:val="clear" w:color="auto" w:fill="99CC00"/>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A</w:t>
            </w:r>
          </w:p>
        </w:tc>
        <w:tc>
          <w:tcPr>
            <w:tcW w:w="964" w:type="dxa"/>
            <w:tcBorders>
              <w:left w:val="nil"/>
            </w:tcBorders>
            <w:shd w:val="clear" w:color="auto" w:fill="99CC00"/>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A</w:t>
            </w:r>
          </w:p>
        </w:tc>
      </w:tr>
      <w:tr w:rsidR="00C06DA1" w:rsidRPr="00D95ED2">
        <w:tc>
          <w:tcPr>
            <w:tcW w:w="1368" w:type="dxa"/>
            <w:tcBorders>
              <w:right w:val="nil"/>
            </w:tcBorders>
          </w:tcPr>
          <w:p w:rsidR="00C06DA1" w:rsidRPr="00D95ED2" w:rsidRDefault="00C06DA1" w:rsidP="00A565CF">
            <w:pPr>
              <w:spacing w:before="120" w:after="120" w:line="240" w:lineRule="auto"/>
              <w:rPr>
                <w:rFonts w:ascii="Arial" w:hAnsi="Arial"/>
                <w:sz w:val="19"/>
                <w:lang w:val="cs-CZ"/>
              </w:rPr>
            </w:pPr>
            <w:r w:rsidRPr="00D95ED2">
              <w:rPr>
                <w:rFonts w:ascii="Arial" w:hAnsi="Arial"/>
                <w:sz w:val="19"/>
                <w:lang w:val="cs-CZ"/>
              </w:rPr>
              <w:t>Varianta III</w:t>
            </w:r>
          </w:p>
        </w:tc>
        <w:tc>
          <w:tcPr>
            <w:tcW w:w="1900" w:type="dxa"/>
            <w:tcBorders>
              <w:left w:val="nil"/>
              <w:right w:val="nil"/>
            </w:tcBorders>
          </w:tcPr>
          <w:p w:rsidR="00C06DA1" w:rsidRPr="00D95ED2" w:rsidRDefault="00C06DA1" w:rsidP="00A565CF">
            <w:pPr>
              <w:spacing w:before="120" w:after="120" w:line="240" w:lineRule="auto"/>
              <w:rPr>
                <w:rFonts w:ascii="Arial" w:hAnsi="Arial"/>
                <w:sz w:val="19"/>
                <w:lang w:val="cs-CZ"/>
              </w:rPr>
            </w:pPr>
            <w:r w:rsidRPr="00D95ED2">
              <w:rPr>
                <w:rFonts w:ascii="Arial" w:hAnsi="Arial"/>
                <w:sz w:val="19"/>
                <w:lang w:val="cs-CZ"/>
              </w:rPr>
              <w:t>D+R+SI</w:t>
            </w:r>
          </w:p>
        </w:tc>
        <w:tc>
          <w:tcPr>
            <w:tcW w:w="963" w:type="dxa"/>
            <w:tcBorders>
              <w:left w:val="nil"/>
              <w:right w:val="nil"/>
            </w:tcBorders>
            <w:shd w:val="clear" w:color="auto" w:fill="99CC00"/>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A</w:t>
            </w:r>
          </w:p>
        </w:tc>
        <w:tc>
          <w:tcPr>
            <w:tcW w:w="963" w:type="dxa"/>
            <w:tcBorders>
              <w:left w:val="nil"/>
              <w:right w:val="nil"/>
            </w:tcBorders>
            <w:shd w:val="clear" w:color="auto" w:fill="FFCC99"/>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N</w:t>
            </w:r>
          </w:p>
        </w:tc>
        <w:tc>
          <w:tcPr>
            <w:tcW w:w="964" w:type="dxa"/>
            <w:tcBorders>
              <w:left w:val="nil"/>
              <w:right w:val="nil"/>
            </w:tcBorders>
            <w:shd w:val="clear" w:color="auto" w:fill="FFCC99"/>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N</w:t>
            </w:r>
          </w:p>
        </w:tc>
        <w:tc>
          <w:tcPr>
            <w:tcW w:w="963" w:type="dxa"/>
            <w:tcBorders>
              <w:left w:val="nil"/>
              <w:right w:val="nil"/>
            </w:tcBorders>
            <w:shd w:val="clear" w:color="auto" w:fill="99CC00"/>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A</w:t>
            </w:r>
          </w:p>
        </w:tc>
        <w:tc>
          <w:tcPr>
            <w:tcW w:w="963" w:type="dxa"/>
            <w:tcBorders>
              <w:left w:val="nil"/>
              <w:right w:val="nil"/>
            </w:tcBorders>
            <w:shd w:val="clear" w:color="auto" w:fill="99CC00"/>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A</w:t>
            </w:r>
          </w:p>
        </w:tc>
        <w:tc>
          <w:tcPr>
            <w:tcW w:w="964" w:type="dxa"/>
            <w:tcBorders>
              <w:left w:val="nil"/>
            </w:tcBorders>
            <w:shd w:val="clear" w:color="auto" w:fill="99CC00"/>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A</w:t>
            </w:r>
          </w:p>
        </w:tc>
      </w:tr>
      <w:tr w:rsidR="00C06DA1" w:rsidRPr="00D95ED2">
        <w:tc>
          <w:tcPr>
            <w:tcW w:w="1368" w:type="dxa"/>
            <w:tcBorders>
              <w:right w:val="nil"/>
            </w:tcBorders>
          </w:tcPr>
          <w:p w:rsidR="00C06DA1" w:rsidRPr="00D95ED2" w:rsidRDefault="00C06DA1" w:rsidP="00A565CF">
            <w:pPr>
              <w:spacing w:before="120" w:after="120" w:line="240" w:lineRule="auto"/>
              <w:rPr>
                <w:rFonts w:ascii="Arial" w:hAnsi="Arial"/>
                <w:sz w:val="19"/>
                <w:lang w:val="cs-CZ"/>
              </w:rPr>
            </w:pPr>
            <w:r w:rsidRPr="00D95ED2">
              <w:rPr>
                <w:rFonts w:ascii="Arial" w:hAnsi="Arial"/>
                <w:sz w:val="19"/>
                <w:lang w:val="cs-CZ"/>
              </w:rPr>
              <w:t>Varianta IV</w:t>
            </w:r>
          </w:p>
        </w:tc>
        <w:tc>
          <w:tcPr>
            <w:tcW w:w="1900" w:type="dxa"/>
            <w:tcBorders>
              <w:left w:val="nil"/>
              <w:right w:val="nil"/>
            </w:tcBorders>
          </w:tcPr>
          <w:p w:rsidR="00C06DA1" w:rsidRPr="00D95ED2" w:rsidRDefault="00C06DA1" w:rsidP="00A565CF">
            <w:pPr>
              <w:spacing w:before="120" w:after="120" w:line="240" w:lineRule="auto"/>
              <w:rPr>
                <w:rFonts w:ascii="Arial" w:hAnsi="Arial"/>
                <w:sz w:val="19"/>
                <w:lang w:val="cs-CZ"/>
              </w:rPr>
            </w:pPr>
            <w:r w:rsidRPr="00D95ED2">
              <w:rPr>
                <w:rFonts w:ascii="Arial" w:hAnsi="Arial"/>
                <w:sz w:val="19"/>
                <w:lang w:val="cs-CZ"/>
              </w:rPr>
              <w:t>D+R+SI+VUSII-III</w:t>
            </w:r>
          </w:p>
        </w:tc>
        <w:tc>
          <w:tcPr>
            <w:tcW w:w="963" w:type="dxa"/>
            <w:tcBorders>
              <w:left w:val="nil"/>
              <w:right w:val="nil"/>
            </w:tcBorders>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X</w:t>
            </w:r>
          </w:p>
        </w:tc>
        <w:tc>
          <w:tcPr>
            <w:tcW w:w="963" w:type="dxa"/>
            <w:tcBorders>
              <w:left w:val="nil"/>
              <w:right w:val="nil"/>
            </w:tcBorders>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X</w:t>
            </w:r>
          </w:p>
        </w:tc>
        <w:tc>
          <w:tcPr>
            <w:tcW w:w="964" w:type="dxa"/>
            <w:tcBorders>
              <w:left w:val="nil"/>
              <w:right w:val="nil"/>
            </w:tcBorders>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X</w:t>
            </w:r>
          </w:p>
        </w:tc>
        <w:tc>
          <w:tcPr>
            <w:tcW w:w="963" w:type="dxa"/>
            <w:tcBorders>
              <w:left w:val="nil"/>
              <w:right w:val="nil"/>
            </w:tcBorders>
            <w:shd w:val="clear" w:color="auto" w:fill="99CC00"/>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A</w:t>
            </w:r>
          </w:p>
        </w:tc>
        <w:tc>
          <w:tcPr>
            <w:tcW w:w="963" w:type="dxa"/>
            <w:tcBorders>
              <w:left w:val="nil"/>
              <w:right w:val="nil"/>
            </w:tcBorders>
            <w:shd w:val="clear" w:color="auto" w:fill="99CC00"/>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A</w:t>
            </w:r>
          </w:p>
        </w:tc>
        <w:tc>
          <w:tcPr>
            <w:tcW w:w="964" w:type="dxa"/>
            <w:tcBorders>
              <w:left w:val="nil"/>
            </w:tcBorders>
            <w:shd w:val="clear" w:color="auto" w:fill="99CC00"/>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A</w:t>
            </w:r>
          </w:p>
        </w:tc>
      </w:tr>
      <w:tr w:rsidR="00C06DA1" w:rsidRPr="00D95ED2">
        <w:tc>
          <w:tcPr>
            <w:tcW w:w="1368" w:type="dxa"/>
            <w:tcBorders>
              <w:bottom w:val="nil"/>
              <w:right w:val="nil"/>
            </w:tcBorders>
          </w:tcPr>
          <w:p w:rsidR="00C06DA1" w:rsidRPr="00D95ED2" w:rsidRDefault="00C06DA1" w:rsidP="00A565CF">
            <w:pPr>
              <w:spacing w:before="120" w:after="120" w:line="240" w:lineRule="auto"/>
              <w:rPr>
                <w:rFonts w:ascii="Arial" w:hAnsi="Arial"/>
                <w:sz w:val="19"/>
                <w:lang w:val="cs-CZ"/>
              </w:rPr>
            </w:pPr>
            <w:r w:rsidRPr="00D95ED2">
              <w:rPr>
                <w:rFonts w:ascii="Arial" w:hAnsi="Arial"/>
                <w:sz w:val="19"/>
                <w:lang w:val="cs-CZ"/>
              </w:rPr>
              <w:t>Varianta V</w:t>
            </w:r>
          </w:p>
        </w:tc>
        <w:tc>
          <w:tcPr>
            <w:tcW w:w="1900" w:type="dxa"/>
            <w:tcBorders>
              <w:left w:val="nil"/>
              <w:bottom w:val="nil"/>
              <w:right w:val="nil"/>
            </w:tcBorders>
          </w:tcPr>
          <w:p w:rsidR="00C06DA1" w:rsidRPr="00D95ED2" w:rsidRDefault="00C06DA1" w:rsidP="00A565CF">
            <w:pPr>
              <w:spacing w:before="120" w:after="120" w:line="240" w:lineRule="auto"/>
              <w:rPr>
                <w:rFonts w:ascii="Arial" w:hAnsi="Arial"/>
                <w:sz w:val="19"/>
                <w:lang w:val="cs-CZ"/>
              </w:rPr>
            </w:pPr>
            <w:r w:rsidRPr="00D95ED2">
              <w:rPr>
                <w:rFonts w:ascii="Arial" w:hAnsi="Arial"/>
                <w:sz w:val="19"/>
                <w:lang w:val="cs-CZ"/>
              </w:rPr>
              <w:t>D+R+SI-III</w:t>
            </w:r>
          </w:p>
        </w:tc>
        <w:tc>
          <w:tcPr>
            <w:tcW w:w="963" w:type="dxa"/>
            <w:tcBorders>
              <w:left w:val="nil"/>
              <w:bottom w:val="nil"/>
              <w:right w:val="nil"/>
            </w:tcBorders>
            <w:shd w:val="clear" w:color="auto" w:fill="99CC00"/>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A</w:t>
            </w:r>
          </w:p>
        </w:tc>
        <w:tc>
          <w:tcPr>
            <w:tcW w:w="963" w:type="dxa"/>
            <w:tcBorders>
              <w:left w:val="nil"/>
              <w:bottom w:val="nil"/>
              <w:right w:val="nil"/>
            </w:tcBorders>
            <w:shd w:val="clear" w:color="auto" w:fill="FFCC99"/>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N</w:t>
            </w:r>
          </w:p>
        </w:tc>
        <w:tc>
          <w:tcPr>
            <w:tcW w:w="964" w:type="dxa"/>
            <w:tcBorders>
              <w:left w:val="nil"/>
              <w:bottom w:val="nil"/>
              <w:right w:val="nil"/>
            </w:tcBorders>
            <w:shd w:val="clear" w:color="auto" w:fill="FFCC99"/>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N</w:t>
            </w:r>
          </w:p>
        </w:tc>
        <w:tc>
          <w:tcPr>
            <w:tcW w:w="963" w:type="dxa"/>
            <w:tcBorders>
              <w:left w:val="nil"/>
              <w:bottom w:val="nil"/>
              <w:right w:val="nil"/>
            </w:tcBorders>
            <w:shd w:val="clear" w:color="auto" w:fill="FFCC99"/>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N</w:t>
            </w:r>
          </w:p>
        </w:tc>
        <w:tc>
          <w:tcPr>
            <w:tcW w:w="963" w:type="dxa"/>
            <w:tcBorders>
              <w:left w:val="nil"/>
              <w:bottom w:val="nil"/>
              <w:right w:val="nil"/>
            </w:tcBorders>
            <w:shd w:val="clear" w:color="auto" w:fill="FFCC99"/>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N</w:t>
            </w:r>
          </w:p>
        </w:tc>
        <w:tc>
          <w:tcPr>
            <w:tcW w:w="964" w:type="dxa"/>
            <w:tcBorders>
              <w:left w:val="nil"/>
              <w:bottom w:val="nil"/>
            </w:tcBorders>
            <w:shd w:val="clear" w:color="auto" w:fill="FFCC99"/>
          </w:tcPr>
          <w:p w:rsidR="00C06DA1" w:rsidRPr="00D95ED2" w:rsidRDefault="00C06DA1" w:rsidP="00A565CF">
            <w:pPr>
              <w:spacing w:before="120" w:after="120" w:line="240" w:lineRule="auto"/>
              <w:jc w:val="center"/>
              <w:rPr>
                <w:rFonts w:ascii="Arial" w:hAnsi="Arial"/>
                <w:sz w:val="19"/>
                <w:lang w:val="cs-CZ"/>
              </w:rPr>
            </w:pPr>
            <w:r w:rsidRPr="00D95ED2">
              <w:rPr>
                <w:rFonts w:ascii="Arial" w:hAnsi="Arial"/>
                <w:sz w:val="19"/>
                <w:lang w:val="cs-CZ"/>
              </w:rPr>
              <w:t>N</w:t>
            </w:r>
          </w:p>
        </w:tc>
      </w:tr>
    </w:tbl>
    <w:p w:rsidR="00C06DA1" w:rsidRPr="00DD2F1B" w:rsidRDefault="00C06DA1" w:rsidP="00D828F4">
      <w:pPr>
        <w:rPr>
          <w:lang w:val="cs-CZ"/>
        </w:rPr>
      </w:pPr>
      <w:r w:rsidRPr="00DD2F1B">
        <w:rPr>
          <w:lang w:val="cs-CZ"/>
        </w:rPr>
        <w:t>X – varianta v takové kombinaci nepřipadá v úvahu</w:t>
      </w:r>
    </w:p>
    <w:p w:rsidR="00C06DA1" w:rsidRPr="00DD2F1B" w:rsidRDefault="00C06DA1" w:rsidP="00D828F4">
      <w:pPr>
        <w:rPr>
          <w:lang w:val="cs-CZ"/>
        </w:rPr>
      </w:pPr>
      <w:r w:rsidRPr="00DD2F1B">
        <w:rPr>
          <w:lang w:val="cs-CZ"/>
        </w:rPr>
        <w:t>A – varianta je vhodná</w:t>
      </w:r>
    </w:p>
    <w:p w:rsidR="00C06DA1" w:rsidRPr="00DD2F1B" w:rsidRDefault="00C06DA1" w:rsidP="00D828F4">
      <w:pPr>
        <w:rPr>
          <w:lang w:val="cs-CZ"/>
        </w:rPr>
      </w:pPr>
      <w:r w:rsidRPr="00DD2F1B">
        <w:rPr>
          <w:lang w:val="cs-CZ"/>
        </w:rPr>
        <w:t>N – varianta je nevhodná</w:t>
      </w:r>
    </w:p>
    <w:p w:rsidR="00C06DA1" w:rsidRPr="00DD2F1B" w:rsidRDefault="00C06DA1" w:rsidP="00D828F4">
      <w:pPr>
        <w:jc w:val="center"/>
        <w:rPr>
          <w:rFonts w:cs="ArialNarrow,Italic"/>
          <w:sz w:val="16"/>
          <w:szCs w:val="16"/>
          <w:lang w:val="cs-CZ" w:bidi="my-MM"/>
        </w:rPr>
      </w:pPr>
      <w:r w:rsidRPr="00852FFE">
        <w:rPr>
          <w:rFonts w:cs="ArialNarrow,Italic"/>
          <w:sz w:val="16"/>
          <w:szCs w:val="16"/>
          <w:lang w:val="cs-CZ" w:bidi="my-MM"/>
        </w:rPr>
        <w:t xml:space="preserve">Tabulka č. </w:t>
      </w:r>
      <w:r>
        <w:rPr>
          <w:rFonts w:cs="ArialNarrow,Italic"/>
          <w:sz w:val="16"/>
          <w:szCs w:val="16"/>
          <w:lang w:val="cs-CZ" w:bidi="my-MM"/>
        </w:rPr>
        <w:t>5</w:t>
      </w:r>
      <w:r w:rsidRPr="00852FFE">
        <w:rPr>
          <w:rFonts w:cs="ArialNarrow,Italic"/>
          <w:sz w:val="16"/>
          <w:szCs w:val="16"/>
          <w:lang w:val="cs-CZ" w:bidi="my-MM"/>
        </w:rPr>
        <w:t xml:space="preserve"> – Kombinace variant rozsahu a způsobu zpoplatnění a využití komponent stávajícího SEM</w:t>
      </w:r>
    </w:p>
    <w:p w:rsidR="00C06DA1" w:rsidRPr="00DD2F1B" w:rsidRDefault="00C06DA1" w:rsidP="007B1A88">
      <w:pPr>
        <w:pStyle w:val="Nadpis3"/>
        <w:rPr>
          <w:lang w:val="cs-CZ"/>
        </w:rPr>
      </w:pPr>
      <w:r>
        <w:rPr>
          <w:lang w:val="cs-CZ"/>
        </w:rPr>
        <w:t xml:space="preserve"> </w:t>
      </w:r>
      <w:bookmarkStart w:id="71" w:name="_Toc368063537"/>
      <w:bookmarkStart w:id="72" w:name="_Toc370398437"/>
      <w:r w:rsidRPr="00DD2F1B">
        <w:rPr>
          <w:lang w:val="cs-CZ"/>
        </w:rPr>
        <w:t>Zpoplatnění dálnic, rychlostních silnic a 1000 km silnic I. třídy</w:t>
      </w:r>
      <w:bookmarkEnd w:id="71"/>
      <w:bookmarkEnd w:id="72"/>
    </w:p>
    <w:p w:rsidR="00C06DA1" w:rsidRPr="006A5A11" w:rsidRDefault="00C06DA1" w:rsidP="005C38B9">
      <w:pPr>
        <w:jc w:val="both"/>
        <w:rPr>
          <w:sz w:val="22"/>
          <w:szCs w:val="22"/>
          <w:lang w:val="cs-CZ"/>
        </w:rPr>
      </w:pPr>
      <w:r w:rsidRPr="006A5A11">
        <w:rPr>
          <w:sz w:val="22"/>
          <w:szCs w:val="22"/>
          <w:lang w:val="cs-CZ"/>
        </w:rPr>
        <w:t xml:space="preserve">Ekonomické posouzení se týkalo de facto všech shora uvedených variant, kdy po předběžné analýze byly zavrženy varianty obsahující zpoplatnění silnic II. a III. třídy (varianty IV a V), a to jak částečné zpoplatnění těchto silnic či zpoplatnění celého rozsahu. Varianta II ve svém důsledku byla uvažována, avšak </w:t>
      </w:r>
      <w:r w:rsidRPr="006A5A11">
        <w:rPr>
          <w:b/>
          <w:sz w:val="22"/>
          <w:szCs w:val="22"/>
          <w:lang w:val="cs-CZ"/>
        </w:rPr>
        <w:t>nedošlo k jejímu ekonomickému posouzení</w:t>
      </w:r>
      <w:r w:rsidRPr="006A5A11">
        <w:rPr>
          <w:sz w:val="22"/>
          <w:szCs w:val="22"/>
          <w:lang w:val="cs-CZ"/>
        </w:rPr>
        <w:t>. Varianta II, tj. výkonové zpoplatnění dálnic, rychlostních silnic a vybraných silnic I. třídy v celkové délce cca 1000 km, tak podle odhadů může dosáhnout hodnoty cca 60</w:t>
      </w:r>
      <w:r>
        <w:rPr>
          <w:sz w:val="22"/>
          <w:szCs w:val="22"/>
          <w:lang w:val="cs-CZ"/>
        </w:rPr>
        <w:t xml:space="preserve"> </w:t>
      </w:r>
      <w:r w:rsidRPr="006A5A11">
        <w:rPr>
          <w:sz w:val="22"/>
          <w:szCs w:val="22"/>
          <w:lang w:val="cs-CZ"/>
        </w:rPr>
        <w:t xml:space="preserve">% z celkového výběru mýta na celé síti silnic I. třídy. Náklady na výkonové zpoplatnění segmentu 1000 km silnic I. třídy se mohou značně lišit, a to dle varianty využití či nevyužití současného Systému elektronického mýta a zvolené technologie. V případě využití stávajícího SEM by výdaje spojené se zpoplatněním těchto komunikací především obsahovaly, vyjma nákladů spojených s provozem SEM, náklady na mýtnou infrastrukturu. Současně lze předpokládat i náklady na </w:t>
      </w:r>
      <w:proofErr w:type="spellStart"/>
      <w:r w:rsidRPr="006A5A11">
        <w:rPr>
          <w:sz w:val="22"/>
          <w:szCs w:val="22"/>
          <w:lang w:val="cs-CZ"/>
        </w:rPr>
        <w:t>enforcement</w:t>
      </w:r>
      <w:proofErr w:type="spellEnd"/>
      <w:r w:rsidRPr="006A5A11">
        <w:rPr>
          <w:sz w:val="22"/>
          <w:szCs w:val="22"/>
          <w:lang w:val="cs-CZ"/>
        </w:rPr>
        <w:t xml:space="preserve"> ve vztahu k mobilní kontrole, tj. pořízení cca 5 nových vozidel mobilní kontroly s posádkami a vybavením. Příjmy z t</w:t>
      </w:r>
      <w:r>
        <w:rPr>
          <w:sz w:val="22"/>
          <w:szCs w:val="22"/>
          <w:lang w:val="cs-CZ"/>
        </w:rPr>
        <w:t>é</w:t>
      </w:r>
      <w:r w:rsidRPr="006A5A11">
        <w:rPr>
          <w:sz w:val="22"/>
          <w:szCs w:val="22"/>
          <w:lang w:val="cs-CZ"/>
        </w:rPr>
        <w:t xml:space="preserve">to varianty by tak mohly dosáhnout 2 až 3 mld. Kč ročně a náklady na zpoplatnění této sítě pozemních komunikací (nikoliv provozní náklady) by mohly dle zvolené technologie dosáhnout 1 až 2 mld. Kč. Výdaje spojené s provozem Systému elektronického mýta na síti pozemních komunikací o délce cca 2500 km nelze s určitostí specifikovat, neboť opět záleží na tom, zda bude zachován stávající SEM a bude tak </w:t>
      </w:r>
      <w:r>
        <w:rPr>
          <w:sz w:val="22"/>
          <w:szCs w:val="22"/>
          <w:lang w:val="cs-CZ"/>
        </w:rPr>
        <w:t>požadována</w:t>
      </w:r>
      <w:r w:rsidRPr="006A5A11">
        <w:rPr>
          <w:sz w:val="22"/>
          <w:szCs w:val="22"/>
          <w:lang w:val="cs-CZ"/>
        </w:rPr>
        <w:t xml:space="preserve"> dodávka mýtné infrastruktury na cca 800 km silnic I. třídy (již n</w:t>
      </w:r>
      <w:r>
        <w:rPr>
          <w:sz w:val="22"/>
          <w:szCs w:val="22"/>
          <w:lang w:val="cs-CZ"/>
        </w:rPr>
        <w:t>y</w:t>
      </w:r>
      <w:r w:rsidRPr="006A5A11">
        <w:rPr>
          <w:sz w:val="22"/>
          <w:szCs w:val="22"/>
          <w:lang w:val="cs-CZ"/>
        </w:rPr>
        <w:t xml:space="preserve">ní je výkonově zpoplatněno cca 202 km silnic I. třídy) a služby související s provozem tohoto systému, anebo bude </w:t>
      </w:r>
      <w:r>
        <w:rPr>
          <w:sz w:val="22"/>
          <w:szCs w:val="22"/>
          <w:lang w:val="cs-CZ"/>
        </w:rPr>
        <w:t>požadována</w:t>
      </w:r>
      <w:r w:rsidRPr="006A5A11">
        <w:rPr>
          <w:sz w:val="22"/>
          <w:szCs w:val="22"/>
          <w:lang w:val="cs-CZ"/>
        </w:rPr>
        <w:t xml:space="preserve"> dodávka nového Systému </w:t>
      </w:r>
      <w:r w:rsidRPr="006A5A11">
        <w:rPr>
          <w:sz w:val="22"/>
          <w:szCs w:val="22"/>
          <w:lang w:val="cs-CZ"/>
        </w:rPr>
        <w:lastRenderedPageBreak/>
        <w:t>elektronického mýta s novými palubními jednotkami a služby spojené s provozem takovéhoto systému.</w:t>
      </w:r>
    </w:p>
    <w:p w:rsidR="00C06DA1" w:rsidRPr="00DD2F1B" w:rsidRDefault="00C06DA1" w:rsidP="007D3FF6">
      <w:pPr>
        <w:pStyle w:val="Nadpis3"/>
        <w:rPr>
          <w:lang w:val="cs-CZ"/>
        </w:rPr>
      </w:pPr>
      <w:bookmarkStart w:id="73" w:name="_Toc368063538"/>
      <w:bookmarkStart w:id="74" w:name="_Toc370398438"/>
      <w:r w:rsidRPr="00DD2F1B">
        <w:rPr>
          <w:lang w:val="cs-CZ"/>
        </w:rPr>
        <w:t>Zpoplatnění silnic II. a III. třídy</w:t>
      </w:r>
      <w:bookmarkEnd w:id="73"/>
      <w:bookmarkEnd w:id="74"/>
    </w:p>
    <w:p w:rsidR="00C06DA1" w:rsidRPr="00DD2F1B" w:rsidRDefault="00C06DA1" w:rsidP="000A77ED">
      <w:pPr>
        <w:jc w:val="both"/>
        <w:rPr>
          <w:sz w:val="22"/>
          <w:szCs w:val="22"/>
          <w:lang w:val="cs-CZ" w:eastAsia="cs-CZ"/>
        </w:rPr>
      </w:pPr>
      <w:r w:rsidRPr="00DD2F1B">
        <w:rPr>
          <w:sz w:val="22"/>
          <w:szCs w:val="22"/>
          <w:lang w:val="cs-CZ" w:eastAsia="cs-CZ"/>
        </w:rPr>
        <w:t xml:space="preserve">Z provedené technicko-ekonomické analýzy různých variant rozsahu zpoplatnění vyplývá, že výkonové zpoplatnění silnic nižších tříd není obecně ekonomicky výhodné. V případě, že bude uvažováno se zpoplatněním vybraných úseků silnic II. třídy, musí být vyřešeno na jedné straně směrování příjmů z vybraného mýtného vlastníkům komunikací (tedy krajům) a na druhé straně musí být zajištěno, aby se kraje podílely na úhradě přiměřené </w:t>
      </w:r>
      <w:r>
        <w:rPr>
          <w:sz w:val="22"/>
          <w:szCs w:val="22"/>
          <w:lang w:val="cs-CZ" w:eastAsia="cs-CZ"/>
        </w:rPr>
        <w:t>části nákladů na výběr mýtného.</w:t>
      </w:r>
    </w:p>
    <w:p w:rsidR="00C06DA1" w:rsidRPr="00DD2F1B" w:rsidRDefault="00C06DA1" w:rsidP="000A77ED">
      <w:pPr>
        <w:jc w:val="both"/>
        <w:rPr>
          <w:sz w:val="22"/>
          <w:szCs w:val="22"/>
          <w:lang w:val="cs-CZ" w:eastAsia="cs-CZ"/>
        </w:rPr>
      </w:pPr>
      <w:r>
        <w:rPr>
          <w:sz w:val="22"/>
          <w:szCs w:val="22"/>
          <w:lang w:val="cs-CZ" w:eastAsia="cs-CZ"/>
        </w:rPr>
        <w:t>V G</w:t>
      </w:r>
      <w:r w:rsidRPr="00DD2F1B">
        <w:rPr>
          <w:sz w:val="22"/>
          <w:szCs w:val="22"/>
          <w:lang w:val="cs-CZ" w:eastAsia="cs-CZ"/>
        </w:rPr>
        <w:t>rafu č. 5 je znázorněna závislost příjmů a výdajů na zpoplatněné délce pro modelové parametry.  Vrchní křivka reprezentuje příjmy z výběru mýtného (při uvažování struktury a výše mýtných sazeb platných v roce 2012). Spodní křivka reprezentuje výdaje.  </w:t>
      </w:r>
    </w:p>
    <w:p w:rsidR="00C06DA1" w:rsidRPr="00DD2F1B" w:rsidRDefault="00C06DA1" w:rsidP="00213ADF">
      <w:pPr>
        <w:jc w:val="both"/>
        <w:rPr>
          <w:sz w:val="22"/>
          <w:szCs w:val="22"/>
          <w:lang w:val="cs-CZ" w:eastAsia="cs-CZ"/>
        </w:rPr>
      </w:pPr>
      <w:r w:rsidRPr="00DD2F1B">
        <w:rPr>
          <w:sz w:val="22"/>
          <w:szCs w:val="22"/>
          <w:lang w:val="cs-CZ" w:eastAsia="cs-CZ"/>
        </w:rPr>
        <w:t>Úrovně délky zpoplatnění v posloupnosti podle třídy komunikace jsou vyznačeny svislou značkou, která odpovídá příslušnému délkovému rozsahu zpoplatněné sítě. Časové zpoplatnění silnic I. třídy (případně silnic nižších tříd)</w:t>
      </w:r>
      <w:r>
        <w:rPr>
          <w:sz w:val="22"/>
          <w:szCs w:val="22"/>
          <w:lang w:val="cs-CZ" w:eastAsia="cs-CZ"/>
        </w:rPr>
        <w:t xml:space="preserve"> se tak s narůstajícím počtem km stává čím dál tím méně efektivní.</w:t>
      </w:r>
    </w:p>
    <w:p w:rsidR="00C06DA1" w:rsidRPr="00DD2F1B" w:rsidRDefault="00C06DA1" w:rsidP="00800F3C">
      <w:pPr>
        <w:spacing w:after="120"/>
        <w:jc w:val="both"/>
        <w:rPr>
          <w:sz w:val="22"/>
          <w:szCs w:val="22"/>
          <w:lang w:val="cs-CZ" w:eastAsia="cs-CZ"/>
        </w:rPr>
      </w:pPr>
      <w:r w:rsidRPr="00DD2F1B">
        <w:rPr>
          <w:sz w:val="22"/>
          <w:szCs w:val="22"/>
          <w:lang w:val="cs-CZ" w:eastAsia="cs-CZ"/>
        </w:rPr>
        <w:t>Na základě provedených analýz lze konstatovat, že časové zpoplatnění silnic II. a III. třídy, jako doplněk k výkonovému zpoplatnění dálnic, rychlostních silnic a silnic I. třídy, nelze považovat za vhodné řešení, zejména protože:</w:t>
      </w:r>
    </w:p>
    <w:p w:rsidR="00C06DA1" w:rsidRPr="00DD2F1B" w:rsidRDefault="00C06DA1" w:rsidP="00800F3C">
      <w:pPr>
        <w:numPr>
          <w:ilvl w:val="0"/>
          <w:numId w:val="7"/>
        </w:numPr>
        <w:spacing w:before="120" w:after="0" w:line="240" w:lineRule="auto"/>
        <w:ind w:left="714" w:hanging="357"/>
        <w:jc w:val="both"/>
        <w:rPr>
          <w:sz w:val="22"/>
          <w:szCs w:val="22"/>
          <w:lang w:val="cs-CZ"/>
        </w:rPr>
      </w:pPr>
      <w:r w:rsidRPr="00DD2F1B">
        <w:rPr>
          <w:sz w:val="22"/>
          <w:szCs w:val="22"/>
          <w:lang w:val="cs-CZ"/>
        </w:rPr>
        <w:t>jde o nesystematický přístup ke zpoplatnění silniční sítě na území ČR (část silnic zpoplatněna výkonově, část časově);</w:t>
      </w:r>
    </w:p>
    <w:p w:rsidR="00C06DA1" w:rsidRPr="00DD2F1B" w:rsidRDefault="00C06DA1" w:rsidP="00800F3C">
      <w:pPr>
        <w:numPr>
          <w:ilvl w:val="0"/>
          <w:numId w:val="7"/>
        </w:numPr>
        <w:spacing w:before="120" w:after="0" w:line="240" w:lineRule="auto"/>
        <w:ind w:left="714" w:hanging="357"/>
        <w:jc w:val="both"/>
        <w:rPr>
          <w:sz w:val="22"/>
          <w:szCs w:val="22"/>
          <w:lang w:val="cs-CZ"/>
        </w:rPr>
      </w:pPr>
      <w:r w:rsidRPr="00DD2F1B">
        <w:rPr>
          <w:sz w:val="22"/>
          <w:szCs w:val="22"/>
          <w:lang w:val="cs-CZ"/>
        </w:rPr>
        <w:t xml:space="preserve">systém bude komplikovaný pro uživatele komunikací (různý režim zpoplatnění na silnicích); </w:t>
      </w:r>
    </w:p>
    <w:p w:rsidR="00C06DA1" w:rsidRPr="00DD2F1B" w:rsidRDefault="00C06DA1" w:rsidP="00800F3C">
      <w:pPr>
        <w:numPr>
          <w:ilvl w:val="0"/>
          <w:numId w:val="7"/>
        </w:numPr>
        <w:spacing w:before="120" w:after="0" w:line="240" w:lineRule="auto"/>
        <w:ind w:left="714" w:hanging="357"/>
        <w:jc w:val="both"/>
        <w:rPr>
          <w:sz w:val="22"/>
          <w:szCs w:val="22"/>
          <w:lang w:val="cs-CZ"/>
        </w:rPr>
      </w:pPr>
      <w:r w:rsidRPr="00DD2F1B">
        <w:rPr>
          <w:sz w:val="22"/>
          <w:szCs w:val="22"/>
          <w:lang w:val="cs-CZ"/>
        </w:rPr>
        <w:t>musí být zajištěno označení zpoplatněných úseků příslušnými dopravními značkami;</w:t>
      </w:r>
    </w:p>
    <w:p w:rsidR="00C06DA1" w:rsidRPr="00DD2F1B" w:rsidRDefault="00C06DA1" w:rsidP="00800F3C">
      <w:pPr>
        <w:numPr>
          <w:ilvl w:val="0"/>
          <w:numId w:val="7"/>
        </w:numPr>
        <w:spacing w:before="120" w:after="0" w:line="240" w:lineRule="auto"/>
        <w:ind w:left="714" w:hanging="357"/>
        <w:jc w:val="both"/>
        <w:rPr>
          <w:sz w:val="22"/>
          <w:szCs w:val="22"/>
          <w:lang w:val="cs-CZ"/>
        </w:rPr>
      </w:pPr>
      <w:r w:rsidRPr="00DD2F1B">
        <w:rPr>
          <w:sz w:val="22"/>
          <w:szCs w:val="22"/>
          <w:lang w:val="cs-CZ"/>
        </w:rPr>
        <w:t>není vyjasněn způsob případného transparentního přerozdělení příjmů z časového zpoplatnění krajům (to platí při zpoplatnění silnic II. a III. třídy).</w:t>
      </w:r>
    </w:p>
    <w:p w:rsidR="00C06DA1" w:rsidRPr="00DD2F1B" w:rsidRDefault="00C06DA1" w:rsidP="00C420C0">
      <w:pPr>
        <w:pStyle w:val="Nadpis3"/>
        <w:rPr>
          <w:lang w:val="cs-CZ"/>
        </w:rPr>
      </w:pPr>
      <w:bookmarkStart w:id="75" w:name="_Toc368063539"/>
      <w:bookmarkStart w:id="76" w:name="_Toc370398439"/>
      <w:r w:rsidRPr="00DD2F1B">
        <w:rPr>
          <w:lang w:val="cs-CZ"/>
        </w:rPr>
        <w:t>Vyvolané investice</w:t>
      </w:r>
      <w:bookmarkEnd w:id="75"/>
      <w:bookmarkEnd w:id="76"/>
    </w:p>
    <w:p w:rsidR="00C06DA1" w:rsidRPr="00DD2F1B" w:rsidRDefault="00C06DA1" w:rsidP="000A77ED">
      <w:pPr>
        <w:jc w:val="both"/>
        <w:rPr>
          <w:sz w:val="22"/>
          <w:szCs w:val="22"/>
          <w:lang w:val="cs-CZ" w:eastAsia="cs-CZ"/>
        </w:rPr>
      </w:pPr>
      <w:r w:rsidRPr="00DD2F1B">
        <w:rPr>
          <w:sz w:val="22"/>
          <w:szCs w:val="22"/>
          <w:lang w:val="cs-CZ" w:eastAsia="cs-CZ"/>
        </w:rPr>
        <w:t xml:space="preserve">Mezi hlavní vyvolané investice varianty A </w:t>
      </w:r>
      <w:proofErr w:type="spellStart"/>
      <w:r w:rsidRPr="00DD2F1B">
        <w:rPr>
          <w:sz w:val="22"/>
          <w:szCs w:val="22"/>
          <w:lang w:val="cs-CZ" w:eastAsia="cs-CZ"/>
        </w:rPr>
        <w:t>a</w:t>
      </w:r>
      <w:proofErr w:type="spellEnd"/>
      <w:r w:rsidRPr="00DD2F1B">
        <w:rPr>
          <w:sz w:val="22"/>
          <w:szCs w:val="22"/>
          <w:lang w:val="cs-CZ" w:eastAsia="cs-CZ"/>
        </w:rPr>
        <w:t xml:space="preserve"> B patří investice do dopravního značení, neboť v případě plošného zpoplatnění silnic I. třídy jakoukoliv formou (časovou či výkonovou) je nutné označit veškeré tyto pozemní komunikace jako pozemní komunikace zpoplatněné a současně dopravním značením upozornit na všech pozemních komunikacích navazujících na tyto zpoplatněn</w:t>
      </w:r>
      <w:r>
        <w:rPr>
          <w:sz w:val="22"/>
          <w:szCs w:val="22"/>
          <w:lang w:val="cs-CZ" w:eastAsia="cs-CZ"/>
        </w:rPr>
        <w:t>é</w:t>
      </w:r>
      <w:r w:rsidRPr="00DD2F1B">
        <w:rPr>
          <w:sz w:val="22"/>
          <w:szCs w:val="22"/>
          <w:lang w:val="cs-CZ" w:eastAsia="cs-CZ"/>
        </w:rPr>
        <w:t xml:space="preserve"> silnice I. třídy, že uživatel takovéto pozemní komunikace vstoupí na zpoplatněnou pozemní komunikaci. Finanční prostředky na dopravní značení v případě plošného zpoplatnění silnic I. třídy jsou tak rozděleny na samotné silnice I. třídy a na ostatní pozemní komunikace, které na tyto silnice I. třídy navazují (silnice II. a III. třídy, místní komunikace a případně účelové komunikace). Dopravní značení</w:t>
      </w:r>
      <w:r w:rsidRPr="00DD2F1B">
        <w:rPr>
          <w:sz w:val="22"/>
          <w:szCs w:val="22"/>
          <w:lang w:val="cs-CZ"/>
        </w:rPr>
        <w:t xml:space="preserve"> </w:t>
      </w:r>
      <w:r w:rsidRPr="00DD2F1B">
        <w:rPr>
          <w:sz w:val="22"/>
          <w:szCs w:val="22"/>
          <w:lang w:val="cs-CZ" w:eastAsia="cs-CZ"/>
        </w:rPr>
        <w:t>je tak nutnou podmínkou pro zavedení zpoplatnění, a to bez ohledu na jeho režim</w:t>
      </w:r>
      <w:r>
        <w:rPr>
          <w:sz w:val="22"/>
          <w:szCs w:val="22"/>
          <w:lang w:val="cs-CZ" w:eastAsia="cs-CZ"/>
        </w:rPr>
        <w:t xml:space="preserve"> (časový či výkonový)</w:t>
      </w:r>
      <w:r w:rsidRPr="00DD2F1B">
        <w:rPr>
          <w:sz w:val="22"/>
          <w:szCs w:val="22"/>
          <w:lang w:val="cs-CZ" w:eastAsia="cs-CZ"/>
        </w:rPr>
        <w:t xml:space="preserve">. Vybudování dopravního značení je významnou položkou počátečních nákladů varianty A </w:t>
      </w:r>
      <w:proofErr w:type="spellStart"/>
      <w:r w:rsidRPr="00DD2F1B">
        <w:rPr>
          <w:sz w:val="22"/>
          <w:szCs w:val="22"/>
          <w:lang w:val="cs-CZ" w:eastAsia="cs-CZ"/>
        </w:rPr>
        <w:t>a</w:t>
      </w:r>
      <w:proofErr w:type="spellEnd"/>
      <w:r w:rsidRPr="00DD2F1B">
        <w:rPr>
          <w:sz w:val="22"/>
          <w:szCs w:val="22"/>
          <w:lang w:val="cs-CZ" w:eastAsia="cs-CZ"/>
        </w:rPr>
        <w:t xml:space="preserve"> B. Také provozní náklady na údržbu a obnovu poškozeného značení v celostátním měřítku představují nezanedbatelné částky. Náklady na dopravní značky pro síť silnic I. třídy jsou odhadovány na 220 mil. Kč. Pro silnice II. třídy odhad činil 550 mil. Kč. K tomu je třeba připočítat náklady na projektovou přípravu, </w:t>
      </w:r>
      <w:proofErr w:type="spellStart"/>
      <w:r w:rsidRPr="00DD2F1B">
        <w:rPr>
          <w:sz w:val="22"/>
          <w:szCs w:val="22"/>
          <w:lang w:val="cs-CZ" w:eastAsia="cs-CZ"/>
        </w:rPr>
        <w:t>inženýring</w:t>
      </w:r>
      <w:proofErr w:type="spellEnd"/>
      <w:r w:rsidRPr="00DD2F1B">
        <w:rPr>
          <w:sz w:val="22"/>
          <w:szCs w:val="22"/>
          <w:lang w:val="cs-CZ" w:eastAsia="cs-CZ"/>
        </w:rPr>
        <w:t xml:space="preserve"> a správní řízení ve výši do 50 mil. Kč.</w:t>
      </w:r>
    </w:p>
    <w:p w:rsidR="00C06DA1" w:rsidRPr="00DD2F1B" w:rsidRDefault="00C06DA1" w:rsidP="000A77ED">
      <w:pPr>
        <w:jc w:val="both"/>
        <w:rPr>
          <w:sz w:val="22"/>
          <w:szCs w:val="22"/>
          <w:lang w:val="cs-CZ" w:eastAsia="cs-CZ"/>
        </w:rPr>
      </w:pPr>
      <w:r w:rsidRPr="00DD2F1B">
        <w:rPr>
          <w:sz w:val="22"/>
          <w:szCs w:val="22"/>
          <w:lang w:val="cs-CZ" w:eastAsia="cs-CZ"/>
        </w:rPr>
        <w:lastRenderedPageBreak/>
        <w:t>Dopravní značení je schvalováno na místní úrovni, a tak jsou příslušná správní řízení při vysokém množství dopravních značek faktorem, který výrazně prodlužuje dobu příprav na zavedení zpoplatnění.</w:t>
      </w:r>
    </w:p>
    <w:p w:rsidR="00C06DA1" w:rsidRPr="00DD2F1B" w:rsidRDefault="00C06DA1" w:rsidP="000622C8">
      <w:pPr>
        <w:pStyle w:val="Nadpis2"/>
        <w:spacing w:before="120"/>
        <w:jc w:val="both"/>
        <w:rPr>
          <w:rFonts w:cs="Calibri"/>
          <w:sz w:val="28"/>
          <w:szCs w:val="28"/>
          <w:lang w:val="cs-CZ"/>
        </w:rPr>
      </w:pPr>
      <w:bookmarkStart w:id="77" w:name="_Toc339881234"/>
      <w:r w:rsidRPr="00DD2F1B">
        <w:rPr>
          <w:rFonts w:cs="Calibri"/>
          <w:sz w:val="28"/>
          <w:szCs w:val="28"/>
          <w:lang w:val="cs-CZ"/>
        </w:rPr>
        <w:br w:type="page"/>
      </w:r>
      <w:bookmarkStart w:id="78" w:name="_Toc368063540"/>
      <w:bookmarkStart w:id="79" w:name="_Toc370398440"/>
      <w:r w:rsidRPr="00DD2F1B">
        <w:rPr>
          <w:rFonts w:cs="Calibri"/>
          <w:sz w:val="28"/>
          <w:szCs w:val="28"/>
          <w:lang w:val="cs-CZ"/>
        </w:rPr>
        <w:lastRenderedPageBreak/>
        <w:t>Posuzované realizační varianty</w:t>
      </w:r>
      <w:bookmarkEnd w:id="77"/>
      <w:bookmarkEnd w:id="78"/>
      <w:bookmarkEnd w:id="79"/>
    </w:p>
    <w:p w:rsidR="00C06DA1" w:rsidRPr="00DD2F1B" w:rsidRDefault="00C06DA1" w:rsidP="005269FE">
      <w:pPr>
        <w:jc w:val="both"/>
        <w:rPr>
          <w:lang w:val="cs-CZ"/>
        </w:rPr>
      </w:pPr>
      <w:r w:rsidRPr="00DD2F1B">
        <w:rPr>
          <w:rFonts w:cs="Calibri"/>
          <w:sz w:val="22"/>
          <w:szCs w:val="22"/>
          <w:lang w:val="cs-CZ"/>
        </w:rPr>
        <w:t xml:space="preserve">Realizační návrhy uvedené dále mají za cíl posoudit možnosti provedení určitého technického řešení a dodavatelského rámce. Pro výběr dodavatele se předpokládá uplatnění </w:t>
      </w:r>
      <w:r>
        <w:rPr>
          <w:rFonts w:cs="Calibri"/>
          <w:sz w:val="22"/>
          <w:szCs w:val="22"/>
          <w:lang w:val="cs-CZ"/>
        </w:rPr>
        <w:t>některého z druhů zadávacích řízení dle zákona č. 137/2006 Sb., o veřejných zakázkách</w:t>
      </w:r>
      <w:r w:rsidRPr="00DD2F1B">
        <w:rPr>
          <w:rFonts w:cs="Calibri"/>
          <w:sz w:val="22"/>
          <w:szCs w:val="22"/>
          <w:lang w:val="cs-CZ"/>
        </w:rPr>
        <w:t>, i tak bude nutno vypořádat časové a věcné nesrovnalosti vyplývající z časového přesahu platnosti Smlouvy o dodávce, uzavřené s konsorciem Kapsch (jde o povinnost realizovat nové mýtné brány v době po 1. 1. 2017, tedy v době, kdy nebude Smlouva o službách uzavřená s Konsorciem Kapsch platit</w:t>
      </w:r>
      <w:r>
        <w:rPr>
          <w:rFonts w:cs="Calibri"/>
          <w:sz w:val="22"/>
          <w:szCs w:val="22"/>
          <w:lang w:val="cs-CZ"/>
        </w:rPr>
        <w:t>).</w:t>
      </w:r>
    </w:p>
    <w:p w:rsidR="00C06DA1" w:rsidRPr="00DD2F1B" w:rsidRDefault="00C06DA1" w:rsidP="005269FE">
      <w:pPr>
        <w:jc w:val="both"/>
        <w:rPr>
          <w:sz w:val="22"/>
          <w:szCs w:val="22"/>
          <w:lang w:val="cs-CZ"/>
        </w:rPr>
      </w:pPr>
      <w:r w:rsidRPr="00DD2F1B">
        <w:rPr>
          <w:sz w:val="22"/>
          <w:szCs w:val="22"/>
          <w:lang w:val="cs-CZ"/>
        </w:rPr>
        <w:t>Posuzovány byly čtyři varianty možného postupu ve zpoplatnění obecného užívání vybraných pozemních komunikací vozidly s celkovou hmotností nad 3,5 tuny, konkrétně se jedná o tyto varianty:</w:t>
      </w:r>
    </w:p>
    <w:p w:rsidR="00C06DA1" w:rsidRPr="00DD2F1B" w:rsidRDefault="00C06DA1" w:rsidP="009C723C">
      <w:pPr>
        <w:jc w:val="both"/>
        <w:rPr>
          <w:sz w:val="22"/>
          <w:szCs w:val="22"/>
          <w:lang w:val="cs-CZ"/>
        </w:rPr>
      </w:pPr>
      <w:r w:rsidRPr="00DD2F1B">
        <w:rPr>
          <w:b/>
          <w:sz w:val="22"/>
          <w:szCs w:val="22"/>
          <w:lang w:val="cs-CZ"/>
        </w:rPr>
        <w:t xml:space="preserve">Varianta 0 </w:t>
      </w:r>
      <w:r w:rsidRPr="00DD2F1B">
        <w:rPr>
          <w:sz w:val="22"/>
          <w:szCs w:val="22"/>
          <w:lang w:val="cs-CZ"/>
        </w:rPr>
        <w:t xml:space="preserve">– „Nulová varianta“ nepředpokládá další rozšíření zpoplatněné sítě mimo již sjednaný rozsah (tj. zpoplatnění nově budovaných úseků dálnic a rychlostních </w:t>
      </w:r>
      <w:r>
        <w:rPr>
          <w:sz w:val="22"/>
          <w:szCs w:val="22"/>
          <w:lang w:val="cs-CZ"/>
        </w:rPr>
        <w:t>silnic</w:t>
      </w:r>
      <w:r w:rsidRPr="00DD2F1B">
        <w:rPr>
          <w:sz w:val="22"/>
          <w:szCs w:val="22"/>
          <w:lang w:val="cs-CZ"/>
        </w:rPr>
        <w:t xml:space="preserve">). Po roce 2016 se předpokládá provoz stávajícího mikrovlnného systému na současných zpoplatněných komunikacích. Tato varianta předpokládá </w:t>
      </w:r>
      <w:r>
        <w:rPr>
          <w:sz w:val="22"/>
          <w:szCs w:val="22"/>
          <w:lang w:val="cs-CZ"/>
        </w:rPr>
        <w:t xml:space="preserve">zadávací </w:t>
      </w:r>
      <w:r w:rsidRPr="00DD2F1B">
        <w:rPr>
          <w:sz w:val="22"/>
          <w:szCs w:val="22"/>
          <w:lang w:val="cs-CZ"/>
        </w:rPr>
        <w:t>řízení na poskytovatele služeb od roku 2017 na stávajícím systému, který je v majetku státu, včetně možnosti převodu příslušných subdodavatelských smluv.</w:t>
      </w:r>
    </w:p>
    <w:p w:rsidR="00C06DA1" w:rsidRPr="00DD2F1B" w:rsidRDefault="00C06DA1" w:rsidP="009C723C">
      <w:pPr>
        <w:jc w:val="both"/>
        <w:rPr>
          <w:sz w:val="22"/>
          <w:szCs w:val="22"/>
          <w:lang w:val="cs-CZ"/>
        </w:rPr>
      </w:pPr>
      <w:r w:rsidRPr="00DD2F1B">
        <w:rPr>
          <w:sz w:val="22"/>
          <w:szCs w:val="22"/>
          <w:lang w:val="cs-CZ"/>
        </w:rPr>
        <w:t>Tato varianta je nejméně riziková, avšak strategicky neutrální, tj. bez rozvojového potenciálu. Při výhodách pokračování v zajetých procesech na stávající zpoplatněné síti s odzkoušenou technologií se ale nedosáhne změn ve výši vybraného mýta krom růstu souvisejícího s prodlužováním sítě zpoplatněných dálnic a rychlostních silnic.</w:t>
      </w:r>
    </w:p>
    <w:p w:rsidR="00C06DA1" w:rsidRPr="00DD2F1B" w:rsidRDefault="00C06DA1" w:rsidP="009C723C">
      <w:pPr>
        <w:jc w:val="both"/>
        <w:rPr>
          <w:sz w:val="22"/>
          <w:szCs w:val="22"/>
          <w:lang w:val="cs-CZ"/>
        </w:rPr>
      </w:pPr>
      <w:r w:rsidRPr="00DD2F1B">
        <w:rPr>
          <w:sz w:val="22"/>
          <w:szCs w:val="22"/>
          <w:lang w:val="cs-CZ"/>
        </w:rPr>
        <w:t xml:space="preserve">Přínosem </w:t>
      </w:r>
      <w:r>
        <w:rPr>
          <w:sz w:val="22"/>
          <w:szCs w:val="22"/>
          <w:lang w:val="cs-CZ"/>
        </w:rPr>
        <w:t>zadávacího řízení</w:t>
      </w:r>
      <w:r w:rsidRPr="00DD2F1B">
        <w:rPr>
          <w:sz w:val="22"/>
          <w:szCs w:val="22"/>
          <w:lang w:val="cs-CZ"/>
        </w:rPr>
        <w:t xml:space="preserve"> by mělo být i snížení provozních nákladů a tedy zefektivnění provozu. Na druhou stranu varianta negeneruje žádné dodatečné příjmy.</w:t>
      </w:r>
    </w:p>
    <w:p w:rsidR="00C06DA1" w:rsidRPr="00DD2F1B" w:rsidRDefault="001C18DA" w:rsidP="009C723C">
      <w:pPr>
        <w:jc w:val="both"/>
        <w:rPr>
          <w:rFonts w:cs="Calibri"/>
          <w:b/>
          <w:lang w:val="cs-CZ"/>
        </w:rPr>
      </w:pPr>
      <w:r w:rsidRPr="001C18DA">
        <w:rPr>
          <w:rFonts w:cs="Calibri"/>
          <w:noProof/>
          <w:lang w:val="cs-CZ"/>
        </w:rPr>
      </w:r>
      <w:r w:rsidRPr="001C18DA">
        <w:rPr>
          <w:rFonts w:cs="Calibri"/>
          <w:noProof/>
          <w:lang w:val="cs-CZ"/>
        </w:rPr>
        <w:pict>
          <v:group id="Group 2" o:spid="_x0000_s1026" style="width:433.25pt;height:115.35pt;mso-position-horizontal-relative:char;mso-position-vertical-relative:line" coordsize="65810,17516">
            <o:lock v:ext="edit" aspectratio="t"/>
            <v:line id="Straight Connector 135" o:spid="_x0000_s1027" style="position:absolute;visibility:visible" from="0,3665" to="57593,3665" o:connectortype="straight" strokecolor="#006" strokeweight="2pt">
              <o:lock v:ext="edit" aspectratio="t"/>
            </v:line>
            <v:group id="Group 136" o:spid="_x0000_s1028" style="position:absolute;left:133;width:65677;height:17516" coordorigin="133" coordsize="65677,17516">
              <o:lock v:ext="edit" aspectratio="t"/>
              <v:line id="Straight Connector 137" o:spid="_x0000_s1029" style="position:absolute;visibility:visible" from="133,10782" to="19716,10782" o:connectortype="straight" strokecolor="#002776" strokeweight="3pt">
                <v:stroke endarrow="block"/>
                <o:lock v:ext="edit" aspectratio="t"/>
              </v:line>
              <v:line id="Straight Connector 138" o:spid="_x0000_s1030" style="position:absolute;visibility:visible" from="19725,10777" to="53063,10777" o:connectortype="straight" strokecolor="#002776" strokeweight="3pt">
                <v:stroke startarrow="block" endarrow="block"/>
                <o:lock v:ext="edit" aspectratio="t"/>
              </v:line>
              <v:shapetype id="_x0000_t202" coordsize="21600,21600" o:spt="202" path="m,l,21600r21600,l21600,xe">
                <v:stroke joinstyle="miter"/>
                <v:path gradientshapeok="t" o:connecttype="rect"/>
              </v:shapetype>
              <v:shape id="TextBox 79" o:spid="_x0000_s1031" type="#_x0000_t202" style="position:absolute;left:5327;top:8033;width:6551;height:2593;visibility:visible" filled="f" stroked="f">
                <o:lock v:ext="edit" aspectratio="t"/>
                <v:textbox style="mso-next-textbox:#TextBox 79" inset="1mm,1mm,1mm,1mm">
                  <w:txbxContent>
                    <w:p w:rsidR="00456C71" w:rsidRPr="009C315E" w:rsidRDefault="00456C71" w:rsidP="009C723C">
                      <w:pPr>
                        <w:pStyle w:val="Normlnweb"/>
                        <w:spacing w:before="0" w:beforeAutospacing="0" w:after="0" w:afterAutospacing="0"/>
                        <w:ind w:left="274" w:hanging="274"/>
                        <w:textAlignment w:val="baseline"/>
                        <w:rPr>
                          <w:lang w:val="cs-CZ"/>
                        </w:rPr>
                      </w:pPr>
                      <w:r>
                        <w:rPr>
                          <w:rFonts w:cs="Arial"/>
                          <w:color w:val="000000"/>
                          <w:kern w:val="24"/>
                          <w:sz w:val="18"/>
                          <w:szCs w:val="18"/>
                          <w:lang w:val="cs-CZ"/>
                        </w:rPr>
                        <w:t>SEM</w:t>
                      </w:r>
                    </w:p>
                  </w:txbxContent>
                </v:textbox>
              </v:shape>
              <v:shape id="TextBox 83" o:spid="_x0000_s1032" type="#_x0000_t202" style="position:absolute;left:27710;top:8055;width:6551;height:2593;visibility:visible" filled="f" stroked="f">
                <o:lock v:ext="edit" aspectratio="t"/>
                <v:textbox style="mso-next-textbox:#TextBox 83" inset="1mm,1mm,1mm,1mm">
                  <w:txbxContent>
                    <w:p w:rsidR="00456C71" w:rsidRPr="009C315E" w:rsidRDefault="00456C71" w:rsidP="009C723C">
                      <w:pPr>
                        <w:pStyle w:val="Normlnweb"/>
                        <w:spacing w:before="0" w:beforeAutospacing="0" w:after="0" w:afterAutospacing="0"/>
                        <w:ind w:left="274" w:hanging="274"/>
                        <w:textAlignment w:val="baseline"/>
                        <w:rPr>
                          <w:lang w:val="cs-CZ"/>
                        </w:rPr>
                      </w:pPr>
                      <w:r>
                        <w:rPr>
                          <w:rFonts w:cs="Arial"/>
                          <w:color w:val="000000"/>
                          <w:kern w:val="24"/>
                          <w:sz w:val="18"/>
                          <w:szCs w:val="18"/>
                          <w:lang w:val="cs-CZ"/>
                        </w:rPr>
                        <w:t>SEM</w:t>
                      </w:r>
                    </w:p>
                  </w:txbxContent>
                </v:textbox>
              </v:shape>
              <v:shape id="TextBox 97" o:spid="_x0000_s1033" type="#_x0000_t202" style="position:absolute;left:54736;top:5755;width:11074;height:7350;visibility:visible;mso-wrap-style:none" filled="f" stroked="f">
                <o:lock v:ext="edit" aspectratio="t"/>
                <v:textbox style="mso-next-textbox:#TextBox 97" inset="1mm,1mm,1mm,1mm">
                  <w:txbxContent>
                    <w:p w:rsidR="00456C71" w:rsidRPr="00A427A7" w:rsidRDefault="00456C71" w:rsidP="009C723C">
                      <w:pPr>
                        <w:pStyle w:val="Normlnweb"/>
                        <w:spacing w:before="0" w:beforeAutospacing="0" w:after="0" w:afterAutospacing="0"/>
                        <w:ind w:left="274" w:hanging="274"/>
                        <w:textAlignment w:val="baseline"/>
                        <w:rPr>
                          <w:lang w:val="cs-CZ"/>
                        </w:rPr>
                      </w:pPr>
                      <w:r w:rsidRPr="00A427A7">
                        <w:rPr>
                          <w:rFonts w:cs="Arial"/>
                          <w:color w:val="000000"/>
                          <w:kern w:val="24"/>
                          <w:sz w:val="18"/>
                          <w:szCs w:val="18"/>
                          <w:lang w:val="cs-CZ"/>
                        </w:rPr>
                        <w:t xml:space="preserve">Dálnice, rychlostní </w:t>
                      </w:r>
                    </w:p>
                    <w:p w:rsidR="00456C71" w:rsidRPr="00A427A7" w:rsidRDefault="00456C71" w:rsidP="009C723C">
                      <w:pPr>
                        <w:pStyle w:val="Normlnweb"/>
                        <w:spacing w:before="0" w:beforeAutospacing="0" w:after="0" w:afterAutospacing="0"/>
                        <w:ind w:left="274" w:hanging="274"/>
                        <w:textAlignment w:val="baseline"/>
                        <w:rPr>
                          <w:lang w:val="cs-CZ"/>
                        </w:rPr>
                      </w:pPr>
                      <w:r w:rsidRPr="00A427A7">
                        <w:rPr>
                          <w:rFonts w:cs="Arial"/>
                          <w:color w:val="000000"/>
                          <w:kern w:val="24"/>
                          <w:sz w:val="18"/>
                          <w:szCs w:val="18"/>
                          <w:lang w:val="cs-CZ"/>
                        </w:rPr>
                        <w:t xml:space="preserve">silnice a vybrané </w:t>
                      </w:r>
                    </w:p>
                    <w:p w:rsidR="00456C71" w:rsidRPr="00A427A7" w:rsidRDefault="00456C71" w:rsidP="009C723C">
                      <w:pPr>
                        <w:pStyle w:val="Normlnweb"/>
                        <w:spacing w:before="0" w:beforeAutospacing="0" w:after="0" w:afterAutospacing="0"/>
                        <w:ind w:left="274" w:hanging="274"/>
                        <w:textAlignment w:val="baseline"/>
                        <w:rPr>
                          <w:lang w:val="cs-CZ"/>
                        </w:rPr>
                      </w:pPr>
                      <w:r w:rsidRPr="00A427A7">
                        <w:rPr>
                          <w:rFonts w:cs="Arial"/>
                          <w:color w:val="000000"/>
                          <w:kern w:val="24"/>
                          <w:sz w:val="18"/>
                          <w:szCs w:val="18"/>
                          <w:lang w:val="cs-CZ"/>
                        </w:rPr>
                        <w:t>úseky silnic I. třídy</w:t>
                      </w:r>
                    </w:p>
                  </w:txbxContent>
                </v:textbox>
              </v:shape>
              <v:group id="Group 142" o:spid="_x0000_s1034" style="position:absolute;left:17169;width:4246;height:17516" coordorigin="17169" coordsize="4245,17516">
                <o:lock v:ext="edit" aspectratio="t"/>
                <v:shape id="TextBox 41" o:spid="_x0000_s1035" type="#_x0000_t202" style="position:absolute;left:17169;width:4245;height:3493;visibility:visible;mso-wrap-style:none" filled="f" stroked="f">
                  <o:lock v:ext="edit" aspectratio="t"/>
                  <v:textbox style="mso-next-textbox:#TextBox 41"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b/>
                            <w:bCs/>
                            <w:color w:val="000000"/>
                            <w:kern w:val="24"/>
                          </w:rPr>
                          <w:t>2017</w:t>
                        </w:r>
                      </w:p>
                    </w:txbxContent>
                  </v:textbox>
                </v:shape>
                <v:line id="Straight Connector 144" o:spid="_x0000_s1036" style="position:absolute;visibility:visible" from="19699,2996" to="19699,17516" o:connectortype="straight" strokecolor="#006">
                  <v:stroke dashstyle="longDash"/>
                  <o:lock v:ext="edit" aspectratio="t"/>
                </v:line>
              </v:group>
              <v:group id="Group 145" o:spid="_x0000_s1037" style="position:absolute;left:9515;top:9;width:4246;height:17507" coordorigin="9515,9" coordsize="4245,17507">
                <o:lock v:ext="edit" aspectratio="t"/>
                <v:shape id="TextBox 44" o:spid="_x0000_s1038" type="#_x0000_t202" style="position:absolute;left:9515;top:9;width:4245;height:3500;visibility:visible;mso-wrap-style:none" filled="f" stroked="f">
                  <o:lock v:ext="edit" aspectratio="t"/>
                  <v:textbox style="mso-next-textbox:#TextBox 44"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b/>
                            <w:bCs/>
                            <w:color w:val="000000"/>
                            <w:kern w:val="24"/>
                          </w:rPr>
                          <w:t>2015</w:t>
                        </w:r>
                      </w:p>
                    </w:txbxContent>
                  </v:textbox>
                </v:shape>
                <v:line id="Straight Connector 147" o:spid="_x0000_s1039" style="position:absolute;visibility:visible" from="11885,3138" to="11885,17516" o:connectortype="straight" strokecolor="#006">
                  <v:stroke dashstyle="longDash"/>
                  <o:lock v:ext="edit" aspectratio="t"/>
                </v:line>
              </v:group>
              <v:line id="Straight Connector 148" o:spid="_x0000_s1040" style="position:absolute;visibility:visible" from="3856,2888" to="3856,17516" o:connectortype="straight" strokecolor="#006">
                <v:stroke dashstyle="longDash"/>
                <o:lock v:ext="edit" aspectratio="t"/>
              </v:line>
              <v:shape id="TextBox 48" o:spid="_x0000_s1041" type="#_x0000_t202" style="position:absolute;left:50657;top:8;width:4246;height:3500;visibility:visible;mso-wrap-style:none" filled="f" stroked="f">
                <o:lock v:ext="edit" aspectratio="t"/>
                <v:textbox style="mso-next-textbox:#TextBox 48"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b/>
                          <w:bCs/>
                          <w:color w:val="000000"/>
                          <w:kern w:val="24"/>
                        </w:rPr>
                        <w:t>2027</w:t>
                      </w:r>
                    </w:p>
                  </w:txbxContent>
                </v:textbox>
              </v:shape>
              <v:line id="Straight Connector 150" o:spid="_x0000_s1042" style="position:absolute;visibility:visible" from="53000,2948" to="53000,17516" o:connectortype="straight" strokecolor="#006">
                <v:stroke dashstyle="longDash"/>
                <o:lock v:ext="edit" aspectratio="t"/>
              </v:line>
              <v:shape id="TextBox 50" o:spid="_x0000_s1043" type="#_x0000_t202" style="position:absolute;left:1569;top:38;width:4245;height:3493;visibility:visible;mso-wrap-style:none" filled="f" stroked="f">
                <o:lock v:ext="edit" aspectratio="t"/>
                <v:textbox style="mso-next-textbox:#TextBox 50"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b/>
                          <w:bCs/>
                          <w:color w:val="000000"/>
                          <w:kern w:val="24"/>
                        </w:rPr>
                        <w:t>2013</w:t>
                      </w:r>
                    </w:p>
                  </w:txbxContent>
                </v:textbox>
              </v:shape>
            </v:group>
            <w10:wrap type="none"/>
            <w10:anchorlock/>
          </v:group>
        </w:pict>
      </w:r>
    </w:p>
    <w:p w:rsidR="00C06DA1" w:rsidRPr="00DD2F1B" w:rsidRDefault="00C06DA1" w:rsidP="009C723C">
      <w:pPr>
        <w:jc w:val="center"/>
        <w:rPr>
          <w:sz w:val="16"/>
          <w:szCs w:val="16"/>
          <w:lang w:val="cs-CZ"/>
        </w:rPr>
      </w:pPr>
      <w:r w:rsidRPr="00DD2F1B">
        <w:rPr>
          <w:sz w:val="16"/>
          <w:szCs w:val="16"/>
          <w:lang w:val="cs-CZ"/>
        </w:rPr>
        <w:t xml:space="preserve">Graf č. </w:t>
      </w:r>
      <w:r>
        <w:rPr>
          <w:sz w:val="16"/>
          <w:szCs w:val="16"/>
          <w:lang w:val="cs-CZ"/>
        </w:rPr>
        <w:t xml:space="preserve">6 </w:t>
      </w:r>
      <w:r w:rsidRPr="00DD2F1B">
        <w:rPr>
          <w:sz w:val="16"/>
          <w:szCs w:val="16"/>
          <w:lang w:val="cs-CZ"/>
        </w:rPr>
        <w:t>– Časový průběh a struktura varianty 0</w:t>
      </w:r>
    </w:p>
    <w:p w:rsidR="00C06DA1" w:rsidRPr="00DD2F1B" w:rsidRDefault="00C06DA1" w:rsidP="009C723C">
      <w:pPr>
        <w:spacing w:before="120" w:after="120" w:line="240" w:lineRule="auto"/>
        <w:jc w:val="both"/>
        <w:rPr>
          <w:b/>
          <w:sz w:val="22"/>
          <w:szCs w:val="22"/>
          <w:lang w:val="cs-CZ"/>
        </w:rPr>
      </w:pPr>
      <w:r w:rsidRPr="00DD2F1B">
        <w:rPr>
          <w:b/>
          <w:sz w:val="22"/>
          <w:szCs w:val="22"/>
          <w:lang w:val="cs-CZ"/>
        </w:rPr>
        <w:t>Výhody:</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použita ověřená, spolehlivá a plně standardizovaná technologie;</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lze okamžitě zahájit implementaci EETS v České republice;</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lze okamžitě zahájit implementaci regionální interoperability;</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zachovaná počáteční investice do SEM z let 2007 – 2016;</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bez dodatečných investic.</w:t>
      </w:r>
    </w:p>
    <w:p w:rsidR="00C06DA1" w:rsidRPr="00DD2F1B" w:rsidRDefault="00C06DA1" w:rsidP="009C723C">
      <w:pPr>
        <w:spacing w:before="120" w:after="120" w:line="240" w:lineRule="auto"/>
        <w:jc w:val="both"/>
        <w:rPr>
          <w:b/>
          <w:sz w:val="22"/>
          <w:szCs w:val="22"/>
          <w:lang w:val="cs-CZ"/>
        </w:rPr>
      </w:pPr>
    </w:p>
    <w:p w:rsidR="00C06DA1" w:rsidRPr="00DD2F1B" w:rsidRDefault="00C06DA1" w:rsidP="009C723C">
      <w:pPr>
        <w:spacing w:before="120" w:after="120" w:line="240" w:lineRule="auto"/>
        <w:jc w:val="both"/>
        <w:rPr>
          <w:b/>
          <w:sz w:val="22"/>
          <w:szCs w:val="22"/>
          <w:lang w:val="cs-CZ"/>
        </w:rPr>
      </w:pPr>
    </w:p>
    <w:p w:rsidR="00C06DA1" w:rsidRPr="00DD2F1B" w:rsidRDefault="00C06DA1" w:rsidP="009C723C">
      <w:pPr>
        <w:spacing w:before="120" w:after="120" w:line="240" w:lineRule="auto"/>
        <w:jc w:val="both"/>
        <w:rPr>
          <w:b/>
          <w:sz w:val="22"/>
          <w:szCs w:val="22"/>
          <w:lang w:val="cs-CZ"/>
        </w:rPr>
      </w:pPr>
      <w:r w:rsidRPr="00DD2F1B">
        <w:rPr>
          <w:b/>
          <w:sz w:val="22"/>
          <w:szCs w:val="22"/>
          <w:lang w:val="cs-CZ"/>
        </w:rPr>
        <w:lastRenderedPageBreak/>
        <w:t>Nevýhody:</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bez dodatečných příjmů (propad výběru mýta z důvodu nevyhovující tarifní politiky), který vyvolá další značný propad příjmů z mýta;</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bez růstového a vývojového potenciálu;</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hrozba obtížného převzetí stávajícího SEM.</w:t>
      </w:r>
    </w:p>
    <w:p w:rsidR="00C06DA1" w:rsidRPr="00DD2F1B" w:rsidRDefault="00C06DA1" w:rsidP="009C723C">
      <w:pPr>
        <w:jc w:val="both"/>
        <w:rPr>
          <w:b/>
          <w:sz w:val="22"/>
          <w:szCs w:val="22"/>
          <w:lang w:val="cs-CZ"/>
        </w:rPr>
      </w:pPr>
    </w:p>
    <w:p w:rsidR="00C06DA1" w:rsidRPr="00DD2F1B" w:rsidRDefault="00C06DA1" w:rsidP="009C723C">
      <w:pPr>
        <w:jc w:val="both"/>
        <w:rPr>
          <w:sz w:val="22"/>
          <w:szCs w:val="22"/>
          <w:lang w:val="cs-CZ"/>
        </w:rPr>
      </w:pPr>
      <w:r w:rsidRPr="00DD2F1B">
        <w:rPr>
          <w:b/>
          <w:sz w:val="22"/>
          <w:szCs w:val="22"/>
          <w:lang w:val="cs-CZ"/>
        </w:rPr>
        <w:t xml:space="preserve">Varianta 01 </w:t>
      </w:r>
      <w:r w:rsidRPr="00DD2F1B">
        <w:rPr>
          <w:sz w:val="22"/>
          <w:szCs w:val="22"/>
          <w:lang w:val="cs-CZ"/>
        </w:rPr>
        <w:t xml:space="preserve">– Nepředpokládá rozšíření sítě zpoplatněných komunikací. Tato varianta počítá se zvýšením mýtných sazeb u nyní zvýhodněné emisní kategorie Euro V a vyšší o 25 %. Po roce 2016 se předpokládá zajištění provozu SEM dodavatelem </w:t>
      </w:r>
      <w:r>
        <w:rPr>
          <w:sz w:val="22"/>
          <w:szCs w:val="22"/>
          <w:lang w:val="cs-CZ"/>
        </w:rPr>
        <w:t>vybraným v zadávacím</w:t>
      </w:r>
      <w:r w:rsidRPr="00DD2F1B">
        <w:rPr>
          <w:sz w:val="22"/>
          <w:szCs w:val="22"/>
          <w:lang w:val="cs-CZ"/>
        </w:rPr>
        <w:t xml:space="preserve"> řízení. Změny rozsahu zpoplatněné sítě pozemních komunikací se týkají pouze nově dostavovaných dálnic a rychlostních silnic. Jediné systémové změny se týkají přizpůsobení systému novým požadavkům v souvislosti se zaváděním EETS.</w:t>
      </w:r>
    </w:p>
    <w:p w:rsidR="00C06DA1" w:rsidRPr="00DD2F1B" w:rsidRDefault="00C06DA1" w:rsidP="009C723C">
      <w:pPr>
        <w:jc w:val="both"/>
        <w:rPr>
          <w:sz w:val="22"/>
          <w:szCs w:val="22"/>
          <w:lang w:val="cs-CZ"/>
        </w:rPr>
      </w:pPr>
      <w:r w:rsidRPr="00DD2F1B">
        <w:rPr>
          <w:sz w:val="22"/>
          <w:szCs w:val="22"/>
          <w:lang w:val="cs-CZ"/>
        </w:rPr>
        <w:t xml:space="preserve">Mezi výhody patří krom dalšího používání prověřených procesů i absence nutnosti počáteční investice, na druhou stranu po skokovém navýšení příjmů se tyto nadále budou zvedat pouze s rozšiřováním sítě zpoplatněných pozemních komunikací, především dálnic a rychlostních silnic. </w:t>
      </w:r>
    </w:p>
    <w:p w:rsidR="00C06DA1" w:rsidRPr="00DD2F1B" w:rsidRDefault="00C06DA1" w:rsidP="009C723C">
      <w:pPr>
        <w:pBdr>
          <w:top w:val="single" w:sz="4" w:space="1" w:color="auto"/>
          <w:left w:val="single" w:sz="4" w:space="4" w:color="auto"/>
          <w:bottom w:val="single" w:sz="4" w:space="1" w:color="auto"/>
          <w:right w:val="single" w:sz="4" w:space="4" w:color="auto"/>
        </w:pBdr>
        <w:jc w:val="both"/>
        <w:rPr>
          <w:b/>
          <w:sz w:val="22"/>
          <w:szCs w:val="22"/>
          <w:lang w:val="cs-CZ"/>
        </w:rPr>
      </w:pPr>
      <w:r w:rsidRPr="00DD2F1B">
        <w:rPr>
          <w:b/>
          <w:sz w:val="22"/>
          <w:szCs w:val="22"/>
          <w:lang w:val="cs-CZ"/>
        </w:rPr>
        <w:t>Varianta 01 přináší bez dodatečných výdajů čisté příjmy ve výši cca 850 mil. Kč ročně</w:t>
      </w:r>
      <w:r>
        <w:rPr>
          <w:b/>
          <w:sz w:val="22"/>
          <w:szCs w:val="22"/>
          <w:lang w:val="cs-CZ"/>
        </w:rPr>
        <w:t xml:space="preserve">. Tato varianta </w:t>
      </w:r>
      <w:r w:rsidRPr="00DD2F1B">
        <w:rPr>
          <w:b/>
          <w:sz w:val="22"/>
          <w:szCs w:val="22"/>
          <w:lang w:val="cs-CZ"/>
        </w:rPr>
        <w:t xml:space="preserve">je </w:t>
      </w:r>
      <w:r>
        <w:rPr>
          <w:b/>
          <w:sz w:val="22"/>
          <w:szCs w:val="22"/>
          <w:lang w:val="cs-CZ"/>
        </w:rPr>
        <w:t>tedy realizovatelná</w:t>
      </w:r>
      <w:r w:rsidRPr="00DD2F1B">
        <w:rPr>
          <w:b/>
          <w:sz w:val="22"/>
          <w:szCs w:val="22"/>
          <w:lang w:val="cs-CZ"/>
        </w:rPr>
        <w:t xml:space="preserve"> jako krátkodobé zvýšení příjmů. Přínosem </w:t>
      </w:r>
      <w:r>
        <w:rPr>
          <w:b/>
          <w:sz w:val="22"/>
          <w:szCs w:val="22"/>
          <w:lang w:val="cs-CZ"/>
        </w:rPr>
        <w:t>zadávacího řízení</w:t>
      </w:r>
      <w:r w:rsidRPr="00DD2F1B">
        <w:rPr>
          <w:b/>
          <w:sz w:val="22"/>
          <w:szCs w:val="22"/>
          <w:lang w:val="cs-CZ"/>
        </w:rPr>
        <w:t xml:space="preserve"> by mělo být i snížení provozních nákladů a tedy zefektivnění provozu.</w:t>
      </w:r>
    </w:p>
    <w:p w:rsidR="00C06DA1" w:rsidRPr="00DD2F1B" w:rsidRDefault="001C18DA" w:rsidP="009C723C">
      <w:pPr>
        <w:pStyle w:val="Odstavecseseznamem1"/>
        <w:spacing w:before="240"/>
        <w:ind w:left="0"/>
        <w:jc w:val="both"/>
        <w:rPr>
          <w:rFonts w:cs="Calibri"/>
          <w:noProof/>
          <w:szCs w:val="24"/>
          <w:lang w:val="cs-CZ" w:eastAsia="cs-CZ"/>
        </w:rPr>
      </w:pPr>
      <w:r>
        <w:rPr>
          <w:rFonts w:cs="Calibri"/>
          <w:noProof/>
          <w:szCs w:val="24"/>
          <w:lang w:val="cs-CZ" w:eastAsia="cs-CZ"/>
        </w:rPr>
      </w:r>
      <w:r>
        <w:rPr>
          <w:rFonts w:cs="Calibri"/>
          <w:noProof/>
          <w:szCs w:val="24"/>
          <w:lang w:val="cs-CZ" w:eastAsia="cs-CZ"/>
        </w:rPr>
        <w:pict>
          <v:group id="_x0000_s1044" style="width:433.2pt;height:115.35pt;mso-position-horizontal-relative:char;mso-position-vertical-relative:line" coordsize="46768,12449">
            <o:lock v:ext="edit" aspectratio="t"/>
            <v:line id="Straight Connector 117" o:spid="_x0000_s1045" style="position:absolute;visibility:visible" from="0,2605" to="40933,2605" o:connectortype="straight" strokecolor="#006" strokeweight="2pt">
              <o:lock v:ext="edit" aspectratio="t"/>
            </v:line>
            <v:line id="Straight Connector 118" o:spid="_x0000_s1046" style="position:absolute;visibility:visible" from="8452,7663" to="14013,7663" o:connectortype="straight" strokecolor="#00a1de" strokeweight="3pt">
              <v:stroke endarrow="block"/>
              <o:lock v:ext="edit" aspectratio="t"/>
            </v:line>
            <v:line id="Straight Connector 119" o:spid="_x0000_s1047" style="position:absolute;visibility:visible" from="14019,7659" to="37714,7659" o:connectortype="straight" strokecolor="#00a1de" strokeweight="3pt">
              <v:stroke startarrow="block" endarrow="block"/>
              <o:lock v:ext="edit" aspectratio="t"/>
            </v:line>
            <v:shape id="TextBox 79" o:spid="_x0000_s1048" type="#_x0000_t202" style="position:absolute;left:3786;top:5709;width:4656;height:1843;visibility:visible" filled="f" stroked="f">
              <o:lock v:ext="edit" aspectratio="t"/>
              <v:textbox inset="1mm,1mm,1mm,1mm">
                <w:txbxContent>
                  <w:p w:rsidR="00456C71" w:rsidRPr="009C315E" w:rsidRDefault="00456C71" w:rsidP="009C723C">
                    <w:pPr>
                      <w:pStyle w:val="Normlnweb"/>
                      <w:spacing w:before="0" w:beforeAutospacing="0" w:after="0" w:afterAutospacing="0"/>
                      <w:ind w:left="274" w:hanging="274"/>
                      <w:textAlignment w:val="baseline"/>
                      <w:rPr>
                        <w:lang w:val="cs-CZ"/>
                      </w:rPr>
                    </w:pPr>
                    <w:r>
                      <w:rPr>
                        <w:rFonts w:cs="Arial"/>
                        <w:color w:val="000000"/>
                        <w:kern w:val="24"/>
                        <w:sz w:val="18"/>
                        <w:szCs w:val="18"/>
                        <w:lang w:val="cs-CZ"/>
                      </w:rPr>
                      <w:t>SEM</w:t>
                    </w:r>
                  </w:p>
                </w:txbxContent>
              </v:textbox>
            </v:shape>
            <v:shape id="TextBox 83" o:spid="_x0000_s1049" type="#_x0000_t202" style="position:absolute;left:19695;top:5725;width:4656;height:1843;visibility:visible" filled="f" stroked="f">
              <o:lock v:ext="edit" aspectratio="t"/>
              <v:textbox inset="1mm,1mm,1mm,1mm">
                <w:txbxContent>
                  <w:p w:rsidR="00456C71" w:rsidRPr="009C315E" w:rsidRDefault="00456C71" w:rsidP="009C723C">
                    <w:pPr>
                      <w:pStyle w:val="Normlnweb"/>
                      <w:spacing w:before="0" w:beforeAutospacing="0" w:after="0" w:afterAutospacing="0"/>
                      <w:ind w:left="274" w:hanging="274"/>
                      <w:textAlignment w:val="baseline"/>
                      <w:rPr>
                        <w:lang w:val="cs-CZ"/>
                      </w:rPr>
                    </w:pPr>
                    <w:r>
                      <w:rPr>
                        <w:rFonts w:cs="Arial"/>
                        <w:color w:val="000000"/>
                        <w:kern w:val="24"/>
                        <w:sz w:val="18"/>
                        <w:szCs w:val="18"/>
                        <w:lang w:val="cs-CZ"/>
                      </w:rPr>
                      <w:t>SEM</w:t>
                    </w:r>
                  </w:p>
                </w:txbxContent>
              </v:textbox>
            </v:shape>
            <v:shape id="TextBox 97" o:spid="_x0000_s1050" type="#_x0000_t202" style="position:absolute;left:38898;top:4090;width:7870;height:5224;visibility:visible;mso-wrap-style:none" filled="f" stroked="f">
              <o:lock v:ext="edit" aspectratio="t"/>
              <v:textbox inset="1mm,1mm,1mm,1mm">
                <w:txbxContent>
                  <w:p w:rsidR="00456C71" w:rsidRPr="00BB260C" w:rsidRDefault="00456C71" w:rsidP="009C723C">
                    <w:pPr>
                      <w:pStyle w:val="Normlnweb"/>
                      <w:spacing w:before="0" w:beforeAutospacing="0" w:after="0" w:afterAutospacing="0"/>
                      <w:ind w:left="274" w:hanging="274"/>
                      <w:textAlignment w:val="baseline"/>
                      <w:rPr>
                        <w:lang w:val="cs-CZ"/>
                      </w:rPr>
                    </w:pPr>
                    <w:r w:rsidRPr="00BB260C">
                      <w:rPr>
                        <w:rFonts w:cs="Arial"/>
                        <w:color w:val="000000"/>
                        <w:kern w:val="24"/>
                        <w:sz w:val="18"/>
                        <w:szCs w:val="18"/>
                        <w:lang w:val="cs-CZ"/>
                      </w:rPr>
                      <w:t xml:space="preserve">Dálnice, rychlostní </w:t>
                    </w:r>
                  </w:p>
                  <w:p w:rsidR="00456C71" w:rsidRPr="00BB260C" w:rsidRDefault="00456C71" w:rsidP="009C723C">
                    <w:pPr>
                      <w:pStyle w:val="Normlnweb"/>
                      <w:spacing w:before="0" w:beforeAutospacing="0" w:after="0" w:afterAutospacing="0"/>
                      <w:ind w:left="274" w:hanging="274"/>
                      <w:textAlignment w:val="baseline"/>
                      <w:rPr>
                        <w:lang w:val="cs-CZ"/>
                      </w:rPr>
                    </w:pPr>
                    <w:r w:rsidRPr="00BB260C">
                      <w:rPr>
                        <w:rFonts w:cs="Arial"/>
                        <w:color w:val="000000"/>
                        <w:kern w:val="24"/>
                        <w:sz w:val="18"/>
                        <w:szCs w:val="18"/>
                        <w:lang w:val="cs-CZ"/>
                      </w:rPr>
                      <w:t xml:space="preserve">silnice a vybrané </w:t>
                    </w:r>
                  </w:p>
                  <w:p w:rsidR="00456C71" w:rsidRPr="00BB260C" w:rsidRDefault="00456C71" w:rsidP="009C723C">
                    <w:pPr>
                      <w:pStyle w:val="Normlnweb"/>
                      <w:spacing w:before="0" w:beforeAutospacing="0" w:after="0" w:afterAutospacing="0"/>
                      <w:ind w:left="274" w:hanging="274"/>
                      <w:textAlignment w:val="baseline"/>
                      <w:rPr>
                        <w:lang w:val="cs-CZ"/>
                      </w:rPr>
                    </w:pPr>
                    <w:r w:rsidRPr="00BB260C">
                      <w:rPr>
                        <w:rFonts w:cs="Arial"/>
                        <w:color w:val="000000"/>
                        <w:kern w:val="24"/>
                        <w:sz w:val="18"/>
                        <w:szCs w:val="18"/>
                        <w:lang w:val="cs-CZ"/>
                      </w:rPr>
                      <w:t>úseky silnic I. třídy</w:t>
                    </w:r>
                  </w:p>
                </w:txbxContent>
              </v:textbox>
            </v:shape>
            <v:group id="Group 123" o:spid="_x0000_s1051" style="position:absolute;left:12203;width:3017;height:12449" coordorigin="12203" coordsize="4245,17516">
              <o:lock v:ext="edit" aspectratio="t"/>
              <v:shape id="TextBox 41" o:spid="_x0000_s1052" type="#_x0000_t202" style="position:absolute;left:12203;width:4245;height:3493;visibility:visible;mso-wrap-style:none" filled="f" stroked="f">
                <o:lock v:ext="edit" aspectratio="t"/>
                <v:textbox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b/>
                          <w:bCs/>
                          <w:color w:val="000000"/>
                          <w:kern w:val="24"/>
                        </w:rPr>
                        <w:t>2017</w:t>
                      </w:r>
                    </w:p>
                  </w:txbxContent>
                </v:textbox>
              </v:shape>
              <v:line id="Straight Connector 125" o:spid="_x0000_s1053" style="position:absolute;visibility:visible" from="14732,2996" to="14732,17516" o:connectortype="straight" strokecolor="#006">
                <v:stroke dashstyle="longDash"/>
                <o:lock v:ext="edit" aspectratio="t"/>
              </v:line>
            </v:group>
            <v:group id="Group 126" o:spid="_x0000_s1054" style="position:absolute;left:6763;top:6;width:3017;height:12443" coordorigin="6763,6" coordsize="4245,17507">
              <o:lock v:ext="edit" aspectratio="t"/>
              <v:shape id="TextBox 44" o:spid="_x0000_s1055" type="#_x0000_t202" style="position:absolute;left:6763;top:6;width:4245;height:3500;visibility:visible;mso-wrap-style:none" filled="f" stroked="f">
                <o:lock v:ext="edit" aspectratio="t"/>
                <v:textbox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b/>
                          <w:bCs/>
                          <w:color w:val="000000"/>
                          <w:kern w:val="24"/>
                        </w:rPr>
                        <w:t>2015</w:t>
                      </w:r>
                    </w:p>
                  </w:txbxContent>
                </v:textbox>
              </v:shape>
              <v:line id="Straight Connector 128" o:spid="_x0000_s1056" style="position:absolute;visibility:visible" from="9133,3135" to="9133,17513" o:connectortype="straight" strokecolor="#006">
                <v:stroke dashstyle="longDash"/>
                <o:lock v:ext="edit" aspectratio="t"/>
              </v:line>
            </v:group>
            <v:line id="Straight Connector 129" o:spid="_x0000_s1057" style="position:absolute;visibility:visible" from="2740,2052" to="2740,12449" o:connectortype="straight" strokecolor="#006">
              <v:stroke dashstyle="longDash"/>
              <o:lock v:ext="edit" aspectratio="t"/>
            </v:line>
            <v:shape id="TextBox 48" o:spid="_x0000_s1058" type="#_x0000_t202" style="position:absolute;left:36004;top:5;width:3018;height:2488;visibility:visible;mso-wrap-style:none" filled="f" stroked="f">
              <o:lock v:ext="edit" aspectratio="t"/>
              <v:textbox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b/>
                        <w:bCs/>
                        <w:color w:val="000000"/>
                        <w:kern w:val="24"/>
                      </w:rPr>
                      <w:t>2027</w:t>
                    </w:r>
                  </w:p>
                </w:txbxContent>
              </v:textbox>
            </v:shape>
            <v:line id="Straight Connector 131" o:spid="_x0000_s1059" style="position:absolute;visibility:visible" from="37669,2095" to="37669,12449" o:connectortype="straight" strokecolor="#006">
              <v:stroke dashstyle="longDash"/>
              <o:lock v:ext="edit" aspectratio="t"/>
            </v:line>
            <v:shape id="TextBox 50" o:spid="_x0000_s1060" type="#_x0000_t202" style="position:absolute;left:1117;top:22;width:3018;height:2487;visibility:visible;mso-wrap-style:none" filled="f" stroked="f">
              <o:lock v:ext="edit" aspectratio="t"/>
              <v:textbox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b/>
                        <w:bCs/>
                        <w:color w:val="000000"/>
                        <w:kern w:val="24"/>
                      </w:rPr>
                      <w:t>2013</w:t>
                    </w:r>
                  </w:p>
                </w:txbxContent>
              </v:textbox>
            </v:shape>
            <v:line id="Straight Connector 133" o:spid="_x0000_s1061" style="position:absolute;flip:x;visibility:visible" from="94,7654" to="8399,7654" o:connectortype="straight" strokecolor="#002776" strokeweight="3pt">
              <o:lock v:ext="edit" aspectratio="t"/>
            </v:line>
            <w10:wrap type="none"/>
            <w10:anchorlock/>
          </v:group>
        </w:pict>
      </w:r>
    </w:p>
    <w:p w:rsidR="00C06DA1" w:rsidRPr="00DD2F1B" w:rsidRDefault="00C06DA1" w:rsidP="009C723C">
      <w:pPr>
        <w:pStyle w:val="Odstavecseseznamem1"/>
        <w:spacing w:before="240"/>
        <w:jc w:val="center"/>
        <w:rPr>
          <w:rFonts w:cs="Calibri"/>
          <w:lang w:val="cs-CZ"/>
        </w:rPr>
      </w:pPr>
      <w:r w:rsidRPr="00DD2F1B">
        <w:rPr>
          <w:sz w:val="16"/>
          <w:szCs w:val="16"/>
          <w:lang w:val="cs-CZ"/>
        </w:rPr>
        <w:t xml:space="preserve">Graf č. </w:t>
      </w:r>
      <w:r>
        <w:rPr>
          <w:sz w:val="16"/>
          <w:szCs w:val="16"/>
          <w:lang w:val="cs-CZ"/>
        </w:rPr>
        <w:t>7</w:t>
      </w:r>
      <w:r w:rsidRPr="00DD2F1B">
        <w:rPr>
          <w:sz w:val="16"/>
          <w:szCs w:val="16"/>
          <w:lang w:val="cs-CZ"/>
        </w:rPr>
        <w:t xml:space="preserve"> – Časový průběh a struktura varianty 01</w:t>
      </w:r>
    </w:p>
    <w:p w:rsidR="00C06DA1" w:rsidRPr="00DD2F1B" w:rsidRDefault="00C06DA1" w:rsidP="009C723C">
      <w:pPr>
        <w:spacing w:before="120" w:after="120" w:line="240" w:lineRule="auto"/>
        <w:jc w:val="both"/>
        <w:rPr>
          <w:b/>
          <w:sz w:val="22"/>
          <w:szCs w:val="22"/>
          <w:lang w:val="cs-CZ"/>
        </w:rPr>
      </w:pPr>
      <w:r w:rsidRPr="00DD2F1B">
        <w:rPr>
          <w:b/>
          <w:sz w:val="22"/>
          <w:szCs w:val="22"/>
          <w:lang w:val="cs-CZ"/>
        </w:rPr>
        <w:t>Výhody:</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použita ověřená, spolehlivá a plně standardizovaná technologie;</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lze okamžitě zahájit implementaci EETS v České republice;</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lze okamžitě zahájit implementaci regionální interoperability;</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dodatečné příjmy v řádech 850 mil. Kč ročně již od roku 2015;</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nová odpovídající tarifní politika;</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zachovaná počáteční investice do SEM z let 2007 - 2016;</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bez dodatečných investic.</w:t>
      </w:r>
    </w:p>
    <w:p w:rsidR="00C06DA1" w:rsidRPr="00DD2F1B" w:rsidRDefault="00C06DA1" w:rsidP="009C723C">
      <w:pPr>
        <w:spacing w:before="120" w:after="120" w:line="240" w:lineRule="auto"/>
        <w:jc w:val="both"/>
        <w:rPr>
          <w:b/>
          <w:sz w:val="22"/>
          <w:szCs w:val="22"/>
          <w:lang w:val="cs-CZ"/>
        </w:rPr>
      </w:pPr>
      <w:r w:rsidRPr="00DD2F1B">
        <w:rPr>
          <w:b/>
          <w:sz w:val="22"/>
          <w:szCs w:val="22"/>
          <w:lang w:val="cs-CZ"/>
        </w:rPr>
        <w:t>Nevýhody:</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bez významného růstového a vývojového potenciálu;</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hrozba obtížného převzetí stávajícího SEM.</w:t>
      </w:r>
    </w:p>
    <w:p w:rsidR="00C06DA1" w:rsidRPr="00DD2F1B" w:rsidRDefault="00C06DA1" w:rsidP="009C723C">
      <w:pPr>
        <w:jc w:val="both"/>
        <w:rPr>
          <w:sz w:val="22"/>
          <w:szCs w:val="22"/>
          <w:lang w:val="cs-CZ"/>
        </w:rPr>
      </w:pPr>
      <w:r w:rsidRPr="00DD2F1B">
        <w:rPr>
          <w:b/>
          <w:sz w:val="22"/>
          <w:szCs w:val="22"/>
          <w:lang w:val="cs-CZ"/>
        </w:rPr>
        <w:lastRenderedPageBreak/>
        <w:t>Varianta A </w:t>
      </w:r>
      <w:r w:rsidRPr="00DD2F1B">
        <w:rPr>
          <w:sz w:val="22"/>
          <w:szCs w:val="22"/>
          <w:lang w:val="cs-CZ"/>
        </w:rPr>
        <w:t xml:space="preserve">– Předpokládá rozšíření sítě zpoplatněných komunikací pomocí časového zpoplatnění. Současná zpoplatněná síť dálnic, rychlostních silnic a vybraných úseků silnic I. třídy zůstane zpoplatněna výkonově a kromě zpoplatnění nových úseků dálnic a rychlostních silnic, s jejichž výstavbou bude započato nejpozději v roce 2017. Provoz Systému elektronického mýta  je smluvně zajištěn do konce roku 2016, v dalších letech se počítá se zajištěním provozu SEM dodavatelem </w:t>
      </w:r>
      <w:r>
        <w:rPr>
          <w:sz w:val="22"/>
          <w:szCs w:val="22"/>
          <w:lang w:val="cs-CZ"/>
        </w:rPr>
        <w:t>vybraným v rámci zadávacího</w:t>
      </w:r>
      <w:r w:rsidRPr="00DD2F1B">
        <w:rPr>
          <w:sz w:val="22"/>
          <w:szCs w:val="22"/>
          <w:lang w:val="cs-CZ"/>
        </w:rPr>
        <w:t xml:space="preserve"> řízení. Systém elektronického mýta bude muset být navíc upraven pro podporu Evropské služby elektronického mýta.</w:t>
      </w:r>
    </w:p>
    <w:p w:rsidR="00C06DA1" w:rsidRPr="00DD2F1B" w:rsidRDefault="00C06DA1" w:rsidP="009C723C">
      <w:pPr>
        <w:jc w:val="both"/>
        <w:rPr>
          <w:sz w:val="22"/>
          <w:szCs w:val="22"/>
          <w:lang w:val="cs-CZ"/>
        </w:rPr>
      </w:pPr>
      <w:r w:rsidRPr="00DD2F1B">
        <w:rPr>
          <w:sz w:val="22"/>
          <w:szCs w:val="22"/>
          <w:lang w:val="cs-CZ"/>
        </w:rPr>
        <w:t xml:space="preserve">Časové zpoplatnění má výhodu v čerpání ze zkušeností s prodejem dálničních kuponů, pro které existuje funkční distribuční síť a současně se jedná a vysoce efektivní systém zpoplatnění s nízkými výdaji. Zároveň se ale jedná o nesystematické řešení, které vnáší komplikace do systému zpoplatnění pro uživatele dané souběhem dvou odlišných systémů. </w:t>
      </w:r>
    </w:p>
    <w:p w:rsidR="00C06DA1" w:rsidRPr="00DD2F1B" w:rsidRDefault="00C06DA1" w:rsidP="009C723C">
      <w:pPr>
        <w:jc w:val="both"/>
        <w:rPr>
          <w:sz w:val="22"/>
          <w:szCs w:val="22"/>
          <w:lang w:val="cs-CZ"/>
        </w:rPr>
      </w:pPr>
      <w:r w:rsidRPr="00DD2F1B">
        <w:rPr>
          <w:sz w:val="22"/>
          <w:szCs w:val="22"/>
          <w:lang w:val="cs-CZ"/>
        </w:rPr>
        <w:t>Při uvažovaném zpoplatnění všech zbývajících silnic I. třídy je nutná počáteční investice ve výši cca 260 mil. Kč, která obsahuje zejména potřebu označení pozemních komunikací a </w:t>
      </w:r>
      <w:proofErr w:type="spellStart"/>
      <w:r w:rsidRPr="00DD2F1B">
        <w:rPr>
          <w:sz w:val="22"/>
          <w:szCs w:val="22"/>
          <w:lang w:val="cs-CZ"/>
        </w:rPr>
        <w:t>inženýring</w:t>
      </w:r>
      <w:proofErr w:type="spellEnd"/>
      <w:r w:rsidRPr="00DD2F1B">
        <w:rPr>
          <w:sz w:val="22"/>
          <w:szCs w:val="22"/>
          <w:lang w:val="cs-CZ"/>
        </w:rPr>
        <w:t>. Varianta předpokládá navýšení čistých příjmu o cca 800 mil. Kč ročně.</w:t>
      </w:r>
    </w:p>
    <w:p w:rsidR="00C06DA1" w:rsidRPr="00DD2F1B" w:rsidRDefault="00C06DA1" w:rsidP="009C723C">
      <w:pPr>
        <w:pBdr>
          <w:top w:val="single" w:sz="4" w:space="1" w:color="auto"/>
          <w:left w:val="single" w:sz="4" w:space="4" w:color="auto"/>
          <w:bottom w:val="single" w:sz="4" w:space="1" w:color="auto"/>
          <w:right w:val="single" w:sz="4" w:space="4" w:color="auto"/>
        </w:pBdr>
        <w:jc w:val="both"/>
        <w:rPr>
          <w:b/>
          <w:sz w:val="22"/>
          <w:szCs w:val="22"/>
          <w:lang w:val="cs-CZ" w:eastAsia="cs-CZ"/>
        </w:rPr>
      </w:pPr>
      <w:r w:rsidRPr="00DD2F1B">
        <w:rPr>
          <w:b/>
          <w:sz w:val="22"/>
          <w:szCs w:val="22"/>
          <w:lang w:val="cs-CZ" w:eastAsia="cs-CZ"/>
        </w:rPr>
        <w:t xml:space="preserve">Na základě provedených analýz lze konstatovat, že rozšíření zpoplatněné sítě o časové zpoplatnění </w:t>
      </w:r>
      <w:r>
        <w:rPr>
          <w:b/>
          <w:sz w:val="22"/>
          <w:szCs w:val="22"/>
          <w:lang w:val="cs-CZ" w:eastAsia="cs-CZ"/>
        </w:rPr>
        <w:t>není z hlediska fiskálního cíle nejefektivnější</w:t>
      </w:r>
      <w:r w:rsidRPr="00DD2F1B">
        <w:rPr>
          <w:b/>
          <w:sz w:val="22"/>
          <w:szCs w:val="22"/>
          <w:lang w:val="cs-CZ" w:eastAsia="cs-CZ"/>
        </w:rPr>
        <w:t>.</w:t>
      </w:r>
    </w:p>
    <w:p w:rsidR="00C06DA1" w:rsidRPr="00DD2F1B" w:rsidRDefault="001C18DA" w:rsidP="009C723C">
      <w:pPr>
        <w:pStyle w:val="Odstavecseseznamem1"/>
        <w:spacing w:before="240"/>
        <w:ind w:left="0"/>
        <w:jc w:val="both"/>
        <w:rPr>
          <w:rFonts w:cs="Calibri"/>
          <w:noProof/>
          <w:lang w:val="cs-CZ" w:eastAsia="cs-CZ"/>
        </w:rPr>
      </w:pPr>
      <w:r>
        <w:rPr>
          <w:rFonts w:cs="Calibri"/>
          <w:noProof/>
          <w:lang w:val="cs-CZ" w:eastAsia="cs-CZ"/>
        </w:rPr>
      </w:r>
      <w:r>
        <w:rPr>
          <w:rFonts w:cs="Calibri"/>
          <w:noProof/>
          <w:lang w:val="cs-CZ" w:eastAsia="cs-CZ"/>
        </w:rPr>
        <w:pict>
          <v:group id="Group 9" o:spid="_x0000_s1062" style="width:442.95pt;height:113.6pt;mso-position-horizontal-relative:char;mso-position-vertical-relative:line" coordsize="68125,17460">
            <o:lock v:ext="edit" aspectratio="t"/>
            <v:line id="Straight Connector 43" o:spid="_x0000_s1063" style="position:absolute;visibility:visible" from="3900,2996" to="3900,17460" o:connectortype="straight" strokecolor="#006">
              <v:stroke dashstyle="longDash"/>
              <o:lock v:ext="edit" aspectratio="t"/>
            </v:line>
            <v:line id="Straight Connector 44" o:spid="_x0000_s1064" style="position:absolute;visibility:visible" from="11929,3075" to="11929,17460" o:connectortype="straight" strokecolor="#006">
              <v:stroke dashstyle="longDash"/>
              <o:lock v:ext="edit" aspectratio="t"/>
            </v:line>
            <v:line id="Straight Connector 45" o:spid="_x0000_s1065" style="position:absolute;visibility:visible" from="19742,3075" to="19742,17460" o:connectortype="straight" strokecolor="#006">
              <v:stroke dashstyle="longDash"/>
              <o:lock v:ext="edit" aspectratio="t"/>
            </v:line>
            <v:line id="Straight Connector 46" o:spid="_x0000_s1066" style="position:absolute;visibility:visible" from="53044,2916" to="53044,17460" o:connectortype="straight" strokecolor="#006">
              <v:stroke dashstyle="longDash"/>
              <o:lock v:ext="edit" aspectratio="t"/>
            </v:line>
            <v:group id="Group 47" o:spid="_x0000_s1067" style="position:absolute;left:43;width:57595;height:3665" coordorigin="43" coordsize="57594,3665">
              <o:lock v:ext="edit" aspectratio="t"/>
              <v:line id="Straight Connector 48" o:spid="_x0000_s1068" style="position:absolute;visibility:visible" from="43,3665" to="57637,3665" o:connectortype="straight" strokecolor="#006" strokeweight="2pt">
                <o:lock v:ext="edit" aspectratio="t"/>
              </v:line>
              <v:shape id="TextBox 15" o:spid="_x0000_s1069" type="#_x0000_t202" style="position:absolute;left:50554;top:8;width:4299;height:3511;visibility:visible;mso-wrap-style:none" filled="f" stroked="f">
                <o:lock v:ext="edit" aspectratio="t"/>
                <v:textbox style="mso-next-textbox:#TextBox 15"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b/>
                          <w:bCs/>
                          <w:color w:val="000000"/>
                          <w:kern w:val="24"/>
                        </w:rPr>
                        <w:t>2027</w:t>
                      </w:r>
                    </w:p>
                  </w:txbxContent>
                </v:textbox>
              </v:shape>
              <v:shape id="TextBox 13" o:spid="_x0000_s1070" type="#_x0000_t202" style="position:absolute;left:9433;top:8;width:4299;height:3488;visibility:visible;mso-wrap-style:none" filled="f" stroked="f">
                <o:lock v:ext="edit" aspectratio="t"/>
                <v:textbox style="mso-next-textbox:#TextBox 13"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b/>
                          <w:bCs/>
                          <w:color w:val="000000"/>
                          <w:kern w:val="24"/>
                        </w:rPr>
                        <w:t>2015</w:t>
                      </w:r>
                    </w:p>
                  </w:txbxContent>
                </v:textbox>
              </v:shape>
              <v:shape id="TextBox 14" o:spid="_x0000_s1071" type="#_x0000_t202" style="position:absolute;left:17447;width:4299;height:3488;visibility:visible;mso-wrap-style:none" filled="f" stroked="f">
                <o:lock v:ext="edit" aspectratio="t"/>
                <v:textbox style="mso-next-textbox:#TextBox 14"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b/>
                          <w:bCs/>
                          <w:color w:val="000000"/>
                          <w:kern w:val="24"/>
                        </w:rPr>
                        <w:t>2017</w:t>
                      </w:r>
                    </w:p>
                  </w:txbxContent>
                </v:textbox>
              </v:shape>
              <v:shape id="TextBox 66" o:spid="_x0000_s1072" type="#_x0000_t202" style="position:absolute;left:1497;top:31;width:4298;height:3503;visibility:visible;mso-wrap-style:none" filled="f" stroked="f">
                <o:lock v:ext="edit" aspectratio="t"/>
                <v:textbox style="mso-next-textbox:#TextBox 66"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b/>
                          <w:bCs/>
                          <w:color w:val="000000"/>
                          <w:kern w:val="24"/>
                        </w:rPr>
                        <w:t>2013</w:t>
                      </w:r>
                    </w:p>
                  </w:txbxContent>
                </v:textbox>
              </v:shape>
            </v:group>
            <v:line id="Straight Connector 53" o:spid="_x0000_s1073" style="position:absolute;visibility:visible" from="19726,13586" to="52964,13586" o:connectortype="straight" strokecolor="#3c8a2e" strokeweight="3pt">
              <v:stroke startarrow="block" endarrow="block"/>
              <o:lock v:ext="edit" aspectratio="t"/>
            </v:line>
            <v:shape id="TextBox 59" o:spid="_x0000_s1074" type="#_x0000_t202" style="position:absolute;left:54768;top:11481;width:13357;height:5971;visibility:visible;mso-wrap-style:none" filled="f" stroked="f">
              <o:lock v:ext="edit" aspectratio="t"/>
              <v:textbox style="mso-next-textbox:#TextBox 59" inset="1mm,1mm,1mm,1mm">
                <w:txbxContent>
                  <w:p w:rsidR="00456C71" w:rsidRPr="00D50D0C" w:rsidRDefault="00456C71" w:rsidP="009C723C">
                    <w:pPr>
                      <w:pStyle w:val="Normlnweb"/>
                      <w:spacing w:before="0" w:beforeAutospacing="0" w:after="0" w:afterAutospacing="0"/>
                      <w:ind w:left="274" w:hanging="274"/>
                      <w:textAlignment w:val="baseline"/>
                      <w:rPr>
                        <w:lang w:val="pl-PL"/>
                      </w:rPr>
                    </w:pPr>
                    <w:r w:rsidRPr="004D5A7D">
                      <w:rPr>
                        <w:rFonts w:cs="Arial"/>
                        <w:color w:val="000000"/>
                        <w:kern w:val="24"/>
                        <w:sz w:val="18"/>
                        <w:szCs w:val="18"/>
                        <w:lang w:val="pl-PL"/>
                      </w:rPr>
                      <w:t xml:space="preserve">Silnice I. třídy </w:t>
                    </w:r>
                  </w:p>
                  <w:p w:rsidR="00456C71" w:rsidRPr="00D50D0C" w:rsidRDefault="00456C71" w:rsidP="009C723C">
                    <w:pPr>
                      <w:pStyle w:val="Normlnweb"/>
                      <w:spacing w:before="0" w:beforeAutospacing="0" w:after="0" w:afterAutospacing="0"/>
                      <w:ind w:left="274" w:hanging="274"/>
                      <w:textAlignment w:val="baseline"/>
                      <w:rPr>
                        <w:lang w:val="pl-PL"/>
                      </w:rPr>
                    </w:pPr>
                    <w:r w:rsidRPr="004D5A7D">
                      <w:rPr>
                        <w:rFonts w:cs="Arial"/>
                        <w:color w:val="000000"/>
                        <w:kern w:val="24"/>
                        <w:sz w:val="18"/>
                        <w:szCs w:val="18"/>
                        <w:lang w:val="pl-PL"/>
                      </w:rPr>
                      <w:t>(mimo vybrané úseky)</w:t>
                    </w:r>
                  </w:p>
                </w:txbxContent>
              </v:textbox>
            </v:shape>
            <v:line id="Straight Connector 55" o:spid="_x0000_s1075" style="position:absolute;visibility:visible" from="0,8929" to="19696,8929" o:connectortype="straight" strokecolor="#002776" strokeweight="3pt">
              <v:stroke endarrow="block"/>
              <o:lock v:ext="edit" aspectratio="t"/>
            </v:line>
            <v:line id="Straight Connector 56" o:spid="_x0000_s1076" style="position:absolute;visibility:visible" from="19696,8923" to="52955,8923" o:connectortype="straight" strokecolor="#002776" strokeweight="3pt">
              <v:stroke startarrow="block" endarrow="block"/>
              <o:lock v:ext="edit" aspectratio="t"/>
            </v:line>
            <v:shape id="TextBox 80" o:spid="_x0000_s1077" type="#_x0000_t202" style="position:absolute;left:5370;top:6314;width:6551;height:2945;visibility:visible" filled="f" stroked="f">
              <o:lock v:ext="edit" aspectratio="t"/>
              <v:textbox style="mso-next-textbox:#TextBox 80" inset="1mm,1mm,1mm,1mm">
                <w:txbxContent>
                  <w:p w:rsidR="00456C71" w:rsidRPr="009C315E" w:rsidRDefault="00456C71" w:rsidP="009C723C">
                    <w:pPr>
                      <w:pStyle w:val="Normlnweb"/>
                      <w:spacing w:before="0" w:beforeAutospacing="0" w:after="0" w:afterAutospacing="0"/>
                      <w:ind w:left="274" w:hanging="274"/>
                      <w:textAlignment w:val="baseline"/>
                      <w:rPr>
                        <w:lang w:val="cs-CZ"/>
                      </w:rPr>
                    </w:pPr>
                    <w:r>
                      <w:rPr>
                        <w:rFonts w:cs="Arial"/>
                        <w:color w:val="000000"/>
                        <w:kern w:val="24"/>
                        <w:sz w:val="18"/>
                        <w:szCs w:val="18"/>
                        <w:lang w:val="cs-CZ"/>
                      </w:rPr>
                      <w:t>SEM</w:t>
                    </w:r>
                  </w:p>
                </w:txbxContent>
              </v:textbox>
            </v:shape>
            <v:shape id="TextBox 81" o:spid="_x0000_s1078" type="#_x0000_t202" style="position:absolute;left:27751;top:10278;width:18697;height:3746;visibility:visible;v-text-anchor:middle" filled="f" stroked="f">
              <o:lock v:ext="edit" aspectratio="t"/>
              <v:textbox style="mso-next-textbox:#TextBox 81" inset="1mm,1mm,1mm,1mm">
                <w:txbxContent>
                  <w:p w:rsidR="00456C71" w:rsidRPr="00BB260C" w:rsidRDefault="00456C71" w:rsidP="009C723C">
                    <w:pPr>
                      <w:pStyle w:val="Normlnweb"/>
                      <w:spacing w:before="0" w:beforeAutospacing="0" w:after="0" w:afterAutospacing="0"/>
                      <w:ind w:left="274" w:hanging="274"/>
                      <w:textAlignment w:val="baseline"/>
                      <w:rPr>
                        <w:lang w:val="cs-CZ"/>
                      </w:rPr>
                    </w:pPr>
                    <w:r w:rsidRPr="00BB260C">
                      <w:rPr>
                        <w:rFonts w:cs="Arial"/>
                        <w:color w:val="000000"/>
                        <w:kern w:val="24"/>
                        <w:sz w:val="18"/>
                        <w:szCs w:val="18"/>
                        <w:lang w:val="cs-CZ"/>
                      </w:rPr>
                      <w:t>Časové zpoplatnění</w:t>
                    </w:r>
                  </w:p>
                </w:txbxContent>
              </v:textbox>
            </v:shape>
            <v:shape id="TextBox 82" o:spid="_x0000_s1079" type="#_x0000_t202" style="position:absolute;left:27753;top:6314;width:10782;height:2947;visibility:visible" filled="f" stroked="f">
              <o:lock v:ext="edit" aspectratio="t"/>
              <v:textbox style="mso-next-textbox:#TextBox 82" inset="1mm,1mm,1mm,1mm">
                <w:txbxContent>
                  <w:p w:rsidR="00456C71" w:rsidRPr="009C315E" w:rsidRDefault="00456C71" w:rsidP="009C723C">
                    <w:pPr>
                      <w:pStyle w:val="Normlnweb"/>
                      <w:spacing w:before="0" w:beforeAutospacing="0" w:after="0" w:afterAutospacing="0"/>
                      <w:ind w:left="274" w:hanging="274"/>
                      <w:textAlignment w:val="baseline"/>
                      <w:rPr>
                        <w:lang w:val="cs-CZ"/>
                      </w:rPr>
                    </w:pPr>
                    <w:r>
                      <w:rPr>
                        <w:rFonts w:cs="Arial"/>
                        <w:color w:val="000000"/>
                        <w:kern w:val="24"/>
                        <w:sz w:val="18"/>
                        <w:szCs w:val="18"/>
                        <w:lang w:val="cs-CZ"/>
                      </w:rPr>
                      <w:t>SEM</w:t>
                    </w:r>
                  </w:p>
                </w:txbxContent>
              </v:textbox>
            </v:shape>
            <v:shape id="TextBox 96" o:spid="_x0000_s1080" type="#_x0000_t202" style="position:absolute;left:54760;top:5218;width:11212;height:6501;visibility:visible;mso-wrap-style:none" filled="f" stroked="f">
              <o:lock v:ext="edit" aspectratio="t"/>
              <v:textbox style="mso-next-textbox:#TextBox 96" inset="1mm,1mm,1mm,1mm">
                <w:txbxContent>
                  <w:p w:rsidR="00456C71" w:rsidRPr="00BB260C" w:rsidRDefault="00456C71" w:rsidP="009C723C">
                    <w:pPr>
                      <w:pStyle w:val="Normlnweb"/>
                      <w:spacing w:before="0" w:beforeAutospacing="0" w:after="0" w:afterAutospacing="0"/>
                      <w:ind w:left="274" w:hanging="274"/>
                      <w:textAlignment w:val="baseline"/>
                      <w:rPr>
                        <w:lang w:val="cs-CZ"/>
                      </w:rPr>
                    </w:pPr>
                    <w:r w:rsidRPr="00BB260C">
                      <w:rPr>
                        <w:rFonts w:cs="Arial"/>
                        <w:color w:val="000000"/>
                        <w:kern w:val="24"/>
                        <w:sz w:val="18"/>
                        <w:szCs w:val="18"/>
                        <w:lang w:val="cs-CZ"/>
                      </w:rPr>
                      <w:t xml:space="preserve">Dálnice, rychlostní </w:t>
                    </w:r>
                  </w:p>
                  <w:p w:rsidR="00456C71" w:rsidRPr="00BB260C" w:rsidRDefault="00456C71" w:rsidP="009C723C">
                    <w:pPr>
                      <w:pStyle w:val="Normlnweb"/>
                      <w:spacing w:before="0" w:beforeAutospacing="0" w:after="0" w:afterAutospacing="0"/>
                      <w:ind w:left="274" w:hanging="274"/>
                      <w:textAlignment w:val="baseline"/>
                      <w:rPr>
                        <w:lang w:val="cs-CZ"/>
                      </w:rPr>
                    </w:pPr>
                    <w:r w:rsidRPr="00BB260C">
                      <w:rPr>
                        <w:rFonts w:cs="Arial"/>
                        <w:color w:val="000000"/>
                        <w:kern w:val="24"/>
                        <w:sz w:val="18"/>
                        <w:szCs w:val="18"/>
                        <w:lang w:val="cs-CZ"/>
                      </w:rPr>
                      <w:t xml:space="preserve">silnice a vybrané </w:t>
                    </w:r>
                  </w:p>
                  <w:p w:rsidR="00456C71" w:rsidRPr="00BB260C" w:rsidRDefault="00456C71" w:rsidP="009C723C">
                    <w:pPr>
                      <w:pStyle w:val="Normlnweb"/>
                      <w:spacing w:before="0" w:beforeAutospacing="0" w:after="0" w:afterAutospacing="0"/>
                      <w:ind w:left="274" w:hanging="274"/>
                      <w:textAlignment w:val="baseline"/>
                      <w:rPr>
                        <w:lang w:val="cs-CZ"/>
                      </w:rPr>
                    </w:pPr>
                    <w:r w:rsidRPr="00BB260C">
                      <w:rPr>
                        <w:rFonts w:cs="Arial"/>
                        <w:color w:val="000000"/>
                        <w:kern w:val="24"/>
                        <w:sz w:val="18"/>
                        <w:szCs w:val="18"/>
                        <w:lang w:val="cs-CZ"/>
                      </w:rPr>
                      <w:t>úseky silnic I. třídy</w:t>
                    </w:r>
                  </w:p>
                </w:txbxContent>
              </v:textbox>
            </v:shape>
            <w10:wrap type="none"/>
            <w10:anchorlock/>
          </v:group>
        </w:pict>
      </w:r>
    </w:p>
    <w:p w:rsidR="00C06DA1" w:rsidRPr="00DD2F1B" w:rsidRDefault="00C06DA1" w:rsidP="009C723C">
      <w:pPr>
        <w:pStyle w:val="Odstavecseseznamem1"/>
        <w:spacing w:before="240"/>
        <w:jc w:val="center"/>
        <w:rPr>
          <w:rFonts w:cs="Calibri"/>
          <w:noProof/>
          <w:lang w:val="cs-CZ" w:eastAsia="cs-CZ"/>
        </w:rPr>
      </w:pPr>
      <w:r w:rsidRPr="00DD2F1B">
        <w:rPr>
          <w:sz w:val="16"/>
          <w:szCs w:val="16"/>
          <w:lang w:val="cs-CZ"/>
        </w:rPr>
        <w:t xml:space="preserve">Graf č. </w:t>
      </w:r>
      <w:r>
        <w:rPr>
          <w:sz w:val="16"/>
          <w:szCs w:val="16"/>
          <w:lang w:val="cs-CZ"/>
        </w:rPr>
        <w:t>8</w:t>
      </w:r>
      <w:r w:rsidRPr="00DD2F1B">
        <w:rPr>
          <w:sz w:val="16"/>
          <w:szCs w:val="16"/>
          <w:lang w:val="cs-CZ"/>
        </w:rPr>
        <w:t xml:space="preserve"> – Časový průběh a struktura varianty A</w:t>
      </w:r>
    </w:p>
    <w:p w:rsidR="00C06DA1" w:rsidRPr="00DD2F1B" w:rsidRDefault="00C06DA1" w:rsidP="009C723C">
      <w:pPr>
        <w:spacing w:before="120" w:after="120" w:line="240" w:lineRule="auto"/>
        <w:jc w:val="both"/>
        <w:rPr>
          <w:b/>
          <w:sz w:val="22"/>
          <w:szCs w:val="22"/>
          <w:lang w:val="cs-CZ"/>
        </w:rPr>
      </w:pPr>
      <w:r w:rsidRPr="00DD2F1B">
        <w:rPr>
          <w:b/>
          <w:sz w:val="22"/>
          <w:szCs w:val="22"/>
          <w:lang w:val="cs-CZ"/>
        </w:rPr>
        <w:t>Výhody:</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použita ověřená, spolehlivá a plně standardizovaná technologie;</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použit ověřený a spolehlivý způsob výběru časových poplatků včetně odpovídající distribuční sítě;</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lze okamžitě zahájit implementaci EETS v České republice;</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lze okamžitě zahájit implementaci regionální interoperability;</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dodatečné příjmy v řádech 800 mil. Kč ročně;</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zachovaná počáteční investice do SEM z let 2007 – 2016;</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bez dodatečných investic do SEM.</w:t>
      </w:r>
    </w:p>
    <w:p w:rsidR="00C06DA1" w:rsidRPr="00DD2F1B" w:rsidRDefault="00C06DA1" w:rsidP="009C723C">
      <w:pPr>
        <w:spacing w:before="120" w:after="120" w:line="240" w:lineRule="auto"/>
        <w:jc w:val="both"/>
        <w:rPr>
          <w:b/>
          <w:sz w:val="22"/>
          <w:szCs w:val="22"/>
          <w:lang w:val="cs-CZ"/>
        </w:rPr>
      </w:pPr>
      <w:r w:rsidRPr="00DD2F1B">
        <w:rPr>
          <w:b/>
          <w:sz w:val="22"/>
          <w:szCs w:val="22"/>
          <w:lang w:val="cs-CZ"/>
        </w:rPr>
        <w:t>Nevýhody:</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bez významného růstového a vývojového potenciálu;</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hrozba obtížného převzetí stávajícího SEM;</w:t>
      </w:r>
    </w:p>
    <w:p w:rsidR="00C06DA1" w:rsidRPr="00DD2F1B" w:rsidRDefault="00C06DA1" w:rsidP="009C723C">
      <w:pPr>
        <w:numPr>
          <w:ilvl w:val="0"/>
          <w:numId w:val="26"/>
        </w:numPr>
        <w:spacing w:before="120" w:after="120" w:line="240" w:lineRule="auto"/>
        <w:jc w:val="both"/>
        <w:rPr>
          <w:sz w:val="22"/>
          <w:szCs w:val="22"/>
          <w:lang w:val="cs-CZ"/>
        </w:rPr>
      </w:pPr>
      <w:r w:rsidRPr="00DD2F1B">
        <w:rPr>
          <w:sz w:val="22"/>
          <w:szCs w:val="22"/>
          <w:lang w:val="cs-CZ"/>
        </w:rPr>
        <w:t>významná počáteční investice do dopravního značení silnic I. třídy, ale i ostatních pozemních komunikací navazujících na tuto zpoplatněnou síť.</w:t>
      </w:r>
    </w:p>
    <w:p w:rsidR="00C06DA1" w:rsidRPr="00DD2F1B" w:rsidRDefault="00C06DA1" w:rsidP="009C723C">
      <w:pPr>
        <w:jc w:val="both"/>
        <w:rPr>
          <w:sz w:val="22"/>
          <w:szCs w:val="22"/>
          <w:lang w:val="cs-CZ"/>
        </w:rPr>
      </w:pPr>
      <w:r w:rsidRPr="00DD2F1B">
        <w:rPr>
          <w:b/>
          <w:sz w:val="22"/>
          <w:szCs w:val="22"/>
          <w:lang w:val="cs-CZ"/>
        </w:rPr>
        <w:lastRenderedPageBreak/>
        <w:t>Varianta B</w:t>
      </w:r>
      <w:r w:rsidRPr="00DD2F1B">
        <w:rPr>
          <w:sz w:val="22"/>
          <w:szCs w:val="22"/>
          <w:lang w:val="cs-CZ"/>
        </w:rPr>
        <w:t xml:space="preserve"> – Předpokládá rozšíření stávající sítě zpoplatněných komunikací pomocí výkonového zpoplatnění. S ohledem na konec platnosti smlouvy se stávajícím dodavatelem služeb bude</w:t>
      </w:r>
      <w:r>
        <w:rPr>
          <w:sz w:val="22"/>
          <w:szCs w:val="22"/>
          <w:lang w:val="cs-CZ"/>
        </w:rPr>
        <w:t xml:space="preserve"> nutné v rámci zadávacího řízení vybrat nového dodavatele</w:t>
      </w:r>
      <w:r w:rsidRPr="00DD2F1B">
        <w:rPr>
          <w:sz w:val="22"/>
          <w:szCs w:val="22"/>
          <w:lang w:val="cs-CZ"/>
        </w:rPr>
        <w:t>. Nový systém by měl poskytovat provozovateli i uživatelům systému větší variabilitu a flexibilitu, včetně Evropské služby elektronického mýta.</w:t>
      </w:r>
    </w:p>
    <w:p w:rsidR="00C06DA1" w:rsidRPr="00DD2F1B" w:rsidRDefault="00C06DA1" w:rsidP="009C723C">
      <w:pPr>
        <w:jc w:val="both"/>
        <w:rPr>
          <w:sz w:val="22"/>
          <w:szCs w:val="22"/>
          <w:lang w:val="cs-CZ"/>
        </w:rPr>
      </w:pPr>
      <w:r w:rsidRPr="00DD2F1B">
        <w:rPr>
          <w:sz w:val="22"/>
          <w:szCs w:val="22"/>
          <w:lang w:val="cs-CZ"/>
        </w:rPr>
        <w:t xml:space="preserve">Výhodou komplexního výkonového zpoplatnění je systém poplatků zohledňující skutečně ujetou vzdálenost po zpoplatněných pozemních komunikacích, který je vnímám jako spravedlivější než časové zpoplatnění a je preferován právními předpisy EU. Rizika spočívají zejména v převodu systému na případného nového </w:t>
      </w:r>
      <w:r>
        <w:rPr>
          <w:sz w:val="22"/>
          <w:szCs w:val="22"/>
          <w:lang w:val="cs-CZ"/>
        </w:rPr>
        <w:t>poskytovatele služeb souvisejících s </w:t>
      </w:r>
      <w:r w:rsidRPr="00DD2F1B">
        <w:rPr>
          <w:sz w:val="22"/>
          <w:szCs w:val="22"/>
          <w:lang w:val="cs-CZ"/>
        </w:rPr>
        <w:t>provoz</w:t>
      </w:r>
      <w:r>
        <w:rPr>
          <w:sz w:val="22"/>
          <w:szCs w:val="22"/>
          <w:lang w:val="cs-CZ"/>
        </w:rPr>
        <w:t>em SEM</w:t>
      </w:r>
      <w:r w:rsidRPr="00DD2F1B">
        <w:rPr>
          <w:sz w:val="22"/>
          <w:szCs w:val="22"/>
          <w:lang w:val="cs-CZ"/>
        </w:rPr>
        <w:t>, včetně migrace dat, případného vypořádání se s nevyužitou infrastrukturou a vybavení vozidel novým typem palubních zařízení, tzv. On-</w:t>
      </w:r>
      <w:proofErr w:type="spellStart"/>
      <w:r w:rsidRPr="00DD2F1B">
        <w:rPr>
          <w:sz w:val="22"/>
          <w:szCs w:val="22"/>
          <w:lang w:val="cs-CZ"/>
        </w:rPr>
        <w:t>Board</w:t>
      </w:r>
      <w:proofErr w:type="spellEnd"/>
      <w:r w:rsidRPr="00DD2F1B">
        <w:rPr>
          <w:sz w:val="22"/>
          <w:szCs w:val="22"/>
          <w:lang w:val="cs-CZ"/>
        </w:rPr>
        <w:t>-</w:t>
      </w:r>
      <w:proofErr w:type="spellStart"/>
      <w:r w:rsidRPr="00DD2F1B">
        <w:rPr>
          <w:sz w:val="22"/>
          <w:szCs w:val="22"/>
          <w:lang w:val="cs-CZ"/>
        </w:rPr>
        <w:t>Equipment</w:t>
      </w:r>
      <w:proofErr w:type="spellEnd"/>
      <w:r w:rsidRPr="00DD2F1B">
        <w:rPr>
          <w:sz w:val="22"/>
          <w:szCs w:val="22"/>
          <w:lang w:val="cs-CZ"/>
        </w:rPr>
        <w:t xml:space="preserve"> (dále také „OBE“). Tato varianta má však nejvyšší rozvojový potenciál pro případné rozšiřování sítě a může být i více flexibilní při řešení objížděk. Při uvažovaném zpoplatnění všech silnic I. třídy by se počáteční investice pohybovala mezi cca 3 600 – 4 400 mil. Kč dle zvolené technologie a předpokládané navýšení čistých příjmů o cca 2 500 mil. Kč ročně. Pro účely výdajového modelu v rámci ekonomického posouzení byly stanoveny dvě modifikace Varianty B: Varianta B-H (hybridní) a Varianta B-S (satelitní):</w:t>
      </w:r>
    </w:p>
    <w:p w:rsidR="00C06DA1" w:rsidRPr="00DD2F1B" w:rsidRDefault="00C06DA1" w:rsidP="009C723C">
      <w:pPr>
        <w:jc w:val="both"/>
        <w:rPr>
          <w:sz w:val="22"/>
          <w:szCs w:val="22"/>
          <w:lang w:val="cs-CZ"/>
        </w:rPr>
      </w:pPr>
      <w:r w:rsidRPr="00DD2F1B">
        <w:rPr>
          <w:b/>
          <w:sz w:val="22"/>
          <w:szCs w:val="22"/>
          <w:lang w:val="cs-CZ"/>
        </w:rPr>
        <w:t>Varianta B-H</w:t>
      </w:r>
      <w:r w:rsidRPr="00DD2F1B">
        <w:rPr>
          <w:sz w:val="22"/>
          <w:szCs w:val="22"/>
          <w:lang w:val="cs-CZ"/>
        </w:rPr>
        <w:t xml:space="preserve">: Pro tuto variantu je předpokládáno, že od roku 2017 se uživatelé rozdělí na dvě skupiny. </w:t>
      </w:r>
    </w:p>
    <w:p w:rsidR="00C06DA1" w:rsidRPr="00DD2F1B" w:rsidRDefault="00C06DA1" w:rsidP="009C723C">
      <w:pPr>
        <w:numPr>
          <w:ilvl w:val="0"/>
          <w:numId w:val="8"/>
        </w:numPr>
        <w:jc w:val="both"/>
        <w:rPr>
          <w:sz w:val="22"/>
          <w:szCs w:val="22"/>
          <w:lang w:val="cs-CZ"/>
        </w:rPr>
      </w:pPr>
      <w:r w:rsidRPr="00DD2F1B">
        <w:rPr>
          <w:sz w:val="22"/>
          <w:szCs w:val="22"/>
          <w:lang w:val="cs-CZ"/>
        </w:rPr>
        <w:t xml:space="preserve">Na tranzitní uživatele, kteří přes ČR jenom projíždějí (empiricky (rok 2011) se jedná o cca </w:t>
      </w:r>
      <w:r w:rsidRPr="00DD2F1B">
        <w:rPr>
          <w:sz w:val="22"/>
          <w:szCs w:val="22"/>
          <w:lang w:val="cs-CZ"/>
        </w:rPr>
        <w:br/>
        <w:t>29 % z vjíždějících vozidel do ČR. Těmto uživatelům postačí být vybaveni mikrovlnnými typy palubních zařízení (DSRC OBE), s nižšími pořizovacími náklady než jsou u satelitních či hybridních OBE;</w:t>
      </w:r>
    </w:p>
    <w:p w:rsidR="00C06DA1" w:rsidRPr="00DD2F1B" w:rsidRDefault="00C06DA1" w:rsidP="009C723C">
      <w:pPr>
        <w:numPr>
          <w:ilvl w:val="0"/>
          <w:numId w:val="8"/>
        </w:numPr>
        <w:jc w:val="both"/>
        <w:rPr>
          <w:sz w:val="22"/>
          <w:szCs w:val="22"/>
          <w:lang w:val="cs-CZ"/>
        </w:rPr>
      </w:pPr>
      <w:r w:rsidRPr="00DD2F1B">
        <w:rPr>
          <w:sz w:val="22"/>
          <w:szCs w:val="22"/>
          <w:lang w:val="cs-CZ"/>
        </w:rPr>
        <w:t>Na uživatele, jejichž cíl je v ČR a kteří budou využívat i ty úseky silnic I. třídy, které nebudou osazeny mikrovlnnými mýtnými branami a nebudou tak zpoplatněny prostřednictvím mikrovlnného systému. Tito uživatelé budou vybaveni hybridním palubním zařízením OBE, které bude využívat jak technologii satelitní (GNSS/CN), tak i mikrovlnnou technologii (DSRC).</w:t>
      </w:r>
    </w:p>
    <w:p w:rsidR="00C06DA1" w:rsidRPr="00DD2F1B" w:rsidRDefault="00C06DA1" w:rsidP="009C723C">
      <w:pPr>
        <w:jc w:val="both"/>
        <w:rPr>
          <w:sz w:val="22"/>
          <w:szCs w:val="22"/>
          <w:lang w:val="cs-CZ"/>
        </w:rPr>
      </w:pPr>
      <w:r w:rsidRPr="00DD2F1B">
        <w:rPr>
          <w:b/>
          <w:sz w:val="22"/>
          <w:szCs w:val="22"/>
          <w:lang w:val="cs-CZ"/>
        </w:rPr>
        <w:t>Varianta B-S</w:t>
      </w:r>
      <w:r w:rsidRPr="00DD2F1B">
        <w:rPr>
          <w:sz w:val="22"/>
          <w:szCs w:val="22"/>
          <w:lang w:val="cs-CZ"/>
        </w:rPr>
        <w:t>: Varianta předpokládá ukončení používání mikrovlnné technologie a nahrazuje ji plně satelitní technologií na dálnicích, rychlostních silnicích a silnicích I. třídy od roku 2017. Toto řešení využívá relativně dražších OBE, ale je více flexibilní pro potřeby rozšiřování či úprav rozsahu zpoplatnění.</w:t>
      </w:r>
    </w:p>
    <w:p w:rsidR="00C06DA1" w:rsidRPr="00DD2F1B" w:rsidRDefault="00C06DA1" w:rsidP="009C723C">
      <w:pPr>
        <w:pBdr>
          <w:top w:val="single" w:sz="4" w:space="1" w:color="auto"/>
          <w:left w:val="single" w:sz="4" w:space="4" w:color="auto"/>
          <w:bottom w:val="single" w:sz="4" w:space="1" w:color="auto"/>
          <w:right w:val="single" w:sz="4" w:space="4" w:color="auto"/>
        </w:pBdr>
        <w:jc w:val="both"/>
        <w:rPr>
          <w:b/>
          <w:sz w:val="22"/>
          <w:szCs w:val="22"/>
          <w:lang w:val="cs-CZ"/>
        </w:rPr>
      </w:pPr>
      <w:r w:rsidRPr="00DD2F1B">
        <w:rPr>
          <w:b/>
          <w:sz w:val="22"/>
          <w:szCs w:val="22"/>
          <w:lang w:val="cs-CZ"/>
        </w:rPr>
        <w:t>Variant</w:t>
      </w:r>
      <w:r>
        <w:rPr>
          <w:b/>
          <w:sz w:val="22"/>
          <w:szCs w:val="22"/>
          <w:lang w:val="cs-CZ"/>
        </w:rPr>
        <w:t>a</w:t>
      </w:r>
      <w:r w:rsidRPr="00DD2F1B">
        <w:rPr>
          <w:b/>
          <w:sz w:val="22"/>
          <w:szCs w:val="22"/>
          <w:lang w:val="cs-CZ"/>
        </w:rPr>
        <w:t xml:space="preserve"> B </w:t>
      </w:r>
      <w:r>
        <w:rPr>
          <w:b/>
          <w:sz w:val="22"/>
          <w:szCs w:val="22"/>
          <w:lang w:val="cs-CZ"/>
        </w:rPr>
        <w:t>je</w:t>
      </w:r>
      <w:r w:rsidRPr="00DD2F1B">
        <w:rPr>
          <w:b/>
          <w:sz w:val="22"/>
          <w:szCs w:val="22"/>
          <w:lang w:val="cs-CZ"/>
        </w:rPr>
        <w:t xml:space="preserve"> z</w:t>
      </w:r>
      <w:r>
        <w:rPr>
          <w:b/>
          <w:sz w:val="22"/>
          <w:szCs w:val="22"/>
          <w:lang w:val="cs-CZ"/>
        </w:rPr>
        <w:t xml:space="preserve"> </w:t>
      </w:r>
      <w:r w:rsidRPr="00DD2F1B">
        <w:rPr>
          <w:b/>
          <w:sz w:val="22"/>
          <w:szCs w:val="22"/>
          <w:lang w:val="cs-CZ"/>
        </w:rPr>
        <w:t xml:space="preserve">hlediska dalšího rozvoje </w:t>
      </w:r>
      <w:r>
        <w:rPr>
          <w:b/>
          <w:sz w:val="22"/>
          <w:szCs w:val="22"/>
          <w:lang w:val="cs-CZ"/>
        </w:rPr>
        <w:t>úspěšně realizovatelná</w:t>
      </w:r>
      <w:r w:rsidRPr="00DD2F1B">
        <w:rPr>
          <w:b/>
          <w:sz w:val="22"/>
          <w:szCs w:val="22"/>
          <w:lang w:val="cs-CZ"/>
        </w:rPr>
        <w:t>. Je však potřeba rozhodnout o velikosti rozšířené zpoplatněné sítě</w:t>
      </w:r>
      <w:r>
        <w:rPr>
          <w:b/>
          <w:sz w:val="22"/>
          <w:szCs w:val="22"/>
          <w:lang w:val="cs-CZ"/>
        </w:rPr>
        <w:t xml:space="preserve"> pozemních komunikací, neboť toto rozhodnutí může</w:t>
      </w:r>
      <w:r w:rsidRPr="00DD2F1B">
        <w:rPr>
          <w:b/>
          <w:sz w:val="22"/>
          <w:szCs w:val="22"/>
          <w:lang w:val="cs-CZ"/>
        </w:rPr>
        <w:t xml:space="preserve"> zásadně ovliv</w:t>
      </w:r>
      <w:r>
        <w:rPr>
          <w:b/>
          <w:sz w:val="22"/>
          <w:szCs w:val="22"/>
          <w:lang w:val="cs-CZ"/>
        </w:rPr>
        <w:t>nit</w:t>
      </w:r>
      <w:r w:rsidRPr="00DD2F1B">
        <w:rPr>
          <w:b/>
          <w:sz w:val="22"/>
          <w:szCs w:val="22"/>
          <w:lang w:val="cs-CZ"/>
        </w:rPr>
        <w:t xml:space="preserve"> využití stávající mýtné infrastruktury.</w:t>
      </w:r>
    </w:p>
    <w:p w:rsidR="00C06DA1" w:rsidRPr="00DD2F1B" w:rsidRDefault="001C18DA" w:rsidP="009C723C">
      <w:pPr>
        <w:pStyle w:val="Odstavecseseznamem1"/>
        <w:spacing w:before="240"/>
        <w:ind w:left="0"/>
        <w:jc w:val="both"/>
        <w:rPr>
          <w:rFonts w:cs="Calibri"/>
          <w:noProof/>
          <w:lang w:val="cs-CZ" w:eastAsia="cs-CZ"/>
        </w:rPr>
      </w:pPr>
      <w:r>
        <w:rPr>
          <w:rFonts w:cs="Calibri"/>
          <w:noProof/>
          <w:lang w:val="cs-CZ" w:eastAsia="cs-CZ"/>
        </w:rPr>
      </w:r>
      <w:r>
        <w:rPr>
          <w:rFonts w:cs="Calibri"/>
          <w:noProof/>
          <w:lang w:val="cs-CZ" w:eastAsia="cs-CZ"/>
        </w:rPr>
        <w:pict>
          <v:group id="Group 16" o:spid="_x0000_s1081" style="width:442.95pt;height:114.5pt;mso-position-horizontal-relative:char;mso-position-vertical-relative:line" coordsize="53697,13883">
            <o:lock v:ext="edit" aspectratio="t"/>
            <v:group id="Group 62" o:spid="_x0000_s1082" style="position:absolute;left:13540;width:3392;height:13815" coordorigin="13540" coordsize="4301,17516">
              <o:lock v:ext="edit" aspectratio="t"/>
              <v:shape id="TextBox 67" o:spid="_x0000_s1083" type="#_x0000_t202" style="position:absolute;left:13540;width:4301;height:3489;visibility:visible;mso-wrap-style:none" filled="f" stroked="f">
                <o:lock v:ext="edit" aspectratio="t"/>
                <v:textbox style="mso-next-textbox:#TextBox 67"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b/>
                          <w:bCs/>
                          <w:color w:val="000000"/>
                          <w:kern w:val="24"/>
                        </w:rPr>
                        <w:t>2017</w:t>
                      </w:r>
                    </w:p>
                  </w:txbxContent>
                </v:textbox>
              </v:shape>
              <v:line id="Straight Connector 64" o:spid="_x0000_s1084" style="position:absolute;visibility:visible" from="16072,2996" to="16072,17516" o:connectortype="straight" strokecolor="#006">
                <v:stroke dashstyle="longDash"/>
                <o:lock v:ext="edit" aspectratio="t"/>
              </v:line>
            </v:group>
            <v:group id="Group 65" o:spid="_x0000_s1085" style="position:absolute;left:7500;top:7;width:3386;height:13808" coordorigin="7500,7" coordsize="4292,17507">
              <o:lock v:ext="edit" aspectratio="t"/>
              <v:shape id="TextBox 63" o:spid="_x0000_s1086" type="#_x0000_t202" style="position:absolute;left:7500;top:7;width:4292;height:3489;visibility:visible;mso-wrap-style:none" filled="f" stroked="f">
                <o:lock v:ext="edit" aspectratio="t"/>
                <v:textbox style="mso-next-textbox:#TextBox 63"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b/>
                          <w:bCs/>
                          <w:color w:val="000000"/>
                          <w:kern w:val="24"/>
                        </w:rPr>
                        <w:t>2015</w:t>
                      </w:r>
                    </w:p>
                  </w:txbxContent>
                </v:textbox>
              </v:shape>
              <v:line id="Straight Connector 67" o:spid="_x0000_s1087" style="position:absolute;visibility:visible" from="9876,3136" to="9876,17514" o:connectortype="straight" strokecolor="#006">
                <v:stroke dashstyle="longDash"/>
                <o:lock v:ext="edit" aspectratio="t"/>
              </v:line>
            </v:group>
            <v:line id="Straight Connector 68" o:spid="_x0000_s1088" style="position:absolute;visibility:visible" from="3041,2278" to="3041,13815" o:connectortype="straight" strokecolor="#006">
              <v:stroke dashstyle="longDash"/>
              <o:lock v:ext="edit" aspectratio="t"/>
            </v:line>
            <v:line id="Straight Connector 69" o:spid="_x0000_s1089" style="position:absolute;visibility:visible" from="0,2891" to="45426,2891" o:connectortype="straight" strokecolor="#006" strokeweight="2pt">
              <o:lock v:ext="edit" aspectratio="t"/>
            </v:line>
            <v:shape id="TextBox 15" o:spid="_x0000_s1090" type="#_x0000_t202" style="position:absolute;left:39762;top:6;width:3388;height:2765;visibility:visible;mso-wrap-style:none" filled="f" stroked="f">
              <o:lock v:ext="edit" aspectratio="t"/>
              <v:textbox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b/>
                        <w:bCs/>
                        <w:color w:val="000000"/>
                        <w:kern w:val="24"/>
                      </w:rPr>
                      <w:t>2027</w:t>
                    </w:r>
                  </w:p>
                </w:txbxContent>
              </v:textbox>
            </v:shape>
            <v:line id="Straight Connector 71" o:spid="_x0000_s1091" style="position:absolute;visibility:visible" from="41803,2325" to="41803,13815" o:connectortype="straight" strokecolor="#006">
              <v:stroke dashstyle="longDash"/>
              <o:lock v:ext="edit" aspectratio="t"/>
            </v:line>
            <v:line id="Straight Connector 72" o:spid="_x0000_s1092" style="position:absolute;visibility:visible" from="55,8504" to="15608,8504" o:connectortype="straight" strokecolor="#002776" strokeweight="3pt">
              <v:stroke endarrow="block"/>
              <o:lock v:ext="edit" aspectratio="t"/>
            </v:line>
            <v:shape id="TextBox 66" o:spid="_x0000_s1093" type="#_x0000_t202" style="position:absolute;left:1061;top:24;width:3388;height:2765;visibility:visible;mso-wrap-style:none" filled="f" stroked="f">
              <o:lock v:ext="edit" aspectratio="t"/>
              <v:textbox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b/>
                        <w:bCs/>
                        <w:color w:val="000000"/>
                        <w:kern w:val="24"/>
                      </w:rPr>
                      <w:t>2013</w:t>
                    </w:r>
                  </w:p>
                </w:txbxContent>
              </v:textbox>
            </v:shape>
            <v:shape id="TextBox 51" o:spid="_x0000_s1094" type="#_x0000_t202" style="position:absolute;left:43169;top:3813;width:8837;height:5796;visibility:visible;mso-wrap-style:none" filled="f" stroked="f">
              <o:lock v:ext="edit" aspectratio="t"/>
              <v:textbox style="mso-next-textbox:#TextBox 51" inset="1mm,1mm,1mm,1mm">
                <w:txbxContent>
                  <w:p w:rsidR="00456C71" w:rsidRPr="00BB260C" w:rsidRDefault="00456C71" w:rsidP="009C723C">
                    <w:pPr>
                      <w:pStyle w:val="Normlnweb"/>
                      <w:spacing w:before="0" w:beforeAutospacing="0" w:after="0" w:afterAutospacing="0"/>
                      <w:ind w:left="274" w:hanging="274"/>
                      <w:textAlignment w:val="baseline"/>
                      <w:rPr>
                        <w:lang w:val="cs-CZ"/>
                      </w:rPr>
                    </w:pPr>
                    <w:r w:rsidRPr="00BB260C">
                      <w:rPr>
                        <w:rFonts w:cs="Arial"/>
                        <w:color w:val="000000"/>
                        <w:kern w:val="24"/>
                        <w:sz w:val="18"/>
                        <w:szCs w:val="18"/>
                        <w:lang w:val="cs-CZ"/>
                      </w:rPr>
                      <w:t xml:space="preserve">Dálnice, rychlostní </w:t>
                    </w:r>
                  </w:p>
                  <w:p w:rsidR="00456C71" w:rsidRPr="00BB260C" w:rsidRDefault="00456C71" w:rsidP="009C723C">
                    <w:pPr>
                      <w:pStyle w:val="Normlnweb"/>
                      <w:spacing w:before="0" w:beforeAutospacing="0" w:after="0" w:afterAutospacing="0"/>
                      <w:ind w:left="274" w:hanging="274"/>
                      <w:textAlignment w:val="baseline"/>
                      <w:rPr>
                        <w:lang w:val="cs-CZ"/>
                      </w:rPr>
                    </w:pPr>
                    <w:r w:rsidRPr="00BB260C">
                      <w:rPr>
                        <w:rFonts w:cs="Arial"/>
                        <w:color w:val="000000"/>
                        <w:kern w:val="24"/>
                        <w:sz w:val="18"/>
                        <w:szCs w:val="18"/>
                        <w:lang w:val="cs-CZ"/>
                      </w:rPr>
                      <w:t xml:space="preserve">silnice a vybrané </w:t>
                    </w:r>
                  </w:p>
                  <w:p w:rsidR="00456C71" w:rsidRPr="00BB260C" w:rsidRDefault="00456C71" w:rsidP="009C723C">
                    <w:pPr>
                      <w:pStyle w:val="Normlnweb"/>
                      <w:spacing w:before="0" w:beforeAutospacing="0" w:after="0" w:afterAutospacing="0"/>
                      <w:ind w:left="274" w:hanging="274"/>
                      <w:textAlignment w:val="baseline"/>
                      <w:rPr>
                        <w:lang w:val="cs-CZ"/>
                      </w:rPr>
                    </w:pPr>
                    <w:r w:rsidRPr="00BB260C">
                      <w:rPr>
                        <w:rFonts w:cs="Arial"/>
                        <w:color w:val="000000"/>
                        <w:kern w:val="24"/>
                        <w:sz w:val="18"/>
                        <w:szCs w:val="18"/>
                        <w:lang w:val="cs-CZ"/>
                      </w:rPr>
                      <w:t>úseky silnic I. třídy</w:t>
                    </w:r>
                  </w:p>
                </w:txbxContent>
              </v:textbox>
            </v:shape>
            <v:shape id="TextBox 52" o:spid="_x0000_s1095" type="#_x0000_t202" style="position:absolute;left:43169;top:9682;width:10528;height:4201;visibility:visible;mso-wrap-style:none" filled="f" stroked="f">
              <o:lock v:ext="edit" aspectratio="t"/>
              <v:textbox style="mso-next-textbox:#TextBox 52" inset="1mm,1mm,1mm,1mm">
                <w:txbxContent>
                  <w:p w:rsidR="00456C71" w:rsidRPr="00D50D0C" w:rsidRDefault="00456C71" w:rsidP="009C723C">
                    <w:pPr>
                      <w:pStyle w:val="Normlnweb"/>
                      <w:spacing w:before="0" w:beforeAutospacing="0" w:after="0" w:afterAutospacing="0"/>
                      <w:textAlignment w:val="baseline"/>
                      <w:rPr>
                        <w:lang w:val="pl-PL"/>
                      </w:rPr>
                    </w:pPr>
                    <w:r w:rsidRPr="004D5A7D">
                      <w:rPr>
                        <w:rFonts w:cs="Arial"/>
                        <w:color w:val="000000"/>
                        <w:kern w:val="24"/>
                        <w:sz w:val="18"/>
                        <w:szCs w:val="18"/>
                        <w:lang w:val="pl-PL"/>
                      </w:rPr>
                      <w:t xml:space="preserve">Silnice I. třídy </w:t>
                    </w:r>
                  </w:p>
                  <w:p w:rsidR="00456C71" w:rsidRPr="00D50D0C" w:rsidRDefault="00456C71" w:rsidP="009C723C">
                    <w:pPr>
                      <w:pStyle w:val="Normlnweb"/>
                      <w:spacing w:before="0" w:beforeAutospacing="0" w:after="0" w:afterAutospacing="0"/>
                      <w:textAlignment w:val="baseline"/>
                      <w:rPr>
                        <w:lang w:val="pl-PL"/>
                      </w:rPr>
                    </w:pPr>
                    <w:r w:rsidRPr="004D5A7D">
                      <w:rPr>
                        <w:rFonts w:cs="Arial"/>
                        <w:color w:val="000000"/>
                        <w:kern w:val="24"/>
                        <w:sz w:val="18"/>
                        <w:szCs w:val="18"/>
                        <w:lang w:val="pl-PL"/>
                      </w:rPr>
                      <w:t>(mimo vybrané úseky)</w:t>
                    </w:r>
                  </w:p>
                </w:txbxContent>
              </v:textbox>
            </v:shape>
            <v:shape id="TextBox 55" o:spid="_x0000_s1096" type="#_x0000_t202" style="position:absolute;left:4201;top:6461;width:5167;height:2045;visibility:visible" filled="f" stroked="f">
              <o:lock v:ext="edit" aspectratio="t"/>
              <v:textbox style="mso-next-textbox:#TextBox 55" inset="1mm,1mm,1mm,1mm">
                <w:txbxContent>
                  <w:p w:rsidR="00456C71" w:rsidRPr="009C315E" w:rsidRDefault="00456C71" w:rsidP="009C723C">
                    <w:pPr>
                      <w:pStyle w:val="Normlnweb"/>
                      <w:spacing w:before="0" w:beforeAutospacing="0" w:after="0" w:afterAutospacing="0"/>
                      <w:ind w:left="274" w:hanging="274"/>
                      <w:textAlignment w:val="baseline"/>
                      <w:rPr>
                        <w:lang w:val="cs-CZ"/>
                      </w:rPr>
                    </w:pPr>
                    <w:r>
                      <w:rPr>
                        <w:rFonts w:cs="Arial"/>
                        <w:color w:val="000000"/>
                        <w:kern w:val="24"/>
                        <w:sz w:val="18"/>
                        <w:szCs w:val="18"/>
                        <w:lang w:val="cs-CZ"/>
                      </w:rPr>
                      <w:t>SEM</w:t>
                    </w:r>
                  </w:p>
                </w:txbxContent>
              </v:textbox>
            </v:shape>
            <v:shape id="TextBox 57" o:spid="_x0000_s1097" type="#_x0000_t202" style="position:absolute;left:21854;top:6461;width:7974;height:2319;visibility:visible" filled="f" stroked="f">
              <o:lock v:ext="edit" aspectratio="t"/>
              <v:textbox style="mso-next-textbox:#TextBox 57" inset="1mm,1mm,1mm,1mm">
                <w:txbxContent>
                  <w:p w:rsidR="00456C71" w:rsidRDefault="00456C71" w:rsidP="009C723C">
                    <w:pPr>
                      <w:pStyle w:val="Normlnweb"/>
                      <w:spacing w:before="0" w:beforeAutospacing="0" w:after="0" w:afterAutospacing="0"/>
                      <w:ind w:left="274" w:hanging="274"/>
                      <w:textAlignment w:val="baseline"/>
                    </w:pPr>
                    <w:r w:rsidRPr="00B02AD0">
                      <w:rPr>
                        <w:rFonts w:ascii="Arial" w:hAnsi="Arial" w:cs="Arial"/>
                        <w:color w:val="000000"/>
                        <w:kern w:val="24"/>
                        <w:sz w:val="18"/>
                        <w:szCs w:val="18"/>
                      </w:rPr>
                      <w:t>Nový SEM</w:t>
                    </w:r>
                  </w:p>
                </w:txbxContent>
              </v:textbox>
            </v:shape>
            <v:group id="Group 78" o:spid="_x0000_s1098" style="position:absolute;left:15611;top:8279;width:26201;height:2993" coordorigin="15611,8279" coordsize="26200,2993">
              <o:lock v:ext="edit" aspectratio="t"/>
              <v:line id="Straight Connector 79" o:spid="_x0000_s1099" style="position:absolute;visibility:visible" from="15708,8484" to="41792,8484" o:connectortype="straight" strokecolor="#c9dd03" strokeweight="3pt">
                <v:stroke endarrow="block"/>
                <o:lock v:ext="edit" aspectratio="t"/>
              </v:line>
              <v:line id="Straight Connector 80" o:spid="_x0000_s1100" style="position:absolute;flip:x y;visibility:visible" from="15705,8279" to="15705,11272" o:connectortype="straight" strokecolor="#c9dd03" strokeweight="3pt">
                <o:lock v:ext="edit" aspectratio="t"/>
              </v:line>
              <v:line id="Straight Connector 81" o:spid="_x0000_s1101" style="position:absolute;visibility:visible" from="15611,11103" to="41812,11103" o:connectortype="straight" strokecolor="#c9dd03" strokeweight="3pt">
                <v:stroke endarrow="block"/>
                <o:lock v:ext="edit" aspectratio="t"/>
              </v:line>
            </v:group>
            <w10:wrap type="none"/>
            <w10:anchorlock/>
          </v:group>
        </w:pict>
      </w:r>
    </w:p>
    <w:p w:rsidR="00C06DA1" w:rsidRPr="00DD2F1B" w:rsidRDefault="00C06DA1" w:rsidP="009C723C">
      <w:pPr>
        <w:pStyle w:val="Odstavecseseznamem1"/>
        <w:spacing w:before="240"/>
        <w:jc w:val="center"/>
        <w:rPr>
          <w:rFonts w:cs="Calibri"/>
          <w:noProof/>
          <w:lang w:val="cs-CZ" w:eastAsia="cs-CZ"/>
        </w:rPr>
      </w:pPr>
      <w:r w:rsidRPr="00DD2F1B">
        <w:rPr>
          <w:sz w:val="16"/>
          <w:szCs w:val="16"/>
          <w:lang w:val="cs-CZ"/>
        </w:rPr>
        <w:t xml:space="preserve">Graf č. </w:t>
      </w:r>
      <w:r>
        <w:rPr>
          <w:sz w:val="16"/>
          <w:szCs w:val="16"/>
          <w:lang w:val="cs-CZ"/>
        </w:rPr>
        <w:t>9</w:t>
      </w:r>
      <w:r w:rsidRPr="00DD2F1B">
        <w:rPr>
          <w:sz w:val="16"/>
          <w:szCs w:val="16"/>
          <w:lang w:val="cs-CZ"/>
        </w:rPr>
        <w:t xml:space="preserve"> – Časový průběh a struktura varianty B</w:t>
      </w:r>
    </w:p>
    <w:p w:rsidR="00C06DA1" w:rsidRPr="00DD2F1B" w:rsidRDefault="00C06DA1" w:rsidP="009C723C">
      <w:pPr>
        <w:spacing w:before="120" w:after="120" w:line="240" w:lineRule="auto"/>
        <w:jc w:val="both"/>
        <w:rPr>
          <w:b/>
          <w:sz w:val="22"/>
          <w:szCs w:val="22"/>
          <w:lang w:val="cs-CZ"/>
        </w:rPr>
      </w:pPr>
      <w:r w:rsidRPr="00DD2F1B">
        <w:rPr>
          <w:b/>
          <w:sz w:val="22"/>
          <w:szCs w:val="22"/>
          <w:lang w:val="cs-CZ"/>
        </w:rPr>
        <w:lastRenderedPageBreak/>
        <w:t>Výhody:</w:t>
      </w:r>
    </w:p>
    <w:p w:rsidR="00C06DA1" w:rsidRPr="00DD2F1B" w:rsidRDefault="00C06DA1" w:rsidP="009C723C">
      <w:pPr>
        <w:pStyle w:val="BodyText1"/>
        <w:numPr>
          <w:ilvl w:val="0"/>
          <w:numId w:val="28"/>
        </w:numPr>
        <w:spacing w:before="120" w:line="240" w:lineRule="auto"/>
        <w:rPr>
          <w:szCs w:val="22"/>
          <w:lang w:val="cs-CZ"/>
        </w:rPr>
      </w:pPr>
      <w:r w:rsidRPr="00DD2F1B">
        <w:rPr>
          <w:szCs w:val="22"/>
          <w:lang w:val="cs-CZ"/>
        </w:rPr>
        <w:t>dodatečné příjmy v řádech 2,5 mld. Kč ročně;</w:t>
      </w:r>
    </w:p>
    <w:p w:rsidR="00C06DA1" w:rsidRPr="00DD2F1B" w:rsidRDefault="00C06DA1" w:rsidP="009C723C">
      <w:pPr>
        <w:pStyle w:val="BodyText1"/>
        <w:numPr>
          <w:ilvl w:val="0"/>
          <w:numId w:val="28"/>
        </w:numPr>
        <w:spacing w:before="120" w:line="240" w:lineRule="auto"/>
        <w:rPr>
          <w:szCs w:val="22"/>
          <w:lang w:val="cs-CZ"/>
        </w:rPr>
      </w:pPr>
      <w:r w:rsidRPr="00DD2F1B">
        <w:rPr>
          <w:szCs w:val="22"/>
          <w:lang w:val="cs-CZ"/>
        </w:rPr>
        <w:t>krátkodobá implementace EETS v České republice;</w:t>
      </w:r>
    </w:p>
    <w:p w:rsidR="00C06DA1" w:rsidRPr="00DD2F1B" w:rsidRDefault="00C06DA1" w:rsidP="009C723C">
      <w:pPr>
        <w:pStyle w:val="BodyText1"/>
        <w:numPr>
          <w:ilvl w:val="0"/>
          <w:numId w:val="28"/>
        </w:numPr>
        <w:spacing w:before="120" w:line="240" w:lineRule="auto"/>
        <w:rPr>
          <w:szCs w:val="22"/>
          <w:lang w:val="cs-CZ"/>
        </w:rPr>
      </w:pPr>
      <w:r w:rsidRPr="00DD2F1B">
        <w:rPr>
          <w:szCs w:val="22"/>
          <w:lang w:val="cs-CZ"/>
        </w:rPr>
        <w:t>růstový a vývojový potenciál.</w:t>
      </w:r>
    </w:p>
    <w:p w:rsidR="00C06DA1" w:rsidRPr="00DD2F1B" w:rsidRDefault="00C06DA1" w:rsidP="009C723C">
      <w:pPr>
        <w:spacing w:before="120" w:after="120" w:line="240" w:lineRule="auto"/>
        <w:jc w:val="both"/>
        <w:rPr>
          <w:b/>
          <w:sz w:val="22"/>
          <w:szCs w:val="22"/>
          <w:lang w:val="cs-CZ"/>
        </w:rPr>
      </w:pPr>
      <w:r w:rsidRPr="00DD2F1B">
        <w:rPr>
          <w:b/>
          <w:sz w:val="22"/>
          <w:szCs w:val="22"/>
          <w:lang w:val="cs-CZ"/>
        </w:rPr>
        <w:t>Nevýhody:</w:t>
      </w:r>
    </w:p>
    <w:p w:rsidR="00C06DA1" w:rsidRPr="00DD2F1B" w:rsidRDefault="00C06DA1" w:rsidP="009C723C">
      <w:pPr>
        <w:pStyle w:val="BodyText1"/>
        <w:numPr>
          <w:ilvl w:val="0"/>
          <w:numId w:val="27"/>
        </w:numPr>
        <w:spacing w:before="120" w:line="240" w:lineRule="auto"/>
        <w:rPr>
          <w:rFonts w:cs="Calibri"/>
          <w:szCs w:val="22"/>
          <w:lang w:val="cs-CZ"/>
        </w:rPr>
      </w:pPr>
      <w:r w:rsidRPr="00DD2F1B">
        <w:rPr>
          <w:szCs w:val="22"/>
          <w:lang w:val="cs-CZ"/>
        </w:rPr>
        <w:t xml:space="preserve">použita technologie, která </w:t>
      </w:r>
      <w:r>
        <w:rPr>
          <w:szCs w:val="22"/>
          <w:lang w:val="cs-CZ"/>
        </w:rPr>
        <w:t xml:space="preserve">v současné době </w:t>
      </w:r>
      <w:r w:rsidRPr="00DD2F1B">
        <w:rPr>
          <w:szCs w:val="22"/>
          <w:lang w:val="cs-CZ"/>
        </w:rPr>
        <w:t>není plně standardizována;</w:t>
      </w:r>
    </w:p>
    <w:p w:rsidR="00C06DA1" w:rsidRPr="00DD2F1B" w:rsidRDefault="00C06DA1" w:rsidP="009C723C">
      <w:pPr>
        <w:pStyle w:val="BodyText1"/>
        <w:numPr>
          <w:ilvl w:val="0"/>
          <w:numId w:val="27"/>
        </w:numPr>
        <w:spacing w:before="120" w:line="240" w:lineRule="auto"/>
        <w:rPr>
          <w:rFonts w:cs="Calibri"/>
          <w:szCs w:val="22"/>
          <w:lang w:val="cs-CZ"/>
        </w:rPr>
      </w:pPr>
      <w:r w:rsidRPr="00DD2F1B">
        <w:rPr>
          <w:szCs w:val="22"/>
          <w:lang w:val="cs-CZ"/>
        </w:rPr>
        <w:t>významná počáteční investice do nového systému v řádu cca 3,6 až 4,4 mld. Kč;</w:t>
      </w:r>
    </w:p>
    <w:p w:rsidR="00C06DA1" w:rsidRPr="00DD2F1B" w:rsidRDefault="00C06DA1" w:rsidP="009C723C">
      <w:pPr>
        <w:pStyle w:val="BodyText1"/>
        <w:numPr>
          <w:ilvl w:val="0"/>
          <w:numId w:val="27"/>
        </w:numPr>
        <w:spacing w:before="120" w:line="240" w:lineRule="auto"/>
        <w:rPr>
          <w:rFonts w:cs="Calibri"/>
          <w:szCs w:val="22"/>
          <w:lang w:val="cs-CZ"/>
        </w:rPr>
      </w:pPr>
      <w:r w:rsidRPr="00DD2F1B">
        <w:rPr>
          <w:szCs w:val="22"/>
          <w:lang w:val="cs-CZ"/>
        </w:rPr>
        <w:t>významná počáteční investice do dopravního značení silnic I. třídy, ale i ostatních pozemních komunikací navazujících na tuto zpoplatněnou síť;</w:t>
      </w:r>
    </w:p>
    <w:p w:rsidR="00C06DA1" w:rsidRPr="00DD2F1B" w:rsidRDefault="00C06DA1" w:rsidP="009C723C">
      <w:pPr>
        <w:pStyle w:val="BodyText1"/>
        <w:numPr>
          <w:ilvl w:val="0"/>
          <w:numId w:val="27"/>
        </w:numPr>
        <w:spacing w:before="120" w:line="240" w:lineRule="auto"/>
        <w:rPr>
          <w:rFonts w:cs="Calibri"/>
          <w:szCs w:val="22"/>
          <w:lang w:val="cs-CZ"/>
        </w:rPr>
      </w:pPr>
      <w:r w:rsidRPr="00DD2F1B">
        <w:rPr>
          <w:rFonts w:cs="Calibri"/>
          <w:szCs w:val="22"/>
          <w:lang w:val="cs-CZ"/>
        </w:rPr>
        <w:t>nelze zahájit efektivní implementaci EETS v České republice, Česká republika se tak vystavuje postihu ve formě řízení pro porušení Smlouvy o fungování EU;</w:t>
      </w:r>
    </w:p>
    <w:p w:rsidR="00C06DA1" w:rsidRPr="00DD2F1B" w:rsidRDefault="00C06DA1" w:rsidP="009C723C">
      <w:pPr>
        <w:pStyle w:val="BodyText1"/>
        <w:numPr>
          <w:ilvl w:val="0"/>
          <w:numId w:val="27"/>
        </w:numPr>
        <w:spacing w:before="120" w:line="240" w:lineRule="auto"/>
        <w:rPr>
          <w:rFonts w:cs="Calibri"/>
          <w:szCs w:val="22"/>
          <w:lang w:val="cs-CZ"/>
        </w:rPr>
      </w:pPr>
      <w:r w:rsidRPr="00DD2F1B">
        <w:rPr>
          <w:rFonts w:cs="Calibri"/>
          <w:szCs w:val="22"/>
          <w:lang w:val="cs-CZ"/>
        </w:rPr>
        <w:t>nelze zahájit implementaci regionální interoperability;</w:t>
      </w:r>
    </w:p>
    <w:p w:rsidR="00C06DA1" w:rsidRPr="009C723C" w:rsidRDefault="00C06DA1" w:rsidP="009C723C">
      <w:pPr>
        <w:pStyle w:val="BodyText1"/>
        <w:numPr>
          <w:ilvl w:val="0"/>
          <w:numId w:val="27"/>
        </w:numPr>
        <w:spacing w:before="240" w:line="240" w:lineRule="auto"/>
        <w:rPr>
          <w:rFonts w:cs="Calibri"/>
          <w:noProof/>
          <w:lang w:val="cs-CZ" w:eastAsia="cs-CZ"/>
        </w:rPr>
      </w:pPr>
      <w:r w:rsidRPr="009C723C">
        <w:rPr>
          <w:rFonts w:cs="Calibri"/>
          <w:szCs w:val="22"/>
          <w:lang w:val="cs-CZ"/>
        </w:rPr>
        <w:t>složitý přechod ze stávajícího SEM na SEM nový;</w:t>
      </w:r>
    </w:p>
    <w:p w:rsidR="00C06DA1" w:rsidRPr="009C723C" w:rsidRDefault="00C06DA1" w:rsidP="009C723C">
      <w:pPr>
        <w:pStyle w:val="BodyText1"/>
        <w:numPr>
          <w:ilvl w:val="0"/>
          <w:numId w:val="27"/>
        </w:numPr>
        <w:spacing w:before="240" w:line="240" w:lineRule="auto"/>
        <w:rPr>
          <w:rFonts w:cs="Calibri"/>
          <w:noProof/>
          <w:lang w:val="cs-CZ" w:eastAsia="cs-CZ"/>
        </w:rPr>
      </w:pPr>
      <w:r w:rsidRPr="009C723C">
        <w:rPr>
          <w:rFonts w:cs="Calibri"/>
          <w:szCs w:val="22"/>
          <w:lang w:val="cs-CZ"/>
        </w:rPr>
        <w:t>vysoká pořizovací cena OBE (hybridní i satelitní).</w:t>
      </w:r>
    </w:p>
    <w:p w:rsidR="00C06DA1" w:rsidRDefault="00C06DA1" w:rsidP="00FD536A">
      <w:pPr>
        <w:pStyle w:val="Nadpis2"/>
        <w:rPr>
          <w:sz w:val="28"/>
          <w:szCs w:val="28"/>
          <w:lang w:val="cs-CZ"/>
        </w:rPr>
      </w:pPr>
      <w:bookmarkStart w:id="80" w:name="_Toc367436515"/>
      <w:bookmarkStart w:id="81" w:name="_Toc368311174"/>
      <w:bookmarkStart w:id="82" w:name="_Toc368327084"/>
    </w:p>
    <w:p w:rsidR="00C06DA1" w:rsidRDefault="00C06DA1">
      <w:pPr>
        <w:rPr>
          <w:caps/>
          <w:spacing w:val="15"/>
          <w:sz w:val="28"/>
          <w:szCs w:val="28"/>
          <w:lang w:val="cs-CZ"/>
        </w:rPr>
      </w:pPr>
      <w:r>
        <w:rPr>
          <w:sz w:val="28"/>
          <w:szCs w:val="28"/>
          <w:lang w:val="cs-CZ"/>
        </w:rPr>
        <w:br w:type="page"/>
      </w:r>
    </w:p>
    <w:p w:rsidR="00C06DA1" w:rsidRPr="00FD536A" w:rsidRDefault="00C06DA1" w:rsidP="00FD536A">
      <w:pPr>
        <w:pStyle w:val="Nadpis2"/>
        <w:rPr>
          <w:sz w:val="28"/>
          <w:szCs w:val="28"/>
          <w:lang w:val="cs-CZ"/>
        </w:rPr>
      </w:pPr>
      <w:bookmarkStart w:id="83" w:name="_Toc370398441"/>
      <w:r w:rsidRPr="00FD536A">
        <w:rPr>
          <w:sz w:val="28"/>
          <w:szCs w:val="28"/>
          <w:lang w:val="cs-CZ"/>
        </w:rPr>
        <w:t>Ekonomické hodnocení a analýza rizik posuzovaných variant</w:t>
      </w:r>
      <w:bookmarkEnd w:id="80"/>
      <w:bookmarkEnd w:id="81"/>
      <w:bookmarkEnd w:id="82"/>
      <w:bookmarkEnd w:id="83"/>
    </w:p>
    <w:p w:rsidR="00C06DA1" w:rsidRPr="00DD2F1B" w:rsidRDefault="00C06DA1" w:rsidP="00FD536A">
      <w:pPr>
        <w:pStyle w:val="BodyText1"/>
        <w:rPr>
          <w:lang w:val="cs-CZ"/>
        </w:rPr>
      </w:pPr>
      <w:r w:rsidRPr="00DD2F1B">
        <w:rPr>
          <w:lang w:val="cs-CZ"/>
        </w:rPr>
        <w:t>Očekávané přínosy a náklady závisí na rozsahu zpoplatněné sítě pozemních komunikací a zvolené technologii identifikace vozidel na zpoplatněných pozemních komunikacích. V roce 2020 by odhadovaný poměr výdajů k příjmům pro variantu B měl být cca 16</w:t>
      </w:r>
      <w:r w:rsidR="00A14B1D">
        <w:rPr>
          <w:lang w:val="cs-CZ"/>
        </w:rPr>
        <w:t xml:space="preserve"> </w:t>
      </w:r>
      <w:r w:rsidRPr="00DD2F1B">
        <w:rPr>
          <w:lang w:val="cs-CZ"/>
        </w:rPr>
        <w:t>% a celkový čistý roční příjem pro stát by dosáhl cca 11,5 mld. Kč, tedy o cca 3,7 mld. Kč více než při variantě 0. V následující tabulce jsou pak pro jednotlivé posuzované varianty shrnuta nejdůležitější fakta.</w:t>
      </w:r>
    </w:p>
    <w:tbl>
      <w:tblPr>
        <w:tblW w:w="0" w:type="auto"/>
        <w:tblBorders>
          <w:bottom w:val="single" w:sz="4" w:space="0" w:color="72C7E7"/>
          <w:insideH w:val="single" w:sz="4" w:space="0" w:color="72C7E7"/>
        </w:tblBorders>
        <w:tblCellMar>
          <w:top w:w="28" w:type="dxa"/>
          <w:left w:w="28" w:type="dxa"/>
          <w:bottom w:w="28" w:type="dxa"/>
          <w:right w:w="28" w:type="dxa"/>
        </w:tblCellMar>
        <w:tblLook w:val="00A0"/>
      </w:tblPr>
      <w:tblGrid>
        <w:gridCol w:w="1240"/>
        <w:gridCol w:w="1220"/>
        <w:gridCol w:w="1146"/>
        <w:gridCol w:w="1459"/>
        <w:gridCol w:w="1459"/>
        <w:gridCol w:w="1354"/>
        <w:gridCol w:w="1249"/>
      </w:tblGrid>
      <w:tr w:rsidR="00C06DA1" w:rsidRPr="00D95ED2">
        <w:tc>
          <w:tcPr>
            <w:tcW w:w="1262" w:type="dxa"/>
            <w:shd w:val="clear" w:color="auto" w:fill="72C7E7"/>
            <w:vAlign w:val="center"/>
          </w:tcPr>
          <w:p w:rsidR="00C06DA1" w:rsidRPr="00D95ED2" w:rsidRDefault="00C06DA1" w:rsidP="00A565CF">
            <w:pPr>
              <w:pStyle w:val="BodyText1"/>
              <w:jc w:val="center"/>
              <w:rPr>
                <w:b/>
                <w:color w:val="FFFFFF"/>
                <w:lang w:val="cs-CZ"/>
              </w:rPr>
            </w:pPr>
            <w:r w:rsidRPr="00D95ED2">
              <w:rPr>
                <w:b/>
                <w:color w:val="FFFFFF"/>
                <w:lang w:val="cs-CZ"/>
              </w:rPr>
              <w:t>Varianta</w:t>
            </w:r>
          </w:p>
        </w:tc>
        <w:tc>
          <w:tcPr>
            <w:tcW w:w="1224" w:type="dxa"/>
            <w:shd w:val="clear" w:color="auto" w:fill="72C7E7"/>
            <w:vAlign w:val="center"/>
          </w:tcPr>
          <w:p w:rsidR="00C06DA1" w:rsidRPr="00D95ED2" w:rsidRDefault="00C06DA1" w:rsidP="00A565CF">
            <w:pPr>
              <w:pStyle w:val="BodyText1"/>
              <w:jc w:val="center"/>
              <w:rPr>
                <w:b/>
                <w:color w:val="FFFFFF"/>
                <w:lang w:val="cs-CZ"/>
              </w:rPr>
            </w:pPr>
            <w:r w:rsidRPr="00D95ED2">
              <w:rPr>
                <w:b/>
                <w:color w:val="FFFFFF"/>
                <w:lang w:val="cs-CZ"/>
              </w:rPr>
              <w:t>Příjmy za posuzované období</w:t>
            </w:r>
          </w:p>
        </w:tc>
        <w:tc>
          <w:tcPr>
            <w:tcW w:w="1052" w:type="dxa"/>
            <w:shd w:val="clear" w:color="auto" w:fill="72C7E7"/>
            <w:vAlign w:val="center"/>
          </w:tcPr>
          <w:p w:rsidR="00C06DA1" w:rsidRPr="00D95ED2" w:rsidRDefault="00C06DA1" w:rsidP="00A565CF">
            <w:pPr>
              <w:pStyle w:val="BodyText1"/>
              <w:jc w:val="center"/>
              <w:rPr>
                <w:b/>
                <w:color w:val="FFFFFF"/>
                <w:lang w:val="cs-CZ"/>
              </w:rPr>
            </w:pPr>
            <w:r w:rsidRPr="00D95ED2">
              <w:rPr>
                <w:b/>
                <w:color w:val="FFFFFF"/>
                <w:lang w:val="cs-CZ"/>
              </w:rPr>
              <w:t>Výdaje za posuzované období</w:t>
            </w:r>
          </w:p>
        </w:tc>
        <w:tc>
          <w:tcPr>
            <w:tcW w:w="1473" w:type="dxa"/>
            <w:shd w:val="clear" w:color="auto" w:fill="72C7E7"/>
            <w:vAlign w:val="center"/>
          </w:tcPr>
          <w:p w:rsidR="00C06DA1" w:rsidRPr="00D95ED2" w:rsidRDefault="00C06DA1" w:rsidP="00A565CF">
            <w:pPr>
              <w:pStyle w:val="BodyText1"/>
              <w:jc w:val="center"/>
              <w:rPr>
                <w:b/>
                <w:color w:val="FFFFFF"/>
                <w:lang w:val="cs-CZ"/>
              </w:rPr>
            </w:pPr>
            <w:r w:rsidRPr="00D95ED2">
              <w:rPr>
                <w:b/>
                <w:color w:val="FFFFFF"/>
                <w:lang w:val="cs-CZ"/>
              </w:rPr>
              <w:t>Peněžní tok – kumulativně (příjmy očištěné od výdajů)</w:t>
            </w:r>
          </w:p>
        </w:tc>
        <w:tc>
          <w:tcPr>
            <w:tcW w:w="1473" w:type="dxa"/>
            <w:shd w:val="clear" w:color="auto" w:fill="72C7E7"/>
            <w:vAlign w:val="center"/>
          </w:tcPr>
          <w:p w:rsidR="00C06DA1" w:rsidRPr="00D95ED2" w:rsidRDefault="00C06DA1" w:rsidP="00A565CF">
            <w:pPr>
              <w:pStyle w:val="BodyText1"/>
              <w:jc w:val="center"/>
              <w:rPr>
                <w:b/>
                <w:color w:val="FFFFFF"/>
                <w:lang w:val="cs-CZ"/>
              </w:rPr>
            </w:pPr>
            <w:r w:rsidRPr="00D95ED2">
              <w:rPr>
                <w:b/>
                <w:color w:val="FFFFFF"/>
                <w:lang w:val="cs-CZ"/>
              </w:rPr>
              <w:t>Rozdíl proti Variantě 0 - kumulativně</w:t>
            </w:r>
          </w:p>
        </w:tc>
        <w:tc>
          <w:tcPr>
            <w:tcW w:w="1372" w:type="dxa"/>
            <w:shd w:val="clear" w:color="auto" w:fill="72C7E7"/>
            <w:vAlign w:val="center"/>
          </w:tcPr>
          <w:p w:rsidR="00C06DA1" w:rsidRPr="00D95ED2" w:rsidRDefault="00C06DA1" w:rsidP="00A565CF">
            <w:pPr>
              <w:pStyle w:val="BodyText1"/>
              <w:jc w:val="center"/>
              <w:rPr>
                <w:b/>
                <w:color w:val="FFFFFF"/>
                <w:lang w:val="cs-CZ"/>
              </w:rPr>
            </w:pPr>
            <w:r w:rsidRPr="00D95ED2">
              <w:rPr>
                <w:b/>
                <w:color w:val="FFFFFF"/>
                <w:lang w:val="cs-CZ"/>
              </w:rPr>
              <w:t>Nákladové efektivita</w:t>
            </w:r>
          </w:p>
        </w:tc>
        <w:tc>
          <w:tcPr>
            <w:tcW w:w="1271" w:type="dxa"/>
            <w:shd w:val="clear" w:color="auto" w:fill="72C7E7"/>
            <w:vAlign w:val="center"/>
          </w:tcPr>
          <w:p w:rsidR="00C06DA1" w:rsidRPr="00D95ED2" w:rsidRDefault="00C06DA1" w:rsidP="00A565CF">
            <w:pPr>
              <w:pStyle w:val="BodyText1"/>
              <w:jc w:val="center"/>
              <w:rPr>
                <w:b/>
                <w:color w:val="FFFFFF"/>
                <w:lang w:val="cs-CZ"/>
              </w:rPr>
            </w:pPr>
            <w:r w:rsidRPr="00D95ED2">
              <w:rPr>
                <w:b/>
                <w:color w:val="FFFFFF"/>
                <w:lang w:val="cs-CZ"/>
              </w:rPr>
              <w:t>Hodnota rizik</w:t>
            </w:r>
          </w:p>
        </w:tc>
      </w:tr>
      <w:tr w:rsidR="00C06DA1" w:rsidRPr="00D95ED2">
        <w:tc>
          <w:tcPr>
            <w:tcW w:w="1262" w:type="dxa"/>
            <w:shd w:val="clear" w:color="auto" w:fill="FFFFFF"/>
          </w:tcPr>
          <w:p w:rsidR="00C06DA1" w:rsidRPr="00D95ED2" w:rsidRDefault="00C06DA1" w:rsidP="00A565CF">
            <w:pPr>
              <w:pStyle w:val="BodyText1"/>
              <w:rPr>
                <w:sz w:val="20"/>
                <w:szCs w:val="20"/>
                <w:lang w:val="cs-CZ"/>
              </w:rPr>
            </w:pPr>
            <w:r w:rsidRPr="00D95ED2">
              <w:rPr>
                <w:sz w:val="20"/>
                <w:szCs w:val="20"/>
                <w:lang w:val="cs-CZ"/>
              </w:rPr>
              <w:t>0</w:t>
            </w:r>
          </w:p>
        </w:tc>
        <w:tc>
          <w:tcPr>
            <w:tcW w:w="1224" w:type="dxa"/>
            <w:shd w:val="clear" w:color="auto" w:fill="FFFFFF"/>
          </w:tcPr>
          <w:p w:rsidR="00C06DA1" w:rsidRPr="00D95ED2" w:rsidRDefault="00C06DA1" w:rsidP="00A565CF">
            <w:pPr>
              <w:jc w:val="center"/>
              <w:rPr>
                <w:color w:val="000000"/>
                <w:lang w:val="cs-CZ"/>
              </w:rPr>
            </w:pPr>
            <w:r w:rsidRPr="00D95ED2">
              <w:rPr>
                <w:color w:val="000000"/>
                <w:lang w:val="cs-CZ"/>
              </w:rPr>
              <w:t>138 438 896</w:t>
            </w:r>
          </w:p>
        </w:tc>
        <w:tc>
          <w:tcPr>
            <w:tcW w:w="1052" w:type="dxa"/>
            <w:shd w:val="clear" w:color="auto" w:fill="FFFFFF"/>
          </w:tcPr>
          <w:p w:rsidR="00C06DA1" w:rsidRPr="00D95ED2" w:rsidRDefault="00C06DA1" w:rsidP="00A565CF">
            <w:pPr>
              <w:jc w:val="center"/>
              <w:rPr>
                <w:color w:val="000000"/>
                <w:lang w:val="cs-CZ"/>
              </w:rPr>
            </w:pPr>
            <w:r w:rsidRPr="00D95ED2">
              <w:rPr>
                <w:color w:val="000000"/>
                <w:lang w:val="cs-CZ"/>
              </w:rPr>
              <w:t>31 034 839</w:t>
            </w:r>
          </w:p>
        </w:tc>
        <w:tc>
          <w:tcPr>
            <w:tcW w:w="1473" w:type="dxa"/>
            <w:shd w:val="clear" w:color="auto" w:fill="FFFFFF"/>
            <w:vAlign w:val="center"/>
          </w:tcPr>
          <w:p w:rsidR="00C06DA1" w:rsidRPr="00D95ED2" w:rsidRDefault="00C06DA1" w:rsidP="00A565CF">
            <w:pPr>
              <w:jc w:val="center"/>
              <w:rPr>
                <w:color w:val="000000"/>
                <w:lang w:val="cs-CZ"/>
              </w:rPr>
            </w:pPr>
            <w:r w:rsidRPr="00D95ED2">
              <w:rPr>
                <w:color w:val="000000"/>
                <w:lang w:val="cs-CZ"/>
              </w:rPr>
              <w:t>107 404 058</w:t>
            </w:r>
          </w:p>
        </w:tc>
        <w:tc>
          <w:tcPr>
            <w:tcW w:w="1473"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X</w:t>
            </w:r>
          </w:p>
        </w:tc>
        <w:tc>
          <w:tcPr>
            <w:tcW w:w="1372"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21</w:t>
            </w:r>
            <w:r w:rsidR="00A14B1D">
              <w:rPr>
                <w:sz w:val="20"/>
                <w:szCs w:val="20"/>
                <w:lang w:val="cs-CZ"/>
              </w:rPr>
              <w:t xml:space="preserve"> </w:t>
            </w:r>
            <w:r w:rsidRPr="00D95ED2">
              <w:rPr>
                <w:sz w:val="20"/>
                <w:szCs w:val="20"/>
                <w:lang w:val="cs-CZ"/>
              </w:rPr>
              <w:t>%</w:t>
            </w:r>
          </w:p>
        </w:tc>
        <w:tc>
          <w:tcPr>
            <w:tcW w:w="1271"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9</w:t>
            </w:r>
          </w:p>
        </w:tc>
      </w:tr>
      <w:tr w:rsidR="00C06DA1" w:rsidRPr="00D95ED2">
        <w:tc>
          <w:tcPr>
            <w:tcW w:w="1262" w:type="dxa"/>
            <w:shd w:val="clear" w:color="auto" w:fill="FFFFFF"/>
          </w:tcPr>
          <w:p w:rsidR="00C06DA1" w:rsidRPr="00D95ED2" w:rsidRDefault="00C06DA1" w:rsidP="00A565CF">
            <w:pPr>
              <w:pStyle w:val="BodyText1"/>
              <w:rPr>
                <w:sz w:val="20"/>
                <w:szCs w:val="20"/>
                <w:lang w:val="cs-CZ"/>
              </w:rPr>
            </w:pPr>
            <w:r w:rsidRPr="00D95ED2">
              <w:rPr>
                <w:sz w:val="20"/>
                <w:szCs w:val="20"/>
                <w:lang w:val="cs-CZ"/>
              </w:rPr>
              <w:t>01</w:t>
            </w:r>
          </w:p>
        </w:tc>
        <w:tc>
          <w:tcPr>
            <w:tcW w:w="1224" w:type="dxa"/>
            <w:shd w:val="clear" w:color="auto" w:fill="FFFFFF"/>
          </w:tcPr>
          <w:p w:rsidR="00C06DA1" w:rsidRPr="00D95ED2" w:rsidRDefault="00C06DA1" w:rsidP="00A565CF">
            <w:pPr>
              <w:pStyle w:val="BodyText1"/>
              <w:jc w:val="center"/>
              <w:rPr>
                <w:sz w:val="20"/>
                <w:szCs w:val="20"/>
                <w:lang w:val="cs-CZ"/>
              </w:rPr>
            </w:pPr>
            <w:r w:rsidRPr="00D95ED2">
              <w:rPr>
                <w:sz w:val="20"/>
                <w:szCs w:val="20"/>
                <w:lang w:val="cs-CZ"/>
              </w:rPr>
              <w:t>149 811 809</w:t>
            </w:r>
          </w:p>
        </w:tc>
        <w:tc>
          <w:tcPr>
            <w:tcW w:w="1052" w:type="dxa"/>
            <w:shd w:val="clear" w:color="auto" w:fill="FFFFFF"/>
          </w:tcPr>
          <w:p w:rsidR="00C06DA1" w:rsidRPr="00D95ED2" w:rsidRDefault="00C06DA1" w:rsidP="00A565CF">
            <w:pPr>
              <w:pStyle w:val="BodyText1"/>
              <w:jc w:val="center"/>
              <w:rPr>
                <w:sz w:val="20"/>
                <w:szCs w:val="20"/>
                <w:lang w:val="cs-CZ"/>
              </w:rPr>
            </w:pPr>
            <w:r w:rsidRPr="00D95ED2">
              <w:rPr>
                <w:sz w:val="20"/>
                <w:szCs w:val="20"/>
                <w:lang w:val="cs-CZ"/>
              </w:rPr>
              <w:t>31 034 839</w:t>
            </w:r>
          </w:p>
        </w:tc>
        <w:tc>
          <w:tcPr>
            <w:tcW w:w="1473"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118 776 970</w:t>
            </w:r>
          </w:p>
        </w:tc>
        <w:tc>
          <w:tcPr>
            <w:tcW w:w="1473"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11 372 912</w:t>
            </w:r>
          </w:p>
        </w:tc>
        <w:tc>
          <w:tcPr>
            <w:tcW w:w="1372"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20</w:t>
            </w:r>
            <w:r w:rsidR="00A14B1D">
              <w:rPr>
                <w:sz w:val="20"/>
                <w:szCs w:val="20"/>
                <w:lang w:val="cs-CZ"/>
              </w:rPr>
              <w:t xml:space="preserve"> </w:t>
            </w:r>
            <w:r w:rsidRPr="00D95ED2">
              <w:rPr>
                <w:sz w:val="20"/>
                <w:szCs w:val="20"/>
                <w:lang w:val="cs-CZ"/>
              </w:rPr>
              <w:t>%</w:t>
            </w:r>
          </w:p>
        </w:tc>
        <w:tc>
          <w:tcPr>
            <w:tcW w:w="1271"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23</w:t>
            </w:r>
          </w:p>
        </w:tc>
      </w:tr>
      <w:tr w:rsidR="00C06DA1" w:rsidRPr="00D95ED2">
        <w:tc>
          <w:tcPr>
            <w:tcW w:w="1262" w:type="dxa"/>
            <w:shd w:val="clear" w:color="auto" w:fill="FFFFFF"/>
          </w:tcPr>
          <w:p w:rsidR="00C06DA1" w:rsidRPr="00D95ED2" w:rsidRDefault="00C06DA1" w:rsidP="00A565CF">
            <w:pPr>
              <w:pStyle w:val="BodyText1"/>
              <w:rPr>
                <w:sz w:val="20"/>
                <w:szCs w:val="20"/>
                <w:lang w:val="cs-CZ"/>
              </w:rPr>
            </w:pPr>
            <w:r w:rsidRPr="00D95ED2">
              <w:rPr>
                <w:sz w:val="20"/>
                <w:szCs w:val="20"/>
                <w:lang w:val="cs-CZ"/>
              </w:rPr>
              <w:t>A</w:t>
            </w:r>
          </w:p>
        </w:tc>
        <w:tc>
          <w:tcPr>
            <w:tcW w:w="1224" w:type="dxa"/>
            <w:shd w:val="clear" w:color="auto" w:fill="FFFFFF"/>
          </w:tcPr>
          <w:p w:rsidR="00C06DA1" w:rsidRPr="00D95ED2" w:rsidRDefault="00C06DA1" w:rsidP="00A565CF">
            <w:pPr>
              <w:pStyle w:val="BodyText1"/>
              <w:jc w:val="center"/>
              <w:rPr>
                <w:sz w:val="20"/>
                <w:szCs w:val="20"/>
                <w:lang w:val="cs-CZ"/>
              </w:rPr>
            </w:pPr>
            <w:r w:rsidRPr="00D95ED2">
              <w:rPr>
                <w:sz w:val="20"/>
                <w:szCs w:val="20"/>
                <w:lang w:val="cs-CZ"/>
              </w:rPr>
              <w:t>148 281 070</w:t>
            </w:r>
          </w:p>
        </w:tc>
        <w:tc>
          <w:tcPr>
            <w:tcW w:w="1052" w:type="dxa"/>
            <w:shd w:val="clear" w:color="auto" w:fill="FFFFFF"/>
          </w:tcPr>
          <w:p w:rsidR="00C06DA1" w:rsidRPr="00D95ED2" w:rsidRDefault="00C06DA1" w:rsidP="00A565CF">
            <w:pPr>
              <w:pStyle w:val="BodyText1"/>
              <w:jc w:val="center"/>
              <w:rPr>
                <w:sz w:val="20"/>
                <w:szCs w:val="20"/>
                <w:lang w:val="cs-CZ"/>
              </w:rPr>
            </w:pPr>
            <w:r w:rsidRPr="00D95ED2">
              <w:rPr>
                <w:sz w:val="20"/>
                <w:szCs w:val="20"/>
                <w:lang w:val="cs-CZ"/>
              </w:rPr>
              <w:t>31 966 954</w:t>
            </w:r>
          </w:p>
        </w:tc>
        <w:tc>
          <w:tcPr>
            <w:tcW w:w="1473"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116 314 117</w:t>
            </w:r>
          </w:p>
        </w:tc>
        <w:tc>
          <w:tcPr>
            <w:tcW w:w="1473"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8 910 058</w:t>
            </w:r>
          </w:p>
        </w:tc>
        <w:tc>
          <w:tcPr>
            <w:tcW w:w="1372"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20</w:t>
            </w:r>
            <w:r w:rsidR="00A14B1D">
              <w:rPr>
                <w:sz w:val="20"/>
                <w:szCs w:val="20"/>
                <w:lang w:val="cs-CZ"/>
              </w:rPr>
              <w:t xml:space="preserve"> </w:t>
            </w:r>
            <w:r w:rsidRPr="00D95ED2">
              <w:rPr>
                <w:sz w:val="20"/>
                <w:szCs w:val="20"/>
                <w:lang w:val="cs-CZ"/>
              </w:rPr>
              <w:t>%</w:t>
            </w:r>
          </w:p>
        </w:tc>
        <w:tc>
          <w:tcPr>
            <w:tcW w:w="1271" w:type="dxa"/>
            <w:shd w:val="clear" w:color="auto" w:fill="FFFFFF"/>
            <w:vAlign w:val="center"/>
          </w:tcPr>
          <w:p w:rsidR="00C06DA1" w:rsidRPr="00D95ED2" w:rsidRDefault="00C06DA1" w:rsidP="005C05C0">
            <w:pPr>
              <w:pStyle w:val="BodyText1"/>
              <w:jc w:val="center"/>
              <w:rPr>
                <w:sz w:val="20"/>
                <w:szCs w:val="20"/>
                <w:lang w:val="cs-CZ"/>
              </w:rPr>
            </w:pPr>
            <w:r w:rsidRPr="00D95ED2">
              <w:rPr>
                <w:sz w:val="20"/>
                <w:szCs w:val="20"/>
                <w:lang w:val="cs-CZ"/>
              </w:rPr>
              <w:t>4</w:t>
            </w:r>
            <w:r w:rsidR="005C05C0">
              <w:rPr>
                <w:sz w:val="20"/>
                <w:szCs w:val="20"/>
                <w:lang w:val="cs-CZ"/>
              </w:rPr>
              <w:t>2</w:t>
            </w:r>
          </w:p>
        </w:tc>
      </w:tr>
      <w:tr w:rsidR="00C06DA1" w:rsidRPr="00D95ED2">
        <w:tc>
          <w:tcPr>
            <w:tcW w:w="1262" w:type="dxa"/>
            <w:shd w:val="clear" w:color="auto" w:fill="FFFFFF"/>
          </w:tcPr>
          <w:p w:rsidR="00C06DA1" w:rsidRPr="00D95ED2" w:rsidRDefault="00C06DA1" w:rsidP="00A565CF">
            <w:pPr>
              <w:pStyle w:val="BodyText1"/>
              <w:rPr>
                <w:sz w:val="20"/>
                <w:szCs w:val="20"/>
                <w:lang w:val="cs-CZ"/>
              </w:rPr>
            </w:pPr>
            <w:r w:rsidRPr="00D95ED2">
              <w:rPr>
                <w:sz w:val="20"/>
                <w:szCs w:val="20"/>
                <w:lang w:val="cs-CZ"/>
              </w:rPr>
              <w:t>BH</w:t>
            </w:r>
          </w:p>
        </w:tc>
        <w:tc>
          <w:tcPr>
            <w:tcW w:w="1224" w:type="dxa"/>
            <w:shd w:val="clear" w:color="auto" w:fill="FFFFFF"/>
          </w:tcPr>
          <w:p w:rsidR="00C06DA1" w:rsidRPr="00D95ED2" w:rsidRDefault="00C06DA1" w:rsidP="00A565CF">
            <w:pPr>
              <w:pStyle w:val="BodyText1"/>
              <w:jc w:val="center"/>
              <w:rPr>
                <w:sz w:val="20"/>
                <w:szCs w:val="20"/>
                <w:lang w:val="cs-CZ"/>
              </w:rPr>
            </w:pPr>
            <w:r w:rsidRPr="00D95ED2">
              <w:rPr>
                <w:sz w:val="20"/>
                <w:szCs w:val="20"/>
                <w:lang w:val="cs-CZ"/>
              </w:rPr>
              <w:t>177 522 902</w:t>
            </w:r>
          </w:p>
        </w:tc>
        <w:tc>
          <w:tcPr>
            <w:tcW w:w="1052" w:type="dxa"/>
            <w:shd w:val="clear" w:color="auto" w:fill="FFFFFF"/>
          </w:tcPr>
          <w:p w:rsidR="00C06DA1" w:rsidRPr="00D95ED2" w:rsidRDefault="00C06DA1" w:rsidP="00A565CF">
            <w:pPr>
              <w:pStyle w:val="BodyText1"/>
              <w:jc w:val="center"/>
              <w:rPr>
                <w:sz w:val="20"/>
                <w:szCs w:val="20"/>
                <w:lang w:val="cs-CZ"/>
              </w:rPr>
            </w:pPr>
            <w:r w:rsidRPr="00D95ED2">
              <w:rPr>
                <w:sz w:val="20"/>
                <w:szCs w:val="20"/>
                <w:lang w:val="cs-CZ"/>
              </w:rPr>
              <w:t>33 952 583</w:t>
            </w:r>
          </w:p>
        </w:tc>
        <w:tc>
          <w:tcPr>
            <w:tcW w:w="1473"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143 570 321</w:t>
            </w:r>
          </w:p>
        </w:tc>
        <w:tc>
          <w:tcPr>
            <w:tcW w:w="1473"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36 166 263</w:t>
            </w:r>
          </w:p>
        </w:tc>
        <w:tc>
          <w:tcPr>
            <w:tcW w:w="1372"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18</w:t>
            </w:r>
            <w:r w:rsidR="00A14B1D">
              <w:rPr>
                <w:sz w:val="20"/>
                <w:szCs w:val="20"/>
                <w:lang w:val="cs-CZ"/>
              </w:rPr>
              <w:t xml:space="preserve"> </w:t>
            </w:r>
            <w:r w:rsidRPr="00D95ED2">
              <w:rPr>
                <w:sz w:val="20"/>
                <w:szCs w:val="20"/>
                <w:lang w:val="cs-CZ"/>
              </w:rPr>
              <w:t>%</w:t>
            </w:r>
          </w:p>
        </w:tc>
        <w:tc>
          <w:tcPr>
            <w:tcW w:w="1271"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51</w:t>
            </w:r>
          </w:p>
        </w:tc>
      </w:tr>
      <w:tr w:rsidR="00C06DA1" w:rsidRPr="00D95ED2">
        <w:tc>
          <w:tcPr>
            <w:tcW w:w="1262" w:type="dxa"/>
            <w:shd w:val="clear" w:color="auto" w:fill="FFFFFF"/>
          </w:tcPr>
          <w:p w:rsidR="00C06DA1" w:rsidRPr="00D95ED2" w:rsidRDefault="00C06DA1" w:rsidP="00A565CF">
            <w:pPr>
              <w:pStyle w:val="BodyText1"/>
              <w:rPr>
                <w:sz w:val="20"/>
                <w:szCs w:val="20"/>
                <w:lang w:val="cs-CZ"/>
              </w:rPr>
            </w:pPr>
            <w:r w:rsidRPr="00D95ED2">
              <w:rPr>
                <w:sz w:val="20"/>
                <w:szCs w:val="20"/>
                <w:lang w:val="cs-CZ"/>
              </w:rPr>
              <w:t>BS</w:t>
            </w:r>
          </w:p>
        </w:tc>
        <w:tc>
          <w:tcPr>
            <w:tcW w:w="1224" w:type="dxa"/>
            <w:shd w:val="clear" w:color="auto" w:fill="FFFFFF"/>
          </w:tcPr>
          <w:p w:rsidR="00C06DA1" w:rsidRPr="00D95ED2" w:rsidRDefault="00C06DA1" w:rsidP="00A565CF">
            <w:pPr>
              <w:pStyle w:val="BodyText1"/>
              <w:jc w:val="center"/>
              <w:rPr>
                <w:sz w:val="20"/>
                <w:szCs w:val="20"/>
                <w:lang w:val="cs-CZ"/>
              </w:rPr>
            </w:pPr>
            <w:r w:rsidRPr="00D95ED2">
              <w:rPr>
                <w:sz w:val="20"/>
                <w:szCs w:val="20"/>
                <w:lang w:val="cs-CZ"/>
              </w:rPr>
              <w:t>177 522 902</w:t>
            </w:r>
          </w:p>
        </w:tc>
        <w:tc>
          <w:tcPr>
            <w:tcW w:w="1052" w:type="dxa"/>
            <w:shd w:val="clear" w:color="auto" w:fill="FFFFFF"/>
          </w:tcPr>
          <w:p w:rsidR="00C06DA1" w:rsidRPr="00D95ED2" w:rsidRDefault="00C06DA1" w:rsidP="00A565CF">
            <w:pPr>
              <w:pStyle w:val="BodyText1"/>
              <w:jc w:val="center"/>
              <w:rPr>
                <w:sz w:val="20"/>
                <w:szCs w:val="20"/>
                <w:lang w:val="cs-CZ"/>
              </w:rPr>
            </w:pPr>
            <w:r w:rsidRPr="00D95ED2">
              <w:rPr>
                <w:sz w:val="20"/>
                <w:szCs w:val="20"/>
                <w:lang w:val="cs-CZ"/>
              </w:rPr>
              <w:t>38 658 125</w:t>
            </w:r>
          </w:p>
        </w:tc>
        <w:tc>
          <w:tcPr>
            <w:tcW w:w="1473"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138 864 778</w:t>
            </w:r>
          </w:p>
        </w:tc>
        <w:tc>
          <w:tcPr>
            <w:tcW w:w="1473"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31 460 719</w:t>
            </w:r>
          </w:p>
        </w:tc>
        <w:tc>
          <w:tcPr>
            <w:tcW w:w="1372"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21</w:t>
            </w:r>
            <w:r w:rsidR="00A14B1D">
              <w:rPr>
                <w:sz w:val="20"/>
                <w:szCs w:val="20"/>
                <w:lang w:val="cs-CZ"/>
              </w:rPr>
              <w:t xml:space="preserve"> </w:t>
            </w:r>
            <w:r w:rsidRPr="00D95ED2">
              <w:rPr>
                <w:sz w:val="20"/>
                <w:szCs w:val="20"/>
                <w:lang w:val="cs-CZ"/>
              </w:rPr>
              <w:t>%</w:t>
            </w:r>
          </w:p>
        </w:tc>
        <w:tc>
          <w:tcPr>
            <w:tcW w:w="1271" w:type="dxa"/>
            <w:shd w:val="clear" w:color="auto" w:fill="FFFFFF"/>
            <w:vAlign w:val="center"/>
          </w:tcPr>
          <w:p w:rsidR="00C06DA1" w:rsidRPr="00D95ED2" w:rsidRDefault="00C06DA1" w:rsidP="00A565CF">
            <w:pPr>
              <w:pStyle w:val="BodyText1"/>
              <w:jc w:val="center"/>
              <w:rPr>
                <w:sz w:val="20"/>
                <w:szCs w:val="20"/>
                <w:lang w:val="cs-CZ"/>
              </w:rPr>
            </w:pPr>
            <w:r w:rsidRPr="00D95ED2">
              <w:rPr>
                <w:sz w:val="20"/>
                <w:szCs w:val="20"/>
                <w:lang w:val="cs-CZ"/>
              </w:rPr>
              <w:t>51</w:t>
            </w:r>
          </w:p>
        </w:tc>
      </w:tr>
    </w:tbl>
    <w:p w:rsidR="00C06DA1" w:rsidRPr="00DD2F1B" w:rsidRDefault="00C06DA1" w:rsidP="00FD536A">
      <w:pPr>
        <w:jc w:val="center"/>
        <w:rPr>
          <w:rFonts w:cs="Arial"/>
          <w:bCs/>
          <w:sz w:val="16"/>
          <w:szCs w:val="16"/>
          <w:lang w:val="cs-CZ" w:bidi="my-MM"/>
        </w:rPr>
      </w:pPr>
      <w:r w:rsidRPr="00852FFE">
        <w:rPr>
          <w:rFonts w:cs="Arial"/>
          <w:bCs/>
          <w:sz w:val="16"/>
          <w:szCs w:val="16"/>
          <w:lang w:val="cs-CZ" w:bidi="my-MM"/>
        </w:rPr>
        <w:t xml:space="preserve">Tabulka č. </w:t>
      </w:r>
      <w:r>
        <w:rPr>
          <w:rFonts w:cs="Arial"/>
          <w:bCs/>
          <w:sz w:val="16"/>
          <w:szCs w:val="16"/>
          <w:lang w:val="cs-CZ" w:bidi="my-MM"/>
        </w:rPr>
        <w:t>6</w:t>
      </w:r>
      <w:r w:rsidRPr="00852FFE">
        <w:rPr>
          <w:rFonts w:cs="Arial"/>
          <w:bCs/>
          <w:sz w:val="16"/>
          <w:szCs w:val="16"/>
          <w:lang w:val="cs-CZ" w:bidi="my-MM"/>
        </w:rPr>
        <w:t xml:space="preserve"> – Souhrnné vyhodnocení posuzovaných variant</w:t>
      </w:r>
    </w:p>
    <w:p w:rsidR="00C06DA1" w:rsidRPr="00DD2F1B" w:rsidRDefault="00C06DA1" w:rsidP="00FD536A">
      <w:pPr>
        <w:jc w:val="both"/>
        <w:rPr>
          <w:rFonts w:cs="Arial"/>
          <w:bCs/>
          <w:sz w:val="22"/>
          <w:szCs w:val="22"/>
          <w:lang w:val="cs-CZ" w:bidi="my-MM"/>
        </w:rPr>
      </w:pPr>
      <w:r w:rsidRPr="00852FFE">
        <w:rPr>
          <w:rFonts w:cs="Arial"/>
          <w:bCs/>
          <w:sz w:val="22"/>
          <w:szCs w:val="22"/>
          <w:lang w:val="cs-CZ" w:bidi="my-MM"/>
        </w:rPr>
        <w:t xml:space="preserve">K tabulce č. </w:t>
      </w:r>
      <w:r>
        <w:rPr>
          <w:rFonts w:cs="Arial"/>
          <w:bCs/>
          <w:sz w:val="22"/>
          <w:szCs w:val="22"/>
          <w:lang w:val="cs-CZ" w:bidi="my-MM"/>
        </w:rPr>
        <w:t>6</w:t>
      </w:r>
      <w:r w:rsidRPr="00852FFE">
        <w:rPr>
          <w:rFonts w:cs="Arial"/>
          <w:bCs/>
          <w:sz w:val="22"/>
          <w:szCs w:val="22"/>
          <w:lang w:val="cs-CZ" w:bidi="my-MM"/>
        </w:rPr>
        <w:t xml:space="preserve"> je současně nutné uvést, že se jedná o srovnání kumulativních peněžních toků a kumulativního rozdílu oprati variantě 0, nikoliv srovnání čistých současných hodnot budoucích peněžních toků, které jsou pro posouzení budoucích očekávaných příjmů a výdajů prokazatelnější. Nákladová efektivita pro všechny varianty se pohybuje v rozmezí 18 – 21</w:t>
      </w:r>
      <w:r w:rsidR="00A14B1D">
        <w:rPr>
          <w:rFonts w:cs="Arial"/>
          <w:bCs/>
          <w:sz w:val="22"/>
          <w:szCs w:val="22"/>
          <w:lang w:val="cs-CZ" w:bidi="my-MM"/>
        </w:rPr>
        <w:t xml:space="preserve"> </w:t>
      </w:r>
      <w:r w:rsidRPr="00852FFE">
        <w:rPr>
          <w:rFonts w:cs="Arial"/>
          <w:bCs/>
          <w:sz w:val="22"/>
          <w:szCs w:val="22"/>
          <w:lang w:val="cs-CZ" w:bidi="my-MM"/>
        </w:rPr>
        <w:t xml:space="preserve">%, což je požadovaná hodnota nákladovosti Systému elektronického mýta. Značný kumulativní rozdíl oproti variantě 0 a současně i oproti variantě 01 a </w:t>
      </w:r>
      <w:proofErr w:type="spellStart"/>
      <w:r w:rsidRPr="00852FFE">
        <w:rPr>
          <w:rFonts w:cs="Arial"/>
          <w:bCs/>
          <w:sz w:val="22"/>
          <w:szCs w:val="22"/>
          <w:lang w:val="cs-CZ" w:bidi="my-MM"/>
        </w:rPr>
        <w:t>A</w:t>
      </w:r>
      <w:proofErr w:type="spellEnd"/>
      <w:r w:rsidRPr="00852FFE">
        <w:rPr>
          <w:rFonts w:cs="Arial"/>
          <w:bCs/>
          <w:sz w:val="22"/>
          <w:szCs w:val="22"/>
          <w:lang w:val="cs-CZ" w:bidi="my-MM"/>
        </w:rPr>
        <w:t xml:space="preserve"> je v případě variant BH a BS</w:t>
      </w:r>
      <w:r>
        <w:rPr>
          <w:rFonts w:cs="Arial"/>
          <w:bCs/>
          <w:sz w:val="22"/>
          <w:szCs w:val="22"/>
          <w:lang w:val="cs-CZ" w:bidi="my-MM"/>
        </w:rPr>
        <w:t xml:space="preserve"> vykoupen značnými riziky ply</w:t>
      </w:r>
      <w:r w:rsidRPr="00852FFE">
        <w:rPr>
          <w:rFonts w:cs="Arial"/>
          <w:bCs/>
          <w:sz w:val="22"/>
          <w:szCs w:val="22"/>
          <w:lang w:val="cs-CZ" w:bidi="my-MM"/>
        </w:rPr>
        <w:t>noucími z realizace těchto varian</w:t>
      </w:r>
      <w:r>
        <w:rPr>
          <w:rFonts w:cs="Arial"/>
          <w:bCs/>
          <w:sz w:val="22"/>
          <w:szCs w:val="22"/>
          <w:lang w:val="cs-CZ" w:bidi="my-MM"/>
        </w:rPr>
        <w:t>t, jak je patrné z následující T</w:t>
      </w:r>
      <w:r w:rsidRPr="00852FFE">
        <w:rPr>
          <w:rFonts w:cs="Arial"/>
          <w:bCs/>
          <w:sz w:val="22"/>
          <w:szCs w:val="22"/>
          <w:lang w:val="cs-CZ" w:bidi="my-MM"/>
        </w:rPr>
        <w:t xml:space="preserve">abulky č. </w:t>
      </w:r>
      <w:r>
        <w:rPr>
          <w:rFonts w:cs="Arial"/>
          <w:bCs/>
          <w:sz w:val="22"/>
          <w:szCs w:val="22"/>
          <w:lang w:val="cs-CZ" w:bidi="my-MM"/>
        </w:rPr>
        <w:t>7</w:t>
      </w:r>
      <w:r w:rsidRPr="00852FFE">
        <w:rPr>
          <w:rFonts w:cs="Arial"/>
          <w:bCs/>
          <w:sz w:val="22"/>
          <w:szCs w:val="22"/>
          <w:lang w:val="cs-CZ" w:bidi="my-MM"/>
        </w:rPr>
        <w:t>.</w:t>
      </w:r>
    </w:p>
    <w:p w:rsidR="00C06DA1" w:rsidRPr="00DD2F1B" w:rsidRDefault="00C06DA1" w:rsidP="00FD536A">
      <w:pPr>
        <w:jc w:val="both"/>
        <w:rPr>
          <w:rFonts w:cs="Arial"/>
          <w:bCs/>
          <w:sz w:val="22"/>
          <w:szCs w:val="22"/>
          <w:lang w:val="cs-CZ" w:bidi="my-MM"/>
        </w:rPr>
      </w:pPr>
      <w:r w:rsidRPr="00DD2F1B">
        <w:rPr>
          <w:rFonts w:cs="Arial"/>
          <w:bCs/>
          <w:sz w:val="22"/>
          <w:szCs w:val="22"/>
          <w:lang w:val="cs-CZ" w:bidi="my-MM"/>
        </w:rPr>
        <w:t xml:space="preserve">V příloze č. </w:t>
      </w:r>
      <w:r>
        <w:rPr>
          <w:rFonts w:cs="Arial"/>
          <w:bCs/>
          <w:sz w:val="22"/>
          <w:szCs w:val="22"/>
          <w:lang w:val="cs-CZ" w:bidi="my-MM"/>
        </w:rPr>
        <w:t>2</w:t>
      </w:r>
      <w:r w:rsidRPr="00DD2F1B">
        <w:rPr>
          <w:rFonts w:cs="Arial"/>
          <w:bCs/>
          <w:sz w:val="22"/>
          <w:szCs w:val="22"/>
          <w:lang w:val="cs-CZ" w:bidi="my-MM"/>
        </w:rPr>
        <w:t xml:space="preserve"> (</w:t>
      </w:r>
      <w:r w:rsidRPr="00DD2F1B">
        <w:rPr>
          <w:bCs/>
          <w:sz w:val="22"/>
          <w:szCs w:val="22"/>
          <w:lang w:val="cs-CZ"/>
        </w:rPr>
        <w:t xml:space="preserve">Výhody a nevýhody realizovatelných kombinací variant rozsahu a způsobu zpoplatnění a využití </w:t>
      </w:r>
      <w:r>
        <w:rPr>
          <w:bCs/>
          <w:sz w:val="22"/>
          <w:szCs w:val="22"/>
          <w:lang w:val="cs-CZ"/>
        </w:rPr>
        <w:t xml:space="preserve">komponent </w:t>
      </w:r>
      <w:r w:rsidRPr="00DD2F1B">
        <w:rPr>
          <w:bCs/>
          <w:sz w:val="22"/>
          <w:szCs w:val="22"/>
          <w:lang w:val="cs-CZ"/>
        </w:rPr>
        <w:t>stávajícího SEM rozšířené o předpokládané kumulativní peněžní toky a nákladovost) je pak uvedena souhrnná tabulka pro kombinaci jednotlivých variant (rozsah zpoplatnění, forma zpoplatnění, zachování či nezachování stávajícího SEM), která obsahuje popis zásadních výhod a nevýhod realizace jednotlivých variant, společně s odhadem kumulativních peněžních toků a nákladov</w:t>
      </w:r>
      <w:r>
        <w:rPr>
          <w:bCs/>
          <w:sz w:val="22"/>
          <w:szCs w:val="22"/>
          <w:lang w:val="cs-CZ"/>
        </w:rPr>
        <w:t>ou</w:t>
      </w:r>
      <w:r w:rsidRPr="00DD2F1B">
        <w:rPr>
          <w:bCs/>
          <w:sz w:val="22"/>
          <w:szCs w:val="22"/>
          <w:lang w:val="cs-CZ"/>
        </w:rPr>
        <w:t xml:space="preserve"> efektivit</w:t>
      </w:r>
      <w:r>
        <w:rPr>
          <w:bCs/>
          <w:sz w:val="22"/>
          <w:szCs w:val="22"/>
          <w:lang w:val="cs-CZ"/>
        </w:rPr>
        <w:t>ou</w:t>
      </w:r>
      <w:r w:rsidRPr="00DD2F1B">
        <w:rPr>
          <w:bCs/>
          <w:sz w:val="22"/>
          <w:szCs w:val="22"/>
          <w:lang w:val="cs-CZ"/>
        </w:rPr>
        <w:t>.</w:t>
      </w:r>
    </w:p>
    <w:p w:rsidR="00C06DA1" w:rsidRPr="00DD2F1B" w:rsidRDefault="00C06DA1" w:rsidP="00FD536A">
      <w:pPr>
        <w:jc w:val="both"/>
        <w:rPr>
          <w:sz w:val="22"/>
          <w:szCs w:val="22"/>
          <w:lang w:val="cs-CZ"/>
        </w:rPr>
      </w:pPr>
    </w:p>
    <w:p w:rsidR="00C06DA1" w:rsidRPr="00DD2F1B" w:rsidRDefault="00C06DA1" w:rsidP="00FD536A">
      <w:pPr>
        <w:jc w:val="both"/>
        <w:rPr>
          <w:sz w:val="22"/>
          <w:szCs w:val="22"/>
          <w:lang w:val="cs-CZ"/>
        </w:rPr>
      </w:pPr>
    </w:p>
    <w:tbl>
      <w:tblPr>
        <w:tblW w:w="9098" w:type="dxa"/>
        <w:tblBorders>
          <w:bottom w:val="single" w:sz="4" w:space="0" w:color="00A1DE"/>
          <w:insideH w:val="single" w:sz="4" w:space="0" w:color="00A1DE"/>
        </w:tblBorders>
        <w:tblCellMar>
          <w:top w:w="28" w:type="dxa"/>
          <w:left w:w="28" w:type="dxa"/>
          <w:bottom w:w="28" w:type="dxa"/>
          <w:right w:w="28" w:type="dxa"/>
        </w:tblCellMar>
        <w:tblLook w:val="00A0"/>
      </w:tblPr>
      <w:tblGrid>
        <w:gridCol w:w="5698"/>
        <w:gridCol w:w="850"/>
        <w:gridCol w:w="850"/>
        <w:gridCol w:w="850"/>
        <w:gridCol w:w="850"/>
      </w:tblGrid>
      <w:tr w:rsidR="00C06DA1" w:rsidRPr="00D95ED2">
        <w:trPr>
          <w:trHeight w:val="170"/>
          <w:tblHeader/>
        </w:trPr>
        <w:tc>
          <w:tcPr>
            <w:tcW w:w="5698" w:type="dxa"/>
            <w:shd w:val="clear" w:color="auto" w:fill="00A1DE"/>
            <w:noWrap/>
          </w:tcPr>
          <w:p w:rsidR="00C06DA1" w:rsidRPr="00D95ED2" w:rsidRDefault="00C06DA1" w:rsidP="00A565CF">
            <w:pPr>
              <w:spacing w:before="0" w:after="0"/>
              <w:jc w:val="both"/>
              <w:rPr>
                <w:rFonts w:cs="Calibri"/>
                <w:b/>
                <w:bCs/>
                <w:color w:val="FFFFFF"/>
                <w:lang w:val="cs-CZ"/>
              </w:rPr>
            </w:pPr>
            <w:r w:rsidRPr="00D95ED2">
              <w:rPr>
                <w:rFonts w:cs="Calibri"/>
                <w:b/>
                <w:bCs/>
                <w:color w:val="FFFFFF"/>
                <w:lang w:val="cs-CZ"/>
              </w:rPr>
              <w:t>Riziko</w:t>
            </w:r>
          </w:p>
        </w:tc>
        <w:tc>
          <w:tcPr>
            <w:tcW w:w="850" w:type="dxa"/>
            <w:shd w:val="clear" w:color="auto" w:fill="00A1DE"/>
            <w:noWrap/>
          </w:tcPr>
          <w:p w:rsidR="00C06DA1" w:rsidRPr="00D95ED2" w:rsidRDefault="00C06DA1" w:rsidP="00A565CF">
            <w:pPr>
              <w:spacing w:before="0" w:after="0"/>
              <w:jc w:val="both"/>
              <w:rPr>
                <w:rFonts w:cs="Calibri"/>
                <w:b/>
                <w:bCs/>
                <w:color w:val="FFFFFF"/>
                <w:lang w:val="cs-CZ"/>
              </w:rPr>
            </w:pPr>
            <w:r w:rsidRPr="00D95ED2">
              <w:rPr>
                <w:rFonts w:cs="Calibri"/>
                <w:b/>
                <w:bCs/>
                <w:color w:val="FFFFFF"/>
                <w:lang w:val="cs-CZ"/>
              </w:rPr>
              <w:t>0</w:t>
            </w:r>
          </w:p>
        </w:tc>
        <w:tc>
          <w:tcPr>
            <w:tcW w:w="850" w:type="dxa"/>
            <w:shd w:val="clear" w:color="auto" w:fill="00A1DE"/>
          </w:tcPr>
          <w:p w:rsidR="00C06DA1" w:rsidRPr="00D95ED2" w:rsidRDefault="00C06DA1" w:rsidP="00A565CF">
            <w:pPr>
              <w:spacing w:before="0" w:after="0"/>
              <w:jc w:val="both"/>
              <w:rPr>
                <w:rFonts w:cs="Calibri"/>
                <w:b/>
                <w:bCs/>
                <w:color w:val="FFFFFF"/>
                <w:lang w:val="cs-CZ"/>
              </w:rPr>
            </w:pPr>
            <w:r w:rsidRPr="00D95ED2">
              <w:rPr>
                <w:rFonts w:cs="Calibri"/>
                <w:b/>
                <w:bCs/>
                <w:color w:val="FFFFFF"/>
                <w:lang w:val="cs-CZ"/>
              </w:rPr>
              <w:t>01</w:t>
            </w:r>
          </w:p>
        </w:tc>
        <w:tc>
          <w:tcPr>
            <w:tcW w:w="850" w:type="dxa"/>
            <w:shd w:val="clear" w:color="auto" w:fill="00A1DE"/>
          </w:tcPr>
          <w:p w:rsidR="00C06DA1" w:rsidRPr="00D95ED2" w:rsidRDefault="00C06DA1" w:rsidP="00A565CF">
            <w:pPr>
              <w:spacing w:before="0" w:after="0"/>
              <w:jc w:val="both"/>
              <w:rPr>
                <w:rFonts w:cs="Calibri"/>
                <w:b/>
                <w:bCs/>
                <w:color w:val="FFFFFF"/>
                <w:lang w:val="cs-CZ"/>
              </w:rPr>
            </w:pPr>
            <w:r w:rsidRPr="00D95ED2">
              <w:rPr>
                <w:rFonts w:cs="Calibri"/>
                <w:b/>
                <w:bCs/>
                <w:color w:val="FFFFFF"/>
                <w:lang w:val="cs-CZ"/>
              </w:rPr>
              <w:t>A</w:t>
            </w:r>
          </w:p>
        </w:tc>
        <w:tc>
          <w:tcPr>
            <w:tcW w:w="850" w:type="dxa"/>
            <w:shd w:val="clear" w:color="auto" w:fill="00A1DE"/>
            <w:noWrap/>
          </w:tcPr>
          <w:p w:rsidR="00C06DA1" w:rsidRPr="00D95ED2" w:rsidRDefault="00C06DA1" w:rsidP="00A565CF">
            <w:pPr>
              <w:spacing w:before="0" w:after="0"/>
              <w:jc w:val="both"/>
              <w:rPr>
                <w:rFonts w:cs="Calibri"/>
                <w:b/>
                <w:bCs/>
                <w:color w:val="FFFFFF"/>
                <w:lang w:val="cs-CZ"/>
              </w:rPr>
            </w:pPr>
            <w:r w:rsidRPr="00D95ED2">
              <w:rPr>
                <w:rFonts w:cs="Calibri"/>
                <w:b/>
                <w:bCs/>
                <w:color w:val="FFFFFF"/>
                <w:lang w:val="cs-CZ"/>
              </w:rPr>
              <w:t>B</w:t>
            </w:r>
          </w:p>
        </w:tc>
      </w:tr>
      <w:tr w:rsidR="00C06DA1" w:rsidRPr="00D95ED2">
        <w:trPr>
          <w:trHeight w:val="170"/>
        </w:trPr>
        <w:tc>
          <w:tcPr>
            <w:tcW w:w="5698" w:type="dxa"/>
            <w:shd w:val="clear" w:color="auto" w:fill="FFFFFF"/>
            <w:noWrap/>
          </w:tcPr>
          <w:p w:rsidR="00C06DA1" w:rsidRPr="00D95ED2" w:rsidRDefault="00C06DA1" w:rsidP="00A565CF">
            <w:pPr>
              <w:spacing w:before="0" w:after="0"/>
              <w:ind w:right="397"/>
              <w:jc w:val="both"/>
              <w:rPr>
                <w:rFonts w:cs="Calibri"/>
                <w:lang w:val="cs-CZ"/>
              </w:rPr>
            </w:pPr>
            <w:r w:rsidRPr="00D95ED2">
              <w:rPr>
                <w:rFonts w:cs="Calibri"/>
                <w:lang w:val="cs-CZ"/>
              </w:rPr>
              <w:t>Vyvolané investice ve formě nutné instalace dopravního značení</w:t>
            </w:r>
          </w:p>
        </w:tc>
        <w:tc>
          <w:tcPr>
            <w:tcW w:w="850" w:type="dxa"/>
            <w:shd w:val="clear" w:color="auto" w:fill="FFFFFF"/>
            <w:noWrap/>
          </w:tcPr>
          <w:p w:rsidR="00C06DA1" w:rsidRPr="00D95ED2" w:rsidRDefault="00C06DA1" w:rsidP="00A565CF">
            <w:pPr>
              <w:spacing w:before="0" w:after="0"/>
              <w:jc w:val="both"/>
              <w:rPr>
                <w:rFonts w:cs="Calibri"/>
                <w:lang w:val="cs-CZ"/>
              </w:rPr>
            </w:pPr>
          </w:p>
        </w:tc>
        <w:tc>
          <w:tcPr>
            <w:tcW w:w="850" w:type="dxa"/>
            <w:shd w:val="clear" w:color="auto" w:fill="FFFFFF"/>
          </w:tcPr>
          <w:p w:rsidR="00C06DA1" w:rsidRPr="00D95ED2" w:rsidRDefault="00C06DA1" w:rsidP="00A565CF">
            <w:pPr>
              <w:spacing w:before="0" w:after="0"/>
              <w:jc w:val="both"/>
              <w:rPr>
                <w:rFonts w:cs="Calibri"/>
                <w:lang w:val="cs-CZ"/>
              </w:rPr>
            </w:pPr>
            <w:r w:rsidRPr="00D95ED2">
              <w:rPr>
                <w:rFonts w:cs="Calibri"/>
                <w:lang w:val="cs-CZ"/>
              </w:rPr>
              <w:t>N</w:t>
            </w:r>
          </w:p>
        </w:tc>
        <w:tc>
          <w:tcPr>
            <w:tcW w:w="850" w:type="dxa"/>
            <w:shd w:val="clear" w:color="auto" w:fill="FFFFFF"/>
          </w:tcPr>
          <w:p w:rsidR="00C06DA1" w:rsidRPr="00D95ED2" w:rsidRDefault="00C06DA1" w:rsidP="00A565CF">
            <w:pPr>
              <w:spacing w:before="0" w:after="0"/>
              <w:jc w:val="both"/>
              <w:rPr>
                <w:rFonts w:cs="Calibri"/>
                <w:bCs/>
                <w:lang w:val="cs-CZ"/>
              </w:rPr>
            </w:pPr>
            <w:r w:rsidRPr="00D95ED2">
              <w:rPr>
                <w:rFonts w:cs="Calibri"/>
                <w:bCs/>
                <w:lang w:val="cs-CZ"/>
              </w:rPr>
              <w:t>V</w:t>
            </w:r>
          </w:p>
        </w:tc>
        <w:tc>
          <w:tcPr>
            <w:tcW w:w="850" w:type="dxa"/>
            <w:shd w:val="clear" w:color="auto" w:fill="FFFFFF"/>
            <w:noWrap/>
          </w:tcPr>
          <w:p w:rsidR="00C06DA1" w:rsidRPr="00D95ED2" w:rsidRDefault="00C06DA1" w:rsidP="00A565CF">
            <w:pPr>
              <w:spacing w:before="0" w:after="0"/>
              <w:jc w:val="both"/>
              <w:rPr>
                <w:rFonts w:cs="Calibri"/>
                <w:lang w:val="cs-CZ"/>
              </w:rPr>
            </w:pPr>
            <w:r w:rsidRPr="00D95ED2">
              <w:rPr>
                <w:rFonts w:cs="Calibri"/>
                <w:lang w:val="cs-CZ"/>
              </w:rPr>
              <w:t>V</w:t>
            </w:r>
          </w:p>
        </w:tc>
      </w:tr>
      <w:tr w:rsidR="00C06DA1" w:rsidRPr="00D95ED2">
        <w:trPr>
          <w:trHeight w:val="170"/>
        </w:trPr>
        <w:tc>
          <w:tcPr>
            <w:tcW w:w="5698" w:type="dxa"/>
            <w:shd w:val="clear" w:color="auto" w:fill="FFFFFF"/>
            <w:noWrap/>
          </w:tcPr>
          <w:p w:rsidR="00C06DA1" w:rsidRPr="00D95ED2" w:rsidRDefault="00C06DA1" w:rsidP="00A565CF">
            <w:pPr>
              <w:spacing w:before="0" w:after="0"/>
              <w:ind w:right="397"/>
              <w:jc w:val="both"/>
              <w:rPr>
                <w:rFonts w:cs="Calibri"/>
                <w:lang w:val="cs-CZ"/>
              </w:rPr>
            </w:pPr>
            <w:r w:rsidRPr="00D95ED2">
              <w:rPr>
                <w:rFonts w:cs="Calibri"/>
                <w:lang w:val="cs-CZ"/>
              </w:rPr>
              <w:t>Dopad na střední a malé podnikatele (domácí uživatele)</w:t>
            </w:r>
          </w:p>
        </w:tc>
        <w:tc>
          <w:tcPr>
            <w:tcW w:w="850" w:type="dxa"/>
            <w:shd w:val="clear" w:color="auto" w:fill="FFFFFF"/>
            <w:noWrap/>
          </w:tcPr>
          <w:p w:rsidR="00C06DA1" w:rsidRPr="00D95ED2" w:rsidRDefault="00C06DA1" w:rsidP="00A565CF">
            <w:pPr>
              <w:spacing w:before="0" w:after="0"/>
              <w:jc w:val="both"/>
              <w:rPr>
                <w:rFonts w:cs="Calibri"/>
                <w:lang w:val="cs-CZ"/>
              </w:rPr>
            </w:pPr>
          </w:p>
        </w:tc>
        <w:tc>
          <w:tcPr>
            <w:tcW w:w="850" w:type="dxa"/>
            <w:shd w:val="clear" w:color="auto" w:fill="FFFFFF"/>
          </w:tcPr>
          <w:p w:rsidR="00C06DA1" w:rsidRPr="00D95ED2" w:rsidRDefault="00C06DA1" w:rsidP="00A565CF">
            <w:pPr>
              <w:spacing w:before="0" w:after="0"/>
              <w:jc w:val="both"/>
              <w:rPr>
                <w:rFonts w:cs="Calibri"/>
                <w:lang w:val="cs-CZ"/>
              </w:rPr>
            </w:pPr>
            <w:r w:rsidRPr="00D95ED2">
              <w:rPr>
                <w:rFonts w:cs="Calibri"/>
                <w:lang w:val="cs-CZ"/>
              </w:rPr>
              <w:t>S</w:t>
            </w:r>
          </w:p>
        </w:tc>
        <w:tc>
          <w:tcPr>
            <w:tcW w:w="850" w:type="dxa"/>
            <w:shd w:val="clear" w:color="auto" w:fill="FFFFFF"/>
          </w:tcPr>
          <w:p w:rsidR="00C06DA1" w:rsidRPr="00D95ED2" w:rsidRDefault="00C06DA1" w:rsidP="00A565CF">
            <w:pPr>
              <w:spacing w:before="0" w:after="0"/>
              <w:jc w:val="both"/>
              <w:rPr>
                <w:rFonts w:cs="Calibri"/>
                <w:bCs/>
                <w:lang w:val="cs-CZ"/>
              </w:rPr>
            </w:pPr>
            <w:r w:rsidRPr="00D95ED2">
              <w:rPr>
                <w:rFonts w:cs="Calibri"/>
                <w:bCs/>
                <w:lang w:val="cs-CZ"/>
              </w:rPr>
              <w:t>V</w:t>
            </w:r>
          </w:p>
        </w:tc>
        <w:tc>
          <w:tcPr>
            <w:tcW w:w="850" w:type="dxa"/>
            <w:shd w:val="clear" w:color="auto" w:fill="FFFFFF"/>
            <w:noWrap/>
          </w:tcPr>
          <w:p w:rsidR="00C06DA1" w:rsidRPr="00D95ED2" w:rsidRDefault="00C06DA1" w:rsidP="00A565CF">
            <w:pPr>
              <w:spacing w:before="0" w:after="0"/>
              <w:jc w:val="both"/>
              <w:rPr>
                <w:rFonts w:cs="Calibri"/>
                <w:lang w:val="cs-CZ"/>
              </w:rPr>
            </w:pPr>
            <w:r w:rsidRPr="00D95ED2">
              <w:rPr>
                <w:rFonts w:cs="Calibri"/>
                <w:lang w:val="cs-CZ"/>
              </w:rPr>
              <w:t>V</w:t>
            </w:r>
          </w:p>
        </w:tc>
      </w:tr>
      <w:tr w:rsidR="00C06DA1" w:rsidRPr="00D95ED2">
        <w:trPr>
          <w:trHeight w:val="170"/>
        </w:trPr>
        <w:tc>
          <w:tcPr>
            <w:tcW w:w="5698" w:type="dxa"/>
            <w:shd w:val="clear" w:color="auto" w:fill="FFFFFF"/>
            <w:noWrap/>
          </w:tcPr>
          <w:p w:rsidR="00C06DA1" w:rsidRPr="00D95ED2" w:rsidRDefault="00C06DA1" w:rsidP="00A565CF">
            <w:pPr>
              <w:spacing w:before="0" w:after="0"/>
              <w:ind w:right="397"/>
              <w:jc w:val="both"/>
              <w:rPr>
                <w:rFonts w:cs="Calibri"/>
                <w:lang w:val="cs-CZ"/>
              </w:rPr>
            </w:pPr>
            <w:r w:rsidRPr="00D95ED2">
              <w:rPr>
                <w:rFonts w:cs="Calibri"/>
                <w:lang w:val="cs-CZ"/>
              </w:rPr>
              <w:t>Snížení dotací EU na silnice I. třídy</w:t>
            </w:r>
          </w:p>
        </w:tc>
        <w:tc>
          <w:tcPr>
            <w:tcW w:w="850" w:type="dxa"/>
            <w:shd w:val="clear" w:color="auto" w:fill="FFFFFF"/>
            <w:noWrap/>
          </w:tcPr>
          <w:p w:rsidR="00C06DA1" w:rsidRPr="00D95ED2" w:rsidRDefault="00C06DA1" w:rsidP="00A565CF">
            <w:pPr>
              <w:spacing w:before="0" w:after="0"/>
              <w:jc w:val="both"/>
              <w:rPr>
                <w:rFonts w:cs="Calibri"/>
                <w:lang w:val="cs-CZ"/>
              </w:rPr>
            </w:pPr>
          </w:p>
        </w:tc>
        <w:tc>
          <w:tcPr>
            <w:tcW w:w="850" w:type="dxa"/>
            <w:shd w:val="clear" w:color="auto" w:fill="FFFFFF"/>
          </w:tcPr>
          <w:p w:rsidR="00C06DA1" w:rsidRPr="00D95ED2" w:rsidRDefault="00C06DA1" w:rsidP="00A565CF">
            <w:pPr>
              <w:spacing w:before="0" w:after="0"/>
              <w:jc w:val="both"/>
              <w:rPr>
                <w:rFonts w:cs="Calibri"/>
                <w:lang w:val="cs-CZ"/>
              </w:rPr>
            </w:pPr>
            <w:r w:rsidRPr="00D95ED2">
              <w:rPr>
                <w:rFonts w:cs="Calibri"/>
                <w:lang w:val="cs-CZ"/>
              </w:rPr>
              <w:t>S</w:t>
            </w:r>
          </w:p>
        </w:tc>
        <w:tc>
          <w:tcPr>
            <w:tcW w:w="850" w:type="dxa"/>
            <w:shd w:val="clear" w:color="auto" w:fill="FFFFFF"/>
          </w:tcPr>
          <w:p w:rsidR="00C06DA1" w:rsidRPr="00D95ED2" w:rsidRDefault="005C05C0" w:rsidP="00A565CF">
            <w:pPr>
              <w:spacing w:before="0" w:after="0"/>
              <w:jc w:val="both"/>
              <w:rPr>
                <w:rFonts w:cs="Calibri"/>
                <w:bCs/>
                <w:lang w:val="cs-CZ"/>
              </w:rPr>
            </w:pPr>
            <w:r>
              <w:rPr>
                <w:rFonts w:cs="Calibri"/>
                <w:bCs/>
                <w:lang w:val="cs-CZ"/>
              </w:rPr>
              <w:t>N</w:t>
            </w:r>
          </w:p>
        </w:tc>
        <w:tc>
          <w:tcPr>
            <w:tcW w:w="850" w:type="dxa"/>
            <w:shd w:val="clear" w:color="auto" w:fill="FFFFFF"/>
            <w:noWrap/>
          </w:tcPr>
          <w:p w:rsidR="00C06DA1" w:rsidRPr="00D95ED2" w:rsidRDefault="00C06DA1" w:rsidP="00A565CF">
            <w:pPr>
              <w:spacing w:before="0" w:after="0"/>
              <w:jc w:val="both"/>
              <w:rPr>
                <w:rFonts w:cs="Calibri"/>
                <w:lang w:val="cs-CZ"/>
              </w:rPr>
            </w:pPr>
            <w:r w:rsidRPr="00D95ED2">
              <w:rPr>
                <w:rFonts w:cs="Calibri"/>
                <w:lang w:val="cs-CZ"/>
              </w:rPr>
              <w:t>V</w:t>
            </w:r>
          </w:p>
        </w:tc>
      </w:tr>
      <w:tr w:rsidR="00C06DA1" w:rsidRPr="00D95ED2">
        <w:trPr>
          <w:trHeight w:val="170"/>
        </w:trPr>
        <w:tc>
          <w:tcPr>
            <w:tcW w:w="5698" w:type="dxa"/>
            <w:shd w:val="clear" w:color="auto" w:fill="FFFFFF"/>
            <w:noWrap/>
          </w:tcPr>
          <w:p w:rsidR="00C06DA1" w:rsidRPr="00D95ED2" w:rsidRDefault="00C06DA1" w:rsidP="00A565CF">
            <w:pPr>
              <w:spacing w:before="0" w:after="0"/>
              <w:ind w:right="397"/>
              <w:jc w:val="both"/>
              <w:rPr>
                <w:rFonts w:cs="Calibri"/>
                <w:lang w:val="cs-CZ"/>
              </w:rPr>
            </w:pPr>
            <w:r w:rsidRPr="00D95ED2">
              <w:rPr>
                <w:rFonts w:cs="Calibri"/>
                <w:lang w:val="cs-CZ"/>
              </w:rPr>
              <w:t>Změna právní formy Ředitelství silnic a dálnic ČR na akciovou společnost</w:t>
            </w:r>
          </w:p>
        </w:tc>
        <w:tc>
          <w:tcPr>
            <w:tcW w:w="850" w:type="dxa"/>
            <w:shd w:val="clear" w:color="auto" w:fill="FFFFFF"/>
            <w:noWrap/>
          </w:tcPr>
          <w:p w:rsidR="00C06DA1" w:rsidRPr="00D95ED2" w:rsidRDefault="00C06DA1" w:rsidP="00A565CF">
            <w:pPr>
              <w:spacing w:before="0" w:after="0"/>
              <w:jc w:val="both"/>
              <w:rPr>
                <w:rFonts w:cs="Calibri"/>
                <w:lang w:val="cs-CZ"/>
              </w:rPr>
            </w:pPr>
          </w:p>
        </w:tc>
        <w:tc>
          <w:tcPr>
            <w:tcW w:w="850" w:type="dxa"/>
            <w:shd w:val="clear" w:color="auto" w:fill="FFFFFF"/>
          </w:tcPr>
          <w:p w:rsidR="00C06DA1" w:rsidRPr="00D95ED2" w:rsidRDefault="00C06DA1" w:rsidP="00A565CF">
            <w:pPr>
              <w:spacing w:before="0" w:after="0"/>
              <w:jc w:val="both"/>
              <w:rPr>
                <w:rFonts w:cs="Calibri"/>
                <w:lang w:val="cs-CZ"/>
              </w:rPr>
            </w:pPr>
          </w:p>
        </w:tc>
        <w:tc>
          <w:tcPr>
            <w:tcW w:w="850" w:type="dxa"/>
            <w:shd w:val="clear" w:color="auto" w:fill="FFFFFF"/>
          </w:tcPr>
          <w:p w:rsidR="00C06DA1" w:rsidRPr="00D95ED2" w:rsidRDefault="00C06DA1" w:rsidP="00A565CF">
            <w:pPr>
              <w:spacing w:before="0" w:after="0"/>
              <w:jc w:val="both"/>
              <w:rPr>
                <w:rFonts w:cs="Calibri"/>
                <w:bCs/>
                <w:lang w:val="cs-CZ"/>
              </w:rPr>
            </w:pPr>
            <w:r w:rsidRPr="00D95ED2">
              <w:rPr>
                <w:rFonts w:cs="Calibri"/>
                <w:bCs/>
                <w:lang w:val="cs-CZ"/>
              </w:rPr>
              <w:t>V</w:t>
            </w:r>
          </w:p>
        </w:tc>
        <w:tc>
          <w:tcPr>
            <w:tcW w:w="850" w:type="dxa"/>
            <w:shd w:val="clear" w:color="auto" w:fill="FFFFFF"/>
            <w:noWrap/>
          </w:tcPr>
          <w:p w:rsidR="00C06DA1" w:rsidRPr="00D95ED2" w:rsidRDefault="00C06DA1" w:rsidP="00A565CF">
            <w:pPr>
              <w:spacing w:before="0" w:after="0"/>
              <w:jc w:val="both"/>
              <w:rPr>
                <w:rFonts w:cs="Calibri"/>
                <w:lang w:val="cs-CZ"/>
              </w:rPr>
            </w:pPr>
            <w:r w:rsidRPr="00D95ED2">
              <w:rPr>
                <w:rFonts w:cs="Calibri"/>
                <w:lang w:val="cs-CZ"/>
              </w:rPr>
              <w:t>V</w:t>
            </w:r>
          </w:p>
        </w:tc>
      </w:tr>
      <w:tr w:rsidR="00C06DA1" w:rsidRPr="00D95ED2">
        <w:trPr>
          <w:trHeight w:val="170"/>
        </w:trPr>
        <w:tc>
          <w:tcPr>
            <w:tcW w:w="5698" w:type="dxa"/>
            <w:shd w:val="clear" w:color="auto" w:fill="FFFFFF"/>
            <w:noWrap/>
          </w:tcPr>
          <w:p w:rsidR="00C06DA1" w:rsidRPr="00D95ED2" w:rsidRDefault="00C06DA1" w:rsidP="00A565CF">
            <w:pPr>
              <w:spacing w:before="0" w:after="0"/>
              <w:ind w:right="397"/>
              <w:jc w:val="both"/>
              <w:rPr>
                <w:rFonts w:cs="Calibri"/>
                <w:bCs/>
                <w:color w:val="000000"/>
                <w:lang w:val="cs-CZ"/>
              </w:rPr>
            </w:pPr>
            <w:r w:rsidRPr="00D95ED2">
              <w:rPr>
                <w:rFonts w:cs="Calibri"/>
                <w:lang w:val="cs-CZ"/>
              </w:rPr>
              <w:t xml:space="preserve">Nepřijetí změn právních předpisů před zahájením rozšíření zpoplatnění </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lang w:val="cs-CZ"/>
              </w:rPr>
              <w:t> </w:t>
            </w:r>
          </w:p>
        </w:tc>
        <w:tc>
          <w:tcPr>
            <w:tcW w:w="850" w:type="dxa"/>
            <w:shd w:val="clear" w:color="auto" w:fill="FFFFFF"/>
          </w:tcPr>
          <w:p w:rsidR="00C06DA1" w:rsidRPr="00D95ED2" w:rsidRDefault="00C06DA1" w:rsidP="00A565CF">
            <w:pPr>
              <w:spacing w:before="0" w:after="0"/>
              <w:jc w:val="both"/>
              <w:rPr>
                <w:rFonts w:cs="Calibri"/>
                <w:color w:val="000000"/>
                <w:lang w:val="cs-CZ"/>
              </w:rPr>
            </w:pPr>
            <w:r w:rsidRPr="00D95ED2">
              <w:rPr>
                <w:rFonts w:cs="Calibri"/>
                <w:lang w:val="cs-CZ"/>
              </w:rPr>
              <w:t>N</w:t>
            </w:r>
          </w:p>
        </w:tc>
        <w:tc>
          <w:tcPr>
            <w:tcW w:w="850" w:type="dxa"/>
            <w:shd w:val="clear" w:color="auto" w:fill="FFFFFF"/>
          </w:tcPr>
          <w:p w:rsidR="00C06DA1" w:rsidRPr="00D95ED2" w:rsidRDefault="00C06DA1" w:rsidP="00A565CF">
            <w:pPr>
              <w:spacing w:before="0" w:after="0"/>
              <w:jc w:val="both"/>
              <w:rPr>
                <w:rFonts w:cs="Calibri"/>
                <w:bCs/>
                <w:color w:val="000000"/>
                <w:lang w:val="cs-CZ"/>
              </w:rPr>
            </w:pPr>
            <w:r w:rsidRPr="00D95ED2">
              <w:rPr>
                <w:rFonts w:cs="Calibri"/>
                <w:bCs/>
                <w:lang w:val="cs-CZ"/>
              </w:rPr>
              <w:t>S</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lang w:val="cs-CZ"/>
              </w:rPr>
              <w:t>S</w:t>
            </w:r>
          </w:p>
        </w:tc>
      </w:tr>
      <w:tr w:rsidR="00C06DA1" w:rsidRPr="00D95ED2">
        <w:trPr>
          <w:trHeight w:val="170"/>
        </w:trPr>
        <w:tc>
          <w:tcPr>
            <w:tcW w:w="5698" w:type="dxa"/>
            <w:shd w:val="clear" w:color="auto" w:fill="FFFFFF"/>
            <w:noWrap/>
          </w:tcPr>
          <w:p w:rsidR="00C06DA1" w:rsidRPr="00D95ED2" w:rsidRDefault="00C06DA1" w:rsidP="00A565CF">
            <w:pPr>
              <w:spacing w:before="0" w:after="0"/>
              <w:ind w:right="397"/>
              <w:jc w:val="both"/>
              <w:rPr>
                <w:rFonts w:cs="Calibri"/>
                <w:bCs/>
                <w:color w:val="000000"/>
                <w:lang w:val="cs-CZ"/>
              </w:rPr>
            </w:pPr>
            <w:r w:rsidRPr="00D95ED2">
              <w:rPr>
                <w:rFonts w:cs="Calibri"/>
                <w:lang w:val="cs-CZ"/>
              </w:rPr>
              <w:t>Nedodržení termínu realizace změn dopravního značení</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lang w:val="cs-CZ"/>
              </w:rPr>
              <w:t> </w:t>
            </w:r>
          </w:p>
        </w:tc>
        <w:tc>
          <w:tcPr>
            <w:tcW w:w="850" w:type="dxa"/>
            <w:shd w:val="clear" w:color="auto" w:fill="FFFFFF"/>
          </w:tcPr>
          <w:p w:rsidR="00C06DA1" w:rsidRPr="00D95ED2" w:rsidRDefault="00C06DA1" w:rsidP="00A565CF">
            <w:pPr>
              <w:spacing w:before="0" w:after="0"/>
              <w:jc w:val="both"/>
              <w:rPr>
                <w:rFonts w:cs="Calibri"/>
                <w:color w:val="000000"/>
                <w:lang w:val="cs-CZ"/>
              </w:rPr>
            </w:pPr>
          </w:p>
        </w:tc>
        <w:tc>
          <w:tcPr>
            <w:tcW w:w="850" w:type="dxa"/>
            <w:shd w:val="clear" w:color="auto" w:fill="FFFFFF"/>
          </w:tcPr>
          <w:p w:rsidR="00C06DA1" w:rsidRPr="00D95ED2" w:rsidRDefault="00C06DA1" w:rsidP="00A565CF">
            <w:pPr>
              <w:spacing w:before="0" w:after="0"/>
              <w:jc w:val="both"/>
              <w:rPr>
                <w:rFonts w:cs="Calibri"/>
                <w:bCs/>
                <w:color w:val="000000"/>
                <w:lang w:val="cs-CZ"/>
              </w:rPr>
            </w:pPr>
            <w:r w:rsidRPr="00D95ED2">
              <w:rPr>
                <w:rFonts w:cs="Calibri"/>
                <w:bCs/>
                <w:lang w:val="cs-CZ"/>
              </w:rPr>
              <w:t>S</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lang w:val="cs-CZ"/>
              </w:rPr>
              <w:t>S</w:t>
            </w:r>
          </w:p>
        </w:tc>
      </w:tr>
      <w:tr w:rsidR="00C06DA1" w:rsidRPr="00D95ED2">
        <w:trPr>
          <w:trHeight w:val="170"/>
        </w:trPr>
        <w:tc>
          <w:tcPr>
            <w:tcW w:w="5698" w:type="dxa"/>
            <w:shd w:val="clear" w:color="auto" w:fill="FFFFFF"/>
            <w:noWrap/>
          </w:tcPr>
          <w:p w:rsidR="00C06DA1" w:rsidRPr="00D95ED2" w:rsidRDefault="00C06DA1" w:rsidP="00A565CF">
            <w:pPr>
              <w:spacing w:before="0" w:after="0"/>
              <w:ind w:right="397"/>
              <w:jc w:val="both"/>
              <w:rPr>
                <w:rFonts w:cs="Calibri"/>
                <w:bCs/>
                <w:color w:val="000000"/>
                <w:lang w:val="cs-CZ"/>
              </w:rPr>
            </w:pPr>
            <w:r w:rsidRPr="00D95ED2">
              <w:rPr>
                <w:rFonts w:cs="Calibri"/>
                <w:lang w:val="cs-CZ"/>
              </w:rPr>
              <w:t>Nedodržení plánovaného termínu zahájení zpoplatnění/poskytování služeb (z důvodů jiných než nedodržení termínu realizace změn dopravního značení)</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lang w:val="cs-CZ"/>
              </w:rPr>
              <w:t>S</w:t>
            </w:r>
          </w:p>
        </w:tc>
        <w:tc>
          <w:tcPr>
            <w:tcW w:w="850" w:type="dxa"/>
            <w:shd w:val="clear" w:color="auto" w:fill="FFFFFF"/>
          </w:tcPr>
          <w:p w:rsidR="00C06DA1" w:rsidRPr="00D95ED2" w:rsidRDefault="00C06DA1" w:rsidP="00A565CF">
            <w:pPr>
              <w:spacing w:before="0" w:after="0"/>
              <w:jc w:val="both"/>
              <w:rPr>
                <w:rFonts w:cs="Calibri"/>
                <w:color w:val="000000"/>
                <w:lang w:val="cs-CZ"/>
              </w:rPr>
            </w:pPr>
            <w:r w:rsidRPr="00D95ED2">
              <w:rPr>
                <w:rFonts w:cs="Calibri"/>
                <w:lang w:val="cs-CZ"/>
              </w:rPr>
              <w:t>S</w:t>
            </w:r>
          </w:p>
        </w:tc>
        <w:tc>
          <w:tcPr>
            <w:tcW w:w="850" w:type="dxa"/>
            <w:shd w:val="clear" w:color="auto" w:fill="FFFFFF"/>
          </w:tcPr>
          <w:p w:rsidR="00C06DA1" w:rsidRPr="00D95ED2" w:rsidRDefault="00C06DA1" w:rsidP="00A565CF">
            <w:pPr>
              <w:spacing w:before="0" w:after="0"/>
              <w:jc w:val="both"/>
              <w:rPr>
                <w:rFonts w:cs="Calibri"/>
                <w:bCs/>
                <w:color w:val="000000"/>
                <w:lang w:val="cs-CZ"/>
              </w:rPr>
            </w:pPr>
            <w:r w:rsidRPr="00D95ED2">
              <w:rPr>
                <w:rFonts w:cs="Calibri"/>
                <w:lang w:val="cs-CZ"/>
              </w:rPr>
              <w:t>S</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bCs/>
                <w:lang w:val="cs-CZ"/>
              </w:rPr>
              <w:t>V</w:t>
            </w:r>
          </w:p>
        </w:tc>
      </w:tr>
      <w:tr w:rsidR="00C06DA1" w:rsidRPr="00D95ED2">
        <w:trPr>
          <w:trHeight w:val="170"/>
        </w:trPr>
        <w:tc>
          <w:tcPr>
            <w:tcW w:w="5698" w:type="dxa"/>
            <w:shd w:val="clear" w:color="auto" w:fill="FFFFFF"/>
            <w:noWrap/>
          </w:tcPr>
          <w:p w:rsidR="00C06DA1" w:rsidRPr="00D95ED2" w:rsidRDefault="00C06DA1" w:rsidP="00A565CF">
            <w:pPr>
              <w:spacing w:before="0" w:after="0"/>
              <w:ind w:right="397"/>
              <w:jc w:val="both"/>
              <w:rPr>
                <w:rFonts w:cs="Calibri"/>
                <w:bCs/>
                <w:color w:val="000000"/>
                <w:lang w:val="cs-CZ"/>
              </w:rPr>
            </w:pPr>
            <w:r w:rsidRPr="00D95ED2">
              <w:rPr>
                <w:rFonts w:cs="Calibri"/>
                <w:lang w:val="cs-CZ"/>
              </w:rPr>
              <w:t>Odpor dopravců, nesouhlas s výší sazeb mýtného, resp. s cenou silničních kuponů pro nové zpoplatněné pozemní komunikace</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lang w:val="cs-CZ"/>
              </w:rPr>
              <w:t> </w:t>
            </w:r>
          </w:p>
        </w:tc>
        <w:tc>
          <w:tcPr>
            <w:tcW w:w="850" w:type="dxa"/>
            <w:shd w:val="clear" w:color="auto" w:fill="FFFFFF"/>
          </w:tcPr>
          <w:p w:rsidR="00C06DA1" w:rsidRPr="00D95ED2" w:rsidRDefault="00C06DA1" w:rsidP="00A565CF">
            <w:pPr>
              <w:spacing w:before="0" w:after="0"/>
              <w:jc w:val="both"/>
              <w:rPr>
                <w:rFonts w:cs="Calibri"/>
                <w:color w:val="000000"/>
                <w:lang w:val="cs-CZ"/>
              </w:rPr>
            </w:pPr>
            <w:r w:rsidRPr="00D95ED2">
              <w:rPr>
                <w:rFonts w:cs="Calibri"/>
                <w:lang w:val="cs-CZ"/>
              </w:rPr>
              <w:t>V</w:t>
            </w:r>
          </w:p>
        </w:tc>
        <w:tc>
          <w:tcPr>
            <w:tcW w:w="850" w:type="dxa"/>
            <w:shd w:val="clear" w:color="auto" w:fill="FFFFFF"/>
          </w:tcPr>
          <w:p w:rsidR="00C06DA1" w:rsidRPr="00D95ED2" w:rsidRDefault="00C06DA1" w:rsidP="00A565CF">
            <w:pPr>
              <w:spacing w:before="0" w:after="0"/>
              <w:jc w:val="both"/>
              <w:rPr>
                <w:rFonts w:cs="Calibri"/>
                <w:bCs/>
                <w:color w:val="000000"/>
                <w:lang w:val="cs-CZ"/>
              </w:rPr>
            </w:pPr>
            <w:r w:rsidRPr="00D95ED2">
              <w:rPr>
                <w:rFonts w:cs="Calibri"/>
                <w:lang w:val="cs-CZ"/>
              </w:rPr>
              <w:t>V</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lang w:val="cs-CZ"/>
              </w:rPr>
              <w:t>V</w:t>
            </w:r>
          </w:p>
        </w:tc>
      </w:tr>
      <w:tr w:rsidR="00C06DA1" w:rsidRPr="00D95ED2">
        <w:trPr>
          <w:trHeight w:val="170"/>
        </w:trPr>
        <w:tc>
          <w:tcPr>
            <w:tcW w:w="5698" w:type="dxa"/>
            <w:shd w:val="clear" w:color="auto" w:fill="FFFFFF"/>
            <w:noWrap/>
          </w:tcPr>
          <w:p w:rsidR="00C06DA1" w:rsidRPr="00D95ED2" w:rsidRDefault="00C06DA1" w:rsidP="00A565CF">
            <w:pPr>
              <w:spacing w:before="0" w:after="0"/>
              <w:ind w:right="397"/>
              <w:jc w:val="both"/>
              <w:rPr>
                <w:rFonts w:cs="Calibri"/>
                <w:bCs/>
                <w:color w:val="000000"/>
                <w:lang w:val="cs-CZ"/>
              </w:rPr>
            </w:pPr>
            <w:r w:rsidRPr="00D95ED2">
              <w:rPr>
                <w:rFonts w:cs="Calibri"/>
                <w:lang w:val="cs-CZ"/>
              </w:rPr>
              <w:t>Objíždění, vyhýbání se mýtné povinnosti</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lang w:val="cs-CZ"/>
              </w:rPr>
              <w:t>S</w:t>
            </w:r>
          </w:p>
        </w:tc>
        <w:tc>
          <w:tcPr>
            <w:tcW w:w="850" w:type="dxa"/>
            <w:shd w:val="clear" w:color="auto" w:fill="FFFFFF"/>
          </w:tcPr>
          <w:p w:rsidR="00C06DA1" w:rsidRPr="00D95ED2" w:rsidRDefault="00C06DA1" w:rsidP="00A565CF">
            <w:pPr>
              <w:spacing w:before="0" w:after="0"/>
              <w:jc w:val="both"/>
              <w:rPr>
                <w:rFonts w:cs="Calibri"/>
                <w:color w:val="000000"/>
                <w:lang w:val="cs-CZ"/>
              </w:rPr>
            </w:pPr>
            <w:r w:rsidRPr="00D95ED2">
              <w:rPr>
                <w:rFonts w:cs="Calibri"/>
                <w:lang w:val="cs-CZ"/>
              </w:rPr>
              <w:t>V</w:t>
            </w:r>
          </w:p>
        </w:tc>
        <w:tc>
          <w:tcPr>
            <w:tcW w:w="850" w:type="dxa"/>
            <w:shd w:val="clear" w:color="auto" w:fill="FFFFFF"/>
          </w:tcPr>
          <w:p w:rsidR="00C06DA1" w:rsidRPr="00D95ED2" w:rsidRDefault="00C06DA1" w:rsidP="00A565CF">
            <w:pPr>
              <w:spacing w:before="0" w:after="0"/>
              <w:jc w:val="both"/>
              <w:rPr>
                <w:rFonts w:cs="Calibri"/>
                <w:bCs/>
                <w:color w:val="000000"/>
                <w:lang w:val="cs-CZ"/>
              </w:rPr>
            </w:pPr>
            <w:r w:rsidRPr="00D95ED2">
              <w:rPr>
                <w:rFonts w:cs="Calibri"/>
                <w:bCs/>
                <w:lang w:val="cs-CZ"/>
              </w:rPr>
              <w:t>V</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lang w:val="cs-CZ"/>
              </w:rPr>
              <w:t>V</w:t>
            </w:r>
          </w:p>
        </w:tc>
      </w:tr>
      <w:tr w:rsidR="00C06DA1" w:rsidRPr="00D95ED2">
        <w:trPr>
          <w:trHeight w:val="170"/>
        </w:trPr>
        <w:tc>
          <w:tcPr>
            <w:tcW w:w="5698" w:type="dxa"/>
            <w:shd w:val="clear" w:color="auto" w:fill="FFFFFF"/>
            <w:noWrap/>
          </w:tcPr>
          <w:p w:rsidR="00C06DA1" w:rsidRPr="00D95ED2" w:rsidRDefault="00C06DA1" w:rsidP="00A565CF">
            <w:pPr>
              <w:spacing w:before="0" w:after="0"/>
              <w:ind w:right="397"/>
              <w:jc w:val="both"/>
              <w:rPr>
                <w:rFonts w:cs="Calibri"/>
                <w:bCs/>
                <w:color w:val="000000"/>
                <w:lang w:val="cs-CZ"/>
              </w:rPr>
            </w:pPr>
            <w:r w:rsidRPr="00D95ED2">
              <w:rPr>
                <w:rFonts w:cs="Calibri"/>
                <w:lang w:val="cs-CZ"/>
              </w:rPr>
              <w:t>Riziko spojené s provozními vlastnosti, výkonností a spolehlivostí nového systému</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lang w:val="cs-CZ"/>
              </w:rPr>
              <w:t> </w:t>
            </w:r>
          </w:p>
        </w:tc>
        <w:tc>
          <w:tcPr>
            <w:tcW w:w="850" w:type="dxa"/>
            <w:shd w:val="clear" w:color="auto" w:fill="FFFFFF"/>
          </w:tcPr>
          <w:p w:rsidR="00C06DA1" w:rsidRPr="00D95ED2" w:rsidRDefault="00C06DA1" w:rsidP="00A565CF">
            <w:pPr>
              <w:spacing w:before="0" w:after="0"/>
              <w:jc w:val="both"/>
              <w:rPr>
                <w:rFonts w:cs="Calibri"/>
                <w:color w:val="000000"/>
                <w:lang w:val="cs-CZ"/>
              </w:rPr>
            </w:pPr>
          </w:p>
        </w:tc>
        <w:tc>
          <w:tcPr>
            <w:tcW w:w="850" w:type="dxa"/>
            <w:shd w:val="clear" w:color="auto" w:fill="FFFFFF"/>
          </w:tcPr>
          <w:p w:rsidR="00C06DA1" w:rsidRPr="00D95ED2" w:rsidRDefault="00C06DA1" w:rsidP="00A565CF">
            <w:pPr>
              <w:spacing w:before="0" w:after="0"/>
              <w:jc w:val="both"/>
              <w:rPr>
                <w:rFonts w:cs="Calibri"/>
                <w:bCs/>
                <w:color w:val="000000"/>
                <w:lang w:val="cs-CZ"/>
              </w:rPr>
            </w:pPr>
            <w:r w:rsidRPr="00D95ED2">
              <w:rPr>
                <w:rFonts w:cs="Calibri"/>
                <w:lang w:val="cs-CZ"/>
              </w:rPr>
              <w:t> </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lang w:val="cs-CZ"/>
              </w:rPr>
              <w:t>S</w:t>
            </w:r>
          </w:p>
        </w:tc>
      </w:tr>
      <w:tr w:rsidR="00C06DA1" w:rsidRPr="00D95ED2">
        <w:trPr>
          <w:trHeight w:val="170"/>
        </w:trPr>
        <w:tc>
          <w:tcPr>
            <w:tcW w:w="5698" w:type="dxa"/>
            <w:shd w:val="clear" w:color="auto" w:fill="FFFFFF"/>
            <w:noWrap/>
          </w:tcPr>
          <w:p w:rsidR="00C06DA1" w:rsidRPr="00D95ED2" w:rsidRDefault="00C06DA1" w:rsidP="00A565CF">
            <w:pPr>
              <w:spacing w:before="0" w:after="0"/>
              <w:ind w:right="397"/>
              <w:jc w:val="both"/>
              <w:rPr>
                <w:rFonts w:cs="Calibri"/>
                <w:bCs/>
                <w:color w:val="000000"/>
                <w:lang w:val="cs-CZ"/>
              </w:rPr>
            </w:pPr>
            <w:r w:rsidRPr="00D95ED2">
              <w:rPr>
                <w:rFonts w:cs="Calibri"/>
                <w:lang w:val="cs-CZ"/>
              </w:rPr>
              <w:t>Riziko spojené s migrací dat a služeb a organizací přechodu na nový systém v roce 2017</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lang w:val="cs-CZ"/>
              </w:rPr>
              <w:t> </w:t>
            </w:r>
          </w:p>
        </w:tc>
        <w:tc>
          <w:tcPr>
            <w:tcW w:w="850" w:type="dxa"/>
            <w:shd w:val="clear" w:color="auto" w:fill="FFFFFF"/>
          </w:tcPr>
          <w:p w:rsidR="00C06DA1" w:rsidRPr="00D95ED2" w:rsidRDefault="00C06DA1" w:rsidP="00A565CF">
            <w:pPr>
              <w:spacing w:before="0" w:after="0"/>
              <w:jc w:val="both"/>
              <w:rPr>
                <w:rFonts w:cs="Calibri"/>
                <w:color w:val="000000"/>
                <w:lang w:val="cs-CZ"/>
              </w:rPr>
            </w:pPr>
          </w:p>
        </w:tc>
        <w:tc>
          <w:tcPr>
            <w:tcW w:w="850" w:type="dxa"/>
            <w:shd w:val="clear" w:color="auto" w:fill="FFFFFF"/>
          </w:tcPr>
          <w:p w:rsidR="00C06DA1" w:rsidRPr="00D95ED2" w:rsidRDefault="00C06DA1" w:rsidP="00A565CF">
            <w:pPr>
              <w:spacing w:before="0" w:after="0"/>
              <w:jc w:val="both"/>
              <w:rPr>
                <w:rFonts w:cs="Calibri"/>
                <w:bCs/>
                <w:color w:val="000000"/>
                <w:lang w:val="cs-CZ"/>
              </w:rPr>
            </w:pPr>
            <w:r w:rsidRPr="00D95ED2">
              <w:rPr>
                <w:rFonts w:cs="Calibri"/>
                <w:lang w:val="cs-CZ"/>
              </w:rPr>
              <w:t> </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lang w:val="cs-CZ"/>
              </w:rPr>
              <w:t>V</w:t>
            </w:r>
          </w:p>
        </w:tc>
      </w:tr>
      <w:tr w:rsidR="00C06DA1" w:rsidRPr="00D95ED2">
        <w:trPr>
          <w:trHeight w:val="170"/>
        </w:trPr>
        <w:tc>
          <w:tcPr>
            <w:tcW w:w="5698" w:type="dxa"/>
            <w:shd w:val="clear" w:color="auto" w:fill="FFFFFF"/>
            <w:noWrap/>
          </w:tcPr>
          <w:p w:rsidR="00C06DA1" w:rsidRPr="00D95ED2" w:rsidRDefault="00C06DA1" w:rsidP="00A565CF">
            <w:pPr>
              <w:spacing w:before="0" w:after="0"/>
              <w:ind w:right="397"/>
              <w:jc w:val="both"/>
              <w:rPr>
                <w:rFonts w:cs="Calibri"/>
                <w:bCs/>
                <w:color w:val="000000"/>
                <w:lang w:val="cs-CZ"/>
              </w:rPr>
            </w:pPr>
            <w:r w:rsidRPr="00D95ED2">
              <w:rPr>
                <w:rFonts w:cs="Calibri"/>
                <w:lang w:val="cs-CZ"/>
              </w:rPr>
              <w:t>Nespokojenost uživatelů při existenci dvou režimů zpoplatnění</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lang w:val="cs-CZ"/>
              </w:rPr>
              <w:t> </w:t>
            </w:r>
          </w:p>
        </w:tc>
        <w:tc>
          <w:tcPr>
            <w:tcW w:w="850" w:type="dxa"/>
            <w:shd w:val="clear" w:color="auto" w:fill="FFFFFF"/>
          </w:tcPr>
          <w:p w:rsidR="00C06DA1" w:rsidRPr="00D95ED2" w:rsidRDefault="00C06DA1" w:rsidP="00A565CF">
            <w:pPr>
              <w:spacing w:before="0" w:after="0"/>
              <w:jc w:val="both"/>
              <w:rPr>
                <w:rFonts w:cs="Calibri"/>
                <w:color w:val="000000"/>
                <w:lang w:val="cs-CZ"/>
              </w:rPr>
            </w:pPr>
          </w:p>
        </w:tc>
        <w:tc>
          <w:tcPr>
            <w:tcW w:w="850" w:type="dxa"/>
            <w:shd w:val="clear" w:color="auto" w:fill="FFFFFF"/>
          </w:tcPr>
          <w:p w:rsidR="00C06DA1" w:rsidRPr="00D95ED2" w:rsidRDefault="00C06DA1" w:rsidP="00A565CF">
            <w:pPr>
              <w:spacing w:before="0" w:after="0"/>
              <w:jc w:val="both"/>
              <w:rPr>
                <w:rFonts w:cs="Calibri"/>
                <w:bCs/>
                <w:color w:val="000000"/>
                <w:lang w:val="cs-CZ"/>
              </w:rPr>
            </w:pPr>
            <w:r w:rsidRPr="00D95ED2">
              <w:rPr>
                <w:rFonts w:cs="Calibri"/>
                <w:lang w:val="cs-CZ"/>
              </w:rPr>
              <w:t>V</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lang w:val="cs-CZ"/>
              </w:rPr>
              <w:t> </w:t>
            </w:r>
          </w:p>
        </w:tc>
      </w:tr>
      <w:tr w:rsidR="00C06DA1" w:rsidRPr="00D95ED2">
        <w:trPr>
          <w:trHeight w:val="170"/>
        </w:trPr>
        <w:tc>
          <w:tcPr>
            <w:tcW w:w="5698" w:type="dxa"/>
            <w:shd w:val="clear" w:color="auto" w:fill="FFFFFF"/>
            <w:noWrap/>
          </w:tcPr>
          <w:p w:rsidR="00C06DA1" w:rsidRPr="00D95ED2" w:rsidRDefault="00C06DA1" w:rsidP="00A565CF">
            <w:pPr>
              <w:spacing w:before="0" w:after="0"/>
              <w:ind w:right="397"/>
              <w:jc w:val="both"/>
              <w:rPr>
                <w:rFonts w:cs="Calibri"/>
                <w:bCs/>
                <w:color w:val="000000"/>
                <w:lang w:val="cs-CZ"/>
              </w:rPr>
            </w:pPr>
            <w:r w:rsidRPr="00D95ED2">
              <w:rPr>
                <w:rFonts w:cs="Calibri"/>
                <w:lang w:val="cs-CZ"/>
              </w:rPr>
              <w:t>Obtížné převzetí SW aplikací od stávajícího poskytovatele služeb.</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lang w:val="cs-CZ"/>
              </w:rPr>
              <w:t>V</w:t>
            </w:r>
          </w:p>
        </w:tc>
        <w:tc>
          <w:tcPr>
            <w:tcW w:w="850" w:type="dxa"/>
            <w:shd w:val="clear" w:color="auto" w:fill="FFFFFF"/>
          </w:tcPr>
          <w:p w:rsidR="00C06DA1" w:rsidRPr="00D95ED2" w:rsidRDefault="00C06DA1" w:rsidP="00A565CF">
            <w:pPr>
              <w:spacing w:before="0" w:after="0"/>
              <w:jc w:val="both"/>
              <w:rPr>
                <w:rFonts w:cs="Calibri"/>
                <w:color w:val="000000"/>
                <w:lang w:val="cs-CZ"/>
              </w:rPr>
            </w:pPr>
            <w:r w:rsidRPr="00D95ED2">
              <w:rPr>
                <w:rFonts w:cs="Calibri"/>
                <w:lang w:val="cs-CZ"/>
              </w:rPr>
              <w:t>V</w:t>
            </w:r>
          </w:p>
        </w:tc>
        <w:tc>
          <w:tcPr>
            <w:tcW w:w="850" w:type="dxa"/>
            <w:shd w:val="clear" w:color="auto" w:fill="FFFFFF"/>
          </w:tcPr>
          <w:p w:rsidR="00C06DA1" w:rsidRPr="00D95ED2" w:rsidRDefault="00C06DA1" w:rsidP="00A565CF">
            <w:pPr>
              <w:spacing w:before="0" w:after="0"/>
              <w:jc w:val="both"/>
              <w:rPr>
                <w:rFonts w:cs="Calibri"/>
                <w:bCs/>
                <w:color w:val="000000"/>
                <w:lang w:val="cs-CZ"/>
              </w:rPr>
            </w:pPr>
            <w:r w:rsidRPr="00D95ED2">
              <w:rPr>
                <w:rFonts w:cs="Calibri"/>
                <w:lang w:val="cs-CZ"/>
              </w:rPr>
              <w:t>V</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p>
        </w:tc>
      </w:tr>
      <w:tr w:rsidR="00C06DA1" w:rsidRPr="00D95ED2">
        <w:trPr>
          <w:trHeight w:val="170"/>
        </w:trPr>
        <w:tc>
          <w:tcPr>
            <w:tcW w:w="5698" w:type="dxa"/>
            <w:shd w:val="clear" w:color="auto" w:fill="FFFFFF"/>
            <w:noWrap/>
          </w:tcPr>
          <w:p w:rsidR="00C06DA1" w:rsidRPr="00D95ED2" w:rsidRDefault="00C06DA1" w:rsidP="00A565CF">
            <w:pPr>
              <w:spacing w:before="0" w:after="0"/>
              <w:ind w:right="397"/>
              <w:jc w:val="both"/>
              <w:rPr>
                <w:rFonts w:cs="Calibri"/>
                <w:color w:val="000000"/>
                <w:lang w:val="cs-CZ"/>
              </w:rPr>
            </w:pPr>
            <w:r w:rsidRPr="00D95ED2">
              <w:rPr>
                <w:rFonts w:cs="Calibri"/>
                <w:lang w:val="cs-CZ"/>
              </w:rPr>
              <w:t>Přechod všech uživatelů na nové technické řešení a migrace dat ze starého do nového systému, včetně finančního vypořádání závazků a pohledávek ve vztahu k uživatelům PK</w:t>
            </w:r>
          </w:p>
        </w:tc>
        <w:tc>
          <w:tcPr>
            <w:tcW w:w="850" w:type="dxa"/>
            <w:shd w:val="clear" w:color="auto" w:fill="FFFFFF"/>
            <w:noWrap/>
          </w:tcPr>
          <w:p w:rsidR="00C06DA1" w:rsidRPr="00D95ED2" w:rsidRDefault="00C06DA1" w:rsidP="00A565CF">
            <w:pPr>
              <w:spacing w:before="0" w:after="0"/>
              <w:jc w:val="both"/>
              <w:rPr>
                <w:rFonts w:cs="Calibri"/>
                <w:color w:val="000000"/>
                <w:lang w:val="cs-CZ"/>
              </w:rPr>
            </w:pPr>
          </w:p>
        </w:tc>
        <w:tc>
          <w:tcPr>
            <w:tcW w:w="850" w:type="dxa"/>
            <w:shd w:val="clear" w:color="auto" w:fill="FFFFFF"/>
          </w:tcPr>
          <w:p w:rsidR="00C06DA1" w:rsidRPr="00D95ED2" w:rsidRDefault="00C06DA1" w:rsidP="00A565CF">
            <w:pPr>
              <w:spacing w:before="0" w:after="0"/>
              <w:jc w:val="both"/>
              <w:rPr>
                <w:rFonts w:cs="Calibri"/>
                <w:color w:val="000000"/>
                <w:lang w:val="cs-CZ"/>
              </w:rPr>
            </w:pPr>
          </w:p>
        </w:tc>
        <w:tc>
          <w:tcPr>
            <w:tcW w:w="850" w:type="dxa"/>
            <w:shd w:val="clear" w:color="auto" w:fill="FFFFFF"/>
          </w:tcPr>
          <w:p w:rsidR="00C06DA1" w:rsidRPr="00D95ED2" w:rsidRDefault="00C06DA1" w:rsidP="00A565CF">
            <w:pPr>
              <w:spacing w:before="0" w:after="0"/>
              <w:jc w:val="both"/>
              <w:rPr>
                <w:rFonts w:cs="Calibri"/>
                <w:color w:val="000000"/>
                <w:lang w:val="cs-CZ"/>
              </w:rPr>
            </w:pP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bCs/>
                <w:lang w:val="cs-CZ"/>
              </w:rPr>
              <w:t>V</w:t>
            </w:r>
          </w:p>
        </w:tc>
      </w:tr>
      <w:tr w:rsidR="00C06DA1" w:rsidRPr="00D95ED2">
        <w:trPr>
          <w:trHeight w:val="170"/>
        </w:trPr>
        <w:tc>
          <w:tcPr>
            <w:tcW w:w="5698" w:type="dxa"/>
            <w:shd w:val="clear" w:color="auto" w:fill="FFFFFF"/>
            <w:noWrap/>
          </w:tcPr>
          <w:p w:rsidR="00C06DA1" w:rsidRPr="00D95ED2" w:rsidRDefault="00C06DA1" w:rsidP="00A565CF">
            <w:pPr>
              <w:keepNext/>
              <w:spacing w:before="0" w:after="0"/>
              <w:ind w:right="397"/>
              <w:jc w:val="both"/>
              <w:rPr>
                <w:rFonts w:cs="Calibri"/>
                <w:bCs/>
                <w:color w:val="000000"/>
                <w:lang w:val="cs-CZ"/>
              </w:rPr>
            </w:pPr>
            <w:r w:rsidRPr="00D95ED2">
              <w:rPr>
                <w:rFonts w:cs="Calibri"/>
                <w:b/>
                <w:bCs/>
                <w:lang w:val="cs-CZ"/>
              </w:rPr>
              <w:t xml:space="preserve">Celkem počet rizik – N </w:t>
            </w:r>
          </w:p>
        </w:tc>
        <w:tc>
          <w:tcPr>
            <w:tcW w:w="850" w:type="dxa"/>
            <w:shd w:val="clear" w:color="auto" w:fill="FFFFFF"/>
            <w:noWrap/>
          </w:tcPr>
          <w:p w:rsidR="00C06DA1" w:rsidRPr="00D95ED2" w:rsidRDefault="00C06DA1" w:rsidP="00A565CF">
            <w:pPr>
              <w:keepNext/>
              <w:spacing w:before="0" w:after="0"/>
              <w:jc w:val="both"/>
              <w:rPr>
                <w:rFonts w:cs="Calibri"/>
                <w:bCs/>
                <w:color w:val="000000"/>
                <w:lang w:val="cs-CZ"/>
              </w:rPr>
            </w:pPr>
            <w:r w:rsidRPr="00D95ED2">
              <w:rPr>
                <w:rFonts w:cs="Calibri"/>
                <w:b/>
                <w:bCs/>
                <w:lang w:val="cs-CZ"/>
              </w:rPr>
              <w:t>0</w:t>
            </w:r>
          </w:p>
        </w:tc>
        <w:tc>
          <w:tcPr>
            <w:tcW w:w="850" w:type="dxa"/>
            <w:shd w:val="clear" w:color="auto" w:fill="FFFFFF"/>
          </w:tcPr>
          <w:p w:rsidR="00C06DA1" w:rsidRPr="00D95ED2" w:rsidRDefault="00C06DA1" w:rsidP="00A565CF">
            <w:pPr>
              <w:keepNext/>
              <w:spacing w:before="0" w:after="0"/>
              <w:jc w:val="both"/>
              <w:rPr>
                <w:rFonts w:cs="Calibri"/>
                <w:b/>
                <w:bCs/>
                <w:color w:val="000000"/>
                <w:lang w:val="cs-CZ"/>
              </w:rPr>
            </w:pPr>
            <w:r w:rsidRPr="00D95ED2">
              <w:rPr>
                <w:rFonts w:cs="Calibri"/>
                <w:b/>
                <w:bCs/>
                <w:lang w:val="cs-CZ"/>
              </w:rPr>
              <w:t>2</w:t>
            </w:r>
          </w:p>
        </w:tc>
        <w:tc>
          <w:tcPr>
            <w:tcW w:w="850" w:type="dxa"/>
            <w:shd w:val="clear" w:color="auto" w:fill="FFFFFF"/>
          </w:tcPr>
          <w:p w:rsidR="00C06DA1" w:rsidRPr="00D95ED2" w:rsidRDefault="005C05C0" w:rsidP="00A565CF">
            <w:pPr>
              <w:keepNext/>
              <w:spacing w:before="0" w:after="0"/>
              <w:jc w:val="both"/>
              <w:rPr>
                <w:rFonts w:cs="Calibri"/>
                <w:b/>
                <w:bCs/>
                <w:color w:val="000000"/>
                <w:lang w:val="cs-CZ"/>
              </w:rPr>
            </w:pPr>
            <w:r>
              <w:rPr>
                <w:rFonts w:cs="Calibri"/>
                <w:b/>
                <w:bCs/>
                <w:lang w:val="cs-CZ"/>
              </w:rPr>
              <w:t>1</w:t>
            </w:r>
          </w:p>
        </w:tc>
        <w:tc>
          <w:tcPr>
            <w:tcW w:w="850" w:type="dxa"/>
            <w:shd w:val="clear" w:color="auto" w:fill="FFFFFF"/>
            <w:noWrap/>
          </w:tcPr>
          <w:p w:rsidR="00C06DA1" w:rsidRPr="00D95ED2" w:rsidRDefault="00C06DA1" w:rsidP="00A565CF">
            <w:pPr>
              <w:keepNext/>
              <w:spacing w:before="0" w:after="0"/>
              <w:jc w:val="both"/>
              <w:rPr>
                <w:rFonts w:cs="Calibri"/>
                <w:bCs/>
                <w:color w:val="000000"/>
                <w:lang w:val="cs-CZ"/>
              </w:rPr>
            </w:pPr>
            <w:r w:rsidRPr="00D95ED2">
              <w:rPr>
                <w:rFonts w:cs="Calibri"/>
                <w:b/>
                <w:bCs/>
                <w:lang w:val="cs-CZ"/>
              </w:rPr>
              <w:t>0</w:t>
            </w:r>
          </w:p>
        </w:tc>
      </w:tr>
      <w:tr w:rsidR="00C06DA1" w:rsidRPr="00D95ED2">
        <w:trPr>
          <w:trHeight w:val="170"/>
        </w:trPr>
        <w:tc>
          <w:tcPr>
            <w:tcW w:w="5698" w:type="dxa"/>
            <w:shd w:val="clear" w:color="auto" w:fill="FFFFFF"/>
            <w:noWrap/>
          </w:tcPr>
          <w:p w:rsidR="00C06DA1" w:rsidRPr="00D95ED2" w:rsidRDefault="00C06DA1" w:rsidP="00A565CF">
            <w:pPr>
              <w:keepNext/>
              <w:spacing w:before="0" w:after="0"/>
              <w:ind w:right="397"/>
              <w:jc w:val="both"/>
              <w:rPr>
                <w:rFonts w:cs="Calibri"/>
                <w:bCs/>
                <w:color w:val="000000"/>
                <w:lang w:val="cs-CZ"/>
              </w:rPr>
            </w:pPr>
            <w:r w:rsidRPr="00D95ED2">
              <w:rPr>
                <w:rFonts w:cs="Calibri"/>
                <w:b/>
                <w:bCs/>
                <w:lang w:val="cs-CZ"/>
              </w:rPr>
              <w:t xml:space="preserve">Celkem počet rizik – S </w:t>
            </w:r>
          </w:p>
        </w:tc>
        <w:tc>
          <w:tcPr>
            <w:tcW w:w="850" w:type="dxa"/>
            <w:shd w:val="clear" w:color="auto" w:fill="FFFFFF"/>
            <w:noWrap/>
          </w:tcPr>
          <w:p w:rsidR="00C06DA1" w:rsidRPr="00D95ED2" w:rsidRDefault="00C06DA1" w:rsidP="00A565CF">
            <w:pPr>
              <w:keepNext/>
              <w:spacing w:before="0" w:after="0"/>
              <w:jc w:val="both"/>
              <w:rPr>
                <w:rFonts w:cs="Calibri"/>
                <w:bCs/>
                <w:color w:val="000000"/>
                <w:lang w:val="cs-CZ"/>
              </w:rPr>
            </w:pPr>
            <w:r w:rsidRPr="00D95ED2">
              <w:rPr>
                <w:rFonts w:cs="Calibri"/>
                <w:b/>
                <w:bCs/>
                <w:lang w:val="cs-CZ"/>
              </w:rPr>
              <w:t>2</w:t>
            </w:r>
          </w:p>
        </w:tc>
        <w:tc>
          <w:tcPr>
            <w:tcW w:w="850" w:type="dxa"/>
            <w:shd w:val="clear" w:color="auto" w:fill="FFFFFF"/>
          </w:tcPr>
          <w:p w:rsidR="00C06DA1" w:rsidRPr="00D95ED2" w:rsidRDefault="00C06DA1" w:rsidP="00A565CF">
            <w:pPr>
              <w:keepNext/>
              <w:spacing w:before="0" w:after="0"/>
              <w:jc w:val="both"/>
              <w:rPr>
                <w:rFonts w:cs="Calibri"/>
                <w:b/>
                <w:bCs/>
                <w:color w:val="000000"/>
                <w:lang w:val="cs-CZ"/>
              </w:rPr>
            </w:pPr>
            <w:r w:rsidRPr="00D95ED2">
              <w:rPr>
                <w:rFonts w:cs="Calibri"/>
                <w:b/>
                <w:bCs/>
                <w:lang w:val="cs-CZ"/>
              </w:rPr>
              <w:t>3</w:t>
            </w:r>
          </w:p>
        </w:tc>
        <w:tc>
          <w:tcPr>
            <w:tcW w:w="850" w:type="dxa"/>
            <w:shd w:val="clear" w:color="auto" w:fill="FFFFFF"/>
          </w:tcPr>
          <w:p w:rsidR="00C06DA1" w:rsidRPr="00D95ED2" w:rsidRDefault="00C06DA1" w:rsidP="00A565CF">
            <w:pPr>
              <w:keepNext/>
              <w:spacing w:before="0" w:after="0"/>
              <w:jc w:val="both"/>
              <w:rPr>
                <w:rFonts w:cs="Calibri"/>
                <w:bCs/>
                <w:color w:val="000000"/>
                <w:lang w:val="cs-CZ"/>
              </w:rPr>
            </w:pPr>
            <w:r w:rsidRPr="00D95ED2">
              <w:rPr>
                <w:rFonts w:cs="Calibri"/>
                <w:b/>
                <w:bCs/>
                <w:lang w:val="cs-CZ"/>
              </w:rPr>
              <w:t>3</w:t>
            </w:r>
          </w:p>
        </w:tc>
        <w:tc>
          <w:tcPr>
            <w:tcW w:w="850" w:type="dxa"/>
            <w:shd w:val="clear" w:color="auto" w:fill="FFFFFF"/>
            <w:noWrap/>
          </w:tcPr>
          <w:p w:rsidR="00C06DA1" w:rsidRPr="00D95ED2" w:rsidRDefault="00C06DA1" w:rsidP="00A565CF">
            <w:pPr>
              <w:keepNext/>
              <w:spacing w:before="0" w:after="0"/>
              <w:jc w:val="both"/>
              <w:rPr>
                <w:rFonts w:cs="Calibri"/>
                <w:b/>
                <w:bCs/>
                <w:color w:val="000000"/>
                <w:lang w:val="cs-CZ"/>
              </w:rPr>
            </w:pPr>
            <w:r w:rsidRPr="00D95ED2">
              <w:rPr>
                <w:rFonts w:cs="Calibri"/>
                <w:b/>
                <w:bCs/>
                <w:lang w:val="cs-CZ"/>
              </w:rPr>
              <w:t>3</w:t>
            </w:r>
          </w:p>
        </w:tc>
      </w:tr>
      <w:tr w:rsidR="00C06DA1" w:rsidRPr="00D95ED2">
        <w:trPr>
          <w:trHeight w:val="170"/>
        </w:trPr>
        <w:tc>
          <w:tcPr>
            <w:tcW w:w="5698" w:type="dxa"/>
            <w:shd w:val="clear" w:color="auto" w:fill="FFFFFF"/>
            <w:noWrap/>
          </w:tcPr>
          <w:p w:rsidR="00C06DA1" w:rsidRPr="00D95ED2" w:rsidRDefault="00C06DA1" w:rsidP="00A565CF">
            <w:pPr>
              <w:keepNext/>
              <w:spacing w:before="0" w:after="0"/>
              <w:ind w:right="397"/>
              <w:jc w:val="both"/>
              <w:rPr>
                <w:rFonts w:cs="Calibri"/>
                <w:bCs/>
                <w:color w:val="000000"/>
                <w:lang w:val="cs-CZ"/>
              </w:rPr>
            </w:pPr>
            <w:r w:rsidRPr="00D95ED2">
              <w:rPr>
                <w:rFonts w:cs="Calibri"/>
                <w:b/>
                <w:bCs/>
                <w:lang w:val="cs-CZ"/>
              </w:rPr>
              <w:t xml:space="preserve">Celkem počet rizik – V </w:t>
            </w:r>
          </w:p>
        </w:tc>
        <w:tc>
          <w:tcPr>
            <w:tcW w:w="850" w:type="dxa"/>
            <w:shd w:val="clear" w:color="auto" w:fill="FFFFFF"/>
            <w:noWrap/>
          </w:tcPr>
          <w:p w:rsidR="00C06DA1" w:rsidRPr="00D95ED2" w:rsidRDefault="00C06DA1" w:rsidP="00A565CF">
            <w:pPr>
              <w:keepNext/>
              <w:spacing w:before="0" w:after="0"/>
              <w:jc w:val="both"/>
              <w:rPr>
                <w:rFonts w:cs="Calibri"/>
                <w:bCs/>
                <w:color w:val="000000"/>
                <w:lang w:val="cs-CZ"/>
              </w:rPr>
            </w:pPr>
            <w:r w:rsidRPr="00D95ED2">
              <w:rPr>
                <w:rFonts w:cs="Calibri"/>
                <w:b/>
                <w:bCs/>
                <w:lang w:val="cs-CZ"/>
              </w:rPr>
              <w:t>1</w:t>
            </w:r>
          </w:p>
        </w:tc>
        <w:tc>
          <w:tcPr>
            <w:tcW w:w="850" w:type="dxa"/>
            <w:shd w:val="clear" w:color="auto" w:fill="FFFFFF"/>
          </w:tcPr>
          <w:p w:rsidR="00C06DA1" w:rsidRPr="00D95ED2" w:rsidRDefault="00C06DA1" w:rsidP="00A565CF">
            <w:pPr>
              <w:keepNext/>
              <w:spacing w:before="0" w:after="0"/>
              <w:jc w:val="both"/>
              <w:rPr>
                <w:rFonts w:cs="Calibri"/>
                <w:b/>
                <w:bCs/>
                <w:color w:val="000000"/>
                <w:lang w:val="cs-CZ"/>
              </w:rPr>
            </w:pPr>
            <w:r w:rsidRPr="00D95ED2">
              <w:rPr>
                <w:rFonts w:cs="Calibri"/>
                <w:b/>
                <w:bCs/>
                <w:lang w:val="cs-CZ"/>
              </w:rPr>
              <w:t>3</w:t>
            </w:r>
          </w:p>
        </w:tc>
        <w:tc>
          <w:tcPr>
            <w:tcW w:w="850" w:type="dxa"/>
            <w:shd w:val="clear" w:color="auto" w:fill="FFFFFF"/>
          </w:tcPr>
          <w:p w:rsidR="00C06DA1" w:rsidRPr="00D95ED2" w:rsidRDefault="005C05C0" w:rsidP="00A565CF">
            <w:pPr>
              <w:keepNext/>
              <w:spacing w:before="0" w:after="0"/>
              <w:jc w:val="both"/>
              <w:rPr>
                <w:rFonts w:cs="Calibri"/>
                <w:bCs/>
                <w:color w:val="000000"/>
                <w:lang w:val="cs-CZ"/>
              </w:rPr>
            </w:pPr>
            <w:r>
              <w:rPr>
                <w:rFonts w:cs="Calibri"/>
                <w:b/>
                <w:bCs/>
                <w:lang w:val="cs-CZ"/>
              </w:rPr>
              <w:t>7</w:t>
            </w:r>
          </w:p>
        </w:tc>
        <w:tc>
          <w:tcPr>
            <w:tcW w:w="850" w:type="dxa"/>
            <w:shd w:val="clear" w:color="auto" w:fill="FFFFFF"/>
            <w:noWrap/>
          </w:tcPr>
          <w:p w:rsidR="00C06DA1" w:rsidRPr="00D95ED2" w:rsidRDefault="00C06DA1" w:rsidP="00A565CF">
            <w:pPr>
              <w:keepNext/>
              <w:spacing w:before="0" w:after="0"/>
              <w:jc w:val="both"/>
              <w:rPr>
                <w:rFonts w:cs="Calibri"/>
                <w:bCs/>
                <w:color w:val="000000"/>
                <w:lang w:val="cs-CZ"/>
              </w:rPr>
            </w:pPr>
            <w:r w:rsidRPr="00D95ED2">
              <w:rPr>
                <w:rFonts w:cs="Calibri"/>
                <w:b/>
                <w:bCs/>
                <w:lang w:val="cs-CZ"/>
              </w:rPr>
              <w:t>9</w:t>
            </w:r>
          </w:p>
        </w:tc>
      </w:tr>
      <w:tr w:rsidR="00C06DA1" w:rsidRPr="00D95ED2">
        <w:trPr>
          <w:trHeight w:val="170"/>
        </w:trPr>
        <w:tc>
          <w:tcPr>
            <w:tcW w:w="5698" w:type="dxa"/>
            <w:shd w:val="clear" w:color="auto" w:fill="FFFFFF"/>
            <w:noWrap/>
          </w:tcPr>
          <w:p w:rsidR="00C06DA1" w:rsidRPr="00D95ED2" w:rsidRDefault="00C06DA1" w:rsidP="00A565CF">
            <w:pPr>
              <w:spacing w:before="0" w:after="0"/>
              <w:ind w:right="397"/>
              <w:jc w:val="both"/>
              <w:rPr>
                <w:rFonts w:cs="Calibri"/>
                <w:bCs/>
                <w:color w:val="000000"/>
                <w:lang w:val="cs-CZ"/>
              </w:rPr>
            </w:pPr>
            <w:r w:rsidRPr="00D95ED2">
              <w:rPr>
                <w:rFonts w:cs="Calibri"/>
                <w:b/>
                <w:bCs/>
                <w:lang w:val="cs-CZ"/>
              </w:rPr>
              <w:t xml:space="preserve">Součet bodů </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b/>
                <w:bCs/>
                <w:lang w:val="cs-CZ"/>
              </w:rPr>
              <w:t>9</w:t>
            </w:r>
          </w:p>
        </w:tc>
        <w:tc>
          <w:tcPr>
            <w:tcW w:w="850" w:type="dxa"/>
            <w:shd w:val="clear" w:color="auto" w:fill="FFFFFF"/>
          </w:tcPr>
          <w:p w:rsidR="00C06DA1" w:rsidRPr="00D95ED2" w:rsidRDefault="00C06DA1" w:rsidP="00A565CF">
            <w:pPr>
              <w:spacing w:before="0" w:after="0"/>
              <w:jc w:val="both"/>
              <w:rPr>
                <w:rFonts w:cs="Calibri"/>
                <w:b/>
                <w:bCs/>
                <w:color w:val="000000"/>
                <w:lang w:val="cs-CZ"/>
              </w:rPr>
            </w:pPr>
            <w:r w:rsidRPr="00D95ED2">
              <w:rPr>
                <w:rFonts w:cs="Calibri"/>
                <w:b/>
                <w:bCs/>
                <w:lang w:val="cs-CZ"/>
              </w:rPr>
              <w:t>23</w:t>
            </w:r>
          </w:p>
        </w:tc>
        <w:tc>
          <w:tcPr>
            <w:tcW w:w="850" w:type="dxa"/>
            <w:shd w:val="clear" w:color="auto" w:fill="FFFFFF"/>
          </w:tcPr>
          <w:p w:rsidR="00C06DA1" w:rsidRPr="00D95ED2" w:rsidRDefault="00C06DA1" w:rsidP="005C05C0">
            <w:pPr>
              <w:spacing w:before="0" w:after="0"/>
              <w:jc w:val="both"/>
              <w:rPr>
                <w:rFonts w:cs="Calibri"/>
                <w:bCs/>
                <w:color w:val="000000"/>
                <w:lang w:val="cs-CZ"/>
              </w:rPr>
            </w:pPr>
            <w:r w:rsidRPr="00D95ED2">
              <w:rPr>
                <w:rFonts w:cs="Calibri"/>
                <w:b/>
                <w:bCs/>
                <w:lang w:val="cs-CZ"/>
              </w:rPr>
              <w:t>4</w:t>
            </w:r>
            <w:r w:rsidR="005C05C0">
              <w:rPr>
                <w:rFonts w:cs="Calibri"/>
                <w:b/>
                <w:bCs/>
                <w:lang w:val="cs-CZ"/>
              </w:rPr>
              <w:t>2</w:t>
            </w:r>
          </w:p>
        </w:tc>
        <w:tc>
          <w:tcPr>
            <w:tcW w:w="850" w:type="dxa"/>
            <w:shd w:val="clear" w:color="auto" w:fill="FFFFFF"/>
            <w:noWrap/>
          </w:tcPr>
          <w:p w:rsidR="00C06DA1" w:rsidRPr="00D95ED2" w:rsidRDefault="00C06DA1" w:rsidP="00A565CF">
            <w:pPr>
              <w:spacing w:before="0" w:after="0"/>
              <w:jc w:val="both"/>
              <w:rPr>
                <w:rFonts w:cs="Calibri"/>
                <w:bCs/>
                <w:color w:val="000000"/>
                <w:lang w:val="cs-CZ"/>
              </w:rPr>
            </w:pPr>
            <w:r w:rsidRPr="00D95ED2">
              <w:rPr>
                <w:rFonts w:cs="Calibri"/>
                <w:b/>
                <w:bCs/>
                <w:lang w:val="cs-CZ"/>
              </w:rPr>
              <w:t>51</w:t>
            </w:r>
          </w:p>
        </w:tc>
      </w:tr>
    </w:tbl>
    <w:p w:rsidR="00C06DA1" w:rsidRPr="00DD2F1B" w:rsidRDefault="00C06DA1" w:rsidP="00FD536A">
      <w:pPr>
        <w:spacing w:before="0" w:after="0"/>
        <w:jc w:val="both"/>
        <w:rPr>
          <w:rFonts w:cs="Calibri"/>
          <w:lang w:val="cs-CZ"/>
        </w:rPr>
      </w:pPr>
      <w:r w:rsidRPr="00DD2F1B">
        <w:rPr>
          <w:rFonts w:cs="Calibri"/>
          <w:lang w:val="cs-CZ"/>
        </w:rPr>
        <w:t>N – nízká míra rizika, váha 1</w:t>
      </w:r>
    </w:p>
    <w:p w:rsidR="00C06DA1" w:rsidRPr="00DD2F1B" w:rsidRDefault="00C06DA1" w:rsidP="00FD536A">
      <w:pPr>
        <w:spacing w:before="0" w:after="0"/>
        <w:jc w:val="both"/>
        <w:rPr>
          <w:rFonts w:cs="Calibri"/>
          <w:lang w:val="cs-CZ"/>
        </w:rPr>
      </w:pPr>
      <w:r w:rsidRPr="00DD2F1B">
        <w:rPr>
          <w:rFonts w:cs="Calibri"/>
          <w:lang w:val="cs-CZ"/>
        </w:rPr>
        <w:t>S – střední riziko, váha 2</w:t>
      </w:r>
    </w:p>
    <w:p w:rsidR="00C06DA1" w:rsidRPr="00DD2F1B" w:rsidRDefault="00C06DA1" w:rsidP="00FD536A">
      <w:pPr>
        <w:spacing w:before="0" w:after="0"/>
        <w:jc w:val="both"/>
        <w:rPr>
          <w:rFonts w:cs="Calibri"/>
          <w:lang w:val="cs-CZ"/>
        </w:rPr>
      </w:pPr>
      <w:r w:rsidRPr="00DD2F1B">
        <w:rPr>
          <w:rFonts w:cs="Calibri"/>
          <w:lang w:val="cs-CZ"/>
        </w:rPr>
        <w:t>V – velké riziko, váha 5</w:t>
      </w:r>
    </w:p>
    <w:p w:rsidR="00C06DA1" w:rsidRPr="00DD2F1B" w:rsidRDefault="00C06DA1" w:rsidP="00FD536A">
      <w:pPr>
        <w:spacing w:before="0" w:after="0"/>
        <w:jc w:val="both"/>
        <w:rPr>
          <w:rFonts w:cs="Calibri"/>
          <w:lang w:val="cs-CZ"/>
        </w:rPr>
      </w:pPr>
      <w:r w:rsidRPr="00DD2F1B">
        <w:rPr>
          <w:rFonts w:cs="Calibri"/>
          <w:lang w:val="cs-CZ"/>
        </w:rPr>
        <w:t>prázdná buňka – bez rizika</w:t>
      </w:r>
    </w:p>
    <w:p w:rsidR="00C06DA1" w:rsidRDefault="00C06DA1" w:rsidP="00FD536A">
      <w:pPr>
        <w:jc w:val="center"/>
        <w:rPr>
          <w:rFonts w:cs="Arial"/>
          <w:bCs/>
          <w:sz w:val="16"/>
          <w:szCs w:val="16"/>
          <w:lang w:val="cs-CZ" w:bidi="my-MM"/>
        </w:rPr>
      </w:pPr>
      <w:r w:rsidRPr="00852FFE">
        <w:rPr>
          <w:rFonts w:cs="Arial"/>
          <w:bCs/>
          <w:sz w:val="16"/>
          <w:szCs w:val="16"/>
          <w:lang w:val="cs-CZ" w:bidi="my-MM"/>
        </w:rPr>
        <w:t xml:space="preserve">Tabulka č. </w:t>
      </w:r>
      <w:r>
        <w:rPr>
          <w:rFonts w:cs="Arial"/>
          <w:bCs/>
          <w:sz w:val="16"/>
          <w:szCs w:val="16"/>
          <w:lang w:val="cs-CZ" w:bidi="my-MM"/>
        </w:rPr>
        <w:t>7</w:t>
      </w:r>
      <w:r w:rsidRPr="00852FFE">
        <w:rPr>
          <w:rFonts w:cs="Arial"/>
          <w:bCs/>
          <w:sz w:val="16"/>
          <w:szCs w:val="16"/>
          <w:lang w:val="cs-CZ" w:bidi="my-MM"/>
        </w:rPr>
        <w:t xml:space="preserve"> – Přehled rizik jednotlivých variant</w:t>
      </w:r>
    </w:p>
    <w:p w:rsidR="00456C71" w:rsidRPr="00DD2F1B" w:rsidRDefault="00456C71" w:rsidP="00456C71">
      <w:pPr>
        <w:jc w:val="both"/>
        <w:rPr>
          <w:sz w:val="22"/>
          <w:szCs w:val="22"/>
          <w:lang w:val="cs-CZ"/>
        </w:rPr>
      </w:pPr>
      <w:r>
        <w:rPr>
          <w:sz w:val="22"/>
          <w:szCs w:val="22"/>
          <w:lang w:val="cs-CZ"/>
        </w:rPr>
        <w:t>Další analýza rizik, návrh na jejich eliminaci a řízení rizik bude předmětem následujících činností projektového manažera v rámci posouzení realizačních variant zpoplatnění vládou schváleného rozsahu zpoplatněných pozemních komunikací po roce 2016.</w:t>
      </w:r>
    </w:p>
    <w:p w:rsidR="00C06DA1" w:rsidRDefault="00C06DA1" w:rsidP="000D6A01">
      <w:pPr>
        <w:pStyle w:val="Nadpis2"/>
        <w:spacing w:before="120"/>
        <w:jc w:val="both"/>
        <w:rPr>
          <w:rFonts w:cs="Calibri"/>
          <w:sz w:val="28"/>
          <w:szCs w:val="28"/>
          <w:lang w:val="cs-CZ"/>
        </w:rPr>
      </w:pPr>
    </w:p>
    <w:p w:rsidR="00C06DA1" w:rsidRPr="00DD2F1B" w:rsidRDefault="00C06DA1" w:rsidP="00A17C12">
      <w:pPr>
        <w:rPr>
          <w:sz w:val="28"/>
          <w:lang w:val="cs-CZ"/>
        </w:rPr>
      </w:pPr>
      <w:r w:rsidRPr="00DD2F1B">
        <w:rPr>
          <w:rFonts w:cs="Calibri"/>
          <w:sz w:val="28"/>
          <w:szCs w:val="28"/>
          <w:lang w:val="cs-CZ"/>
        </w:rPr>
        <w:br w:type="page"/>
      </w:r>
    </w:p>
    <w:p w:rsidR="00C06DA1" w:rsidRPr="00DD2F1B" w:rsidRDefault="00C06DA1" w:rsidP="000D6A01">
      <w:pPr>
        <w:pStyle w:val="Nadpis2"/>
        <w:spacing w:before="120"/>
        <w:jc w:val="both"/>
        <w:rPr>
          <w:rFonts w:cs="Calibri"/>
          <w:sz w:val="28"/>
          <w:szCs w:val="28"/>
          <w:lang w:val="cs-CZ"/>
        </w:rPr>
      </w:pPr>
      <w:bookmarkStart w:id="84" w:name="_Toc368063541"/>
      <w:bookmarkStart w:id="85" w:name="_Toc370398442"/>
      <w:r w:rsidRPr="00DD2F1B">
        <w:rPr>
          <w:rFonts w:cs="Calibri"/>
          <w:sz w:val="28"/>
          <w:szCs w:val="28"/>
          <w:lang w:val="cs-CZ"/>
        </w:rPr>
        <w:t>Systém elektronického mýta</w:t>
      </w:r>
      <w:bookmarkEnd w:id="84"/>
      <w:bookmarkEnd w:id="85"/>
      <w:r w:rsidRPr="00DD2F1B">
        <w:rPr>
          <w:rFonts w:cs="Calibri"/>
          <w:sz w:val="28"/>
          <w:szCs w:val="28"/>
          <w:lang w:val="cs-CZ"/>
        </w:rPr>
        <w:t xml:space="preserve"> </w:t>
      </w:r>
    </w:p>
    <w:p w:rsidR="00C06DA1" w:rsidRPr="00DD2F1B" w:rsidRDefault="00C06DA1" w:rsidP="000622C8">
      <w:pPr>
        <w:pStyle w:val="BodyText1"/>
        <w:rPr>
          <w:rFonts w:cs="Calibri"/>
          <w:color w:val="auto"/>
          <w:szCs w:val="22"/>
          <w:lang w:val="cs-CZ" w:eastAsia="cs-CZ"/>
        </w:rPr>
      </w:pPr>
      <w:r w:rsidRPr="00DD2F1B">
        <w:rPr>
          <w:rFonts w:cs="Calibri"/>
          <w:b/>
          <w:color w:val="auto"/>
          <w:szCs w:val="22"/>
          <w:lang w:val="cs-CZ" w:eastAsia="cs-CZ"/>
        </w:rPr>
        <w:t>Systémové řešení</w:t>
      </w:r>
      <w:r w:rsidRPr="00DD2F1B">
        <w:rPr>
          <w:rFonts w:cs="Calibri"/>
          <w:color w:val="auto"/>
          <w:szCs w:val="22"/>
          <w:lang w:val="cs-CZ" w:eastAsia="cs-CZ"/>
        </w:rPr>
        <w:t xml:space="preserve"> Systému elektronického mýta v ČR musí splňovat všechny požadavky vyplývající z evropských směrnic, příslušných norem a musí vyhovovat všem podmínkám interoperability pro zavedení Evropské služby elektronického mýta. S ohledem na budoucí vstup evropských interoperabilních operátorů – poskytovatelů služeb musí systémové řešení striktně oddělit oblast poskytování služeb zákazníkům/uživatelům od výběru a kontroly mýtného. Cílem je nastavit cenový mechanismus takovým způsobem, aby </w:t>
      </w:r>
      <w:r w:rsidRPr="00DD2F1B">
        <w:rPr>
          <w:rFonts w:cs="Calibri"/>
          <w:b/>
          <w:color w:val="auto"/>
          <w:szCs w:val="22"/>
          <w:lang w:val="cs-CZ" w:eastAsia="cs-CZ"/>
        </w:rPr>
        <w:t>odměna</w:t>
      </w:r>
      <w:r w:rsidRPr="00DD2F1B">
        <w:rPr>
          <w:rFonts w:cs="Calibri"/>
          <w:color w:val="auto"/>
          <w:szCs w:val="22"/>
          <w:lang w:val="cs-CZ" w:eastAsia="cs-CZ"/>
        </w:rPr>
        <w:t xml:space="preserve"> za poskytování služeb spojených s provozem mýtného systému </w:t>
      </w:r>
      <w:r w:rsidRPr="00DD2F1B">
        <w:rPr>
          <w:rFonts w:cs="Calibri"/>
          <w:b/>
          <w:color w:val="auto"/>
          <w:szCs w:val="22"/>
          <w:lang w:val="cs-CZ" w:eastAsia="cs-CZ"/>
        </w:rPr>
        <w:t>závisela na skutečném rozsahu plnění těchto služeb.</w:t>
      </w:r>
    </w:p>
    <w:p w:rsidR="00C06DA1" w:rsidRPr="00DD2F1B" w:rsidRDefault="00C06DA1" w:rsidP="00AE5F1F">
      <w:pPr>
        <w:pStyle w:val="Nadpis2"/>
        <w:rPr>
          <w:sz w:val="28"/>
          <w:szCs w:val="28"/>
          <w:lang w:val="cs-CZ"/>
        </w:rPr>
      </w:pPr>
      <w:bookmarkStart w:id="86" w:name="_Toc368063542"/>
      <w:bookmarkStart w:id="87" w:name="_Toc370398443"/>
      <w:r w:rsidRPr="00DD2F1B">
        <w:rPr>
          <w:sz w:val="28"/>
          <w:szCs w:val="28"/>
          <w:lang w:val="cs-CZ"/>
        </w:rPr>
        <w:t>Evropská služba elektronického mýta v České republice</w:t>
      </w:r>
      <w:bookmarkEnd w:id="86"/>
      <w:bookmarkEnd w:id="87"/>
    </w:p>
    <w:p w:rsidR="00C06DA1" w:rsidRPr="00DD2F1B" w:rsidRDefault="00C06DA1" w:rsidP="009E6576">
      <w:pPr>
        <w:pStyle w:val="BodyText1"/>
        <w:rPr>
          <w:szCs w:val="22"/>
          <w:lang w:val="cs-CZ" w:eastAsia="cs-CZ"/>
        </w:rPr>
      </w:pPr>
      <w:r w:rsidRPr="00DD2F1B">
        <w:rPr>
          <w:szCs w:val="22"/>
          <w:lang w:val="cs-CZ" w:eastAsia="cs-CZ"/>
        </w:rPr>
        <w:t xml:space="preserve">Zavedení Evropské služby elektronické mýta je pro Českou republiku povinné a zavazující. Pokud by ovšem do konce roku 2016 nedošlo k jejímu zavedení a plné implementaci, pak se Česká republika vystavuje značnému riziku ve formě řízení o porušení Smlouvy o fungování Evropské unie, jehož důsledkem mohou být citelné finanční sankce. </w:t>
      </w:r>
      <w:r>
        <w:rPr>
          <w:szCs w:val="22"/>
          <w:lang w:val="cs-CZ" w:eastAsia="cs-CZ"/>
        </w:rPr>
        <w:t xml:space="preserve">Blížeji specifikovat případné finanční sankce v tuto chvíli nelze, neboť tako kompetence, resp. rozhodnutí o případných sankcích spadá do kompetence Soudního dvora Evropské unie. </w:t>
      </w:r>
      <w:r w:rsidRPr="00DD2F1B">
        <w:rPr>
          <w:szCs w:val="22"/>
          <w:lang w:val="cs-CZ" w:eastAsia="cs-CZ"/>
        </w:rPr>
        <w:t>V</w:t>
      </w:r>
      <w:r>
        <w:rPr>
          <w:szCs w:val="22"/>
          <w:lang w:val="cs-CZ" w:eastAsia="cs-CZ"/>
        </w:rPr>
        <w:t> </w:t>
      </w:r>
      <w:r w:rsidRPr="00DD2F1B">
        <w:rPr>
          <w:szCs w:val="22"/>
          <w:lang w:val="cs-CZ" w:eastAsia="cs-CZ"/>
        </w:rPr>
        <w:t>případě</w:t>
      </w:r>
      <w:r>
        <w:rPr>
          <w:szCs w:val="22"/>
          <w:lang w:val="cs-CZ" w:eastAsia="cs-CZ"/>
        </w:rPr>
        <w:t>,</w:t>
      </w:r>
      <w:r w:rsidRPr="00DD2F1B">
        <w:rPr>
          <w:szCs w:val="22"/>
          <w:lang w:val="cs-CZ" w:eastAsia="cs-CZ"/>
        </w:rPr>
        <w:t xml:space="preserve"> že by tedy nedošlo k zavedení EETS v České republice do roku 2016, je nutné v rámci </w:t>
      </w:r>
      <w:r>
        <w:rPr>
          <w:szCs w:val="22"/>
          <w:lang w:val="cs-CZ" w:eastAsia="cs-CZ"/>
        </w:rPr>
        <w:t>zadávacího řízení</w:t>
      </w:r>
      <w:r w:rsidRPr="00DD2F1B">
        <w:rPr>
          <w:szCs w:val="22"/>
          <w:lang w:val="cs-CZ" w:eastAsia="cs-CZ"/>
        </w:rPr>
        <w:t xml:space="preserve"> požadovat nejenom zpoplatnění konkrétního rozsahu pozemních komunikací, nýbrž také plné zavedení EETS.</w:t>
      </w:r>
    </w:p>
    <w:p w:rsidR="00C06DA1" w:rsidRPr="00DD2F1B" w:rsidRDefault="00C06DA1" w:rsidP="009E6576">
      <w:pPr>
        <w:pStyle w:val="BodyText1"/>
        <w:rPr>
          <w:szCs w:val="22"/>
          <w:lang w:val="cs-CZ" w:eastAsia="cs-CZ"/>
        </w:rPr>
      </w:pPr>
      <w:r w:rsidRPr="00DD2F1B">
        <w:rPr>
          <w:szCs w:val="22"/>
          <w:lang w:val="cs-CZ" w:eastAsia="cs-CZ"/>
        </w:rPr>
        <w:t>V</w:t>
      </w:r>
      <w:r>
        <w:rPr>
          <w:szCs w:val="22"/>
          <w:lang w:val="cs-CZ" w:eastAsia="cs-CZ"/>
        </w:rPr>
        <w:t> </w:t>
      </w:r>
      <w:r w:rsidRPr="00DD2F1B">
        <w:rPr>
          <w:szCs w:val="22"/>
          <w:lang w:val="cs-CZ" w:eastAsia="cs-CZ"/>
        </w:rPr>
        <w:t>případě</w:t>
      </w:r>
      <w:r>
        <w:rPr>
          <w:szCs w:val="22"/>
          <w:lang w:val="cs-CZ" w:eastAsia="cs-CZ"/>
        </w:rPr>
        <w:t>,</w:t>
      </w:r>
      <w:r w:rsidRPr="00DD2F1B">
        <w:rPr>
          <w:szCs w:val="22"/>
          <w:lang w:val="cs-CZ" w:eastAsia="cs-CZ"/>
        </w:rPr>
        <w:t xml:space="preserve"> že EETS bude zavedena </w:t>
      </w:r>
      <w:r>
        <w:rPr>
          <w:szCs w:val="22"/>
          <w:lang w:val="cs-CZ" w:eastAsia="cs-CZ"/>
        </w:rPr>
        <w:t>ještě v období do konce roku 2016</w:t>
      </w:r>
      <w:r w:rsidRPr="00DD2F1B">
        <w:rPr>
          <w:szCs w:val="22"/>
          <w:lang w:val="cs-CZ" w:eastAsia="cs-CZ"/>
        </w:rPr>
        <w:t xml:space="preserve">, a to na bázi mikrovlnné technologie, pak v případě realizačních variant 0, 01 a </w:t>
      </w:r>
      <w:proofErr w:type="spellStart"/>
      <w:r w:rsidRPr="00DD2F1B">
        <w:rPr>
          <w:szCs w:val="22"/>
          <w:lang w:val="cs-CZ" w:eastAsia="cs-CZ"/>
        </w:rPr>
        <w:t>A</w:t>
      </w:r>
      <w:proofErr w:type="spellEnd"/>
      <w:r w:rsidRPr="00DD2F1B">
        <w:rPr>
          <w:szCs w:val="22"/>
          <w:lang w:val="cs-CZ" w:eastAsia="cs-CZ"/>
        </w:rPr>
        <w:t xml:space="preserve"> (při zachování SEM a mikrovlnné technologie výběru mýta) nedojde ke změnám. V případě realizační varianty A (za předpokladu nového SEM s využitím technologie výběru mýta na bázi GNSS/CN) a B dojde ke změnám, neboť EETS bude muset být poskytována v rámci jiné technologie, než v rámci které byla zprovozněna.</w:t>
      </w:r>
    </w:p>
    <w:p w:rsidR="00C06DA1" w:rsidRPr="00DD2F1B" w:rsidRDefault="00C06DA1" w:rsidP="009E6576">
      <w:pPr>
        <w:pStyle w:val="BodyText1"/>
        <w:rPr>
          <w:szCs w:val="22"/>
          <w:lang w:val="cs-CZ" w:eastAsia="cs-CZ"/>
        </w:rPr>
      </w:pPr>
      <w:r w:rsidRPr="00DD2F1B">
        <w:rPr>
          <w:szCs w:val="22"/>
          <w:lang w:val="cs-CZ" w:eastAsia="cs-CZ"/>
        </w:rPr>
        <w:t>Otázka regionální interoperability mýtných systémů založených na mikrovlnné technologii výběru mýta je jednoznačně ovlivněna volbou realizační varianty, neboť schválená změna technologie výběru mýta (plynoucí také z rozsahu zpoplatněných pozemních komunikací po roce 2016) odradí okolní státy mající mýtné systémy založené na mikrovlnné technologii zapojit se do vytvoření této regionální interoperability za předpokladu jejího zániku se změnou technologie výběru mýta v České republice</w:t>
      </w:r>
      <w:r>
        <w:rPr>
          <w:szCs w:val="22"/>
          <w:lang w:val="cs-CZ" w:eastAsia="cs-CZ"/>
        </w:rPr>
        <w:t xml:space="preserve"> po roce 2016</w:t>
      </w:r>
      <w:r w:rsidRPr="00DD2F1B">
        <w:rPr>
          <w:szCs w:val="22"/>
          <w:lang w:val="cs-CZ" w:eastAsia="cs-CZ"/>
        </w:rPr>
        <w:t>.</w:t>
      </w:r>
    </w:p>
    <w:p w:rsidR="00C06DA1" w:rsidRPr="00DD2F1B" w:rsidRDefault="00C06DA1" w:rsidP="00A60C31">
      <w:pPr>
        <w:pStyle w:val="Nadpis1"/>
        <w:rPr>
          <w:sz w:val="40"/>
          <w:szCs w:val="40"/>
          <w:lang w:val="cs-CZ"/>
        </w:rPr>
      </w:pPr>
      <w:r w:rsidRPr="00DD2F1B">
        <w:rPr>
          <w:sz w:val="40"/>
          <w:szCs w:val="40"/>
          <w:lang w:val="cs-CZ" w:eastAsia="cs-CZ"/>
        </w:rPr>
        <w:br w:type="page"/>
      </w:r>
      <w:bookmarkStart w:id="88" w:name="_Toc368063543"/>
      <w:bookmarkStart w:id="89" w:name="_Toc370398444"/>
      <w:r w:rsidRPr="00DD2F1B">
        <w:rPr>
          <w:sz w:val="40"/>
          <w:szCs w:val="40"/>
          <w:lang w:val="cs-CZ"/>
        </w:rPr>
        <w:lastRenderedPageBreak/>
        <w:t>ČASOVÝ RÁMEC ROZVOJE VÝKONOVÉHO ZPOPLATNĚNÍ V ČR</w:t>
      </w:r>
      <w:bookmarkEnd w:id="88"/>
      <w:bookmarkEnd w:id="89"/>
    </w:p>
    <w:p w:rsidR="00C06DA1" w:rsidRPr="00DD2F1B" w:rsidRDefault="00C06DA1" w:rsidP="00565109">
      <w:pPr>
        <w:jc w:val="both"/>
        <w:rPr>
          <w:sz w:val="22"/>
          <w:szCs w:val="22"/>
          <w:lang w:val="cs-CZ" w:eastAsia="cs-CZ"/>
        </w:rPr>
      </w:pPr>
      <w:r w:rsidRPr="00DD2F1B">
        <w:rPr>
          <w:sz w:val="22"/>
          <w:szCs w:val="22"/>
          <w:lang w:val="cs-CZ" w:eastAsia="cs-CZ"/>
        </w:rPr>
        <w:t>Má-li dojít dne 1. 1. 2017 ke spuštění nového mýtného systému, resp. k zahájení poskytování služeb spojených s provozem mýtného systému novým poskytovatelem, je nezbytné, aby byly včas splněny následující milníky:</w:t>
      </w:r>
    </w:p>
    <w:p w:rsidR="00C06DA1" w:rsidRPr="00DD2F1B" w:rsidRDefault="00C06DA1" w:rsidP="00565109">
      <w:pPr>
        <w:jc w:val="both"/>
        <w:rPr>
          <w:sz w:val="22"/>
          <w:szCs w:val="22"/>
          <w:lang w:val="cs-CZ" w:eastAsia="cs-CZ"/>
        </w:rPr>
      </w:pPr>
    </w:p>
    <w:p w:rsidR="00C06DA1" w:rsidRPr="00DD2F1B" w:rsidRDefault="00C06DA1" w:rsidP="00565109">
      <w:pPr>
        <w:pBdr>
          <w:top w:val="single" w:sz="4" w:space="1" w:color="auto"/>
          <w:left w:val="single" w:sz="4" w:space="4" w:color="auto"/>
          <w:bottom w:val="single" w:sz="4" w:space="1" w:color="auto"/>
          <w:right w:val="single" w:sz="4" w:space="4" w:color="auto"/>
        </w:pBdr>
        <w:jc w:val="both"/>
        <w:rPr>
          <w:b/>
          <w:sz w:val="22"/>
          <w:szCs w:val="22"/>
          <w:lang w:val="cs-CZ"/>
        </w:rPr>
      </w:pPr>
      <w:r w:rsidRPr="00DD2F1B">
        <w:rPr>
          <w:b/>
          <w:sz w:val="22"/>
          <w:szCs w:val="22"/>
          <w:lang w:val="cs-CZ"/>
        </w:rPr>
        <w:t xml:space="preserve">Nejpozději do konce </w:t>
      </w:r>
      <w:r>
        <w:rPr>
          <w:b/>
          <w:sz w:val="22"/>
          <w:szCs w:val="22"/>
          <w:lang w:val="cs-CZ"/>
        </w:rPr>
        <w:t>4</w:t>
      </w:r>
      <w:r w:rsidRPr="00DD2F1B">
        <w:rPr>
          <w:b/>
          <w:sz w:val="22"/>
          <w:szCs w:val="22"/>
          <w:lang w:val="cs-CZ"/>
        </w:rPr>
        <w:t>. čtvrtletí 2013 rozhodnout o cílové variantě zpoplatnění pozemních komunikací v ČR pro období od r. 2017.</w:t>
      </w:r>
    </w:p>
    <w:p w:rsidR="00C06DA1" w:rsidRPr="00DD2F1B" w:rsidRDefault="00C06DA1" w:rsidP="00565109">
      <w:pPr>
        <w:jc w:val="both"/>
        <w:rPr>
          <w:sz w:val="22"/>
          <w:szCs w:val="22"/>
          <w:lang w:val="cs-CZ" w:eastAsia="cs-CZ"/>
        </w:rPr>
      </w:pPr>
      <w:r w:rsidRPr="00DD2F1B">
        <w:rPr>
          <w:sz w:val="22"/>
          <w:szCs w:val="22"/>
          <w:lang w:val="cs-CZ" w:eastAsia="cs-CZ"/>
        </w:rPr>
        <w:t>Je třeba rozhodnout zejména:</w:t>
      </w:r>
    </w:p>
    <w:p w:rsidR="00C06DA1" w:rsidRPr="00DD2F1B" w:rsidRDefault="00C06DA1" w:rsidP="009C315E">
      <w:pPr>
        <w:numPr>
          <w:ilvl w:val="0"/>
          <w:numId w:val="9"/>
        </w:numPr>
        <w:jc w:val="both"/>
        <w:rPr>
          <w:sz w:val="22"/>
          <w:szCs w:val="22"/>
          <w:lang w:val="cs-CZ" w:eastAsia="cs-CZ"/>
        </w:rPr>
      </w:pPr>
      <w:r w:rsidRPr="00DD2F1B">
        <w:rPr>
          <w:sz w:val="22"/>
          <w:szCs w:val="22"/>
          <w:lang w:val="cs-CZ" w:eastAsia="cs-CZ"/>
        </w:rPr>
        <w:t xml:space="preserve">o rozsahu zpoplatněné sítě (které pozemní komunikace zpoplatnit); </w:t>
      </w:r>
    </w:p>
    <w:p w:rsidR="00C06DA1" w:rsidRPr="00DD2F1B" w:rsidRDefault="00C06DA1" w:rsidP="009C315E">
      <w:pPr>
        <w:numPr>
          <w:ilvl w:val="0"/>
          <w:numId w:val="9"/>
        </w:numPr>
        <w:jc w:val="both"/>
        <w:rPr>
          <w:sz w:val="22"/>
          <w:szCs w:val="22"/>
          <w:lang w:val="cs-CZ" w:eastAsia="cs-CZ"/>
        </w:rPr>
      </w:pPr>
      <w:r w:rsidRPr="00DD2F1B">
        <w:rPr>
          <w:sz w:val="22"/>
          <w:szCs w:val="22"/>
          <w:lang w:val="cs-CZ" w:eastAsia="cs-CZ"/>
        </w:rPr>
        <w:t>o formě zpoplatnění (zda výkonové, časové zpoplatnění či jejich kombinace);</w:t>
      </w:r>
    </w:p>
    <w:p w:rsidR="00C06DA1" w:rsidRPr="00DD2F1B" w:rsidRDefault="00C06DA1" w:rsidP="009C315E">
      <w:pPr>
        <w:numPr>
          <w:ilvl w:val="0"/>
          <w:numId w:val="9"/>
        </w:numPr>
        <w:jc w:val="both"/>
        <w:rPr>
          <w:sz w:val="22"/>
          <w:szCs w:val="22"/>
          <w:lang w:val="cs-CZ" w:eastAsia="cs-CZ"/>
        </w:rPr>
      </w:pPr>
      <w:r w:rsidRPr="00DD2F1B">
        <w:rPr>
          <w:sz w:val="22"/>
          <w:szCs w:val="22"/>
          <w:lang w:val="cs-CZ" w:eastAsia="cs-CZ"/>
        </w:rPr>
        <w:t>o příjemci peněz získaných zpoplatněním, a zda bude zpoplatnění podléhat dani z přidané hodnoty (v závislosti na případné transformaci ŘSD ČR);</w:t>
      </w:r>
    </w:p>
    <w:p w:rsidR="00C06DA1" w:rsidRPr="00DD2F1B" w:rsidRDefault="00C06DA1" w:rsidP="009C315E">
      <w:pPr>
        <w:numPr>
          <w:ilvl w:val="0"/>
          <w:numId w:val="9"/>
        </w:numPr>
        <w:jc w:val="both"/>
        <w:rPr>
          <w:sz w:val="22"/>
          <w:szCs w:val="22"/>
          <w:lang w:val="cs-CZ" w:eastAsia="cs-CZ"/>
        </w:rPr>
      </w:pPr>
      <w:r w:rsidRPr="00DD2F1B">
        <w:rPr>
          <w:sz w:val="22"/>
          <w:szCs w:val="22"/>
          <w:lang w:val="cs-CZ" w:eastAsia="cs-CZ"/>
        </w:rPr>
        <w:t>o základních parametrech budoucího dodavatelského a organizačního modelu zpoplatnění (např. zda bude poptávána dodávka systému do vlastnictví státu, nebo zda bude poptáváno poskytování služeb);</w:t>
      </w:r>
    </w:p>
    <w:p w:rsidR="00C06DA1" w:rsidRPr="00DD2F1B" w:rsidRDefault="00C06DA1" w:rsidP="009C315E">
      <w:pPr>
        <w:numPr>
          <w:ilvl w:val="0"/>
          <w:numId w:val="9"/>
        </w:numPr>
        <w:jc w:val="both"/>
        <w:rPr>
          <w:sz w:val="22"/>
          <w:szCs w:val="22"/>
          <w:lang w:val="cs-CZ" w:eastAsia="cs-CZ"/>
        </w:rPr>
      </w:pPr>
      <w:r w:rsidRPr="00DD2F1B">
        <w:rPr>
          <w:sz w:val="22"/>
          <w:szCs w:val="22"/>
          <w:lang w:val="cs-CZ" w:eastAsia="cs-CZ"/>
        </w:rPr>
        <w:t xml:space="preserve">a o případných dalších principech zpoplatnění, které jsou určující pro úpravu právních předpisů ČR. </w:t>
      </w:r>
    </w:p>
    <w:p w:rsidR="00C06DA1" w:rsidRPr="00DD2F1B" w:rsidRDefault="00C06DA1" w:rsidP="00565109">
      <w:pPr>
        <w:jc w:val="both"/>
        <w:rPr>
          <w:sz w:val="22"/>
          <w:szCs w:val="22"/>
          <w:lang w:val="cs-CZ" w:eastAsia="cs-CZ"/>
        </w:rPr>
      </w:pPr>
      <w:r w:rsidRPr="00DD2F1B">
        <w:rPr>
          <w:sz w:val="22"/>
          <w:szCs w:val="22"/>
          <w:lang w:val="cs-CZ" w:eastAsia="cs-CZ"/>
        </w:rPr>
        <w:t>Předpokládá se, že tato rozhodnutí učiní vláda ČR.</w:t>
      </w:r>
    </w:p>
    <w:p w:rsidR="00C06DA1" w:rsidRPr="00DD2F1B" w:rsidRDefault="00C06DA1" w:rsidP="00565109">
      <w:pPr>
        <w:jc w:val="both"/>
        <w:rPr>
          <w:lang w:val="cs-CZ" w:eastAsia="cs-CZ"/>
        </w:rPr>
      </w:pPr>
      <w:r w:rsidRPr="00DD2F1B">
        <w:rPr>
          <w:sz w:val="22"/>
          <w:szCs w:val="22"/>
          <w:lang w:val="cs-CZ" w:eastAsia="cs-CZ"/>
        </w:rPr>
        <w:t>Ministerstvo dopravy v rámci této zprávy předkládá doporučení k písmenům a) a b).</w:t>
      </w:r>
    </w:p>
    <w:p w:rsidR="00C06DA1" w:rsidRDefault="00C06DA1" w:rsidP="009249F3">
      <w:pPr>
        <w:jc w:val="both"/>
        <w:rPr>
          <w:sz w:val="22"/>
          <w:szCs w:val="22"/>
          <w:lang w:val="cs-CZ" w:eastAsia="cs-CZ"/>
        </w:rPr>
      </w:pPr>
      <w:r w:rsidRPr="00DD2F1B">
        <w:rPr>
          <w:b/>
          <w:sz w:val="22"/>
          <w:szCs w:val="22"/>
          <w:lang w:val="cs-CZ" w:eastAsia="cs-CZ"/>
        </w:rPr>
        <w:t>Nejbližší krok:</w:t>
      </w:r>
      <w:r w:rsidRPr="00DD2F1B">
        <w:rPr>
          <w:sz w:val="22"/>
          <w:szCs w:val="22"/>
          <w:lang w:val="cs-CZ" w:eastAsia="cs-CZ"/>
        </w:rPr>
        <w:t xml:space="preserve"> Neprodleně rozhodnout v bodech a) a b). Na základě rozhodnutí v bodech a) a b) Ministerstvo dopravy předloží podklady pro rozhodnutí v bodech c), d) a e).</w:t>
      </w:r>
    </w:p>
    <w:p w:rsidR="00C06DA1" w:rsidRPr="00DD2F1B" w:rsidRDefault="00C06DA1" w:rsidP="009249F3">
      <w:pPr>
        <w:pBdr>
          <w:top w:val="single" w:sz="4" w:space="1" w:color="auto"/>
          <w:left w:val="single" w:sz="4" w:space="4" w:color="auto"/>
          <w:bottom w:val="single" w:sz="4" w:space="1" w:color="auto"/>
          <w:right w:val="single" w:sz="4" w:space="4" w:color="auto"/>
        </w:pBdr>
        <w:jc w:val="both"/>
        <w:rPr>
          <w:b/>
          <w:sz w:val="22"/>
          <w:szCs w:val="22"/>
          <w:lang w:val="cs-CZ"/>
        </w:rPr>
      </w:pPr>
      <w:r w:rsidRPr="00DD2F1B">
        <w:rPr>
          <w:b/>
          <w:sz w:val="22"/>
          <w:szCs w:val="22"/>
          <w:lang w:val="cs-CZ"/>
        </w:rPr>
        <w:t xml:space="preserve">Nejpozději do konce </w:t>
      </w:r>
      <w:r>
        <w:rPr>
          <w:b/>
          <w:sz w:val="22"/>
          <w:szCs w:val="22"/>
          <w:lang w:val="cs-CZ"/>
        </w:rPr>
        <w:t>2</w:t>
      </w:r>
      <w:r w:rsidRPr="00DD2F1B">
        <w:rPr>
          <w:b/>
          <w:sz w:val="22"/>
          <w:szCs w:val="22"/>
          <w:lang w:val="cs-CZ"/>
        </w:rPr>
        <w:t>. čtvrtletí 201</w:t>
      </w:r>
      <w:r>
        <w:rPr>
          <w:b/>
          <w:sz w:val="22"/>
          <w:szCs w:val="22"/>
          <w:lang w:val="cs-CZ"/>
        </w:rPr>
        <w:t>4</w:t>
      </w:r>
      <w:r w:rsidRPr="00DD2F1B">
        <w:rPr>
          <w:b/>
          <w:sz w:val="22"/>
          <w:szCs w:val="22"/>
          <w:lang w:val="cs-CZ"/>
        </w:rPr>
        <w:t xml:space="preserve"> navrhnout úpravy právních předpisů.</w:t>
      </w:r>
    </w:p>
    <w:p w:rsidR="00C06DA1" w:rsidRPr="00DD2F1B" w:rsidRDefault="00C06DA1" w:rsidP="009249F3">
      <w:pPr>
        <w:jc w:val="both"/>
        <w:rPr>
          <w:sz w:val="22"/>
          <w:szCs w:val="22"/>
          <w:lang w:val="cs-CZ" w:eastAsia="cs-CZ"/>
        </w:rPr>
      </w:pPr>
      <w:r w:rsidRPr="00DD2F1B">
        <w:rPr>
          <w:sz w:val="22"/>
          <w:szCs w:val="22"/>
          <w:lang w:val="cs-CZ" w:eastAsia="cs-CZ"/>
        </w:rPr>
        <w:t xml:space="preserve">Tyto vyplývají zejm. z rozhodnutí uvedených v předcházejícím bodě výše. Úpravy právních předpisů jsou jedním ze vstupů pro přípravu zadávací dokumentace </w:t>
      </w:r>
      <w:r>
        <w:rPr>
          <w:sz w:val="22"/>
          <w:szCs w:val="22"/>
          <w:lang w:val="cs-CZ" w:eastAsia="cs-CZ"/>
        </w:rPr>
        <w:t>zadávacího řízení</w:t>
      </w:r>
      <w:r w:rsidRPr="00DD2F1B">
        <w:rPr>
          <w:sz w:val="22"/>
          <w:szCs w:val="22"/>
          <w:lang w:val="cs-CZ" w:eastAsia="cs-CZ"/>
        </w:rPr>
        <w:t xml:space="preserve"> na nového dodavatele / poskytovatele služeb mýtného systému. T</w:t>
      </w:r>
      <w:r>
        <w:rPr>
          <w:sz w:val="22"/>
          <w:szCs w:val="22"/>
          <w:lang w:val="cs-CZ" w:eastAsia="cs-CZ"/>
        </w:rPr>
        <w:t>o</w:t>
      </w:r>
      <w:r w:rsidRPr="00DD2F1B">
        <w:rPr>
          <w:sz w:val="22"/>
          <w:szCs w:val="22"/>
          <w:lang w:val="cs-CZ" w:eastAsia="cs-CZ"/>
        </w:rPr>
        <w:t xml:space="preserve">to </w:t>
      </w:r>
      <w:r>
        <w:rPr>
          <w:sz w:val="22"/>
          <w:szCs w:val="22"/>
          <w:lang w:val="cs-CZ" w:eastAsia="cs-CZ"/>
        </w:rPr>
        <w:t>zadávací řízení</w:t>
      </w:r>
      <w:r w:rsidRPr="00DD2F1B">
        <w:rPr>
          <w:sz w:val="22"/>
          <w:szCs w:val="22"/>
          <w:lang w:val="cs-CZ" w:eastAsia="cs-CZ"/>
        </w:rPr>
        <w:t xml:space="preserve"> je doporučeno zahájit až při existenci jasně daného legislativního rámce vymezujícího budoucí provoz mýtného systému. </w:t>
      </w:r>
    </w:p>
    <w:p w:rsidR="00C06DA1" w:rsidRPr="00DD2F1B" w:rsidRDefault="00C06DA1" w:rsidP="009249F3">
      <w:pPr>
        <w:pBdr>
          <w:top w:val="single" w:sz="4" w:space="1" w:color="auto"/>
          <w:left w:val="single" w:sz="4" w:space="4" w:color="auto"/>
          <w:bottom w:val="single" w:sz="4" w:space="1" w:color="auto"/>
          <w:right w:val="single" w:sz="4" w:space="4" w:color="auto"/>
        </w:pBdr>
        <w:jc w:val="both"/>
        <w:rPr>
          <w:b/>
          <w:sz w:val="22"/>
          <w:szCs w:val="22"/>
          <w:lang w:val="cs-CZ"/>
        </w:rPr>
      </w:pPr>
      <w:r w:rsidRPr="00DD2F1B">
        <w:rPr>
          <w:b/>
          <w:sz w:val="22"/>
          <w:szCs w:val="22"/>
          <w:lang w:val="cs-CZ"/>
        </w:rPr>
        <w:t xml:space="preserve">Nejpozději do konce </w:t>
      </w:r>
      <w:r>
        <w:rPr>
          <w:b/>
          <w:sz w:val="22"/>
          <w:szCs w:val="22"/>
          <w:lang w:val="cs-CZ"/>
        </w:rPr>
        <w:t>2</w:t>
      </w:r>
      <w:r w:rsidRPr="00DD2F1B">
        <w:rPr>
          <w:b/>
          <w:sz w:val="22"/>
          <w:szCs w:val="22"/>
          <w:lang w:val="cs-CZ"/>
        </w:rPr>
        <w:t>. čtvrtletí 201</w:t>
      </w:r>
      <w:r>
        <w:rPr>
          <w:b/>
          <w:sz w:val="22"/>
          <w:szCs w:val="22"/>
          <w:lang w:val="cs-CZ"/>
        </w:rPr>
        <w:t>4</w:t>
      </w:r>
      <w:r w:rsidRPr="00DD2F1B">
        <w:rPr>
          <w:b/>
          <w:sz w:val="22"/>
          <w:szCs w:val="22"/>
          <w:lang w:val="cs-CZ"/>
        </w:rPr>
        <w:t xml:space="preserve"> vybrat projektového manažera.</w:t>
      </w:r>
    </w:p>
    <w:p w:rsidR="00C06DA1" w:rsidRPr="00DD2F1B" w:rsidRDefault="00C06DA1" w:rsidP="009249F3">
      <w:pPr>
        <w:numPr>
          <w:ilvl w:val="0"/>
          <w:numId w:val="10"/>
        </w:numPr>
        <w:jc w:val="both"/>
        <w:rPr>
          <w:sz w:val="22"/>
          <w:szCs w:val="22"/>
          <w:lang w:val="cs-CZ" w:eastAsia="cs-CZ"/>
        </w:rPr>
      </w:pPr>
      <w:r w:rsidRPr="00DD2F1B">
        <w:rPr>
          <w:sz w:val="22"/>
          <w:szCs w:val="22"/>
          <w:lang w:val="cs-CZ" w:eastAsia="cs-CZ"/>
        </w:rPr>
        <w:t xml:space="preserve">Zásadní role projektového manažera spočívá zejm. v přípravě zadávací dokumentace pro </w:t>
      </w:r>
      <w:r>
        <w:rPr>
          <w:sz w:val="22"/>
          <w:szCs w:val="22"/>
          <w:lang w:val="cs-CZ" w:eastAsia="cs-CZ"/>
        </w:rPr>
        <w:t>zadávací řízení</w:t>
      </w:r>
      <w:r w:rsidRPr="00DD2F1B">
        <w:rPr>
          <w:sz w:val="22"/>
          <w:szCs w:val="22"/>
          <w:lang w:val="cs-CZ" w:eastAsia="cs-CZ"/>
        </w:rPr>
        <w:t xml:space="preserve"> na nového dodavatele / poskytovatele služeb provozu mýtného systému, podpoře zadavatele při realizaci </w:t>
      </w:r>
      <w:r>
        <w:rPr>
          <w:sz w:val="22"/>
          <w:szCs w:val="22"/>
          <w:lang w:val="cs-CZ" w:eastAsia="cs-CZ"/>
        </w:rPr>
        <w:t>tohoto zadávacího řízení</w:t>
      </w:r>
      <w:r w:rsidRPr="00DD2F1B">
        <w:rPr>
          <w:sz w:val="22"/>
          <w:szCs w:val="22"/>
          <w:lang w:val="cs-CZ" w:eastAsia="cs-CZ"/>
        </w:rPr>
        <w:t xml:space="preserve">, v konzultačních, organizačních, projektových a dohledových pracích při implementaci, testování, spuštění a provozu nového </w:t>
      </w:r>
      <w:r w:rsidRPr="00DD2F1B">
        <w:rPr>
          <w:sz w:val="22"/>
          <w:szCs w:val="22"/>
          <w:lang w:val="cs-CZ" w:eastAsia="cs-CZ"/>
        </w:rPr>
        <w:lastRenderedPageBreak/>
        <w:t>mýtného systému, resp. služeb nového poskytovatele. Tyto specializované úkoly nelze zajistit pouze ze strany zadavatele.</w:t>
      </w:r>
    </w:p>
    <w:p w:rsidR="00C06DA1" w:rsidRPr="00DD2F1B" w:rsidRDefault="00C06DA1" w:rsidP="009249F3">
      <w:pPr>
        <w:numPr>
          <w:ilvl w:val="0"/>
          <w:numId w:val="10"/>
        </w:numPr>
        <w:jc w:val="both"/>
        <w:rPr>
          <w:sz w:val="22"/>
          <w:szCs w:val="22"/>
          <w:lang w:val="cs-CZ" w:eastAsia="cs-CZ"/>
        </w:rPr>
      </w:pPr>
      <w:r w:rsidRPr="00DD2F1B">
        <w:rPr>
          <w:sz w:val="22"/>
          <w:szCs w:val="22"/>
          <w:lang w:val="cs-CZ" w:eastAsia="cs-CZ"/>
        </w:rPr>
        <w:t>Vstupem pro práci vybraného projektového manažera budou mimo jiného rozhodnutí uvedená v bodech a) až e).</w:t>
      </w:r>
    </w:p>
    <w:p w:rsidR="00C06DA1" w:rsidRPr="00DD2F1B" w:rsidRDefault="00C06DA1" w:rsidP="009249F3">
      <w:pPr>
        <w:numPr>
          <w:ilvl w:val="0"/>
          <w:numId w:val="10"/>
        </w:numPr>
        <w:jc w:val="both"/>
        <w:rPr>
          <w:sz w:val="22"/>
          <w:szCs w:val="22"/>
          <w:lang w:val="cs-CZ" w:eastAsia="cs-CZ"/>
        </w:rPr>
      </w:pPr>
      <w:r w:rsidRPr="00DD2F1B">
        <w:rPr>
          <w:sz w:val="22"/>
          <w:szCs w:val="22"/>
          <w:lang w:val="cs-CZ" w:eastAsia="cs-CZ"/>
        </w:rPr>
        <w:t xml:space="preserve">Projektového manažera je potřeba vybrat v rámci </w:t>
      </w:r>
      <w:r>
        <w:rPr>
          <w:sz w:val="22"/>
          <w:szCs w:val="22"/>
          <w:lang w:val="cs-CZ" w:eastAsia="cs-CZ"/>
        </w:rPr>
        <w:t xml:space="preserve">zadávacího </w:t>
      </w:r>
      <w:r w:rsidRPr="00DD2F1B">
        <w:rPr>
          <w:sz w:val="22"/>
          <w:szCs w:val="22"/>
          <w:lang w:val="cs-CZ" w:eastAsia="cs-CZ"/>
        </w:rPr>
        <w:t>řízení, které je možné realizovat paralelně spolu s rozhodnutími zmíněnými v bodech a) až e).</w:t>
      </w:r>
    </w:p>
    <w:p w:rsidR="00C06DA1" w:rsidRPr="00DD2F1B" w:rsidRDefault="00C06DA1" w:rsidP="009249F3">
      <w:pPr>
        <w:jc w:val="both"/>
        <w:rPr>
          <w:sz w:val="22"/>
          <w:szCs w:val="22"/>
          <w:lang w:val="cs-CZ" w:eastAsia="cs-CZ"/>
        </w:rPr>
      </w:pPr>
      <w:r w:rsidRPr="00DD2F1B">
        <w:rPr>
          <w:b/>
          <w:sz w:val="22"/>
          <w:szCs w:val="22"/>
          <w:lang w:val="cs-CZ" w:eastAsia="cs-CZ"/>
        </w:rPr>
        <w:t>Nejbližší krok</w:t>
      </w:r>
      <w:r w:rsidRPr="00DD2F1B">
        <w:rPr>
          <w:sz w:val="22"/>
          <w:szCs w:val="22"/>
          <w:lang w:val="cs-CZ" w:eastAsia="cs-CZ"/>
        </w:rPr>
        <w:t xml:space="preserve">: Neprodleně zahájit práce na přípravě </w:t>
      </w:r>
      <w:r>
        <w:rPr>
          <w:sz w:val="22"/>
          <w:szCs w:val="22"/>
          <w:lang w:val="cs-CZ" w:eastAsia="cs-CZ"/>
        </w:rPr>
        <w:t>zadávacího</w:t>
      </w:r>
      <w:r w:rsidRPr="00DD2F1B">
        <w:rPr>
          <w:sz w:val="22"/>
          <w:szCs w:val="22"/>
          <w:lang w:val="cs-CZ" w:eastAsia="cs-CZ"/>
        </w:rPr>
        <w:t xml:space="preserve"> řízení na projektového manažera.</w:t>
      </w:r>
    </w:p>
    <w:p w:rsidR="00C06DA1" w:rsidRPr="00DD2F1B" w:rsidRDefault="00C06DA1" w:rsidP="009249F3">
      <w:pPr>
        <w:jc w:val="both"/>
        <w:rPr>
          <w:sz w:val="22"/>
          <w:szCs w:val="22"/>
          <w:lang w:val="cs-CZ"/>
        </w:rPr>
      </w:pPr>
    </w:p>
    <w:p w:rsidR="00C06DA1" w:rsidRPr="00DD2F1B" w:rsidRDefault="00C06DA1" w:rsidP="009249F3">
      <w:pPr>
        <w:pBdr>
          <w:top w:val="single" w:sz="4" w:space="1" w:color="auto"/>
          <w:left w:val="single" w:sz="4" w:space="4" w:color="auto"/>
          <w:bottom w:val="single" w:sz="4" w:space="1" w:color="auto"/>
          <w:right w:val="single" w:sz="4" w:space="4" w:color="auto"/>
        </w:pBdr>
        <w:jc w:val="both"/>
        <w:rPr>
          <w:sz w:val="22"/>
          <w:szCs w:val="22"/>
          <w:lang w:val="cs-CZ"/>
        </w:rPr>
      </w:pPr>
      <w:r w:rsidRPr="00DD2F1B">
        <w:rPr>
          <w:b/>
          <w:sz w:val="22"/>
          <w:szCs w:val="22"/>
          <w:lang w:val="cs-CZ"/>
        </w:rPr>
        <w:t xml:space="preserve">Nejpozději do konce </w:t>
      </w:r>
      <w:r>
        <w:rPr>
          <w:b/>
          <w:sz w:val="22"/>
          <w:szCs w:val="22"/>
          <w:lang w:val="cs-CZ"/>
        </w:rPr>
        <w:t>4</w:t>
      </w:r>
      <w:r w:rsidRPr="00DD2F1B">
        <w:rPr>
          <w:b/>
          <w:sz w:val="22"/>
          <w:szCs w:val="22"/>
          <w:lang w:val="cs-CZ"/>
        </w:rPr>
        <w:t xml:space="preserve">. čtvrtletí 2014 navrhnout případné další úpravy právních předpisů. </w:t>
      </w:r>
    </w:p>
    <w:p w:rsidR="00C06DA1" w:rsidRDefault="00C06DA1" w:rsidP="009249F3">
      <w:pPr>
        <w:jc w:val="both"/>
        <w:rPr>
          <w:sz w:val="22"/>
          <w:szCs w:val="22"/>
          <w:lang w:val="cs-CZ" w:eastAsia="cs-CZ"/>
        </w:rPr>
      </w:pPr>
      <w:r w:rsidRPr="00DD2F1B">
        <w:rPr>
          <w:sz w:val="22"/>
          <w:szCs w:val="22"/>
          <w:lang w:val="cs-CZ" w:eastAsia="cs-CZ"/>
        </w:rPr>
        <w:t xml:space="preserve">Především jde o úpravy, které budou jako nezbytné identifikovány během přípravy zadávací dokumentace </w:t>
      </w:r>
      <w:r>
        <w:rPr>
          <w:sz w:val="22"/>
          <w:szCs w:val="22"/>
          <w:lang w:val="cs-CZ" w:eastAsia="cs-CZ"/>
        </w:rPr>
        <w:t>pro zadávací řízení</w:t>
      </w:r>
      <w:r w:rsidRPr="00DD2F1B">
        <w:rPr>
          <w:sz w:val="22"/>
          <w:szCs w:val="22"/>
          <w:lang w:val="cs-CZ" w:eastAsia="cs-CZ"/>
        </w:rPr>
        <w:t xml:space="preserve"> na nového dodavatele / poskytovatele služeb mýtného systému. Tyto úpravy právních předpisů musí být přijaty před </w:t>
      </w:r>
      <w:r>
        <w:rPr>
          <w:sz w:val="22"/>
          <w:szCs w:val="22"/>
          <w:lang w:val="cs-CZ" w:eastAsia="cs-CZ"/>
        </w:rPr>
        <w:t xml:space="preserve">zahájením </w:t>
      </w:r>
      <w:r w:rsidRPr="00DD2F1B">
        <w:rPr>
          <w:sz w:val="22"/>
          <w:szCs w:val="22"/>
          <w:lang w:val="cs-CZ" w:eastAsia="cs-CZ"/>
        </w:rPr>
        <w:t>zmíněné</w:t>
      </w:r>
      <w:r>
        <w:rPr>
          <w:sz w:val="22"/>
          <w:szCs w:val="22"/>
          <w:lang w:val="cs-CZ" w:eastAsia="cs-CZ"/>
        </w:rPr>
        <w:t>ho zadávacího řízení.</w:t>
      </w:r>
    </w:p>
    <w:p w:rsidR="00C06DA1" w:rsidRPr="00DD2F1B" w:rsidRDefault="00C06DA1" w:rsidP="008468C8">
      <w:pPr>
        <w:pBdr>
          <w:top w:val="single" w:sz="4" w:space="1" w:color="auto"/>
          <w:left w:val="single" w:sz="4" w:space="4" w:color="auto"/>
          <w:bottom w:val="single" w:sz="4" w:space="1" w:color="auto"/>
          <w:right w:val="single" w:sz="4" w:space="4" w:color="auto"/>
        </w:pBdr>
        <w:jc w:val="both"/>
        <w:rPr>
          <w:sz w:val="22"/>
          <w:szCs w:val="22"/>
          <w:lang w:val="cs-CZ"/>
        </w:rPr>
      </w:pPr>
      <w:r w:rsidRPr="00DD2F1B">
        <w:rPr>
          <w:b/>
          <w:sz w:val="22"/>
          <w:szCs w:val="22"/>
          <w:lang w:val="cs-CZ"/>
        </w:rPr>
        <w:t xml:space="preserve">Nejpozději do konce </w:t>
      </w:r>
      <w:r>
        <w:rPr>
          <w:b/>
          <w:sz w:val="22"/>
          <w:szCs w:val="22"/>
          <w:lang w:val="cs-CZ"/>
        </w:rPr>
        <w:t>4</w:t>
      </w:r>
      <w:r w:rsidRPr="00DD2F1B">
        <w:rPr>
          <w:b/>
          <w:sz w:val="22"/>
          <w:szCs w:val="22"/>
          <w:lang w:val="cs-CZ"/>
        </w:rPr>
        <w:t xml:space="preserve">. čtvrtletí 2014 </w:t>
      </w:r>
      <w:r>
        <w:rPr>
          <w:b/>
          <w:sz w:val="22"/>
          <w:szCs w:val="22"/>
          <w:lang w:val="cs-CZ"/>
        </w:rPr>
        <w:t>zahájit zadávací řízení</w:t>
      </w:r>
      <w:r w:rsidRPr="00DD2F1B">
        <w:rPr>
          <w:b/>
          <w:sz w:val="22"/>
          <w:szCs w:val="22"/>
          <w:lang w:val="cs-CZ"/>
        </w:rPr>
        <w:t xml:space="preserve"> na nezávislého technického inženýra. </w:t>
      </w:r>
    </w:p>
    <w:p w:rsidR="00C06DA1" w:rsidRPr="00DD2F1B" w:rsidRDefault="00C06DA1" w:rsidP="008468C8">
      <w:pPr>
        <w:jc w:val="both"/>
        <w:rPr>
          <w:sz w:val="22"/>
          <w:szCs w:val="22"/>
          <w:lang w:val="cs-CZ" w:eastAsia="cs-CZ"/>
        </w:rPr>
      </w:pPr>
      <w:r w:rsidRPr="00DD2F1B">
        <w:rPr>
          <w:sz w:val="22"/>
          <w:szCs w:val="22"/>
          <w:lang w:val="cs-CZ" w:eastAsia="cs-CZ"/>
        </w:rPr>
        <w:t>Technický inženýr bude odpovídat za kontrolu věcného rozsahu a kontrolu (měření) kvality realizovaných prací a dodávek.</w:t>
      </w:r>
    </w:p>
    <w:p w:rsidR="00C06DA1" w:rsidRPr="00DD2F1B" w:rsidRDefault="00C06DA1" w:rsidP="00BE00A8">
      <w:pPr>
        <w:pBdr>
          <w:top w:val="single" w:sz="4" w:space="1" w:color="auto"/>
          <w:left w:val="single" w:sz="4" w:space="4" w:color="auto"/>
          <w:bottom w:val="single" w:sz="4" w:space="1" w:color="auto"/>
          <w:right w:val="single" w:sz="4" w:space="4" w:color="auto"/>
        </w:pBdr>
        <w:jc w:val="both"/>
        <w:rPr>
          <w:sz w:val="22"/>
          <w:szCs w:val="22"/>
          <w:lang w:val="cs-CZ"/>
        </w:rPr>
      </w:pPr>
      <w:r w:rsidRPr="00DD2F1B">
        <w:rPr>
          <w:b/>
          <w:sz w:val="22"/>
          <w:szCs w:val="22"/>
          <w:lang w:val="cs-CZ"/>
        </w:rPr>
        <w:t xml:space="preserve">Nejpozději do konce </w:t>
      </w:r>
      <w:r>
        <w:rPr>
          <w:b/>
          <w:sz w:val="22"/>
          <w:szCs w:val="22"/>
          <w:lang w:val="cs-CZ"/>
        </w:rPr>
        <w:t>1</w:t>
      </w:r>
      <w:r w:rsidRPr="00DD2F1B">
        <w:rPr>
          <w:b/>
          <w:sz w:val="22"/>
          <w:szCs w:val="22"/>
          <w:lang w:val="cs-CZ"/>
        </w:rPr>
        <w:t>. čtvrtletí 201</w:t>
      </w:r>
      <w:r>
        <w:rPr>
          <w:b/>
          <w:sz w:val="22"/>
          <w:szCs w:val="22"/>
          <w:lang w:val="cs-CZ"/>
        </w:rPr>
        <w:t>5</w:t>
      </w:r>
      <w:r w:rsidRPr="00DD2F1B">
        <w:rPr>
          <w:b/>
          <w:sz w:val="22"/>
          <w:szCs w:val="22"/>
          <w:lang w:val="cs-CZ"/>
        </w:rPr>
        <w:t xml:space="preserve"> </w:t>
      </w:r>
      <w:r>
        <w:rPr>
          <w:b/>
          <w:sz w:val="22"/>
          <w:szCs w:val="22"/>
          <w:lang w:val="cs-CZ"/>
        </w:rPr>
        <w:t>zahájit zadávací řízení</w:t>
      </w:r>
      <w:r w:rsidRPr="00DD2F1B">
        <w:rPr>
          <w:b/>
          <w:sz w:val="22"/>
          <w:szCs w:val="22"/>
          <w:lang w:val="cs-CZ"/>
        </w:rPr>
        <w:t xml:space="preserve"> na dodávku nového mýtného systému, </w:t>
      </w:r>
      <w:r w:rsidRPr="00DD2F1B">
        <w:rPr>
          <w:sz w:val="22"/>
          <w:szCs w:val="22"/>
          <w:lang w:val="cs-CZ"/>
        </w:rPr>
        <w:t xml:space="preserve">resp. na poskytování služeb provozu mýtného systému novým poskytovatelem.  </w:t>
      </w:r>
    </w:p>
    <w:p w:rsidR="00C06DA1" w:rsidRPr="00DD2F1B" w:rsidRDefault="00C06DA1" w:rsidP="009249F3">
      <w:pPr>
        <w:jc w:val="both"/>
        <w:rPr>
          <w:b/>
          <w:sz w:val="22"/>
          <w:szCs w:val="22"/>
          <w:lang w:val="cs-CZ"/>
        </w:rPr>
      </w:pPr>
    </w:p>
    <w:p w:rsidR="00C06DA1" w:rsidRPr="00DD2F1B" w:rsidRDefault="00C06DA1" w:rsidP="00BE00A8">
      <w:pPr>
        <w:pBdr>
          <w:top w:val="single" w:sz="4" w:space="1" w:color="auto"/>
          <w:left w:val="single" w:sz="4" w:space="4" w:color="auto"/>
          <w:bottom w:val="single" w:sz="4" w:space="1" w:color="auto"/>
          <w:right w:val="single" w:sz="4" w:space="4" w:color="auto"/>
        </w:pBdr>
        <w:jc w:val="both"/>
        <w:rPr>
          <w:b/>
          <w:sz w:val="22"/>
          <w:szCs w:val="22"/>
          <w:lang w:val="cs-CZ"/>
        </w:rPr>
      </w:pPr>
      <w:r w:rsidRPr="00DD2F1B">
        <w:rPr>
          <w:b/>
          <w:sz w:val="22"/>
          <w:szCs w:val="22"/>
          <w:lang w:val="cs-CZ"/>
        </w:rPr>
        <w:t xml:space="preserve">Nejpozději do konce </w:t>
      </w:r>
      <w:r>
        <w:rPr>
          <w:b/>
          <w:sz w:val="22"/>
          <w:szCs w:val="22"/>
          <w:lang w:val="cs-CZ"/>
        </w:rPr>
        <w:t>4</w:t>
      </w:r>
      <w:r w:rsidRPr="00DD2F1B">
        <w:rPr>
          <w:b/>
          <w:sz w:val="22"/>
          <w:szCs w:val="22"/>
          <w:lang w:val="cs-CZ"/>
        </w:rPr>
        <w:t>. čtvrtletí 2015 vybrat nového dodavatele / poskytovatele služeb mýtného systému a uzavřít příslušnou smlouvu.</w:t>
      </w:r>
    </w:p>
    <w:p w:rsidR="00C06DA1" w:rsidRPr="00DD2F1B" w:rsidRDefault="00C06DA1" w:rsidP="009249F3">
      <w:pPr>
        <w:jc w:val="both"/>
        <w:rPr>
          <w:b/>
          <w:sz w:val="22"/>
          <w:szCs w:val="22"/>
          <w:lang w:val="cs-CZ"/>
        </w:rPr>
      </w:pPr>
      <w:r w:rsidRPr="00DD2F1B">
        <w:rPr>
          <w:sz w:val="22"/>
          <w:szCs w:val="22"/>
          <w:lang w:val="cs-CZ"/>
        </w:rPr>
        <w:t>Dále pak musí být podepsána smlouva s tímto vybraným uchazečem a zahájena implementace nového systému, resp. služeb.</w:t>
      </w:r>
    </w:p>
    <w:p w:rsidR="00C06DA1" w:rsidRPr="00DD2F1B" w:rsidRDefault="00C06DA1" w:rsidP="00BE00A8">
      <w:pPr>
        <w:pBdr>
          <w:top w:val="single" w:sz="4" w:space="1" w:color="auto"/>
          <w:left w:val="single" w:sz="4" w:space="4" w:color="auto"/>
          <w:bottom w:val="single" w:sz="4" w:space="1" w:color="auto"/>
          <w:right w:val="single" w:sz="4" w:space="4" w:color="auto"/>
        </w:pBdr>
        <w:jc w:val="both"/>
        <w:rPr>
          <w:b/>
          <w:sz w:val="22"/>
          <w:szCs w:val="22"/>
          <w:lang w:val="cs-CZ"/>
        </w:rPr>
      </w:pPr>
      <w:r w:rsidRPr="00DD2F1B">
        <w:rPr>
          <w:b/>
          <w:sz w:val="22"/>
          <w:szCs w:val="22"/>
          <w:lang w:val="cs-CZ"/>
        </w:rPr>
        <w:t>Nejpozději dne 1. 1. 2017 realizovat pokračování výkonového zpoplatnění pozemních komunikací.</w:t>
      </w:r>
    </w:p>
    <w:p w:rsidR="00C06DA1" w:rsidRPr="00DD2F1B" w:rsidRDefault="00C06DA1" w:rsidP="009249F3">
      <w:pPr>
        <w:jc w:val="both"/>
        <w:rPr>
          <w:sz w:val="22"/>
          <w:szCs w:val="22"/>
          <w:lang w:val="cs-CZ"/>
        </w:rPr>
      </w:pPr>
      <w:r w:rsidRPr="00DD2F1B">
        <w:rPr>
          <w:sz w:val="22"/>
          <w:szCs w:val="22"/>
          <w:lang w:val="cs-CZ"/>
        </w:rPr>
        <w:t>Provoz bude zajišťovat úspěšně implementovaný a otestovaný mýtný systém, resp. bude realizováno prostřednictvím úspěšně implementovaných a otestovaných služeb nového poskytovatele.</w:t>
      </w:r>
    </w:p>
    <w:p w:rsidR="00C06DA1" w:rsidRPr="00DD2F1B" w:rsidRDefault="00C06DA1" w:rsidP="009249F3">
      <w:pPr>
        <w:jc w:val="both"/>
        <w:rPr>
          <w:sz w:val="22"/>
          <w:szCs w:val="22"/>
          <w:lang w:val="cs-CZ"/>
        </w:rPr>
      </w:pPr>
      <w:r w:rsidRPr="00DD2F1B">
        <w:rPr>
          <w:sz w:val="22"/>
          <w:szCs w:val="22"/>
          <w:lang w:val="cs-CZ"/>
        </w:rPr>
        <w:t>Pokud nebudou výše uvedené milníky včas splněny, není možné garantovat, že budou ke dni 1. 1. 2017 v potřebném rozsahu zajištěny technické, organizační, procesní, právní a legislativní podmínky pro výběr mýtného. S realizací kroků vedoucích ke splnění výše uvedených milníku je proto nutné začít neprodleně.</w:t>
      </w:r>
    </w:p>
    <w:p w:rsidR="00C06DA1" w:rsidRDefault="00C06DA1" w:rsidP="009249F3">
      <w:pPr>
        <w:jc w:val="both"/>
        <w:rPr>
          <w:b/>
          <w:sz w:val="22"/>
          <w:szCs w:val="22"/>
          <w:lang w:val="cs-CZ"/>
        </w:rPr>
      </w:pPr>
    </w:p>
    <w:p w:rsidR="00C06DA1" w:rsidRDefault="00C06DA1" w:rsidP="009249F3">
      <w:pPr>
        <w:jc w:val="both"/>
        <w:rPr>
          <w:b/>
          <w:sz w:val="22"/>
          <w:szCs w:val="22"/>
          <w:lang w:val="cs-CZ"/>
        </w:rPr>
      </w:pPr>
    </w:p>
    <w:p w:rsidR="00C06DA1" w:rsidRDefault="00C06DA1" w:rsidP="009249F3">
      <w:pPr>
        <w:jc w:val="both"/>
        <w:rPr>
          <w:b/>
          <w:sz w:val="22"/>
          <w:szCs w:val="22"/>
          <w:lang w:val="cs-CZ"/>
        </w:rPr>
      </w:pPr>
    </w:p>
    <w:p w:rsidR="00C06DA1" w:rsidRDefault="00C06DA1" w:rsidP="009249F3">
      <w:pPr>
        <w:jc w:val="both"/>
        <w:rPr>
          <w:b/>
          <w:sz w:val="22"/>
          <w:szCs w:val="22"/>
          <w:lang w:val="cs-CZ"/>
        </w:rPr>
      </w:pPr>
    </w:p>
    <w:p w:rsidR="00C06DA1" w:rsidRPr="00DD2F1B" w:rsidRDefault="00C06DA1" w:rsidP="009249F3">
      <w:pPr>
        <w:jc w:val="both"/>
        <w:rPr>
          <w:b/>
          <w:sz w:val="22"/>
          <w:szCs w:val="22"/>
          <w:lang w:val="cs-CZ"/>
        </w:rPr>
      </w:pPr>
      <w:r w:rsidRPr="00DD2F1B">
        <w:rPr>
          <w:b/>
          <w:sz w:val="22"/>
          <w:szCs w:val="22"/>
          <w:lang w:val="cs-CZ"/>
        </w:rPr>
        <w:t>Kromě výše zmíněného je třeba dále:</w:t>
      </w:r>
    </w:p>
    <w:p w:rsidR="00C06DA1" w:rsidRPr="00DD2F1B" w:rsidRDefault="00C06DA1" w:rsidP="00BE00A8">
      <w:pPr>
        <w:pBdr>
          <w:top w:val="single" w:sz="4" w:space="1" w:color="auto"/>
          <w:left w:val="single" w:sz="4" w:space="4" w:color="auto"/>
          <w:bottom w:val="single" w:sz="4" w:space="1" w:color="auto"/>
          <w:right w:val="single" w:sz="4" w:space="4" w:color="auto"/>
        </w:pBdr>
        <w:jc w:val="both"/>
        <w:rPr>
          <w:sz w:val="22"/>
          <w:szCs w:val="22"/>
          <w:lang w:val="cs-CZ"/>
        </w:rPr>
      </w:pPr>
      <w:r w:rsidRPr="00DD2F1B">
        <w:rPr>
          <w:b/>
          <w:sz w:val="22"/>
          <w:szCs w:val="22"/>
          <w:lang w:val="cs-CZ"/>
        </w:rPr>
        <w:t xml:space="preserve">Realizovat značení nově zpoplatněných úseků pozemních komunikací. </w:t>
      </w:r>
      <w:r w:rsidRPr="00DD2F1B">
        <w:rPr>
          <w:sz w:val="22"/>
          <w:szCs w:val="22"/>
          <w:lang w:val="cs-CZ"/>
        </w:rPr>
        <w:t xml:space="preserve">(V případě, že bude zpoplatněná síť rozšířena nad stávající rozsah.) </w:t>
      </w:r>
    </w:p>
    <w:p w:rsidR="00C06DA1" w:rsidRPr="00DD2F1B" w:rsidRDefault="00C06DA1" w:rsidP="009249F3">
      <w:pPr>
        <w:jc w:val="both"/>
        <w:rPr>
          <w:sz w:val="22"/>
          <w:szCs w:val="22"/>
          <w:lang w:val="cs-CZ"/>
        </w:rPr>
      </w:pPr>
      <w:r w:rsidRPr="00DD2F1B">
        <w:rPr>
          <w:sz w:val="22"/>
          <w:szCs w:val="22"/>
          <w:lang w:val="cs-CZ"/>
        </w:rPr>
        <w:t xml:space="preserve">Všechny nové zpoplatněné úseky pozemních komunikací musí být osazeny příslušným dopravním značením ke dni 1. 1. 2017. V případě, že by bylo zpoplatnění rozšířeno tak, že celková délka zpoplatněné sítě by byla zhruba 5 200 km, pak by to znamenalo příslušným značením osadit cca 4 000 km nově </w:t>
      </w:r>
      <w:r>
        <w:rPr>
          <w:sz w:val="22"/>
          <w:szCs w:val="22"/>
          <w:lang w:val="cs-CZ"/>
        </w:rPr>
        <w:t>zpoplatněných silnic I. třídy.</w:t>
      </w:r>
    </w:p>
    <w:p w:rsidR="00C06DA1" w:rsidRPr="00DD2F1B" w:rsidRDefault="00C06DA1" w:rsidP="00BE00A8">
      <w:pPr>
        <w:pBdr>
          <w:top w:val="single" w:sz="4" w:space="1" w:color="auto"/>
          <w:left w:val="single" w:sz="4" w:space="4" w:color="auto"/>
          <w:bottom w:val="single" w:sz="4" w:space="1" w:color="auto"/>
          <w:right w:val="single" w:sz="4" w:space="4" w:color="auto"/>
        </w:pBdr>
        <w:jc w:val="both"/>
        <w:rPr>
          <w:b/>
          <w:sz w:val="22"/>
          <w:szCs w:val="22"/>
          <w:lang w:val="cs-CZ"/>
        </w:rPr>
      </w:pPr>
      <w:r w:rsidRPr="00DD2F1B">
        <w:rPr>
          <w:b/>
          <w:sz w:val="22"/>
          <w:szCs w:val="22"/>
          <w:lang w:val="cs-CZ"/>
        </w:rPr>
        <w:t>Vypořádat ustanovení dodatku ke smlouvě o dodávce uzavřeného se stávajícím dodavatelem (Konsorciem Kapsch) dne 27. 12. 2007.</w:t>
      </w:r>
    </w:p>
    <w:p w:rsidR="00C06DA1" w:rsidRPr="00DD2F1B" w:rsidRDefault="00C06DA1" w:rsidP="009249F3">
      <w:pPr>
        <w:jc w:val="both"/>
        <w:rPr>
          <w:sz w:val="22"/>
          <w:szCs w:val="22"/>
          <w:lang w:val="cs-CZ"/>
        </w:rPr>
      </w:pPr>
      <w:r w:rsidRPr="00DD2F1B">
        <w:rPr>
          <w:sz w:val="22"/>
          <w:szCs w:val="22"/>
          <w:lang w:val="cs-CZ"/>
        </w:rPr>
        <w:t>Tento dodatek rozšiřuje smlouvu o dodávce nad rámec původního ujednání o nové úseky dálnic a rychlostních silnic. V dodatku je tak obsažen závazek objednatele (tj. České republiky – Ministerstva dopravy, potažmo Ředitelství silnic a dálnic ČR) objednat u Konsorcia Kapsch výstavbu mýtných bran na všech úsecích dálnic a rychlostních silnic, pro které stavební povolení nabude právní moci nejpozději do konce roku 2017.</w:t>
      </w:r>
    </w:p>
    <w:p w:rsidR="00C06DA1" w:rsidRPr="00DD2F1B" w:rsidRDefault="00C06DA1" w:rsidP="009249F3">
      <w:pPr>
        <w:jc w:val="both"/>
        <w:rPr>
          <w:sz w:val="22"/>
          <w:szCs w:val="22"/>
          <w:lang w:val="cs-CZ"/>
        </w:rPr>
      </w:pPr>
      <w:r w:rsidRPr="00DD2F1B">
        <w:rPr>
          <w:sz w:val="22"/>
          <w:szCs w:val="22"/>
          <w:lang w:val="cs-CZ"/>
        </w:rPr>
        <w:t>Pro samotné vypořádání je nutné zpracování právní analýzy dopadů tohoto dodatku po skončení smlouvy o dodáv</w:t>
      </w:r>
      <w:r>
        <w:rPr>
          <w:sz w:val="22"/>
          <w:szCs w:val="22"/>
          <w:lang w:val="cs-CZ"/>
        </w:rPr>
        <w:t>ce</w:t>
      </w:r>
      <w:r w:rsidRPr="00DD2F1B">
        <w:rPr>
          <w:sz w:val="22"/>
          <w:szCs w:val="22"/>
          <w:lang w:val="cs-CZ"/>
        </w:rPr>
        <w:t>. Ministerstvo dopravy je toho názoru, že tento dodatek nebude po ukončení smlouvy o dodávce účinný.</w:t>
      </w:r>
    </w:p>
    <w:p w:rsidR="00C06DA1" w:rsidRPr="00DD2F1B" w:rsidRDefault="00C06DA1" w:rsidP="00BE00A8">
      <w:pPr>
        <w:pBdr>
          <w:top w:val="single" w:sz="4" w:space="1" w:color="auto"/>
          <w:left w:val="single" w:sz="4" w:space="4" w:color="auto"/>
          <w:bottom w:val="single" w:sz="4" w:space="1" w:color="auto"/>
          <w:right w:val="single" w:sz="4" w:space="4" w:color="auto"/>
        </w:pBdr>
        <w:jc w:val="both"/>
        <w:rPr>
          <w:b/>
          <w:sz w:val="22"/>
          <w:szCs w:val="22"/>
          <w:lang w:val="cs-CZ"/>
        </w:rPr>
      </w:pPr>
      <w:r w:rsidRPr="00DD2F1B">
        <w:rPr>
          <w:b/>
          <w:sz w:val="22"/>
          <w:szCs w:val="22"/>
          <w:lang w:val="cs-CZ"/>
        </w:rPr>
        <w:t xml:space="preserve">Vyřešit přechod ze stávajícího do nového systému </w:t>
      </w:r>
    </w:p>
    <w:p w:rsidR="00C06DA1" w:rsidRPr="00DD2F1B" w:rsidRDefault="00C06DA1" w:rsidP="009249F3">
      <w:pPr>
        <w:jc w:val="both"/>
        <w:rPr>
          <w:sz w:val="22"/>
          <w:szCs w:val="22"/>
          <w:lang w:val="cs-CZ"/>
        </w:rPr>
      </w:pPr>
      <w:r w:rsidRPr="00DD2F1B">
        <w:rPr>
          <w:sz w:val="22"/>
          <w:szCs w:val="22"/>
          <w:lang w:val="cs-CZ"/>
        </w:rPr>
        <w:t>V případě, že bude vybudován nový mýtný systém (přičemž nový systém může obsáhnout i některé komponenty stávajícího systému, např. kontrolní brány), pak je nutné vyřešit přechod ze stávajícího do nového systému a utlumení stávajícího systému. Především jde o možný, časově omezený souběh činnosti starého a nového systému. Je třeba vzít do úvahy případnou nutnost organizačně a věcně zajistit výměnu elektronických palubních zařízení ve statisících vozidel.</w:t>
      </w:r>
    </w:p>
    <w:p w:rsidR="00C06DA1" w:rsidRPr="00DD2F1B" w:rsidRDefault="00C06DA1" w:rsidP="00BE00A8">
      <w:pPr>
        <w:pStyle w:val="Nadpis1"/>
        <w:rPr>
          <w:sz w:val="40"/>
          <w:szCs w:val="40"/>
          <w:lang w:val="cs-CZ"/>
        </w:rPr>
      </w:pPr>
      <w:r w:rsidRPr="00DD2F1B">
        <w:rPr>
          <w:sz w:val="40"/>
          <w:szCs w:val="40"/>
          <w:lang w:val="cs-CZ"/>
        </w:rPr>
        <w:br w:type="page"/>
      </w:r>
      <w:bookmarkStart w:id="90" w:name="_Toc368063544"/>
      <w:bookmarkStart w:id="91" w:name="_Toc370398445"/>
      <w:r w:rsidRPr="00DD2F1B">
        <w:rPr>
          <w:sz w:val="40"/>
          <w:szCs w:val="40"/>
          <w:lang w:val="cs-CZ"/>
        </w:rPr>
        <w:lastRenderedPageBreak/>
        <w:t>PRÁVNÍ ASPEKTY</w:t>
      </w:r>
      <w:bookmarkEnd w:id="90"/>
      <w:bookmarkEnd w:id="91"/>
      <w:r w:rsidRPr="00DD2F1B">
        <w:rPr>
          <w:sz w:val="40"/>
          <w:szCs w:val="40"/>
          <w:lang w:val="cs-CZ"/>
        </w:rPr>
        <w:t xml:space="preserve"> </w:t>
      </w:r>
    </w:p>
    <w:p w:rsidR="00C06DA1" w:rsidRPr="00DD2F1B" w:rsidRDefault="00C06DA1" w:rsidP="00C67F77">
      <w:pPr>
        <w:jc w:val="both"/>
        <w:rPr>
          <w:sz w:val="22"/>
          <w:szCs w:val="22"/>
          <w:lang w:val="cs-CZ" w:eastAsia="cs-CZ"/>
        </w:rPr>
      </w:pPr>
      <w:r w:rsidRPr="00DD2F1B">
        <w:rPr>
          <w:sz w:val="22"/>
          <w:szCs w:val="22"/>
          <w:lang w:val="cs-CZ" w:eastAsia="cs-CZ"/>
        </w:rPr>
        <w:t>Provoz SEM v období od 1. 1. 2017, pakliže by měl být opět zajišťován formou externích dodávek a služeb, bude nezbytně nutně spojen s výdajem finančních prostředků z veřejných rozpočtů. Výběr dodavatele a/nebo p</w:t>
      </w:r>
      <w:r>
        <w:rPr>
          <w:sz w:val="22"/>
          <w:szCs w:val="22"/>
          <w:lang w:val="cs-CZ" w:eastAsia="cs-CZ"/>
        </w:rPr>
        <w:t>oskytovatele služeb s provozem SEM souvisejících</w:t>
      </w:r>
      <w:r w:rsidRPr="00DD2F1B">
        <w:rPr>
          <w:sz w:val="22"/>
          <w:szCs w:val="22"/>
          <w:lang w:val="cs-CZ" w:eastAsia="cs-CZ"/>
        </w:rPr>
        <w:t xml:space="preserve"> proto bude nutně podléhat režimu zákona č. 137/2006 Sb., o veřejných zakázkách, ve znění pozdějších předpisů (dále také „ZVZ“), a takový dodavatel či </w:t>
      </w:r>
      <w:r>
        <w:rPr>
          <w:sz w:val="22"/>
          <w:szCs w:val="22"/>
          <w:lang w:val="cs-CZ" w:eastAsia="cs-CZ"/>
        </w:rPr>
        <w:t xml:space="preserve">poskytovatel </w:t>
      </w:r>
      <w:r w:rsidRPr="00DD2F1B">
        <w:rPr>
          <w:sz w:val="22"/>
          <w:szCs w:val="22"/>
          <w:lang w:val="cs-CZ" w:eastAsia="cs-CZ"/>
        </w:rPr>
        <w:t>(společně rovněž dále také „dodavatel“) bude muset být vybrán na základě některého ze zadávacích řízení definovaných v ZVZ, a to jako nadlimitní veřejná zakázka.</w:t>
      </w:r>
    </w:p>
    <w:p w:rsidR="00C06DA1" w:rsidRDefault="00C06DA1" w:rsidP="00C67F77">
      <w:pPr>
        <w:jc w:val="both"/>
        <w:rPr>
          <w:sz w:val="22"/>
          <w:szCs w:val="22"/>
          <w:lang w:val="cs-CZ" w:eastAsia="cs-CZ"/>
        </w:rPr>
      </w:pPr>
      <w:r w:rsidRPr="00DD2F1B">
        <w:rPr>
          <w:sz w:val="22"/>
          <w:szCs w:val="22"/>
          <w:lang w:val="cs-CZ" w:eastAsia="cs-CZ"/>
        </w:rPr>
        <w:t>Případ, kdy by si provoz SEM od 1. 1. 2017 zajišťovalo samo ŘSD, vykazuje zcela odlišné právní aspekty a </w:t>
      </w:r>
      <w:r>
        <w:rPr>
          <w:sz w:val="22"/>
          <w:szCs w:val="22"/>
          <w:lang w:val="cs-CZ" w:eastAsia="cs-CZ"/>
        </w:rPr>
        <w:t>není předmětem tohoto materiálu. V případě, že by ŘSD zastalo služby, které mu v současné době poskytuje konsorcium společností Kapsch, pak by ŘSD poptávalo pouze dílčí služby a s největší pravděpodobností by byl provozován stávající SEM, který je v jeho vlastnictví. Další omezující faktor je případná změna subjektivity ŘSD, která v současné době není aktuální, proto také tento materiál se touto alternativou nezabývá.</w:t>
      </w:r>
    </w:p>
    <w:p w:rsidR="00C06DA1" w:rsidRPr="00DD2F1B" w:rsidRDefault="00C06DA1" w:rsidP="00C67F77">
      <w:pPr>
        <w:jc w:val="both"/>
        <w:rPr>
          <w:sz w:val="22"/>
          <w:szCs w:val="22"/>
          <w:lang w:val="cs-CZ" w:eastAsia="cs-CZ"/>
        </w:rPr>
      </w:pPr>
      <w:r>
        <w:rPr>
          <w:sz w:val="22"/>
          <w:szCs w:val="22"/>
          <w:lang w:val="cs-CZ" w:eastAsia="cs-CZ"/>
        </w:rPr>
        <w:t>Pro potřeby této kapitoly jsou v textu uváděny dva pojmy vycházející z principu zadávacích řízení. Jedním pojmem je jednací řízení bez uveřejnění, které je definováno § 34 ZVZ, a druhým pojmem je standardní zadávací řízení. Standardním zadávacím řízením je pro potřeby tohoto dokumentu myšleno především otevřené řízení, které je definováno § 27 ZVZ, avšak nelze vyloučit, že případný dodavatel systému či poskytovatel služeb souvisejících s provozem tohoto systému bude vybrán v rámci užšího řízení či soutěžního dialogu.</w:t>
      </w:r>
    </w:p>
    <w:p w:rsidR="00C06DA1" w:rsidRPr="00DD2F1B" w:rsidRDefault="00C06DA1" w:rsidP="00C67F77">
      <w:pPr>
        <w:jc w:val="both"/>
        <w:rPr>
          <w:sz w:val="22"/>
          <w:szCs w:val="22"/>
          <w:lang w:val="cs-CZ" w:eastAsia="cs-CZ"/>
        </w:rPr>
      </w:pPr>
      <w:r w:rsidRPr="00DD2F1B">
        <w:rPr>
          <w:sz w:val="22"/>
          <w:szCs w:val="22"/>
          <w:lang w:val="cs-CZ" w:eastAsia="cs-CZ"/>
        </w:rPr>
        <w:t>V úvahu přicházejí v daném případě v zásadě následující čtyři teoretické postupy zadavatele (zřejmě Ředitelství silnic a dálnic ČR) při výběru dodavatele SEM.</w:t>
      </w:r>
    </w:p>
    <w:p w:rsidR="00C06DA1" w:rsidRPr="00DD2F1B" w:rsidRDefault="00C06DA1" w:rsidP="00C67F77">
      <w:pPr>
        <w:pStyle w:val="Nadpis2"/>
        <w:rPr>
          <w:sz w:val="28"/>
          <w:szCs w:val="28"/>
          <w:lang w:val="cs-CZ"/>
        </w:rPr>
      </w:pPr>
      <w:r w:rsidRPr="00DD2F1B">
        <w:rPr>
          <w:sz w:val="28"/>
          <w:szCs w:val="28"/>
          <w:lang w:val="cs-CZ"/>
        </w:rPr>
        <w:br w:type="page"/>
      </w:r>
      <w:bookmarkStart w:id="92" w:name="_Toc368063545"/>
      <w:bookmarkStart w:id="93" w:name="_Toc370398446"/>
      <w:r w:rsidRPr="00DD2F1B">
        <w:rPr>
          <w:sz w:val="28"/>
          <w:szCs w:val="28"/>
          <w:lang w:val="cs-CZ"/>
        </w:rPr>
        <w:lastRenderedPageBreak/>
        <w:t>Standardní zadávací řízení na provoz stávajícího SEM pro další stanovené období</w:t>
      </w:r>
      <w:bookmarkEnd w:id="92"/>
      <w:bookmarkEnd w:id="93"/>
    </w:p>
    <w:p w:rsidR="00C06DA1" w:rsidRPr="00DD2F1B" w:rsidRDefault="00C06DA1" w:rsidP="00C67F77">
      <w:pPr>
        <w:jc w:val="both"/>
        <w:rPr>
          <w:sz w:val="22"/>
          <w:szCs w:val="22"/>
          <w:lang w:val="cs-CZ" w:eastAsia="cs-CZ"/>
        </w:rPr>
      </w:pPr>
      <w:r w:rsidRPr="00DD2F1B">
        <w:rPr>
          <w:sz w:val="22"/>
          <w:szCs w:val="22"/>
          <w:lang w:val="cs-CZ" w:eastAsia="cs-CZ"/>
        </w:rPr>
        <w:t>Tato varianta bude použita v případě, že bude rozhodnuto o výběru mýtného pro další období prostřednictvím stávajícího SEM. V takovém případě bude realizováno standardní zadávací řízení na výběr poskytovatele komplexních služeb spojených s provozem stávajícího SEM. Předmětem plnění budou především služby spojené s provozem SEM, případně rovněž nezbytně nutné dodávky spojené s potřebnou úpravou stávajícího SEM. Nový dodavatel bude muset zajistit funkčnost všech částí SEM, které nejsou v majetku ČR (např. clearingový systém, kontaktní a distribuční místa apod.).</w:t>
      </w:r>
    </w:p>
    <w:p w:rsidR="00C06DA1" w:rsidRPr="00DD2F1B" w:rsidRDefault="00C06DA1" w:rsidP="00800F3C">
      <w:pPr>
        <w:spacing w:before="120" w:after="0" w:line="240" w:lineRule="auto"/>
        <w:jc w:val="both"/>
        <w:rPr>
          <w:b/>
          <w:sz w:val="22"/>
          <w:szCs w:val="22"/>
          <w:lang w:val="cs-CZ" w:eastAsia="cs-CZ"/>
        </w:rPr>
      </w:pPr>
      <w:r w:rsidRPr="00DD2F1B">
        <w:rPr>
          <w:b/>
          <w:sz w:val="22"/>
          <w:szCs w:val="22"/>
          <w:lang w:val="cs-CZ" w:eastAsia="cs-CZ"/>
        </w:rPr>
        <w:t>Výhody:</w:t>
      </w:r>
    </w:p>
    <w:p w:rsidR="00C06DA1" w:rsidRPr="00DD2F1B" w:rsidRDefault="00C06DA1" w:rsidP="00800F3C">
      <w:pPr>
        <w:numPr>
          <w:ilvl w:val="0"/>
          <w:numId w:val="11"/>
        </w:numPr>
        <w:spacing w:before="120" w:after="0" w:line="240" w:lineRule="auto"/>
        <w:ind w:left="714" w:hanging="357"/>
        <w:jc w:val="both"/>
        <w:rPr>
          <w:sz w:val="22"/>
          <w:szCs w:val="22"/>
          <w:lang w:val="cs-CZ"/>
        </w:rPr>
      </w:pPr>
      <w:r w:rsidRPr="00DD2F1B">
        <w:rPr>
          <w:sz w:val="22"/>
          <w:szCs w:val="22"/>
          <w:lang w:val="cs-CZ"/>
        </w:rPr>
        <w:t>využití stávajícího majetku ČR pro další období;</w:t>
      </w:r>
    </w:p>
    <w:p w:rsidR="00C06DA1" w:rsidRPr="00DD2F1B" w:rsidRDefault="00C06DA1" w:rsidP="00800F3C">
      <w:pPr>
        <w:numPr>
          <w:ilvl w:val="0"/>
          <w:numId w:val="11"/>
        </w:numPr>
        <w:spacing w:before="120" w:after="0" w:line="240" w:lineRule="auto"/>
        <w:ind w:left="714" w:hanging="357"/>
        <w:jc w:val="both"/>
        <w:rPr>
          <w:sz w:val="22"/>
          <w:szCs w:val="22"/>
          <w:lang w:val="cs-CZ"/>
        </w:rPr>
      </w:pPr>
      <w:r w:rsidRPr="00DD2F1B">
        <w:rPr>
          <w:sz w:val="22"/>
          <w:szCs w:val="22"/>
          <w:lang w:val="cs-CZ"/>
        </w:rPr>
        <w:t>účinnost stávajícího SEM je ověřena, při řádném poskytování služeb ji lze i nadále očekávat;</w:t>
      </w:r>
    </w:p>
    <w:p w:rsidR="00C06DA1" w:rsidRPr="00DD2F1B" w:rsidRDefault="00C06DA1" w:rsidP="00800F3C">
      <w:pPr>
        <w:numPr>
          <w:ilvl w:val="0"/>
          <w:numId w:val="11"/>
        </w:numPr>
        <w:spacing w:before="120" w:after="0" w:line="240" w:lineRule="auto"/>
        <w:ind w:left="714" w:hanging="357"/>
        <w:jc w:val="both"/>
        <w:rPr>
          <w:sz w:val="22"/>
          <w:szCs w:val="22"/>
          <w:lang w:val="cs-CZ"/>
        </w:rPr>
      </w:pPr>
      <w:r w:rsidRPr="00DD2F1B">
        <w:rPr>
          <w:sz w:val="22"/>
          <w:szCs w:val="22"/>
          <w:lang w:val="cs-CZ"/>
        </w:rPr>
        <w:t>dodávky mýtných bran na nově postavené úseky dálnic a rychlostních silnic (s právní mocí stavebního povolení do 31. 12. 2017) budou zajištěny stávajícími smlouvami s Konsorciem Kapsch;</w:t>
      </w:r>
    </w:p>
    <w:p w:rsidR="00C06DA1" w:rsidRPr="00DD2F1B" w:rsidRDefault="00C06DA1" w:rsidP="00800F3C">
      <w:pPr>
        <w:numPr>
          <w:ilvl w:val="0"/>
          <w:numId w:val="11"/>
        </w:numPr>
        <w:spacing w:before="120" w:after="0" w:line="240" w:lineRule="auto"/>
        <w:ind w:left="714" w:hanging="357"/>
        <w:jc w:val="both"/>
        <w:rPr>
          <w:sz w:val="22"/>
          <w:szCs w:val="22"/>
          <w:lang w:val="cs-CZ"/>
        </w:rPr>
      </w:pPr>
      <w:r w:rsidRPr="00DD2F1B">
        <w:rPr>
          <w:sz w:val="22"/>
          <w:szCs w:val="22"/>
          <w:lang w:val="cs-CZ"/>
        </w:rPr>
        <w:t>v případě významného rozšíření sítě zpoplatněných pozemních komunikací bude možno využít již realizované „hybridní rozhraní“ SEM a připojit ke stávajícímu SEM satelitní subsystém; dodávka tohoto subsystému může být součástí předmětu tohoto zadávacího řízení, nebo může být realizována na základě samostatného zadávacího řízení.</w:t>
      </w:r>
    </w:p>
    <w:p w:rsidR="00C06DA1" w:rsidRPr="00DD2F1B" w:rsidRDefault="00C06DA1" w:rsidP="00800F3C">
      <w:pPr>
        <w:spacing w:before="120" w:after="0" w:line="240" w:lineRule="auto"/>
        <w:jc w:val="both"/>
        <w:rPr>
          <w:b/>
          <w:sz w:val="22"/>
          <w:szCs w:val="22"/>
          <w:lang w:val="cs-CZ" w:eastAsia="cs-CZ"/>
        </w:rPr>
      </w:pPr>
      <w:r w:rsidRPr="00DD2F1B">
        <w:rPr>
          <w:b/>
          <w:sz w:val="22"/>
          <w:szCs w:val="22"/>
          <w:lang w:val="cs-CZ" w:eastAsia="cs-CZ"/>
        </w:rPr>
        <w:t>Rizika:</w:t>
      </w:r>
    </w:p>
    <w:p w:rsidR="00C06DA1" w:rsidRPr="00DD2F1B" w:rsidRDefault="00C06DA1" w:rsidP="00800F3C">
      <w:pPr>
        <w:numPr>
          <w:ilvl w:val="0"/>
          <w:numId w:val="12"/>
        </w:numPr>
        <w:spacing w:before="120" w:after="0" w:line="240" w:lineRule="auto"/>
        <w:ind w:left="714" w:hanging="357"/>
        <w:jc w:val="both"/>
        <w:rPr>
          <w:sz w:val="22"/>
          <w:szCs w:val="22"/>
          <w:lang w:val="cs-CZ"/>
        </w:rPr>
      </w:pPr>
      <w:r w:rsidRPr="00DD2F1B">
        <w:rPr>
          <w:sz w:val="22"/>
          <w:szCs w:val="22"/>
          <w:lang w:val="cs-CZ"/>
        </w:rPr>
        <w:t>není zřejmé, zda pro případné rozšíření stávajícího SEM či softwarové úpravy nebude z technického hlediska nezbytná součinnost původního dodavatele, tj. Konsorcia Kapsch;</w:t>
      </w:r>
    </w:p>
    <w:p w:rsidR="00C06DA1" w:rsidRPr="00DD2F1B" w:rsidRDefault="00C06DA1" w:rsidP="00800F3C">
      <w:pPr>
        <w:numPr>
          <w:ilvl w:val="0"/>
          <w:numId w:val="12"/>
        </w:numPr>
        <w:spacing w:before="120" w:after="0" w:line="240" w:lineRule="auto"/>
        <w:ind w:left="714" w:hanging="357"/>
        <w:jc w:val="both"/>
        <w:rPr>
          <w:sz w:val="22"/>
          <w:szCs w:val="22"/>
          <w:lang w:val="cs-CZ"/>
        </w:rPr>
      </w:pPr>
      <w:r w:rsidRPr="00DD2F1B">
        <w:rPr>
          <w:sz w:val="22"/>
          <w:szCs w:val="22"/>
          <w:lang w:val="cs-CZ"/>
        </w:rPr>
        <w:t>není zřejmé, zda budou jiní odborně způsobilí dodavatelé technicky schopni převzít provozování SEM;</w:t>
      </w:r>
    </w:p>
    <w:p w:rsidR="00C06DA1" w:rsidRPr="00DD2F1B" w:rsidRDefault="00C06DA1" w:rsidP="00800F3C">
      <w:pPr>
        <w:numPr>
          <w:ilvl w:val="0"/>
          <w:numId w:val="12"/>
        </w:numPr>
        <w:spacing w:before="120" w:after="0" w:line="240" w:lineRule="auto"/>
        <w:ind w:left="714" w:hanging="357"/>
        <w:jc w:val="both"/>
        <w:rPr>
          <w:sz w:val="22"/>
          <w:szCs w:val="22"/>
          <w:lang w:val="cs-CZ"/>
        </w:rPr>
      </w:pPr>
      <w:r w:rsidRPr="00DD2F1B">
        <w:rPr>
          <w:sz w:val="22"/>
          <w:szCs w:val="22"/>
          <w:lang w:val="cs-CZ"/>
        </w:rPr>
        <w:t>není zřejmé, zda budou jiní odborně způsobilí dodavatelé schopni nahradit plnění, které stávající dodavatel zajišťuje subdodavatelsky (např. clearingový systém ČSOB, Eltodo atd.);</w:t>
      </w:r>
    </w:p>
    <w:p w:rsidR="00C06DA1" w:rsidRPr="00DD2F1B" w:rsidRDefault="00C06DA1" w:rsidP="00800F3C">
      <w:pPr>
        <w:numPr>
          <w:ilvl w:val="0"/>
          <w:numId w:val="12"/>
        </w:numPr>
        <w:spacing w:before="120" w:after="0" w:line="240" w:lineRule="auto"/>
        <w:ind w:left="714" w:hanging="357"/>
        <w:jc w:val="both"/>
        <w:rPr>
          <w:sz w:val="22"/>
          <w:szCs w:val="22"/>
          <w:lang w:val="cs-CZ"/>
        </w:rPr>
      </w:pPr>
      <w:r w:rsidRPr="00DD2F1B">
        <w:rPr>
          <w:sz w:val="22"/>
          <w:szCs w:val="22"/>
          <w:lang w:val="cs-CZ"/>
        </w:rPr>
        <w:t>není zřejmé, zda budou jiní odborně způsobilí dodavatelé schopni dodávat do systému kompatibilní OBE;</w:t>
      </w:r>
    </w:p>
    <w:p w:rsidR="00C06DA1" w:rsidRPr="00DD2F1B" w:rsidRDefault="00C06DA1" w:rsidP="00800F3C">
      <w:pPr>
        <w:numPr>
          <w:ilvl w:val="0"/>
          <w:numId w:val="12"/>
        </w:numPr>
        <w:spacing w:before="120" w:after="0" w:line="240" w:lineRule="auto"/>
        <w:ind w:left="714" w:hanging="357"/>
        <w:jc w:val="both"/>
        <w:rPr>
          <w:sz w:val="22"/>
          <w:szCs w:val="22"/>
          <w:lang w:val="cs-CZ"/>
        </w:rPr>
      </w:pPr>
      <w:r w:rsidRPr="00DD2F1B">
        <w:rPr>
          <w:sz w:val="22"/>
          <w:szCs w:val="22"/>
          <w:lang w:val="cs-CZ"/>
        </w:rPr>
        <w:t>v rámci zadávacího řízení bude zřejmě (z podstaty věci) do určité míry zvýhodněn stávající poskytovatel služeb;</w:t>
      </w:r>
    </w:p>
    <w:p w:rsidR="00C06DA1" w:rsidRPr="00DD2F1B" w:rsidRDefault="00C06DA1" w:rsidP="00800F3C">
      <w:pPr>
        <w:numPr>
          <w:ilvl w:val="0"/>
          <w:numId w:val="12"/>
        </w:numPr>
        <w:spacing w:before="120" w:after="0" w:line="240" w:lineRule="auto"/>
        <w:ind w:left="714" w:hanging="357"/>
        <w:jc w:val="both"/>
        <w:rPr>
          <w:sz w:val="22"/>
          <w:szCs w:val="22"/>
          <w:lang w:val="cs-CZ"/>
        </w:rPr>
      </w:pPr>
      <w:r w:rsidRPr="00DD2F1B">
        <w:rPr>
          <w:sz w:val="22"/>
          <w:szCs w:val="22"/>
          <w:lang w:val="cs-CZ"/>
        </w:rPr>
        <w:t>nebude jednoznačně prokázáno, že tato varianta přinese finanční úspory oproti pořízení zcela nového SEM;</w:t>
      </w:r>
    </w:p>
    <w:p w:rsidR="00C06DA1" w:rsidRPr="00DD2F1B" w:rsidRDefault="00C06DA1" w:rsidP="00800F3C">
      <w:pPr>
        <w:numPr>
          <w:ilvl w:val="0"/>
          <w:numId w:val="12"/>
        </w:numPr>
        <w:spacing w:before="120" w:after="0" w:line="240" w:lineRule="auto"/>
        <w:ind w:left="714" w:hanging="357"/>
        <w:jc w:val="both"/>
        <w:rPr>
          <w:sz w:val="22"/>
          <w:szCs w:val="22"/>
          <w:lang w:val="cs-CZ"/>
        </w:rPr>
      </w:pPr>
      <w:r w:rsidRPr="00DD2F1B">
        <w:rPr>
          <w:sz w:val="22"/>
          <w:szCs w:val="22"/>
          <w:lang w:val="cs-CZ"/>
        </w:rPr>
        <w:t>pokud by nabídku podal pouze stávající poskytovatel služeb, muselo by být zadávací řízení zrušeno a hledána náhradní varianta;</w:t>
      </w:r>
    </w:p>
    <w:p w:rsidR="00C06DA1" w:rsidRPr="00DD2F1B" w:rsidRDefault="00C06DA1" w:rsidP="00800F3C">
      <w:pPr>
        <w:numPr>
          <w:ilvl w:val="0"/>
          <w:numId w:val="12"/>
        </w:numPr>
        <w:spacing w:before="120" w:after="0" w:line="240" w:lineRule="auto"/>
        <w:ind w:left="714" w:hanging="357"/>
        <w:jc w:val="both"/>
        <w:rPr>
          <w:sz w:val="22"/>
          <w:szCs w:val="22"/>
          <w:lang w:val="cs-CZ"/>
        </w:rPr>
      </w:pPr>
      <w:r w:rsidRPr="00DD2F1B">
        <w:rPr>
          <w:sz w:val="22"/>
          <w:szCs w:val="22"/>
          <w:lang w:val="cs-CZ"/>
        </w:rPr>
        <w:t>lze očekávat námitky dodavatelů z důvodu omezení technologického řešení zakázky.</w:t>
      </w:r>
    </w:p>
    <w:p w:rsidR="00C06DA1" w:rsidRPr="00DD2F1B" w:rsidRDefault="00C06DA1" w:rsidP="00C67F77">
      <w:pPr>
        <w:pStyle w:val="Nadpis2"/>
        <w:rPr>
          <w:sz w:val="28"/>
          <w:szCs w:val="28"/>
          <w:lang w:val="cs-CZ"/>
        </w:rPr>
      </w:pPr>
      <w:r w:rsidRPr="00DD2F1B">
        <w:rPr>
          <w:sz w:val="28"/>
          <w:szCs w:val="28"/>
          <w:lang w:val="cs-CZ"/>
        </w:rPr>
        <w:br w:type="page"/>
      </w:r>
      <w:bookmarkStart w:id="94" w:name="_Toc368063546"/>
      <w:bookmarkStart w:id="95" w:name="_Toc370398447"/>
      <w:r w:rsidRPr="00DD2F1B">
        <w:rPr>
          <w:sz w:val="28"/>
          <w:szCs w:val="28"/>
          <w:lang w:val="cs-CZ"/>
        </w:rPr>
        <w:lastRenderedPageBreak/>
        <w:t>Standardní zadávací řízení na dodávku zcela nového SEM a jeho následný provoz po stanovené období</w:t>
      </w:r>
      <w:bookmarkEnd w:id="94"/>
      <w:bookmarkEnd w:id="95"/>
    </w:p>
    <w:p w:rsidR="00C06DA1" w:rsidRPr="00DD2F1B" w:rsidRDefault="00C06DA1" w:rsidP="008078E9">
      <w:pPr>
        <w:jc w:val="both"/>
        <w:rPr>
          <w:sz w:val="22"/>
          <w:szCs w:val="22"/>
          <w:lang w:val="cs-CZ" w:eastAsia="cs-CZ"/>
        </w:rPr>
      </w:pPr>
      <w:r w:rsidRPr="00DD2F1B">
        <w:rPr>
          <w:sz w:val="22"/>
          <w:szCs w:val="22"/>
          <w:lang w:val="cs-CZ" w:eastAsia="cs-CZ"/>
        </w:rPr>
        <w:t>Tato varianta bude použita v případě, že bude rozhodnuto o výběru mýtného prostřednictvím zcela nového SEM. V takovém případě bude realizováno standardní zadávací řízení na výběr dodavatele nového SEM, který bude následně rovněž jeho provozovatelem resp. poskytovatelem komplexních služeb spojených s provozem stávajícího SEM. Nový SEM může být koncipován buď jako dodávka s následnými službami (SEM bude po dokončení majetkem ČR), nebo formou komplexní služby provozování (SEM se nestává majetkem ČR). Tato varianta přináší nutné vedlejší náklady na likvidaci stávajícího SEM.</w:t>
      </w:r>
    </w:p>
    <w:p w:rsidR="00C06DA1" w:rsidRPr="00DD2F1B" w:rsidRDefault="00C06DA1" w:rsidP="00800F3C">
      <w:pPr>
        <w:spacing w:before="120" w:after="120" w:line="240" w:lineRule="auto"/>
        <w:jc w:val="both"/>
        <w:rPr>
          <w:b/>
          <w:sz w:val="22"/>
          <w:szCs w:val="22"/>
          <w:lang w:val="cs-CZ" w:eastAsia="cs-CZ"/>
        </w:rPr>
      </w:pPr>
      <w:r w:rsidRPr="00DD2F1B">
        <w:rPr>
          <w:b/>
          <w:sz w:val="22"/>
          <w:szCs w:val="22"/>
          <w:lang w:val="cs-CZ" w:eastAsia="cs-CZ"/>
        </w:rPr>
        <w:t>Výhody:</w:t>
      </w:r>
    </w:p>
    <w:p w:rsidR="00C06DA1" w:rsidRPr="00DD2F1B" w:rsidRDefault="00C06DA1" w:rsidP="00800F3C">
      <w:pPr>
        <w:numPr>
          <w:ilvl w:val="0"/>
          <w:numId w:val="14"/>
        </w:numPr>
        <w:spacing w:before="120" w:after="120" w:line="240" w:lineRule="auto"/>
        <w:ind w:left="714" w:hanging="357"/>
        <w:jc w:val="both"/>
        <w:rPr>
          <w:sz w:val="22"/>
          <w:szCs w:val="22"/>
          <w:lang w:val="cs-CZ"/>
        </w:rPr>
      </w:pPr>
      <w:r w:rsidRPr="00DD2F1B">
        <w:rPr>
          <w:sz w:val="22"/>
          <w:szCs w:val="22"/>
          <w:lang w:val="cs-CZ"/>
        </w:rPr>
        <w:t>vybudování nového systému, s největší pravděpodobností satelitního (GNSS/CN);</w:t>
      </w:r>
    </w:p>
    <w:p w:rsidR="00C06DA1" w:rsidRPr="00DD2F1B" w:rsidRDefault="00C06DA1" w:rsidP="00800F3C">
      <w:pPr>
        <w:numPr>
          <w:ilvl w:val="0"/>
          <w:numId w:val="14"/>
        </w:numPr>
        <w:spacing w:before="120" w:after="120" w:line="240" w:lineRule="auto"/>
        <w:jc w:val="both"/>
        <w:rPr>
          <w:sz w:val="22"/>
          <w:szCs w:val="22"/>
          <w:lang w:val="cs-CZ"/>
        </w:rPr>
      </w:pPr>
      <w:r w:rsidRPr="00DD2F1B">
        <w:rPr>
          <w:sz w:val="22"/>
          <w:szCs w:val="22"/>
          <w:lang w:val="cs-CZ"/>
        </w:rPr>
        <w:t>oproti stávajícímu SEM zřejmě nižší dodatečné náklady na další rozšiřování sítě zpoplatněných pozemních komunikací (zejména při výstavbě nových úseků dálnic a rychlostních silnic);</w:t>
      </w:r>
    </w:p>
    <w:p w:rsidR="00C06DA1" w:rsidRPr="00DD2F1B" w:rsidRDefault="00C06DA1" w:rsidP="00800F3C">
      <w:pPr>
        <w:numPr>
          <w:ilvl w:val="0"/>
          <w:numId w:val="14"/>
        </w:numPr>
        <w:spacing w:before="120" w:after="120" w:line="240" w:lineRule="auto"/>
        <w:jc w:val="both"/>
        <w:rPr>
          <w:sz w:val="22"/>
          <w:szCs w:val="22"/>
          <w:lang w:val="cs-CZ"/>
        </w:rPr>
      </w:pPr>
      <w:r w:rsidRPr="00DD2F1B">
        <w:rPr>
          <w:sz w:val="22"/>
          <w:szCs w:val="22"/>
          <w:lang w:val="cs-CZ"/>
        </w:rPr>
        <w:t>odpadá riziko nezbytnosti součinnosti Konsorcia Kapsch s provozem nového SEM a s dodávkami dodatečných komponent (OBE, nové mýtné brány, upgrade software).</w:t>
      </w:r>
    </w:p>
    <w:p w:rsidR="00C06DA1" w:rsidRPr="00DD2F1B" w:rsidRDefault="00C06DA1" w:rsidP="00800F3C">
      <w:pPr>
        <w:spacing w:before="120" w:after="120" w:line="240" w:lineRule="auto"/>
        <w:jc w:val="both"/>
        <w:rPr>
          <w:b/>
          <w:sz w:val="22"/>
          <w:szCs w:val="22"/>
          <w:lang w:val="cs-CZ" w:eastAsia="cs-CZ"/>
        </w:rPr>
      </w:pPr>
      <w:r w:rsidRPr="00DD2F1B">
        <w:rPr>
          <w:b/>
          <w:sz w:val="22"/>
          <w:szCs w:val="22"/>
          <w:lang w:val="cs-CZ" w:eastAsia="cs-CZ"/>
        </w:rPr>
        <w:t>Rizika:</w:t>
      </w:r>
    </w:p>
    <w:p w:rsidR="00C06DA1" w:rsidRPr="00DD2F1B" w:rsidRDefault="00C06DA1" w:rsidP="00800F3C">
      <w:pPr>
        <w:numPr>
          <w:ilvl w:val="0"/>
          <w:numId w:val="13"/>
        </w:numPr>
        <w:spacing w:before="120" w:after="120" w:line="240" w:lineRule="auto"/>
        <w:jc w:val="both"/>
        <w:rPr>
          <w:sz w:val="22"/>
          <w:szCs w:val="22"/>
          <w:lang w:val="cs-CZ"/>
        </w:rPr>
      </w:pPr>
      <w:r w:rsidRPr="00DD2F1B">
        <w:rPr>
          <w:sz w:val="22"/>
          <w:szCs w:val="22"/>
          <w:lang w:val="cs-CZ"/>
        </w:rPr>
        <w:t>nevyužití stávajícího majetku ČR pro další období, nutné dodatečné náklady na likvidaci stávajícího SEM, lze očekávat kritiku NKÚ;</w:t>
      </w:r>
    </w:p>
    <w:p w:rsidR="00C06DA1" w:rsidRPr="00DD2F1B" w:rsidRDefault="00C06DA1" w:rsidP="00800F3C">
      <w:pPr>
        <w:numPr>
          <w:ilvl w:val="0"/>
          <w:numId w:val="13"/>
        </w:numPr>
        <w:spacing w:before="120" w:after="120" w:line="240" w:lineRule="auto"/>
        <w:jc w:val="both"/>
        <w:rPr>
          <w:sz w:val="22"/>
          <w:szCs w:val="22"/>
          <w:lang w:val="cs-CZ"/>
        </w:rPr>
      </w:pPr>
      <w:r w:rsidRPr="00DD2F1B">
        <w:rPr>
          <w:sz w:val="22"/>
          <w:szCs w:val="22"/>
          <w:lang w:val="cs-CZ"/>
        </w:rPr>
        <w:t>nejistá míra účinnosti nového SEM;</w:t>
      </w:r>
    </w:p>
    <w:p w:rsidR="00C06DA1" w:rsidRPr="00DD2F1B" w:rsidRDefault="00C06DA1" w:rsidP="00800F3C">
      <w:pPr>
        <w:numPr>
          <w:ilvl w:val="0"/>
          <w:numId w:val="13"/>
        </w:numPr>
        <w:spacing w:before="120" w:after="120" w:line="240" w:lineRule="auto"/>
        <w:jc w:val="both"/>
        <w:rPr>
          <w:sz w:val="22"/>
          <w:szCs w:val="22"/>
          <w:lang w:val="cs-CZ"/>
        </w:rPr>
      </w:pPr>
      <w:r w:rsidRPr="00DD2F1B">
        <w:rPr>
          <w:sz w:val="22"/>
          <w:szCs w:val="22"/>
          <w:lang w:val="cs-CZ"/>
        </w:rPr>
        <w:t>riziko nedokončení nového SEM včas, tj. k 1. 1. 2017;</w:t>
      </w:r>
    </w:p>
    <w:p w:rsidR="00C06DA1" w:rsidRPr="00DD2F1B" w:rsidRDefault="00C06DA1" w:rsidP="00800F3C">
      <w:pPr>
        <w:numPr>
          <w:ilvl w:val="0"/>
          <w:numId w:val="13"/>
        </w:numPr>
        <w:spacing w:before="120" w:after="120" w:line="240" w:lineRule="auto"/>
        <w:jc w:val="both"/>
        <w:rPr>
          <w:sz w:val="22"/>
          <w:szCs w:val="22"/>
          <w:lang w:val="cs-CZ"/>
        </w:rPr>
      </w:pPr>
      <w:r w:rsidRPr="00DD2F1B">
        <w:rPr>
          <w:sz w:val="22"/>
          <w:szCs w:val="22"/>
          <w:lang w:val="cs-CZ"/>
        </w:rPr>
        <w:t>zřejmě vyšší náklady na uvedení nového SEM do provozu, existuje riziko, že i cena za poskytované služby bude vyšší (nedojde k cenovému srovnání variant v zadávacím řízení);</w:t>
      </w:r>
    </w:p>
    <w:p w:rsidR="00C06DA1" w:rsidRPr="00DD2F1B" w:rsidRDefault="00C06DA1" w:rsidP="00800F3C">
      <w:pPr>
        <w:numPr>
          <w:ilvl w:val="0"/>
          <w:numId w:val="13"/>
        </w:numPr>
        <w:spacing w:before="120" w:after="120" w:line="240" w:lineRule="auto"/>
        <w:jc w:val="both"/>
        <w:rPr>
          <w:sz w:val="22"/>
          <w:szCs w:val="22"/>
          <w:lang w:val="cs-CZ"/>
        </w:rPr>
      </w:pPr>
      <w:r w:rsidRPr="00DD2F1B">
        <w:rPr>
          <w:sz w:val="22"/>
          <w:szCs w:val="22"/>
          <w:lang w:val="cs-CZ"/>
        </w:rPr>
        <w:t>lze očekávat námitky Konsorcia Kapsch či jiných dodavatelů z důvodu omezení technologického řešení zakázky;</w:t>
      </w:r>
    </w:p>
    <w:p w:rsidR="00C06DA1" w:rsidRPr="00DD2F1B" w:rsidRDefault="00C06DA1" w:rsidP="00800F3C">
      <w:pPr>
        <w:numPr>
          <w:ilvl w:val="0"/>
          <w:numId w:val="13"/>
        </w:numPr>
        <w:spacing w:before="120" w:after="120" w:line="240" w:lineRule="auto"/>
        <w:jc w:val="both"/>
        <w:rPr>
          <w:sz w:val="22"/>
          <w:szCs w:val="22"/>
          <w:lang w:val="cs-CZ"/>
        </w:rPr>
      </w:pPr>
      <w:r w:rsidRPr="00DD2F1B">
        <w:rPr>
          <w:sz w:val="22"/>
          <w:szCs w:val="22"/>
          <w:lang w:val="cs-CZ"/>
        </w:rPr>
        <w:t>nutnost vypořádání smluvního ujednání s Konsorciem Kapsch ohledně dodávky nových mýtných bran na nově postavených úsecích dálnic a rychlostních silnic (s právní mocí stavebního povolení do 31. 12. 2017).</w:t>
      </w:r>
    </w:p>
    <w:p w:rsidR="00C06DA1" w:rsidRPr="00DD2F1B" w:rsidRDefault="00C06DA1" w:rsidP="000622C8">
      <w:pPr>
        <w:jc w:val="both"/>
        <w:rPr>
          <w:rFonts w:cs="Calibri"/>
          <w:lang w:val="cs-CZ"/>
        </w:rPr>
      </w:pPr>
    </w:p>
    <w:p w:rsidR="00C06DA1" w:rsidRPr="00DD2F1B" w:rsidRDefault="00C06DA1" w:rsidP="00E41C48">
      <w:pPr>
        <w:pStyle w:val="Nadpis2"/>
        <w:rPr>
          <w:sz w:val="28"/>
          <w:szCs w:val="28"/>
          <w:lang w:val="cs-CZ"/>
        </w:rPr>
      </w:pPr>
      <w:r w:rsidRPr="00DD2F1B">
        <w:rPr>
          <w:sz w:val="28"/>
          <w:szCs w:val="28"/>
          <w:lang w:val="cs-CZ"/>
        </w:rPr>
        <w:br w:type="page"/>
      </w:r>
      <w:bookmarkStart w:id="96" w:name="_Toc368063547"/>
      <w:bookmarkStart w:id="97" w:name="_Toc370398448"/>
      <w:r w:rsidRPr="00DD2F1B">
        <w:rPr>
          <w:sz w:val="28"/>
          <w:szCs w:val="28"/>
          <w:lang w:val="cs-CZ"/>
        </w:rPr>
        <w:lastRenderedPageBreak/>
        <w:t>Standardní zadávací řízení, v němž bude umožněno dodavatelům navrhnout jak dodávku zcela nového SEM, tak i použití celého nebo části stávajícího SEM pro další výběr mýtného</w:t>
      </w:r>
      <w:bookmarkEnd w:id="96"/>
      <w:bookmarkEnd w:id="97"/>
    </w:p>
    <w:p w:rsidR="00C06DA1" w:rsidRPr="00DD2F1B" w:rsidRDefault="00C06DA1" w:rsidP="00E41C48">
      <w:pPr>
        <w:jc w:val="both"/>
        <w:rPr>
          <w:sz w:val="22"/>
          <w:szCs w:val="22"/>
          <w:lang w:val="cs-CZ" w:eastAsia="cs-CZ"/>
        </w:rPr>
      </w:pPr>
      <w:r w:rsidRPr="00DD2F1B">
        <w:rPr>
          <w:sz w:val="22"/>
          <w:szCs w:val="22"/>
          <w:lang w:val="cs-CZ" w:eastAsia="cs-CZ"/>
        </w:rPr>
        <w:t>Tato varianta bude použita v případě, že bude rozhodnuto nepreferovat v</w:t>
      </w:r>
      <w:r>
        <w:rPr>
          <w:sz w:val="22"/>
          <w:szCs w:val="22"/>
          <w:lang w:val="cs-CZ" w:eastAsia="cs-CZ"/>
        </w:rPr>
        <w:t> zadávacím řízení</w:t>
      </w:r>
      <w:r w:rsidRPr="00DD2F1B">
        <w:rPr>
          <w:sz w:val="22"/>
          <w:szCs w:val="22"/>
          <w:lang w:val="cs-CZ" w:eastAsia="cs-CZ"/>
        </w:rPr>
        <w:t xml:space="preserve"> žádný ze systémů, tedy ani stávající SEM, ani případné jakékoliv nové systémy. Dodavatelům bude umožněno (i) navrhnout řešení využívající pro výběr mýtného celý stávající SEM, nebo (</w:t>
      </w:r>
      <w:proofErr w:type="spellStart"/>
      <w:r w:rsidRPr="00DD2F1B">
        <w:rPr>
          <w:sz w:val="22"/>
          <w:szCs w:val="22"/>
          <w:lang w:val="cs-CZ" w:eastAsia="cs-CZ"/>
        </w:rPr>
        <w:t>ii</w:t>
      </w:r>
      <w:proofErr w:type="spellEnd"/>
      <w:r w:rsidRPr="00DD2F1B">
        <w:rPr>
          <w:sz w:val="22"/>
          <w:szCs w:val="22"/>
          <w:lang w:val="cs-CZ" w:eastAsia="cs-CZ"/>
        </w:rPr>
        <w:t>) pouze některé jeho části, nebo (</w:t>
      </w:r>
      <w:proofErr w:type="spellStart"/>
      <w:r w:rsidRPr="00DD2F1B">
        <w:rPr>
          <w:sz w:val="22"/>
          <w:szCs w:val="22"/>
          <w:lang w:val="cs-CZ" w:eastAsia="cs-CZ"/>
        </w:rPr>
        <w:t>iii</w:t>
      </w:r>
      <w:proofErr w:type="spellEnd"/>
      <w:r w:rsidRPr="00DD2F1B">
        <w:rPr>
          <w:sz w:val="22"/>
          <w:szCs w:val="22"/>
          <w:lang w:val="cs-CZ" w:eastAsia="cs-CZ"/>
        </w:rPr>
        <w:t xml:space="preserve">) navrhnout řešení založené na zcela novém SEM. V takovém případě bude realizováno standardní zadávací řízení na výběr nejvhodnějšího řešení. </w:t>
      </w:r>
    </w:p>
    <w:p w:rsidR="00C06DA1" w:rsidRPr="00DD2F1B" w:rsidRDefault="00C06DA1" w:rsidP="00800F3C">
      <w:pPr>
        <w:spacing w:before="120" w:after="120" w:line="240" w:lineRule="auto"/>
        <w:jc w:val="both"/>
        <w:rPr>
          <w:b/>
          <w:sz w:val="22"/>
          <w:szCs w:val="22"/>
          <w:lang w:val="cs-CZ" w:eastAsia="cs-CZ"/>
        </w:rPr>
      </w:pPr>
      <w:r w:rsidRPr="00DD2F1B">
        <w:rPr>
          <w:b/>
          <w:sz w:val="22"/>
          <w:szCs w:val="22"/>
          <w:lang w:val="cs-CZ" w:eastAsia="cs-CZ"/>
        </w:rPr>
        <w:t>Výhody:</w:t>
      </w:r>
    </w:p>
    <w:p w:rsidR="00C06DA1" w:rsidRPr="00DD2F1B" w:rsidRDefault="00C06DA1" w:rsidP="00800F3C">
      <w:pPr>
        <w:numPr>
          <w:ilvl w:val="0"/>
          <w:numId w:val="16"/>
        </w:numPr>
        <w:spacing w:before="120" w:after="120" w:line="240" w:lineRule="auto"/>
        <w:jc w:val="both"/>
        <w:rPr>
          <w:sz w:val="22"/>
          <w:szCs w:val="22"/>
          <w:lang w:val="cs-CZ"/>
        </w:rPr>
      </w:pPr>
      <w:r w:rsidRPr="00DD2F1B">
        <w:rPr>
          <w:sz w:val="22"/>
          <w:szCs w:val="22"/>
          <w:lang w:val="cs-CZ"/>
        </w:rPr>
        <w:t>možnost výběru nejvhodnějšího či nejlevnějšího technického řešení (podle stanovených hodnotících kritérií);</w:t>
      </w:r>
    </w:p>
    <w:p w:rsidR="00C06DA1" w:rsidRPr="00DD2F1B" w:rsidRDefault="00C06DA1" w:rsidP="00800F3C">
      <w:pPr>
        <w:numPr>
          <w:ilvl w:val="0"/>
          <w:numId w:val="16"/>
        </w:numPr>
        <w:spacing w:before="120" w:after="120" w:line="240" w:lineRule="auto"/>
        <w:jc w:val="both"/>
        <w:rPr>
          <w:sz w:val="22"/>
          <w:szCs w:val="22"/>
          <w:lang w:val="cs-CZ"/>
        </w:rPr>
      </w:pPr>
      <w:r w:rsidRPr="00DD2F1B">
        <w:rPr>
          <w:sz w:val="22"/>
          <w:szCs w:val="22"/>
          <w:lang w:val="cs-CZ"/>
        </w:rPr>
        <w:t>v této variantě lze zřejmě očekávat největší počet uchazečů;</w:t>
      </w:r>
    </w:p>
    <w:p w:rsidR="00C06DA1" w:rsidRPr="00DD2F1B" w:rsidRDefault="00C06DA1" w:rsidP="00800F3C">
      <w:pPr>
        <w:numPr>
          <w:ilvl w:val="0"/>
          <w:numId w:val="16"/>
        </w:numPr>
        <w:spacing w:before="120" w:after="120" w:line="240" w:lineRule="auto"/>
        <w:jc w:val="both"/>
        <w:rPr>
          <w:sz w:val="22"/>
          <w:szCs w:val="22"/>
          <w:lang w:val="cs-CZ"/>
        </w:rPr>
      </w:pPr>
      <w:r w:rsidRPr="00DD2F1B">
        <w:rPr>
          <w:sz w:val="22"/>
          <w:szCs w:val="22"/>
          <w:lang w:val="cs-CZ"/>
        </w:rPr>
        <w:t>naprostá otevřenost pro volbu technologického řešení SEM;</w:t>
      </w:r>
    </w:p>
    <w:p w:rsidR="00C06DA1" w:rsidRPr="00DD2F1B" w:rsidRDefault="00C06DA1" w:rsidP="00800F3C">
      <w:pPr>
        <w:numPr>
          <w:ilvl w:val="0"/>
          <w:numId w:val="16"/>
        </w:numPr>
        <w:spacing w:before="120" w:after="120" w:line="240" w:lineRule="auto"/>
        <w:jc w:val="both"/>
        <w:rPr>
          <w:sz w:val="22"/>
          <w:szCs w:val="22"/>
          <w:lang w:val="cs-CZ"/>
        </w:rPr>
      </w:pPr>
      <w:r w:rsidRPr="00DD2F1B">
        <w:rPr>
          <w:sz w:val="22"/>
          <w:szCs w:val="22"/>
          <w:lang w:val="cs-CZ"/>
        </w:rPr>
        <w:t>v případě, že v</w:t>
      </w:r>
      <w:r>
        <w:rPr>
          <w:sz w:val="22"/>
          <w:szCs w:val="22"/>
          <w:lang w:val="cs-CZ"/>
        </w:rPr>
        <w:t> zadávacím řízení</w:t>
      </w:r>
      <w:r w:rsidRPr="00DD2F1B">
        <w:rPr>
          <w:sz w:val="22"/>
          <w:szCs w:val="22"/>
          <w:lang w:val="cs-CZ"/>
        </w:rPr>
        <w:t xml:space="preserve"> zvítězí řešení založené na zcela novém SEM, odpadnou pochybnosti o ekonomičnosti takového řešení;</w:t>
      </w:r>
    </w:p>
    <w:p w:rsidR="00C06DA1" w:rsidRPr="00DD2F1B" w:rsidRDefault="00C06DA1" w:rsidP="00800F3C">
      <w:pPr>
        <w:numPr>
          <w:ilvl w:val="0"/>
          <w:numId w:val="16"/>
        </w:numPr>
        <w:spacing w:before="120" w:after="120" w:line="240" w:lineRule="auto"/>
        <w:jc w:val="both"/>
        <w:rPr>
          <w:sz w:val="22"/>
          <w:szCs w:val="22"/>
          <w:lang w:val="cs-CZ"/>
        </w:rPr>
      </w:pPr>
      <w:r w:rsidRPr="00DD2F1B">
        <w:rPr>
          <w:sz w:val="22"/>
          <w:szCs w:val="22"/>
          <w:lang w:val="cs-CZ"/>
        </w:rPr>
        <w:t>odpadají námitky dodavatelů z důvodu omezení technologického řešení zakázky.</w:t>
      </w:r>
    </w:p>
    <w:p w:rsidR="00C06DA1" w:rsidRPr="00DD2F1B" w:rsidRDefault="00C06DA1" w:rsidP="00800F3C">
      <w:pPr>
        <w:spacing w:before="120" w:after="120" w:line="240" w:lineRule="auto"/>
        <w:jc w:val="both"/>
        <w:rPr>
          <w:b/>
          <w:sz w:val="22"/>
          <w:szCs w:val="22"/>
          <w:lang w:val="cs-CZ" w:eastAsia="cs-CZ"/>
        </w:rPr>
      </w:pPr>
      <w:r w:rsidRPr="00DD2F1B">
        <w:rPr>
          <w:b/>
          <w:sz w:val="22"/>
          <w:szCs w:val="22"/>
          <w:lang w:val="cs-CZ" w:eastAsia="cs-CZ"/>
        </w:rPr>
        <w:t>Rizika:</w:t>
      </w:r>
    </w:p>
    <w:p w:rsidR="00C06DA1" w:rsidRPr="00DD2F1B" w:rsidRDefault="00C06DA1" w:rsidP="00800F3C">
      <w:pPr>
        <w:numPr>
          <w:ilvl w:val="0"/>
          <w:numId w:val="15"/>
        </w:numPr>
        <w:spacing w:before="120" w:after="120" w:line="240" w:lineRule="auto"/>
        <w:jc w:val="both"/>
        <w:rPr>
          <w:sz w:val="22"/>
          <w:szCs w:val="22"/>
          <w:lang w:val="cs-CZ"/>
        </w:rPr>
      </w:pPr>
      <w:r w:rsidRPr="00DD2F1B">
        <w:rPr>
          <w:sz w:val="22"/>
          <w:szCs w:val="22"/>
          <w:lang w:val="cs-CZ"/>
        </w:rPr>
        <w:t>v případě volby řešení založeného na zcela novém SEM nutné dodatečné náklady na likvidaci stávajícího SEM;</w:t>
      </w:r>
    </w:p>
    <w:p w:rsidR="00C06DA1" w:rsidRPr="00DD2F1B" w:rsidRDefault="00C06DA1" w:rsidP="00800F3C">
      <w:pPr>
        <w:numPr>
          <w:ilvl w:val="0"/>
          <w:numId w:val="15"/>
        </w:numPr>
        <w:spacing w:before="120" w:after="120" w:line="240" w:lineRule="auto"/>
        <w:jc w:val="both"/>
        <w:rPr>
          <w:sz w:val="22"/>
          <w:szCs w:val="22"/>
          <w:lang w:val="cs-CZ"/>
        </w:rPr>
      </w:pPr>
      <w:r w:rsidRPr="00DD2F1B">
        <w:rPr>
          <w:sz w:val="22"/>
          <w:szCs w:val="22"/>
          <w:lang w:val="cs-CZ"/>
        </w:rPr>
        <w:t>velmi složité a zřejmě i delší zadávací řízení;</w:t>
      </w:r>
    </w:p>
    <w:p w:rsidR="00C06DA1" w:rsidRPr="00DD2F1B" w:rsidRDefault="00C06DA1" w:rsidP="00800F3C">
      <w:pPr>
        <w:numPr>
          <w:ilvl w:val="0"/>
          <w:numId w:val="15"/>
        </w:numPr>
        <w:spacing w:before="120" w:after="120" w:line="240" w:lineRule="auto"/>
        <w:jc w:val="both"/>
        <w:rPr>
          <w:sz w:val="22"/>
          <w:szCs w:val="22"/>
          <w:lang w:val="cs-CZ"/>
        </w:rPr>
      </w:pPr>
      <w:r w:rsidRPr="00DD2F1B">
        <w:rPr>
          <w:sz w:val="22"/>
          <w:szCs w:val="22"/>
          <w:lang w:val="cs-CZ"/>
        </w:rPr>
        <w:t>existuje riziko, že by podané nabídky mohly být vzájemně neporovnatelné;</w:t>
      </w:r>
    </w:p>
    <w:p w:rsidR="00C06DA1" w:rsidRPr="00DD2F1B" w:rsidRDefault="00C06DA1" w:rsidP="00800F3C">
      <w:pPr>
        <w:numPr>
          <w:ilvl w:val="0"/>
          <w:numId w:val="15"/>
        </w:numPr>
        <w:spacing w:before="120" w:after="120" w:line="240" w:lineRule="auto"/>
        <w:jc w:val="both"/>
        <w:rPr>
          <w:sz w:val="22"/>
          <w:szCs w:val="22"/>
          <w:lang w:val="cs-CZ"/>
        </w:rPr>
      </w:pPr>
      <w:r w:rsidRPr="00DD2F1B">
        <w:rPr>
          <w:sz w:val="22"/>
          <w:szCs w:val="22"/>
          <w:lang w:val="cs-CZ"/>
        </w:rPr>
        <w:t>v rámci zadávacího řízení bude zřejmě (z podstaty věci) do určité míry zvýhodněn stávající poskytovatel služeb;</w:t>
      </w:r>
    </w:p>
    <w:p w:rsidR="00C06DA1" w:rsidRPr="00DD2F1B" w:rsidRDefault="00C06DA1" w:rsidP="00800F3C">
      <w:pPr>
        <w:numPr>
          <w:ilvl w:val="0"/>
          <w:numId w:val="15"/>
        </w:numPr>
        <w:spacing w:before="120" w:after="120" w:line="240" w:lineRule="auto"/>
        <w:jc w:val="both"/>
        <w:rPr>
          <w:lang w:val="cs-CZ"/>
        </w:rPr>
      </w:pPr>
      <w:r w:rsidRPr="00DD2F1B">
        <w:rPr>
          <w:sz w:val="22"/>
          <w:szCs w:val="22"/>
          <w:lang w:val="cs-CZ"/>
        </w:rPr>
        <w:t>v případě volby řešení založeného na zcela novém SEM nutnost vypořádání smluvního ujednání s Konsorciem Kapsch ohledně dodávky nových mýtných bran na nově postavených úsecích dálnic a rychlostních silnic (s právní mocí stavebního povolení do 31. 12. 2017).</w:t>
      </w:r>
    </w:p>
    <w:p w:rsidR="00C06DA1" w:rsidRPr="00DD2F1B" w:rsidRDefault="00C06DA1" w:rsidP="000622C8">
      <w:pPr>
        <w:jc w:val="both"/>
        <w:rPr>
          <w:rFonts w:cs="Calibri"/>
          <w:lang w:val="cs-CZ"/>
        </w:rPr>
      </w:pPr>
    </w:p>
    <w:p w:rsidR="00C06DA1" w:rsidRPr="00DD2F1B" w:rsidRDefault="00C06DA1" w:rsidP="00E41C48">
      <w:pPr>
        <w:pStyle w:val="Nadpis2"/>
        <w:rPr>
          <w:sz w:val="28"/>
          <w:szCs w:val="28"/>
          <w:lang w:val="cs-CZ"/>
        </w:rPr>
      </w:pPr>
      <w:r w:rsidRPr="00DD2F1B">
        <w:rPr>
          <w:sz w:val="28"/>
          <w:szCs w:val="28"/>
          <w:lang w:val="cs-CZ"/>
        </w:rPr>
        <w:br w:type="page"/>
      </w:r>
      <w:bookmarkStart w:id="98" w:name="_Toc368063548"/>
      <w:bookmarkStart w:id="99" w:name="_Toc370398449"/>
      <w:r w:rsidRPr="00DD2F1B">
        <w:rPr>
          <w:sz w:val="28"/>
          <w:szCs w:val="28"/>
          <w:lang w:val="cs-CZ"/>
        </w:rPr>
        <w:lastRenderedPageBreak/>
        <w:t>Jednací řízení bez uveřejnění (JŘBU) se stávajícím p</w:t>
      </w:r>
      <w:r>
        <w:rPr>
          <w:sz w:val="28"/>
          <w:szCs w:val="28"/>
          <w:lang w:val="cs-CZ"/>
        </w:rPr>
        <w:t>oskytovatelem služeb souvisejících s provozem SEM</w:t>
      </w:r>
      <w:bookmarkEnd w:id="98"/>
      <w:bookmarkEnd w:id="99"/>
    </w:p>
    <w:p w:rsidR="00C06DA1" w:rsidRPr="00DD2F1B" w:rsidRDefault="00C06DA1" w:rsidP="00E41C48">
      <w:pPr>
        <w:jc w:val="both"/>
        <w:rPr>
          <w:sz w:val="22"/>
          <w:szCs w:val="22"/>
          <w:lang w:val="cs-CZ" w:eastAsia="cs-CZ"/>
        </w:rPr>
      </w:pPr>
      <w:r w:rsidRPr="00DD2F1B">
        <w:rPr>
          <w:sz w:val="22"/>
          <w:szCs w:val="22"/>
          <w:lang w:val="cs-CZ" w:eastAsia="cs-CZ"/>
        </w:rPr>
        <w:t>JŘBU je zcela nestandardním a výjimečným druhem zadávacího řízení, který lze použít pouze v případech stanovených v § 23 ZVZ. V současné době není známo, že by byly dány jakékoliv zákonné důvody, pro které by mohl být dodavatel SEM pro období od 1. 1. 2017 vybrán tímto typem zadávacího řízení. Toto právní řešení v současné době není použitelné.</w:t>
      </w:r>
    </w:p>
    <w:p w:rsidR="00C06DA1" w:rsidRPr="00DD2F1B" w:rsidRDefault="00C06DA1" w:rsidP="00E41C48">
      <w:pPr>
        <w:jc w:val="both"/>
        <w:rPr>
          <w:sz w:val="22"/>
          <w:szCs w:val="22"/>
          <w:lang w:val="cs-CZ" w:eastAsia="cs-CZ"/>
        </w:rPr>
      </w:pPr>
      <w:r w:rsidRPr="00DD2F1B">
        <w:rPr>
          <w:sz w:val="22"/>
          <w:szCs w:val="22"/>
          <w:lang w:val="cs-CZ" w:eastAsia="cs-CZ"/>
        </w:rPr>
        <w:t>Tato varianta je uváděna pouze pro zcela krajní případ, kdy by nový dodavatel/</w:t>
      </w:r>
      <w:r>
        <w:rPr>
          <w:sz w:val="22"/>
          <w:szCs w:val="22"/>
          <w:lang w:val="cs-CZ" w:eastAsia="cs-CZ"/>
        </w:rPr>
        <w:t xml:space="preserve">poskytovatel služeb s provozem </w:t>
      </w:r>
      <w:r w:rsidRPr="00DD2F1B">
        <w:rPr>
          <w:sz w:val="22"/>
          <w:szCs w:val="22"/>
          <w:lang w:val="cs-CZ" w:eastAsia="cs-CZ"/>
        </w:rPr>
        <w:t xml:space="preserve">SEM </w:t>
      </w:r>
      <w:r>
        <w:rPr>
          <w:sz w:val="22"/>
          <w:szCs w:val="22"/>
          <w:lang w:val="cs-CZ" w:eastAsia="cs-CZ"/>
        </w:rPr>
        <w:t xml:space="preserve">souvisejících </w:t>
      </w:r>
      <w:r w:rsidRPr="00DD2F1B">
        <w:rPr>
          <w:sz w:val="22"/>
          <w:szCs w:val="22"/>
          <w:lang w:val="cs-CZ" w:eastAsia="cs-CZ"/>
        </w:rPr>
        <w:t xml:space="preserve">z objektivních důvodů (tj. z důvodů nezaviněných zadavatelem) nemohl být vybrán včas, resp. nedošlo by ke spuštění SEM ke dni 1. 1. 2017. V takovém případě by mělo dojít k dočasnému ukončení provozu stávajícího SEM a ukončení výběru mýtného, přičemž jedinou alternativou k tomuto řešení je dočasné prodloužení stávajícího smluvního vztahu s Konsorciem Kapsch. Na prodloužení trvání smlouvy by musela být zadána veřejná zakázka formou JŘBU, a to pouze po omezenou dobu do výběru nového dodavatele a do spuštění nového SEM. </w:t>
      </w:r>
    </w:p>
    <w:p w:rsidR="00C06DA1" w:rsidRPr="00DD2F1B" w:rsidRDefault="00C06DA1" w:rsidP="00800F3C">
      <w:pPr>
        <w:spacing w:before="120" w:after="120" w:line="240" w:lineRule="auto"/>
        <w:jc w:val="both"/>
        <w:rPr>
          <w:b/>
          <w:sz w:val="22"/>
          <w:szCs w:val="22"/>
          <w:lang w:val="cs-CZ" w:eastAsia="cs-CZ"/>
        </w:rPr>
      </w:pPr>
      <w:r w:rsidRPr="00DD2F1B">
        <w:rPr>
          <w:b/>
          <w:sz w:val="22"/>
          <w:szCs w:val="22"/>
          <w:lang w:val="cs-CZ" w:eastAsia="cs-CZ"/>
        </w:rPr>
        <w:t>Výhody:</w:t>
      </w:r>
    </w:p>
    <w:p w:rsidR="00C06DA1" w:rsidRPr="00DD2F1B" w:rsidRDefault="00C06DA1" w:rsidP="00800F3C">
      <w:pPr>
        <w:numPr>
          <w:ilvl w:val="0"/>
          <w:numId w:val="17"/>
        </w:numPr>
        <w:spacing w:before="120" w:after="120" w:line="240" w:lineRule="auto"/>
        <w:jc w:val="both"/>
        <w:rPr>
          <w:sz w:val="22"/>
          <w:szCs w:val="22"/>
          <w:lang w:val="cs-CZ"/>
        </w:rPr>
      </w:pPr>
      <w:r w:rsidRPr="00DD2F1B">
        <w:rPr>
          <w:sz w:val="22"/>
          <w:szCs w:val="22"/>
          <w:lang w:val="cs-CZ"/>
        </w:rPr>
        <w:t>eliminuje se riziko, že nebude po určitou dobu vybíráno mýtné;</w:t>
      </w:r>
    </w:p>
    <w:p w:rsidR="00C06DA1" w:rsidRPr="00DD2F1B" w:rsidRDefault="00C06DA1" w:rsidP="00800F3C">
      <w:pPr>
        <w:numPr>
          <w:ilvl w:val="0"/>
          <w:numId w:val="17"/>
        </w:numPr>
        <w:spacing w:before="120" w:after="120" w:line="240" w:lineRule="auto"/>
        <w:jc w:val="both"/>
        <w:rPr>
          <w:sz w:val="22"/>
          <w:szCs w:val="22"/>
          <w:lang w:val="cs-CZ"/>
        </w:rPr>
      </w:pPr>
      <w:r w:rsidRPr="00DD2F1B">
        <w:rPr>
          <w:sz w:val="22"/>
          <w:szCs w:val="22"/>
          <w:lang w:val="cs-CZ"/>
        </w:rPr>
        <w:t>zachování kontinuity provozování SEM.</w:t>
      </w:r>
    </w:p>
    <w:p w:rsidR="00C06DA1" w:rsidRPr="00DD2F1B" w:rsidRDefault="00C06DA1" w:rsidP="00800F3C">
      <w:pPr>
        <w:spacing w:before="120" w:after="120" w:line="240" w:lineRule="auto"/>
        <w:jc w:val="both"/>
        <w:rPr>
          <w:b/>
          <w:sz w:val="22"/>
          <w:szCs w:val="22"/>
          <w:lang w:val="cs-CZ" w:eastAsia="cs-CZ"/>
        </w:rPr>
      </w:pPr>
      <w:r w:rsidRPr="00DD2F1B">
        <w:rPr>
          <w:b/>
          <w:sz w:val="22"/>
          <w:szCs w:val="22"/>
          <w:lang w:val="cs-CZ" w:eastAsia="cs-CZ"/>
        </w:rPr>
        <w:t>Rizika:</w:t>
      </w:r>
    </w:p>
    <w:p w:rsidR="00C06DA1" w:rsidRPr="00DD2F1B" w:rsidRDefault="00C06DA1" w:rsidP="00800F3C">
      <w:pPr>
        <w:numPr>
          <w:ilvl w:val="0"/>
          <w:numId w:val="18"/>
        </w:numPr>
        <w:spacing w:before="120" w:after="120" w:line="240" w:lineRule="auto"/>
        <w:jc w:val="both"/>
        <w:rPr>
          <w:sz w:val="22"/>
          <w:szCs w:val="22"/>
          <w:lang w:val="cs-CZ"/>
        </w:rPr>
      </w:pPr>
      <w:r w:rsidRPr="00DD2F1B">
        <w:rPr>
          <w:sz w:val="22"/>
          <w:szCs w:val="22"/>
          <w:lang w:val="cs-CZ"/>
        </w:rPr>
        <w:t>tato varianta může mít pouze dočasný charakter;</w:t>
      </w:r>
    </w:p>
    <w:p w:rsidR="00C06DA1" w:rsidRPr="00DD2F1B" w:rsidRDefault="00C06DA1" w:rsidP="00800F3C">
      <w:pPr>
        <w:numPr>
          <w:ilvl w:val="0"/>
          <w:numId w:val="18"/>
        </w:numPr>
        <w:spacing w:before="120" w:after="120" w:line="240" w:lineRule="auto"/>
        <w:jc w:val="both"/>
        <w:rPr>
          <w:sz w:val="22"/>
          <w:szCs w:val="22"/>
          <w:lang w:val="cs-CZ"/>
        </w:rPr>
      </w:pPr>
      <w:r w:rsidRPr="00DD2F1B">
        <w:rPr>
          <w:sz w:val="22"/>
          <w:szCs w:val="22"/>
          <w:lang w:val="cs-CZ"/>
        </w:rPr>
        <w:t>je velmi nepravděpodobné, že budou splněny zákonné podmínky pro zadání takové veřejné zakázky formou JŘBU;</w:t>
      </w:r>
    </w:p>
    <w:p w:rsidR="00C06DA1" w:rsidRPr="00DD2F1B" w:rsidRDefault="00C06DA1" w:rsidP="00800F3C">
      <w:pPr>
        <w:numPr>
          <w:ilvl w:val="0"/>
          <w:numId w:val="18"/>
        </w:numPr>
        <w:spacing w:before="120" w:after="120" w:line="240" w:lineRule="auto"/>
        <w:jc w:val="both"/>
        <w:rPr>
          <w:sz w:val="22"/>
          <w:szCs w:val="22"/>
          <w:lang w:val="cs-CZ"/>
        </w:rPr>
      </w:pPr>
      <w:r w:rsidRPr="00DD2F1B">
        <w:rPr>
          <w:sz w:val="22"/>
          <w:szCs w:val="22"/>
          <w:lang w:val="cs-CZ"/>
        </w:rPr>
        <w:t>lze očekávat námitky ze strany jiných dodavatelů;</w:t>
      </w:r>
    </w:p>
    <w:p w:rsidR="00C06DA1" w:rsidRPr="00DD2F1B" w:rsidRDefault="00C06DA1" w:rsidP="00800F3C">
      <w:pPr>
        <w:numPr>
          <w:ilvl w:val="0"/>
          <w:numId w:val="18"/>
        </w:numPr>
        <w:spacing w:before="120" w:after="120" w:line="240" w:lineRule="auto"/>
        <w:jc w:val="both"/>
        <w:rPr>
          <w:sz w:val="22"/>
          <w:szCs w:val="22"/>
          <w:lang w:val="cs-CZ"/>
        </w:rPr>
      </w:pPr>
      <w:r w:rsidRPr="00DD2F1B">
        <w:rPr>
          <w:sz w:val="22"/>
          <w:szCs w:val="22"/>
          <w:lang w:val="cs-CZ"/>
        </w:rPr>
        <w:t>velmi významné riziko, že se důvody pro zadání JŘBU nepodaří obhájit před ÚOHS a/nebo v následných soudních řízeních; v takovém případě hrozí vysoká pokuta a spory o náhradu škody z neplatně uzavřené smlouvy;</w:t>
      </w:r>
    </w:p>
    <w:p w:rsidR="00C06DA1" w:rsidRPr="00DD2F1B" w:rsidRDefault="00C06DA1" w:rsidP="00800F3C">
      <w:pPr>
        <w:numPr>
          <w:ilvl w:val="0"/>
          <w:numId w:val="18"/>
        </w:numPr>
        <w:spacing w:before="120" w:after="120" w:line="240" w:lineRule="auto"/>
        <w:jc w:val="both"/>
        <w:rPr>
          <w:sz w:val="22"/>
          <w:szCs w:val="22"/>
          <w:lang w:val="cs-CZ"/>
        </w:rPr>
      </w:pPr>
      <w:r w:rsidRPr="00DD2F1B">
        <w:rPr>
          <w:sz w:val="22"/>
          <w:szCs w:val="22"/>
          <w:lang w:val="cs-CZ"/>
        </w:rPr>
        <w:t>nelze použít v případě, kdy by zpoždění při výběru dodavatele způsobil zadavatel resp. Česká republika;</w:t>
      </w:r>
    </w:p>
    <w:p w:rsidR="00C06DA1" w:rsidRPr="00DD2F1B" w:rsidRDefault="00C06DA1" w:rsidP="00800F3C">
      <w:pPr>
        <w:numPr>
          <w:ilvl w:val="0"/>
          <w:numId w:val="18"/>
        </w:numPr>
        <w:spacing w:before="120" w:after="120" w:line="240" w:lineRule="auto"/>
        <w:jc w:val="both"/>
        <w:rPr>
          <w:sz w:val="22"/>
          <w:szCs w:val="22"/>
          <w:lang w:val="cs-CZ"/>
        </w:rPr>
      </w:pPr>
      <w:r w:rsidRPr="00DD2F1B">
        <w:rPr>
          <w:sz w:val="22"/>
          <w:szCs w:val="22"/>
          <w:lang w:val="cs-CZ"/>
        </w:rPr>
        <w:t>lze očekávat velmi silnou kritiku tohoto, byť dočasného, řešení;</w:t>
      </w:r>
    </w:p>
    <w:p w:rsidR="00C06DA1" w:rsidRPr="00DD2F1B" w:rsidRDefault="00C06DA1" w:rsidP="00F55F65">
      <w:pPr>
        <w:numPr>
          <w:ilvl w:val="0"/>
          <w:numId w:val="26"/>
        </w:numPr>
        <w:spacing w:before="120" w:after="120" w:line="240" w:lineRule="auto"/>
        <w:jc w:val="both"/>
        <w:rPr>
          <w:sz w:val="22"/>
          <w:szCs w:val="22"/>
          <w:lang w:val="cs-CZ"/>
        </w:rPr>
      </w:pPr>
      <w:r w:rsidRPr="00DD2F1B">
        <w:rPr>
          <w:sz w:val="22"/>
          <w:szCs w:val="22"/>
          <w:lang w:val="cs-CZ"/>
        </w:rPr>
        <w:t xml:space="preserve">riziko vyšší ceny za poskytované služby provozování, mj. i z toho důvodu, že Konsorcium Kapsch bude muset uzavřít nové smlouvy se svými subdodavateli, kteří již nemusí být vázáni původními cenami. </w:t>
      </w:r>
    </w:p>
    <w:p w:rsidR="00C06DA1" w:rsidRPr="00DD2F1B" w:rsidRDefault="00C06DA1" w:rsidP="00F55F65">
      <w:pPr>
        <w:pStyle w:val="Nadpis1"/>
        <w:rPr>
          <w:sz w:val="40"/>
          <w:szCs w:val="40"/>
          <w:lang w:val="cs-CZ"/>
        </w:rPr>
      </w:pPr>
      <w:r w:rsidRPr="00DD2F1B">
        <w:rPr>
          <w:sz w:val="40"/>
          <w:szCs w:val="40"/>
          <w:lang w:val="cs-CZ"/>
        </w:rPr>
        <w:br w:type="page"/>
      </w:r>
      <w:bookmarkStart w:id="100" w:name="_Toc368063549"/>
      <w:bookmarkStart w:id="101" w:name="_Toc370398450"/>
      <w:r w:rsidRPr="00DD2F1B">
        <w:rPr>
          <w:sz w:val="40"/>
          <w:szCs w:val="40"/>
          <w:lang w:val="cs-CZ"/>
        </w:rPr>
        <w:lastRenderedPageBreak/>
        <w:t>ZVÝŠENÍ EFEKTIVITY SYSTÉMU ELEKTR</w:t>
      </w:r>
      <w:r>
        <w:rPr>
          <w:sz w:val="40"/>
          <w:szCs w:val="40"/>
          <w:lang w:val="cs-CZ"/>
        </w:rPr>
        <w:t>O</w:t>
      </w:r>
      <w:r w:rsidRPr="00DD2F1B">
        <w:rPr>
          <w:sz w:val="40"/>
          <w:szCs w:val="40"/>
          <w:lang w:val="cs-CZ"/>
        </w:rPr>
        <w:t>NICKÉHO MÝTA, ÚSPORY A NEDOPLATKY</w:t>
      </w:r>
      <w:bookmarkEnd w:id="100"/>
      <w:bookmarkEnd w:id="101"/>
    </w:p>
    <w:p w:rsidR="00C06DA1" w:rsidRPr="00DD2F1B" w:rsidRDefault="00C06DA1" w:rsidP="00F55F65">
      <w:pPr>
        <w:pStyle w:val="Nadpis2"/>
        <w:rPr>
          <w:sz w:val="28"/>
          <w:szCs w:val="28"/>
          <w:lang w:val="cs-CZ"/>
        </w:rPr>
      </w:pPr>
      <w:bookmarkStart w:id="102" w:name="_Toc368063550"/>
      <w:bookmarkStart w:id="103" w:name="_Toc370398451"/>
      <w:r w:rsidRPr="00DD2F1B">
        <w:rPr>
          <w:sz w:val="28"/>
          <w:szCs w:val="28"/>
          <w:lang w:val="cs-CZ"/>
        </w:rPr>
        <w:t>Zvýšení efektivity Systému elektronického mýta</w:t>
      </w:r>
      <w:bookmarkEnd w:id="102"/>
      <w:bookmarkEnd w:id="103"/>
    </w:p>
    <w:p w:rsidR="00C06DA1" w:rsidRPr="00DD2F1B" w:rsidRDefault="00C06DA1" w:rsidP="00F55F65">
      <w:pPr>
        <w:jc w:val="both"/>
        <w:rPr>
          <w:sz w:val="22"/>
          <w:szCs w:val="22"/>
          <w:lang w:val="cs-CZ"/>
        </w:rPr>
      </w:pPr>
      <w:r w:rsidRPr="00DD2F1B">
        <w:rPr>
          <w:sz w:val="22"/>
          <w:szCs w:val="22"/>
          <w:lang w:val="cs-CZ"/>
        </w:rPr>
        <w:t>Efektivitu Systému elektronického mýta v současnosti nelze reálně porovnat, neboť by došlo, a bohužel také dochází, k porovnání efektivity výběru mýta v polovině životnosti tohoto systému. Jedinou za tzv. „bernou minci“ lze považovat srovnání předepsaného mýta v kalendářním roce s náklady pouze provozními, tedy neinvestičními. Pro rok 2011 dosáhly neinvestiční náklady, tzn. platby za služby konsorciu Kapsch pro etapy 1 - 4, platby za recyklace OBU, disážio a zvýšená účinnost (byť poslední dvě jmenované platby nesouvisí přímo s provozováním SEM), částky 2 350,9 mil. Kč. Výběr mýta v témže roce dosáhl 8 081 mil. Kč. Při porovnání těchto částek dosáhneme efektivity / nákladovosti SEM ve výši 29 %.</w:t>
      </w:r>
    </w:p>
    <w:p w:rsidR="00C06DA1" w:rsidRPr="00DD2F1B" w:rsidRDefault="004E1496" w:rsidP="00F55F65">
      <w:pPr>
        <w:jc w:val="both"/>
        <w:rPr>
          <w:sz w:val="22"/>
          <w:szCs w:val="22"/>
          <w:lang w:val="cs-CZ"/>
        </w:rPr>
      </w:pPr>
      <w:r w:rsidRPr="00DD2F1B">
        <w:rPr>
          <w:sz w:val="22"/>
          <w:szCs w:val="22"/>
          <w:lang w:val="cs-CZ"/>
        </w:rPr>
        <w:t>Ministerstvo dopravy navrhuje, jako jeden z mála reálných kroků, jak zvýšit efektivitu výběru mýta v České republice, zvýšení mýtných sazeb</w:t>
      </w:r>
      <w:r>
        <w:rPr>
          <w:sz w:val="22"/>
          <w:szCs w:val="22"/>
          <w:lang w:val="cs-CZ"/>
        </w:rPr>
        <w:t>. Ministerstvo dopravy předpokládá zvýšení mýtných sazeb pro emisní kategorii Euro V a vyšší o 25 %</w:t>
      </w:r>
      <w:r w:rsidRPr="00DD2F1B">
        <w:rPr>
          <w:sz w:val="22"/>
          <w:szCs w:val="22"/>
          <w:lang w:val="cs-CZ"/>
        </w:rPr>
        <w:t xml:space="preserve">, a to </w:t>
      </w:r>
      <w:r>
        <w:rPr>
          <w:sz w:val="22"/>
          <w:szCs w:val="22"/>
          <w:lang w:val="cs-CZ"/>
        </w:rPr>
        <w:t>od 1. 1. 2015</w:t>
      </w:r>
      <w:r w:rsidRPr="00DD2F1B">
        <w:rPr>
          <w:sz w:val="22"/>
          <w:szCs w:val="22"/>
          <w:lang w:val="cs-CZ"/>
        </w:rPr>
        <w:t>.</w:t>
      </w:r>
      <w:r>
        <w:rPr>
          <w:sz w:val="22"/>
          <w:szCs w:val="22"/>
          <w:lang w:val="cs-CZ"/>
        </w:rPr>
        <w:t xml:space="preserve"> Toto navýšení včetně případné změny struktury mýtných sazeb bude obsahem tarifní politiky České republiky pro období po roce 2014.</w:t>
      </w:r>
    </w:p>
    <w:p w:rsidR="00C06DA1" w:rsidRPr="00DD2F1B" w:rsidRDefault="00C06DA1" w:rsidP="00F55F65">
      <w:pPr>
        <w:pStyle w:val="Nadpis2"/>
        <w:rPr>
          <w:sz w:val="28"/>
          <w:szCs w:val="28"/>
          <w:lang w:val="cs-CZ"/>
        </w:rPr>
      </w:pPr>
      <w:bookmarkStart w:id="104" w:name="_Toc368063551"/>
      <w:bookmarkStart w:id="105" w:name="_Toc367436526"/>
      <w:bookmarkStart w:id="106" w:name="_Toc368311177"/>
      <w:bookmarkStart w:id="107" w:name="_Toc368327087"/>
      <w:bookmarkStart w:id="108" w:name="_Toc370398452"/>
      <w:r w:rsidRPr="00DD2F1B">
        <w:rPr>
          <w:sz w:val="28"/>
          <w:szCs w:val="28"/>
          <w:lang w:val="cs-CZ"/>
        </w:rPr>
        <w:t>Úspory v systému elektornického mýta</w:t>
      </w:r>
      <w:bookmarkEnd w:id="104"/>
      <w:bookmarkEnd w:id="105"/>
      <w:bookmarkEnd w:id="106"/>
      <w:bookmarkEnd w:id="107"/>
      <w:bookmarkEnd w:id="108"/>
    </w:p>
    <w:p w:rsidR="00C06DA1" w:rsidRPr="004E1992" w:rsidRDefault="00C06DA1" w:rsidP="00F55F65">
      <w:pPr>
        <w:jc w:val="both"/>
        <w:rPr>
          <w:sz w:val="22"/>
          <w:szCs w:val="22"/>
          <w:lang w:val="cs-CZ"/>
        </w:rPr>
      </w:pPr>
      <w:r w:rsidRPr="004E1992">
        <w:rPr>
          <w:sz w:val="22"/>
          <w:szCs w:val="22"/>
          <w:lang w:val="cs-CZ"/>
        </w:rPr>
        <w:t>Na základě kontroly Nejvyššího kontrolního úřadu č. 12/12 „Příjmy z výkonových poplatků (mýtného) a příjmy z časového zpoplatnění pozemních komunikací (časových kupónů), včetně souvisejících výdajů“ (dále také „Kontrola NKÚ“) Ministerstvo dopravy navrhuje úsporná opatření související s provozem Systému elektronického mýta či uvádí již realizované kroky mající za výsledek úsporu v provozních nákladech SEM.</w:t>
      </w:r>
    </w:p>
    <w:p w:rsidR="00C06DA1" w:rsidRPr="004E1992" w:rsidRDefault="00C06DA1" w:rsidP="00F55F65">
      <w:pPr>
        <w:jc w:val="both"/>
        <w:rPr>
          <w:sz w:val="22"/>
          <w:szCs w:val="22"/>
          <w:lang w:val="cs-CZ"/>
        </w:rPr>
      </w:pPr>
      <w:r w:rsidRPr="004E1992">
        <w:rPr>
          <w:sz w:val="22"/>
          <w:szCs w:val="22"/>
          <w:lang w:val="cs-CZ"/>
        </w:rPr>
        <w:t>Za realizovaná a navrhovaná úsporná opatření lze pokládat:</w:t>
      </w:r>
    </w:p>
    <w:p w:rsidR="00C06DA1" w:rsidRPr="004E1992" w:rsidRDefault="00C06DA1" w:rsidP="00441317">
      <w:pPr>
        <w:pStyle w:val="Odstavecseseznamem"/>
        <w:numPr>
          <w:ilvl w:val="0"/>
          <w:numId w:val="38"/>
        </w:numPr>
        <w:spacing w:before="120" w:after="0" w:line="360" w:lineRule="auto"/>
        <w:ind w:left="754" w:hanging="357"/>
        <w:jc w:val="both"/>
        <w:rPr>
          <w:sz w:val="22"/>
          <w:szCs w:val="22"/>
          <w:lang w:val="cs-CZ"/>
        </w:rPr>
      </w:pPr>
      <w:r w:rsidRPr="004E1992">
        <w:rPr>
          <w:sz w:val="22"/>
          <w:szCs w:val="22"/>
          <w:lang w:val="cs-CZ"/>
        </w:rPr>
        <w:t>propadnutí kaucí u palubních jednotek;</w:t>
      </w:r>
    </w:p>
    <w:p w:rsidR="00C06DA1" w:rsidRPr="004E1992" w:rsidRDefault="00C06DA1" w:rsidP="00441317">
      <w:pPr>
        <w:pStyle w:val="Odstavecseseznamem"/>
        <w:numPr>
          <w:ilvl w:val="0"/>
          <w:numId w:val="38"/>
        </w:numPr>
        <w:spacing w:before="120" w:after="0" w:line="360" w:lineRule="auto"/>
        <w:ind w:left="754" w:hanging="357"/>
        <w:jc w:val="both"/>
        <w:rPr>
          <w:sz w:val="22"/>
          <w:szCs w:val="22"/>
          <w:lang w:val="cs-CZ"/>
        </w:rPr>
      </w:pPr>
      <w:r w:rsidRPr="004E1992">
        <w:rPr>
          <w:sz w:val="22"/>
          <w:szCs w:val="22"/>
          <w:lang w:val="cs-CZ"/>
        </w:rPr>
        <w:t>nižší slevy z mýtného;</w:t>
      </w:r>
    </w:p>
    <w:p w:rsidR="00C06DA1" w:rsidRPr="004E1992" w:rsidRDefault="00C06DA1" w:rsidP="00441317">
      <w:pPr>
        <w:pStyle w:val="Odstavecseseznamem"/>
        <w:numPr>
          <w:ilvl w:val="0"/>
          <w:numId w:val="38"/>
        </w:numPr>
        <w:spacing w:before="120" w:after="0" w:line="360" w:lineRule="auto"/>
        <w:ind w:left="754" w:hanging="357"/>
        <w:jc w:val="both"/>
        <w:rPr>
          <w:sz w:val="22"/>
          <w:szCs w:val="22"/>
          <w:lang w:val="cs-CZ"/>
        </w:rPr>
      </w:pPr>
      <w:r w:rsidRPr="004E1992">
        <w:rPr>
          <w:sz w:val="22"/>
          <w:szCs w:val="22"/>
          <w:lang w:val="cs-CZ"/>
        </w:rPr>
        <w:t>propadnutí kreditu u palubních jednotek;</w:t>
      </w:r>
    </w:p>
    <w:p w:rsidR="00C06DA1" w:rsidRPr="004E1992" w:rsidRDefault="00C06DA1" w:rsidP="00441317">
      <w:pPr>
        <w:pStyle w:val="Odstavecseseznamem"/>
        <w:numPr>
          <w:ilvl w:val="0"/>
          <w:numId w:val="38"/>
        </w:numPr>
        <w:spacing w:before="120" w:after="0" w:line="360" w:lineRule="auto"/>
        <w:ind w:left="754" w:hanging="357"/>
        <w:jc w:val="both"/>
        <w:rPr>
          <w:sz w:val="22"/>
          <w:szCs w:val="22"/>
          <w:lang w:val="cs-CZ"/>
        </w:rPr>
      </w:pPr>
      <w:r w:rsidRPr="004E1992">
        <w:rPr>
          <w:sz w:val="22"/>
          <w:szCs w:val="22"/>
          <w:lang w:val="cs-CZ"/>
        </w:rPr>
        <w:t>správa nižšího počtu palubních jednotek;</w:t>
      </w:r>
    </w:p>
    <w:p w:rsidR="00C06DA1" w:rsidRPr="004E1992" w:rsidRDefault="00C06DA1" w:rsidP="00441317">
      <w:pPr>
        <w:pStyle w:val="Odstavecseseznamem"/>
        <w:numPr>
          <w:ilvl w:val="0"/>
          <w:numId w:val="38"/>
        </w:numPr>
        <w:spacing w:before="120" w:after="0" w:line="360" w:lineRule="auto"/>
        <w:ind w:left="754" w:hanging="357"/>
        <w:jc w:val="both"/>
        <w:rPr>
          <w:sz w:val="22"/>
          <w:lang w:val="cs-CZ"/>
        </w:rPr>
      </w:pPr>
      <w:r w:rsidRPr="004E1992">
        <w:rPr>
          <w:sz w:val="22"/>
          <w:szCs w:val="22"/>
          <w:lang w:val="cs-CZ"/>
        </w:rPr>
        <w:t>optimalizace sítě distribučních míst a</w:t>
      </w:r>
    </w:p>
    <w:p w:rsidR="00C06DA1" w:rsidRPr="004E1992" w:rsidRDefault="00C06DA1" w:rsidP="00441317">
      <w:pPr>
        <w:pStyle w:val="Odstavecseseznamem"/>
        <w:numPr>
          <w:ilvl w:val="0"/>
          <w:numId w:val="38"/>
        </w:numPr>
        <w:spacing w:before="120" w:after="0" w:line="360" w:lineRule="auto"/>
        <w:ind w:left="754" w:hanging="357"/>
        <w:jc w:val="both"/>
        <w:rPr>
          <w:sz w:val="22"/>
          <w:lang w:val="cs-CZ"/>
        </w:rPr>
      </w:pPr>
      <w:r w:rsidRPr="004E1992">
        <w:rPr>
          <w:sz w:val="22"/>
          <w:szCs w:val="22"/>
          <w:lang w:val="cs-CZ"/>
        </w:rPr>
        <w:t>optimalizace mobilní kontroly.</w:t>
      </w:r>
    </w:p>
    <w:p w:rsidR="00C06DA1" w:rsidRPr="00DD2F1B" w:rsidRDefault="00C06DA1" w:rsidP="004E1992">
      <w:pPr>
        <w:pStyle w:val="Nadpis3"/>
        <w:rPr>
          <w:lang w:val="cs-CZ"/>
        </w:rPr>
      </w:pPr>
      <w:r w:rsidRPr="00DD2F1B">
        <w:rPr>
          <w:lang w:val="cs-CZ"/>
        </w:rPr>
        <w:br w:type="page"/>
      </w:r>
      <w:bookmarkStart w:id="109" w:name="_Toc368063552"/>
      <w:bookmarkStart w:id="110" w:name="_Toc370398453"/>
      <w:r w:rsidRPr="00DD2F1B">
        <w:rPr>
          <w:lang w:val="cs-CZ"/>
        </w:rPr>
        <w:lastRenderedPageBreak/>
        <w:t>Propadnutí kaucí u palubních jednotek</w:t>
      </w:r>
      <w:bookmarkEnd w:id="109"/>
      <w:bookmarkEnd w:id="110"/>
    </w:p>
    <w:p w:rsidR="00C06DA1" w:rsidRPr="004E1992" w:rsidRDefault="00C06DA1" w:rsidP="00F55F65">
      <w:pPr>
        <w:jc w:val="both"/>
        <w:rPr>
          <w:sz w:val="22"/>
          <w:szCs w:val="22"/>
          <w:lang w:val="cs-CZ"/>
        </w:rPr>
      </w:pPr>
      <w:r w:rsidRPr="004E1992">
        <w:rPr>
          <w:sz w:val="22"/>
          <w:szCs w:val="22"/>
          <w:lang w:val="cs-CZ"/>
        </w:rPr>
        <w:t>Zákon 13/1997 Sb. umožňuje od 1. září 2012 propadnutí kauce palubní jednotky, u které nedošl</w:t>
      </w:r>
      <w:r>
        <w:rPr>
          <w:sz w:val="22"/>
          <w:szCs w:val="22"/>
          <w:lang w:val="cs-CZ"/>
        </w:rPr>
        <w:t>o</w:t>
      </w:r>
      <w:r w:rsidRPr="004E1992">
        <w:rPr>
          <w:sz w:val="22"/>
          <w:szCs w:val="22"/>
          <w:lang w:val="cs-CZ"/>
        </w:rPr>
        <w:t xml:space="preserve"> k mýtné transakci v průběhu jednoho roku. K prvnímu propadnutí kaucí za palubní jednotky došlo 1. září 2013, kdy jednorázově došlo k propadnutí kaucí v celkové výši 470 mil. Kč. Následně se předpokládají propady kaucí ve výši 3 – 5 mil. Kč měsíčně.</w:t>
      </w:r>
    </w:p>
    <w:p w:rsidR="00C06DA1" w:rsidRPr="00DD2F1B" w:rsidRDefault="00C06DA1" w:rsidP="00F55F65">
      <w:pPr>
        <w:pStyle w:val="Nadpis3"/>
        <w:rPr>
          <w:lang w:val="cs-CZ"/>
        </w:rPr>
      </w:pPr>
      <w:bookmarkStart w:id="111" w:name="_Toc368063553"/>
      <w:bookmarkStart w:id="112" w:name="_Toc370398454"/>
      <w:r w:rsidRPr="00DD2F1B">
        <w:rPr>
          <w:lang w:val="cs-CZ"/>
        </w:rPr>
        <w:t>Nižší slevy z mýtného</w:t>
      </w:r>
      <w:bookmarkEnd w:id="111"/>
      <w:bookmarkEnd w:id="112"/>
    </w:p>
    <w:p w:rsidR="00C06DA1" w:rsidRPr="004E1992" w:rsidRDefault="00C06DA1" w:rsidP="00F55F65">
      <w:pPr>
        <w:jc w:val="both"/>
        <w:rPr>
          <w:sz w:val="22"/>
          <w:szCs w:val="22"/>
          <w:lang w:val="cs-CZ"/>
        </w:rPr>
      </w:pPr>
      <w:r w:rsidRPr="004E1992">
        <w:rPr>
          <w:sz w:val="22"/>
          <w:szCs w:val="22"/>
          <w:lang w:val="cs-CZ"/>
        </w:rPr>
        <w:t>Na základě Dohody Česmad byl v letech 2011 a 2012 realizován systém slev z mýtného. Tento systém slev z mýtného umožnil žádat o slevy z mýtného až koncem roku 2012.</w:t>
      </w:r>
    </w:p>
    <w:p w:rsidR="00C06DA1" w:rsidRPr="004E1992" w:rsidRDefault="00C06DA1" w:rsidP="00F55F65">
      <w:pPr>
        <w:jc w:val="both"/>
        <w:rPr>
          <w:sz w:val="22"/>
          <w:szCs w:val="22"/>
          <w:lang w:val="cs-CZ"/>
        </w:rPr>
      </w:pPr>
      <w:r w:rsidRPr="004E1992">
        <w:rPr>
          <w:sz w:val="22"/>
          <w:szCs w:val="22"/>
          <w:lang w:val="cs-CZ"/>
        </w:rPr>
        <w:t>V roce 2012 tak byly alokovány slevy v celkové výši 32 mil. Kč.</w:t>
      </w:r>
    </w:p>
    <w:p w:rsidR="00C06DA1" w:rsidRPr="004E1992" w:rsidRDefault="00C06DA1" w:rsidP="00F55F65">
      <w:pPr>
        <w:jc w:val="both"/>
        <w:rPr>
          <w:sz w:val="22"/>
          <w:szCs w:val="22"/>
          <w:lang w:val="cs-CZ"/>
        </w:rPr>
      </w:pPr>
      <w:r w:rsidRPr="004E1992">
        <w:rPr>
          <w:sz w:val="22"/>
          <w:szCs w:val="22"/>
          <w:lang w:val="cs-CZ"/>
        </w:rPr>
        <w:t xml:space="preserve">Tabulka níže uvádí maximální možný objem slev, které by bylo možné vyplatit za rok 2013. </w:t>
      </w:r>
    </w:p>
    <w:tbl>
      <w:tblPr>
        <w:tblW w:w="9100" w:type="dxa"/>
        <w:tblBorders>
          <w:bottom w:val="single" w:sz="4" w:space="0" w:color="72C7E7"/>
          <w:insideH w:val="single" w:sz="4" w:space="0" w:color="72C7E7"/>
        </w:tblBorders>
        <w:tblLayout w:type="fixed"/>
        <w:tblCellMar>
          <w:top w:w="28" w:type="dxa"/>
          <w:left w:w="28" w:type="dxa"/>
          <w:bottom w:w="28" w:type="dxa"/>
          <w:right w:w="28" w:type="dxa"/>
        </w:tblCellMar>
        <w:tblLook w:val="00A0"/>
      </w:tblPr>
      <w:tblGrid>
        <w:gridCol w:w="910"/>
        <w:gridCol w:w="910"/>
        <w:gridCol w:w="455"/>
        <w:gridCol w:w="455"/>
        <w:gridCol w:w="910"/>
        <w:gridCol w:w="910"/>
        <w:gridCol w:w="910"/>
        <w:gridCol w:w="910"/>
        <w:gridCol w:w="455"/>
        <w:gridCol w:w="455"/>
        <w:gridCol w:w="910"/>
        <w:gridCol w:w="910"/>
      </w:tblGrid>
      <w:tr w:rsidR="00C06DA1" w:rsidRPr="00D95ED2">
        <w:tc>
          <w:tcPr>
            <w:tcW w:w="2275" w:type="dxa"/>
            <w:gridSpan w:val="3"/>
            <w:shd w:val="clear" w:color="auto" w:fill="72C7E7"/>
            <w:vAlign w:val="center"/>
          </w:tcPr>
          <w:p w:rsidR="00C06DA1" w:rsidRPr="00D95ED2" w:rsidRDefault="00C06DA1" w:rsidP="001C18DA">
            <w:pPr>
              <w:pStyle w:val="BodyText1"/>
              <w:spacing w:beforeLines="60" w:after="0"/>
              <w:ind w:right="82"/>
              <w:jc w:val="center"/>
              <w:rPr>
                <w:b/>
                <w:color w:val="FFFFFF"/>
                <w:lang w:val="cs-CZ"/>
              </w:rPr>
            </w:pPr>
            <w:r w:rsidRPr="00D95ED2">
              <w:rPr>
                <w:b/>
                <w:color w:val="FFFFFF"/>
                <w:lang w:val="cs-CZ"/>
              </w:rPr>
              <w:t>Druh vozidla</w:t>
            </w:r>
          </w:p>
        </w:tc>
        <w:tc>
          <w:tcPr>
            <w:tcW w:w="2275" w:type="dxa"/>
            <w:gridSpan w:val="3"/>
            <w:shd w:val="clear" w:color="auto" w:fill="72C7E7"/>
            <w:vAlign w:val="center"/>
          </w:tcPr>
          <w:p w:rsidR="00C06DA1" w:rsidRPr="00D95ED2" w:rsidRDefault="00C06DA1" w:rsidP="001C18DA">
            <w:pPr>
              <w:pStyle w:val="BodyText1"/>
              <w:spacing w:beforeLines="60" w:after="0"/>
              <w:ind w:right="481"/>
              <w:jc w:val="center"/>
              <w:rPr>
                <w:b/>
                <w:color w:val="FFFFFF"/>
                <w:lang w:val="cs-CZ"/>
              </w:rPr>
            </w:pPr>
            <w:r w:rsidRPr="00D95ED2">
              <w:rPr>
                <w:b/>
                <w:color w:val="FFFFFF"/>
                <w:lang w:val="cs-CZ"/>
              </w:rPr>
              <w:t>Počet vozidel / Palubních jednotek [ks]</w:t>
            </w:r>
          </w:p>
        </w:tc>
        <w:tc>
          <w:tcPr>
            <w:tcW w:w="2275" w:type="dxa"/>
            <w:gridSpan w:val="3"/>
            <w:shd w:val="clear" w:color="auto" w:fill="72C7E7"/>
          </w:tcPr>
          <w:p w:rsidR="00C06DA1" w:rsidRPr="00D95ED2" w:rsidRDefault="00C06DA1" w:rsidP="001C18DA">
            <w:pPr>
              <w:pStyle w:val="BodyText1"/>
              <w:spacing w:beforeLines="60" w:after="0"/>
              <w:jc w:val="center"/>
              <w:rPr>
                <w:b/>
                <w:color w:val="FFFFFF"/>
                <w:lang w:val="cs-CZ"/>
              </w:rPr>
            </w:pPr>
            <w:r w:rsidRPr="00D95ED2">
              <w:rPr>
                <w:b/>
                <w:color w:val="FFFFFF"/>
                <w:lang w:val="cs-CZ"/>
              </w:rPr>
              <w:t>Objem slev [tis. Kč]</w:t>
            </w:r>
          </w:p>
        </w:tc>
        <w:tc>
          <w:tcPr>
            <w:tcW w:w="2275" w:type="dxa"/>
            <w:gridSpan w:val="3"/>
            <w:shd w:val="clear" w:color="auto" w:fill="72C7E7"/>
          </w:tcPr>
          <w:p w:rsidR="00C06DA1" w:rsidRPr="00D95ED2" w:rsidRDefault="00C06DA1" w:rsidP="001C18DA">
            <w:pPr>
              <w:pStyle w:val="BodyText1"/>
              <w:spacing w:beforeLines="60" w:after="0"/>
              <w:jc w:val="center"/>
              <w:rPr>
                <w:b/>
                <w:color w:val="FFFFFF"/>
                <w:lang w:val="cs-CZ"/>
              </w:rPr>
            </w:pPr>
            <w:r w:rsidRPr="00D95ED2">
              <w:rPr>
                <w:b/>
                <w:color w:val="FFFFFF"/>
                <w:lang w:val="cs-CZ"/>
              </w:rPr>
              <w:t>Počet klientů</w:t>
            </w:r>
          </w:p>
        </w:tc>
      </w:tr>
      <w:tr w:rsidR="00C06DA1" w:rsidRPr="00D95ED2">
        <w:tc>
          <w:tcPr>
            <w:tcW w:w="910" w:type="dxa"/>
            <w:shd w:val="clear" w:color="auto" w:fill="FFFFFF"/>
            <w:vAlign w:val="center"/>
          </w:tcPr>
          <w:p w:rsidR="00C06DA1" w:rsidRPr="00D95ED2" w:rsidRDefault="00C06DA1" w:rsidP="00DD2F1B">
            <w:pPr>
              <w:pStyle w:val="BodyText1"/>
              <w:spacing w:before="0" w:after="0"/>
              <w:jc w:val="center"/>
              <w:rPr>
                <w:sz w:val="20"/>
                <w:szCs w:val="20"/>
                <w:lang w:val="cs-CZ"/>
              </w:rPr>
            </w:pP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Post-</w:t>
            </w:r>
            <w:proofErr w:type="spellStart"/>
            <w:r w:rsidRPr="00D95ED2">
              <w:rPr>
                <w:lang w:val="cs-CZ"/>
              </w:rPr>
              <w:t>pay</w:t>
            </w:r>
            <w:proofErr w:type="spellEnd"/>
          </w:p>
        </w:tc>
        <w:tc>
          <w:tcPr>
            <w:tcW w:w="910" w:type="dxa"/>
            <w:gridSpan w:val="2"/>
            <w:shd w:val="clear" w:color="auto" w:fill="FFFFFF"/>
            <w:vAlign w:val="center"/>
          </w:tcPr>
          <w:p w:rsidR="00C06DA1" w:rsidRPr="00D95ED2" w:rsidRDefault="00C06DA1" w:rsidP="00DD2F1B">
            <w:pPr>
              <w:spacing w:before="0" w:after="0"/>
              <w:jc w:val="center"/>
              <w:rPr>
                <w:lang w:val="cs-CZ"/>
              </w:rPr>
            </w:pPr>
            <w:proofErr w:type="spellStart"/>
            <w:r w:rsidRPr="00D95ED2">
              <w:rPr>
                <w:lang w:val="cs-CZ"/>
              </w:rPr>
              <w:t>Pre</w:t>
            </w:r>
            <w:proofErr w:type="spellEnd"/>
            <w:r w:rsidRPr="00D95ED2">
              <w:rPr>
                <w:lang w:val="cs-CZ"/>
              </w:rPr>
              <w:t>-</w:t>
            </w:r>
            <w:proofErr w:type="spellStart"/>
            <w:r w:rsidRPr="00D95ED2">
              <w:rPr>
                <w:lang w:val="cs-CZ"/>
              </w:rPr>
              <w:t>pay</w:t>
            </w:r>
            <w:proofErr w:type="spellEnd"/>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Celkem</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Post-</w:t>
            </w:r>
            <w:proofErr w:type="spellStart"/>
            <w:r w:rsidRPr="00D95ED2">
              <w:rPr>
                <w:lang w:val="cs-CZ"/>
              </w:rPr>
              <w:t>pay</w:t>
            </w:r>
            <w:proofErr w:type="spellEnd"/>
          </w:p>
        </w:tc>
        <w:tc>
          <w:tcPr>
            <w:tcW w:w="910" w:type="dxa"/>
            <w:shd w:val="clear" w:color="auto" w:fill="FFFFFF"/>
            <w:vAlign w:val="center"/>
          </w:tcPr>
          <w:p w:rsidR="00C06DA1" w:rsidRPr="00D95ED2" w:rsidRDefault="00C06DA1" w:rsidP="00DD2F1B">
            <w:pPr>
              <w:spacing w:before="0" w:after="0"/>
              <w:jc w:val="center"/>
              <w:rPr>
                <w:lang w:val="cs-CZ"/>
              </w:rPr>
            </w:pPr>
            <w:proofErr w:type="spellStart"/>
            <w:r w:rsidRPr="00D95ED2">
              <w:rPr>
                <w:lang w:val="cs-CZ"/>
              </w:rPr>
              <w:t>Pre</w:t>
            </w:r>
            <w:proofErr w:type="spellEnd"/>
            <w:r w:rsidRPr="00D95ED2">
              <w:rPr>
                <w:lang w:val="cs-CZ"/>
              </w:rPr>
              <w:t>-</w:t>
            </w:r>
            <w:proofErr w:type="spellStart"/>
            <w:r w:rsidRPr="00D95ED2">
              <w:rPr>
                <w:lang w:val="cs-CZ"/>
              </w:rPr>
              <w:t>pay</w:t>
            </w:r>
            <w:proofErr w:type="spellEnd"/>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Celkem</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Post-</w:t>
            </w:r>
            <w:proofErr w:type="spellStart"/>
            <w:r w:rsidRPr="00D95ED2">
              <w:rPr>
                <w:lang w:val="cs-CZ"/>
              </w:rPr>
              <w:t>pay</w:t>
            </w:r>
            <w:proofErr w:type="spellEnd"/>
          </w:p>
        </w:tc>
        <w:tc>
          <w:tcPr>
            <w:tcW w:w="910" w:type="dxa"/>
            <w:shd w:val="clear" w:color="auto" w:fill="FFFFFF"/>
            <w:vAlign w:val="center"/>
          </w:tcPr>
          <w:p w:rsidR="00C06DA1" w:rsidRPr="00D95ED2" w:rsidRDefault="00C06DA1" w:rsidP="00DD2F1B">
            <w:pPr>
              <w:spacing w:before="0" w:after="0"/>
              <w:jc w:val="center"/>
              <w:rPr>
                <w:lang w:val="cs-CZ"/>
              </w:rPr>
            </w:pPr>
            <w:proofErr w:type="spellStart"/>
            <w:r w:rsidRPr="00D95ED2">
              <w:rPr>
                <w:lang w:val="cs-CZ"/>
              </w:rPr>
              <w:t>Pre</w:t>
            </w:r>
            <w:proofErr w:type="spellEnd"/>
            <w:r w:rsidRPr="00D95ED2">
              <w:rPr>
                <w:lang w:val="cs-CZ"/>
              </w:rPr>
              <w:t>-</w:t>
            </w:r>
            <w:proofErr w:type="spellStart"/>
            <w:r w:rsidRPr="00D95ED2">
              <w:rPr>
                <w:lang w:val="cs-CZ"/>
              </w:rPr>
              <w:t>pay</w:t>
            </w:r>
            <w:proofErr w:type="spellEnd"/>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Celkem</w:t>
            </w:r>
          </w:p>
        </w:tc>
      </w:tr>
      <w:tr w:rsidR="00C06DA1" w:rsidRPr="00D95ED2">
        <w:tc>
          <w:tcPr>
            <w:tcW w:w="910" w:type="dxa"/>
            <w:shd w:val="clear" w:color="auto" w:fill="FFFFFF"/>
            <w:vAlign w:val="center"/>
          </w:tcPr>
          <w:p w:rsidR="00C06DA1" w:rsidRPr="00D95ED2" w:rsidRDefault="00C06DA1" w:rsidP="00DD2F1B">
            <w:pPr>
              <w:pStyle w:val="BodyText1"/>
              <w:spacing w:before="0" w:after="0"/>
              <w:jc w:val="center"/>
              <w:rPr>
                <w:sz w:val="20"/>
                <w:szCs w:val="20"/>
                <w:lang w:val="cs-CZ"/>
              </w:rPr>
            </w:pPr>
            <w:r w:rsidRPr="00D95ED2">
              <w:rPr>
                <w:sz w:val="20"/>
                <w:szCs w:val="20"/>
                <w:lang w:val="cs-CZ"/>
              </w:rPr>
              <w:t>Domácí</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18 008</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3 760</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21 769</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154 722</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30 552</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185 274</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3 766</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1 472</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5 238</w:t>
            </w:r>
          </w:p>
        </w:tc>
      </w:tr>
      <w:tr w:rsidR="00C06DA1" w:rsidRPr="00D95ED2">
        <w:tc>
          <w:tcPr>
            <w:tcW w:w="910" w:type="dxa"/>
            <w:shd w:val="clear" w:color="auto" w:fill="FFFFFF"/>
            <w:vAlign w:val="center"/>
          </w:tcPr>
          <w:p w:rsidR="00C06DA1" w:rsidRPr="00D95ED2" w:rsidRDefault="00C06DA1" w:rsidP="00DD2F1B">
            <w:pPr>
              <w:pStyle w:val="BodyText1"/>
              <w:spacing w:before="0" w:after="0"/>
              <w:jc w:val="center"/>
              <w:rPr>
                <w:sz w:val="20"/>
                <w:szCs w:val="20"/>
                <w:lang w:val="cs-CZ"/>
              </w:rPr>
            </w:pPr>
            <w:r w:rsidRPr="00D95ED2">
              <w:rPr>
                <w:sz w:val="20"/>
                <w:szCs w:val="20"/>
                <w:lang w:val="cs-CZ"/>
              </w:rPr>
              <w:t>Zahraniční</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5 216</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4 722</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9 938</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38 261</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40 472</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78 733</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1 333</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4 709</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6 042</w:t>
            </w:r>
          </w:p>
        </w:tc>
      </w:tr>
      <w:tr w:rsidR="00C06DA1" w:rsidRPr="00D95ED2">
        <w:tc>
          <w:tcPr>
            <w:tcW w:w="910" w:type="dxa"/>
            <w:shd w:val="clear" w:color="auto" w:fill="FFFFFF"/>
            <w:vAlign w:val="center"/>
          </w:tcPr>
          <w:p w:rsidR="00C06DA1" w:rsidRPr="00D95ED2" w:rsidRDefault="00C06DA1" w:rsidP="00DD2F1B">
            <w:pPr>
              <w:pStyle w:val="BodyText1"/>
              <w:spacing w:before="0" w:after="0"/>
              <w:jc w:val="center"/>
              <w:rPr>
                <w:sz w:val="20"/>
                <w:szCs w:val="20"/>
                <w:lang w:val="cs-CZ"/>
              </w:rPr>
            </w:pPr>
            <w:r w:rsidRPr="00D95ED2">
              <w:rPr>
                <w:sz w:val="20"/>
                <w:szCs w:val="20"/>
                <w:lang w:val="cs-CZ"/>
              </w:rPr>
              <w:t>Celkem</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23 224</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8 483</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31 706</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192 983</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71 025</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264 007</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5 099</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6 181</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11 280</w:t>
            </w:r>
          </w:p>
        </w:tc>
      </w:tr>
      <w:tr w:rsidR="00C06DA1" w:rsidRPr="00D95ED2">
        <w:tc>
          <w:tcPr>
            <w:tcW w:w="910" w:type="dxa"/>
            <w:shd w:val="clear" w:color="auto" w:fill="FFFFFF"/>
            <w:vAlign w:val="center"/>
          </w:tcPr>
          <w:p w:rsidR="00C06DA1" w:rsidRPr="00D95ED2" w:rsidRDefault="00C06DA1" w:rsidP="00DD2F1B">
            <w:pPr>
              <w:pStyle w:val="BodyText1"/>
              <w:spacing w:before="0" w:after="0"/>
              <w:jc w:val="center"/>
              <w:rPr>
                <w:sz w:val="20"/>
                <w:szCs w:val="20"/>
                <w:lang w:val="cs-CZ"/>
              </w:rPr>
            </w:pPr>
            <w:r w:rsidRPr="00D95ED2">
              <w:rPr>
                <w:sz w:val="20"/>
                <w:szCs w:val="20"/>
                <w:lang w:val="cs-CZ"/>
              </w:rPr>
              <w:t>ČESAMD Bohemia</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5 901</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174</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6 074</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48 432</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1 417</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49 849</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606</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0</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606</w:t>
            </w:r>
          </w:p>
        </w:tc>
      </w:tr>
    </w:tbl>
    <w:p w:rsidR="00C06DA1" w:rsidRPr="00BB260C" w:rsidRDefault="00C06DA1" w:rsidP="00F55F65">
      <w:pPr>
        <w:jc w:val="center"/>
        <w:rPr>
          <w:rFonts w:cs="Arial"/>
          <w:bCs/>
          <w:sz w:val="16"/>
          <w:szCs w:val="16"/>
          <w:lang w:val="cs-CZ" w:bidi="my-MM"/>
        </w:rPr>
      </w:pPr>
      <w:r w:rsidRPr="00BB260C">
        <w:rPr>
          <w:rFonts w:cs="Arial"/>
          <w:bCs/>
          <w:sz w:val="16"/>
          <w:szCs w:val="16"/>
          <w:lang w:val="cs-CZ" w:bidi="my-MM"/>
        </w:rPr>
        <w:t xml:space="preserve">Tabulka č. </w:t>
      </w:r>
      <w:r>
        <w:rPr>
          <w:rFonts w:cs="Arial"/>
          <w:bCs/>
          <w:sz w:val="16"/>
          <w:szCs w:val="16"/>
          <w:lang w:val="cs-CZ" w:bidi="my-MM"/>
        </w:rPr>
        <w:t>8</w:t>
      </w:r>
      <w:r w:rsidRPr="00BB260C">
        <w:rPr>
          <w:rFonts w:cs="Arial"/>
          <w:bCs/>
          <w:sz w:val="16"/>
          <w:szCs w:val="16"/>
          <w:lang w:val="cs-CZ" w:bidi="my-MM"/>
        </w:rPr>
        <w:t xml:space="preserve"> – Alokované slevy z mýtného pro rok 2013</w:t>
      </w:r>
    </w:p>
    <w:p w:rsidR="00C06DA1" w:rsidRPr="004E1992" w:rsidRDefault="00C06DA1" w:rsidP="00F55F65">
      <w:pPr>
        <w:jc w:val="both"/>
        <w:rPr>
          <w:sz w:val="22"/>
          <w:szCs w:val="22"/>
          <w:lang w:val="cs-CZ"/>
        </w:rPr>
      </w:pPr>
      <w:r w:rsidRPr="004E1992">
        <w:rPr>
          <w:sz w:val="22"/>
          <w:szCs w:val="22"/>
          <w:lang w:val="cs-CZ"/>
        </w:rPr>
        <w:t>Vzhledem k tomu, že uživatelé SEM nepožádají o vyplacení veškerých slev z mýtného, lze upravit maximální možný objem slev na hodnotu, která se bude blížit reálné částce vyplacených slev z mýtného za rok 2013. Tato úprava vychází především ze zkušeností z vyplácení slevy z mýtného za rok 2012. Na základě takovéhoto odhadu lze stanovit objem slev za rok 2013 ve výši 2/3 z maximálního možného objemu slevy.</w:t>
      </w:r>
    </w:p>
    <w:tbl>
      <w:tblPr>
        <w:tblW w:w="9100" w:type="dxa"/>
        <w:tblBorders>
          <w:bottom w:val="single" w:sz="4" w:space="0" w:color="72C7E7"/>
          <w:insideH w:val="single" w:sz="4" w:space="0" w:color="72C7E7"/>
        </w:tblBorders>
        <w:tblLayout w:type="fixed"/>
        <w:tblCellMar>
          <w:top w:w="28" w:type="dxa"/>
          <w:left w:w="28" w:type="dxa"/>
          <w:bottom w:w="28" w:type="dxa"/>
          <w:right w:w="28" w:type="dxa"/>
        </w:tblCellMar>
        <w:tblLook w:val="00A0"/>
      </w:tblPr>
      <w:tblGrid>
        <w:gridCol w:w="910"/>
        <w:gridCol w:w="910"/>
        <w:gridCol w:w="455"/>
        <w:gridCol w:w="455"/>
        <w:gridCol w:w="910"/>
        <w:gridCol w:w="910"/>
        <w:gridCol w:w="910"/>
        <w:gridCol w:w="910"/>
        <w:gridCol w:w="455"/>
        <w:gridCol w:w="455"/>
        <w:gridCol w:w="910"/>
        <w:gridCol w:w="910"/>
      </w:tblGrid>
      <w:tr w:rsidR="00C06DA1" w:rsidRPr="00D95ED2">
        <w:tc>
          <w:tcPr>
            <w:tcW w:w="2275" w:type="dxa"/>
            <w:gridSpan w:val="3"/>
            <w:shd w:val="clear" w:color="auto" w:fill="72C7E7"/>
            <w:vAlign w:val="center"/>
          </w:tcPr>
          <w:p w:rsidR="00C06DA1" w:rsidRPr="00D95ED2" w:rsidRDefault="00C06DA1" w:rsidP="00DD2F1B">
            <w:pPr>
              <w:pStyle w:val="BodyText1"/>
              <w:spacing w:before="120" w:after="0"/>
              <w:ind w:right="82"/>
              <w:jc w:val="center"/>
              <w:rPr>
                <w:b/>
                <w:color w:val="FFFFFF"/>
                <w:lang w:val="cs-CZ"/>
              </w:rPr>
            </w:pPr>
            <w:r w:rsidRPr="00D95ED2">
              <w:rPr>
                <w:b/>
                <w:color w:val="FFFFFF"/>
                <w:lang w:val="cs-CZ"/>
              </w:rPr>
              <w:t>Druh vozidla</w:t>
            </w:r>
          </w:p>
        </w:tc>
        <w:tc>
          <w:tcPr>
            <w:tcW w:w="2275" w:type="dxa"/>
            <w:gridSpan w:val="3"/>
            <w:shd w:val="clear" w:color="auto" w:fill="72C7E7"/>
            <w:vAlign w:val="center"/>
          </w:tcPr>
          <w:p w:rsidR="00C06DA1" w:rsidRPr="00D95ED2" w:rsidRDefault="00C06DA1" w:rsidP="00DD2F1B">
            <w:pPr>
              <w:pStyle w:val="BodyText1"/>
              <w:spacing w:before="120" w:after="0"/>
              <w:ind w:right="481"/>
              <w:jc w:val="center"/>
              <w:rPr>
                <w:b/>
                <w:color w:val="FFFFFF"/>
                <w:lang w:val="cs-CZ"/>
              </w:rPr>
            </w:pPr>
            <w:r w:rsidRPr="00D95ED2">
              <w:rPr>
                <w:b/>
                <w:color w:val="FFFFFF"/>
                <w:lang w:val="cs-CZ"/>
              </w:rPr>
              <w:t>Počet vozidel / Palubních jednotek [ks]</w:t>
            </w:r>
          </w:p>
        </w:tc>
        <w:tc>
          <w:tcPr>
            <w:tcW w:w="2275" w:type="dxa"/>
            <w:gridSpan w:val="3"/>
            <w:shd w:val="clear" w:color="auto" w:fill="72C7E7"/>
            <w:vAlign w:val="center"/>
          </w:tcPr>
          <w:p w:rsidR="00C06DA1" w:rsidRPr="00D95ED2" w:rsidRDefault="00C06DA1" w:rsidP="00DD2F1B">
            <w:pPr>
              <w:pStyle w:val="BodyText1"/>
              <w:spacing w:before="120" w:after="0"/>
              <w:jc w:val="center"/>
              <w:rPr>
                <w:b/>
                <w:color w:val="FFFFFF"/>
                <w:lang w:val="cs-CZ"/>
              </w:rPr>
            </w:pPr>
            <w:r w:rsidRPr="00D95ED2">
              <w:rPr>
                <w:b/>
                <w:color w:val="FFFFFF"/>
                <w:lang w:val="cs-CZ"/>
              </w:rPr>
              <w:t>Objem slev [tis. Kč]</w:t>
            </w:r>
          </w:p>
        </w:tc>
        <w:tc>
          <w:tcPr>
            <w:tcW w:w="2275" w:type="dxa"/>
            <w:gridSpan w:val="3"/>
            <w:shd w:val="clear" w:color="auto" w:fill="72C7E7"/>
            <w:vAlign w:val="center"/>
          </w:tcPr>
          <w:p w:rsidR="00C06DA1" w:rsidRPr="00D95ED2" w:rsidRDefault="00C06DA1" w:rsidP="00DD2F1B">
            <w:pPr>
              <w:pStyle w:val="BodyText1"/>
              <w:spacing w:before="120" w:after="0"/>
              <w:jc w:val="center"/>
              <w:rPr>
                <w:b/>
                <w:color w:val="FFFFFF"/>
                <w:lang w:val="cs-CZ"/>
              </w:rPr>
            </w:pPr>
            <w:r w:rsidRPr="00D95ED2">
              <w:rPr>
                <w:b/>
                <w:color w:val="FFFFFF"/>
                <w:lang w:val="cs-CZ"/>
              </w:rPr>
              <w:t>Počet klientů</w:t>
            </w:r>
          </w:p>
        </w:tc>
      </w:tr>
      <w:tr w:rsidR="00C06DA1" w:rsidRPr="00D95ED2">
        <w:tc>
          <w:tcPr>
            <w:tcW w:w="910" w:type="dxa"/>
            <w:shd w:val="clear" w:color="auto" w:fill="FFFFFF"/>
            <w:vAlign w:val="center"/>
          </w:tcPr>
          <w:p w:rsidR="00C06DA1" w:rsidRPr="00D95ED2" w:rsidRDefault="00C06DA1" w:rsidP="00DD2F1B">
            <w:pPr>
              <w:pStyle w:val="BodyText1"/>
              <w:spacing w:before="0" w:after="0"/>
              <w:jc w:val="center"/>
              <w:rPr>
                <w:sz w:val="20"/>
                <w:szCs w:val="20"/>
                <w:lang w:val="cs-CZ"/>
              </w:rPr>
            </w:pP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Post-</w:t>
            </w:r>
            <w:proofErr w:type="spellStart"/>
            <w:r w:rsidRPr="00D95ED2">
              <w:rPr>
                <w:lang w:val="cs-CZ"/>
              </w:rPr>
              <w:t>pay</w:t>
            </w:r>
            <w:proofErr w:type="spellEnd"/>
          </w:p>
        </w:tc>
        <w:tc>
          <w:tcPr>
            <w:tcW w:w="910" w:type="dxa"/>
            <w:gridSpan w:val="2"/>
            <w:shd w:val="clear" w:color="auto" w:fill="FFFFFF"/>
            <w:vAlign w:val="center"/>
          </w:tcPr>
          <w:p w:rsidR="00C06DA1" w:rsidRPr="00D95ED2" w:rsidRDefault="00C06DA1" w:rsidP="00DD2F1B">
            <w:pPr>
              <w:spacing w:before="0" w:after="0"/>
              <w:jc w:val="center"/>
              <w:rPr>
                <w:lang w:val="cs-CZ"/>
              </w:rPr>
            </w:pPr>
            <w:proofErr w:type="spellStart"/>
            <w:r w:rsidRPr="00D95ED2">
              <w:rPr>
                <w:lang w:val="cs-CZ"/>
              </w:rPr>
              <w:t>Pre</w:t>
            </w:r>
            <w:proofErr w:type="spellEnd"/>
            <w:r w:rsidRPr="00D95ED2">
              <w:rPr>
                <w:lang w:val="cs-CZ"/>
              </w:rPr>
              <w:t>-</w:t>
            </w:r>
            <w:proofErr w:type="spellStart"/>
            <w:r w:rsidRPr="00D95ED2">
              <w:rPr>
                <w:lang w:val="cs-CZ"/>
              </w:rPr>
              <w:t>pay</w:t>
            </w:r>
            <w:proofErr w:type="spellEnd"/>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Celkem</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Post-</w:t>
            </w:r>
            <w:proofErr w:type="spellStart"/>
            <w:r w:rsidRPr="00D95ED2">
              <w:rPr>
                <w:lang w:val="cs-CZ"/>
              </w:rPr>
              <w:t>pay</w:t>
            </w:r>
            <w:proofErr w:type="spellEnd"/>
          </w:p>
        </w:tc>
        <w:tc>
          <w:tcPr>
            <w:tcW w:w="910" w:type="dxa"/>
            <w:shd w:val="clear" w:color="auto" w:fill="FFFFFF"/>
            <w:vAlign w:val="center"/>
          </w:tcPr>
          <w:p w:rsidR="00C06DA1" w:rsidRPr="00D95ED2" w:rsidRDefault="00C06DA1" w:rsidP="00DD2F1B">
            <w:pPr>
              <w:spacing w:before="0" w:after="0"/>
              <w:jc w:val="center"/>
              <w:rPr>
                <w:lang w:val="cs-CZ"/>
              </w:rPr>
            </w:pPr>
            <w:proofErr w:type="spellStart"/>
            <w:r w:rsidRPr="00D95ED2">
              <w:rPr>
                <w:lang w:val="cs-CZ"/>
              </w:rPr>
              <w:t>Pre</w:t>
            </w:r>
            <w:proofErr w:type="spellEnd"/>
            <w:r w:rsidRPr="00D95ED2">
              <w:rPr>
                <w:lang w:val="cs-CZ"/>
              </w:rPr>
              <w:t>-</w:t>
            </w:r>
            <w:proofErr w:type="spellStart"/>
            <w:r w:rsidRPr="00D95ED2">
              <w:rPr>
                <w:lang w:val="cs-CZ"/>
              </w:rPr>
              <w:t>pay</w:t>
            </w:r>
            <w:proofErr w:type="spellEnd"/>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Celkem</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Post-</w:t>
            </w:r>
            <w:proofErr w:type="spellStart"/>
            <w:r w:rsidRPr="00D95ED2">
              <w:rPr>
                <w:lang w:val="cs-CZ"/>
              </w:rPr>
              <w:t>pay</w:t>
            </w:r>
            <w:proofErr w:type="spellEnd"/>
          </w:p>
        </w:tc>
        <w:tc>
          <w:tcPr>
            <w:tcW w:w="910" w:type="dxa"/>
            <w:shd w:val="clear" w:color="auto" w:fill="FFFFFF"/>
            <w:vAlign w:val="center"/>
          </w:tcPr>
          <w:p w:rsidR="00C06DA1" w:rsidRPr="00D95ED2" w:rsidRDefault="00C06DA1" w:rsidP="00DD2F1B">
            <w:pPr>
              <w:spacing w:before="0" w:after="0"/>
              <w:jc w:val="center"/>
              <w:rPr>
                <w:lang w:val="cs-CZ"/>
              </w:rPr>
            </w:pPr>
            <w:proofErr w:type="spellStart"/>
            <w:r w:rsidRPr="00D95ED2">
              <w:rPr>
                <w:lang w:val="cs-CZ"/>
              </w:rPr>
              <w:t>Pre</w:t>
            </w:r>
            <w:proofErr w:type="spellEnd"/>
            <w:r w:rsidRPr="00D95ED2">
              <w:rPr>
                <w:lang w:val="cs-CZ"/>
              </w:rPr>
              <w:t>-</w:t>
            </w:r>
            <w:proofErr w:type="spellStart"/>
            <w:r w:rsidRPr="00D95ED2">
              <w:rPr>
                <w:lang w:val="cs-CZ"/>
              </w:rPr>
              <w:t>pay</w:t>
            </w:r>
            <w:proofErr w:type="spellEnd"/>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Celkem</w:t>
            </w:r>
          </w:p>
        </w:tc>
      </w:tr>
      <w:tr w:rsidR="00C06DA1" w:rsidRPr="00D95ED2">
        <w:tc>
          <w:tcPr>
            <w:tcW w:w="910" w:type="dxa"/>
            <w:shd w:val="clear" w:color="auto" w:fill="FFFFFF"/>
            <w:vAlign w:val="center"/>
          </w:tcPr>
          <w:p w:rsidR="00C06DA1" w:rsidRPr="00D95ED2" w:rsidRDefault="00C06DA1" w:rsidP="00DD2F1B">
            <w:pPr>
              <w:pStyle w:val="BodyText1"/>
              <w:spacing w:before="0" w:after="0"/>
              <w:jc w:val="center"/>
              <w:rPr>
                <w:sz w:val="20"/>
                <w:szCs w:val="20"/>
                <w:lang w:val="cs-CZ"/>
              </w:rPr>
            </w:pPr>
            <w:r w:rsidRPr="00D95ED2">
              <w:rPr>
                <w:sz w:val="20"/>
                <w:szCs w:val="20"/>
                <w:lang w:val="cs-CZ"/>
              </w:rPr>
              <w:t>Domácí</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12 005</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2 506</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14 512</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103 148</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20 368</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123 516</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2 510</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981</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3 492</w:t>
            </w:r>
          </w:p>
        </w:tc>
      </w:tr>
      <w:tr w:rsidR="00C06DA1" w:rsidRPr="00D95ED2">
        <w:tc>
          <w:tcPr>
            <w:tcW w:w="910" w:type="dxa"/>
            <w:shd w:val="clear" w:color="auto" w:fill="FFFFFF"/>
            <w:vAlign w:val="center"/>
          </w:tcPr>
          <w:p w:rsidR="00C06DA1" w:rsidRPr="00D95ED2" w:rsidRDefault="00C06DA1" w:rsidP="00DD2F1B">
            <w:pPr>
              <w:pStyle w:val="BodyText1"/>
              <w:spacing w:before="0" w:after="0"/>
              <w:jc w:val="center"/>
              <w:rPr>
                <w:sz w:val="20"/>
                <w:szCs w:val="20"/>
                <w:lang w:val="cs-CZ"/>
              </w:rPr>
            </w:pPr>
            <w:r w:rsidRPr="00D95ED2">
              <w:rPr>
                <w:sz w:val="20"/>
                <w:szCs w:val="20"/>
                <w:lang w:val="cs-CZ"/>
              </w:rPr>
              <w:t>Zahraniční</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3 477</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3 148</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6 625</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25 507</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26 981</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52 488</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1 333</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4 709</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6 042</w:t>
            </w:r>
          </w:p>
        </w:tc>
      </w:tr>
      <w:tr w:rsidR="00C06DA1" w:rsidRPr="00D95ED2">
        <w:tc>
          <w:tcPr>
            <w:tcW w:w="910" w:type="dxa"/>
            <w:shd w:val="clear" w:color="auto" w:fill="FFFFFF"/>
            <w:vAlign w:val="center"/>
          </w:tcPr>
          <w:p w:rsidR="00C06DA1" w:rsidRPr="00D95ED2" w:rsidRDefault="00C06DA1" w:rsidP="00DD2F1B">
            <w:pPr>
              <w:pStyle w:val="BodyText1"/>
              <w:spacing w:before="0" w:after="0"/>
              <w:jc w:val="center"/>
              <w:rPr>
                <w:sz w:val="20"/>
                <w:szCs w:val="20"/>
                <w:lang w:val="cs-CZ"/>
              </w:rPr>
            </w:pPr>
            <w:r w:rsidRPr="00D95ED2">
              <w:rPr>
                <w:sz w:val="20"/>
                <w:szCs w:val="20"/>
                <w:lang w:val="cs-CZ"/>
              </w:rPr>
              <w:t>Celkem</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15 482</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5 655</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21 137</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128 655</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47 350</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176 005</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3 399</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4 120</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7 520</w:t>
            </w:r>
          </w:p>
        </w:tc>
      </w:tr>
      <w:tr w:rsidR="00C06DA1" w:rsidRPr="00D95ED2">
        <w:tc>
          <w:tcPr>
            <w:tcW w:w="910" w:type="dxa"/>
            <w:shd w:val="clear" w:color="auto" w:fill="FFFFFF"/>
            <w:vAlign w:val="center"/>
          </w:tcPr>
          <w:p w:rsidR="00C06DA1" w:rsidRPr="00D95ED2" w:rsidRDefault="00C06DA1" w:rsidP="00DD2F1B">
            <w:pPr>
              <w:pStyle w:val="BodyText1"/>
              <w:spacing w:before="0" w:after="0"/>
              <w:jc w:val="center"/>
              <w:rPr>
                <w:sz w:val="20"/>
                <w:szCs w:val="20"/>
                <w:lang w:val="cs-CZ"/>
              </w:rPr>
            </w:pPr>
            <w:r w:rsidRPr="00D95ED2">
              <w:rPr>
                <w:sz w:val="20"/>
                <w:szCs w:val="20"/>
                <w:lang w:val="cs-CZ"/>
              </w:rPr>
              <w:t>ČESAMD Bohemia</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3 934</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116</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4 050</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32 288</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945</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33 233</w:t>
            </w:r>
          </w:p>
        </w:tc>
        <w:tc>
          <w:tcPr>
            <w:tcW w:w="910" w:type="dxa"/>
            <w:gridSpan w:val="2"/>
            <w:shd w:val="clear" w:color="auto" w:fill="FFFFFF"/>
            <w:vAlign w:val="center"/>
          </w:tcPr>
          <w:p w:rsidR="00C06DA1" w:rsidRPr="00D95ED2" w:rsidRDefault="00C06DA1" w:rsidP="00DD2F1B">
            <w:pPr>
              <w:spacing w:before="0" w:after="0"/>
              <w:jc w:val="center"/>
              <w:rPr>
                <w:lang w:val="cs-CZ"/>
              </w:rPr>
            </w:pPr>
            <w:r w:rsidRPr="00D95ED2">
              <w:rPr>
                <w:lang w:val="cs-CZ"/>
              </w:rPr>
              <w:t>404</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0</w:t>
            </w:r>
          </w:p>
        </w:tc>
        <w:tc>
          <w:tcPr>
            <w:tcW w:w="910" w:type="dxa"/>
            <w:shd w:val="clear" w:color="auto" w:fill="FFFFFF"/>
            <w:vAlign w:val="center"/>
          </w:tcPr>
          <w:p w:rsidR="00C06DA1" w:rsidRPr="00D95ED2" w:rsidRDefault="00C06DA1" w:rsidP="00DD2F1B">
            <w:pPr>
              <w:spacing w:before="0" w:after="0"/>
              <w:jc w:val="center"/>
              <w:rPr>
                <w:lang w:val="cs-CZ"/>
              </w:rPr>
            </w:pPr>
            <w:r w:rsidRPr="00D95ED2">
              <w:rPr>
                <w:lang w:val="cs-CZ"/>
              </w:rPr>
              <w:t>404</w:t>
            </w:r>
          </w:p>
        </w:tc>
      </w:tr>
    </w:tbl>
    <w:p w:rsidR="00C06DA1" w:rsidRPr="00DD2F1B" w:rsidRDefault="00C06DA1" w:rsidP="00F55F65">
      <w:pPr>
        <w:jc w:val="center"/>
        <w:rPr>
          <w:rFonts w:cs="Arial"/>
          <w:bCs/>
          <w:sz w:val="16"/>
          <w:szCs w:val="16"/>
          <w:lang w:val="cs-CZ" w:bidi="my-MM"/>
        </w:rPr>
      </w:pPr>
      <w:r w:rsidRPr="00DD2F1B">
        <w:rPr>
          <w:rFonts w:cs="Arial"/>
          <w:bCs/>
          <w:sz w:val="16"/>
          <w:szCs w:val="16"/>
          <w:lang w:val="cs-CZ" w:bidi="my-MM"/>
        </w:rPr>
        <w:t xml:space="preserve">Tabulka č. </w:t>
      </w:r>
      <w:r>
        <w:rPr>
          <w:rFonts w:cs="Arial"/>
          <w:bCs/>
          <w:sz w:val="16"/>
          <w:szCs w:val="16"/>
          <w:lang w:val="cs-CZ" w:bidi="my-MM"/>
        </w:rPr>
        <w:t>9</w:t>
      </w:r>
      <w:r w:rsidRPr="00DD2F1B">
        <w:rPr>
          <w:rFonts w:cs="Arial"/>
          <w:bCs/>
          <w:sz w:val="16"/>
          <w:szCs w:val="16"/>
          <w:lang w:val="cs-CZ" w:bidi="my-MM"/>
        </w:rPr>
        <w:t xml:space="preserve"> – Odhad vyplacených slev za rok 2013</w:t>
      </w:r>
    </w:p>
    <w:p w:rsidR="00C06DA1" w:rsidRPr="004E1992" w:rsidRDefault="00C06DA1" w:rsidP="00F55F65">
      <w:pPr>
        <w:jc w:val="both"/>
        <w:rPr>
          <w:sz w:val="22"/>
          <w:szCs w:val="22"/>
          <w:lang w:val="cs-CZ"/>
        </w:rPr>
      </w:pPr>
      <w:r w:rsidRPr="004E1992">
        <w:rPr>
          <w:sz w:val="22"/>
          <w:szCs w:val="22"/>
          <w:lang w:val="cs-CZ"/>
        </w:rPr>
        <w:lastRenderedPageBreak/>
        <w:t>Pro rok 2013 byly při tvorbě systému slev z mýtného plánovány slevy v celkové výši 350 mil. Kč. Na základě zkušeností z roku 2012 a na základě expertního odhadu slev pro rok 2013 lze identifikovat úsporu, kterou tvoří rozdíl mezi původním a expertním odhadem, ve výši 174 mil. Kč.</w:t>
      </w:r>
    </w:p>
    <w:p w:rsidR="00C06DA1" w:rsidRPr="00DD2F1B" w:rsidRDefault="00C06DA1" w:rsidP="00F55F65">
      <w:pPr>
        <w:pStyle w:val="Nadpis3"/>
        <w:rPr>
          <w:lang w:val="cs-CZ"/>
        </w:rPr>
      </w:pPr>
      <w:bookmarkStart w:id="113" w:name="_Toc368063554"/>
      <w:bookmarkStart w:id="114" w:name="_Toc370398455"/>
      <w:r w:rsidRPr="00DD2F1B">
        <w:rPr>
          <w:lang w:val="cs-CZ"/>
        </w:rPr>
        <w:t>Propadnutí kreditu u palubních jednotek</w:t>
      </w:r>
      <w:bookmarkEnd w:id="113"/>
      <w:bookmarkEnd w:id="114"/>
    </w:p>
    <w:p w:rsidR="00C06DA1" w:rsidRPr="004E1992" w:rsidRDefault="00C06DA1" w:rsidP="00F55F65">
      <w:pPr>
        <w:jc w:val="both"/>
        <w:rPr>
          <w:sz w:val="22"/>
          <w:szCs w:val="22"/>
          <w:lang w:val="cs-CZ"/>
        </w:rPr>
      </w:pPr>
      <w:r w:rsidRPr="004E1992">
        <w:rPr>
          <w:sz w:val="22"/>
          <w:szCs w:val="22"/>
          <w:lang w:val="cs-CZ"/>
        </w:rPr>
        <w:t xml:space="preserve">Ministerstvo dopravy se dlouhodobě zabývá problematikou velkého množství neaktivních palubních jednotek evidovaných v SEM. U těchto palubních jednotek tak zůstává zadržována vratná kauce ve výši 1550,- Kč a v případě palubní jednotky vedené v režimu </w:t>
      </w:r>
      <w:proofErr w:type="spellStart"/>
      <w:r w:rsidRPr="004E1992">
        <w:rPr>
          <w:sz w:val="22"/>
          <w:szCs w:val="22"/>
          <w:lang w:val="cs-CZ"/>
        </w:rPr>
        <w:t>pre</w:t>
      </w:r>
      <w:proofErr w:type="spellEnd"/>
      <w:r w:rsidRPr="004E1992">
        <w:rPr>
          <w:sz w:val="22"/>
          <w:szCs w:val="22"/>
          <w:lang w:val="cs-CZ"/>
        </w:rPr>
        <w:t>-</w:t>
      </w:r>
      <w:proofErr w:type="spellStart"/>
      <w:r w:rsidRPr="004E1992">
        <w:rPr>
          <w:sz w:val="22"/>
          <w:szCs w:val="22"/>
          <w:lang w:val="cs-CZ"/>
        </w:rPr>
        <w:t>pay</w:t>
      </w:r>
      <w:proofErr w:type="spellEnd"/>
      <w:r w:rsidRPr="004E1992">
        <w:rPr>
          <w:sz w:val="22"/>
          <w:szCs w:val="22"/>
          <w:lang w:val="cs-CZ"/>
        </w:rPr>
        <w:t xml:space="preserve"> je navíc ke kauci zadržován předplacený kredit s průměrnou hodnotou 1200,- Kč na palubní jednotku. Problematika zadržovaných kaucí byla již v Zákoně 13/1997 Sb. vyřešena. Nyní nastává problém, jak řešit předplacený kredit na palubních jednotkách, u kterých také nebyla evidována mýtná transakce po dobu delší jednoho roku. V celkovém počtu se jedná o nespotřebovaný předplacený kredit ve výši cca 140 mil. Kč. Ideálním řešením je tyto neaktivní palubní jednotky vyřadit z evidence a snížit tak počet evidovaných palubních jednotek, za jejichž správu a provoz je měsíčně hrazen paušál (cca 1460,- Kč/palubní jednotka/měsíc).</w:t>
      </w:r>
    </w:p>
    <w:p w:rsidR="00C06DA1" w:rsidRPr="004E1992" w:rsidRDefault="00C06DA1" w:rsidP="00F55F65">
      <w:pPr>
        <w:jc w:val="both"/>
        <w:rPr>
          <w:sz w:val="22"/>
          <w:szCs w:val="22"/>
          <w:lang w:val="cs-CZ"/>
        </w:rPr>
      </w:pPr>
      <w:r w:rsidRPr="004E1992">
        <w:rPr>
          <w:sz w:val="22"/>
          <w:szCs w:val="22"/>
          <w:lang w:val="cs-CZ"/>
        </w:rPr>
        <w:t>Na základě platné právní úpravy není možné zaujmout jakýkoliv právní výklad, který by byl podložen relevantními argumenty, jakým způsobem a za jakých podmínek je provozovatel SEM oprávněn jednostranně vyřadit provozovatele vozidla, vozidlo, nebo elektronické zařízení z jakékoliv vedené evidence, a to ani v případě, kdy dojde k propadnutí složené kauce.</w:t>
      </w:r>
    </w:p>
    <w:p w:rsidR="00C06DA1" w:rsidRPr="004E1992" w:rsidRDefault="00C06DA1" w:rsidP="00F55F65">
      <w:pPr>
        <w:jc w:val="both"/>
        <w:rPr>
          <w:sz w:val="22"/>
          <w:szCs w:val="22"/>
          <w:lang w:val="cs-CZ"/>
        </w:rPr>
      </w:pPr>
      <w:r w:rsidRPr="004E1992">
        <w:rPr>
          <w:sz w:val="22"/>
          <w:szCs w:val="22"/>
          <w:lang w:val="cs-CZ"/>
        </w:rPr>
        <w:t>Rovněž Smluvní podmínky ŘSD žádnou takovou úpravu neobsahují a v zásadě pouze odkazují na příslušné právní předpisy, tj. na Zákon 13/1997 Sb. a na vyhlášku č. 470/2012 Sb., o užívání pozemních komunikací zpoplatněných mýtným (dále také „Vyhláška 470/2012 Sb.“). Tento chybějící nástroj smluvních podmínek nelze vytknout, neboť tak zásadní oprávnění ŘSD vůči provozovatelům vozidel, jako je nedobrovolné ukončení jejich registrace, musí být upraveno právním předpisem, a to zákonem či alespoň prováděcím právním předpisem vydaným na základě zmocnění zákona.</w:t>
      </w:r>
    </w:p>
    <w:p w:rsidR="00C06DA1" w:rsidRPr="004E1992" w:rsidRDefault="00C06DA1" w:rsidP="00F55F65">
      <w:pPr>
        <w:jc w:val="both"/>
        <w:rPr>
          <w:sz w:val="22"/>
          <w:szCs w:val="22"/>
          <w:lang w:val="cs-CZ"/>
        </w:rPr>
      </w:pPr>
      <w:r w:rsidRPr="004E1992">
        <w:rPr>
          <w:sz w:val="22"/>
          <w:szCs w:val="22"/>
          <w:lang w:val="cs-CZ"/>
        </w:rPr>
        <w:t>Vzhledem ke skutečnosti, že Zákon 13/1997 Sb. ani Vyhláška 470/2012 Sb. možnost ukončení registrace provozovatele vozidla, vozidla, palubní jednotky ani účtu vozidla neupravují (s výjimkou institutu „Zablokování elektronického zařízení“, který je však v praxi aktuálně nepoužitelný), neexistuje v současné době žádný právní nástroj k tomu, aby ŘSD mohlo jednostranně vyřadit palubní jednotku, vozidlo či dokonce provozovatele vozidla z evidence.</w:t>
      </w:r>
    </w:p>
    <w:p w:rsidR="00C06DA1" w:rsidRPr="00DD2F1B" w:rsidRDefault="00C06DA1" w:rsidP="00F55F65">
      <w:pPr>
        <w:pStyle w:val="Nadpis3"/>
        <w:rPr>
          <w:lang w:val="cs-CZ"/>
        </w:rPr>
      </w:pPr>
      <w:bookmarkStart w:id="115" w:name="_Toc368063555"/>
      <w:bookmarkStart w:id="116" w:name="_Toc370398456"/>
      <w:r w:rsidRPr="00DD2F1B">
        <w:rPr>
          <w:lang w:val="cs-CZ"/>
        </w:rPr>
        <w:t>Návrh možných řešení</w:t>
      </w:r>
      <w:bookmarkEnd w:id="115"/>
      <w:bookmarkEnd w:id="116"/>
      <w:r w:rsidRPr="00DD2F1B">
        <w:rPr>
          <w:lang w:val="cs-CZ"/>
        </w:rPr>
        <w:t xml:space="preserve"> </w:t>
      </w:r>
    </w:p>
    <w:p w:rsidR="00C06DA1" w:rsidRPr="004E1992" w:rsidRDefault="00C06DA1" w:rsidP="00F55F65">
      <w:pPr>
        <w:jc w:val="both"/>
        <w:rPr>
          <w:sz w:val="22"/>
          <w:szCs w:val="22"/>
          <w:lang w:val="cs-CZ"/>
        </w:rPr>
      </w:pPr>
      <w:r w:rsidRPr="004E1992">
        <w:rPr>
          <w:sz w:val="22"/>
          <w:szCs w:val="22"/>
          <w:lang w:val="cs-CZ"/>
        </w:rPr>
        <w:t xml:space="preserve">Domníváme se, že je na místě právní úpravu procesu registrace provozovatelů vozidel, vozidel, palubních jednotek, účtů vozidel v evidenci a procesu ukončení této registrace vyřešit zcela nově, komplexně a přehledně. S ohledem na skutečnost, že zejména právní úprava jednostranného ukončení registrace ze strany ŘSD bude mít dopad na práva a povinnosti fyzických a právnických osob, se jeví jako žádoucí tuto právní úpravu, nebo alespoň její podstatný základ, promítnout přímo do Zákona 13/1997 Sb., podrobnosti pak lze svěřit prováděcímu právnímu předpisu, tj. Vyhlášce 470/2012 Sb. </w:t>
      </w:r>
    </w:p>
    <w:p w:rsidR="00C06DA1" w:rsidRPr="004E1992" w:rsidRDefault="00C06DA1" w:rsidP="00F55F65">
      <w:pPr>
        <w:jc w:val="both"/>
        <w:rPr>
          <w:sz w:val="22"/>
          <w:szCs w:val="22"/>
          <w:lang w:val="cs-CZ"/>
        </w:rPr>
      </w:pPr>
      <w:r w:rsidRPr="004E1992">
        <w:rPr>
          <w:sz w:val="22"/>
          <w:szCs w:val="22"/>
          <w:lang w:val="cs-CZ"/>
        </w:rPr>
        <w:t xml:space="preserve">Možnost svěření této právní úpravy výlučně Vyhlášce 470/2012 Sb. lze považovat z právního hlediska za velmi spornou, a to s ohledem na základní zásadu veřejného práva, upravenou v čl. 4 odst. 1 </w:t>
      </w:r>
      <w:r w:rsidRPr="004E1992">
        <w:rPr>
          <w:sz w:val="22"/>
          <w:szCs w:val="22"/>
          <w:lang w:val="cs-CZ"/>
        </w:rPr>
        <w:lastRenderedPageBreak/>
        <w:t>Listiny základních práv a svobod, podle kterého „Povinnosti mohou být ukládány toliko na základě zákona a v jeho mezích a jen při zachování základních práv a svobod“.</w:t>
      </w:r>
    </w:p>
    <w:p w:rsidR="00C06DA1" w:rsidRPr="004E1992" w:rsidRDefault="00C06DA1" w:rsidP="00F55F65">
      <w:pPr>
        <w:jc w:val="both"/>
        <w:rPr>
          <w:sz w:val="22"/>
          <w:szCs w:val="22"/>
          <w:lang w:val="cs-CZ"/>
        </w:rPr>
      </w:pPr>
      <w:r w:rsidRPr="004E1992">
        <w:rPr>
          <w:sz w:val="22"/>
          <w:szCs w:val="22"/>
          <w:lang w:val="cs-CZ"/>
        </w:rPr>
        <w:t>Svěřit tuto úpravu pouze smluvním podmínkám, příp. realizovat ukončení registrace v evidenci pouhým pokynem ŘSD vůči Generálnímu dodavateli není možné.</w:t>
      </w:r>
    </w:p>
    <w:p w:rsidR="00C06DA1" w:rsidRPr="004E1992" w:rsidRDefault="00C06DA1" w:rsidP="00F55F65">
      <w:pPr>
        <w:jc w:val="both"/>
        <w:rPr>
          <w:sz w:val="22"/>
          <w:szCs w:val="22"/>
          <w:lang w:val="cs-CZ"/>
        </w:rPr>
      </w:pPr>
      <w:r w:rsidRPr="004E1992">
        <w:rPr>
          <w:sz w:val="22"/>
          <w:szCs w:val="22"/>
          <w:lang w:val="cs-CZ"/>
        </w:rPr>
        <w:t>Jako provizorní a časově velmi omezené řešení, které by navázalo na stávající právní úpravu a které by v relativně krátké době odstranilo nejpalčivější problémy s jednostranným ukončením registrace ze strany ŘSD a přispělo k ušetření veřejných prostředků, pak zcela nevylučujeme možnost změny Vyhlášky 470/2012 Sb. bez předchozí změny Zákona 13/1997 Sb. Právě Vyhláška 470/2012 Sb. v současné době upravuje „podrobněji“ zaevidování a odhlášení vozidla z Evidence údajů o mýtném, tato právní úprava by tedy v určitém směru zřejmě mohla být alespoň dočasně rozšířena či prohloubena. Ke změně pak jednoznačně vybízí institut „Zablokování elektronického zařízení“, který je v současné době zcela nepoužitelný. Jedná se ovšem o dočasné řešení nikoliv řešení trvalé a i tak nelze vyloučit, že bude ze strany provozovatelů vozidel či jiných osob kritizováno či soudně napadeno pro rozpor se shora uvedenými principy veřejného práva.</w:t>
      </w:r>
    </w:p>
    <w:p w:rsidR="00C06DA1" w:rsidRPr="00DD2F1B" w:rsidRDefault="00C06DA1" w:rsidP="00F55F65">
      <w:pPr>
        <w:pStyle w:val="Nadpis3"/>
        <w:rPr>
          <w:lang w:val="cs-CZ"/>
        </w:rPr>
      </w:pPr>
      <w:bookmarkStart w:id="117" w:name="_Toc368063556"/>
      <w:bookmarkStart w:id="118" w:name="_Toc370398457"/>
      <w:r w:rsidRPr="00DD2F1B">
        <w:rPr>
          <w:lang w:val="cs-CZ"/>
        </w:rPr>
        <w:t>Správa nižšího počtu palubních jednotek</w:t>
      </w:r>
      <w:bookmarkEnd w:id="117"/>
      <w:bookmarkEnd w:id="118"/>
    </w:p>
    <w:p w:rsidR="00C06DA1" w:rsidRDefault="00C06DA1" w:rsidP="004D59F5">
      <w:pPr>
        <w:jc w:val="both"/>
        <w:rPr>
          <w:sz w:val="22"/>
          <w:szCs w:val="22"/>
          <w:lang w:val="cs-CZ"/>
        </w:rPr>
      </w:pPr>
      <w:r w:rsidRPr="004D59F5">
        <w:rPr>
          <w:sz w:val="22"/>
          <w:szCs w:val="22"/>
          <w:lang w:val="cs-CZ"/>
        </w:rPr>
        <w:t>Jak již bylo uvedeno výše, tak úspor v SEM lze docílit také snížením počtu obhospodařovaných palubních jednotek v evidenci. V současné době je evidováno v SEM cca 690 tis. ks palubních jednotek, přičemž se hradí správa 530 tis. ks palubních jednotek. Aktuálně je připraven k podpisu dodatek ke smlouvě o službách na dalších, v současnosti nehrazených, 160 tis. ks palubních jednotek s cenou 237,- Kč/palubní jednotka/měsíc. V případě, že dojde k podpisu tohoto dodatku, bude provozovatel SEM hradit správu dalších maximálně 320 tis. ks palubních jednotek, avšak s nižšími provozními náklady. Pakliže dojde ke snížení počtu evidovaných palubních jednotek na 530 tis. ks, nebude nutné tento dodatek uzavírat a provozovatel tak uspoří za každou palubní jednotku 237,- Kč/palubní jednotka/měsíc.</w:t>
      </w:r>
    </w:p>
    <w:p w:rsidR="00C06DA1" w:rsidRPr="004D59F5" w:rsidRDefault="00C06DA1" w:rsidP="004D59F5">
      <w:pPr>
        <w:pStyle w:val="Nadpis3"/>
        <w:rPr>
          <w:lang w:val="cs-CZ"/>
        </w:rPr>
      </w:pPr>
      <w:bookmarkStart w:id="119" w:name="_Toc368063557"/>
      <w:bookmarkStart w:id="120" w:name="_Toc370398458"/>
      <w:r w:rsidRPr="004D59F5">
        <w:rPr>
          <w:lang w:val="cs-CZ"/>
        </w:rPr>
        <w:t>Optimalizace sítě Distribučních míst</w:t>
      </w:r>
      <w:bookmarkEnd w:id="119"/>
      <w:bookmarkEnd w:id="120"/>
    </w:p>
    <w:p w:rsidR="00C06DA1" w:rsidRPr="004E1992" w:rsidRDefault="00C06DA1" w:rsidP="00F55F65">
      <w:pPr>
        <w:jc w:val="both"/>
        <w:rPr>
          <w:sz w:val="22"/>
          <w:szCs w:val="22"/>
          <w:lang w:val="cs-CZ"/>
        </w:rPr>
      </w:pPr>
      <w:r w:rsidRPr="004E1992">
        <w:rPr>
          <w:sz w:val="22"/>
          <w:szCs w:val="22"/>
          <w:lang w:val="cs-CZ"/>
        </w:rPr>
        <w:t>Rozsah zpoplatněných pozemních komunikací do konce roku 2016 bude nižší, než byl předpoklad v době uzavření smluv s poskytovatelem mýtných služeb. Lze tedy předpokládat, že nedojde k realizaci předpokládaných 80 stanovišť distribučních míst. Aktuálně bylo již realizováno 26 distribučních míst, tj. 33</w:t>
      </w:r>
      <w:r w:rsidR="00A14B1D">
        <w:rPr>
          <w:sz w:val="22"/>
          <w:szCs w:val="22"/>
          <w:lang w:val="cs-CZ"/>
        </w:rPr>
        <w:t xml:space="preserve"> </w:t>
      </w:r>
      <w:r w:rsidRPr="004E1992">
        <w:rPr>
          <w:sz w:val="22"/>
          <w:szCs w:val="22"/>
          <w:lang w:val="cs-CZ"/>
        </w:rPr>
        <w:t>% ze smluvního množství. Díky prováděné optimalizaci v umístění distribučních míst nebude nutné smluvní počet naplnit. Lze předpokládat, že bude nutné realizovat ještě 10 nových distribučních míst.</w:t>
      </w:r>
    </w:p>
    <w:p w:rsidR="00C06DA1" w:rsidRPr="004E1992" w:rsidRDefault="00C06DA1" w:rsidP="00F55F65">
      <w:pPr>
        <w:jc w:val="both"/>
        <w:rPr>
          <w:sz w:val="22"/>
          <w:szCs w:val="22"/>
          <w:lang w:val="cs-CZ"/>
        </w:rPr>
      </w:pPr>
      <w:r w:rsidRPr="004E1992">
        <w:rPr>
          <w:sz w:val="22"/>
          <w:szCs w:val="22"/>
          <w:lang w:val="cs-CZ"/>
        </w:rPr>
        <w:t xml:space="preserve">Vzniklá úspora z nerozšiřování distribučních míst by byla cca 7 mil. Kč investičních nákladů a cca 23 mil. Kč měsíčních provozních nákladů. </w:t>
      </w:r>
    </w:p>
    <w:p w:rsidR="00C06DA1" w:rsidRDefault="00C06DA1" w:rsidP="00F55F65">
      <w:pPr>
        <w:jc w:val="both"/>
        <w:rPr>
          <w:sz w:val="22"/>
          <w:szCs w:val="22"/>
          <w:lang w:val="cs-CZ"/>
        </w:rPr>
      </w:pPr>
      <w:r w:rsidRPr="004E1992">
        <w:rPr>
          <w:sz w:val="22"/>
          <w:szCs w:val="22"/>
          <w:lang w:val="cs-CZ"/>
        </w:rPr>
        <w:t xml:space="preserve">Celková úspora nákladů z </w:t>
      </w:r>
      <w:proofErr w:type="spellStart"/>
      <w:r w:rsidRPr="004E1992">
        <w:rPr>
          <w:sz w:val="22"/>
          <w:szCs w:val="22"/>
          <w:lang w:val="cs-CZ"/>
        </w:rPr>
        <w:t>nerealizace</w:t>
      </w:r>
      <w:proofErr w:type="spellEnd"/>
      <w:r w:rsidRPr="004E1992">
        <w:rPr>
          <w:sz w:val="22"/>
          <w:szCs w:val="22"/>
          <w:lang w:val="cs-CZ"/>
        </w:rPr>
        <w:t xml:space="preserve"> 44 nových distribučních míst by činila cca 843 mil. Kč bez DPH.</w:t>
      </w:r>
    </w:p>
    <w:p w:rsidR="00C06DA1" w:rsidRDefault="00C06DA1" w:rsidP="00F55F65">
      <w:pPr>
        <w:jc w:val="both"/>
        <w:rPr>
          <w:sz w:val="22"/>
          <w:szCs w:val="22"/>
          <w:lang w:val="cs-CZ"/>
        </w:rPr>
      </w:pPr>
    </w:p>
    <w:p w:rsidR="00C06DA1" w:rsidRPr="004E1992" w:rsidRDefault="00C06DA1" w:rsidP="00F55F65">
      <w:pPr>
        <w:jc w:val="both"/>
        <w:rPr>
          <w:sz w:val="22"/>
          <w:szCs w:val="22"/>
          <w:lang w:val="cs-CZ"/>
        </w:rPr>
      </w:pPr>
    </w:p>
    <w:p w:rsidR="00C06DA1" w:rsidRPr="00DD2F1B" w:rsidRDefault="00C06DA1" w:rsidP="00F55F65">
      <w:pPr>
        <w:pStyle w:val="Nadpis3"/>
        <w:rPr>
          <w:lang w:val="cs-CZ"/>
        </w:rPr>
      </w:pPr>
      <w:bookmarkStart w:id="121" w:name="_Toc368063558"/>
      <w:bookmarkStart w:id="122" w:name="_Toc370398459"/>
      <w:r w:rsidRPr="00DD2F1B">
        <w:rPr>
          <w:lang w:val="cs-CZ"/>
        </w:rPr>
        <w:lastRenderedPageBreak/>
        <w:t>Optimalizace mobilní kontroly</w:t>
      </w:r>
      <w:bookmarkEnd w:id="121"/>
      <w:bookmarkEnd w:id="122"/>
    </w:p>
    <w:p w:rsidR="00C06DA1" w:rsidRPr="004E1992" w:rsidRDefault="00C06DA1" w:rsidP="00F55F65">
      <w:pPr>
        <w:jc w:val="both"/>
        <w:rPr>
          <w:sz w:val="22"/>
          <w:szCs w:val="22"/>
          <w:lang w:val="cs-CZ"/>
        </w:rPr>
      </w:pPr>
      <w:r w:rsidRPr="004E1992">
        <w:rPr>
          <w:sz w:val="22"/>
          <w:szCs w:val="22"/>
          <w:lang w:val="cs-CZ"/>
        </w:rPr>
        <w:t>Aktuálně je v provozu 35 vozidel mobilní kontroly. Smluvně je možné tento počet navýšit o 15 vozidel mobilní kontroly. Při zachování stávajícího počtu vozidel mobilní kontroly lze počítat s úsporou cca 44 mil. Kč investičních nákladů a cca 21 mil. ročních provozních nákladů ŘSD.</w:t>
      </w:r>
    </w:p>
    <w:p w:rsidR="00C06DA1" w:rsidRPr="004E1992" w:rsidRDefault="00C06DA1" w:rsidP="00F55F65">
      <w:pPr>
        <w:jc w:val="both"/>
        <w:rPr>
          <w:sz w:val="22"/>
          <w:szCs w:val="22"/>
          <w:lang w:val="cs-CZ"/>
        </w:rPr>
      </w:pPr>
      <w:r w:rsidRPr="004E1992">
        <w:rPr>
          <w:sz w:val="22"/>
          <w:szCs w:val="22"/>
          <w:lang w:val="cs-CZ"/>
        </w:rPr>
        <w:t xml:space="preserve">Celková úspora z </w:t>
      </w:r>
      <w:proofErr w:type="spellStart"/>
      <w:r w:rsidRPr="004E1992">
        <w:rPr>
          <w:sz w:val="22"/>
          <w:szCs w:val="22"/>
          <w:lang w:val="cs-CZ"/>
        </w:rPr>
        <w:t>nerealizace</w:t>
      </w:r>
      <w:proofErr w:type="spellEnd"/>
      <w:r w:rsidRPr="004E1992">
        <w:rPr>
          <w:sz w:val="22"/>
          <w:szCs w:val="22"/>
          <w:lang w:val="cs-CZ"/>
        </w:rPr>
        <w:t xml:space="preserve"> 15 vozidel mobilní kontroly za roky 2014 až 2016 by činila cca 107 mil. Kč bez DPH.</w:t>
      </w:r>
    </w:p>
    <w:p w:rsidR="00C06DA1" w:rsidRPr="00DD2F1B" w:rsidRDefault="00C06DA1" w:rsidP="00F55F65">
      <w:pPr>
        <w:pStyle w:val="Nadpis2"/>
        <w:rPr>
          <w:sz w:val="28"/>
          <w:szCs w:val="28"/>
          <w:lang w:val="cs-CZ"/>
        </w:rPr>
      </w:pPr>
    </w:p>
    <w:p w:rsidR="00C06DA1" w:rsidRPr="00DD2F1B" w:rsidRDefault="00C06DA1">
      <w:pPr>
        <w:rPr>
          <w:caps/>
          <w:spacing w:val="15"/>
          <w:sz w:val="28"/>
          <w:szCs w:val="28"/>
          <w:lang w:val="cs-CZ"/>
        </w:rPr>
      </w:pPr>
      <w:r w:rsidRPr="00DD2F1B">
        <w:rPr>
          <w:sz w:val="28"/>
          <w:szCs w:val="28"/>
          <w:lang w:val="cs-CZ"/>
        </w:rPr>
        <w:br w:type="page"/>
      </w:r>
    </w:p>
    <w:p w:rsidR="00C06DA1" w:rsidRPr="004E1992" w:rsidRDefault="00C06DA1" w:rsidP="004E1992">
      <w:pPr>
        <w:pStyle w:val="Nadpis2"/>
        <w:rPr>
          <w:sz w:val="28"/>
          <w:szCs w:val="28"/>
          <w:lang w:val="cs-CZ"/>
        </w:rPr>
      </w:pPr>
      <w:bookmarkStart w:id="123" w:name="_Toc368063559"/>
      <w:bookmarkStart w:id="124" w:name="_Toc370398460"/>
      <w:r w:rsidRPr="004D5A7D">
        <w:rPr>
          <w:sz w:val="28"/>
          <w:szCs w:val="28"/>
          <w:lang w:val="cs-CZ"/>
        </w:rPr>
        <w:t>Nedoplatky</w:t>
      </w:r>
      <w:bookmarkEnd w:id="123"/>
      <w:bookmarkEnd w:id="124"/>
    </w:p>
    <w:p w:rsidR="00C06DA1" w:rsidRPr="004E1992" w:rsidRDefault="00C06DA1" w:rsidP="00F55F65">
      <w:pPr>
        <w:jc w:val="both"/>
        <w:rPr>
          <w:sz w:val="22"/>
          <w:szCs w:val="22"/>
          <w:lang w:val="cs-CZ"/>
        </w:rPr>
      </w:pPr>
      <w:r w:rsidRPr="004E1992">
        <w:rPr>
          <w:sz w:val="22"/>
          <w:szCs w:val="22"/>
          <w:lang w:val="cs-CZ"/>
        </w:rPr>
        <w:t>K problematice vymáhání nedoplatků je nutné poznamenat, že náklady na vymáhání dlužného mýta ve výši 20,52 mil. Kč, které byly identifikovány Nejvyšším kontrolním úřadem v rámci Kontroly NKÚ, jsou náklady na právní služby a od doby, kdy byla Kontrola NKÚ provedena, se zvýšil výnos vymáhání z 18,5 mil. Kč na více jak 30 mil. Kč. Lze tedy konstatovat, že v současnosti výnosy překročily náklady o více než 50</w:t>
      </w:r>
      <w:r w:rsidR="00A14B1D">
        <w:rPr>
          <w:sz w:val="22"/>
          <w:szCs w:val="22"/>
          <w:lang w:val="cs-CZ"/>
        </w:rPr>
        <w:t xml:space="preserve"> </w:t>
      </w:r>
      <w:r w:rsidRPr="004E1992">
        <w:rPr>
          <w:sz w:val="22"/>
          <w:szCs w:val="22"/>
          <w:lang w:val="cs-CZ"/>
        </w:rPr>
        <w:t>%. Do budoucna se tento trend bude ještě zvyšovat do výše vymožené částky předpokládané na cca 60 mil. Kč, tzn., že výnosy překročí náklady na vymáhání cca trojnásobně. Další náklady spojené s vymáháním jsou náklady na pořízení technologické části projektu (SW), které po ukončení služeb v souvislosti s uzavřenou smlouvou s advokátní kanceláří přejdou do majetku ŘSD. Tento HW a SW, který nahrazuje chybějící funkcionalitu provozovaného SEM (nebyla poptána), bude tedy využíván i v budoucnu, čímž se prostředky na jeho pořízení budou i nadále zhodnocovat.</w:t>
      </w:r>
    </w:p>
    <w:p w:rsidR="00C06DA1" w:rsidRPr="004E1992" w:rsidRDefault="00C06DA1" w:rsidP="00F55F65">
      <w:pPr>
        <w:jc w:val="both"/>
        <w:rPr>
          <w:sz w:val="22"/>
          <w:szCs w:val="22"/>
          <w:lang w:val="cs-CZ"/>
        </w:rPr>
      </w:pPr>
      <w:r w:rsidRPr="004E1992">
        <w:rPr>
          <w:sz w:val="22"/>
          <w:szCs w:val="22"/>
          <w:lang w:val="cs-CZ"/>
        </w:rPr>
        <w:t>V souvislosti s vymáháním mýtných nedoplatků je nutné ještě poznamenat, že hlavním smyslem tohoto procesu není vymoci od neplatičů velké finanční objemy, ale eliminovat samotné snahy o obcházení mýtné povinnosti (cílem je tedy nemít co vymáhat). Krátce po odeslání prvních výzev k úhradě nedoplatků došlo prokazatelně ke zlepšení platební morálky dopravců, čímž se navýšily celkové příjmy z výběru mýtného.</w:t>
      </w:r>
    </w:p>
    <w:p w:rsidR="00C06DA1" w:rsidRPr="004E1992" w:rsidRDefault="00C06DA1" w:rsidP="00F55F65">
      <w:pPr>
        <w:jc w:val="both"/>
        <w:rPr>
          <w:sz w:val="22"/>
          <w:szCs w:val="22"/>
          <w:lang w:val="cs-CZ"/>
        </w:rPr>
      </w:pPr>
      <w:r w:rsidRPr="004E1992">
        <w:rPr>
          <w:sz w:val="22"/>
          <w:szCs w:val="22"/>
          <w:lang w:val="cs-CZ"/>
        </w:rPr>
        <w:t xml:space="preserve">V případě pasivních sporů, kdy došlo k ukončení případu, byla doposud vymožená částka pouze 595 tis. Kč z celkové částky 4 482 tis. Kč, což je ovšem pouze zbytek, který nebyl uhrazen přímo na výzvu k úhradě nedoplatku. </w:t>
      </w:r>
    </w:p>
    <w:p w:rsidR="00C06DA1" w:rsidRPr="004E1992" w:rsidRDefault="00C06DA1" w:rsidP="00F55F65">
      <w:pPr>
        <w:jc w:val="both"/>
        <w:rPr>
          <w:sz w:val="22"/>
          <w:szCs w:val="22"/>
          <w:lang w:val="cs-CZ"/>
        </w:rPr>
      </w:pPr>
      <w:r w:rsidRPr="004E1992">
        <w:rPr>
          <w:sz w:val="22"/>
          <w:szCs w:val="22"/>
          <w:lang w:val="cs-CZ"/>
        </w:rPr>
        <w:t xml:space="preserve">Do současnosti bylo na dlužném mýtu vybráno cca 36 mil. Kč, což jsou nedoplatky pouze do roku 2011, rok 2012 se bude vyzývat v průběhu měsíce září 2013 a odhad celkové sumy je cca 6 - 7 milionů Kč. Na základě dosavadních zkušeností lze předpokládat, že cca 60 % dlužníků zaplatí hned, jakmile je jim doručena výzva. </w:t>
      </w:r>
    </w:p>
    <w:p w:rsidR="00C06DA1" w:rsidRPr="004E1992" w:rsidRDefault="00C06DA1" w:rsidP="00F55F65">
      <w:pPr>
        <w:jc w:val="both"/>
        <w:rPr>
          <w:sz w:val="22"/>
          <w:szCs w:val="22"/>
          <w:lang w:val="cs-CZ"/>
        </w:rPr>
      </w:pPr>
      <w:r w:rsidRPr="004E1992">
        <w:rPr>
          <w:sz w:val="22"/>
          <w:szCs w:val="22"/>
          <w:lang w:val="cs-CZ"/>
        </w:rPr>
        <w:t>Lze jen stěží odhadnout, kolik bude uhrazeno z vymáhaných částek soudně. Určité vodítko ke stanovení míry vymahatelnosti zažalovaných pohledávek lze stanovit na základě neaktivních (pasivních) sporů, z čehož vyplývá, že v rámci 622 případů bylo nakonec vymoženo cca 75 % zažalovaných částek. Celkem 25 % nevymožených částek připadá zčásti na zamítavá rozhodnutí soudů a zčásti na faktickou nesolventnost dlužníků. Lze tedy očekávat, že v dlouhodobém horizontu by výtěžnost aktivních sporů (1 770 případů) mohla být podobná jako u sporů již skončených, tzn.</w:t>
      </w:r>
      <w:r>
        <w:rPr>
          <w:sz w:val="22"/>
          <w:szCs w:val="22"/>
          <w:lang w:val="cs-CZ"/>
        </w:rPr>
        <w:t>,</w:t>
      </w:r>
      <w:r w:rsidRPr="004E1992">
        <w:rPr>
          <w:sz w:val="22"/>
          <w:szCs w:val="22"/>
          <w:lang w:val="cs-CZ"/>
        </w:rPr>
        <w:t xml:space="preserve"> že by mohla dosáhnout až 75 %. Vyšší výtěžnost tak nelze považovat na základě odhadu za reálnou, ve skutečnosti bude ale spíše o něco nižší, neboť vzhledem ke stále trvající ekonomické krizi má bonita jednotlivých dlužníků spíše klesající tendenci, takže i v případě úspěchu v nalézacím řízení u soudu je pravděpodobnost, že přiznané plnění bude vymožena, s postupem času spíše nižší. Pravděpodobnost, že budou uhrazeny všechny pohledávky z aktivních sporů, je nulová. Reálně lze v dlouhodobém horizontu očekávat, že ze zažalovaného objemu bude fakticky vymoženo 50-75 %, v závislosti na mnoha předem těžko odhadnutelných okolnostech, které jsou mnohdy zcela mimo sféru vlivu zastupující advokátní kanceláře nebo ŘSD (většinou z důvodu insolvence dlužníka).</w:t>
      </w:r>
    </w:p>
    <w:p w:rsidR="00C06DA1" w:rsidRPr="004E1992" w:rsidRDefault="00C06DA1" w:rsidP="00F55F65">
      <w:pPr>
        <w:jc w:val="both"/>
        <w:rPr>
          <w:sz w:val="22"/>
          <w:szCs w:val="22"/>
          <w:lang w:val="cs-CZ"/>
        </w:rPr>
      </w:pPr>
      <w:r w:rsidRPr="004E1992">
        <w:rPr>
          <w:sz w:val="22"/>
          <w:szCs w:val="22"/>
          <w:lang w:val="cs-CZ"/>
        </w:rPr>
        <w:lastRenderedPageBreak/>
        <w:t xml:space="preserve">Celkové náklady na vymáhání činí 60 mil. Kč, kde 20 mil. Kč je odměna advokátní kanceláři, zbytek je za dodaný HW a SW, který přejde po ukončení služeb do majetku ŘSD. Takže náklady na advokátní kancelář jsou 20 mil. za celé období poskytování služeb, tedy do roku 2015. </w:t>
      </w:r>
    </w:p>
    <w:p w:rsidR="00C06DA1" w:rsidRPr="004E1992" w:rsidRDefault="00C06DA1" w:rsidP="00F55F65">
      <w:pPr>
        <w:jc w:val="both"/>
        <w:rPr>
          <w:sz w:val="22"/>
          <w:szCs w:val="22"/>
          <w:lang w:val="cs-CZ"/>
        </w:rPr>
      </w:pPr>
      <w:r w:rsidRPr="004E1992">
        <w:rPr>
          <w:sz w:val="22"/>
          <w:szCs w:val="22"/>
          <w:lang w:val="cs-CZ"/>
        </w:rPr>
        <w:t>Nutno dále podotknout, že vymáhání dlužného mýta má preventivní charakter a už jen ten fakt, že jsou nedoplatky vymáhány</w:t>
      </w:r>
      <w:r>
        <w:rPr>
          <w:sz w:val="22"/>
          <w:szCs w:val="22"/>
          <w:lang w:val="cs-CZ"/>
        </w:rPr>
        <w:t>,</w:t>
      </w:r>
      <w:r w:rsidRPr="004E1992">
        <w:rPr>
          <w:sz w:val="22"/>
          <w:szCs w:val="22"/>
          <w:lang w:val="cs-CZ"/>
        </w:rPr>
        <w:t xml:space="preserve"> má velký vliv na morálku platících dopravců. Podobný systém vymáhání nedoplatků mají i ve Spolkové republice Německo, kde jsou dopravcům zasílány dopisy, které upozorňují na dlužnou částku. Obdobný systém bude zaveden i SEM od cca ledna 2014, kdy bude dopravcům nejdříve zasláno vyúčtování neuhrazeného mýta a poté bude teprve následovat výzva k úhradě nedoplatku.</w:t>
      </w:r>
    </w:p>
    <w:p w:rsidR="00C06DA1" w:rsidRPr="00DD2F1B" w:rsidRDefault="00C06DA1" w:rsidP="00F55F65">
      <w:pPr>
        <w:pStyle w:val="Nadpis1"/>
        <w:rPr>
          <w:sz w:val="40"/>
          <w:szCs w:val="40"/>
          <w:lang w:val="cs-CZ"/>
        </w:rPr>
      </w:pPr>
      <w:r w:rsidRPr="00DD2F1B">
        <w:rPr>
          <w:sz w:val="40"/>
          <w:szCs w:val="40"/>
          <w:lang w:val="cs-CZ"/>
        </w:rPr>
        <w:br w:type="page"/>
      </w:r>
      <w:bookmarkStart w:id="125" w:name="_Toc368063560"/>
      <w:bookmarkStart w:id="126" w:name="_Toc370398461"/>
      <w:r w:rsidRPr="00DD2F1B">
        <w:rPr>
          <w:sz w:val="40"/>
          <w:szCs w:val="40"/>
          <w:lang w:val="cs-CZ"/>
        </w:rPr>
        <w:lastRenderedPageBreak/>
        <w:t>REALIZACE POSUZOVANÝCH VARIANT</w:t>
      </w:r>
      <w:bookmarkEnd w:id="125"/>
      <w:bookmarkEnd w:id="126"/>
    </w:p>
    <w:p w:rsidR="00C06DA1" w:rsidRPr="00DD2F1B" w:rsidRDefault="00C06DA1" w:rsidP="00F55F65">
      <w:pPr>
        <w:pStyle w:val="Nadpis2"/>
        <w:rPr>
          <w:sz w:val="28"/>
          <w:szCs w:val="28"/>
          <w:lang w:val="cs-CZ"/>
        </w:rPr>
      </w:pPr>
      <w:bookmarkStart w:id="127" w:name="_Toc368063561"/>
      <w:bookmarkStart w:id="128" w:name="_Toc370398462"/>
      <w:r w:rsidRPr="00DD2F1B">
        <w:rPr>
          <w:sz w:val="28"/>
          <w:szCs w:val="28"/>
          <w:lang w:val="cs-CZ"/>
        </w:rPr>
        <w:t>Postup realizace varianty 0</w:t>
      </w:r>
      <w:bookmarkEnd w:id="127"/>
      <w:bookmarkEnd w:id="128"/>
    </w:p>
    <w:p w:rsidR="00C06DA1" w:rsidRPr="004E1992" w:rsidRDefault="00C06DA1" w:rsidP="00F55F65">
      <w:pPr>
        <w:jc w:val="both"/>
        <w:rPr>
          <w:sz w:val="22"/>
          <w:szCs w:val="22"/>
          <w:lang w:val="cs-CZ"/>
        </w:rPr>
      </w:pPr>
      <w:r w:rsidRPr="004E1992">
        <w:rPr>
          <w:sz w:val="22"/>
          <w:szCs w:val="22"/>
          <w:lang w:val="cs-CZ"/>
        </w:rPr>
        <w:t>Varianta 0, tedy srovnávací varianta pro porovnání ostatních navrhovaných variant, je ve své podstatě nerealizovatelná, neboť slouží čistě k porovnání s osta</w:t>
      </w:r>
      <w:r w:rsidR="00A14B1D">
        <w:rPr>
          <w:sz w:val="22"/>
          <w:szCs w:val="22"/>
          <w:lang w:val="cs-CZ"/>
        </w:rPr>
        <w:t>tními variantami (01, A, BH, BS)</w:t>
      </w:r>
      <w:r w:rsidRPr="004E1992">
        <w:rPr>
          <w:sz w:val="22"/>
          <w:szCs w:val="22"/>
          <w:lang w:val="cs-CZ"/>
        </w:rPr>
        <w:t>.</w:t>
      </w:r>
    </w:p>
    <w:p w:rsidR="00C06DA1" w:rsidRPr="004E1992" w:rsidRDefault="00C06DA1" w:rsidP="00F55F65">
      <w:pPr>
        <w:jc w:val="both"/>
        <w:rPr>
          <w:sz w:val="22"/>
          <w:szCs w:val="22"/>
          <w:lang w:val="cs-CZ"/>
        </w:rPr>
      </w:pPr>
      <w:r w:rsidRPr="004E1992">
        <w:rPr>
          <w:sz w:val="22"/>
          <w:szCs w:val="22"/>
          <w:lang w:val="cs-CZ"/>
        </w:rPr>
        <w:t xml:space="preserve">Způsob řešení výkonového zpoplatnění pozemních komunikací v České republice je tak shodný s variantou 01, která je popsána níže. Varianta 0 předpokládá provoz stávajícího systému s tím, že bude realizováno </w:t>
      </w:r>
      <w:r>
        <w:rPr>
          <w:sz w:val="22"/>
          <w:szCs w:val="22"/>
          <w:lang w:val="cs-CZ"/>
        </w:rPr>
        <w:t xml:space="preserve">zadávací </w:t>
      </w:r>
      <w:r w:rsidRPr="004E1992">
        <w:rPr>
          <w:sz w:val="22"/>
          <w:szCs w:val="22"/>
          <w:lang w:val="cs-CZ"/>
        </w:rPr>
        <w:t>řízení na poskytovatele služeb od roku 2017 s provozem stávajícího SEM souvisejících.</w:t>
      </w:r>
    </w:p>
    <w:p w:rsidR="00C06DA1" w:rsidRPr="00DD2F1B" w:rsidRDefault="00C06DA1" w:rsidP="00F55F65">
      <w:pPr>
        <w:pStyle w:val="Nadpis2"/>
        <w:rPr>
          <w:sz w:val="28"/>
          <w:szCs w:val="28"/>
          <w:lang w:val="cs-CZ"/>
        </w:rPr>
      </w:pPr>
      <w:bookmarkStart w:id="129" w:name="_Toc368063562"/>
      <w:bookmarkStart w:id="130" w:name="_Toc370398463"/>
      <w:r w:rsidRPr="00DD2F1B">
        <w:rPr>
          <w:sz w:val="28"/>
          <w:szCs w:val="28"/>
          <w:lang w:val="cs-CZ"/>
        </w:rPr>
        <w:t>Postup realizace varianty 01</w:t>
      </w:r>
      <w:bookmarkEnd w:id="129"/>
      <w:bookmarkEnd w:id="130"/>
    </w:p>
    <w:p w:rsidR="00C06DA1" w:rsidRPr="004E1992" w:rsidRDefault="00C06DA1" w:rsidP="00F55F65">
      <w:pPr>
        <w:jc w:val="both"/>
        <w:rPr>
          <w:sz w:val="22"/>
          <w:szCs w:val="22"/>
          <w:lang w:val="cs-CZ"/>
        </w:rPr>
      </w:pPr>
      <w:r w:rsidRPr="004E1992">
        <w:rPr>
          <w:sz w:val="22"/>
          <w:szCs w:val="22"/>
          <w:lang w:val="cs-CZ"/>
        </w:rPr>
        <w:t>Varianta 01 spočívá v navýšení mýtných sazeb pro emisní kategorii Euro V a vyšší o 25 % v roce 2015 a po roce 2016 tato varianta počítá se zajištěním provozu SEM dodavatelem mýtného systému / poskytovatelem služeb zvoleným v </w:t>
      </w:r>
      <w:r>
        <w:rPr>
          <w:sz w:val="22"/>
          <w:szCs w:val="22"/>
          <w:lang w:val="cs-CZ"/>
        </w:rPr>
        <w:t>zadávacím</w:t>
      </w:r>
      <w:r w:rsidRPr="004E1992">
        <w:rPr>
          <w:sz w:val="22"/>
          <w:szCs w:val="22"/>
          <w:lang w:val="cs-CZ"/>
        </w:rPr>
        <w:t xml:space="preserve"> řízení.</w:t>
      </w:r>
    </w:p>
    <w:p w:rsidR="00C06DA1" w:rsidRPr="004E1992" w:rsidRDefault="00C06DA1" w:rsidP="00F55F65">
      <w:pPr>
        <w:jc w:val="both"/>
        <w:rPr>
          <w:sz w:val="22"/>
          <w:szCs w:val="22"/>
          <w:lang w:val="cs-CZ"/>
        </w:rPr>
      </w:pPr>
      <w:r w:rsidRPr="004E1992">
        <w:rPr>
          <w:sz w:val="22"/>
          <w:szCs w:val="22"/>
          <w:lang w:val="cs-CZ"/>
        </w:rPr>
        <w:t>Pro realizaci této varianty je nutné naplnit následující kroky:</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do konce roku 2013 zahájit </w:t>
      </w:r>
      <w:r>
        <w:rPr>
          <w:sz w:val="22"/>
          <w:szCs w:val="22"/>
          <w:lang w:val="cs-CZ"/>
        </w:rPr>
        <w:t>zadávací</w:t>
      </w:r>
      <w:r w:rsidRPr="004E1992">
        <w:rPr>
          <w:sz w:val="22"/>
          <w:szCs w:val="22"/>
          <w:lang w:val="cs-CZ"/>
        </w:rPr>
        <w:t xml:space="preserve"> řízení na projektového manažera;</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do konce roku 2013 zahájit práce na přípravě právních předpisů souvisejících s přípravou zadávací dokumentace </w:t>
      </w:r>
      <w:r>
        <w:rPr>
          <w:sz w:val="22"/>
          <w:szCs w:val="22"/>
          <w:lang w:val="cs-CZ"/>
        </w:rPr>
        <w:t>pro zadávací řízení na nového</w:t>
      </w:r>
      <w:r w:rsidRPr="004E1992">
        <w:rPr>
          <w:sz w:val="22"/>
          <w:szCs w:val="22"/>
          <w:lang w:val="cs-CZ"/>
        </w:rPr>
        <w:t xml:space="preserve"> dodavatele / poskytovatele služeb;</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do konce 1. pololetí 2014 vybrat projektového manažera a dokončit přípravu právních předpisů včetně dokončení zadávací dokumentace;</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do konce roku 2014 </w:t>
      </w:r>
      <w:r>
        <w:rPr>
          <w:sz w:val="22"/>
          <w:szCs w:val="22"/>
          <w:lang w:val="cs-CZ"/>
        </w:rPr>
        <w:t>zahájit</w:t>
      </w:r>
      <w:r w:rsidRPr="004E1992">
        <w:rPr>
          <w:sz w:val="22"/>
          <w:szCs w:val="22"/>
          <w:lang w:val="cs-CZ"/>
        </w:rPr>
        <w:t xml:space="preserve"> </w:t>
      </w:r>
      <w:r>
        <w:rPr>
          <w:sz w:val="22"/>
          <w:szCs w:val="22"/>
          <w:lang w:val="cs-CZ"/>
        </w:rPr>
        <w:t>zadávací řízení</w:t>
      </w:r>
      <w:r w:rsidRPr="004E1992">
        <w:rPr>
          <w:sz w:val="22"/>
          <w:szCs w:val="22"/>
          <w:lang w:val="cs-CZ"/>
        </w:rPr>
        <w:t xml:space="preserve"> na nezávislého technického inženýra;</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před zahájením </w:t>
      </w:r>
      <w:r>
        <w:rPr>
          <w:sz w:val="22"/>
          <w:szCs w:val="22"/>
          <w:lang w:val="cs-CZ"/>
        </w:rPr>
        <w:t>zadávacího řízení</w:t>
      </w:r>
      <w:r w:rsidRPr="004E1992">
        <w:rPr>
          <w:sz w:val="22"/>
          <w:szCs w:val="22"/>
          <w:lang w:val="cs-CZ"/>
        </w:rPr>
        <w:t xml:space="preserve"> na dodávku mýtného systému vypořádat ustanovení dodatku ke smlouvě o dodávce uzavřeného se stávajícím dodavatelem (Konsorciem Kapsch) dne 27. 12. 2007; </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do konce roku 2014 </w:t>
      </w:r>
      <w:r>
        <w:rPr>
          <w:sz w:val="22"/>
          <w:szCs w:val="22"/>
          <w:lang w:val="cs-CZ"/>
        </w:rPr>
        <w:t>zahájit zadávací řízení</w:t>
      </w:r>
      <w:r w:rsidRPr="004E1992">
        <w:rPr>
          <w:sz w:val="22"/>
          <w:szCs w:val="22"/>
          <w:lang w:val="cs-CZ"/>
        </w:rPr>
        <w:t xml:space="preserve"> na dodávku mýtného systému, resp. poskytovatele služeb souvisejících s provozem tohoto systému;</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do konce roku 2015 vybrat nového dodavatele mýtného systému / poskytovatele služeb souvisejících s provozem tohoto systému a sním uzavřít smlouvu;</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 do konce 1. pololetí 2016 zahájit pilotní provoz nového systému, případně přejímku systému stávajícího, kdy bude jeho provoz zajištěn novým poskytovatelem služeb;</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1. 1. 2017 zahájit ostrý provoz systému, v případě nového systému zahájit migraci dat, výměnu palubních jednotek atd.;</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do konce roku 2020 dokončit přechod na nový Systém elektronického mýta.</w:t>
      </w:r>
    </w:p>
    <w:p w:rsidR="00C06DA1" w:rsidRPr="004E1992" w:rsidRDefault="00C06DA1" w:rsidP="004E1992">
      <w:pPr>
        <w:pStyle w:val="Nadpis2"/>
        <w:rPr>
          <w:sz w:val="28"/>
          <w:szCs w:val="28"/>
          <w:lang w:val="cs-CZ"/>
        </w:rPr>
      </w:pPr>
      <w:bookmarkStart w:id="131" w:name="_Toc368063563"/>
      <w:bookmarkStart w:id="132" w:name="_Toc370398464"/>
      <w:r w:rsidRPr="004E1992">
        <w:rPr>
          <w:sz w:val="28"/>
          <w:szCs w:val="28"/>
          <w:lang w:val="cs-CZ"/>
        </w:rPr>
        <w:t>Postup realizace varianty A</w:t>
      </w:r>
      <w:bookmarkEnd w:id="131"/>
      <w:bookmarkEnd w:id="132"/>
    </w:p>
    <w:p w:rsidR="00C06DA1" w:rsidRPr="004E1992" w:rsidRDefault="00C06DA1" w:rsidP="00F55F65">
      <w:pPr>
        <w:jc w:val="both"/>
        <w:rPr>
          <w:sz w:val="22"/>
          <w:szCs w:val="22"/>
          <w:lang w:val="cs-CZ"/>
        </w:rPr>
      </w:pPr>
      <w:r w:rsidRPr="004E1992">
        <w:rPr>
          <w:sz w:val="22"/>
          <w:szCs w:val="22"/>
          <w:lang w:val="cs-CZ"/>
        </w:rPr>
        <w:lastRenderedPageBreak/>
        <w:t xml:space="preserve">Varianta A spočívá v rozšíření sítě zpoplatněných komunikací pomocí časového zpoplatnění od roku 2017 a současně tato varianta počítá se zajištěním provozu SEM dodavatelem mýtného systému / poskytovatelem služeb </w:t>
      </w:r>
      <w:r>
        <w:rPr>
          <w:sz w:val="22"/>
          <w:szCs w:val="22"/>
          <w:lang w:val="cs-CZ"/>
        </w:rPr>
        <w:t>vybraným</w:t>
      </w:r>
      <w:r w:rsidRPr="004E1992">
        <w:rPr>
          <w:sz w:val="22"/>
          <w:szCs w:val="22"/>
          <w:lang w:val="cs-CZ"/>
        </w:rPr>
        <w:t xml:space="preserve"> v </w:t>
      </w:r>
      <w:r>
        <w:rPr>
          <w:sz w:val="22"/>
          <w:szCs w:val="22"/>
          <w:lang w:val="cs-CZ"/>
        </w:rPr>
        <w:t>zadávacím řízení</w:t>
      </w:r>
      <w:r w:rsidRPr="004E1992">
        <w:rPr>
          <w:sz w:val="22"/>
          <w:szCs w:val="22"/>
          <w:lang w:val="cs-CZ"/>
        </w:rPr>
        <w:t xml:space="preserve"> po roce 2016, tedy od 1. 1. 2017.</w:t>
      </w:r>
    </w:p>
    <w:p w:rsidR="00C06DA1" w:rsidRPr="004E1992" w:rsidRDefault="00C06DA1" w:rsidP="00F55F65">
      <w:pPr>
        <w:jc w:val="both"/>
        <w:rPr>
          <w:sz w:val="22"/>
          <w:szCs w:val="22"/>
          <w:lang w:val="cs-CZ"/>
        </w:rPr>
      </w:pPr>
      <w:r w:rsidRPr="004E1992">
        <w:rPr>
          <w:sz w:val="22"/>
          <w:szCs w:val="22"/>
          <w:lang w:val="cs-CZ"/>
        </w:rPr>
        <w:t>Pro realizaci této varianty je nutné naplnit následující kroky:</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do konce roku 2013 zahájit </w:t>
      </w:r>
      <w:r>
        <w:rPr>
          <w:sz w:val="22"/>
          <w:szCs w:val="22"/>
          <w:lang w:val="cs-CZ"/>
        </w:rPr>
        <w:t>zadávací řízení</w:t>
      </w:r>
      <w:r w:rsidRPr="004E1992">
        <w:rPr>
          <w:sz w:val="22"/>
          <w:szCs w:val="22"/>
          <w:lang w:val="cs-CZ"/>
        </w:rPr>
        <w:t xml:space="preserve"> na projektového manažera;</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do konce roku 2013 zahájit práce na přípravě právních předpisů souvisejících s přípravou zadávací dokumentace </w:t>
      </w:r>
      <w:r>
        <w:rPr>
          <w:sz w:val="22"/>
          <w:szCs w:val="22"/>
          <w:lang w:val="cs-CZ"/>
        </w:rPr>
        <w:t xml:space="preserve">pro zadávací řízení </w:t>
      </w:r>
      <w:r w:rsidRPr="004E1992">
        <w:rPr>
          <w:sz w:val="22"/>
          <w:szCs w:val="22"/>
          <w:lang w:val="cs-CZ"/>
        </w:rPr>
        <w:t>na nového dodavatele / poskytovatele služeb;</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do konce 1. pololetí 2014 vybrat projektového manažera a dokončit přípravu právních předpisů včetně dokončení zadávací dokumentace;</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do konce roku 2014 </w:t>
      </w:r>
      <w:r>
        <w:rPr>
          <w:sz w:val="22"/>
          <w:szCs w:val="22"/>
          <w:lang w:val="cs-CZ"/>
        </w:rPr>
        <w:t>zahájit</w:t>
      </w:r>
      <w:r w:rsidRPr="004E1992">
        <w:rPr>
          <w:sz w:val="22"/>
          <w:szCs w:val="22"/>
          <w:lang w:val="cs-CZ"/>
        </w:rPr>
        <w:t xml:space="preserve"> </w:t>
      </w:r>
      <w:r>
        <w:rPr>
          <w:sz w:val="22"/>
          <w:szCs w:val="22"/>
          <w:lang w:val="cs-CZ"/>
        </w:rPr>
        <w:t>zadávací řízení</w:t>
      </w:r>
      <w:r w:rsidRPr="004E1992">
        <w:rPr>
          <w:sz w:val="22"/>
          <w:szCs w:val="22"/>
          <w:lang w:val="cs-CZ"/>
        </w:rPr>
        <w:t xml:space="preserve"> na nezávislého technického inženýra;</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před zahájením </w:t>
      </w:r>
      <w:r>
        <w:rPr>
          <w:sz w:val="22"/>
          <w:szCs w:val="22"/>
          <w:lang w:val="cs-CZ"/>
        </w:rPr>
        <w:t>zadávacího řízení</w:t>
      </w:r>
      <w:r w:rsidRPr="004E1992">
        <w:rPr>
          <w:sz w:val="22"/>
          <w:szCs w:val="22"/>
          <w:lang w:val="cs-CZ"/>
        </w:rPr>
        <w:t xml:space="preserve"> na dodávku mýtného systému vypořádat ustanovení dodatku ke smlouvě o dodávce uzavřeného se stávajícím dodavatelem (Konsorciem Kapsch) dne 27. 12. 2007; </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do konce roku 2014 </w:t>
      </w:r>
      <w:r>
        <w:rPr>
          <w:sz w:val="22"/>
          <w:szCs w:val="22"/>
          <w:lang w:val="cs-CZ"/>
        </w:rPr>
        <w:t>zahájit zadávací řízení</w:t>
      </w:r>
      <w:r w:rsidRPr="004E1992">
        <w:rPr>
          <w:sz w:val="22"/>
          <w:szCs w:val="22"/>
          <w:lang w:val="cs-CZ"/>
        </w:rPr>
        <w:t xml:space="preserve"> na dodávku mýtného systému, resp. poskytovatele služeb souvisejících s provozem tohoto systému;</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do konce roku 2015 vybrat nového dodavatele mýtného systému / poskytovatele služeb souvisejících s provozem tohoto systému a sním uzavřít smlouvu;</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 do konce 1. pololetí 2016 zahájit pilotní provoz nového systému, případně přejímku systému stávajícího, kdy bude jeho provoz zajištěn novým poskytovatelem služeb;</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do konce roku 2016 realizovat dopravní značení nově zpoplatněných úseků pozemních komunikací;</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1. 1. 2017 zahájit ostrý provoz systému, v případě nového systému zahájit migraci dat, výměnu palubních jednotek atd.;</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do konce roku 2020 dokončit přechod na nový Systém elektronického mýta.</w:t>
      </w:r>
    </w:p>
    <w:p w:rsidR="00C06DA1" w:rsidRPr="00DD2F1B" w:rsidRDefault="00C06DA1" w:rsidP="00F55F65">
      <w:pPr>
        <w:pStyle w:val="Nadpis2"/>
        <w:rPr>
          <w:sz w:val="28"/>
          <w:szCs w:val="28"/>
          <w:lang w:val="cs-CZ"/>
        </w:rPr>
      </w:pPr>
      <w:bookmarkStart w:id="133" w:name="_Toc368063564"/>
      <w:bookmarkStart w:id="134" w:name="_Toc370398465"/>
      <w:r w:rsidRPr="00DD2F1B">
        <w:rPr>
          <w:sz w:val="28"/>
          <w:szCs w:val="28"/>
          <w:lang w:val="cs-CZ"/>
        </w:rPr>
        <w:t>Postup realizace varianty BH a BS</w:t>
      </w:r>
      <w:bookmarkEnd w:id="133"/>
      <w:bookmarkEnd w:id="134"/>
    </w:p>
    <w:p w:rsidR="00C06DA1" w:rsidRPr="004E1992" w:rsidRDefault="00C06DA1" w:rsidP="00F55F65">
      <w:pPr>
        <w:jc w:val="both"/>
        <w:rPr>
          <w:sz w:val="22"/>
          <w:szCs w:val="22"/>
          <w:lang w:val="cs-CZ"/>
        </w:rPr>
      </w:pPr>
      <w:r w:rsidRPr="004E1992">
        <w:rPr>
          <w:sz w:val="22"/>
          <w:szCs w:val="22"/>
          <w:lang w:val="cs-CZ"/>
        </w:rPr>
        <w:t>Varianta BH a BS spočívá v rozšíření sítě zpoplatněných komunikací pomocí výkonového zpoplatnění od roku 2017 a současně tato varianta počítá se zajištěním provozu SEM dodavatelem mýtného systému / poskytovatelem služeb zvoleným v </w:t>
      </w:r>
      <w:r>
        <w:rPr>
          <w:sz w:val="22"/>
          <w:szCs w:val="22"/>
          <w:lang w:val="cs-CZ"/>
        </w:rPr>
        <w:t>zadávacím</w:t>
      </w:r>
      <w:r w:rsidRPr="004E1992">
        <w:rPr>
          <w:sz w:val="22"/>
          <w:szCs w:val="22"/>
          <w:lang w:val="cs-CZ"/>
        </w:rPr>
        <w:t xml:space="preserve"> řízení po roce 2016, tedy od</w:t>
      </w:r>
      <w:r>
        <w:rPr>
          <w:sz w:val="22"/>
          <w:szCs w:val="22"/>
          <w:lang w:val="cs-CZ"/>
        </w:rPr>
        <w:t xml:space="preserve"> </w:t>
      </w:r>
      <w:r w:rsidRPr="004E1992">
        <w:rPr>
          <w:sz w:val="22"/>
          <w:szCs w:val="22"/>
          <w:lang w:val="cs-CZ"/>
        </w:rPr>
        <w:t>1. 1. 2017.</w:t>
      </w:r>
    </w:p>
    <w:p w:rsidR="00C06DA1" w:rsidRPr="004E1992" w:rsidRDefault="00C06DA1" w:rsidP="00F55F65">
      <w:pPr>
        <w:jc w:val="both"/>
        <w:rPr>
          <w:sz w:val="22"/>
          <w:szCs w:val="22"/>
          <w:lang w:val="cs-CZ"/>
        </w:rPr>
      </w:pPr>
      <w:r w:rsidRPr="004E1992">
        <w:rPr>
          <w:sz w:val="22"/>
          <w:szCs w:val="22"/>
          <w:lang w:val="cs-CZ"/>
        </w:rPr>
        <w:t>Pro realizaci této varianty je nutné naplnit následující kroky:</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do konce roku 2013 zahájit </w:t>
      </w:r>
      <w:r>
        <w:rPr>
          <w:sz w:val="22"/>
          <w:szCs w:val="22"/>
          <w:lang w:val="cs-CZ"/>
        </w:rPr>
        <w:t>zadávací řízení</w:t>
      </w:r>
      <w:r w:rsidRPr="004E1992">
        <w:rPr>
          <w:sz w:val="22"/>
          <w:szCs w:val="22"/>
          <w:lang w:val="cs-CZ"/>
        </w:rPr>
        <w:t xml:space="preserve"> na projektového manažera;</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do konce roku 2013 zahájit práce na přípravě právních předpisů souvisejících s přípravou zadávací dokumentace </w:t>
      </w:r>
      <w:r>
        <w:rPr>
          <w:sz w:val="22"/>
          <w:szCs w:val="22"/>
          <w:lang w:val="cs-CZ"/>
        </w:rPr>
        <w:t xml:space="preserve">pro zadávací řízení na </w:t>
      </w:r>
      <w:r w:rsidRPr="004E1992">
        <w:rPr>
          <w:sz w:val="22"/>
          <w:szCs w:val="22"/>
          <w:lang w:val="cs-CZ"/>
        </w:rPr>
        <w:t>nového dodavatele / poskytovatele služeb;</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do konce 1. pololetí 2014 vybrat projektového manažera a dokončit přípravu právních předpisů včetně dokončení zadávací dokumentace;</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do konce roku 2014 </w:t>
      </w:r>
      <w:r>
        <w:rPr>
          <w:sz w:val="22"/>
          <w:szCs w:val="22"/>
          <w:lang w:val="cs-CZ"/>
        </w:rPr>
        <w:t>zahájit</w:t>
      </w:r>
      <w:r w:rsidRPr="004E1992">
        <w:rPr>
          <w:sz w:val="22"/>
          <w:szCs w:val="22"/>
          <w:lang w:val="cs-CZ"/>
        </w:rPr>
        <w:t xml:space="preserve"> </w:t>
      </w:r>
      <w:r>
        <w:rPr>
          <w:sz w:val="22"/>
          <w:szCs w:val="22"/>
          <w:lang w:val="cs-CZ"/>
        </w:rPr>
        <w:t>zadávací řízení</w:t>
      </w:r>
      <w:r w:rsidRPr="004E1992">
        <w:rPr>
          <w:sz w:val="22"/>
          <w:szCs w:val="22"/>
          <w:lang w:val="cs-CZ"/>
        </w:rPr>
        <w:t xml:space="preserve"> na nezávislého technického inženýra;</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lastRenderedPageBreak/>
        <w:t xml:space="preserve">před zahájením </w:t>
      </w:r>
      <w:r>
        <w:rPr>
          <w:sz w:val="22"/>
          <w:szCs w:val="22"/>
          <w:lang w:val="cs-CZ"/>
        </w:rPr>
        <w:t>zadávacího řízení</w:t>
      </w:r>
      <w:r w:rsidRPr="004E1992">
        <w:rPr>
          <w:sz w:val="22"/>
          <w:szCs w:val="22"/>
          <w:lang w:val="cs-CZ"/>
        </w:rPr>
        <w:t xml:space="preserve"> na dodávku mýtného systému vypořádat ustanovení dodatku ke smlouvě o dodávce uzavřeného se stávajícím dodavatelem (Konsorciem Kapsch) dne 27. 12. 2007; </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do konce roku 2014 </w:t>
      </w:r>
      <w:r>
        <w:rPr>
          <w:sz w:val="22"/>
          <w:szCs w:val="22"/>
          <w:lang w:val="cs-CZ"/>
        </w:rPr>
        <w:t>zahájit zadávací řízení</w:t>
      </w:r>
      <w:r w:rsidRPr="004E1992">
        <w:rPr>
          <w:sz w:val="22"/>
          <w:szCs w:val="22"/>
          <w:lang w:val="cs-CZ"/>
        </w:rPr>
        <w:t xml:space="preserve"> na dodávku mýtného systému, resp. poskytovatele služeb souvisejících s provozem tohoto systému;</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do konce roku 2015 vybrat nového dodavatele mýtného systému / poskytovatele služeb souvisejících s provozem tohoto systému a sním uzavřít smlouvu;</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 xml:space="preserve"> do konce 1. pololetí 2016 zahájit pilotní provoz nového systému;</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do konce roku 2016 realizovat dopravní značení nově zpoplatněných úseků pozemních komunikací;</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1. 1. 2017 zahájit ostrý provoz systému, zahájit migraci dat, výměnu palubních jednotek atd.;</w:t>
      </w:r>
    </w:p>
    <w:p w:rsidR="00C06DA1" w:rsidRPr="004E1992" w:rsidRDefault="00C06DA1" w:rsidP="004E1992">
      <w:pPr>
        <w:numPr>
          <w:ilvl w:val="0"/>
          <w:numId w:val="39"/>
        </w:numPr>
        <w:spacing w:before="120" w:after="0"/>
        <w:ind w:left="714" w:hanging="357"/>
        <w:jc w:val="both"/>
        <w:rPr>
          <w:sz w:val="22"/>
          <w:szCs w:val="22"/>
          <w:lang w:val="cs-CZ"/>
        </w:rPr>
      </w:pPr>
      <w:r w:rsidRPr="004E1992">
        <w:rPr>
          <w:sz w:val="22"/>
          <w:szCs w:val="22"/>
          <w:lang w:val="cs-CZ"/>
        </w:rPr>
        <w:t>do konce roku 2020 dokončit přechod na nový Systém elektronického mýta.</w:t>
      </w:r>
    </w:p>
    <w:p w:rsidR="00C06DA1" w:rsidRPr="00DD2F1B" w:rsidRDefault="00C06DA1" w:rsidP="00F55F65">
      <w:pPr>
        <w:pStyle w:val="Nadpis1"/>
        <w:rPr>
          <w:sz w:val="40"/>
          <w:szCs w:val="40"/>
          <w:lang w:val="cs-CZ"/>
        </w:rPr>
      </w:pPr>
      <w:r w:rsidRPr="00DD2F1B">
        <w:rPr>
          <w:sz w:val="40"/>
          <w:szCs w:val="40"/>
          <w:lang w:val="cs-CZ"/>
        </w:rPr>
        <w:br w:type="page"/>
      </w:r>
      <w:bookmarkStart w:id="135" w:name="_Toc368063565"/>
      <w:bookmarkStart w:id="136" w:name="_Toc370398466"/>
      <w:r w:rsidRPr="00DD2F1B">
        <w:rPr>
          <w:sz w:val="40"/>
          <w:szCs w:val="40"/>
          <w:lang w:val="cs-CZ"/>
        </w:rPr>
        <w:lastRenderedPageBreak/>
        <w:t>PŘÍLOHY</w:t>
      </w:r>
      <w:bookmarkEnd w:id="135"/>
      <w:bookmarkEnd w:id="136"/>
    </w:p>
    <w:p w:rsidR="00C06DA1" w:rsidRPr="004E1992" w:rsidRDefault="00C06DA1" w:rsidP="004E1992">
      <w:pPr>
        <w:ind w:left="1276" w:hanging="1276"/>
        <w:rPr>
          <w:bCs/>
          <w:sz w:val="22"/>
          <w:szCs w:val="22"/>
          <w:lang w:val="cs-CZ"/>
        </w:rPr>
      </w:pPr>
      <w:r w:rsidRPr="004E1992">
        <w:rPr>
          <w:bCs/>
          <w:sz w:val="22"/>
          <w:szCs w:val="22"/>
          <w:lang w:val="cs-CZ"/>
        </w:rPr>
        <w:t xml:space="preserve">Příloha č. </w:t>
      </w:r>
      <w:r>
        <w:rPr>
          <w:bCs/>
          <w:sz w:val="22"/>
          <w:szCs w:val="22"/>
          <w:lang w:val="cs-CZ"/>
        </w:rPr>
        <w:t xml:space="preserve">2 </w:t>
      </w:r>
      <w:r w:rsidRPr="004E1992">
        <w:rPr>
          <w:bCs/>
          <w:sz w:val="22"/>
          <w:szCs w:val="22"/>
          <w:lang w:val="cs-CZ"/>
        </w:rPr>
        <w:t xml:space="preserve"> – </w:t>
      </w:r>
      <w:r>
        <w:rPr>
          <w:bCs/>
          <w:sz w:val="22"/>
          <w:szCs w:val="22"/>
          <w:lang w:val="cs-CZ"/>
        </w:rPr>
        <w:tab/>
      </w:r>
      <w:r w:rsidRPr="004E1992">
        <w:rPr>
          <w:bCs/>
          <w:sz w:val="22"/>
          <w:szCs w:val="22"/>
          <w:lang w:val="cs-CZ"/>
        </w:rPr>
        <w:t xml:space="preserve">Výhody a nevýhody realizovatelných kombinací variant rozsahu a způsobu zpoplatnění a využití </w:t>
      </w:r>
      <w:r>
        <w:rPr>
          <w:bCs/>
          <w:sz w:val="22"/>
          <w:szCs w:val="22"/>
          <w:lang w:val="cs-CZ"/>
        </w:rPr>
        <w:t xml:space="preserve">komponent </w:t>
      </w:r>
      <w:r w:rsidRPr="004E1992">
        <w:rPr>
          <w:bCs/>
          <w:sz w:val="22"/>
          <w:szCs w:val="22"/>
          <w:lang w:val="cs-CZ"/>
        </w:rPr>
        <w:t>stávajícího SEM rozšířené o předpokládané kumulativní peněžní toky a nákladovost</w:t>
      </w:r>
    </w:p>
    <w:p w:rsidR="00C06DA1" w:rsidRPr="004E1992" w:rsidRDefault="00C06DA1" w:rsidP="00105E1A">
      <w:pPr>
        <w:rPr>
          <w:bCs/>
          <w:sz w:val="22"/>
          <w:szCs w:val="22"/>
          <w:lang w:val="cs-CZ"/>
        </w:rPr>
      </w:pPr>
      <w:r w:rsidRPr="004E1992">
        <w:rPr>
          <w:bCs/>
          <w:sz w:val="22"/>
          <w:szCs w:val="22"/>
          <w:lang w:val="cs-CZ"/>
        </w:rPr>
        <w:t xml:space="preserve">Příloha č. </w:t>
      </w:r>
      <w:r>
        <w:rPr>
          <w:bCs/>
          <w:sz w:val="22"/>
          <w:szCs w:val="22"/>
          <w:lang w:val="cs-CZ"/>
        </w:rPr>
        <w:t xml:space="preserve">3 </w:t>
      </w:r>
      <w:r w:rsidRPr="004E1992">
        <w:rPr>
          <w:bCs/>
          <w:sz w:val="22"/>
          <w:szCs w:val="22"/>
          <w:lang w:val="cs-CZ"/>
        </w:rPr>
        <w:t xml:space="preserve"> </w:t>
      </w:r>
      <w:r>
        <w:rPr>
          <w:bCs/>
          <w:sz w:val="22"/>
          <w:szCs w:val="22"/>
          <w:lang w:val="cs-CZ"/>
        </w:rPr>
        <w:t>–</w:t>
      </w:r>
      <w:r w:rsidRPr="004E1992">
        <w:rPr>
          <w:bCs/>
          <w:sz w:val="22"/>
          <w:szCs w:val="22"/>
          <w:lang w:val="cs-CZ"/>
        </w:rPr>
        <w:t xml:space="preserve"> </w:t>
      </w:r>
      <w:r>
        <w:rPr>
          <w:bCs/>
          <w:sz w:val="22"/>
          <w:szCs w:val="22"/>
          <w:lang w:val="cs-CZ"/>
        </w:rPr>
        <w:t xml:space="preserve"> </w:t>
      </w:r>
      <w:r w:rsidRPr="004E1992">
        <w:rPr>
          <w:bCs/>
          <w:sz w:val="22"/>
          <w:szCs w:val="22"/>
          <w:lang w:val="cs-CZ"/>
        </w:rPr>
        <w:t>Ekonomické</w:t>
      </w:r>
      <w:r>
        <w:rPr>
          <w:bCs/>
          <w:sz w:val="22"/>
          <w:szCs w:val="22"/>
          <w:lang w:val="cs-CZ"/>
        </w:rPr>
        <w:t xml:space="preserve"> </w:t>
      </w:r>
      <w:r w:rsidRPr="004E1992">
        <w:rPr>
          <w:bCs/>
          <w:sz w:val="22"/>
          <w:szCs w:val="22"/>
          <w:lang w:val="cs-CZ"/>
        </w:rPr>
        <w:t>hodnocení variant</w:t>
      </w:r>
    </w:p>
    <w:p w:rsidR="00C06DA1" w:rsidRPr="00DD2F1B" w:rsidRDefault="00C06DA1" w:rsidP="00982D29">
      <w:pPr>
        <w:rPr>
          <w:lang w:val="cs-CZ"/>
        </w:rPr>
      </w:pPr>
    </w:p>
    <w:sectPr w:rsidR="00C06DA1" w:rsidRPr="00DD2F1B" w:rsidSect="007F7788">
      <w:headerReference w:type="default" r:id="rId15"/>
      <w:footerReference w:type="default" r:id="rId16"/>
      <w:footerReference w:type="first" r:id="rId17"/>
      <w:pgSz w:w="11907" w:h="16840" w:code="9"/>
      <w:pgMar w:top="1418" w:right="1418" w:bottom="1418" w:left="1418" w:header="709" w:footer="0" w:gutter="0"/>
      <w:paperSrc w:first="15" w:other="15"/>
      <w:pgNumType w:start="1"/>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6C71" w:rsidRDefault="00456C71">
      <w:r>
        <w:separator/>
      </w:r>
    </w:p>
  </w:endnote>
  <w:endnote w:type="continuationSeparator" w:id="0">
    <w:p w:rsidR="00456C71" w:rsidRDefault="00456C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Bold">
    <w:panose1 w:val="00000000000000000000"/>
    <w:charset w:val="EE"/>
    <w:family w:val="auto"/>
    <w:notTrueType/>
    <w:pitch w:val="default"/>
    <w:sig w:usb0="00000005" w:usb1="00000000" w:usb2="00000000" w:usb3="00000000" w:csb0="00000002" w:csb1="00000000"/>
  </w:font>
  <w:font w:name="TimesNewRoman,Bold">
    <w:panose1 w:val="00000000000000000000"/>
    <w:charset w:val="EE"/>
    <w:family w:val="auto"/>
    <w:notTrueType/>
    <w:pitch w:val="default"/>
    <w:sig w:usb0="00000005" w:usb1="00000000" w:usb2="00000000" w:usb3="00000000" w:csb0="00000002" w:csb1="00000000"/>
  </w:font>
  <w:font w:name="ArialNarrow,Italic">
    <w:panose1 w:val="00000000000000000000"/>
    <w:charset w:val="EE"/>
    <w:family w:val="auto"/>
    <w:notTrueType/>
    <w:pitch w:val="default"/>
    <w:sig w:usb0="00000005" w:usb1="00000000" w:usb2="00000000" w:usb3="00000000" w:csb0="00000002" w:csb1="00000000"/>
  </w:font>
  <w:font w:name="Arial,BoldItalic">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C71" w:rsidRDefault="001C18DA">
    <w:pPr>
      <w:pStyle w:val="Zpat"/>
      <w:jc w:val="right"/>
    </w:pPr>
    <w:fldSimple w:instr=" PAGE   \* MERGEFORMAT ">
      <w:r w:rsidR="00CE3896">
        <w:rPr>
          <w:noProof/>
        </w:rPr>
        <w:t>53</w:t>
      </w:r>
    </w:fldSimple>
  </w:p>
  <w:p w:rsidR="00456C71" w:rsidRDefault="00456C7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C71" w:rsidRPr="001D1EC8" w:rsidRDefault="001C18DA">
    <w:pPr>
      <w:pStyle w:val="Zpat"/>
      <w:jc w:val="right"/>
      <w:rPr>
        <w:color w:val="FFFFFF"/>
      </w:rPr>
    </w:pPr>
    <w:r w:rsidRPr="001D1EC8">
      <w:rPr>
        <w:color w:val="FFFFFF"/>
      </w:rPr>
      <w:fldChar w:fldCharType="begin"/>
    </w:r>
    <w:r w:rsidR="00456C71" w:rsidRPr="001D1EC8">
      <w:rPr>
        <w:color w:val="FFFFFF"/>
      </w:rPr>
      <w:instrText xml:space="preserve"> PAGE   \* MERGEFORMAT </w:instrText>
    </w:r>
    <w:r w:rsidRPr="001D1EC8">
      <w:rPr>
        <w:color w:val="FFFFFF"/>
      </w:rPr>
      <w:fldChar w:fldCharType="separate"/>
    </w:r>
    <w:r w:rsidR="00CE3896">
      <w:rPr>
        <w:noProof/>
        <w:color w:val="FFFFFF"/>
      </w:rPr>
      <w:t>1</w:t>
    </w:r>
    <w:r w:rsidRPr="001D1EC8">
      <w:rPr>
        <w:color w:val="FFFFFF"/>
      </w:rPr>
      <w:fldChar w:fldCharType="end"/>
    </w:r>
  </w:p>
  <w:p w:rsidR="00456C71" w:rsidRDefault="00456C7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6C71" w:rsidRDefault="00456C71">
      <w:r>
        <w:separator/>
      </w:r>
    </w:p>
  </w:footnote>
  <w:footnote w:type="continuationSeparator" w:id="0">
    <w:p w:rsidR="00456C71" w:rsidRDefault="00456C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C71" w:rsidRDefault="00456C7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141B"/>
    <w:multiLevelType w:val="hybridMultilevel"/>
    <w:tmpl w:val="25BE43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43637A8"/>
    <w:multiLevelType w:val="hybridMultilevel"/>
    <w:tmpl w:val="DD92E01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7E470B3"/>
    <w:multiLevelType w:val="hybridMultilevel"/>
    <w:tmpl w:val="BA56F2A4"/>
    <w:lvl w:ilvl="0" w:tplc="C27819B2">
      <w:start w:val="1"/>
      <w:numFmt w:val="decimal"/>
      <w:lvlText w:val="%1."/>
      <w:lvlJc w:val="left"/>
      <w:pPr>
        <w:tabs>
          <w:tab w:val="num" w:pos="720"/>
        </w:tabs>
        <w:ind w:left="720" w:hanging="360"/>
      </w:pPr>
      <w:rPr>
        <w:rFonts w:cs="Times New Roman"/>
        <w:b/>
        <w:bCs/>
      </w:rPr>
    </w:lvl>
    <w:lvl w:ilvl="1" w:tplc="0405001B">
      <w:start w:val="1"/>
      <w:numFmt w:val="lowerRoman"/>
      <w:lvlText w:val="%2."/>
      <w:lvlJc w:val="right"/>
      <w:pPr>
        <w:tabs>
          <w:tab w:val="num" w:pos="1260"/>
        </w:tabs>
        <w:ind w:left="1260" w:hanging="180"/>
      </w:pPr>
      <w:rPr>
        <w:rFonts w:cs="Times New Roman"/>
        <w:b/>
        <w:bCs/>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0EB4520"/>
    <w:multiLevelType w:val="hybridMultilevel"/>
    <w:tmpl w:val="264218D0"/>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0FC3ECB"/>
    <w:multiLevelType w:val="hybridMultilevel"/>
    <w:tmpl w:val="56A438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7B11826"/>
    <w:multiLevelType w:val="hybridMultilevel"/>
    <w:tmpl w:val="1F6A7D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E4607F3"/>
    <w:multiLevelType w:val="hybridMultilevel"/>
    <w:tmpl w:val="2BDE43C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F2628B0"/>
    <w:multiLevelType w:val="hybridMultilevel"/>
    <w:tmpl w:val="5340355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3A104DC"/>
    <w:multiLevelType w:val="hybridMultilevel"/>
    <w:tmpl w:val="4D7878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DEE4DCB"/>
    <w:multiLevelType w:val="hybridMultilevel"/>
    <w:tmpl w:val="7A00D7A4"/>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nsid w:val="2E5A69D6"/>
    <w:multiLevelType w:val="hybridMultilevel"/>
    <w:tmpl w:val="1AE8A9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0242003"/>
    <w:multiLevelType w:val="hybridMultilevel"/>
    <w:tmpl w:val="5340355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31C05D51"/>
    <w:multiLevelType w:val="hybridMultilevel"/>
    <w:tmpl w:val="6C8CB9B2"/>
    <w:lvl w:ilvl="0" w:tplc="08CCE12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1FA03D2"/>
    <w:multiLevelType w:val="hybridMultilevel"/>
    <w:tmpl w:val="72686F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60463D3"/>
    <w:multiLevelType w:val="hybridMultilevel"/>
    <w:tmpl w:val="E0F81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8635ABB"/>
    <w:multiLevelType w:val="hybridMultilevel"/>
    <w:tmpl w:val="0D9098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87936A1"/>
    <w:multiLevelType w:val="hybridMultilevel"/>
    <w:tmpl w:val="EAA8E9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9D14D31"/>
    <w:multiLevelType w:val="hybridMultilevel"/>
    <w:tmpl w:val="4258A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B420729"/>
    <w:multiLevelType w:val="hybridMultilevel"/>
    <w:tmpl w:val="DCCC37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CB47F65"/>
    <w:multiLevelType w:val="hybridMultilevel"/>
    <w:tmpl w:val="1C449E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0165BBA"/>
    <w:multiLevelType w:val="hybridMultilevel"/>
    <w:tmpl w:val="127EEE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0AB1641"/>
    <w:multiLevelType w:val="hybridMultilevel"/>
    <w:tmpl w:val="0BA2912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41B4477F"/>
    <w:multiLevelType w:val="hybridMultilevel"/>
    <w:tmpl w:val="6A20B9CA"/>
    <w:lvl w:ilvl="0" w:tplc="C822576C">
      <w:start w:val="110"/>
      <w:numFmt w:val="bullet"/>
      <w:lvlText w:val="-"/>
      <w:lvlJc w:val="left"/>
      <w:pPr>
        <w:tabs>
          <w:tab w:val="num" w:pos="720"/>
        </w:tabs>
        <w:ind w:left="720" w:hanging="360"/>
      </w:pPr>
      <w:rPr>
        <w:rFonts w:ascii="Arial" w:eastAsia="Times New Roman" w:hAnsi="Arial" w:hint="default"/>
      </w:rPr>
    </w:lvl>
    <w:lvl w:ilvl="1" w:tplc="06C4FE6E">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43EB4FC1"/>
    <w:multiLevelType w:val="hybridMultilevel"/>
    <w:tmpl w:val="DE8679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9EA5330"/>
    <w:multiLevelType w:val="hybridMultilevel"/>
    <w:tmpl w:val="5340355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4A961B5B"/>
    <w:multiLevelType w:val="hybridMultilevel"/>
    <w:tmpl w:val="2DFEC5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B681BEA"/>
    <w:multiLevelType w:val="hybridMultilevel"/>
    <w:tmpl w:val="179862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D7E2D7E"/>
    <w:multiLevelType w:val="hybridMultilevel"/>
    <w:tmpl w:val="E8EC67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DE20FA8"/>
    <w:multiLevelType w:val="hybridMultilevel"/>
    <w:tmpl w:val="3D2ADA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4E06705C"/>
    <w:multiLevelType w:val="hybridMultilevel"/>
    <w:tmpl w:val="75D289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19624EF"/>
    <w:multiLevelType w:val="hybridMultilevel"/>
    <w:tmpl w:val="60EC9B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1FD1D3B"/>
    <w:multiLevelType w:val="hybridMultilevel"/>
    <w:tmpl w:val="096A995E"/>
    <w:lvl w:ilvl="0" w:tplc="08CCE12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54F9186C"/>
    <w:multiLevelType w:val="hybridMultilevel"/>
    <w:tmpl w:val="152205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A73356E"/>
    <w:multiLevelType w:val="hybridMultilevel"/>
    <w:tmpl w:val="6EDE9338"/>
    <w:lvl w:ilvl="0" w:tplc="3E580AE0">
      <w:start w:val="1"/>
      <w:numFmt w:val="decimal"/>
      <w:pStyle w:val="slovnobrzk"/>
      <w:lvlText w:val="obr. č.%1"/>
      <w:lvlJc w:val="left"/>
      <w:pPr>
        <w:tabs>
          <w:tab w:val="num" w:pos="1106"/>
        </w:tabs>
      </w:pPr>
      <w:rPr>
        <w:rFonts w:ascii="Arial" w:hAnsi="Arial" w:cs="Arial" w:hint="default"/>
        <w:b w:val="0"/>
        <w:i/>
        <w:sz w:val="22"/>
        <w:szCs w:val="22"/>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nsid w:val="5D0C541C"/>
    <w:multiLevelType w:val="hybridMultilevel"/>
    <w:tmpl w:val="D694AD66"/>
    <w:lvl w:ilvl="0" w:tplc="08CCE12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nsid w:val="5E9C4372"/>
    <w:multiLevelType w:val="hybridMultilevel"/>
    <w:tmpl w:val="7D5CD0EE"/>
    <w:lvl w:ilvl="0" w:tplc="04050001">
      <w:start w:val="1"/>
      <w:numFmt w:val="bullet"/>
      <w:lvlText w:val=""/>
      <w:lvlJc w:val="left"/>
      <w:pPr>
        <w:ind w:left="758" w:hanging="360"/>
      </w:pPr>
      <w:rPr>
        <w:rFonts w:ascii="Symbol" w:hAnsi="Symbol" w:hint="default"/>
      </w:rPr>
    </w:lvl>
    <w:lvl w:ilvl="1" w:tplc="04050003" w:tentative="1">
      <w:start w:val="1"/>
      <w:numFmt w:val="bullet"/>
      <w:lvlText w:val="o"/>
      <w:lvlJc w:val="left"/>
      <w:pPr>
        <w:ind w:left="1478" w:hanging="360"/>
      </w:pPr>
      <w:rPr>
        <w:rFonts w:ascii="Courier New" w:hAnsi="Courier New" w:hint="default"/>
      </w:rPr>
    </w:lvl>
    <w:lvl w:ilvl="2" w:tplc="04050005" w:tentative="1">
      <w:start w:val="1"/>
      <w:numFmt w:val="bullet"/>
      <w:lvlText w:val=""/>
      <w:lvlJc w:val="left"/>
      <w:pPr>
        <w:ind w:left="2198" w:hanging="360"/>
      </w:pPr>
      <w:rPr>
        <w:rFonts w:ascii="Wingdings" w:hAnsi="Wingdings" w:hint="default"/>
      </w:rPr>
    </w:lvl>
    <w:lvl w:ilvl="3" w:tplc="04050001" w:tentative="1">
      <w:start w:val="1"/>
      <w:numFmt w:val="bullet"/>
      <w:lvlText w:val=""/>
      <w:lvlJc w:val="left"/>
      <w:pPr>
        <w:ind w:left="2918" w:hanging="360"/>
      </w:pPr>
      <w:rPr>
        <w:rFonts w:ascii="Symbol" w:hAnsi="Symbol" w:hint="default"/>
      </w:rPr>
    </w:lvl>
    <w:lvl w:ilvl="4" w:tplc="04050003" w:tentative="1">
      <w:start w:val="1"/>
      <w:numFmt w:val="bullet"/>
      <w:lvlText w:val="o"/>
      <w:lvlJc w:val="left"/>
      <w:pPr>
        <w:ind w:left="3638" w:hanging="360"/>
      </w:pPr>
      <w:rPr>
        <w:rFonts w:ascii="Courier New" w:hAnsi="Courier New" w:hint="default"/>
      </w:rPr>
    </w:lvl>
    <w:lvl w:ilvl="5" w:tplc="04050005" w:tentative="1">
      <w:start w:val="1"/>
      <w:numFmt w:val="bullet"/>
      <w:lvlText w:val=""/>
      <w:lvlJc w:val="left"/>
      <w:pPr>
        <w:ind w:left="4358" w:hanging="360"/>
      </w:pPr>
      <w:rPr>
        <w:rFonts w:ascii="Wingdings" w:hAnsi="Wingdings" w:hint="default"/>
      </w:rPr>
    </w:lvl>
    <w:lvl w:ilvl="6" w:tplc="04050001" w:tentative="1">
      <w:start w:val="1"/>
      <w:numFmt w:val="bullet"/>
      <w:lvlText w:val=""/>
      <w:lvlJc w:val="left"/>
      <w:pPr>
        <w:ind w:left="5078" w:hanging="360"/>
      </w:pPr>
      <w:rPr>
        <w:rFonts w:ascii="Symbol" w:hAnsi="Symbol" w:hint="default"/>
      </w:rPr>
    </w:lvl>
    <w:lvl w:ilvl="7" w:tplc="04050003" w:tentative="1">
      <w:start w:val="1"/>
      <w:numFmt w:val="bullet"/>
      <w:lvlText w:val="o"/>
      <w:lvlJc w:val="left"/>
      <w:pPr>
        <w:ind w:left="5798" w:hanging="360"/>
      </w:pPr>
      <w:rPr>
        <w:rFonts w:ascii="Courier New" w:hAnsi="Courier New" w:hint="default"/>
      </w:rPr>
    </w:lvl>
    <w:lvl w:ilvl="8" w:tplc="04050005" w:tentative="1">
      <w:start w:val="1"/>
      <w:numFmt w:val="bullet"/>
      <w:lvlText w:val=""/>
      <w:lvlJc w:val="left"/>
      <w:pPr>
        <w:ind w:left="6518" w:hanging="360"/>
      </w:pPr>
      <w:rPr>
        <w:rFonts w:ascii="Wingdings" w:hAnsi="Wingdings" w:hint="default"/>
      </w:rPr>
    </w:lvl>
  </w:abstractNum>
  <w:abstractNum w:abstractNumId="36">
    <w:nsid w:val="5F5A558D"/>
    <w:multiLevelType w:val="hybridMultilevel"/>
    <w:tmpl w:val="83AE4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D743EB"/>
    <w:multiLevelType w:val="hybridMultilevel"/>
    <w:tmpl w:val="5340355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nsid w:val="6A8365D3"/>
    <w:multiLevelType w:val="hybridMultilevel"/>
    <w:tmpl w:val="5F12CF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DDF4DAB"/>
    <w:multiLevelType w:val="hybridMultilevel"/>
    <w:tmpl w:val="ADF4D5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F4C1453"/>
    <w:multiLevelType w:val="hybridMultilevel"/>
    <w:tmpl w:val="CEDC7B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8C577BF"/>
    <w:multiLevelType w:val="hybridMultilevel"/>
    <w:tmpl w:val="545CC1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CFD408F"/>
    <w:multiLevelType w:val="hybridMultilevel"/>
    <w:tmpl w:val="BB30AE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29622A"/>
    <w:multiLevelType w:val="hybridMultilevel"/>
    <w:tmpl w:val="7D549992"/>
    <w:lvl w:ilvl="0" w:tplc="04050001">
      <w:start w:val="1"/>
      <w:numFmt w:val="bullet"/>
      <w:lvlText w:val=""/>
      <w:lvlJc w:val="left"/>
      <w:pPr>
        <w:ind w:left="677"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D2970B4"/>
    <w:multiLevelType w:val="hybridMultilevel"/>
    <w:tmpl w:val="E01407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E5A1AB2"/>
    <w:multiLevelType w:val="hybridMultilevel"/>
    <w:tmpl w:val="BE7638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E625414"/>
    <w:multiLevelType w:val="hybridMultilevel"/>
    <w:tmpl w:val="AF6C75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E792F73"/>
    <w:multiLevelType w:val="hybridMultilevel"/>
    <w:tmpl w:val="C6CABC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3"/>
  </w:num>
  <w:num w:numId="2">
    <w:abstractNumId w:val="30"/>
  </w:num>
  <w:num w:numId="3">
    <w:abstractNumId w:val="2"/>
  </w:num>
  <w:num w:numId="4">
    <w:abstractNumId w:val="13"/>
  </w:num>
  <w:num w:numId="5">
    <w:abstractNumId w:val="25"/>
  </w:num>
  <w:num w:numId="6">
    <w:abstractNumId w:val="17"/>
  </w:num>
  <w:num w:numId="7">
    <w:abstractNumId w:val="0"/>
  </w:num>
  <w:num w:numId="8">
    <w:abstractNumId w:val="36"/>
  </w:num>
  <w:num w:numId="9">
    <w:abstractNumId w:val="3"/>
  </w:num>
  <w:num w:numId="10">
    <w:abstractNumId w:val="29"/>
  </w:num>
  <w:num w:numId="11">
    <w:abstractNumId w:val="19"/>
  </w:num>
  <w:num w:numId="12">
    <w:abstractNumId w:val="27"/>
  </w:num>
  <w:num w:numId="13">
    <w:abstractNumId w:val="45"/>
  </w:num>
  <w:num w:numId="14">
    <w:abstractNumId w:val="41"/>
  </w:num>
  <w:num w:numId="15">
    <w:abstractNumId w:val="32"/>
  </w:num>
  <w:num w:numId="16">
    <w:abstractNumId w:val="42"/>
  </w:num>
  <w:num w:numId="17">
    <w:abstractNumId w:val="8"/>
  </w:num>
  <w:num w:numId="18">
    <w:abstractNumId w:val="38"/>
  </w:num>
  <w:num w:numId="19">
    <w:abstractNumId w:val="18"/>
  </w:num>
  <w:num w:numId="20">
    <w:abstractNumId w:val="16"/>
  </w:num>
  <w:num w:numId="21">
    <w:abstractNumId w:val="39"/>
  </w:num>
  <w:num w:numId="22">
    <w:abstractNumId w:val="15"/>
  </w:num>
  <w:num w:numId="23">
    <w:abstractNumId w:val="10"/>
  </w:num>
  <w:num w:numId="24">
    <w:abstractNumId w:val="26"/>
  </w:num>
  <w:num w:numId="25">
    <w:abstractNumId w:val="47"/>
  </w:num>
  <w:num w:numId="26">
    <w:abstractNumId w:val="20"/>
  </w:num>
  <w:num w:numId="27">
    <w:abstractNumId w:val="28"/>
  </w:num>
  <w:num w:numId="28">
    <w:abstractNumId w:val="40"/>
  </w:num>
  <w:num w:numId="29">
    <w:abstractNumId w:val="6"/>
  </w:num>
  <w:num w:numId="30">
    <w:abstractNumId w:val="44"/>
  </w:num>
  <w:num w:numId="31">
    <w:abstractNumId w:val="14"/>
  </w:num>
  <w:num w:numId="32">
    <w:abstractNumId w:val="23"/>
  </w:num>
  <w:num w:numId="33">
    <w:abstractNumId w:val="31"/>
  </w:num>
  <w:num w:numId="34">
    <w:abstractNumId w:val="34"/>
  </w:num>
  <w:num w:numId="35">
    <w:abstractNumId w:val="4"/>
  </w:num>
  <w:num w:numId="36">
    <w:abstractNumId w:val="21"/>
  </w:num>
  <w:num w:numId="37">
    <w:abstractNumId w:val="46"/>
  </w:num>
  <w:num w:numId="38">
    <w:abstractNumId w:val="35"/>
  </w:num>
  <w:num w:numId="39">
    <w:abstractNumId w:val="1"/>
  </w:num>
  <w:num w:numId="40">
    <w:abstractNumId w:val="33"/>
  </w:num>
  <w:num w:numId="41">
    <w:abstractNumId w:val="22"/>
  </w:num>
  <w:num w:numId="4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5"/>
  </w:num>
  <w:num w:numId="45">
    <w:abstractNumId w:val="7"/>
  </w:num>
  <w:num w:numId="46">
    <w:abstractNumId w:val="11"/>
  </w:num>
  <w:num w:numId="47">
    <w:abstractNumId w:val="37"/>
  </w:num>
  <w:num w:numId="4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hyphenationZone w:val="425"/>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13BD"/>
    <w:rsid w:val="0000007F"/>
    <w:rsid w:val="0000544B"/>
    <w:rsid w:val="0000556F"/>
    <w:rsid w:val="00005FA3"/>
    <w:rsid w:val="000117B5"/>
    <w:rsid w:val="00011848"/>
    <w:rsid w:val="00012DF8"/>
    <w:rsid w:val="00014400"/>
    <w:rsid w:val="00020267"/>
    <w:rsid w:val="000224E1"/>
    <w:rsid w:val="00022A0C"/>
    <w:rsid w:val="00025D43"/>
    <w:rsid w:val="00027984"/>
    <w:rsid w:val="00031B0D"/>
    <w:rsid w:val="0003388E"/>
    <w:rsid w:val="00034840"/>
    <w:rsid w:val="00034925"/>
    <w:rsid w:val="00040148"/>
    <w:rsid w:val="00045D16"/>
    <w:rsid w:val="00050E06"/>
    <w:rsid w:val="000559CD"/>
    <w:rsid w:val="0006055A"/>
    <w:rsid w:val="00060954"/>
    <w:rsid w:val="000622C8"/>
    <w:rsid w:val="00063097"/>
    <w:rsid w:val="000635AC"/>
    <w:rsid w:val="000745BC"/>
    <w:rsid w:val="000753C2"/>
    <w:rsid w:val="00077398"/>
    <w:rsid w:val="00081074"/>
    <w:rsid w:val="000815D7"/>
    <w:rsid w:val="00081F03"/>
    <w:rsid w:val="00093C1A"/>
    <w:rsid w:val="0009442F"/>
    <w:rsid w:val="000A0628"/>
    <w:rsid w:val="000A77ED"/>
    <w:rsid w:val="000B35D4"/>
    <w:rsid w:val="000B7136"/>
    <w:rsid w:val="000C2EF4"/>
    <w:rsid w:val="000C5229"/>
    <w:rsid w:val="000C577E"/>
    <w:rsid w:val="000D3B3D"/>
    <w:rsid w:val="000D4003"/>
    <w:rsid w:val="000D6A01"/>
    <w:rsid w:val="000E10B8"/>
    <w:rsid w:val="000E2EA6"/>
    <w:rsid w:val="000E38C0"/>
    <w:rsid w:val="000E47EB"/>
    <w:rsid w:val="000F2E33"/>
    <w:rsid w:val="000F47AF"/>
    <w:rsid w:val="001005C7"/>
    <w:rsid w:val="001026D2"/>
    <w:rsid w:val="00105C9F"/>
    <w:rsid w:val="00105E1A"/>
    <w:rsid w:val="00106353"/>
    <w:rsid w:val="00111128"/>
    <w:rsid w:val="00112F55"/>
    <w:rsid w:val="00113D14"/>
    <w:rsid w:val="00120C11"/>
    <w:rsid w:val="00121988"/>
    <w:rsid w:val="00125393"/>
    <w:rsid w:val="00126916"/>
    <w:rsid w:val="001424CE"/>
    <w:rsid w:val="00143DE6"/>
    <w:rsid w:val="00145390"/>
    <w:rsid w:val="00147689"/>
    <w:rsid w:val="00151D8C"/>
    <w:rsid w:val="00152F49"/>
    <w:rsid w:val="0015306E"/>
    <w:rsid w:val="00155CE5"/>
    <w:rsid w:val="001615EF"/>
    <w:rsid w:val="00166660"/>
    <w:rsid w:val="00180B5A"/>
    <w:rsid w:val="00181926"/>
    <w:rsid w:val="00186BA0"/>
    <w:rsid w:val="001A10D4"/>
    <w:rsid w:val="001A20D2"/>
    <w:rsid w:val="001B0A99"/>
    <w:rsid w:val="001B0E48"/>
    <w:rsid w:val="001B0F08"/>
    <w:rsid w:val="001B3875"/>
    <w:rsid w:val="001B5AF4"/>
    <w:rsid w:val="001B674C"/>
    <w:rsid w:val="001B79F0"/>
    <w:rsid w:val="001B7F83"/>
    <w:rsid w:val="001C0E90"/>
    <w:rsid w:val="001C18DA"/>
    <w:rsid w:val="001D1EC8"/>
    <w:rsid w:val="001D4518"/>
    <w:rsid w:val="001D66CD"/>
    <w:rsid w:val="001D6C13"/>
    <w:rsid w:val="001E03D6"/>
    <w:rsid w:val="001E360F"/>
    <w:rsid w:val="001E6DEF"/>
    <w:rsid w:val="001F5297"/>
    <w:rsid w:val="002125E7"/>
    <w:rsid w:val="00213ADF"/>
    <w:rsid w:val="00213D3C"/>
    <w:rsid w:val="00216AC9"/>
    <w:rsid w:val="00217BED"/>
    <w:rsid w:val="0023213F"/>
    <w:rsid w:val="002323BD"/>
    <w:rsid w:val="00233527"/>
    <w:rsid w:val="00242915"/>
    <w:rsid w:val="002441A6"/>
    <w:rsid w:val="00250AAD"/>
    <w:rsid w:val="00250FF8"/>
    <w:rsid w:val="00264CA5"/>
    <w:rsid w:val="00270CDA"/>
    <w:rsid w:val="00272FD0"/>
    <w:rsid w:val="00276D65"/>
    <w:rsid w:val="002818CD"/>
    <w:rsid w:val="00284581"/>
    <w:rsid w:val="002858DB"/>
    <w:rsid w:val="00287185"/>
    <w:rsid w:val="00293A92"/>
    <w:rsid w:val="00296E58"/>
    <w:rsid w:val="002975AA"/>
    <w:rsid w:val="002A0833"/>
    <w:rsid w:val="002A4227"/>
    <w:rsid w:val="002A6424"/>
    <w:rsid w:val="002A662F"/>
    <w:rsid w:val="002B24E7"/>
    <w:rsid w:val="002B3B7E"/>
    <w:rsid w:val="002B4FBC"/>
    <w:rsid w:val="002B5180"/>
    <w:rsid w:val="002D1FD4"/>
    <w:rsid w:val="002D2243"/>
    <w:rsid w:val="002D5DB0"/>
    <w:rsid w:val="002D66B5"/>
    <w:rsid w:val="002D6B2F"/>
    <w:rsid w:val="002E111D"/>
    <w:rsid w:val="002E4B13"/>
    <w:rsid w:val="002E4DB8"/>
    <w:rsid w:val="002E6916"/>
    <w:rsid w:val="002E7666"/>
    <w:rsid w:val="002F2067"/>
    <w:rsid w:val="002F25CC"/>
    <w:rsid w:val="002F3B5A"/>
    <w:rsid w:val="00301033"/>
    <w:rsid w:val="0030323E"/>
    <w:rsid w:val="00305578"/>
    <w:rsid w:val="0030690E"/>
    <w:rsid w:val="00310637"/>
    <w:rsid w:val="003109D1"/>
    <w:rsid w:val="00312A99"/>
    <w:rsid w:val="00315263"/>
    <w:rsid w:val="00315EFE"/>
    <w:rsid w:val="00316D0B"/>
    <w:rsid w:val="0032247C"/>
    <w:rsid w:val="00324D26"/>
    <w:rsid w:val="00327212"/>
    <w:rsid w:val="00334808"/>
    <w:rsid w:val="003372C0"/>
    <w:rsid w:val="00340933"/>
    <w:rsid w:val="00342E1E"/>
    <w:rsid w:val="003446B6"/>
    <w:rsid w:val="0034527D"/>
    <w:rsid w:val="003610DB"/>
    <w:rsid w:val="003647AF"/>
    <w:rsid w:val="00366622"/>
    <w:rsid w:val="00370E69"/>
    <w:rsid w:val="00374734"/>
    <w:rsid w:val="00380074"/>
    <w:rsid w:val="00381F3A"/>
    <w:rsid w:val="00397F81"/>
    <w:rsid w:val="003A1993"/>
    <w:rsid w:val="003A60B6"/>
    <w:rsid w:val="003A770F"/>
    <w:rsid w:val="003A7895"/>
    <w:rsid w:val="003B21BA"/>
    <w:rsid w:val="003B50B0"/>
    <w:rsid w:val="003B7528"/>
    <w:rsid w:val="003C130E"/>
    <w:rsid w:val="003C3320"/>
    <w:rsid w:val="003C3C8F"/>
    <w:rsid w:val="003C71E8"/>
    <w:rsid w:val="003D2237"/>
    <w:rsid w:val="003D7739"/>
    <w:rsid w:val="003E0BAE"/>
    <w:rsid w:val="003E5E12"/>
    <w:rsid w:val="003F4D18"/>
    <w:rsid w:val="0040129C"/>
    <w:rsid w:val="00402B96"/>
    <w:rsid w:val="00404E2B"/>
    <w:rsid w:val="00405D33"/>
    <w:rsid w:val="0042713A"/>
    <w:rsid w:val="0043247D"/>
    <w:rsid w:val="00441317"/>
    <w:rsid w:val="00441A7F"/>
    <w:rsid w:val="00442487"/>
    <w:rsid w:val="00450B70"/>
    <w:rsid w:val="00452CB6"/>
    <w:rsid w:val="00456445"/>
    <w:rsid w:val="00456BAD"/>
    <w:rsid w:val="00456C71"/>
    <w:rsid w:val="00456D5B"/>
    <w:rsid w:val="00460DCB"/>
    <w:rsid w:val="00481675"/>
    <w:rsid w:val="00481AA0"/>
    <w:rsid w:val="0048670B"/>
    <w:rsid w:val="0049320E"/>
    <w:rsid w:val="00494D3C"/>
    <w:rsid w:val="004A5ADE"/>
    <w:rsid w:val="004B094D"/>
    <w:rsid w:val="004B24C9"/>
    <w:rsid w:val="004C290B"/>
    <w:rsid w:val="004C5687"/>
    <w:rsid w:val="004C6315"/>
    <w:rsid w:val="004D2BB4"/>
    <w:rsid w:val="004D3F51"/>
    <w:rsid w:val="004D4F3D"/>
    <w:rsid w:val="004D593B"/>
    <w:rsid w:val="004D59F5"/>
    <w:rsid w:val="004D5A7D"/>
    <w:rsid w:val="004E1496"/>
    <w:rsid w:val="004E1992"/>
    <w:rsid w:val="004E5716"/>
    <w:rsid w:val="004E5919"/>
    <w:rsid w:val="004F13F0"/>
    <w:rsid w:val="004F2A30"/>
    <w:rsid w:val="004F346F"/>
    <w:rsid w:val="004F5B07"/>
    <w:rsid w:val="005011D3"/>
    <w:rsid w:val="0050353E"/>
    <w:rsid w:val="00506E57"/>
    <w:rsid w:val="00511504"/>
    <w:rsid w:val="005162B8"/>
    <w:rsid w:val="00517A8D"/>
    <w:rsid w:val="00520AFA"/>
    <w:rsid w:val="0052532A"/>
    <w:rsid w:val="00525B90"/>
    <w:rsid w:val="005269FE"/>
    <w:rsid w:val="0053328D"/>
    <w:rsid w:val="00536858"/>
    <w:rsid w:val="00541E21"/>
    <w:rsid w:val="005428FB"/>
    <w:rsid w:val="00544A9C"/>
    <w:rsid w:val="00550CBC"/>
    <w:rsid w:val="005511A4"/>
    <w:rsid w:val="00554FAD"/>
    <w:rsid w:val="00561B4A"/>
    <w:rsid w:val="00563688"/>
    <w:rsid w:val="00565109"/>
    <w:rsid w:val="005668C3"/>
    <w:rsid w:val="0057327D"/>
    <w:rsid w:val="00584A00"/>
    <w:rsid w:val="0058692D"/>
    <w:rsid w:val="005A0FBD"/>
    <w:rsid w:val="005A2242"/>
    <w:rsid w:val="005A47D1"/>
    <w:rsid w:val="005A56B1"/>
    <w:rsid w:val="005B13B5"/>
    <w:rsid w:val="005B3B0B"/>
    <w:rsid w:val="005B4EE4"/>
    <w:rsid w:val="005B6DF5"/>
    <w:rsid w:val="005C05C0"/>
    <w:rsid w:val="005C15AF"/>
    <w:rsid w:val="005C2EFE"/>
    <w:rsid w:val="005C38B9"/>
    <w:rsid w:val="005C3AD3"/>
    <w:rsid w:val="005C6F5F"/>
    <w:rsid w:val="005C78DB"/>
    <w:rsid w:val="005D47D4"/>
    <w:rsid w:val="005D6959"/>
    <w:rsid w:val="005E1676"/>
    <w:rsid w:val="005E7F5A"/>
    <w:rsid w:val="005F091E"/>
    <w:rsid w:val="005F0A20"/>
    <w:rsid w:val="005F2DF3"/>
    <w:rsid w:val="005F7125"/>
    <w:rsid w:val="0060400C"/>
    <w:rsid w:val="00604388"/>
    <w:rsid w:val="006064B1"/>
    <w:rsid w:val="0061091D"/>
    <w:rsid w:val="0061118C"/>
    <w:rsid w:val="00611DE9"/>
    <w:rsid w:val="006123A8"/>
    <w:rsid w:val="00614312"/>
    <w:rsid w:val="00616C56"/>
    <w:rsid w:val="00623862"/>
    <w:rsid w:val="00624F1B"/>
    <w:rsid w:val="0062794C"/>
    <w:rsid w:val="006332E1"/>
    <w:rsid w:val="00635423"/>
    <w:rsid w:val="00640FA4"/>
    <w:rsid w:val="00645597"/>
    <w:rsid w:val="006476E7"/>
    <w:rsid w:val="00651EC2"/>
    <w:rsid w:val="006600AA"/>
    <w:rsid w:val="00662838"/>
    <w:rsid w:val="00663726"/>
    <w:rsid w:val="006973C3"/>
    <w:rsid w:val="006A3C55"/>
    <w:rsid w:val="006A4A8F"/>
    <w:rsid w:val="006A5A11"/>
    <w:rsid w:val="006B59DF"/>
    <w:rsid w:val="006C19E5"/>
    <w:rsid w:val="006C3D63"/>
    <w:rsid w:val="006C457C"/>
    <w:rsid w:val="006C71C9"/>
    <w:rsid w:val="006C7850"/>
    <w:rsid w:val="006D318B"/>
    <w:rsid w:val="006D36EB"/>
    <w:rsid w:val="006D589D"/>
    <w:rsid w:val="006E7968"/>
    <w:rsid w:val="006F47BF"/>
    <w:rsid w:val="00702AE7"/>
    <w:rsid w:val="00702DFE"/>
    <w:rsid w:val="007052D9"/>
    <w:rsid w:val="007109B1"/>
    <w:rsid w:val="00711A15"/>
    <w:rsid w:val="00715F11"/>
    <w:rsid w:val="00716FCE"/>
    <w:rsid w:val="00717B34"/>
    <w:rsid w:val="00727477"/>
    <w:rsid w:val="0073291B"/>
    <w:rsid w:val="00744812"/>
    <w:rsid w:val="00746428"/>
    <w:rsid w:val="00762624"/>
    <w:rsid w:val="00765AD3"/>
    <w:rsid w:val="007751F9"/>
    <w:rsid w:val="00775C47"/>
    <w:rsid w:val="007A1C57"/>
    <w:rsid w:val="007A6ABA"/>
    <w:rsid w:val="007A7E8F"/>
    <w:rsid w:val="007B1489"/>
    <w:rsid w:val="007B1A88"/>
    <w:rsid w:val="007B358B"/>
    <w:rsid w:val="007B434F"/>
    <w:rsid w:val="007B7E62"/>
    <w:rsid w:val="007C5418"/>
    <w:rsid w:val="007C7EDA"/>
    <w:rsid w:val="007D1A6E"/>
    <w:rsid w:val="007D3FF6"/>
    <w:rsid w:val="007D4E80"/>
    <w:rsid w:val="007E1B76"/>
    <w:rsid w:val="007E37FE"/>
    <w:rsid w:val="007E4667"/>
    <w:rsid w:val="007F5AC7"/>
    <w:rsid w:val="007F614A"/>
    <w:rsid w:val="007F7788"/>
    <w:rsid w:val="00800EB4"/>
    <w:rsid w:val="00800F3C"/>
    <w:rsid w:val="00804766"/>
    <w:rsid w:val="008078E9"/>
    <w:rsid w:val="00811838"/>
    <w:rsid w:val="00813F11"/>
    <w:rsid w:val="008218EF"/>
    <w:rsid w:val="00835037"/>
    <w:rsid w:val="00835976"/>
    <w:rsid w:val="008452C4"/>
    <w:rsid w:val="008468C8"/>
    <w:rsid w:val="00852FFE"/>
    <w:rsid w:val="00853694"/>
    <w:rsid w:val="00860170"/>
    <w:rsid w:val="00880408"/>
    <w:rsid w:val="00886F53"/>
    <w:rsid w:val="00887736"/>
    <w:rsid w:val="00887DF4"/>
    <w:rsid w:val="008953EC"/>
    <w:rsid w:val="00895E15"/>
    <w:rsid w:val="008B318C"/>
    <w:rsid w:val="008B3A32"/>
    <w:rsid w:val="008B6620"/>
    <w:rsid w:val="008B76CE"/>
    <w:rsid w:val="008B7FFE"/>
    <w:rsid w:val="008D11B5"/>
    <w:rsid w:val="008D4875"/>
    <w:rsid w:val="008D4AC3"/>
    <w:rsid w:val="008E52D1"/>
    <w:rsid w:val="008E5E4B"/>
    <w:rsid w:val="008E6606"/>
    <w:rsid w:val="008F62BF"/>
    <w:rsid w:val="008F70E2"/>
    <w:rsid w:val="009019F6"/>
    <w:rsid w:val="00905AAF"/>
    <w:rsid w:val="009070F5"/>
    <w:rsid w:val="00917399"/>
    <w:rsid w:val="009249F3"/>
    <w:rsid w:val="00927055"/>
    <w:rsid w:val="00940C7E"/>
    <w:rsid w:val="00945254"/>
    <w:rsid w:val="00945444"/>
    <w:rsid w:val="00945A5F"/>
    <w:rsid w:val="009470BD"/>
    <w:rsid w:val="00957DE6"/>
    <w:rsid w:val="009637D0"/>
    <w:rsid w:val="00965CD1"/>
    <w:rsid w:val="00974576"/>
    <w:rsid w:val="0097466F"/>
    <w:rsid w:val="009769E8"/>
    <w:rsid w:val="00982D29"/>
    <w:rsid w:val="00983AEB"/>
    <w:rsid w:val="00987F3D"/>
    <w:rsid w:val="00995E28"/>
    <w:rsid w:val="00996B76"/>
    <w:rsid w:val="009A7C08"/>
    <w:rsid w:val="009B687D"/>
    <w:rsid w:val="009C000E"/>
    <w:rsid w:val="009C1309"/>
    <w:rsid w:val="009C315E"/>
    <w:rsid w:val="009C723C"/>
    <w:rsid w:val="009D2CB0"/>
    <w:rsid w:val="009D518B"/>
    <w:rsid w:val="009E279D"/>
    <w:rsid w:val="009E3224"/>
    <w:rsid w:val="009E6576"/>
    <w:rsid w:val="009E738F"/>
    <w:rsid w:val="009F4ADA"/>
    <w:rsid w:val="009F5278"/>
    <w:rsid w:val="009F64CF"/>
    <w:rsid w:val="00A00EFC"/>
    <w:rsid w:val="00A02904"/>
    <w:rsid w:val="00A04A08"/>
    <w:rsid w:val="00A077EB"/>
    <w:rsid w:val="00A14B1D"/>
    <w:rsid w:val="00A17C12"/>
    <w:rsid w:val="00A25385"/>
    <w:rsid w:val="00A25C7A"/>
    <w:rsid w:val="00A25D8A"/>
    <w:rsid w:val="00A25DEC"/>
    <w:rsid w:val="00A30EC7"/>
    <w:rsid w:val="00A327BF"/>
    <w:rsid w:val="00A35469"/>
    <w:rsid w:val="00A3589D"/>
    <w:rsid w:val="00A427A7"/>
    <w:rsid w:val="00A4297E"/>
    <w:rsid w:val="00A43219"/>
    <w:rsid w:val="00A476D0"/>
    <w:rsid w:val="00A4779F"/>
    <w:rsid w:val="00A477AF"/>
    <w:rsid w:val="00A54114"/>
    <w:rsid w:val="00A55517"/>
    <w:rsid w:val="00A565CF"/>
    <w:rsid w:val="00A60C31"/>
    <w:rsid w:val="00A66A85"/>
    <w:rsid w:val="00A74EE6"/>
    <w:rsid w:val="00A76787"/>
    <w:rsid w:val="00A80231"/>
    <w:rsid w:val="00A81A28"/>
    <w:rsid w:val="00A85D7C"/>
    <w:rsid w:val="00A93469"/>
    <w:rsid w:val="00A93FD7"/>
    <w:rsid w:val="00A96171"/>
    <w:rsid w:val="00A97EF5"/>
    <w:rsid w:val="00AA23D4"/>
    <w:rsid w:val="00AA5225"/>
    <w:rsid w:val="00AB2894"/>
    <w:rsid w:val="00AB293A"/>
    <w:rsid w:val="00AB2CB7"/>
    <w:rsid w:val="00AB3175"/>
    <w:rsid w:val="00AB3B16"/>
    <w:rsid w:val="00AB4F60"/>
    <w:rsid w:val="00AB506B"/>
    <w:rsid w:val="00AC74B4"/>
    <w:rsid w:val="00AE029B"/>
    <w:rsid w:val="00AE4490"/>
    <w:rsid w:val="00AE4652"/>
    <w:rsid w:val="00AE4903"/>
    <w:rsid w:val="00AE4A61"/>
    <w:rsid w:val="00AE4D08"/>
    <w:rsid w:val="00AE5F1F"/>
    <w:rsid w:val="00AE7820"/>
    <w:rsid w:val="00AF108D"/>
    <w:rsid w:val="00AF1D40"/>
    <w:rsid w:val="00AF21BD"/>
    <w:rsid w:val="00AF2C18"/>
    <w:rsid w:val="00AF317E"/>
    <w:rsid w:val="00AF3637"/>
    <w:rsid w:val="00AF7904"/>
    <w:rsid w:val="00B01FB6"/>
    <w:rsid w:val="00B02AD0"/>
    <w:rsid w:val="00B05349"/>
    <w:rsid w:val="00B06B5F"/>
    <w:rsid w:val="00B108FB"/>
    <w:rsid w:val="00B136D4"/>
    <w:rsid w:val="00B149A6"/>
    <w:rsid w:val="00B14A1B"/>
    <w:rsid w:val="00B1734D"/>
    <w:rsid w:val="00B17398"/>
    <w:rsid w:val="00B20C9E"/>
    <w:rsid w:val="00B2694A"/>
    <w:rsid w:val="00B26A0C"/>
    <w:rsid w:val="00B316AB"/>
    <w:rsid w:val="00B42BB2"/>
    <w:rsid w:val="00B450D2"/>
    <w:rsid w:val="00B45C39"/>
    <w:rsid w:val="00B502C4"/>
    <w:rsid w:val="00B56226"/>
    <w:rsid w:val="00B562C4"/>
    <w:rsid w:val="00B56367"/>
    <w:rsid w:val="00B61D18"/>
    <w:rsid w:val="00B73C84"/>
    <w:rsid w:val="00B76D75"/>
    <w:rsid w:val="00B83F48"/>
    <w:rsid w:val="00B8716F"/>
    <w:rsid w:val="00B8799F"/>
    <w:rsid w:val="00B94B60"/>
    <w:rsid w:val="00BA094F"/>
    <w:rsid w:val="00BB260C"/>
    <w:rsid w:val="00BB7952"/>
    <w:rsid w:val="00BC09FE"/>
    <w:rsid w:val="00BC0D1E"/>
    <w:rsid w:val="00BC2F66"/>
    <w:rsid w:val="00BC5ED7"/>
    <w:rsid w:val="00BD08C5"/>
    <w:rsid w:val="00BD09C9"/>
    <w:rsid w:val="00BE00A8"/>
    <w:rsid w:val="00BE08F8"/>
    <w:rsid w:val="00BE1FA6"/>
    <w:rsid w:val="00BE2346"/>
    <w:rsid w:val="00BE45B9"/>
    <w:rsid w:val="00C06DA1"/>
    <w:rsid w:val="00C07425"/>
    <w:rsid w:val="00C11010"/>
    <w:rsid w:val="00C23EF8"/>
    <w:rsid w:val="00C3716B"/>
    <w:rsid w:val="00C415E0"/>
    <w:rsid w:val="00C420C0"/>
    <w:rsid w:val="00C455AD"/>
    <w:rsid w:val="00C5374C"/>
    <w:rsid w:val="00C551EA"/>
    <w:rsid w:val="00C56069"/>
    <w:rsid w:val="00C67F77"/>
    <w:rsid w:val="00C72743"/>
    <w:rsid w:val="00C72D9C"/>
    <w:rsid w:val="00C76E75"/>
    <w:rsid w:val="00C837A1"/>
    <w:rsid w:val="00C9003E"/>
    <w:rsid w:val="00C90C6B"/>
    <w:rsid w:val="00C9117D"/>
    <w:rsid w:val="00C9267F"/>
    <w:rsid w:val="00C92FC5"/>
    <w:rsid w:val="00C97829"/>
    <w:rsid w:val="00CA3C8E"/>
    <w:rsid w:val="00CB011D"/>
    <w:rsid w:val="00CB157F"/>
    <w:rsid w:val="00CB26C0"/>
    <w:rsid w:val="00CB3311"/>
    <w:rsid w:val="00CB35ED"/>
    <w:rsid w:val="00CB48A1"/>
    <w:rsid w:val="00CC302B"/>
    <w:rsid w:val="00CC3FB8"/>
    <w:rsid w:val="00CD0853"/>
    <w:rsid w:val="00CD15C6"/>
    <w:rsid w:val="00CD526B"/>
    <w:rsid w:val="00CD64A1"/>
    <w:rsid w:val="00CD69FF"/>
    <w:rsid w:val="00CE3896"/>
    <w:rsid w:val="00CE3955"/>
    <w:rsid w:val="00CE48DB"/>
    <w:rsid w:val="00CF174D"/>
    <w:rsid w:val="00CF312D"/>
    <w:rsid w:val="00CF4172"/>
    <w:rsid w:val="00CF4DDB"/>
    <w:rsid w:val="00D17F60"/>
    <w:rsid w:val="00D20843"/>
    <w:rsid w:val="00D271EA"/>
    <w:rsid w:val="00D40AAE"/>
    <w:rsid w:val="00D46169"/>
    <w:rsid w:val="00D505F4"/>
    <w:rsid w:val="00D50D0C"/>
    <w:rsid w:val="00D512A7"/>
    <w:rsid w:val="00D513DE"/>
    <w:rsid w:val="00D556CA"/>
    <w:rsid w:val="00D613BD"/>
    <w:rsid w:val="00D64822"/>
    <w:rsid w:val="00D67CAA"/>
    <w:rsid w:val="00D67D88"/>
    <w:rsid w:val="00D70952"/>
    <w:rsid w:val="00D828F4"/>
    <w:rsid w:val="00D86829"/>
    <w:rsid w:val="00D90259"/>
    <w:rsid w:val="00D90A91"/>
    <w:rsid w:val="00D91340"/>
    <w:rsid w:val="00D9142D"/>
    <w:rsid w:val="00D92626"/>
    <w:rsid w:val="00D930B0"/>
    <w:rsid w:val="00D95ED2"/>
    <w:rsid w:val="00DA49BF"/>
    <w:rsid w:val="00DB4A47"/>
    <w:rsid w:val="00DB5082"/>
    <w:rsid w:val="00DB5A4A"/>
    <w:rsid w:val="00DC1A9C"/>
    <w:rsid w:val="00DC1BB8"/>
    <w:rsid w:val="00DD2F1B"/>
    <w:rsid w:val="00DD51F7"/>
    <w:rsid w:val="00DE1959"/>
    <w:rsid w:val="00DE2996"/>
    <w:rsid w:val="00DF1624"/>
    <w:rsid w:val="00DF6983"/>
    <w:rsid w:val="00E0043A"/>
    <w:rsid w:val="00E01D82"/>
    <w:rsid w:val="00E02210"/>
    <w:rsid w:val="00E0480D"/>
    <w:rsid w:val="00E1119F"/>
    <w:rsid w:val="00E20571"/>
    <w:rsid w:val="00E26A84"/>
    <w:rsid w:val="00E27206"/>
    <w:rsid w:val="00E30224"/>
    <w:rsid w:val="00E30BB7"/>
    <w:rsid w:val="00E35BA7"/>
    <w:rsid w:val="00E36242"/>
    <w:rsid w:val="00E37205"/>
    <w:rsid w:val="00E41C48"/>
    <w:rsid w:val="00E424D3"/>
    <w:rsid w:val="00E42BCD"/>
    <w:rsid w:val="00E43035"/>
    <w:rsid w:val="00E51D20"/>
    <w:rsid w:val="00E645FE"/>
    <w:rsid w:val="00E66090"/>
    <w:rsid w:val="00E7056B"/>
    <w:rsid w:val="00E70975"/>
    <w:rsid w:val="00E729B4"/>
    <w:rsid w:val="00E75D0C"/>
    <w:rsid w:val="00E85EC9"/>
    <w:rsid w:val="00E87B07"/>
    <w:rsid w:val="00E96DC0"/>
    <w:rsid w:val="00EA1A3E"/>
    <w:rsid w:val="00EA1DB4"/>
    <w:rsid w:val="00EA2D5E"/>
    <w:rsid w:val="00EA47D5"/>
    <w:rsid w:val="00EA5434"/>
    <w:rsid w:val="00EA555F"/>
    <w:rsid w:val="00EB0F13"/>
    <w:rsid w:val="00EB1618"/>
    <w:rsid w:val="00EB250C"/>
    <w:rsid w:val="00EC5994"/>
    <w:rsid w:val="00EC7605"/>
    <w:rsid w:val="00ED07BA"/>
    <w:rsid w:val="00EE09B9"/>
    <w:rsid w:val="00EE5E2C"/>
    <w:rsid w:val="00EF2205"/>
    <w:rsid w:val="00EF703F"/>
    <w:rsid w:val="00EF73AB"/>
    <w:rsid w:val="00F04ACB"/>
    <w:rsid w:val="00F062E4"/>
    <w:rsid w:val="00F11048"/>
    <w:rsid w:val="00F137F4"/>
    <w:rsid w:val="00F15AF8"/>
    <w:rsid w:val="00F23123"/>
    <w:rsid w:val="00F2415E"/>
    <w:rsid w:val="00F27A1A"/>
    <w:rsid w:val="00F31475"/>
    <w:rsid w:val="00F3479A"/>
    <w:rsid w:val="00F366B5"/>
    <w:rsid w:val="00F44925"/>
    <w:rsid w:val="00F52AE4"/>
    <w:rsid w:val="00F5496A"/>
    <w:rsid w:val="00F55F65"/>
    <w:rsid w:val="00F609C0"/>
    <w:rsid w:val="00F70AA0"/>
    <w:rsid w:val="00F715BC"/>
    <w:rsid w:val="00F75300"/>
    <w:rsid w:val="00F803D5"/>
    <w:rsid w:val="00F813ED"/>
    <w:rsid w:val="00F814DF"/>
    <w:rsid w:val="00F92B3B"/>
    <w:rsid w:val="00F935B1"/>
    <w:rsid w:val="00FB3772"/>
    <w:rsid w:val="00FC56D6"/>
    <w:rsid w:val="00FD0F27"/>
    <w:rsid w:val="00FD4219"/>
    <w:rsid w:val="00FD536A"/>
    <w:rsid w:val="00FD5A78"/>
    <w:rsid w:val="00FE028E"/>
    <w:rsid w:val="00FE09E3"/>
    <w:rsid w:val="00FE180F"/>
    <w:rsid w:val="00FE3C95"/>
    <w:rsid w:val="00FF29F6"/>
    <w:rsid w:val="00FF300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iPriority="37" w:unhideWhenUsed="1"/>
    <w:lsdException w:name="TOC Heading" w:semiHidden="0" w:qFormat="1"/>
  </w:latentStyles>
  <w:style w:type="paragraph" w:default="1" w:styleId="Normln">
    <w:name w:val="Normal"/>
    <w:qFormat/>
    <w:rsid w:val="00A565CF"/>
    <w:pPr>
      <w:spacing w:before="200" w:after="200" w:line="276" w:lineRule="auto"/>
    </w:pPr>
    <w:rPr>
      <w:sz w:val="20"/>
      <w:szCs w:val="20"/>
      <w:lang w:val="en-US" w:eastAsia="en-US"/>
    </w:rPr>
  </w:style>
  <w:style w:type="paragraph" w:styleId="Nadpis1">
    <w:name w:val="heading 1"/>
    <w:basedOn w:val="Normln"/>
    <w:next w:val="Normln"/>
    <w:link w:val="Nadpis1Char"/>
    <w:uiPriority w:val="99"/>
    <w:qFormat/>
    <w:rsid w:val="00A565CF"/>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Nadpis2">
    <w:name w:val="heading 2"/>
    <w:basedOn w:val="Normln"/>
    <w:next w:val="Normln"/>
    <w:link w:val="Nadpis2Char"/>
    <w:uiPriority w:val="99"/>
    <w:qFormat/>
    <w:rsid w:val="00A565CF"/>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dpis3">
    <w:name w:val="heading 3"/>
    <w:basedOn w:val="Normln"/>
    <w:next w:val="Normln"/>
    <w:link w:val="Nadpis3Char"/>
    <w:uiPriority w:val="99"/>
    <w:qFormat/>
    <w:rsid w:val="00A565CF"/>
    <w:pPr>
      <w:pBdr>
        <w:top w:val="single" w:sz="6" w:space="2" w:color="4F81BD"/>
        <w:left w:val="single" w:sz="6" w:space="2" w:color="4F81BD"/>
      </w:pBdr>
      <w:spacing w:before="300" w:after="0"/>
      <w:outlineLvl w:val="2"/>
    </w:pPr>
    <w:rPr>
      <w:caps/>
      <w:color w:val="243F60"/>
      <w:spacing w:val="15"/>
      <w:sz w:val="22"/>
      <w:szCs w:val="22"/>
    </w:rPr>
  </w:style>
  <w:style w:type="paragraph" w:styleId="Nadpis4">
    <w:name w:val="heading 4"/>
    <w:basedOn w:val="Normln"/>
    <w:next w:val="Normln"/>
    <w:link w:val="Nadpis4Char"/>
    <w:uiPriority w:val="99"/>
    <w:qFormat/>
    <w:rsid w:val="00A565CF"/>
    <w:pPr>
      <w:pBdr>
        <w:top w:val="dotted" w:sz="6" w:space="2" w:color="4F81BD"/>
        <w:left w:val="dotted" w:sz="6" w:space="2" w:color="4F81BD"/>
      </w:pBdr>
      <w:spacing w:before="300" w:after="0"/>
      <w:outlineLvl w:val="3"/>
    </w:pPr>
    <w:rPr>
      <w:caps/>
      <w:color w:val="365F91"/>
      <w:spacing w:val="10"/>
      <w:sz w:val="22"/>
      <w:szCs w:val="22"/>
    </w:rPr>
  </w:style>
  <w:style w:type="paragraph" w:styleId="Nadpis5">
    <w:name w:val="heading 5"/>
    <w:basedOn w:val="Normln"/>
    <w:next w:val="Normln"/>
    <w:link w:val="Nadpis5Char"/>
    <w:uiPriority w:val="99"/>
    <w:qFormat/>
    <w:rsid w:val="00A565CF"/>
    <w:pPr>
      <w:pBdr>
        <w:bottom w:val="single" w:sz="6" w:space="1" w:color="4F81BD"/>
      </w:pBdr>
      <w:spacing w:before="300" w:after="0"/>
      <w:outlineLvl w:val="4"/>
    </w:pPr>
    <w:rPr>
      <w:caps/>
      <w:color w:val="365F91"/>
      <w:spacing w:val="10"/>
      <w:sz w:val="22"/>
      <w:szCs w:val="22"/>
    </w:rPr>
  </w:style>
  <w:style w:type="paragraph" w:styleId="Nadpis6">
    <w:name w:val="heading 6"/>
    <w:basedOn w:val="Normln"/>
    <w:next w:val="Normln"/>
    <w:link w:val="Nadpis6Char"/>
    <w:uiPriority w:val="99"/>
    <w:qFormat/>
    <w:rsid w:val="00A565CF"/>
    <w:pPr>
      <w:pBdr>
        <w:bottom w:val="dotted" w:sz="6" w:space="1" w:color="4F81BD"/>
      </w:pBdr>
      <w:spacing w:before="300" w:after="0"/>
      <w:outlineLvl w:val="5"/>
    </w:pPr>
    <w:rPr>
      <w:caps/>
      <w:color w:val="365F91"/>
      <w:spacing w:val="10"/>
      <w:sz w:val="22"/>
      <w:szCs w:val="22"/>
    </w:rPr>
  </w:style>
  <w:style w:type="paragraph" w:styleId="Nadpis7">
    <w:name w:val="heading 7"/>
    <w:basedOn w:val="Normln"/>
    <w:next w:val="Normln"/>
    <w:link w:val="Nadpis7Char"/>
    <w:uiPriority w:val="99"/>
    <w:qFormat/>
    <w:rsid w:val="00A565CF"/>
    <w:pPr>
      <w:spacing w:before="300" w:after="0"/>
      <w:outlineLvl w:val="6"/>
    </w:pPr>
    <w:rPr>
      <w:caps/>
      <w:color w:val="365F91"/>
      <w:spacing w:val="10"/>
      <w:sz w:val="22"/>
      <w:szCs w:val="22"/>
    </w:rPr>
  </w:style>
  <w:style w:type="paragraph" w:styleId="Nadpis8">
    <w:name w:val="heading 8"/>
    <w:basedOn w:val="Normln"/>
    <w:next w:val="Normln"/>
    <w:link w:val="Nadpis8Char"/>
    <w:uiPriority w:val="99"/>
    <w:qFormat/>
    <w:rsid w:val="00A565CF"/>
    <w:pPr>
      <w:spacing w:before="300" w:after="0"/>
      <w:outlineLvl w:val="7"/>
    </w:pPr>
    <w:rPr>
      <w:caps/>
      <w:spacing w:val="10"/>
      <w:sz w:val="18"/>
      <w:szCs w:val="18"/>
    </w:rPr>
  </w:style>
  <w:style w:type="paragraph" w:styleId="Nadpis9">
    <w:name w:val="heading 9"/>
    <w:basedOn w:val="Normln"/>
    <w:next w:val="Normln"/>
    <w:link w:val="Nadpis9Char"/>
    <w:uiPriority w:val="99"/>
    <w:qFormat/>
    <w:rsid w:val="00A565CF"/>
    <w:pPr>
      <w:spacing w:before="300" w:after="0"/>
      <w:outlineLvl w:val="8"/>
    </w:pPr>
    <w:rPr>
      <w:i/>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F55F65"/>
    <w:rPr>
      <w:rFonts w:ascii="Calibri" w:hAnsi="Calibri" w:cs="Times New Roman"/>
      <w:b/>
      <w:bCs/>
      <w:caps/>
      <w:color w:val="FFFFFF"/>
      <w:spacing w:val="15"/>
      <w:shd w:val="clear" w:color="auto" w:fill="4F81BD"/>
      <w:lang w:val="en-US" w:eastAsia="en-US"/>
    </w:rPr>
  </w:style>
  <w:style w:type="character" w:customStyle="1" w:styleId="Nadpis2Char">
    <w:name w:val="Nadpis 2 Char"/>
    <w:basedOn w:val="Standardnpsmoodstavce"/>
    <w:link w:val="Nadpis2"/>
    <w:uiPriority w:val="99"/>
    <w:rsid w:val="00F55F65"/>
    <w:rPr>
      <w:rFonts w:ascii="Calibri" w:hAnsi="Calibri" w:cs="Times New Roman"/>
      <w:caps/>
      <w:spacing w:val="15"/>
      <w:shd w:val="clear" w:color="auto" w:fill="DBE5F1"/>
      <w:lang w:val="en-US" w:eastAsia="en-US"/>
    </w:rPr>
  </w:style>
  <w:style w:type="character" w:customStyle="1" w:styleId="Nadpis3Char">
    <w:name w:val="Nadpis 3 Char"/>
    <w:basedOn w:val="Standardnpsmoodstavce"/>
    <w:link w:val="Nadpis3"/>
    <w:uiPriority w:val="99"/>
    <w:rsid w:val="00F55F65"/>
    <w:rPr>
      <w:rFonts w:ascii="Calibri" w:hAnsi="Calibri" w:cs="Times New Roman"/>
      <w:caps/>
      <w:color w:val="243F60"/>
      <w:spacing w:val="15"/>
      <w:lang w:val="en-US" w:eastAsia="en-US"/>
    </w:rPr>
  </w:style>
  <w:style w:type="character" w:customStyle="1" w:styleId="Nadpis4Char">
    <w:name w:val="Nadpis 4 Char"/>
    <w:basedOn w:val="Standardnpsmoodstavce"/>
    <w:link w:val="Nadpis4"/>
    <w:uiPriority w:val="99"/>
    <w:rsid w:val="00F55F65"/>
    <w:rPr>
      <w:rFonts w:ascii="Calibri" w:hAnsi="Calibri" w:cs="Times New Roman"/>
      <w:caps/>
      <w:color w:val="365F91"/>
      <w:spacing w:val="10"/>
      <w:lang w:val="en-US" w:eastAsia="en-US"/>
    </w:rPr>
  </w:style>
  <w:style w:type="character" w:customStyle="1" w:styleId="Nadpis5Char">
    <w:name w:val="Nadpis 5 Char"/>
    <w:basedOn w:val="Standardnpsmoodstavce"/>
    <w:link w:val="Nadpis5"/>
    <w:uiPriority w:val="99"/>
    <w:rsid w:val="00F55F65"/>
    <w:rPr>
      <w:rFonts w:ascii="Calibri" w:hAnsi="Calibri" w:cs="Times New Roman"/>
      <w:caps/>
      <w:color w:val="365F91"/>
      <w:spacing w:val="10"/>
      <w:lang w:val="en-US" w:eastAsia="en-US"/>
    </w:rPr>
  </w:style>
  <w:style w:type="character" w:customStyle="1" w:styleId="Nadpis6Char">
    <w:name w:val="Nadpis 6 Char"/>
    <w:basedOn w:val="Standardnpsmoodstavce"/>
    <w:link w:val="Nadpis6"/>
    <w:uiPriority w:val="99"/>
    <w:rsid w:val="00F55F65"/>
    <w:rPr>
      <w:rFonts w:ascii="Calibri" w:hAnsi="Calibri" w:cs="Times New Roman"/>
      <w:caps/>
      <w:color w:val="365F91"/>
      <w:spacing w:val="10"/>
      <w:lang w:val="en-US" w:eastAsia="en-US"/>
    </w:rPr>
  </w:style>
  <w:style w:type="character" w:customStyle="1" w:styleId="Nadpis7Char">
    <w:name w:val="Nadpis 7 Char"/>
    <w:basedOn w:val="Standardnpsmoodstavce"/>
    <w:link w:val="Nadpis7"/>
    <w:uiPriority w:val="99"/>
    <w:rsid w:val="00F55F65"/>
    <w:rPr>
      <w:rFonts w:ascii="Calibri" w:hAnsi="Calibri" w:cs="Times New Roman"/>
      <w:caps/>
      <w:color w:val="365F91"/>
      <w:spacing w:val="10"/>
      <w:lang w:val="en-US" w:eastAsia="en-US"/>
    </w:rPr>
  </w:style>
  <w:style w:type="character" w:customStyle="1" w:styleId="Nadpis8Char">
    <w:name w:val="Nadpis 8 Char"/>
    <w:basedOn w:val="Standardnpsmoodstavce"/>
    <w:link w:val="Nadpis8"/>
    <w:uiPriority w:val="99"/>
    <w:rsid w:val="00F55F65"/>
    <w:rPr>
      <w:rFonts w:ascii="Calibri" w:hAnsi="Calibri" w:cs="Times New Roman"/>
      <w:caps/>
      <w:spacing w:val="10"/>
      <w:sz w:val="18"/>
      <w:szCs w:val="18"/>
      <w:lang w:val="en-US" w:eastAsia="en-US"/>
    </w:rPr>
  </w:style>
  <w:style w:type="character" w:customStyle="1" w:styleId="Nadpis9Char">
    <w:name w:val="Nadpis 9 Char"/>
    <w:basedOn w:val="Standardnpsmoodstavce"/>
    <w:link w:val="Nadpis9"/>
    <w:uiPriority w:val="99"/>
    <w:rsid w:val="00F55F65"/>
    <w:rPr>
      <w:rFonts w:ascii="Calibri" w:hAnsi="Calibri" w:cs="Times New Roman"/>
      <w:i/>
      <w:caps/>
      <w:spacing w:val="10"/>
      <w:sz w:val="18"/>
      <w:szCs w:val="18"/>
      <w:lang w:val="en-US" w:eastAsia="en-US"/>
    </w:rPr>
  </w:style>
  <w:style w:type="paragraph" w:customStyle="1" w:styleId="MDSR">
    <w:name w:val="MDS ČR"/>
    <w:basedOn w:val="Normln"/>
    <w:uiPriority w:val="99"/>
    <w:rsid w:val="00A565CF"/>
    <w:pPr>
      <w:suppressAutoHyphens/>
      <w:overflowPunct w:val="0"/>
      <w:autoSpaceDE w:val="0"/>
      <w:autoSpaceDN w:val="0"/>
      <w:adjustRightInd w:val="0"/>
      <w:spacing w:before="120"/>
      <w:ind w:firstLine="567"/>
      <w:jc w:val="both"/>
      <w:textAlignment w:val="baseline"/>
    </w:pPr>
  </w:style>
  <w:style w:type="paragraph" w:styleId="Zhlav">
    <w:name w:val="header"/>
    <w:basedOn w:val="Normln"/>
    <w:link w:val="ZhlavChar"/>
    <w:uiPriority w:val="99"/>
    <w:rsid w:val="00A565CF"/>
    <w:pPr>
      <w:tabs>
        <w:tab w:val="center" w:pos="4536"/>
        <w:tab w:val="right" w:pos="9072"/>
      </w:tabs>
    </w:pPr>
    <w:rPr>
      <w:lang w:val="cs-CZ" w:eastAsia="cs-CZ"/>
    </w:rPr>
  </w:style>
  <w:style w:type="character" w:customStyle="1" w:styleId="ZhlavChar">
    <w:name w:val="Záhlaví Char"/>
    <w:basedOn w:val="Standardnpsmoodstavce"/>
    <w:link w:val="Zhlav"/>
    <w:uiPriority w:val="99"/>
    <w:rsid w:val="0000556F"/>
    <w:rPr>
      <w:rFonts w:ascii="Calibri" w:hAnsi="Calibri" w:cs="Times New Roman"/>
      <w:sz w:val="20"/>
      <w:szCs w:val="20"/>
    </w:rPr>
  </w:style>
  <w:style w:type="paragraph" w:styleId="Zpat">
    <w:name w:val="footer"/>
    <w:basedOn w:val="Normln"/>
    <w:link w:val="ZpatChar"/>
    <w:uiPriority w:val="99"/>
    <w:rsid w:val="00A565CF"/>
    <w:pPr>
      <w:tabs>
        <w:tab w:val="center" w:pos="4536"/>
        <w:tab w:val="right" w:pos="9072"/>
      </w:tabs>
    </w:pPr>
    <w:rPr>
      <w:sz w:val="24"/>
      <w:szCs w:val="24"/>
      <w:lang w:val="cs-CZ" w:eastAsia="cs-CZ"/>
    </w:rPr>
  </w:style>
  <w:style w:type="character" w:customStyle="1" w:styleId="ZpatChar">
    <w:name w:val="Zápatí Char"/>
    <w:basedOn w:val="Standardnpsmoodstavce"/>
    <w:link w:val="Zpat"/>
    <w:uiPriority w:val="99"/>
    <w:rsid w:val="0000556F"/>
    <w:rPr>
      <w:rFonts w:ascii="Calibri" w:hAnsi="Calibri" w:cs="Times New Roman"/>
      <w:sz w:val="24"/>
      <w:szCs w:val="24"/>
    </w:rPr>
  </w:style>
  <w:style w:type="paragraph" w:customStyle="1" w:styleId="BodyText1">
    <w:name w:val="Body Text1"/>
    <w:uiPriority w:val="99"/>
    <w:rsid w:val="00A565CF"/>
    <w:pPr>
      <w:spacing w:before="200" w:after="120" w:line="276" w:lineRule="auto"/>
      <w:jc w:val="both"/>
    </w:pPr>
    <w:rPr>
      <w:color w:val="000000"/>
      <w:szCs w:val="48"/>
      <w:lang w:val="en-US" w:eastAsia="en-US"/>
    </w:rPr>
  </w:style>
  <w:style w:type="paragraph" w:customStyle="1" w:styleId="Odstavecseseznamem1">
    <w:name w:val="Odstavec se seznamem1"/>
    <w:basedOn w:val="Normln"/>
    <w:uiPriority w:val="99"/>
    <w:rsid w:val="00A565CF"/>
    <w:pPr>
      <w:ind w:left="720"/>
      <w:contextualSpacing/>
    </w:pPr>
  </w:style>
  <w:style w:type="paragraph" w:styleId="Titulek">
    <w:name w:val="caption"/>
    <w:basedOn w:val="Normln"/>
    <w:next w:val="Normln"/>
    <w:uiPriority w:val="99"/>
    <w:qFormat/>
    <w:rsid w:val="00A565CF"/>
    <w:rPr>
      <w:b/>
      <w:bCs/>
      <w:color w:val="365F91"/>
      <w:sz w:val="16"/>
      <w:szCs w:val="16"/>
    </w:rPr>
  </w:style>
  <w:style w:type="paragraph" w:customStyle="1" w:styleId="Captionheading">
    <w:name w:val="Caption heading"/>
    <w:basedOn w:val="Normln"/>
    <w:uiPriority w:val="99"/>
    <w:rsid w:val="0000556F"/>
    <w:pPr>
      <w:keepNext/>
    </w:pPr>
    <w:rPr>
      <w:rFonts w:ascii="Arial" w:hAnsi="Arial"/>
      <w:b/>
      <w:color w:val="000000"/>
      <w:sz w:val="18"/>
    </w:rPr>
  </w:style>
  <w:style w:type="paragraph" w:styleId="Normlnweb">
    <w:name w:val="Normal (Web)"/>
    <w:basedOn w:val="Normln"/>
    <w:uiPriority w:val="99"/>
    <w:rsid w:val="00A565CF"/>
    <w:pPr>
      <w:spacing w:before="100" w:beforeAutospacing="1" w:after="100" w:afterAutospacing="1"/>
    </w:pPr>
  </w:style>
  <w:style w:type="paragraph" w:styleId="Zkladntext">
    <w:name w:val="Body Text"/>
    <w:aliases w:val="Textkörper Char1,Textkörper Char Char,Textkörper Char,Indent,bt,contents,body text,Starbucks Body Text,heading3,3 indent,heading31,body text1,3 indent1,heading32,body text2,3 indent2,heading33,body text3,3 indent3,heading34"/>
    <w:basedOn w:val="Normln"/>
    <w:next w:val="Normln"/>
    <w:link w:val="ZkladntextChar"/>
    <w:uiPriority w:val="99"/>
    <w:rsid w:val="00A565CF"/>
    <w:pPr>
      <w:spacing w:before="120"/>
      <w:jc w:val="both"/>
    </w:pPr>
    <w:rPr>
      <w:sz w:val="22"/>
      <w:szCs w:val="22"/>
      <w:lang w:val="cs-CZ" w:eastAsia="cs-CZ"/>
    </w:rPr>
  </w:style>
  <w:style w:type="character" w:customStyle="1" w:styleId="ZkladntextChar">
    <w:name w:val="Základní text Char"/>
    <w:aliases w:val="Textkörper Char1 Char,Textkörper Char Char Char,Textkörper Char Char1,Indent Char,bt Char,contents Char,body text Char,Starbucks Body Text Char,heading3 Char,3 indent Char,heading31 Char,body text1 Char,3 indent1 Char,heading32 Char"/>
    <w:basedOn w:val="Standardnpsmoodstavce"/>
    <w:link w:val="Zkladntext"/>
    <w:uiPriority w:val="99"/>
    <w:rsid w:val="0000556F"/>
    <w:rPr>
      <w:rFonts w:ascii="Calibri" w:hAnsi="Calibri" w:cs="Times New Roman"/>
    </w:rPr>
  </w:style>
  <w:style w:type="character" w:customStyle="1" w:styleId="BezmezerChar">
    <w:name w:val="Bez mezer Char"/>
    <w:basedOn w:val="Standardnpsmoodstavce"/>
    <w:link w:val="Bezmezer"/>
    <w:uiPriority w:val="99"/>
    <w:rsid w:val="00F55F65"/>
    <w:rPr>
      <w:rFonts w:ascii="Calibri" w:hAnsi="Calibri" w:cs="Times New Roman"/>
      <w:sz w:val="20"/>
      <w:szCs w:val="20"/>
      <w:lang w:val="en-US" w:eastAsia="en-US"/>
    </w:rPr>
  </w:style>
  <w:style w:type="paragraph" w:customStyle="1" w:styleId="Bezmezer1">
    <w:name w:val="Bez mezer1"/>
    <w:basedOn w:val="Normln"/>
    <w:uiPriority w:val="99"/>
    <w:rsid w:val="00A565CF"/>
    <w:pPr>
      <w:spacing w:before="0" w:after="0" w:line="240" w:lineRule="auto"/>
    </w:pPr>
  </w:style>
  <w:style w:type="character" w:customStyle="1" w:styleId="Zdraznnintenzivn1">
    <w:name w:val="Zdůraznění – intenzivní1"/>
    <w:uiPriority w:val="99"/>
    <w:rsid w:val="00651EC2"/>
    <w:rPr>
      <w:b/>
      <w:caps/>
      <w:color w:val="243F60"/>
      <w:spacing w:val="10"/>
    </w:rPr>
  </w:style>
  <w:style w:type="character" w:styleId="Odkaznakoment">
    <w:name w:val="annotation reference"/>
    <w:basedOn w:val="Standardnpsmoodstavce"/>
    <w:uiPriority w:val="99"/>
    <w:semiHidden/>
    <w:rsid w:val="00FB3772"/>
    <w:rPr>
      <w:rFonts w:cs="Times New Roman"/>
      <w:sz w:val="16"/>
    </w:rPr>
  </w:style>
  <w:style w:type="paragraph" w:styleId="Textkomente">
    <w:name w:val="annotation text"/>
    <w:basedOn w:val="Normln"/>
    <w:link w:val="TextkomenteChar"/>
    <w:uiPriority w:val="99"/>
    <w:semiHidden/>
    <w:rsid w:val="00A565CF"/>
  </w:style>
  <w:style w:type="character" w:customStyle="1" w:styleId="TextkomenteChar">
    <w:name w:val="Text komentáře Char"/>
    <w:basedOn w:val="Standardnpsmoodstavce"/>
    <w:link w:val="Textkomente"/>
    <w:uiPriority w:val="99"/>
    <w:semiHidden/>
    <w:rsid w:val="00B26A0C"/>
    <w:rPr>
      <w:rFonts w:ascii="Calibri" w:hAnsi="Calibri" w:cs="Times New Roman"/>
      <w:sz w:val="20"/>
      <w:szCs w:val="20"/>
      <w:lang w:val="en-US" w:eastAsia="en-US"/>
    </w:rPr>
  </w:style>
  <w:style w:type="paragraph" w:styleId="Pedmtkomente">
    <w:name w:val="annotation subject"/>
    <w:basedOn w:val="Textkomente"/>
    <w:next w:val="Textkomente"/>
    <w:link w:val="PedmtkomenteChar"/>
    <w:uiPriority w:val="99"/>
    <w:semiHidden/>
    <w:rsid w:val="00A565CF"/>
    <w:rPr>
      <w:b/>
      <w:bCs/>
    </w:rPr>
  </w:style>
  <w:style w:type="character" w:customStyle="1" w:styleId="PedmtkomenteChar">
    <w:name w:val="Předmět komentáře Char"/>
    <w:basedOn w:val="TextkomenteChar"/>
    <w:link w:val="Pedmtkomente"/>
    <w:uiPriority w:val="99"/>
    <w:semiHidden/>
    <w:rsid w:val="00B26A0C"/>
    <w:rPr>
      <w:b/>
      <w:bCs/>
    </w:rPr>
  </w:style>
  <w:style w:type="paragraph" w:styleId="Textbubliny">
    <w:name w:val="Balloon Text"/>
    <w:basedOn w:val="Normln"/>
    <w:link w:val="TextbublinyChar"/>
    <w:uiPriority w:val="99"/>
    <w:semiHidden/>
    <w:rsid w:val="00FB3772"/>
    <w:rPr>
      <w:rFonts w:ascii="Tahoma" w:hAnsi="Tahoma" w:cs="Tahoma"/>
      <w:sz w:val="16"/>
      <w:szCs w:val="16"/>
    </w:rPr>
  </w:style>
  <w:style w:type="character" w:customStyle="1" w:styleId="TextbublinyChar">
    <w:name w:val="Text bubliny Char"/>
    <w:basedOn w:val="Standardnpsmoodstavce"/>
    <w:link w:val="Textbubliny"/>
    <w:uiPriority w:val="99"/>
    <w:semiHidden/>
    <w:rsid w:val="00B26A0C"/>
    <w:rPr>
      <w:rFonts w:ascii="Times New Roman" w:hAnsi="Times New Roman" w:cs="Times New Roman"/>
      <w:sz w:val="2"/>
      <w:lang w:val="en-US" w:eastAsia="en-US"/>
    </w:rPr>
  </w:style>
  <w:style w:type="table" w:styleId="Mkatabulky">
    <w:name w:val="Table Grid"/>
    <w:aliases w:val="Deloitte table 3"/>
    <w:basedOn w:val="Normlntabulka"/>
    <w:uiPriority w:val="99"/>
    <w:rsid w:val="00AB4F60"/>
    <w:rPr>
      <w:rFonts w:ascii="Arial" w:hAnsi="Arial"/>
      <w:sz w:val="19"/>
      <w:szCs w:val="20"/>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cs="Times New Roman"/>
        <w:b/>
        <w:color w:val="FFFFFF"/>
        <w:sz w:val="19"/>
      </w:rPr>
      <w:tblPr/>
      <w:tcPr>
        <w:shd w:val="clear" w:color="auto" w:fill="72C7E7"/>
      </w:tcPr>
    </w:tblStylePr>
    <w:tblStylePr w:type="firstCol">
      <w:rPr>
        <w:rFonts w:ascii="Arial" w:hAnsi="Arial" w:cs="Times New Roman"/>
        <w:sz w:val="19"/>
      </w:rPr>
    </w:tblStylePr>
  </w:style>
  <w:style w:type="paragraph" w:styleId="Textpoznpodarou">
    <w:name w:val="footnote text"/>
    <w:basedOn w:val="Normln"/>
    <w:link w:val="TextpoznpodarouChar"/>
    <w:uiPriority w:val="99"/>
    <w:semiHidden/>
    <w:rsid w:val="00A565CF"/>
  </w:style>
  <w:style w:type="character" w:customStyle="1" w:styleId="TextpoznpodarouChar">
    <w:name w:val="Text pozn. pod čarou Char"/>
    <w:basedOn w:val="Standardnpsmoodstavce"/>
    <w:link w:val="Textpoznpodarou"/>
    <w:uiPriority w:val="99"/>
    <w:rsid w:val="00957DE6"/>
    <w:rPr>
      <w:rFonts w:ascii="Calibri" w:hAnsi="Calibri" w:cs="Times New Roman"/>
      <w:sz w:val="20"/>
      <w:szCs w:val="20"/>
      <w:lang w:val="en-US" w:eastAsia="en-US"/>
    </w:rPr>
  </w:style>
  <w:style w:type="character" w:styleId="Znakapoznpodarou">
    <w:name w:val="footnote reference"/>
    <w:basedOn w:val="Standardnpsmoodstavce"/>
    <w:uiPriority w:val="99"/>
    <w:semiHidden/>
    <w:rsid w:val="00957DE6"/>
    <w:rPr>
      <w:rFonts w:cs="Times New Roman"/>
      <w:vertAlign w:val="superscript"/>
    </w:rPr>
  </w:style>
  <w:style w:type="paragraph" w:styleId="Odstavecseseznamem">
    <w:name w:val="List Paragraph"/>
    <w:basedOn w:val="Normln"/>
    <w:uiPriority w:val="99"/>
    <w:qFormat/>
    <w:rsid w:val="00A565CF"/>
    <w:pPr>
      <w:ind w:left="720"/>
      <w:contextualSpacing/>
    </w:pPr>
  </w:style>
  <w:style w:type="character" w:customStyle="1" w:styleId="BezmezerChar1">
    <w:name w:val="Bez mezer Char1"/>
    <w:uiPriority w:val="99"/>
    <w:rsid w:val="00B73C84"/>
    <w:rPr>
      <w:rFonts w:ascii="Calibri" w:hAnsi="Calibri"/>
      <w:lang w:val="en-US"/>
    </w:rPr>
  </w:style>
  <w:style w:type="paragraph" w:styleId="Bezmezer">
    <w:name w:val="No Spacing"/>
    <w:basedOn w:val="Normln"/>
    <w:link w:val="BezmezerChar"/>
    <w:uiPriority w:val="99"/>
    <w:qFormat/>
    <w:rsid w:val="00A565CF"/>
    <w:pPr>
      <w:spacing w:before="0" w:after="0" w:line="240" w:lineRule="auto"/>
    </w:pPr>
  </w:style>
  <w:style w:type="character" w:styleId="Zdraznnintenzivn">
    <w:name w:val="Intense Emphasis"/>
    <w:basedOn w:val="Standardnpsmoodstavce"/>
    <w:uiPriority w:val="99"/>
    <w:qFormat/>
    <w:rsid w:val="00F55F65"/>
    <w:rPr>
      <w:rFonts w:cs="Times New Roman"/>
      <w:b/>
      <w:caps/>
      <w:color w:val="243F60"/>
      <w:spacing w:val="10"/>
    </w:rPr>
  </w:style>
  <w:style w:type="paragraph" w:styleId="Nzev">
    <w:name w:val="Title"/>
    <w:basedOn w:val="Normln"/>
    <w:next w:val="Normln"/>
    <w:link w:val="NzevChar"/>
    <w:uiPriority w:val="99"/>
    <w:qFormat/>
    <w:rsid w:val="00A565CF"/>
    <w:pPr>
      <w:spacing w:before="720"/>
    </w:pPr>
    <w:rPr>
      <w:caps/>
      <w:color w:val="4F81BD"/>
      <w:spacing w:val="10"/>
      <w:kern w:val="28"/>
      <w:sz w:val="52"/>
      <w:szCs w:val="52"/>
    </w:rPr>
  </w:style>
  <w:style w:type="character" w:customStyle="1" w:styleId="NzevChar">
    <w:name w:val="Název Char"/>
    <w:basedOn w:val="Standardnpsmoodstavce"/>
    <w:link w:val="Nzev"/>
    <w:uiPriority w:val="99"/>
    <w:rsid w:val="00F55F65"/>
    <w:rPr>
      <w:rFonts w:ascii="Calibri" w:hAnsi="Calibri" w:cs="Times New Roman"/>
      <w:caps/>
      <w:color w:val="4F81BD"/>
      <w:spacing w:val="10"/>
      <w:kern w:val="28"/>
      <w:sz w:val="52"/>
      <w:szCs w:val="52"/>
      <w:lang w:val="en-US" w:eastAsia="en-US"/>
    </w:rPr>
  </w:style>
  <w:style w:type="paragraph" w:styleId="Podtitul">
    <w:name w:val="Subtitle"/>
    <w:basedOn w:val="Normln"/>
    <w:next w:val="Normln"/>
    <w:link w:val="PodtitulChar"/>
    <w:uiPriority w:val="99"/>
    <w:qFormat/>
    <w:rsid w:val="00A565CF"/>
    <w:pPr>
      <w:spacing w:after="1000" w:line="240" w:lineRule="auto"/>
    </w:pPr>
    <w:rPr>
      <w:caps/>
      <w:color w:val="595959"/>
      <w:spacing w:val="10"/>
      <w:sz w:val="24"/>
      <w:szCs w:val="24"/>
    </w:rPr>
  </w:style>
  <w:style w:type="character" w:customStyle="1" w:styleId="PodtitulChar">
    <w:name w:val="Podtitul Char"/>
    <w:basedOn w:val="Standardnpsmoodstavce"/>
    <w:link w:val="Podtitul"/>
    <w:uiPriority w:val="99"/>
    <w:rsid w:val="00F55F65"/>
    <w:rPr>
      <w:rFonts w:ascii="Calibri" w:hAnsi="Calibri" w:cs="Times New Roman"/>
      <w:caps/>
      <w:color w:val="595959"/>
      <w:spacing w:val="10"/>
      <w:sz w:val="24"/>
      <w:szCs w:val="24"/>
      <w:lang w:val="en-US" w:eastAsia="en-US"/>
    </w:rPr>
  </w:style>
  <w:style w:type="character" w:styleId="Siln">
    <w:name w:val="Strong"/>
    <w:basedOn w:val="Standardnpsmoodstavce"/>
    <w:uiPriority w:val="99"/>
    <w:qFormat/>
    <w:rsid w:val="00F55F65"/>
    <w:rPr>
      <w:rFonts w:cs="Times New Roman"/>
      <w:b/>
    </w:rPr>
  </w:style>
  <w:style w:type="character" w:styleId="Zvraznn">
    <w:name w:val="Emphasis"/>
    <w:basedOn w:val="Standardnpsmoodstavce"/>
    <w:uiPriority w:val="99"/>
    <w:qFormat/>
    <w:rsid w:val="00F55F65"/>
    <w:rPr>
      <w:rFonts w:cs="Times New Roman"/>
      <w:caps/>
      <w:color w:val="243F60"/>
      <w:spacing w:val="5"/>
    </w:rPr>
  </w:style>
  <w:style w:type="paragraph" w:customStyle="1" w:styleId="Citace1">
    <w:name w:val="Citace1"/>
    <w:basedOn w:val="Normln"/>
    <w:next w:val="Normln"/>
    <w:link w:val="QuoteChar"/>
    <w:uiPriority w:val="99"/>
    <w:rsid w:val="00A565CF"/>
    <w:rPr>
      <w:i/>
      <w:iCs/>
    </w:rPr>
  </w:style>
  <w:style w:type="character" w:customStyle="1" w:styleId="QuoteChar">
    <w:name w:val="Quote Char"/>
    <w:link w:val="Citace1"/>
    <w:uiPriority w:val="99"/>
    <w:rsid w:val="00F55F65"/>
    <w:rPr>
      <w:rFonts w:ascii="Calibri" w:hAnsi="Calibri"/>
      <w:i/>
      <w:sz w:val="20"/>
      <w:lang w:val="en-US" w:eastAsia="en-US"/>
    </w:rPr>
  </w:style>
  <w:style w:type="paragraph" w:customStyle="1" w:styleId="Citaceintenzivn1">
    <w:name w:val="Citace – intenzivní1"/>
    <w:basedOn w:val="Normln"/>
    <w:next w:val="Normln"/>
    <w:link w:val="IntenseQuoteChar"/>
    <w:uiPriority w:val="99"/>
    <w:rsid w:val="00A565CF"/>
    <w:pPr>
      <w:pBdr>
        <w:top w:val="single" w:sz="4" w:space="10" w:color="4F81BD"/>
        <w:left w:val="single" w:sz="4" w:space="10" w:color="4F81BD"/>
      </w:pBdr>
      <w:spacing w:after="0"/>
      <w:ind w:left="1296" w:right="1152"/>
      <w:jc w:val="both"/>
    </w:pPr>
    <w:rPr>
      <w:i/>
      <w:iCs/>
      <w:color w:val="4F81BD"/>
    </w:rPr>
  </w:style>
  <w:style w:type="character" w:customStyle="1" w:styleId="IntenseQuoteChar">
    <w:name w:val="Intense Quote Char"/>
    <w:link w:val="Citaceintenzivn1"/>
    <w:uiPriority w:val="99"/>
    <w:rsid w:val="00F55F65"/>
    <w:rPr>
      <w:rFonts w:ascii="Calibri" w:hAnsi="Calibri"/>
      <w:i/>
      <w:color w:val="4F81BD"/>
      <w:sz w:val="20"/>
      <w:lang w:val="en-US" w:eastAsia="en-US"/>
    </w:rPr>
  </w:style>
  <w:style w:type="character" w:customStyle="1" w:styleId="Zdraznnjemn1">
    <w:name w:val="Zdůraznění – jemné1"/>
    <w:uiPriority w:val="99"/>
    <w:rsid w:val="00651EC2"/>
    <w:rPr>
      <w:i/>
      <w:color w:val="243F60"/>
    </w:rPr>
  </w:style>
  <w:style w:type="character" w:customStyle="1" w:styleId="Odkazjemn1">
    <w:name w:val="Odkaz – jemný1"/>
    <w:uiPriority w:val="99"/>
    <w:rsid w:val="00651EC2"/>
    <w:rPr>
      <w:b/>
      <w:color w:val="4F81BD"/>
    </w:rPr>
  </w:style>
  <w:style w:type="character" w:customStyle="1" w:styleId="Odkazintenzivn1">
    <w:name w:val="Odkaz – intenzivní1"/>
    <w:uiPriority w:val="99"/>
    <w:rsid w:val="00651EC2"/>
    <w:rPr>
      <w:b/>
      <w:i/>
      <w:caps/>
      <w:color w:val="4F81BD"/>
    </w:rPr>
  </w:style>
  <w:style w:type="character" w:customStyle="1" w:styleId="Nzevknihy1">
    <w:name w:val="Název knihy1"/>
    <w:uiPriority w:val="99"/>
    <w:rsid w:val="00651EC2"/>
    <w:rPr>
      <w:b/>
      <w:i/>
      <w:spacing w:val="9"/>
    </w:rPr>
  </w:style>
  <w:style w:type="paragraph" w:customStyle="1" w:styleId="Nadpisobsahu1">
    <w:name w:val="Nadpis obsahu1"/>
    <w:basedOn w:val="Nadpis1"/>
    <w:next w:val="Normln"/>
    <w:uiPriority w:val="99"/>
    <w:rsid w:val="00A565CF"/>
    <w:pPr>
      <w:outlineLvl w:val="9"/>
    </w:pPr>
  </w:style>
  <w:style w:type="paragraph" w:styleId="Obsah1">
    <w:name w:val="toc 1"/>
    <w:basedOn w:val="Normln"/>
    <w:next w:val="Normln"/>
    <w:autoRedefine/>
    <w:uiPriority w:val="99"/>
    <w:semiHidden/>
    <w:rsid w:val="00A565CF"/>
    <w:pPr>
      <w:tabs>
        <w:tab w:val="right" w:leader="dot" w:pos="9061"/>
      </w:tabs>
      <w:spacing w:before="120" w:after="0" w:line="360" w:lineRule="auto"/>
    </w:pPr>
    <w:rPr>
      <w:noProof/>
      <w:shd w:val="clear" w:color="auto" w:fill="548DD4"/>
      <w:lang w:val="cs-CZ"/>
    </w:rPr>
  </w:style>
  <w:style w:type="paragraph" w:styleId="Obsah2">
    <w:name w:val="toc 2"/>
    <w:basedOn w:val="Normln"/>
    <w:next w:val="Normln"/>
    <w:autoRedefine/>
    <w:uiPriority w:val="99"/>
    <w:semiHidden/>
    <w:rsid w:val="00A565CF"/>
    <w:pPr>
      <w:tabs>
        <w:tab w:val="right" w:leader="dot" w:pos="9061"/>
      </w:tabs>
      <w:ind w:left="200"/>
    </w:pPr>
    <w:rPr>
      <w:noProof/>
      <w:shd w:val="clear" w:color="auto" w:fill="DBE5F1"/>
      <w:lang w:val="cs-CZ"/>
    </w:rPr>
  </w:style>
  <w:style w:type="paragraph" w:styleId="Obsah3">
    <w:name w:val="toc 3"/>
    <w:basedOn w:val="Normln"/>
    <w:next w:val="Normln"/>
    <w:autoRedefine/>
    <w:uiPriority w:val="99"/>
    <w:semiHidden/>
    <w:rsid w:val="00A565CF"/>
    <w:pPr>
      <w:tabs>
        <w:tab w:val="right" w:leader="dot" w:pos="9061"/>
      </w:tabs>
      <w:spacing w:before="120" w:after="120" w:line="240" w:lineRule="auto"/>
      <w:ind w:left="403"/>
    </w:pPr>
  </w:style>
  <w:style w:type="character" w:styleId="Hypertextovodkaz">
    <w:name w:val="Hyperlink"/>
    <w:basedOn w:val="Standardnpsmoodstavce"/>
    <w:uiPriority w:val="99"/>
    <w:rsid w:val="00397F81"/>
    <w:rPr>
      <w:rFonts w:cs="Times New Roman"/>
      <w:color w:val="0000FF"/>
      <w:u w:val="single"/>
    </w:rPr>
  </w:style>
  <w:style w:type="character" w:styleId="slostrnky">
    <w:name w:val="page number"/>
    <w:basedOn w:val="Standardnpsmoodstavce"/>
    <w:uiPriority w:val="99"/>
    <w:rsid w:val="001E360F"/>
    <w:rPr>
      <w:rFonts w:cs="Times New Roman"/>
    </w:rPr>
  </w:style>
  <w:style w:type="paragraph" w:styleId="Revize">
    <w:name w:val="Revision"/>
    <w:hidden/>
    <w:uiPriority w:val="99"/>
    <w:semiHidden/>
    <w:rsid w:val="00A565CF"/>
    <w:pPr>
      <w:spacing w:before="200" w:after="200" w:line="276" w:lineRule="auto"/>
    </w:pPr>
    <w:rPr>
      <w:lang w:val="en-US" w:eastAsia="en-US"/>
    </w:rPr>
  </w:style>
  <w:style w:type="paragraph" w:styleId="Citace">
    <w:name w:val="Quote"/>
    <w:basedOn w:val="Normln"/>
    <w:next w:val="Normln"/>
    <w:link w:val="CitaceChar"/>
    <w:uiPriority w:val="99"/>
    <w:qFormat/>
    <w:rsid w:val="00A565CF"/>
    <w:rPr>
      <w:i/>
      <w:iCs/>
    </w:rPr>
  </w:style>
  <w:style w:type="character" w:customStyle="1" w:styleId="QuoteChar1">
    <w:name w:val="Quote Char1"/>
    <w:basedOn w:val="Standardnpsmoodstavce"/>
    <w:link w:val="Citace"/>
    <w:uiPriority w:val="99"/>
    <w:rsid w:val="00B26A0C"/>
    <w:rPr>
      <w:rFonts w:cs="Times New Roman"/>
      <w:i/>
      <w:iCs/>
      <w:color w:val="000000"/>
      <w:sz w:val="20"/>
      <w:szCs w:val="20"/>
      <w:lang w:val="en-US" w:eastAsia="en-US"/>
    </w:rPr>
  </w:style>
  <w:style w:type="character" w:customStyle="1" w:styleId="CitaceChar">
    <w:name w:val="Citace Char"/>
    <w:basedOn w:val="Standardnpsmoodstavce"/>
    <w:link w:val="Citace"/>
    <w:uiPriority w:val="99"/>
    <w:rsid w:val="006973C3"/>
    <w:rPr>
      <w:rFonts w:ascii="Calibri" w:hAnsi="Calibri" w:cs="Times New Roman"/>
      <w:i/>
      <w:iCs/>
      <w:sz w:val="20"/>
      <w:szCs w:val="20"/>
      <w:lang w:val="en-US" w:eastAsia="en-US"/>
    </w:rPr>
  </w:style>
  <w:style w:type="paragraph" w:styleId="Citaceintenzivn">
    <w:name w:val="Intense Quote"/>
    <w:basedOn w:val="Normln"/>
    <w:next w:val="Normln"/>
    <w:link w:val="CitaceintenzivnChar"/>
    <w:uiPriority w:val="99"/>
    <w:qFormat/>
    <w:rsid w:val="00A565CF"/>
    <w:pPr>
      <w:pBdr>
        <w:top w:val="single" w:sz="4" w:space="10" w:color="4F81BD"/>
        <w:left w:val="single" w:sz="4" w:space="10" w:color="4F81BD"/>
      </w:pBdr>
      <w:spacing w:after="0"/>
      <w:ind w:left="1296" w:right="1152"/>
      <w:jc w:val="both"/>
    </w:pPr>
    <w:rPr>
      <w:i/>
      <w:iCs/>
      <w:color w:val="4F81BD"/>
    </w:rPr>
  </w:style>
  <w:style w:type="character" w:customStyle="1" w:styleId="IntenseQuoteChar1">
    <w:name w:val="Intense Quote Char1"/>
    <w:basedOn w:val="Standardnpsmoodstavce"/>
    <w:link w:val="Citaceintenzivn"/>
    <w:uiPriority w:val="99"/>
    <w:rsid w:val="00B26A0C"/>
    <w:rPr>
      <w:rFonts w:cs="Times New Roman"/>
      <w:b/>
      <w:bCs/>
      <w:i/>
      <w:iCs/>
      <w:color w:val="4F81BD"/>
      <w:sz w:val="20"/>
      <w:szCs w:val="20"/>
      <w:lang w:val="en-US" w:eastAsia="en-US"/>
    </w:rPr>
  </w:style>
  <w:style w:type="character" w:customStyle="1" w:styleId="CitaceintenzivnChar">
    <w:name w:val="Citace – intenzivní Char"/>
    <w:basedOn w:val="Standardnpsmoodstavce"/>
    <w:link w:val="Citaceintenzivn"/>
    <w:uiPriority w:val="99"/>
    <w:rsid w:val="006973C3"/>
    <w:rPr>
      <w:rFonts w:ascii="Calibri" w:hAnsi="Calibri" w:cs="Times New Roman"/>
      <w:i/>
      <w:iCs/>
      <w:color w:val="4F81BD"/>
      <w:sz w:val="20"/>
      <w:szCs w:val="20"/>
      <w:lang w:val="en-US" w:eastAsia="en-US"/>
    </w:rPr>
  </w:style>
  <w:style w:type="character" w:styleId="Zdraznnjemn">
    <w:name w:val="Subtle Emphasis"/>
    <w:basedOn w:val="Standardnpsmoodstavce"/>
    <w:uiPriority w:val="99"/>
    <w:qFormat/>
    <w:rsid w:val="00F55F65"/>
    <w:rPr>
      <w:rFonts w:cs="Times New Roman"/>
      <w:i/>
      <w:color w:val="243F60"/>
    </w:rPr>
  </w:style>
  <w:style w:type="character" w:styleId="Odkazjemn">
    <w:name w:val="Subtle Reference"/>
    <w:basedOn w:val="Standardnpsmoodstavce"/>
    <w:uiPriority w:val="99"/>
    <w:qFormat/>
    <w:rsid w:val="00F55F65"/>
    <w:rPr>
      <w:rFonts w:cs="Times New Roman"/>
      <w:b/>
      <w:color w:val="4F81BD"/>
    </w:rPr>
  </w:style>
  <w:style w:type="character" w:styleId="Odkazintenzivn">
    <w:name w:val="Intense Reference"/>
    <w:basedOn w:val="Standardnpsmoodstavce"/>
    <w:uiPriority w:val="99"/>
    <w:qFormat/>
    <w:rsid w:val="00F55F65"/>
    <w:rPr>
      <w:rFonts w:cs="Times New Roman"/>
      <w:b/>
      <w:i/>
      <w:caps/>
      <w:color w:val="4F81BD"/>
    </w:rPr>
  </w:style>
  <w:style w:type="character" w:styleId="Nzevknihy">
    <w:name w:val="Book Title"/>
    <w:basedOn w:val="Standardnpsmoodstavce"/>
    <w:uiPriority w:val="99"/>
    <w:qFormat/>
    <w:rsid w:val="00F55F65"/>
    <w:rPr>
      <w:rFonts w:cs="Times New Roman"/>
      <w:b/>
      <w:i/>
      <w:spacing w:val="9"/>
    </w:rPr>
  </w:style>
  <w:style w:type="paragraph" w:styleId="Nadpisobsahu">
    <w:name w:val="TOC Heading"/>
    <w:basedOn w:val="Nadpis1"/>
    <w:next w:val="Normln"/>
    <w:uiPriority w:val="99"/>
    <w:qFormat/>
    <w:rsid w:val="00A565CF"/>
    <w:pPr>
      <w:outlineLvl w:val="9"/>
    </w:pPr>
  </w:style>
  <w:style w:type="paragraph" w:customStyle="1" w:styleId="slovnobrzk">
    <w:name w:val="Číslování obrázků"/>
    <w:basedOn w:val="Normln"/>
    <w:uiPriority w:val="99"/>
    <w:rsid w:val="00C9003E"/>
    <w:pPr>
      <w:widowControl w:val="0"/>
      <w:numPr>
        <w:numId w:val="40"/>
      </w:numPr>
      <w:spacing w:before="60" w:after="240" w:line="288" w:lineRule="auto"/>
      <w:jc w:val="center"/>
    </w:pPr>
    <w:rPr>
      <w:rFonts w:ascii="Arial" w:hAnsi="Arial" w:cs="Arial"/>
      <w:i/>
      <w:sz w:val="22"/>
      <w:szCs w:val="24"/>
      <w:lang w:val="cs-CZ" w:eastAsia="cs-CZ"/>
    </w:rPr>
  </w:style>
  <w:style w:type="paragraph" w:customStyle="1" w:styleId="msolistparagraph0">
    <w:name w:val="msolistparagraph"/>
    <w:basedOn w:val="Normln"/>
    <w:uiPriority w:val="99"/>
    <w:rsid w:val="00A565CF"/>
    <w:pPr>
      <w:ind w:left="720"/>
    </w:pPr>
    <w:rPr>
      <w:lang w:val="cs-CZ" w:eastAsia="cs-CZ"/>
    </w:rPr>
  </w:style>
  <w:style w:type="paragraph" w:customStyle="1" w:styleId="Default">
    <w:name w:val="Default"/>
    <w:uiPriority w:val="99"/>
    <w:rsid w:val="001D66CD"/>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199975705">
      <w:marLeft w:val="0"/>
      <w:marRight w:val="0"/>
      <w:marTop w:val="0"/>
      <w:marBottom w:val="0"/>
      <w:divBdr>
        <w:top w:val="none" w:sz="0" w:space="0" w:color="auto"/>
        <w:left w:val="none" w:sz="0" w:space="0" w:color="auto"/>
        <w:bottom w:val="none" w:sz="0" w:space="0" w:color="auto"/>
        <w:right w:val="none" w:sz="0" w:space="0" w:color="auto"/>
      </w:divBdr>
    </w:div>
    <w:div w:id="1199975706">
      <w:marLeft w:val="0"/>
      <w:marRight w:val="0"/>
      <w:marTop w:val="0"/>
      <w:marBottom w:val="0"/>
      <w:divBdr>
        <w:top w:val="none" w:sz="0" w:space="0" w:color="auto"/>
        <w:left w:val="none" w:sz="0" w:space="0" w:color="auto"/>
        <w:bottom w:val="none" w:sz="0" w:space="0" w:color="auto"/>
        <w:right w:val="none" w:sz="0" w:space="0" w:color="auto"/>
      </w:divBdr>
    </w:div>
    <w:div w:id="1199975707">
      <w:marLeft w:val="0"/>
      <w:marRight w:val="0"/>
      <w:marTop w:val="0"/>
      <w:marBottom w:val="0"/>
      <w:divBdr>
        <w:top w:val="none" w:sz="0" w:space="0" w:color="auto"/>
        <w:left w:val="none" w:sz="0" w:space="0" w:color="auto"/>
        <w:bottom w:val="none" w:sz="0" w:space="0" w:color="auto"/>
        <w:right w:val="none" w:sz="0" w:space="0" w:color="auto"/>
      </w:divBdr>
    </w:div>
    <w:div w:id="1199975708">
      <w:marLeft w:val="0"/>
      <w:marRight w:val="0"/>
      <w:marTop w:val="0"/>
      <w:marBottom w:val="0"/>
      <w:divBdr>
        <w:top w:val="none" w:sz="0" w:space="0" w:color="auto"/>
        <w:left w:val="none" w:sz="0" w:space="0" w:color="auto"/>
        <w:bottom w:val="none" w:sz="0" w:space="0" w:color="auto"/>
        <w:right w:val="none" w:sz="0" w:space="0" w:color="auto"/>
      </w:divBdr>
    </w:div>
    <w:div w:id="1199975709">
      <w:marLeft w:val="0"/>
      <w:marRight w:val="0"/>
      <w:marTop w:val="0"/>
      <w:marBottom w:val="0"/>
      <w:divBdr>
        <w:top w:val="none" w:sz="0" w:space="0" w:color="auto"/>
        <w:left w:val="none" w:sz="0" w:space="0" w:color="auto"/>
        <w:bottom w:val="none" w:sz="0" w:space="0" w:color="auto"/>
        <w:right w:val="none" w:sz="0" w:space="0" w:color="auto"/>
      </w:divBdr>
    </w:div>
    <w:div w:id="1199975711">
      <w:marLeft w:val="0"/>
      <w:marRight w:val="0"/>
      <w:marTop w:val="0"/>
      <w:marBottom w:val="0"/>
      <w:divBdr>
        <w:top w:val="none" w:sz="0" w:space="0" w:color="auto"/>
        <w:left w:val="none" w:sz="0" w:space="0" w:color="auto"/>
        <w:bottom w:val="none" w:sz="0" w:space="0" w:color="auto"/>
        <w:right w:val="none" w:sz="0" w:space="0" w:color="auto"/>
      </w:divBdr>
    </w:div>
    <w:div w:id="1199975713">
      <w:marLeft w:val="0"/>
      <w:marRight w:val="0"/>
      <w:marTop w:val="0"/>
      <w:marBottom w:val="0"/>
      <w:divBdr>
        <w:top w:val="none" w:sz="0" w:space="0" w:color="auto"/>
        <w:left w:val="none" w:sz="0" w:space="0" w:color="auto"/>
        <w:bottom w:val="none" w:sz="0" w:space="0" w:color="auto"/>
        <w:right w:val="none" w:sz="0" w:space="0" w:color="auto"/>
      </w:divBdr>
    </w:div>
    <w:div w:id="1199975714">
      <w:marLeft w:val="0"/>
      <w:marRight w:val="0"/>
      <w:marTop w:val="0"/>
      <w:marBottom w:val="0"/>
      <w:divBdr>
        <w:top w:val="none" w:sz="0" w:space="0" w:color="auto"/>
        <w:left w:val="none" w:sz="0" w:space="0" w:color="auto"/>
        <w:bottom w:val="none" w:sz="0" w:space="0" w:color="auto"/>
        <w:right w:val="none" w:sz="0" w:space="0" w:color="auto"/>
      </w:divBdr>
    </w:div>
    <w:div w:id="1199975715">
      <w:marLeft w:val="0"/>
      <w:marRight w:val="0"/>
      <w:marTop w:val="0"/>
      <w:marBottom w:val="0"/>
      <w:divBdr>
        <w:top w:val="none" w:sz="0" w:space="0" w:color="auto"/>
        <w:left w:val="none" w:sz="0" w:space="0" w:color="auto"/>
        <w:bottom w:val="none" w:sz="0" w:space="0" w:color="auto"/>
        <w:right w:val="none" w:sz="0" w:space="0" w:color="auto"/>
      </w:divBdr>
    </w:div>
    <w:div w:id="1199975716">
      <w:marLeft w:val="0"/>
      <w:marRight w:val="0"/>
      <w:marTop w:val="0"/>
      <w:marBottom w:val="0"/>
      <w:divBdr>
        <w:top w:val="none" w:sz="0" w:space="0" w:color="auto"/>
        <w:left w:val="none" w:sz="0" w:space="0" w:color="auto"/>
        <w:bottom w:val="none" w:sz="0" w:space="0" w:color="auto"/>
        <w:right w:val="none" w:sz="0" w:space="0" w:color="auto"/>
      </w:divBdr>
    </w:div>
    <w:div w:id="1199975717">
      <w:marLeft w:val="0"/>
      <w:marRight w:val="0"/>
      <w:marTop w:val="0"/>
      <w:marBottom w:val="0"/>
      <w:divBdr>
        <w:top w:val="none" w:sz="0" w:space="0" w:color="auto"/>
        <w:left w:val="none" w:sz="0" w:space="0" w:color="auto"/>
        <w:bottom w:val="none" w:sz="0" w:space="0" w:color="auto"/>
        <w:right w:val="none" w:sz="0" w:space="0" w:color="auto"/>
      </w:divBdr>
    </w:div>
    <w:div w:id="1199975718">
      <w:marLeft w:val="0"/>
      <w:marRight w:val="0"/>
      <w:marTop w:val="0"/>
      <w:marBottom w:val="0"/>
      <w:divBdr>
        <w:top w:val="none" w:sz="0" w:space="0" w:color="auto"/>
        <w:left w:val="none" w:sz="0" w:space="0" w:color="auto"/>
        <w:bottom w:val="none" w:sz="0" w:space="0" w:color="auto"/>
        <w:right w:val="none" w:sz="0" w:space="0" w:color="auto"/>
      </w:divBdr>
    </w:div>
    <w:div w:id="1199975719">
      <w:marLeft w:val="0"/>
      <w:marRight w:val="0"/>
      <w:marTop w:val="0"/>
      <w:marBottom w:val="0"/>
      <w:divBdr>
        <w:top w:val="none" w:sz="0" w:space="0" w:color="auto"/>
        <w:left w:val="none" w:sz="0" w:space="0" w:color="auto"/>
        <w:bottom w:val="none" w:sz="0" w:space="0" w:color="auto"/>
        <w:right w:val="none" w:sz="0" w:space="0" w:color="auto"/>
      </w:divBdr>
    </w:div>
    <w:div w:id="1199975720">
      <w:marLeft w:val="0"/>
      <w:marRight w:val="0"/>
      <w:marTop w:val="0"/>
      <w:marBottom w:val="0"/>
      <w:divBdr>
        <w:top w:val="none" w:sz="0" w:space="0" w:color="auto"/>
        <w:left w:val="none" w:sz="0" w:space="0" w:color="auto"/>
        <w:bottom w:val="none" w:sz="0" w:space="0" w:color="auto"/>
        <w:right w:val="none" w:sz="0" w:space="0" w:color="auto"/>
      </w:divBdr>
    </w:div>
    <w:div w:id="1199975721">
      <w:marLeft w:val="0"/>
      <w:marRight w:val="0"/>
      <w:marTop w:val="0"/>
      <w:marBottom w:val="0"/>
      <w:divBdr>
        <w:top w:val="none" w:sz="0" w:space="0" w:color="auto"/>
        <w:left w:val="none" w:sz="0" w:space="0" w:color="auto"/>
        <w:bottom w:val="none" w:sz="0" w:space="0" w:color="auto"/>
        <w:right w:val="none" w:sz="0" w:space="0" w:color="auto"/>
      </w:divBdr>
    </w:div>
    <w:div w:id="1199975722">
      <w:marLeft w:val="0"/>
      <w:marRight w:val="0"/>
      <w:marTop w:val="0"/>
      <w:marBottom w:val="0"/>
      <w:divBdr>
        <w:top w:val="none" w:sz="0" w:space="0" w:color="auto"/>
        <w:left w:val="none" w:sz="0" w:space="0" w:color="auto"/>
        <w:bottom w:val="none" w:sz="0" w:space="0" w:color="auto"/>
        <w:right w:val="none" w:sz="0" w:space="0" w:color="auto"/>
      </w:divBdr>
    </w:div>
    <w:div w:id="1199975723">
      <w:marLeft w:val="0"/>
      <w:marRight w:val="0"/>
      <w:marTop w:val="0"/>
      <w:marBottom w:val="0"/>
      <w:divBdr>
        <w:top w:val="none" w:sz="0" w:space="0" w:color="auto"/>
        <w:left w:val="none" w:sz="0" w:space="0" w:color="auto"/>
        <w:bottom w:val="none" w:sz="0" w:space="0" w:color="auto"/>
        <w:right w:val="none" w:sz="0" w:space="0" w:color="auto"/>
      </w:divBdr>
    </w:div>
    <w:div w:id="1199975725">
      <w:marLeft w:val="0"/>
      <w:marRight w:val="0"/>
      <w:marTop w:val="0"/>
      <w:marBottom w:val="0"/>
      <w:divBdr>
        <w:top w:val="none" w:sz="0" w:space="0" w:color="auto"/>
        <w:left w:val="none" w:sz="0" w:space="0" w:color="auto"/>
        <w:bottom w:val="none" w:sz="0" w:space="0" w:color="auto"/>
        <w:right w:val="none" w:sz="0" w:space="0" w:color="auto"/>
      </w:divBdr>
    </w:div>
    <w:div w:id="1199975726">
      <w:marLeft w:val="0"/>
      <w:marRight w:val="0"/>
      <w:marTop w:val="0"/>
      <w:marBottom w:val="0"/>
      <w:divBdr>
        <w:top w:val="none" w:sz="0" w:space="0" w:color="auto"/>
        <w:left w:val="none" w:sz="0" w:space="0" w:color="auto"/>
        <w:bottom w:val="none" w:sz="0" w:space="0" w:color="auto"/>
        <w:right w:val="none" w:sz="0" w:space="0" w:color="auto"/>
      </w:divBdr>
    </w:div>
    <w:div w:id="1199975727">
      <w:marLeft w:val="0"/>
      <w:marRight w:val="0"/>
      <w:marTop w:val="0"/>
      <w:marBottom w:val="0"/>
      <w:divBdr>
        <w:top w:val="none" w:sz="0" w:space="0" w:color="auto"/>
        <w:left w:val="none" w:sz="0" w:space="0" w:color="auto"/>
        <w:bottom w:val="none" w:sz="0" w:space="0" w:color="auto"/>
        <w:right w:val="none" w:sz="0" w:space="0" w:color="auto"/>
      </w:divBdr>
    </w:div>
    <w:div w:id="1199975728">
      <w:marLeft w:val="0"/>
      <w:marRight w:val="0"/>
      <w:marTop w:val="0"/>
      <w:marBottom w:val="0"/>
      <w:divBdr>
        <w:top w:val="none" w:sz="0" w:space="0" w:color="auto"/>
        <w:left w:val="none" w:sz="0" w:space="0" w:color="auto"/>
        <w:bottom w:val="none" w:sz="0" w:space="0" w:color="auto"/>
        <w:right w:val="none" w:sz="0" w:space="0" w:color="auto"/>
      </w:divBdr>
    </w:div>
    <w:div w:id="1199975729">
      <w:marLeft w:val="0"/>
      <w:marRight w:val="0"/>
      <w:marTop w:val="0"/>
      <w:marBottom w:val="0"/>
      <w:divBdr>
        <w:top w:val="none" w:sz="0" w:space="0" w:color="auto"/>
        <w:left w:val="none" w:sz="0" w:space="0" w:color="auto"/>
        <w:bottom w:val="none" w:sz="0" w:space="0" w:color="auto"/>
        <w:right w:val="none" w:sz="0" w:space="0" w:color="auto"/>
      </w:divBdr>
    </w:div>
    <w:div w:id="1199975730">
      <w:marLeft w:val="0"/>
      <w:marRight w:val="0"/>
      <w:marTop w:val="0"/>
      <w:marBottom w:val="0"/>
      <w:divBdr>
        <w:top w:val="none" w:sz="0" w:space="0" w:color="auto"/>
        <w:left w:val="none" w:sz="0" w:space="0" w:color="auto"/>
        <w:bottom w:val="none" w:sz="0" w:space="0" w:color="auto"/>
        <w:right w:val="none" w:sz="0" w:space="0" w:color="auto"/>
      </w:divBdr>
    </w:div>
    <w:div w:id="1199975731">
      <w:marLeft w:val="0"/>
      <w:marRight w:val="0"/>
      <w:marTop w:val="0"/>
      <w:marBottom w:val="0"/>
      <w:divBdr>
        <w:top w:val="none" w:sz="0" w:space="0" w:color="auto"/>
        <w:left w:val="none" w:sz="0" w:space="0" w:color="auto"/>
        <w:bottom w:val="none" w:sz="0" w:space="0" w:color="auto"/>
        <w:right w:val="none" w:sz="0" w:space="0" w:color="auto"/>
      </w:divBdr>
    </w:div>
    <w:div w:id="1199975732">
      <w:marLeft w:val="0"/>
      <w:marRight w:val="0"/>
      <w:marTop w:val="0"/>
      <w:marBottom w:val="0"/>
      <w:divBdr>
        <w:top w:val="none" w:sz="0" w:space="0" w:color="auto"/>
        <w:left w:val="none" w:sz="0" w:space="0" w:color="auto"/>
        <w:bottom w:val="none" w:sz="0" w:space="0" w:color="auto"/>
        <w:right w:val="none" w:sz="0" w:space="0" w:color="auto"/>
      </w:divBdr>
    </w:div>
    <w:div w:id="1199975733">
      <w:marLeft w:val="0"/>
      <w:marRight w:val="0"/>
      <w:marTop w:val="0"/>
      <w:marBottom w:val="0"/>
      <w:divBdr>
        <w:top w:val="none" w:sz="0" w:space="0" w:color="auto"/>
        <w:left w:val="none" w:sz="0" w:space="0" w:color="auto"/>
        <w:bottom w:val="none" w:sz="0" w:space="0" w:color="auto"/>
        <w:right w:val="none" w:sz="0" w:space="0" w:color="auto"/>
      </w:divBdr>
    </w:div>
    <w:div w:id="1199975734">
      <w:marLeft w:val="0"/>
      <w:marRight w:val="0"/>
      <w:marTop w:val="0"/>
      <w:marBottom w:val="0"/>
      <w:divBdr>
        <w:top w:val="none" w:sz="0" w:space="0" w:color="auto"/>
        <w:left w:val="none" w:sz="0" w:space="0" w:color="auto"/>
        <w:bottom w:val="none" w:sz="0" w:space="0" w:color="auto"/>
        <w:right w:val="none" w:sz="0" w:space="0" w:color="auto"/>
      </w:divBdr>
    </w:div>
    <w:div w:id="1199975735">
      <w:marLeft w:val="0"/>
      <w:marRight w:val="0"/>
      <w:marTop w:val="0"/>
      <w:marBottom w:val="0"/>
      <w:divBdr>
        <w:top w:val="none" w:sz="0" w:space="0" w:color="auto"/>
        <w:left w:val="none" w:sz="0" w:space="0" w:color="auto"/>
        <w:bottom w:val="none" w:sz="0" w:space="0" w:color="auto"/>
        <w:right w:val="none" w:sz="0" w:space="0" w:color="auto"/>
      </w:divBdr>
    </w:div>
    <w:div w:id="1199975736">
      <w:marLeft w:val="0"/>
      <w:marRight w:val="0"/>
      <w:marTop w:val="0"/>
      <w:marBottom w:val="0"/>
      <w:divBdr>
        <w:top w:val="none" w:sz="0" w:space="0" w:color="auto"/>
        <w:left w:val="none" w:sz="0" w:space="0" w:color="auto"/>
        <w:bottom w:val="none" w:sz="0" w:space="0" w:color="auto"/>
        <w:right w:val="none" w:sz="0" w:space="0" w:color="auto"/>
      </w:divBdr>
    </w:div>
    <w:div w:id="1199975737">
      <w:marLeft w:val="0"/>
      <w:marRight w:val="0"/>
      <w:marTop w:val="0"/>
      <w:marBottom w:val="0"/>
      <w:divBdr>
        <w:top w:val="none" w:sz="0" w:space="0" w:color="auto"/>
        <w:left w:val="none" w:sz="0" w:space="0" w:color="auto"/>
        <w:bottom w:val="none" w:sz="0" w:space="0" w:color="auto"/>
        <w:right w:val="none" w:sz="0" w:space="0" w:color="auto"/>
      </w:divBdr>
    </w:div>
    <w:div w:id="1199975739">
      <w:marLeft w:val="0"/>
      <w:marRight w:val="0"/>
      <w:marTop w:val="0"/>
      <w:marBottom w:val="0"/>
      <w:divBdr>
        <w:top w:val="none" w:sz="0" w:space="0" w:color="auto"/>
        <w:left w:val="none" w:sz="0" w:space="0" w:color="auto"/>
        <w:bottom w:val="none" w:sz="0" w:space="0" w:color="auto"/>
        <w:right w:val="none" w:sz="0" w:space="0" w:color="auto"/>
      </w:divBdr>
    </w:div>
    <w:div w:id="1199975740">
      <w:marLeft w:val="0"/>
      <w:marRight w:val="0"/>
      <w:marTop w:val="0"/>
      <w:marBottom w:val="0"/>
      <w:divBdr>
        <w:top w:val="none" w:sz="0" w:space="0" w:color="auto"/>
        <w:left w:val="none" w:sz="0" w:space="0" w:color="auto"/>
        <w:bottom w:val="none" w:sz="0" w:space="0" w:color="auto"/>
        <w:right w:val="none" w:sz="0" w:space="0" w:color="auto"/>
      </w:divBdr>
    </w:div>
    <w:div w:id="1199975741">
      <w:marLeft w:val="0"/>
      <w:marRight w:val="0"/>
      <w:marTop w:val="0"/>
      <w:marBottom w:val="0"/>
      <w:divBdr>
        <w:top w:val="none" w:sz="0" w:space="0" w:color="auto"/>
        <w:left w:val="none" w:sz="0" w:space="0" w:color="auto"/>
        <w:bottom w:val="none" w:sz="0" w:space="0" w:color="auto"/>
        <w:right w:val="none" w:sz="0" w:space="0" w:color="auto"/>
      </w:divBdr>
    </w:div>
    <w:div w:id="1199975743">
      <w:marLeft w:val="0"/>
      <w:marRight w:val="0"/>
      <w:marTop w:val="0"/>
      <w:marBottom w:val="0"/>
      <w:divBdr>
        <w:top w:val="none" w:sz="0" w:space="0" w:color="auto"/>
        <w:left w:val="none" w:sz="0" w:space="0" w:color="auto"/>
        <w:bottom w:val="none" w:sz="0" w:space="0" w:color="auto"/>
        <w:right w:val="none" w:sz="0" w:space="0" w:color="auto"/>
      </w:divBdr>
    </w:div>
    <w:div w:id="1199975745">
      <w:marLeft w:val="0"/>
      <w:marRight w:val="0"/>
      <w:marTop w:val="0"/>
      <w:marBottom w:val="0"/>
      <w:divBdr>
        <w:top w:val="none" w:sz="0" w:space="0" w:color="auto"/>
        <w:left w:val="none" w:sz="0" w:space="0" w:color="auto"/>
        <w:bottom w:val="none" w:sz="0" w:space="0" w:color="auto"/>
        <w:right w:val="none" w:sz="0" w:space="0" w:color="auto"/>
      </w:divBdr>
    </w:div>
    <w:div w:id="1199975746">
      <w:marLeft w:val="0"/>
      <w:marRight w:val="0"/>
      <w:marTop w:val="0"/>
      <w:marBottom w:val="0"/>
      <w:divBdr>
        <w:top w:val="none" w:sz="0" w:space="0" w:color="auto"/>
        <w:left w:val="none" w:sz="0" w:space="0" w:color="auto"/>
        <w:bottom w:val="none" w:sz="0" w:space="0" w:color="auto"/>
        <w:right w:val="none" w:sz="0" w:space="0" w:color="auto"/>
      </w:divBdr>
      <w:divsChild>
        <w:div w:id="1199975712">
          <w:marLeft w:val="0"/>
          <w:marRight w:val="0"/>
          <w:marTop w:val="0"/>
          <w:marBottom w:val="0"/>
          <w:divBdr>
            <w:top w:val="none" w:sz="0" w:space="0" w:color="auto"/>
            <w:left w:val="none" w:sz="0" w:space="0" w:color="auto"/>
            <w:bottom w:val="none" w:sz="0" w:space="0" w:color="auto"/>
            <w:right w:val="none" w:sz="0" w:space="0" w:color="auto"/>
          </w:divBdr>
          <w:divsChild>
            <w:div w:id="1199975710">
              <w:marLeft w:val="0"/>
              <w:marRight w:val="0"/>
              <w:marTop w:val="0"/>
              <w:marBottom w:val="0"/>
              <w:divBdr>
                <w:top w:val="none" w:sz="0" w:space="0" w:color="auto"/>
                <w:left w:val="none" w:sz="0" w:space="0" w:color="auto"/>
                <w:bottom w:val="none" w:sz="0" w:space="0" w:color="auto"/>
                <w:right w:val="none" w:sz="0" w:space="0" w:color="auto"/>
              </w:divBdr>
            </w:div>
          </w:divsChild>
        </w:div>
        <w:div w:id="1199975738">
          <w:marLeft w:val="0"/>
          <w:marRight w:val="0"/>
          <w:marTop w:val="0"/>
          <w:marBottom w:val="0"/>
          <w:divBdr>
            <w:top w:val="none" w:sz="0" w:space="0" w:color="auto"/>
            <w:left w:val="none" w:sz="0" w:space="0" w:color="auto"/>
            <w:bottom w:val="none" w:sz="0" w:space="0" w:color="auto"/>
            <w:right w:val="none" w:sz="0" w:space="0" w:color="auto"/>
          </w:divBdr>
          <w:divsChild>
            <w:div w:id="1199975724">
              <w:marLeft w:val="0"/>
              <w:marRight w:val="0"/>
              <w:marTop w:val="0"/>
              <w:marBottom w:val="0"/>
              <w:divBdr>
                <w:top w:val="none" w:sz="0" w:space="0" w:color="auto"/>
                <w:left w:val="none" w:sz="0" w:space="0" w:color="auto"/>
                <w:bottom w:val="none" w:sz="0" w:space="0" w:color="auto"/>
                <w:right w:val="none" w:sz="0" w:space="0" w:color="auto"/>
              </w:divBdr>
            </w:div>
          </w:divsChild>
        </w:div>
        <w:div w:id="1199975742">
          <w:marLeft w:val="0"/>
          <w:marRight w:val="0"/>
          <w:marTop w:val="0"/>
          <w:marBottom w:val="0"/>
          <w:divBdr>
            <w:top w:val="none" w:sz="0" w:space="0" w:color="auto"/>
            <w:left w:val="none" w:sz="0" w:space="0" w:color="auto"/>
            <w:bottom w:val="none" w:sz="0" w:space="0" w:color="auto"/>
            <w:right w:val="none" w:sz="0" w:space="0" w:color="auto"/>
          </w:divBdr>
          <w:divsChild>
            <w:div w:id="119997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75747">
      <w:marLeft w:val="0"/>
      <w:marRight w:val="0"/>
      <w:marTop w:val="0"/>
      <w:marBottom w:val="0"/>
      <w:divBdr>
        <w:top w:val="none" w:sz="0" w:space="0" w:color="auto"/>
        <w:left w:val="none" w:sz="0" w:space="0" w:color="auto"/>
        <w:bottom w:val="none" w:sz="0" w:space="0" w:color="auto"/>
        <w:right w:val="none" w:sz="0" w:space="0" w:color="auto"/>
      </w:divBdr>
    </w:div>
    <w:div w:id="11999757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64</Pages>
  <Words>18916</Words>
  <Characters>111608</Characters>
  <Application>Microsoft Office Word</Application>
  <DocSecurity>0</DocSecurity>
  <Lines>930</Lines>
  <Paragraphs>260</Paragraphs>
  <ScaleCrop>false</ScaleCrop>
  <HeadingPairs>
    <vt:vector size="2" baseType="variant">
      <vt:variant>
        <vt:lpstr>Název</vt:lpstr>
      </vt:variant>
      <vt:variant>
        <vt:i4>1</vt:i4>
      </vt:variant>
    </vt:vector>
  </HeadingPairs>
  <TitlesOfParts>
    <vt:vector size="1" baseType="lpstr">
      <vt:lpstr>III</vt:lpstr>
    </vt:vector>
  </TitlesOfParts>
  <Company>MD</Company>
  <LinksUpToDate>false</LinksUpToDate>
  <CharactersWithSpaces>130264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III</dc:title>
  <dc:subject/>
  <dc:creator>Václav KRUMPHANZL</dc:creator>
  <cp:keywords/>
  <dc:description/>
  <cp:lastModifiedBy>Václav KRUMPHANZL</cp:lastModifiedBy>
  <cp:revision>9</cp:revision>
  <cp:lastPrinted>2013-11-14T11:30:00Z</cp:lastPrinted>
  <dcterms:created xsi:type="dcterms:W3CDTF">2013-10-24T16:36:00Z</dcterms:created>
  <dcterms:modified xsi:type="dcterms:W3CDTF">2013-11-14T11:30:00Z</dcterms:modified>
</cp:coreProperties>
</file>