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5" w:type="pct"/>
        <w:tblBorders>
          <w:bottom w:val="single" w:sz="4" w:space="0" w:color="72C7E7"/>
          <w:insideH w:val="single" w:sz="4" w:space="0" w:color="72C7E7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24"/>
        <w:gridCol w:w="991"/>
        <w:gridCol w:w="1265"/>
        <w:gridCol w:w="958"/>
        <w:gridCol w:w="535"/>
        <w:gridCol w:w="1266"/>
        <w:gridCol w:w="467"/>
        <w:gridCol w:w="573"/>
        <w:gridCol w:w="626"/>
        <w:gridCol w:w="1267"/>
        <w:gridCol w:w="2605"/>
        <w:gridCol w:w="2412"/>
        <w:gridCol w:w="2553"/>
        <w:gridCol w:w="2412"/>
        <w:gridCol w:w="850"/>
        <w:gridCol w:w="1057"/>
      </w:tblGrid>
      <w:tr w:rsidR="000C2333" w:rsidRPr="00C72D9C" w:rsidTr="000B0982">
        <w:trPr>
          <w:trHeight w:val="599"/>
        </w:trPr>
        <w:tc>
          <w:tcPr>
            <w:tcW w:w="1915" w:type="dxa"/>
            <w:gridSpan w:val="2"/>
            <w:vMerge w:val="restart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rPr>
                <w:b/>
                <w:color w:val="FFFFFF"/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br w:type="page"/>
            </w:r>
          </w:p>
          <w:p w:rsidR="000D5FF8" w:rsidRPr="00A327BF" w:rsidRDefault="000D5FF8" w:rsidP="004D27C1">
            <w:pPr>
              <w:spacing w:before="0" w:after="0" w:line="240" w:lineRule="auto"/>
              <w:rPr>
                <w:b/>
                <w:color w:val="FFFFFF"/>
                <w:sz w:val="16"/>
                <w:szCs w:val="16"/>
                <w:lang w:val="cs-CZ"/>
              </w:rPr>
            </w:pPr>
            <w:r w:rsidRPr="00A327BF">
              <w:rPr>
                <w:b/>
                <w:color w:val="FFFFFF"/>
                <w:sz w:val="16"/>
                <w:szCs w:val="16"/>
                <w:lang w:val="cs-CZ"/>
              </w:rPr>
              <w:t>Způsob zpoplatnění</w:t>
            </w:r>
          </w:p>
        </w:tc>
        <w:tc>
          <w:tcPr>
            <w:tcW w:w="6957" w:type="dxa"/>
            <w:gridSpan w:val="8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 w:rsidRPr="00A327BF">
              <w:rPr>
                <w:b/>
                <w:color w:val="FFFFFF"/>
                <w:sz w:val="16"/>
                <w:szCs w:val="16"/>
                <w:lang w:val="cs-CZ"/>
              </w:rPr>
              <w:t>Časové</w:t>
            </w:r>
            <w:r w:rsidRPr="00A327BF">
              <w:rPr>
                <w:b/>
                <w:color w:val="FFFFFF"/>
                <w:sz w:val="16"/>
                <w:szCs w:val="16"/>
                <w:lang w:val="cs-CZ"/>
              </w:rPr>
              <w:br/>
              <w:t>(Dálnice, rychlostní silnice a vybrané úseky silnic I. třídy zpoplatněny vždy výkonově)</w:t>
            </w:r>
          </w:p>
        </w:tc>
        <w:tc>
          <w:tcPr>
            <w:tcW w:w="11889" w:type="dxa"/>
            <w:gridSpan w:val="6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 w:rsidRPr="00A327BF">
              <w:rPr>
                <w:b/>
                <w:color w:val="FFFFFF"/>
                <w:sz w:val="16"/>
                <w:szCs w:val="16"/>
                <w:lang w:val="cs-CZ"/>
              </w:rPr>
              <w:t>Výkonové</w:t>
            </w:r>
          </w:p>
        </w:tc>
      </w:tr>
      <w:tr w:rsidR="00FA7DE5" w:rsidRPr="00C72D9C" w:rsidTr="000B0982">
        <w:trPr>
          <w:trHeight w:val="598"/>
        </w:trPr>
        <w:tc>
          <w:tcPr>
            <w:tcW w:w="1915" w:type="dxa"/>
            <w:gridSpan w:val="2"/>
            <w:vMerge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1265" w:type="dxa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1493" w:type="dxa"/>
            <w:gridSpan w:val="2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  <w:tc>
          <w:tcPr>
            <w:tcW w:w="1266" w:type="dxa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1040" w:type="dxa"/>
            <w:gridSpan w:val="2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  <w:tc>
          <w:tcPr>
            <w:tcW w:w="626" w:type="dxa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1267" w:type="dxa"/>
            <w:shd w:val="clear" w:color="auto" w:fill="72C7E7"/>
          </w:tcPr>
          <w:p w:rsidR="000D5FF8" w:rsidRPr="00A327BF" w:rsidRDefault="000D5FF8" w:rsidP="004D27C1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  <w:tc>
          <w:tcPr>
            <w:tcW w:w="2605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2412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  <w:tc>
          <w:tcPr>
            <w:tcW w:w="2553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2412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  <w:tc>
          <w:tcPr>
            <w:tcW w:w="850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Výhody</w:t>
            </w:r>
          </w:p>
        </w:tc>
        <w:tc>
          <w:tcPr>
            <w:tcW w:w="1057" w:type="dxa"/>
            <w:shd w:val="clear" w:color="auto" w:fill="72C7E7"/>
          </w:tcPr>
          <w:p w:rsidR="000D5FF8" w:rsidRPr="00A327BF" w:rsidRDefault="000D5FF8" w:rsidP="00193646">
            <w:pPr>
              <w:spacing w:before="0" w:after="0" w:line="240" w:lineRule="auto"/>
              <w:jc w:val="center"/>
              <w:rPr>
                <w:b/>
                <w:color w:val="FFFFFF"/>
                <w:sz w:val="16"/>
                <w:szCs w:val="16"/>
                <w:lang w:val="cs-CZ"/>
              </w:rPr>
            </w:pPr>
            <w:r>
              <w:rPr>
                <w:b/>
                <w:color w:val="FFFFFF"/>
                <w:sz w:val="16"/>
                <w:szCs w:val="16"/>
                <w:lang w:val="cs-CZ"/>
              </w:rPr>
              <w:t>Nevýhody</w:t>
            </w:r>
          </w:p>
        </w:tc>
      </w:tr>
      <w:tr w:rsidR="000C2333" w:rsidRPr="00C72D9C" w:rsidTr="000B0982">
        <w:trPr>
          <w:trHeight w:val="1002"/>
        </w:trPr>
        <w:tc>
          <w:tcPr>
            <w:tcW w:w="1915" w:type="dxa"/>
            <w:gridSpan w:val="2"/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Požadavek na zachování stávajícího systému</w:t>
            </w:r>
          </w:p>
        </w:tc>
        <w:tc>
          <w:tcPr>
            <w:tcW w:w="4491" w:type="dxa"/>
            <w:gridSpan w:val="5"/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ANO</w:t>
            </w:r>
          </w:p>
        </w:tc>
        <w:tc>
          <w:tcPr>
            <w:tcW w:w="1199" w:type="dxa"/>
            <w:gridSpan w:val="2"/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NE</w:t>
            </w:r>
          </w:p>
        </w:tc>
        <w:tc>
          <w:tcPr>
            <w:tcW w:w="1267" w:type="dxa"/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Volitelné</w:t>
            </w:r>
          </w:p>
        </w:tc>
        <w:tc>
          <w:tcPr>
            <w:tcW w:w="5017" w:type="dxa"/>
            <w:gridSpan w:val="2"/>
            <w:tcBorders>
              <w:bottom w:val="single" w:sz="4" w:space="0" w:color="72C7E7"/>
            </w:tcBorders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ANO</w:t>
            </w:r>
          </w:p>
        </w:tc>
        <w:tc>
          <w:tcPr>
            <w:tcW w:w="4965" w:type="dxa"/>
            <w:gridSpan w:val="2"/>
            <w:tcBorders>
              <w:bottom w:val="single" w:sz="4" w:space="0" w:color="72C7E7"/>
            </w:tcBorders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NE</w:t>
            </w:r>
          </w:p>
        </w:tc>
        <w:tc>
          <w:tcPr>
            <w:tcW w:w="1907" w:type="dxa"/>
            <w:gridSpan w:val="2"/>
            <w:tcBorders>
              <w:bottom w:val="single" w:sz="4" w:space="0" w:color="72C7E7"/>
            </w:tcBorders>
            <w:shd w:val="clear" w:color="auto" w:fill="FFFFFF"/>
          </w:tcPr>
          <w:p w:rsidR="004D27C1" w:rsidRPr="00A327BF" w:rsidRDefault="004D27C1" w:rsidP="004D27C1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Volitelné</w:t>
            </w:r>
          </w:p>
        </w:tc>
      </w:tr>
      <w:tr w:rsidR="000C2333" w:rsidRPr="00C72D9C" w:rsidTr="000B0982">
        <w:trPr>
          <w:trHeight w:val="1080"/>
        </w:trPr>
        <w:tc>
          <w:tcPr>
            <w:tcW w:w="924" w:type="dxa"/>
            <w:vMerge w:val="restart"/>
          </w:tcPr>
          <w:p w:rsidR="006E76FF" w:rsidRPr="00A327BF" w:rsidRDefault="006E76FF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Varianta I</w:t>
            </w:r>
          </w:p>
        </w:tc>
        <w:tc>
          <w:tcPr>
            <w:tcW w:w="991" w:type="dxa"/>
            <w:vMerge w:val="restart"/>
          </w:tcPr>
          <w:p w:rsidR="006E76FF" w:rsidRPr="00A327BF" w:rsidRDefault="006E76FF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D+R+VUSI</w:t>
            </w:r>
          </w:p>
        </w:tc>
        <w:tc>
          <w:tcPr>
            <w:tcW w:w="4491" w:type="dxa"/>
            <w:gridSpan w:val="5"/>
            <w:vMerge w:val="restart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199" w:type="dxa"/>
            <w:gridSpan w:val="2"/>
            <w:vMerge w:val="restart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267" w:type="dxa"/>
            <w:vMerge w:val="restart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2605" w:type="dxa"/>
            <w:tcBorders>
              <w:top w:val="single" w:sz="4" w:space="0" w:color="72C7E7"/>
            </w:tcBorders>
            <w:shd w:val="clear" w:color="auto" w:fill="99CC00"/>
          </w:tcPr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a standardizovaná technologie, plně funkční systém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01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bez dodatečných investic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soutěží se pouze služby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BC5C46" w:rsidRDefault="00BC5C46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6E76FF" w:rsidRPr="00BC5C46" w:rsidRDefault="00BC5C46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účinnost stávajícího SEM</w:t>
            </w:r>
          </w:p>
        </w:tc>
        <w:tc>
          <w:tcPr>
            <w:tcW w:w="2412" w:type="dxa"/>
            <w:tcBorders>
              <w:top w:val="single" w:sz="4" w:space="0" w:color="72C7E7"/>
            </w:tcBorders>
            <w:shd w:val="clear" w:color="auto" w:fill="99CC00"/>
          </w:tcPr>
          <w:p w:rsidR="006E76FF" w:rsidRDefault="006E76FF" w:rsidP="006E76FF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bez dodatečných příjmů v případě realizační varianty 0</w:t>
            </w:r>
          </w:p>
          <w:p w:rsidR="006E76FF" w:rsidRDefault="006E76FF" w:rsidP="006E76FF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bez významného růstového a vývojové potenciálu při realizační variantě 0</w:t>
            </w:r>
          </w:p>
          <w:p w:rsidR="006E76FF" w:rsidRPr="00C96299" w:rsidRDefault="006E76FF" w:rsidP="00C96299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hrozba obtížného převzetí SEM</w:t>
            </w:r>
          </w:p>
        </w:tc>
        <w:tc>
          <w:tcPr>
            <w:tcW w:w="4965" w:type="dxa"/>
            <w:gridSpan w:val="2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1907" w:type="dxa"/>
            <w:gridSpan w:val="2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</w:tr>
      <w:tr w:rsidR="000C2333" w:rsidRPr="00C72D9C" w:rsidTr="000B0982">
        <w:trPr>
          <w:trHeight w:val="1080"/>
        </w:trPr>
        <w:tc>
          <w:tcPr>
            <w:tcW w:w="924" w:type="dxa"/>
            <w:vMerge/>
          </w:tcPr>
          <w:p w:rsidR="006E76FF" w:rsidRPr="00A327BF" w:rsidRDefault="006E76FF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991" w:type="dxa"/>
            <w:vMerge/>
          </w:tcPr>
          <w:p w:rsidR="006E76FF" w:rsidRPr="00A327BF" w:rsidRDefault="006E76FF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4491" w:type="dxa"/>
            <w:gridSpan w:val="5"/>
            <w:vMerge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199" w:type="dxa"/>
            <w:gridSpan w:val="2"/>
            <w:vMerge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267" w:type="dxa"/>
            <w:vMerge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5017" w:type="dxa"/>
            <w:gridSpan w:val="2"/>
            <w:tcBorders>
              <w:top w:val="single" w:sz="4" w:space="0" w:color="72C7E7"/>
            </w:tcBorders>
            <w:shd w:val="clear" w:color="auto" w:fill="99CC00"/>
          </w:tcPr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kumulativní peněžní toky ve výši 107,4 mld. Kč při realizační variantě 0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kumulativní peněžní toky ve výši 118,8 mld. Kč při realizační variantě 01</w:t>
            </w:r>
          </w:p>
          <w:p w:rsidR="006E76F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varianty bez značných rizik (</w:t>
            </w:r>
            <w:r w:rsidR="000C2333">
              <w:rPr>
                <w:sz w:val="16"/>
                <w:szCs w:val="16"/>
                <w:lang w:val="cs-CZ"/>
              </w:rPr>
              <w:t xml:space="preserve">hodnota rizik </w:t>
            </w:r>
            <w:r>
              <w:rPr>
                <w:sz w:val="16"/>
                <w:szCs w:val="16"/>
                <w:lang w:val="cs-CZ"/>
              </w:rPr>
              <w:t>9 při</w:t>
            </w:r>
            <w:r w:rsidR="000C2333">
              <w:rPr>
                <w:sz w:val="16"/>
                <w:szCs w:val="16"/>
                <w:lang w:val="cs-CZ"/>
              </w:rPr>
              <w:t xml:space="preserve"> realizační variantě 0 a 23</w:t>
            </w:r>
            <w:r>
              <w:rPr>
                <w:sz w:val="16"/>
                <w:szCs w:val="16"/>
                <w:lang w:val="cs-CZ"/>
              </w:rPr>
              <w:t xml:space="preserve"> při </w:t>
            </w:r>
            <w:r w:rsidR="000C2333">
              <w:rPr>
                <w:sz w:val="16"/>
                <w:szCs w:val="16"/>
                <w:lang w:val="cs-CZ"/>
              </w:rPr>
              <w:t xml:space="preserve">realizační variantě </w:t>
            </w:r>
            <w:r>
              <w:rPr>
                <w:sz w:val="16"/>
                <w:szCs w:val="16"/>
                <w:lang w:val="cs-CZ"/>
              </w:rPr>
              <w:t>01)</w:t>
            </w:r>
          </w:p>
          <w:p w:rsidR="006E76FF" w:rsidRPr="00A327BF" w:rsidRDefault="006E76FF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cca 21% při realizační variantě 0 a 20% při realizační variantě 01</w:t>
            </w:r>
          </w:p>
        </w:tc>
        <w:tc>
          <w:tcPr>
            <w:tcW w:w="4965" w:type="dxa"/>
            <w:gridSpan w:val="2"/>
            <w:tcBorders>
              <w:bottom w:val="single" w:sz="4" w:space="0" w:color="72C7E7"/>
            </w:tcBorders>
            <w:shd w:val="clear" w:color="auto" w:fill="FFCC99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907" w:type="dxa"/>
            <w:gridSpan w:val="2"/>
            <w:tcBorders>
              <w:bottom w:val="single" w:sz="4" w:space="0" w:color="72C7E7"/>
            </w:tcBorders>
            <w:shd w:val="clear" w:color="auto" w:fill="FFCC99"/>
            <w:vAlign w:val="center"/>
          </w:tcPr>
          <w:p w:rsidR="006E76FF" w:rsidRPr="00A327BF" w:rsidRDefault="006E76FF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</w:tr>
      <w:tr w:rsidR="000B0982" w:rsidRPr="00C72D9C" w:rsidTr="000B0982">
        <w:trPr>
          <w:trHeight w:val="353"/>
        </w:trPr>
        <w:tc>
          <w:tcPr>
            <w:tcW w:w="924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Varianta II</w:t>
            </w:r>
          </w:p>
        </w:tc>
        <w:tc>
          <w:tcPr>
            <w:tcW w:w="991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D+R+1000</w:t>
            </w:r>
          </w:p>
        </w:tc>
        <w:tc>
          <w:tcPr>
            <w:tcW w:w="4491" w:type="dxa"/>
            <w:gridSpan w:val="5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199" w:type="dxa"/>
            <w:gridSpan w:val="2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267" w:type="dxa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2605" w:type="dxa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a standardizovaná technologie, plně funkční systém (pokud nedojde ke zpoplatnění silnic I. třídy technologií GNSS/CN - varianta BH)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01 a BH (2 – 3 mld. Kč)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0B0982" w:rsidRPr="00BC5C46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účinnost stávajícího SEM</w:t>
            </w:r>
          </w:p>
        </w:tc>
        <w:tc>
          <w:tcPr>
            <w:tcW w:w="2412" w:type="dxa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bez významného růstového a vývojové potenciálu při realizační variantě 0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soutěží se služby na provoz stávajícího SEM a služby a dodávka nového SEM na vybraných silnicích I. třídy (GNSS/CN)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využití dvou technologií (DSRC a GNSS/CN) v rámci hybridního řešení s sebou </w:t>
            </w:r>
            <w:proofErr w:type="gramStart"/>
            <w:r>
              <w:rPr>
                <w:sz w:val="16"/>
                <w:szCs w:val="16"/>
                <w:lang w:val="cs-CZ"/>
              </w:rPr>
              <w:t>přináší</w:t>
            </w:r>
            <w:proofErr w:type="gramEnd"/>
            <w:r>
              <w:rPr>
                <w:sz w:val="16"/>
                <w:szCs w:val="16"/>
                <w:lang w:val="cs-CZ"/>
              </w:rPr>
              <w:t xml:space="preserve"> drahé hybridní </w:t>
            </w:r>
            <w:proofErr w:type="gramStart"/>
            <w:r>
              <w:rPr>
                <w:sz w:val="16"/>
                <w:szCs w:val="16"/>
                <w:lang w:val="cs-CZ"/>
              </w:rPr>
              <w:t>OBE</w:t>
            </w:r>
            <w:proofErr w:type="gramEnd"/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počáteční investice (dva paralelní systémy)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investice do dopravního značení</w:t>
            </w:r>
          </w:p>
          <w:p w:rsidR="000B0982" w:rsidRPr="00C96299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nejistá míra účinnosti systému GNSS/CN</w:t>
            </w:r>
          </w:p>
        </w:tc>
        <w:tc>
          <w:tcPr>
            <w:tcW w:w="2553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Pr="00FA7DE5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při tomto rozsahu dojde s největší pravděpodobností k dodání SEM, který bude založen na jediné technologii GNSS/CN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01 a B (2 – 3 mld. Kč)</w:t>
            </w:r>
          </w:p>
          <w:p w:rsidR="000B0982" w:rsidRPr="002B2DF9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nižší dodatečné náklady při dalším rozšiřování SEM</w:t>
            </w:r>
          </w:p>
        </w:tc>
        <w:tc>
          <w:tcPr>
            <w:tcW w:w="2412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při nevyužití stávajícího SEM – znehodnocená investice v řádech několika mld. Kč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technologie GNSS/CN není plně standardizována a tolik spolehlivá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značné investice do satelitních OBE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hrozba obtížného převzetí SEM v případě jeho využití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při využití obou technologií se soutěží služby (DSRC) a dodávka a služby (GNSS/CN)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složitý přechod na nový SEM v případě nevyužití stávajícího SEM</w:t>
            </w:r>
          </w:p>
          <w:p w:rsidR="000B0982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krátkodobá implementace EETS</w:t>
            </w:r>
          </w:p>
          <w:p w:rsidR="000B0982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nejistá míra účinnosti nového SEM</w:t>
            </w:r>
          </w:p>
          <w:p w:rsidR="000B0982" w:rsidRPr="00FA7DE5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náklady na likvidaci starého SEM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72C7E7"/>
              <w:left w:val="single" w:sz="4" w:space="0" w:color="72C7E7"/>
            </w:tcBorders>
            <w:shd w:val="clear" w:color="auto" w:fill="99CC00"/>
            <w:vAlign w:val="center"/>
          </w:tcPr>
          <w:p w:rsidR="000B0982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</w:t>
            </w:r>
            <w:r w:rsidRPr="002B2DF9">
              <w:rPr>
                <w:sz w:val="16"/>
                <w:szCs w:val="16"/>
                <w:lang w:val="cs-CZ"/>
              </w:rPr>
              <w:t>ýhody a nevýhody vyplynou ze zvolené varianty využití či nevyužití stávajícího Systému elektronického mýta</w:t>
            </w:r>
          </w:p>
          <w:p w:rsidR="000B0982" w:rsidRPr="00A327BF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výhodou je také možnost srovnání nabídek různého technologického řešení</w:t>
            </w:r>
          </w:p>
        </w:tc>
      </w:tr>
      <w:tr w:rsidR="000B0982" w:rsidRPr="00C72D9C" w:rsidTr="000B0982">
        <w:trPr>
          <w:trHeight w:val="353"/>
        </w:trPr>
        <w:tc>
          <w:tcPr>
            <w:tcW w:w="924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991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4491" w:type="dxa"/>
            <w:gridSpan w:val="5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199" w:type="dxa"/>
            <w:gridSpan w:val="2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267" w:type="dxa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5017" w:type="dxa"/>
            <w:gridSpan w:val="2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kumulativní peněžní toky ve výši 107,4 mld. Kč při realizační variantě 0 s předpokládaným nárůstem o příjem ze zpoplatnění silnic I. třídy ve výši 2 -3 mld. Kč ročně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118,8 mld. Kč při realizační variantě 01 s předpokládaným nárůstem o příjem ze zpoplatnění silnic I. třídy ve výši 2 -3 mld. Kč</w:t>
            </w:r>
            <w:r>
              <w:rPr>
                <w:sz w:val="16"/>
                <w:szCs w:val="16"/>
                <w:lang w:val="cs-CZ"/>
              </w:rPr>
              <w:t xml:space="preserve"> ročně</w:t>
            </w:r>
          </w:p>
          <w:p w:rsidR="000B0982" w:rsidRPr="002B2DF9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38,9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BS</w:t>
            </w:r>
          </w:p>
          <w:p w:rsidR="000B0982" w:rsidRPr="002B2DF9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43,6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BH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u této varianty nelze specifikovat všechna rizika, avšak se pohybují v rozmezí realizační varianty 0, 01 až B – BH, BS</w:t>
            </w:r>
          </w:p>
          <w:p w:rsidR="000B0982" w:rsidRPr="00A327BF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cca 20 % (nelze blíže specifikovat)</w:t>
            </w:r>
          </w:p>
        </w:tc>
        <w:tc>
          <w:tcPr>
            <w:tcW w:w="4965" w:type="dxa"/>
            <w:gridSpan w:val="2"/>
            <w:tcBorders>
              <w:right w:val="single" w:sz="4" w:space="0" w:color="72C7E7"/>
            </w:tcBorders>
            <w:shd w:val="clear" w:color="auto" w:fill="99CC00"/>
          </w:tcPr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kumulativní peněžní toky ve výši 107,4 mld. Kč při realizační variantě 0 s předpokládaným nárůstem o příjem ze zpoplatnění silnic I. třídy ve výši 2 -3 mld. Kč</w:t>
            </w:r>
            <w:r w:rsidRPr="002B2DF9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>ročně</w:t>
            </w:r>
          </w:p>
          <w:p w:rsidR="000B0982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118,8 mld. Kč při realizační variantě 01 s předpokládaným nárůstem o příjem ze zpoplatnění silnic I. třídy ve výši 2 -3 mld. Kč</w:t>
            </w:r>
            <w:r>
              <w:rPr>
                <w:sz w:val="16"/>
                <w:szCs w:val="16"/>
                <w:lang w:val="cs-CZ"/>
              </w:rPr>
              <w:t xml:space="preserve"> ročně</w:t>
            </w:r>
          </w:p>
          <w:p w:rsidR="000B0982" w:rsidRPr="002B2DF9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38,9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BS</w:t>
            </w:r>
          </w:p>
          <w:p w:rsidR="000B0982" w:rsidRPr="002B2DF9" w:rsidRDefault="000B0982" w:rsidP="00FA7DE5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43,6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BH</w:t>
            </w:r>
          </w:p>
          <w:p w:rsidR="000B0982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u této varianty nelze specifikovat všechna rizika, avšak se pohybují v rozmezí realizační varianty 0, 01 až B – BH, BS</w:t>
            </w:r>
          </w:p>
          <w:p w:rsidR="000B0982" w:rsidRPr="00A327BF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cca 20% (nelze blíže specifikovat)</w:t>
            </w:r>
          </w:p>
        </w:tc>
        <w:tc>
          <w:tcPr>
            <w:tcW w:w="1907" w:type="dxa"/>
            <w:gridSpan w:val="2"/>
            <w:vMerge/>
            <w:tcBorders>
              <w:left w:val="single" w:sz="4" w:space="0" w:color="72C7E7"/>
            </w:tcBorders>
            <w:shd w:val="clear" w:color="auto" w:fill="99CC00"/>
          </w:tcPr>
          <w:p w:rsidR="000B0982" w:rsidRPr="00A327BF" w:rsidRDefault="000B0982" w:rsidP="000D5FF8">
            <w:pPr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sz w:val="16"/>
                <w:szCs w:val="16"/>
                <w:lang w:val="cs-CZ"/>
              </w:rPr>
            </w:pPr>
          </w:p>
        </w:tc>
      </w:tr>
      <w:tr w:rsidR="000B0982" w:rsidRPr="00C72D9C" w:rsidTr="000B0982">
        <w:trPr>
          <w:trHeight w:val="353"/>
        </w:trPr>
        <w:tc>
          <w:tcPr>
            <w:tcW w:w="924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Varianta III</w:t>
            </w:r>
          </w:p>
        </w:tc>
        <w:tc>
          <w:tcPr>
            <w:tcW w:w="991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D+R+SI</w:t>
            </w:r>
          </w:p>
        </w:tc>
        <w:tc>
          <w:tcPr>
            <w:tcW w:w="2223" w:type="dxa"/>
            <w:gridSpan w:val="2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ověřená a standardizovaná technologie, plně funkční </w:t>
            </w:r>
            <w:r>
              <w:rPr>
                <w:sz w:val="16"/>
                <w:szCs w:val="16"/>
                <w:lang w:val="cs-CZ"/>
              </w:rPr>
              <w:lastRenderedPageBreak/>
              <w:t>systém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efektivní způsob časového zpoplatnění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dostatečná distribuční sít silničních kupónů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A</w:t>
            </w:r>
          </w:p>
          <w:p w:rsidR="000B0982" w:rsidRDefault="000B0982" w:rsidP="00C96299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0B0982" w:rsidRPr="00BC5C46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ověřená účinnost stávajícího SEM </w:t>
            </w:r>
          </w:p>
        </w:tc>
        <w:tc>
          <w:tcPr>
            <w:tcW w:w="2268" w:type="dxa"/>
            <w:gridSpan w:val="3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>bez významného růstového a vývojové potenciálu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>nesystémový přístup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hrozba obtížného převzetí SEM</w:t>
            </w:r>
          </w:p>
          <w:p w:rsidR="000B0982" w:rsidRPr="00A327BF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investice do dopravního značení při realizační variantě A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lastRenderedPageBreak/>
              <w:t>N</w:t>
            </w:r>
          </w:p>
        </w:tc>
        <w:tc>
          <w:tcPr>
            <w:tcW w:w="1267" w:type="dxa"/>
            <w:vMerge w:val="restart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2605" w:type="dxa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a standardizovaná technologie, plně funkční systém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 xml:space="preserve">dodatečné příjmy při realizační variantě BH 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růstový a vývojový potenciál 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0B0982" w:rsidRPr="00BC5C46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ověřená účinnost stávajícího SEM </w:t>
            </w:r>
          </w:p>
          <w:p w:rsidR="000B0982" w:rsidRPr="00A327BF" w:rsidRDefault="000B0982" w:rsidP="00E674C3">
            <w:pPr>
              <w:spacing w:before="0" w:after="0" w:line="240" w:lineRule="auto"/>
              <w:ind w:left="125"/>
              <w:rPr>
                <w:sz w:val="16"/>
                <w:szCs w:val="16"/>
                <w:lang w:val="cs-CZ"/>
              </w:rPr>
            </w:pPr>
          </w:p>
        </w:tc>
        <w:tc>
          <w:tcPr>
            <w:tcW w:w="2412" w:type="dxa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>hrozba obtížného převzetí SEM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>soutěží se služby na provoz stávajícího SEM a služby a dodávka nového SEM na silnicích I. třídy (GNSS/CN)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dvou technologií (DSRC a GNSS/CN) v rámci hybridního řešení s sebou přináší drahé hybridní OBE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počáteční investice (dva paralelní systémy)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investice do dopravního značení</w:t>
            </w:r>
          </w:p>
          <w:p w:rsidR="000B0982" w:rsidRPr="00941BF0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nejistá míra účinnosti systému GNSS/CN</w:t>
            </w:r>
          </w:p>
        </w:tc>
        <w:tc>
          <w:tcPr>
            <w:tcW w:w="2553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Pr="00FA7DE5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 xml:space="preserve">při tomto rozsahu dojde s největší pravděpodobností </w:t>
            </w:r>
            <w:r>
              <w:rPr>
                <w:sz w:val="16"/>
                <w:szCs w:val="16"/>
                <w:lang w:val="cs-CZ"/>
              </w:rPr>
              <w:lastRenderedPageBreak/>
              <w:t>k dodání SEM, který bude založen na technologii GNSS/CN (není plně standardizována a není tolik spolehlivá)</w:t>
            </w:r>
          </w:p>
          <w:p w:rsidR="000B0982" w:rsidRPr="002B2DF9" w:rsidRDefault="000B0982" w:rsidP="00FC653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BS</w:t>
            </w:r>
          </w:p>
        </w:tc>
        <w:tc>
          <w:tcPr>
            <w:tcW w:w="2412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lastRenderedPageBreak/>
              <w:t xml:space="preserve">při nevyužití stávajícího SEM – znehodnocená investice </w:t>
            </w:r>
            <w:r>
              <w:rPr>
                <w:sz w:val="16"/>
                <w:szCs w:val="16"/>
                <w:lang w:val="cs-CZ"/>
              </w:rPr>
              <w:lastRenderedPageBreak/>
              <w:t>v řádech několika mld. Kč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počáteční investice do SEM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vysoká pořizovací cena satelitních OBE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investice do dopravního značení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složitý přechod na nový SEM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krátkodobá implementace EETS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nejistá míra účinnosti nového SEM</w:t>
            </w:r>
          </w:p>
          <w:p w:rsidR="000B0982" w:rsidRPr="00FA7DE5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náklady na likvidaci starého SEM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72C7E7"/>
              <w:left w:val="single" w:sz="4" w:space="0" w:color="72C7E7"/>
            </w:tcBorders>
            <w:shd w:val="clear" w:color="auto" w:fill="99CC00"/>
            <w:vAlign w:val="center"/>
          </w:tcPr>
          <w:p w:rsidR="000B0982" w:rsidRPr="000B0982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</w:pPr>
            <w:r>
              <w:rPr>
                <w:sz w:val="16"/>
                <w:szCs w:val="16"/>
                <w:lang w:val="cs-CZ"/>
              </w:rPr>
              <w:lastRenderedPageBreak/>
              <w:t>v</w:t>
            </w:r>
            <w:r w:rsidRPr="002B2DF9">
              <w:rPr>
                <w:sz w:val="16"/>
                <w:szCs w:val="16"/>
                <w:lang w:val="cs-CZ"/>
              </w:rPr>
              <w:t xml:space="preserve">ýhody a nevýhody </w:t>
            </w:r>
            <w:r w:rsidRPr="002B2DF9">
              <w:rPr>
                <w:sz w:val="16"/>
                <w:szCs w:val="16"/>
                <w:lang w:val="cs-CZ"/>
              </w:rPr>
              <w:lastRenderedPageBreak/>
              <w:t>vyplynou ze zvolené varianty využití či nevyužití stávajícího Systému elektronického mýta</w:t>
            </w:r>
          </w:p>
          <w:p w:rsidR="000B0982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</w:pPr>
            <w:r>
              <w:rPr>
                <w:sz w:val="16"/>
                <w:szCs w:val="16"/>
                <w:lang w:val="cs-CZ"/>
              </w:rPr>
              <w:t>výhodou je také možnost srovnání nabídek různého technologického řešení</w:t>
            </w:r>
          </w:p>
        </w:tc>
      </w:tr>
      <w:tr w:rsidR="000B0982" w:rsidRPr="00C72D9C" w:rsidTr="000B0982">
        <w:trPr>
          <w:trHeight w:val="353"/>
        </w:trPr>
        <w:tc>
          <w:tcPr>
            <w:tcW w:w="924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991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4491" w:type="dxa"/>
            <w:gridSpan w:val="5"/>
            <w:tcBorders>
              <w:top w:val="single" w:sz="4" w:space="0" w:color="72C7E7"/>
            </w:tcBorders>
            <w:shd w:val="clear" w:color="auto" w:fill="99CC00"/>
          </w:tcPr>
          <w:p w:rsidR="000B0982" w:rsidRPr="00C96299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 w:rsidRPr="00C96299">
              <w:rPr>
                <w:sz w:val="16"/>
                <w:szCs w:val="16"/>
                <w:lang w:val="cs-CZ"/>
              </w:rPr>
              <w:t>kumulativní peněžní toky ve výši 116,3 mld. Kč při realizační variantě A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varianta s významným počtem rizik (46)</w:t>
            </w:r>
          </w:p>
          <w:p w:rsidR="000B0982" w:rsidRPr="00A327BF" w:rsidRDefault="000B0982" w:rsidP="00C96299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realizační varianty cca 20%</w:t>
            </w:r>
          </w:p>
        </w:tc>
        <w:tc>
          <w:tcPr>
            <w:tcW w:w="1199" w:type="dxa"/>
            <w:gridSpan w:val="2"/>
            <w:vMerge/>
            <w:shd w:val="clear" w:color="auto" w:fill="FFCC99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267" w:type="dxa"/>
            <w:vMerge/>
            <w:shd w:val="clear" w:color="auto" w:fill="FFCC99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5017" w:type="dxa"/>
            <w:gridSpan w:val="2"/>
            <w:shd w:val="clear" w:color="auto" w:fill="99CC00"/>
          </w:tcPr>
          <w:p w:rsidR="000B0982" w:rsidRPr="002B2DF9" w:rsidRDefault="000B0982" w:rsidP="00FC653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43,6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BH</w:t>
            </w:r>
          </w:p>
          <w:p w:rsidR="000B0982" w:rsidRPr="002B2DF9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variant</w:t>
            </w:r>
            <w:r>
              <w:rPr>
                <w:sz w:val="16"/>
                <w:szCs w:val="16"/>
                <w:lang w:val="cs-CZ"/>
              </w:rPr>
              <w:t>a</w:t>
            </w:r>
            <w:r w:rsidRPr="002B2DF9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 xml:space="preserve">se značnými riziky </w:t>
            </w:r>
            <w:r w:rsidRPr="002B2DF9">
              <w:rPr>
                <w:sz w:val="16"/>
                <w:szCs w:val="16"/>
                <w:lang w:val="cs-CZ"/>
              </w:rPr>
              <w:t>(</w:t>
            </w:r>
            <w:r>
              <w:rPr>
                <w:sz w:val="16"/>
                <w:szCs w:val="16"/>
                <w:lang w:val="cs-CZ"/>
              </w:rPr>
              <w:t>hodnota rizik 51)</w:t>
            </w:r>
          </w:p>
          <w:p w:rsidR="000B0982" w:rsidRPr="00A327BF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cca 18% při realizační variantě BH</w:t>
            </w:r>
          </w:p>
        </w:tc>
        <w:tc>
          <w:tcPr>
            <w:tcW w:w="4965" w:type="dxa"/>
            <w:gridSpan w:val="2"/>
            <w:tcBorders>
              <w:right w:val="single" w:sz="4" w:space="0" w:color="72C7E7"/>
            </w:tcBorders>
            <w:shd w:val="clear" w:color="auto" w:fill="99CC00"/>
          </w:tcPr>
          <w:p w:rsidR="000B0982" w:rsidRPr="002B2DF9" w:rsidRDefault="000B0982" w:rsidP="00FC6536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38,9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BS</w:t>
            </w:r>
          </w:p>
          <w:p w:rsidR="000B0982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variant</w:t>
            </w:r>
            <w:r>
              <w:rPr>
                <w:sz w:val="16"/>
                <w:szCs w:val="16"/>
                <w:lang w:val="cs-CZ"/>
              </w:rPr>
              <w:t>a</w:t>
            </w:r>
            <w:r w:rsidRPr="002B2DF9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 xml:space="preserve">se značnými riziky </w:t>
            </w:r>
            <w:r w:rsidRPr="002B2DF9">
              <w:rPr>
                <w:sz w:val="16"/>
                <w:szCs w:val="16"/>
                <w:lang w:val="cs-CZ"/>
              </w:rPr>
              <w:t>(</w:t>
            </w:r>
            <w:r>
              <w:rPr>
                <w:sz w:val="16"/>
                <w:szCs w:val="16"/>
                <w:lang w:val="cs-CZ"/>
              </w:rPr>
              <w:t>hodnota rizik 51)</w:t>
            </w:r>
          </w:p>
          <w:p w:rsidR="000B0982" w:rsidRPr="00A327BF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cca 21%</w:t>
            </w:r>
          </w:p>
        </w:tc>
        <w:tc>
          <w:tcPr>
            <w:tcW w:w="1907" w:type="dxa"/>
            <w:gridSpan w:val="2"/>
            <w:vMerge/>
            <w:tcBorders>
              <w:left w:val="single" w:sz="4" w:space="0" w:color="72C7E7"/>
            </w:tcBorders>
            <w:shd w:val="clear" w:color="auto" w:fill="99CC00"/>
          </w:tcPr>
          <w:p w:rsidR="000B0982" w:rsidRPr="00A327BF" w:rsidRDefault="000B0982" w:rsidP="000D5FF8">
            <w:pPr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sz w:val="16"/>
                <w:szCs w:val="16"/>
                <w:lang w:val="cs-CZ"/>
              </w:rPr>
            </w:pPr>
          </w:p>
        </w:tc>
      </w:tr>
      <w:tr w:rsidR="000B0982" w:rsidRPr="00C72D9C" w:rsidTr="000B0982">
        <w:trPr>
          <w:trHeight w:val="496"/>
        </w:trPr>
        <w:tc>
          <w:tcPr>
            <w:tcW w:w="924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Varianta IV</w:t>
            </w:r>
          </w:p>
        </w:tc>
        <w:tc>
          <w:tcPr>
            <w:tcW w:w="991" w:type="dxa"/>
            <w:vMerge w:val="restart"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D+R+SI+VUSII-III</w:t>
            </w:r>
          </w:p>
        </w:tc>
        <w:tc>
          <w:tcPr>
            <w:tcW w:w="4491" w:type="dxa"/>
            <w:gridSpan w:val="5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199" w:type="dxa"/>
            <w:gridSpan w:val="2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1267" w:type="dxa"/>
            <w:vMerge w:val="restart"/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X</w:t>
            </w:r>
          </w:p>
        </w:tc>
        <w:tc>
          <w:tcPr>
            <w:tcW w:w="2605" w:type="dxa"/>
            <w:tcBorders>
              <w:top w:val="single" w:sz="4" w:space="0" w:color="72C7E7"/>
              <w:bottom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a standardizovaná technologie, plně funkční systém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BH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růstový a vývojový potenciál</w:t>
            </w:r>
          </w:p>
          <w:p w:rsidR="000B0982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0B0982" w:rsidRPr="00BC5C46" w:rsidRDefault="000B0982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ověřená účinnost stávajícího SEM </w:t>
            </w:r>
          </w:p>
          <w:p w:rsidR="000B0982" w:rsidRPr="00A327BF" w:rsidRDefault="000B0982" w:rsidP="00E674C3">
            <w:pPr>
              <w:spacing w:before="0" w:after="0" w:line="240" w:lineRule="auto"/>
              <w:ind w:left="125"/>
              <w:rPr>
                <w:sz w:val="16"/>
                <w:szCs w:val="16"/>
                <w:lang w:val="cs-CZ"/>
              </w:rPr>
            </w:pPr>
          </w:p>
        </w:tc>
        <w:tc>
          <w:tcPr>
            <w:tcW w:w="2412" w:type="dxa"/>
            <w:tcBorders>
              <w:top w:val="single" w:sz="4" w:space="0" w:color="72C7E7"/>
            </w:tcBorders>
            <w:shd w:val="clear" w:color="auto" w:fill="99CC00"/>
          </w:tcPr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hrozba obtížného převzetí SEM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soutěží se služby na provoz stávajícího SEM a služby a dodávka nového SEM na silnicích I. třídy a vybraných úseků silnic II. a III. třídy (GNSS/CN)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dvou technologií (DSRC a GNSS/CN) v rámci hybridního řešení s sebou přináší drahé hybridní OBE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počáteční investice (dva paralelní systémy)</w:t>
            </w:r>
          </w:p>
          <w:p w:rsidR="000B0982" w:rsidRPr="00941BF0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investice do dopravního značení</w:t>
            </w:r>
          </w:p>
        </w:tc>
        <w:tc>
          <w:tcPr>
            <w:tcW w:w="2553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Pr="00FA7DE5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při tomto rozsahu dojde s největší pravděpodobností k dodání SEM, který bude založen na technologii GNSS/CN (není plně standardizována a není tolik spolehlivá)</w:t>
            </w:r>
          </w:p>
          <w:p w:rsidR="000B0982" w:rsidRPr="002B2DF9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BS</w:t>
            </w:r>
          </w:p>
        </w:tc>
        <w:tc>
          <w:tcPr>
            <w:tcW w:w="2412" w:type="dxa"/>
            <w:tcBorders>
              <w:top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při nevyužití stávajícího SEM – znehodnocená investice v řádech několika mld. Kč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počáteční investice do SEM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vysoká pořizovací cena satelitních OBE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významné investice do dopravního značení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složitý přechod na nový SEM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krátkodobá implementace EETS</w:t>
            </w:r>
          </w:p>
          <w:p w:rsidR="000B0982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nejistá míra účinnosti nového SEM</w:t>
            </w:r>
          </w:p>
          <w:p w:rsidR="000B0982" w:rsidRPr="00FA7DE5" w:rsidRDefault="000B0982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náklady na likvidaci starého SEM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72C7E7"/>
              <w:left w:val="single" w:sz="4" w:space="0" w:color="72C7E7"/>
            </w:tcBorders>
            <w:shd w:val="clear" w:color="auto" w:fill="99CC00"/>
            <w:vAlign w:val="center"/>
          </w:tcPr>
          <w:p w:rsidR="000B0982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</w:t>
            </w:r>
            <w:r w:rsidRPr="002B2DF9">
              <w:rPr>
                <w:sz w:val="16"/>
                <w:szCs w:val="16"/>
                <w:lang w:val="cs-CZ"/>
              </w:rPr>
              <w:t>ýhody a nevýhody vyplynou ze zvolené varianty využití či nevyužití stávajícího Systému elektronického mýta</w:t>
            </w:r>
          </w:p>
          <w:p w:rsidR="000B0982" w:rsidRPr="00A327BF" w:rsidRDefault="000B0982" w:rsidP="000B0982">
            <w:pPr>
              <w:numPr>
                <w:ilvl w:val="0"/>
                <w:numId w:val="1"/>
              </w:numPr>
              <w:tabs>
                <w:tab w:val="clear" w:pos="720"/>
                <w:tab w:val="num" w:pos="283"/>
              </w:tabs>
              <w:spacing w:before="0" w:after="0" w:line="240" w:lineRule="auto"/>
              <w:ind w:left="283" w:hanging="142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výhodou je také možnost srovnání nabídek různého technologického řešení</w:t>
            </w:r>
          </w:p>
        </w:tc>
      </w:tr>
      <w:tr w:rsidR="000B0982" w:rsidRPr="00C72D9C" w:rsidTr="000B0982">
        <w:trPr>
          <w:trHeight w:val="496"/>
        </w:trPr>
        <w:tc>
          <w:tcPr>
            <w:tcW w:w="924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991" w:type="dxa"/>
            <w:vMerge/>
          </w:tcPr>
          <w:p w:rsidR="000B0982" w:rsidRPr="00A327BF" w:rsidRDefault="000B0982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4491" w:type="dxa"/>
            <w:gridSpan w:val="5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199" w:type="dxa"/>
            <w:gridSpan w:val="2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267" w:type="dxa"/>
            <w:vMerge/>
            <w:tcBorders>
              <w:bottom w:val="single" w:sz="4" w:space="0" w:color="72C7E7"/>
            </w:tcBorders>
            <w:vAlign w:val="center"/>
          </w:tcPr>
          <w:p w:rsidR="000B0982" w:rsidRPr="00A327BF" w:rsidRDefault="000B0982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5017" w:type="dxa"/>
            <w:gridSpan w:val="2"/>
            <w:tcBorders>
              <w:top w:val="single" w:sz="4" w:space="0" w:color="72C7E7"/>
              <w:bottom w:val="single" w:sz="4" w:space="0" w:color="72C7E7"/>
            </w:tcBorders>
            <w:shd w:val="clear" w:color="auto" w:fill="99CC00"/>
          </w:tcPr>
          <w:p w:rsidR="000B0982" w:rsidRPr="00941BF0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 w:rsidRPr="00941BF0">
              <w:rPr>
                <w:sz w:val="16"/>
                <w:szCs w:val="16"/>
                <w:lang w:val="cs-CZ"/>
              </w:rPr>
              <w:t>kumulativní peněžní toky ve výši 143,6 mld. Kč při realizační variantě BH (nelze předpokládat značné příjmy ze zpoplatnění vybraných úseků silnic II. a III. třídy</w:t>
            </w:r>
          </w:p>
          <w:p w:rsidR="000B0982" w:rsidRPr="002B2DF9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variant</w:t>
            </w:r>
            <w:r>
              <w:rPr>
                <w:sz w:val="16"/>
                <w:szCs w:val="16"/>
                <w:lang w:val="cs-CZ"/>
              </w:rPr>
              <w:t>a</w:t>
            </w:r>
            <w:r w:rsidRPr="002B2DF9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 xml:space="preserve">se značnými riziky </w:t>
            </w:r>
            <w:r w:rsidRPr="002B2DF9">
              <w:rPr>
                <w:sz w:val="16"/>
                <w:szCs w:val="16"/>
                <w:lang w:val="cs-CZ"/>
              </w:rPr>
              <w:t>(</w:t>
            </w:r>
            <w:r>
              <w:rPr>
                <w:sz w:val="16"/>
                <w:szCs w:val="16"/>
                <w:lang w:val="cs-CZ"/>
              </w:rPr>
              <w:t>hodnota rizik 51 pro variantu BH na silnicích I. třídy – hodnota rizik při zpoplatnění vybraných úseků silnic II. a III. třídy značně naroste)</w:t>
            </w:r>
          </w:p>
          <w:p w:rsidR="000B0982" w:rsidRPr="00A327BF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nákladovou efektivitu nelze přesněji odhadnout, avšak bude hodně přes 25%, neboť zpoplatnění silnic II. a III. třídy není ekonomicky efektivní</w:t>
            </w:r>
          </w:p>
        </w:tc>
        <w:tc>
          <w:tcPr>
            <w:tcW w:w="4965" w:type="dxa"/>
            <w:gridSpan w:val="2"/>
            <w:tcBorders>
              <w:bottom w:val="single" w:sz="4" w:space="0" w:color="72C7E7"/>
              <w:right w:val="single" w:sz="4" w:space="0" w:color="72C7E7"/>
            </w:tcBorders>
            <w:shd w:val="clear" w:color="auto" w:fill="99CC00"/>
          </w:tcPr>
          <w:p w:rsidR="000B0982" w:rsidRPr="002B2DF9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kumulativní peněžní toky ve výši 1</w:t>
            </w:r>
            <w:r>
              <w:rPr>
                <w:sz w:val="16"/>
                <w:szCs w:val="16"/>
                <w:lang w:val="cs-CZ"/>
              </w:rPr>
              <w:t>38,9</w:t>
            </w:r>
            <w:r w:rsidRPr="002B2DF9">
              <w:rPr>
                <w:sz w:val="16"/>
                <w:szCs w:val="16"/>
                <w:lang w:val="cs-CZ"/>
              </w:rPr>
              <w:t xml:space="preserve"> mld. Kč při realizační variantě </w:t>
            </w:r>
            <w:r>
              <w:rPr>
                <w:sz w:val="16"/>
                <w:szCs w:val="16"/>
                <w:lang w:val="cs-CZ"/>
              </w:rPr>
              <w:t>BS (nelze předpokládat značné příjmy ze zpoplatnění vybraných úseků silnic II. a III. třídy</w:t>
            </w:r>
          </w:p>
          <w:p w:rsidR="000B0982" w:rsidRPr="002B2DF9" w:rsidRDefault="000B0982" w:rsidP="000C2333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 w:rsidRPr="002B2DF9">
              <w:rPr>
                <w:sz w:val="16"/>
                <w:szCs w:val="16"/>
                <w:lang w:val="cs-CZ"/>
              </w:rPr>
              <w:t>variant</w:t>
            </w:r>
            <w:r>
              <w:rPr>
                <w:sz w:val="16"/>
                <w:szCs w:val="16"/>
                <w:lang w:val="cs-CZ"/>
              </w:rPr>
              <w:t>a</w:t>
            </w:r>
            <w:r w:rsidRPr="002B2DF9">
              <w:rPr>
                <w:sz w:val="16"/>
                <w:szCs w:val="16"/>
                <w:lang w:val="cs-CZ"/>
              </w:rPr>
              <w:t xml:space="preserve"> </w:t>
            </w:r>
            <w:r>
              <w:rPr>
                <w:sz w:val="16"/>
                <w:szCs w:val="16"/>
                <w:lang w:val="cs-CZ"/>
              </w:rPr>
              <w:t xml:space="preserve">se značnými riziky </w:t>
            </w:r>
            <w:r w:rsidRPr="002B2DF9">
              <w:rPr>
                <w:sz w:val="16"/>
                <w:szCs w:val="16"/>
                <w:lang w:val="cs-CZ"/>
              </w:rPr>
              <w:t>(</w:t>
            </w:r>
            <w:r>
              <w:rPr>
                <w:sz w:val="16"/>
                <w:szCs w:val="16"/>
                <w:lang w:val="cs-CZ"/>
              </w:rPr>
              <w:t>hodnota rizik 51 pro variantu BS na silnicích I. třídy – hodnota rizik při zpoplatnění vybraných úseků silnic II. a III. třídy značně naroste)</w:t>
            </w:r>
          </w:p>
          <w:p w:rsidR="000B0982" w:rsidRPr="00A327BF" w:rsidRDefault="000B0982" w:rsidP="00941BF0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0" w:after="0" w:line="240" w:lineRule="auto"/>
              <w:ind w:left="396" w:hanging="283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nákladovou efektivitu nelze přesněji odhadnout, avšak bude hodně přes 25%, neboť zpoplatnění silnic II. a III. třídy není ekonomicky efektivní</w:t>
            </w:r>
          </w:p>
        </w:tc>
        <w:tc>
          <w:tcPr>
            <w:tcW w:w="1907" w:type="dxa"/>
            <w:gridSpan w:val="2"/>
            <w:vMerge/>
            <w:tcBorders>
              <w:left w:val="single" w:sz="4" w:space="0" w:color="72C7E7"/>
              <w:bottom w:val="single" w:sz="4" w:space="0" w:color="72C7E7"/>
            </w:tcBorders>
            <w:shd w:val="clear" w:color="auto" w:fill="99CC00"/>
            <w:vAlign w:val="center"/>
          </w:tcPr>
          <w:p w:rsidR="000B0982" w:rsidRDefault="000B0982" w:rsidP="002B2DF9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</w:tr>
      <w:tr w:rsidR="000C2333" w:rsidRPr="00C72D9C" w:rsidTr="000B0982">
        <w:trPr>
          <w:trHeight w:val="353"/>
        </w:trPr>
        <w:tc>
          <w:tcPr>
            <w:tcW w:w="924" w:type="dxa"/>
            <w:vMerge w:val="restart"/>
          </w:tcPr>
          <w:p w:rsidR="00941BF0" w:rsidRPr="00A327BF" w:rsidRDefault="00941BF0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Varianta V</w:t>
            </w:r>
          </w:p>
        </w:tc>
        <w:tc>
          <w:tcPr>
            <w:tcW w:w="991" w:type="dxa"/>
            <w:vMerge w:val="restart"/>
          </w:tcPr>
          <w:p w:rsidR="00941BF0" w:rsidRPr="00A327BF" w:rsidRDefault="00941BF0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D+R+SI-III</w:t>
            </w:r>
          </w:p>
        </w:tc>
        <w:tc>
          <w:tcPr>
            <w:tcW w:w="2223" w:type="dxa"/>
            <w:gridSpan w:val="2"/>
            <w:tcBorders>
              <w:top w:val="single" w:sz="4" w:space="0" w:color="72C7E7"/>
              <w:bottom w:val="single" w:sz="4" w:space="0" w:color="72C7E7"/>
            </w:tcBorders>
            <w:shd w:val="clear" w:color="auto" w:fill="99CC00"/>
          </w:tcPr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ověřená a standardizovaná technologie, plně funkční systém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efektivní způsob časového zpoplatnění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dostatečná distribuční sít silničních kupónů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dodatečné příjmy při realizační variantě A</w:t>
            </w:r>
          </w:p>
          <w:p w:rsidR="00941BF0" w:rsidRDefault="00941BF0" w:rsidP="00C96299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implementace EETS</w:t>
            </w:r>
          </w:p>
          <w:p w:rsidR="00BC5C46" w:rsidRDefault="00BC5C46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využití stávajícího majetku České republiky</w:t>
            </w:r>
          </w:p>
          <w:p w:rsidR="00BC5C46" w:rsidRPr="00BC5C46" w:rsidRDefault="00BC5C46" w:rsidP="00BC5C46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ověřená účinnost stávajícího SEM </w:t>
            </w:r>
          </w:p>
        </w:tc>
        <w:tc>
          <w:tcPr>
            <w:tcW w:w="2268" w:type="dxa"/>
            <w:gridSpan w:val="3"/>
            <w:tcBorders>
              <w:top w:val="single" w:sz="4" w:space="0" w:color="72C7E7"/>
            </w:tcBorders>
            <w:shd w:val="clear" w:color="auto" w:fill="99CC00"/>
          </w:tcPr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bez významného růstového a vývojové potenciálu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nesystémový přístup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hrozba obtížného převzetí SEM</w:t>
            </w:r>
          </w:p>
          <w:p w:rsidR="00941BF0" w:rsidRPr="00A327BF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367"/>
              </w:tabs>
              <w:spacing w:before="0" w:after="0" w:line="240" w:lineRule="auto"/>
              <w:ind w:left="367" w:hanging="284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investice do dopravního značení při realizační variantě A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1267" w:type="dxa"/>
            <w:vMerge w:val="restart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5017" w:type="dxa"/>
            <w:gridSpan w:val="2"/>
            <w:vMerge w:val="restart"/>
            <w:tcBorders>
              <w:top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4965" w:type="dxa"/>
            <w:gridSpan w:val="2"/>
            <w:vMerge w:val="restart"/>
            <w:tcBorders>
              <w:top w:val="single" w:sz="4" w:space="0" w:color="72C7E7"/>
              <w:right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72C7E7"/>
              <w:left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  <w:r w:rsidRPr="00A327BF">
              <w:rPr>
                <w:sz w:val="16"/>
                <w:szCs w:val="16"/>
                <w:lang w:val="cs-CZ"/>
              </w:rPr>
              <w:t>N</w:t>
            </w:r>
          </w:p>
        </w:tc>
      </w:tr>
      <w:tr w:rsidR="000C2333" w:rsidRPr="00C72D9C" w:rsidTr="000B0982">
        <w:trPr>
          <w:trHeight w:val="353"/>
        </w:trPr>
        <w:tc>
          <w:tcPr>
            <w:tcW w:w="924" w:type="dxa"/>
            <w:vMerge/>
          </w:tcPr>
          <w:p w:rsidR="00941BF0" w:rsidRPr="00A327BF" w:rsidRDefault="00941BF0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991" w:type="dxa"/>
            <w:vMerge/>
          </w:tcPr>
          <w:p w:rsidR="00941BF0" w:rsidRPr="00A327BF" w:rsidRDefault="00941BF0" w:rsidP="004D27C1">
            <w:pPr>
              <w:spacing w:before="0" w:after="0" w:line="240" w:lineRule="auto"/>
              <w:rPr>
                <w:sz w:val="16"/>
                <w:szCs w:val="16"/>
                <w:lang w:val="cs-CZ"/>
              </w:rPr>
            </w:pPr>
          </w:p>
        </w:tc>
        <w:tc>
          <w:tcPr>
            <w:tcW w:w="4491" w:type="dxa"/>
            <w:gridSpan w:val="5"/>
            <w:tcBorders>
              <w:top w:val="single" w:sz="4" w:space="0" w:color="72C7E7"/>
            </w:tcBorders>
            <w:shd w:val="clear" w:color="auto" w:fill="99CC00"/>
          </w:tcPr>
          <w:p w:rsidR="00941BF0" w:rsidRPr="00C96299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 w:rsidRPr="00C96299">
              <w:rPr>
                <w:sz w:val="16"/>
                <w:szCs w:val="16"/>
                <w:lang w:val="cs-CZ"/>
              </w:rPr>
              <w:t>kumulativní peněžní toky ve výši 116,3 mld. Kč při realizační variantě A</w:t>
            </w:r>
            <w:r>
              <w:rPr>
                <w:sz w:val="16"/>
                <w:szCs w:val="16"/>
                <w:lang w:val="cs-CZ"/>
              </w:rPr>
              <w:t xml:space="preserve"> (bez zpoplatnění silnic II. a III. třídy – nelze předpokládat znatelné vyšší příjmy)</w:t>
            </w:r>
          </w:p>
          <w:p w:rsidR="00941BF0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varianta s významným počtem rizik (</w:t>
            </w:r>
            <w:r w:rsidR="000C2333">
              <w:rPr>
                <w:sz w:val="16"/>
                <w:szCs w:val="16"/>
                <w:lang w:val="cs-CZ"/>
              </w:rPr>
              <w:t xml:space="preserve">hodnota rizik </w:t>
            </w:r>
            <w:r>
              <w:rPr>
                <w:sz w:val="16"/>
                <w:szCs w:val="16"/>
                <w:lang w:val="cs-CZ"/>
              </w:rPr>
              <w:t xml:space="preserve">46 </w:t>
            </w:r>
            <w:r w:rsidR="000C2333">
              <w:rPr>
                <w:sz w:val="16"/>
                <w:szCs w:val="16"/>
                <w:lang w:val="cs-CZ"/>
              </w:rPr>
              <w:t xml:space="preserve">pro </w:t>
            </w:r>
            <w:r>
              <w:rPr>
                <w:sz w:val="16"/>
                <w:szCs w:val="16"/>
                <w:lang w:val="cs-CZ"/>
              </w:rPr>
              <w:t>variantu A</w:t>
            </w:r>
            <w:r w:rsidR="000C2333">
              <w:rPr>
                <w:sz w:val="16"/>
                <w:szCs w:val="16"/>
                <w:lang w:val="cs-CZ"/>
              </w:rPr>
              <w:t xml:space="preserve">, tj. pro </w:t>
            </w:r>
            <w:r>
              <w:rPr>
                <w:sz w:val="16"/>
                <w:szCs w:val="16"/>
                <w:lang w:val="cs-CZ"/>
              </w:rPr>
              <w:t>zpoplatnění silnic I. třídy)</w:t>
            </w:r>
          </w:p>
          <w:p w:rsidR="00941BF0" w:rsidRPr="00A327BF" w:rsidRDefault="00941BF0" w:rsidP="00E674C3">
            <w:pPr>
              <w:numPr>
                <w:ilvl w:val="0"/>
                <w:numId w:val="1"/>
              </w:numPr>
              <w:tabs>
                <w:tab w:val="clear" w:pos="720"/>
                <w:tab w:val="num" w:pos="409"/>
              </w:tabs>
              <w:spacing w:before="0" w:after="0" w:line="240" w:lineRule="auto"/>
              <w:ind w:left="409" w:hanging="284"/>
              <w:jc w:val="both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nákladová efektivita realizační varianty cca 20%</w:t>
            </w:r>
          </w:p>
        </w:tc>
        <w:tc>
          <w:tcPr>
            <w:tcW w:w="1199" w:type="dxa"/>
            <w:gridSpan w:val="2"/>
            <w:vMerge/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267" w:type="dxa"/>
            <w:vMerge/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5017" w:type="dxa"/>
            <w:gridSpan w:val="2"/>
            <w:vMerge/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4965" w:type="dxa"/>
            <w:gridSpan w:val="2"/>
            <w:vMerge/>
            <w:tcBorders>
              <w:right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4" w:space="0" w:color="72C7E7"/>
            </w:tcBorders>
            <w:shd w:val="clear" w:color="auto" w:fill="FFCC99"/>
            <w:vAlign w:val="center"/>
          </w:tcPr>
          <w:p w:rsidR="00941BF0" w:rsidRPr="00A327BF" w:rsidRDefault="00941BF0" w:rsidP="000D5FF8">
            <w:pPr>
              <w:spacing w:before="0" w:after="0" w:line="240" w:lineRule="auto"/>
              <w:jc w:val="center"/>
              <w:rPr>
                <w:sz w:val="16"/>
                <w:szCs w:val="16"/>
                <w:lang w:val="cs-CZ"/>
              </w:rPr>
            </w:pPr>
          </w:p>
        </w:tc>
      </w:tr>
    </w:tbl>
    <w:p w:rsidR="00577413" w:rsidRPr="009070F5" w:rsidRDefault="00FC6536" w:rsidP="00577413">
      <w:pPr>
        <w:pStyle w:val="Bezmezer"/>
        <w:jc w:val="center"/>
        <w:rPr>
          <w:rFonts w:cs="Calibri"/>
          <w:szCs w:val="22"/>
          <w:lang w:val="cs-CZ"/>
        </w:rPr>
      </w:pPr>
      <w:r>
        <w:rPr>
          <w:rFonts w:cs="ArialNarrow,Italic"/>
          <w:sz w:val="16"/>
          <w:szCs w:val="16"/>
          <w:lang w:val="cs-CZ"/>
        </w:rPr>
        <w:t xml:space="preserve">Příloha č. </w:t>
      </w:r>
      <w:r w:rsidR="00D65B33">
        <w:rPr>
          <w:rFonts w:cs="ArialNarrow,Italic"/>
          <w:sz w:val="16"/>
          <w:szCs w:val="16"/>
          <w:lang w:val="cs-CZ"/>
        </w:rPr>
        <w:t>2</w:t>
      </w:r>
      <w:r w:rsidR="00577413" w:rsidRPr="005C15AF">
        <w:rPr>
          <w:rFonts w:cs="ArialNarrow,Italic"/>
          <w:sz w:val="16"/>
          <w:szCs w:val="16"/>
          <w:lang w:val="cs-CZ"/>
        </w:rPr>
        <w:t xml:space="preserve"> – </w:t>
      </w:r>
      <w:r w:rsidR="00577413">
        <w:rPr>
          <w:rFonts w:cs="ArialNarrow,Italic"/>
          <w:sz w:val="16"/>
          <w:szCs w:val="16"/>
          <w:lang w:val="cs-CZ"/>
        </w:rPr>
        <w:t xml:space="preserve">Výhody a nevýhody realizovatelných kombinací variant rozsahu a způsobu zpoplatnění a využití </w:t>
      </w:r>
      <w:r w:rsidR="00CE74CE">
        <w:rPr>
          <w:rFonts w:cs="ArialNarrow,Italic"/>
          <w:sz w:val="16"/>
          <w:szCs w:val="16"/>
          <w:lang w:val="cs-CZ"/>
        </w:rPr>
        <w:t xml:space="preserve">komponent </w:t>
      </w:r>
      <w:r w:rsidR="00577413">
        <w:rPr>
          <w:rFonts w:cs="ArialNarrow,Italic"/>
          <w:sz w:val="16"/>
          <w:szCs w:val="16"/>
          <w:lang w:val="cs-CZ"/>
        </w:rPr>
        <w:t>stávajícího SEM</w:t>
      </w:r>
      <w:r w:rsidR="000D5FF8">
        <w:rPr>
          <w:rFonts w:cs="ArialNarrow,Italic"/>
          <w:sz w:val="16"/>
          <w:szCs w:val="16"/>
          <w:lang w:val="cs-CZ"/>
        </w:rPr>
        <w:t xml:space="preserve"> rozšířené o předpokládané kumulativní peněžní toky</w:t>
      </w:r>
      <w:r>
        <w:rPr>
          <w:rFonts w:cs="ArialNarrow,Italic"/>
          <w:sz w:val="16"/>
          <w:szCs w:val="16"/>
          <w:lang w:val="cs-CZ"/>
        </w:rPr>
        <w:t xml:space="preserve"> a nákladovost</w:t>
      </w:r>
    </w:p>
    <w:p w:rsidR="008F6B5E" w:rsidRPr="00577413" w:rsidRDefault="008F6B5E">
      <w:pPr>
        <w:rPr>
          <w:lang w:val="cs-CZ"/>
        </w:rPr>
      </w:pPr>
    </w:p>
    <w:sectPr w:rsidR="008F6B5E" w:rsidRPr="00577413" w:rsidSect="004D27C1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B1641"/>
    <w:multiLevelType w:val="hybridMultilevel"/>
    <w:tmpl w:val="37D096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D27C1"/>
    <w:rsid w:val="000B0982"/>
    <w:rsid w:val="000C2333"/>
    <w:rsid w:val="000D5FF8"/>
    <w:rsid w:val="00193646"/>
    <w:rsid w:val="002B2DF9"/>
    <w:rsid w:val="004D27C1"/>
    <w:rsid w:val="00577413"/>
    <w:rsid w:val="006E76FF"/>
    <w:rsid w:val="007005AD"/>
    <w:rsid w:val="008F6B5E"/>
    <w:rsid w:val="00941BF0"/>
    <w:rsid w:val="009540F8"/>
    <w:rsid w:val="00BC5C46"/>
    <w:rsid w:val="00BF020A"/>
    <w:rsid w:val="00C96299"/>
    <w:rsid w:val="00CE74CE"/>
    <w:rsid w:val="00D65B33"/>
    <w:rsid w:val="00E000ED"/>
    <w:rsid w:val="00E674C3"/>
    <w:rsid w:val="00EF78AD"/>
    <w:rsid w:val="00F914A3"/>
    <w:rsid w:val="00FA7DE5"/>
    <w:rsid w:val="00FC6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7C1"/>
    <w:pPr>
      <w:spacing w:before="200" w:after="200" w:line="276" w:lineRule="auto"/>
    </w:pPr>
    <w:rPr>
      <w:rFonts w:ascii="Calibri" w:hAnsi="Calibri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basedOn w:val="Standardnpsmoodstavce"/>
    <w:link w:val="Bezmezer"/>
    <w:locked/>
    <w:rsid w:val="00577413"/>
    <w:rPr>
      <w:rFonts w:ascii="Calibri" w:hAnsi="Calibri" w:cs="Arial Unicode MS"/>
      <w:bCs/>
      <w:sz w:val="22"/>
      <w:lang w:val="en-US" w:bidi="my-MM"/>
    </w:rPr>
  </w:style>
  <w:style w:type="paragraph" w:styleId="Bezmezer">
    <w:name w:val="No Spacing"/>
    <w:basedOn w:val="Normln"/>
    <w:link w:val="BezmezerChar"/>
    <w:qFormat/>
    <w:rsid w:val="00577413"/>
    <w:pPr>
      <w:spacing w:before="120" w:after="120" w:line="240" w:lineRule="auto"/>
      <w:jc w:val="both"/>
    </w:pPr>
    <w:rPr>
      <w:rFonts w:cs="Arial Unicode MS"/>
      <w:bCs/>
      <w:sz w:val="22"/>
      <w:lang w:bidi="my-MM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6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6FF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1523</Words>
  <Characters>8083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Fakulta dopravní ČVUT v Praze</Company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KRUMPHANZL</dc:creator>
  <cp:lastModifiedBy>Václav KRUMPHANZL</cp:lastModifiedBy>
  <cp:revision>2</cp:revision>
  <dcterms:created xsi:type="dcterms:W3CDTF">2013-10-24T12:38:00Z</dcterms:created>
  <dcterms:modified xsi:type="dcterms:W3CDTF">2013-10-24T12:38:00Z</dcterms:modified>
</cp:coreProperties>
</file>