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8B7" w:rsidRDefault="00D248B7" w:rsidP="00C6139B">
      <w:pPr>
        <w:tabs>
          <w:tab w:val="left" w:pos="6660"/>
        </w:tabs>
        <w:spacing w:after="12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5240A0" w:rsidRDefault="005240A0" w:rsidP="00C6139B">
      <w:pPr>
        <w:tabs>
          <w:tab w:val="left" w:pos="6660"/>
        </w:tabs>
        <w:spacing w:after="12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F0CD3" w:rsidRDefault="0008436E" w:rsidP="0008436E">
      <w:pPr>
        <w:tabs>
          <w:tab w:val="left" w:pos="6660"/>
        </w:tabs>
        <w:spacing w:after="12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Informace o pokračování přípravy</w:t>
      </w:r>
      <w:r w:rsidR="0029617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novely</w:t>
      </w:r>
      <w:r w:rsidR="00DF0CD3" w:rsidRPr="009C739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školského zákona</w:t>
      </w:r>
    </w:p>
    <w:p w:rsidR="005E39C1" w:rsidRDefault="0029617E" w:rsidP="00C6139B">
      <w:pPr>
        <w:tabs>
          <w:tab w:val="left" w:pos="6660"/>
        </w:tabs>
        <w:spacing w:after="12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Na základě rozhodnutí ministra školství, mládeže a tělovýchovy předloží MŠMT</w:t>
      </w:r>
      <w:r w:rsidR="005E39C1">
        <w:rPr>
          <w:rFonts w:ascii="Times New Roman" w:hAnsi="Times New Roman" w:cs="Times New Roman"/>
          <w:bCs/>
          <w:iCs/>
          <w:sz w:val="24"/>
          <w:szCs w:val="24"/>
        </w:rPr>
        <w:t xml:space="preserve"> vládě do 31.</w:t>
      </w:r>
      <w:r w:rsidR="00DA3451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="005E39C1">
        <w:rPr>
          <w:rFonts w:ascii="Times New Roman" w:hAnsi="Times New Roman" w:cs="Times New Roman"/>
          <w:bCs/>
          <w:iCs/>
          <w:sz w:val="24"/>
          <w:szCs w:val="24"/>
        </w:rPr>
        <w:t xml:space="preserve">prosince 2013 novelu zákona č. </w:t>
      </w:r>
      <w:r w:rsidR="005E39C1" w:rsidRPr="005E39C1">
        <w:rPr>
          <w:rFonts w:ascii="Times New Roman" w:hAnsi="Times New Roman" w:cs="Times New Roman"/>
          <w:bCs/>
          <w:iCs/>
          <w:sz w:val="24"/>
          <w:szCs w:val="24"/>
        </w:rPr>
        <w:t>561/2004 Sb., o předškolním, základním, středním, vyšším odborném a jiném vzdělávání (školský zákon), ve znění pozdějších předpisů,</w:t>
      </w:r>
      <w:r w:rsidR="005E39C1">
        <w:rPr>
          <w:rFonts w:ascii="Times New Roman" w:hAnsi="Times New Roman" w:cs="Times New Roman"/>
          <w:bCs/>
          <w:iCs/>
          <w:sz w:val="24"/>
          <w:szCs w:val="24"/>
        </w:rPr>
        <w:t xml:space="preserve"> jejíž příprava byla přerušena v důsledku rozpuštění Poslanecké sněmovny.</w:t>
      </w:r>
    </w:p>
    <w:p w:rsidR="0029617E" w:rsidRPr="005E39C1" w:rsidRDefault="005E39C1" w:rsidP="00C6139B">
      <w:pPr>
        <w:tabs>
          <w:tab w:val="left" w:pos="6660"/>
        </w:tabs>
        <w:spacing w:after="12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E39C1">
        <w:rPr>
          <w:rFonts w:ascii="Times New Roman" w:hAnsi="Times New Roman" w:cs="Times New Roman"/>
          <w:b/>
          <w:bCs/>
          <w:iCs/>
          <w:sz w:val="24"/>
          <w:szCs w:val="24"/>
        </w:rPr>
        <w:t>Úkol předložit vládě novelu školského zákona nepředstavuje zahájení nových novelizačních prací, ale pokračování v procesu přípravy návrhu zákona tam, kde byl tento proces přerušen.</w:t>
      </w:r>
    </w:p>
    <w:p w:rsidR="005E39C1" w:rsidRPr="00DA5B77" w:rsidRDefault="005E39C1" w:rsidP="00C6139B">
      <w:pPr>
        <w:tabs>
          <w:tab w:val="left" w:pos="6660"/>
        </w:tabs>
        <w:spacing w:after="12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Návrh novely již </w:t>
      </w:r>
      <w:r w:rsidRPr="005E39C1">
        <w:rPr>
          <w:rFonts w:ascii="Times New Roman" w:hAnsi="Times New Roman" w:cs="Times New Roman"/>
          <w:b/>
          <w:bCs/>
          <w:iCs/>
          <w:sz w:val="24"/>
          <w:szCs w:val="24"/>
        </w:rPr>
        <w:t>prošel mezi</w:t>
      </w:r>
      <w:r w:rsidR="00DA5B77">
        <w:rPr>
          <w:rFonts w:ascii="Times New Roman" w:hAnsi="Times New Roman" w:cs="Times New Roman"/>
          <w:b/>
          <w:bCs/>
          <w:iCs/>
          <w:sz w:val="24"/>
          <w:szCs w:val="24"/>
        </w:rPr>
        <w:t>resortním připomínkovým řízením</w:t>
      </w:r>
      <w:r w:rsidR="00DA5B77">
        <w:rPr>
          <w:rFonts w:ascii="Times New Roman" w:hAnsi="Times New Roman" w:cs="Times New Roman"/>
          <w:bCs/>
          <w:iCs/>
          <w:sz w:val="24"/>
          <w:szCs w:val="24"/>
        </w:rPr>
        <w:t xml:space="preserve"> a bude předkládán vládě v následujícím rozsahu:</w:t>
      </w:r>
    </w:p>
    <w:p w:rsidR="0029617E" w:rsidRDefault="00497EBB" w:rsidP="00C6139B">
      <w:pPr>
        <w:shd w:val="clear" w:color="auto" w:fill="E5DFEC" w:themeFill="accent4" w:themeFillTint="33"/>
        <w:tabs>
          <w:tab w:val="left" w:pos="6660"/>
        </w:tabs>
        <w:spacing w:after="12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Hlavní témata novely</w:t>
      </w:r>
    </w:p>
    <w:p w:rsidR="00497EBB" w:rsidRPr="00497EBB" w:rsidRDefault="00497EBB" w:rsidP="00C6139B">
      <w:pPr>
        <w:tabs>
          <w:tab w:val="left" w:pos="6660"/>
        </w:tabs>
        <w:spacing w:after="12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Obsah novely </w:t>
      </w:r>
      <w:r w:rsidR="00C87AC1">
        <w:rPr>
          <w:rFonts w:ascii="Times New Roman" w:hAnsi="Times New Roman" w:cs="Times New Roman"/>
          <w:bCs/>
          <w:iCs/>
          <w:sz w:val="24"/>
          <w:szCs w:val="24"/>
        </w:rPr>
        <w:t xml:space="preserve">v zásadě </w:t>
      </w:r>
      <w:r>
        <w:rPr>
          <w:rFonts w:ascii="Times New Roman" w:hAnsi="Times New Roman" w:cs="Times New Roman"/>
          <w:bCs/>
          <w:iCs/>
          <w:sz w:val="24"/>
          <w:szCs w:val="24"/>
        </w:rPr>
        <w:t>odpovídá výsledkům meziresortního připomínkového řízení, které proběhlo na jaře 2013. Novela se bude týkat těchto hlavních oblastí</w:t>
      </w:r>
      <w:r w:rsidR="00C87AC1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3D2C30" w:rsidRPr="009C7393" w:rsidRDefault="006D1075" w:rsidP="00C6139B">
      <w:pPr>
        <w:shd w:val="clear" w:color="auto" w:fill="E5DFEC" w:themeFill="accent4" w:themeFillTint="33"/>
        <w:tabs>
          <w:tab w:val="left" w:pos="6660"/>
        </w:tabs>
        <w:spacing w:after="12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 w:rsidR="003D2C30" w:rsidRPr="009C7393">
        <w:rPr>
          <w:rFonts w:ascii="Times New Roman" w:hAnsi="Times New Roman" w:cs="Times New Roman"/>
          <w:b/>
          <w:bCs/>
          <w:iCs/>
          <w:sz w:val="24"/>
          <w:szCs w:val="24"/>
        </w:rPr>
        <w:t>. Ukončování středního vzdělávání</w:t>
      </w:r>
      <w:r w:rsidR="00103B3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(§</w:t>
      </w:r>
      <w:r w:rsidR="005240A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103B3B">
        <w:rPr>
          <w:rFonts w:ascii="Times New Roman" w:hAnsi="Times New Roman" w:cs="Times New Roman"/>
          <w:b/>
          <w:bCs/>
          <w:iCs/>
          <w:sz w:val="24"/>
          <w:szCs w:val="24"/>
        </w:rPr>
        <w:t>74)</w:t>
      </w:r>
    </w:p>
    <w:p w:rsidR="00E4579A" w:rsidRPr="00772DE3" w:rsidRDefault="005240A0" w:rsidP="00C6139B">
      <w:pPr>
        <w:tabs>
          <w:tab w:val="left" w:pos="6660"/>
        </w:tabs>
        <w:spacing w:after="12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Do školského zákona </w:t>
      </w:r>
      <w:r w:rsidR="003D2C30" w:rsidRPr="009C7393">
        <w:rPr>
          <w:rFonts w:ascii="Times New Roman" w:hAnsi="Times New Roman" w:cs="Times New Roman"/>
          <w:bCs/>
          <w:iCs/>
          <w:sz w:val="24"/>
          <w:szCs w:val="24"/>
        </w:rPr>
        <w:t>je zapotřebí promítnout výsledky projektu Nová závěrečná zkouška a sjednotit zadání závěrečných zkoušek v obo</w:t>
      </w:r>
      <w:r w:rsidR="00772DE3">
        <w:rPr>
          <w:rFonts w:ascii="Times New Roman" w:hAnsi="Times New Roman" w:cs="Times New Roman"/>
          <w:bCs/>
          <w:iCs/>
          <w:sz w:val="24"/>
          <w:szCs w:val="24"/>
        </w:rPr>
        <w:t>rech vzdělání s výučním listem. Zákon stanoví povinnost středních škol využívat v</w:t>
      </w:r>
      <w:r w:rsidR="005C3F91">
        <w:rPr>
          <w:rFonts w:ascii="Times New Roman" w:hAnsi="Times New Roman" w:cs="Times New Roman"/>
          <w:bCs/>
          <w:iCs/>
          <w:spacing w:val="-2"/>
          <w:sz w:val="24"/>
          <w:szCs w:val="24"/>
        </w:rPr>
        <w:t xml:space="preserve"> těchto </w:t>
      </w:r>
      <w:r w:rsidR="003D2C30" w:rsidRPr="004A2D94">
        <w:rPr>
          <w:rFonts w:ascii="Times New Roman" w:hAnsi="Times New Roman" w:cs="Times New Roman"/>
          <w:bCs/>
          <w:iCs/>
          <w:spacing w:val="-2"/>
          <w:sz w:val="24"/>
          <w:szCs w:val="24"/>
        </w:rPr>
        <w:t xml:space="preserve">závěrečných zkouškách </w:t>
      </w:r>
      <w:r w:rsidR="00772DE3">
        <w:rPr>
          <w:rFonts w:ascii="Times New Roman" w:hAnsi="Times New Roman" w:cs="Times New Roman"/>
          <w:bCs/>
          <w:iCs/>
          <w:spacing w:val="-2"/>
          <w:sz w:val="24"/>
          <w:szCs w:val="24"/>
        </w:rPr>
        <w:t xml:space="preserve">jednotná </w:t>
      </w:r>
      <w:r w:rsidR="003D2C30" w:rsidRPr="004A2D94">
        <w:rPr>
          <w:rFonts w:ascii="Times New Roman" w:hAnsi="Times New Roman" w:cs="Times New Roman"/>
          <w:bCs/>
          <w:iCs/>
          <w:spacing w:val="-2"/>
          <w:sz w:val="24"/>
          <w:szCs w:val="24"/>
        </w:rPr>
        <w:t xml:space="preserve">zadání </w:t>
      </w:r>
      <w:r w:rsidR="00772DE3">
        <w:rPr>
          <w:rFonts w:ascii="Times New Roman" w:hAnsi="Times New Roman" w:cs="Times New Roman"/>
          <w:bCs/>
          <w:iCs/>
          <w:spacing w:val="-2"/>
          <w:sz w:val="24"/>
          <w:szCs w:val="24"/>
        </w:rPr>
        <w:t>připravená Národním ústavem pro vzdělávání</w:t>
      </w:r>
      <w:r w:rsidR="00E4579A" w:rsidRPr="004A2D94">
        <w:rPr>
          <w:rFonts w:ascii="Times New Roman" w:hAnsi="Times New Roman" w:cs="Times New Roman"/>
          <w:bCs/>
          <w:iCs/>
          <w:spacing w:val="-2"/>
          <w:sz w:val="24"/>
          <w:szCs w:val="24"/>
        </w:rPr>
        <w:t>.</w:t>
      </w:r>
    </w:p>
    <w:p w:rsidR="00103B3B" w:rsidRPr="009C7393" w:rsidRDefault="006D1075" w:rsidP="00C6139B">
      <w:pPr>
        <w:shd w:val="clear" w:color="auto" w:fill="E5DFEC" w:themeFill="accent4" w:themeFillTint="33"/>
        <w:tabs>
          <w:tab w:val="left" w:pos="6660"/>
        </w:tabs>
        <w:spacing w:after="12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="00E4579A" w:rsidRPr="009C7393">
        <w:rPr>
          <w:rFonts w:ascii="Times New Roman" w:hAnsi="Times New Roman" w:cs="Times New Roman"/>
          <w:b/>
          <w:bCs/>
          <w:iCs/>
          <w:sz w:val="24"/>
          <w:szCs w:val="24"/>
        </w:rPr>
        <w:t>. Pracovní poměr ředitelů veřejných škol</w:t>
      </w:r>
      <w:r w:rsidR="00103B3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(§ 166)</w:t>
      </w:r>
    </w:p>
    <w:p w:rsidR="00E4579A" w:rsidRDefault="00E4579A" w:rsidP="00C6139B">
      <w:pPr>
        <w:tabs>
          <w:tab w:val="left" w:pos="6660"/>
        </w:tabs>
        <w:spacing w:after="12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C7393">
        <w:rPr>
          <w:rFonts w:ascii="Times New Roman" w:hAnsi="Times New Roman" w:cs="Times New Roman"/>
          <w:bCs/>
          <w:iCs/>
          <w:sz w:val="24"/>
          <w:szCs w:val="24"/>
        </w:rPr>
        <w:t xml:space="preserve">Odborná veřejnost kritizuje propojení funkčních období ředitelů veřejných škol a školských zařízení s pracovními poměry na dobu určitou. </w:t>
      </w:r>
      <w:r w:rsidRPr="00E4579A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Pr="009C7393">
        <w:rPr>
          <w:rFonts w:ascii="Times New Roman" w:hAnsi="Times New Roman" w:cs="Times New Roman"/>
          <w:bCs/>
          <w:iCs/>
          <w:sz w:val="24"/>
          <w:szCs w:val="24"/>
        </w:rPr>
        <w:t xml:space="preserve">oužití pracovního poměru na dobu určitou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bude ve školském zákoně nahrazeno </w:t>
      </w:r>
      <w:r w:rsidRPr="009C7393">
        <w:rPr>
          <w:rFonts w:ascii="Times New Roman" w:hAnsi="Times New Roman" w:cs="Times New Roman"/>
          <w:bCs/>
          <w:iCs/>
          <w:sz w:val="24"/>
          <w:szCs w:val="24"/>
        </w:rPr>
        <w:t>pracovním poměrem na dobu neurčitou, v němž se budou moci opakovat šestiletá funkční období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(§ 166</w:t>
      </w:r>
      <w:r w:rsidR="008142B3">
        <w:rPr>
          <w:rFonts w:ascii="Times New Roman" w:hAnsi="Times New Roman" w:cs="Times New Roman"/>
          <w:bCs/>
          <w:iCs/>
          <w:sz w:val="24"/>
          <w:szCs w:val="24"/>
        </w:rPr>
        <w:t xml:space="preserve"> odst. 3</w:t>
      </w:r>
      <w:r>
        <w:rPr>
          <w:rFonts w:ascii="Times New Roman" w:hAnsi="Times New Roman" w:cs="Times New Roman"/>
          <w:bCs/>
          <w:iCs/>
          <w:sz w:val="24"/>
          <w:szCs w:val="24"/>
        </w:rPr>
        <w:t>)</w:t>
      </w:r>
      <w:r w:rsidRPr="009C7393">
        <w:rPr>
          <w:rFonts w:ascii="Times New Roman" w:hAnsi="Times New Roman" w:cs="Times New Roman"/>
          <w:bCs/>
          <w:iCs/>
          <w:sz w:val="24"/>
          <w:szCs w:val="24"/>
        </w:rPr>
        <w:t xml:space="preserve">. Zákon tím zajistí ředitelům veřejných škol </w:t>
      </w:r>
      <w:r w:rsidRPr="009C7393">
        <w:rPr>
          <w:rFonts w:ascii="Times New Roman" w:hAnsi="Times New Roman" w:cs="Times New Roman"/>
          <w:bCs/>
          <w:i/>
          <w:iCs/>
          <w:sz w:val="24"/>
          <w:szCs w:val="24"/>
        </w:rPr>
        <w:t>relativně</w:t>
      </w:r>
      <w:r w:rsidRPr="009C7393">
        <w:rPr>
          <w:rFonts w:ascii="Times New Roman" w:hAnsi="Times New Roman" w:cs="Times New Roman"/>
          <w:bCs/>
          <w:iCs/>
          <w:sz w:val="24"/>
          <w:szCs w:val="24"/>
        </w:rPr>
        <w:t xml:space="preserve"> stabilnější zaměstnání, tím že jim oproti současnému stavu </w:t>
      </w:r>
      <w:r w:rsidR="00C87AC1">
        <w:rPr>
          <w:rFonts w:ascii="Times New Roman" w:hAnsi="Times New Roman" w:cs="Times New Roman"/>
          <w:bCs/>
          <w:iCs/>
          <w:sz w:val="24"/>
          <w:szCs w:val="24"/>
        </w:rPr>
        <w:t xml:space="preserve">zpřístupní </w:t>
      </w:r>
      <w:r w:rsidRPr="009C7393">
        <w:rPr>
          <w:rFonts w:ascii="Times New Roman" w:hAnsi="Times New Roman" w:cs="Times New Roman"/>
          <w:bCs/>
          <w:iCs/>
          <w:sz w:val="24"/>
          <w:szCs w:val="24"/>
        </w:rPr>
        <w:t>nárok na nabídku jiného pracovního zařazení po skončení ve funkci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17DA3" w:rsidRPr="009C7393" w:rsidRDefault="006D1075" w:rsidP="00C6139B">
      <w:pPr>
        <w:shd w:val="clear" w:color="auto" w:fill="E5DFEC" w:themeFill="accent4" w:themeFillTint="33"/>
        <w:tabs>
          <w:tab w:val="left" w:pos="6660"/>
        </w:tabs>
        <w:spacing w:after="12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</w:t>
      </w:r>
      <w:r w:rsidR="00317DA3" w:rsidRPr="009C7393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="00DF0CD3" w:rsidRPr="009C739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317DA3" w:rsidRPr="009C739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Úkoly obcí při zajišťování podmínek </w:t>
      </w:r>
      <w:r w:rsidR="00DF0CD3" w:rsidRPr="009C739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plnění </w:t>
      </w:r>
      <w:r w:rsidR="00317DA3" w:rsidRPr="009C7393">
        <w:rPr>
          <w:rFonts w:ascii="Times New Roman" w:hAnsi="Times New Roman" w:cs="Times New Roman"/>
          <w:b/>
          <w:bCs/>
          <w:iCs/>
          <w:sz w:val="24"/>
          <w:szCs w:val="24"/>
        </w:rPr>
        <w:t>povinné školní docházky</w:t>
      </w:r>
      <w:r w:rsidR="00103B3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(§ 36, </w:t>
      </w:r>
      <w:r w:rsidR="003151E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§ </w:t>
      </w:r>
      <w:r w:rsidR="00103B3B">
        <w:rPr>
          <w:rFonts w:ascii="Times New Roman" w:hAnsi="Times New Roman" w:cs="Times New Roman"/>
          <w:b/>
          <w:bCs/>
          <w:iCs/>
          <w:sz w:val="24"/>
          <w:szCs w:val="24"/>
        </w:rPr>
        <w:t>178)</w:t>
      </w:r>
    </w:p>
    <w:p w:rsidR="00E4579A" w:rsidRDefault="00317DA3" w:rsidP="00C6139B">
      <w:pPr>
        <w:tabs>
          <w:tab w:val="left" w:pos="6660"/>
        </w:tabs>
        <w:spacing w:after="12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C7393">
        <w:rPr>
          <w:rFonts w:ascii="Times New Roman" w:hAnsi="Times New Roman" w:cs="Times New Roman"/>
          <w:bCs/>
          <w:iCs/>
          <w:sz w:val="24"/>
          <w:szCs w:val="24"/>
        </w:rPr>
        <w:t>Obce budou povinny zajistit pro svoje území spádovou školu a posílí se pravomoc krajských úřadů k náhradnímu stanovení školského obvodu</w:t>
      </w:r>
      <w:r w:rsidR="00E4579A">
        <w:rPr>
          <w:rFonts w:ascii="Times New Roman" w:hAnsi="Times New Roman" w:cs="Times New Roman"/>
          <w:bCs/>
          <w:iCs/>
          <w:sz w:val="24"/>
          <w:szCs w:val="24"/>
        </w:rPr>
        <w:t xml:space="preserve"> (§ 178)</w:t>
      </w:r>
      <w:r w:rsidRPr="009C7393">
        <w:rPr>
          <w:rFonts w:ascii="Times New Roman" w:hAnsi="Times New Roman" w:cs="Times New Roman"/>
          <w:bCs/>
          <w:iCs/>
          <w:sz w:val="24"/>
          <w:szCs w:val="24"/>
        </w:rPr>
        <w:t xml:space="preserve">. Zákon upraví povinnost obcí poskytovat svým základním školám z evidence obyvatel seznamy dětí, které mají v příštím školním roce zahájit </w:t>
      </w:r>
      <w:r w:rsidR="0086509B" w:rsidRPr="009C7393">
        <w:rPr>
          <w:rFonts w:ascii="Times New Roman" w:hAnsi="Times New Roman" w:cs="Times New Roman"/>
          <w:bCs/>
          <w:iCs/>
          <w:sz w:val="24"/>
          <w:szCs w:val="24"/>
        </w:rPr>
        <w:t>povinnou školní docházku</w:t>
      </w:r>
      <w:r w:rsidR="00E4579A">
        <w:rPr>
          <w:rFonts w:ascii="Times New Roman" w:hAnsi="Times New Roman" w:cs="Times New Roman"/>
          <w:bCs/>
          <w:iCs/>
          <w:sz w:val="24"/>
          <w:szCs w:val="24"/>
        </w:rPr>
        <w:t xml:space="preserve"> (§ 36)</w:t>
      </w:r>
      <w:r w:rsidR="003144A8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DF0CD3" w:rsidRPr="009C7393" w:rsidRDefault="006D1075" w:rsidP="00C6139B">
      <w:pPr>
        <w:shd w:val="clear" w:color="auto" w:fill="E5DFEC" w:themeFill="accent4" w:themeFillTint="33"/>
        <w:tabs>
          <w:tab w:val="left" w:pos="6660"/>
        </w:tabs>
        <w:spacing w:after="12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4</w:t>
      </w:r>
      <w:r w:rsidR="00317DA3" w:rsidRPr="009C7393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="00DF0CD3" w:rsidRPr="009C739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Správní řízení ve školách</w:t>
      </w:r>
      <w:r w:rsidR="00103B3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(§ 165 odst. 2, § 183)</w:t>
      </w:r>
    </w:p>
    <w:p w:rsidR="00E4579A" w:rsidRDefault="00DF0CD3" w:rsidP="00C6139B">
      <w:pPr>
        <w:tabs>
          <w:tab w:val="left" w:pos="6660"/>
        </w:tabs>
        <w:spacing w:after="12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C7393">
        <w:rPr>
          <w:rFonts w:ascii="Times New Roman" w:hAnsi="Times New Roman" w:cs="Times New Roman"/>
          <w:bCs/>
          <w:iCs/>
          <w:sz w:val="24"/>
          <w:szCs w:val="24"/>
        </w:rPr>
        <w:t xml:space="preserve">Úprava správního řízení ve školství bude </w:t>
      </w:r>
      <w:r w:rsidR="00DC6C4E">
        <w:rPr>
          <w:rFonts w:ascii="Times New Roman" w:hAnsi="Times New Roman" w:cs="Times New Roman"/>
          <w:bCs/>
          <w:iCs/>
          <w:sz w:val="24"/>
          <w:szCs w:val="24"/>
        </w:rPr>
        <w:t>uvedena do</w:t>
      </w:r>
      <w:r w:rsidR="00327300" w:rsidRPr="009C7393">
        <w:rPr>
          <w:rFonts w:ascii="Times New Roman" w:hAnsi="Times New Roman" w:cs="Times New Roman"/>
          <w:bCs/>
          <w:iCs/>
          <w:sz w:val="24"/>
          <w:szCs w:val="24"/>
        </w:rPr>
        <w:t> souladu s materiálním</w:t>
      </w:r>
      <w:r w:rsidRPr="009C739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C6C4E">
        <w:rPr>
          <w:rFonts w:ascii="Times New Roman" w:hAnsi="Times New Roman" w:cs="Times New Roman"/>
          <w:bCs/>
          <w:iCs/>
          <w:sz w:val="24"/>
          <w:szCs w:val="24"/>
        </w:rPr>
        <w:t xml:space="preserve">pojetím </w:t>
      </w:r>
      <w:r w:rsidR="0086509B" w:rsidRPr="009C7393">
        <w:rPr>
          <w:rFonts w:ascii="Times New Roman" w:hAnsi="Times New Roman" w:cs="Times New Roman"/>
          <w:bCs/>
          <w:iCs/>
          <w:sz w:val="24"/>
          <w:szCs w:val="24"/>
        </w:rPr>
        <w:t xml:space="preserve">správního rozhodnutí </w:t>
      </w:r>
      <w:r w:rsidRPr="009C7393">
        <w:rPr>
          <w:rFonts w:ascii="Times New Roman" w:hAnsi="Times New Roman" w:cs="Times New Roman"/>
          <w:bCs/>
          <w:iCs/>
          <w:sz w:val="24"/>
          <w:szCs w:val="24"/>
        </w:rPr>
        <w:t xml:space="preserve">dle správního řádu a </w:t>
      </w:r>
      <w:r w:rsidR="00B650C4">
        <w:rPr>
          <w:rFonts w:ascii="Times New Roman" w:hAnsi="Times New Roman" w:cs="Times New Roman"/>
          <w:bCs/>
          <w:iCs/>
          <w:sz w:val="24"/>
          <w:szCs w:val="24"/>
        </w:rPr>
        <w:t xml:space="preserve">rozsudků Nejvyššího správního soudu </w:t>
      </w:r>
      <w:r w:rsidR="00E4579A">
        <w:rPr>
          <w:rFonts w:ascii="Times New Roman" w:hAnsi="Times New Roman" w:cs="Times New Roman"/>
          <w:bCs/>
          <w:iCs/>
          <w:sz w:val="24"/>
          <w:szCs w:val="24"/>
        </w:rPr>
        <w:t>(§ 165 a 183)</w:t>
      </w:r>
      <w:r w:rsidRPr="009C7393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D37738">
        <w:rPr>
          <w:rFonts w:ascii="Times New Roman" w:hAnsi="Times New Roman" w:cs="Times New Roman"/>
          <w:bCs/>
          <w:iCs/>
          <w:sz w:val="24"/>
          <w:szCs w:val="24"/>
        </w:rPr>
        <w:t xml:space="preserve">Zákon </w:t>
      </w:r>
      <w:r w:rsidR="00B650C4">
        <w:rPr>
          <w:rFonts w:ascii="Times New Roman" w:hAnsi="Times New Roman" w:cs="Times New Roman"/>
          <w:bCs/>
          <w:iCs/>
          <w:sz w:val="24"/>
          <w:szCs w:val="24"/>
        </w:rPr>
        <w:t>zohlední skutečnost, že ve správním řízení rozhodují o právech a povinnostech ve veřejné správě školy všech zřizovatelů</w:t>
      </w:r>
      <w:r w:rsidR="00DC6C4E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B650C4">
        <w:rPr>
          <w:rFonts w:ascii="Times New Roman" w:hAnsi="Times New Roman" w:cs="Times New Roman"/>
          <w:bCs/>
          <w:iCs/>
          <w:sz w:val="24"/>
          <w:szCs w:val="24"/>
        </w:rPr>
        <w:t xml:space="preserve"> a </w:t>
      </w:r>
      <w:r w:rsidR="00D37738">
        <w:rPr>
          <w:rFonts w:ascii="Times New Roman" w:hAnsi="Times New Roman" w:cs="Times New Roman"/>
          <w:bCs/>
          <w:iCs/>
          <w:sz w:val="24"/>
          <w:szCs w:val="24"/>
        </w:rPr>
        <w:t xml:space="preserve">stanoví jednotně krajský úřad jako odvolací instanci proti </w:t>
      </w:r>
      <w:proofErr w:type="spellStart"/>
      <w:r w:rsidR="00D37738">
        <w:rPr>
          <w:rFonts w:ascii="Times New Roman" w:hAnsi="Times New Roman" w:cs="Times New Roman"/>
          <w:bCs/>
          <w:iCs/>
          <w:sz w:val="24"/>
          <w:szCs w:val="24"/>
        </w:rPr>
        <w:t>prvostupňovým</w:t>
      </w:r>
      <w:proofErr w:type="spellEnd"/>
      <w:r w:rsidR="00D37738">
        <w:rPr>
          <w:rFonts w:ascii="Times New Roman" w:hAnsi="Times New Roman" w:cs="Times New Roman"/>
          <w:bCs/>
          <w:iCs/>
          <w:sz w:val="24"/>
          <w:szCs w:val="24"/>
        </w:rPr>
        <w:t xml:space="preserve"> rozhodnutím škol.</w:t>
      </w:r>
    </w:p>
    <w:p w:rsidR="006D1075" w:rsidRPr="009C7393" w:rsidRDefault="006D1075" w:rsidP="006D1075">
      <w:pPr>
        <w:shd w:val="clear" w:color="auto" w:fill="E5DFEC" w:themeFill="accent4" w:themeFillTint="33"/>
        <w:tabs>
          <w:tab w:val="left" w:pos="6660"/>
        </w:tabs>
        <w:spacing w:after="12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5</w:t>
      </w:r>
      <w:r w:rsidRPr="009C7393">
        <w:rPr>
          <w:rFonts w:ascii="Times New Roman" w:hAnsi="Times New Roman" w:cs="Times New Roman"/>
          <w:b/>
          <w:bCs/>
          <w:iCs/>
          <w:sz w:val="24"/>
          <w:szCs w:val="24"/>
        </w:rPr>
        <w:t>. Vzdělávání osob se speciálními vzdělávacími potřebami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(§ 16 až 16c)</w:t>
      </w:r>
    </w:p>
    <w:p w:rsidR="006D1075" w:rsidRPr="00DC6C4E" w:rsidRDefault="006D1075" w:rsidP="00DC6C4E">
      <w:pPr>
        <w:tabs>
          <w:tab w:val="left" w:pos="6660"/>
        </w:tabs>
        <w:spacing w:after="12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Novela zavede pojem podpůrných opatření jako základ pro organizaci i financování vzdělávání osob s různými d</w:t>
      </w:r>
      <w:r w:rsidR="00DC6C4E">
        <w:rPr>
          <w:rFonts w:ascii="Times New Roman" w:hAnsi="Times New Roman" w:cs="Times New Roman"/>
          <w:bCs/>
          <w:iCs/>
          <w:sz w:val="24"/>
          <w:szCs w:val="24"/>
        </w:rPr>
        <w:t xml:space="preserve">ruhy znevýhodnění. Zákon upraví </w:t>
      </w:r>
      <w:r w:rsidRPr="00DC6C4E">
        <w:rPr>
          <w:rFonts w:ascii="Times New Roman" w:hAnsi="Times New Roman" w:cs="Times New Roman"/>
          <w:bCs/>
          <w:iCs/>
          <w:sz w:val="24"/>
          <w:szCs w:val="24"/>
        </w:rPr>
        <w:t>členění podpůrných opatření do 5 stupňů pod</w:t>
      </w:r>
      <w:r w:rsidR="00DC6C4E">
        <w:rPr>
          <w:rFonts w:ascii="Times New Roman" w:hAnsi="Times New Roman" w:cs="Times New Roman"/>
          <w:bCs/>
          <w:iCs/>
          <w:sz w:val="24"/>
          <w:szCs w:val="24"/>
        </w:rPr>
        <w:t xml:space="preserve">le věcné i finanční náročnosti, základní pravidla používání podpůrných opatření a zmocní MŠMT k vydání katalogu podpůrných opatření formou vyhlášky. Dále bude zpřesněna úprava </w:t>
      </w:r>
      <w:r w:rsidRPr="00DC6C4E">
        <w:rPr>
          <w:rFonts w:ascii="Times New Roman" w:hAnsi="Times New Roman" w:cs="Times New Roman"/>
          <w:bCs/>
          <w:iCs/>
          <w:sz w:val="24"/>
          <w:szCs w:val="24"/>
        </w:rPr>
        <w:t>poradenské činnosti, včetně revizních mechanismů.</w:t>
      </w:r>
    </w:p>
    <w:p w:rsidR="0075549F" w:rsidRDefault="006D1075" w:rsidP="00C6139B">
      <w:pPr>
        <w:shd w:val="clear" w:color="auto" w:fill="E5DFEC" w:themeFill="accent4" w:themeFillTint="33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95024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5549F">
        <w:rPr>
          <w:rFonts w:ascii="Times New Roman" w:hAnsi="Times New Roman" w:cs="Times New Roman"/>
          <w:b/>
          <w:sz w:val="24"/>
          <w:szCs w:val="24"/>
        </w:rPr>
        <w:t>Novela dále zahrne následující dílčí okruhy:</w:t>
      </w:r>
    </w:p>
    <w:p w:rsidR="007C4BE9" w:rsidRPr="007C4BE9" w:rsidRDefault="000B5526" w:rsidP="007C4BE9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BE9">
        <w:rPr>
          <w:rFonts w:ascii="Times New Roman" w:hAnsi="Times New Roman" w:cs="Times New Roman"/>
          <w:sz w:val="24"/>
          <w:szCs w:val="24"/>
        </w:rPr>
        <w:t>Individuální vzdělávání (§ 41) – novela umožní tzv. domácí vzdělávání i n</w:t>
      </w:r>
      <w:r w:rsidR="007C4BE9" w:rsidRPr="007C4BE9">
        <w:rPr>
          <w:rFonts w:ascii="Times New Roman" w:hAnsi="Times New Roman" w:cs="Times New Roman"/>
          <w:sz w:val="24"/>
          <w:szCs w:val="24"/>
        </w:rPr>
        <w:t>a druhém stupni základní školy.</w:t>
      </w:r>
    </w:p>
    <w:p w:rsidR="00A53C71" w:rsidRPr="007C4BE9" w:rsidRDefault="00A53C71" w:rsidP="007C4BE9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BE9">
        <w:rPr>
          <w:rFonts w:ascii="Times New Roman" w:hAnsi="Times New Roman" w:cs="Times New Roman"/>
          <w:sz w:val="24"/>
          <w:szCs w:val="24"/>
        </w:rPr>
        <w:t xml:space="preserve">Vážené sčítání kapacit různých forem vzdělávání </w:t>
      </w:r>
      <w:r w:rsidR="00316721" w:rsidRPr="007C4BE9">
        <w:rPr>
          <w:rFonts w:ascii="Times New Roman" w:hAnsi="Times New Roman" w:cs="Times New Roman"/>
          <w:sz w:val="24"/>
          <w:szCs w:val="24"/>
        </w:rPr>
        <w:t>(§ 144</w:t>
      </w:r>
      <w:r w:rsidR="00101770" w:rsidRPr="007C4BE9">
        <w:rPr>
          <w:rFonts w:ascii="Times New Roman" w:hAnsi="Times New Roman" w:cs="Times New Roman"/>
          <w:sz w:val="24"/>
          <w:szCs w:val="24"/>
        </w:rPr>
        <w:t xml:space="preserve"> odst. 2</w:t>
      </w:r>
      <w:r w:rsidR="00316721" w:rsidRPr="007C4BE9">
        <w:rPr>
          <w:rFonts w:ascii="Times New Roman" w:hAnsi="Times New Roman" w:cs="Times New Roman"/>
          <w:sz w:val="24"/>
          <w:szCs w:val="24"/>
        </w:rPr>
        <w:t xml:space="preserve">) </w:t>
      </w:r>
      <w:r w:rsidR="00EA3CC2" w:rsidRPr="007C4BE9">
        <w:rPr>
          <w:rFonts w:ascii="Times New Roman" w:hAnsi="Times New Roman" w:cs="Times New Roman"/>
          <w:sz w:val="24"/>
          <w:szCs w:val="24"/>
        </w:rPr>
        <w:t>–</w:t>
      </w:r>
      <w:r w:rsidRPr="007C4BE9">
        <w:rPr>
          <w:rFonts w:ascii="Times New Roman" w:hAnsi="Times New Roman" w:cs="Times New Roman"/>
          <w:sz w:val="24"/>
          <w:szCs w:val="24"/>
        </w:rPr>
        <w:t xml:space="preserve"> na</w:t>
      </w:r>
      <w:r w:rsidR="00EA3CC2" w:rsidRPr="007C4BE9">
        <w:rPr>
          <w:rFonts w:ascii="Times New Roman" w:hAnsi="Times New Roman" w:cs="Times New Roman"/>
          <w:sz w:val="24"/>
          <w:szCs w:val="24"/>
        </w:rPr>
        <w:t xml:space="preserve"> </w:t>
      </w:r>
      <w:r w:rsidRPr="007C4BE9">
        <w:rPr>
          <w:rFonts w:ascii="Times New Roman" w:hAnsi="Times New Roman" w:cs="Times New Roman"/>
          <w:sz w:val="24"/>
          <w:szCs w:val="24"/>
        </w:rPr>
        <w:t>základě požadavku CZESHA se budou žáci v jiných než denních formách vzdělávání započítávat do obsazenosti školy zlomkem.</w:t>
      </w:r>
    </w:p>
    <w:p w:rsidR="00D37738" w:rsidRPr="007C4BE9" w:rsidRDefault="00D37738" w:rsidP="007C4BE9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BE9">
        <w:rPr>
          <w:rFonts w:ascii="Times New Roman" w:hAnsi="Times New Roman" w:cs="Times New Roman"/>
          <w:sz w:val="24"/>
          <w:szCs w:val="24"/>
        </w:rPr>
        <w:t>Zavedení státní zkoušky z grafických disciplín (§ 171 odst. 4 a 5) – aby bylo možné pokračovat v tradici státních zkoušek z těsnopisu, psaní na klávesnici a zpracování textu na počítači zajišťovaných dříve Národním ústavem odborného vzdělávání, rozšíří se § 171 o povinnost MŠMT zajišťovat tyto zkoušky prostřednictvím jím zřízené právnické osoby.</w:t>
      </w:r>
    </w:p>
    <w:p w:rsidR="00E83F50" w:rsidRPr="007C4BE9" w:rsidRDefault="00E83F50" w:rsidP="007C4BE9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BE9">
        <w:rPr>
          <w:rFonts w:ascii="Times New Roman" w:hAnsi="Times New Roman" w:cs="Times New Roman"/>
          <w:sz w:val="24"/>
          <w:szCs w:val="24"/>
        </w:rPr>
        <w:t xml:space="preserve">Sjednocení způsobu </w:t>
      </w:r>
      <w:r w:rsidR="00FB6FDA" w:rsidRPr="007C4BE9">
        <w:rPr>
          <w:rFonts w:ascii="Times New Roman" w:hAnsi="Times New Roman" w:cs="Times New Roman"/>
          <w:sz w:val="24"/>
          <w:szCs w:val="24"/>
        </w:rPr>
        <w:t>doručování rozhodnutí v přijímacím řízení</w:t>
      </w:r>
      <w:r w:rsidR="00D37738" w:rsidRPr="007C4BE9">
        <w:rPr>
          <w:rFonts w:ascii="Times New Roman" w:hAnsi="Times New Roman" w:cs="Times New Roman"/>
          <w:sz w:val="24"/>
          <w:szCs w:val="24"/>
        </w:rPr>
        <w:t xml:space="preserve"> (§ 183 odst. 2)</w:t>
      </w:r>
      <w:r w:rsidR="00FB6FDA" w:rsidRPr="007C4BE9">
        <w:rPr>
          <w:rFonts w:ascii="Times New Roman" w:hAnsi="Times New Roman" w:cs="Times New Roman"/>
          <w:sz w:val="24"/>
          <w:szCs w:val="24"/>
        </w:rPr>
        <w:t xml:space="preserve"> – kladná </w:t>
      </w:r>
      <w:r w:rsidR="00D37738" w:rsidRPr="007C4BE9">
        <w:rPr>
          <w:rFonts w:ascii="Times New Roman" w:hAnsi="Times New Roman" w:cs="Times New Roman"/>
          <w:sz w:val="24"/>
          <w:szCs w:val="24"/>
        </w:rPr>
        <w:t xml:space="preserve">a </w:t>
      </w:r>
      <w:r w:rsidR="00FB6FDA" w:rsidRPr="007C4BE9">
        <w:rPr>
          <w:rFonts w:ascii="Times New Roman" w:hAnsi="Times New Roman" w:cs="Times New Roman"/>
          <w:sz w:val="24"/>
          <w:szCs w:val="24"/>
        </w:rPr>
        <w:t>nově i záporná rozhodnutí se nebudou doručovat do vlastních rukou, ale pouze se zveřejní (formou veřejné vyhlášky na úřední desce školy)</w:t>
      </w:r>
      <w:r w:rsidR="00D37738" w:rsidRPr="007C4BE9">
        <w:rPr>
          <w:rFonts w:ascii="Times New Roman" w:hAnsi="Times New Roman" w:cs="Times New Roman"/>
          <w:sz w:val="24"/>
          <w:szCs w:val="24"/>
        </w:rPr>
        <w:t>.</w:t>
      </w:r>
    </w:p>
    <w:p w:rsidR="00AF4007" w:rsidRPr="00D37738" w:rsidRDefault="00FB6FDA" w:rsidP="00C6139B">
      <w:pPr>
        <w:shd w:val="clear" w:color="auto" w:fill="E5DFEC" w:themeFill="accent4" w:themeFillTint="33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7738">
        <w:rPr>
          <w:rFonts w:ascii="Times New Roman" w:hAnsi="Times New Roman" w:cs="Times New Roman"/>
          <w:b/>
          <w:sz w:val="24"/>
          <w:szCs w:val="24"/>
        </w:rPr>
        <w:t>O</w:t>
      </w:r>
      <w:r w:rsidR="00AF4007" w:rsidRPr="00D37738">
        <w:rPr>
          <w:rFonts w:ascii="Times New Roman" w:hAnsi="Times New Roman" w:cs="Times New Roman"/>
          <w:b/>
          <w:sz w:val="24"/>
          <w:szCs w:val="24"/>
        </w:rPr>
        <w:t xml:space="preserve">proti verzi vzešlé z vypořádání </w:t>
      </w:r>
      <w:r w:rsidRPr="00D37738">
        <w:rPr>
          <w:rFonts w:ascii="Times New Roman" w:hAnsi="Times New Roman" w:cs="Times New Roman"/>
          <w:b/>
          <w:sz w:val="24"/>
          <w:szCs w:val="24"/>
        </w:rPr>
        <w:t xml:space="preserve">připomínek budou v aktuální verzi </w:t>
      </w:r>
      <w:r w:rsidR="00264D69">
        <w:rPr>
          <w:rFonts w:ascii="Times New Roman" w:hAnsi="Times New Roman" w:cs="Times New Roman"/>
          <w:b/>
          <w:sz w:val="24"/>
          <w:szCs w:val="24"/>
        </w:rPr>
        <w:t xml:space="preserve">některé </w:t>
      </w:r>
      <w:r w:rsidRPr="00D37738">
        <w:rPr>
          <w:rFonts w:ascii="Times New Roman" w:hAnsi="Times New Roman" w:cs="Times New Roman"/>
          <w:b/>
          <w:sz w:val="24"/>
          <w:szCs w:val="24"/>
        </w:rPr>
        <w:t xml:space="preserve">rozdíly spočívající </w:t>
      </w:r>
      <w:r w:rsidR="00B10C5B">
        <w:rPr>
          <w:rFonts w:ascii="Times New Roman" w:hAnsi="Times New Roman" w:cs="Times New Roman"/>
          <w:b/>
          <w:sz w:val="24"/>
          <w:szCs w:val="24"/>
        </w:rPr>
        <w:t>převážně</w:t>
      </w:r>
      <w:r w:rsidRPr="00D37738">
        <w:rPr>
          <w:rFonts w:ascii="Times New Roman" w:hAnsi="Times New Roman" w:cs="Times New Roman"/>
          <w:b/>
          <w:sz w:val="24"/>
          <w:szCs w:val="24"/>
        </w:rPr>
        <w:t xml:space="preserve"> v technických záležitostech:</w:t>
      </w:r>
    </w:p>
    <w:p w:rsidR="00C6139B" w:rsidRPr="005F2CB3" w:rsidRDefault="00D37738" w:rsidP="00C6139B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CB3">
        <w:rPr>
          <w:rFonts w:ascii="Times New Roman" w:hAnsi="Times New Roman" w:cs="Times New Roman"/>
          <w:sz w:val="24"/>
          <w:szCs w:val="24"/>
        </w:rPr>
        <w:t>Budou opravena ustanovení o termínech doručování rozhodnutí o přijetí nebo nepřijetí ke střednímu vzdělávání v oborech vzdělání s talentovou zkouškou a vzdělávání v konzervatoři. Při té příležitosti se dosud odlišné termíny sjednotí.</w:t>
      </w:r>
    </w:p>
    <w:p w:rsidR="00C6139B" w:rsidRPr="005F2CB3" w:rsidRDefault="0029617E" w:rsidP="00C6139B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CB3">
        <w:rPr>
          <w:rFonts w:ascii="Times New Roman" w:hAnsi="Times New Roman" w:cs="Times New Roman"/>
          <w:sz w:val="24"/>
          <w:szCs w:val="24"/>
        </w:rPr>
        <w:t xml:space="preserve">Aktuální znění návrhu již neobsahuje </w:t>
      </w:r>
      <w:r w:rsidR="0011078E">
        <w:rPr>
          <w:rFonts w:ascii="Times New Roman" w:hAnsi="Times New Roman" w:cs="Times New Roman"/>
          <w:sz w:val="24"/>
          <w:szCs w:val="24"/>
        </w:rPr>
        <w:t xml:space="preserve">rozsáhlé </w:t>
      </w:r>
      <w:r w:rsidRPr="005F2CB3">
        <w:rPr>
          <w:rFonts w:ascii="Times New Roman" w:hAnsi="Times New Roman" w:cs="Times New Roman"/>
          <w:sz w:val="24"/>
          <w:szCs w:val="24"/>
        </w:rPr>
        <w:t>změny v ustanoveních o p</w:t>
      </w:r>
      <w:r w:rsidR="00AF4007" w:rsidRPr="005F2CB3">
        <w:rPr>
          <w:rFonts w:ascii="Times New Roman" w:hAnsi="Times New Roman" w:cs="Times New Roman"/>
          <w:sz w:val="24"/>
          <w:szCs w:val="24"/>
        </w:rPr>
        <w:t>ůsobnost</w:t>
      </w:r>
      <w:r w:rsidRPr="005F2CB3">
        <w:rPr>
          <w:rFonts w:ascii="Times New Roman" w:hAnsi="Times New Roman" w:cs="Times New Roman"/>
          <w:sz w:val="24"/>
          <w:szCs w:val="24"/>
        </w:rPr>
        <w:t>i</w:t>
      </w:r>
      <w:r w:rsidR="00AF4007" w:rsidRPr="005F2CB3">
        <w:rPr>
          <w:rFonts w:ascii="Times New Roman" w:hAnsi="Times New Roman" w:cs="Times New Roman"/>
          <w:sz w:val="24"/>
          <w:szCs w:val="24"/>
        </w:rPr>
        <w:t xml:space="preserve"> a pravidl</w:t>
      </w:r>
      <w:r w:rsidRPr="005F2CB3">
        <w:rPr>
          <w:rFonts w:ascii="Times New Roman" w:hAnsi="Times New Roman" w:cs="Times New Roman"/>
          <w:sz w:val="24"/>
          <w:szCs w:val="24"/>
        </w:rPr>
        <w:t>ech</w:t>
      </w:r>
      <w:r w:rsidR="00AF4007" w:rsidRPr="005F2CB3">
        <w:rPr>
          <w:rFonts w:ascii="Times New Roman" w:hAnsi="Times New Roman" w:cs="Times New Roman"/>
          <w:sz w:val="24"/>
          <w:szCs w:val="24"/>
        </w:rPr>
        <w:t xml:space="preserve"> </w:t>
      </w:r>
      <w:r w:rsidR="003C1AC6" w:rsidRPr="005F2CB3">
        <w:rPr>
          <w:rFonts w:ascii="Times New Roman" w:hAnsi="Times New Roman" w:cs="Times New Roman"/>
          <w:sz w:val="24"/>
          <w:szCs w:val="24"/>
        </w:rPr>
        <w:t>či</w:t>
      </w:r>
      <w:r w:rsidR="00AF4007" w:rsidRPr="005F2CB3">
        <w:rPr>
          <w:rFonts w:ascii="Times New Roman" w:hAnsi="Times New Roman" w:cs="Times New Roman"/>
          <w:sz w:val="24"/>
          <w:szCs w:val="24"/>
        </w:rPr>
        <w:t>nnosti České školní inspekce (§ 174 až 176)</w:t>
      </w:r>
      <w:r w:rsidR="00111D71">
        <w:rPr>
          <w:rFonts w:ascii="Times New Roman" w:hAnsi="Times New Roman" w:cs="Times New Roman"/>
          <w:sz w:val="24"/>
          <w:szCs w:val="24"/>
        </w:rPr>
        <w:t xml:space="preserve"> – harmonizace s novým kontrolním řádem bude provedena změnovým zákonem v gesci Ministerstva vnitra.</w:t>
      </w:r>
    </w:p>
    <w:p w:rsidR="0051336A" w:rsidRPr="00C6139B" w:rsidRDefault="00B10C5B" w:rsidP="00C6139B">
      <w:pPr>
        <w:shd w:val="clear" w:color="auto" w:fill="E5DFEC" w:themeFill="accent4" w:themeFillTint="33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39B">
        <w:rPr>
          <w:rFonts w:ascii="Times New Roman" w:hAnsi="Times New Roman" w:cs="Times New Roman"/>
          <w:b/>
          <w:sz w:val="24"/>
          <w:szCs w:val="24"/>
        </w:rPr>
        <w:t>Věcným rozšířením novely</w:t>
      </w:r>
      <w:r w:rsidR="00264D69" w:rsidRPr="00C613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42D9" w:rsidRPr="00C6139B">
        <w:rPr>
          <w:rFonts w:ascii="Times New Roman" w:hAnsi="Times New Roman" w:cs="Times New Roman"/>
          <w:b/>
          <w:sz w:val="24"/>
          <w:szCs w:val="24"/>
        </w:rPr>
        <w:t>oproti verzi vycházejí</w:t>
      </w:r>
      <w:r w:rsidR="00C6139B" w:rsidRPr="00C6139B">
        <w:rPr>
          <w:rFonts w:ascii="Times New Roman" w:hAnsi="Times New Roman" w:cs="Times New Roman"/>
          <w:b/>
          <w:sz w:val="24"/>
          <w:szCs w:val="24"/>
        </w:rPr>
        <w:t>cí</w:t>
      </w:r>
      <w:r w:rsidR="00F342D9" w:rsidRPr="00C6139B">
        <w:rPr>
          <w:rFonts w:ascii="Times New Roman" w:hAnsi="Times New Roman" w:cs="Times New Roman"/>
          <w:b/>
          <w:sz w:val="24"/>
          <w:szCs w:val="24"/>
        </w:rPr>
        <w:t xml:space="preserve"> z připomínkového řízení </w:t>
      </w:r>
      <w:r w:rsidR="00264D69" w:rsidRPr="00C6139B">
        <w:rPr>
          <w:rFonts w:ascii="Times New Roman" w:hAnsi="Times New Roman" w:cs="Times New Roman"/>
          <w:b/>
          <w:sz w:val="24"/>
          <w:szCs w:val="24"/>
        </w:rPr>
        <w:t>bude</w:t>
      </w:r>
      <w:r w:rsidR="00C6139B" w:rsidRPr="00C6139B">
        <w:rPr>
          <w:rFonts w:ascii="Times New Roman" w:hAnsi="Times New Roman" w:cs="Times New Roman"/>
          <w:b/>
          <w:sz w:val="24"/>
          <w:szCs w:val="24"/>
        </w:rPr>
        <w:t>:</w:t>
      </w:r>
    </w:p>
    <w:p w:rsidR="00AF4007" w:rsidRPr="005F2CB3" w:rsidRDefault="008D161A" w:rsidP="00C6139B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vyhrazení p</w:t>
      </w:r>
      <w:r w:rsidR="00B10C5B" w:rsidRPr="005F2CB3">
        <w:rPr>
          <w:rFonts w:ascii="Times New Roman" w:hAnsi="Times New Roman" w:cs="Times New Roman"/>
          <w:sz w:val="24"/>
          <w:szCs w:val="24"/>
        </w:rPr>
        <w:t xml:space="preserve">ráva na přednostní přijetí do mateřské školy </w:t>
      </w:r>
      <w:r w:rsidR="0051336A" w:rsidRPr="005F2CB3">
        <w:rPr>
          <w:rFonts w:ascii="Times New Roman" w:hAnsi="Times New Roman" w:cs="Times New Roman"/>
          <w:sz w:val="24"/>
          <w:szCs w:val="24"/>
        </w:rPr>
        <w:t xml:space="preserve">(§ 34 odst. 4, § 179 odst. 3) </w:t>
      </w:r>
      <w:r w:rsidR="00B10C5B" w:rsidRPr="005F2CB3">
        <w:rPr>
          <w:rFonts w:ascii="Times New Roman" w:hAnsi="Times New Roman" w:cs="Times New Roman"/>
          <w:sz w:val="24"/>
          <w:szCs w:val="24"/>
        </w:rPr>
        <w:t xml:space="preserve">pouze </w:t>
      </w:r>
      <w:r>
        <w:rPr>
          <w:rFonts w:ascii="Times New Roman" w:hAnsi="Times New Roman" w:cs="Times New Roman"/>
          <w:sz w:val="24"/>
          <w:szCs w:val="24"/>
        </w:rPr>
        <w:t>dětem</w:t>
      </w:r>
      <w:r w:rsidR="00B10C5B" w:rsidRPr="005F2CB3">
        <w:rPr>
          <w:rFonts w:ascii="Times New Roman" w:hAnsi="Times New Roman" w:cs="Times New Roman"/>
          <w:sz w:val="24"/>
          <w:szCs w:val="24"/>
        </w:rPr>
        <w:t xml:space="preserve"> s trvalým pobytem na území obce zřizující školu nebo obce, která s obcí zřizující školu uzavřela dohodu o zajištění kapacit předškolního vzdělávání. Reaguje se na aktuální situaci v souladu s dlouhodobým požadavkem Svazu měst a obcí </w:t>
      </w:r>
      <w:r w:rsidR="0051336A" w:rsidRPr="005F2CB3">
        <w:rPr>
          <w:rFonts w:ascii="Times New Roman" w:hAnsi="Times New Roman" w:cs="Times New Roman"/>
          <w:sz w:val="24"/>
          <w:szCs w:val="24"/>
        </w:rPr>
        <w:t>ČR;</w:t>
      </w:r>
    </w:p>
    <w:p w:rsidR="0051336A" w:rsidRPr="005F2CB3" w:rsidRDefault="0051336A" w:rsidP="00C6139B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CB3">
        <w:rPr>
          <w:rFonts w:ascii="Times New Roman" w:hAnsi="Times New Roman" w:cs="Times New Roman"/>
          <w:sz w:val="24"/>
          <w:szCs w:val="24"/>
        </w:rPr>
        <w:t xml:space="preserve">přímá </w:t>
      </w:r>
      <w:proofErr w:type="spellStart"/>
      <w:r w:rsidRPr="005F2CB3">
        <w:rPr>
          <w:rFonts w:ascii="Times New Roman" w:hAnsi="Times New Roman" w:cs="Times New Roman"/>
          <w:sz w:val="24"/>
          <w:szCs w:val="24"/>
        </w:rPr>
        <w:t>uznatelnost</w:t>
      </w:r>
      <w:proofErr w:type="spellEnd"/>
      <w:r w:rsidRPr="005F2CB3">
        <w:rPr>
          <w:rFonts w:ascii="Times New Roman" w:hAnsi="Times New Roman" w:cs="Times New Roman"/>
          <w:sz w:val="24"/>
          <w:szCs w:val="24"/>
        </w:rPr>
        <w:t xml:space="preserve"> zahraničních dokladů o vzdělání srovnatelných na základě EQF a podobných nástrojů (§ 108 odst. 6)</w:t>
      </w:r>
      <w:r w:rsidR="00264D69" w:rsidRPr="005F2CB3">
        <w:rPr>
          <w:rFonts w:ascii="Times New Roman" w:hAnsi="Times New Roman" w:cs="Times New Roman"/>
          <w:sz w:val="24"/>
          <w:szCs w:val="24"/>
        </w:rPr>
        <w:t>,</w:t>
      </w:r>
    </w:p>
    <w:p w:rsidR="00264D69" w:rsidRPr="005F2CB3" w:rsidRDefault="00264D69" w:rsidP="00C6139B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CB3">
        <w:rPr>
          <w:rFonts w:ascii="Times New Roman" w:hAnsi="Times New Roman" w:cs="Times New Roman"/>
          <w:sz w:val="24"/>
          <w:szCs w:val="24"/>
        </w:rPr>
        <w:t xml:space="preserve">odstranění nesystémového ztotožnění středisek výchovné péče se školskými poradenskými zařízeními </w:t>
      </w:r>
      <w:r w:rsidR="00F342D9" w:rsidRPr="005F2CB3">
        <w:rPr>
          <w:rFonts w:ascii="Times New Roman" w:hAnsi="Times New Roman" w:cs="Times New Roman"/>
          <w:sz w:val="24"/>
          <w:szCs w:val="24"/>
        </w:rPr>
        <w:t xml:space="preserve">(§ 116 a 121) </w:t>
      </w:r>
      <w:r w:rsidRPr="005F2CB3">
        <w:rPr>
          <w:rFonts w:ascii="Times New Roman" w:hAnsi="Times New Roman" w:cs="Times New Roman"/>
          <w:sz w:val="24"/>
          <w:szCs w:val="24"/>
        </w:rPr>
        <w:t xml:space="preserve">a </w:t>
      </w:r>
      <w:r w:rsidR="00F342D9" w:rsidRPr="005F2CB3">
        <w:rPr>
          <w:rFonts w:ascii="Times New Roman" w:hAnsi="Times New Roman" w:cs="Times New Roman"/>
          <w:sz w:val="24"/>
          <w:szCs w:val="24"/>
        </w:rPr>
        <w:t>vyhrazení zřizovatelské působnosti k těmto zařízením a k výchovným a diagnostickým ústavům MŠMT (§ 169 odst. 3).</w:t>
      </w:r>
    </w:p>
    <w:p w:rsidR="001968D6" w:rsidRDefault="001968D6" w:rsidP="00C6139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535F" w:rsidRDefault="006C414A" w:rsidP="00C6139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Praze dne 18</w:t>
      </w:r>
      <w:bookmarkStart w:id="0" w:name="_GoBack"/>
      <w:bookmarkEnd w:id="0"/>
      <w:r w:rsidR="005F535F">
        <w:rPr>
          <w:rFonts w:ascii="Times New Roman" w:hAnsi="Times New Roman" w:cs="Times New Roman"/>
          <w:sz w:val="24"/>
          <w:szCs w:val="24"/>
        </w:rPr>
        <w:t xml:space="preserve">. </w:t>
      </w:r>
      <w:r w:rsidR="00D72716">
        <w:rPr>
          <w:rFonts w:ascii="Times New Roman" w:hAnsi="Times New Roman" w:cs="Times New Roman"/>
          <w:sz w:val="24"/>
          <w:szCs w:val="24"/>
        </w:rPr>
        <w:t xml:space="preserve">listopadu </w:t>
      </w:r>
      <w:r w:rsidR="005F535F">
        <w:rPr>
          <w:rFonts w:ascii="Times New Roman" w:hAnsi="Times New Roman" w:cs="Times New Roman"/>
          <w:sz w:val="24"/>
          <w:szCs w:val="24"/>
        </w:rPr>
        <w:t>2013</w:t>
      </w:r>
    </w:p>
    <w:sectPr w:rsidR="005F535F" w:rsidSect="00F7765D">
      <w:footerReference w:type="default" r:id="rId7"/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D80" w:rsidRDefault="00216D80" w:rsidP="00F7765D">
      <w:pPr>
        <w:spacing w:after="0" w:line="240" w:lineRule="auto"/>
      </w:pPr>
      <w:r>
        <w:separator/>
      </w:r>
    </w:p>
  </w:endnote>
  <w:endnote w:type="continuationSeparator" w:id="0">
    <w:p w:rsidR="00216D80" w:rsidRDefault="00216D80" w:rsidP="00F77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5655976"/>
      <w:docPartObj>
        <w:docPartGallery w:val="Page Numbers (Bottom of Page)"/>
        <w:docPartUnique/>
      </w:docPartObj>
    </w:sdtPr>
    <w:sdtContent>
      <w:p w:rsidR="00F7765D" w:rsidRDefault="003F308C">
        <w:pPr>
          <w:pStyle w:val="Zpat"/>
          <w:jc w:val="center"/>
        </w:pPr>
        <w:r>
          <w:fldChar w:fldCharType="begin"/>
        </w:r>
        <w:r w:rsidR="00F7765D">
          <w:instrText>PAGE   \* MERGEFORMAT</w:instrText>
        </w:r>
        <w:r>
          <w:fldChar w:fldCharType="separate"/>
        </w:r>
        <w:r w:rsidR="00672660">
          <w:rPr>
            <w:noProof/>
          </w:rPr>
          <w:t>1</w:t>
        </w:r>
        <w:r>
          <w:fldChar w:fldCharType="end"/>
        </w:r>
      </w:p>
    </w:sdtContent>
  </w:sdt>
  <w:p w:rsidR="00F7765D" w:rsidRDefault="00F7765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D80" w:rsidRDefault="00216D80" w:rsidP="00F7765D">
      <w:pPr>
        <w:spacing w:after="0" w:line="240" w:lineRule="auto"/>
      </w:pPr>
      <w:r>
        <w:separator/>
      </w:r>
    </w:p>
  </w:footnote>
  <w:footnote w:type="continuationSeparator" w:id="0">
    <w:p w:rsidR="00216D80" w:rsidRDefault="00216D80" w:rsidP="00F77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6167E"/>
    <w:multiLevelType w:val="hybridMultilevel"/>
    <w:tmpl w:val="69347B82"/>
    <w:lvl w:ilvl="0" w:tplc="94C4CF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3D1D98"/>
    <w:multiLevelType w:val="hybridMultilevel"/>
    <w:tmpl w:val="C3F2C4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342B89"/>
    <w:multiLevelType w:val="hybridMultilevel"/>
    <w:tmpl w:val="CBE4935E"/>
    <w:lvl w:ilvl="0" w:tplc="776611EE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295DED"/>
    <w:multiLevelType w:val="hybridMultilevel"/>
    <w:tmpl w:val="596E64F0"/>
    <w:lvl w:ilvl="0" w:tplc="776611EE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DA3"/>
    <w:rsid w:val="0008436E"/>
    <w:rsid w:val="00086760"/>
    <w:rsid w:val="000A70D4"/>
    <w:rsid w:val="000B5526"/>
    <w:rsid w:val="000F43E0"/>
    <w:rsid w:val="00101770"/>
    <w:rsid w:val="00103B3B"/>
    <w:rsid w:val="0011078E"/>
    <w:rsid w:val="00111D71"/>
    <w:rsid w:val="00115382"/>
    <w:rsid w:val="001850CE"/>
    <w:rsid w:val="001968D6"/>
    <w:rsid w:val="001D5BFE"/>
    <w:rsid w:val="001E4FDB"/>
    <w:rsid w:val="002010BE"/>
    <w:rsid w:val="00216D80"/>
    <w:rsid w:val="002171D3"/>
    <w:rsid w:val="00220107"/>
    <w:rsid w:val="00226EA8"/>
    <w:rsid w:val="00264D69"/>
    <w:rsid w:val="00282BDF"/>
    <w:rsid w:val="0029617E"/>
    <w:rsid w:val="002D23F1"/>
    <w:rsid w:val="002E12C3"/>
    <w:rsid w:val="002E3B8B"/>
    <w:rsid w:val="003144A8"/>
    <w:rsid w:val="003151EF"/>
    <w:rsid w:val="00316721"/>
    <w:rsid w:val="00317DA3"/>
    <w:rsid w:val="00327300"/>
    <w:rsid w:val="00353E50"/>
    <w:rsid w:val="0039612F"/>
    <w:rsid w:val="003C1AC6"/>
    <w:rsid w:val="003D2C30"/>
    <w:rsid w:val="003E075A"/>
    <w:rsid w:val="003F308C"/>
    <w:rsid w:val="00497EBB"/>
    <w:rsid w:val="004A2D94"/>
    <w:rsid w:val="00500989"/>
    <w:rsid w:val="0051336A"/>
    <w:rsid w:val="005240A0"/>
    <w:rsid w:val="0053056E"/>
    <w:rsid w:val="005C3F91"/>
    <w:rsid w:val="005E39C1"/>
    <w:rsid w:val="005F0951"/>
    <w:rsid w:val="005F2CB3"/>
    <w:rsid w:val="005F384B"/>
    <w:rsid w:val="005F535F"/>
    <w:rsid w:val="00605C58"/>
    <w:rsid w:val="0061308E"/>
    <w:rsid w:val="00616212"/>
    <w:rsid w:val="006705CE"/>
    <w:rsid w:val="00672660"/>
    <w:rsid w:val="00682374"/>
    <w:rsid w:val="006C414A"/>
    <w:rsid w:val="006D1075"/>
    <w:rsid w:val="0075549F"/>
    <w:rsid w:val="0077233F"/>
    <w:rsid w:val="00772DE3"/>
    <w:rsid w:val="007C4BE9"/>
    <w:rsid w:val="00812A92"/>
    <w:rsid w:val="008142B3"/>
    <w:rsid w:val="008151DC"/>
    <w:rsid w:val="008510B0"/>
    <w:rsid w:val="0086509B"/>
    <w:rsid w:val="008B50E0"/>
    <w:rsid w:val="008D161A"/>
    <w:rsid w:val="008F08D1"/>
    <w:rsid w:val="008F7DA5"/>
    <w:rsid w:val="009119BC"/>
    <w:rsid w:val="00914B4F"/>
    <w:rsid w:val="00917731"/>
    <w:rsid w:val="009327FC"/>
    <w:rsid w:val="0095024C"/>
    <w:rsid w:val="009C059F"/>
    <w:rsid w:val="009C7393"/>
    <w:rsid w:val="00A53C71"/>
    <w:rsid w:val="00AF4007"/>
    <w:rsid w:val="00B04A45"/>
    <w:rsid w:val="00B104A6"/>
    <w:rsid w:val="00B10C5B"/>
    <w:rsid w:val="00B26CC4"/>
    <w:rsid w:val="00B31553"/>
    <w:rsid w:val="00B650C4"/>
    <w:rsid w:val="00BC316A"/>
    <w:rsid w:val="00BC3202"/>
    <w:rsid w:val="00BC5934"/>
    <w:rsid w:val="00BD4CFD"/>
    <w:rsid w:val="00BD639F"/>
    <w:rsid w:val="00C15C41"/>
    <w:rsid w:val="00C41404"/>
    <w:rsid w:val="00C54ADB"/>
    <w:rsid w:val="00C6139B"/>
    <w:rsid w:val="00C84DBA"/>
    <w:rsid w:val="00C87AC1"/>
    <w:rsid w:val="00CD7A9C"/>
    <w:rsid w:val="00CE197F"/>
    <w:rsid w:val="00CE5B3C"/>
    <w:rsid w:val="00D04A63"/>
    <w:rsid w:val="00D248B7"/>
    <w:rsid w:val="00D268B1"/>
    <w:rsid w:val="00D37738"/>
    <w:rsid w:val="00D61288"/>
    <w:rsid w:val="00D72716"/>
    <w:rsid w:val="00DA3451"/>
    <w:rsid w:val="00DA5B77"/>
    <w:rsid w:val="00DA7E41"/>
    <w:rsid w:val="00DC6C4E"/>
    <w:rsid w:val="00DE3180"/>
    <w:rsid w:val="00DF0CD3"/>
    <w:rsid w:val="00E03FBB"/>
    <w:rsid w:val="00E04474"/>
    <w:rsid w:val="00E4579A"/>
    <w:rsid w:val="00E73397"/>
    <w:rsid w:val="00E83F50"/>
    <w:rsid w:val="00E978D7"/>
    <w:rsid w:val="00EA3CC2"/>
    <w:rsid w:val="00EC77E1"/>
    <w:rsid w:val="00F04E04"/>
    <w:rsid w:val="00F342D9"/>
    <w:rsid w:val="00F7765D"/>
    <w:rsid w:val="00F837E4"/>
    <w:rsid w:val="00FA6281"/>
    <w:rsid w:val="00FB6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7DA3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0F43E0"/>
    <w:pPr>
      <w:keepNext/>
      <w:keepLines/>
      <w:shd w:val="clear" w:color="auto" w:fill="C6D9F1" w:themeFill="text2" w:themeFillTint="33"/>
      <w:spacing w:after="120"/>
      <w:outlineLvl w:val="0"/>
    </w:pPr>
    <w:rPr>
      <w:rFonts w:ascii="Cambria" w:eastAsiaTheme="majorEastAsia" w:hAnsi="Cambria" w:cstheme="majorBidi"/>
      <w:b/>
      <w:b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F43E0"/>
    <w:rPr>
      <w:rFonts w:ascii="Cambria" w:eastAsiaTheme="majorEastAsia" w:hAnsi="Cambria" w:cstheme="majorBidi"/>
      <w:b/>
      <w:bCs/>
      <w:szCs w:val="28"/>
      <w:shd w:val="clear" w:color="auto" w:fill="C6D9F1" w:themeFill="text2" w:themeFillTint="33"/>
    </w:rPr>
  </w:style>
  <w:style w:type="paragraph" w:styleId="Odstavecseseznamem">
    <w:name w:val="List Paragraph"/>
    <w:basedOn w:val="Normln"/>
    <w:uiPriority w:val="99"/>
    <w:qFormat/>
    <w:rsid w:val="00317DA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77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765D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F77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765D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7DA3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0F43E0"/>
    <w:pPr>
      <w:keepNext/>
      <w:keepLines/>
      <w:shd w:val="clear" w:color="auto" w:fill="C6D9F1" w:themeFill="text2" w:themeFillTint="33"/>
      <w:spacing w:after="120"/>
      <w:outlineLvl w:val="0"/>
    </w:pPr>
    <w:rPr>
      <w:rFonts w:ascii="Cambria" w:eastAsiaTheme="majorEastAsia" w:hAnsi="Cambria" w:cstheme="majorBidi"/>
      <w:b/>
      <w:b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F43E0"/>
    <w:rPr>
      <w:rFonts w:ascii="Cambria" w:eastAsiaTheme="majorEastAsia" w:hAnsi="Cambria" w:cstheme="majorBidi"/>
      <w:b/>
      <w:bCs/>
      <w:szCs w:val="28"/>
      <w:shd w:val="clear" w:color="auto" w:fill="C6D9F1" w:themeFill="text2" w:themeFillTint="33"/>
    </w:rPr>
  </w:style>
  <w:style w:type="paragraph" w:styleId="Odstavecseseznamem">
    <w:name w:val="List Paragraph"/>
    <w:basedOn w:val="Normln"/>
    <w:uiPriority w:val="34"/>
    <w:qFormat/>
    <w:rsid w:val="00317D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781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Vokáč Petr</dc:creator>
  <cp:lastModifiedBy>rydl</cp:lastModifiedBy>
  <cp:revision>4</cp:revision>
  <cp:lastPrinted>2012-10-02T12:38:00Z</cp:lastPrinted>
  <dcterms:created xsi:type="dcterms:W3CDTF">2013-11-26T13:49:00Z</dcterms:created>
  <dcterms:modified xsi:type="dcterms:W3CDTF">2013-11-26T13:59:00Z</dcterms:modified>
</cp:coreProperties>
</file>