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65652843"/>
        <w:docPartObj>
          <w:docPartGallery w:val="Cover Pages"/>
          <w:docPartUnique/>
        </w:docPartObj>
      </w:sdtPr>
      <w:sdtEndPr>
        <w:rPr>
          <w:b/>
          <w:bCs/>
          <w:kern w:val="32"/>
          <w:sz w:val="40"/>
          <w:szCs w:val="32"/>
        </w:rPr>
      </w:sdtEndPr>
      <w:sdtContent>
        <w:p w:rsidR="00CA350A" w:rsidRDefault="00CA350A"/>
        <w:p w:rsidR="00CA350A" w:rsidRPr="00451C69" w:rsidRDefault="00CA350A" w:rsidP="00CA350A">
          <w:r w:rsidRPr="00451C69">
            <w:t>Ministerstvo financí</w:t>
          </w:r>
        </w:p>
        <w:p w:rsidR="00CA350A" w:rsidRPr="009869B6" w:rsidRDefault="00CA350A" w:rsidP="00CA350A">
          <w:pPr>
            <w:spacing w:after="120"/>
          </w:pPr>
          <w:r>
            <w:t>č.</w:t>
          </w:r>
          <w:r w:rsidR="0097027B">
            <w:t xml:space="preserve"> </w:t>
          </w:r>
          <w:r>
            <w:t xml:space="preserve">j. MF- </w:t>
          </w:r>
          <w:r w:rsidR="0097027B">
            <w:t>26 622</w:t>
          </w:r>
          <w:r w:rsidRPr="009869B6">
            <w:t>/201</w:t>
          </w:r>
          <w:r w:rsidR="009C4F02">
            <w:t>5</w:t>
          </w:r>
          <w:r>
            <w:t>/11</w:t>
          </w:r>
        </w:p>
        <w:p w:rsidR="00CA350A" w:rsidRPr="00451C69" w:rsidRDefault="00CA350A" w:rsidP="00CA350A"/>
        <w:p w:rsidR="00CA350A" w:rsidRPr="00451C69" w:rsidRDefault="00CA350A" w:rsidP="00CA350A"/>
        <w:p w:rsidR="00CA350A" w:rsidRPr="00451C69" w:rsidRDefault="00CA350A" w:rsidP="00CA350A"/>
        <w:p w:rsidR="00CA350A" w:rsidRPr="00451C69" w:rsidRDefault="00CA350A" w:rsidP="00CA350A"/>
        <w:p w:rsidR="00CA350A" w:rsidRPr="00451C69" w:rsidRDefault="00CA350A" w:rsidP="00CA350A"/>
        <w:p w:rsidR="00CA350A" w:rsidRPr="00451C69" w:rsidRDefault="00CA350A" w:rsidP="00CA350A"/>
        <w:p w:rsidR="00CA350A" w:rsidRPr="00451C69" w:rsidRDefault="00CA350A" w:rsidP="00CA350A"/>
        <w:p w:rsidR="00CA350A" w:rsidRPr="00451C69" w:rsidRDefault="00CA350A" w:rsidP="00CA350A"/>
        <w:p w:rsidR="00CA350A" w:rsidRPr="00451C69" w:rsidRDefault="00CA350A" w:rsidP="00CA350A"/>
        <w:p w:rsidR="00CA350A" w:rsidRPr="00451C69" w:rsidRDefault="00CA350A" w:rsidP="00CA350A">
          <w:pPr>
            <w:rPr>
              <w:sz w:val="44"/>
            </w:rPr>
          </w:pPr>
        </w:p>
        <w:p w:rsidR="00CA350A" w:rsidRPr="00451C69" w:rsidRDefault="00CA350A" w:rsidP="00CA350A">
          <w:pPr>
            <w:jc w:val="center"/>
            <w:rPr>
              <w:b/>
              <w:bCs/>
              <w:sz w:val="44"/>
            </w:rPr>
          </w:pPr>
          <w:r w:rsidRPr="00451C69">
            <w:rPr>
              <w:b/>
              <w:bCs/>
              <w:sz w:val="44"/>
            </w:rPr>
            <w:t>J.</w:t>
          </w:r>
        </w:p>
        <w:p w:rsidR="00CA350A" w:rsidRPr="00451C69" w:rsidRDefault="00CA350A" w:rsidP="00CA350A">
          <w:pPr>
            <w:jc w:val="center"/>
            <w:rPr>
              <w:b/>
              <w:bCs/>
              <w:sz w:val="44"/>
            </w:rPr>
          </w:pPr>
        </w:p>
        <w:p w:rsidR="00CA350A" w:rsidRPr="00451C69" w:rsidRDefault="00CA350A" w:rsidP="00CA350A">
          <w:pPr>
            <w:jc w:val="center"/>
            <w:rPr>
              <w:b/>
              <w:bCs/>
              <w:sz w:val="44"/>
            </w:rPr>
          </w:pPr>
          <w:r w:rsidRPr="00451C69">
            <w:rPr>
              <w:b/>
              <w:bCs/>
              <w:sz w:val="44"/>
            </w:rPr>
            <w:t>Rozpočty územních samosprávných celků, dobrovolných svazků obcí a regionálních rad regionů soudržnosti</w:t>
          </w: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sz w:val="40"/>
            </w:rPr>
          </w:pPr>
        </w:p>
        <w:p w:rsidR="00CA350A" w:rsidRDefault="00CA350A" w:rsidP="00CA350A">
          <w:pPr>
            <w:rPr>
              <w:b/>
              <w:bCs/>
              <w:kern w:val="32"/>
              <w:sz w:val="40"/>
              <w:szCs w:val="32"/>
            </w:rPr>
          </w:pPr>
          <w:r w:rsidRPr="00451C69">
            <w:rPr>
              <w:b/>
              <w:bCs/>
              <w:sz w:val="40"/>
            </w:rPr>
            <w:br w:type="page"/>
          </w:r>
        </w:p>
      </w:sdtContent>
    </w:sdt>
    <w:sdt>
      <w:sdtPr>
        <w:rPr>
          <w:noProof/>
          <w:sz w:val="24"/>
          <w:szCs w:val="24"/>
        </w:rPr>
        <w:id w:val="1278444416"/>
        <w:docPartObj>
          <w:docPartGallery w:val="Table of Contents"/>
          <w:docPartUnique/>
        </w:docPartObj>
      </w:sdtPr>
      <w:sdtEndPr>
        <w:rPr>
          <w:b/>
          <w:bCs/>
          <w:noProof w:val="0"/>
        </w:rPr>
      </w:sdtEndPr>
      <w:sdtContent>
        <w:p w:rsidR="00AF5B59" w:rsidRPr="00AF5B59" w:rsidRDefault="003B3D21" w:rsidP="00AF5B59">
          <w:pPr>
            <w:pStyle w:val="Obsah1"/>
            <w:tabs>
              <w:tab w:val="left" w:pos="440"/>
              <w:tab w:val="right" w:leader="dot" w:pos="9060"/>
            </w:tabs>
            <w:rPr>
              <w:b/>
              <w:noProof/>
              <w:sz w:val="40"/>
            </w:rPr>
          </w:pPr>
          <w:r w:rsidRPr="003B3D21">
            <w:rPr>
              <w:b/>
              <w:noProof/>
              <w:sz w:val="40"/>
            </w:rPr>
            <w:t>Obsah</w:t>
          </w:r>
        </w:p>
        <w:p w:rsidR="00953CE2" w:rsidRDefault="003B3D21">
          <w:pPr>
            <w:pStyle w:val="Obsah1"/>
            <w:tabs>
              <w:tab w:val="left" w:pos="440"/>
              <w:tab w:val="right" w:leader="dot" w:pos="906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28431386" w:history="1">
            <w:r w:rsidR="00953CE2" w:rsidRPr="00B832EB">
              <w:rPr>
                <w:rStyle w:val="Hypertextovodkaz"/>
                <w:noProof/>
              </w:rPr>
              <w:t>1</w:t>
            </w:r>
            <w:r w:rsidR="00953CE2">
              <w:rPr>
                <w:rFonts w:asciiTheme="minorHAnsi" w:eastAsiaTheme="minorEastAsia" w:hAnsiTheme="minorHAnsi" w:cstheme="minorBidi"/>
                <w:noProof/>
              </w:rPr>
              <w:tab/>
            </w:r>
            <w:r w:rsidR="00953CE2" w:rsidRPr="00B832EB">
              <w:rPr>
                <w:rStyle w:val="Hypertextovodkaz"/>
                <w:noProof/>
              </w:rPr>
              <w:t>Úvod</w:t>
            </w:r>
            <w:r w:rsidR="00953CE2">
              <w:rPr>
                <w:noProof/>
                <w:webHidden/>
              </w:rPr>
              <w:tab/>
            </w:r>
            <w:r w:rsidR="00953CE2">
              <w:rPr>
                <w:noProof/>
                <w:webHidden/>
              </w:rPr>
              <w:fldChar w:fldCharType="begin"/>
            </w:r>
            <w:r w:rsidR="00953CE2">
              <w:rPr>
                <w:noProof/>
                <w:webHidden/>
              </w:rPr>
              <w:instrText xml:space="preserve"> PAGEREF _Toc428431386 \h </w:instrText>
            </w:r>
            <w:r w:rsidR="00953CE2">
              <w:rPr>
                <w:noProof/>
                <w:webHidden/>
              </w:rPr>
            </w:r>
            <w:r w:rsidR="00953CE2">
              <w:rPr>
                <w:noProof/>
                <w:webHidden/>
              </w:rPr>
              <w:fldChar w:fldCharType="separate"/>
            </w:r>
            <w:r w:rsidR="00953CE2">
              <w:rPr>
                <w:noProof/>
                <w:webHidden/>
              </w:rPr>
              <w:t>2</w:t>
            </w:r>
            <w:r w:rsidR="00953CE2">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87" w:history="1">
            <w:r w:rsidRPr="00B832EB">
              <w:rPr>
                <w:rStyle w:val="Hypertextovodkaz"/>
                <w:noProof/>
              </w:rPr>
              <w:t>1.1</w:t>
            </w:r>
            <w:r>
              <w:rPr>
                <w:rFonts w:asciiTheme="minorHAnsi" w:eastAsiaTheme="minorEastAsia" w:hAnsiTheme="minorHAnsi" w:cstheme="minorBidi"/>
                <w:noProof/>
              </w:rPr>
              <w:tab/>
            </w:r>
            <w:r w:rsidRPr="00B832EB">
              <w:rPr>
                <w:rStyle w:val="Hypertextovodkaz"/>
                <w:noProof/>
              </w:rPr>
              <w:t>Územní samosprávné celky (ÚSC)</w:t>
            </w:r>
            <w:r>
              <w:rPr>
                <w:noProof/>
                <w:webHidden/>
              </w:rPr>
              <w:tab/>
            </w:r>
            <w:r>
              <w:rPr>
                <w:noProof/>
                <w:webHidden/>
              </w:rPr>
              <w:fldChar w:fldCharType="begin"/>
            </w:r>
            <w:r>
              <w:rPr>
                <w:noProof/>
                <w:webHidden/>
              </w:rPr>
              <w:instrText xml:space="preserve"> PAGEREF _Toc428431387 \h </w:instrText>
            </w:r>
            <w:r>
              <w:rPr>
                <w:noProof/>
                <w:webHidden/>
              </w:rPr>
            </w:r>
            <w:r>
              <w:rPr>
                <w:noProof/>
                <w:webHidden/>
              </w:rPr>
              <w:fldChar w:fldCharType="separate"/>
            </w:r>
            <w:r>
              <w:rPr>
                <w:noProof/>
                <w:webHidden/>
              </w:rPr>
              <w:t>2</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88" w:history="1">
            <w:r w:rsidRPr="00B832EB">
              <w:rPr>
                <w:rStyle w:val="Hypertextovodkaz"/>
                <w:noProof/>
              </w:rPr>
              <w:t>1.2</w:t>
            </w:r>
            <w:r>
              <w:rPr>
                <w:rFonts w:asciiTheme="minorHAnsi" w:eastAsiaTheme="minorEastAsia" w:hAnsiTheme="minorHAnsi" w:cstheme="minorBidi"/>
                <w:noProof/>
              </w:rPr>
              <w:tab/>
            </w:r>
            <w:r w:rsidRPr="00B832EB">
              <w:rPr>
                <w:rStyle w:val="Hypertextovodkaz"/>
                <w:noProof/>
              </w:rPr>
              <w:t>Další územní rozpočty</w:t>
            </w:r>
            <w:r>
              <w:rPr>
                <w:noProof/>
                <w:webHidden/>
              </w:rPr>
              <w:tab/>
            </w:r>
            <w:r>
              <w:rPr>
                <w:noProof/>
                <w:webHidden/>
              </w:rPr>
              <w:fldChar w:fldCharType="begin"/>
            </w:r>
            <w:r>
              <w:rPr>
                <w:noProof/>
                <w:webHidden/>
              </w:rPr>
              <w:instrText xml:space="preserve"> PAGEREF _Toc428431388 \h </w:instrText>
            </w:r>
            <w:r>
              <w:rPr>
                <w:noProof/>
                <w:webHidden/>
              </w:rPr>
            </w:r>
            <w:r>
              <w:rPr>
                <w:noProof/>
                <w:webHidden/>
              </w:rPr>
              <w:fldChar w:fldCharType="separate"/>
            </w:r>
            <w:r>
              <w:rPr>
                <w:noProof/>
                <w:webHidden/>
              </w:rPr>
              <w:t>3</w:t>
            </w:r>
            <w:r>
              <w:rPr>
                <w:noProof/>
                <w:webHidden/>
              </w:rPr>
              <w:fldChar w:fldCharType="end"/>
            </w:r>
          </w:hyperlink>
        </w:p>
        <w:p w:rsidR="00953CE2" w:rsidRDefault="00953CE2">
          <w:pPr>
            <w:pStyle w:val="Obsah1"/>
            <w:tabs>
              <w:tab w:val="left" w:pos="440"/>
              <w:tab w:val="right" w:leader="dot" w:pos="9060"/>
            </w:tabs>
            <w:rPr>
              <w:rFonts w:asciiTheme="minorHAnsi" w:eastAsiaTheme="minorEastAsia" w:hAnsiTheme="minorHAnsi" w:cstheme="minorBidi"/>
              <w:noProof/>
            </w:rPr>
          </w:pPr>
          <w:hyperlink w:anchor="_Toc428431389" w:history="1">
            <w:r w:rsidRPr="00B832EB">
              <w:rPr>
                <w:rStyle w:val="Hypertextovodkaz"/>
                <w:noProof/>
              </w:rPr>
              <w:t>2</w:t>
            </w:r>
            <w:r>
              <w:rPr>
                <w:rFonts w:asciiTheme="minorHAnsi" w:eastAsiaTheme="minorEastAsia" w:hAnsiTheme="minorHAnsi" w:cstheme="minorBidi"/>
                <w:noProof/>
              </w:rPr>
              <w:tab/>
            </w:r>
            <w:r w:rsidRPr="00B832EB">
              <w:rPr>
                <w:rStyle w:val="Hypertextovodkaz"/>
                <w:noProof/>
              </w:rPr>
              <w:t>Územní rozpočty v letech 2015 a 2016</w:t>
            </w:r>
            <w:r>
              <w:rPr>
                <w:noProof/>
                <w:webHidden/>
              </w:rPr>
              <w:tab/>
            </w:r>
            <w:r>
              <w:rPr>
                <w:noProof/>
                <w:webHidden/>
              </w:rPr>
              <w:fldChar w:fldCharType="begin"/>
            </w:r>
            <w:r>
              <w:rPr>
                <w:noProof/>
                <w:webHidden/>
              </w:rPr>
              <w:instrText xml:space="preserve"> PAGEREF _Toc428431389 \h </w:instrText>
            </w:r>
            <w:r>
              <w:rPr>
                <w:noProof/>
                <w:webHidden/>
              </w:rPr>
            </w:r>
            <w:r>
              <w:rPr>
                <w:noProof/>
                <w:webHidden/>
              </w:rPr>
              <w:fldChar w:fldCharType="separate"/>
            </w:r>
            <w:r>
              <w:rPr>
                <w:noProof/>
                <w:webHidden/>
              </w:rPr>
              <w:t>4</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0" w:history="1">
            <w:r w:rsidRPr="00B832EB">
              <w:rPr>
                <w:rStyle w:val="Hypertextovodkaz"/>
                <w:noProof/>
              </w:rPr>
              <w:t>2.1</w:t>
            </w:r>
            <w:r>
              <w:rPr>
                <w:rFonts w:asciiTheme="minorHAnsi" w:eastAsiaTheme="minorEastAsia" w:hAnsiTheme="minorHAnsi" w:cstheme="minorBidi"/>
                <w:noProof/>
              </w:rPr>
              <w:tab/>
            </w:r>
            <w:r w:rsidRPr="00B832EB">
              <w:rPr>
                <w:rStyle w:val="Hypertextovodkaz"/>
                <w:noProof/>
              </w:rPr>
              <w:t>Východiska pro sestavení predikce</w:t>
            </w:r>
            <w:r>
              <w:rPr>
                <w:noProof/>
                <w:webHidden/>
              </w:rPr>
              <w:tab/>
            </w:r>
            <w:r>
              <w:rPr>
                <w:noProof/>
                <w:webHidden/>
              </w:rPr>
              <w:fldChar w:fldCharType="begin"/>
            </w:r>
            <w:r>
              <w:rPr>
                <w:noProof/>
                <w:webHidden/>
              </w:rPr>
              <w:instrText xml:space="preserve"> PAGEREF _Toc428431390 \h </w:instrText>
            </w:r>
            <w:r>
              <w:rPr>
                <w:noProof/>
                <w:webHidden/>
              </w:rPr>
            </w:r>
            <w:r>
              <w:rPr>
                <w:noProof/>
                <w:webHidden/>
              </w:rPr>
              <w:fldChar w:fldCharType="separate"/>
            </w:r>
            <w:r>
              <w:rPr>
                <w:noProof/>
                <w:webHidden/>
              </w:rPr>
              <w:t>4</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1" w:history="1">
            <w:r w:rsidRPr="00B832EB">
              <w:rPr>
                <w:rStyle w:val="Hypertextovodkaz"/>
                <w:noProof/>
              </w:rPr>
              <w:t>2.2</w:t>
            </w:r>
            <w:r>
              <w:rPr>
                <w:rFonts w:asciiTheme="minorHAnsi" w:eastAsiaTheme="minorEastAsia" w:hAnsiTheme="minorHAnsi" w:cstheme="minorBidi"/>
                <w:noProof/>
              </w:rPr>
              <w:tab/>
            </w:r>
            <w:r w:rsidRPr="00B832EB">
              <w:rPr>
                <w:rStyle w:val="Hypertextovodkaz"/>
                <w:noProof/>
              </w:rPr>
              <w:t>Očekávaný vývoj hospodaření územních rozpočtů v letech 2015 a 2016</w:t>
            </w:r>
            <w:r>
              <w:rPr>
                <w:noProof/>
                <w:webHidden/>
              </w:rPr>
              <w:tab/>
            </w:r>
            <w:r>
              <w:rPr>
                <w:noProof/>
                <w:webHidden/>
              </w:rPr>
              <w:fldChar w:fldCharType="begin"/>
            </w:r>
            <w:r>
              <w:rPr>
                <w:noProof/>
                <w:webHidden/>
              </w:rPr>
              <w:instrText xml:space="preserve"> PAGEREF _Toc428431391 \h </w:instrText>
            </w:r>
            <w:r>
              <w:rPr>
                <w:noProof/>
                <w:webHidden/>
              </w:rPr>
            </w:r>
            <w:r>
              <w:rPr>
                <w:noProof/>
                <w:webHidden/>
              </w:rPr>
              <w:fldChar w:fldCharType="separate"/>
            </w:r>
            <w:r>
              <w:rPr>
                <w:noProof/>
                <w:webHidden/>
              </w:rPr>
              <w:t>4</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2" w:history="1">
            <w:r w:rsidRPr="00B832EB">
              <w:rPr>
                <w:rStyle w:val="Hypertextovodkaz"/>
                <w:noProof/>
              </w:rPr>
              <w:t>2.3</w:t>
            </w:r>
            <w:r>
              <w:rPr>
                <w:rFonts w:asciiTheme="minorHAnsi" w:eastAsiaTheme="minorEastAsia" w:hAnsiTheme="minorHAnsi" w:cstheme="minorBidi"/>
                <w:noProof/>
              </w:rPr>
              <w:tab/>
            </w:r>
            <w:r w:rsidRPr="00B832EB">
              <w:rPr>
                <w:rStyle w:val="Hypertextovodkaz"/>
                <w:noProof/>
              </w:rPr>
              <w:t>Vývoj hospodaření obcí v letech 2015 a 2016</w:t>
            </w:r>
            <w:r>
              <w:rPr>
                <w:noProof/>
                <w:webHidden/>
              </w:rPr>
              <w:tab/>
            </w:r>
            <w:r>
              <w:rPr>
                <w:noProof/>
                <w:webHidden/>
              </w:rPr>
              <w:fldChar w:fldCharType="begin"/>
            </w:r>
            <w:r>
              <w:rPr>
                <w:noProof/>
                <w:webHidden/>
              </w:rPr>
              <w:instrText xml:space="preserve"> PAGEREF _Toc428431392 \h </w:instrText>
            </w:r>
            <w:r>
              <w:rPr>
                <w:noProof/>
                <w:webHidden/>
              </w:rPr>
            </w:r>
            <w:r>
              <w:rPr>
                <w:noProof/>
                <w:webHidden/>
              </w:rPr>
              <w:fldChar w:fldCharType="separate"/>
            </w:r>
            <w:r>
              <w:rPr>
                <w:noProof/>
                <w:webHidden/>
              </w:rPr>
              <w:t>5</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3" w:history="1">
            <w:r w:rsidRPr="00B832EB">
              <w:rPr>
                <w:rStyle w:val="Hypertextovodkaz"/>
                <w:noProof/>
              </w:rPr>
              <w:t>2.4</w:t>
            </w:r>
            <w:r>
              <w:rPr>
                <w:rFonts w:asciiTheme="minorHAnsi" w:eastAsiaTheme="minorEastAsia" w:hAnsiTheme="minorHAnsi" w:cstheme="minorBidi"/>
                <w:noProof/>
              </w:rPr>
              <w:tab/>
            </w:r>
            <w:r w:rsidRPr="00B832EB">
              <w:rPr>
                <w:rStyle w:val="Hypertextovodkaz"/>
                <w:noProof/>
              </w:rPr>
              <w:t>Vývoj hospodaření krajů v letech 2015 a 2016</w:t>
            </w:r>
            <w:r>
              <w:rPr>
                <w:noProof/>
                <w:webHidden/>
              </w:rPr>
              <w:tab/>
            </w:r>
            <w:r>
              <w:rPr>
                <w:noProof/>
                <w:webHidden/>
              </w:rPr>
              <w:fldChar w:fldCharType="begin"/>
            </w:r>
            <w:r>
              <w:rPr>
                <w:noProof/>
                <w:webHidden/>
              </w:rPr>
              <w:instrText xml:space="preserve"> PAGEREF _Toc428431393 \h </w:instrText>
            </w:r>
            <w:r>
              <w:rPr>
                <w:noProof/>
                <w:webHidden/>
              </w:rPr>
            </w:r>
            <w:r>
              <w:rPr>
                <w:noProof/>
                <w:webHidden/>
              </w:rPr>
              <w:fldChar w:fldCharType="separate"/>
            </w:r>
            <w:r>
              <w:rPr>
                <w:noProof/>
                <w:webHidden/>
              </w:rPr>
              <w:t>9</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4" w:history="1">
            <w:r w:rsidRPr="00B832EB">
              <w:rPr>
                <w:rStyle w:val="Hypertextovodkaz"/>
                <w:noProof/>
              </w:rPr>
              <w:t>2.5</w:t>
            </w:r>
            <w:r>
              <w:rPr>
                <w:rFonts w:asciiTheme="minorHAnsi" w:eastAsiaTheme="minorEastAsia" w:hAnsiTheme="minorHAnsi" w:cstheme="minorBidi"/>
                <w:noProof/>
              </w:rPr>
              <w:tab/>
            </w:r>
            <w:r w:rsidRPr="00B832EB">
              <w:rPr>
                <w:rStyle w:val="Hypertextovodkaz"/>
                <w:noProof/>
              </w:rPr>
              <w:t>Další územní rozpočty v letech 2015 a 2016</w:t>
            </w:r>
            <w:r>
              <w:rPr>
                <w:noProof/>
                <w:webHidden/>
              </w:rPr>
              <w:tab/>
            </w:r>
            <w:r>
              <w:rPr>
                <w:noProof/>
                <w:webHidden/>
              </w:rPr>
              <w:fldChar w:fldCharType="begin"/>
            </w:r>
            <w:r>
              <w:rPr>
                <w:noProof/>
                <w:webHidden/>
              </w:rPr>
              <w:instrText xml:space="preserve"> PAGEREF _Toc428431394 \h </w:instrText>
            </w:r>
            <w:r>
              <w:rPr>
                <w:noProof/>
                <w:webHidden/>
              </w:rPr>
            </w:r>
            <w:r>
              <w:rPr>
                <w:noProof/>
                <w:webHidden/>
              </w:rPr>
              <w:fldChar w:fldCharType="separate"/>
            </w:r>
            <w:r>
              <w:rPr>
                <w:noProof/>
                <w:webHidden/>
              </w:rPr>
              <w:t>13</w:t>
            </w:r>
            <w:r>
              <w:rPr>
                <w:noProof/>
                <w:webHidden/>
              </w:rPr>
              <w:fldChar w:fldCharType="end"/>
            </w:r>
          </w:hyperlink>
        </w:p>
        <w:p w:rsidR="00953CE2" w:rsidRDefault="00953CE2">
          <w:pPr>
            <w:pStyle w:val="Obsah1"/>
            <w:tabs>
              <w:tab w:val="left" w:pos="440"/>
              <w:tab w:val="right" w:leader="dot" w:pos="9060"/>
            </w:tabs>
            <w:rPr>
              <w:rFonts w:asciiTheme="minorHAnsi" w:eastAsiaTheme="minorEastAsia" w:hAnsiTheme="minorHAnsi" w:cstheme="minorBidi"/>
              <w:noProof/>
            </w:rPr>
          </w:pPr>
          <w:hyperlink w:anchor="_Toc428431395" w:history="1">
            <w:r w:rsidRPr="00B832EB">
              <w:rPr>
                <w:rStyle w:val="Hypertextovodkaz"/>
                <w:noProof/>
              </w:rPr>
              <w:t>3</w:t>
            </w:r>
            <w:r>
              <w:rPr>
                <w:rFonts w:asciiTheme="minorHAnsi" w:eastAsiaTheme="minorEastAsia" w:hAnsiTheme="minorHAnsi" w:cstheme="minorBidi"/>
                <w:noProof/>
              </w:rPr>
              <w:tab/>
            </w:r>
            <w:r w:rsidRPr="00B832EB">
              <w:rPr>
                <w:rStyle w:val="Hypertextovodkaz"/>
                <w:noProof/>
              </w:rPr>
              <w:t>Dotace ze státního rozpočtu pro územní rozpočty</w:t>
            </w:r>
            <w:r>
              <w:rPr>
                <w:noProof/>
                <w:webHidden/>
              </w:rPr>
              <w:tab/>
            </w:r>
            <w:r>
              <w:rPr>
                <w:noProof/>
                <w:webHidden/>
              </w:rPr>
              <w:fldChar w:fldCharType="begin"/>
            </w:r>
            <w:r>
              <w:rPr>
                <w:noProof/>
                <w:webHidden/>
              </w:rPr>
              <w:instrText xml:space="preserve"> PAGEREF _Toc428431395 \h </w:instrText>
            </w:r>
            <w:r>
              <w:rPr>
                <w:noProof/>
                <w:webHidden/>
              </w:rPr>
            </w:r>
            <w:r>
              <w:rPr>
                <w:noProof/>
                <w:webHidden/>
              </w:rPr>
              <w:fldChar w:fldCharType="separate"/>
            </w:r>
            <w:r>
              <w:rPr>
                <w:noProof/>
                <w:webHidden/>
              </w:rPr>
              <w:t>14</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6" w:history="1">
            <w:r w:rsidRPr="00B832EB">
              <w:rPr>
                <w:rStyle w:val="Hypertextovodkaz"/>
                <w:noProof/>
              </w:rPr>
              <w:t>3.1</w:t>
            </w:r>
            <w:r>
              <w:rPr>
                <w:rFonts w:asciiTheme="minorHAnsi" w:eastAsiaTheme="minorEastAsia" w:hAnsiTheme="minorHAnsi" w:cstheme="minorBidi"/>
                <w:noProof/>
              </w:rPr>
              <w:tab/>
            </w:r>
            <w:r w:rsidRPr="00B832EB">
              <w:rPr>
                <w:rStyle w:val="Hypertextovodkaz"/>
                <w:noProof/>
              </w:rPr>
              <w:t>Dotace ze státního rozpočtu pro obce a hl. m. Prahu v roce 2016</w:t>
            </w:r>
            <w:r>
              <w:rPr>
                <w:noProof/>
                <w:webHidden/>
              </w:rPr>
              <w:tab/>
            </w:r>
            <w:r>
              <w:rPr>
                <w:noProof/>
                <w:webHidden/>
              </w:rPr>
              <w:fldChar w:fldCharType="begin"/>
            </w:r>
            <w:r>
              <w:rPr>
                <w:noProof/>
                <w:webHidden/>
              </w:rPr>
              <w:instrText xml:space="preserve"> PAGEREF _Toc428431396 \h </w:instrText>
            </w:r>
            <w:r>
              <w:rPr>
                <w:noProof/>
                <w:webHidden/>
              </w:rPr>
            </w:r>
            <w:r>
              <w:rPr>
                <w:noProof/>
                <w:webHidden/>
              </w:rPr>
              <w:fldChar w:fldCharType="separate"/>
            </w:r>
            <w:r>
              <w:rPr>
                <w:noProof/>
                <w:webHidden/>
              </w:rPr>
              <w:t>14</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7" w:history="1">
            <w:r w:rsidRPr="00B832EB">
              <w:rPr>
                <w:rStyle w:val="Hypertextovodkaz"/>
                <w:noProof/>
              </w:rPr>
              <w:t>3.2</w:t>
            </w:r>
            <w:r>
              <w:rPr>
                <w:rFonts w:asciiTheme="minorHAnsi" w:eastAsiaTheme="minorEastAsia" w:hAnsiTheme="minorHAnsi" w:cstheme="minorBidi"/>
                <w:noProof/>
              </w:rPr>
              <w:tab/>
            </w:r>
            <w:r w:rsidRPr="00B832EB">
              <w:rPr>
                <w:rStyle w:val="Hypertextovodkaz"/>
                <w:noProof/>
              </w:rPr>
              <w:t>Dotace ze státního rozpočtu pro dobrovolné svazky obcí v roce 2016</w:t>
            </w:r>
            <w:r>
              <w:rPr>
                <w:noProof/>
                <w:webHidden/>
              </w:rPr>
              <w:tab/>
            </w:r>
            <w:r>
              <w:rPr>
                <w:noProof/>
                <w:webHidden/>
              </w:rPr>
              <w:fldChar w:fldCharType="begin"/>
            </w:r>
            <w:r>
              <w:rPr>
                <w:noProof/>
                <w:webHidden/>
              </w:rPr>
              <w:instrText xml:space="preserve"> PAGEREF _Toc428431397 \h </w:instrText>
            </w:r>
            <w:r>
              <w:rPr>
                <w:noProof/>
                <w:webHidden/>
              </w:rPr>
            </w:r>
            <w:r>
              <w:rPr>
                <w:noProof/>
                <w:webHidden/>
              </w:rPr>
              <w:fldChar w:fldCharType="separate"/>
            </w:r>
            <w:r>
              <w:rPr>
                <w:noProof/>
                <w:webHidden/>
              </w:rPr>
              <w:t>17</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8" w:history="1">
            <w:r w:rsidRPr="00B832EB">
              <w:rPr>
                <w:rStyle w:val="Hypertextovodkaz"/>
                <w:noProof/>
              </w:rPr>
              <w:t>3.3</w:t>
            </w:r>
            <w:r>
              <w:rPr>
                <w:rFonts w:asciiTheme="minorHAnsi" w:eastAsiaTheme="minorEastAsia" w:hAnsiTheme="minorHAnsi" w:cstheme="minorBidi"/>
                <w:noProof/>
              </w:rPr>
              <w:tab/>
            </w:r>
            <w:r w:rsidRPr="00B832EB">
              <w:rPr>
                <w:rStyle w:val="Hypertextovodkaz"/>
                <w:noProof/>
              </w:rPr>
              <w:t>Dotace ze státního rozpočtu pro kraje v roce 2016</w:t>
            </w:r>
            <w:r>
              <w:rPr>
                <w:noProof/>
                <w:webHidden/>
              </w:rPr>
              <w:tab/>
            </w:r>
            <w:r>
              <w:rPr>
                <w:noProof/>
                <w:webHidden/>
              </w:rPr>
              <w:fldChar w:fldCharType="begin"/>
            </w:r>
            <w:r>
              <w:rPr>
                <w:noProof/>
                <w:webHidden/>
              </w:rPr>
              <w:instrText xml:space="preserve"> PAGEREF _Toc428431398 \h </w:instrText>
            </w:r>
            <w:r>
              <w:rPr>
                <w:noProof/>
                <w:webHidden/>
              </w:rPr>
            </w:r>
            <w:r>
              <w:rPr>
                <w:noProof/>
                <w:webHidden/>
              </w:rPr>
              <w:fldChar w:fldCharType="separate"/>
            </w:r>
            <w:r>
              <w:rPr>
                <w:noProof/>
                <w:webHidden/>
              </w:rPr>
              <w:t>18</w:t>
            </w:r>
            <w:r>
              <w:rPr>
                <w:noProof/>
                <w:webHidden/>
              </w:rPr>
              <w:fldChar w:fldCharType="end"/>
            </w:r>
          </w:hyperlink>
        </w:p>
        <w:p w:rsidR="00953CE2" w:rsidRDefault="00953CE2">
          <w:pPr>
            <w:pStyle w:val="Obsah2"/>
            <w:tabs>
              <w:tab w:val="left" w:pos="880"/>
              <w:tab w:val="right" w:leader="dot" w:pos="9060"/>
            </w:tabs>
            <w:rPr>
              <w:rFonts w:asciiTheme="minorHAnsi" w:eastAsiaTheme="minorEastAsia" w:hAnsiTheme="minorHAnsi" w:cstheme="minorBidi"/>
              <w:noProof/>
            </w:rPr>
          </w:pPr>
          <w:hyperlink w:anchor="_Toc428431399" w:history="1">
            <w:r w:rsidRPr="00B832EB">
              <w:rPr>
                <w:rStyle w:val="Hypertextovodkaz"/>
                <w:noProof/>
              </w:rPr>
              <w:t>3.4</w:t>
            </w:r>
            <w:r>
              <w:rPr>
                <w:rFonts w:asciiTheme="minorHAnsi" w:eastAsiaTheme="minorEastAsia" w:hAnsiTheme="minorHAnsi" w:cstheme="minorBidi"/>
                <w:noProof/>
              </w:rPr>
              <w:tab/>
            </w:r>
            <w:r w:rsidRPr="00B832EB">
              <w:rPr>
                <w:rStyle w:val="Hypertextovodkaz"/>
                <w:noProof/>
              </w:rPr>
              <w:t>Dotace ze státního rozpočtu pro regionální rady regionů soudržnosti v roce 2016</w:t>
            </w:r>
            <w:r>
              <w:rPr>
                <w:noProof/>
                <w:webHidden/>
              </w:rPr>
              <w:tab/>
            </w:r>
            <w:r>
              <w:rPr>
                <w:noProof/>
                <w:webHidden/>
              </w:rPr>
              <w:fldChar w:fldCharType="begin"/>
            </w:r>
            <w:r>
              <w:rPr>
                <w:noProof/>
                <w:webHidden/>
              </w:rPr>
              <w:instrText xml:space="preserve"> PAGEREF _Toc428431399 \h </w:instrText>
            </w:r>
            <w:r>
              <w:rPr>
                <w:noProof/>
                <w:webHidden/>
              </w:rPr>
            </w:r>
            <w:r>
              <w:rPr>
                <w:noProof/>
                <w:webHidden/>
              </w:rPr>
              <w:fldChar w:fldCharType="separate"/>
            </w:r>
            <w:r>
              <w:rPr>
                <w:noProof/>
                <w:webHidden/>
              </w:rPr>
              <w:t>20</w:t>
            </w:r>
            <w:r>
              <w:rPr>
                <w:noProof/>
                <w:webHidden/>
              </w:rPr>
              <w:fldChar w:fldCharType="end"/>
            </w:r>
          </w:hyperlink>
        </w:p>
        <w:p w:rsidR="00953CE2" w:rsidRDefault="00953CE2">
          <w:pPr>
            <w:pStyle w:val="Obsah1"/>
            <w:tabs>
              <w:tab w:val="left" w:pos="440"/>
              <w:tab w:val="right" w:leader="dot" w:pos="9060"/>
            </w:tabs>
            <w:rPr>
              <w:rFonts w:asciiTheme="minorHAnsi" w:eastAsiaTheme="minorEastAsia" w:hAnsiTheme="minorHAnsi" w:cstheme="minorBidi"/>
              <w:noProof/>
            </w:rPr>
          </w:pPr>
          <w:hyperlink w:anchor="_Toc428431400" w:history="1">
            <w:r w:rsidRPr="00B832EB">
              <w:rPr>
                <w:rStyle w:val="Hypertextovodkaz"/>
                <w:noProof/>
              </w:rPr>
              <w:t>4</w:t>
            </w:r>
            <w:r>
              <w:rPr>
                <w:rFonts w:asciiTheme="minorHAnsi" w:eastAsiaTheme="minorEastAsia" w:hAnsiTheme="minorHAnsi" w:cstheme="minorBidi"/>
                <w:noProof/>
              </w:rPr>
              <w:tab/>
            </w:r>
            <w:r w:rsidRPr="00B832EB">
              <w:rPr>
                <w:rStyle w:val="Hypertextovodkaz"/>
                <w:noProof/>
              </w:rPr>
              <w:t>Tabulkové přílohy</w:t>
            </w:r>
            <w:r>
              <w:rPr>
                <w:noProof/>
                <w:webHidden/>
              </w:rPr>
              <w:tab/>
            </w:r>
            <w:r>
              <w:rPr>
                <w:noProof/>
                <w:webHidden/>
              </w:rPr>
              <w:fldChar w:fldCharType="begin"/>
            </w:r>
            <w:r>
              <w:rPr>
                <w:noProof/>
                <w:webHidden/>
              </w:rPr>
              <w:instrText xml:space="preserve"> PAGEREF _Toc428431400 \h </w:instrText>
            </w:r>
            <w:r>
              <w:rPr>
                <w:noProof/>
                <w:webHidden/>
              </w:rPr>
            </w:r>
            <w:r>
              <w:rPr>
                <w:noProof/>
                <w:webHidden/>
              </w:rPr>
              <w:fldChar w:fldCharType="separate"/>
            </w:r>
            <w:r>
              <w:rPr>
                <w:noProof/>
                <w:webHidden/>
              </w:rPr>
              <w:t>21</w:t>
            </w:r>
            <w:r>
              <w:rPr>
                <w:noProof/>
                <w:webHidden/>
              </w:rPr>
              <w:fldChar w:fldCharType="end"/>
            </w:r>
          </w:hyperlink>
        </w:p>
        <w:p w:rsidR="00AF5B59" w:rsidRDefault="003B3D21" w:rsidP="003B3D21">
          <w:r>
            <w:rPr>
              <w:b/>
              <w:bCs/>
            </w:rPr>
            <w:fldChar w:fldCharType="end"/>
          </w:r>
        </w:p>
      </w:sdtContent>
    </w:sdt>
    <w:p w:rsidR="003B3D21" w:rsidRDefault="003B3D21" w:rsidP="003B3D21">
      <w:r>
        <w:br w:type="page"/>
      </w:r>
      <w:bookmarkStart w:id="0" w:name="_GoBack"/>
      <w:bookmarkEnd w:id="0"/>
    </w:p>
    <w:p w:rsidR="005E013C" w:rsidRDefault="0038640C" w:rsidP="00F20E7C">
      <w:pPr>
        <w:pStyle w:val="Nadpis1"/>
        <w:rPr>
          <w:sz w:val="40"/>
          <w:u w:val="none"/>
        </w:rPr>
      </w:pPr>
      <w:bookmarkStart w:id="1" w:name="_Toc428431386"/>
      <w:r w:rsidRPr="00F20E7C">
        <w:rPr>
          <w:sz w:val="40"/>
          <w:u w:val="none"/>
        </w:rPr>
        <w:lastRenderedPageBreak/>
        <w:t>Úvod</w:t>
      </w:r>
      <w:bookmarkEnd w:id="1"/>
    </w:p>
    <w:p w:rsidR="00032824" w:rsidRPr="00032824" w:rsidRDefault="00032824" w:rsidP="00032824"/>
    <w:p w:rsidR="00F92E48" w:rsidRDefault="006E3FB4" w:rsidP="00F92E48">
      <w:pPr>
        <w:rPr>
          <w:b/>
          <w:sz w:val="28"/>
          <w:szCs w:val="28"/>
        </w:rPr>
      </w:pPr>
      <w:r w:rsidRPr="00000679">
        <w:rPr>
          <w:b/>
          <w:sz w:val="28"/>
          <w:szCs w:val="28"/>
        </w:rPr>
        <w:t>Ú</w:t>
      </w:r>
      <w:r w:rsidR="000E6798" w:rsidRPr="00000679">
        <w:rPr>
          <w:b/>
          <w:sz w:val="28"/>
          <w:szCs w:val="28"/>
        </w:rPr>
        <w:t>zemní</w:t>
      </w:r>
      <w:r w:rsidRPr="00000679">
        <w:rPr>
          <w:b/>
          <w:sz w:val="28"/>
          <w:szCs w:val="28"/>
        </w:rPr>
        <w:t xml:space="preserve"> (místní)</w:t>
      </w:r>
      <w:r w:rsidR="000E6798" w:rsidRPr="00000679">
        <w:rPr>
          <w:b/>
          <w:sz w:val="28"/>
          <w:szCs w:val="28"/>
        </w:rPr>
        <w:t xml:space="preserve"> </w:t>
      </w:r>
      <w:r w:rsidR="00F92E48" w:rsidRPr="00000679">
        <w:rPr>
          <w:b/>
          <w:sz w:val="28"/>
          <w:szCs w:val="28"/>
        </w:rPr>
        <w:t>rozpočty</w:t>
      </w:r>
      <w:r w:rsidR="00722261">
        <w:rPr>
          <w:b/>
          <w:sz w:val="28"/>
          <w:szCs w:val="28"/>
        </w:rPr>
        <w:t xml:space="preserve"> </w:t>
      </w:r>
      <w:r w:rsidRPr="00000679">
        <w:rPr>
          <w:b/>
          <w:sz w:val="28"/>
          <w:szCs w:val="28"/>
        </w:rPr>
        <w:t>zahrnují:</w:t>
      </w:r>
      <w:r w:rsidR="00F92E48" w:rsidRPr="00000679">
        <w:rPr>
          <w:b/>
          <w:sz w:val="28"/>
          <w:szCs w:val="28"/>
        </w:rPr>
        <w:t xml:space="preserve"> </w:t>
      </w:r>
    </w:p>
    <w:p w:rsidR="00000679" w:rsidRPr="00000679" w:rsidRDefault="00000679" w:rsidP="00F92E48">
      <w:pPr>
        <w:rPr>
          <w:b/>
          <w:sz w:val="28"/>
          <w:szCs w:val="28"/>
        </w:rPr>
      </w:pPr>
    </w:p>
    <w:p w:rsidR="00C97E0B" w:rsidRDefault="00C97E0B" w:rsidP="00132833">
      <w:pPr>
        <w:pStyle w:val="Zkladntextodsazen2"/>
        <w:numPr>
          <w:ilvl w:val="0"/>
          <w:numId w:val="1"/>
        </w:numPr>
        <w:autoSpaceDE w:val="0"/>
        <w:autoSpaceDN w:val="0"/>
        <w:spacing w:after="0" w:line="360" w:lineRule="auto"/>
        <w:ind w:left="714" w:hanging="357"/>
        <w:jc w:val="both"/>
      </w:pPr>
      <w:r>
        <w:t>r</w:t>
      </w:r>
      <w:r w:rsidR="00F92E48" w:rsidRPr="00F92E48">
        <w:t>ozpočty</w:t>
      </w:r>
      <w:r>
        <w:t xml:space="preserve"> územních samosprávných celků </w:t>
      </w:r>
    </w:p>
    <w:p w:rsidR="00C97E0B" w:rsidRDefault="00C97E0B" w:rsidP="00C97E0B">
      <w:pPr>
        <w:pStyle w:val="Zkladntextodsazen2"/>
        <w:numPr>
          <w:ilvl w:val="0"/>
          <w:numId w:val="9"/>
        </w:numPr>
        <w:autoSpaceDE w:val="0"/>
        <w:autoSpaceDN w:val="0"/>
        <w:spacing w:after="0" w:line="360" w:lineRule="auto"/>
        <w:jc w:val="both"/>
      </w:pPr>
      <w:r>
        <w:t>rozpočty obcí</w:t>
      </w:r>
    </w:p>
    <w:p w:rsidR="00F92E48" w:rsidRPr="00F92E48" w:rsidRDefault="00C97E0B" w:rsidP="00C97E0B">
      <w:pPr>
        <w:pStyle w:val="Zkladntextodsazen2"/>
        <w:numPr>
          <w:ilvl w:val="0"/>
          <w:numId w:val="9"/>
        </w:numPr>
        <w:autoSpaceDE w:val="0"/>
        <w:autoSpaceDN w:val="0"/>
        <w:spacing w:after="0" w:line="360" w:lineRule="auto"/>
        <w:jc w:val="both"/>
      </w:pPr>
      <w:r>
        <w:t xml:space="preserve">rozpočty krajů  </w:t>
      </w:r>
    </w:p>
    <w:p w:rsidR="00F92E48" w:rsidRPr="00F92E48" w:rsidRDefault="00F92E48" w:rsidP="00132833">
      <w:pPr>
        <w:pStyle w:val="Zkladntextodsazen2"/>
        <w:numPr>
          <w:ilvl w:val="0"/>
          <w:numId w:val="1"/>
        </w:numPr>
        <w:autoSpaceDE w:val="0"/>
        <w:autoSpaceDN w:val="0"/>
        <w:spacing w:after="0" w:line="360" w:lineRule="auto"/>
        <w:ind w:left="714" w:hanging="357"/>
        <w:jc w:val="both"/>
      </w:pPr>
      <w:r w:rsidRPr="00F92E48">
        <w:t xml:space="preserve">rozpočty dobrovolných svazků obcí </w:t>
      </w:r>
    </w:p>
    <w:p w:rsidR="00F92E48" w:rsidRPr="00F92E48" w:rsidRDefault="00F92E48" w:rsidP="00132833">
      <w:pPr>
        <w:pStyle w:val="Zkladntextodsazen2"/>
        <w:numPr>
          <w:ilvl w:val="0"/>
          <w:numId w:val="1"/>
        </w:numPr>
        <w:autoSpaceDE w:val="0"/>
        <w:autoSpaceDN w:val="0"/>
        <w:spacing w:after="0" w:line="360" w:lineRule="auto"/>
        <w:ind w:left="714" w:hanging="357"/>
        <w:jc w:val="both"/>
      </w:pPr>
      <w:r w:rsidRPr="00F92E48">
        <w:t xml:space="preserve">rozpočty regionálních rad regionů soudržnosti </w:t>
      </w:r>
    </w:p>
    <w:p w:rsidR="00550040" w:rsidRPr="00000679" w:rsidRDefault="008B30BF" w:rsidP="00360C42">
      <w:pPr>
        <w:pStyle w:val="Nadpis2"/>
      </w:pPr>
      <w:bookmarkStart w:id="2" w:name="_Toc428431387"/>
      <w:r>
        <w:t>Územní samosprávné celky</w:t>
      </w:r>
      <w:r w:rsidR="0094498A">
        <w:t xml:space="preserve"> (ÚSC)</w:t>
      </w:r>
      <w:bookmarkEnd w:id="2"/>
    </w:p>
    <w:p w:rsidR="00F92E48" w:rsidRDefault="00F92E48" w:rsidP="00790BCD">
      <w:pPr>
        <w:spacing w:line="360" w:lineRule="auto"/>
        <w:jc w:val="both"/>
      </w:pPr>
      <w:r>
        <w:t>V</w:t>
      </w:r>
      <w:r w:rsidRPr="00F92E48">
        <w:t>šechny obce</w:t>
      </w:r>
      <w:r w:rsidR="00FF5E67">
        <w:t xml:space="preserve"> (včetně hl</w:t>
      </w:r>
      <w:r w:rsidR="00C617D3">
        <w:t>.</w:t>
      </w:r>
      <w:r w:rsidR="00FF5E67">
        <w:t xml:space="preserve"> m</w:t>
      </w:r>
      <w:r w:rsidR="00C617D3">
        <w:t>.</w:t>
      </w:r>
      <w:r w:rsidR="00FF5E67">
        <w:t xml:space="preserve"> Prahy)</w:t>
      </w:r>
      <w:r w:rsidRPr="00F92E48">
        <w:t xml:space="preserve"> </w:t>
      </w:r>
      <w:r w:rsidR="00C97E0B">
        <w:t>a</w:t>
      </w:r>
      <w:r w:rsidRPr="00F92E48">
        <w:t xml:space="preserve"> kraje zajišťují </w:t>
      </w:r>
      <w:r w:rsidR="00C97E0B">
        <w:t>jak</w:t>
      </w:r>
      <w:r w:rsidRPr="00F92E48">
        <w:t xml:space="preserve"> samostatnou působnost</w:t>
      </w:r>
      <w:r w:rsidR="00C97E0B">
        <w:t>, tak</w:t>
      </w:r>
      <w:r w:rsidRPr="00F92E48">
        <w:t xml:space="preserve"> státní správu, </w:t>
      </w:r>
      <w:r w:rsidR="00C97E0B">
        <w:t>k</w:t>
      </w:r>
      <w:r w:rsidRPr="00F92E48">
        <w:t>terou vykonávají jako svou přenesenou působnost</w:t>
      </w:r>
      <w:r w:rsidR="00FE6A3F">
        <w:t>:</w:t>
      </w:r>
      <w:r w:rsidRPr="00F92E48">
        <w:t xml:space="preserve"> </w:t>
      </w:r>
    </w:p>
    <w:p w:rsidR="00FE6A3F" w:rsidRPr="00564864" w:rsidRDefault="00FE6A3F" w:rsidP="00790BCD">
      <w:pPr>
        <w:spacing w:line="360" w:lineRule="auto"/>
        <w:rPr>
          <w:sz w:val="4"/>
          <w:szCs w:val="4"/>
        </w:rPr>
      </w:pPr>
    </w:p>
    <w:p w:rsidR="00F92E48" w:rsidRDefault="00F92E48" w:rsidP="00132833">
      <w:pPr>
        <w:pStyle w:val="Zkladntextodsazen2"/>
        <w:numPr>
          <w:ilvl w:val="0"/>
          <w:numId w:val="1"/>
        </w:numPr>
        <w:autoSpaceDE w:val="0"/>
        <w:autoSpaceDN w:val="0"/>
        <w:spacing w:after="0" w:line="360" w:lineRule="auto"/>
        <w:ind w:left="714" w:hanging="357"/>
        <w:jc w:val="both"/>
      </w:pPr>
      <w:r w:rsidRPr="0038763A">
        <w:rPr>
          <w:b/>
        </w:rPr>
        <w:t>samostatná působnost</w:t>
      </w:r>
      <w:r w:rsidR="003049AA">
        <w:t xml:space="preserve"> -</w:t>
      </w:r>
      <w:r w:rsidRPr="00F92E48">
        <w:t xml:space="preserve"> obec a kraj ji vykonává prostřednictvím svých volených orgánů (např. zastupitelstvo, rad</w:t>
      </w:r>
      <w:r w:rsidR="00DB20F2">
        <w:t xml:space="preserve">a) </w:t>
      </w:r>
      <w:r w:rsidR="00F81C0E">
        <w:t>-</w:t>
      </w:r>
      <w:r w:rsidR="00DB20F2">
        <w:t xml:space="preserve"> např. </w:t>
      </w:r>
      <w:r w:rsidR="003049AA">
        <w:t xml:space="preserve">se zde řadí </w:t>
      </w:r>
      <w:r w:rsidR="00DB20F2">
        <w:t>nakládání s majetkem a</w:t>
      </w:r>
      <w:r w:rsidRPr="00F92E48">
        <w:t xml:space="preserve"> finanční hospodaření</w:t>
      </w:r>
      <w:r w:rsidR="00DB20F2">
        <w:t>;</w:t>
      </w:r>
    </w:p>
    <w:p w:rsidR="00032824" w:rsidRPr="00C617D3" w:rsidRDefault="00F92E48" w:rsidP="00722261">
      <w:pPr>
        <w:pStyle w:val="Zkladntextodsazen2"/>
        <w:numPr>
          <w:ilvl w:val="0"/>
          <w:numId w:val="1"/>
        </w:numPr>
        <w:autoSpaceDE w:val="0"/>
        <w:autoSpaceDN w:val="0"/>
        <w:spacing w:after="0" w:line="360" w:lineRule="auto"/>
        <w:ind w:left="714" w:hanging="357"/>
        <w:jc w:val="both"/>
      </w:pPr>
      <w:r w:rsidRPr="0038763A">
        <w:rPr>
          <w:b/>
        </w:rPr>
        <w:t>přenesená působnost</w:t>
      </w:r>
      <w:r w:rsidRPr="00F92E48">
        <w:t xml:space="preserve"> </w:t>
      </w:r>
      <w:r w:rsidR="003049AA">
        <w:t>-</w:t>
      </w:r>
      <w:r w:rsidRPr="00F92E48">
        <w:t xml:space="preserve"> vykonává ji jménem státu obecní úřad, krajský úřad – např. u</w:t>
      </w:r>
      <w:r w:rsidR="004E5255">
        <w:t> </w:t>
      </w:r>
      <w:r w:rsidRPr="00F92E48">
        <w:t>obcí působnost stavebního úřadu, matričního úřadu, u krajů oblast školství – vzdělávací soustava na území kraje</w:t>
      </w:r>
      <w:r w:rsidR="00DC5679">
        <w:t xml:space="preserve">; </w:t>
      </w:r>
      <w:r w:rsidR="00DC5679" w:rsidRPr="00F92E48">
        <w:t>většina obcí</w:t>
      </w:r>
      <w:r w:rsidR="00DC5679">
        <w:t xml:space="preserve"> </w:t>
      </w:r>
      <w:r w:rsidR="00DC5679" w:rsidRPr="00F92E48">
        <w:t>zajišť</w:t>
      </w:r>
      <w:r w:rsidR="002D6CF6">
        <w:t>uje</w:t>
      </w:r>
      <w:r w:rsidR="00DC5679" w:rsidRPr="00F92E48">
        <w:t xml:space="preserve"> pouze </w:t>
      </w:r>
      <w:r w:rsidR="007525DE">
        <w:t>základní</w:t>
      </w:r>
      <w:r w:rsidR="00DC5679" w:rsidRPr="00F92E48">
        <w:t xml:space="preserve"> rozsah státní správy</w:t>
      </w:r>
      <w:r w:rsidR="00DC5679">
        <w:t xml:space="preserve">; </w:t>
      </w:r>
      <w:r w:rsidR="006405BC">
        <w:t>podle rozsahu státní správy existují obce s</w:t>
      </w:r>
      <w:r w:rsidR="007F1B0F">
        <w:t xml:space="preserve"> funkc</w:t>
      </w:r>
      <w:r w:rsidR="006405BC">
        <w:t>í</w:t>
      </w:r>
      <w:r w:rsidR="007F1B0F">
        <w:t xml:space="preserve"> matričního úřadu, </w:t>
      </w:r>
      <w:r w:rsidR="00581D95" w:rsidRPr="000533A4">
        <w:t xml:space="preserve">stavebního úřadu, </w:t>
      </w:r>
      <w:r w:rsidR="000533A4" w:rsidRPr="000533A4">
        <w:t>obc</w:t>
      </w:r>
      <w:r w:rsidR="006405BC">
        <w:t>e</w:t>
      </w:r>
      <w:r w:rsidR="000533A4" w:rsidRPr="000533A4">
        <w:t xml:space="preserve"> </w:t>
      </w:r>
      <w:r w:rsidR="007F1B0F" w:rsidRPr="000533A4">
        <w:t xml:space="preserve">s pověřeným </w:t>
      </w:r>
      <w:r w:rsidR="00581D95" w:rsidRPr="000533A4">
        <w:t>obecním úřadem</w:t>
      </w:r>
      <w:r w:rsidR="00366CF2">
        <w:t xml:space="preserve"> a obce s rozšířenou působností; k částečné úhradě výkonu přenesené působnosti </w:t>
      </w:r>
      <w:r w:rsidR="00EF3932">
        <w:t xml:space="preserve">je obcím a krajům poskytován </w:t>
      </w:r>
      <w:r w:rsidR="00366CF2" w:rsidRPr="00366CF2">
        <w:t>ze státního rozpočtu</w:t>
      </w:r>
      <w:r w:rsidR="00FF5E67">
        <w:t xml:space="preserve"> příspěvek</w:t>
      </w:r>
      <w:r w:rsidR="00366CF2" w:rsidRPr="00366CF2">
        <w:t>.</w:t>
      </w:r>
    </w:p>
    <w:p w:rsidR="000D7D88" w:rsidRDefault="000D7D88" w:rsidP="00722261">
      <w:pPr>
        <w:spacing w:line="360" w:lineRule="auto"/>
        <w:rPr>
          <w:b/>
        </w:rPr>
      </w:pPr>
    </w:p>
    <w:p w:rsidR="00722261" w:rsidRDefault="00550040" w:rsidP="00722261">
      <w:pPr>
        <w:spacing w:line="360" w:lineRule="auto"/>
      </w:pPr>
      <w:r w:rsidRPr="00D35E19">
        <w:rPr>
          <w:b/>
        </w:rPr>
        <w:t xml:space="preserve">Hospodaření </w:t>
      </w:r>
      <w:r w:rsidR="007525DE">
        <w:rPr>
          <w:b/>
        </w:rPr>
        <w:t>územních samosprávných celků:</w:t>
      </w:r>
      <w:r w:rsidR="00581D95" w:rsidRPr="00D35E19">
        <w:rPr>
          <w:rStyle w:val="Znakapoznpodarou"/>
          <w:b/>
        </w:rPr>
        <w:footnoteReference w:id="1"/>
      </w:r>
      <w:r w:rsidR="00581D95" w:rsidRPr="00D35E19">
        <w:t xml:space="preserve"> </w:t>
      </w:r>
    </w:p>
    <w:p w:rsidR="00581D95" w:rsidRDefault="00C74888" w:rsidP="00975F5E">
      <w:pPr>
        <w:spacing w:line="360" w:lineRule="auto"/>
        <w:jc w:val="both"/>
        <w:rPr>
          <w:bCs/>
        </w:rPr>
      </w:pPr>
      <w:r>
        <w:rPr>
          <w:bCs/>
        </w:rPr>
        <w:t>Nástrojem f</w:t>
      </w:r>
      <w:r w:rsidRPr="00C74888">
        <w:rPr>
          <w:bCs/>
        </w:rPr>
        <w:t>inanční</w:t>
      </w:r>
      <w:r>
        <w:rPr>
          <w:bCs/>
        </w:rPr>
        <w:t>ho</w:t>
      </w:r>
      <w:r w:rsidRPr="00C74888">
        <w:rPr>
          <w:bCs/>
        </w:rPr>
        <w:t xml:space="preserve"> hospodaření</w:t>
      </w:r>
      <w:r>
        <w:rPr>
          <w:b/>
          <w:bCs/>
        </w:rPr>
        <w:t xml:space="preserve"> </w:t>
      </w:r>
      <w:r w:rsidRPr="00366CF2">
        <w:rPr>
          <w:bCs/>
        </w:rPr>
        <w:t>ÚSC je r</w:t>
      </w:r>
      <w:r w:rsidR="00581D95" w:rsidRPr="00366CF2">
        <w:rPr>
          <w:bCs/>
        </w:rPr>
        <w:t>ozpočet</w:t>
      </w:r>
      <w:r w:rsidR="00975F5E">
        <w:rPr>
          <w:bCs/>
        </w:rPr>
        <w:t xml:space="preserve">, který se sestavuje na jeden kalendářní rok </w:t>
      </w:r>
      <w:r w:rsidR="00581D95" w:rsidRPr="00366CF2">
        <w:rPr>
          <w:bCs/>
        </w:rPr>
        <w:t>(</w:t>
      </w:r>
      <w:r w:rsidRPr="00366CF2">
        <w:rPr>
          <w:bCs/>
        </w:rPr>
        <w:t>rozpočtové období</w:t>
      </w:r>
      <w:r w:rsidR="00581D95" w:rsidRPr="00366CF2">
        <w:rPr>
          <w:bCs/>
        </w:rPr>
        <w:t>)</w:t>
      </w:r>
      <w:r w:rsidRPr="00366CF2">
        <w:rPr>
          <w:bCs/>
        </w:rPr>
        <w:t xml:space="preserve"> a rozpočtový výhled</w:t>
      </w:r>
      <w:r w:rsidR="00975F5E">
        <w:rPr>
          <w:bCs/>
        </w:rPr>
        <w:t xml:space="preserve">. Ten představuje nástroj střednědobého plánování a sestavuje se </w:t>
      </w:r>
      <w:r>
        <w:rPr>
          <w:bCs/>
        </w:rPr>
        <w:t xml:space="preserve">pro období </w:t>
      </w:r>
      <w:r w:rsidR="00581D95" w:rsidRPr="00581D95">
        <w:rPr>
          <w:bCs/>
        </w:rPr>
        <w:t>2</w:t>
      </w:r>
      <w:r w:rsidR="00622786">
        <w:rPr>
          <w:bCs/>
        </w:rPr>
        <w:t>-</w:t>
      </w:r>
      <w:r w:rsidR="00581D95" w:rsidRPr="00581D95">
        <w:rPr>
          <w:bCs/>
        </w:rPr>
        <w:t xml:space="preserve">5 </w:t>
      </w:r>
      <w:r w:rsidR="00975F5E">
        <w:rPr>
          <w:bCs/>
        </w:rPr>
        <w:t>l</w:t>
      </w:r>
      <w:r w:rsidR="00581D95" w:rsidRPr="00581D95">
        <w:rPr>
          <w:bCs/>
        </w:rPr>
        <w:t>et po roce, na který se sestavuje rozpoč</w:t>
      </w:r>
      <w:r w:rsidR="00995445">
        <w:rPr>
          <w:bCs/>
        </w:rPr>
        <w:t>et</w:t>
      </w:r>
      <w:r w:rsidR="00975F5E">
        <w:rPr>
          <w:bCs/>
        </w:rPr>
        <w:t xml:space="preserve">. </w:t>
      </w:r>
      <w:r>
        <w:rPr>
          <w:bCs/>
        </w:rPr>
        <w:t xml:space="preserve"> </w:t>
      </w:r>
    </w:p>
    <w:p w:rsidR="00C97E0B" w:rsidRPr="00581D95" w:rsidRDefault="00C97E0B" w:rsidP="00975F5E">
      <w:pPr>
        <w:spacing w:line="360" w:lineRule="auto"/>
        <w:jc w:val="both"/>
      </w:pPr>
    </w:p>
    <w:p w:rsidR="00550040" w:rsidRPr="00D35E19" w:rsidRDefault="00550040" w:rsidP="00360C42">
      <w:pPr>
        <w:pStyle w:val="Nadpis2"/>
      </w:pPr>
      <w:bookmarkStart w:id="3" w:name="_Toc428431388"/>
      <w:r w:rsidRPr="00D35E19">
        <w:lastRenderedPageBreak/>
        <w:t>Další územní rozpočty</w:t>
      </w:r>
      <w:bookmarkEnd w:id="3"/>
      <w:r w:rsidRPr="00D35E19">
        <w:t xml:space="preserve"> </w:t>
      </w:r>
    </w:p>
    <w:p w:rsidR="00FE6A3F" w:rsidRDefault="008E3344" w:rsidP="00790BCD">
      <w:pPr>
        <w:spacing w:line="360" w:lineRule="auto"/>
        <w:rPr>
          <w:b/>
        </w:rPr>
      </w:pPr>
      <w:r>
        <w:rPr>
          <w:b/>
        </w:rPr>
        <w:t>Dobrovoln</w:t>
      </w:r>
      <w:r w:rsidR="002A5A9C">
        <w:rPr>
          <w:b/>
        </w:rPr>
        <w:t>é</w:t>
      </w:r>
      <w:r>
        <w:rPr>
          <w:b/>
        </w:rPr>
        <w:t xml:space="preserve"> svazk</w:t>
      </w:r>
      <w:r w:rsidR="002A5A9C">
        <w:rPr>
          <w:b/>
        </w:rPr>
        <w:t>y</w:t>
      </w:r>
      <w:r>
        <w:rPr>
          <w:b/>
        </w:rPr>
        <w:t xml:space="preserve"> obcí</w:t>
      </w:r>
      <w:r w:rsidR="0094498A">
        <w:rPr>
          <w:b/>
        </w:rPr>
        <w:t xml:space="preserve"> (DSO)</w:t>
      </w:r>
    </w:p>
    <w:p w:rsidR="00564864" w:rsidRDefault="001C0DDA" w:rsidP="00790BCD">
      <w:pPr>
        <w:spacing w:line="360" w:lineRule="auto"/>
        <w:jc w:val="both"/>
      </w:pPr>
      <w:r w:rsidRPr="001C0DDA">
        <w:t>Dle zákona č. 128/2000 Sb., o obcích,</w:t>
      </w:r>
      <w:r w:rsidR="00CE7B29">
        <w:t xml:space="preserve"> ve znění pozdějších předpisů,</w:t>
      </w:r>
      <w:r>
        <w:rPr>
          <w:b/>
        </w:rPr>
        <w:t xml:space="preserve"> </w:t>
      </w:r>
      <w:r w:rsidRPr="001C0DDA">
        <w:t xml:space="preserve">mohou </w:t>
      </w:r>
      <w:r>
        <w:t>o</w:t>
      </w:r>
      <w:r w:rsidRPr="001C0DDA">
        <w:t xml:space="preserve">bce </w:t>
      </w:r>
      <w:r>
        <w:t>k</w:t>
      </w:r>
      <w:r w:rsidRPr="001C0DDA">
        <w:t xml:space="preserve">e spolupráci při výkonu samostatné působnosti vytvořit </w:t>
      </w:r>
      <w:r w:rsidR="002D110B">
        <w:t>DSO</w:t>
      </w:r>
      <w:r w:rsidR="00CE7B29">
        <w:t xml:space="preserve">. DSO </w:t>
      </w:r>
      <w:r w:rsidR="00564864">
        <w:t>je právnickou osobou</w:t>
      </w:r>
      <w:r w:rsidR="00CE7B29">
        <w:t xml:space="preserve">, </w:t>
      </w:r>
      <w:r w:rsidR="00564864" w:rsidRPr="00B466A0">
        <w:t>hospodaří podle vlastního rozpočtu za podmínek stanovených v</w:t>
      </w:r>
      <w:r w:rsidR="00CE7B29">
        <w:t> </w:t>
      </w:r>
      <w:r w:rsidR="00564864" w:rsidRPr="00B466A0">
        <w:t>zákoně č.</w:t>
      </w:r>
      <w:r w:rsidR="00CE7B29">
        <w:t> </w:t>
      </w:r>
      <w:r w:rsidR="00564864" w:rsidRPr="00B466A0">
        <w:t>250/2000 Sb., o rozpočtových pravidlech územních rozpočtů, ve znění pozdějších předpisů.</w:t>
      </w:r>
      <w:r w:rsidR="00564864" w:rsidRPr="004A3388">
        <w:t xml:space="preserve"> </w:t>
      </w:r>
      <w:r w:rsidR="00D06F81">
        <w:t>D</w:t>
      </w:r>
      <w:r w:rsidR="00CE7B29">
        <w:t>SO</w:t>
      </w:r>
      <w:r w:rsidR="00762C32">
        <w:t xml:space="preserve"> hospodaří s majetkem, který vytvářejí vlastní činností, nebo který do něj vložily členské obce. Svazky nejčastěji působí v oblasti vodního hospodářství, územního rozvoje a k zajištění komunálních služeb.</w:t>
      </w:r>
    </w:p>
    <w:p w:rsidR="00674E42" w:rsidRPr="00D06F81" w:rsidRDefault="00674E42" w:rsidP="00790BCD">
      <w:pPr>
        <w:spacing w:line="360" w:lineRule="auto"/>
        <w:rPr>
          <w:b/>
        </w:rPr>
      </w:pPr>
    </w:p>
    <w:p w:rsidR="00FE6A3F" w:rsidRDefault="00FE6A3F" w:rsidP="00790BCD">
      <w:pPr>
        <w:spacing w:line="360" w:lineRule="auto"/>
        <w:rPr>
          <w:b/>
        </w:rPr>
      </w:pPr>
      <w:r>
        <w:rPr>
          <w:b/>
        </w:rPr>
        <w:t xml:space="preserve">Regionální </w:t>
      </w:r>
      <w:r w:rsidR="008C1CE0">
        <w:rPr>
          <w:b/>
        </w:rPr>
        <w:t>r</w:t>
      </w:r>
      <w:r>
        <w:rPr>
          <w:b/>
        </w:rPr>
        <w:t>ady</w:t>
      </w:r>
      <w:r w:rsidR="00772C9B">
        <w:rPr>
          <w:b/>
        </w:rPr>
        <w:t xml:space="preserve"> regionů soudržnosti</w:t>
      </w:r>
      <w:r w:rsidR="0094498A">
        <w:rPr>
          <w:b/>
        </w:rPr>
        <w:t xml:space="preserve"> (RR)</w:t>
      </w:r>
    </w:p>
    <w:p w:rsidR="00E928E1" w:rsidRPr="003F06C2" w:rsidRDefault="002D110B" w:rsidP="00D4677F">
      <w:pPr>
        <w:spacing w:line="360" w:lineRule="auto"/>
        <w:jc w:val="both"/>
      </w:pPr>
      <w:r>
        <w:t>RR</w:t>
      </w:r>
      <w:r w:rsidR="008C1CE0">
        <w:t xml:space="preserve"> </w:t>
      </w:r>
      <w:r w:rsidR="00AA6773" w:rsidRPr="00AC27B2">
        <w:t xml:space="preserve">jsou právnické osoby, které </w:t>
      </w:r>
      <w:r w:rsidR="00772C9B" w:rsidRPr="00AC27B2">
        <w:t xml:space="preserve">vznikly </w:t>
      </w:r>
      <w:r w:rsidR="00AA6773" w:rsidRPr="00AC27B2">
        <w:t xml:space="preserve">v roce 2006 </w:t>
      </w:r>
      <w:r w:rsidR="00772C9B" w:rsidRPr="00AC27B2">
        <w:t>novel</w:t>
      </w:r>
      <w:r w:rsidR="000F5B33" w:rsidRPr="00AC27B2">
        <w:t>ou</w:t>
      </w:r>
      <w:r w:rsidR="00772C9B" w:rsidRPr="00AC27B2">
        <w:t xml:space="preserve"> zákona č. 248/2000 Sb.</w:t>
      </w:r>
      <w:r>
        <w:t>,</w:t>
      </w:r>
      <w:r w:rsidR="00772C9B" w:rsidRPr="00AC27B2">
        <w:t xml:space="preserve"> o</w:t>
      </w:r>
      <w:r>
        <w:t xml:space="preserve">  </w:t>
      </w:r>
      <w:r w:rsidR="00772C9B" w:rsidRPr="00AC27B2">
        <w:t>podpoře regionálního rozvoje</w:t>
      </w:r>
      <w:r w:rsidR="008C1CE0">
        <w:t>, ve znění pozdějších předpisů</w:t>
      </w:r>
      <w:r w:rsidR="000F5B33" w:rsidRPr="00AC27B2">
        <w:t>.</w:t>
      </w:r>
      <w:r w:rsidR="000F5B33" w:rsidRPr="00E928E1">
        <w:rPr>
          <w:color w:val="FF0000"/>
        </w:rPr>
        <w:t xml:space="preserve"> </w:t>
      </w:r>
      <w:r w:rsidR="00127EF8" w:rsidRPr="003F06C2">
        <w:t>Jej</w:t>
      </w:r>
      <w:r w:rsidR="00B13E4D" w:rsidRPr="003F06C2">
        <w:t>ich</w:t>
      </w:r>
      <w:r w:rsidR="00127EF8" w:rsidRPr="003F06C2">
        <w:t xml:space="preserve"> h</w:t>
      </w:r>
      <w:r w:rsidR="00772C9B" w:rsidRPr="003F06C2">
        <w:t xml:space="preserve">lavním úkolem </w:t>
      </w:r>
      <w:r w:rsidR="00D81F63" w:rsidRPr="003F06C2">
        <w:t>bylo</w:t>
      </w:r>
      <w:r w:rsidR="00772C9B" w:rsidRPr="003F06C2">
        <w:t xml:space="preserve"> administrovat finanční prostředky z fondů EU</w:t>
      </w:r>
      <w:r w:rsidR="006746F6" w:rsidRPr="003F06C2">
        <w:t xml:space="preserve"> prostřednictvím regionáln</w:t>
      </w:r>
      <w:r w:rsidR="008C1CE0">
        <w:t>ích</w:t>
      </w:r>
      <w:r w:rsidR="006746F6" w:rsidRPr="003F06C2">
        <w:t xml:space="preserve"> operační</w:t>
      </w:r>
      <w:r w:rsidR="008C1CE0">
        <w:t>ch</w:t>
      </w:r>
      <w:r w:rsidR="006746F6" w:rsidRPr="003F06C2">
        <w:t xml:space="preserve"> program</w:t>
      </w:r>
      <w:r w:rsidR="008C1CE0">
        <w:t>ů</w:t>
      </w:r>
      <w:r w:rsidR="00052217" w:rsidRPr="003F06C2">
        <w:t xml:space="preserve"> (ROP)</w:t>
      </w:r>
      <w:r w:rsidR="00D81F63" w:rsidRPr="003F06C2">
        <w:t xml:space="preserve"> v</w:t>
      </w:r>
      <w:r w:rsidR="005A1C91" w:rsidRPr="003F06C2">
        <w:t> </w:t>
      </w:r>
      <w:r w:rsidR="00D81F63" w:rsidRPr="003F06C2">
        <w:t>p</w:t>
      </w:r>
      <w:r w:rsidR="005A1C91" w:rsidRPr="003F06C2">
        <w:t>ředchozím programovém období. Prostředky na projekty v</w:t>
      </w:r>
      <w:r w:rsidR="00410D06">
        <w:t> </w:t>
      </w:r>
      <w:proofErr w:type="gramStart"/>
      <w:r w:rsidR="005A1C91" w:rsidRPr="003F06C2">
        <w:t>ROP</w:t>
      </w:r>
      <w:proofErr w:type="gramEnd"/>
      <w:r w:rsidR="00410D06">
        <w:t xml:space="preserve"> </w:t>
      </w:r>
      <w:r w:rsidR="005A1C91" w:rsidRPr="003F06C2">
        <w:t xml:space="preserve">byly poskytovány cestou kapitoly Ministerstva pro místní rozvoj formou dotace pro příslušné </w:t>
      </w:r>
      <w:r w:rsidR="008C1CE0">
        <w:t>RR</w:t>
      </w:r>
      <w:r w:rsidR="005A1C91" w:rsidRPr="003F06C2">
        <w:t>. Rok 2016 bude posledním rokem, kdy budou proplaceny z ROP poslední projekty, které byly dokončeny do 31.</w:t>
      </w:r>
      <w:r w:rsidR="00744E92">
        <w:t xml:space="preserve"> </w:t>
      </w:r>
      <w:r w:rsidR="005A1C91" w:rsidRPr="003F06C2">
        <w:t>12.</w:t>
      </w:r>
      <w:r w:rsidR="00744E92">
        <w:t xml:space="preserve"> </w:t>
      </w:r>
      <w:r w:rsidR="005A1C91" w:rsidRPr="003F06C2">
        <w:t>2015</w:t>
      </w:r>
      <w:r w:rsidR="003C1696">
        <w:t>.</w:t>
      </w:r>
      <w:r w:rsidR="005A1C91" w:rsidRPr="003F06C2">
        <w:t xml:space="preserve"> </w:t>
      </w:r>
      <w:r w:rsidR="00D4677F" w:rsidRPr="003F06C2">
        <w:t>R</w:t>
      </w:r>
      <w:r w:rsidR="008C1CE0">
        <w:t>R</w:t>
      </w:r>
      <w:r w:rsidR="00D4677F" w:rsidRPr="003F06C2">
        <w:t xml:space="preserve"> budou od roku 2016 postupně program</w:t>
      </w:r>
      <w:r w:rsidR="00F269BC">
        <w:t>y</w:t>
      </w:r>
      <w:r w:rsidR="00D4677F" w:rsidRPr="003F06C2">
        <w:t xml:space="preserve"> uzavírat a</w:t>
      </w:r>
      <w:r w:rsidR="00D62E73">
        <w:t> </w:t>
      </w:r>
      <w:r w:rsidR="00D4677F" w:rsidRPr="003F06C2">
        <w:t>dokončovat</w:t>
      </w:r>
      <w:r w:rsidR="00F6745D">
        <w:t>.</w:t>
      </w:r>
    </w:p>
    <w:p w:rsidR="00D4677F" w:rsidRDefault="00603C2D" w:rsidP="00603C2D">
      <w:pPr>
        <w:rPr>
          <w:color w:val="0000FF"/>
          <w:sz w:val="50"/>
          <w:szCs w:val="50"/>
        </w:rPr>
      </w:pPr>
      <w:r>
        <w:rPr>
          <w:color w:val="0000FF"/>
          <w:sz w:val="50"/>
          <w:szCs w:val="50"/>
        </w:rPr>
        <w:br w:type="page"/>
      </w:r>
    </w:p>
    <w:p w:rsidR="00550040" w:rsidRPr="00F20E7C" w:rsidRDefault="00550040" w:rsidP="00132833">
      <w:pPr>
        <w:pStyle w:val="Nadpis1"/>
        <w:rPr>
          <w:sz w:val="40"/>
          <w:u w:val="none"/>
        </w:rPr>
      </w:pPr>
      <w:bookmarkStart w:id="4" w:name="_Toc428431389"/>
      <w:r w:rsidRPr="00F20E7C">
        <w:rPr>
          <w:sz w:val="40"/>
          <w:u w:val="none"/>
        </w:rPr>
        <w:lastRenderedPageBreak/>
        <w:t>Územní rozpočty v </w:t>
      </w:r>
      <w:r w:rsidR="004F015E" w:rsidRPr="00F20E7C">
        <w:rPr>
          <w:sz w:val="40"/>
          <w:u w:val="none"/>
        </w:rPr>
        <w:t>letech</w:t>
      </w:r>
      <w:r w:rsidRPr="00F20E7C">
        <w:rPr>
          <w:sz w:val="40"/>
          <w:u w:val="none"/>
        </w:rPr>
        <w:t xml:space="preserve"> 20</w:t>
      </w:r>
      <w:r w:rsidR="003F3705" w:rsidRPr="00F20E7C">
        <w:rPr>
          <w:sz w:val="40"/>
          <w:u w:val="none"/>
        </w:rPr>
        <w:t>15 a 2016</w:t>
      </w:r>
      <w:bookmarkEnd w:id="4"/>
    </w:p>
    <w:p w:rsidR="003F3705" w:rsidRPr="009C3C4C" w:rsidRDefault="003F3705" w:rsidP="00F20E7C">
      <w:pPr>
        <w:pStyle w:val="Nadpis2"/>
      </w:pPr>
      <w:bookmarkStart w:id="5" w:name="_Toc428431390"/>
      <w:r w:rsidRPr="009C3C4C">
        <w:t>Východiska pro sestavení predikce</w:t>
      </w:r>
      <w:bookmarkEnd w:id="5"/>
    </w:p>
    <w:p w:rsidR="008A3B8A" w:rsidRPr="0083350B" w:rsidRDefault="008A3B8A" w:rsidP="008A3B8A">
      <w:pPr>
        <w:pStyle w:val="Zkladntextodsazen2"/>
        <w:tabs>
          <w:tab w:val="num" w:pos="0"/>
        </w:tabs>
        <w:spacing w:after="0" w:line="360" w:lineRule="auto"/>
        <w:ind w:left="0"/>
      </w:pPr>
      <w:r w:rsidRPr="0083350B">
        <w:t>Odhad</w:t>
      </w:r>
      <w:r>
        <w:t>y</w:t>
      </w:r>
      <w:r w:rsidRPr="0083350B">
        <w:t xml:space="preserve"> vývoje hospodaření </w:t>
      </w:r>
      <w:r>
        <w:t xml:space="preserve">jednotlivých složek územních rozpočtů pro roky 2015 a 2016 </w:t>
      </w:r>
      <w:r w:rsidRPr="0083350B">
        <w:t>byly připraveny s využitím následujících podkladů:</w:t>
      </w:r>
    </w:p>
    <w:p w:rsidR="008A3B8A" w:rsidRPr="00517803" w:rsidRDefault="008A3B8A" w:rsidP="00132833">
      <w:pPr>
        <w:pStyle w:val="Zkladntextodsazen2"/>
        <w:numPr>
          <w:ilvl w:val="0"/>
          <w:numId w:val="1"/>
        </w:numPr>
        <w:autoSpaceDE w:val="0"/>
        <w:autoSpaceDN w:val="0"/>
        <w:spacing w:after="0" w:line="360" w:lineRule="auto"/>
        <w:ind w:left="714" w:hanging="357"/>
        <w:jc w:val="both"/>
        <w:rPr>
          <w:bCs/>
        </w:rPr>
      </w:pPr>
      <w:r w:rsidRPr="00517803">
        <w:t>aktuální makroekonomická predikce České republiky,</w:t>
      </w:r>
    </w:p>
    <w:p w:rsidR="008A3B8A" w:rsidRPr="00C977A5" w:rsidRDefault="008A3B8A" w:rsidP="00132833">
      <w:pPr>
        <w:pStyle w:val="Zkladntextodsazen2"/>
        <w:numPr>
          <w:ilvl w:val="0"/>
          <w:numId w:val="1"/>
        </w:numPr>
        <w:autoSpaceDE w:val="0"/>
        <w:autoSpaceDN w:val="0"/>
        <w:spacing w:after="0" w:line="360" w:lineRule="auto"/>
        <w:ind w:left="714" w:hanging="357"/>
        <w:jc w:val="both"/>
        <w:rPr>
          <w:bCs/>
        </w:rPr>
      </w:pPr>
      <w:r w:rsidRPr="00C977A5">
        <w:t>očekávaná skutečnost plnění daňových příjmů veřejných rozpočtů v roce 201</w:t>
      </w:r>
      <w:r>
        <w:t>5</w:t>
      </w:r>
      <w:r w:rsidRPr="00C977A5">
        <w:t xml:space="preserve">, </w:t>
      </w:r>
    </w:p>
    <w:p w:rsidR="008A3B8A" w:rsidRPr="00C977A5" w:rsidRDefault="008A3B8A" w:rsidP="00132833">
      <w:pPr>
        <w:pStyle w:val="Zkladntextodsazen2"/>
        <w:numPr>
          <w:ilvl w:val="0"/>
          <w:numId w:val="1"/>
        </w:numPr>
        <w:autoSpaceDE w:val="0"/>
        <w:autoSpaceDN w:val="0"/>
        <w:spacing w:after="0" w:line="360" w:lineRule="auto"/>
        <w:ind w:left="1077" w:hanging="720"/>
        <w:jc w:val="both"/>
        <w:rPr>
          <w:bCs/>
        </w:rPr>
      </w:pPr>
      <w:r w:rsidRPr="00C977A5">
        <w:rPr>
          <w:bCs/>
        </w:rPr>
        <w:t xml:space="preserve">daňová predikce na </w:t>
      </w:r>
      <w:r w:rsidRPr="00D75EB1">
        <w:t>rok</w:t>
      </w:r>
      <w:r w:rsidRPr="00C977A5">
        <w:rPr>
          <w:bCs/>
        </w:rPr>
        <w:t xml:space="preserve"> 201</w:t>
      </w:r>
      <w:r>
        <w:rPr>
          <w:bCs/>
        </w:rPr>
        <w:t>6</w:t>
      </w:r>
      <w:r w:rsidRPr="00C977A5">
        <w:rPr>
          <w:bCs/>
        </w:rPr>
        <w:t>,</w:t>
      </w:r>
    </w:p>
    <w:p w:rsidR="008A3B8A" w:rsidRPr="00C977A5" w:rsidRDefault="008A3B8A" w:rsidP="00132833">
      <w:pPr>
        <w:pStyle w:val="Zkladntextodsazen2"/>
        <w:numPr>
          <w:ilvl w:val="0"/>
          <w:numId w:val="1"/>
        </w:numPr>
        <w:autoSpaceDE w:val="0"/>
        <w:autoSpaceDN w:val="0"/>
        <w:spacing w:after="0" w:line="360" w:lineRule="auto"/>
        <w:ind w:left="714" w:hanging="357"/>
        <w:jc w:val="both"/>
      </w:pPr>
      <w:r w:rsidRPr="00C977A5">
        <w:t xml:space="preserve">aktuální bilance příjmů a výdajů obcí a krajů, </w:t>
      </w:r>
      <w:r w:rsidR="00E032D1">
        <w:t xml:space="preserve">DSO </w:t>
      </w:r>
      <w:r w:rsidRPr="00C977A5">
        <w:t>a </w:t>
      </w:r>
      <w:r w:rsidR="00E032D1">
        <w:t>RR</w:t>
      </w:r>
      <w:r w:rsidRPr="00C977A5">
        <w:t>,</w:t>
      </w:r>
    </w:p>
    <w:p w:rsidR="008A3B8A" w:rsidRDefault="008A3B8A" w:rsidP="00132833">
      <w:pPr>
        <w:pStyle w:val="Zkladntextodsazen2"/>
        <w:numPr>
          <w:ilvl w:val="0"/>
          <w:numId w:val="1"/>
        </w:numPr>
        <w:autoSpaceDE w:val="0"/>
        <w:autoSpaceDN w:val="0"/>
        <w:spacing w:after="0" w:line="360" w:lineRule="auto"/>
        <w:ind w:left="714" w:hanging="357"/>
        <w:jc w:val="both"/>
      </w:pPr>
      <w:r w:rsidRPr="00C977A5">
        <w:t>upravené rozpočty kapitol státního rozpočtu a státních fondů.</w:t>
      </w:r>
    </w:p>
    <w:p w:rsidR="00746437" w:rsidRDefault="00746437" w:rsidP="00E1615F">
      <w:pPr>
        <w:pStyle w:val="Zkladntextodsazen2"/>
        <w:autoSpaceDE w:val="0"/>
        <w:autoSpaceDN w:val="0"/>
        <w:spacing w:after="0" w:line="360" w:lineRule="auto"/>
        <w:ind w:left="0"/>
        <w:jc w:val="both"/>
      </w:pPr>
    </w:p>
    <w:p w:rsidR="001E1380" w:rsidRDefault="00E1615F" w:rsidP="00E1615F">
      <w:pPr>
        <w:pStyle w:val="Zkladntextodsazen2"/>
        <w:autoSpaceDE w:val="0"/>
        <w:autoSpaceDN w:val="0"/>
        <w:spacing w:after="0" w:line="360" w:lineRule="auto"/>
        <w:ind w:left="0"/>
        <w:jc w:val="both"/>
      </w:pPr>
      <w:r>
        <w:t>Uváděné hodnoty vztahující se k příjmům, výdajům a saldu jednotlivých složek územních rozpočtů pro roky 201</w:t>
      </w:r>
      <w:r w:rsidR="00813683">
        <w:t>5</w:t>
      </w:r>
      <w:r>
        <w:t xml:space="preserve"> a</w:t>
      </w:r>
      <w:r w:rsidR="00813683">
        <w:t xml:space="preserve"> 2016 představují odhady, které vychází z výše uvedených předpokladů a budou zpřesňovány na základě aktuálního vývoje. </w:t>
      </w:r>
    </w:p>
    <w:p w:rsidR="001E1380" w:rsidRPr="00F20E7C" w:rsidRDefault="004F015E" w:rsidP="00F20E7C">
      <w:pPr>
        <w:pStyle w:val="Nadpis2"/>
      </w:pPr>
      <w:bookmarkStart w:id="6" w:name="_Toc428431391"/>
      <w:r w:rsidRPr="00F20E7C">
        <w:t xml:space="preserve">Očekávaný vývoj </w:t>
      </w:r>
      <w:r w:rsidR="001E1380" w:rsidRPr="00F20E7C">
        <w:t>hospodaření územních rozpočtů v </w:t>
      </w:r>
      <w:r w:rsidR="008842B6">
        <w:t>letech</w:t>
      </w:r>
      <w:r w:rsidR="001E1380" w:rsidRPr="00F20E7C">
        <w:t xml:space="preserve"> 2015 a 2016</w:t>
      </w:r>
      <w:bookmarkEnd w:id="6"/>
      <w:r w:rsidR="001E1380" w:rsidRPr="00F20E7C">
        <w:t xml:space="preserve">  </w:t>
      </w:r>
    </w:p>
    <w:p w:rsidR="004F015E" w:rsidRPr="002753D4" w:rsidRDefault="002753D4" w:rsidP="002753D4">
      <w:pPr>
        <w:pStyle w:val="Zkladntextodsazen2"/>
        <w:autoSpaceDE w:val="0"/>
        <w:autoSpaceDN w:val="0"/>
        <w:spacing w:after="0" w:line="360" w:lineRule="auto"/>
        <w:ind w:left="0"/>
        <w:jc w:val="both"/>
      </w:pPr>
      <w:r w:rsidRPr="002753D4">
        <w:t>Jak v roce 2015 tak v roce 2016 by územní rozpočty měly vykázat přebytek</w:t>
      </w:r>
      <w:r w:rsidR="00F95F05">
        <w:t xml:space="preserve"> ve svém hospodaření</w:t>
      </w:r>
      <w:r w:rsidRPr="002753D4">
        <w:t xml:space="preserve">. Jakým způsobem se </w:t>
      </w:r>
      <w:r w:rsidR="00F95F05">
        <w:t xml:space="preserve">jednotlivé </w:t>
      </w:r>
      <w:r>
        <w:t>články</w:t>
      </w:r>
      <w:r w:rsidR="00F95F05">
        <w:t xml:space="preserve"> </w:t>
      </w:r>
      <w:r w:rsidR="00D96848">
        <w:t xml:space="preserve">této kategorie </w:t>
      </w:r>
      <w:r w:rsidR="00F95F05">
        <w:t xml:space="preserve">na předpokládaném </w:t>
      </w:r>
      <w:r>
        <w:t>přebytku podílejí</w:t>
      </w:r>
      <w:r w:rsidR="00885E41">
        <w:t xml:space="preserve">, </w:t>
      </w:r>
      <w:r>
        <w:t>zachycuje následující tabulka:</w:t>
      </w:r>
      <w:r w:rsidRPr="002753D4">
        <w:t xml:space="preserve">   </w:t>
      </w:r>
    </w:p>
    <w:p w:rsidR="00C731EE" w:rsidRDefault="00C731EE" w:rsidP="004F015E"/>
    <w:p w:rsidR="004F015E" w:rsidRDefault="002753D4" w:rsidP="000D7B97">
      <w:pPr>
        <w:pStyle w:val="Titulek"/>
        <w:rPr>
          <w:color w:val="auto"/>
          <w:sz w:val="20"/>
          <w:szCs w:val="20"/>
        </w:rPr>
      </w:pPr>
      <w:r w:rsidRPr="000D7B97">
        <w:rPr>
          <w:b w:val="0"/>
          <w:color w:val="auto"/>
          <w:sz w:val="20"/>
          <w:szCs w:val="20"/>
        </w:rPr>
        <w:t xml:space="preserve"> </w:t>
      </w:r>
      <w:r w:rsidR="000D7B97" w:rsidRPr="000D7B97">
        <w:rPr>
          <w:color w:val="auto"/>
          <w:sz w:val="20"/>
          <w:szCs w:val="20"/>
        </w:rPr>
        <w:t xml:space="preserve">Tabulka č. </w:t>
      </w:r>
      <w:r w:rsidR="000D7B97" w:rsidRPr="000D7B97">
        <w:rPr>
          <w:color w:val="auto"/>
          <w:sz w:val="20"/>
          <w:szCs w:val="20"/>
        </w:rPr>
        <w:fldChar w:fldCharType="begin"/>
      </w:r>
      <w:r w:rsidR="000D7B97" w:rsidRPr="000D7B97">
        <w:rPr>
          <w:color w:val="auto"/>
          <w:sz w:val="20"/>
          <w:szCs w:val="20"/>
        </w:rPr>
        <w:instrText xml:space="preserve"> SEQ Tabulka_č. \* ARABIC </w:instrText>
      </w:r>
      <w:r w:rsidR="000D7B97" w:rsidRPr="000D7B97">
        <w:rPr>
          <w:color w:val="auto"/>
          <w:sz w:val="20"/>
          <w:szCs w:val="20"/>
        </w:rPr>
        <w:fldChar w:fldCharType="separate"/>
      </w:r>
      <w:r w:rsidR="00BF5CB4">
        <w:rPr>
          <w:noProof/>
          <w:color w:val="auto"/>
          <w:sz w:val="20"/>
          <w:szCs w:val="20"/>
        </w:rPr>
        <w:t>1</w:t>
      </w:r>
      <w:r w:rsidR="000D7B97" w:rsidRPr="000D7B97">
        <w:rPr>
          <w:color w:val="auto"/>
          <w:sz w:val="20"/>
          <w:szCs w:val="20"/>
        </w:rPr>
        <w:fldChar w:fldCharType="end"/>
      </w:r>
      <w:r w:rsidR="000D7B97" w:rsidRPr="000D7B97">
        <w:rPr>
          <w:color w:val="auto"/>
          <w:sz w:val="20"/>
          <w:szCs w:val="20"/>
        </w:rPr>
        <w:t xml:space="preserve"> </w:t>
      </w:r>
      <w:r w:rsidR="004F015E" w:rsidRPr="000D7B97">
        <w:rPr>
          <w:b w:val="0"/>
          <w:color w:val="auto"/>
          <w:sz w:val="20"/>
          <w:szCs w:val="20"/>
        </w:rPr>
        <w:t xml:space="preserve"> </w:t>
      </w:r>
      <w:r w:rsidR="004F015E" w:rsidRPr="000D7B97">
        <w:rPr>
          <w:color w:val="auto"/>
          <w:sz w:val="20"/>
          <w:szCs w:val="20"/>
        </w:rPr>
        <w:t>Struktura salda hospodaření územních rozpočtů v letech 2015 a 2016</w:t>
      </w:r>
      <w:r w:rsidR="002418F7">
        <w:rPr>
          <w:color w:val="auto"/>
          <w:sz w:val="20"/>
          <w:szCs w:val="20"/>
        </w:rPr>
        <w:t xml:space="preserve"> (v mld. Kč)</w:t>
      </w:r>
    </w:p>
    <w:p w:rsidR="002418F7" w:rsidRPr="002418F7" w:rsidRDefault="002418F7" w:rsidP="002418F7"/>
    <w:p w:rsidR="006F4051" w:rsidRPr="006F4051" w:rsidRDefault="008C42AF" w:rsidP="00796423">
      <w:pPr>
        <w:jc w:val="center"/>
      </w:pPr>
      <w:r w:rsidRPr="008C42AF">
        <w:rPr>
          <w:noProof/>
        </w:rPr>
        <w:drawing>
          <wp:inline distT="0" distB="0" distL="0" distR="0">
            <wp:extent cx="5146040" cy="121221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6040" cy="1212215"/>
                    </a:xfrm>
                    <a:prstGeom prst="rect">
                      <a:avLst/>
                    </a:prstGeom>
                    <a:noFill/>
                    <a:ln>
                      <a:noFill/>
                    </a:ln>
                  </pic:spPr>
                </pic:pic>
              </a:graphicData>
            </a:graphic>
          </wp:inline>
        </w:drawing>
      </w:r>
    </w:p>
    <w:p w:rsidR="00C731EE" w:rsidRPr="009B0A63" w:rsidRDefault="00C731EE" w:rsidP="009B19EA">
      <w:pPr>
        <w:jc w:val="center"/>
        <w:rPr>
          <w:b/>
          <w:color w:val="000000"/>
          <w:sz w:val="28"/>
          <w:szCs w:val="28"/>
        </w:rPr>
      </w:pPr>
    </w:p>
    <w:p w:rsidR="004F015E" w:rsidRPr="009B0A63" w:rsidRDefault="004F015E" w:rsidP="004F015E">
      <w:pPr>
        <w:rPr>
          <w:b/>
          <w:color w:val="000000"/>
          <w:sz w:val="28"/>
          <w:szCs w:val="28"/>
        </w:rPr>
      </w:pPr>
    </w:p>
    <w:p w:rsidR="003F3705" w:rsidRDefault="003F3705" w:rsidP="00F97BB0">
      <w:pPr>
        <w:jc w:val="both"/>
        <w:rPr>
          <w:b/>
          <w:sz w:val="28"/>
          <w:szCs w:val="28"/>
          <w:u w:val="single"/>
        </w:rPr>
      </w:pPr>
    </w:p>
    <w:p w:rsidR="00FD18A5" w:rsidRDefault="00FD18A5" w:rsidP="00F97BB0">
      <w:pPr>
        <w:jc w:val="both"/>
      </w:pPr>
    </w:p>
    <w:p w:rsidR="00FD18A5" w:rsidRDefault="00FD18A5" w:rsidP="00F97BB0">
      <w:pPr>
        <w:jc w:val="both"/>
      </w:pPr>
    </w:p>
    <w:p w:rsidR="00FD18A5" w:rsidRDefault="00FD18A5" w:rsidP="00F97BB0">
      <w:pPr>
        <w:jc w:val="both"/>
      </w:pPr>
    </w:p>
    <w:p w:rsidR="00FD18A5" w:rsidRDefault="00FD18A5" w:rsidP="00F97BB0">
      <w:pPr>
        <w:jc w:val="both"/>
      </w:pPr>
    </w:p>
    <w:p w:rsidR="00253740" w:rsidRDefault="00253740" w:rsidP="008F0E56">
      <w:pPr>
        <w:spacing w:line="360" w:lineRule="auto"/>
        <w:jc w:val="both"/>
      </w:pPr>
    </w:p>
    <w:p w:rsidR="009C6ED8" w:rsidRDefault="009C6ED8" w:rsidP="008F0E56">
      <w:pPr>
        <w:spacing w:line="360" w:lineRule="auto"/>
        <w:jc w:val="both"/>
      </w:pPr>
    </w:p>
    <w:p w:rsidR="00283464" w:rsidRPr="00D25E18" w:rsidRDefault="00283464" w:rsidP="00283464">
      <w:pPr>
        <w:spacing w:line="360" w:lineRule="auto"/>
        <w:rPr>
          <w:b/>
        </w:rPr>
      </w:pPr>
      <w:r w:rsidRPr="00D25E18">
        <w:rPr>
          <w:b/>
        </w:rPr>
        <w:lastRenderedPageBreak/>
        <w:t xml:space="preserve">Faktory mající vliv na vývoj hospodaření územních rozpočtů: </w:t>
      </w:r>
    </w:p>
    <w:p w:rsidR="0039792F" w:rsidRPr="000F0455" w:rsidRDefault="0039792F" w:rsidP="0039792F">
      <w:pPr>
        <w:pStyle w:val="Odstavecseseznamem"/>
        <w:numPr>
          <w:ilvl w:val="0"/>
          <w:numId w:val="7"/>
        </w:numPr>
        <w:spacing w:line="360" w:lineRule="auto"/>
      </w:pPr>
      <w:r w:rsidRPr="00D25E18">
        <w:rPr>
          <w:b/>
        </w:rPr>
        <w:t>Ekonomický vývoj –</w:t>
      </w:r>
      <w:r w:rsidRPr="000F0455">
        <w:t xml:space="preserve"> v současné době se ekonomika ČR nachází ve fázi růstu, vývoj ekonomiky </w:t>
      </w:r>
      <w:r w:rsidR="000F0455" w:rsidRPr="000F0455">
        <w:t>je zároveň jeden z hlavních faktorů, který se</w:t>
      </w:r>
      <w:r w:rsidRPr="000F0455">
        <w:t xml:space="preserve"> </w:t>
      </w:r>
      <w:r w:rsidR="000F0455" w:rsidRPr="000F0455">
        <w:t>odráží</w:t>
      </w:r>
      <w:r w:rsidRPr="000F0455">
        <w:t xml:space="preserve"> prostřednictvím sdílených daní </w:t>
      </w:r>
      <w:r w:rsidR="000F0455" w:rsidRPr="000F0455">
        <w:t>v</w:t>
      </w:r>
      <w:r w:rsidRPr="000F0455">
        <w:t xml:space="preserve"> celkových příjm</w:t>
      </w:r>
      <w:r w:rsidR="000F0455" w:rsidRPr="000F0455">
        <w:t>ech</w:t>
      </w:r>
      <w:r w:rsidRPr="000F0455">
        <w:t xml:space="preserve"> obcí a krajů.</w:t>
      </w:r>
    </w:p>
    <w:p w:rsidR="00283464" w:rsidRDefault="00283464" w:rsidP="00283464">
      <w:pPr>
        <w:pStyle w:val="Odstavecseseznamem"/>
        <w:numPr>
          <w:ilvl w:val="0"/>
          <w:numId w:val="7"/>
        </w:numPr>
        <w:spacing w:line="360" w:lineRule="auto"/>
      </w:pPr>
      <w:r w:rsidRPr="00D25E18">
        <w:rPr>
          <w:b/>
        </w:rPr>
        <w:t>Nastavení rozpočtového určení daní</w:t>
      </w:r>
      <w:r>
        <w:t xml:space="preserve"> – od 1. 1. 2013 platí novela zákona č.</w:t>
      </w:r>
      <w:r w:rsidR="00ED0108">
        <w:t> </w:t>
      </w:r>
      <w:r>
        <w:t>243/2000</w:t>
      </w:r>
      <w:r w:rsidR="00ED0108">
        <w:t> </w:t>
      </w:r>
      <w:r>
        <w:t>Sb.,</w:t>
      </w:r>
      <w:r w:rsidR="00ED0108">
        <w:t xml:space="preserve"> o rozpočtovém určení daní</w:t>
      </w:r>
      <w:r w:rsidR="00A756DE">
        <w:t xml:space="preserve">, </w:t>
      </w:r>
      <w:r>
        <w:t>která významně navýšila daňové příjmy obcí</w:t>
      </w:r>
      <w:r w:rsidR="000D7FFB">
        <w:t>.</w:t>
      </w:r>
      <w:r>
        <w:t xml:space="preserve"> </w:t>
      </w:r>
      <w:r w:rsidR="000D7FFB">
        <w:t>V</w:t>
      </w:r>
      <w:r>
        <w:t xml:space="preserve"> současné době je </w:t>
      </w:r>
      <w:r w:rsidR="00ED0108">
        <w:t xml:space="preserve">v Parlamentu </w:t>
      </w:r>
      <w:r>
        <w:t>projednáván</w:t>
      </w:r>
      <w:r w:rsidR="00ED0108">
        <w:t xml:space="preserve"> vládní návrh novely </w:t>
      </w:r>
      <w:r w:rsidR="000D7FFB">
        <w:t xml:space="preserve">tohoto zákona (sněmovní </w:t>
      </w:r>
      <w:r>
        <w:t>tisk č. 416</w:t>
      </w:r>
      <w:r w:rsidR="000D7FFB">
        <w:t xml:space="preserve">) s navrhovanou </w:t>
      </w:r>
      <w:r>
        <w:t>účinnost</w:t>
      </w:r>
      <w:r w:rsidR="000D7FFB">
        <w:t>í</w:t>
      </w:r>
      <w:r>
        <w:t xml:space="preserve"> od 1.</w:t>
      </w:r>
      <w:r w:rsidR="000D7FFB">
        <w:t xml:space="preserve"> </w:t>
      </w:r>
      <w:r>
        <w:t>1.</w:t>
      </w:r>
      <w:r w:rsidR="000D7FFB">
        <w:t xml:space="preserve"> </w:t>
      </w:r>
      <w:r>
        <w:t>2016</w:t>
      </w:r>
      <w:r w:rsidR="000D7FFB">
        <w:t xml:space="preserve">. Předmětem této novely je </w:t>
      </w:r>
      <w:r>
        <w:t>posílení da</w:t>
      </w:r>
      <w:r w:rsidR="000D7FFB">
        <w:t>ňo</w:t>
      </w:r>
      <w:r>
        <w:t>vých příjmů krajů</w:t>
      </w:r>
      <w:r w:rsidR="00506356">
        <w:t xml:space="preserve"> cca</w:t>
      </w:r>
      <w:r>
        <w:t xml:space="preserve"> o 3,5 ml. Kč. </w:t>
      </w:r>
    </w:p>
    <w:p w:rsidR="005B67CC" w:rsidRDefault="00BC482B" w:rsidP="005B67CC">
      <w:pPr>
        <w:pStyle w:val="Odstavecseseznamem"/>
        <w:numPr>
          <w:ilvl w:val="0"/>
          <w:numId w:val="7"/>
        </w:numPr>
        <w:spacing w:line="360" w:lineRule="auto"/>
      </w:pPr>
      <w:r w:rsidRPr="005B67CC">
        <w:rPr>
          <w:b/>
        </w:rPr>
        <w:t>Č</w:t>
      </w:r>
      <w:r w:rsidR="00283464" w:rsidRPr="005B67CC">
        <w:rPr>
          <w:b/>
        </w:rPr>
        <w:t xml:space="preserve">erpání </w:t>
      </w:r>
      <w:r w:rsidR="00BF456C" w:rsidRPr="005B67CC">
        <w:rPr>
          <w:b/>
        </w:rPr>
        <w:t>dotací z</w:t>
      </w:r>
      <w:r w:rsidR="00283464" w:rsidRPr="005B67CC">
        <w:rPr>
          <w:b/>
        </w:rPr>
        <w:t xml:space="preserve"> EU</w:t>
      </w:r>
      <w:r w:rsidR="00283464" w:rsidRPr="005161FB">
        <w:t xml:space="preserve"> – v roce 2015 </w:t>
      </w:r>
      <w:r w:rsidR="005161FB" w:rsidRPr="005161FB">
        <w:t>dochází k</w:t>
      </w:r>
      <w:r w:rsidR="00283464" w:rsidRPr="005161FB">
        <w:t xml:space="preserve"> dočerpáván</w:t>
      </w:r>
      <w:r w:rsidR="005161FB" w:rsidRPr="005161FB">
        <w:t>í</w:t>
      </w:r>
      <w:r w:rsidR="00283464" w:rsidRPr="005161FB">
        <w:t xml:space="preserve"> prostředk</w:t>
      </w:r>
      <w:r w:rsidR="005161FB" w:rsidRPr="005161FB">
        <w:t>ů</w:t>
      </w:r>
      <w:r w:rsidR="00283464" w:rsidRPr="005161FB">
        <w:t xml:space="preserve"> v rámci programového období</w:t>
      </w:r>
      <w:r w:rsidR="005161FB" w:rsidRPr="005161FB">
        <w:t xml:space="preserve"> 2007 - 2013</w:t>
      </w:r>
      <w:r w:rsidR="00283464" w:rsidRPr="005161FB">
        <w:t xml:space="preserve">, což se projevuje </w:t>
      </w:r>
      <w:r w:rsidR="00143F3C">
        <w:t xml:space="preserve">pozitivně </w:t>
      </w:r>
      <w:r w:rsidR="00283464" w:rsidRPr="005161FB">
        <w:t xml:space="preserve">jak na straně příjmů (úroveň </w:t>
      </w:r>
      <w:r w:rsidR="00E53777">
        <w:t xml:space="preserve">investičních </w:t>
      </w:r>
      <w:r w:rsidR="00283464" w:rsidRPr="005161FB">
        <w:t>transferů)</w:t>
      </w:r>
      <w:r w:rsidR="00E05C8C">
        <w:t>,</w:t>
      </w:r>
      <w:r w:rsidR="00283464" w:rsidRPr="005161FB">
        <w:t xml:space="preserve"> tak i výdajů</w:t>
      </w:r>
      <w:r w:rsidR="005161FB" w:rsidRPr="005161FB">
        <w:t xml:space="preserve"> (</w:t>
      </w:r>
      <w:r w:rsidR="00283464" w:rsidRPr="005161FB">
        <w:t>zejména kapitálových</w:t>
      </w:r>
      <w:r w:rsidR="005161FB" w:rsidRPr="005161FB">
        <w:t xml:space="preserve">). </w:t>
      </w:r>
    </w:p>
    <w:p w:rsidR="005B67CC" w:rsidRPr="00A5652B" w:rsidRDefault="00E53777" w:rsidP="005B67CC">
      <w:pPr>
        <w:spacing w:line="360" w:lineRule="auto"/>
        <w:ind w:left="709"/>
        <w:jc w:val="both"/>
      </w:pPr>
      <w:r w:rsidRPr="00A5652B">
        <w:t>Údaje o</w:t>
      </w:r>
      <w:r w:rsidR="00BC482B" w:rsidRPr="00A5652B">
        <w:t xml:space="preserve"> investičních transfer</w:t>
      </w:r>
      <w:r w:rsidRPr="00A5652B">
        <w:t>ech</w:t>
      </w:r>
      <w:r w:rsidR="00BC482B" w:rsidRPr="00A5652B">
        <w:t xml:space="preserve"> mezi roky 2015 a 2016 j</w:t>
      </w:r>
      <w:r w:rsidRPr="00A5652B">
        <w:t>sou</w:t>
      </w:r>
      <w:r w:rsidR="00BC482B" w:rsidRPr="00A5652B">
        <w:t xml:space="preserve"> nesrovnateln</w:t>
      </w:r>
      <w:r w:rsidRPr="00A5652B">
        <w:t>é</w:t>
      </w:r>
      <w:r w:rsidR="00BC482B" w:rsidRPr="00A5652B">
        <w:t xml:space="preserve">. </w:t>
      </w:r>
      <w:r w:rsidRPr="00A5652B">
        <w:t>Programové období 2014 - 2020</w:t>
      </w:r>
      <w:r w:rsidR="00510934" w:rsidRPr="00A5652B">
        <w:t xml:space="preserve"> </w:t>
      </w:r>
      <w:r w:rsidRPr="00A5652B">
        <w:t>je postaveno na</w:t>
      </w:r>
      <w:r w:rsidR="00510934" w:rsidRPr="00A5652B">
        <w:t> nov</w:t>
      </w:r>
      <w:r w:rsidRPr="00A5652B">
        <w:t>é</w:t>
      </w:r>
      <w:r w:rsidR="00510934" w:rsidRPr="00A5652B">
        <w:t xml:space="preserve"> struktu</w:t>
      </w:r>
      <w:r w:rsidRPr="00A5652B">
        <w:t>ře</w:t>
      </w:r>
      <w:r w:rsidR="00510934" w:rsidRPr="00A5652B">
        <w:t xml:space="preserve"> programů, zejména již nepokrač</w:t>
      </w:r>
      <w:r w:rsidRPr="00A5652B">
        <w:t>ují</w:t>
      </w:r>
      <w:r w:rsidR="00E05C8C">
        <w:t xml:space="preserve"> </w:t>
      </w:r>
      <w:r w:rsidRPr="00A5652B">
        <w:t>ROP</w:t>
      </w:r>
      <w:r w:rsidR="00510934" w:rsidRPr="00A5652B">
        <w:t>, ze kter</w:t>
      </w:r>
      <w:r w:rsidRPr="00A5652B">
        <w:t>ých</w:t>
      </w:r>
      <w:r w:rsidR="00510934" w:rsidRPr="00A5652B">
        <w:t xml:space="preserve"> </w:t>
      </w:r>
      <w:r w:rsidR="00A756DE">
        <w:t>územní</w:t>
      </w:r>
      <w:r w:rsidR="00510934" w:rsidRPr="00A5652B">
        <w:t xml:space="preserve"> rozpočty čerpaly významné finanční objemy</w:t>
      </w:r>
      <w:r w:rsidR="00A33AAC">
        <w:t>. Navíc došlo ke zpoždění v realizaci projektů v novém období z důvodu zpoždění při schvalování nových operačních programů a vyhlašování výzev</w:t>
      </w:r>
      <w:r w:rsidR="00510934" w:rsidRPr="00A5652B">
        <w:t xml:space="preserve">. </w:t>
      </w:r>
      <w:r w:rsidR="00095ED6">
        <w:t>Vývoj na straně transferů</w:t>
      </w:r>
      <w:r w:rsidR="005B67CC" w:rsidRPr="00A5652B">
        <w:t xml:space="preserve"> v roce 2016 bude závis</w:t>
      </w:r>
      <w:r w:rsidR="00095ED6">
        <w:t>et</w:t>
      </w:r>
      <w:r w:rsidR="005B67CC" w:rsidRPr="00A5652B">
        <w:t xml:space="preserve"> na tom, </w:t>
      </w:r>
      <w:r w:rsidR="00095ED6">
        <w:t>v jaké míře budou čerpány prostředky z</w:t>
      </w:r>
      <w:r w:rsidR="00A33AAC">
        <w:t> </w:t>
      </w:r>
      <w:r w:rsidR="005B67CC" w:rsidRPr="00A5652B">
        <w:t xml:space="preserve">programů nového programového období, což nelze v době zpracování této části rozpočtové dokumentace postihnout.  </w:t>
      </w:r>
    </w:p>
    <w:p w:rsidR="00954CAA" w:rsidRPr="008A3F35" w:rsidRDefault="00111446" w:rsidP="00954CAA">
      <w:pPr>
        <w:pStyle w:val="Odstavecseseznamem"/>
        <w:numPr>
          <w:ilvl w:val="0"/>
          <w:numId w:val="7"/>
        </w:numPr>
        <w:spacing w:line="360" w:lineRule="auto"/>
      </w:pPr>
      <w:r>
        <w:rPr>
          <w:b/>
        </w:rPr>
        <w:t>C</w:t>
      </w:r>
      <w:r w:rsidR="00A756DE" w:rsidRPr="008A3F35">
        <w:rPr>
          <w:b/>
        </w:rPr>
        <w:t>hování</w:t>
      </w:r>
      <w:r w:rsidR="00283464" w:rsidRPr="008A3F35">
        <w:rPr>
          <w:b/>
        </w:rPr>
        <w:t xml:space="preserve"> obcí </w:t>
      </w:r>
      <w:r w:rsidR="00D25E18" w:rsidRPr="008A3F35">
        <w:rPr>
          <w:b/>
        </w:rPr>
        <w:t xml:space="preserve">– </w:t>
      </w:r>
      <w:r w:rsidR="00E363E3" w:rsidRPr="008A3F35">
        <w:t>na celkovém předpokládaném přebytku</w:t>
      </w:r>
      <w:r w:rsidR="00954CAA" w:rsidRPr="008A3F35">
        <w:t xml:space="preserve"> územních rozpočtů</w:t>
      </w:r>
      <w:r w:rsidR="00E363E3" w:rsidRPr="008A3F35">
        <w:t xml:space="preserve"> pro roky 2015</w:t>
      </w:r>
      <w:r w:rsidR="00954CAA" w:rsidRPr="008A3F35">
        <w:t xml:space="preserve"> a 2016</w:t>
      </w:r>
      <w:r w:rsidR="00E363E3" w:rsidRPr="008A3F35">
        <w:t xml:space="preserve"> se podílejí </w:t>
      </w:r>
      <w:r w:rsidR="00954CAA" w:rsidRPr="008A3F35">
        <w:t>největší měrou</w:t>
      </w:r>
      <w:r w:rsidR="00E363E3" w:rsidRPr="008A3F35">
        <w:t xml:space="preserve"> obce. </w:t>
      </w:r>
      <w:r w:rsidR="004C39F9" w:rsidRPr="008A3F35">
        <w:t>Ty se</w:t>
      </w:r>
      <w:r w:rsidR="0037278F" w:rsidRPr="008A3F35">
        <w:t xml:space="preserve"> </w:t>
      </w:r>
      <w:r w:rsidR="004C39F9" w:rsidRPr="008A3F35">
        <w:t>chova</w:t>
      </w:r>
      <w:r w:rsidR="00731732" w:rsidRPr="008A3F35">
        <w:t>jí</w:t>
      </w:r>
      <w:r w:rsidR="004C39F9" w:rsidRPr="008A3F35">
        <w:t xml:space="preserve"> konzervativně a</w:t>
      </w:r>
      <w:r w:rsidR="00954CAA" w:rsidRPr="008A3F35">
        <w:t xml:space="preserve"> </w:t>
      </w:r>
      <w:r w:rsidR="0037278F" w:rsidRPr="008A3F35">
        <w:t xml:space="preserve">finanční </w:t>
      </w:r>
      <w:r w:rsidR="00954CAA" w:rsidRPr="008A3F35">
        <w:t xml:space="preserve">rezervy </w:t>
      </w:r>
      <w:r w:rsidR="00B55645">
        <w:t xml:space="preserve">vytvořené v minulých letech </w:t>
      </w:r>
      <w:r w:rsidR="00954CAA" w:rsidRPr="008A3F35">
        <w:t>zapojují do svých rozpočtů</w:t>
      </w:r>
      <w:r w:rsidR="0037278F" w:rsidRPr="008A3F35">
        <w:t xml:space="preserve"> jen</w:t>
      </w:r>
      <w:r w:rsidR="00954CAA" w:rsidRPr="008A3F35">
        <w:t xml:space="preserve"> velmi zvolna.</w:t>
      </w:r>
    </w:p>
    <w:p w:rsidR="00000679" w:rsidRPr="00C731EE" w:rsidRDefault="00954CAA" w:rsidP="00392F89">
      <w:pPr>
        <w:spacing w:line="360" w:lineRule="auto"/>
        <w:jc w:val="both"/>
      </w:pPr>
      <w:r w:rsidRPr="00C731EE">
        <w:t xml:space="preserve"> </w:t>
      </w:r>
      <w:r w:rsidR="00C731EE" w:rsidRPr="00C731EE">
        <w:t>Podrobnější údaje o očekávaných příjmech a výdajích jednotlivých složek územních rozpočtů jsou uvedeny v následujícím textu.</w:t>
      </w:r>
    </w:p>
    <w:p w:rsidR="00C731EE" w:rsidRDefault="00C731EE" w:rsidP="00392F89">
      <w:pPr>
        <w:jc w:val="both"/>
        <w:rPr>
          <w:b/>
          <w:sz w:val="28"/>
          <w:szCs w:val="28"/>
          <w:u w:val="single"/>
        </w:rPr>
      </w:pPr>
    </w:p>
    <w:p w:rsidR="00000679" w:rsidRPr="00F20E7C" w:rsidRDefault="00B204E7" w:rsidP="00745A5F">
      <w:pPr>
        <w:pStyle w:val="Nadpis2"/>
        <w:ind w:left="578" w:hanging="578"/>
      </w:pPr>
      <w:bookmarkStart w:id="7" w:name="_Toc428431392"/>
      <w:r w:rsidRPr="00F20E7C">
        <w:t xml:space="preserve">Vývoj </w:t>
      </w:r>
      <w:r w:rsidR="003C0E2B" w:rsidRPr="00F20E7C">
        <w:t>hospodaření o</w:t>
      </w:r>
      <w:r w:rsidR="00000679" w:rsidRPr="00F20E7C">
        <w:t>bc</w:t>
      </w:r>
      <w:r w:rsidR="003C0E2B" w:rsidRPr="00F20E7C">
        <w:t>í v </w:t>
      </w:r>
      <w:r w:rsidR="000773E6">
        <w:t>letech</w:t>
      </w:r>
      <w:r w:rsidR="003C0E2B" w:rsidRPr="00F20E7C">
        <w:t xml:space="preserve"> </w:t>
      </w:r>
      <w:r w:rsidR="00000679" w:rsidRPr="00F20E7C">
        <w:t>2015</w:t>
      </w:r>
      <w:r w:rsidR="003C0E2B" w:rsidRPr="00F20E7C">
        <w:t xml:space="preserve"> a 2016</w:t>
      </w:r>
      <w:bookmarkEnd w:id="7"/>
      <w:r w:rsidR="00000679" w:rsidRPr="00F20E7C">
        <w:t xml:space="preserve"> </w:t>
      </w:r>
    </w:p>
    <w:p w:rsidR="00F70740" w:rsidRPr="006D4970" w:rsidRDefault="001957F8" w:rsidP="001957F8">
      <w:pPr>
        <w:spacing w:line="360" w:lineRule="auto"/>
        <w:jc w:val="both"/>
      </w:pPr>
      <w:r>
        <w:t>Předpokládá se, že v</w:t>
      </w:r>
      <w:r w:rsidR="003A6300">
        <w:t xml:space="preserve"> roce 2015 </w:t>
      </w:r>
      <w:r>
        <w:t>obce</w:t>
      </w:r>
      <w:r w:rsidR="00C02A69">
        <w:t xml:space="preserve"> (včetně hl. m. Prahy)</w:t>
      </w:r>
      <w:r>
        <w:t xml:space="preserve"> zakončí své hospodaření přebytkem ve výši 9,1 mld. Kč. Změna trendu se nepředpokládá ani v roce 2016, </w:t>
      </w:r>
      <w:r w:rsidRPr="001E3D1A">
        <w:t xml:space="preserve">kdy odhadovaná výše přebytku </w:t>
      </w:r>
      <w:r w:rsidR="00F633C1" w:rsidRPr="001E3D1A">
        <w:t>za obecní rozpočty</w:t>
      </w:r>
      <w:r w:rsidRPr="001E3D1A">
        <w:t xml:space="preserve"> činí </w:t>
      </w:r>
      <w:r w:rsidR="00F633C1" w:rsidRPr="001E3D1A">
        <w:t xml:space="preserve">10,6 </w:t>
      </w:r>
      <w:r w:rsidRPr="001E3D1A">
        <w:t>mld. Kč.</w:t>
      </w:r>
      <w:r w:rsidR="00677D9E" w:rsidRPr="001E3D1A">
        <w:t xml:space="preserve"> Z grafu je patrné, že obce </w:t>
      </w:r>
      <w:r w:rsidR="00677D9E" w:rsidRPr="006D4970">
        <w:t xml:space="preserve">kladný výsledek hospodaření vykazují již od roku 2012. </w:t>
      </w:r>
    </w:p>
    <w:p w:rsidR="00000679" w:rsidRPr="009E61A7" w:rsidRDefault="003C0E2B" w:rsidP="00B3340B">
      <w:pPr>
        <w:pStyle w:val="Titulek"/>
        <w:rPr>
          <w:color w:val="auto"/>
          <w:sz w:val="20"/>
          <w:szCs w:val="20"/>
        </w:rPr>
      </w:pPr>
      <w:r w:rsidRPr="00920309">
        <w:rPr>
          <w:color w:val="FF0000"/>
          <w:sz w:val="20"/>
          <w:szCs w:val="20"/>
        </w:rPr>
        <w:lastRenderedPageBreak/>
        <w:t xml:space="preserve"> </w:t>
      </w:r>
      <w:r w:rsidR="00B3340B" w:rsidRPr="009E61A7">
        <w:rPr>
          <w:color w:val="auto"/>
          <w:sz w:val="20"/>
          <w:szCs w:val="20"/>
        </w:rPr>
        <w:t xml:space="preserve">Graf č. </w:t>
      </w:r>
      <w:r w:rsidR="00B3340B" w:rsidRPr="009E61A7">
        <w:rPr>
          <w:color w:val="auto"/>
          <w:sz w:val="20"/>
          <w:szCs w:val="20"/>
        </w:rPr>
        <w:fldChar w:fldCharType="begin"/>
      </w:r>
      <w:r w:rsidR="00B3340B" w:rsidRPr="009E61A7">
        <w:rPr>
          <w:color w:val="auto"/>
          <w:sz w:val="20"/>
          <w:szCs w:val="20"/>
        </w:rPr>
        <w:instrText xml:space="preserve"> SEQ Graf_č. \* ARABIC </w:instrText>
      </w:r>
      <w:r w:rsidR="00B3340B" w:rsidRPr="009E61A7">
        <w:rPr>
          <w:color w:val="auto"/>
          <w:sz w:val="20"/>
          <w:szCs w:val="20"/>
        </w:rPr>
        <w:fldChar w:fldCharType="separate"/>
      </w:r>
      <w:r w:rsidR="00BF5CB4">
        <w:rPr>
          <w:noProof/>
          <w:color w:val="auto"/>
          <w:sz w:val="20"/>
          <w:szCs w:val="20"/>
        </w:rPr>
        <w:t>1</w:t>
      </w:r>
      <w:r w:rsidR="00B3340B" w:rsidRPr="009E61A7">
        <w:rPr>
          <w:color w:val="auto"/>
          <w:sz w:val="20"/>
          <w:szCs w:val="20"/>
        </w:rPr>
        <w:fldChar w:fldCharType="end"/>
      </w:r>
      <w:r w:rsidRPr="009E61A7">
        <w:rPr>
          <w:color w:val="auto"/>
          <w:sz w:val="20"/>
          <w:szCs w:val="20"/>
        </w:rPr>
        <w:t xml:space="preserve">  Saldo </w:t>
      </w:r>
      <w:r w:rsidR="009E61A7" w:rsidRPr="009E61A7">
        <w:rPr>
          <w:color w:val="auto"/>
          <w:sz w:val="20"/>
          <w:szCs w:val="20"/>
        </w:rPr>
        <w:t xml:space="preserve">obecních </w:t>
      </w:r>
      <w:proofErr w:type="gramStart"/>
      <w:r w:rsidRPr="009E61A7">
        <w:rPr>
          <w:color w:val="auto"/>
          <w:sz w:val="20"/>
          <w:szCs w:val="20"/>
        </w:rPr>
        <w:t>rozpočtů  v letech</w:t>
      </w:r>
      <w:proofErr w:type="gramEnd"/>
      <w:r w:rsidRPr="009E61A7">
        <w:rPr>
          <w:color w:val="auto"/>
          <w:sz w:val="20"/>
          <w:szCs w:val="20"/>
        </w:rPr>
        <w:t xml:space="preserve"> 2001 - 2016 </w:t>
      </w:r>
    </w:p>
    <w:p w:rsidR="001045C2" w:rsidRDefault="009E61A7" w:rsidP="00392F89">
      <w:pPr>
        <w:jc w:val="center"/>
      </w:pPr>
      <w:r>
        <w:rPr>
          <w:noProof/>
        </w:rPr>
        <w:drawing>
          <wp:inline distT="0" distB="0" distL="0" distR="0" wp14:anchorId="3DEF3632" wp14:editId="1CFEFF4C">
            <wp:extent cx="5124891" cy="280699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26246" cy="2807737"/>
                    </a:xfrm>
                    <a:prstGeom prst="rect">
                      <a:avLst/>
                    </a:prstGeom>
                    <a:noFill/>
                  </pic:spPr>
                </pic:pic>
              </a:graphicData>
            </a:graphic>
          </wp:inline>
        </w:drawing>
      </w:r>
    </w:p>
    <w:p w:rsidR="00392F89" w:rsidRDefault="00392F89" w:rsidP="00392F89">
      <w:pPr>
        <w:jc w:val="center"/>
      </w:pPr>
    </w:p>
    <w:p w:rsidR="005337D4" w:rsidRPr="005337D4" w:rsidRDefault="00677D9E" w:rsidP="00392F89">
      <w:pPr>
        <w:spacing w:line="360" w:lineRule="auto"/>
        <w:jc w:val="both"/>
      </w:pPr>
      <w:r w:rsidRPr="00963B52">
        <w:t>Struktura příjmů</w:t>
      </w:r>
      <w:r>
        <w:t xml:space="preserve"> obcí je</w:t>
      </w:r>
      <w:r w:rsidRPr="00963B52">
        <w:t xml:space="preserve"> </w:t>
      </w:r>
      <w:r>
        <w:t>z dlouhodobého hlediska stabilní. Nejdůležitější zdroj financování představují daňové příjmy.</w:t>
      </w:r>
      <w:r w:rsidRPr="00963B52">
        <w:t xml:space="preserve"> </w:t>
      </w:r>
      <w:r>
        <w:t>D</w:t>
      </w:r>
      <w:r w:rsidRPr="00963B52">
        <w:t>ruh</w:t>
      </w:r>
      <w:r>
        <w:t>ý</w:t>
      </w:r>
      <w:r w:rsidRPr="00963B52">
        <w:t xml:space="preserve"> nejvýznamnější</w:t>
      </w:r>
      <w:r>
        <w:t xml:space="preserve"> zdroj financování rozpočtů obcí</w:t>
      </w:r>
      <w:r w:rsidRPr="00963B52">
        <w:t xml:space="preserve"> představují transfery poskytované z různých úrovní veřejných rozpočtů (zejména </w:t>
      </w:r>
      <w:r>
        <w:t>ze státního rozpočtu, ale také např. z rozpočtů krajů, státních fondů</w:t>
      </w:r>
      <w:r w:rsidR="00DF14C9">
        <w:t>, EU</w:t>
      </w:r>
      <w:r w:rsidRPr="00963B52">
        <w:t>).</w:t>
      </w:r>
      <w:r>
        <w:t xml:space="preserve"> Méně významný podíl představují v rozpočtech obcí kapitálové a nedaňové příjmy.</w:t>
      </w:r>
      <w:r w:rsidRPr="00963B52">
        <w:t xml:space="preserve"> </w:t>
      </w:r>
    </w:p>
    <w:p w:rsidR="00F70740" w:rsidRDefault="00F70740" w:rsidP="00EF0AF8">
      <w:pPr>
        <w:pStyle w:val="Titulek"/>
        <w:rPr>
          <w:color w:val="auto"/>
          <w:sz w:val="20"/>
          <w:szCs w:val="20"/>
        </w:rPr>
      </w:pPr>
    </w:p>
    <w:p w:rsidR="003A6300" w:rsidRDefault="00EF0AF8" w:rsidP="00EF0AF8">
      <w:pPr>
        <w:pStyle w:val="Titulek"/>
        <w:rPr>
          <w:color w:val="auto"/>
          <w:sz w:val="20"/>
          <w:szCs w:val="20"/>
        </w:rPr>
      </w:pPr>
      <w:r w:rsidRPr="00A7085E">
        <w:rPr>
          <w:color w:val="auto"/>
          <w:sz w:val="20"/>
          <w:szCs w:val="20"/>
        </w:rPr>
        <w:t>Graf</w:t>
      </w:r>
      <w:r w:rsidR="00B17865" w:rsidRPr="00A7085E">
        <w:rPr>
          <w:color w:val="auto"/>
          <w:sz w:val="20"/>
          <w:szCs w:val="20"/>
        </w:rPr>
        <w:t xml:space="preserve"> </w:t>
      </w:r>
      <w:proofErr w:type="gramStart"/>
      <w:r w:rsidRPr="00A7085E">
        <w:rPr>
          <w:color w:val="auto"/>
          <w:sz w:val="20"/>
          <w:szCs w:val="20"/>
        </w:rPr>
        <w:t>č.</w:t>
      </w:r>
      <w:r w:rsidR="007D4A17">
        <w:rPr>
          <w:color w:val="auto"/>
          <w:sz w:val="20"/>
          <w:szCs w:val="20"/>
        </w:rPr>
        <w:t xml:space="preserve"> </w:t>
      </w:r>
      <w:r w:rsidRPr="00A7085E">
        <w:rPr>
          <w:color w:val="auto"/>
          <w:sz w:val="20"/>
          <w:szCs w:val="20"/>
        </w:rPr>
        <w:fldChar w:fldCharType="begin"/>
      </w:r>
      <w:r w:rsidRPr="00A7085E">
        <w:rPr>
          <w:color w:val="auto"/>
          <w:sz w:val="20"/>
          <w:szCs w:val="20"/>
        </w:rPr>
        <w:instrText xml:space="preserve"> SEQ Graf_č. \* ARABIC </w:instrText>
      </w:r>
      <w:r w:rsidRPr="00A7085E">
        <w:rPr>
          <w:color w:val="auto"/>
          <w:sz w:val="20"/>
          <w:szCs w:val="20"/>
        </w:rPr>
        <w:fldChar w:fldCharType="separate"/>
      </w:r>
      <w:r w:rsidR="00BF5CB4">
        <w:rPr>
          <w:noProof/>
          <w:color w:val="auto"/>
          <w:sz w:val="20"/>
          <w:szCs w:val="20"/>
        </w:rPr>
        <w:t>2</w:t>
      </w:r>
      <w:r w:rsidRPr="00A7085E">
        <w:rPr>
          <w:color w:val="auto"/>
          <w:sz w:val="20"/>
          <w:szCs w:val="20"/>
        </w:rPr>
        <w:fldChar w:fldCharType="end"/>
      </w:r>
      <w:r w:rsidR="00B17865" w:rsidRPr="00A7085E">
        <w:rPr>
          <w:color w:val="auto"/>
          <w:sz w:val="20"/>
          <w:szCs w:val="20"/>
        </w:rPr>
        <w:t xml:space="preserve"> </w:t>
      </w:r>
      <w:r w:rsidR="0080428D" w:rsidRPr="00A7085E">
        <w:rPr>
          <w:color w:val="auto"/>
          <w:sz w:val="20"/>
          <w:szCs w:val="20"/>
        </w:rPr>
        <w:t>Struktura</w:t>
      </w:r>
      <w:proofErr w:type="gramEnd"/>
      <w:r w:rsidR="0080428D" w:rsidRPr="00A7085E">
        <w:rPr>
          <w:color w:val="auto"/>
          <w:sz w:val="20"/>
          <w:szCs w:val="20"/>
        </w:rPr>
        <w:t xml:space="preserve"> příjmů obcí</w:t>
      </w:r>
      <w:r w:rsidR="00E400F5">
        <w:rPr>
          <w:color w:val="auto"/>
          <w:sz w:val="20"/>
          <w:szCs w:val="20"/>
        </w:rPr>
        <w:t xml:space="preserve"> v roce 2015</w:t>
      </w:r>
      <w:r w:rsidR="0080428D" w:rsidRPr="00A7085E">
        <w:rPr>
          <w:color w:val="auto"/>
          <w:sz w:val="20"/>
          <w:szCs w:val="20"/>
        </w:rPr>
        <w:t xml:space="preserve"> </w:t>
      </w:r>
    </w:p>
    <w:p w:rsidR="009F0C81" w:rsidRPr="009F0C81" w:rsidRDefault="009F0C81" w:rsidP="009F0C81"/>
    <w:p w:rsidR="00BF5CB4" w:rsidRPr="00BF5CB4" w:rsidRDefault="009F0C81" w:rsidP="00674479">
      <w:pPr>
        <w:jc w:val="center"/>
      </w:pPr>
      <w:r>
        <w:rPr>
          <w:noProof/>
        </w:rPr>
        <w:drawing>
          <wp:inline distT="0" distB="0" distL="0" distR="0" wp14:anchorId="1C98679B">
            <wp:extent cx="5092994" cy="297711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2994" cy="2977117"/>
                    </a:xfrm>
                    <a:prstGeom prst="rect">
                      <a:avLst/>
                    </a:prstGeom>
                    <a:noFill/>
                  </pic:spPr>
                </pic:pic>
              </a:graphicData>
            </a:graphic>
          </wp:inline>
        </w:drawing>
      </w:r>
    </w:p>
    <w:p w:rsidR="00981F5B" w:rsidRPr="00847059" w:rsidRDefault="00981F5B" w:rsidP="00847059">
      <w:pPr>
        <w:jc w:val="center"/>
      </w:pPr>
    </w:p>
    <w:p w:rsidR="00587256" w:rsidRDefault="00587256" w:rsidP="00CE2CE5">
      <w:pPr>
        <w:spacing w:before="120"/>
        <w:jc w:val="both"/>
        <w:rPr>
          <w:b/>
        </w:rPr>
      </w:pPr>
    </w:p>
    <w:p w:rsidR="00587256" w:rsidRDefault="00587256" w:rsidP="00CE2CE5">
      <w:pPr>
        <w:spacing w:before="120"/>
        <w:jc w:val="both"/>
        <w:rPr>
          <w:b/>
        </w:rPr>
      </w:pPr>
    </w:p>
    <w:p w:rsidR="005C2306" w:rsidRDefault="005C2306" w:rsidP="00CE2CE5">
      <w:pPr>
        <w:spacing w:before="120"/>
        <w:jc w:val="both"/>
        <w:rPr>
          <w:b/>
        </w:rPr>
      </w:pPr>
    </w:p>
    <w:p w:rsidR="00AA6B9B" w:rsidRDefault="00B57B5B" w:rsidP="00CE2CE5">
      <w:pPr>
        <w:spacing w:before="120"/>
        <w:jc w:val="both"/>
        <w:rPr>
          <w:b/>
        </w:rPr>
      </w:pPr>
      <w:r w:rsidRPr="00B57B5B">
        <w:rPr>
          <w:b/>
        </w:rPr>
        <w:t>Odhadovaný vývoj na straně příjmů</w:t>
      </w:r>
    </w:p>
    <w:p w:rsidR="00092844" w:rsidRPr="00B57B5B" w:rsidRDefault="00092844" w:rsidP="00CE2CE5">
      <w:pPr>
        <w:spacing w:before="120"/>
        <w:jc w:val="both"/>
        <w:rPr>
          <w:b/>
        </w:rPr>
      </w:pPr>
    </w:p>
    <w:p w:rsidR="00604F90" w:rsidRPr="00092844" w:rsidRDefault="003A6300" w:rsidP="00132833">
      <w:pPr>
        <w:pStyle w:val="Zkladntextodsazen2"/>
        <w:numPr>
          <w:ilvl w:val="0"/>
          <w:numId w:val="1"/>
        </w:numPr>
        <w:autoSpaceDE w:val="0"/>
        <w:autoSpaceDN w:val="0"/>
        <w:spacing w:after="0" w:line="360" w:lineRule="auto"/>
        <w:ind w:left="714" w:hanging="357"/>
        <w:jc w:val="both"/>
        <w:rPr>
          <w:b/>
        </w:rPr>
      </w:pPr>
      <w:r w:rsidRPr="00092844">
        <w:rPr>
          <w:b/>
        </w:rPr>
        <w:t>Daňové příjmy</w:t>
      </w:r>
      <w:r w:rsidR="00B57B5B" w:rsidRPr="00092844">
        <w:rPr>
          <w:b/>
        </w:rPr>
        <w:t xml:space="preserve"> </w:t>
      </w:r>
    </w:p>
    <w:p w:rsidR="005F5CE0" w:rsidRDefault="00821E77" w:rsidP="00BE6250">
      <w:pPr>
        <w:pStyle w:val="Zkladntextodsazen2"/>
        <w:autoSpaceDE w:val="0"/>
        <w:autoSpaceDN w:val="0"/>
        <w:spacing w:after="0" w:line="360" w:lineRule="auto"/>
        <w:ind w:left="142"/>
        <w:jc w:val="both"/>
      </w:pPr>
      <w:r w:rsidRPr="00C8197C">
        <w:rPr>
          <w:b/>
        </w:rPr>
        <w:t>V roce 2015</w:t>
      </w:r>
      <w:r>
        <w:t xml:space="preserve"> se předpokládá, že daňové příjmy </w:t>
      </w:r>
      <w:r w:rsidR="00172AD0">
        <w:t xml:space="preserve">obcí </w:t>
      </w:r>
      <w:r>
        <w:t xml:space="preserve">dosáhnou </w:t>
      </w:r>
      <w:r w:rsidR="00CB02A3">
        <w:t>částky</w:t>
      </w:r>
      <w:r w:rsidR="00920309">
        <w:t xml:space="preserve"> 172,1 mld. Kč</w:t>
      </w:r>
      <w:r w:rsidR="00CB02A3">
        <w:t xml:space="preserve"> a na celkových příjmech se budou podílet 62,</w:t>
      </w:r>
      <w:r w:rsidR="00402255">
        <w:t xml:space="preserve">5 </w:t>
      </w:r>
      <w:r w:rsidR="00CB02A3">
        <w:t>%.</w:t>
      </w:r>
      <w:r w:rsidR="00402255">
        <w:t xml:space="preserve"> Ve srovnání se situací v roce 2014 </w:t>
      </w:r>
      <w:r w:rsidR="00B70071">
        <w:t>toto</w:t>
      </w:r>
      <w:r w:rsidR="00402255">
        <w:t xml:space="preserve"> </w:t>
      </w:r>
      <w:r w:rsidR="00920309">
        <w:t>představuje</w:t>
      </w:r>
      <w:r w:rsidR="00CB02A3">
        <w:t xml:space="preserve"> navýšení</w:t>
      </w:r>
      <w:r w:rsidR="00402255">
        <w:t xml:space="preserve"> daňových příjmů</w:t>
      </w:r>
      <w:r w:rsidR="00CB02A3">
        <w:t xml:space="preserve"> o 1,2 %.</w:t>
      </w:r>
      <w:r w:rsidR="0006332D">
        <w:t xml:space="preserve"> Zároveň by měla být naplněna očekávání z</w:t>
      </w:r>
      <w:r w:rsidR="008665A8">
        <w:t> </w:t>
      </w:r>
      <w:r w:rsidR="0006332D">
        <w:t>predikce</w:t>
      </w:r>
      <w:r w:rsidR="008665A8">
        <w:t xml:space="preserve"> daňových příjmů</w:t>
      </w:r>
      <w:r w:rsidR="0006332D">
        <w:t xml:space="preserve"> použité při sestavení státního rozpočtu na rok 2015. </w:t>
      </w:r>
      <w:r w:rsidR="00846161">
        <w:t xml:space="preserve">Ve struktuře daňových příjmů </w:t>
      </w:r>
      <w:r w:rsidR="000F723D">
        <w:t>má</w:t>
      </w:r>
      <w:r w:rsidR="00846161">
        <w:t xml:space="preserve"> největší zastoupení příjem z podílu na celostátním inkasu DPH. I</w:t>
      </w:r>
      <w:r w:rsidR="00402255">
        <w:t xml:space="preserve"> přes řadu faktorů, které ovlivňovaly negativně inkaso </w:t>
      </w:r>
      <w:r w:rsidR="00846161">
        <w:t>této daně</w:t>
      </w:r>
      <w:r w:rsidR="00402255">
        <w:t xml:space="preserve"> v průběhu roku 2015</w:t>
      </w:r>
      <w:r w:rsidR="00D20A6C">
        <w:rPr>
          <w:rStyle w:val="Znakapoznpodarou"/>
        </w:rPr>
        <w:footnoteReference w:id="2"/>
      </w:r>
      <w:r w:rsidR="00402255">
        <w:t xml:space="preserve">, </w:t>
      </w:r>
      <w:r w:rsidR="00846161">
        <w:t xml:space="preserve">se neočekává </w:t>
      </w:r>
      <w:r w:rsidR="008347B6">
        <w:t xml:space="preserve">jeho </w:t>
      </w:r>
      <w:r w:rsidR="00846161">
        <w:t xml:space="preserve">pokles </w:t>
      </w:r>
      <w:r w:rsidR="00CD41EB">
        <w:t xml:space="preserve">a celková výše inkasa </w:t>
      </w:r>
      <w:r w:rsidR="00846161">
        <w:t>DPH</w:t>
      </w:r>
      <w:r w:rsidR="00CD41EB">
        <w:t xml:space="preserve"> v roce 2015 bude odpovídat zhruba </w:t>
      </w:r>
      <w:r w:rsidR="008347B6">
        <w:t>situaci</w:t>
      </w:r>
      <w:r w:rsidR="00CD41EB">
        <w:t xml:space="preserve"> roku 201</w:t>
      </w:r>
      <w:r w:rsidR="008347B6">
        <w:t>4</w:t>
      </w:r>
      <w:r w:rsidR="00CD41EB">
        <w:t>.</w:t>
      </w:r>
      <w:r w:rsidR="008404B6">
        <w:t xml:space="preserve"> </w:t>
      </w:r>
    </w:p>
    <w:p w:rsidR="00945FBA" w:rsidRPr="00D632BC" w:rsidRDefault="00945FBA" w:rsidP="00BE6250">
      <w:pPr>
        <w:pStyle w:val="Zkladntextodsazen2"/>
        <w:autoSpaceDE w:val="0"/>
        <w:autoSpaceDN w:val="0"/>
        <w:spacing w:after="0" w:line="360" w:lineRule="auto"/>
        <w:ind w:left="142"/>
        <w:jc w:val="both"/>
      </w:pPr>
      <w:r w:rsidRPr="00D632BC">
        <w:rPr>
          <w:b/>
        </w:rPr>
        <w:t>V roce 2016</w:t>
      </w:r>
      <w:r w:rsidRPr="00D632BC">
        <w:t xml:space="preserve"> se očekává navýšení daňových příjmů </w:t>
      </w:r>
      <w:r>
        <w:t>obcí</w:t>
      </w:r>
      <w:r w:rsidRPr="00D632BC">
        <w:t xml:space="preserve"> o </w:t>
      </w:r>
      <w:r>
        <w:t>7,3</w:t>
      </w:r>
      <w:r w:rsidR="00C41223">
        <w:t xml:space="preserve"> </w:t>
      </w:r>
      <w:r>
        <w:t>%</w:t>
      </w:r>
      <w:r w:rsidRPr="00D632BC">
        <w:t xml:space="preserve">. </w:t>
      </w:r>
    </w:p>
    <w:p w:rsidR="00945FBA" w:rsidRPr="00357FCA" w:rsidRDefault="00945FBA" w:rsidP="00BE6250">
      <w:pPr>
        <w:pStyle w:val="Zkladntextodsazen2"/>
        <w:autoSpaceDE w:val="0"/>
        <w:autoSpaceDN w:val="0"/>
        <w:spacing w:after="0" w:line="360" w:lineRule="auto"/>
        <w:ind w:left="142"/>
        <w:jc w:val="both"/>
      </w:pPr>
      <w:r w:rsidRPr="00357FCA">
        <w:t>Predikce daňových příjmů pro rok 2016 zohledňuje:</w:t>
      </w:r>
    </w:p>
    <w:p w:rsidR="00945FBA" w:rsidRPr="00357FCA" w:rsidRDefault="00945FBA" w:rsidP="00BE6250">
      <w:pPr>
        <w:pStyle w:val="Zkladntextodsazen2"/>
        <w:numPr>
          <w:ilvl w:val="0"/>
          <w:numId w:val="8"/>
        </w:numPr>
        <w:autoSpaceDE w:val="0"/>
        <w:autoSpaceDN w:val="0"/>
        <w:spacing w:after="0" w:line="360" w:lineRule="auto"/>
        <w:ind w:left="142" w:firstLine="0"/>
        <w:jc w:val="both"/>
      </w:pPr>
      <w:r w:rsidRPr="00357FCA">
        <w:t xml:space="preserve"> stav ekonomiky dle poslední známé makroekonomické predikce (červenec 2015)</w:t>
      </w:r>
      <w:r w:rsidR="008665A8">
        <w:t>,</w:t>
      </w:r>
      <w:r w:rsidRPr="00357FCA">
        <w:t xml:space="preserve"> </w:t>
      </w:r>
    </w:p>
    <w:p w:rsidR="00945FBA" w:rsidRPr="00F115F9" w:rsidRDefault="00945FBA" w:rsidP="00BE6250">
      <w:pPr>
        <w:pStyle w:val="Zkladntextodsazen2"/>
        <w:numPr>
          <w:ilvl w:val="0"/>
          <w:numId w:val="8"/>
        </w:numPr>
        <w:autoSpaceDE w:val="0"/>
        <w:autoSpaceDN w:val="0"/>
        <w:spacing w:after="0" w:line="360" w:lineRule="auto"/>
        <w:ind w:left="142" w:firstLine="0"/>
        <w:jc w:val="both"/>
      </w:pPr>
      <w:r w:rsidRPr="00F115F9">
        <w:t>vliv legislativních změn, které mají nabýt účinnosti v roce 2016 (zavedení kontrolního hlášení, elektronické evidence tržeb, zavedení daňového zvýhodnění na druhé a další dítě)</w:t>
      </w:r>
      <w:r w:rsidR="008665A8">
        <w:t>.</w:t>
      </w:r>
      <w:r w:rsidRPr="00F115F9">
        <w:t xml:space="preserve">  </w:t>
      </w:r>
    </w:p>
    <w:p w:rsidR="00785F58" w:rsidRDefault="00785F58" w:rsidP="00BE6250">
      <w:pPr>
        <w:pStyle w:val="Zkladntextodsazen2"/>
        <w:autoSpaceDE w:val="0"/>
        <w:autoSpaceDN w:val="0"/>
        <w:spacing w:after="0" w:line="360" w:lineRule="auto"/>
        <w:ind w:left="142"/>
        <w:jc w:val="both"/>
      </w:pPr>
      <w:r>
        <w:t xml:space="preserve">Co se týče samotného zákona č. 243/2000 Sb., o rozpočtovém určení daní, </w:t>
      </w:r>
      <w:r w:rsidR="008846D1">
        <w:t xml:space="preserve">ve znění pozdějších předpisů, </w:t>
      </w:r>
      <w:r>
        <w:t>není projednávána žádná legislativní úprava, která by měnila daňové příjmy obcí</w:t>
      </w:r>
      <w:r w:rsidR="002A7A0B">
        <w:t>.</w:t>
      </w:r>
      <w:r>
        <w:t xml:space="preserve"> </w:t>
      </w:r>
      <w:r w:rsidR="002A7A0B">
        <w:t>P</w:t>
      </w:r>
      <w:r>
        <w:t xml:space="preserve">okud nebude schválen žádný pozměňovací návrh v rámci projednávání sněmovního tisku č. 416, bude </w:t>
      </w:r>
      <w:r w:rsidR="002A7A0B">
        <w:t xml:space="preserve">mít </w:t>
      </w:r>
      <w:r>
        <w:t xml:space="preserve">v roce 2016 rozpočtové určení daní pro obce </w:t>
      </w:r>
      <w:r w:rsidR="002A7A0B">
        <w:t>podobu dle platného stavu k 1. 1. 2016</w:t>
      </w:r>
      <w:r w:rsidR="00B70071">
        <w:rPr>
          <w:rStyle w:val="Znakapoznpodarou"/>
        </w:rPr>
        <w:footnoteReference w:id="3"/>
      </w:r>
      <w:r w:rsidR="002A7A0B">
        <w:t xml:space="preserve">. </w:t>
      </w:r>
      <w:r>
        <w:t xml:space="preserve"> </w:t>
      </w:r>
    </w:p>
    <w:p w:rsidR="00604F90" w:rsidRPr="006300A1" w:rsidRDefault="00D77750" w:rsidP="00BE6250">
      <w:pPr>
        <w:pStyle w:val="Zkladntextodsazen2"/>
        <w:autoSpaceDE w:val="0"/>
        <w:autoSpaceDN w:val="0"/>
        <w:spacing w:after="0" w:line="360" w:lineRule="auto"/>
        <w:ind w:left="142"/>
        <w:jc w:val="both"/>
      </w:pPr>
      <w:r w:rsidRPr="006300A1">
        <w:t xml:space="preserve">Konkrétní údaje dle jednotlivých </w:t>
      </w:r>
      <w:r w:rsidR="001D4615" w:rsidRPr="006300A1">
        <w:t>daňových titulů</w:t>
      </w:r>
      <w:r w:rsidRPr="006300A1">
        <w:t xml:space="preserve"> jsou obsaženy </w:t>
      </w:r>
      <w:r w:rsidR="009F5F26" w:rsidRPr="006300A1">
        <w:t>v příloze č.</w:t>
      </w:r>
      <w:r w:rsidR="00C16720" w:rsidRPr="006300A1">
        <w:t xml:space="preserve"> 2. </w:t>
      </w:r>
      <w:r w:rsidR="001C4529" w:rsidRPr="006300A1">
        <w:t xml:space="preserve">Podrobně se problematikou predikce daňových příjmů zabývá </w:t>
      </w:r>
      <w:r w:rsidRPr="006300A1">
        <w:t>j</w:t>
      </w:r>
      <w:r w:rsidR="001C4529" w:rsidRPr="006300A1">
        <w:t>iná část</w:t>
      </w:r>
      <w:r w:rsidR="009F5F26" w:rsidRPr="006300A1">
        <w:t xml:space="preserve"> rozpočtové dokumentace.</w:t>
      </w:r>
      <w:r w:rsidR="009F5F26" w:rsidRPr="006300A1">
        <w:rPr>
          <w:rStyle w:val="Znakapoznpodarou"/>
        </w:rPr>
        <w:footnoteReference w:id="4"/>
      </w:r>
    </w:p>
    <w:p w:rsidR="00604F90" w:rsidRPr="00604F90" w:rsidRDefault="001D4615" w:rsidP="00092844">
      <w:pPr>
        <w:pStyle w:val="Zkladntextodsazen2"/>
        <w:autoSpaceDE w:val="0"/>
        <w:autoSpaceDN w:val="0"/>
        <w:spacing w:after="0" w:line="360" w:lineRule="auto"/>
        <w:ind w:left="0"/>
        <w:jc w:val="both"/>
      </w:pPr>
      <w:r>
        <w:t xml:space="preserve"> </w:t>
      </w:r>
    </w:p>
    <w:p w:rsidR="003A6300" w:rsidRPr="00D55A90" w:rsidRDefault="003A6300" w:rsidP="00132833">
      <w:pPr>
        <w:pStyle w:val="Zkladntextodsazen2"/>
        <w:numPr>
          <w:ilvl w:val="0"/>
          <w:numId w:val="1"/>
        </w:numPr>
        <w:autoSpaceDE w:val="0"/>
        <w:autoSpaceDN w:val="0"/>
        <w:spacing w:after="0" w:line="360" w:lineRule="auto"/>
        <w:ind w:left="714" w:hanging="357"/>
        <w:jc w:val="both"/>
      </w:pPr>
      <w:r w:rsidRPr="00092844">
        <w:rPr>
          <w:b/>
        </w:rPr>
        <w:t>Transfery</w:t>
      </w:r>
      <w:r w:rsidR="00B57B5B" w:rsidRPr="00092844">
        <w:rPr>
          <w:b/>
        </w:rPr>
        <w:t xml:space="preserve"> </w:t>
      </w:r>
    </w:p>
    <w:p w:rsidR="00D55A90" w:rsidRPr="00827CEE" w:rsidRDefault="00D55A90" w:rsidP="00BE6250">
      <w:pPr>
        <w:pStyle w:val="Zkladntextodsazen2"/>
        <w:autoSpaceDE w:val="0"/>
        <w:autoSpaceDN w:val="0"/>
        <w:spacing w:after="0" w:line="360" w:lineRule="auto"/>
        <w:ind w:left="0"/>
        <w:jc w:val="both"/>
      </w:pPr>
      <w:r w:rsidRPr="00827CEE">
        <w:rPr>
          <w:b/>
        </w:rPr>
        <w:t>V roce 2015</w:t>
      </w:r>
      <w:r w:rsidR="00471EF7" w:rsidRPr="00827CEE">
        <w:t xml:space="preserve"> </w:t>
      </w:r>
      <w:r w:rsidR="000B6756" w:rsidRPr="00827CEE">
        <w:t>se očekává, že objem transferů přijatých obcemi dosáhne částky</w:t>
      </w:r>
      <w:r w:rsidR="00827CEE">
        <w:t xml:space="preserve"> 68,8</w:t>
      </w:r>
      <w:r w:rsidR="000565BA">
        <w:t> </w:t>
      </w:r>
      <w:r w:rsidR="00827CEE">
        <w:t>mld. Kč</w:t>
      </w:r>
      <w:r w:rsidR="00E9753E" w:rsidRPr="00827CEE">
        <w:t xml:space="preserve">, což představuje </w:t>
      </w:r>
      <w:r w:rsidR="005E7CA6">
        <w:t>nárůst oproti předchozímu roku o</w:t>
      </w:r>
      <w:r w:rsidR="00827CEE">
        <w:t xml:space="preserve"> </w:t>
      </w:r>
      <w:r w:rsidR="005E7CA6">
        <w:t>4,3 mld. K</w:t>
      </w:r>
      <w:r w:rsidR="00BE6250">
        <w:t>č</w:t>
      </w:r>
      <w:r w:rsidR="00E9753E" w:rsidRPr="00827CEE">
        <w:t>. Nárůst se týká zejména transferů</w:t>
      </w:r>
      <w:r w:rsidR="005E7CA6">
        <w:t xml:space="preserve"> </w:t>
      </w:r>
      <w:r w:rsidR="00E9753E" w:rsidRPr="00827CEE">
        <w:t>přijatých z rozpočtů regionálních rad</w:t>
      </w:r>
      <w:r w:rsidR="005E7CA6">
        <w:t xml:space="preserve"> (</w:t>
      </w:r>
      <w:r w:rsidR="007B5EE5">
        <w:t xml:space="preserve">navýšení o </w:t>
      </w:r>
      <w:r w:rsidR="005E7CA6">
        <w:t>2</w:t>
      </w:r>
      <w:r w:rsidR="00651A0D">
        <w:t>,1</w:t>
      </w:r>
      <w:r w:rsidR="005E7CA6">
        <w:t xml:space="preserve"> mld. Kč),</w:t>
      </w:r>
      <w:r w:rsidR="00E9753E" w:rsidRPr="00827CEE">
        <w:t xml:space="preserve"> což souvisí s dočerpáváním prostředků z R</w:t>
      </w:r>
      <w:r w:rsidR="0006684B">
        <w:t>OP</w:t>
      </w:r>
      <w:r w:rsidR="00E9753E" w:rsidRPr="00827CEE">
        <w:t xml:space="preserve">. </w:t>
      </w:r>
      <w:r w:rsidR="005E7CA6">
        <w:t>Tyto transfery jsou směrovány zejména na financování investičních projek</w:t>
      </w:r>
      <w:r w:rsidR="00D46669">
        <w:t>t</w:t>
      </w:r>
      <w:r w:rsidR="005E7CA6">
        <w:t>ů.</w:t>
      </w:r>
    </w:p>
    <w:p w:rsidR="000565BA" w:rsidRPr="008A7E29" w:rsidRDefault="009E2C48" w:rsidP="00BE6250">
      <w:pPr>
        <w:spacing w:before="120" w:line="360" w:lineRule="auto"/>
        <w:jc w:val="both"/>
      </w:pPr>
      <w:r>
        <w:lastRenderedPageBreak/>
        <w:t>Navrhovaný</w:t>
      </w:r>
      <w:r w:rsidR="00AE3068">
        <w:t xml:space="preserve"> objem </w:t>
      </w:r>
      <w:r w:rsidR="000565BA" w:rsidRPr="008A7E29">
        <w:t xml:space="preserve">transferů </w:t>
      </w:r>
      <w:r w:rsidR="008A7E29">
        <w:t>určených obcí</w:t>
      </w:r>
      <w:r w:rsidR="00680F21">
        <w:t>m</w:t>
      </w:r>
      <w:r w:rsidR="008A7E29">
        <w:t xml:space="preserve"> </w:t>
      </w:r>
      <w:r w:rsidR="00680F21">
        <w:t xml:space="preserve">z různých úrovní veřejných rozpočtů </w:t>
      </w:r>
      <w:r w:rsidR="00680F21" w:rsidRPr="00B238D9">
        <w:rPr>
          <w:b/>
        </w:rPr>
        <w:t>v</w:t>
      </w:r>
      <w:r w:rsidR="000565BA" w:rsidRPr="00B238D9">
        <w:rPr>
          <w:b/>
        </w:rPr>
        <w:t xml:space="preserve"> ro</w:t>
      </w:r>
      <w:r w:rsidR="00680F21" w:rsidRPr="00B238D9">
        <w:rPr>
          <w:b/>
        </w:rPr>
        <w:t>ce</w:t>
      </w:r>
      <w:r w:rsidR="000565BA" w:rsidRPr="00B238D9">
        <w:rPr>
          <w:b/>
        </w:rPr>
        <w:t xml:space="preserve"> 2016 </w:t>
      </w:r>
      <w:r w:rsidR="00680F21">
        <w:t xml:space="preserve">se pohybuje </w:t>
      </w:r>
      <w:r w:rsidR="000565BA" w:rsidRPr="008A7E29">
        <w:t xml:space="preserve">cca </w:t>
      </w:r>
      <w:r w:rsidR="00680F21">
        <w:t xml:space="preserve">na </w:t>
      </w:r>
      <w:r w:rsidR="008A7E29" w:rsidRPr="008A7E29">
        <w:t>6</w:t>
      </w:r>
      <w:r w:rsidR="005C2306">
        <w:t>1</w:t>
      </w:r>
      <w:r w:rsidR="008A7E29" w:rsidRPr="008A7E29">
        <w:t xml:space="preserve"> %</w:t>
      </w:r>
      <w:r w:rsidR="00AE3068">
        <w:t> </w:t>
      </w:r>
      <w:r w:rsidR="00EA3416">
        <w:t xml:space="preserve"> z</w:t>
      </w:r>
      <w:r>
        <w:t> </w:t>
      </w:r>
      <w:r w:rsidR="00EA3416">
        <w:t>odhado</w:t>
      </w:r>
      <w:r>
        <w:t>v</w:t>
      </w:r>
      <w:r w:rsidR="00EA3416">
        <w:t>ané</w:t>
      </w:r>
      <w:r>
        <w:t xml:space="preserve"> hodnoty, která by měla být realizována v roce 2015.</w:t>
      </w:r>
      <w:r w:rsidR="00A5395E">
        <w:t xml:space="preserve"> </w:t>
      </w:r>
      <w:r w:rsidR="003F4E7D">
        <w:t>Údaje o transferech</w:t>
      </w:r>
      <w:r w:rsidR="00D05F8F">
        <w:t xml:space="preserve"> (zejména investičních)</w:t>
      </w:r>
      <w:r w:rsidR="003F4E7D">
        <w:t xml:space="preserve"> jsou však meziročně nesrovnatelné, protože </w:t>
      </w:r>
      <w:r w:rsidR="003F4E7D" w:rsidRPr="00A5652B">
        <w:t xml:space="preserve">již nepokračují ROP, ze kterých </w:t>
      </w:r>
      <w:r w:rsidR="00B238D9">
        <w:t>obce</w:t>
      </w:r>
      <w:r w:rsidR="003F4E7D" w:rsidRPr="00A5652B">
        <w:t xml:space="preserve"> čerpaly významné finanční objemy.</w:t>
      </w:r>
      <w:r w:rsidR="00B238D9">
        <w:t xml:space="preserve"> Čerpání prostředků </w:t>
      </w:r>
      <w:r w:rsidR="0006684B">
        <w:t>v rámci nového programového období</w:t>
      </w:r>
      <w:r w:rsidR="0092498A">
        <w:t xml:space="preserve"> </w:t>
      </w:r>
      <w:r w:rsidR="00235069">
        <w:t xml:space="preserve">se projeví </w:t>
      </w:r>
      <w:r w:rsidR="0092498A">
        <w:t xml:space="preserve">až </w:t>
      </w:r>
      <w:r w:rsidR="00B238D9">
        <w:t>v</w:t>
      </w:r>
      <w:r w:rsidR="0092498A">
        <w:t> údajích o rozpočtovém hospodaření obcí v </w:t>
      </w:r>
      <w:r w:rsidR="00B238D9">
        <w:t>průběhu</w:t>
      </w:r>
      <w:r w:rsidR="0092498A">
        <w:t xml:space="preserve"> kalendářního</w:t>
      </w:r>
      <w:r w:rsidR="00B238D9">
        <w:t xml:space="preserve"> roku</w:t>
      </w:r>
      <w:r w:rsidR="0092498A">
        <w:t>.</w:t>
      </w:r>
      <w:r w:rsidR="00B238D9">
        <w:t xml:space="preserve"> </w:t>
      </w:r>
    </w:p>
    <w:p w:rsidR="00CD6E1C" w:rsidRDefault="00CD6E1C" w:rsidP="00BE6250">
      <w:pPr>
        <w:spacing w:before="120"/>
        <w:jc w:val="both"/>
        <w:rPr>
          <w:b/>
        </w:rPr>
      </w:pPr>
    </w:p>
    <w:p w:rsidR="000A197F" w:rsidRDefault="007627F2" w:rsidP="00BE6250">
      <w:pPr>
        <w:spacing w:before="120"/>
        <w:jc w:val="both"/>
        <w:rPr>
          <w:b/>
        </w:rPr>
      </w:pPr>
      <w:r>
        <w:rPr>
          <w:b/>
        </w:rPr>
        <w:t xml:space="preserve">Odhadovaný vývoj na </w:t>
      </w:r>
      <w:r w:rsidR="00981F5B">
        <w:rPr>
          <w:b/>
        </w:rPr>
        <w:t>s</w:t>
      </w:r>
      <w:r w:rsidR="003A6300">
        <w:rPr>
          <w:b/>
        </w:rPr>
        <w:t>traně výdajů</w:t>
      </w:r>
    </w:p>
    <w:p w:rsidR="00CD6E1C" w:rsidRDefault="00CD6E1C" w:rsidP="00BE6250">
      <w:pPr>
        <w:pStyle w:val="Zkladntextodsazen2"/>
        <w:autoSpaceDE w:val="0"/>
        <w:autoSpaceDN w:val="0"/>
        <w:spacing w:after="0" w:line="360" w:lineRule="auto"/>
        <w:ind w:left="0"/>
        <w:jc w:val="both"/>
      </w:pPr>
    </w:p>
    <w:p w:rsidR="00884907" w:rsidRDefault="0033319B" w:rsidP="00BE6250">
      <w:pPr>
        <w:pStyle w:val="Zkladntextodsazen2"/>
        <w:autoSpaceDE w:val="0"/>
        <w:autoSpaceDN w:val="0"/>
        <w:spacing w:after="0" w:line="360" w:lineRule="auto"/>
        <w:ind w:left="0"/>
        <w:jc w:val="both"/>
      </w:pPr>
      <w:r>
        <w:t xml:space="preserve">Odhaduje se, že celkové výdaje obcí </w:t>
      </w:r>
      <w:r w:rsidRPr="00913229">
        <w:rPr>
          <w:b/>
        </w:rPr>
        <w:t>v roce 2015</w:t>
      </w:r>
      <w:r>
        <w:t xml:space="preserve"> dosáhnou výše</w:t>
      </w:r>
      <w:r w:rsidR="003A7FC4">
        <w:t xml:space="preserve"> 266,4</w:t>
      </w:r>
      <w:r>
        <w:t xml:space="preserve"> mld. Kč, což představuje meziroční navýšení o </w:t>
      </w:r>
      <w:r w:rsidR="003A7FC4">
        <w:t xml:space="preserve">cca 1 </w:t>
      </w:r>
      <w:r>
        <w:t xml:space="preserve">%. V případě běžných výdajů se nárůst </w:t>
      </w:r>
      <w:r w:rsidR="009C44AF" w:rsidRPr="00F73141">
        <w:t xml:space="preserve">soustřeďuje </w:t>
      </w:r>
      <w:r>
        <w:t>zejména do oblasti mzdových výdajů</w:t>
      </w:r>
      <w:r w:rsidR="003A7FC4">
        <w:t xml:space="preserve"> </w:t>
      </w:r>
      <w:r>
        <w:t>a souvisejících plateb</w:t>
      </w:r>
      <w:r w:rsidR="00CE3C77">
        <w:t>, v případě</w:t>
      </w:r>
      <w:r w:rsidR="009C44AF" w:rsidRPr="00F73141">
        <w:t xml:space="preserve"> </w:t>
      </w:r>
      <w:r w:rsidR="003A7FC4">
        <w:t>k</w:t>
      </w:r>
      <w:r w:rsidR="0078601C" w:rsidRPr="00F73141">
        <w:t>apitálov</w:t>
      </w:r>
      <w:r w:rsidR="00CE3C77">
        <w:t>ých výdajů</w:t>
      </w:r>
      <w:r w:rsidR="0078601C" w:rsidRPr="00F73141">
        <w:t xml:space="preserve"> do oblasti investičních nákupů</w:t>
      </w:r>
      <w:r w:rsidR="007057A1">
        <w:t xml:space="preserve"> a transferů podnikatelským subjektům a příspěvkovým organizacím</w:t>
      </w:r>
      <w:r w:rsidR="0078601C" w:rsidRPr="00F73141">
        <w:t xml:space="preserve">. </w:t>
      </w:r>
    </w:p>
    <w:p w:rsidR="00A85C6F" w:rsidRDefault="00A85C6F" w:rsidP="00A85C6F">
      <w:pPr>
        <w:pStyle w:val="Titulek"/>
        <w:rPr>
          <w:color w:val="auto"/>
          <w:sz w:val="20"/>
          <w:szCs w:val="20"/>
        </w:rPr>
      </w:pPr>
      <w:r w:rsidRPr="00FC20C9">
        <w:rPr>
          <w:color w:val="auto"/>
          <w:sz w:val="20"/>
          <w:szCs w:val="20"/>
        </w:rPr>
        <w:t xml:space="preserve">Graf </w:t>
      </w:r>
      <w:proofErr w:type="gramStart"/>
      <w:r w:rsidRPr="00FC20C9">
        <w:rPr>
          <w:color w:val="auto"/>
          <w:sz w:val="20"/>
          <w:szCs w:val="20"/>
        </w:rPr>
        <w:t xml:space="preserve">č. </w:t>
      </w:r>
      <w:r w:rsidRPr="00FC20C9">
        <w:rPr>
          <w:color w:val="auto"/>
          <w:sz w:val="20"/>
          <w:szCs w:val="20"/>
        </w:rPr>
        <w:fldChar w:fldCharType="begin"/>
      </w:r>
      <w:r w:rsidRPr="00FC20C9">
        <w:rPr>
          <w:color w:val="auto"/>
          <w:sz w:val="20"/>
          <w:szCs w:val="20"/>
        </w:rPr>
        <w:instrText xml:space="preserve"> SEQ Graf_č. \* ARABIC </w:instrText>
      </w:r>
      <w:r w:rsidRPr="00FC20C9">
        <w:rPr>
          <w:color w:val="auto"/>
          <w:sz w:val="20"/>
          <w:szCs w:val="20"/>
        </w:rPr>
        <w:fldChar w:fldCharType="separate"/>
      </w:r>
      <w:r>
        <w:rPr>
          <w:noProof/>
          <w:color w:val="auto"/>
          <w:sz w:val="20"/>
          <w:szCs w:val="20"/>
        </w:rPr>
        <w:t>3</w:t>
      </w:r>
      <w:r w:rsidRPr="00FC20C9">
        <w:rPr>
          <w:color w:val="auto"/>
          <w:sz w:val="20"/>
          <w:szCs w:val="20"/>
        </w:rPr>
        <w:fldChar w:fldCharType="end"/>
      </w:r>
      <w:r w:rsidRPr="00FC20C9">
        <w:rPr>
          <w:color w:val="auto"/>
          <w:sz w:val="20"/>
          <w:szCs w:val="20"/>
        </w:rPr>
        <w:t xml:space="preserve"> </w:t>
      </w:r>
      <w:r>
        <w:rPr>
          <w:color w:val="auto"/>
          <w:sz w:val="20"/>
          <w:szCs w:val="20"/>
        </w:rPr>
        <w:t xml:space="preserve"> </w:t>
      </w:r>
      <w:r w:rsidRPr="00FC20C9">
        <w:rPr>
          <w:color w:val="auto"/>
          <w:sz w:val="20"/>
          <w:szCs w:val="20"/>
        </w:rPr>
        <w:t>Struktura</w:t>
      </w:r>
      <w:proofErr w:type="gramEnd"/>
      <w:r w:rsidRPr="00FC20C9">
        <w:rPr>
          <w:color w:val="auto"/>
          <w:sz w:val="20"/>
          <w:szCs w:val="20"/>
        </w:rPr>
        <w:t xml:space="preserve"> výdajů obcí </w:t>
      </w:r>
      <w:r>
        <w:rPr>
          <w:color w:val="auto"/>
          <w:sz w:val="20"/>
          <w:szCs w:val="20"/>
        </w:rPr>
        <w:t>v roce 2015</w:t>
      </w:r>
    </w:p>
    <w:p w:rsidR="00A85C6F" w:rsidRPr="00A85C6F" w:rsidRDefault="00A85C6F" w:rsidP="00A85C6F"/>
    <w:p w:rsidR="00A85C6F" w:rsidRPr="00F73141" w:rsidRDefault="00A85C6F" w:rsidP="00A85C6F">
      <w:pPr>
        <w:pStyle w:val="Zkladntextodsazen2"/>
        <w:autoSpaceDE w:val="0"/>
        <w:autoSpaceDN w:val="0"/>
        <w:spacing w:after="0" w:line="360" w:lineRule="auto"/>
        <w:ind w:left="0"/>
        <w:jc w:val="center"/>
      </w:pPr>
      <w:r>
        <w:rPr>
          <w:noProof/>
        </w:rPr>
        <w:drawing>
          <wp:inline distT="0" distB="0" distL="0" distR="0" wp14:anchorId="22501BC2" wp14:editId="7645970C">
            <wp:extent cx="5071731" cy="2987748"/>
            <wp:effectExtent l="0" t="0" r="0" b="317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1730" cy="2987747"/>
                    </a:xfrm>
                    <a:prstGeom prst="rect">
                      <a:avLst/>
                    </a:prstGeom>
                    <a:noFill/>
                  </pic:spPr>
                </pic:pic>
              </a:graphicData>
            </a:graphic>
          </wp:inline>
        </w:drawing>
      </w:r>
    </w:p>
    <w:p w:rsidR="00F73141" w:rsidRPr="00F73141" w:rsidRDefault="006834C4" w:rsidP="00BE6250">
      <w:pPr>
        <w:spacing w:before="120" w:line="360" w:lineRule="auto"/>
        <w:jc w:val="both"/>
      </w:pPr>
      <w:r>
        <w:t>V</w:t>
      </w:r>
      <w:r w:rsidR="00972AD8" w:rsidRPr="006834C4">
        <w:t>ýdaje</w:t>
      </w:r>
      <w:r>
        <w:t xml:space="preserve">, které by měly obce vynaložit </w:t>
      </w:r>
      <w:r w:rsidRPr="000D7D88">
        <w:rPr>
          <w:b/>
        </w:rPr>
        <w:t>v roce 2016</w:t>
      </w:r>
      <w:r>
        <w:t>, se</w:t>
      </w:r>
      <w:r w:rsidR="00972AD8" w:rsidRPr="006834C4">
        <w:t xml:space="preserve"> odhadují v objemu </w:t>
      </w:r>
      <w:r w:rsidR="005C2306">
        <w:t>250</w:t>
      </w:r>
      <w:r>
        <w:t xml:space="preserve">,6 </w:t>
      </w:r>
      <w:r w:rsidR="00972AD8" w:rsidRPr="006834C4">
        <w:t>mld. Kč</w:t>
      </w:r>
      <w:r w:rsidRPr="006834C4">
        <w:t xml:space="preserve">. Na celkové částce se </w:t>
      </w:r>
      <w:r>
        <w:t>z</w:t>
      </w:r>
      <w:r w:rsidR="0069799F">
        <w:t> cca 7</w:t>
      </w:r>
      <w:r w:rsidR="005C2306">
        <w:t>4</w:t>
      </w:r>
      <w:r w:rsidR="0069799F">
        <w:t xml:space="preserve"> %</w:t>
      </w:r>
      <w:r>
        <w:t xml:space="preserve"> </w:t>
      </w:r>
      <w:r w:rsidR="0069799F">
        <w:t>p</w:t>
      </w:r>
      <w:r w:rsidRPr="006834C4">
        <w:t>odílejí běžné výdaje</w:t>
      </w:r>
      <w:r w:rsidR="0069799F">
        <w:t xml:space="preserve">, </w:t>
      </w:r>
      <w:r w:rsidRPr="006834C4">
        <w:t>zbývajících</w:t>
      </w:r>
      <w:r w:rsidR="0069799F">
        <w:t xml:space="preserve"> 2</w:t>
      </w:r>
      <w:r w:rsidR="005C2306">
        <w:t>6</w:t>
      </w:r>
      <w:r w:rsidR="0069799F">
        <w:t xml:space="preserve"> </w:t>
      </w:r>
      <w:r w:rsidRPr="006834C4">
        <w:t xml:space="preserve">% připadá na výdaje kapitálové. </w:t>
      </w:r>
      <w:r w:rsidR="0091462F">
        <w:t xml:space="preserve">Odhadovaný objem výdajů odpovídá úrovni předpokládaných transferů. V průběhu rozpočtového roku bude tento údaj, stejně jako každý rok, zpřesňován v návaznosti na aktuální vývoj v oblasti transferů. </w:t>
      </w:r>
      <w:r w:rsidR="00CC7F8C">
        <w:t>Předpokládá se, že pro financování kapitálových výdajů budou obce zapojovat i</w:t>
      </w:r>
      <w:r w:rsidR="00294743">
        <w:t> </w:t>
      </w:r>
      <w:r w:rsidR="00CC7F8C">
        <w:t>vlastní finanční zdroje.</w:t>
      </w:r>
    </w:p>
    <w:p w:rsidR="00CD6E1C" w:rsidRDefault="001E3D10" w:rsidP="00632D5F">
      <w:pPr>
        <w:spacing w:before="120" w:line="360" w:lineRule="auto"/>
        <w:jc w:val="both"/>
      </w:pPr>
      <w:r>
        <w:lastRenderedPageBreak/>
        <w:t>O</w:t>
      </w:r>
      <w:r w:rsidR="002276A7" w:rsidRPr="002276A7">
        <w:t>dhadované hodnoty příjmů a výdajů v podrobnějším členění jsou uvedeny</w:t>
      </w:r>
      <w:r w:rsidR="00AA6B9B" w:rsidRPr="002276A7">
        <w:t xml:space="preserve"> v následující tabulce</w:t>
      </w:r>
      <w:r w:rsidR="002276A7" w:rsidRPr="002276A7">
        <w:t>:</w:t>
      </w:r>
    </w:p>
    <w:p w:rsidR="00AA6B9B" w:rsidRDefault="00D5062E" w:rsidP="00D5062E">
      <w:pPr>
        <w:pStyle w:val="Titulek"/>
        <w:rPr>
          <w:color w:val="auto"/>
          <w:sz w:val="20"/>
          <w:szCs w:val="20"/>
        </w:rPr>
      </w:pPr>
      <w:r w:rsidRPr="00D5062E">
        <w:rPr>
          <w:color w:val="auto"/>
          <w:sz w:val="20"/>
          <w:szCs w:val="20"/>
        </w:rPr>
        <w:t xml:space="preserve">Tabulka </w:t>
      </w:r>
      <w:proofErr w:type="gramStart"/>
      <w:r w:rsidRPr="00D5062E">
        <w:rPr>
          <w:color w:val="auto"/>
          <w:sz w:val="20"/>
          <w:szCs w:val="20"/>
        </w:rPr>
        <w:t xml:space="preserve">č. </w:t>
      </w:r>
      <w:r w:rsidRPr="00D5062E">
        <w:rPr>
          <w:color w:val="auto"/>
          <w:sz w:val="20"/>
          <w:szCs w:val="20"/>
        </w:rPr>
        <w:fldChar w:fldCharType="begin"/>
      </w:r>
      <w:r w:rsidRPr="00D5062E">
        <w:rPr>
          <w:color w:val="auto"/>
          <w:sz w:val="20"/>
          <w:szCs w:val="20"/>
        </w:rPr>
        <w:instrText xml:space="preserve"> SEQ Tabulka_č. \* ARABIC </w:instrText>
      </w:r>
      <w:r w:rsidRPr="00D5062E">
        <w:rPr>
          <w:color w:val="auto"/>
          <w:sz w:val="20"/>
          <w:szCs w:val="20"/>
        </w:rPr>
        <w:fldChar w:fldCharType="separate"/>
      </w:r>
      <w:r w:rsidR="00BF5CB4">
        <w:rPr>
          <w:noProof/>
          <w:color w:val="auto"/>
          <w:sz w:val="20"/>
          <w:szCs w:val="20"/>
        </w:rPr>
        <w:t>2</w:t>
      </w:r>
      <w:r w:rsidRPr="00D5062E">
        <w:rPr>
          <w:color w:val="auto"/>
          <w:sz w:val="20"/>
          <w:szCs w:val="20"/>
        </w:rPr>
        <w:fldChar w:fldCharType="end"/>
      </w:r>
      <w:r w:rsidR="00AA6B9B" w:rsidRPr="00D5062E">
        <w:rPr>
          <w:color w:val="auto"/>
          <w:sz w:val="20"/>
          <w:szCs w:val="20"/>
        </w:rPr>
        <w:t xml:space="preserve">  Odhad</w:t>
      </w:r>
      <w:proofErr w:type="gramEnd"/>
      <w:r w:rsidR="00AA6B9B" w:rsidRPr="00D5062E">
        <w:rPr>
          <w:color w:val="auto"/>
          <w:sz w:val="20"/>
          <w:szCs w:val="20"/>
        </w:rPr>
        <w:t xml:space="preserve"> příjmů a výdajů obcí v letech 2015 a 2016 </w:t>
      </w:r>
    </w:p>
    <w:p w:rsidR="006570B8" w:rsidRPr="006570B8" w:rsidRDefault="00FC3DD5" w:rsidP="0060657C">
      <w:pPr>
        <w:jc w:val="center"/>
      </w:pPr>
      <w:r w:rsidRPr="00FC3DD5">
        <w:rPr>
          <w:noProof/>
        </w:rPr>
        <w:drawing>
          <wp:inline distT="0" distB="0" distL="0" distR="0">
            <wp:extent cx="5188688" cy="2530482"/>
            <wp:effectExtent l="0" t="0" r="0" b="317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8673" cy="2530475"/>
                    </a:xfrm>
                    <a:prstGeom prst="rect">
                      <a:avLst/>
                    </a:prstGeom>
                    <a:noFill/>
                    <a:ln>
                      <a:noFill/>
                    </a:ln>
                  </pic:spPr>
                </pic:pic>
              </a:graphicData>
            </a:graphic>
          </wp:inline>
        </w:drawing>
      </w:r>
    </w:p>
    <w:p w:rsidR="00CD6E1C" w:rsidRDefault="00CD6E1C" w:rsidP="00CD6E1C">
      <w:pPr>
        <w:jc w:val="both"/>
        <w:rPr>
          <w:i/>
          <w:sz w:val="22"/>
          <w:szCs w:val="22"/>
        </w:rPr>
      </w:pPr>
    </w:p>
    <w:p w:rsidR="00AA6B9B" w:rsidRPr="00F034B3" w:rsidRDefault="008B6999" w:rsidP="00CD6E1C">
      <w:pPr>
        <w:jc w:val="both"/>
        <w:rPr>
          <w:b/>
          <w:i/>
          <w:sz w:val="22"/>
          <w:szCs w:val="22"/>
        </w:rPr>
      </w:pPr>
      <w:r w:rsidRPr="008B6999">
        <w:rPr>
          <w:i/>
          <w:sz w:val="22"/>
          <w:szCs w:val="22"/>
        </w:rPr>
        <w:t xml:space="preserve">Poznámka: Údaje o transferech jsou meziročně nesrovnatelné, protože již nepokračují ROP, ze kterých obce čerpaly významné finanční objemy. </w:t>
      </w:r>
      <w:r w:rsidR="00A060A7">
        <w:rPr>
          <w:i/>
          <w:sz w:val="22"/>
          <w:szCs w:val="22"/>
        </w:rPr>
        <w:t>Hodnota transferů ze SR odpovídá částce v návrhu SR na rok 2016</w:t>
      </w:r>
      <w:r w:rsidR="00D1557C">
        <w:rPr>
          <w:i/>
          <w:sz w:val="22"/>
          <w:szCs w:val="22"/>
        </w:rPr>
        <w:t>, kdy poskytovatelé ne vždy veškeré prostředky rozepisují v položkách dle jednotlivých skupin příjemců, ale</w:t>
      </w:r>
      <w:r w:rsidR="007E37FB">
        <w:rPr>
          <w:i/>
          <w:sz w:val="22"/>
          <w:szCs w:val="22"/>
        </w:rPr>
        <w:t xml:space="preserve"> činí tak </w:t>
      </w:r>
      <w:r w:rsidR="00D1557C">
        <w:rPr>
          <w:i/>
          <w:sz w:val="22"/>
          <w:szCs w:val="22"/>
        </w:rPr>
        <w:t>až v průběhu rozpočtového rok</w:t>
      </w:r>
      <w:r w:rsidR="007E37FB">
        <w:rPr>
          <w:i/>
          <w:sz w:val="22"/>
          <w:szCs w:val="22"/>
        </w:rPr>
        <w:t>u.</w:t>
      </w:r>
      <w:r w:rsidRPr="008B6999">
        <w:rPr>
          <w:i/>
          <w:sz w:val="22"/>
          <w:szCs w:val="22"/>
        </w:rPr>
        <w:t xml:space="preserve"> </w:t>
      </w:r>
      <w:r w:rsidR="007E0088">
        <w:rPr>
          <w:i/>
          <w:sz w:val="22"/>
          <w:szCs w:val="22"/>
        </w:rPr>
        <w:t>Tato situace se opakuje každoročně</w:t>
      </w:r>
      <w:r w:rsidR="00EE4431">
        <w:rPr>
          <w:i/>
          <w:sz w:val="22"/>
          <w:szCs w:val="22"/>
        </w:rPr>
        <w:t>, např. v</w:t>
      </w:r>
      <w:r w:rsidR="007E0088">
        <w:rPr>
          <w:i/>
          <w:sz w:val="22"/>
          <w:szCs w:val="22"/>
        </w:rPr>
        <w:t xml:space="preserve"> roce 2015 činil objem transferů v návrhu státního rozpočtu 25,3 mld. Kč. </w:t>
      </w:r>
      <w:r w:rsidR="00F034B3" w:rsidRPr="00F034B3">
        <w:rPr>
          <w:i/>
        </w:rPr>
        <w:t xml:space="preserve">Výchozí úroveň transferů se pak odráží i v odhadu výdajů, zejména kapitálových. </w:t>
      </w:r>
    </w:p>
    <w:p w:rsidR="00B7779B" w:rsidRDefault="003C0E2B" w:rsidP="00F20E7C">
      <w:pPr>
        <w:pStyle w:val="Nadpis2"/>
      </w:pPr>
      <w:bookmarkStart w:id="8" w:name="_Toc428431393"/>
      <w:r w:rsidRPr="00F20E7C">
        <w:t>Vývoj hospodaření krajů v </w:t>
      </w:r>
      <w:r w:rsidR="000773E6">
        <w:t>letech</w:t>
      </w:r>
      <w:r w:rsidRPr="00F20E7C">
        <w:t xml:space="preserve"> 2015 a 2016</w:t>
      </w:r>
      <w:bookmarkEnd w:id="8"/>
    </w:p>
    <w:p w:rsidR="00B7779B" w:rsidRPr="00394E08" w:rsidRDefault="009A1853" w:rsidP="00C23EB9">
      <w:pPr>
        <w:spacing w:line="360" w:lineRule="auto"/>
        <w:jc w:val="both"/>
        <w:rPr>
          <w:sz w:val="22"/>
          <w:szCs w:val="22"/>
        </w:rPr>
      </w:pPr>
      <w:r>
        <w:t xml:space="preserve">Předpokládá se, že v roce 2015 kraje zakončí své hospodaření </w:t>
      </w:r>
      <w:r w:rsidR="00394E08">
        <w:t xml:space="preserve">mírným </w:t>
      </w:r>
      <w:r>
        <w:t xml:space="preserve">přebytkem ve výši </w:t>
      </w:r>
      <w:r w:rsidR="004C3AE6">
        <w:t>0,5</w:t>
      </w:r>
      <w:r w:rsidR="00394E08">
        <w:t> </w:t>
      </w:r>
      <w:r>
        <w:t xml:space="preserve">mld. Kč. </w:t>
      </w:r>
      <w:r w:rsidR="00394E08">
        <w:t>P</w:t>
      </w:r>
      <w:r w:rsidR="00C23EB9">
        <w:t xml:space="preserve">řebytek hospodaření je odhadován i pro rok 2016, </w:t>
      </w:r>
      <w:r w:rsidR="00C23EB9" w:rsidRPr="00394E08">
        <w:t xml:space="preserve">a to ve výši </w:t>
      </w:r>
      <w:r w:rsidR="00394E08" w:rsidRPr="00394E08">
        <w:t xml:space="preserve">1,1 </w:t>
      </w:r>
      <w:r w:rsidR="00C23EB9" w:rsidRPr="00394E08">
        <w:t xml:space="preserve">mld. Kč. </w:t>
      </w:r>
    </w:p>
    <w:p w:rsidR="00CD6E1C" w:rsidRDefault="00CD6E1C" w:rsidP="00425C05">
      <w:pPr>
        <w:pStyle w:val="Titulek"/>
        <w:rPr>
          <w:color w:val="auto"/>
          <w:sz w:val="20"/>
          <w:szCs w:val="20"/>
        </w:rPr>
      </w:pPr>
    </w:p>
    <w:p w:rsidR="00FC1EA8" w:rsidRPr="00394E08" w:rsidRDefault="003C0E2B" w:rsidP="00425C05">
      <w:pPr>
        <w:pStyle w:val="Titulek"/>
        <w:rPr>
          <w:color w:val="auto"/>
          <w:sz w:val="20"/>
          <w:szCs w:val="20"/>
        </w:rPr>
      </w:pPr>
      <w:r w:rsidRPr="00394E08">
        <w:rPr>
          <w:color w:val="auto"/>
          <w:sz w:val="20"/>
          <w:szCs w:val="20"/>
        </w:rPr>
        <w:t xml:space="preserve"> </w:t>
      </w:r>
      <w:r w:rsidR="00933227" w:rsidRPr="00394E08">
        <w:rPr>
          <w:color w:val="auto"/>
          <w:sz w:val="20"/>
          <w:szCs w:val="20"/>
        </w:rPr>
        <w:t xml:space="preserve">Graf </w:t>
      </w:r>
      <w:proofErr w:type="gramStart"/>
      <w:r w:rsidR="00933227" w:rsidRPr="00394E08">
        <w:rPr>
          <w:color w:val="auto"/>
          <w:sz w:val="20"/>
          <w:szCs w:val="20"/>
        </w:rPr>
        <w:t xml:space="preserve">č. </w:t>
      </w:r>
      <w:r w:rsidR="00933227" w:rsidRPr="00394E08">
        <w:rPr>
          <w:color w:val="auto"/>
          <w:sz w:val="20"/>
          <w:szCs w:val="20"/>
        </w:rPr>
        <w:fldChar w:fldCharType="begin"/>
      </w:r>
      <w:r w:rsidR="00933227" w:rsidRPr="00394E08">
        <w:rPr>
          <w:color w:val="auto"/>
          <w:sz w:val="20"/>
          <w:szCs w:val="20"/>
        </w:rPr>
        <w:instrText xml:space="preserve"> SEQ Graf_č. \* ARABIC </w:instrText>
      </w:r>
      <w:r w:rsidR="00933227" w:rsidRPr="00394E08">
        <w:rPr>
          <w:color w:val="auto"/>
          <w:sz w:val="20"/>
          <w:szCs w:val="20"/>
        </w:rPr>
        <w:fldChar w:fldCharType="separate"/>
      </w:r>
      <w:r w:rsidR="00BF5CB4">
        <w:rPr>
          <w:noProof/>
          <w:color w:val="auto"/>
          <w:sz w:val="20"/>
          <w:szCs w:val="20"/>
        </w:rPr>
        <w:t>4</w:t>
      </w:r>
      <w:r w:rsidR="00933227" w:rsidRPr="00394E08">
        <w:rPr>
          <w:color w:val="auto"/>
          <w:sz w:val="20"/>
          <w:szCs w:val="20"/>
        </w:rPr>
        <w:fldChar w:fldCharType="end"/>
      </w:r>
      <w:r w:rsidRPr="00394E08">
        <w:rPr>
          <w:color w:val="auto"/>
          <w:sz w:val="20"/>
          <w:szCs w:val="20"/>
        </w:rPr>
        <w:t xml:space="preserve"> Saldo</w:t>
      </w:r>
      <w:proofErr w:type="gramEnd"/>
      <w:r w:rsidRPr="00394E08">
        <w:rPr>
          <w:color w:val="auto"/>
          <w:sz w:val="20"/>
          <w:szCs w:val="20"/>
        </w:rPr>
        <w:t xml:space="preserve"> </w:t>
      </w:r>
      <w:r w:rsidR="00394E08" w:rsidRPr="00394E08">
        <w:rPr>
          <w:color w:val="auto"/>
          <w:sz w:val="20"/>
          <w:szCs w:val="20"/>
        </w:rPr>
        <w:t>krajských rozpočtů</w:t>
      </w:r>
      <w:r w:rsidRPr="00394E08">
        <w:rPr>
          <w:color w:val="auto"/>
          <w:sz w:val="20"/>
          <w:szCs w:val="20"/>
        </w:rPr>
        <w:t xml:space="preserve"> v letech 2001 - 2016 </w:t>
      </w:r>
    </w:p>
    <w:p w:rsidR="00170E4B" w:rsidRDefault="00394E08" w:rsidP="00394E08">
      <w:pPr>
        <w:jc w:val="center"/>
      </w:pPr>
      <w:r>
        <w:rPr>
          <w:noProof/>
        </w:rPr>
        <w:drawing>
          <wp:inline distT="0" distB="0" distL="0" distR="0" wp14:anchorId="74802431" wp14:editId="72F94EC7">
            <wp:extent cx="5135525" cy="2679404"/>
            <wp:effectExtent l="0" t="0" r="8255"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35526" cy="2679404"/>
                    </a:xfrm>
                    <a:prstGeom prst="rect">
                      <a:avLst/>
                    </a:prstGeom>
                    <a:noFill/>
                  </pic:spPr>
                </pic:pic>
              </a:graphicData>
            </a:graphic>
          </wp:inline>
        </w:drawing>
      </w:r>
    </w:p>
    <w:p w:rsidR="003A6415" w:rsidRDefault="003A6415" w:rsidP="000829BA">
      <w:pPr>
        <w:pStyle w:val="Titulek"/>
        <w:rPr>
          <w:color w:val="auto"/>
          <w:sz w:val="20"/>
          <w:szCs w:val="20"/>
        </w:rPr>
      </w:pPr>
    </w:p>
    <w:p w:rsidR="003A6415" w:rsidRDefault="003A6415" w:rsidP="003A6415">
      <w:pPr>
        <w:spacing w:line="360" w:lineRule="auto"/>
        <w:jc w:val="both"/>
      </w:pPr>
      <w:r>
        <w:t>Nejdůležitější zdroj financování představují v případě krajů transfery. Je to dáno tím, že prostřednictvím krajských rozpočtů jsou administrovány prostředky na úhradu přímých nákladů na vzdělávání v regionálním školství</w:t>
      </w:r>
      <w:r w:rsidR="0075483A">
        <w:t xml:space="preserve"> (z</w:t>
      </w:r>
      <w:r>
        <w:t xml:space="preserve">ejména </w:t>
      </w:r>
      <w:r w:rsidR="0075483A">
        <w:t>prostředky</w:t>
      </w:r>
      <w:r>
        <w:t xml:space="preserve"> platy učitelů školských zařízení zřizovaných obcemi a kraji</w:t>
      </w:r>
      <w:r w:rsidR="0075483A">
        <w:t>)</w:t>
      </w:r>
      <w:r>
        <w:t>. Charakter těchto prostředků předurčuje, že v transferech přev</w:t>
      </w:r>
      <w:r w:rsidR="00E87DD2">
        <w:t>ažují</w:t>
      </w:r>
      <w:r>
        <w:t xml:space="preserve"> neinvestiční transfery. D</w:t>
      </w:r>
      <w:r w:rsidRPr="00963B52">
        <w:t>ruh</w:t>
      </w:r>
      <w:r>
        <w:t>ý</w:t>
      </w:r>
      <w:r w:rsidRPr="00963B52">
        <w:t xml:space="preserve"> nejvýznamnější</w:t>
      </w:r>
      <w:r>
        <w:t xml:space="preserve"> zdroj rozpočtů krajů</w:t>
      </w:r>
      <w:r w:rsidRPr="00963B52">
        <w:t xml:space="preserve"> představují </w:t>
      </w:r>
      <w:r>
        <w:t>daňové příjmy. Méně významný podíl představují v rozpočtech krajů kapitálové a nedaňové příjmy.</w:t>
      </w:r>
      <w:r w:rsidRPr="00963B52">
        <w:t xml:space="preserve"> </w:t>
      </w:r>
    </w:p>
    <w:p w:rsidR="003A6415" w:rsidRPr="003A6415" w:rsidRDefault="003A6415" w:rsidP="003A6415">
      <w:pPr>
        <w:spacing w:line="360" w:lineRule="auto"/>
        <w:jc w:val="both"/>
      </w:pPr>
    </w:p>
    <w:p w:rsidR="002560F3" w:rsidRPr="000829BA" w:rsidRDefault="002560F3" w:rsidP="000829BA">
      <w:pPr>
        <w:pStyle w:val="Titulek"/>
        <w:rPr>
          <w:color w:val="auto"/>
          <w:sz w:val="20"/>
          <w:szCs w:val="20"/>
        </w:rPr>
      </w:pPr>
      <w:r w:rsidRPr="000829BA">
        <w:rPr>
          <w:color w:val="auto"/>
          <w:sz w:val="20"/>
          <w:szCs w:val="20"/>
        </w:rPr>
        <w:t xml:space="preserve"> </w:t>
      </w:r>
      <w:r w:rsidR="000829BA" w:rsidRPr="000829BA">
        <w:rPr>
          <w:color w:val="auto"/>
          <w:sz w:val="20"/>
          <w:szCs w:val="20"/>
        </w:rPr>
        <w:t xml:space="preserve">Graf č. </w:t>
      </w:r>
      <w:r w:rsidR="000829BA" w:rsidRPr="000829BA">
        <w:rPr>
          <w:color w:val="auto"/>
          <w:sz w:val="20"/>
          <w:szCs w:val="20"/>
        </w:rPr>
        <w:fldChar w:fldCharType="begin"/>
      </w:r>
      <w:r w:rsidR="000829BA" w:rsidRPr="000829BA">
        <w:rPr>
          <w:color w:val="auto"/>
          <w:sz w:val="20"/>
          <w:szCs w:val="20"/>
        </w:rPr>
        <w:instrText xml:space="preserve"> SEQ Graf_č. \* ARABIC </w:instrText>
      </w:r>
      <w:r w:rsidR="000829BA" w:rsidRPr="000829BA">
        <w:rPr>
          <w:color w:val="auto"/>
          <w:sz w:val="20"/>
          <w:szCs w:val="20"/>
        </w:rPr>
        <w:fldChar w:fldCharType="separate"/>
      </w:r>
      <w:r w:rsidR="00BF5CB4">
        <w:rPr>
          <w:noProof/>
          <w:color w:val="auto"/>
          <w:sz w:val="20"/>
          <w:szCs w:val="20"/>
        </w:rPr>
        <w:t>5</w:t>
      </w:r>
      <w:r w:rsidR="000829BA" w:rsidRPr="000829BA">
        <w:rPr>
          <w:color w:val="auto"/>
          <w:sz w:val="20"/>
          <w:szCs w:val="20"/>
        </w:rPr>
        <w:fldChar w:fldCharType="end"/>
      </w:r>
      <w:r w:rsidRPr="000829BA">
        <w:rPr>
          <w:color w:val="auto"/>
          <w:sz w:val="20"/>
          <w:szCs w:val="20"/>
        </w:rPr>
        <w:t xml:space="preserve"> Struktura příjmů krajů </w:t>
      </w:r>
      <w:r w:rsidR="00016DAC">
        <w:rPr>
          <w:color w:val="auto"/>
          <w:sz w:val="20"/>
          <w:szCs w:val="20"/>
        </w:rPr>
        <w:t>v roce 2015</w:t>
      </w:r>
      <w:r w:rsidRPr="000829BA">
        <w:rPr>
          <w:color w:val="auto"/>
          <w:sz w:val="20"/>
          <w:szCs w:val="20"/>
        </w:rPr>
        <w:t xml:space="preserve"> </w:t>
      </w:r>
    </w:p>
    <w:p w:rsidR="002560F3" w:rsidRDefault="00454534" w:rsidP="00E86E6C">
      <w:pPr>
        <w:jc w:val="center"/>
      </w:pPr>
      <w:r>
        <w:rPr>
          <w:noProof/>
        </w:rPr>
        <w:drawing>
          <wp:inline distT="0" distB="0" distL="0" distR="0" wp14:anchorId="074C9D22">
            <wp:extent cx="5252483" cy="2934586"/>
            <wp:effectExtent l="0" t="0" r="5715"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0898" cy="2933700"/>
                    </a:xfrm>
                    <a:prstGeom prst="rect">
                      <a:avLst/>
                    </a:prstGeom>
                    <a:noFill/>
                  </pic:spPr>
                </pic:pic>
              </a:graphicData>
            </a:graphic>
          </wp:inline>
        </w:drawing>
      </w:r>
    </w:p>
    <w:p w:rsidR="000B713B" w:rsidRDefault="000B713B" w:rsidP="002560F3">
      <w:pPr>
        <w:spacing w:before="120"/>
        <w:jc w:val="both"/>
        <w:rPr>
          <w:b/>
        </w:rPr>
      </w:pPr>
    </w:p>
    <w:p w:rsidR="009C2D54" w:rsidRDefault="009C2D54" w:rsidP="009C2D54">
      <w:pPr>
        <w:spacing w:before="120"/>
        <w:jc w:val="both"/>
        <w:rPr>
          <w:b/>
        </w:rPr>
      </w:pPr>
      <w:r w:rsidRPr="00B57B5B">
        <w:rPr>
          <w:b/>
        </w:rPr>
        <w:t>Odhadovaný vývoj na straně příjmů</w:t>
      </w:r>
    </w:p>
    <w:p w:rsidR="009C2D54" w:rsidRPr="00B57B5B" w:rsidRDefault="009C2D54" w:rsidP="009C2D54">
      <w:pPr>
        <w:spacing w:before="120"/>
        <w:jc w:val="both"/>
        <w:rPr>
          <w:b/>
        </w:rPr>
      </w:pPr>
    </w:p>
    <w:p w:rsidR="009C2D54" w:rsidRPr="00092844" w:rsidRDefault="009C2D54" w:rsidP="00132833">
      <w:pPr>
        <w:pStyle w:val="Zkladntextodsazen2"/>
        <w:numPr>
          <w:ilvl w:val="0"/>
          <w:numId w:val="1"/>
        </w:numPr>
        <w:autoSpaceDE w:val="0"/>
        <w:autoSpaceDN w:val="0"/>
        <w:spacing w:after="0" w:line="360" w:lineRule="auto"/>
        <w:ind w:left="714" w:hanging="357"/>
        <w:jc w:val="both"/>
        <w:rPr>
          <w:b/>
        </w:rPr>
      </w:pPr>
      <w:r w:rsidRPr="00092844">
        <w:rPr>
          <w:b/>
        </w:rPr>
        <w:t xml:space="preserve">Daňové příjmy </w:t>
      </w:r>
    </w:p>
    <w:p w:rsidR="006C0185" w:rsidRDefault="00172AD0" w:rsidP="006C0185">
      <w:pPr>
        <w:pStyle w:val="Zkladntextodsazen2"/>
        <w:autoSpaceDE w:val="0"/>
        <w:autoSpaceDN w:val="0"/>
        <w:spacing w:after="0" w:line="360" w:lineRule="auto"/>
        <w:jc w:val="both"/>
      </w:pPr>
      <w:r w:rsidRPr="00172AD0">
        <w:rPr>
          <w:b/>
        </w:rPr>
        <w:t>V roce 2015</w:t>
      </w:r>
      <w:r w:rsidRPr="00172AD0">
        <w:t xml:space="preserve"> se předpokládá, že daňové příjmy </w:t>
      </w:r>
      <w:r>
        <w:t>krajů</w:t>
      </w:r>
      <w:r w:rsidRPr="00172AD0">
        <w:t xml:space="preserve"> dosáhnout částky </w:t>
      </w:r>
      <w:r w:rsidR="006F2839">
        <w:t>50</w:t>
      </w:r>
      <w:r w:rsidRPr="00172AD0">
        <w:t xml:space="preserve"> mld. Kč a </w:t>
      </w:r>
      <w:r w:rsidR="006F2839">
        <w:t xml:space="preserve">budou tvořit z </w:t>
      </w:r>
      <w:r w:rsidRPr="00172AD0">
        <w:t>celkových příjm</w:t>
      </w:r>
      <w:r w:rsidR="006F2839">
        <w:t xml:space="preserve">ů 31,5 </w:t>
      </w:r>
      <w:r w:rsidRPr="00172AD0">
        <w:t xml:space="preserve">%. Ve srovnání se situací v roce 2014 </w:t>
      </w:r>
      <w:proofErr w:type="gramStart"/>
      <w:r w:rsidR="00CB2E3F">
        <w:t xml:space="preserve">daňové </w:t>
      </w:r>
      <w:r w:rsidRPr="00172AD0">
        <w:t xml:space="preserve"> příjm</w:t>
      </w:r>
      <w:r w:rsidR="00CB2E3F">
        <w:t>y</w:t>
      </w:r>
      <w:proofErr w:type="gramEnd"/>
      <w:r w:rsidR="00CB2E3F">
        <w:t xml:space="preserve"> navýší </w:t>
      </w:r>
      <w:r w:rsidRPr="00172AD0">
        <w:t xml:space="preserve"> o 1,</w:t>
      </w:r>
      <w:r w:rsidR="006F2839">
        <w:t>4</w:t>
      </w:r>
      <w:r w:rsidRPr="00172AD0">
        <w:t xml:space="preserve"> %. Zároveň by měla být naplněna očekávání z predikce </w:t>
      </w:r>
      <w:r w:rsidR="00E87DD2">
        <w:t xml:space="preserve">daňových příjmů </w:t>
      </w:r>
      <w:r w:rsidRPr="00172AD0">
        <w:t>použité při sestavení státního rozpočtu na rok 2015</w:t>
      </w:r>
      <w:r w:rsidR="006C0185">
        <w:t>.</w:t>
      </w:r>
      <w:r w:rsidR="00881D98">
        <w:t xml:space="preserve"> </w:t>
      </w:r>
      <w:r w:rsidR="006C0185" w:rsidRPr="006C0185">
        <w:t>I</w:t>
      </w:r>
      <w:r w:rsidR="00CB09E7">
        <w:t> </w:t>
      </w:r>
      <w:r w:rsidR="006C0185" w:rsidRPr="006C0185">
        <w:t xml:space="preserve">v případě krajů má největší zastoupení ve </w:t>
      </w:r>
      <w:r w:rsidR="006C0185">
        <w:t xml:space="preserve"> struktuře daňových příjmů příjem z podílu na celostátním inkasu DPH. </w:t>
      </w:r>
      <w:r w:rsidR="00E6017B">
        <w:t>I zde platí, j</w:t>
      </w:r>
      <w:r w:rsidR="006C0185">
        <w:t xml:space="preserve">ak již bylo uvedeno v části </w:t>
      </w:r>
      <w:r w:rsidR="006C0185" w:rsidRPr="00412A52">
        <w:rPr>
          <w:b/>
        </w:rPr>
        <w:t>2. 3. Vývoj hospodaření obcí v </w:t>
      </w:r>
      <w:r w:rsidR="006E4BFD">
        <w:rPr>
          <w:b/>
        </w:rPr>
        <w:t>letech</w:t>
      </w:r>
      <w:r w:rsidR="006C0185" w:rsidRPr="00412A52">
        <w:rPr>
          <w:b/>
        </w:rPr>
        <w:t xml:space="preserve"> 2015 a 2016</w:t>
      </w:r>
      <w:r w:rsidR="006C0185">
        <w:rPr>
          <w:b/>
        </w:rPr>
        <w:t xml:space="preserve">, </w:t>
      </w:r>
      <w:r w:rsidR="00E6017B" w:rsidRPr="00E6017B">
        <w:t>že</w:t>
      </w:r>
      <w:r w:rsidR="006C0185">
        <w:t xml:space="preserve"> přes řadu faktorů, které ovlivňovaly negativně inkaso této daně v průběhu roku 2015</w:t>
      </w:r>
      <w:r w:rsidR="006C0185">
        <w:rPr>
          <w:rStyle w:val="Znakapoznpodarou"/>
        </w:rPr>
        <w:footnoteReference w:id="5"/>
      </w:r>
      <w:r w:rsidR="006C0185">
        <w:t xml:space="preserve">, se </w:t>
      </w:r>
      <w:r w:rsidR="006C0185">
        <w:lastRenderedPageBreak/>
        <w:t xml:space="preserve">neočekává jeho pokles a celková výše inkasa DPH v roce 2015 bude odpovídat zhruba situaci roku 2014. </w:t>
      </w:r>
    </w:p>
    <w:p w:rsidR="00C55FE3" w:rsidRPr="00D632BC" w:rsidRDefault="006C0185" w:rsidP="00083F46">
      <w:pPr>
        <w:pStyle w:val="Zkladntextodsazen2"/>
        <w:autoSpaceDE w:val="0"/>
        <w:autoSpaceDN w:val="0"/>
        <w:spacing w:after="0" w:line="360" w:lineRule="auto"/>
        <w:jc w:val="both"/>
      </w:pPr>
      <w:r w:rsidRPr="00D632BC">
        <w:rPr>
          <w:b/>
        </w:rPr>
        <w:t>V roce 2016</w:t>
      </w:r>
      <w:r w:rsidRPr="00D632BC">
        <w:t xml:space="preserve"> se očekává </w:t>
      </w:r>
      <w:r w:rsidR="00C55FE3" w:rsidRPr="00D632BC">
        <w:t xml:space="preserve">navýšení daňových příjmů krajů o 7,8 mld. Kč. </w:t>
      </w:r>
    </w:p>
    <w:p w:rsidR="00C55FE3" w:rsidRPr="00357FCA" w:rsidRDefault="00D632BC" w:rsidP="00083F46">
      <w:pPr>
        <w:pStyle w:val="Zkladntextodsazen2"/>
        <w:autoSpaceDE w:val="0"/>
        <w:autoSpaceDN w:val="0"/>
        <w:spacing w:after="0" w:line="360" w:lineRule="auto"/>
        <w:jc w:val="both"/>
      </w:pPr>
      <w:r w:rsidRPr="00357FCA">
        <w:t>Predikce</w:t>
      </w:r>
      <w:r w:rsidR="00083F46" w:rsidRPr="00357FCA">
        <w:t xml:space="preserve"> daňových příjmů</w:t>
      </w:r>
      <w:r w:rsidRPr="00357FCA">
        <w:t xml:space="preserve"> pro rok 2016</w:t>
      </w:r>
      <w:r w:rsidR="00083F46" w:rsidRPr="00357FCA">
        <w:t xml:space="preserve"> zohledňuje</w:t>
      </w:r>
      <w:r w:rsidR="00C55FE3" w:rsidRPr="00357FCA">
        <w:t>:</w:t>
      </w:r>
    </w:p>
    <w:p w:rsidR="008B048B" w:rsidRPr="00357FCA" w:rsidRDefault="008B048B" w:rsidP="008B048B">
      <w:pPr>
        <w:pStyle w:val="Zkladntextodsazen2"/>
        <w:numPr>
          <w:ilvl w:val="0"/>
          <w:numId w:val="8"/>
        </w:numPr>
        <w:autoSpaceDE w:val="0"/>
        <w:autoSpaceDN w:val="0"/>
        <w:spacing w:after="0" w:line="360" w:lineRule="auto"/>
        <w:ind w:left="1276" w:hanging="142"/>
        <w:jc w:val="both"/>
      </w:pPr>
      <w:r w:rsidRPr="00357FCA">
        <w:t xml:space="preserve"> </w:t>
      </w:r>
      <w:r w:rsidR="00083F46" w:rsidRPr="00357FCA">
        <w:t>stav ekonomiky dle poslední známé makroekonomické predikce (červenec 2015)</w:t>
      </w:r>
      <w:r w:rsidR="00824A51">
        <w:t>,</w:t>
      </w:r>
      <w:r w:rsidR="00083F46" w:rsidRPr="00357FCA">
        <w:t xml:space="preserve"> </w:t>
      </w:r>
    </w:p>
    <w:p w:rsidR="00357FCA" w:rsidRDefault="008B048B" w:rsidP="008B048B">
      <w:pPr>
        <w:pStyle w:val="Textpoznpodarou"/>
        <w:numPr>
          <w:ilvl w:val="0"/>
          <w:numId w:val="8"/>
        </w:numPr>
        <w:spacing w:line="360" w:lineRule="auto"/>
        <w:ind w:left="1276" w:hanging="142"/>
        <w:jc w:val="both"/>
        <w:rPr>
          <w:sz w:val="24"/>
          <w:szCs w:val="24"/>
        </w:rPr>
      </w:pPr>
      <w:r>
        <w:rPr>
          <w:sz w:val="24"/>
          <w:szCs w:val="24"/>
        </w:rPr>
        <w:t xml:space="preserve"> </w:t>
      </w:r>
      <w:r w:rsidR="00FC34EC">
        <w:rPr>
          <w:sz w:val="24"/>
          <w:szCs w:val="24"/>
        </w:rPr>
        <w:t xml:space="preserve">vliv vládního návrhu novely zákona </w:t>
      </w:r>
      <w:r w:rsidR="008F5739" w:rsidRPr="004E778F">
        <w:rPr>
          <w:sz w:val="24"/>
          <w:szCs w:val="24"/>
        </w:rPr>
        <w:t>č.</w:t>
      </w:r>
      <w:r w:rsidR="00FC34EC">
        <w:rPr>
          <w:sz w:val="24"/>
          <w:szCs w:val="24"/>
        </w:rPr>
        <w:t> </w:t>
      </w:r>
      <w:r w:rsidR="008F5739" w:rsidRPr="004E778F">
        <w:rPr>
          <w:sz w:val="24"/>
          <w:szCs w:val="24"/>
        </w:rPr>
        <w:t>243/2000 Sb., o rozpočtovém určení daní,</w:t>
      </w:r>
      <w:r w:rsidR="00824A51">
        <w:rPr>
          <w:sz w:val="24"/>
          <w:szCs w:val="24"/>
        </w:rPr>
        <w:t xml:space="preserve"> ve znění pozdějších předpisů,</w:t>
      </w:r>
      <w:r w:rsidR="006A2E6F" w:rsidRPr="004E778F">
        <w:rPr>
          <w:sz w:val="24"/>
          <w:szCs w:val="24"/>
        </w:rPr>
        <w:t xml:space="preserve"> </w:t>
      </w:r>
      <w:r w:rsidR="00FC34EC">
        <w:rPr>
          <w:sz w:val="24"/>
          <w:szCs w:val="24"/>
        </w:rPr>
        <w:t xml:space="preserve">který je </w:t>
      </w:r>
      <w:r w:rsidR="006A2E6F" w:rsidRPr="004E778F">
        <w:rPr>
          <w:sz w:val="24"/>
          <w:szCs w:val="24"/>
        </w:rPr>
        <w:t>v současné době projednáván v </w:t>
      </w:r>
      <w:r w:rsidR="00FC34EC">
        <w:rPr>
          <w:sz w:val="24"/>
          <w:szCs w:val="24"/>
        </w:rPr>
        <w:t>Parlamentu</w:t>
      </w:r>
      <w:r w:rsidR="006A2E6F" w:rsidRPr="004E778F">
        <w:rPr>
          <w:sz w:val="24"/>
          <w:szCs w:val="24"/>
        </w:rPr>
        <w:t xml:space="preserve"> (sněmovní tisk č. 416)</w:t>
      </w:r>
      <w:r w:rsidR="00FC34EC">
        <w:rPr>
          <w:sz w:val="24"/>
          <w:szCs w:val="24"/>
        </w:rPr>
        <w:t>.</w:t>
      </w:r>
      <w:r w:rsidR="006A2E6F" w:rsidRPr="004E778F">
        <w:rPr>
          <w:sz w:val="24"/>
          <w:szCs w:val="24"/>
        </w:rPr>
        <w:t xml:space="preserve"> Předmětem této novely je posílení daňových příjmů krajů </w:t>
      </w:r>
      <w:r w:rsidR="00FC34EC">
        <w:rPr>
          <w:sz w:val="24"/>
          <w:szCs w:val="24"/>
        </w:rPr>
        <w:t xml:space="preserve">cca </w:t>
      </w:r>
      <w:r w:rsidR="006A2E6F" w:rsidRPr="004E778F">
        <w:rPr>
          <w:sz w:val="24"/>
          <w:szCs w:val="24"/>
        </w:rPr>
        <w:t>o 3,5 ml. Kč</w:t>
      </w:r>
      <w:r w:rsidR="00E0491C" w:rsidRPr="004E778F">
        <w:rPr>
          <w:sz w:val="24"/>
          <w:szCs w:val="24"/>
        </w:rPr>
        <w:t xml:space="preserve"> formou zvýšení podílu na inkasu DPH na 8,92 %. </w:t>
      </w:r>
      <w:r w:rsidR="00FC34EC">
        <w:rPr>
          <w:sz w:val="24"/>
          <w:szCs w:val="24"/>
        </w:rPr>
        <w:t>Účinnost návrhu se předpokládá od 1. 1. 2016</w:t>
      </w:r>
      <w:r w:rsidR="00824A51">
        <w:rPr>
          <w:sz w:val="24"/>
          <w:szCs w:val="24"/>
        </w:rPr>
        <w:t>,</w:t>
      </w:r>
      <w:r w:rsidR="00FC34EC">
        <w:rPr>
          <w:sz w:val="24"/>
          <w:szCs w:val="24"/>
        </w:rPr>
        <w:t xml:space="preserve"> </w:t>
      </w:r>
    </w:p>
    <w:p w:rsidR="006A2E6F" w:rsidRDefault="00E0491C" w:rsidP="008B048B">
      <w:pPr>
        <w:pStyle w:val="Textpoznpodarou"/>
        <w:numPr>
          <w:ilvl w:val="0"/>
          <w:numId w:val="8"/>
        </w:numPr>
        <w:spacing w:line="360" w:lineRule="auto"/>
        <w:ind w:left="1276" w:hanging="142"/>
        <w:jc w:val="both"/>
        <w:rPr>
          <w:sz w:val="24"/>
          <w:szCs w:val="24"/>
        </w:rPr>
      </w:pPr>
      <w:r w:rsidRPr="004E778F">
        <w:rPr>
          <w:sz w:val="24"/>
          <w:szCs w:val="24"/>
        </w:rPr>
        <w:t> </w:t>
      </w:r>
      <w:r w:rsidR="006A2E6F" w:rsidRPr="004E778F">
        <w:rPr>
          <w:sz w:val="24"/>
          <w:szCs w:val="24"/>
        </w:rPr>
        <w:t>podíl</w:t>
      </w:r>
      <w:r w:rsidRPr="004E778F">
        <w:rPr>
          <w:sz w:val="24"/>
          <w:szCs w:val="24"/>
        </w:rPr>
        <w:t xml:space="preserve"> krajů</w:t>
      </w:r>
      <w:r w:rsidR="006A2E6F" w:rsidRPr="004E778F">
        <w:rPr>
          <w:sz w:val="24"/>
          <w:szCs w:val="24"/>
        </w:rPr>
        <w:t xml:space="preserve"> na dani z příjmů fyzických osob ze závislé činnosti </w:t>
      </w:r>
      <w:r w:rsidRPr="004E778F">
        <w:rPr>
          <w:sz w:val="24"/>
          <w:szCs w:val="24"/>
        </w:rPr>
        <w:t>se od 1. 1. 2016</w:t>
      </w:r>
      <w:r w:rsidR="006A2E6F" w:rsidRPr="004E778F">
        <w:rPr>
          <w:sz w:val="24"/>
          <w:szCs w:val="24"/>
        </w:rPr>
        <w:t xml:space="preserve"> vrací na</w:t>
      </w:r>
      <w:r w:rsidR="001F3DA8">
        <w:rPr>
          <w:sz w:val="24"/>
          <w:szCs w:val="24"/>
        </w:rPr>
        <w:t xml:space="preserve"> úroveň</w:t>
      </w:r>
      <w:r w:rsidR="006A2E6F" w:rsidRPr="004E778F">
        <w:rPr>
          <w:sz w:val="24"/>
          <w:szCs w:val="24"/>
        </w:rPr>
        <w:t xml:space="preserve"> 8,92</w:t>
      </w:r>
      <w:r w:rsidR="00C41223">
        <w:rPr>
          <w:sz w:val="24"/>
          <w:szCs w:val="24"/>
        </w:rPr>
        <w:t xml:space="preserve"> </w:t>
      </w:r>
      <w:r w:rsidR="00C55FE3">
        <w:rPr>
          <w:sz w:val="24"/>
          <w:szCs w:val="24"/>
        </w:rPr>
        <w:t> </w:t>
      </w:r>
      <w:r w:rsidR="006A2E6F" w:rsidRPr="004E778F">
        <w:rPr>
          <w:sz w:val="24"/>
          <w:szCs w:val="24"/>
        </w:rPr>
        <w:t>%</w:t>
      </w:r>
      <w:r w:rsidR="00923B8C">
        <w:rPr>
          <w:rStyle w:val="Znakapoznpodarou"/>
          <w:sz w:val="24"/>
          <w:szCs w:val="24"/>
        </w:rPr>
        <w:footnoteReference w:id="6"/>
      </w:r>
      <w:r w:rsidR="00824A51">
        <w:rPr>
          <w:sz w:val="24"/>
          <w:szCs w:val="24"/>
        </w:rPr>
        <w:t>,</w:t>
      </w:r>
    </w:p>
    <w:p w:rsidR="008B048B" w:rsidRPr="00F115F9" w:rsidRDefault="008B048B" w:rsidP="008B048B">
      <w:pPr>
        <w:pStyle w:val="Zkladntextodsazen2"/>
        <w:numPr>
          <w:ilvl w:val="0"/>
          <w:numId w:val="8"/>
        </w:numPr>
        <w:autoSpaceDE w:val="0"/>
        <w:autoSpaceDN w:val="0"/>
        <w:spacing w:after="0" w:line="360" w:lineRule="auto"/>
        <w:ind w:left="1276" w:hanging="142"/>
        <w:jc w:val="both"/>
      </w:pPr>
      <w:r w:rsidRPr="00F115F9">
        <w:t xml:space="preserve">vliv legislativních změn, které mají nabýt účinnosti </w:t>
      </w:r>
      <w:r w:rsidR="00990EA1" w:rsidRPr="00F115F9">
        <w:t>v roce</w:t>
      </w:r>
      <w:r w:rsidRPr="00F115F9">
        <w:t xml:space="preserve"> 2016 </w:t>
      </w:r>
      <w:r w:rsidR="00990EA1" w:rsidRPr="00F115F9">
        <w:t>(</w:t>
      </w:r>
      <w:r w:rsidRPr="00F115F9">
        <w:t>zavedení kontrolní</w:t>
      </w:r>
      <w:r w:rsidR="00990EA1" w:rsidRPr="00F115F9">
        <w:t>ho</w:t>
      </w:r>
      <w:r w:rsidRPr="00F115F9">
        <w:t xml:space="preserve"> hlášení,</w:t>
      </w:r>
      <w:r w:rsidR="00990EA1" w:rsidRPr="00F115F9">
        <w:t xml:space="preserve"> elektronické evidence tržeb, zavedení daňového zvýhodnění na druhé a další dítě)</w:t>
      </w:r>
      <w:r w:rsidR="00824A51">
        <w:t>.</w:t>
      </w:r>
      <w:r w:rsidR="00990EA1" w:rsidRPr="00F115F9">
        <w:t xml:space="preserve"> </w:t>
      </w:r>
      <w:r w:rsidRPr="00F115F9">
        <w:t xml:space="preserve"> </w:t>
      </w:r>
    </w:p>
    <w:p w:rsidR="00D632BC" w:rsidRPr="00C606C6" w:rsidRDefault="00D632BC" w:rsidP="00D632BC">
      <w:pPr>
        <w:pStyle w:val="Zkladntextodsazen2"/>
        <w:autoSpaceDE w:val="0"/>
        <w:autoSpaceDN w:val="0"/>
        <w:spacing w:after="0" w:line="360" w:lineRule="auto"/>
        <w:jc w:val="both"/>
        <w:rPr>
          <w:vertAlign w:val="superscript"/>
        </w:rPr>
      </w:pPr>
      <w:r w:rsidRPr="006300A1">
        <w:t>Konkrétní údaje dle jednotlivých daňových titulů jsou obsaženy v příloze č. 2. Podrobně se problematikou predikce daňových příjmů zabývá jiná část rozpočtové dokumentace</w:t>
      </w:r>
      <w:r w:rsidRPr="00C606C6">
        <w:rPr>
          <w:vertAlign w:val="superscript"/>
        </w:rPr>
        <w:footnoteReference w:id="7"/>
      </w:r>
      <w:r w:rsidR="00C606C6">
        <w:t>.</w:t>
      </w:r>
    </w:p>
    <w:p w:rsidR="009C2D54" w:rsidRDefault="009C2D54" w:rsidP="00132833">
      <w:pPr>
        <w:pStyle w:val="Zkladntextodsazen2"/>
        <w:numPr>
          <w:ilvl w:val="0"/>
          <w:numId w:val="1"/>
        </w:numPr>
        <w:autoSpaceDE w:val="0"/>
        <w:autoSpaceDN w:val="0"/>
        <w:spacing w:after="0" w:line="360" w:lineRule="auto"/>
        <w:ind w:left="714" w:hanging="357"/>
        <w:jc w:val="both"/>
      </w:pPr>
      <w:r w:rsidRPr="00092844">
        <w:rPr>
          <w:b/>
        </w:rPr>
        <w:t xml:space="preserve">Transfery </w:t>
      </w:r>
    </w:p>
    <w:p w:rsidR="001C7AA9" w:rsidRPr="007A5A62" w:rsidRDefault="001C7AA9" w:rsidP="001C7AA9">
      <w:pPr>
        <w:pStyle w:val="Zkladntextodsazen2"/>
        <w:autoSpaceDE w:val="0"/>
        <w:autoSpaceDN w:val="0"/>
        <w:spacing w:after="0" w:line="360" w:lineRule="auto"/>
        <w:ind w:left="360"/>
        <w:jc w:val="both"/>
      </w:pPr>
      <w:r w:rsidRPr="007A5A62">
        <w:rPr>
          <w:b/>
        </w:rPr>
        <w:t>V roce 2015</w:t>
      </w:r>
      <w:r w:rsidRPr="007A5A62">
        <w:t xml:space="preserve"> se očekává, že objem transferů přijatých kraji dosáhne částky 103,3 mld. Kč, z celkových příjmů budou tvořit 65,2</w:t>
      </w:r>
      <w:r w:rsidR="001E5F9C">
        <w:t xml:space="preserve"> </w:t>
      </w:r>
      <w:r w:rsidRPr="007A5A62">
        <w:t>%. Ve srovnán</w:t>
      </w:r>
      <w:r w:rsidR="00692697" w:rsidRPr="007A5A62">
        <w:t>í</w:t>
      </w:r>
      <w:r w:rsidRPr="007A5A62">
        <w:t xml:space="preserve"> s předchozím rokem se odhaduje, že transfery přijaté kraji vzrostou o </w:t>
      </w:r>
      <w:r w:rsidR="00C96EA6" w:rsidRPr="007A5A62">
        <w:t>12 %.</w:t>
      </w:r>
      <w:r w:rsidRPr="007A5A62">
        <w:t xml:space="preserve"> Nárůst se týká zejména transferů přijatých z </w:t>
      </w:r>
      <w:r w:rsidR="002F7234">
        <w:t>RR</w:t>
      </w:r>
      <w:r w:rsidRPr="007A5A62">
        <w:t>, což souvisí s dočerpáváním prostředků z R</w:t>
      </w:r>
      <w:r w:rsidR="002F7234">
        <w:t>OP</w:t>
      </w:r>
      <w:r w:rsidR="000D3F77" w:rsidRPr="007A5A62">
        <w:t>, a investičních transferů ze státních fondů</w:t>
      </w:r>
      <w:r w:rsidR="004626D0" w:rsidRPr="007A5A62">
        <w:t xml:space="preserve">. Vliv na výši </w:t>
      </w:r>
      <w:r w:rsidR="00CB2E3F">
        <w:t xml:space="preserve">neinvestičních </w:t>
      </w:r>
      <w:r w:rsidR="004626D0" w:rsidRPr="007A5A62">
        <w:t>transferů má i změna zákona č. 108/2006 Sb., o sociálních službách,</w:t>
      </w:r>
      <w:r w:rsidR="002F7234">
        <w:t xml:space="preserve"> ve znění pozdějších předpisů,</w:t>
      </w:r>
      <w:r w:rsidR="004626D0" w:rsidRPr="007A5A62">
        <w:t xml:space="preserve"> která znamenala převod financování sociálních služeb ze státu (Ministerstva práce a sociálních věcí) na kraje</w:t>
      </w:r>
      <w:r w:rsidR="005443F7" w:rsidRPr="007A5A62">
        <w:rPr>
          <w:rStyle w:val="Znakapoznpodarou"/>
        </w:rPr>
        <w:footnoteReference w:id="8"/>
      </w:r>
      <w:r w:rsidR="000D3F77" w:rsidRPr="007A5A62">
        <w:t>.</w:t>
      </w:r>
      <w:r w:rsidRPr="007A5A62">
        <w:t xml:space="preserve"> </w:t>
      </w:r>
    </w:p>
    <w:p w:rsidR="001C7AA9" w:rsidRPr="00885E41" w:rsidRDefault="00D93862" w:rsidP="001C7AA9">
      <w:pPr>
        <w:pStyle w:val="Zkladntextodsazen2"/>
        <w:autoSpaceDE w:val="0"/>
        <w:autoSpaceDN w:val="0"/>
        <w:spacing w:after="0" w:line="360" w:lineRule="auto"/>
        <w:ind w:left="357"/>
        <w:jc w:val="both"/>
        <w:rPr>
          <w:b/>
          <w:color w:val="FF0000"/>
        </w:rPr>
      </w:pPr>
      <w:r>
        <w:t xml:space="preserve">Navrhovaný objem </w:t>
      </w:r>
      <w:r w:rsidRPr="008A7E29">
        <w:t xml:space="preserve">transferů </w:t>
      </w:r>
      <w:r>
        <w:t xml:space="preserve">určených krajům z různých úrovní veřejných rozpočtů </w:t>
      </w:r>
      <w:r w:rsidRPr="00B238D9">
        <w:rPr>
          <w:b/>
        </w:rPr>
        <w:t xml:space="preserve">v roce 2016 </w:t>
      </w:r>
      <w:r>
        <w:t xml:space="preserve">se pohybuje </w:t>
      </w:r>
      <w:r w:rsidRPr="008A7E29">
        <w:t xml:space="preserve">cca </w:t>
      </w:r>
      <w:r>
        <w:t xml:space="preserve">na </w:t>
      </w:r>
      <w:r w:rsidR="00624080">
        <w:t>90</w:t>
      </w:r>
      <w:r w:rsidRPr="008A7E29">
        <w:t xml:space="preserve"> %</w:t>
      </w:r>
      <w:r>
        <w:t>  z odhadované hodnoty, která by měla být realizována v roce 2015. Údaje o transferech</w:t>
      </w:r>
      <w:r w:rsidR="00552A38">
        <w:t xml:space="preserve"> </w:t>
      </w:r>
      <w:r w:rsidR="002E29A5">
        <w:t>(</w:t>
      </w:r>
      <w:r w:rsidR="009558BF">
        <w:t>zejména</w:t>
      </w:r>
      <w:r w:rsidR="00552A38">
        <w:t xml:space="preserve"> investičních</w:t>
      </w:r>
      <w:r w:rsidR="002E29A5">
        <w:t>)</w:t>
      </w:r>
      <w:r w:rsidR="00552A38">
        <w:t>,</w:t>
      </w:r>
      <w:r>
        <w:t xml:space="preserve"> jsou meziročně nesrovnatelné, protože </w:t>
      </w:r>
      <w:r w:rsidRPr="00A5652B">
        <w:t xml:space="preserve">již nepokračují ROP, ze kterých </w:t>
      </w:r>
      <w:r w:rsidR="00552A38">
        <w:t>kraje</w:t>
      </w:r>
      <w:r w:rsidRPr="00A5652B">
        <w:t xml:space="preserve"> čerpaly významné finanční objemy.</w:t>
      </w:r>
      <w:r>
        <w:t xml:space="preserve"> Čerpání </w:t>
      </w:r>
      <w:r>
        <w:lastRenderedPageBreak/>
        <w:t xml:space="preserve">prostředků </w:t>
      </w:r>
      <w:r w:rsidR="002F7234">
        <w:t xml:space="preserve">v rámci nového </w:t>
      </w:r>
      <w:r>
        <w:t>program</w:t>
      </w:r>
      <w:r w:rsidR="002F7234">
        <w:t>ového období</w:t>
      </w:r>
      <w:r>
        <w:t xml:space="preserve"> se projeví až v údajích o rozpočtovém hospodaření </w:t>
      </w:r>
      <w:r w:rsidR="00552A38">
        <w:t>krajů</w:t>
      </w:r>
      <w:r>
        <w:t xml:space="preserve"> v průběhu kalendářního roku.</w:t>
      </w:r>
      <w:r w:rsidR="00885E41" w:rsidRPr="00885E41">
        <w:rPr>
          <w:b/>
          <w:color w:val="FF0000"/>
        </w:rPr>
        <w:t xml:space="preserve"> </w:t>
      </w:r>
    </w:p>
    <w:p w:rsidR="000D7D88" w:rsidRDefault="000D7D88" w:rsidP="002560F3">
      <w:pPr>
        <w:spacing w:before="120"/>
        <w:jc w:val="both"/>
        <w:rPr>
          <w:b/>
        </w:rPr>
      </w:pPr>
    </w:p>
    <w:p w:rsidR="002560F3" w:rsidRDefault="002560F3" w:rsidP="002560F3">
      <w:pPr>
        <w:spacing w:before="120"/>
        <w:jc w:val="both"/>
        <w:rPr>
          <w:b/>
        </w:rPr>
      </w:pPr>
      <w:r>
        <w:rPr>
          <w:b/>
        </w:rPr>
        <w:t>Odhadovaný vývoj na straně výdajů</w:t>
      </w:r>
    </w:p>
    <w:p w:rsidR="007525CF" w:rsidRDefault="007525CF" w:rsidP="007525CF">
      <w:pPr>
        <w:pStyle w:val="Zkladntextodsazen2"/>
        <w:autoSpaceDE w:val="0"/>
        <w:autoSpaceDN w:val="0"/>
        <w:spacing w:after="0" w:line="360" w:lineRule="auto"/>
        <w:ind w:left="357"/>
        <w:jc w:val="both"/>
      </w:pPr>
    </w:p>
    <w:p w:rsidR="007525CF" w:rsidRPr="007A5A62" w:rsidRDefault="007525CF" w:rsidP="009431C9">
      <w:pPr>
        <w:pStyle w:val="Zkladntextodsazen2"/>
        <w:autoSpaceDE w:val="0"/>
        <w:autoSpaceDN w:val="0"/>
        <w:spacing w:after="0" w:line="360" w:lineRule="auto"/>
        <w:ind w:left="0"/>
        <w:jc w:val="both"/>
      </w:pPr>
      <w:r w:rsidRPr="007A5A62">
        <w:t xml:space="preserve">Odhaduje se, že celkové výdaje </w:t>
      </w:r>
      <w:r w:rsidR="005A3190" w:rsidRPr="007A5A62">
        <w:t>krajů</w:t>
      </w:r>
      <w:r w:rsidRPr="007A5A62">
        <w:t xml:space="preserve"> </w:t>
      </w:r>
      <w:r w:rsidRPr="00913229">
        <w:rPr>
          <w:b/>
        </w:rPr>
        <w:t>v roce 2015</w:t>
      </w:r>
      <w:r w:rsidRPr="007A5A62">
        <w:t xml:space="preserve"> dosáhnou výše </w:t>
      </w:r>
      <w:r w:rsidR="005A3190" w:rsidRPr="007A5A62">
        <w:t>157,9</w:t>
      </w:r>
      <w:r w:rsidRPr="007A5A62">
        <w:t xml:space="preserve"> mld. Kč, což představuje meziroční navýšení o cca </w:t>
      </w:r>
      <w:r w:rsidR="005A3190" w:rsidRPr="007A5A62">
        <w:t>9,7</w:t>
      </w:r>
      <w:r w:rsidRPr="007A5A62">
        <w:t xml:space="preserve"> %. V případě běžných výdajů se nárůst soustřeďuje zejména do oblasti </w:t>
      </w:r>
      <w:r w:rsidR="00690FA1" w:rsidRPr="007A5A62">
        <w:t xml:space="preserve">neinvestičních transferů neziskovým a podobným organizacím, </w:t>
      </w:r>
      <w:r w:rsidR="00A36F0D">
        <w:t>mzdových a souvisejících plateb,</w:t>
      </w:r>
      <w:r w:rsidRPr="007A5A62">
        <w:t xml:space="preserve"> </w:t>
      </w:r>
      <w:r w:rsidR="00A36F0D">
        <w:t xml:space="preserve">v </w:t>
      </w:r>
      <w:r w:rsidRPr="007A5A62">
        <w:t>případě kapitálových výdajů do oblasti investičních nákupů</w:t>
      </w:r>
      <w:r w:rsidR="00F438D1">
        <w:t>.</w:t>
      </w:r>
    </w:p>
    <w:p w:rsidR="00EB18E9" w:rsidRDefault="00EB18E9" w:rsidP="00EB18E9">
      <w:pPr>
        <w:pStyle w:val="Titulek"/>
        <w:rPr>
          <w:color w:val="auto"/>
        </w:rPr>
      </w:pPr>
    </w:p>
    <w:p w:rsidR="00EB18E9" w:rsidRPr="000829BA" w:rsidRDefault="00EB18E9" w:rsidP="00EB18E9">
      <w:pPr>
        <w:pStyle w:val="Titulek"/>
        <w:rPr>
          <w:color w:val="auto"/>
          <w:sz w:val="20"/>
          <w:szCs w:val="20"/>
        </w:rPr>
      </w:pPr>
      <w:r w:rsidRPr="00427AF6">
        <w:rPr>
          <w:color w:val="auto"/>
        </w:rPr>
        <w:t xml:space="preserve">Graf č. </w:t>
      </w:r>
      <w:r w:rsidRPr="00427AF6">
        <w:rPr>
          <w:color w:val="auto"/>
        </w:rPr>
        <w:fldChar w:fldCharType="begin"/>
      </w:r>
      <w:r w:rsidRPr="00427AF6">
        <w:rPr>
          <w:color w:val="auto"/>
        </w:rPr>
        <w:instrText xml:space="preserve"> SEQ Graf_č. \* ARABIC </w:instrText>
      </w:r>
      <w:r w:rsidRPr="00427AF6">
        <w:rPr>
          <w:color w:val="auto"/>
        </w:rPr>
        <w:fldChar w:fldCharType="separate"/>
      </w:r>
      <w:r>
        <w:rPr>
          <w:noProof/>
          <w:color w:val="auto"/>
        </w:rPr>
        <w:t>6</w:t>
      </w:r>
      <w:r w:rsidRPr="00427AF6">
        <w:rPr>
          <w:color w:val="auto"/>
        </w:rPr>
        <w:fldChar w:fldCharType="end"/>
      </w:r>
      <w:r w:rsidRPr="00427AF6">
        <w:rPr>
          <w:color w:val="auto"/>
          <w:sz w:val="20"/>
          <w:szCs w:val="20"/>
        </w:rPr>
        <w:t xml:space="preserve">  </w:t>
      </w:r>
      <w:r w:rsidRPr="000829BA">
        <w:rPr>
          <w:color w:val="auto"/>
          <w:sz w:val="20"/>
          <w:szCs w:val="20"/>
        </w:rPr>
        <w:t xml:space="preserve">Struktura </w:t>
      </w:r>
      <w:r>
        <w:rPr>
          <w:color w:val="auto"/>
          <w:sz w:val="20"/>
          <w:szCs w:val="20"/>
        </w:rPr>
        <w:t>výdajů</w:t>
      </w:r>
      <w:r w:rsidRPr="000829BA">
        <w:rPr>
          <w:color w:val="auto"/>
          <w:sz w:val="20"/>
          <w:szCs w:val="20"/>
        </w:rPr>
        <w:t xml:space="preserve"> krajů</w:t>
      </w:r>
      <w:r>
        <w:rPr>
          <w:color w:val="auto"/>
          <w:sz w:val="20"/>
          <w:szCs w:val="20"/>
        </w:rPr>
        <w:t xml:space="preserve"> v roce 2015</w:t>
      </w:r>
      <w:r w:rsidRPr="000829BA">
        <w:rPr>
          <w:color w:val="auto"/>
          <w:sz w:val="20"/>
          <w:szCs w:val="20"/>
        </w:rPr>
        <w:t xml:space="preserve">  </w:t>
      </w:r>
    </w:p>
    <w:p w:rsidR="00EB18E9" w:rsidRDefault="00EB18E9" w:rsidP="00EB18E9">
      <w:pPr>
        <w:spacing w:before="120" w:line="360" w:lineRule="auto"/>
        <w:jc w:val="center"/>
      </w:pPr>
      <w:r>
        <w:rPr>
          <w:noProof/>
          <w:sz w:val="20"/>
          <w:szCs w:val="20"/>
        </w:rPr>
        <w:drawing>
          <wp:inline distT="0" distB="0" distL="0" distR="0" wp14:anchorId="0EC54491" wp14:editId="40E43914">
            <wp:extent cx="4976038" cy="2912119"/>
            <wp:effectExtent l="0" t="0" r="0" b="254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766" cy="2910204"/>
                    </a:xfrm>
                    <a:prstGeom prst="rect">
                      <a:avLst/>
                    </a:prstGeom>
                    <a:noFill/>
                  </pic:spPr>
                </pic:pic>
              </a:graphicData>
            </a:graphic>
          </wp:inline>
        </w:drawing>
      </w:r>
    </w:p>
    <w:p w:rsidR="00EA1E6D" w:rsidRDefault="00EA1E6D" w:rsidP="009431C9">
      <w:pPr>
        <w:spacing w:before="120" w:line="360" w:lineRule="auto"/>
        <w:jc w:val="both"/>
      </w:pPr>
    </w:p>
    <w:p w:rsidR="007E7281" w:rsidRPr="00EA1E6D" w:rsidRDefault="00F438D1" w:rsidP="00EA1E6D">
      <w:pPr>
        <w:spacing w:before="120" w:line="360" w:lineRule="auto"/>
        <w:jc w:val="both"/>
      </w:pPr>
      <w:r>
        <w:t>V</w:t>
      </w:r>
      <w:r w:rsidRPr="006834C4">
        <w:t>ýdaje</w:t>
      </w:r>
      <w:r>
        <w:t xml:space="preserve">, které by měly kraje vynaložit </w:t>
      </w:r>
      <w:r w:rsidRPr="00343BF5">
        <w:rPr>
          <w:b/>
        </w:rPr>
        <w:t xml:space="preserve">v roce </w:t>
      </w:r>
      <w:r w:rsidRPr="00C36071">
        <w:rPr>
          <w:b/>
        </w:rPr>
        <w:t>2016,</w:t>
      </w:r>
      <w:r>
        <w:t xml:space="preserve"> se</w:t>
      </w:r>
      <w:r w:rsidRPr="006834C4">
        <w:t xml:space="preserve"> odhadují v objemu </w:t>
      </w:r>
      <w:r>
        <w:t>15</w:t>
      </w:r>
      <w:r w:rsidR="00624080">
        <w:t>5</w:t>
      </w:r>
      <w:r>
        <w:t xml:space="preserve"> </w:t>
      </w:r>
      <w:r w:rsidRPr="006834C4">
        <w:t xml:space="preserve">mld. Kč. Na celkové částce se </w:t>
      </w:r>
      <w:r>
        <w:t xml:space="preserve">z cca </w:t>
      </w:r>
      <w:r w:rsidR="00343BF5">
        <w:t>90</w:t>
      </w:r>
      <w:r>
        <w:t xml:space="preserve"> % p</w:t>
      </w:r>
      <w:r w:rsidRPr="006834C4">
        <w:t>odílejí běžné výdaje</w:t>
      </w:r>
      <w:r>
        <w:t xml:space="preserve">, </w:t>
      </w:r>
      <w:r w:rsidRPr="006834C4">
        <w:t>zbývajících</w:t>
      </w:r>
      <w:r>
        <w:t xml:space="preserve"> </w:t>
      </w:r>
      <w:r w:rsidR="00343BF5">
        <w:t>10</w:t>
      </w:r>
      <w:r>
        <w:t xml:space="preserve"> </w:t>
      </w:r>
      <w:r w:rsidRPr="006834C4">
        <w:t xml:space="preserve">% připadá na výdaje kapitálové. </w:t>
      </w:r>
    </w:p>
    <w:p w:rsidR="008F5E3F" w:rsidRPr="002276A7" w:rsidRDefault="008F5E3F" w:rsidP="008F5E3F">
      <w:pPr>
        <w:spacing w:before="120" w:line="360" w:lineRule="auto"/>
        <w:jc w:val="both"/>
      </w:pPr>
      <w:r>
        <w:t>O</w:t>
      </w:r>
      <w:r w:rsidRPr="002276A7">
        <w:t xml:space="preserve">dhadované hodnoty příjmů a výdajů v podrobnějším členění jsou uvedeny v následující </w:t>
      </w:r>
      <w:r>
        <w:t>t</w:t>
      </w:r>
      <w:r w:rsidRPr="002276A7">
        <w:t>abulce:</w:t>
      </w:r>
    </w:p>
    <w:p w:rsidR="007E7281" w:rsidRDefault="007E7281" w:rsidP="00D5062E">
      <w:pPr>
        <w:pStyle w:val="Titulek"/>
        <w:rPr>
          <w:color w:val="auto"/>
          <w:sz w:val="20"/>
          <w:szCs w:val="20"/>
        </w:rPr>
      </w:pPr>
    </w:p>
    <w:p w:rsidR="007E7281" w:rsidRDefault="007E7281" w:rsidP="00D5062E">
      <w:pPr>
        <w:pStyle w:val="Titulek"/>
        <w:rPr>
          <w:color w:val="auto"/>
          <w:sz w:val="20"/>
          <w:szCs w:val="20"/>
        </w:rPr>
      </w:pPr>
    </w:p>
    <w:p w:rsidR="007E7281" w:rsidRDefault="007E7281" w:rsidP="00D5062E">
      <w:pPr>
        <w:pStyle w:val="Titulek"/>
        <w:rPr>
          <w:color w:val="auto"/>
          <w:sz w:val="20"/>
          <w:szCs w:val="20"/>
        </w:rPr>
      </w:pPr>
    </w:p>
    <w:p w:rsidR="008F5E3F" w:rsidRDefault="008F5E3F" w:rsidP="00D5062E">
      <w:pPr>
        <w:pStyle w:val="Titulek"/>
        <w:rPr>
          <w:color w:val="auto"/>
          <w:sz w:val="20"/>
          <w:szCs w:val="20"/>
        </w:rPr>
      </w:pPr>
    </w:p>
    <w:p w:rsidR="00EA1E6D" w:rsidRDefault="00EA1E6D" w:rsidP="00D5062E">
      <w:pPr>
        <w:pStyle w:val="Titulek"/>
        <w:rPr>
          <w:color w:val="auto"/>
          <w:sz w:val="20"/>
          <w:szCs w:val="20"/>
        </w:rPr>
      </w:pPr>
    </w:p>
    <w:p w:rsidR="002560F3" w:rsidRDefault="00D5062E" w:rsidP="00D5062E">
      <w:pPr>
        <w:pStyle w:val="Titulek"/>
        <w:rPr>
          <w:color w:val="auto"/>
          <w:sz w:val="20"/>
          <w:szCs w:val="20"/>
        </w:rPr>
      </w:pPr>
      <w:r w:rsidRPr="00D5062E">
        <w:rPr>
          <w:color w:val="auto"/>
          <w:sz w:val="20"/>
          <w:szCs w:val="20"/>
        </w:rPr>
        <w:lastRenderedPageBreak/>
        <w:t xml:space="preserve">Tabulka č. </w:t>
      </w:r>
      <w:r w:rsidRPr="00D5062E">
        <w:rPr>
          <w:color w:val="auto"/>
          <w:sz w:val="20"/>
          <w:szCs w:val="20"/>
        </w:rPr>
        <w:fldChar w:fldCharType="begin"/>
      </w:r>
      <w:r w:rsidRPr="00D5062E">
        <w:rPr>
          <w:color w:val="auto"/>
          <w:sz w:val="20"/>
          <w:szCs w:val="20"/>
        </w:rPr>
        <w:instrText xml:space="preserve"> SEQ Tabulka_č. \* ARABIC </w:instrText>
      </w:r>
      <w:r w:rsidRPr="00D5062E">
        <w:rPr>
          <w:color w:val="auto"/>
          <w:sz w:val="20"/>
          <w:szCs w:val="20"/>
        </w:rPr>
        <w:fldChar w:fldCharType="separate"/>
      </w:r>
      <w:r w:rsidR="00BF5CB4">
        <w:rPr>
          <w:noProof/>
          <w:color w:val="auto"/>
          <w:sz w:val="20"/>
          <w:szCs w:val="20"/>
        </w:rPr>
        <w:t>3</w:t>
      </w:r>
      <w:r w:rsidRPr="00D5062E">
        <w:rPr>
          <w:color w:val="auto"/>
          <w:sz w:val="20"/>
          <w:szCs w:val="20"/>
        </w:rPr>
        <w:fldChar w:fldCharType="end"/>
      </w:r>
      <w:r w:rsidR="002560F3" w:rsidRPr="00D5062E">
        <w:rPr>
          <w:color w:val="auto"/>
          <w:sz w:val="20"/>
          <w:szCs w:val="20"/>
        </w:rPr>
        <w:t xml:space="preserve">.  Odhad příjmů a výdajů </w:t>
      </w:r>
      <w:proofErr w:type="gramStart"/>
      <w:r w:rsidR="002560F3" w:rsidRPr="00D5062E">
        <w:rPr>
          <w:color w:val="auto"/>
          <w:sz w:val="20"/>
          <w:szCs w:val="20"/>
        </w:rPr>
        <w:t>krajů  v letech</w:t>
      </w:r>
      <w:proofErr w:type="gramEnd"/>
      <w:r w:rsidR="002560F3" w:rsidRPr="00D5062E">
        <w:rPr>
          <w:color w:val="auto"/>
          <w:sz w:val="20"/>
          <w:szCs w:val="20"/>
        </w:rPr>
        <w:t xml:space="preserve"> 2015 a 2016 </w:t>
      </w:r>
    </w:p>
    <w:p w:rsidR="000D3F77" w:rsidRDefault="00333684" w:rsidP="007E7281">
      <w:pPr>
        <w:jc w:val="center"/>
      </w:pPr>
      <w:r w:rsidRPr="00333684">
        <w:rPr>
          <w:noProof/>
        </w:rPr>
        <w:drawing>
          <wp:inline distT="0" distB="0" distL="0" distR="0">
            <wp:extent cx="4816549" cy="2573027"/>
            <wp:effectExtent l="0" t="0" r="3175"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16535" cy="2573020"/>
                    </a:xfrm>
                    <a:prstGeom prst="rect">
                      <a:avLst/>
                    </a:prstGeom>
                    <a:noFill/>
                    <a:ln>
                      <a:noFill/>
                    </a:ln>
                  </pic:spPr>
                </pic:pic>
              </a:graphicData>
            </a:graphic>
          </wp:inline>
        </w:drawing>
      </w:r>
    </w:p>
    <w:p w:rsidR="002351B8" w:rsidRDefault="002351B8" w:rsidP="002E54C6">
      <w:pPr>
        <w:jc w:val="both"/>
        <w:rPr>
          <w:i/>
          <w:sz w:val="20"/>
          <w:szCs w:val="20"/>
        </w:rPr>
      </w:pPr>
    </w:p>
    <w:p w:rsidR="002E54C6" w:rsidRPr="002351B8" w:rsidRDefault="002E54C6" w:rsidP="002E54C6">
      <w:pPr>
        <w:jc w:val="both"/>
        <w:rPr>
          <w:i/>
          <w:sz w:val="20"/>
          <w:szCs w:val="20"/>
        </w:rPr>
      </w:pPr>
      <w:r w:rsidRPr="002351B8">
        <w:rPr>
          <w:i/>
          <w:sz w:val="20"/>
          <w:szCs w:val="20"/>
        </w:rPr>
        <w:t>Poznámka: Údaje o transferech jsou meziročně nesrovnatelné, protože již nepokračují ROP, ze kterých kraje čerpaly významné finanční objemy</w:t>
      </w:r>
      <w:r w:rsidR="002351B8" w:rsidRPr="002351B8">
        <w:rPr>
          <w:i/>
          <w:sz w:val="20"/>
          <w:szCs w:val="20"/>
        </w:rPr>
        <w:t>, Čerpání prostředků v rámci nového programového období se projeví až v údajích o rozpočtovém hospodaření krajů v průběhu kalendářního rok</w:t>
      </w:r>
      <w:r w:rsidR="00931B20">
        <w:rPr>
          <w:i/>
          <w:sz w:val="20"/>
          <w:szCs w:val="20"/>
        </w:rPr>
        <w:t>u</w:t>
      </w:r>
      <w:r w:rsidRPr="002351B8">
        <w:rPr>
          <w:i/>
          <w:sz w:val="20"/>
          <w:szCs w:val="20"/>
        </w:rPr>
        <w:t>.</w:t>
      </w:r>
    </w:p>
    <w:p w:rsidR="00550040" w:rsidRPr="00F20E7C" w:rsidRDefault="00550040" w:rsidP="00F20E7C">
      <w:pPr>
        <w:pStyle w:val="Nadpis2"/>
      </w:pPr>
      <w:bookmarkStart w:id="9" w:name="_Toc428431394"/>
      <w:r w:rsidRPr="00F20E7C">
        <w:t>Další územní rozpočty</w:t>
      </w:r>
      <w:r w:rsidR="00E82352" w:rsidRPr="00F20E7C">
        <w:t xml:space="preserve"> v </w:t>
      </w:r>
      <w:r w:rsidR="006E4BFD">
        <w:t>letech</w:t>
      </w:r>
      <w:r w:rsidR="00E82352" w:rsidRPr="00F20E7C">
        <w:t xml:space="preserve"> 201</w:t>
      </w:r>
      <w:r w:rsidR="009B079F">
        <w:t>5 a 2016</w:t>
      </w:r>
      <w:bookmarkEnd w:id="9"/>
      <w:r w:rsidR="00762C32" w:rsidRPr="00F20E7C">
        <w:t xml:space="preserve"> </w:t>
      </w:r>
    </w:p>
    <w:p w:rsidR="00C27C26" w:rsidRPr="00497709" w:rsidRDefault="00C27C26" w:rsidP="00C423AB">
      <w:pPr>
        <w:pStyle w:val="Zkladntext"/>
        <w:rPr>
          <w:b/>
        </w:rPr>
      </w:pPr>
      <w:r w:rsidRPr="00497709">
        <w:rPr>
          <w:b/>
        </w:rPr>
        <w:t>Dobrovolné svazky obcí</w:t>
      </w:r>
    </w:p>
    <w:p w:rsidR="00A4030A" w:rsidRPr="00AA3366" w:rsidRDefault="00762C32" w:rsidP="00C423AB">
      <w:pPr>
        <w:pStyle w:val="Zkladntext"/>
      </w:pPr>
      <w:r>
        <w:t xml:space="preserve">Výše příjmů </w:t>
      </w:r>
      <w:r w:rsidR="005A4693" w:rsidRPr="00913229">
        <w:t>DSO</w:t>
      </w:r>
      <w:r>
        <w:t xml:space="preserve"> je </w:t>
      </w:r>
      <w:r w:rsidR="00CA19FD">
        <w:t xml:space="preserve">primárně </w:t>
      </w:r>
      <w:r>
        <w:t>ovlivněna výší přijatých transferů</w:t>
      </w:r>
      <w:r w:rsidR="005A4693">
        <w:t xml:space="preserve">, protože </w:t>
      </w:r>
      <w:r w:rsidR="0092366A">
        <w:t>DSO neparticipují na daňových příjmech</w:t>
      </w:r>
      <w:r w:rsidR="00D60349">
        <w:t>.</w:t>
      </w:r>
      <w:r w:rsidR="0092366A">
        <w:t xml:space="preserve"> </w:t>
      </w:r>
      <w:r w:rsidR="00D60349">
        <w:t>V</w:t>
      </w:r>
      <w:r w:rsidR="00B33823">
        <w:t>lastní příjmy (</w:t>
      </w:r>
      <w:r w:rsidR="0092366A">
        <w:t>nedaňové a</w:t>
      </w:r>
      <w:r w:rsidR="00402156">
        <w:t> </w:t>
      </w:r>
      <w:r w:rsidR="0092366A">
        <w:t>kapitálové</w:t>
      </w:r>
      <w:r w:rsidR="00B33823">
        <w:t xml:space="preserve">) se </w:t>
      </w:r>
      <w:r w:rsidR="00B33823" w:rsidRPr="00913229">
        <w:rPr>
          <w:b/>
        </w:rPr>
        <w:t xml:space="preserve">pro rok 2015 </w:t>
      </w:r>
      <w:r w:rsidR="00B33823" w:rsidRPr="00913229">
        <w:t>odhadují</w:t>
      </w:r>
      <w:r w:rsidR="00B33823">
        <w:t xml:space="preserve"> ve výši </w:t>
      </w:r>
      <w:r w:rsidR="0092366A">
        <w:t>1</w:t>
      </w:r>
      <w:r w:rsidR="00B33823">
        <w:t>,2</w:t>
      </w:r>
      <w:r w:rsidR="0092366A">
        <w:t xml:space="preserve"> mld. Kč</w:t>
      </w:r>
      <w:r w:rsidR="00225EB4">
        <w:t>.</w:t>
      </w:r>
      <w:r w:rsidR="0092366A">
        <w:t xml:space="preserve"> Přijaté transfery se pro </w:t>
      </w:r>
      <w:r w:rsidR="00D60349">
        <w:t xml:space="preserve">tento </w:t>
      </w:r>
      <w:r w:rsidR="0092366A">
        <w:t xml:space="preserve">rok </w:t>
      </w:r>
      <w:r w:rsidR="009B079F">
        <w:t>předpokládají v objemu 5,7</w:t>
      </w:r>
      <w:r w:rsidR="0092366A">
        <w:t xml:space="preserve"> </w:t>
      </w:r>
      <w:r w:rsidR="00CA19FD">
        <w:t>mld. Kč,</w:t>
      </w:r>
      <w:r>
        <w:t xml:space="preserve"> </w:t>
      </w:r>
      <w:r w:rsidR="00CA19FD">
        <w:t xml:space="preserve">přičemž se většinou jedná o prostředky na financování investic. Pokud jde o výsledek hospodaření, </w:t>
      </w:r>
      <w:r w:rsidR="0092366A">
        <w:t>očekává se</w:t>
      </w:r>
      <w:r w:rsidR="0018066D">
        <w:t xml:space="preserve">, že </w:t>
      </w:r>
      <w:r w:rsidR="00D60349">
        <w:t xml:space="preserve">DSO v roce 2015 </w:t>
      </w:r>
      <w:r w:rsidR="002E7993">
        <w:t xml:space="preserve">skončí mírným </w:t>
      </w:r>
      <w:r w:rsidR="00D60349">
        <w:t xml:space="preserve">rozpočtovým </w:t>
      </w:r>
      <w:r w:rsidR="002E7993">
        <w:t>přebytkem ve výši</w:t>
      </w:r>
      <w:r w:rsidR="009B079F">
        <w:t xml:space="preserve"> 0,1 </w:t>
      </w:r>
      <w:r w:rsidR="002E7993">
        <w:t>mld. Kč.</w:t>
      </w:r>
      <w:r w:rsidR="00402156">
        <w:t xml:space="preserve"> </w:t>
      </w:r>
      <w:r w:rsidR="00402156" w:rsidRPr="00AA3366">
        <w:rPr>
          <w:b/>
        </w:rPr>
        <w:t>Pro rok</w:t>
      </w:r>
      <w:r w:rsidR="00854F7D" w:rsidRPr="00AA3366">
        <w:rPr>
          <w:b/>
        </w:rPr>
        <w:t xml:space="preserve"> 2016</w:t>
      </w:r>
      <w:r w:rsidR="00402156" w:rsidRPr="00AA3366">
        <w:t xml:space="preserve"> se předpokládá, že DSO budou hospodařit s</w:t>
      </w:r>
      <w:r w:rsidR="00100F7A" w:rsidRPr="00AA3366">
        <w:t> rozpočtovým přebytkem ve výši 0,1 mld. Kč, a to s </w:t>
      </w:r>
      <w:r w:rsidR="00402156" w:rsidRPr="00AA3366">
        <w:t>příjm</w:t>
      </w:r>
      <w:r w:rsidR="00100F7A" w:rsidRPr="00AA3366">
        <w:t>y</w:t>
      </w:r>
      <w:r w:rsidR="00854F7D" w:rsidRPr="00AA3366">
        <w:t xml:space="preserve"> 3,9 mld. Kč </w:t>
      </w:r>
      <w:r w:rsidR="00402156" w:rsidRPr="00AA3366">
        <w:t>a výdaj</w:t>
      </w:r>
      <w:r w:rsidR="00100F7A" w:rsidRPr="00AA3366">
        <w:t xml:space="preserve">i </w:t>
      </w:r>
      <w:r w:rsidR="00854F7D" w:rsidRPr="00AA3366">
        <w:t>3,8 mld. Kč.</w:t>
      </w:r>
    </w:p>
    <w:p w:rsidR="00C423AB" w:rsidRDefault="00C423AB" w:rsidP="00C423AB">
      <w:pPr>
        <w:pStyle w:val="Zkladntext"/>
        <w:rPr>
          <w:b/>
        </w:rPr>
      </w:pPr>
    </w:p>
    <w:p w:rsidR="009B079F" w:rsidRPr="00F01804" w:rsidRDefault="00497709" w:rsidP="00C423AB">
      <w:pPr>
        <w:pStyle w:val="Zkladntext"/>
        <w:rPr>
          <w:b/>
        </w:rPr>
      </w:pPr>
      <w:r w:rsidRPr="00F01804">
        <w:rPr>
          <w:b/>
        </w:rPr>
        <w:t>Regionální rady regionů soudržnosti</w:t>
      </w:r>
      <w:r w:rsidR="009B079F" w:rsidRPr="00F01804">
        <w:rPr>
          <w:b/>
        </w:rPr>
        <w:t xml:space="preserve"> </w:t>
      </w:r>
    </w:p>
    <w:p w:rsidR="009A44CE" w:rsidRPr="00C423AB" w:rsidRDefault="00F01804" w:rsidP="00C423AB">
      <w:pPr>
        <w:pStyle w:val="Zkladntext"/>
      </w:pPr>
      <w:r w:rsidRPr="00913229">
        <w:rPr>
          <w:b/>
        </w:rPr>
        <w:t>Pro rok 2015</w:t>
      </w:r>
      <w:r w:rsidRPr="008A50CD">
        <w:t xml:space="preserve"> se p</w:t>
      </w:r>
      <w:r w:rsidR="002E7993" w:rsidRPr="008A50CD">
        <w:t xml:space="preserve">říjmy </w:t>
      </w:r>
      <w:r w:rsidR="00184D78">
        <w:t>RR</w:t>
      </w:r>
      <w:r w:rsidRPr="008A50CD">
        <w:t xml:space="preserve"> </w:t>
      </w:r>
      <w:r w:rsidR="009A44CE" w:rsidRPr="008A50CD">
        <w:t>odhaduj</w:t>
      </w:r>
      <w:r w:rsidR="002E7993" w:rsidRPr="008A50CD">
        <w:t>í</w:t>
      </w:r>
      <w:r w:rsidR="009A44CE" w:rsidRPr="008A50CD">
        <w:t xml:space="preserve"> ve výši </w:t>
      </w:r>
      <w:r w:rsidRPr="008A50CD">
        <w:t xml:space="preserve">19,6 </w:t>
      </w:r>
      <w:r w:rsidR="009A44CE" w:rsidRPr="008A50CD">
        <w:t>mld. Kč</w:t>
      </w:r>
      <w:r w:rsidR="002E7993" w:rsidRPr="008A50CD">
        <w:t xml:space="preserve">, </w:t>
      </w:r>
      <w:r w:rsidR="004B751A" w:rsidRPr="008A50CD">
        <w:t>z toho 19,1 mld. Kč připadá na transfery z</w:t>
      </w:r>
      <w:r w:rsidR="006F7F2D">
        <w:t xml:space="preserve">ejména </w:t>
      </w:r>
      <w:r w:rsidR="004B751A" w:rsidRPr="008A50CD">
        <w:t>investiční</w:t>
      </w:r>
      <w:r w:rsidR="00411724" w:rsidRPr="008A50CD">
        <w:t xml:space="preserve"> povahy</w:t>
      </w:r>
      <w:r w:rsidR="006F7F2D">
        <w:t xml:space="preserve"> (94%)</w:t>
      </w:r>
      <w:r w:rsidR="004B751A" w:rsidRPr="008A50CD">
        <w:t xml:space="preserve">. </w:t>
      </w:r>
      <w:r w:rsidR="00CC5E29">
        <w:t xml:space="preserve">Cca 99 % z celkové částky transferů představují prostředky z kapitoly Ministerstva pro místní rozvoj. </w:t>
      </w:r>
      <w:r w:rsidR="004B751A" w:rsidRPr="008A50CD">
        <w:t>Výše v</w:t>
      </w:r>
      <w:r w:rsidR="002E7993" w:rsidRPr="008A50CD">
        <w:t>ýdaj</w:t>
      </w:r>
      <w:r w:rsidR="004B751A" w:rsidRPr="008A50CD">
        <w:t>ů se odhaduje na</w:t>
      </w:r>
      <w:r w:rsidR="002E7993" w:rsidRPr="008A50CD">
        <w:t xml:space="preserve"> </w:t>
      </w:r>
      <w:r w:rsidRPr="008A50CD">
        <w:t>19,4</w:t>
      </w:r>
      <w:r w:rsidR="00931B20">
        <w:t> </w:t>
      </w:r>
      <w:r w:rsidRPr="008A50CD">
        <w:t>m</w:t>
      </w:r>
      <w:r w:rsidR="00E63A86" w:rsidRPr="008A50CD">
        <w:t>ld.</w:t>
      </w:r>
      <w:r w:rsidR="00931B20">
        <w:t> </w:t>
      </w:r>
      <w:r w:rsidR="00E63A86" w:rsidRPr="008A50CD">
        <w:t>Kč</w:t>
      </w:r>
      <w:r w:rsidR="00411724" w:rsidRPr="008A50CD">
        <w:t>. Ty</w:t>
      </w:r>
      <w:r w:rsidR="004B751A" w:rsidRPr="008A50CD">
        <w:t xml:space="preserve"> by měly být z 92 % investičního charakteru</w:t>
      </w:r>
      <w:r w:rsidRPr="008A50CD">
        <w:t>. Ze srovnání  </w:t>
      </w:r>
      <w:r w:rsidR="004B751A" w:rsidRPr="008A50CD">
        <w:t>celkových příjmů a výdajů</w:t>
      </w:r>
      <w:r w:rsidRPr="008A50CD">
        <w:t xml:space="preserve"> plyne</w:t>
      </w:r>
      <w:r w:rsidR="002E7993" w:rsidRPr="008A50CD">
        <w:t xml:space="preserve"> </w:t>
      </w:r>
      <w:r w:rsidRPr="008A50CD">
        <w:t>očekávaný přebytek</w:t>
      </w:r>
      <w:r w:rsidR="002E7993" w:rsidRPr="008A50CD">
        <w:t xml:space="preserve"> v</w:t>
      </w:r>
      <w:r w:rsidRPr="008A50CD">
        <w:t> </w:t>
      </w:r>
      <w:r w:rsidR="002E7993" w:rsidRPr="008A50CD">
        <w:t>objemu</w:t>
      </w:r>
      <w:r w:rsidRPr="008A50CD">
        <w:t xml:space="preserve"> </w:t>
      </w:r>
      <w:r w:rsidR="004B751A" w:rsidRPr="008A50CD">
        <w:t xml:space="preserve">0,2 </w:t>
      </w:r>
      <w:r w:rsidR="002E7993" w:rsidRPr="008A50CD">
        <w:t>mld. Kč</w:t>
      </w:r>
      <w:r w:rsidR="009A44CE" w:rsidRPr="008A50CD">
        <w:t xml:space="preserve">. </w:t>
      </w:r>
      <w:r w:rsidR="007B0A36" w:rsidRPr="00AC6FD3">
        <w:rPr>
          <w:b/>
        </w:rPr>
        <w:t>V roce 2016</w:t>
      </w:r>
      <w:r w:rsidR="007B0A36" w:rsidRPr="006F7F2D">
        <w:t xml:space="preserve"> </w:t>
      </w:r>
      <w:r w:rsidR="00CC5E29" w:rsidRPr="006F7F2D">
        <w:t>již n</w:t>
      </w:r>
      <w:r w:rsidR="006F7F2D" w:rsidRPr="006F7F2D">
        <w:t xml:space="preserve">ejsou kapitole Ministerstva pro místní rozvoj rozpočtovány žádné prostředky. To se projeví jak na straně příjmů a výdajů </w:t>
      </w:r>
      <w:r w:rsidR="00184D78">
        <w:t>RR</w:t>
      </w:r>
      <w:r w:rsidR="001C3B74">
        <w:t>,</w:t>
      </w:r>
      <w:r w:rsidR="006F7F2D" w:rsidRPr="006F7F2D">
        <w:t xml:space="preserve"> </w:t>
      </w:r>
      <w:r w:rsidR="00BE3E85">
        <w:t xml:space="preserve">tak </w:t>
      </w:r>
      <w:r w:rsidR="006F7F2D" w:rsidRPr="006F7F2D">
        <w:t xml:space="preserve">zprostředkovaně </w:t>
      </w:r>
      <w:r w:rsidR="00931B20">
        <w:t>v objemu</w:t>
      </w:r>
      <w:r w:rsidR="006F7F2D" w:rsidRPr="006F7F2D">
        <w:t xml:space="preserve"> transferů a výdajů </w:t>
      </w:r>
      <w:r w:rsidR="000D50C7">
        <w:t>obcí, krajů a DSO.</w:t>
      </w:r>
    </w:p>
    <w:p w:rsidR="00721237" w:rsidRPr="00F20E7C" w:rsidRDefault="00721237" w:rsidP="000D7D88">
      <w:pPr>
        <w:pStyle w:val="Nadpis1"/>
        <w:ind w:left="0" w:firstLine="0"/>
        <w:jc w:val="center"/>
        <w:rPr>
          <w:sz w:val="40"/>
          <w:u w:val="none"/>
        </w:rPr>
      </w:pPr>
      <w:bookmarkStart w:id="10" w:name="_Toc302458271"/>
      <w:bookmarkStart w:id="11" w:name="_Toc302458319"/>
      <w:bookmarkStart w:id="12" w:name="_Toc399489403"/>
      <w:bookmarkStart w:id="13" w:name="_Toc428431395"/>
      <w:r w:rsidRPr="00F20E7C">
        <w:rPr>
          <w:sz w:val="40"/>
          <w:u w:val="none"/>
        </w:rPr>
        <w:lastRenderedPageBreak/>
        <w:t xml:space="preserve">Dotace ze státního rozpočtu pro územní </w:t>
      </w:r>
      <w:r w:rsidR="00AA3FD3" w:rsidRPr="00F20E7C">
        <w:rPr>
          <w:sz w:val="40"/>
          <w:u w:val="none"/>
        </w:rPr>
        <w:t>rozpočty</w:t>
      </w:r>
      <w:bookmarkEnd w:id="10"/>
      <w:bookmarkEnd w:id="11"/>
      <w:bookmarkEnd w:id="12"/>
      <w:bookmarkEnd w:id="13"/>
    </w:p>
    <w:p w:rsidR="001E2B6D" w:rsidRPr="00F20E7C" w:rsidRDefault="00DF766B" w:rsidP="00132833">
      <w:pPr>
        <w:pStyle w:val="Nadpis2"/>
      </w:pPr>
      <w:bookmarkStart w:id="14" w:name="_Toc206898247"/>
      <w:bookmarkStart w:id="15" w:name="_Toc302458272"/>
      <w:bookmarkStart w:id="16" w:name="_Toc302458320"/>
      <w:bookmarkStart w:id="17" w:name="_Toc399489404"/>
      <w:r w:rsidRPr="00F20E7C">
        <w:t xml:space="preserve"> </w:t>
      </w:r>
      <w:bookmarkStart w:id="18" w:name="_Toc428431396"/>
      <w:r w:rsidR="001E2B6D" w:rsidRPr="00F20E7C">
        <w:t>Dotace ze státního rozpočtu pro obce a hl. m. Prahu v roce 201</w:t>
      </w:r>
      <w:bookmarkEnd w:id="14"/>
      <w:bookmarkEnd w:id="15"/>
      <w:bookmarkEnd w:id="16"/>
      <w:bookmarkEnd w:id="17"/>
      <w:r w:rsidR="00686ECA">
        <w:t>6</w:t>
      </w:r>
      <w:bookmarkEnd w:id="18"/>
    </w:p>
    <w:p w:rsidR="00242D66" w:rsidRPr="009B52BD" w:rsidRDefault="00242D66" w:rsidP="00EE0D91">
      <w:pPr>
        <w:rPr>
          <w:b/>
          <w:sz w:val="20"/>
          <w:szCs w:val="20"/>
        </w:rPr>
      </w:pPr>
      <w:r w:rsidRPr="00EE0D91">
        <w:rPr>
          <w:b/>
          <w:sz w:val="20"/>
          <w:szCs w:val="20"/>
        </w:rPr>
        <w:t xml:space="preserve">Tabulka č. </w:t>
      </w:r>
      <w:r w:rsidRPr="00EE0D91">
        <w:rPr>
          <w:b/>
          <w:sz w:val="20"/>
          <w:szCs w:val="20"/>
        </w:rPr>
        <w:fldChar w:fldCharType="begin"/>
      </w:r>
      <w:r w:rsidRPr="00EE0D91">
        <w:rPr>
          <w:b/>
          <w:sz w:val="20"/>
          <w:szCs w:val="20"/>
        </w:rPr>
        <w:instrText xml:space="preserve"> SEQ Tabulka_č. \* ARABIC </w:instrText>
      </w:r>
      <w:r w:rsidRPr="00EE0D91">
        <w:rPr>
          <w:b/>
          <w:sz w:val="20"/>
          <w:szCs w:val="20"/>
        </w:rPr>
        <w:fldChar w:fldCharType="separate"/>
      </w:r>
      <w:r w:rsidR="00BF5CB4">
        <w:rPr>
          <w:b/>
          <w:noProof/>
          <w:sz w:val="20"/>
          <w:szCs w:val="20"/>
        </w:rPr>
        <w:t>4</w:t>
      </w:r>
      <w:r w:rsidRPr="00EE0D91">
        <w:rPr>
          <w:b/>
          <w:sz w:val="20"/>
          <w:szCs w:val="20"/>
        </w:rPr>
        <w:fldChar w:fldCharType="end"/>
      </w:r>
      <w:r w:rsidRPr="009B52BD">
        <w:rPr>
          <w:b/>
          <w:sz w:val="20"/>
          <w:szCs w:val="20"/>
        </w:rPr>
        <w:t>.  Vztah státního rozpočtu k rozpočtům obcí a hl. m. Prahy pro rok 201</w:t>
      </w:r>
      <w:r w:rsidR="002A38B6" w:rsidRPr="009B52BD">
        <w:rPr>
          <w:b/>
          <w:sz w:val="20"/>
          <w:szCs w:val="20"/>
        </w:rPr>
        <w:t xml:space="preserve">6 </w:t>
      </w:r>
      <w:r w:rsidRPr="009B52BD">
        <w:rPr>
          <w:sz w:val="20"/>
          <w:szCs w:val="20"/>
        </w:rPr>
        <w:t xml:space="preserve">(v tis. Kč) </w:t>
      </w:r>
    </w:p>
    <w:p w:rsidR="00242D66" w:rsidRPr="00F20F4D" w:rsidRDefault="00242D66" w:rsidP="00242D66">
      <w:pPr>
        <w:pStyle w:val="Titulek"/>
        <w:rPr>
          <w:bCs w:val="0"/>
          <w:iCs/>
          <w:color w:val="FF0000"/>
          <w:sz w:val="20"/>
          <w:szCs w:val="20"/>
        </w:rPr>
      </w:pPr>
    </w:p>
    <w:p w:rsidR="001E2B6D" w:rsidRDefault="00AD01CE" w:rsidP="009F35C9">
      <w:pPr>
        <w:jc w:val="center"/>
      </w:pPr>
      <w:bookmarkStart w:id="19" w:name="_Toc206898248"/>
      <w:bookmarkStart w:id="20" w:name="_Toc302458273"/>
      <w:r w:rsidRPr="00AD01CE">
        <w:rPr>
          <w:noProof/>
        </w:rPr>
        <w:drawing>
          <wp:inline distT="0" distB="0" distL="0" distR="0" wp14:anchorId="44AD210C" wp14:editId="40D9B508">
            <wp:extent cx="5759450" cy="409591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4095914"/>
                    </a:xfrm>
                    <a:prstGeom prst="rect">
                      <a:avLst/>
                    </a:prstGeom>
                    <a:noFill/>
                    <a:ln>
                      <a:noFill/>
                    </a:ln>
                  </pic:spPr>
                </pic:pic>
              </a:graphicData>
            </a:graphic>
          </wp:inline>
        </w:drawing>
      </w:r>
    </w:p>
    <w:p w:rsidR="001E2B6D" w:rsidRPr="001A281D" w:rsidRDefault="001E2B6D" w:rsidP="001E2B6D"/>
    <w:p w:rsidR="00807AC5" w:rsidRPr="00184D78" w:rsidRDefault="001E2B6D" w:rsidP="00807AC5">
      <w:pPr>
        <w:spacing w:after="120"/>
        <w:jc w:val="both"/>
      </w:pPr>
      <w:r w:rsidRPr="00A65353">
        <w:rPr>
          <w:b/>
        </w:rPr>
        <w:t>Finanční vztahy státního rozpočtu k rozpočtům obcí v úhrnech po jednotlivých krajích</w:t>
      </w:r>
      <w:r w:rsidR="00BE3E85">
        <w:rPr>
          <w:b/>
        </w:rPr>
        <w:t xml:space="preserve"> </w:t>
      </w:r>
      <w:r w:rsidR="00BE3E85" w:rsidRPr="00BE3E85">
        <w:t>(příloha č. 6 k návrhu zákona o státním rozpočtu)</w:t>
      </w:r>
      <w:r w:rsidRPr="00A65353">
        <w:rPr>
          <w:b/>
        </w:rPr>
        <w:t xml:space="preserve"> a finanční vztah státního rozpočtu k rozpočtu hl. m. </w:t>
      </w:r>
      <w:r w:rsidRPr="00184D78">
        <w:rPr>
          <w:b/>
        </w:rPr>
        <w:t>Prahy</w:t>
      </w:r>
      <w:bookmarkEnd w:id="19"/>
      <w:bookmarkEnd w:id="20"/>
      <w:r w:rsidRPr="00184D78">
        <w:rPr>
          <w:b/>
        </w:rPr>
        <w:t xml:space="preserve"> </w:t>
      </w:r>
      <w:r w:rsidRPr="00184D78">
        <w:t>(</w:t>
      </w:r>
      <w:r w:rsidR="00BE3E85">
        <w:t>příloha</w:t>
      </w:r>
      <w:r w:rsidRPr="00184D78">
        <w:t xml:space="preserve"> č. 7 k</w:t>
      </w:r>
      <w:r w:rsidR="00807AC5" w:rsidRPr="00184D78">
        <w:t xml:space="preserve"> návrhu </w:t>
      </w:r>
      <w:r w:rsidRPr="00184D78">
        <w:t>zákon</w:t>
      </w:r>
      <w:r w:rsidR="00807AC5" w:rsidRPr="00184D78">
        <w:t>a</w:t>
      </w:r>
      <w:r w:rsidRPr="00184D78">
        <w:t xml:space="preserve"> o státním rozpočtu)</w:t>
      </w:r>
    </w:p>
    <w:p w:rsidR="001E2B6D" w:rsidRDefault="001E2B6D" w:rsidP="001E2B6D">
      <w:pPr>
        <w:pStyle w:val="Zkladntextodsazen2"/>
        <w:tabs>
          <w:tab w:val="num" w:pos="0"/>
        </w:tabs>
        <w:spacing w:after="0"/>
        <w:rPr>
          <w:sz w:val="6"/>
        </w:rPr>
      </w:pPr>
    </w:p>
    <w:p w:rsidR="001E2B6D" w:rsidRPr="00AD09C6" w:rsidRDefault="001E2B6D" w:rsidP="00132833">
      <w:pPr>
        <w:keepNext/>
        <w:numPr>
          <w:ilvl w:val="0"/>
          <w:numId w:val="3"/>
        </w:numPr>
        <w:tabs>
          <w:tab w:val="right" w:pos="9072"/>
        </w:tabs>
        <w:spacing w:before="120" w:line="360" w:lineRule="auto"/>
        <w:ind w:left="714" w:hanging="357"/>
        <w:rPr>
          <w:b/>
          <w:bCs/>
          <w:iCs/>
        </w:rPr>
      </w:pPr>
      <w:r w:rsidRPr="00094BB0">
        <w:rPr>
          <w:b/>
          <w:bCs/>
          <w:iCs/>
        </w:rPr>
        <w:t xml:space="preserve">Dotace na vybraná zdravotnická zařízení </w:t>
      </w:r>
      <w:r w:rsidRPr="00094BB0">
        <w:rPr>
          <w:b/>
          <w:bCs/>
          <w:iCs/>
        </w:rPr>
        <w:tab/>
      </w:r>
      <w:r w:rsidR="000671E2">
        <w:rPr>
          <w:b/>
          <w:bCs/>
          <w:iCs/>
        </w:rPr>
        <w:t>21 685</w:t>
      </w:r>
      <w:r w:rsidRPr="00AD09C6">
        <w:rPr>
          <w:b/>
          <w:bCs/>
          <w:iCs/>
        </w:rPr>
        <w:t xml:space="preserve"> tis. Kč</w:t>
      </w:r>
    </w:p>
    <w:p w:rsidR="001E2B6D" w:rsidRDefault="001E2B6D" w:rsidP="00C50F7C">
      <w:pPr>
        <w:pStyle w:val="Zkladntextodsazen2"/>
        <w:tabs>
          <w:tab w:val="num" w:pos="0"/>
        </w:tabs>
        <w:spacing w:after="0" w:line="360" w:lineRule="auto"/>
        <w:ind w:left="284"/>
        <w:jc w:val="both"/>
      </w:pPr>
      <w:r w:rsidRPr="00EC5856">
        <w:t>Dotace je určena pro dětské domovy do tří let věku</w:t>
      </w:r>
      <w:r>
        <w:t xml:space="preserve"> zřizované obcemi podle zákona č. 372/2011 Sb.</w:t>
      </w:r>
      <w:r w:rsidRPr="00EC5856">
        <w:t xml:space="preserve">, </w:t>
      </w:r>
      <w:r>
        <w:t>o zdravotních službách,</w:t>
      </w:r>
      <w:r w:rsidRPr="00EC5856">
        <w:t xml:space="preserve"> které nejsou příjmově napojeny na soustavu zdravotních pojišťoven</w:t>
      </w:r>
      <w:r>
        <w:t>.</w:t>
      </w:r>
      <w:r w:rsidR="00807AC5">
        <w:t xml:space="preserve"> </w:t>
      </w:r>
      <w:r w:rsidRPr="00EC5856">
        <w:t xml:space="preserve">Dotace na jedno místo je stanovena na </w:t>
      </w:r>
      <w:r w:rsidRPr="00C87903">
        <w:t>93 068 Kč.</w:t>
      </w:r>
      <w:r w:rsidR="00C50F7C" w:rsidRPr="00C87903">
        <w:t xml:space="preserve"> </w:t>
      </w:r>
      <w:r w:rsidRPr="00C87903">
        <w:t>Dotace nebyla pro rok 201</w:t>
      </w:r>
      <w:r w:rsidR="00A7393B" w:rsidRPr="00C87903">
        <w:t>6</w:t>
      </w:r>
      <w:r w:rsidRPr="00C87903">
        <w:t xml:space="preserve"> valorizována</w:t>
      </w:r>
      <w:r w:rsidR="001C3B74">
        <w:t>. D</w:t>
      </w:r>
      <w:r w:rsidR="00C87903" w:rsidRPr="00C87903">
        <w:t>o navrhovaného objemu byla promítnuta změna kapacit ve financovaných  zařízeních.</w:t>
      </w:r>
      <w:r w:rsidR="00943EEE">
        <w:t xml:space="preserve"> V současné době je příjemcem této dotace město Plzeň, Liberec, Brno a Ostrava.</w:t>
      </w:r>
    </w:p>
    <w:p w:rsidR="00943EEE" w:rsidRPr="00C87903" w:rsidRDefault="00943EEE" w:rsidP="00C50F7C">
      <w:pPr>
        <w:pStyle w:val="Zkladntextodsazen2"/>
        <w:tabs>
          <w:tab w:val="num" w:pos="0"/>
        </w:tabs>
        <w:spacing w:after="0" w:line="360" w:lineRule="auto"/>
        <w:ind w:left="284"/>
        <w:jc w:val="both"/>
      </w:pPr>
    </w:p>
    <w:p w:rsidR="001E2B6D" w:rsidRPr="0088587C" w:rsidRDefault="001E2B6D" w:rsidP="00132833">
      <w:pPr>
        <w:keepNext/>
        <w:numPr>
          <w:ilvl w:val="0"/>
          <w:numId w:val="3"/>
        </w:numPr>
        <w:tabs>
          <w:tab w:val="right" w:pos="9072"/>
        </w:tabs>
        <w:spacing w:before="120" w:line="360" w:lineRule="auto"/>
        <w:ind w:left="714" w:hanging="357"/>
        <w:rPr>
          <w:b/>
          <w:bCs/>
          <w:iCs/>
        </w:rPr>
      </w:pPr>
      <w:r w:rsidRPr="0088587C">
        <w:rPr>
          <w:b/>
          <w:bCs/>
          <w:iCs/>
        </w:rPr>
        <w:lastRenderedPageBreak/>
        <w:t>Příspěvek na výkon státní správy celkem</w:t>
      </w:r>
      <w:r w:rsidRPr="0088587C">
        <w:rPr>
          <w:b/>
          <w:bCs/>
          <w:iCs/>
        </w:rPr>
        <w:tab/>
        <w:t>8</w:t>
      </w:r>
      <w:r w:rsidR="00B47013" w:rsidRPr="0088587C">
        <w:rPr>
          <w:b/>
          <w:bCs/>
          <w:iCs/>
        </w:rPr>
        <w:t> 329 377</w:t>
      </w:r>
      <w:r w:rsidRPr="0088587C">
        <w:t xml:space="preserve"> </w:t>
      </w:r>
      <w:r w:rsidRPr="0088587C">
        <w:rPr>
          <w:b/>
          <w:bCs/>
          <w:iCs/>
        </w:rPr>
        <w:t>tis. Kč</w:t>
      </w:r>
    </w:p>
    <w:p w:rsidR="001E2B6D" w:rsidRPr="0088587C" w:rsidRDefault="001E2B6D" w:rsidP="001E2B6D">
      <w:pPr>
        <w:tabs>
          <w:tab w:val="num" w:pos="0"/>
          <w:tab w:val="left" w:pos="851"/>
          <w:tab w:val="left" w:pos="1843"/>
          <w:tab w:val="right" w:pos="9072"/>
        </w:tabs>
        <w:spacing w:before="120" w:line="360" w:lineRule="auto"/>
        <w:rPr>
          <w:b/>
          <w:bCs/>
          <w:iCs/>
        </w:rPr>
      </w:pPr>
      <w:r w:rsidRPr="0088587C">
        <w:rPr>
          <w:b/>
          <w:bCs/>
          <w:iCs/>
        </w:rPr>
        <w:tab/>
        <w:t xml:space="preserve">z toho: </w:t>
      </w:r>
      <w:r w:rsidRPr="0088587C">
        <w:rPr>
          <w:b/>
          <w:bCs/>
          <w:iCs/>
        </w:rPr>
        <w:tab/>
        <w:t>pro obce v jednotlivých krajích</w:t>
      </w:r>
      <w:r w:rsidRPr="0088587C">
        <w:rPr>
          <w:b/>
          <w:bCs/>
          <w:iCs/>
        </w:rPr>
        <w:tab/>
        <w:t>7 </w:t>
      </w:r>
      <w:r w:rsidR="00B47013" w:rsidRPr="0088587C">
        <w:rPr>
          <w:b/>
          <w:bCs/>
          <w:iCs/>
        </w:rPr>
        <w:t>495</w:t>
      </w:r>
      <w:r w:rsidRPr="0088587C">
        <w:rPr>
          <w:b/>
          <w:bCs/>
          <w:iCs/>
        </w:rPr>
        <w:t xml:space="preserve"> </w:t>
      </w:r>
      <w:r w:rsidR="00B47013" w:rsidRPr="0088587C">
        <w:rPr>
          <w:b/>
          <w:bCs/>
          <w:iCs/>
        </w:rPr>
        <w:t>652</w:t>
      </w:r>
      <w:r w:rsidRPr="0088587C">
        <w:rPr>
          <w:b/>
          <w:bCs/>
          <w:iCs/>
        </w:rPr>
        <w:t xml:space="preserve"> tis. Kč</w:t>
      </w:r>
    </w:p>
    <w:p w:rsidR="001E2B6D" w:rsidRPr="0088587C" w:rsidRDefault="001E2B6D" w:rsidP="001E2B6D">
      <w:pPr>
        <w:tabs>
          <w:tab w:val="num" w:pos="0"/>
          <w:tab w:val="left" w:pos="851"/>
          <w:tab w:val="left" w:pos="1843"/>
          <w:tab w:val="right" w:pos="9072"/>
        </w:tabs>
        <w:spacing w:before="120" w:line="360" w:lineRule="auto"/>
        <w:rPr>
          <w:b/>
          <w:bCs/>
          <w:iCs/>
        </w:rPr>
      </w:pPr>
      <w:r w:rsidRPr="0088587C">
        <w:rPr>
          <w:b/>
          <w:bCs/>
          <w:iCs/>
        </w:rPr>
        <w:tab/>
      </w:r>
      <w:r w:rsidRPr="0088587C">
        <w:rPr>
          <w:b/>
          <w:bCs/>
          <w:iCs/>
        </w:rPr>
        <w:tab/>
        <w:t>pro hl. m. Prahu</w:t>
      </w:r>
      <w:r w:rsidRPr="0088587C">
        <w:rPr>
          <w:b/>
          <w:bCs/>
          <w:iCs/>
        </w:rPr>
        <w:tab/>
      </w:r>
      <w:r w:rsidR="00B47013" w:rsidRPr="0088587C">
        <w:rPr>
          <w:b/>
          <w:bCs/>
          <w:iCs/>
        </w:rPr>
        <w:t>833</w:t>
      </w:r>
      <w:r w:rsidRPr="0088587C">
        <w:rPr>
          <w:b/>
          <w:bCs/>
          <w:iCs/>
        </w:rPr>
        <w:t xml:space="preserve"> </w:t>
      </w:r>
      <w:r w:rsidR="00B47013" w:rsidRPr="0088587C">
        <w:rPr>
          <w:b/>
          <w:bCs/>
          <w:iCs/>
        </w:rPr>
        <w:t>725</w:t>
      </w:r>
      <w:r w:rsidRPr="0088587C">
        <w:rPr>
          <w:b/>
          <w:bCs/>
          <w:iCs/>
        </w:rPr>
        <w:t> tis. Kč</w:t>
      </w:r>
    </w:p>
    <w:p w:rsidR="00BB2845" w:rsidRPr="009D7120" w:rsidRDefault="00BB2845" w:rsidP="00BB2845">
      <w:pPr>
        <w:autoSpaceDE w:val="0"/>
        <w:autoSpaceDN w:val="0"/>
        <w:adjustRightInd w:val="0"/>
        <w:spacing w:after="120" w:line="360" w:lineRule="auto"/>
        <w:jc w:val="both"/>
        <w:rPr>
          <w:rFonts w:eastAsia="SymbolMT"/>
          <w:color w:val="000000" w:themeColor="text1"/>
        </w:rPr>
      </w:pPr>
      <w:bookmarkStart w:id="21" w:name="_Toc206898249"/>
      <w:bookmarkStart w:id="22" w:name="_Toc302458274"/>
      <w:r w:rsidRPr="009D7120">
        <w:rPr>
          <w:rFonts w:eastAsia="SymbolMT"/>
          <w:color w:val="000000" w:themeColor="text1"/>
        </w:rPr>
        <w:t xml:space="preserve">Příspěvek je určen na částečnou úhradu výdajů spojených s výkonem státní správy dle § 62 zákona č. 128/2000 Sb., o obcích (obecní zřízení), ve znění pozdějších předpisů. Pro rok 2016 zůstává zachována pro všechny kategorie obcí kumulovaná konstrukce příspěvku, tj. příspěvek představuje součet dílčích částek vypočtených pro jednotlivé správní působnosti. Pro rok 2016 byl celkový objem příspěvku valorizován o 1 %. Konkrétní příspěvek pro jednotlivé obce je výsledkem výpočtu příspěvku podle matematických vzorců s užitím přepočtových koeficientů. Příspěvek pro obce je součtem příspěvků všech skutečně vykonávaných působností dané obce (základní působnost, působnost matričního úřadu, působnost stavebního úřadu, působnost pověřeného obecního úřadu a působnost obce s rozšířenou působností). Do výše příspěvku se promítá celkový počet obyvatel obce, počet obyvatel správního obvodu a u obcí s rozšířenou působností také poměr správního obvodu ke správnímu centru. V celkovém objemu příspěvku byla taktéž zohledněna změna počtu obyvatel jednotlivých správních obvodů kategorií obcí dle bilance obyvatel ČR k 1. 1. 2015 vydané ČSÚ.  </w:t>
      </w:r>
    </w:p>
    <w:p w:rsidR="00BB2845" w:rsidRPr="009D7120" w:rsidRDefault="00BB2845" w:rsidP="00BB2845">
      <w:pPr>
        <w:autoSpaceDE w:val="0"/>
        <w:autoSpaceDN w:val="0"/>
        <w:adjustRightInd w:val="0"/>
        <w:spacing w:after="120" w:line="360" w:lineRule="auto"/>
        <w:jc w:val="both"/>
        <w:rPr>
          <w:color w:val="000000" w:themeColor="text1"/>
        </w:rPr>
      </w:pPr>
      <w:r w:rsidRPr="009D7120">
        <w:rPr>
          <w:color w:val="000000" w:themeColor="text1"/>
        </w:rPr>
        <w:t>V příspěvku je zapracován finanční dopad zákona č.  41/2015 Sb., kterým se mění zákon č. 334/1992 Sb., o ochraně zemědělského půdního fondu, ve znění pozdějších předpisů, a zákon č. 388/1991 Sb., o Státním fondu životního prostředí České republiky, ve znění pozdějších předpisů. Tato novela přináší dopady v souvislosti se změnami kompetencí mezi obcemi s rozšířenou působností a pověřenými obecními úřady. Nově dochází k přesunu kompetencí na obce s rozšířenou působností.</w:t>
      </w:r>
    </w:p>
    <w:p w:rsidR="00BB2845" w:rsidRPr="009D7120" w:rsidRDefault="00BB2845" w:rsidP="00BB2845">
      <w:pPr>
        <w:autoSpaceDE w:val="0"/>
        <w:autoSpaceDN w:val="0"/>
        <w:adjustRightInd w:val="0"/>
        <w:spacing w:after="120" w:line="360" w:lineRule="auto"/>
        <w:jc w:val="both"/>
        <w:rPr>
          <w:color w:val="000000" w:themeColor="text1"/>
        </w:rPr>
      </w:pPr>
      <w:r w:rsidRPr="009D7120">
        <w:rPr>
          <w:color w:val="000000" w:themeColor="text1"/>
        </w:rPr>
        <w:t xml:space="preserve">V příspěvku je dále zapracován finanční dopad zákona č. 15/2015 Sb., o zrušení vojenského újezdu Brdy, o stanovení hranic vojenských újezdů, o změně hranic krajů a o změně souvisejících zákonů (zákon o hranicích vojenských újezdů), kdy přenesenou působnost pro nově vzniklou obec </w:t>
      </w:r>
      <w:r w:rsidR="00E55011">
        <w:rPr>
          <w:color w:val="000000" w:themeColor="text1"/>
        </w:rPr>
        <w:t>bude vykonávat</w:t>
      </w:r>
      <w:r w:rsidRPr="009D7120">
        <w:rPr>
          <w:color w:val="000000" w:themeColor="text1"/>
        </w:rPr>
        <w:t xml:space="preserve"> do 30. 6. 2016 pověřený obecní úřad, do jehož správního obvodu nově vzniklá obec patří</w:t>
      </w:r>
      <w:r w:rsidR="00E55011">
        <w:rPr>
          <w:color w:val="000000" w:themeColor="text1"/>
        </w:rPr>
        <w:t>, t</w:t>
      </w:r>
      <w:r w:rsidRPr="009D7120">
        <w:rPr>
          <w:color w:val="000000" w:themeColor="text1"/>
        </w:rPr>
        <w:t xml:space="preserve">j. do správního obvodu Český Krumlov, Hranice, Karlovy Vary, Olomouc, Ostrov a Šternberk. Nově vzniklé obce </w:t>
      </w:r>
      <w:proofErr w:type="spellStart"/>
      <w:r w:rsidRPr="009D7120">
        <w:rPr>
          <w:color w:val="000000" w:themeColor="text1"/>
        </w:rPr>
        <w:t>Bražec</w:t>
      </w:r>
      <w:proofErr w:type="spellEnd"/>
      <w:r w:rsidRPr="009D7120">
        <w:rPr>
          <w:color w:val="000000" w:themeColor="text1"/>
        </w:rPr>
        <w:t xml:space="preserve">, Doupovské Hradiště, Kozlov, Luboměř pod Strážnou, Město Libavá a Polná na Šumavě </w:t>
      </w:r>
      <w:r w:rsidR="00E55011">
        <w:rPr>
          <w:color w:val="000000" w:themeColor="text1"/>
        </w:rPr>
        <w:t xml:space="preserve">budou </w:t>
      </w:r>
      <w:r w:rsidRPr="009D7120">
        <w:rPr>
          <w:color w:val="000000" w:themeColor="text1"/>
        </w:rPr>
        <w:t>vyko</w:t>
      </w:r>
      <w:r w:rsidR="00E55011">
        <w:rPr>
          <w:color w:val="000000" w:themeColor="text1"/>
        </w:rPr>
        <w:t>návat</w:t>
      </w:r>
      <w:r w:rsidRPr="009D7120">
        <w:rPr>
          <w:color w:val="000000" w:themeColor="text1"/>
        </w:rPr>
        <w:t xml:space="preserve"> přenesenou působnost od 1. 7. 2016, přičemž pro období od 1. 7. do 31. 12. 2016 jim </w:t>
      </w:r>
      <w:r w:rsidR="00E55011">
        <w:rPr>
          <w:color w:val="000000" w:themeColor="text1"/>
        </w:rPr>
        <w:t xml:space="preserve">bude </w:t>
      </w:r>
      <w:r w:rsidRPr="009D7120">
        <w:rPr>
          <w:color w:val="000000" w:themeColor="text1"/>
        </w:rPr>
        <w:t>nálež</w:t>
      </w:r>
      <w:r w:rsidR="00E55011">
        <w:rPr>
          <w:color w:val="000000" w:themeColor="text1"/>
        </w:rPr>
        <w:t>et</w:t>
      </w:r>
      <w:r w:rsidRPr="009D7120">
        <w:rPr>
          <w:color w:val="000000" w:themeColor="text1"/>
        </w:rPr>
        <w:t xml:space="preserve"> příspěvek na výkon </w:t>
      </w:r>
      <w:r w:rsidR="00851366">
        <w:rPr>
          <w:color w:val="000000" w:themeColor="text1"/>
        </w:rPr>
        <w:t>státní správy</w:t>
      </w:r>
      <w:r w:rsidRPr="009D7120">
        <w:rPr>
          <w:color w:val="000000" w:themeColor="text1"/>
        </w:rPr>
        <w:t xml:space="preserve"> ve výši 50 % jeho celkové roční výše</w:t>
      </w:r>
      <w:r w:rsidRPr="00BB2845">
        <w:rPr>
          <w:color w:val="000000" w:themeColor="text1"/>
        </w:rPr>
        <w:t xml:space="preserve">. Zbývajících 50 % </w:t>
      </w:r>
      <w:r w:rsidRPr="00BB2845">
        <w:rPr>
          <w:color w:val="000000" w:themeColor="text1"/>
        </w:rPr>
        <w:lastRenderedPageBreak/>
        <w:t xml:space="preserve">jeho celkové roční výše přísluší pověřeným obecním úřadům, které přenesenou působnost pro tyto obce </w:t>
      </w:r>
      <w:r w:rsidR="00560668">
        <w:rPr>
          <w:color w:val="000000" w:themeColor="text1"/>
        </w:rPr>
        <w:t xml:space="preserve">budou </w:t>
      </w:r>
      <w:r w:rsidRPr="00BB2845">
        <w:rPr>
          <w:color w:val="000000" w:themeColor="text1"/>
        </w:rPr>
        <w:t>vykonáv</w:t>
      </w:r>
      <w:r w:rsidR="00560668">
        <w:rPr>
          <w:color w:val="000000" w:themeColor="text1"/>
        </w:rPr>
        <w:t>at</w:t>
      </w:r>
      <w:r w:rsidRPr="00BB2845">
        <w:rPr>
          <w:color w:val="000000" w:themeColor="text1"/>
        </w:rPr>
        <w:t xml:space="preserve"> v</w:t>
      </w:r>
      <w:r w:rsidR="00CB09E7">
        <w:rPr>
          <w:color w:val="000000" w:themeColor="text1"/>
        </w:rPr>
        <w:t> </w:t>
      </w:r>
      <w:r w:rsidRPr="00BB2845">
        <w:rPr>
          <w:color w:val="000000" w:themeColor="text1"/>
        </w:rPr>
        <w:t>období od 1. 1. 2016 do 30. 6. 2016.</w:t>
      </w:r>
    </w:p>
    <w:p w:rsidR="00BB2845" w:rsidRPr="009D7120" w:rsidRDefault="00BB2845" w:rsidP="00BB2845">
      <w:pPr>
        <w:autoSpaceDE w:val="0"/>
        <w:autoSpaceDN w:val="0"/>
        <w:adjustRightInd w:val="0"/>
        <w:spacing w:after="120" w:line="360" w:lineRule="auto"/>
        <w:jc w:val="both"/>
        <w:rPr>
          <w:color w:val="000000" w:themeColor="text1"/>
        </w:rPr>
      </w:pPr>
      <w:r w:rsidRPr="009D7120">
        <w:rPr>
          <w:color w:val="000000" w:themeColor="text1"/>
        </w:rPr>
        <w:t>V příspěvku je taktéž zapracováno</w:t>
      </w:r>
      <w:r w:rsidRPr="009D7120">
        <w:rPr>
          <w:color w:val="000000" w:themeColor="text1"/>
          <w:vertAlign w:val="superscript"/>
        </w:rPr>
        <w:t xml:space="preserve"> </w:t>
      </w:r>
      <w:r w:rsidRPr="009D7120">
        <w:rPr>
          <w:color w:val="000000" w:themeColor="text1"/>
        </w:rPr>
        <w:t>usnesení Rady Jihomoravského kraje č. 5227/14/R 76 ze dne 24. 10. 2014, kterým schválila nařízení Jihomoravského kraje o určení obecního úřadu Mokrá - Horákov obecným stavebním úřadem. Jihomoravský kraj tak v souladu s</w:t>
      </w:r>
      <w:r w:rsidR="00CB09E7">
        <w:rPr>
          <w:color w:val="000000" w:themeColor="text1"/>
        </w:rPr>
        <w:t> </w:t>
      </w:r>
      <w:r w:rsidRPr="009D7120">
        <w:rPr>
          <w:color w:val="000000" w:themeColor="text1"/>
        </w:rPr>
        <w:t>§</w:t>
      </w:r>
      <w:r w:rsidR="00CB09E7">
        <w:rPr>
          <w:color w:val="000000" w:themeColor="text1"/>
        </w:rPr>
        <w:t> </w:t>
      </w:r>
      <w:r w:rsidRPr="009D7120">
        <w:rPr>
          <w:color w:val="000000" w:themeColor="text1"/>
        </w:rPr>
        <w:t>13</w:t>
      </w:r>
      <w:r w:rsidR="00CB09E7">
        <w:rPr>
          <w:color w:val="000000" w:themeColor="text1"/>
        </w:rPr>
        <w:t> </w:t>
      </w:r>
      <w:r w:rsidRPr="009D7120">
        <w:rPr>
          <w:color w:val="000000" w:themeColor="text1"/>
        </w:rPr>
        <w:t>odst.</w:t>
      </w:r>
      <w:r w:rsidR="00CB09E7">
        <w:rPr>
          <w:color w:val="000000" w:themeColor="text1"/>
        </w:rPr>
        <w:t> </w:t>
      </w:r>
      <w:r w:rsidRPr="009D7120">
        <w:rPr>
          <w:color w:val="000000" w:themeColor="text1"/>
        </w:rPr>
        <w:t>3</w:t>
      </w:r>
      <w:r w:rsidR="00CB09E7">
        <w:rPr>
          <w:color w:val="000000" w:themeColor="text1"/>
        </w:rPr>
        <w:t> </w:t>
      </w:r>
      <w:r w:rsidRPr="009D7120">
        <w:rPr>
          <w:color w:val="000000" w:themeColor="text1"/>
        </w:rPr>
        <w:t xml:space="preserve">zákona č. 183/2006 Sb., o územním plánování a stavebním řádu, ve znění pozdějších předpisů, pověřuje obecní úřad Mokrá - Horákov obecným stavebním úřadem, přičemž uvedené nařízení nabylo účinnosti </w:t>
      </w:r>
      <w:r w:rsidR="00BD4150">
        <w:rPr>
          <w:color w:val="000000" w:themeColor="text1"/>
        </w:rPr>
        <w:t xml:space="preserve">od </w:t>
      </w:r>
      <w:r w:rsidRPr="009D7120">
        <w:rPr>
          <w:color w:val="000000" w:themeColor="text1"/>
        </w:rPr>
        <w:t>dne 1. 1. 2015. Stavební úřad Mokrá - Horákov  bude vykonávat působnost stavebního úřadu pro obce Mokrá - Horákov, Sivice a Velatice.</w:t>
      </w:r>
    </w:p>
    <w:p w:rsidR="00E627D7" w:rsidRPr="00F75B98" w:rsidRDefault="00E627D7" w:rsidP="00E627D7">
      <w:pPr>
        <w:autoSpaceDE w:val="0"/>
        <w:autoSpaceDN w:val="0"/>
        <w:adjustRightInd w:val="0"/>
        <w:spacing w:after="120" w:line="360" w:lineRule="auto"/>
        <w:jc w:val="both"/>
        <w:rPr>
          <w:rFonts w:eastAsia="SymbolMT"/>
        </w:rPr>
      </w:pPr>
      <w:r w:rsidRPr="00F75B98">
        <w:rPr>
          <w:rFonts w:eastAsia="SymbolMT"/>
          <w:b/>
          <w:bCs/>
        </w:rPr>
        <w:t xml:space="preserve">Postavení hl. m. Prahy </w:t>
      </w:r>
      <w:r w:rsidRPr="00F75B98">
        <w:rPr>
          <w:rFonts w:eastAsia="SymbolMT"/>
        </w:rPr>
        <w:t>při výkonu státní správy je specifické, neboť hl. m. Praha vykonává jak státní správu, která podle zákona přísluší obcím, tak i státní správu, jejíž výkon zajišťují kraje. Na úhradu výkonu státní správy je hl. m. Praze poskytován příspěvek dle §</w:t>
      </w:r>
      <w:r w:rsidR="00F24B5C">
        <w:rPr>
          <w:rFonts w:eastAsia="SymbolMT"/>
        </w:rPr>
        <w:t> </w:t>
      </w:r>
      <w:r w:rsidRPr="00F75B98">
        <w:rPr>
          <w:rFonts w:eastAsia="SymbolMT"/>
        </w:rPr>
        <w:t>31</w:t>
      </w:r>
      <w:r w:rsidR="00F24B5C">
        <w:rPr>
          <w:rFonts w:eastAsia="SymbolMT"/>
        </w:rPr>
        <w:t> </w:t>
      </w:r>
      <w:r w:rsidRPr="00F75B98">
        <w:rPr>
          <w:rFonts w:eastAsia="SymbolMT"/>
        </w:rPr>
        <w:t>odst.</w:t>
      </w:r>
      <w:r w:rsidR="00F24B5C">
        <w:rPr>
          <w:rFonts w:eastAsia="SymbolMT"/>
        </w:rPr>
        <w:t> </w:t>
      </w:r>
      <w:r w:rsidRPr="00F75B98">
        <w:rPr>
          <w:rFonts w:eastAsia="SymbolMT"/>
        </w:rPr>
        <w:t>4</w:t>
      </w:r>
      <w:r w:rsidR="00F24B5C">
        <w:rPr>
          <w:rFonts w:eastAsia="SymbolMT"/>
        </w:rPr>
        <w:t> </w:t>
      </w:r>
      <w:r w:rsidRPr="00F75B98">
        <w:rPr>
          <w:rFonts w:eastAsia="SymbolMT"/>
        </w:rPr>
        <w:t xml:space="preserve">zákona č. 131/2000 Sb., o hlavním městě Praze, ve znění pozdějších předpisů. </w:t>
      </w:r>
    </w:p>
    <w:p w:rsidR="00E627D7" w:rsidRPr="00F75B98" w:rsidRDefault="00E627D7" w:rsidP="00E627D7">
      <w:pPr>
        <w:autoSpaceDE w:val="0"/>
        <w:autoSpaceDN w:val="0"/>
        <w:adjustRightInd w:val="0"/>
        <w:spacing w:after="120" w:line="360" w:lineRule="auto"/>
        <w:jc w:val="both"/>
        <w:rPr>
          <w:rFonts w:eastAsia="SymbolMT"/>
        </w:rPr>
      </w:pPr>
      <w:r w:rsidRPr="00F75B98">
        <w:rPr>
          <w:rFonts w:eastAsia="SymbolMT"/>
        </w:rPr>
        <w:t>Příspěvek na výkon státní správy pro hl. m. Prahu je stanoven jako součet příspěvku vypočteného použitím pevné sazby na 100 obyvatel hl. m. Prahy (působnost obce) a příspěvku odvozeného od počtu funkčních míst převedených v průběhu reformy veřejné správy a dále od rozsahu dalších delegovaných agend státní správy (působnost kraje).</w:t>
      </w:r>
    </w:p>
    <w:p w:rsidR="00E627D7" w:rsidRPr="009D31AA" w:rsidRDefault="00E627D7" w:rsidP="009D31AA">
      <w:pPr>
        <w:autoSpaceDE w:val="0"/>
        <w:autoSpaceDN w:val="0"/>
        <w:adjustRightInd w:val="0"/>
        <w:spacing w:after="120" w:line="360" w:lineRule="auto"/>
        <w:jc w:val="both"/>
        <w:rPr>
          <w:rFonts w:eastAsia="SymbolMT"/>
        </w:rPr>
      </w:pPr>
      <w:r w:rsidRPr="00F75B98">
        <w:rPr>
          <w:rFonts w:eastAsia="SymbolMT"/>
        </w:rPr>
        <w:t>Pro rok 2016 objem příspěvku na výkon státní správy pro hl. m. Prahu zohledňuje meziroční nárůst počtu obyvatel dle bilance obyvat</w:t>
      </w:r>
      <w:r w:rsidR="00BD4150">
        <w:rPr>
          <w:rFonts w:eastAsia="SymbolMT"/>
        </w:rPr>
        <w:t>el ČR k 1. 1. 2015 a</w:t>
      </w:r>
      <w:r w:rsidRPr="00F75B98">
        <w:rPr>
          <w:rFonts w:eastAsia="SymbolMT"/>
        </w:rPr>
        <w:t xml:space="preserve"> valorizac</w:t>
      </w:r>
      <w:r w:rsidR="00317CEF">
        <w:rPr>
          <w:rFonts w:eastAsia="SymbolMT"/>
        </w:rPr>
        <w:t>i</w:t>
      </w:r>
      <w:r w:rsidRPr="00F75B98">
        <w:rPr>
          <w:rFonts w:eastAsia="SymbolMT"/>
        </w:rPr>
        <w:t xml:space="preserve"> příspěvku na </w:t>
      </w:r>
      <w:r w:rsidR="00BD4150">
        <w:rPr>
          <w:rFonts w:eastAsia="SymbolMT"/>
        </w:rPr>
        <w:t>přenesenou působnost z roku</w:t>
      </w:r>
      <w:r w:rsidRPr="00F75B98">
        <w:rPr>
          <w:rFonts w:eastAsia="SymbolMT"/>
        </w:rPr>
        <w:t xml:space="preserve"> o 1 %. Pevná sazba pro rok 2016 je oproti roku 2015 navýšena </w:t>
      </w:r>
      <w:r w:rsidR="00BD4150">
        <w:rPr>
          <w:rFonts w:eastAsia="SymbolMT"/>
        </w:rPr>
        <w:t xml:space="preserve">z 61 063 Kč na </w:t>
      </w:r>
      <w:r w:rsidRPr="00F75B98">
        <w:rPr>
          <w:rFonts w:eastAsia="SymbolMT"/>
        </w:rPr>
        <w:t>částku 61 674 Kč na 100 obyvatel.</w:t>
      </w:r>
      <w:r>
        <w:rPr>
          <w:rFonts w:eastAsia="SymbolMT"/>
        </w:rPr>
        <w:t xml:space="preserve"> </w:t>
      </w:r>
      <w:r w:rsidRPr="00F24B5C">
        <w:t>U působnosti kraje je v objemu zapracováno zvýšení příspěvku na výkon státní správy v souvislosti s novelizací některých zákonů v oblasti životního prostředí</w:t>
      </w:r>
      <w:r w:rsidRPr="00F24B5C">
        <w:rPr>
          <w:rStyle w:val="Znakapoznpodarou"/>
        </w:rPr>
        <w:footnoteReference w:id="9"/>
      </w:r>
      <w:r w:rsidRPr="00F24B5C">
        <w:t xml:space="preserve"> (1</w:t>
      </w:r>
      <w:r w:rsidR="006E4BFD">
        <w:t>,</w:t>
      </w:r>
      <w:r w:rsidRPr="00F24B5C">
        <w:t>4</w:t>
      </w:r>
      <w:r w:rsidR="006E4BFD">
        <w:t>35</w:t>
      </w:r>
      <w:r w:rsidRPr="00F24B5C">
        <w:t xml:space="preserve"> mil. Kč). </w:t>
      </w:r>
    </w:p>
    <w:p w:rsidR="00715ADA" w:rsidRDefault="00715ADA" w:rsidP="00A65353">
      <w:pPr>
        <w:spacing w:after="120"/>
        <w:jc w:val="both"/>
        <w:rPr>
          <w:b/>
        </w:rPr>
      </w:pPr>
    </w:p>
    <w:p w:rsidR="001E2B6D" w:rsidRPr="00A65353" w:rsidRDefault="001E2B6D" w:rsidP="00A65353">
      <w:pPr>
        <w:spacing w:after="120"/>
        <w:jc w:val="both"/>
        <w:rPr>
          <w:b/>
        </w:rPr>
      </w:pPr>
      <w:r w:rsidRPr="00A65353">
        <w:rPr>
          <w:b/>
        </w:rPr>
        <w:t>Ostatní dotace z kapitoly Všeobecná pokladní správa</w:t>
      </w:r>
      <w:bookmarkEnd w:id="21"/>
      <w:bookmarkEnd w:id="22"/>
    </w:p>
    <w:p w:rsidR="001E2B6D" w:rsidRPr="001E2B6D" w:rsidRDefault="001E2B6D" w:rsidP="001E2B6D">
      <w:pPr>
        <w:spacing w:after="120" w:line="360" w:lineRule="auto"/>
        <w:jc w:val="both"/>
        <w:rPr>
          <w:iCs/>
        </w:rPr>
      </w:pPr>
      <w:r w:rsidRPr="001E2B6D">
        <w:rPr>
          <w:iCs/>
        </w:rPr>
        <w:t xml:space="preserve">Mimo finanční vztahy jsou v kapitole Všeobecná pokladní správa rozpočtovány další dotační tituly pro obce a hl. m. Prahu v celkovém objemu </w:t>
      </w:r>
      <w:r w:rsidR="003F4493">
        <w:rPr>
          <w:iCs/>
        </w:rPr>
        <w:t>1 154 848 tis. Kč</w:t>
      </w:r>
      <w:r w:rsidR="001472E0">
        <w:rPr>
          <w:iCs/>
        </w:rPr>
        <w:t xml:space="preserve">, který zahrnuje </w:t>
      </w:r>
      <w:r w:rsidRPr="001E2B6D">
        <w:rPr>
          <w:iCs/>
        </w:rPr>
        <w:t>i</w:t>
      </w:r>
      <w:r w:rsidR="001472E0">
        <w:rPr>
          <w:iCs/>
        </w:rPr>
        <w:t> </w:t>
      </w:r>
      <w:r w:rsidRPr="001E2B6D">
        <w:rPr>
          <w:iCs/>
        </w:rPr>
        <w:t>prostředky rozpočtované v ukazateli „Výdaje vedené v informačním systému programového financování EDS/SMVS celkem“</w:t>
      </w:r>
      <w:r w:rsidR="003B607D">
        <w:rPr>
          <w:iCs/>
        </w:rPr>
        <w:t>(viz příloha č. 4)</w:t>
      </w:r>
      <w:r w:rsidRPr="001E2B6D">
        <w:rPr>
          <w:iCs/>
        </w:rPr>
        <w:t>.</w:t>
      </w:r>
    </w:p>
    <w:p w:rsidR="001E2B6D" w:rsidRPr="003E5C83" w:rsidRDefault="001E2B6D" w:rsidP="001E2B6D">
      <w:pPr>
        <w:spacing w:after="120" w:line="360" w:lineRule="auto"/>
        <w:jc w:val="both"/>
        <w:rPr>
          <w:iCs/>
        </w:rPr>
      </w:pPr>
      <w:r w:rsidRPr="003E5C83">
        <w:rPr>
          <w:iCs/>
        </w:rPr>
        <w:lastRenderedPageBreak/>
        <w:t>V</w:t>
      </w:r>
      <w:r w:rsidR="00C21848">
        <w:rPr>
          <w:iCs/>
        </w:rPr>
        <w:t xml:space="preserve"> tomto ukazateli </w:t>
      </w:r>
      <w:r w:rsidRPr="003E5C83">
        <w:rPr>
          <w:iCs/>
        </w:rPr>
        <w:t xml:space="preserve">je pro obce určena částka </w:t>
      </w:r>
      <w:r w:rsidR="003E5C83" w:rsidRPr="003F4493">
        <w:rPr>
          <w:iCs/>
        </w:rPr>
        <w:t>705 000</w:t>
      </w:r>
      <w:r w:rsidR="007631AE" w:rsidRPr="003F4493">
        <w:rPr>
          <w:iCs/>
        </w:rPr>
        <w:t xml:space="preserve"> </w:t>
      </w:r>
      <w:r w:rsidRPr="003F4493">
        <w:rPr>
          <w:iCs/>
        </w:rPr>
        <w:t> </w:t>
      </w:r>
      <w:r w:rsidRPr="003E5C83">
        <w:rPr>
          <w:iCs/>
        </w:rPr>
        <w:t xml:space="preserve">tis. Kč. Pro oblast regionálního školství v působnosti obcí je vyčleněn v programu 29821 - Podpora rozvoje a obnovy materiálně technické základny regionálního školství </w:t>
      </w:r>
      <w:r w:rsidRPr="003F4493">
        <w:rPr>
          <w:iCs/>
        </w:rPr>
        <w:t xml:space="preserve">objem </w:t>
      </w:r>
      <w:r w:rsidR="00D76309" w:rsidRPr="003F4493">
        <w:rPr>
          <w:iCs/>
        </w:rPr>
        <w:t>670 341</w:t>
      </w:r>
      <w:r w:rsidR="007631AE" w:rsidRPr="003F4493">
        <w:rPr>
          <w:iCs/>
        </w:rPr>
        <w:t xml:space="preserve"> </w:t>
      </w:r>
      <w:r w:rsidRPr="003F4493">
        <w:rPr>
          <w:iCs/>
        </w:rPr>
        <w:t xml:space="preserve"> tis. Kč, z toho </w:t>
      </w:r>
      <w:r w:rsidR="00D76309" w:rsidRPr="003F4493">
        <w:rPr>
          <w:iCs/>
        </w:rPr>
        <w:t xml:space="preserve">597 </w:t>
      </w:r>
      <w:r w:rsidR="002062AE" w:rsidRPr="003F4493">
        <w:rPr>
          <w:iCs/>
        </w:rPr>
        <w:t>4</w:t>
      </w:r>
      <w:r w:rsidR="007F2096" w:rsidRPr="003F4493">
        <w:rPr>
          <w:iCs/>
        </w:rPr>
        <w:t>5</w:t>
      </w:r>
      <w:r w:rsidR="002062AE" w:rsidRPr="003F4493">
        <w:rPr>
          <w:iCs/>
        </w:rPr>
        <w:t>0</w:t>
      </w:r>
      <w:r w:rsidRPr="003F4493">
        <w:rPr>
          <w:iCs/>
        </w:rPr>
        <w:t xml:space="preserve"> tis. Kč</w:t>
      </w:r>
      <w:r w:rsidRPr="003E5C83">
        <w:rPr>
          <w:iCs/>
          <w:color w:val="FF0000"/>
        </w:rPr>
        <w:t xml:space="preserve"> </w:t>
      </w:r>
      <w:r w:rsidRPr="003E5C83">
        <w:rPr>
          <w:iCs/>
        </w:rPr>
        <w:t xml:space="preserve">je rozpočtováno v podprogramu 298213 - Podpora rozvoje a obnovy materiálně technické základny regionálních škol v okolí velkých měst. Cílem podprogramu je navýšit kapacity základních devítiletých škol v působnosti a v majetku obcí. Jedná se o pomoc obcím postižených rezidenční </w:t>
      </w:r>
      <w:proofErr w:type="spellStart"/>
      <w:r w:rsidRPr="003E5C83">
        <w:rPr>
          <w:iCs/>
        </w:rPr>
        <w:t>suburbanizací</w:t>
      </w:r>
      <w:proofErr w:type="spellEnd"/>
      <w:r w:rsidRPr="003E5C83">
        <w:rPr>
          <w:iCs/>
        </w:rPr>
        <w:t>. Tento podprogram existuje od roku 2014. Rozpočtovaná částka zahrnuje jak objem na rozestavěné akce</w:t>
      </w:r>
      <w:r w:rsidR="00C21848">
        <w:rPr>
          <w:iCs/>
        </w:rPr>
        <w:t>,</w:t>
      </w:r>
      <w:r w:rsidRPr="003E5C83">
        <w:rPr>
          <w:iCs/>
        </w:rPr>
        <w:t xml:space="preserve"> tak počítá se zařazením nových projektů k financování i v roce 201</w:t>
      </w:r>
      <w:r w:rsidR="007631AE" w:rsidRPr="003E5C83">
        <w:rPr>
          <w:iCs/>
        </w:rPr>
        <w:t>6</w:t>
      </w:r>
      <w:r w:rsidRPr="003E5C83">
        <w:rPr>
          <w:iCs/>
        </w:rPr>
        <w:t xml:space="preserve">. </w:t>
      </w:r>
      <w:r w:rsidRPr="00A80B0A">
        <w:rPr>
          <w:iCs/>
        </w:rPr>
        <w:t xml:space="preserve">Částka </w:t>
      </w:r>
      <w:r w:rsidR="00A80B0A" w:rsidRPr="003F4493">
        <w:rPr>
          <w:iCs/>
        </w:rPr>
        <w:t xml:space="preserve">34 659 </w:t>
      </w:r>
      <w:r w:rsidRPr="00A80B0A">
        <w:rPr>
          <w:iCs/>
        </w:rPr>
        <w:t>tis. </w:t>
      </w:r>
      <w:r w:rsidRPr="003E5C83">
        <w:rPr>
          <w:iCs/>
        </w:rPr>
        <w:t>Kč je určena obcím v programu 29822 – Akce financované z rozhodnutí Poslanecké sněmovny Parlamentu a Vlády ČR, a to na rozestavěné stavby.</w:t>
      </w:r>
    </w:p>
    <w:p w:rsidR="00E136B4" w:rsidRDefault="00E136B4" w:rsidP="00A65353">
      <w:pPr>
        <w:spacing w:after="120"/>
        <w:jc w:val="both"/>
        <w:rPr>
          <w:b/>
        </w:rPr>
      </w:pPr>
      <w:bookmarkStart w:id="23" w:name="_Toc206898250"/>
      <w:bookmarkStart w:id="24" w:name="_Toc302458275"/>
    </w:p>
    <w:p w:rsidR="001E2B6D" w:rsidRPr="00A65353" w:rsidRDefault="001E2B6D" w:rsidP="00A65353">
      <w:pPr>
        <w:spacing w:after="120"/>
        <w:jc w:val="both"/>
        <w:rPr>
          <w:b/>
        </w:rPr>
      </w:pPr>
      <w:r w:rsidRPr="00A65353">
        <w:rPr>
          <w:b/>
        </w:rPr>
        <w:t>Dotace z ostatních kapitol státního rozpočtu</w:t>
      </w:r>
      <w:bookmarkEnd w:id="23"/>
      <w:bookmarkEnd w:id="24"/>
    </w:p>
    <w:p w:rsidR="001E2B6D" w:rsidRPr="004D0996" w:rsidRDefault="001E2B6D" w:rsidP="001E2B6D">
      <w:pPr>
        <w:spacing w:after="120" w:line="360" w:lineRule="auto"/>
        <w:jc w:val="both"/>
        <w:rPr>
          <w:iCs/>
        </w:rPr>
      </w:pPr>
      <w:r w:rsidRPr="004D0996">
        <w:rPr>
          <w:iCs/>
        </w:rPr>
        <w:t>Dotace pro obce a hl. m. Prahu z ostatních kapitol státního rozpočtu jsou rozpočtovány v celkovém objemu</w:t>
      </w:r>
      <w:r w:rsidR="00BF386D" w:rsidRPr="004D0996">
        <w:rPr>
          <w:iCs/>
        </w:rPr>
        <w:t xml:space="preserve"> 16 816 333 </w:t>
      </w:r>
      <w:r w:rsidRPr="004D0996">
        <w:rPr>
          <w:iCs/>
        </w:rPr>
        <w:t xml:space="preserve">tis. Kč. </w:t>
      </w:r>
      <w:r w:rsidR="00520C94">
        <w:rPr>
          <w:iCs/>
        </w:rPr>
        <w:t xml:space="preserve">Nejvyšší </w:t>
      </w:r>
      <w:r w:rsidRPr="004D0996">
        <w:rPr>
          <w:iCs/>
        </w:rPr>
        <w:t>objem dotací</w:t>
      </w:r>
      <w:r w:rsidR="00520C94">
        <w:rPr>
          <w:iCs/>
        </w:rPr>
        <w:t xml:space="preserve"> je</w:t>
      </w:r>
      <w:r w:rsidRPr="004D0996">
        <w:rPr>
          <w:iCs/>
        </w:rPr>
        <w:t xml:space="preserve"> </w:t>
      </w:r>
      <w:r w:rsidR="00520C94">
        <w:rPr>
          <w:iCs/>
        </w:rPr>
        <w:t>rozpočtován v</w:t>
      </w:r>
      <w:r w:rsidRPr="004D0996">
        <w:rPr>
          <w:iCs/>
        </w:rPr>
        <w:t xml:space="preserve"> kapitol</w:t>
      </w:r>
      <w:r w:rsidR="00520C94">
        <w:rPr>
          <w:iCs/>
        </w:rPr>
        <w:t>e</w:t>
      </w:r>
      <w:r w:rsidRPr="004D0996">
        <w:rPr>
          <w:iCs/>
        </w:rPr>
        <w:t xml:space="preserve"> Ministerstva školství, mládeže a tělovýchovy. Zde jsou rozpočtovány dotace v předpokládané výši</w:t>
      </w:r>
      <w:r w:rsidR="00BF386D" w:rsidRPr="004D0996">
        <w:rPr>
          <w:iCs/>
        </w:rPr>
        <w:t xml:space="preserve"> 10 828 368</w:t>
      </w:r>
      <w:r w:rsidRPr="004D0996">
        <w:rPr>
          <w:iCs/>
        </w:rPr>
        <w:t xml:space="preserve"> tis. Kč. Jedná se zejména o dotace na přímé náklady na vzdělávání poskytované hl. m. Praze.</w:t>
      </w:r>
      <w:r w:rsidR="007E4401" w:rsidRPr="004D0996">
        <w:rPr>
          <w:iCs/>
        </w:rPr>
        <w:t xml:space="preserve"> </w:t>
      </w:r>
      <w:r w:rsidR="00422274" w:rsidRPr="004D0996">
        <w:rPr>
          <w:iCs/>
        </w:rPr>
        <w:t>Z</w:t>
      </w:r>
      <w:r w:rsidRPr="004D0996">
        <w:rPr>
          <w:iCs/>
        </w:rPr>
        <w:t xml:space="preserve"> kapitoly Ministerstva </w:t>
      </w:r>
      <w:r w:rsidR="00422274" w:rsidRPr="004D0996">
        <w:rPr>
          <w:iCs/>
        </w:rPr>
        <w:t>práce a</w:t>
      </w:r>
      <w:r w:rsidR="007E4401" w:rsidRPr="004D0996">
        <w:rPr>
          <w:iCs/>
        </w:rPr>
        <w:t> </w:t>
      </w:r>
      <w:r w:rsidR="00422274" w:rsidRPr="004D0996">
        <w:rPr>
          <w:iCs/>
        </w:rPr>
        <w:t>sociálních</w:t>
      </w:r>
      <w:r w:rsidR="00520C94">
        <w:rPr>
          <w:iCs/>
        </w:rPr>
        <w:t xml:space="preserve"> věcí</w:t>
      </w:r>
      <w:r w:rsidR="00422274" w:rsidRPr="004D0996">
        <w:rPr>
          <w:iCs/>
        </w:rPr>
        <w:t xml:space="preserve"> jsou rozpočtované prostředky určeny </w:t>
      </w:r>
      <w:r w:rsidRPr="004D0996">
        <w:rPr>
          <w:iCs/>
        </w:rPr>
        <w:t xml:space="preserve">např. na činnosti vykonávané obcemi </w:t>
      </w:r>
      <w:r w:rsidR="00422274" w:rsidRPr="004D0996">
        <w:rPr>
          <w:iCs/>
        </w:rPr>
        <w:t xml:space="preserve">s rozšířenou působností </w:t>
      </w:r>
      <w:r w:rsidRPr="004D0996">
        <w:rPr>
          <w:iCs/>
        </w:rPr>
        <w:t>v oblasti sociálně</w:t>
      </w:r>
      <w:r w:rsidR="00C06CBB" w:rsidRPr="004D0996">
        <w:rPr>
          <w:iCs/>
        </w:rPr>
        <w:t xml:space="preserve"> </w:t>
      </w:r>
      <w:r w:rsidRPr="004D0996">
        <w:rPr>
          <w:iCs/>
        </w:rPr>
        <w:t>-</w:t>
      </w:r>
      <w:r w:rsidR="00C06CBB" w:rsidRPr="004D0996">
        <w:rPr>
          <w:iCs/>
        </w:rPr>
        <w:t xml:space="preserve"> </w:t>
      </w:r>
      <w:r w:rsidRPr="004D0996">
        <w:rPr>
          <w:iCs/>
        </w:rPr>
        <w:t>právní ochrany dětí</w:t>
      </w:r>
      <w:r w:rsidR="00422274" w:rsidRPr="004D0996">
        <w:rPr>
          <w:iCs/>
        </w:rPr>
        <w:t xml:space="preserve">, na výkon pěstounské péče, </w:t>
      </w:r>
      <w:r w:rsidR="0058198D" w:rsidRPr="004D0996">
        <w:rPr>
          <w:iCs/>
        </w:rPr>
        <w:t>aktivní politiku zaměstnanosti</w:t>
      </w:r>
      <w:r w:rsidR="00422274" w:rsidRPr="004D0996">
        <w:rPr>
          <w:iCs/>
        </w:rPr>
        <w:t xml:space="preserve"> apod.</w:t>
      </w:r>
      <w:r w:rsidR="0058198D" w:rsidRPr="004D0996">
        <w:rPr>
          <w:iCs/>
        </w:rPr>
        <w:t xml:space="preserve"> v</w:t>
      </w:r>
      <w:r w:rsidR="0010156A" w:rsidRPr="004D0996">
        <w:rPr>
          <w:iCs/>
        </w:rPr>
        <w:t xml:space="preserve"> navrhované </w:t>
      </w:r>
      <w:r w:rsidR="0058198D" w:rsidRPr="004D0996">
        <w:rPr>
          <w:iCs/>
        </w:rPr>
        <w:t>výši</w:t>
      </w:r>
      <w:r w:rsidR="00BF386D" w:rsidRPr="004D0996">
        <w:rPr>
          <w:iCs/>
        </w:rPr>
        <w:t xml:space="preserve"> 3 110</w:t>
      </w:r>
      <w:r w:rsidR="0010156A" w:rsidRPr="004D0996">
        <w:rPr>
          <w:iCs/>
        </w:rPr>
        <w:t> </w:t>
      </w:r>
      <w:r w:rsidR="00BF386D" w:rsidRPr="004D0996">
        <w:rPr>
          <w:iCs/>
        </w:rPr>
        <w:t>166</w:t>
      </w:r>
      <w:r w:rsidR="0010156A" w:rsidRPr="004D0996">
        <w:rPr>
          <w:iCs/>
        </w:rPr>
        <w:t> </w:t>
      </w:r>
      <w:r w:rsidR="00BF386D" w:rsidRPr="004D0996">
        <w:rPr>
          <w:iCs/>
        </w:rPr>
        <w:t>tis.</w:t>
      </w:r>
      <w:r w:rsidR="0058198D" w:rsidRPr="004D0996">
        <w:rPr>
          <w:iCs/>
        </w:rPr>
        <w:t xml:space="preserve"> Kč.</w:t>
      </w:r>
      <w:r w:rsidR="00422274" w:rsidRPr="004D0996">
        <w:rPr>
          <w:iCs/>
        </w:rPr>
        <w:t xml:space="preserve"> </w:t>
      </w:r>
    </w:p>
    <w:p w:rsidR="001E2B6D" w:rsidRPr="00D21F6F" w:rsidRDefault="001E2B6D" w:rsidP="00132833">
      <w:pPr>
        <w:pStyle w:val="Nadpis2"/>
      </w:pPr>
      <w:bookmarkStart w:id="25" w:name="_Toc206898251"/>
      <w:bookmarkStart w:id="26" w:name="_Toc302458276"/>
      <w:bookmarkStart w:id="27" w:name="_Toc302458321"/>
      <w:bookmarkStart w:id="28" w:name="_Toc399489405"/>
      <w:bookmarkStart w:id="29" w:name="_Toc428431397"/>
      <w:r w:rsidRPr="00D21F6F">
        <w:t>Dotace ze státního rozpočtu pro dobrovolné svazky obcí v roce 201</w:t>
      </w:r>
      <w:bookmarkEnd w:id="25"/>
      <w:bookmarkEnd w:id="26"/>
      <w:bookmarkEnd w:id="27"/>
      <w:bookmarkEnd w:id="28"/>
      <w:r w:rsidR="00B71989">
        <w:t>6</w:t>
      </w:r>
      <w:bookmarkEnd w:id="29"/>
    </w:p>
    <w:p w:rsidR="001E2B6D" w:rsidRPr="001E2B6D" w:rsidRDefault="001E2B6D" w:rsidP="001E2B6D">
      <w:pPr>
        <w:spacing w:after="120" w:line="360" w:lineRule="auto"/>
        <w:jc w:val="both"/>
        <w:rPr>
          <w:iCs/>
        </w:rPr>
      </w:pPr>
      <w:r w:rsidRPr="001E2B6D">
        <w:rPr>
          <w:iCs/>
        </w:rPr>
        <w:t>Ve státním rozpočtu nejsou rozpočtovány téměř žádné dotace pro </w:t>
      </w:r>
      <w:r w:rsidR="00C06CBB">
        <w:rPr>
          <w:iCs/>
        </w:rPr>
        <w:t>DSO</w:t>
      </w:r>
      <w:r w:rsidRPr="001E2B6D">
        <w:rPr>
          <w:iCs/>
        </w:rPr>
        <w:t xml:space="preserve">. Tato skutečnost je způsobena tím, že neexistuje dotační titul, který by byl určen výhradně pro dobrovolné svazky obcí. Jako o dotacích pro </w:t>
      </w:r>
      <w:r w:rsidR="00C06CBB">
        <w:rPr>
          <w:iCs/>
        </w:rPr>
        <w:t>DSO</w:t>
      </w:r>
      <w:r w:rsidRPr="001E2B6D">
        <w:rPr>
          <w:iCs/>
        </w:rPr>
        <w:t xml:space="preserve"> je o nich obvykle účtováno až v průběhu rozpočtového roku při jejich uvolňování.</w:t>
      </w:r>
    </w:p>
    <w:p w:rsidR="001E2B6D" w:rsidRDefault="001E2B6D" w:rsidP="001E2B6D">
      <w:pPr>
        <w:spacing w:after="120" w:line="360" w:lineRule="auto"/>
        <w:jc w:val="both"/>
      </w:pPr>
      <w:r w:rsidRPr="001E2B6D">
        <w:rPr>
          <w:iCs/>
        </w:rPr>
        <w:t>V roce 201</w:t>
      </w:r>
      <w:r w:rsidR="00B71989">
        <w:rPr>
          <w:iCs/>
        </w:rPr>
        <w:t>6</w:t>
      </w:r>
      <w:r w:rsidRPr="001E2B6D">
        <w:rPr>
          <w:iCs/>
        </w:rPr>
        <w:t xml:space="preserve"> bude </w:t>
      </w:r>
      <w:r w:rsidR="00C06CBB">
        <w:rPr>
          <w:iCs/>
        </w:rPr>
        <w:t xml:space="preserve">DSO </w:t>
      </w:r>
      <w:r w:rsidRPr="001E2B6D">
        <w:rPr>
          <w:iCs/>
        </w:rPr>
        <w:t>tak jako doposud uvolněn příspěvek na žáka</w:t>
      </w:r>
      <w:r w:rsidR="001565D8">
        <w:rPr>
          <w:rStyle w:val="Znakapoznpodarou"/>
          <w:iCs/>
        </w:rPr>
        <w:footnoteReference w:id="10"/>
      </w:r>
      <w:r w:rsidRPr="001E2B6D">
        <w:rPr>
          <w:iCs/>
        </w:rPr>
        <w:t xml:space="preserve"> ze státního rozpočtu cestou účelové dotace na základě žádosti dobrovolného svazku z kapitoly Všeobecná pokladní správa, </w:t>
      </w:r>
      <w:r w:rsidR="00CD0C32">
        <w:rPr>
          <w:iCs/>
        </w:rPr>
        <w:t>ukazatel</w:t>
      </w:r>
      <w:r w:rsidRPr="001E2B6D">
        <w:rPr>
          <w:iCs/>
        </w:rPr>
        <w:t xml:space="preserve"> „Další prostředky pro řešení aktuálních problémů ÚSC“. Výše </w:t>
      </w:r>
      <w:r w:rsidRPr="001E2B6D">
        <w:rPr>
          <w:iCs/>
        </w:rPr>
        <w:lastRenderedPageBreak/>
        <w:t xml:space="preserve">příspěvku na žáka v případě školského zařízení zřizovaného </w:t>
      </w:r>
      <w:r w:rsidR="009B72D4">
        <w:rPr>
          <w:iCs/>
        </w:rPr>
        <w:t>DSO</w:t>
      </w:r>
      <w:r w:rsidRPr="001E2B6D">
        <w:rPr>
          <w:iCs/>
        </w:rPr>
        <w:t xml:space="preserve"> bude i v roce 201</w:t>
      </w:r>
      <w:r w:rsidR="00B71989">
        <w:rPr>
          <w:iCs/>
        </w:rPr>
        <w:t>6</w:t>
      </w:r>
      <w:r w:rsidRPr="001E2B6D">
        <w:rPr>
          <w:iCs/>
        </w:rPr>
        <w:t xml:space="preserve"> stanovena tak, aby korespondovala s výší prostředků na jednoho žáka v systému rozpočtového určení daní pro obce. Hlavním východiskem pro určení výše příspěvku na žáka navštěvujícího školské zařízení zřizované </w:t>
      </w:r>
      <w:r w:rsidR="00C06CBB">
        <w:rPr>
          <w:iCs/>
        </w:rPr>
        <w:t>DSO</w:t>
      </w:r>
      <w:r w:rsidRPr="001E2B6D">
        <w:rPr>
          <w:iCs/>
        </w:rPr>
        <w:t xml:space="preserve"> bude daňová predikce použitá pro sestavení státního rozpočtu na rok 201</w:t>
      </w:r>
      <w:r w:rsidR="00B71989">
        <w:rPr>
          <w:iCs/>
        </w:rPr>
        <w:t>6</w:t>
      </w:r>
      <w:r w:rsidRPr="001E2B6D">
        <w:rPr>
          <w:iCs/>
        </w:rPr>
        <w:t xml:space="preserve"> a počty dětí a žáků k 30. 9. 201</w:t>
      </w:r>
      <w:r w:rsidR="009827DB">
        <w:rPr>
          <w:iCs/>
        </w:rPr>
        <w:t>5</w:t>
      </w:r>
      <w:r w:rsidRPr="009827DB">
        <w:rPr>
          <w:rStyle w:val="Znakapoznpodarou"/>
        </w:rPr>
        <w:footnoteReference w:id="11"/>
      </w:r>
      <w:r w:rsidRPr="009827DB">
        <w:rPr>
          <w:rStyle w:val="Znakapoznpodarou"/>
        </w:rPr>
        <w:t>.</w:t>
      </w:r>
      <w:r w:rsidR="009827DB">
        <w:t>.</w:t>
      </w:r>
    </w:p>
    <w:p w:rsidR="001E2B6D" w:rsidRDefault="00B10C38" w:rsidP="00132833">
      <w:pPr>
        <w:pStyle w:val="Nadpis2"/>
      </w:pPr>
      <w:bookmarkStart w:id="30" w:name="_Toc206898252"/>
      <w:bookmarkStart w:id="31" w:name="_Toc302458277"/>
      <w:bookmarkStart w:id="32" w:name="_Toc302458322"/>
      <w:bookmarkStart w:id="33" w:name="_Ref333482650"/>
      <w:bookmarkStart w:id="34" w:name="_Toc399489406"/>
      <w:r w:rsidRPr="00D21F6F">
        <w:t xml:space="preserve"> </w:t>
      </w:r>
      <w:bookmarkStart w:id="35" w:name="_Toc428431398"/>
      <w:r w:rsidR="001E2B6D" w:rsidRPr="00D21F6F">
        <w:t>Dotace ze státního rozpočtu pro kraje v roce 201</w:t>
      </w:r>
      <w:bookmarkEnd w:id="30"/>
      <w:bookmarkEnd w:id="31"/>
      <w:bookmarkEnd w:id="32"/>
      <w:bookmarkEnd w:id="33"/>
      <w:bookmarkEnd w:id="34"/>
      <w:r w:rsidR="00FE328D">
        <w:t>6</w:t>
      </w:r>
      <w:bookmarkEnd w:id="35"/>
    </w:p>
    <w:p w:rsidR="002A38B6" w:rsidRPr="00455E69" w:rsidRDefault="00714A1E" w:rsidP="00714A1E">
      <w:pPr>
        <w:pStyle w:val="Titulek"/>
        <w:rPr>
          <w:color w:val="auto"/>
          <w:sz w:val="20"/>
          <w:szCs w:val="20"/>
        </w:rPr>
      </w:pPr>
      <w:r w:rsidRPr="00714A1E">
        <w:rPr>
          <w:color w:val="auto"/>
          <w:sz w:val="20"/>
          <w:szCs w:val="20"/>
        </w:rPr>
        <w:t xml:space="preserve">Tabulka č. </w:t>
      </w:r>
      <w:r w:rsidRPr="00714A1E">
        <w:rPr>
          <w:color w:val="auto"/>
          <w:sz w:val="20"/>
          <w:szCs w:val="20"/>
        </w:rPr>
        <w:fldChar w:fldCharType="begin"/>
      </w:r>
      <w:r w:rsidRPr="00714A1E">
        <w:rPr>
          <w:color w:val="auto"/>
          <w:sz w:val="20"/>
          <w:szCs w:val="20"/>
        </w:rPr>
        <w:instrText xml:space="preserve"> SEQ Tabulka_č. \* ARABIC </w:instrText>
      </w:r>
      <w:r w:rsidRPr="00714A1E">
        <w:rPr>
          <w:color w:val="auto"/>
          <w:sz w:val="20"/>
          <w:szCs w:val="20"/>
        </w:rPr>
        <w:fldChar w:fldCharType="separate"/>
      </w:r>
      <w:r w:rsidR="00BF5CB4">
        <w:rPr>
          <w:noProof/>
          <w:color w:val="auto"/>
          <w:sz w:val="20"/>
          <w:szCs w:val="20"/>
        </w:rPr>
        <w:t>5</w:t>
      </w:r>
      <w:r w:rsidRPr="00714A1E">
        <w:rPr>
          <w:color w:val="auto"/>
          <w:sz w:val="20"/>
          <w:szCs w:val="20"/>
        </w:rPr>
        <w:fldChar w:fldCharType="end"/>
      </w:r>
      <w:r w:rsidR="002A38B6" w:rsidRPr="00F20F4D">
        <w:rPr>
          <w:color w:val="FF0000"/>
          <w:sz w:val="20"/>
          <w:szCs w:val="20"/>
        </w:rPr>
        <w:t xml:space="preserve">. </w:t>
      </w:r>
      <w:r w:rsidR="002A38B6" w:rsidRPr="00455E69">
        <w:rPr>
          <w:color w:val="auto"/>
          <w:sz w:val="20"/>
          <w:szCs w:val="20"/>
        </w:rPr>
        <w:t xml:space="preserve">Vztah státního rozpočtu k rozpočtům krajů pro rok 2016 (v tis. Kč) </w:t>
      </w:r>
    </w:p>
    <w:p w:rsidR="00745A5F" w:rsidRDefault="00DE0181" w:rsidP="00A011F5">
      <w:pPr>
        <w:spacing w:after="120"/>
        <w:jc w:val="center"/>
        <w:rPr>
          <w:b/>
        </w:rPr>
      </w:pPr>
      <w:bookmarkStart w:id="36" w:name="_Toc206898253"/>
      <w:bookmarkStart w:id="37" w:name="_Toc302458278"/>
      <w:r w:rsidRPr="00DE0181">
        <w:rPr>
          <w:noProof/>
        </w:rPr>
        <w:drawing>
          <wp:inline distT="0" distB="0" distL="0" distR="0" wp14:anchorId="626D7CD5" wp14:editId="1D5ADC16">
            <wp:extent cx="5759450" cy="3234542"/>
            <wp:effectExtent l="0" t="0" r="0" b="444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3234542"/>
                    </a:xfrm>
                    <a:prstGeom prst="rect">
                      <a:avLst/>
                    </a:prstGeom>
                    <a:noFill/>
                    <a:ln>
                      <a:noFill/>
                    </a:ln>
                  </pic:spPr>
                </pic:pic>
              </a:graphicData>
            </a:graphic>
          </wp:inline>
        </w:drawing>
      </w:r>
    </w:p>
    <w:p w:rsidR="00E70D9C" w:rsidRDefault="00E70D9C" w:rsidP="00A65353">
      <w:pPr>
        <w:spacing w:after="120"/>
        <w:jc w:val="both"/>
        <w:rPr>
          <w:b/>
        </w:rPr>
      </w:pPr>
    </w:p>
    <w:p w:rsidR="001E2B6D" w:rsidRDefault="001E2B6D" w:rsidP="00A65353">
      <w:pPr>
        <w:spacing w:after="120"/>
        <w:jc w:val="both"/>
      </w:pPr>
      <w:r w:rsidRPr="00A65353">
        <w:rPr>
          <w:b/>
        </w:rPr>
        <w:t>Finanční vztahy k rozpočtům krajů</w:t>
      </w:r>
      <w:bookmarkEnd w:id="36"/>
      <w:bookmarkEnd w:id="37"/>
      <w:r w:rsidRPr="00A65353">
        <w:rPr>
          <w:b/>
        </w:rPr>
        <w:t xml:space="preserve"> </w:t>
      </w:r>
      <w:r w:rsidRPr="00A9397A">
        <w:t>(příloha č. 5 k</w:t>
      </w:r>
      <w:r w:rsidR="00A9397A">
        <w:t xml:space="preserve"> návrhu </w:t>
      </w:r>
      <w:r w:rsidRPr="00A9397A">
        <w:t>zákon</w:t>
      </w:r>
      <w:r w:rsidR="00A9397A">
        <w:t>a</w:t>
      </w:r>
      <w:r w:rsidRPr="00A9397A">
        <w:t xml:space="preserve"> o státním rozpočtu</w:t>
      </w:r>
      <w:r w:rsidR="00C06CBB">
        <w:t>)</w:t>
      </w:r>
      <w:r w:rsidRPr="00A9397A">
        <w:t xml:space="preserve"> </w:t>
      </w:r>
    </w:p>
    <w:p w:rsidR="00F731BC" w:rsidRDefault="00F731BC" w:rsidP="00A65353">
      <w:pPr>
        <w:spacing w:after="120"/>
        <w:jc w:val="both"/>
      </w:pPr>
    </w:p>
    <w:p w:rsidR="001E2B6D" w:rsidRPr="00887600" w:rsidRDefault="001E2B6D" w:rsidP="00132833">
      <w:pPr>
        <w:keepNext/>
        <w:keepLines/>
        <w:numPr>
          <w:ilvl w:val="0"/>
          <w:numId w:val="4"/>
        </w:numPr>
        <w:tabs>
          <w:tab w:val="right" w:pos="9000"/>
        </w:tabs>
        <w:spacing w:before="120" w:line="360" w:lineRule="auto"/>
        <w:rPr>
          <w:b/>
          <w:bCs/>
          <w:iCs/>
        </w:rPr>
      </w:pPr>
      <w:r w:rsidRPr="00AD6DA2">
        <w:rPr>
          <w:b/>
          <w:bCs/>
          <w:iCs/>
          <w:color w:val="000000"/>
        </w:rPr>
        <w:t>Příspěvek na výkon státní správy</w:t>
      </w:r>
      <w:r w:rsidRPr="00AD6DA2">
        <w:rPr>
          <w:b/>
          <w:bCs/>
          <w:iCs/>
          <w:color w:val="000000"/>
        </w:rPr>
        <w:tab/>
      </w:r>
      <w:r w:rsidRPr="00887600">
        <w:rPr>
          <w:b/>
          <w:bCs/>
          <w:iCs/>
        </w:rPr>
        <w:t>1 0</w:t>
      </w:r>
      <w:r w:rsidR="00887600" w:rsidRPr="00887600">
        <w:rPr>
          <w:b/>
          <w:bCs/>
          <w:iCs/>
        </w:rPr>
        <w:t>69</w:t>
      </w:r>
      <w:r w:rsidRPr="00887600">
        <w:rPr>
          <w:b/>
          <w:bCs/>
          <w:iCs/>
        </w:rPr>
        <w:t xml:space="preserve"> </w:t>
      </w:r>
      <w:r w:rsidR="00887600" w:rsidRPr="00887600">
        <w:rPr>
          <w:b/>
          <w:bCs/>
          <w:iCs/>
        </w:rPr>
        <w:t>943</w:t>
      </w:r>
      <w:r w:rsidRPr="00887600">
        <w:rPr>
          <w:b/>
          <w:iCs/>
        </w:rPr>
        <w:t xml:space="preserve"> tis</w:t>
      </w:r>
      <w:r w:rsidRPr="00887600">
        <w:rPr>
          <w:b/>
          <w:bCs/>
          <w:iCs/>
        </w:rPr>
        <w:t xml:space="preserve"> Kč </w:t>
      </w:r>
    </w:p>
    <w:p w:rsidR="00F731BC" w:rsidRDefault="00F731BC" w:rsidP="001E2B6D">
      <w:pPr>
        <w:spacing w:after="120" w:line="360" w:lineRule="auto"/>
        <w:jc w:val="both"/>
        <w:rPr>
          <w:iCs/>
        </w:rPr>
      </w:pPr>
    </w:p>
    <w:p w:rsidR="001E2B6D" w:rsidRPr="00CE05FE" w:rsidRDefault="001E2B6D" w:rsidP="001E2B6D">
      <w:pPr>
        <w:spacing w:after="120" w:line="360" w:lineRule="auto"/>
        <w:jc w:val="both"/>
        <w:rPr>
          <w:iCs/>
        </w:rPr>
      </w:pPr>
      <w:r w:rsidRPr="00CE05FE">
        <w:rPr>
          <w:iCs/>
        </w:rPr>
        <w:t>V souladu s ustanovením § 29 odst. 2 zákona č. 129/2000 Sb., o krajích</w:t>
      </w:r>
      <w:r w:rsidR="00F067AD">
        <w:rPr>
          <w:iCs/>
        </w:rPr>
        <w:t>, ve znění pozdějších předpisů,</w:t>
      </w:r>
      <w:r w:rsidRPr="00CE05FE">
        <w:rPr>
          <w:iCs/>
        </w:rPr>
        <w:t xml:space="preserve"> obdrží kraje ze státního rozpočtu příspěvek na financování výkonu státní správy v přenesené působnosti. </w:t>
      </w:r>
      <w:r w:rsidR="00CE05FE" w:rsidRPr="00CE05FE">
        <w:rPr>
          <w:iCs/>
        </w:rPr>
        <w:t xml:space="preserve">Příspěvek byl navýšen cca o </w:t>
      </w:r>
      <w:r w:rsidR="001A0D69">
        <w:rPr>
          <w:iCs/>
        </w:rPr>
        <w:t>18</w:t>
      </w:r>
      <w:r w:rsidR="00CE05FE" w:rsidRPr="00CE05FE">
        <w:rPr>
          <w:iCs/>
        </w:rPr>
        <w:t xml:space="preserve"> mil. Kč </w:t>
      </w:r>
      <w:r w:rsidR="00CE05FE" w:rsidRPr="00CE05FE">
        <w:t xml:space="preserve">v souvislosti s novelizací </w:t>
      </w:r>
      <w:r w:rsidR="00CE05FE" w:rsidRPr="00CE05FE">
        <w:lastRenderedPageBreak/>
        <w:t>některých zákonů v oblasti životního prostředí</w:t>
      </w:r>
      <w:r w:rsidR="009B72D4">
        <w:rPr>
          <w:rStyle w:val="Znakapoznpodarou"/>
        </w:rPr>
        <w:footnoteReference w:id="12"/>
      </w:r>
      <w:r w:rsidR="00CE05FE" w:rsidRPr="00CE05FE">
        <w:t xml:space="preserve">. Dále byla </w:t>
      </w:r>
      <w:r w:rsidR="00887600" w:rsidRPr="00CE05FE">
        <w:rPr>
          <w:iCs/>
        </w:rPr>
        <w:t xml:space="preserve">v objemu příspěvku zohledněna 1% valorizace. </w:t>
      </w:r>
    </w:p>
    <w:p w:rsidR="001E2B6D" w:rsidRPr="004430BA" w:rsidRDefault="001E2B6D" w:rsidP="001E2B6D">
      <w:pPr>
        <w:spacing w:line="360" w:lineRule="auto"/>
        <w:jc w:val="both"/>
      </w:pPr>
    </w:p>
    <w:p w:rsidR="001E2B6D" w:rsidRPr="00A65353" w:rsidRDefault="001E2B6D" w:rsidP="00A65353">
      <w:pPr>
        <w:spacing w:after="120"/>
        <w:jc w:val="both"/>
        <w:rPr>
          <w:b/>
        </w:rPr>
      </w:pPr>
      <w:bookmarkStart w:id="38" w:name="_Toc206898254"/>
      <w:bookmarkStart w:id="39" w:name="_Toc302458279"/>
      <w:r w:rsidRPr="00A65353">
        <w:rPr>
          <w:b/>
        </w:rPr>
        <w:t>Ostatní dotace z kapitoly Všeobecná pokladní správa</w:t>
      </w:r>
      <w:bookmarkEnd w:id="38"/>
      <w:bookmarkEnd w:id="39"/>
      <w:r w:rsidRPr="00A65353">
        <w:rPr>
          <w:b/>
        </w:rPr>
        <w:t xml:space="preserve"> </w:t>
      </w:r>
    </w:p>
    <w:p w:rsidR="001E2B6D" w:rsidRDefault="001E2B6D" w:rsidP="00DE4418">
      <w:pPr>
        <w:spacing w:after="120" w:line="360" w:lineRule="auto"/>
        <w:jc w:val="both"/>
        <w:rPr>
          <w:iCs/>
        </w:rPr>
      </w:pPr>
      <w:r w:rsidRPr="00203E95">
        <w:rPr>
          <w:iCs/>
        </w:rPr>
        <w:t xml:space="preserve">Objem  </w:t>
      </w:r>
      <w:r w:rsidR="00203E95" w:rsidRPr="00203E95">
        <w:rPr>
          <w:iCs/>
        </w:rPr>
        <w:t>260 495</w:t>
      </w:r>
      <w:r w:rsidRPr="00203E95">
        <w:rPr>
          <w:iCs/>
        </w:rPr>
        <w:t xml:space="preserve"> tis. Kč </w:t>
      </w:r>
      <w:r w:rsidRPr="00DE4418">
        <w:rPr>
          <w:iCs/>
        </w:rPr>
        <w:t>je zahrnut v ukazateli „Další prostředky pro územní samosprávné celky“. Ten obsahuje tituly, které nelze rozpočtovat u konkrétních příjemců v době sestavování rozpočtu</w:t>
      </w:r>
      <w:r w:rsidR="003C6E98">
        <w:rPr>
          <w:iCs/>
        </w:rPr>
        <w:t>,</w:t>
      </w:r>
      <w:r w:rsidRPr="00DE4418">
        <w:rPr>
          <w:iCs/>
        </w:rPr>
        <w:t xml:space="preserve"> </w:t>
      </w:r>
      <w:r w:rsidR="003C6E98">
        <w:rPr>
          <w:iCs/>
        </w:rPr>
        <w:t>s</w:t>
      </w:r>
      <w:r w:rsidRPr="00DE4418">
        <w:rPr>
          <w:iCs/>
        </w:rPr>
        <w:t xml:space="preserve">oučástí je např. pol. „Prostředky pro řešení aktuálních problémů ÚSC“. Z této položky jsou během roku na základě žádostí uvolňovány prostředky na řešení závažných problémů územních samosprávných celků, které nelze </w:t>
      </w:r>
      <w:r w:rsidR="00F21142">
        <w:rPr>
          <w:iCs/>
        </w:rPr>
        <w:t>postihnout</w:t>
      </w:r>
      <w:r w:rsidRPr="00DE4418">
        <w:rPr>
          <w:iCs/>
        </w:rPr>
        <w:t xml:space="preserve"> </w:t>
      </w:r>
      <w:r w:rsidR="00F21142">
        <w:rPr>
          <w:iCs/>
        </w:rPr>
        <w:t xml:space="preserve">při přípravě státního rozpočtu </w:t>
      </w:r>
      <w:r w:rsidRPr="00DE4418">
        <w:rPr>
          <w:iCs/>
        </w:rPr>
        <w:t xml:space="preserve">na příslušný rok. </w:t>
      </w:r>
    </w:p>
    <w:p w:rsidR="000B5859" w:rsidRPr="00131429" w:rsidRDefault="000B5859" w:rsidP="000B5859">
      <w:pPr>
        <w:spacing w:after="120" w:line="360" w:lineRule="auto"/>
        <w:jc w:val="both"/>
        <w:rPr>
          <w:iCs/>
        </w:rPr>
      </w:pPr>
      <w:r w:rsidRPr="00131429">
        <w:rPr>
          <w:iCs/>
        </w:rPr>
        <w:t xml:space="preserve">Pro kraje nejsou v návrhu státního rozpočtu na rok 2016 v ukazateli </w:t>
      </w:r>
      <w:r w:rsidRPr="003E5C83">
        <w:rPr>
          <w:iCs/>
        </w:rPr>
        <w:t>„Výdaje vedené v informačním systému programového financování EDS/SMVS celkem“</w:t>
      </w:r>
      <w:r>
        <w:rPr>
          <w:iCs/>
        </w:rPr>
        <w:t xml:space="preserve"> </w:t>
      </w:r>
      <w:r w:rsidR="00F21142">
        <w:rPr>
          <w:iCs/>
        </w:rPr>
        <w:t xml:space="preserve">rozpočtovány </w:t>
      </w:r>
      <w:r>
        <w:rPr>
          <w:iCs/>
        </w:rPr>
        <w:t xml:space="preserve">žádné prostředky. Je to dáno tím, že </w:t>
      </w:r>
      <w:r w:rsidRPr="00A348E8">
        <w:t>Podprogram 298226 – Majetkoprávní vypořádání pozemků pod silnicemi II. a</w:t>
      </w:r>
      <w:r>
        <w:t> </w:t>
      </w:r>
      <w:r w:rsidRPr="00A348E8">
        <w:t>III. tříd v roce 2015 v souladu s usnesením vlády č. 417/2012</w:t>
      </w:r>
      <w:r>
        <w:t xml:space="preserve"> končí. V první polovině roku 2016 bude provedeno vyhodnocení toho dotačního </w:t>
      </w:r>
      <w:proofErr w:type="spellStart"/>
      <w:r>
        <w:t>subtitulu</w:t>
      </w:r>
      <w:proofErr w:type="spellEnd"/>
      <w:r>
        <w:t>. V případě další potřeby bude zpracován materiál pro jednání vlády o eventuálním pokračování podprogramu v dalších letech.</w:t>
      </w:r>
    </w:p>
    <w:p w:rsidR="002C0E16" w:rsidRDefault="002C0E16" w:rsidP="00A65353">
      <w:pPr>
        <w:spacing w:after="120"/>
        <w:jc w:val="both"/>
        <w:rPr>
          <w:b/>
        </w:rPr>
      </w:pPr>
      <w:bookmarkStart w:id="40" w:name="_Toc206898255"/>
      <w:bookmarkStart w:id="41" w:name="_Toc302458280"/>
    </w:p>
    <w:p w:rsidR="001E2B6D" w:rsidRPr="00A65353" w:rsidRDefault="001E2B6D" w:rsidP="00A65353">
      <w:pPr>
        <w:spacing w:after="120"/>
        <w:jc w:val="both"/>
        <w:rPr>
          <w:b/>
        </w:rPr>
      </w:pPr>
      <w:r w:rsidRPr="00A65353">
        <w:rPr>
          <w:b/>
        </w:rPr>
        <w:t>Dotace z ostatních kapitol státního rozpočtu</w:t>
      </w:r>
      <w:bookmarkEnd w:id="40"/>
      <w:bookmarkEnd w:id="41"/>
    </w:p>
    <w:p w:rsidR="001E2B6D" w:rsidRPr="001346B7" w:rsidRDefault="001E2B6D" w:rsidP="00DE4418">
      <w:pPr>
        <w:spacing w:after="120" w:line="360" w:lineRule="auto"/>
        <w:jc w:val="both"/>
        <w:rPr>
          <w:iCs/>
        </w:rPr>
      </w:pPr>
      <w:r w:rsidRPr="001346B7">
        <w:rPr>
          <w:iCs/>
        </w:rPr>
        <w:t xml:space="preserve">Dotace z ostatních kapitol státního rozpočtu pro kraje jsou rozpočtovány v celkové výši </w:t>
      </w:r>
      <w:r w:rsidR="00203E95" w:rsidRPr="001346B7">
        <w:rPr>
          <w:iCs/>
        </w:rPr>
        <w:t>9</w:t>
      </w:r>
      <w:r w:rsidR="00CB48B2">
        <w:rPr>
          <w:iCs/>
        </w:rPr>
        <w:t>0</w:t>
      </w:r>
      <w:r w:rsidR="00203E95" w:rsidRPr="001346B7">
        <w:rPr>
          <w:iCs/>
        </w:rPr>
        <w:t> </w:t>
      </w:r>
      <w:r w:rsidR="00CB48B2">
        <w:rPr>
          <w:iCs/>
        </w:rPr>
        <w:t>907</w:t>
      </w:r>
      <w:r w:rsidR="00203E95" w:rsidRPr="001346B7">
        <w:rPr>
          <w:iCs/>
        </w:rPr>
        <w:t> </w:t>
      </w:r>
      <w:r w:rsidR="00CB48B2">
        <w:rPr>
          <w:iCs/>
        </w:rPr>
        <w:t>398</w:t>
      </w:r>
      <w:r w:rsidRPr="001346B7">
        <w:rPr>
          <w:iCs/>
        </w:rPr>
        <w:t xml:space="preserve"> tis. Kč. Dotace jsou směrovány na financování investičních i neinvestičních akcí a budou krajům poskytnuty přímo z rozpočtů příslušných kapitol. Objemově nejvyšší je dotace v kapitole Ministerstva školství, mládeže a tělovýchovy (v předpokládané výši </w:t>
      </w:r>
      <w:r w:rsidR="00203E95" w:rsidRPr="001346B7">
        <w:rPr>
          <w:iCs/>
        </w:rPr>
        <w:t>83 851 10</w:t>
      </w:r>
      <w:r w:rsidR="00AA0BD6">
        <w:rPr>
          <w:iCs/>
        </w:rPr>
        <w:t>8</w:t>
      </w:r>
      <w:r w:rsidRPr="001346B7">
        <w:rPr>
          <w:iCs/>
        </w:rPr>
        <w:t xml:space="preserve"> tis. Kč), která zahrnuje zejména dotace </w:t>
      </w:r>
      <w:proofErr w:type="gramStart"/>
      <w:r w:rsidRPr="001346B7">
        <w:rPr>
          <w:iCs/>
        </w:rPr>
        <w:t>na  přímé</w:t>
      </w:r>
      <w:proofErr w:type="gramEnd"/>
      <w:r w:rsidRPr="001346B7">
        <w:rPr>
          <w:iCs/>
        </w:rPr>
        <w:t xml:space="preserve"> náklady</w:t>
      </w:r>
      <w:r w:rsidR="003C6E98">
        <w:rPr>
          <w:iCs/>
        </w:rPr>
        <w:t xml:space="preserve"> na vzdělávání</w:t>
      </w:r>
      <w:r w:rsidRPr="001346B7">
        <w:rPr>
          <w:iCs/>
        </w:rPr>
        <w:t xml:space="preserve"> pro školy a školská zařízení zřizovaná kraji, obcemi (příp. dobrovolnými svazky obcí). Přímé náklady jsou tvořeny osobními výdaji (jedná se o platy pedagogických a nepedagogických pracovníků, pojistné a další související platby) a ostatními přímými neinvestičními výdaji (jedná se o učebnice, učební pomůcky apod.). Podle zákona č. 561/2004 Sb., o předškolním, základním, středním, vyšším odborném a jiném vzdělávání</w:t>
      </w:r>
      <w:r w:rsidR="00412F71" w:rsidRPr="001346B7">
        <w:rPr>
          <w:iCs/>
        </w:rPr>
        <w:t>, ve znění pozdějších předpisů,</w:t>
      </w:r>
      <w:r w:rsidRPr="001346B7">
        <w:rPr>
          <w:iCs/>
        </w:rPr>
        <w:t xml:space="preserve"> kraj rozepisuje a přímo přiděluje dotace předškolním zařízením, školám a školským zařízením zřizovaným obcemi, tzn., že tyto prostředky neprocházejí rozpočty obcí.</w:t>
      </w:r>
    </w:p>
    <w:p w:rsidR="001E2B6D" w:rsidRPr="007961B5" w:rsidRDefault="001E2B6D" w:rsidP="00DE4418">
      <w:pPr>
        <w:spacing w:after="120" w:line="360" w:lineRule="auto"/>
        <w:jc w:val="both"/>
        <w:rPr>
          <w:iCs/>
        </w:rPr>
      </w:pPr>
      <w:r w:rsidRPr="007961B5">
        <w:rPr>
          <w:iCs/>
        </w:rPr>
        <w:lastRenderedPageBreak/>
        <w:t xml:space="preserve">Významnější objemy transferů pro kraje jsou dále rozpočtovány v kapitole Ministerstva práce a sociálních věcí </w:t>
      </w:r>
      <w:r w:rsidR="00F6344B" w:rsidRPr="007961B5">
        <w:rPr>
          <w:iCs/>
        </w:rPr>
        <w:t>(</w:t>
      </w:r>
      <w:r w:rsidR="005C6EDF" w:rsidRPr="007961B5">
        <w:rPr>
          <w:iCs/>
        </w:rPr>
        <w:t>zejména</w:t>
      </w:r>
      <w:r w:rsidR="004A3FC0" w:rsidRPr="007961B5">
        <w:rPr>
          <w:iCs/>
        </w:rPr>
        <w:t xml:space="preserve"> </w:t>
      </w:r>
      <w:r w:rsidR="00E30FEB" w:rsidRPr="007961B5">
        <w:rPr>
          <w:iCs/>
        </w:rPr>
        <w:t>transfery spolufinancované z prostředků EU do oblasti sociálního zabezpečení a politiky zaměstnanosti</w:t>
      </w:r>
      <w:r w:rsidR="0085074E" w:rsidRPr="007961B5">
        <w:rPr>
          <w:iCs/>
        </w:rPr>
        <w:t xml:space="preserve">) ve výši </w:t>
      </w:r>
      <w:r w:rsidR="00E30FEB" w:rsidRPr="007961B5">
        <w:rPr>
          <w:iCs/>
        </w:rPr>
        <w:t>3 930 975 tis. Kč</w:t>
      </w:r>
      <w:r w:rsidR="0085074E" w:rsidRPr="007961B5">
        <w:rPr>
          <w:iCs/>
        </w:rPr>
        <w:t xml:space="preserve"> </w:t>
      </w:r>
      <w:r w:rsidR="0085074E" w:rsidRPr="007961B5">
        <w:rPr>
          <w:rStyle w:val="Znakapoznpodarou"/>
          <w:iCs/>
        </w:rPr>
        <w:footnoteReference w:id="13"/>
      </w:r>
      <w:r w:rsidR="00F6344B" w:rsidRPr="007961B5">
        <w:rPr>
          <w:iCs/>
        </w:rPr>
        <w:t xml:space="preserve"> </w:t>
      </w:r>
      <w:r w:rsidRPr="007961B5">
        <w:rPr>
          <w:iCs/>
        </w:rPr>
        <w:t xml:space="preserve">a Ministerstva </w:t>
      </w:r>
      <w:r w:rsidR="00F6344B" w:rsidRPr="007961B5">
        <w:rPr>
          <w:iCs/>
        </w:rPr>
        <w:t>dopravy (</w:t>
      </w:r>
      <w:r w:rsidR="005C6EDF" w:rsidRPr="007961B5">
        <w:rPr>
          <w:iCs/>
        </w:rPr>
        <w:t xml:space="preserve">zejména prostředky na </w:t>
      </w:r>
      <w:r w:rsidR="00B14D4F" w:rsidRPr="007961B5">
        <w:rPr>
          <w:iCs/>
        </w:rPr>
        <w:t>ú</w:t>
      </w:r>
      <w:r w:rsidR="005C6EDF" w:rsidRPr="007961B5">
        <w:rPr>
          <w:iCs/>
        </w:rPr>
        <w:t xml:space="preserve">hradu ztráty </w:t>
      </w:r>
      <w:r w:rsidR="00B14D4F" w:rsidRPr="007961B5">
        <w:rPr>
          <w:iCs/>
        </w:rPr>
        <w:t>ze závazku</w:t>
      </w:r>
      <w:r w:rsidR="005C6EDF" w:rsidRPr="007961B5">
        <w:rPr>
          <w:iCs/>
        </w:rPr>
        <w:t xml:space="preserve"> </w:t>
      </w:r>
      <w:r w:rsidR="00B14D4F" w:rsidRPr="007961B5">
        <w:rPr>
          <w:iCs/>
        </w:rPr>
        <w:t xml:space="preserve">ve </w:t>
      </w:r>
      <w:r w:rsidR="005C6EDF" w:rsidRPr="007961B5">
        <w:rPr>
          <w:iCs/>
        </w:rPr>
        <w:t xml:space="preserve">veřejné drážní </w:t>
      </w:r>
      <w:r w:rsidR="00B14D4F" w:rsidRPr="007961B5">
        <w:rPr>
          <w:iCs/>
        </w:rPr>
        <w:t xml:space="preserve">osobní </w:t>
      </w:r>
      <w:r w:rsidR="005C6EDF" w:rsidRPr="007961B5">
        <w:rPr>
          <w:iCs/>
        </w:rPr>
        <w:t>dopravě)</w:t>
      </w:r>
      <w:r w:rsidR="0085074E" w:rsidRPr="007961B5">
        <w:rPr>
          <w:iCs/>
        </w:rPr>
        <w:t xml:space="preserve"> v navrhované výši</w:t>
      </w:r>
      <w:r w:rsidR="00E30FEB" w:rsidRPr="007961B5">
        <w:rPr>
          <w:iCs/>
        </w:rPr>
        <w:t xml:space="preserve"> 2</w:t>
      </w:r>
      <w:r w:rsidR="00245BF3">
        <w:rPr>
          <w:iCs/>
        </w:rPr>
        <w:t xml:space="preserve"> </w:t>
      </w:r>
      <w:r w:rsidR="00E30FEB" w:rsidRPr="007961B5">
        <w:rPr>
          <w:iCs/>
        </w:rPr>
        <w:t>559 658 tis</w:t>
      </w:r>
      <w:r w:rsidR="0085074E" w:rsidRPr="007961B5">
        <w:rPr>
          <w:iCs/>
        </w:rPr>
        <w:t>. Kč</w:t>
      </w:r>
      <w:r w:rsidR="005C6EDF" w:rsidRPr="007961B5">
        <w:rPr>
          <w:iCs/>
        </w:rPr>
        <w:t>.</w:t>
      </w:r>
    </w:p>
    <w:p w:rsidR="001E2B6D" w:rsidRPr="00D21F6F" w:rsidRDefault="001E2B6D" w:rsidP="00132833">
      <w:pPr>
        <w:pStyle w:val="Nadpis2"/>
      </w:pPr>
      <w:bookmarkStart w:id="42" w:name="_Toc206898256"/>
      <w:bookmarkStart w:id="43" w:name="_Toc302458281"/>
      <w:bookmarkStart w:id="44" w:name="_Toc302458323"/>
      <w:bookmarkStart w:id="45" w:name="_Toc399489407"/>
      <w:bookmarkStart w:id="46" w:name="_Toc428431399"/>
      <w:r w:rsidRPr="00D21F6F">
        <w:t>Dotace ze státního rozpočtu pro regionální rady regionů soudržnosti v roce 201</w:t>
      </w:r>
      <w:bookmarkEnd w:id="42"/>
      <w:bookmarkEnd w:id="43"/>
      <w:bookmarkEnd w:id="44"/>
      <w:bookmarkEnd w:id="45"/>
      <w:r w:rsidR="002C0E16">
        <w:t>6</w:t>
      </w:r>
      <w:bookmarkEnd w:id="46"/>
    </w:p>
    <w:p w:rsidR="001E2B6D" w:rsidRPr="00086535" w:rsidRDefault="001E2B6D" w:rsidP="00DE4418">
      <w:pPr>
        <w:spacing w:after="120" w:line="360" w:lineRule="auto"/>
        <w:jc w:val="both"/>
        <w:rPr>
          <w:iCs/>
        </w:rPr>
      </w:pPr>
      <w:r w:rsidRPr="00086535">
        <w:rPr>
          <w:iCs/>
        </w:rPr>
        <w:t>V kapitole Ministerstva pro místní rozvoj j</w:t>
      </w:r>
      <w:r w:rsidR="00715ADA" w:rsidRPr="00086535">
        <w:rPr>
          <w:iCs/>
        </w:rPr>
        <w:t xml:space="preserve">iž nejsou </w:t>
      </w:r>
      <w:r w:rsidR="00695B57" w:rsidRPr="00086535">
        <w:rPr>
          <w:iCs/>
        </w:rPr>
        <w:t xml:space="preserve">pro regionální rady </w:t>
      </w:r>
      <w:r w:rsidR="00555901" w:rsidRPr="00086535">
        <w:rPr>
          <w:iCs/>
        </w:rPr>
        <w:t>rozpočtovány</w:t>
      </w:r>
      <w:r w:rsidRPr="00086535">
        <w:rPr>
          <w:iCs/>
        </w:rPr>
        <w:t xml:space="preserve"> </w:t>
      </w:r>
      <w:r w:rsidR="00715ADA" w:rsidRPr="00086535">
        <w:rPr>
          <w:iCs/>
        </w:rPr>
        <w:t>žádné prostředky.</w:t>
      </w:r>
    </w:p>
    <w:p w:rsidR="001E2B6D" w:rsidRPr="00105922" w:rsidRDefault="001E2B6D" w:rsidP="001E2B6D">
      <w:pPr>
        <w:pStyle w:val="Nadpis1"/>
        <w:tabs>
          <w:tab w:val="num" w:pos="0"/>
        </w:tabs>
        <w:spacing w:before="120" w:after="0" w:line="360" w:lineRule="auto"/>
        <w:rPr>
          <w:sz w:val="28"/>
          <w:szCs w:val="28"/>
          <w:u w:val="none"/>
        </w:rPr>
      </w:pPr>
      <w:bookmarkStart w:id="47" w:name="_Toc206898257"/>
      <w:bookmarkStart w:id="48" w:name="_Toc302458282"/>
      <w:bookmarkStart w:id="49" w:name="_Toc302458324"/>
      <w:r>
        <w:rPr>
          <w:sz w:val="28"/>
          <w:szCs w:val="28"/>
          <w:u w:val="none"/>
        </w:rPr>
        <w:br w:type="page"/>
      </w:r>
      <w:bookmarkStart w:id="50" w:name="_Toc399489408"/>
      <w:bookmarkStart w:id="51" w:name="_Toc428431400"/>
      <w:r w:rsidRPr="00105922">
        <w:rPr>
          <w:sz w:val="28"/>
          <w:szCs w:val="28"/>
          <w:u w:val="none"/>
        </w:rPr>
        <w:lastRenderedPageBreak/>
        <w:t>T</w:t>
      </w:r>
      <w:bookmarkEnd w:id="47"/>
      <w:bookmarkEnd w:id="48"/>
      <w:bookmarkEnd w:id="49"/>
      <w:r w:rsidRPr="00105922">
        <w:rPr>
          <w:sz w:val="28"/>
          <w:szCs w:val="28"/>
          <w:u w:val="none"/>
        </w:rPr>
        <w:t>abulkové přílohy</w:t>
      </w:r>
      <w:bookmarkEnd w:id="50"/>
      <w:bookmarkEnd w:id="51"/>
    </w:p>
    <w:p w:rsidR="001E2B6D" w:rsidRPr="009C14A8" w:rsidRDefault="001E2B6D" w:rsidP="001E2B6D">
      <w:pPr>
        <w:tabs>
          <w:tab w:val="num" w:pos="0"/>
          <w:tab w:val="left" w:pos="1418"/>
        </w:tabs>
        <w:spacing w:before="120"/>
        <w:ind w:left="1418" w:hanging="1418"/>
        <w:jc w:val="both"/>
      </w:pPr>
      <w:r w:rsidRPr="0067608F">
        <w:rPr>
          <w:b/>
        </w:rPr>
        <w:t>Příloha č. 1</w:t>
      </w:r>
      <w:r w:rsidRPr="006F2BAD">
        <w:t xml:space="preserve"> </w:t>
      </w:r>
      <w:r w:rsidRPr="009C14A8">
        <w:t>–</w:t>
      </w:r>
      <w:r>
        <w:tab/>
      </w:r>
      <w:r w:rsidRPr="005B4794">
        <w:t>Predikce hospodaření územních samosprávných celků, dobrovolných svazků obcí a regionálních rad regionů soudržnosti v letech 201</w:t>
      </w:r>
      <w:r w:rsidR="00374A5A">
        <w:t>5</w:t>
      </w:r>
      <w:r w:rsidRPr="005B4794">
        <w:t xml:space="preserve"> a 201</w:t>
      </w:r>
      <w:r w:rsidR="00374A5A">
        <w:t>6</w:t>
      </w:r>
    </w:p>
    <w:p w:rsidR="001E2B6D" w:rsidRDefault="001E2B6D" w:rsidP="001E2B6D">
      <w:pPr>
        <w:tabs>
          <w:tab w:val="num" w:pos="0"/>
          <w:tab w:val="left" w:pos="1418"/>
        </w:tabs>
        <w:spacing w:before="120"/>
        <w:ind w:left="1418" w:hanging="1418"/>
        <w:jc w:val="both"/>
      </w:pPr>
      <w:r w:rsidRPr="003D0C41">
        <w:rPr>
          <w:b/>
        </w:rPr>
        <w:t>Příloha č. 2</w:t>
      </w:r>
      <w:r w:rsidRPr="003D0C41">
        <w:t xml:space="preserve"> – </w:t>
      </w:r>
      <w:r w:rsidRPr="003D0C41">
        <w:tab/>
      </w:r>
      <w:r w:rsidRPr="008B5E52">
        <w:t xml:space="preserve">Vývoj daňových příjmů obcí a krajů v </w:t>
      </w:r>
      <w:r>
        <w:t>letech</w:t>
      </w:r>
      <w:r w:rsidRPr="008B5E52">
        <w:t xml:space="preserve"> 201</w:t>
      </w:r>
      <w:r w:rsidR="00374A5A">
        <w:t>5</w:t>
      </w:r>
      <w:r w:rsidRPr="008B5E52">
        <w:t xml:space="preserve"> a 201</w:t>
      </w:r>
      <w:r w:rsidR="00374A5A">
        <w:t>6</w:t>
      </w:r>
    </w:p>
    <w:p w:rsidR="001E2B6D" w:rsidRPr="009C14A8" w:rsidRDefault="001E2B6D" w:rsidP="001E2B6D">
      <w:pPr>
        <w:tabs>
          <w:tab w:val="num" w:pos="0"/>
          <w:tab w:val="left" w:pos="1418"/>
        </w:tabs>
        <w:spacing w:before="120"/>
        <w:ind w:left="1418" w:hanging="1418"/>
        <w:jc w:val="both"/>
      </w:pPr>
      <w:r w:rsidRPr="0067608F">
        <w:rPr>
          <w:b/>
        </w:rPr>
        <w:t>Příloha č. 3</w:t>
      </w:r>
      <w:r w:rsidRPr="006F2BAD">
        <w:t xml:space="preserve"> </w:t>
      </w:r>
      <w:r w:rsidRPr="009C14A8">
        <w:t xml:space="preserve">– </w:t>
      </w:r>
      <w:r>
        <w:tab/>
      </w:r>
      <w:r w:rsidRPr="009C14A8">
        <w:t>Vybrané dotace územním samosprávným celkům z kapitoly Všeobecná pokladní správa v roce 201</w:t>
      </w:r>
      <w:r w:rsidR="00374A5A">
        <w:t>6</w:t>
      </w:r>
    </w:p>
    <w:p w:rsidR="001E2B6D" w:rsidRPr="00282E83" w:rsidRDefault="001E2B6D" w:rsidP="001E2B6D">
      <w:pPr>
        <w:tabs>
          <w:tab w:val="num" w:pos="0"/>
          <w:tab w:val="left" w:pos="1418"/>
        </w:tabs>
        <w:spacing w:before="120"/>
        <w:ind w:left="1418" w:hanging="1418"/>
        <w:jc w:val="both"/>
      </w:pPr>
      <w:r w:rsidRPr="0067608F">
        <w:rPr>
          <w:b/>
        </w:rPr>
        <w:t>Příloha č. 4</w:t>
      </w:r>
      <w:r w:rsidRPr="009C14A8">
        <w:t xml:space="preserve"> – </w:t>
      </w:r>
      <w:r>
        <w:tab/>
      </w:r>
      <w:r w:rsidRPr="005B7C32">
        <w:t xml:space="preserve">Výdaje vedené v informačním systému programového financování EDS/SMVS </w:t>
      </w:r>
      <w:r w:rsidRPr="009C14A8">
        <w:t>celkem v roce 201</w:t>
      </w:r>
      <w:r w:rsidR="00374A5A">
        <w:t>6</w:t>
      </w:r>
      <w:r w:rsidRPr="009C14A8">
        <w:t xml:space="preserve"> ve vztahu k obcím a krajům v kapitole Všeobecná pokladní správa</w:t>
      </w:r>
    </w:p>
    <w:p w:rsidR="00A377BB" w:rsidRDefault="00A377BB" w:rsidP="00A377BB">
      <w:pPr>
        <w:rPr>
          <w:b/>
          <w:sz w:val="40"/>
          <w:szCs w:val="40"/>
        </w:rPr>
      </w:pPr>
    </w:p>
    <w:sectPr w:rsidR="00A377BB" w:rsidSect="00CA350A">
      <w:footerReference w:type="even" r:id="rId20"/>
      <w:footerReference w:type="default" r:id="rId21"/>
      <w:pgSz w:w="11906" w:h="16838"/>
      <w:pgMar w:top="1438" w:right="1418" w:bottom="125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990" w:rsidRDefault="00BE5990">
      <w:r>
        <w:separator/>
      </w:r>
    </w:p>
  </w:endnote>
  <w:endnote w:type="continuationSeparator" w:id="0">
    <w:p w:rsidR="00BE5990" w:rsidRDefault="00BE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B59" w:rsidRDefault="00AF5B59" w:rsidP="00B34C2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rsidR="00AF5B59" w:rsidRDefault="00AF5B59" w:rsidP="00775EE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B59" w:rsidRDefault="00AF5B59">
    <w:pPr>
      <w:pStyle w:val="Zpat"/>
      <w:jc w:val="center"/>
    </w:pPr>
    <w:r>
      <w:fldChar w:fldCharType="begin"/>
    </w:r>
    <w:r>
      <w:instrText>PAGE   \* MERGEFORMAT</w:instrText>
    </w:r>
    <w:r>
      <w:fldChar w:fldCharType="separate"/>
    </w:r>
    <w:r w:rsidR="00953CE2">
      <w:rPr>
        <w:noProof/>
      </w:rPr>
      <w:t>21</w:t>
    </w:r>
    <w:r>
      <w:fldChar w:fldCharType="end"/>
    </w:r>
  </w:p>
  <w:p w:rsidR="00AF5B59" w:rsidRDefault="00AF5B59" w:rsidP="00775EE1">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990" w:rsidRDefault="00BE5990">
      <w:r>
        <w:separator/>
      </w:r>
    </w:p>
  </w:footnote>
  <w:footnote w:type="continuationSeparator" w:id="0">
    <w:p w:rsidR="00BE5990" w:rsidRDefault="00BE5990">
      <w:r>
        <w:continuationSeparator/>
      </w:r>
    </w:p>
  </w:footnote>
  <w:footnote w:id="1">
    <w:p w:rsidR="00AF5B59" w:rsidRPr="00842937" w:rsidRDefault="00AF5B59" w:rsidP="003220CA">
      <w:pPr>
        <w:ind w:left="142" w:hanging="142"/>
        <w:rPr>
          <w:sz w:val="18"/>
          <w:szCs w:val="18"/>
        </w:rPr>
      </w:pPr>
      <w:r w:rsidRPr="00DE63D5">
        <w:rPr>
          <w:sz w:val="18"/>
          <w:szCs w:val="18"/>
          <w:vertAlign w:val="superscript"/>
        </w:rPr>
        <w:footnoteRef/>
      </w:r>
      <w:r w:rsidRPr="009C3029">
        <w:rPr>
          <w:sz w:val="18"/>
          <w:szCs w:val="18"/>
        </w:rPr>
        <w:t xml:space="preserve"> upravuje</w:t>
      </w:r>
      <w:r w:rsidRPr="00D06F81">
        <w:rPr>
          <w:sz w:val="20"/>
          <w:szCs w:val="20"/>
        </w:rPr>
        <w:t xml:space="preserve"> </w:t>
      </w:r>
      <w:r w:rsidRPr="00842937">
        <w:rPr>
          <w:b/>
          <w:sz w:val="18"/>
          <w:szCs w:val="18"/>
        </w:rPr>
        <w:t xml:space="preserve">zejména </w:t>
      </w:r>
      <w:r w:rsidRPr="00842937">
        <w:rPr>
          <w:b/>
          <w:bCs/>
          <w:sz w:val="18"/>
          <w:szCs w:val="18"/>
        </w:rPr>
        <w:t>zákon č. 250/2000 Sb.</w:t>
      </w:r>
      <w:r w:rsidRPr="00842937">
        <w:rPr>
          <w:sz w:val="18"/>
          <w:szCs w:val="18"/>
        </w:rPr>
        <w:t>, o rozpočtových pravidlech územních rozpočtů</w:t>
      </w:r>
      <w:r>
        <w:rPr>
          <w:sz w:val="18"/>
          <w:szCs w:val="18"/>
        </w:rPr>
        <w:t xml:space="preserve">, ve znění pozdějších předpisů </w:t>
      </w:r>
      <w:r w:rsidRPr="00842937">
        <w:rPr>
          <w:sz w:val="18"/>
          <w:szCs w:val="18"/>
        </w:rPr>
        <w:t>a</w:t>
      </w:r>
      <w:r w:rsidRPr="00842937">
        <w:rPr>
          <w:b/>
          <w:bCs/>
          <w:sz w:val="18"/>
          <w:szCs w:val="18"/>
        </w:rPr>
        <w:t xml:space="preserve"> zákon č. 243/2000 Sb.</w:t>
      </w:r>
      <w:r w:rsidRPr="00842937">
        <w:rPr>
          <w:sz w:val="18"/>
          <w:szCs w:val="18"/>
        </w:rPr>
        <w:t xml:space="preserve">, o rozpočtovém určení daní, ve znění pozdějších předpisů </w:t>
      </w:r>
    </w:p>
  </w:footnote>
  <w:footnote w:id="2">
    <w:p w:rsidR="00AF5B59" w:rsidRPr="00DB416C" w:rsidRDefault="00AF5B59" w:rsidP="00666F7B">
      <w:pPr>
        <w:pStyle w:val="Textpoznpodarou"/>
        <w:ind w:left="142" w:hanging="142"/>
        <w:jc w:val="both"/>
        <w:rPr>
          <w:sz w:val="18"/>
          <w:szCs w:val="18"/>
        </w:rPr>
      </w:pPr>
      <w:r>
        <w:rPr>
          <w:rStyle w:val="Znakapoznpodarou"/>
        </w:rPr>
        <w:footnoteRef/>
      </w:r>
      <w:r>
        <w:t xml:space="preserve"> </w:t>
      </w:r>
      <w:r w:rsidRPr="00DB416C">
        <w:rPr>
          <w:sz w:val="18"/>
          <w:szCs w:val="18"/>
        </w:rPr>
        <w:t xml:space="preserve">Inkaso DPH bylo negativně ovlivněno např. zavedením druhé snížené sazby daně, vyplacením nadměrných odpočtů zadržených v roce 2014. </w:t>
      </w:r>
    </w:p>
  </w:footnote>
  <w:footnote w:id="3">
    <w:p w:rsidR="00B70071" w:rsidRPr="00DB416C" w:rsidRDefault="00B70071" w:rsidP="00666F7B">
      <w:pPr>
        <w:pStyle w:val="Textpoznpodarou"/>
        <w:ind w:left="142" w:hanging="142"/>
        <w:jc w:val="both"/>
        <w:rPr>
          <w:sz w:val="18"/>
          <w:szCs w:val="18"/>
        </w:rPr>
      </w:pPr>
      <w:r w:rsidRPr="00DB416C">
        <w:rPr>
          <w:rStyle w:val="Znakapoznpodarou"/>
          <w:sz w:val="18"/>
          <w:szCs w:val="18"/>
        </w:rPr>
        <w:footnoteRef/>
      </w:r>
      <w:r w:rsidRPr="00DB416C">
        <w:rPr>
          <w:color w:val="FF0000"/>
          <w:sz w:val="18"/>
          <w:szCs w:val="18"/>
        </w:rPr>
        <w:t xml:space="preserve"> </w:t>
      </w:r>
      <w:r w:rsidRPr="00DB416C">
        <w:rPr>
          <w:sz w:val="18"/>
          <w:szCs w:val="18"/>
        </w:rPr>
        <w:t>Podíl obcí na dani z příjmů fyzických osob ze závislé činnosti bude činit 23,58 % (zákon č. 295/2000 Sb.), přestane platit korekce podílu na DPFO ze závislé činnosti v souvislosti s opatřeními daňového balíčku pro roky 2013 – 2015.</w:t>
      </w:r>
    </w:p>
  </w:footnote>
  <w:footnote w:id="4">
    <w:p w:rsidR="00AF5B59" w:rsidRPr="00DB416C" w:rsidRDefault="00AF5B59" w:rsidP="00DB416C">
      <w:pPr>
        <w:pStyle w:val="Textpoznpodarou"/>
        <w:jc w:val="both"/>
        <w:rPr>
          <w:sz w:val="18"/>
          <w:szCs w:val="18"/>
        </w:rPr>
      </w:pPr>
      <w:r w:rsidRPr="00DB416C">
        <w:rPr>
          <w:rStyle w:val="Znakapoznpodarou"/>
          <w:sz w:val="18"/>
          <w:szCs w:val="18"/>
        </w:rPr>
        <w:footnoteRef/>
      </w:r>
      <w:r w:rsidRPr="00DB416C">
        <w:rPr>
          <w:sz w:val="18"/>
          <w:szCs w:val="18"/>
        </w:rPr>
        <w:t xml:space="preserve"> Zpráva k návrhu zákon</w:t>
      </w:r>
      <w:r w:rsidR="00BE6250">
        <w:rPr>
          <w:sz w:val="18"/>
          <w:szCs w:val="18"/>
        </w:rPr>
        <w:t>a</w:t>
      </w:r>
      <w:r w:rsidRPr="00DB416C">
        <w:rPr>
          <w:sz w:val="18"/>
          <w:szCs w:val="18"/>
        </w:rPr>
        <w:t xml:space="preserve"> o státním rozpočtu ČR na rok 2016</w:t>
      </w:r>
      <w:r w:rsidR="00BE6250">
        <w:rPr>
          <w:sz w:val="18"/>
          <w:szCs w:val="18"/>
        </w:rPr>
        <w:t>.</w:t>
      </w:r>
      <w:r w:rsidRPr="00DB416C">
        <w:rPr>
          <w:sz w:val="18"/>
          <w:szCs w:val="18"/>
        </w:rPr>
        <w:t xml:space="preserve"> </w:t>
      </w:r>
    </w:p>
  </w:footnote>
  <w:footnote w:id="5">
    <w:p w:rsidR="00AF5B59" w:rsidRPr="00485E81" w:rsidRDefault="00AF5B59" w:rsidP="009B66E3">
      <w:pPr>
        <w:pStyle w:val="Textpoznpodarou"/>
        <w:ind w:left="142" w:hanging="142"/>
        <w:jc w:val="both"/>
        <w:rPr>
          <w:sz w:val="18"/>
          <w:szCs w:val="18"/>
        </w:rPr>
      </w:pPr>
      <w:r>
        <w:rPr>
          <w:rStyle w:val="Znakapoznpodarou"/>
        </w:rPr>
        <w:footnoteRef/>
      </w:r>
      <w:r>
        <w:t xml:space="preserve"> </w:t>
      </w:r>
      <w:r w:rsidRPr="00485E81">
        <w:rPr>
          <w:sz w:val="18"/>
          <w:szCs w:val="18"/>
        </w:rPr>
        <w:t xml:space="preserve">Inkaso DPH bylo negativně ovlivněno např. zavedením druhé snížené sazby daně, vyplacením nadměrných odpočtů zadržených v roce 2014. </w:t>
      </w:r>
    </w:p>
  </w:footnote>
  <w:footnote w:id="6">
    <w:p w:rsidR="00AF5B59" w:rsidRPr="004A48BA" w:rsidRDefault="00AF5B59" w:rsidP="004E30F8">
      <w:pPr>
        <w:pStyle w:val="Textpoznpodarou"/>
        <w:ind w:left="142" w:hanging="142"/>
        <w:jc w:val="both"/>
        <w:rPr>
          <w:sz w:val="18"/>
          <w:szCs w:val="18"/>
        </w:rPr>
      </w:pPr>
      <w:r w:rsidRPr="004A48BA">
        <w:rPr>
          <w:rStyle w:val="Znakapoznpodarou"/>
          <w:sz w:val="18"/>
          <w:szCs w:val="18"/>
        </w:rPr>
        <w:footnoteRef/>
      </w:r>
      <w:r w:rsidRPr="004A48BA">
        <w:rPr>
          <w:sz w:val="18"/>
          <w:szCs w:val="18"/>
        </w:rPr>
        <w:t xml:space="preserve"> Zákon č. 500/2012 Sb. (korekce podílu na DPFO ze závislé činnosti v souvislosti s opatřeními daňového balíčku</w:t>
      </w:r>
      <w:r w:rsidR="004E30F8">
        <w:rPr>
          <w:sz w:val="18"/>
          <w:szCs w:val="18"/>
        </w:rPr>
        <w:t>)</w:t>
      </w:r>
      <w:r w:rsidRPr="004A48BA">
        <w:rPr>
          <w:sz w:val="18"/>
          <w:szCs w:val="18"/>
        </w:rPr>
        <w:t xml:space="preserve"> </w:t>
      </w:r>
      <w:proofErr w:type="gramStart"/>
      <w:r w:rsidRPr="004A48BA">
        <w:rPr>
          <w:sz w:val="18"/>
          <w:szCs w:val="18"/>
        </w:rPr>
        <w:t xml:space="preserve">platila </w:t>
      </w:r>
      <w:r w:rsidR="004E30F8">
        <w:rPr>
          <w:sz w:val="18"/>
          <w:szCs w:val="18"/>
        </w:rPr>
        <w:t xml:space="preserve"> </w:t>
      </w:r>
      <w:r w:rsidRPr="004A48BA">
        <w:rPr>
          <w:sz w:val="18"/>
          <w:szCs w:val="18"/>
        </w:rPr>
        <w:t>pouze</w:t>
      </w:r>
      <w:proofErr w:type="gramEnd"/>
      <w:r w:rsidRPr="004A48BA">
        <w:rPr>
          <w:sz w:val="18"/>
          <w:szCs w:val="18"/>
        </w:rPr>
        <w:t xml:space="preserve"> pro roky 2013 – 2015)</w:t>
      </w:r>
    </w:p>
  </w:footnote>
  <w:footnote w:id="7">
    <w:p w:rsidR="00AF5B59" w:rsidRPr="004A48BA" w:rsidRDefault="00AF5B59" w:rsidP="004A48BA">
      <w:pPr>
        <w:pStyle w:val="Textpoznpodarou"/>
        <w:jc w:val="both"/>
        <w:rPr>
          <w:sz w:val="18"/>
          <w:szCs w:val="18"/>
        </w:rPr>
      </w:pPr>
      <w:r w:rsidRPr="004A48BA">
        <w:rPr>
          <w:rStyle w:val="Znakapoznpodarou"/>
          <w:sz w:val="18"/>
          <w:szCs w:val="18"/>
        </w:rPr>
        <w:footnoteRef/>
      </w:r>
      <w:r w:rsidRPr="004A48BA">
        <w:rPr>
          <w:sz w:val="18"/>
          <w:szCs w:val="18"/>
        </w:rPr>
        <w:t xml:space="preserve"> Zpráva k návrhu zákon o státním rozpočtu ČR na rok 2016</w:t>
      </w:r>
      <w:r w:rsidR="009431C9">
        <w:rPr>
          <w:sz w:val="18"/>
          <w:szCs w:val="18"/>
        </w:rPr>
        <w:t>.</w:t>
      </w:r>
      <w:r w:rsidRPr="004A48BA">
        <w:rPr>
          <w:sz w:val="18"/>
          <w:szCs w:val="18"/>
        </w:rPr>
        <w:t xml:space="preserve"> </w:t>
      </w:r>
    </w:p>
  </w:footnote>
  <w:footnote w:id="8">
    <w:p w:rsidR="00AF5B59" w:rsidRPr="004A48BA" w:rsidRDefault="00AF5B59" w:rsidP="004E30F8">
      <w:pPr>
        <w:pStyle w:val="Zkladntextodsazen2"/>
        <w:autoSpaceDE w:val="0"/>
        <w:autoSpaceDN w:val="0"/>
        <w:spacing w:after="0" w:line="240" w:lineRule="auto"/>
        <w:ind w:left="142" w:hanging="142"/>
        <w:jc w:val="both"/>
        <w:rPr>
          <w:sz w:val="18"/>
          <w:szCs w:val="18"/>
        </w:rPr>
      </w:pPr>
      <w:r w:rsidRPr="004A48BA">
        <w:rPr>
          <w:rStyle w:val="Znakapoznpodarou"/>
          <w:sz w:val="18"/>
          <w:szCs w:val="18"/>
        </w:rPr>
        <w:footnoteRef/>
      </w:r>
      <w:r w:rsidRPr="004A48BA">
        <w:rPr>
          <w:sz w:val="18"/>
          <w:szCs w:val="18"/>
        </w:rPr>
        <w:t xml:space="preserve"> Tato změna přinesla navýšení objemu transferů v rozpočtech krajů</w:t>
      </w:r>
      <w:r w:rsidR="009431C9">
        <w:rPr>
          <w:sz w:val="18"/>
          <w:szCs w:val="18"/>
        </w:rPr>
        <w:t xml:space="preserve"> a o</w:t>
      </w:r>
      <w:r w:rsidRPr="004A48BA">
        <w:rPr>
          <w:sz w:val="18"/>
          <w:szCs w:val="18"/>
        </w:rPr>
        <w:t>dráží se i na výši výdajů. O posk</w:t>
      </w:r>
      <w:r w:rsidR="009431C9">
        <w:rPr>
          <w:sz w:val="18"/>
          <w:szCs w:val="18"/>
        </w:rPr>
        <w:t xml:space="preserve">ytnutí finančních </w:t>
      </w:r>
      <w:proofErr w:type="gramStart"/>
      <w:r w:rsidR="009431C9">
        <w:rPr>
          <w:sz w:val="18"/>
          <w:szCs w:val="18"/>
        </w:rPr>
        <w:t xml:space="preserve">prostředků  </w:t>
      </w:r>
      <w:r w:rsidRPr="004A48BA">
        <w:rPr>
          <w:sz w:val="18"/>
          <w:szCs w:val="18"/>
        </w:rPr>
        <w:t>jednotliv</w:t>
      </w:r>
      <w:r w:rsidR="009431C9">
        <w:rPr>
          <w:sz w:val="18"/>
          <w:szCs w:val="18"/>
        </w:rPr>
        <w:t>ým</w:t>
      </w:r>
      <w:proofErr w:type="gramEnd"/>
      <w:r w:rsidR="009431C9">
        <w:rPr>
          <w:sz w:val="18"/>
          <w:szCs w:val="18"/>
        </w:rPr>
        <w:t xml:space="preserve"> </w:t>
      </w:r>
      <w:r w:rsidRPr="004A48BA">
        <w:rPr>
          <w:sz w:val="18"/>
          <w:szCs w:val="18"/>
        </w:rPr>
        <w:t xml:space="preserve"> poskytovatel</w:t>
      </w:r>
      <w:r w:rsidR="009431C9">
        <w:rPr>
          <w:sz w:val="18"/>
          <w:szCs w:val="18"/>
        </w:rPr>
        <w:t>ům</w:t>
      </w:r>
      <w:r w:rsidRPr="004A48BA">
        <w:rPr>
          <w:sz w:val="18"/>
          <w:szCs w:val="18"/>
        </w:rPr>
        <w:t xml:space="preserve"> sociálních služeb rozhoduje rada kraje v souladu s podmínkami schválenými zastupitelstvem kraje.</w:t>
      </w:r>
    </w:p>
  </w:footnote>
  <w:footnote w:id="9">
    <w:p w:rsidR="00AF5B59" w:rsidRPr="00485E81" w:rsidRDefault="00AF5B59" w:rsidP="00BD4150">
      <w:pPr>
        <w:pStyle w:val="Textpoznpodarou"/>
        <w:ind w:left="142" w:hanging="142"/>
        <w:jc w:val="both"/>
        <w:rPr>
          <w:sz w:val="18"/>
          <w:szCs w:val="18"/>
        </w:rPr>
      </w:pPr>
      <w:r>
        <w:rPr>
          <w:rStyle w:val="Znakapoznpodarou"/>
        </w:rPr>
        <w:footnoteRef/>
      </w:r>
      <w:r>
        <w:t xml:space="preserve"> </w:t>
      </w:r>
      <w:r w:rsidRPr="00485E81">
        <w:rPr>
          <w:sz w:val="18"/>
          <w:szCs w:val="18"/>
        </w:rPr>
        <w:t>Změna zákona č. 10</w:t>
      </w:r>
      <w:r w:rsidR="00CD0C32">
        <w:rPr>
          <w:sz w:val="18"/>
          <w:szCs w:val="18"/>
        </w:rPr>
        <w:t>0</w:t>
      </w:r>
      <w:r w:rsidRPr="00485E81">
        <w:rPr>
          <w:sz w:val="18"/>
          <w:szCs w:val="18"/>
        </w:rPr>
        <w:t>/2001 Sb., o posuzování vlivu na životní prostředí</w:t>
      </w:r>
      <w:r>
        <w:rPr>
          <w:sz w:val="18"/>
          <w:szCs w:val="18"/>
        </w:rPr>
        <w:t>, ve znění pozdějších předpisů,</w:t>
      </w:r>
      <w:r w:rsidRPr="00485E81">
        <w:rPr>
          <w:sz w:val="18"/>
          <w:szCs w:val="18"/>
        </w:rPr>
        <w:t xml:space="preserve"> a zákona č.</w:t>
      </w:r>
      <w:r>
        <w:rPr>
          <w:sz w:val="18"/>
          <w:szCs w:val="18"/>
        </w:rPr>
        <w:t> </w:t>
      </w:r>
      <w:r w:rsidRPr="00485E81">
        <w:rPr>
          <w:sz w:val="18"/>
          <w:szCs w:val="18"/>
        </w:rPr>
        <w:t>334/1992</w:t>
      </w:r>
      <w:r w:rsidR="00707F73">
        <w:rPr>
          <w:sz w:val="18"/>
          <w:szCs w:val="18"/>
        </w:rPr>
        <w:t> </w:t>
      </w:r>
      <w:r w:rsidRPr="00485E81">
        <w:rPr>
          <w:sz w:val="18"/>
          <w:szCs w:val="18"/>
        </w:rPr>
        <w:t>Sb., o ochraně zemědělského půdního fondu</w:t>
      </w:r>
      <w:r>
        <w:rPr>
          <w:sz w:val="18"/>
          <w:szCs w:val="18"/>
        </w:rPr>
        <w:t>, ve znění pozdějších předpisů</w:t>
      </w:r>
      <w:r w:rsidRPr="00485E81">
        <w:rPr>
          <w:sz w:val="18"/>
          <w:szCs w:val="18"/>
        </w:rPr>
        <w:t>.</w:t>
      </w:r>
    </w:p>
    <w:p w:rsidR="00AF5B59" w:rsidRDefault="00AF5B59" w:rsidP="00670B81">
      <w:pPr>
        <w:pStyle w:val="Textpoznpodarou"/>
        <w:jc w:val="both"/>
      </w:pPr>
    </w:p>
  </w:footnote>
  <w:footnote w:id="10">
    <w:p w:rsidR="00AF5B59" w:rsidRPr="001565D8" w:rsidRDefault="00AF5B59" w:rsidP="00520C94">
      <w:pPr>
        <w:ind w:left="284" w:hanging="284"/>
        <w:jc w:val="both"/>
        <w:rPr>
          <w:iCs/>
          <w:sz w:val="18"/>
          <w:szCs w:val="18"/>
        </w:rPr>
      </w:pPr>
      <w:r>
        <w:rPr>
          <w:rStyle w:val="Znakapoznpodarou"/>
        </w:rPr>
        <w:footnoteRef/>
      </w:r>
      <w:r>
        <w:t xml:space="preserve"> </w:t>
      </w:r>
      <w:r w:rsidRPr="001565D8">
        <w:rPr>
          <w:iCs/>
          <w:sz w:val="18"/>
          <w:szCs w:val="18"/>
        </w:rPr>
        <w:t>Zřizovateli škol a školských zařízení jsou dle zákona č. 250/2000 Sb., o rozpočtových pravidlech územních rozpočtů i dobrovolné svazky obcí. Nemají daňové příjmy a jsou financovány zejména z dotací členských obcí. D</w:t>
      </w:r>
      <w:r w:rsidR="009B72D4">
        <w:rPr>
          <w:iCs/>
          <w:sz w:val="18"/>
          <w:szCs w:val="18"/>
        </w:rPr>
        <w:t>SO</w:t>
      </w:r>
      <w:r w:rsidRPr="001565D8">
        <w:rPr>
          <w:iCs/>
          <w:sz w:val="18"/>
          <w:szCs w:val="18"/>
        </w:rPr>
        <w:t xml:space="preserve"> mají dle aktuální právní úpravy nárok na příspěvek na školství.</w:t>
      </w:r>
      <w:r w:rsidR="00520C94">
        <w:rPr>
          <w:iCs/>
          <w:sz w:val="18"/>
          <w:szCs w:val="18"/>
        </w:rPr>
        <w:t xml:space="preserve"> V roce 2015 činil příspěvek na</w:t>
      </w:r>
      <w:r w:rsidR="00506C9E">
        <w:rPr>
          <w:iCs/>
          <w:sz w:val="18"/>
          <w:szCs w:val="18"/>
        </w:rPr>
        <w:t xml:space="preserve">1 </w:t>
      </w:r>
      <w:r w:rsidR="00520C94">
        <w:rPr>
          <w:iCs/>
          <w:sz w:val="18"/>
          <w:szCs w:val="18"/>
        </w:rPr>
        <w:t>žáka škol</w:t>
      </w:r>
      <w:r w:rsidR="00506C9E">
        <w:rPr>
          <w:iCs/>
          <w:sz w:val="18"/>
          <w:szCs w:val="18"/>
        </w:rPr>
        <w:t>y</w:t>
      </w:r>
      <w:r w:rsidR="00520C94">
        <w:rPr>
          <w:iCs/>
          <w:sz w:val="18"/>
          <w:szCs w:val="18"/>
        </w:rPr>
        <w:t xml:space="preserve"> zřizovan</w:t>
      </w:r>
      <w:r w:rsidR="00506C9E">
        <w:rPr>
          <w:iCs/>
          <w:sz w:val="18"/>
          <w:szCs w:val="18"/>
        </w:rPr>
        <w:t>é</w:t>
      </w:r>
      <w:r w:rsidR="00520C94">
        <w:rPr>
          <w:iCs/>
          <w:sz w:val="18"/>
          <w:szCs w:val="18"/>
        </w:rPr>
        <w:t xml:space="preserve"> DSO </w:t>
      </w:r>
      <w:r w:rsidR="00506C9E">
        <w:rPr>
          <w:iCs/>
          <w:sz w:val="18"/>
          <w:szCs w:val="18"/>
        </w:rPr>
        <w:t>7</w:t>
      </w:r>
      <w:r w:rsidR="009B72D4">
        <w:rPr>
          <w:iCs/>
          <w:sz w:val="18"/>
          <w:szCs w:val="18"/>
        </w:rPr>
        <w:t> </w:t>
      </w:r>
      <w:r w:rsidR="00506C9E">
        <w:rPr>
          <w:iCs/>
          <w:sz w:val="18"/>
          <w:szCs w:val="18"/>
        </w:rPr>
        <w:t>900</w:t>
      </w:r>
      <w:r w:rsidR="009B72D4">
        <w:rPr>
          <w:iCs/>
          <w:sz w:val="18"/>
          <w:szCs w:val="18"/>
        </w:rPr>
        <w:t> </w:t>
      </w:r>
      <w:r w:rsidR="00506C9E">
        <w:rPr>
          <w:iCs/>
          <w:sz w:val="18"/>
          <w:szCs w:val="18"/>
        </w:rPr>
        <w:t>Kč.</w:t>
      </w:r>
      <w:r w:rsidRPr="001565D8">
        <w:rPr>
          <w:iCs/>
          <w:sz w:val="18"/>
          <w:szCs w:val="18"/>
        </w:rPr>
        <w:t xml:space="preserve"> </w:t>
      </w:r>
    </w:p>
    <w:p w:rsidR="00AF5B59" w:rsidRDefault="00AF5B59" w:rsidP="00520C94">
      <w:pPr>
        <w:pStyle w:val="Textpoznpodarou"/>
        <w:ind w:left="284" w:hanging="284"/>
      </w:pPr>
    </w:p>
  </w:footnote>
  <w:footnote w:id="11">
    <w:p w:rsidR="00AF5B59" w:rsidRDefault="00AF5B59" w:rsidP="009B72D4">
      <w:pPr>
        <w:pStyle w:val="Textpoznpodarou"/>
        <w:ind w:left="142" w:hanging="142"/>
        <w:jc w:val="both"/>
      </w:pPr>
      <w:r>
        <w:rPr>
          <w:rStyle w:val="Znakapoznpodarou"/>
        </w:rPr>
        <w:footnoteRef/>
      </w:r>
      <w:r>
        <w:t xml:space="preserve"> </w:t>
      </w:r>
      <w:r w:rsidRPr="009263F0">
        <w:rPr>
          <w:sz w:val="18"/>
          <w:szCs w:val="18"/>
        </w:rPr>
        <w:t>Uvedený údaj bude mít Ministerstvo financí k dispozici počátkem roku 201</w:t>
      </w:r>
      <w:r>
        <w:rPr>
          <w:sz w:val="18"/>
          <w:szCs w:val="18"/>
        </w:rPr>
        <w:t>6, z tohoto důvodu bude výše příspěvku na žáka navštěvujícího školské zařízení zřizované dobrovolným svazkem obcí propočtena až počátkem uvedeného roku.</w:t>
      </w:r>
      <w:r w:rsidRPr="009263F0">
        <w:rPr>
          <w:sz w:val="18"/>
          <w:szCs w:val="18"/>
        </w:rPr>
        <w:t xml:space="preserve"> </w:t>
      </w:r>
    </w:p>
  </w:footnote>
  <w:footnote w:id="12">
    <w:p w:rsidR="009B72D4" w:rsidRPr="00485E81" w:rsidRDefault="009B72D4" w:rsidP="007E2C28">
      <w:pPr>
        <w:pStyle w:val="Textpoznpodarou"/>
        <w:ind w:left="142" w:hanging="142"/>
        <w:jc w:val="both"/>
        <w:rPr>
          <w:sz w:val="18"/>
          <w:szCs w:val="18"/>
        </w:rPr>
      </w:pPr>
      <w:r>
        <w:rPr>
          <w:rStyle w:val="Znakapoznpodarou"/>
        </w:rPr>
        <w:footnoteRef/>
      </w:r>
      <w:r>
        <w:t xml:space="preserve"> </w:t>
      </w:r>
      <w:r w:rsidRPr="00485E81">
        <w:rPr>
          <w:sz w:val="18"/>
          <w:szCs w:val="18"/>
        </w:rPr>
        <w:t>Změna zákona č. 10</w:t>
      </w:r>
      <w:r w:rsidR="00623124">
        <w:rPr>
          <w:sz w:val="18"/>
          <w:szCs w:val="18"/>
        </w:rPr>
        <w:t>0</w:t>
      </w:r>
      <w:r w:rsidRPr="00485E81">
        <w:rPr>
          <w:sz w:val="18"/>
          <w:szCs w:val="18"/>
        </w:rPr>
        <w:t>/2001 Sb., o posuzování vlivu na životní prostředí</w:t>
      </w:r>
      <w:r>
        <w:rPr>
          <w:sz w:val="18"/>
          <w:szCs w:val="18"/>
        </w:rPr>
        <w:t>, ve znění pozdějších předpisů,</w:t>
      </w:r>
      <w:r w:rsidRPr="00485E81">
        <w:rPr>
          <w:sz w:val="18"/>
          <w:szCs w:val="18"/>
        </w:rPr>
        <w:t xml:space="preserve"> a zákona č.</w:t>
      </w:r>
      <w:r>
        <w:rPr>
          <w:sz w:val="18"/>
          <w:szCs w:val="18"/>
        </w:rPr>
        <w:t> </w:t>
      </w:r>
      <w:r w:rsidRPr="00485E81">
        <w:rPr>
          <w:sz w:val="18"/>
          <w:szCs w:val="18"/>
        </w:rPr>
        <w:t>334/1992 Sb., o ochraně zemědělského půdního fondu</w:t>
      </w:r>
      <w:r>
        <w:rPr>
          <w:sz w:val="18"/>
          <w:szCs w:val="18"/>
        </w:rPr>
        <w:t>, ve znění pozdějších předpisů</w:t>
      </w:r>
      <w:r w:rsidRPr="00485E81">
        <w:rPr>
          <w:sz w:val="18"/>
          <w:szCs w:val="18"/>
        </w:rPr>
        <w:t>.</w:t>
      </w:r>
    </w:p>
  </w:footnote>
  <w:footnote w:id="13">
    <w:p w:rsidR="0085074E" w:rsidRPr="00FB7438" w:rsidRDefault="0085074E" w:rsidP="00FB7438">
      <w:pPr>
        <w:pStyle w:val="Textpoznpodarou"/>
        <w:jc w:val="both"/>
      </w:pPr>
      <w:r w:rsidRPr="00FB7438">
        <w:rPr>
          <w:rStyle w:val="Znakapoznpodarou"/>
        </w:rPr>
        <w:footnoteRef/>
      </w:r>
      <w:r w:rsidRPr="00FB7438">
        <w:t xml:space="preserve"> </w:t>
      </w:r>
      <w:r w:rsidR="007961B5" w:rsidRPr="00FB7438">
        <w:t>Tento o</w:t>
      </w:r>
      <w:r w:rsidRPr="00FB7438">
        <w:t>bjem ne</w:t>
      </w:r>
      <w:r w:rsidR="007961B5" w:rsidRPr="00FB7438">
        <w:t xml:space="preserve">obsahuje </w:t>
      </w:r>
      <w:r w:rsidRPr="00FB7438">
        <w:t xml:space="preserve">prostředky </w:t>
      </w:r>
      <w:r w:rsidR="007961B5" w:rsidRPr="00FB7438">
        <w:t>„</w:t>
      </w:r>
      <w:r w:rsidRPr="00FB7438">
        <w:t>na financování sociálních služeb</w:t>
      </w:r>
      <w:r w:rsidR="007961B5" w:rsidRPr="00FB7438">
        <w:t xml:space="preserve">“ </w:t>
      </w:r>
      <w:r w:rsidRPr="00FB7438">
        <w:t xml:space="preserve">dle zákona č. </w:t>
      </w:r>
      <w:r w:rsidR="002C3842" w:rsidRPr="00FB7438">
        <w:t>108/2006 Sb., o</w:t>
      </w:r>
      <w:r w:rsidR="00F91A8B">
        <w:t> </w:t>
      </w:r>
      <w:r w:rsidR="002C3842" w:rsidRPr="00FB7438">
        <w:t xml:space="preserve">sociálních </w:t>
      </w:r>
      <w:r w:rsidRPr="00FB7438">
        <w:t xml:space="preserve">službách, </w:t>
      </w:r>
      <w:r w:rsidR="0063159B">
        <w:t xml:space="preserve">ve znění pozdějších předpisů, </w:t>
      </w:r>
      <w:r w:rsidRPr="00FB7438">
        <w:t xml:space="preserve">ty </w:t>
      </w:r>
      <w:r w:rsidR="007961B5" w:rsidRPr="00FB7438">
        <w:t>jsou</w:t>
      </w:r>
      <w:r w:rsidR="00FB7438" w:rsidRPr="00FB7438">
        <w:t xml:space="preserve"> resortem rozpočtovány na jiných</w:t>
      </w:r>
      <w:r w:rsidRPr="00FB7438">
        <w:t xml:space="preserve"> položkách RS</w:t>
      </w:r>
      <w:r w:rsidR="00FB7438" w:rsidRPr="00FB7438">
        <w:t>.</w:t>
      </w:r>
      <w:r w:rsidRPr="00FB7438">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61AE"/>
    <w:multiLevelType w:val="hybridMultilevel"/>
    <w:tmpl w:val="2632C24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BC079BF"/>
    <w:multiLevelType w:val="hybridMultilevel"/>
    <w:tmpl w:val="D84A50A8"/>
    <w:lvl w:ilvl="0" w:tplc="04050001">
      <w:start w:val="1"/>
      <w:numFmt w:val="bullet"/>
      <w:lvlText w:val=""/>
      <w:lvlJc w:val="left"/>
      <w:pPr>
        <w:tabs>
          <w:tab w:val="num" w:pos="360"/>
        </w:tabs>
        <w:ind w:left="360" w:hanging="360"/>
      </w:pPr>
      <w:rPr>
        <w:rFonts w:ascii="Symbol" w:hAnsi="Symbol" w:hint="default"/>
      </w:rPr>
    </w:lvl>
    <w:lvl w:ilvl="1" w:tplc="E6DAC0F6">
      <w:start w:val="244"/>
      <w:numFmt w:val="bullet"/>
      <w:lvlText w:val="•"/>
      <w:lvlJc w:val="left"/>
      <w:pPr>
        <w:tabs>
          <w:tab w:val="num" w:pos="1080"/>
        </w:tabs>
        <w:ind w:left="1080" w:hanging="360"/>
      </w:pPr>
      <w:rPr>
        <w:rFonts w:ascii="Calibri" w:hAnsi="Calibri" w:hint="default"/>
      </w:rPr>
    </w:lvl>
    <w:lvl w:ilvl="2" w:tplc="1A92A0EA" w:tentative="1">
      <w:start w:val="1"/>
      <w:numFmt w:val="decimal"/>
      <w:lvlText w:val="%3."/>
      <w:lvlJc w:val="left"/>
      <w:pPr>
        <w:tabs>
          <w:tab w:val="num" w:pos="1800"/>
        </w:tabs>
        <w:ind w:left="1800" w:hanging="360"/>
      </w:pPr>
    </w:lvl>
    <w:lvl w:ilvl="3" w:tplc="A412AF7A" w:tentative="1">
      <w:start w:val="1"/>
      <w:numFmt w:val="decimal"/>
      <w:lvlText w:val="%4."/>
      <w:lvlJc w:val="left"/>
      <w:pPr>
        <w:tabs>
          <w:tab w:val="num" w:pos="2520"/>
        </w:tabs>
        <w:ind w:left="2520" w:hanging="360"/>
      </w:pPr>
    </w:lvl>
    <w:lvl w:ilvl="4" w:tplc="73724A9C" w:tentative="1">
      <w:start w:val="1"/>
      <w:numFmt w:val="decimal"/>
      <w:lvlText w:val="%5."/>
      <w:lvlJc w:val="left"/>
      <w:pPr>
        <w:tabs>
          <w:tab w:val="num" w:pos="3240"/>
        </w:tabs>
        <w:ind w:left="3240" w:hanging="360"/>
      </w:pPr>
    </w:lvl>
    <w:lvl w:ilvl="5" w:tplc="B534FA26" w:tentative="1">
      <w:start w:val="1"/>
      <w:numFmt w:val="decimal"/>
      <w:lvlText w:val="%6."/>
      <w:lvlJc w:val="left"/>
      <w:pPr>
        <w:tabs>
          <w:tab w:val="num" w:pos="3960"/>
        </w:tabs>
        <w:ind w:left="3960" w:hanging="360"/>
      </w:pPr>
    </w:lvl>
    <w:lvl w:ilvl="6" w:tplc="089A463C" w:tentative="1">
      <w:start w:val="1"/>
      <w:numFmt w:val="decimal"/>
      <w:lvlText w:val="%7."/>
      <w:lvlJc w:val="left"/>
      <w:pPr>
        <w:tabs>
          <w:tab w:val="num" w:pos="4680"/>
        </w:tabs>
        <w:ind w:left="4680" w:hanging="360"/>
      </w:pPr>
    </w:lvl>
    <w:lvl w:ilvl="7" w:tplc="FE94FAE0" w:tentative="1">
      <w:start w:val="1"/>
      <w:numFmt w:val="decimal"/>
      <w:lvlText w:val="%8."/>
      <w:lvlJc w:val="left"/>
      <w:pPr>
        <w:tabs>
          <w:tab w:val="num" w:pos="5400"/>
        </w:tabs>
        <w:ind w:left="5400" w:hanging="360"/>
      </w:pPr>
    </w:lvl>
    <w:lvl w:ilvl="8" w:tplc="076ACD62" w:tentative="1">
      <w:start w:val="1"/>
      <w:numFmt w:val="decimal"/>
      <w:lvlText w:val="%9."/>
      <w:lvlJc w:val="left"/>
      <w:pPr>
        <w:tabs>
          <w:tab w:val="num" w:pos="6120"/>
        </w:tabs>
        <w:ind w:left="6120" w:hanging="360"/>
      </w:pPr>
    </w:lvl>
  </w:abstractNum>
  <w:abstractNum w:abstractNumId="2">
    <w:nsid w:val="1D075A0C"/>
    <w:multiLevelType w:val="hybridMultilevel"/>
    <w:tmpl w:val="61B4C6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B422C15"/>
    <w:multiLevelType w:val="hybridMultilevel"/>
    <w:tmpl w:val="A7E0B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21B38FC"/>
    <w:multiLevelType w:val="hybridMultilevel"/>
    <w:tmpl w:val="1D0CDDB0"/>
    <w:lvl w:ilvl="0" w:tplc="BFB2ADE0">
      <w:numFmt w:val="bullet"/>
      <w:lvlText w:val="-"/>
      <w:lvlJc w:val="left"/>
      <w:pPr>
        <w:ind w:left="1920" w:hanging="360"/>
      </w:pPr>
      <w:rPr>
        <w:rFonts w:ascii="Times New Roman" w:eastAsia="Times New Roman" w:hAnsi="Times New Roman" w:cs="Times New Roman"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nsid w:val="4EAD027C"/>
    <w:multiLevelType w:val="hybridMultilevel"/>
    <w:tmpl w:val="A702A1C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61B80AE3"/>
    <w:multiLevelType w:val="hybridMultilevel"/>
    <w:tmpl w:val="0E68F740"/>
    <w:lvl w:ilvl="0" w:tplc="D3C27946">
      <w:numFmt w:val="bullet"/>
      <w:lvlText w:val="-"/>
      <w:lvlJc w:val="left"/>
      <w:pPr>
        <w:ind w:left="643" w:hanging="360"/>
      </w:pPr>
      <w:rPr>
        <w:rFonts w:ascii="Times New Roman" w:eastAsia="Times New Roman" w:hAnsi="Times New Roman" w:cs="Times New Roman"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7">
    <w:nsid w:val="63190D9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799471BC"/>
    <w:multiLevelType w:val="hybridMultilevel"/>
    <w:tmpl w:val="8312E212"/>
    <w:lvl w:ilvl="0" w:tplc="899E0946">
      <w:start w:val="1"/>
      <w:numFmt w:val="decimal"/>
      <w:pStyle w:val="StylNadpis2Podtren1"/>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5"/>
  </w:num>
  <w:num w:numId="4">
    <w:abstractNumId w:val="0"/>
  </w:num>
  <w:num w:numId="5">
    <w:abstractNumId w:val="7"/>
  </w:num>
  <w:num w:numId="6">
    <w:abstractNumId w:val="1"/>
  </w:num>
  <w:num w:numId="7">
    <w:abstractNumId w:val="3"/>
  </w:num>
  <w:num w:numId="8">
    <w:abstractNumId w:val="6"/>
  </w:num>
  <w:num w:numId="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86A"/>
    <w:rsid w:val="00000679"/>
    <w:rsid w:val="000025A0"/>
    <w:rsid w:val="000033FE"/>
    <w:rsid w:val="00004D50"/>
    <w:rsid w:val="000135B5"/>
    <w:rsid w:val="00015A8E"/>
    <w:rsid w:val="00015D68"/>
    <w:rsid w:val="00016DAC"/>
    <w:rsid w:val="00032824"/>
    <w:rsid w:val="00032BED"/>
    <w:rsid w:val="000340EF"/>
    <w:rsid w:val="00035EC0"/>
    <w:rsid w:val="00037B8B"/>
    <w:rsid w:val="00037DD1"/>
    <w:rsid w:val="000417EB"/>
    <w:rsid w:val="0004407A"/>
    <w:rsid w:val="00050A0C"/>
    <w:rsid w:val="000513A0"/>
    <w:rsid w:val="00052217"/>
    <w:rsid w:val="00052515"/>
    <w:rsid w:val="000533A4"/>
    <w:rsid w:val="00053FEF"/>
    <w:rsid w:val="000565BA"/>
    <w:rsid w:val="000576D2"/>
    <w:rsid w:val="00061827"/>
    <w:rsid w:val="0006325F"/>
    <w:rsid w:val="0006332D"/>
    <w:rsid w:val="0006684B"/>
    <w:rsid w:val="00066E2B"/>
    <w:rsid w:val="000671E2"/>
    <w:rsid w:val="00071A9B"/>
    <w:rsid w:val="0007703A"/>
    <w:rsid w:val="000773E6"/>
    <w:rsid w:val="000829BA"/>
    <w:rsid w:val="00083E2B"/>
    <w:rsid w:val="00083F46"/>
    <w:rsid w:val="00085D30"/>
    <w:rsid w:val="00086535"/>
    <w:rsid w:val="000919C1"/>
    <w:rsid w:val="00092844"/>
    <w:rsid w:val="00093456"/>
    <w:rsid w:val="00094870"/>
    <w:rsid w:val="000949BF"/>
    <w:rsid w:val="00094B2F"/>
    <w:rsid w:val="00095ED6"/>
    <w:rsid w:val="000A03EE"/>
    <w:rsid w:val="000A197F"/>
    <w:rsid w:val="000B3A49"/>
    <w:rsid w:val="000B5460"/>
    <w:rsid w:val="000B5859"/>
    <w:rsid w:val="000B6756"/>
    <w:rsid w:val="000B713B"/>
    <w:rsid w:val="000C3BEF"/>
    <w:rsid w:val="000C3CC6"/>
    <w:rsid w:val="000C4EFC"/>
    <w:rsid w:val="000D248D"/>
    <w:rsid w:val="000D3F77"/>
    <w:rsid w:val="000D50C7"/>
    <w:rsid w:val="000D5B2E"/>
    <w:rsid w:val="000D7B97"/>
    <w:rsid w:val="000D7D88"/>
    <w:rsid w:val="000D7FFB"/>
    <w:rsid w:val="000E6798"/>
    <w:rsid w:val="000F0455"/>
    <w:rsid w:val="000F0D0A"/>
    <w:rsid w:val="000F5B33"/>
    <w:rsid w:val="000F723D"/>
    <w:rsid w:val="0010090F"/>
    <w:rsid w:val="00100F7A"/>
    <w:rsid w:val="0010156A"/>
    <w:rsid w:val="001024D9"/>
    <w:rsid w:val="001045C2"/>
    <w:rsid w:val="001048B6"/>
    <w:rsid w:val="00104A45"/>
    <w:rsid w:val="00104AA9"/>
    <w:rsid w:val="001073C3"/>
    <w:rsid w:val="00110698"/>
    <w:rsid w:val="00111446"/>
    <w:rsid w:val="00120313"/>
    <w:rsid w:val="00124827"/>
    <w:rsid w:val="001254DD"/>
    <w:rsid w:val="0012682B"/>
    <w:rsid w:val="00127EF8"/>
    <w:rsid w:val="00131728"/>
    <w:rsid w:val="00132833"/>
    <w:rsid w:val="00132B24"/>
    <w:rsid w:val="00133B9E"/>
    <w:rsid w:val="001346B7"/>
    <w:rsid w:val="00135C04"/>
    <w:rsid w:val="001410A7"/>
    <w:rsid w:val="00143F3C"/>
    <w:rsid w:val="0014703E"/>
    <w:rsid w:val="001472E0"/>
    <w:rsid w:val="00147BBA"/>
    <w:rsid w:val="001509B1"/>
    <w:rsid w:val="00152373"/>
    <w:rsid w:val="001565D8"/>
    <w:rsid w:val="001566F6"/>
    <w:rsid w:val="001627C9"/>
    <w:rsid w:val="00163ACD"/>
    <w:rsid w:val="00164441"/>
    <w:rsid w:val="00170E4B"/>
    <w:rsid w:val="001710E1"/>
    <w:rsid w:val="00171EC4"/>
    <w:rsid w:val="00172AD0"/>
    <w:rsid w:val="00173B7B"/>
    <w:rsid w:val="0018066D"/>
    <w:rsid w:val="00180733"/>
    <w:rsid w:val="00184105"/>
    <w:rsid w:val="00184D78"/>
    <w:rsid w:val="00192027"/>
    <w:rsid w:val="001945B4"/>
    <w:rsid w:val="00195054"/>
    <w:rsid w:val="001957F8"/>
    <w:rsid w:val="00196333"/>
    <w:rsid w:val="001A0D69"/>
    <w:rsid w:val="001A1324"/>
    <w:rsid w:val="001A328F"/>
    <w:rsid w:val="001A3D20"/>
    <w:rsid w:val="001B0294"/>
    <w:rsid w:val="001B1241"/>
    <w:rsid w:val="001B1B84"/>
    <w:rsid w:val="001C0DDA"/>
    <w:rsid w:val="001C1BB0"/>
    <w:rsid w:val="001C3B74"/>
    <w:rsid w:val="001C4529"/>
    <w:rsid w:val="001C7AA9"/>
    <w:rsid w:val="001D4615"/>
    <w:rsid w:val="001D4F7F"/>
    <w:rsid w:val="001E1380"/>
    <w:rsid w:val="001E2B6D"/>
    <w:rsid w:val="001E3D10"/>
    <w:rsid w:val="001E3D1A"/>
    <w:rsid w:val="001E5F9C"/>
    <w:rsid w:val="001E6FA8"/>
    <w:rsid w:val="001F3481"/>
    <w:rsid w:val="001F3DA8"/>
    <w:rsid w:val="001F3E48"/>
    <w:rsid w:val="002018C6"/>
    <w:rsid w:val="00202010"/>
    <w:rsid w:val="00203C48"/>
    <w:rsid w:val="00203E95"/>
    <w:rsid w:val="0020606B"/>
    <w:rsid w:val="002062AE"/>
    <w:rsid w:val="00206397"/>
    <w:rsid w:val="00211685"/>
    <w:rsid w:val="0021714D"/>
    <w:rsid w:val="002214B0"/>
    <w:rsid w:val="00223526"/>
    <w:rsid w:val="00225EB4"/>
    <w:rsid w:val="002276A7"/>
    <w:rsid w:val="002329FB"/>
    <w:rsid w:val="00232D8A"/>
    <w:rsid w:val="00235069"/>
    <w:rsid w:val="002351B8"/>
    <w:rsid w:val="0024152E"/>
    <w:rsid w:val="002418F7"/>
    <w:rsid w:val="00242D66"/>
    <w:rsid w:val="0024301C"/>
    <w:rsid w:val="0024495E"/>
    <w:rsid w:val="00245BF3"/>
    <w:rsid w:val="0024649C"/>
    <w:rsid w:val="0024672D"/>
    <w:rsid w:val="002519CD"/>
    <w:rsid w:val="00252A3F"/>
    <w:rsid w:val="00253740"/>
    <w:rsid w:val="002558DD"/>
    <w:rsid w:val="002560F3"/>
    <w:rsid w:val="00256113"/>
    <w:rsid w:val="002611AB"/>
    <w:rsid w:val="002638FB"/>
    <w:rsid w:val="002669A9"/>
    <w:rsid w:val="0027200A"/>
    <w:rsid w:val="002753D4"/>
    <w:rsid w:val="00276412"/>
    <w:rsid w:val="002815BA"/>
    <w:rsid w:val="00283464"/>
    <w:rsid w:val="00283FF5"/>
    <w:rsid w:val="002850E7"/>
    <w:rsid w:val="002856CD"/>
    <w:rsid w:val="00285D01"/>
    <w:rsid w:val="00294743"/>
    <w:rsid w:val="002A2B1D"/>
    <w:rsid w:val="002A38B6"/>
    <w:rsid w:val="002A3D35"/>
    <w:rsid w:val="002A4B66"/>
    <w:rsid w:val="002A5A9C"/>
    <w:rsid w:val="002A7A0B"/>
    <w:rsid w:val="002B08BD"/>
    <w:rsid w:val="002C0E16"/>
    <w:rsid w:val="002C15E3"/>
    <w:rsid w:val="002C3842"/>
    <w:rsid w:val="002C4D9E"/>
    <w:rsid w:val="002C5060"/>
    <w:rsid w:val="002D052A"/>
    <w:rsid w:val="002D110B"/>
    <w:rsid w:val="002D2379"/>
    <w:rsid w:val="002D2F50"/>
    <w:rsid w:val="002D6CF6"/>
    <w:rsid w:val="002E0164"/>
    <w:rsid w:val="002E29A5"/>
    <w:rsid w:val="002E54C6"/>
    <w:rsid w:val="002E58C2"/>
    <w:rsid w:val="002E7993"/>
    <w:rsid w:val="002F0A0F"/>
    <w:rsid w:val="002F0A85"/>
    <w:rsid w:val="002F1A5A"/>
    <w:rsid w:val="002F562C"/>
    <w:rsid w:val="002F7234"/>
    <w:rsid w:val="00302DA5"/>
    <w:rsid w:val="003049AA"/>
    <w:rsid w:val="00317CEF"/>
    <w:rsid w:val="003201E8"/>
    <w:rsid w:val="003205BC"/>
    <w:rsid w:val="003214D9"/>
    <w:rsid w:val="003220CA"/>
    <w:rsid w:val="00331972"/>
    <w:rsid w:val="00332D0B"/>
    <w:rsid w:val="0033319B"/>
    <w:rsid w:val="00333684"/>
    <w:rsid w:val="00336E38"/>
    <w:rsid w:val="003419EF"/>
    <w:rsid w:val="0034305E"/>
    <w:rsid w:val="00343BF5"/>
    <w:rsid w:val="00343C52"/>
    <w:rsid w:val="00344FA2"/>
    <w:rsid w:val="00345A89"/>
    <w:rsid w:val="003469ED"/>
    <w:rsid w:val="00347842"/>
    <w:rsid w:val="00351CE3"/>
    <w:rsid w:val="00351FC3"/>
    <w:rsid w:val="00353A24"/>
    <w:rsid w:val="00353D8F"/>
    <w:rsid w:val="00357FCA"/>
    <w:rsid w:val="0036070E"/>
    <w:rsid w:val="00360C42"/>
    <w:rsid w:val="00363336"/>
    <w:rsid w:val="0036439B"/>
    <w:rsid w:val="00366CF2"/>
    <w:rsid w:val="00370141"/>
    <w:rsid w:val="0037278F"/>
    <w:rsid w:val="00373D81"/>
    <w:rsid w:val="0037457C"/>
    <w:rsid w:val="00374A5A"/>
    <w:rsid w:val="00375E5D"/>
    <w:rsid w:val="00383C1D"/>
    <w:rsid w:val="0038640C"/>
    <w:rsid w:val="0038763A"/>
    <w:rsid w:val="00392F89"/>
    <w:rsid w:val="00394E08"/>
    <w:rsid w:val="00395A60"/>
    <w:rsid w:val="0039792F"/>
    <w:rsid w:val="003979B5"/>
    <w:rsid w:val="003A4839"/>
    <w:rsid w:val="003A6300"/>
    <w:rsid w:val="003A6415"/>
    <w:rsid w:val="003A7763"/>
    <w:rsid w:val="003A7FC4"/>
    <w:rsid w:val="003B0C59"/>
    <w:rsid w:val="003B3D21"/>
    <w:rsid w:val="003B4013"/>
    <w:rsid w:val="003B607D"/>
    <w:rsid w:val="003B73B4"/>
    <w:rsid w:val="003C0E2B"/>
    <w:rsid w:val="003C1696"/>
    <w:rsid w:val="003C5F2E"/>
    <w:rsid w:val="003C62B8"/>
    <w:rsid w:val="003C6E98"/>
    <w:rsid w:val="003D269A"/>
    <w:rsid w:val="003D4DD4"/>
    <w:rsid w:val="003E57B5"/>
    <w:rsid w:val="003E5C83"/>
    <w:rsid w:val="003F06C2"/>
    <w:rsid w:val="003F3705"/>
    <w:rsid w:val="003F4493"/>
    <w:rsid w:val="003F4857"/>
    <w:rsid w:val="003F4E7D"/>
    <w:rsid w:val="00400065"/>
    <w:rsid w:val="00401247"/>
    <w:rsid w:val="00402156"/>
    <w:rsid w:val="00402255"/>
    <w:rsid w:val="00403625"/>
    <w:rsid w:val="00403BC6"/>
    <w:rsid w:val="00407581"/>
    <w:rsid w:val="00410D06"/>
    <w:rsid w:val="00411724"/>
    <w:rsid w:val="00412037"/>
    <w:rsid w:val="00412A52"/>
    <w:rsid w:val="00412F71"/>
    <w:rsid w:val="00415654"/>
    <w:rsid w:val="00420303"/>
    <w:rsid w:val="00422274"/>
    <w:rsid w:val="0042242C"/>
    <w:rsid w:val="0042327C"/>
    <w:rsid w:val="00424031"/>
    <w:rsid w:val="00424411"/>
    <w:rsid w:val="004247CE"/>
    <w:rsid w:val="00425C05"/>
    <w:rsid w:val="00425D38"/>
    <w:rsid w:val="00427AF6"/>
    <w:rsid w:val="00433599"/>
    <w:rsid w:val="00435A42"/>
    <w:rsid w:val="00442670"/>
    <w:rsid w:val="004443B6"/>
    <w:rsid w:val="0044479D"/>
    <w:rsid w:val="0044647F"/>
    <w:rsid w:val="00446AF9"/>
    <w:rsid w:val="00446E12"/>
    <w:rsid w:val="00450287"/>
    <w:rsid w:val="00450FF4"/>
    <w:rsid w:val="0045118F"/>
    <w:rsid w:val="00454534"/>
    <w:rsid w:val="004545EC"/>
    <w:rsid w:val="00455E69"/>
    <w:rsid w:val="004626D0"/>
    <w:rsid w:val="00465A50"/>
    <w:rsid w:val="004660D7"/>
    <w:rsid w:val="00466713"/>
    <w:rsid w:val="004667B8"/>
    <w:rsid w:val="00466C7C"/>
    <w:rsid w:val="00471EF7"/>
    <w:rsid w:val="00473D94"/>
    <w:rsid w:val="004742E1"/>
    <w:rsid w:val="00480568"/>
    <w:rsid w:val="0048376E"/>
    <w:rsid w:val="00483ED6"/>
    <w:rsid w:val="00485E81"/>
    <w:rsid w:val="00485F1E"/>
    <w:rsid w:val="00486E68"/>
    <w:rsid w:val="00486F07"/>
    <w:rsid w:val="004874B6"/>
    <w:rsid w:val="004874D1"/>
    <w:rsid w:val="0049500F"/>
    <w:rsid w:val="00497709"/>
    <w:rsid w:val="004A2615"/>
    <w:rsid w:val="004A2927"/>
    <w:rsid w:val="004A3388"/>
    <w:rsid w:val="004A3FC0"/>
    <w:rsid w:val="004A48BA"/>
    <w:rsid w:val="004B1CE3"/>
    <w:rsid w:val="004B32CE"/>
    <w:rsid w:val="004B4561"/>
    <w:rsid w:val="004B751A"/>
    <w:rsid w:val="004C1759"/>
    <w:rsid w:val="004C2F3D"/>
    <w:rsid w:val="004C39F9"/>
    <w:rsid w:val="004C3AE6"/>
    <w:rsid w:val="004C4A9E"/>
    <w:rsid w:val="004D0996"/>
    <w:rsid w:val="004D0DF6"/>
    <w:rsid w:val="004D1829"/>
    <w:rsid w:val="004D30BB"/>
    <w:rsid w:val="004D34F7"/>
    <w:rsid w:val="004D6ECF"/>
    <w:rsid w:val="004E1ECB"/>
    <w:rsid w:val="004E2017"/>
    <w:rsid w:val="004E30F8"/>
    <w:rsid w:val="004E4D99"/>
    <w:rsid w:val="004E5255"/>
    <w:rsid w:val="004E778F"/>
    <w:rsid w:val="004E7ABA"/>
    <w:rsid w:val="004F015E"/>
    <w:rsid w:val="004F13E5"/>
    <w:rsid w:val="004F1C43"/>
    <w:rsid w:val="004F4248"/>
    <w:rsid w:val="00502C30"/>
    <w:rsid w:val="00505667"/>
    <w:rsid w:val="00506356"/>
    <w:rsid w:val="00506C9E"/>
    <w:rsid w:val="00510934"/>
    <w:rsid w:val="00512267"/>
    <w:rsid w:val="005159E7"/>
    <w:rsid w:val="005161FB"/>
    <w:rsid w:val="0052042E"/>
    <w:rsid w:val="00520C94"/>
    <w:rsid w:val="00521861"/>
    <w:rsid w:val="00521EF4"/>
    <w:rsid w:val="00523405"/>
    <w:rsid w:val="005274ED"/>
    <w:rsid w:val="0053087B"/>
    <w:rsid w:val="0053241C"/>
    <w:rsid w:val="005326A8"/>
    <w:rsid w:val="005337D4"/>
    <w:rsid w:val="00534E67"/>
    <w:rsid w:val="0054119B"/>
    <w:rsid w:val="00543816"/>
    <w:rsid w:val="005443F7"/>
    <w:rsid w:val="00550040"/>
    <w:rsid w:val="00550D3F"/>
    <w:rsid w:val="00552A38"/>
    <w:rsid w:val="005542B8"/>
    <w:rsid w:val="0055586A"/>
    <w:rsid w:val="00555901"/>
    <w:rsid w:val="00556EBC"/>
    <w:rsid w:val="00560668"/>
    <w:rsid w:val="005625CE"/>
    <w:rsid w:val="00564431"/>
    <w:rsid w:val="00564864"/>
    <w:rsid w:val="005674D1"/>
    <w:rsid w:val="00567D65"/>
    <w:rsid w:val="00581532"/>
    <w:rsid w:val="0058198D"/>
    <w:rsid w:val="00581D95"/>
    <w:rsid w:val="00582896"/>
    <w:rsid w:val="00587256"/>
    <w:rsid w:val="00587DFD"/>
    <w:rsid w:val="005902A9"/>
    <w:rsid w:val="00590ABC"/>
    <w:rsid w:val="00595B13"/>
    <w:rsid w:val="005A1C91"/>
    <w:rsid w:val="005A3190"/>
    <w:rsid w:val="005A4693"/>
    <w:rsid w:val="005A5580"/>
    <w:rsid w:val="005B2103"/>
    <w:rsid w:val="005B305D"/>
    <w:rsid w:val="005B5094"/>
    <w:rsid w:val="005B67CC"/>
    <w:rsid w:val="005C1B65"/>
    <w:rsid w:val="005C226D"/>
    <w:rsid w:val="005C2306"/>
    <w:rsid w:val="005C6EDF"/>
    <w:rsid w:val="005D12F4"/>
    <w:rsid w:val="005D31B3"/>
    <w:rsid w:val="005D420D"/>
    <w:rsid w:val="005D5B28"/>
    <w:rsid w:val="005D607B"/>
    <w:rsid w:val="005D622A"/>
    <w:rsid w:val="005E013C"/>
    <w:rsid w:val="005E5571"/>
    <w:rsid w:val="005E6E6B"/>
    <w:rsid w:val="005E7CA6"/>
    <w:rsid w:val="005F2AA0"/>
    <w:rsid w:val="005F51A3"/>
    <w:rsid w:val="005F5CE0"/>
    <w:rsid w:val="005F7167"/>
    <w:rsid w:val="006012DD"/>
    <w:rsid w:val="00603C2D"/>
    <w:rsid w:val="00604F90"/>
    <w:rsid w:val="0060657C"/>
    <w:rsid w:val="00606F47"/>
    <w:rsid w:val="00610329"/>
    <w:rsid w:val="0061349C"/>
    <w:rsid w:val="00615D98"/>
    <w:rsid w:val="00616EF9"/>
    <w:rsid w:val="00617B80"/>
    <w:rsid w:val="006225C1"/>
    <w:rsid w:val="00622786"/>
    <w:rsid w:val="00623124"/>
    <w:rsid w:val="00624080"/>
    <w:rsid w:val="00626B8B"/>
    <w:rsid w:val="00626BE9"/>
    <w:rsid w:val="006300A1"/>
    <w:rsid w:val="0063159B"/>
    <w:rsid w:val="00632D5F"/>
    <w:rsid w:val="006405BC"/>
    <w:rsid w:val="00641774"/>
    <w:rsid w:val="00651A0D"/>
    <w:rsid w:val="006545CA"/>
    <w:rsid w:val="006550C6"/>
    <w:rsid w:val="00655640"/>
    <w:rsid w:val="006570B8"/>
    <w:rsid w:val="00657878"/>
    <w:rsid w:val="00661360"/>
    <w:rsid w:val="00663880"/>
    <w:rsid w:val="00665027"/>
    <w:rsid w:val="00666F7B"/>
    <w:rsid w:val="00670B81"/>
    <w:rsid w:val="00671B28"/>
    <w:rsid w:val="00671C28"/>
    <w:rsid w:val="00673994"/>
    <w:rsid w:val="00674479"/>
    <w:rsid w:val="006746F6"/>
    <w:rsid w:val="00674E42"/>
    <w:rsid w:val="00677D9E"/>
    <w:rsid w:val="00680137"/>
    <w:rsid w:val="00680F21"/>
    <w:rsid w:val="00681927"/>
    <w:rsid w:val="006834C4"/>
    <w:rsid w:val="00684DC6"/>
    <w:rsid w:val="0068595B"/>
    <w:rsid w:val="00686ECA"/>
    <w:rsid w:val="006908FC"/>
    <w:rsid w:val="00690FA1"/>
    <w:rsid w:val="00691E78"/>
    <w:rsid w:val="00692697"/>
    <w:rsid w:val="00693A76"/>
    <w:rsid w:val="00695B57"/>
    <w:rsid w:val="00695C6B"/>
    <w:rsid w:val="0069799F"/>
    <w:rsid w:val="006A104A"/>
    <w:rsid w:val="006A12FD"/>
    <w:rsid w:val="006A1BFB"/>
    <w:rsid w:val="006A2E6F"/>
    <w:rsid w:val="006A4064"/>
    <w:rsid w:val="006A4A71"/>
    <w:rsid w:val="006A6A8B"/>
    <w:rsid w:val="006B22EC"/>
    <w:rsid w:val="006B31F6"/>
    <w:rsid w:val="006B33CD"/>
    <w:rsid w:val="006B5E26"/>
    <w:rsid w:val="006C0185"/>
    <w:rsid w:val="006C100E"/>
    <w:rsid w:val="006C2A0A"/>
    <w:rsid w:val="006C2EFC"/>
    <w:rsid w:val="006C6375"/>
    <w:rsid w:val="006D2941"/>
    <w:rsid w:val="006D39C7"/>
    <w:rsid w:val="006D3C64"/>
    <w:rsid w:val="006D4970"/>
    <w:rsid w:val="006D4BE2"/>
    <w:rsid w:val="006E0AEC"/>
    <w:rsid w:val="006E32CB"/>
    <w:rsid w:val="006E3AD7"/>
    <w:rsid w:val="006E3FB4"/>
    <w:rsid w:val="006E4BFD"/>
    <w:rsid w:val="006F0324"/>
    <w:rsid w:val="006F0830"/>
    <w:rsid w:val="006F2839"/>
    <w:rsid w:val="006F2C22"/>
    <w:rsid w:val="006F4051"/>
    <w:rsid w:val="006F4683"/>
    <w:rsid w:val="006F776F"/>
    <w:rsid w:val="006F7F2D"/>
    <w:rsid w:val="00703A46"/>
    <w:rsid w:val="00703EE3"/>
    <w:rsid w:val="007057A1"/>
    <w:rsid w:val="00707F73"/>
    <w:rsid w:val="00714A1E"/>
    <w:rsid w:val="00715ADA"/>
    <w:rsid w:val="00716BF7"/>
    <w:rsid w:val="00721237"/>
    <w:rsid w:val="00721DD8"/>
    <w:rsid w:val="00722261"/>
    <w:rsid w:val="00724A1E"/>
    <w:rsid w:val="00726ACA"/>
    <w:rsid w:val="0072760F"/>
    <w:rsid w:val="00731732"/>
    <w:rsid w:val="00732489"/>
    <w:rsid w:val="00732CBD"/>
    <w:rsid w:val="00734F9D"/>
    <w:rsid w:val="00741FB9"/>
    <w:rsid w:val="00744E92"/>
    <w:rsid w:val="00745A5F"/>
    <w:rsid w:val="00746437"/>
    <w:rsid w:val="00747663"/>
    <w:rsid w:val="00750842"/>
    <w:rsid w:val="007525CF"/>
    <w:rsid w:val="007525DE"/>
    <w:rsid w:val="00753453"/>
    <w:rsid w:val="00753BF4"/>
    <w:rsid w:val="00754758"/>
    <w:rsid w:val="0075483A"/>
    <w:rsid w:val="007570EE"/>
    <w:rsid w:val="0075720C"/>
    <w:rsid w:val="00760DE4"/>
    <w:rsid w:val="007627F2"/>
    <w:rsid w:val="00762B61"/>
    <w:rsid w:val="00762C32"/>
    <w:rsid w:val="00762DA9"/>
    <w:rsid w:val="007631AE"/>
    <w:rsid w:val="00764A5B"/>
    <w:rsid w:val="00764DA1"/>
    <w:rsid w:val="007676CE"/>
    <w:rsid w:val="00771D69"/>
    <w:rsid w:val="00772C9B"/>
    <w:rsid w:val="00773FCB"/>
    <w:rsid w:val="00775441"/>
    <w:rsid w:val="007758EB"/>
    <w:rsid w:val="00775EE1"/>
    <w:rsid w:val="00780C3A"/>
    <w:rsid w:val="00785F58"/>
    <w:rsid w:val="0078601C"/>
    <w:rsid w:val="00786663"/>
    <w:rsid w:val="0078701E"/>
    <w:rsid w:val="00790BCD"/>
    <w:rsid w:val="00792972"/>
    <w:rsid w:val="0079400B"/>
    <w:rsid w:val="00795629"/>
    <w:rsid w:val="007961B5"/>
    <w:rsid w:val="00796423"/>
    <w:rsid w:val="007976B8"/>
    <w:rsid w:val="007A1008"/>
    <w:rsid w:val="007A1D1F"/>
    <w:rsid w:val="007A2902"/>
    <w:rsid w:val="007A2E03"/>
    <w:rsid w:val="007A5159"/>
    <w:rsid w:val="007A5A62"/>
    <w:rsid w:val="007B0A36"/>
    <w:rsid w:val="007B3494"/>
    <w:rsid w:val="007B5E4C"/>
    <w:rsid w:val="007B5EE5"/>
    <w:rsid w:val="007B6D8C"/>
    <w:rsid w:val="007C416C"/>
    <w:rsid w:val="007C680E"/>
    <w:rsid w:val="007D407D"/>
    <w:rsid w:val="007D4583"/>
    <w:rsid w:val="007D4A17"/>
    <w:rsid w:val="007D5D60"/>
    <w:rsid w:val="007E0088"/>
    <w:rsid w:val="007E0627"/>
    <w:rsid w:val="007E2C28"/>
    <w:rsid w:val="007E3327"/>
    <w:rsid w:val="007E37FB"/>
    <w:rsid w:val="007E4401"/>
    <w:rsid w:val="007E4EE8"/>
    <w:rsid w:val="007E7281"/>
    <w:rsid w:val="007E7998"/>
    <w:rsid w:val="007F1B0F"/>
    <w:rsid w:val="007F2096"/>
    <w:rsid w:val="0080092F"/>
    <w:rsid w:val="00802629"/>
    <w:rsid w:val="008026E4"/>
    <w:rsid w:val="00802C5C"/>
    <w:rsid w:val="0080428D"/>
    <w:rsid w:val="00807AC5"/>
    <w:rsid w:val="00813683"/>
    <w:rsid w:val="00817C5C"/>
    <w:rsid w:val="008205E4"/>
    <w:rsid w:val="00821E77"/>
    <w:rsid w:val="008220FE"/>
    <w:rsid w:val="00824A51"/>
    <w:rsid w:val="00825F97"/>
    <w:rsid w:val="00827071"/>
    <w:rsid w:val="00827CEE"/>
    <w:rsid w:val="008305CA"/>
    <w:rsid w:val="00833E01"/>
    <w:rsid w:val="008344B2"/>
    <w:rsid w:val="008347B6"/>
    <w:rsid w:val="008349F0"/>
    <w:rsid w:val="008352A4"/>
    <w:rsid w:val="00835EDF"/>
    <w:rsid w:val="0083603B"/>
    <w:rsid w:val="0083727A"/>
    <w:rsid w:val="008404B6"/>
    <w:rsid w:val="00842937"/>
    <w:rsid w:val="00843123"/>
    <w:rsid w:val="00844AB8"/>
    <w:rsid w:val="00846161"/>
    <w:rsid w:val="00847059"/>
    <w:rsid w:val="0085074E"/>
    <w:rsid w:val="00850EA1"/>
    <w:rsid w:val="00851366"/>
    <w:rsid w:val="00854DCD"/>
    <w:rsid w:val="00854F7D"/>
    <w:rsid w:val="008550F6"/>
    <w:rsid w:val="00861767"/>
    <w:rsid w:val="008665A8"/>
    <w:rsid w:val="00867F37"/>
    <w:rsid w:val="00872197"/>
    <w:rsid w:val="00875280"/>
    <w:rsid w:val="00880302"/>
    <w:rsid w:val="0088199B"/>
    <w:rsid w:val="00881D98"/>
    <w:rsid w:val="008838D5"/>
    <w:rsid w:val="008842B6"/>
    <w:rsid w:val="008846D1"/>
    <w:rsid w:val="00884907"/>
    <w:rsid w:val="0088587C"/>
    <w:rsid w:val="00885E41"/>
    <w:rsid w:val="00887600"/>
    <w:rsid w:val="00890C45"/>
    <w:rsid w:val="00892C21"/>
    <w:rsid w:val="008A28AB"/>
    <w:rsid w:val="008A3B8A"/>
    <w:rsid w:val="008A3F35"/>
    <w:rsid w:val="008A50CD"/>
    <w:rsid w:val="008A520E"/>
    <w:rsid w:val="008A7E29"/>
    <w:rsid w:val="008B048B"/>
    <w:rsid w:val="008B30BF"/>
    <w:rsid w:val="008B4F22"/>
    <w:rsid w:val="008B6413"/>
    <w:rsid w:val="008B6999"/>
    <w:rsid w:val="008C09FB"/>
    <w:rsid w:val="008C1AE4"/>
    <w:rsid w:val="008C1CE0"/>
    <w:rsid w:val="008C2E7C"/>
    <w:rsid w:val="008C3001"/>
    <w:rsid w:val="008C42AF"/>
    <w:rsid w:val="008C753D"/>
    <w:rsid w:val="008D3805"/>
    <w:rsid w:val="008D6014"/>
    <w:rsid w:val="008E0E49"/>
    <w:rsid w:val="008E3344"/>
    <w:rsid w:val="008E4A6E"/>
    <w:rsid w:val="008E7C7D"/>
    <w:rsid w:val="008F0E56"/>
    <w:rsid w:val="008F54EA"/>
    <w:rsid w:val="008F5739"/>
    <w:rsid w:val="008F5E3F"/>
    <w:rsid w:val="008F7C0B"/>
    <w:rsid w:val="00910CCB"/>
    <w:rsid w:val="00913229"/>
    <w:rsid w:val="009137D7"/>
    <w:rsid w:val="0091462F"/>
    <w:rsid w:val="0091580D"/>
    <w:rsid w:val="00920309"/>
    <w:rsid w:val="00920D5E"/>
    <w:rsid w:val="0092358F"/>
    <w:rsid w:val="0092366A"/>
    <w:rsid w:val="00923B8C"/>
    <w:rsid w:val="0092498A"/>
    <w:rsid w:val="00924F58"/>
    <w:rsid w:val="00926F01"/>
    <w:rsid w:val="00930AB0"/>
    <w:rsid w:val="00931B20"/>
    <w:rsid w:val="009330C2"/>
    <w:rsid w:val="00933227"/>
    <w:rsid w:val="00935F9F"/>
    <w:rsid w:val="009403A5"/>
    <w:rsid w:val="009413D4"/>
    <w:rsid w:val="009431C9"/>
    <w:rsid w:val="00943EEE"/>
    <w:rsid w:val="0094498A"/>
    <w:rsid w:val="00945FBA"/>
    <w:rsid w:val="00950CB0"/>
    <w:rsid w:val="00951A99"/>
    <w:rsid w:val="00953B6B"/>
    <w:rsid w:val="00953CE2"/>
    <w:rsid w:val="00954CAA"/>
    <w:rsid w:val="009558BF"/>
    <w:rsid w:val="00961CFC"/>
    <w:rsid w:val="00963B52"/>
    <w:rsid w:val="009674E0"/>
    <w:rsid w:val="0097027B"/>
    <w:rsid w:val="00972AD8"/>
    <w:rsid w:val="0097374E"/>
    <w:rsid w:val="00975F5E"/>
    <w:rsid w:val="009767DF"/>
    <w:rsid w:val="00976A0F"/>
    <w:rsid w:val="00980A44"/>
    <w:rsid w:val="00981F5B"/>
    <w:rsid w:val="009827DB"/>
    <w:rsid w:val="00984298"/>
    <w:rsid w:val="009877E4"/>
    <w:rsid w:val="00987B4D"/>
    <w:rsid w:val="00990EA1"/>
    <w:rsid w:val="0099235D"/>
    <w:rsid w:val="00995445"/>
    <w:rsid w:val="00996565"/>
    <w:rsid w:val="00996862"/>
    <w:rsid w:val="00997C31"/>
    <w:rsid w:val="009A1853"/>
    <w:rsid w:val="009A258E"/>
    <w:rsid w:val="009A44CE"/>
    <w:rsid w:val="009A7E31"/>
    <w:rsid w:val="009B079F"/>
    <w:rsid w:val="009B0A63"/>
    <w:rsid w:val="009B19EA"/>
    <w:rsid w:val="009B427C"/>
    <w:rsid w:val="009B4784"/>
    <w:rsid w:val="009B52BD"/>
    <w:rsid w:val="009B66E3"/>
    <w:rsid w:val="009B6FE9"/>
    <w:rsid w:val="009B72D4"/>
    <w:rsid w:val="009C2D54"/>
    <w:rsid w:val="009C3029"/>
    <w:rsid w:val="009C3C4C"/>
    <w:rsid w:val="009C3C6F"/>
    <w:rsid w:val="009C44AF"/>
    <w:rsid w:val="009C4F02"/>
    <w:rsid w:val="009C6ED8"/>
    <w:rsid w:val="009C7157"/>
    <w:rsid w:val="009D012C"/>
    <w:rsid w:val="009D31AA"/>
    <w:rsid w:val="009D337A"/>
    <w:rsid w:val="009D353A"/>
    <w:rsid w:val="009E1320"/>
    <w:rsid w:val="009E1865"/>
    <w:rsid w:val="009E2C48"/>
    <w:rsid w:val="009E61A7"/>
    <w:rsid w:val="009E703D"/>
    <w:rsid w:val="009F0C81"/>
    <w:rsid w:val="009F0F0F"/>
    <w:rsid w:val="009F35C9"/>
    <w:rsid w:val="009F5E4F"/>
    <w:rsid w:val="009F5F26"/>
    <w:rsid w:val="00A011F5"/>
    <w:rsid w:val="00A02A80"/>
    <w:rsid w:val="00A060A7"/>
    <w:rsid w:val="00A10494"/>
    <w:rsid w:val="00A15E48"/>
    <w:rsid w:val="00A22556"/>
    <w:rsid w:val="00A2433E"/>
    <w:rsid w:val="00A33AAC"/>
    <w:rsid w:val="00A353E9"/>
    <w:rsid w:val="00A35580"/>
    <w:rsid w:val="00A35B2B"/>
    <w:rsid w:val="00A35B6B"/>
    <w:rsid w:val="00A36F0D"/>
    <w:rsid w:val="00A377BB"/>
    <w:rsid w:val="00A4030A"/>
    <w:rsid w:val="00A4378A"/>
    <w:rsid w:val="00A4736B"/>
    <w:rsid w:val="00A4791F"/>
    <w:rsid w:val="00A5172F"/>
    <w:rsid w:val="00A5395E"/>
    <w:rsid w:val="00A5652B"/>
    <w:rsid w:val="00A63D88"/>
    <w:rsid w:val="00A65353"/>
    <w:rsid w:val="00A65E74"/>
    <w:rsid w:val="00A664CF"/>
    <w:rsid w:val="00A7085E"/>
    <w:rsid w:val="00A7393B"/>
    <w:rsid w:val="00A745AF"/>
    <w:rsid w:val="00A74EA1"/>
    <w:rsid w:val="00A756DE"/>
    <w:rsid w:val="00A768F5"/>
    <w:rsid w:val="00A80B0A"/>
    <w:rsid w:val="00A827F7"/>
    <w:rsid w:val="00A85C6F"/>
    <w:rsid w:val="00A87297"/>
    <w:rsid w:val="00A9397A"/>
    <w:rsid w:val="00A93C81"/>
    <w:rsid w:val="00AA0BD6"/>
    <w:rsid w:val="00AA210C"/>
    <w:rsid w:val="00AA2319"/>
    <w:rsid w:val="00AA3366"/>
    <w:rsid w:val="00AA3FD3"/>
    <w:rsid w:val="00AA6773"/>
    <w:rsid w:val="00AA6B9B"/>
    <w:rsid w:val="00AB2C21"/>
    <w:rsid w:val="00AB717C"/>
    <w:rsid w:val="00AB7B16"/>
    <w:rsid w:val="00AC1963"/>
    <w:rsid w:val="00AC23FF"/>
    <w:rsid w:val="00AC27B2"/>
    <w:rsid w:val="00AC6332"/>
    <w:rsid w:val="00AC6FD3"/>
    <w:rsid w:val="00AC7840"/>
    <w:rsid w:val="00AD01CE"/>
    <w:rsid w:val="00AD0525"/>
    <w:rsid w:val="00AD5A7E"/>
    <w:rsid w:val="00AD7BF4"/>
    <w:rsid w:val="00AE0763"/>
    <w:rsid w:val="00AE1666"/>
    <w:rsid w:val="00AE3068"/>
    <w:rsid w:val="00AF0099"/>
    <w:rsid w:val="00AF246F"/>
    <w:rsid w:val="00AF3E50"/>
    <w:rsid w:val="00AF410C"/>
    <w:rsid w:val="00AF5B59"/>
    <w:rsid w:val="00AF5BC6"/>
    <w:rsid w:val="00AF6970"/>
    <w:rsid w:val="00B02D30"/>
    <w:rsid w:val="00B0356E"/>
    <w:rsid w:val="00B0587F"/>
    <w:rsid w:val="00B06840"/>
    <w:rsid w:val="00B10C38"/>
    <w:rsid w:val="00B110AC"/>
    <w:rsid w:val="00B129D6"/>
    <w:rsid w:val="00B13E4D"/>
    <w:rsid w:val="00B14D4F"/>
    <w:rsid w:val="00B17865"/>
    <w:rsid w:val="00B204E7"/>
    <w:rsid w:val="00B2325E"/>
    <w:rsid w:val="00B238D9"/>
    <w:rsid w:val="00B242C8"/>
    <w:rsid w:val="00B24BEE"/>
    <w:rsid w:val="00B24C56"/>
    <w:rsid w:val="00B26413"/>
    <w:rsid w:val="00B2783B"/>
    <w:rsid w:val="00B30D20"/>
    <w:rsid w:val="00B3340B"/>
    <w:rsid w:val="00B337E6"/>
    <w:rsid w:val="00B33823"/>
    <w:rsid w:val="00B34C24"/>
    <w:rsid w:val="00B35A3B"/>
    <w:rsid w:val="00B466A0"/>
    <w:rsid w:val="00B47013"/>
    <w:rsid w:val="00B501AD"/>
    <w:rsid w:val="00B55645"/>
    <w:rsid w:val="00B55892"/>
    <w:rsid w:val="00B56610"/>
    <w:rsid w:val="00B57539"/>
    <w:rsid w:val="00B57B5B"/>
    <w:rsid w:val="00B63103"/>
    <w:rsid w:val="00B663D6"/>
    <w:rsid w:val="00B70071"/>
    <w:rsid w:val="00B71989"/>
    <w:rsid w:val="00B729E7"/>
    <w:rsid w:val="00B72ABB"/>
    <w:rsid w:val="00B760A9"/>
    <w:rsid w:val="00B7779B"/>
    <w:rsid w:val="00B80118"/>
    <w:rsid w:val="00B83E9D"/>
    <w:rsid w:val="00B877F6"/>
    <w:rsid w:val="00B904CC"/>
    <w:rsid w:val="00B90CF6"/>
    <w:rsid w:val="00B91EC9"/>
    <w:rsid w:val="00B92FE8"/>
    <w:rsid w:val="00B967DD"/>
    <w:rsid w:val="00BA1ED8"/>
    <w:rsid w:val="00BA230D"/>
    <w:rsid w:val="00BA2CBE"/>
    <w:rsid w:val="00BA35F8"/>
    <w:rsid w:val="00BA7F41"/>
    <w:rsid w:val="00BB2845"/>
    <w:rsid w:val="00BB31FA"/>
    <w:rsid w:val="00BB484B"/>
    <w:rsid w:val="00BC03F2"/>
    <w:rsid w:val="00BC1AC5"/>
    <w:rsid w:val="00BC482B"/>
    <w:rsid w:val="00BC711B"/>
    <w:rsid w:val="00BD152E"/>
    <w:rsid w:val="00BD17A0"/>
    <w:rsid w:val="00BD4150"/>
    <w:rsid w:val="00BD79E4"/>
    <w:rsid w:val="00BD7FF6"/>
    <w:rsid w:val="00BE3337"/>
    <w:rsid w:val="00BE34A2"/>
    <w:rsid w:val="00BE3E85"/>
    <w:rsid w:val="00BE4796"/>
    <w:rsid w:val="00BE5990"/>
    <w:rsid w:val="00BE6250"/>
    <w:rsid w:val="00BE7B5F"/>
    <w:rsid w:val="00BF0792"/>
    <w:rsid w:val="00BF10D6"/>
    <w:rsid w:val="00BF386D"/>
    <w:rsid w:val="00BF456C"/>
    <w:rsid w:val="00BF5CB4"/>
    <w:rsid w:val="00C02A69"/>
    <w:rsid w:val="00C02C0E"/>
    <w:rsid w:val="00C03F82"/>
    <w:rsid w:val="00C06CBB"/>
    <w:rsid w:val="00C10306"/>
    <w:rsid w:val="00C16720"/>
    <w:rsid w:val="00C176AF"/>
    <w:rsid w:val="00C2179B"/>
    <w:rsid w:val="00C21848"/>
    <w:rsid w:val="00C21D9A"/>
    <w:rsid w:val="00C23EB9"/>
    <w:rsid w:val="00C24F1D"/>
    <w:rsid w:val="00C27C26"/>
    <w:rsid w:val="00C32D60"/>
    <w:rsid w:val="00C33849"/>
    <w:rsid w:val="00C36071"/>
    <w:rsid w:val="00C379EF"/>
    <w:rsid w:val="00C41223"/>
    <w:rsid w:val="00C423AB"/>
    <w:rsid w:val="00C4397F"/>
    <w:rsid w:val="00C44132"/>
    <w:rsid w:val="00C44DFE"/>
    <w:rsid w:val="00C45043"/>
    <w:rsid w:val="00C45F3F"/>
    <w:rsid w:val="00C50F7C"/>
    <w:rsid w:val="00C559AF"/>
    <w:rsid w:val="00C55FE3"/>
    <w:rsid w:val="00C5738B"/>
    <w:rsid w:val="00C606C6"/>
    <w:rsid w:val="00C617D3"/>
    <w:rsid w:val="00C63244"/>
    <w:rsid w:val="00C63351"/>
    <w:rsid w:val="00C67678"/>
    <w:rsid w:val="00C731EE"/>
    <w:rsid w:val="00C74888"/>
    <w:rsid w:val="00C76DAA"/>
    <w:rsid w:val="00C80A4B"/>
    <w:rsid w:val="00C8197C"/>
    <w:rsid w:val="00C81F23"/>
    <w:rsid w:val="00C87903"/>
    <w:rsid w:val="00C90CB2"/>
    <w:rsid w:val="00C93BDC"/>
    <w:rsid w:val="00C96EA6"/>
    <w:rsid w:val="00C97E0B"/>
    <w:rsid w:val="00CA0AD7"/>
    <w:rsid w:val="00CA19FD"/>
    <w:rsid w:val="00CA350A"/>
    <w:rsid w:val="00CA46D4"/>
    <w:rsid w:val="00CA5918"/>
    <w:rsid w:val="00CA792C"/>
    <w:rsid w:val="00CB00C8"/>
    <w:rsid w:val="00CB02A3"/>
    <w:rsid w:val="00CB03CF"/>
    <w:rsid w:val="00CB09E7"/>
    <w:rsid w:val="00CB2E3F"/>
    <w:rsid w:val="00CB3A19"/>
    <w:rsid w:val="00CB48B2"/>
    <w:rsid w:val="00CB5C61"/>
    <w:rsid w:val="00CC5E29"/>
    <w:rsid w:val="00CC7F8C"/>
    <w:rsid w:val="00CD0C32"/>
    <w:rsid w:val="00CD0EA7"/>
    <w:rsid w:val="00CD41EB"/>
    <w:rsid w:val="00CD5234"/>
    <w:rsid w:val="00CD56C6"/>
    <w:rsid w:val="00CD6E1C"/>
    <w:rsid w:val="00CE03CD"/>
    <w:rsid w:val="00CE05FE"/>
    <w:rsid w:val="00CE25D7"/>
    <w:rsid w:val="00CE2CE5"/>
    <w:rsid w:val="00CE3C77"/>
    <w:rsid w:val="00CE4D9B"/>
    <w:rsid w:val="00CE7B29"/>
    <w:rsid w:val="00D02F7E"/>
    <w:rsid w:val="00D041B7"/>
    <w:rsid w:val="00D05F8F"/>
    <w:rsid w:val="00D06F81"/>
    <w:rsid w:val="00D07699"/>
    <w:rsid w:val="00D13574"/>
    <w:rsid w:val="00D145C9"/>
    <w:rsid w:val="00D1557C"/>
    <w:rsid w:val="00D20A6C"/>
    <w:rsid w:val="00D217B4"/>
    <w:rsid w:val="00D21F6F"/>
    <w:rsid w:val="00D25E18"/>
    <w:rsid w:val="00D30853"/>
    <w:rsid w:val="00D3257E"/>
    <w:rsid w:val="00D32E65"/>
    <w:rsid w:val="00D33F30"/>
    <w:rsid w:val="00D34CEE"/>
    <w:rsid w:val="00D35D74"/>
    <w:rsid w:val="00D35E19"/>
    <w:rsid w:val="00D37BE8"/>
    <w:rsid w:val="00D37C33"/>
    <w:rsid w:val="00D4211A"/>
    <w:rsid w:val="00D456DC"/>
    <w:rsid w:val="00D46669"/>
    <w:rsid w:val="00D4677F"/>
    <w:rsid w:val="00D4686E"/>
    <w:rsid w:val="00D47593"/>
    <w:rsid w:val="00D5062E"/>
    <w:rsid w:val="00D549F3"/>
    <w:rsid w:val="00D5520E"/>
    <w:rsid w:val="00D5544E"/>
    <w:rsid w:val="00D55A90"/>
    <w:rsid w:val="00D60349"/>
    <w:rsid w:val="00D62E73"/>
    <w:rsid w:val="00D632BC"/>
    <w:rsid w:val="00D6352F"/>
    <w:rsid w:val="00D6528A"/>
    <w:rsid w:val="00D70EC8"/>
    <w:rsid w:val="00D70FB5"/>
    <w:rsid w:val="00D74BA5"/>
    <w:rsid w:val="00D75A32"/>
    <w:rsid w:val="00D76309"/>
    <w:rsid w:val="00D77750"/>
    <w:rsid w:val="00D81F63"/>
    <w:rsid w:val="00D850AA"/>
    <w:rsid w:val="00D85C1C"/>
    <w:rsid w:val="00D87D32"/>
    <w:rsid w:val="00D93862"/>
    <w:rsid w:val="00D961E2"/>
    <w:rsid w:val="00D96749"/>
    <w:rsid w:val="00D96848"/>
    <w:rsid w:val="00DA1E07"/>
    <w:rsid w:val="00DA3BB3"/>
    <w:rsid w:val="00DA53B1"/>
    <w:rsid w:val="00DA5571"/>
    <w:rsid w:val="00DA5A5C"/>
    <w:rsid w:val="00DA5CA0"/>
    <w:rsid w:val="00DA6F78"/>
    <w:rsid w:val="00DB20F2"/>
    <w:rsid w:val="00DB30CB"/>
    <w:rsid w:val="00DB416C"/>
    <w:rsid w:val="00DB5903"/>
    <w:rsid w:val="00DC5679"/>
    <w:rsid w:val="00DD0371"/>
    <w:rsid w:val="00DD4FD1"/>
    <w:rsid w:val="00DD5249"/>
    <w:rsid w:val="00DE0181"/>
    <w:rsid w:val="00DE1E5C"/>
    <w:rsid w:val="00DE26E3"/>
    <w:rsid w:val="00DE4418"/>
    <w:rsid w:val="00DE63D5"/>
    <w:rsid w:val="00DF0CEE"/>
    <w:rsid w:val="00DF14C9"/>
    <w:rsid w:val="00DF3A89"/>
    <w:rsid w:val="00DF55DE"/>
    <w:rsid w:val="00DF697D"/>
    <w:rsid w:val="00DF766B"/>
    <w:rsid w:val="00E0077C"/>
    <w:rsid w:val="00E02C50"/>
    <w:rsid w:val="00E032D1"/>
    <w:rsid w:val="00E0491C"/>
    <w:rsid w:val="00E04E45"/>
    <w:rsid w:val="00E05C8C"/>
    <w:rsid w:val="00E0710B"/>
    <w:rsid w:val="00E07680"/>
    <w:rsid w:val="00E07E15"/>
    <w:rsid w:val="00E118AA"/>
    <w:rsid w:val="00E136B4"/>
    <w:rsid w:val="00E13F05"/>
    <w:rsid w:val="00E14493"/>
    <w:rsid w:val="00E14EA1"/>
    <w:rsid w:val="00E1615F"/>
    <w:rsid w:val="00E21F3A"/>
    <w:rsid w:val="00E22DE1"/>
    <w:rsid w:val="00E30FEB"/>
    <w:rsid w:val="00E3254B"/>
    <w:rsid w:val="00E32FCE"/>
    <w:rsid w:val="00E342BA"/>
    <w:rsid w:val="00E363E3"/>
    <w:rsid w:val="00E3641A"/>
    <w:rsid w:val="00E400F5"/>
    <w:rsid w:val="00E44765"/>
    <w:rsid w:val="00E53777"/>
    <w:rsid w:val="00E55011"/>
    <w:rsid w:val="00E56424"/>
    <w:rsid w:val="00E57C44"/>
    <w:rsid w:val="00E6017B"/>
    <w:rsid w:val="00E60FC1"/>
    <w:rsid w:val="00E619DF"/>
    <w:rsid w:val="00E627D7"/>
    <w:rsid w:val="00E63A86"/>
    <w:rsid w:val="00E65B3E"/>
    <w:rsid w:val="00E6793E"/>
    <w:rsid w:val="00E70D9C"/>
    <w:rsid w:val="00E71707"/>
    <w:rsid w:val="00E721C3"/>
    <w:rsid w:val="00E775B4"/>
    <w:rsid w:val="00E779CD"/>
    <w:rsid w:val="00E81779"/>
    <w:rsid w:val="00E82352"/>
    <w:rsid w:val="00E85F73"/>
    <w:rsid w:val="00E86E6C"/>
    <w:rsid w:val="00E87DD2"/>
    <w:rsid w:val="00E90BA9"/>
    <w:rsid w:val="00E91E0C"/>
    <w:rsid w:val="00E92886"/>
    <w:rsid w:val="00E928E1"/>
    <w:rsid w:val="00E94AEC"/>
    <w:rsid w:val="00E95558"/>
    <w:rsid w:val="00E9753E"/>
    <w:rsid w:val="00EA1E6D"/>
    <w:rsid w:val="00EA3416"/>
    <w:rsid w:val="00EA6E95"/>
    <w:rsid w:val="00EA6F6A"/>
    <w:rsid w:val="00EB18E9"/>
    <w:rsid w:val="00EB1FC1"/>
    <w:rsid w:val="00EC3CA2"/>
    <w:rsid w:val="00EC5837"/>
    <w:rsid w:val="00EC5B92"/>
    <w:rsid w:val="00EC6ACD"/>
    <w:rsid w:val="00EC72E8"/>
    <w:rsid w:val="00ED0108"/>
    <w:rsid w:val="00ED0E51"/>
    <w:rsid w:val="00ED52A9"/>
    <w:rsid w:val="00ED5BC0"/>
    <w:rsid w:val="00ED632A"/>
    <w:rsid w:val="00ED6E7B"/>
    <w:rsid w:val="00EE0D91"/>
    <w:rsid w:val="00EE4431"/>
    <w:rsid w:val="00EF0AF8"/>
    <w:rsid w:val="00EF3932"/>
    <w:rsid w:val="00EF7002"/>
    <w:rsid w:val="00F01804"/>
    <w:rsid w:val="00F019BF"/>
    <w:rsid w:val="00F034B3"/>
    <w:rsid w:val="00F04AA6"/>
    <w:rsid w:val="00F04F1C"/>
    <w:rsid w:val="00F067AD"/>
    <w:rsid w:val="00F07890"/>
    <w:rsid w:val="00F10465"/>
    <w:rsid w:val="00F115F9"/>
    <w:rsid w:val="00F12923"/>
    <w:rsid w:val="00F20E7C"/>
    <w:rsid w:val="00F20F4D"/>
    <w:rsid w:val="00F2113F"/>
    <w:rsid w:val="00F21142"/>
    <w:rsid w:val="00F24B5C"/>
    <w:rsid w:val="00F2573F"/>
    <w:rsid w:val="00F26950"/>
    <w:rsid w:val="00F269BC"/>
    <w:rsid w:val="00F30C20"/>
    <w:rsid w:val="00F4371F"/>
    <w:rsid w:val="00F438D1"/>
    <w:rsid w:val="00F477E9"/>
    <w:rsid w:val="00F4790E"/>
    <w:rsid w:val="00F57341"/>
    <w:rsid w:val="00F6001D"/>
    <w:rsid w:val="00F60D92"/>
    <w:rsid w:val="00F61F14"/>
    <w:rsid w:val="00F633C1"/>
    <w:rsid w:val="00F6344B"/>
    <w:rsid w:val="00F63FB3"/>
    <w:rsid w:val="00F6745D"/>
    <w:rsid w:val="00F70740"/>
    <w:rsid w:val="00F72318"/>
    <w:rsid w:val="00F73141"/>
    <w:rsid w:val="00F731BC"/>
    <w:rsid w:val="00F739F2"/>
    <w:rsid w:val="00F776D5"/>
    <w:rsid w:val="00F81C0E"/>
    <w:rsid w:val="00F847D7"/>
    <w:rsid w:val="00F854AA"/>
    <w:rsid w:val="00F91A8B"/>
    <w:rsid w:val="00F92E48"/>
    <w:rsid w:val="00F94847"/>
    <w:rsid w:val="00F950F3"/>
    <w:rsid w:val="00F95F05"/>
    <w:rsid w:val="00F973D8"/>
    <w:rsid w:val="00F97BB0"/>
    <w:rsid w:val="00FA06B5"/>
    <w:rsid w:val="00FA0EE6"/>
    <w:rsid w:val="00FA2154"/>
    <w:rsid w:val="00FB3003"/>
    <w:rsid w:val="00FB45D3"/>
    <w:rsid w:val="00FB4E1F"/>
    <w:rsid w:val="00FB5423"/>
    <w:rsid w:val="00FB5A50"/>
    <w:rsid w:val="00FB7216"/>
    <w:rsid w:val="00FB7438"/>
    <w:rsid w:val="00FC1AED"/>
    <w:rsid w:val="00FC1EA8"/>
    <w:rsid w:val="00FC20C9"/>
    <w:rsid w:val="00FC34EC"/>
    <w:rsid w:val="00FC3DD5"/>
    <w:rsid w:val="00FD18A5"/>
    <w:rsid w:val="00FD4301"/>
    <w:rsid w:val="00FD443F"/>
    <w:rsid w:val="00FD479F"/>
    <w:rsid w:val="00FD6E3C"/>
    <w:rsid w:val="00FD74AF"/>
    <w:rsid w:val="00FE1366"/>
    <w:rsid w:val="00FE22BB"/>
    <w:rsid w:val="00FE328D"/>
    <w:rsid w:val="00FE6A3F"/>
    <w:rsid w:val="00FF5E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525CF"/>
    <w:rPr>
      <w:sz w:val="24"/>
      <w:szCs w:val="24"/>
    </w:rPr>
  </w:style>
  <w:style w:type="paragraph" w:styleId="Nadpis1">
    <w:name w:val="heading 1"/>
    <w:basedOn w:val="Normln"/>
    <w:next w:val="Normln"/>
    <w:link w:val="Nadpis1Char"/>
    <w:qFormat/>
    <w:rsid w:val="001E2B6D"/>
    <w:pPr>
      <w:keepNext/>
      <w:numPr>
        <w:numId w:val="5"/>
      </w:numPr>
      <w:spacing w:after="360"/>
      <w:outlineLvl w:val="0"/>
    </w:pPr>
    <w:rPr>
      <w:b/>
      <w:bCs/>
      <w:kern w:val="32"/>
      <w:sz w:val="32"/>
      <w:szCs w:val="32"/>
      <w:u w:val="single"/>
    </w:rPr>
  </w:style>
  <w:style w:type="paragraph" w:styleId="Nadpis2">
    <w:name w:val="heading 2"/>
    <w:basedOn w:val="Normln"/>
    <w:next w:val="Normln"/>
    <w:link w:val="Nadpis2Char"/>
    <w:qFormat/>
    <w:rsid w:val="001E2B6D"/>
    <w:pPr>
      <w:keepNext/>
      <w:numPr>
        <w:ilvl w:val="1"/>
        <w:numId w:val="5"/>
      </w:numPr>
      <w:spacing w:before="360" w:after="360"/>
      <w:jc w:val="both"/>
      <w:outlineLvl w:val="1"/>
    </w:pPr>
    <w:rPr>
      <w:b/>
      <w:iCs/>
      <w:sz w:val="28"/>
    </w:rPr>
  </w:style>
  <w:style w:type="paragraph" w:styleId="Nadpis3">
    <w:name w:val="heading 3"/>
    <w:basedOn w:val="Normln"/>
    <w:next w:val="Normln"/>
    <w:link w:val="Nadpis3Char"/>
    <w:qFormat/>
    <w:rsid w:val="001E2B6D"/>
    <w:pPr>
      <w:keepNext/>
      <w:numPr>
        <w:ilvl w:val="2"/>
        <w:numId w:val="5"/>
      </w:numPr>
      <w:spacing w:before="240" w:after="240"/>
      <w:jc w:val="both"/>
      <w:outlineLvl w:val="2"/>
    </w:pPr>
    <w:rPr>
      <w:b/>
      <w:bCs/>
    </w:rPr>
  </w:style>
  <w:style w:type="paragraph" w:styleId="Nadpis4">
    <w:name w:val="heading 4"/>
    <w:basedOn w:val="Normln"/>
    <w:next w:val="Normln"/>
    <w:link w:val="Nadpis4Char"/>
    <w:semiHidden/>
    <w:unhideWhenUsed/>
    <w:qFormat/>
    <w:rsid w:val="00F20E7C"/>
    <w:pPr>
      <w:keepNext/>
      <w:numPr>
        <w:ilvl w:val="3"/>
        <w:numId w:val="5"/>
      </w:numPr>
      <w:spacing w:before="240" w:after="60"/>
      <w:outlineLvl w:val="3"/>
    </w:pPr>
    <w:rPr>
      <w:rFonts w:ascii="Calibri" w:hAnsi="Calibri"/>
      <w:b/>
      <w:bCs/>
      <w:sz w:val="28"/>
      <w:szCs w:val="28"/>
    </w:rPr>
  </w:style>
  <w:style w:type="paragraph" w:styleId="Nadpis5">
    <w:name w:val="heading 5"/>
    <w:basedOn w:val="Normln"/>
    <w:next w:val="Normln"/>
    <w:link w:val="Nadpis5Char"/>
    <w:semiHidden/>
    <w:unhideWhenUsed/>
    <w:qFormat/>
    <w:rsid w:val="00F20E7C"/>
    <w:pPr>
      <w:numPr>
        <w:ilvl w:val="4"/>
        <w:numId w:val="5"/>
      </w:numPr>
      <w:spacing w:before="240" w:after="60"/>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F20E7C"/>
    <w:pPr>
      <w:numPr>
        <w:ilvl w:val="5"/>
        <w:numId w:val="5"/>
      </w:num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F20E7C"/>
    <w:pPr>
      <w:numPr>
        <w:ilvl w:val="6"/>
        <w:numId w:val="5"/>
      </w:numPr>
      <w:spacing w:before="240" w:after="60"/>
      <w:outlineLvl w:val="6"/>
    </w:pPr>
    <w:rPr>
      <w:rFonts w:ascii="Calibri" w:hAnsi="Calibri"/>
    </w:rPr>
  </w:style>
  <w:style w:type="paragraph" w:styleId="Nadpis8">
    <w:name w:val="heading 8"/>
    <w:basedOn w:val="Normln"/>
    <w:next w:val="Normln"/>
    <w:link w:val="Nadpis8Char"/>
    <w:semiHidden/>
    <w:unhideWhenUsed/>
    <w:qFormat/>
    <w:rsid w:val="00F20E7C"/>
    <w:pPr>
      <w:numPr>
        <w:ilvl w:val="7"/>
        <w:numId w:val="5"/>
      </w:numPr>
      <w:spacing w:before="240" w:after="60"/>
      <w:outlineLvl w:val="7"/>
    </w:pPr>
    <w:rPr>
      <w:rFonts w:ascii="Calibri" w:hAnsi="Calibri"/>
      <w:i/>
      <w:iCs/>
    </w:rPr>
  </w:style>
  <w:style w:type="paragraph" w:styleId="Nadpis9">
    <w:name w:val="heading 9"/>
    <w:basedOn w:val="Normln"/>
    <w:next w:val="Normln"/>
    <w:link w:val="Nadpis9Char"/>
    <w:semiHidden/>
    <w:unhideWhenUsed/>
    <w:qFormat/>
    <w:rsid w:val="00F20E7C"/>
    <w:pPr>
      <w:numPr>
        <w:ilvl w:val="8"/>
        <w:numId w:val="5"/>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F92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DC5679"/>
    <w:rPr>
      <w:sz w:val="20"/>
      <w:szCs w:val="20"/>
    </w:rPr>
  </w:style>
  <w:style w:type="character" w:styleId="Znakapoznpodarou">
    <w:name w:val="footnote reference"/>
    <w:semiHidden/>
    <w:rsid w:val="00DC5679"/>
    <w:rPr>
      <w:vertAlign w:val="superscript"/>
    </w:rPr>
  </w:style>
  <w:style w:type="paragraph" w:styleId="Zpat">
    <w:name w:val="footer"/>
    <w:basedOn w:val="Normln"/>
    <w:link w:val="ZpatChar"/>
    <w:uiPriority w:val="99"/>
    <w:rsid w:val="00775EE1"/>
    <w:pPr>
      <w:tabs>
        <w:tab w:val="center" w:pos="4536"/>
        <w:tab w:val="right" w:pos="9072"/>
      </w:tabs>
    </w:pPr>
  </w:style>
  <w:style w:type="character" w:styleId="slostrnky">
    <w:name w:val="page number"/>
    <w:basedOn w:val="Standardnpsmoodstavce"/>
    <w:rsid w:val="00775EE1"/>
  </w:style>
  <w:style w:type="paragraph" w:styleId="Zkladntext">
    <w:name w:val="Body Text"/>
    <w:basedOn w:val="Normln"/>
    <w:rsid w:val="007B5E4C"/>
    <w:pPr>
      <w:spacing w:line="360" w:lineRule="auto"/>
      <w:jc w:val="both"/>
    </w:pPr>
  </w:style>
  <w:style w:type="character" w:styleId="Odkaznakoment">
    <w:name w:val="annotation reference"/>
    <w:semiHidden/>
    <w:rsid w:val="00844AB8"/>
    <w:rPr>
      <w:sz w:val="16"/>
      <w:szCs w:val="16"/>
    </w:rPr>
  </w:style>
  <w:style w:type="paragraph" w:styleId="Textkomente">
    <w:name w:val="annotation text"/>
    <w:basedOn w:val="Normln"/>
    <w:semiHidden/>
    <w:rsid w:val="00844AB8"/>
    <w:rPr>
      <w:color w:val="000000"/>
      <w:sz w:val="20"/>
      <w:szCs w:val="20"/>
    </w:rPr>
  </w:style>
  <w:style w:type="paragraph" w:styleId="Textbubliny">
    <w:name w:val="Balloon Text"/>
    <w:basedOn w:val="Normln"/>
    <w:semiHidden/>
    <w:rsid w:val="00844AB8"/>
    <w:rPr>
      <w:rFonts w:ascii="Tahoma" w:hAnsi="Tahoma" w:cs="Tahoma"/>
      <w:sz w:val="16"/>
      <w:szCs w:val="16"/>
    </w:rPr>
  </w:style>
  <w:style w:type="character" w:styleId="Siln">
    <w:name w:val="Strong"/>
    <w:qFormat/>
    <w:rsid w:val="00AA6773"/>
    <w:rPr>
      <w:b/>
      <w:bCs/>
    </w:rPr>
  </w:style>
  <w:style w:type="paragraph" w:styleId="Zkladntextodsazen2">
    <w:name w:val="Body Text Indent 2"/>
    <w:basedOn w:val="Normln"/>
    <w:link w:val="Zkladntextodsazen2Char"/>
    <w:rsid w:val="0020606B"/>
    <w:pPr>
      <w:spacing w:after="120" w:line="480" w:lineRule="auto"/>
      <w:ind w:left="283"/>
    </w:pPr>
  </w:style>
  <w:style w:type="paragraph" w:customStyle="1" w:styleId="Default">
    <w:name w:val="Default"/>
    <w:rsid w:val="009C7157"/>
    <w:pPr>
      <w:autoSpaceDE w:val="0"/>
      <w:autoSpaceDN w:val="0"/>
      <w:adjustRightInd w:val="0"/>
    </w:pPr>
    <w:rPr>
      <w:color w:val="000000"/>
      <w:sz w:val="24"/>
      <w:szCs w:val="24"/>
    </w:rPr>
  </w:style>
  <w:style w:type="paragraph" w:styleId="Odstavecseseznamem">
    <w:name w:val="List Paragraph"/>
    <w:basedOn w:val="Normln"/>
    <w:qFormat/>
    <w:rsid w:val="00843123"/>
    <w:pPr>
      <w:spacing w:before="120" w:after="120"/>
      <w:ind w:left="720" w:firstLine="284"/>
      <w:contextualSpacing/>
      <w:jc w:val="both"/>
    </w:pPr>
    <w:rPr>
      <w:szCs w:val="20"/>
    </w:rPr>
  </w:style>
  <w:style w:type="paragraph" w:customStyle="1" w:styleId="Zkladntext21">
    <w:name w:val="Základní text 21"/>
    <w:basedOn w:val="Normln"/>
    <w:rsid w:val="00332D0B"/>
    <w:pPr>
      <w:spacing w:after="120" w:line="360" w:lineRule="auto"/>
      <w:jc w:val="both"/>
    </w:pPr>
    <w:rPr>
      <w:rFonts w:ascii="Arial" w:hAnsi="Arial"/>
      <w:szCs w:val="20"/>
    </w:rPr>
  </w:style>
  <w:style w:type="paragraph" w:styleId="Pedmtkomente">
    <w:name w:val="annotation subject"/>
    <w:basedOn w:val="Textkomente"/>
    <w:next w:val="Textkomente"/>
    <w:semiHidden/>
    <w:rsid w:val="00173B7B"/>
    <w:rPr>
      <w:b/>
      <w:bCs/>
      <w:color w:val="auto"/>
    </w:rPr>
  </w:style>
  <w:style w:type="paragraph" w:styleId="Zkladntextodsazen3">
    <w:name w:val="Body Text Indent 3"/>
    <w:basedOn w:val="Normln"/>
    <w:link w:val="Zkladntextodsazen3Char"/>
    <w:rsid w:val="001E2B6D"/>
    <w:pPr>
      <w:spacing w:after="120"/>
      <w:ind w:left="283"/>
    </w:pPr>
    <w:rPr>
      <w:sz w:val="16"/>
      <w:szCs w:val="16"/>
    </w:rPr>
  </w:style>
  <w:style w:type="character" w:customStyle="1" w:styleId="Zkladntextodsazen3Char">
    <w:name w:val="Základní text odsazený 3 Char"/>
    <w:link w:val="Zkladntextodsazen3"/>
    <w:rsid w:val="001E2B6D"/>
    <w:rPr>
      <w:sz w:val="16"/>
      <w:szCs w:val="16"/>
    </w:rPr>
  </w:style>
  <w:style w:type="character" w:customStyle="1" w:styleId="Nadpis1Char">
    <w:name w:val="Nadpis 1 Char"/>
    <w:link w:val="Nadpis1"/>
    <w:rsid w:val="001E2B6D"/>
    <w:rPr>
      <w:b/>
      <w:bCs/>
      <w:kern w:val="32"/>
      <w:sz w:val="32"/>
      <w:szCs w:val="32"/>
      <w:u w:val="single"/>
    </w:rPr>
  </w:style>
  <w:style w:type="character" w:customStyle="1" w:styleId="Nadpis2Char">
    <w:name w:val="Nadpis 2 Char"/>
    <w:link w:val="Nadpis2"/>
    <w:rsid w:val="001E2B6D"/>
    <w:rPr>
      <w:b/>
      <w:iCs/>
      <w:sz w:val="28"/>
      <w:szCs w:val="24"/>
    </w:rPr>
  </w:style>
  <w:style w:type="character" w:customStyle="1" w:styleId="Nadpis3Char">
    <w:name w:val="Nadpis 3 Char"/>
    <w:link w:val="Nadpis3"/>
    <w:rsid w:val="001E2B6D"/>
    <w:rPr>
      <w:b/>
      <w:bCs/>
      <w:sz w:val="24"/>
      <w:szCs w:val="24"/>
    </w:rPr>
  </w:style>
  <w:style w:type="character" w:customStyle="1" w:styleId="TextpoznpodarouChar">
    <w:name w:val="Text pozn. pod čarou Char"/>
    <w:link w:val="Textpoznpodarou"/>
    <w:semiHidden/>
    <w:rsid w:val="001E2B6D"/>
  </w:style>
  <w:style w:type="paragraph" w:customStyle="1" w:styleId="StylNadpis2Podtren1">
    <w:name w:val="Styl Nadpis 2 + Podtržení1"/>
    <w:basedOn w:val="Nadpis2"/>
    <w:autoRedefine/>
    <w:rsid w:val="001E2B6D"/>
    <w:pPr>
      <w:numPr>
        <w:ilvl w:val="0"/>
        <w:numId w:val="2"/>
      </w:numPr>
      <w:spacing w:before="120" w:after="0" w:line="360" w:lineRule="auto"/>
      <w:ind w:hanging="720"/>
      <w:outlineLvl w:val="0"/>
    </w:pPr>
    <w:rPr>
      <w:bCs/>
      <w:iCs w:val="0"/>
      <w:sz w:val="32"/>
      <w:szCs w:val="32"/>
    </w:rPr>
  </w:style>
  <w:style w:type="paragraph" w:styleId="Zhlav">
    <w:name w:val="header"/>
    <w:basedOn w:val="Normln"/>
    <w:link w:val="ZhlavChar"/>
    <w:rsid w:val="000919C1"/>
    <w:pPr>
      <w:tabs>
        <w:tab w:val="center" w:pos="4536"/>
        <w:tab w:val="right" w:pos="9072"/>
      </w:tabs>
    </w:pPr>
  </w:style>
  <w:style w:type="character" w:customStyle="1" w:styleId="ZhlavChar">
    <w:name w:val="Záhlaví Char"/>
    <w:link w:val="Zhlav"/>
    <w:rsid w:val="000919C1"/>
    <w:rPr>
      <w:sz w:val="24"/>
      <w:szCs w:val="24"/>
    </w:rPr>
  </w:style>
  <w:style w:type="character" w:customStyle="1" w:styleId="ZpatChar">
    <w:name w:val="Zápatí Char"/>
    <w:link w:val="Zpat"/>
    <w:uiPriority w:val="99"/>
    <w:rsid w:val="000919C1"/>
    <w:rPr>
      <w:sz w:val="24"/>
      <w:szCs w:val="24"/>
    </w:rPr>
  </w:style>
  <w:style w:type="paragraph" w:styleId="Nadpisobsahu">
    <w:name w:val="TOC Heading"/>
    <w:basedOn w:val="Nadpis1"/>
    <w:next w:val="Normln"/>
    <w:uiPriority w:val="39"/>
    <w:semiHidden/>
    <w:unhideWhenUsed/>
    <w:qFormat/>
    <w:rsid w:val="00F04F1C"/>
    <w:pPr>
      <w:keepLines/>
      <w:spacing w:before="480" w:after="0" w:line="276" w:lineRule="auto"/>
      <w:outlineLvl w:val="9"/>
    </w:pPr>
    <w:rPr>
      <w:rFonts w:ascii="Cambria" w:hAnsi="Cambria"/>
      <w:color w:val="365F91"/>
      <w:kern w:val="0"/>
      <w:sz w:val="28"/>
      <w:szCs w:val="28"/>
      <w:u w:val="none"/>
    </w:rPr>
  </w:style>
  <w:style w:type="paragraph" w:styleId="Obsah2">
    <w:name w:val="toc 2"/>
    <w:basedOn w:val="Normln"/>
    <w:next w:val="Normln"/>
    <w:autoRedefine/>
    <w:uiPriority w:val="39"/>
    <w:unhideWhenUsed/>
    <w:qFormat/>
    <w:rsid w:val="00F04F1C"/>
    <w:pPr>
      <w:spacing w:after="100" w:line="276" w:lineRule="auto"/>
      <w:ind w:left="220"/>
    </w:pPr>
    <w:rPr>
      <w:rFonts w:ascii="Calibri" w:hAnsi="Calibri"/>
      <w:sz w:val="22"/>
      <w:szCs w:val="22"/>
    </w:rPr>
  </w:style>
  <w:style w:type="paragraph" w:styleId="Obsah1">
    <w:name w:val="toc 1"/>
    <w:basedOn w:val="Normln"/>
    <w:next w:val="Normln"/>
    <w:autoRedefine/>
    <w:uiPriority w:val="39"/>
    <w:unhideWhenUsed/>
    <w:qFormat/>
    <w:rsid w:val="00F04F1C"/>
    <w:pPr>
      <w:spacing w:after="100" w:line="276" w:lineRule="auto"/>
    </w:pPr>
    <w:rPr>
      <w:sz w:val="22"/>
      <w:szCs w:val="22"/>
    </w:rPr>
  </w:style>
  <w:style w:type="paragraph" w:styleId="Obsah3">
    <w:name w:val="toc 3"/>
    <w:basedOn w:val="Normln"/>
    <w:next w:val="Normln"/>
    <w:autoRedefine/>
    <w:uiPriority w:val="39"/>
    <w:unhideWhenUsed/>
    <w:qFormat/>
    <w:rsid w:val="00F04F1C"/>
    <w:pPr>
      <w:spacing w:after="100" w:line="276" w:lineRule="auto"/>
      <w:ind w:left="440"/>
    </w:pPr>
    <w:rPr>
      <w:rFonts w:ascii="Calibri" w:hAnsi="Calibri"/>
      <w:sz w:val="22"/>
      <w:szCs w:val="22"/>
    </w:rPr>
  </w:style>
  <w:style w:type="character" w:styleId="Hypertextovodkaz">
    <w:name w:val="Hyperlink"/>
    <w:uiPriority w:val="99"/>
    <w:unhideWhenUsed/>
    <w:rsid w:val="00F04F1C"/>
    <w:rPr>
      <w:color w:val="0000FF"/>
      <w:u w:val="single"/>
    </w:rPr>
  </w:style>
  <w:style w:type="character" w:customStyle="1" w:styleId="Nadpis4Char">
    <w:name w:val="Nadpis 4 Char"/>
    <w:link w:val="Nadpis4"/>
    <w:semiHidden/>
    <w:rsid w:val="00F20E7C"/>
    <w:rPr>
      <w:rFonts w:ascii="Calibri" w:hAnsi="Calibri"/>
      <w:b/>
      <w:bCs/>
      <w:sz w:val="28"/>
      <w:szCs w:val="28"/>
    </w:rPr>
  </w:style>
  <w:style w:type="character" w:customStyle="1" w:styleId="Nadpis5Char">
    <w:name w:val="Nadpis 5 Char"/>
    <w:link w:val="Nadpis5"/>
    <w:semiHidden/>
    <w:rsid w:val="00F20E7C"/>
    <w:rPr>
      <w:rFonts w:ascii="Calibri" w:hAnsi="Calibri"/>
      <w:b/>
      <w:bCs/>
      <w:i/>
      <w:iCs/>
      <w:sz w:val="26"/>
      <w:szCs w:val="26"/>
    </w:rPr>
  </w:style>
  <w:style w:type="character" w:customStyle="1" w:styleId="Nadpis6Char">
    <w:name w:val="Nadpis 6 Char"/>
    <w:link w:val="Nadpis6"/>
    <w:semiHidden/>
    <w:rsid w:val="00F20E7C"/>
    <w:rPr>
      <w:rFonts w:ascii="Calibri" w:hAnsi="Calibri"/>
      <w:b/>
      <w:bCs/>
      <w:sz w:val="22"/>
      <w:szCs w:val="22"/>
    </w:rPr>
  </w:style>
  <w:style w:type="character" w:customStyle="1" w:styleId="Nadpis7Char">
    <w:name w:val="Nadpis 7 Char"/>
    <w:link w:val="Nadpis7"/>
    <w:semiHidden/>
    <w:rsid w:val="00F20E7C"/>
    <w:rPr>
      <w:rFonts w:ascii="Calibri" w:hAnsi="Calibri"/>
      <w:sz w:val="24"/>
      <w:szCs w:val="24"/>
    </w:rPr>
  </w:style>
  <w:style w:type="character" w:customStyle="1" w:styleId="Nadpis8Char">
    <w:name w:val="Nadpis 8 Char"/>
    <w:link w:val="Nadpis8"/>
    <w:semiHidden/>
    <w:rsid w:val="00F20E7C"/>
    <w:rPr>
      <w:rFonts w:ascii="Calibri" w:hAnsi="Calibri"/>
      <w:i/>
      <w:iCs/>
      <w:sz w:val="24"/>
      <w:szCs w:val="24"/>
    </w:rPr>
  </w:style>
  <w:style w:type="character" w:customStyle="1" w:styleId="Nadpis9Char">
    <w:name w:val="Nadpis 9 Char"/>
    <w:link w:val="Nadpis9"/>
    <w:semiHidden/>
    <w:rsid w:val="00F20E7C"/>
    <w:rPr>
      <w:rFonts w:ascii="Cambria" w:hAnsi="Cambria"/>
      <w:sz w:val="22"/>
      <w:szCs w:val="22"/>
    </w:rPr>
  </w:style>
  <w:style w:type="paragraph" w:styleId="Titulek">
    <w:name w:val="caption"/>
    <w:basedOn w:val="Normln"/>
    <w:next w:val="Normln"/>
    <w:unhideWhenUsed/>
    <w:qFormat/>
    <w:rsid w:val="000D7B97"/>
    <w:pPr>
      <w:spacing w:after="200"/>
    </w:pPr>
    <w:rPr>
      <w:b/>
      <w:bCs/>
      <w:color w:val="4F81BD" w:themeColor="accent1"/>
      <w:sz w:val="18"/>
      <w:szCs w:val="18"/>
    </w:rPr>
  </w:style>
  <w:style w:type="character" w:customStyle="1" w:styleId="Zkladntextodsazen2Char">
    <w:name w:val="Základní text odsazený 2 Char"/>
    <w:basedOn w:val="Standardnpsmoodstavce"/>
    <w:link w:val="Zkladntextodsazen2"/>
    <w:rsid w:val="001C7AA9"/>
    <w:rPr>
      <w:sz w:val="24"/>
      <w:szCs w:val="24"/>
    </w:rPr>
  </w:style>
  <w:style w:type="paragraph" w:styleId="Bezmezer">
    <w:name w:val="No Spacing"/>
    <w:link w:val="BezmezerChar"/>
    <w:uiPriority w:val="1"/>
    <w:qFormat/>
    <w:rsid w:val="00CA350A"/>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CA350A"/>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525CF"/>
    <w:rPr>
      <w:sz w:val="24"/>
      <w:szCs w:val="24"/>
    </w:rPr>
  </w:style>
  <w:style w:type="paragraph" w:styleId="Nadpis1">
    <w:name w:val="heading 1"/>
    <w:basedOn w:val="Normln"/>
    <w:next w:val="Normln"/>
    <w:link w:val="Nadpis1Char"/>
    <w:qFormat/>
    <w:rsid w:val="001E2B6D"/>
    <w:pPr>
      <w:keepNext/>
      <w:numPr>
        <w:numId w:val="5"/>
      </w:numPr>
      <w:spacing w:after="360"/>
      <w:outlineLvl w:val="0"/>
    </w:pPr>
    <w:rPr>
      <w:b/>
      <w:bCs/>
      <w:kern w:val="32"/>
      <w:sz w:val="32"/>
      <w:szCs w:val="32"/>
      <w:u w:val="single"/>
    </w:rPr>
  </w:style>
  <w:style w:type="paragraph" w:styleId="Nadpis2">
    <w:name w:val="heading 2"/>
    <w:basedOn w:val="Normln"/>
    <w:next w:val="Normln"/>
    <w:link w:val="Nadpis2Char"/>
    <w:qFormat/>
    <w:rsid w:val="001E2B6D"/>
    <w:pPr>
      <w:keepNext/>
      <w:numPr>
        <w:ilvl w:val="1"/>
        <w:numId w:val="5"/>
      </w:numPr>
      <w:spacing w:before="360" w:after="360"/>
      <w:jc w:val="both"/>
      <w:outlineLvl w:val="1"/>
    </w:pPr>
    <w:rPr>
      <w:b/>
      <w:iCs/>
      <w:sz w:val="28"/>
    </w:rPr>
  </w:style>
  <w:style w:type="paragraph" w:styleId="Nadpis3">
    <w:name w:val="heading 3"/>
    <w:basedOn w:val="Normln"/>
    <w:next w:val="Normln"/>
    <w:link w:val="Nadpis3Char"/>
    <w:qFormat/>
    <w:rsid w:val="001E2B6D"/>
    <w:pPr>
      <w:keepNext/>
      <w:numPr>
        <w:ilvl w:val="2"/>
        <w:numId w:val="5"/>
      </w:numPr>
      <w:spacing w:before="240" w:after="240"/>
      <w:jc w:val="both"/>
      <w:outlineLvl w:val="2"/>
    </w:pPr>
    <w:rPr>
      <w:b/>
      <w:bCs/>
    </w:rPr>
  </w:style>
  <w:style w:type="paragraph" w:styleId="Nadpis4">
    <w:name w:val="heading 4"/>
    <w:basedOn w:val="Normln"/>
    <w:next w:val="Normln"/>
    <w:link w:val="Nadpis4Char"/>
    <w:semiHidden/>
    <w:unhideWhenUsed/>
    <w:qFormat/>
    <w:rsid w:val="00F20E7C"/>
    <w:pPr>
      <w:keepNext/>
      <w:numPr>
        <w:ilvl w:val="3"/>
        <w:numId w:val="5"/>
      </w:numPr>
      <w:spacing w:before="240" w:after="60"/>
      <w:outlineLvl w:val="3"/>
    </w:pPr>
    <w:rPr>
      <w:rFonts w:ascii="Calibri" w:hAnsi="Calibri"/>
      <w:b/>
      <w:bCs/>
      <w:sz w:val="28"/>
      <w:szCs w:val="28"/>
    </w:rPr>
  </w:style>
  <w:style w:type="paragraph" w:styleId="Nadpis5">
    <w:name w:val="heading 5"/>
    <w:basedOn w:val="Normln"/>
    <w:next w:val="Normln"/>
    <w:link w:val="Nadpis5Char"/>
    <w:semiHidden/>
    <w:unhideWhenUsed/>
    <w:qFormat/>
    <w:rsid w:val="00F20E7C"/>
    <w:pPr>
      <w:numPr>
        <w:ilvl w:val="4"/>
        <w:numId w:val="5"/>
      </w:numPr>
      <w:spacing w:before="240" w:after="60"/>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F20E7C"/>
    <w:pPr>
      <w:numPr>
        <w:ilvl w:val="5"/>
        <w:numId w:val="5"/>
      </w:num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F20E7C"/>
    <w:pPr>
      <w:numPr>
        <w:ilvl w:val="6"/>
        <w:numId w:val="5"/>
      </w:numPr>
      <w:spacing w:before="240" w:after="60"/>
      <w:outlineLvl w:val="6"/>
    </w:pPr>
    <w:rPr>
      <w:rFonts w:ascii="Calibri" w:hAnsi="Calibri"/>
    </w:rPr>
  </w:style>
  <w:style w:type="paragraph" w:styleId="Nadpis8">
    <w:name w:val="heading 8"/>
    <w:basedOn w:val="Normln"/>
    <w:next w:val="Normln"/>
    <w:link w:val="Nadpis8Char"/>
    <w:semiHidden/>
    <w:unhideWhenUsed/>
    <w:qFormat/>
    <w:rsid w:val="00F20E7C"/>
    <w:pPr>
      <w:numPr>
        <w:ilvl w:val="7"/>
        <w:numId w:val="5"/>
      </w:numPr>
      <w:spacing w:before="240" w:after="60"/>
      <w:outlineLvl w:val="7"/>
    </w:pPr>
    <w:rPr>
      <w:rFonts w:ascii="Calibri" w:hAnsi="Calibri"/>
      <w:i/>
      <w:iCs/>
    </w:rPr>
  </w:style>
  <w:style w:type="paragraph" w:styleId="Nadpis9">
    <w:name w:val="heading 9"/>
    <w:basedOn w:val="Normln"/>
    <w:next w:val="Normln"/>
    <w:link w:val="Nadpis9Char"/>
    <w:semiHidden/>
    <w:unhideWhenUsed/>
    <w:qFormat/>
    <w:rsid w:val="00F20E7C"/>
    <w:pPr>
      <w:numPr>
        <w:ilvl w:val="8"/>
        <w:numId w:val="5"/>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F92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DC5679"/>
    <w:rPr>
      <w:sz w:val="20"/>
      <w:szCs w:val="20"/>
    </w:rPr>
  </w:style>
  <w:style w:type="character" w:styleId="Znakapoznpodarou">
    <w:name w:val="footnote reference"/>
    <w:semiHidden/>
    <w:rsid w:val="00DC5679"/>
    <w:rPr>
      <w:vertAlign w:val="superscript"/>
    </w:rPr>
  </w:style>
  <w:style w:type="paragraph" w:styleId="Zpat">
    <w:name w:val="footer"/>
    <w:basedOn w:val="Normln"/>
    <w:link w:val="ZpatChar"/>
    <w:uiPriority w:val="99"/>
    <w:rsid w:val="00775EE1"/>
    <w:pPr>
      <w:tabs>
        <w:tab w:val="center" w:pos="4536"/>
        <w:tab w:val="right" w:pos="9072"/>
      </w:tabs>
    </w:pPr>
  </w:style>
  <w:style w:type="character" w:styleId="slostrnky">
    <w:name w:val="page number"/>
    <w:basedOn w:val="Standardnpsmoodstavce"/>
    <w:rsid w:val="00775EE1"/>
  </w:style>
  <w:style w:type="paragraph" w:styleId="Zkladntext">
    <w:name w:val="Body Text"/>
    <w:basedOn w:val="Normln"/>
    <w:rsid w:val="007B5E4C"/>
    <w:pPr>
      <w:spacing w:line="360" w:lineRule="auto"/>
      <w:jc w:val="both"/>
    </w:pPr>
  </w:style>
  <w:style w:type="character" w:styleId="Odkaznakoment">
    <w:name w:val="annotation reference"/>
    <w:semiHidden/>
    <w:rsid w:val="00844AB8"/>
    <w:rPr>
      <w:sz w:val="16"/>
      <w:szCs w:val="16"/>
    </w:rPr>
  </w:style>
  <w:style w:type="paragraph" w:styleId="Textkomente">
    <w:name w:val="annotation text"/>
    <w:basedOn w:val="Normln"/>
    <w:semiHidden/>
    <w:rsid w:val="00844AB8"/>
    <w:rPr>
      <w:color w:val="000000"/>
      <w:sz w:val="20"/>
      <w:szCs w:val="20"/>
    </w:rPr>
  </w:style>
  <w:style w:type="paragraph" w:styleId="Textbubliny">
    <w:name w:val="Balloon Text"/>
    <w:basedOn w:val="Normln"/>
    <w:semiHidden/>
    <w:rsid w:val="00844AB8"/>
    <w:rPr>
      <w:rFonts w:ascii="Tahoma" w:hAnsi="Tahoma" w:cs="Tahoma"/>
      <w:sz w:val="16"/>
      <w:szCs w:val="16"/>
    </w:rPr>
  </w:style>
  <w:style w:type="character" w:styleId="Siln">
    <w:name w:val="Strong"/>
    <w:qFormat/>
    <w:rsid w:val="00AA6773"/>
    <w:rPr>
      <w:b/>
      <w:bCs/>
    </w:rPr>
  </w:style>
  <w:style w:type="paragraph" w:styleId="Zkladntextodsazen2">
    <w:name w:val="Body Text Indent 2"/>
    <w:basedOn w:val="Normln"/>
    <w:link w:val="Zkladntextodsazen2Char"/>
    <w:rsid w:val="0020606B"/>
    <w:pPr>
      <w:spacing w:after="120" w:line="480" w:lineRule="auto"/>
      <w:ind w:left="283"/>
    </w:pPr>
  </w:style>
  <w:style w:type="paragraph" w:customStyle="1" w:styleId="Default">
    <w:name w:val="Default"/>
    <w:rsid w:val="009C7157"/>
    <w:pPr>
      <w:autoSpaceDE w:val="0"/>
      <w:autoSpaceDN w:val="0"/>
      <w:adjustRightInd w:val="0"/>
    </w:pPr>
    <w:rPr>
      <w:color w:val="000000"/>
      <w:sz w:val="24"/>
      <w:szCs w:val="24"/>
    </w:rPr>
  </w:style>
  <w:style w:type="paragraph" w:styleId="Odstavecseseznamem">
    <w:name w:val="List Paragraph"/>
    <w:basedOn w:val="Normln"/>
    <w:qFormat/>
    <w:rsid w:val="00843123"/>
    <w:pPr>
      <w:spacing w:before="120" w:after="120"/>
      <w:ind w:left="720" w:firstLine="284"/>
      <w:contextualSpacing/>
      <w:jc w:val="both"/>
    </w:pPr>
    <w:rPr>
      <w:szCs w:val="20"/>
    </w:rPr>
  </w:style>
  <w:style w:type="paragraph" w:customStyle="1" w:styleId="Zkladntext21">
    <w:name w:val="Základní text 21"/>
    <w:basedOn w:val="Normln"/>
    <w:rsid w:val="00332D0B"/>
    <w:pPr>
      <w:spacing w:after="120" w:line="360" w:lineRule="auto"/>
      <w:jc w:val="both"/>
    </w:pPr>
    <w:rPr>
      <w:rFonts w:ascii="Arial" w:hAnsi="Arial"/>
      <w:szCs w:val="20"/>
    </w:rPr>
  </w:style>
  <w:style w:type="paragraph" w:styleId="Pedmtkomente">
    <w:name w:val="annotation subject"/>
    <w:basedOn w:val="Textkomente"/>
    <w:next w:val="Textkomente"/>
    <w:semiHidden/>
    <w:rsid w:val="00173B7B"/>
    <w:rPr>
      <w:b/>
      <w:bCs/>
      <w:color w:val="auto"/>
    </w:rPr>
  </w:style>
  <w:style w:type="paragraph" w:styleId="Zkladntextodsazen3">
    <w:name w:val="Body Text Indent 3"/>
    <w:basedOn w:val="Normln"/>
    <w:link w:val="Zkladntextodsazen3Char"/>
    <w:rsid w:val="001E2B6D"/>
    <w:pPr>
      <w:spacing w:after="120"/>
      <w:ind w:left="283"/>
    </w:pPr>
    <w:rPr>
      <w:sz w:val="16"/>
      <w:szCs w:val="16"/>
    </w:rPr>
  </w:style>
  <w:style w:type="character" w:customStyle="1" w:styleId="Zkladntextodsazen3Char">
    <w:name w:val="Základní text odsazený 3 Char"/>
    <w:link w:val="Zkladntextodsazen3"/>
    <w:rsid w:val="001E2B6D"/>
    <w:rPr>
      <w:sz w:val="16"/>
      <w:szCs w:val="16"/>
    </w:rPr>
  </w:style>
  <w:style w:type="character" w:customStyle="1" w:styleId="Nadpis1Char">
    <w:name w:val="Nadpis 1 Char"/>
    <w:link w:val="Nadpis1"/>
    <w:rsid w:val="001E2B6D"/>
    <w:rPr>
      <w:b/>
      <w:bCs/>
      <w:kern w:val="32"/>
      <w:sz w:val="32"/>
      <w:szCs w:val="32"/>
      <w:u w:val="single"/>
    </w:rPr>
  </w:style>
  <w:style w:type="character" w:customStyle="1" w:styleId="Nadpis2Char">
    <w:name w:val="Nadpis 2 Char"/>
    <w:link w:val="Nadpis2"/>
    <w:rsid w:val="001E2B6D"/>
    <w:rPr>
      <w:b/>
      <w:iCs/>
      <w:sz w:val="28"/>
      <w:szCs w:val="24"/>
    </w:rPr>
  </w:style>
  <w:style w:type="character" w:customStyle="1" w:styleId="Nadpis3Char">
    <w:name w:val="Nadpis 3 Char"/>
    <w:link w:val="Nadpis3"/>
    <w:rsid w:val="001E2B6D"/>
    <w:rPr>
      <w:b/>
      <w:bCs/>
      <w:sz w:val="24"/>
      <w:szCs w:val="24"/>
    </w:rPr>
  </w:style>
  <w:style w:type="character" w:customStyle="1" w:styleId="TextpoznpodarouChar">
    <w:name w:val="Text pozn. pod čarou Char"/>
    <w:link w:val="Textpoznpodarou"/>
    <w:semiHidden/>
    <w:rsid w:val="001E2B6D"/>
  </w:style>
  <w:style w:type="paragraph" w:customStyle="1" w:styleId="StylNadpis2Podtren1">
    <w:name w:val="Styl Nadpis 2 + Podtržení1"/>
    <w:basedOn w:val="Nadpis2"/>
    <w:autoRedefine/>
    <w:rsid w:val="001E2B6D"/>
    <w:pPr>
      <w:numPr>
        <w:ilvl w:val="0"/>
        <w:numId w:val="2"/>
      </w:numPr>
      <w:spacing w:before="120" w:after="0" w:line="360" w:lineRule="auto"/>
      <w:ind w:hanging="720"/>
      <w:outlineLvl w:val="0"/>
    </w:pPr>
    <w:rPr>
      <w:bCs/>
      <w:iCs w:val="0"/>
      <w:sz w:val="32"/>
      <w:szCs w:val="32"/>
    </w:rPr>
  </w:style>
  <w:style w:type="paragraph" w:styleId="Zhlav">
    <w:name w:val="header"/>
    <w:basedOn w:val="Normln"/>
    <w:link w:val="ZhlavChar"/>
    <w:rsid w:val="000919C1"/>
    <w:pPr>
      <w:tabs>
        <w:tab w:val="center" w:pos="4536"/>
        <w:tab w:val="right" w:pos="9072"/>
      </w:tabs>
    </w:pPr>
  </w:style>
  <w:style w:type="character" w:customStyle="1" w:styleId="ZhlavChar">
    <w:name w:val="Záhlaví Char"/>
    <w:link w:val="Zhlav"/>
    <w:rsid w:val="000919C1"/>
    <w:rPr>
      <w:sz w:val="24"/>
      <w:szCs w:val="24"/>
    </w:rPr>
  </w:style>
  <w:style w:type="character" w:customStyle="1" w:styleId="ZpatChar">
    <w:name w:val="Zápatí Char"/>
    <w:link w:val="Zpat"/>
    <w:uiPriority w:val="99"/>
    <w:rsid w:val="000919C1"/>
    <w:rPr>
      <w:sz w:val="24"/>
      <w:szCs w:val="24"/>
    </w:rPr>
  </w:style>
  <w:style w:type="paragraph" w:styleId="Nadpisobsahu">
    <w:name w:val="TOC Heading"/>
    <w:basedOn w:val="Nadpis1"/>
    <w:next w:val="Normln"/>
    <w:uiPriority w:val="39"/>
    <w:semiHidden/>
    <w:unhideWhenUsed/>
    <w:qFormat/>
    <w:rsid w:val="00F04F1C"/>
    <w:pPr>
      <w:keepLines/>
      <w:spacing w:before="480" w:after="0" w:line="276" w:lineRule="auto"/>
      <w:outlineLvl w:val="9"/>
    </w:pPr>
    <w:rPr>
      <w:rFonts w:ascii="Cambria" w:hAnsi="Cambria"/>
      <w:color w:val="365F91"/>
      <w:kern w:val="0"/>
      <w:sz w:val="28"/>
      <w:szCs w:val="28"/>
      <w:u w:val="none"/>
    </w:rPr>
  </w:style>
  <w:style w:type="paragraph" w:styleId="Obsah2">
    <w:name w:val="toc 2"/>
    <w:basedOn w:val="Normln"/>
    <w:next w:val="Normln"/>
    <w:autoRedefine/>
    <w:uiPriority w:val="39"/>
    <w:unhideWhenUsed/>
    <w:qFormat/>
    <w:rsid w:val="00F04F1C"/>
    <w:pPr>
      <w:spacing w:after="100" w:line="276" w:lineRule="auto"/>
      <w:ind w:left="220"/>
    </w:pPr>
    <w:rPr>
      <w:rFonts w:ascii="Calibri" w:hAnsi="Calibri"/>
      <w:sz w:val="22"/>
      <w:szCs w:val="22"/>
    </w:rPr>
  </w:style>
  <w:style w:type="paragraph" w:styleId="Obsah1">
    <w:name w:val="toc 1"/>
    <w:basedOn w:val="Normln"/>
    <w:next w:val="Normln"/>
    <w:autoRedefine/>
    <w:uiPriority w:val="39"/>
    <w:unhideWhenUsed/>
    <w:qFormat/>
    <w:rsid w:val="00F04F1C"/>
    <w:pPr>
      <w:spacing w:after="100" w:line="276" w:lineRule="auto"/>
    </w:pPr>
    <w:rPr>
      <w:sz w:val="22"/>
      <w:szCs w:val="22"/>
    </w:rPr>
  </w:style>
  <w:style w:type="paragraph" w:styleId="Obsah3">
    <w:name w:val="toc 3"/>
    <w:basedOn w:val="Normln"/>
    <w:next w:val="Normln"/>
    <w:autoRedefine/>
    <w:uiPriority w:val="39"/>
    <w:unhideWhenUsed/>
    <w:qFormat/>
    <w:rsid w:val="00F04F1C"/>
    <w:pPr>
      <w:spacing w:after="100" w:line="276" w:lineRule="auto"/>
      <w:ind w:left="440"/>
    </w:pPr>
    <w:rPr>
      <w:rFonts w:ascii="Calibri" w:hAnsi="Calibri"/>
      <w:sz w:val="22"/>
      <w:szCs w:val="22"/>
    </w:rPr>
  </w:style>
  <w:style w:type="character" w:styleId="Hypertextovodkaz">
    <w:name w:val="Hyperlink"/>
    <w:uiPriority w:val="99"/>
    <w:unhideWhenUsed/>
    <w:rsid w:val="00F04F1C"/>
    <w:rPr>
      <w:color w:val="0000FF"/>
      <w:u w:val="single"/>
    </w:rPr>
  </w:style>
  <w:style w:type="character" w:customStyle="1" w:styleId="Nadpis4Char">
    <w:name w:val="Nadpis 4 Char"/>
    <w:link w:val="Nadpis4"/>
    <w:semiHidden/>
    <w:rsid w:val="00F20E7C"/>
    <w:rPr>
      <w:rFonts w:ascii="Calibri" w:hAnsi="Calibri"/>
      <w:b/>
      <w:bCs/>
      <w:sz w:val="28"/>
      <w:szCs w:val="28"/>
    </w:rPr>
  </w:style>
  <w:style w:type="character" w:customStyle="1" w:styleId="Nadpis5Char">
    <w:name w:val="Nadpis 5 Char"/>
    <w:link w:val="Nadpis5"/>
    <w:semiHidden/>
    <w:rsid w:val="00F20E7C"/>
    <w:rPr>
      <w:rFonts w:ascii="Calibri" w:hAnsi="Calibri"/>
      <w:b/>
      <w:bCs/>
      <w:i/>
      <w:iCs/>
      <w:sz w:val="26"/>
      <w:szCs w:val="26"/>
    </w:rPr>
  </w:style>
  <w:style w:type="character" w:customStyle="1" w:styleId="Nadpis6Char">
    <w:name w:val="Nadpis 6 Char"/>
    <w:link w:val="Nadpis6"/>
    <w:semiHidden/>
    <w:rsid w:val="00F20E7C"/>
    <w:rPr>
      <w:rFonts w:ascii="Calibri" w:hAnsi="Calibri"/>
      <w:b/>
      <w:bCs/>
      <w:sz w:val="22"/>
      <w:szCs w:val="22"/>
    </w:rPr>
  </w:style>
  <w:style w:type="character" w:customStyle="1" w:styleId="Nadpis7Char">
    <w:name w:val="Nadpis 7 Char"/>
    <w:link w:val="Nadpis7"/>
    <w:semiHidden/>
    <w:rsid w:val="00F20E7C"/>
    <w:rPr>
      <w:rFonts w:ascii="Calibri" w:hAnsi="Calibri"/>
      <w:sz w:val="24"/>
      <w:szCs w:val="24"/>
    </w:rPr>
  </w:style>
  <w:style w:type="character" w:customStyle="1" w:styleId="Nadpis8Char">
    <w:name w:val="Nadpis 8 Char"/>
    <w:link w:val="Nadpis8"/>
    <w:semiHidden/>
    <w:rsid w:val="00F20E7C"/>
    <w:rPr>
      <w:rFonts w:ascii="Calibri" w:hAnsi="Calibri"/>
      <w:i/>
      <w:iCs/>
      <w:sz w:val="24"/>
      <w:szCs w:val="24"/>
    </w:rPr>
  </w:style>
  <w:style w:type="character" w:customStyle="1" w:styleId="Nadpis9Char">
    <w:name w:val="Nadpis 9 Char"/>
    <w:link w:val="Nadpis9"/>
    <w:semiHidden/>
    <w:rsid w:val="00F20E7C"/>
    <w:rPr>
      <w:rFonts w:ascii="Cambria" w:hAnsi="Cambria"/>
      <w:sz w:val="22"/>
      <w:szCs w:val="22"/>
    </w:rPr>
  </w:style>
  <w:style w:type="paragraph" w:styleId="Titulek">
    <w:name w:val="caption"/>
    <w:basedOn w:val="Normln"/>
    <w:next w:val="Normln"/>
    <w:unhideWhenUsed/>
    <w:qFormat/>
    <w:rsid w:val="000D7B97"/>
    <w:pPr>
      <w:spacing w:after="200"/>
    </w:pPr>
    <w:rPr>
      <w:b/>
      <w:bCs/>
      <w:color w:val="4F81BD" w:themeColor="accent1"/>
      <w:sz w:val="18"/>
      <w:szCs w:val="18"/>
    </w:rPr>
  </w:style>
  <w:style w:type="character" w:customStyle="1" w:styleId="Zkladntextodsazen2Char">
    <w:name w:val="Základní text odsazený 2 Char"/>
    <w:basedOn w:val="Standardnpsmoodstavce"/>
    <w:link w:val="Zkladntextodsazen2"/>
    <w:rsid w:val="001C7AA9"/>
    <w:rPr>
      <w:sz w:val="24"/>
      <w:szCs w:val="24"/>
    </w:rPr>
  </w:style>
  <w:style w:type="paragraph" w:styleId="Bezmezer">
    <w:name w:val="No Spacing"/>
    <w:link w:val="BezmezerChar"/>
    <w:uiPriority w:val="1"/>
    <w:qFormat/>
    <w:rsid w:val="00CA350A"/>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CA350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839660">
      <w:bodyDiv w:val="1"/>
      <w:marLeft w:val="0"/>
      <w:marRight w:val="0"/>
      <w:marTop w:val="0"/>
      <w:marBottom w:val="0"/>
      <w:divBdr>
        <w:top w:val="none" w:sz="0" w:space="0" w:color="auto"/>
        <w:left w:val="none" w:sz="0" w:space="0" w:color="auto"/>
        <w:bottom w:val="none" w:sz="0" w:space="0" w:color="auto"/>
        <w:right w:val="none" w:sz="0" w:space="0" w:color="auto"/>
      </w:divBdr>
    </w:div>
    <w:div w:id="250044743">
      <w:bodyDiv w:val="1"/>
      <w:marLeft w:val="0"/>
      <w:marRight w:val="0"/>
      <w:marTop w:val="0"/>
      <w:marBottom w:val="0"/>
      <w:divBdr>
        <w:top w:val="none" w:sz="0" w:space="0" w:color="auto"/>
        <w:left w:val="none" w:sz="0" w:space="0" w:color="auto"/>
        <w:bottom w:val="none" w:sz="0" w:space="0" w:color="auto"/>
        <w:right w:val="none" w:sz="0" w:space="0" w:color="auto"/>
      </w:divBdr>
      <w:divsChild>
        <w:div w:id="1716730097">
          <w:marLeft w:val="0"/>
          <w:marRight w:val="0"/>
          <w:marTop w:val="0"/>
          <w:marBottom w:val="0"/>
          <w:divBdr>
            <w:top w:val="none" w:sz="0" w:space="0" w:color="auto"/>
            <w:left w:val="single" w:sz="6" w:space="0" w:color="FFFFFF"/>
            <w:bottom w:val="single" w:sz="6" w:space="0" w:color="FFFFFF"/>
            <w:right w:val="single" w:sz="6" w:space="0" w:color="FFFFFF"/>
          </w:divBdr>
          <w:divsChild>
            <w:div w:id="279800502">
              <w:marLeft w:val="0"/>
              <w:marRight w:val="0"/>
              <w:marTop w:val="0"/>
              <w:marBottom w:val="0"/>
              <w:divBdr>
                <w:top w:val="none" w:sz="0" w:space="0" w:color="auto"/>
                <w:left w:val="none" w:sz="0" w:space="0" w:color="auto"/>
                <w:bottom w:val="none" w:sz="0" w:space="0" w:color="auto"/>
                <w:right w:val="none" w:sz="0" w:space="0" w:color="auto"/>
              </w:divBdr>
              <w:divsChild>
                <w:div w:id="358700852">
                  <w:marLeft w:val="0"/>
                  <w:marRight w:val="0"/>
                  <w:marTop w:val="0"/>
                  <w:marBottom w:val="0"/>
                  <w:divBdr>
                    <w:top w:val="single" w:sz="6" w:space="0" w:color="FFFFFF"/>
                    <w:left w:val="none" w:sz="0" w:space="0" w:color="auto"/>
                    <w:bottom w:val="none" w:sz="0" w:space="0" w:color="auto"/>
                    <w:right w:val="none" w:sz="0" w:space="0" w:color="auto"/>
                  </w:divBdr>
                  <w:divsChild>
                    <w:div w:id="1329208923">
                      <w:marLeft w:val="0"/>
                      <w:marRight w:val="0"/>
                      <w:marTop w:val="0"/>
                      <w:marBottom w:val="0"/>
                      <w:divBdr>
                        <w:top w:val="none" w:sz="0" w:space="0" w:color="auto"/>
                        <w:left w:val="none" w:sz="0" w:space="0" w:color="auto"/>
                        <w:bottom w:val="none" w:sz="0" w:space="0" w:color="auto"/>
                        <w:right w:val="none" w:sz="0" w:space="0" w:color="auto"/>
                      </w:divBdr>
                      <w:divsChild>
                        <w:div w:id="70591189">
                          <w:marLeft w:val="0"/>
                          <w:marRight w:val="0"/>
                          <w:marTop w:val="0"/>
                          <w:marBottom w:val="0"/>
                          <w:divBdr>
                            <w:top w:val="none" w:sz="0" w:space="0" w:color="auto"/>
                            <w:left w:val="none" w:sz="0" w:space="0" w:color="auto"/>
                            <w:bottom w:val="none" w:sz="0" w:space="0" w:color="auto"/>
                            <w:right w:val="none" w:sz="0" w:space="0" w:color="auto"/>
                          </w:divBdr>
                          <w:divsChild>
                            <w:div w:id="2023386757">
                              <w:marLeft w:val="0"/>
                              <w:marRight w:val="0"/>
                              <w:marTop w:val="0"/>
                              <w:marBottom w:val="240"/>
                              <w:divBdr>
                                <w:top w:val="none" w:sz="0" w:space="0" w:color="auto"/>
                                <w:left w:val="none" w:sz="0" w:space="0" w:color="auto"/>
                                <w:bottom w:val="single" w:sz="6" w:space="12" w:color="DDDDDD"/>
                                <w:right w:val="none" w:sz="0" w:space="0" w:color="auto"/>
                              </w:divBdr>
                              <w:divsChild>
                                <w:div w:id="987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1818547">
      <w:bodyDiv w:val="1"/>
      <w:marLeft w:val="0"/>
      <w:marRight w:val="0"/>
      <w:marTop w:val="0"/>
      <w:marBottom w:val="0"/>
      <w:divBdr>
        <w:top w:val="none" w:sz="0" w:space="0" w:color="auto"/>
        <w:left w:val="none" w:sz="0" w:space="0" w:color="auto"/>
        <w:bottom w:val="none" w:sz="0" w:space="0" w:color="auto"/>
        <w:right w:val="none" w:sz="0" w:space="0" w:color="auto"/>
      </w:divBdr>
      <w:divsChild>
        <w:div w:id="1722483813">
          <w:marLeft w:val="0"/>
          <w:marRight w:val="0"/>
          <w:marTop w:val="0"/>
          <w:marBottom w:val="0"/>
          <w:divBdr>
            <w:top w:val="none" w:sz="0" w:space="0" w:color="auto"/>
            <w:left w:val="none" w:sz="0" w:space="0" w:color="auto"/>
            <w:bottom w:val="none" w:sz="0" w:space="0" w:color="auto"/>
            <w:right w:val="none" w:sz="0" w:space="0" w:color="auto"/>
          </w:divBdr>
          <w:divsChild>
            <w:div w:id="93669177">
              <w:marLeft w:val="0"/>
              <w:marRight w:val="0"/>
              <w:marTop w:val="0"/>
              <w:marBottom w:val="0"/>
              <w:divBdr>
                <w:top w:val="none" w:sz="0" w:space="0" w:color="auto"/>
                <w:left w:val="none" w:sz="0" w:space="0" w:color="auto"/>
                <w:bottom w:val="none" w:sz="0" w:space="0" w:color="auto"/>
                <w:right w:val="none" w:sz="0" w:space="0" w:color="auto"/>
              </w:divBdr>
            </w:div>
            <w:div w:id="434060039">
              <w:marLeft w:val="0"/>
              <w:marRight w:val="0"/>
              <w:marTop w:val="0"/>
              <w:marBottom w:val="0"/>
              <w:divBdr>
                <w:top w:val="none" w:sz="0" w:space="0" w:color="auto"/>
                <w:left w:val="none" w:sz="0" w:space="0" w:color="auto"/>
                <w:bottom w:val="none" w:sz="0" w:space="0" w:color="auto"/>
                <w:right w:val="none" w:sz="0" w:space="0" w:color="auto"/>
              </w:divBdr>
            </w:div>
            <w:div w:id="885262546">
              <w:marLeft w:val="0"/>
              <w:marRight w:val="0"/>
              <w:marTop w:val="0"/>
              <w:marBottom w:val="0"/>
              <w:divBdr>
                <w:top w:val="none" w:sz="0" w:space="0" w:color="auto"/>
                <w:left w:val="none" w:sz="0" w:space="0" w:color="auto"/>
                <w:bottom w:val="none" w:sz="0" w:space="0" w:color="auto"/>
                <w:right w:val="none" w:sz="0" w:space="0" w:color="auto"/>
              </w:divBdr>
            </w:div>
            <w:div w:id="891428491">
              <w:marLeft w:val="0"/>
              <w:marRight w:val="0"/>
              <w:marTop w:val="0"/>
              <w:marBottom w:val="0"/>
              <w:divBdr>
                <w:top w:val="none" w:sz="0" w:space="0" w:color="auto"/>
                <w:left w:val="none" w:sz="0" w:space="0" w:color="auto"/>
                <w:bottom w:val="none" w:sz="0" w:space="0" w:color="auto"/>
                <w:right w:val="none" w:sz="0" w:space="0" w:color="auto"/>
              </w:divBdr>
            </w:div>
            <w:div w:id="1484925642">
              <w:marLeft w:val="0"/>
              <w:marRight w:val="0"/>
              <w:marTop w:val="0"/>
              <w:marBottom w:val="0"/>
              <w:divBdr>
                <w:top w:val="none" w:sz="0" w:space="0" w:color="auto"/>
                <w:left w:val="none" w:sz="0" w:space="0" w:color="auto"/>
                <w:bottom w:val="none" w:sz="0" w:space="0" w:color="auto"/>
                <w:right w:val="none" w:sz="0" w:space="0" w:color="auto"/>
              </w:divBdr>
            </w:div>
            <w:div w:id="149306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66329">
      <w:bodyDiv w:val="1"/>
      <w:marLeft w:val="0"/>
      <w:marRight w:val="0"/>
      <w:marTop w:val="0"/>
      <w:marBottom w:val="0"/>
      <w:divBdr>
        <w:top w:val="none" w:sz="0" w:space="0" w:color="auto"/>
        <w:left w:val="none" w:sz="0" w:space="0" w:color="auto"/>
        <w:bottom w:val="none" w:sz="0" w:space="0" w:color="auto"/>
        <w:right w:val="none" w:sz="0" w:space="0" w:color="auto"/>
      </w:divBdr>
      <w:divsChild>
        <w:div w:id="1385180707">
          <w:marLeft w:val="0"/>
          <w:marRight w:val="0"/>
          <w:marTop w:val="0"/>
          <w:marBottom w:val="0"/>
          <w:divBdr>
            <w:top w:val="none" w:sz="0" w:space="0" w:color="auto"/>
            <w:left w:val="none" w:sz="0" w:space="0" w:color="auto"/>
            <w:bottom w:val="none" w:sz="0" w:space="0" w:color="auto"/>
            <w:right w:val="none" w:sz="0" w:space="0" w:color="auto"/>
          </w:divBdr>
          <w:divsChild>
            <w:div w:id="102191489">
              <w:marLeft w:val="0"/>
              <w:marRight w:val="0"/>
              <w:marTop w:val="0"/>
              <w:marBottom w:val="0"/>
              <w:divBdr>
                <w:top w:val="none" w:sz="0" w:space="0" w:color="auto"/>
                <w:left w:val="none" w:sz="0" w:space="0" w:color="auto"/>
                <w:bottom w:val="none" w:sz="0" w:space="0" w:color="auto"/>
                <w:right w:val="none" w:sz="0" w:space="0" w:color="auto"/>
              </w:divBdr>
            </w:div>
            <w:div w:id="362244195">
              <w:marLeft w:val="0"/>
              <w:marRight w:val="0"/>
              <w:marTop w:val="0"/>
              <w:marBottom w:val="0"/>
              <w:divBdr>
                <w:top w:val="none" w:sz="0" w:space="0" w:color="auto"/>
                <w:left w:val="none" w:sz="0" w:space="0" w:color="auto"/>
                <w:bottom w:val="none" w:sz="0" w:space="0" w:color="auto"/>
                <w:right w:val="none" w:sz="0" w:space="0" w:color="auto"/>
              </w:divBdr>
            </w:div>
            <w:div w:id="503517496">
              <w:marLeft w:val="0"/>
              <w:marRight w:val="0"/>
              <w:marTop w:val="0"/>
              <w:marBottom w:val="0"/>
              <w:divBdr>
                <w:top w:val="none" w:sz="0" w:space="0" w:color="auto"/>
                <w:left w:val="none" w:sz="0" w:space="0" w:color="auto"/>
                <w:bottom w:val="none" w:sz="0" w:space="0" w:color="auto"/>
                <w:right w:val="none" w:sz="0" w:space="0" w:color="auto"/>
              </w:divBdr>
            </w:div>
            <w:div w:id="1167746369">
              <w:marLeft w:val="0"/>
              <w:marRight w:val="0"/>
              <w:marTop w:val="0"/>
              <w:marBottom w:val="0"/>
              <w:divBdr>
                <w:top w:val="none" w:sz="0" w:space="0" w:color="auto"/>
                <w:left w:val="none" w:sz="0" w:space="0" w:color="auto"/>
                <w:bottom w:val="none" w:sz="0" w:space="0" w:color="auto"/>
                <w:right w:val="none" w:sz="0" w:space="0" w:color="auto"/>
              </w:divBdr>
            </w:div>
            <w:div w:id="1458719032">
              <w:marLeft w:val="0"/>
              <w:marRight w:val="0"/>
              <w:marTop w:val="0"/>
              <w:marBottom w:val="0"/>
              <w:divBdr>
                <w:top w:val="none" w:sz="0" w:space="0" w:color="auto"/>
                <w:left w:val="none" w:sz="0" w:space="0" w:color="auto"/>
                <w:bottom w:val="none" w:sz="0" w:space="0" w:color="auto"/>
                <w:right w:val="none" w:sz="0" w:space="0" w:color="auto"/>
              </w:divBdr>
            </w:div>
            <w:div w:id="1724060996">
              <w:marLeft w:val="0"/>
              <w:marRight w:val="0"/>
              <w:marTop w:val="0"/>
              <w:marBottom w:val="0"/>
              <w:divBdr>
                <w:top w:val="none" w:sz="0" w:space="0" w:color="auto"/>
                <w:left w:val="none" w:sz="0" w:space="0" w:color="auto"/>
                <w:bottom w:val="none" w:sz="0" w:space="0" w:color="auto"/>
                <w:right w:val="none" w:sz="0" w:space="0" w:color="auto"/>
              </w:divBdr>
            </w:div>
            <w:div w:id="1964263042">
              <w:marLeft w:val="0"/>
              <w:marRight w:val="0"/>
              <w:marTop w:val="0"/>
              <w:marBottom w:val="0"/>
              <w:divBdr>
                <w:top w:val="none" w:sz="0" w:space="0" w:color="auto"/>
                <w:left w:val="none" w:sz="0" w:space="0" w:color="auto"/>
                <w:bottom w:val="none" w:sz="0" w:space="0" w:color="auto"/>
                <w:right w:val="none" w:sz="0" w:space="0" w:color="auto"/>
              </w:divBdr>
            </w:div>
            <w:div w:id="21034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1128">
      <w:bodyDiv w:val="1"/>
      <w:marLeft w:val="0"/>
      <w:marRight w:val="0"/>
      <w:marTop w:val="0"/>
      <w:marBottom w:val="0"/>
      <w:divBdr>
        <w:top w:val="none" w:sz="0" w:space="0" w:color="auto"/>
        <w:left w:val="none" w:sz="0" w:space="0" w:color="auto"/>
        <w:bottom w:val="none" w:sz="0" w:space="0" w:color="auto"/>
        <w:right w:val="none" w:sz="0" w:space="0" w:color="auto"/>
      </w:divBdr>
      <w:divsChild>
        <w:div w:id="730881721">
          <w:marLeft w:val="0"/>
          <w:marRight w:val="0"/>
          <w:marTop w:val="0"/>
          <w:marBottom w:val="0"/>
          <w:divBdr>
            <w:top w:val="none" w:sz="0" w:space="0" w:color="auto"/>
            <w:left w:val="single" w:sz="6" w:space="0" w:color="FFFFFF"/>
            <w:bottom w:val="single" w:sz="6" w:space="0" w:color="FFFFFF"/>
            <w:right w:val="single" w:sz="6" w:space="0" w:color="FFFFFF"/>
          </w:divBdr>
          <w:divsChild>
            <w:div w:id="2064255331">
              <w:marLeft w:val="0"/>
              <w:marRight w:val="0"/>
              <w:marTop w:val="0"/>
              <w:marBottom w:val="0"/>
              <w:divBdr>
                <w:top w:val="none" w:sz="0" w:space="0" w:color="auto"/>
                <w:left w:val="none" w:sz="0" w:space="0" w:color="auto"/>
                <w:bottom w:val="none" w:sz="0" w:space="0" w:color="auto"/>
                <w:right w:val="none" w:sz="0" w:space="0" w:color="auto"/>
              </w:divBdr>
              <w:divsChild>
                <w:div w:id="1324897973">
                  <w:marLeft w:val="0"/>
                  <w:marRight w:val="0"/>
                  <w:marTop w:val="0"/>
                  <w:marBottom w:val="0"/>
                  <w:divBdr>
                    <w:top w:val="single" w:sz="6" w:space="0" w:color="FFFFFF"/>
                    <w:left w:val="none" w:sz="0" w:space="0" w:color="auto"/>
                    <w:bottom w:val="none" w:sz="0" w:space="0" w:color="auto"/>
                    <w:right w:val="none" w:sz="0" w:space="0" w:color="auto"/>
                  </w:divBdr>
                  <w:divsChild>
                    <w:div w:id="91753244">
                      <w:marLeft w:val="0"/>
                      <w:marRight w:val="0"/>
                      <w:marTop w:val="0"/>
                      <w:marBottom w:val="0"/>
                      <w:divBdr>
                        <w:top w:val="none" w:sz="0" w:space="0" w:color="auto"/>
                        <w:left w:val="none" w:sz="0" w:space="0" w:color="auto"/>
                        <w:bottom w:val="none" w:sz="0" w:space="0" w:color="auto"/>
                        <w:right w:val="none" w:sz="0" w:space="0" w:color="auto"/>
                      </w:divBdr>
                      <w:divsChild>
                        <w:div w:id="405612557">
                          <w:marLeft w:val="0"/>
                          <w:marRight w:val="0"/>
                          <w:marTop w:val="0"/>
                          <w:marBottom w:val="0"/>
                          <w:divBdr>
                            <w:top w:val="none" w:sz="0" w:space="0" w:color="auto"/>
                            <w:left w:val="none" w:sz="0" w:space="0" w:color="auto"/>
                            <w:bottom w:val="none" w:sz="0" w:space="0" w:color="auto"/>
                            <w:right w:val="none" w:sz="0" w:space="0" w:color="auto"/>
                          </w:divBdr>
                          <w:divsChild>
                            <w:div w:id="1515337352">
                              <w:marLeft w:val="0"/>
                              <w:marRight w:val="0"/>
                              <w:marTop w:val="0"/>
                              <w:marBottom w:val="240"/>
                              <w:divBdr>
                                <w:top w:val="none" w:sz="0" w:space="0" w:color="auto"/>
                                <w:left w:val="none" w:sz="0" w:space="0" w:color="auto"/>
                                <w:bottom w:val="single" w:sz="6" w:space="12" w:color="DDDDDD"/>
                                <w:right w:val="none" w:sz="0" w:space="0" w:color="auto"/>
                              </w:divBdr>
                              <w:divsChild>
                                <w:div w:id="189978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265993">
      <w:bodyDiv w:val="1"/>
      <w:marLeft w:val="0"/>
      <w:marRight w:val="0"/>
      <w:marTop w:val="0"/>
      <w:marBottom w:val="0"/>
      <w:divBdr>
        <w:top w:val="none" w:sz="0" w:space="0" w:color="auto"/>
        <w:left w:val="none" w:sz="0" w:space="0" w:color="auto"/>
        <w:bottom w:val="none" w:sz="0" w:space="0" w:color="auto"/>
        <w:right w:val="none" w:sz="0" w:space="0" w:color="auto"/>
      </w:divBdr>
      <w:divsChild>
        <w:div w:id="955526364">
          <w:marLeft w:val="0"/>
          <w:marRight w:val="0"/>
          <w:marTop w:val="0"/>
          <w:marBottom w:val="0"/>
          <w:divBdr>
            <w:top w:val="none" w:sz="0" w:space="0" w:color="auto"/>
            <w:left w:val="none" w:sz="0" w:space="0" w:color="auto"/>
            <w:bottom w:val="none" w:sz="0" w:space="0" w:color="auto"/>
            <w:right w:val="none" w:sz="0" w:space="0" w:color="auto"/>
          </w:divBdr>
        </w:div>
      </w:divsChild>
    </w:div>
    <w:div w:id="372652974">
      <w:bodyDiv w:val="1"/>
      <w:marLeft w:val="0"/>
      <w:marRight w:val="0"/>
      <w:marTop w:val="0"/>
      <w:marBottom w:val="0"/>
      <w:divBdr>
        <w:top w:val="none" w:sz="0" w:space="0" w:color="auto"/>
        <w:left w:val="none" w:sz="0" w:space="0" w:color="auto"/>
        <w:bottom w:val="none" w:sz="0" w:space="0" w:color="auto"/>
        <w:right w:val="none" w:sz="0" w:space="0" w:color="auto"/>
      </w:divBdr>
      <w:divsChild>
        <w:div w:id="1442260351">
          <w:marLeft w:val="0"/>
          <w:marRight w:val="0"/>
          <w:marTop w:val="0"/>
          <w:marBottom w:val="0"/>
          <w:divBdr>
            <w:top w:val="none" w:sz="0" w:space="0" w:color="auto"/>
            <w:left w:val="none" w:sz="0" w:space="0" w:color="auto"/>
            <w:bottom w:val="none" w:sz="0" w:space="0" w:color="auto"/>
            <w:right w:val="none" w:sz="0" w:space="0" w:color="auto"/>
          </w:divBdr>
        </w:div>
      </w:divsChild>
    </w:div>
    <w:div w:id="398095176">
      <w:bodyDiv w:val="1"/>
      <w:marLeft w:val="0"/>
      <w:marRight w:val="0"/>
      <w:marTop w:val="0"/>
      <w:marBottom w:val="0"/>
      <w:divBdr>
        <w:top w:val="none" w:sz="0" w:space="0" w:color="auto"/>
        <w:left w:val="none" w:sz="0" w:space="0" w:color="auto"/>
        <w:bottom w:val="none" w:sz="0" w:space="0" w:color="auto"/>
        <w:right w:val="none" w:sz="0" w:space="0" w:color="auto"/>
      </w:divBdr>
      <w:divsChild>
        <w:div w:id="1339771256">
          <w:marLeft w:val="0"/>
          <w:marRight w:val="0"/>
          <w:marTop w:val="0"/>
          <w:marBottom w:val="0"/>
          <w:divBdr>
            <w:top w:val="none" w:sz="0" w:space="0" w:color="auto"/>
            <w:left w:val="none" w:sz="0" w:space="0" w:color="auto"/>
            <w:bottom w:val="none" w:sz="0" w:space="0" w:color="auto"/>
            <w:right w:val="none" w:sz="0" w:space="0" w:color="auto"/>
          </w:divBdr>
        </w:div>
      </w:divsChild>
    </w:div>
    <w:div w:id="429545302">
      <w:bodyDiv w:val="1"/>
      <w:marLeft w:val="0"/>
      <w:marRight w:val="0"/>
      <w:marTop w:val="0"/>
      <w:marBottom w:val="0"/>
      <w:divBdr>
        <w:top w:val="none" w:sz="0" w:space="0" w:color="auto"/>
        <w:left w:val="none" w:sz="0" w:space="0" w:color="auto"/>
        <w:bottom w:val="none" w:sz="0" w:space="0" w:color="auto"/>
        <w:right w:val="none" w:sz="0" w:space="0" w:color="auto"/>
      </w:divBdr>
    </w:div>
    <w:div w:id="439960129">
      <w:bodyDiv w:val="1"/>
      <w:marLeft w:val="0"/>
      <w:marRight w:val="0"/>
      <w:marTop w:val="0"/>
      <w:marBottom w:val="0"/>
      <w:divBdr>
        <w:top w:val="none" w:sz="0" w:space="0" w:color="auto"/>
        <w:left w:val="none" w:sz="0" w:space="0" w:color="auto"/>
        <w:bottom w:val="none" w:sz="0" w:space="0" w:color="auto"/>
        <w:right w:val="none" w:sz="0" w:space="0" w:color="auto"/>
      </w:divBdr>
      <w:divsChild>
        <w:div w:id="37050245">
          <w:marLeft w:val="0"/>
          <w:marRight w:val="0"/>
          <w:marTop w:val="0"/>
          <w:marBottom w:val="0"/>
          <w:divBdr>
            <w:top w:val="none" w:sz="0" w:space="0" w:color="auto"/>
            <w:left w:val="none" w:sz="0" w:space="0" w:color="auto"/>
            <w:bottom w:val="none" w:sz="0" w:space="0" w:color="auto"/>
            <w:right w:val="none" w:sz="0" w:space="0" w:color="auto"/>
          </w:divBdr>
        </w:div>
      </w:divsChild>
    </w:div>
    <w:div w:id="527841955">
      <w:bodyDiv w:val="1"/>
      <w:marLeft w:val="0"/>
      <w:marRight w:val="0"/>
      <w:marTop w:val="0"/>
      <w:marBottom w:val="0"/>
      <w:divBdr>
        <w:top w:val="none" w:sz="0" w:space="0" w:color="auto"/>
        <w:left w:val="none" w:sz="0" w:space="0" w:color="auto"/>
        <w:bottom w:val="none" w:sz="0" w:space="0" w:color="auto"/>
        <w:right w:val="none" w:sz="0" w:space="0" w:color="auto"/>
      </w:divBdr>
      <w:divsChild>
        <w:div w:id="125391341">
          <w:marLeft w:val="0"/>
          <w:marRight w:val="0"/>
          <w:marTop w:val="0"/>
          <w:marBottom w:val="0"/>
          <w:divBdr>
            <w:top w:val="none" w:sz="0" w:space="0" w:color="auto"/>
            <w:left w:val="none" w:sz="0" w:space="0" w:color="auto"/>
            <w:bottom w:val="none" w:sz="0" w:space="0" w:color="auto"/>
            <w:right w:val="none" w:sz="0" w:space="0" w:color="auto"/>
          </w:divBdr>
          <w:divsChild>
            <w:div w:id="15777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36310">
      <w:bodyDiv w:val="1"/>
      <w:marLeft w:val="0"/>
      <w:marRight w:val="0"/>
      <w:marTop w:val="0"/>
      <w:marBottom w:val="0"/>
      <w:divBdr>
        <w:top w:val="none" w:sz="0" w:space="0" w:color="auto"/>
        <w:left w:val="none" w:sz="0" w:space="0" w:color="auto"/>
        <w:bottom w:val="none" w:sz="0" w:space="0" w:color="auto"/>
        <w:right w:val="none" w:sz="0" w:space="0" w:color="auto"/>
      </w:divBdr>
      <w:divsChild>
        <w:div w:id="84766155">
          <w:marLeft w:val="0"/>
          <w:marRight w:val="0"/>
          <w:marTop w:val="0"/>
          <w:marBottom w:val="0"/>
          <w:divBdr>
            <w:top w:val="none" w:sz="0" w:space="0" w:color="auto"/>
            <w:left w:val="none" w:sz="0" w:space="0" w:color="auto"/>
            <w:bottom w:val="none" w:sz="0" w:space="0" w:color="auto"/>
            <w:right w:val="none" w:sz="0" w:space="0" w:color="auto"/>
          </w:divBdr>
          <w:divsChild>
            <w:div w:id="544683746">
              <w:marLeft w:val="0"/>
              <w:marRight w:val="0"/>
              <w:marTop w:val="0"/>
              <w:marBottom w:val="0"/>
              <w:divBdr>
                <w:top w:val="none" w:sz="0" w:space="0" w:color="auto"/>
                <w:left w:val="none" w:sz="0" w:space="0" w:color="auto"/>
                <w:bottom w:val="none" w:sz="0" w:space="0" w:color="auto"/>
                <w:right w:val="none" w:sz="0" w:space="0" w:color="auto"/>
              </w:divBdr>
              <w:divsChild>
                <w:div w:id="8495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11414">
      <w:bodyDiv w:val="1"/>
      <w:marLeft w:val="0"/>
      <w:marRight w:val="0"/>
      <w:marTop w:val="0"/>
      <w:marBottom w:val="0"/>
      <w:divBdr>
        <w:top w:val="none" w:sz="0" w:space="0" w:color="auto"/>
        <w:left w:val="none" w:sz="0" w:space="0" w:color="auto"/>
        <w:bottom w:val="none" w:sz="0" w:space="0" w:color="auto"/>
        <w:right w:val="none" w:sz="0" w:space="0" w:color="auto"/>
      </w:divBdr>
    </w:div>
    <w:div w:id="599408347">
      <w:bodyDiv w:val="1"/>
      <w:marLeft w:val="0"/>
      <w:marRight w:val="0"/>
      <w:marTop w:val="0"/>
      <w:marBottom w:val="0"/>
      <w:divBdr>
        <w:top w:val="none" w:sz="0" w:space="0" w:color="auto"/>
        <w:left w:val="none" w:sz="0" w:space="0" w:color="auto"/>
        <w:bottom w:val="none" w:sz="0" w:space="0" w:color="auto"/>
        <w:right w:val="none" w:sz="0" w:space="0" w:color="auto"/>
      </w:divBdr>
      <w:divsChild>
        <w:div w:id="169951130">
          <w:marLeft w:val="0"/>
          <w:marRight w:val="0"/>
          <w:marTop w:val="0"/>
          <w:marBottom w:val="0"/>
          <w:divBdr>
            <w:top w:val="none" w:sz="0" w:space="0" w:color="auto"/>
            <w:left w:val="none" w:sz="0" w:space="0" w:color="auto"/>
            <w:bottom w:val="none" w:sz="0" w:space="0" w:color="auto"/>
            <w:right w:val="none" w:sz="0" w:space="0" w:color="auto"/>
          </w:divBdr>
          <w:divsChild>
            <w:div w:id="132677462">
              <w:marLeft w:val="0"/>
              <w:marRight w:val="0"/>
              <w:marTop w:val="0"/>
              <w:marBottom w:val="0"/>
              <w:divBdr>
                <w:top w:val="none" w:sz="0" w:space="0" w:color="auto"/>
                <w:left w:val="none" w:sz="0" w:space="0" w:color="auto"/>
                <w:bottom w:val="none" w:sz="0" w:space="0" w:color="auto"/>
                <w:right w:val="none" w:sz="0" w:space="0" w:color="auto"/>
              </w:divBdr>
            </w:div>
            <w:div w:id="714433086">
              <w:marLeft w:val="0"/>
              <w:marRight w:val="0"/>
              <w:marTop w:val="0"/>
              <w:marBottom w:val="0"/>
              <w:divBdr>
                <w:top w:val="none" w:sz="0" w:space="0" w:color="auto"/>
                <w:left w:val="none" w:sz="0" w:space="0" w:color="auto"/>
                <w:bottom w:val="none" w:sz="0" w:space="0" w:color="auto"/>
                <w:right w:val="none" w:sz="0" w:space="0" w:color="auto"/>
              </w:divBdr>
            </w:div>
            <w:div w:id="910115721">
              <w:marLeft w:val="0"/>
              <w:marRight w:val="0"/>
              <w:marTop w:val="0"/>
              <w:marBottom w:val="0"/>
              <w:divBdr>
                <w:top w:val="none" w:sz="0" w:space="0" w:color="auto"/>
                <w:left w:val="none" w:sz="0" w:space="0" w:color="auto"/>
                <w:bottom w:val="none" w:sz="0" w:space="0" w:color="auto"/>
                <w:right w:val="none" w:sz="0" w:space="0" w:color="auto"/>
              </w:divBdr>
            </w:div>
            <w:div w:id="19935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9437">
      <w:bodyDiv w:val="1"/>
      <w:marLeft w:val="0"/>
      <w:marRight w:val="0"/>
      <w:marTop w:val="0"/>
      <w:marBottom w:val="0"/>
      <w:divBdr>
        <w:top w:val="none" w:sz="0" w:space="0" w:color="auto"/>
        <w:left w:val="none" w:sz="0" w:space="0" w:color="auto"/>
        <w:bottom w:val="none" w:sz="0" w:space="0" w:color="auto"/>
        <w:right w:val="none" w:sz="0" w:space="0" w:color="auto"/>
      </w:divBdr>
      <w:divsChild>
        <w:div w:id="84806381">
          <w:marLeft w:val="0"/>
          <w:marRight w:val="0"/>
          <w:marTop w:val="0"/>
          <w:marBottom w:val="0"/>
          <w:divBdr>
            <w:top w:val="none" w:sz="0" w:space="0" w:color="auto"/>
            <w:left w:val="none" w:sz="0" w:space="0" w:color="auto"/>
            <w:bottom w:val="none" w:sz="0" w:space="0" w:color="auto"/>
            <w:right w:val="none" w:sz="0" w:space="0" w:color="auto"/>
          </w:divBdr>
        </w:div>
      </w:divsChild>
    </w:div>
    <w:div w:id="771783434">
      <w:bodyDiv w:val="1"/>
      <w:marLeft w:val="0"/>
      <w:marRight w:val="0"/>
      <w:marTop w:val="0"/>
      <w:marBottom w:val="0"/>
      <w:divBdr>
        <w:top w:val="none" w:sz="0" w:space="0" w:color="auto"/>
        <w:left w:val="none" w:sz="0" w:space="0" w:color="auto"/>
        <w:bottom w:val="none" w:sz="0" w:space="0" w:color="auto"/>
        <w:right w:val="none" w:sz="0" w:space="0" w:color="auto"/>
      </w:divBdr>
      <w:divsChild>
        <w:div w:id="1460608183">
          <w:marLeft w:val="0"/>
          <w:marRight w:val="0"/>
          <w:marTop w:val="0"/>
          <w:marBottom w:val="0"/>
          <w:divBdr>
            <w:top w:val="none" w:sz="0" w:space="0" w:color="auto"/>
            <w:left w:val="none" w:sz="0" w:space="0" w:color="auto"/>
            <w:bottom w:val="none" w:sz="0" w:space="0" w:color="auto"/>
            <w:right w:val="none" w:sz="0" w:space="0" w:color="auto"/>
          </w:divBdr>
        </w:div>
      </w:divsChild>
    </w:div>
    <w:div w:id="782724435">
      <w:bodyDiv w:val="1"/>
      <w:marLeft w:val="0"/>
      <w:marRight w:val="0"/>
      <w:marTop w:val="0"/>
      <w:marBottom w:val="0"/>
      <w:divBdr>
        <w:top w:val="none" w:sz="0" w:space="0" w:color="auto"/>
        <w:left w:val="none" w:sz="0" w:space="0" w:color="auto"/>
        <w:bottom w:val="none" w:sz="0" w:space="0" w:color="auto"/>
        <w:right w:val="none" w:sz="0" w:space="0" w:color="auto"/>
      </w:divBdr>
      <w:divsChild>
        <w:div w:id="485703002">
          <w:marLeft w:val="0"/>
          <w:marRight w:val="0"/>
          <w:marTop w:val="0"/>
          <w:marBottom w:val="0"/>
          <w:divBdr>
            <w:top w:val="none" w:sz="0" w:space="0" w:color="auto"/>
            <w:left w:val="none" w:sz="0" w:space="0" w:color="auto"/>
            <w:bottom w:val="none" w:sz="0" w:space="0" w:color="auto"/>
            <w:right w:val="none" w:sz="0" w:space="0" w:color="auto"/>
          </w:divBdr>
          <w:divsChild>
            <w:div w:id="27878307">
              <w:marLeft w:val="0"/>
              <w:marRight w:val="0"/>
              <w:marTop w:val="0"/>
              <w:marBottom w:val="0"/>
              <w:divBdr>
                <w:top w:val="none" w:sz="0" w:space="0" w:color="auto"/>
                <w:left w:val="none" w:sz="0" w:space="0" w:color="auto"/>
                <w:bottom w:val="none" w:sz="0" w:space="0" w:color="auto"/>
                <w:right w:val="none" w:sz="0" w:space="0" w:color="auto"/>
              </w:divBdr>
              <w:divsChild>
                <w:div w:id="194133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57058">
      <w:bodyDiv w:val="1"/>
      <w:marLeft w:val="0"/>
      <w:marRight w:val="0"/>
      <w:marTop w:val="0"/>
      <w:marBottom w:val="0"/>
      <w:divBdr>
        <w:top w:val="none" w:sz="0" w:space="0" w:color="auto"/>
        <w:left w:val="none" w:sz="0" w:space="0" w:color="auto"/>
        <w:bottom w:val="none" w:sz="0" w:space="0" w:color="auto"/>
        <w:right w:val="none" w:sz="0" w:space="0" w:color="auto"/>
      </w:divBdr>
      <w:divsChild>
        <w:div w:id="1604725244">
          <w:marLeft w:val="0"/>
          <w:marRight w:val="0"/>
          <w:marTop w:val="0"/>
          <w:marBottom w:val="0"/>
          <w:divBdr>
            <w:top w:val="none" w:sz="0" w:space="0" w:color="auto"/>
            <w:left w:val="single" w:sz="6" w:space="0" w:color="FFFFFF"/>
            <w:bottom w:val="single" w:sz="6" w:space="0" w:color="FFFFFF"/>
            <w:right w:val="single" w:sz="6" w:space="0" w:color="FFFFFF"/>
          </w:divBdr>
          <w:divsChild>
            <w:div w:id="172186206">
              <w:marLeft w:val="0"/>
              <w:marRight w:val="0"/>
              <w:marTop w:val="0"/>
              <w:marBottom w:val="0"/>
              <w:divBdr>
                <w:top w:val="none" w:sz="0" w:space="0" w:color="auto"/>
                <w:left w:val="none" w:sz="0" w:space="0" w:color="auto"/>
                <w:bottom w:val="none" w:sz="0" w:space="0" w:color="auto"/>
                <w:right w:val="none" w:sz="0" w:space="0" w:color="auto"/>
              </w:divBdr>
              <w:divsChild>
                <w:div w:id="1205289328">
                  <w:marLeft w:val="0"/>
                  <w:marRight w:val="0"/>
                  <w:marTop w:val="0"/>
                  <w:marBottom w:val="0"/>
                  <w:divBdr>
                    <w:top w:val="single" w:sz="6" w:space="0" w:color="FFFFFF"/>
                    <w:left w:val="none" w:sz="0" w:space="0" w:color="auto"/>
                    <w:bottom w:val="none" w:sz="0" w:space="0" w:color="auto"/>
                    <w:right w:val="none" w:sz="0" w:space="0" w:color="auto"/>
                  </w:divBdr>
                  <w:divsChild>
                    <w:div w:id="799568772">
                      <w:marLeft w:val="0"/>
                      <w:marRight w:val="0"/>
                      <w:marTop w:val="0"/>
                      <w:marBottom w:val="0"/>
                      <w:divBdr>
                        <w:top w:val="none" w:sz="0" w:space="0" w:color="auto"/>
                        <w:left w:val="none" w:sz="0" w:space="0" w:color="auto"/>
                        <w:bottom w:val="none" w:sz="0" w:space="0" w:color="auto"/>
                        <w:right w:val="none" w:sz="0" w:space="0" w:color="auto"/>
                      </w:divBdr>
                      <w:divsChild>
                        <w:div w:id="545262264">
                          <w:marLeft w:val="0"/>
                          <w:marRight w:val="0"/>
                          <w:marTop w:val="0"/>
                          <w:marBottom w:val="0"/>
                          <w:divBdr>
                            <w:top w:val="none" w:sz="0" w:space="0" w:color="auto"/>
                            <w:left w:val="none" w:sz="0" w:space="0" w:color="auto"/>
                            <w:bottom w:val="none" w:sz="0" w:space="0" w:color="auto"/>
                            <w:right w:val="none" w:sz="0" w:space="0" w:color="auto"/>
                          </w:divBdr>
                          <w:divsChild>
                            <w:div w:id="2072344762">
                              <w:marLeft w:val="0"/>
                              <w:marRight w:val="0"/>
                              <w:marTop w:val="0"/>
                              <w:marBottom w:val="240"/>
                              <w:divBdr>
                                <w:top w:val="none" w:sz="0" w:space="0" w:color="auto"/>
                                <w:left w:val="none" w:sz="0" w:space="0" w:color="auto"/>
                                <w:bottom w:val="single" w:sz="6" w:space="12" w:color="DDDDDD"/>
                                <w:right w:val="none" w:sz="0" w:space="0" w:color="auto"/>
                              </w:divBdr>
                              <w:divsChild>
                                <w:div w:id="112558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321880">
      <w:bodyDiv w:val="1"/>
      <w:marLeft w:val="0"/>
      <w:marRight w:val="0"/>
      <w:marTop w:val="0"/>
      <w:marBottom w:val="0"/>
      <w:divBdr>
        <w:top w:val="none" w:sz="0" w:space="0" w:color="auto"/>
        <w:left w:val="none" w:sz="0" w:space="0" w:color="auto"/>
        <w:bottom w:val="none" w:sz="0" w:space="0" w:color="auto"/>
        <w:right w:val="none" w:sz="0" w:space="0" w:color="auto"/>
      </w:divBdr>
      <w:divsChild>
        <w:div w:id="1812013472">
          <w:marLeft w:val="0"/>
          <w:marRight w:val="0"/>
          <w:marTop w:val="0"/>
          <w:marBottom w:val="0"/>
          <w:divBdr>
            <w:top w:val="none" w:sz="0" w:space="0" w:color="auto"/>
            <w:left w:val="none" w:sz="0" w:space="0" w:color="auto"/>
            <w:bottom w:val="none" w:sz="0" w:space="0" w:color="auto"/>
            <w:right w:val="none" w:sz="0" w:space="0" w:color="auto"/>
          </w:divBdr>
        </w:div>
        <w:div w:id="1991442620">
          <w:marLeft w:val="0"/>
          <w:marRight w:val="0"/>
          <w:marTop w:val="0"/>
          <w:marBottom w:val="0"/>
          <w:divBdr>
            <w:top w:val="none" w:sz="0" w:space="0" w:color="auto"/>
            <w:left w:val="none" w:sz="0" w:space="0" w:color="auto"/>
            <w:bottom w:val="none" w:sz="0" w:space="0" w:color="auto"/>
            <w:right w:val="none" w:sz="0" w:space="0" w:color="auto"/>
          </w:divBdr>
        </w:div>
        <w:div w:id="2056157022">
          <w:marLeft w:val="0"/>
          <w:marRight w:val="0"/>
          <w:marTop w:val="0"/>
          <w:marBottom w:val="0"/>
          <w:divBdr>
            <w:top w:val="none" w:sz="0" w:space="0" w:color="auto"/>
            <w:left w:val="none" w:sz="0" w:space="0" w:color="auto"/>
            <w:bottom w:val="none" w:sz="0" w:space="0" w:color="auto"/>
            <w:right w:val="none" w:sz="0" w:space="0" w:color="auto"/>
          </w:divBdr>
        </w:div>
      </w:divsChild>
    </w:div>
    <w:div w:id="1153907695">
      <w:bodyDiv w:val="1"/>
      <w:marLeft w:val="0"/>
      <w:marRight w:val="0"/>
      <w:marTop w:val="0"/>
      <w:marBottom w:val="0"/>
      <w:divBdr>
        <w:top w:val="none" w:sz="0" w:space="0" w:color="auto"/>
        <w:left w:val="none" w:sz="0" w:space="0" w:color="auto"/>
        <w:bottom w:val="none" w:sz="0" w:space="0" w:color="auto"/>
        <w:right w:val="none" w:sz="0" w:space="0" w:color="auto"/>
      </w:divBdr>
      <w:divsChild>
        <w:div w:id="1581982961">
          <w:marLeft w:val="0"/>
          <w:marRight w:val="0"/>
          <w:marTop w:val="0"/>
          <w:marBottom w:val="0"/>
          <w:divBdr>
            <w:top w:val="none" w:sz="0" w:space="0" w:color="auto"/>
            <w:left w:val="none" w:sz="0" w:space="0" w:color="auto"/>
            <w:bottom w:val="none" w:sz="0" w:space="0" w:color="auto"/>
            <w:right w:val="none" w:sz="0" w:space="0" w:color="auto"/>
          </w:divBdr>
          <w:divsChild>
            <w:div w:id="1427963906">
              <w:marLeft w:val="0"/>
              <w:marRight w:val="0"/>
              <w:marTop w:val="0"/>
              <w:marBottom w:val="0"/>
              <w:divBdr>
                <w:top w:val="none" w:sz="0" w:space="0" w:color="auto"/>
                <w:left w:val="none" w:sz="0" w:space="0" w:color="auto"/>
                <w:bottom w:val="none" w:sz="0" w:space="0" w:color="auto"/>
                <w:right w:val="none" w:sz="0" w:space="0" w:color="auto"/>
              </w:divBdr>
            </w:div>
            <w:div w:id="1497500835">
              <w:marLeft w:val="0"/>
              <w:marRight w:val="0"/>
              <w:marTop w:val="0"/>
              <w:marBottom w:val="0"/>
              <w:divBdr>
                <w:top w:val="none" w:sz="0" w:space="0" w:color="auto"/>
                <w:left w:val="none" w:sz="0" w:space="0" w:color="auto"/>
                <w:bottom w:val="none" w:sz="0" w:space="0" w:color="auto"/>
                <w:right w:val="none" w:sz="0" w:space="0" w:color="auto"/>
              </w:divBdr>
            </w:div>
            <w:div w:id="1514612671">
              <w:marLeft w:val="0"/>
              <w:marRight w:val="0"/>
              <w:marTop w:val="0"/>
              <w:marBottom w:val="0"/>
              <w:divBdr>
                <w:top w:val="none" w:sz="0" w:space="0" w:color="auto"/>
                <w:left w:val="none" w:sz="0" w:space="0" w:color="auto"/>
                <w:bottom w:val="none" w:sz="0" w:space="0" w:color="auto"/>
                <w:right w:val="none" w:sz="0" w:space="0" w:color="auto"/>
              </w:divBdr>
            </w:div>
            <w:div w:id="1613440746">
              <w:marLeft w:val="0"/>
              <w:marRight w:val="0"/>
              <w:marTop w:val="0"/>
              <w:marBottom w:val="0"/>
              <w:divBdr>
                <w:top w:val="none" w:sz="0" w:space="0" w:color="auto"/>
                <w:left w:val="none" w:sz="0" w:space="0" w:color="auto"/>
                <w:bottom w:val="none" w:sz="0" w:space="0" w:color="auto"/>
                <w:right w:val="none" w:sz="0" w:space="0" w:color="auto"/>
              </w:divBdr>
            </w:div>
            <w:div w:id="1621303240">
              <w:marLeft w:val="0"/>
              <w:marRight w:val="0"/>
              <w:marTop w:val="0"/>
              <w:marBottom w:val="0"/>
              <w:divBdr>
                <w:top w:val="none" w:sz="0" w:space="0" w:color="auto"/>
                <w:left w:val="none" w:sz="0" w:space="0" w:color="auto"/>
                <w:bottom w:val="none" w:sz="0" w:space="0" w:color="auto"/>
                <w:right w:val="none" w:sz="0" w:space="0" w:color="auto"/>
              </w:divBdr>
            </w:div>
            <w:div w:id="1789354173">
              <w:marLeft w:val="0"/>
              <w:marRight w:val="0"/>
              <w:marTop w:val="0"/>
              <w:marBottom w:val="0"/>
              <w:divBdr>
                <w:top w:val="none" w:sz="0" w:space="0" w:color="auto"/>
                <w:left w:val="none" w:sz="0" w:space="0" w:color="auto"/>
                <w:bottom w:val="none" w:sz="0" w:space="0" w:color="auto"/>
                <w:right w:val="none" w:sz="0" w:space="0" w:color="auto"/>
              </w:divBdr>
            </w:div>
            <w:div w:id="18282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062704">
      <w:bodyDiv w:val="1"/>
      <w:marLeft w:val="0"/>
      <w:marRight w:val="0"/>
      <w:marTop w:val="0"/>
      <w:marBottom w:val="0"/>
      <w:divBdr>
        <w:top w:val="none" w:sz="0" w:space="0" w:color="auto"/>
        <w:left w:val="none" w:sz="0" w:space="0" w:color="auto"/>
        <w:bottom w:val="none" w:sz="0" w:space="0" w:color="auto"/>
        <w:right w:val="none" w:sz="0" w:space="0" w:color="auto"/>
      </w:divBdr>
      <w:divsChild>
        <w:div w:id="1300453244">
          <w:marLeft w:val="0"/>
          <w:marRight w:val="0"/>
          <w:marTop w:val="0"/>
          <w:marBottom w:val="0"/>
          <w:divBdr>
            <w:top w:val="none" w:sz="0" w:space="0" w:color="auto"/>
            <w:left w:val="none" w:sz="0" w:space="0" w:color="auto"/>
            <w:bottom w:val="none" w:sz="0" w:space="0" w:color="auto"/>
            <w:right w:val="none" w:sz="0" w:space="0" w:color="auto"/>
          </w:divBdr>
          <w:divsChild>
            <w:div w:id="371617506">
              <w:marLeft w:val="0"/>
              <w:marRight w:val="0"/>
              <w:marTop w:val="0"/>
              <w:marBottom w:val="0"/>
              <w:divBdr>
                <w:top w:val="none" w:sz="0" w:space="0" w:color="auto"/>
                <w:left w:val="none" w:sz="0" w:space="0" w:color="auto"/>
                <w:bottom w:val="none" w:sz="0" w:space="0" w:color="auto"/>
                <w:right w:val="none" w:sz="0" w:space="0" w:color="auto"/>
              </w:divBdr>
            </w:div>
            <w:div w:id="601035647">
              <w:marLeft w:val="0"/>
              <w:marRight w:val="0"/>
              <w:marTop w:val="0"/>
              <w:marBottom w:val="0"/>
              <w:divBdr>
                <w:top w:val="none" w:sz="0" w:space="0" w:color="auto"/>
                <w:left w:val="none" w:sz="0" w:space="0" w:color="auto"/>
                <w:bottom w:val="none" w:sz="0" w:space="0" w:color="auto"/>
                <w:right w:val="none" w:sz="0" w:space="0" w:color="auto"/>
              </w:divBdr>
            </w:div>
            <w:div w:id="1394965450">
              <w:marLeft w:val="0"/>
              <w:marRight w:val="0"/>
              <w:marTop w:val="0"/>
              <w:marBottom w:val="0"/>
              <w:divBdr>
                <w:top w:val="none" w:sz="0" w:space="0" w:color="auto"/>
                <w:left w:val="none" w:sz="0" w:space="0" w:color="auto"/>
                <w:bottom w:val="none" w:sz="0" w:space="0" w:color="auto"/>
                <w:right w:val="none" w:sz="0" w:space="0" w:color="auto"/>
              </w:divBdr>
            </w:div>
            <w:div w:id="1886411257">
              <w:marLeft w:val="0"/>
              <w:marRight w:val="0"/>
              <w:marTop w:val="0"/>
              <w:marBottom w:val="0"/>
              <w:divBdr>
                <w:top w:val="none" w:sz="0" w:space="0" w:color="auto"/>
                <w:left w:val="none" w:sz="0" w:space="0" w:color="auto"/>
                <w:bottom w:val="none" w:sz="0" w:space="0" w:color="auto"/>
                <w:right w:val="none" w:sz="0" w:space="0" w:color="auto"/>
              </w:divBdr>
            </w:div>
            <w:div w:id="202974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71567">
      <w:bodyDiv w:val="1"/>
      <w:marLeft w:val="0"/>
      <w:marRight w:val="0"/>
      <w:marTop w:val="0"/>
      <w:marBottom w:val="0"/>
      <w:divBdr>
        <w:top w:val="none" w:sz="0" w:space="0" w:color="auto"/>
        <w:left w:val="none" w:sz="0" w:space="0" w:color="auto"/>
        <w:bottom w:val="none" w:sz="0" w:space="0" w:color="auto"/>
        <w:right w:val="none" w:sz="0" w:space="0" w:color="auto"/>
      </w:divBdr>
      <w:divsChild>
        <w:div w:id="269358058">
          <w:marLeft w:val="0"/>
          <w:marRight w:val="0"/>
          <w:marTop w:val="0"/>
          <w:marBottom w:val="0"/>
          <w:divBdr>
            <w:top w:val="none" w:sz="0" w:space="0" w:color="auto"/>
            <w:left w:val="none" w:sz="0" w:space="0" w:color="auto"/>
            <w:bottom w:val="none" w:sz="0" w:space="0" w:color="auto"/>
            <w:right w:val="none" w:sz="0" w:space="0" w:color="auto"/>
          </w:divBdr>
        </w:div>
        <w:div w:id="285939121">
          <w:marLeft w:val="0"/>
          <w:marRight w:val="0"/>
          <w:marTop w:val="0"/>
          <w:marBottom w:val="0"/>
          <w:divBdr>
            <w:top w:val="none" w:sz="0" w:space="0" w:color="auto"/>
            <w:left w:val="none" w:sz="0" w:space="0" w:color="auto"/>
            <w:bottom w:val="none" w:sz="0" w:space="0" w:color="auto"/>
            <w:right w:val="none" w:sz="0" w:space="0" w:color="auto"/>
          </w:divBdr>
        </w:div>
        <w:div w:id="593713187">
          <w:marLeft w:val="0"/>
          <w:marRight w:val="0"/>
          <w:marTop w:val="0"/>
          <w:marBottom w:val="0"/>
          <w:divBdr>
            <w:top w:val="none" w:sz="0" w:space="0" w:color="auto"/>
            <w:left w:val="none" w:sz="0" w:space="0" w:color="auto"/>
            <w:bottom w:val="none" w:sz="0" w:space="0" w:color="auto"/>
            <w:right w:val="none" w:sz="0" w:space="0" w:color="auto"/>
          </w:divBdr>
        </w:div>
      </w:divsChild>
    </w:div>
    <w:div w:id="1386681112">
      <w:bodyDiv w:val="1"/>
      <w:marLeft w:val="0"/>
      <w:marRight w:val="0"/>
      <w:marTop w:val="0"/>
      <w:marBottom w:val="0"/>
      <w:divBdr>
        <w:top w:val="none" w:sz="0" w:space="0" w:color="auto"/>
        <w:left w:val="none" w:sz="0" w:space="0" w:color="auto"/>
        <w:bottom w:val="none" w:sz="0" w:space="0" w:color="auto"/>
        <w:right w:val="none" w:sz="0" w:space="0" w:color="auto"/>
      </w:divBdr>
      <w:divsChild>
        <w:div w:id="1572471637">
          <w:marLeft w:val="0"/>
          <w:marRight w:val="0"/>
          <w:marTop w:val="0"/>
          <w:marBottom w:val="0"/>
          <w:divBdr>
            <w:top w:val="none" w:sz="0" w:space="0" w:color="auto"/>
            <w:left w:val="none" w:sz="0" w:space="0" w:color="auto"/>
            <w:bottom w:val="none" w:sz="0" w:space="0" w:color="auto"/>
            <w:right w:val="none" w:sz="0" w:space="0" w:color="auto"/>
          </w:divBdr>
        </w:div>
      </w:divsChild>
    </w:div>
    <w:div w:id="1475021097">
      <w:bodyDiv w:val="1"/>
      <w:marLeft w:val="0"/>
      <w:marRight w:val="0"/>
      <w:marTop w:val="0"/>
      <w:marBottom w:val="0"/>
      <w:divBdr>
        <w:top w:val="none" w:sz="0" w:space="0" w:color="auto"/>
        <w:left w:val="none" w:sz="0" w:space="0" w:color="auto"/>
        <w:bottom w:val="none" w:sz="0" w:space="0" w:color="auto"/>
        <w:right w:val="none" w:sz="0" w:space="0" w:color="auto"/>
      </w:divBdr>
      <w:divsChild>
        <w:div w:id="1666935397">
          <w:marLeft w:val="0"/>
          <w:marRight w:val="0"/>
          <w:marTop w:val="0"/>
          <w:marBottom w:val="0"/>
          <w:divBdr>
            <w:top w:val="none" w:sz="0" w:space="0" w:color="auto"/>
            <w:left w:val="none" w:sz="0" w:space="0" w:color="auto"/>
            <w:bottom w:val="none" w:sz="0" w:space="0" w:color="auto"/>
            <w:right w:val="none" w:sz="0" w:space="0" w:color="auto"/>
          </w:divBdr>
        </w:div>
      </w:divsChild>
    </w:div>
    <w:div w:id="1516580657">
      <w:bodyDiv w:val="1"/>
      <w:marLeft w:val="0"/>
      <w:marRight w:val="0"/>
      <w:marTop w:val="0"/>
      <w:marBottom w:val="0"/>
      <w:divBdr>
        <w:top w:val="none" w:sz="0" w:space="0" w:color="auto"/>
        <w:left w:val="none" w:sz="0" w:space="0" w:color="auto"/>
        <w:bottom w:val="none" w:sz="0" w:space="0" w:color="auto"/>
        <w:right w:val="none" w:sz="0" w:space="0" w:color="auto"/>
      </w:divBdr>
      <w:divsChild>
        <w:div w:id="135952134">
          <w:marLeft w:val="0"/>
          <w:marRight w:val="0"/>
          <w:marTop w:val="0"/>
          <w:marBottom w:val="0"/>
          <w:divBdr>
            <w:top w:val="none" w:sz="0" w:space="0" w:color="auto"/>
            <w:left w:val="none" w:sz="0" w:space="0" w:color="auto"/>
            <w:bottom w:val="none" w:sz="0" w:space="0" w:color="auto"/>
            <w:right w:val="none" w:sz="0" w:space="0" w:color="auto"/>
          </w:divBdr>
        </w:div>
      </w:divsChild>
    </w:div>
    <w:div w:id="1521046725">
      <w:bodyDiv w:val="1"/>
      <w:marLeft w:val="0"/>
      <w:marRight w:val="0"/>
      <w:marTop w:val="0"/>
      <w:marBottom w:val="0"/>
      <w:divBdr>
        <w:top w:val="none" w:sz="0" w:space="0" w:color="auto"/>
        <w:left w:val="none" w:sz="0" w:space="0" w:color="auto"/>
        <w:bottom w:val="none" w:sz="0" w:space="0" w:color="auto"/>
        <w:right w:val="none" w:sz="0" w:space="0" w:color="auto"/>
      </w:divBdr>
      <w:divsChild>
        <w:div w:id="1682462535">
          <w:marLeft w:val="0"/>
          <w:marRight w:val="0"/>
          <w:marTop w:val="0"/>
          <w:marBottom w:val="0"/>
          <w:divBdr>
            <w:top w:val="none" w:sz="0" w:space="0" w:color="auto"/>
            <w:left w:val="none" w:sz="0" w:space="0" w:color="auto"/>
            <w:bottom w:val="none" w:sz="0" w:space="0" w:color="auto"/>
            <w:right w:val="none" w:sz="0" w:space="0" w:color="auto"/>
          </w:divBdr>
          <w:divsChild>
            <w:div w:id="387384963">
              <w:marLeft w:val="0"/>
              <w:marRight w:val="0"/>
              <w:marTop w:val="0"/>
              <w:marBottom w:val="0"/>
              <w:divBdr>
                <w:top w:val="none" w:sz="0" w:space="0" w:color="auto"/>
                <w:left w:val="none" w:sz="0" w:space="0" w:color="auto"/>
                <w:bottom w:val="none" w:sz="0" w:space="0" w:color="auto"/>
                <w:right w:val="none" w:sz="0" w:space="0" w:color="auto"/>
              </w:divBdr>
            </w:div>
            <w:div w:id="996571170">
              <w:marLeft w:val="0"/>
              <w:marRight w:val="0"/>
              <w:marTop w:val="0"/>
              <w:marBottom w:val="0"/>
              <w:divBdr>
                <w:top w:val="none" w:sz="0" w:space="0" w:color="auto"/>
                <w:left w:val="none" w:sz="0" w:space="0" w:color="auto"/>
                <w:bottom w:val="none" w:sz="0" w:space="0" w:color="auto"/>
                <w:right w:val="none" w:sz="0" w:space="0" w:color="auto"/>
              </w:divBdr>
            </w:div>
            <w:div w:id="1130783469">
              <w:marLeft w:val="0"/>
              <w:marRight w:val="0"/>
              <w:marTop w:val="0"/>
              <w:marBottom w:val="0"/>
              <w:divBdr>
                <w:top w:val="none" w:sz="0" w:space="0" w:color="auto"/>
                <w:left w:val="none" w:sz="0" w:space="0" w:color="auto"/>
                <w:bottom w:val="none" w:sz="0" w:space="0" w:color="auto"/>
                <w:right w:val="none" w:sz="0" w:space="0" w:color="auto"/>
              </w:divBdr>
            </w:div>
            <w:div w:id="1269923130">
              <w:marLeft w:val="0"/>
              <w:marRight w:val="0"/>
              <w:marTop w:val="0"/>
              <w:marBottom w:val="0"/>
              <w:divBdr>
                <w:top w:val="none" w:sz="0" w:space="0" w:color="auto"/>
                <w:left w:val="none" w:sz="0" w:space="0" w:color="auto"/>
                <w:bottom w:val="none" w:sz="0" w:space="0" w:color="auto"/>
                <w:right w:val="none" w:sz="0" w:space="0" w:color="auto"/>
              </w:divBdr>
            </w:div>
            <w:div w:id="1272668269">
              <w:marLeft w:val="0"/>
              <w:marRight w:val="0"/>
              <w:marTop w:val="0"/>
              <w:marBottom w:val="0"/>
              <w:divBdr>
                <w:top w:val="none" w:sz="0" w:space="0" w:color="auto"/>
                <w:left w:val="none" w:sz="0" w:space="0" w:color="auto"/>
                <w:bottom w:val="none" w:sz="0" w:space="0" w:color="auto"/>
                <w:right w:val="none" w:sz="0" w:space="0" w:color="auto"/>
              </w:divBdr>
            </w:div>
            <w:div w:id="1710639586">
              <w:marLeft w:val="0"/>
              <w:marRight w:val="0"/>
              <w:marTop w:val="0"/>
              <w:marBottom w:val="0"/>
              <w:divBdr>
                <w:top w:val="none" w:sz="0" w:space="0" w:color="auto"/>
                <w:left w:val="none" w:sz="0" w:space="0" w:color="auto"/>
                <w:bottom w:val="none" w:sz="0" w:space="0" w:color="auto"/>
                <w:right w:val="none" w:sz="0" w:space="0" w:color="auto"/>
              </w:divBdr>
            </w:div>
            <w:div w:id="1873035437">
              <w:marLeft w:val="0"/>
              <w:marRight w:val="0"/>
              <w:marTop w:val="0"/>
              <w:marBottom w:val="0"/>
              <w:divBdr>
                <w:top w:val="none" w:sz="0" w:space="0" w:color="auto"/>
                <w:left w:val="none" w:sz="0" w:space="0" w:color="auto"/>
                <w:bottom w:val="none" w:sz="0" w:space="0" w:color="auto"/>
                <w:right w:val="none" w:sz="0" w:space="0" w:color="auto"/>
              </w:divBdr>
            </w:div>
            <w:div w:id="201557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13364">
      <w:bodyDiv w:val="1"/>
      <w:marLeft w:val="0"/>
      <w:marRight w:val="0"/>
      <w:marTop w:val="0"/>
      <w:marBottom w:val="0"/>
      <w:divBdr>
        <w:top w:val="none" w:sz="0" w:space="0" w:color="auto"/>
        <w:left w:val="none" w:sz="0" w:space="0" w:color="auto"/>
        <w:bottom w:val="none" w:sz="0" w:space="0" w:color="auto"/>
        <w:right w:val="none" w:sz="0" w:space="0" w:color="auto"/>
      </w:divBdr>
    </w:div>
    <w:div w:id="1844465359">
      <w:bodyDiv w:val="1"/>
      <w:marLeft w:val="0"/>
      <w:marRight w:val="0"/>
      <w:marTop w:val="0"/>
      <w:marBottom w:val="0"/>
      <w:divBdr>
        <w:top w:val="none" w:sz="0" w:space="0" w:color="auto"/>
        <w:left w:val="none" w:sz="0" w:space="0" w:color="auto"/>
        <w:bottom w:val="none" w:sz="0" w:space="0" w:color="auto"/>
        <w:right w:val="none" w:sz="0" w:space="0" w:color="auto"/>
      </w:divBdr>
      <w:divsChild>
        <w:div w:id="2131974663">
          <w:marLeft w:val="0"/>
          <w:marRight w:val="0"/>
          <w:marTop w:val="0"/>
          <w:marBottom w:val="0"/>
          <w:divBdr>
            <w:top w:val="none" w:sz="0" w:space="0" w:color="auto"/>
            <w:left w:val="none" w:sz="0" w:space="0" w:color="auto"/>
            <w:bottom w:val="none" w:sz="0" w:space="0" w:color="auto"/>
            <w:right w:val="none" w:sz="0" w:space="0" w:color="auto"/>
          </w:divBdr>
        </w:div>
      </w:divsChild>
    </w:div>
    <w:div w:id="2057772052">
      <w:bodyDiv w:val="1"/>
      <w:marLeft w:val="0"/>
      <w:marRight w:val="0"/>
      <w:marTop w:val="0"/>
      <w:marBottom w:val="0"/>
      <w:divBdr>
        <w:top w:val="none" w:sz="0" w:space="0" w:color="auto"/>
        <w:left w:val="none" w:sz="0" w:space="0" w:color="auto"/>
        <w:bottom w:val="none" w:sz="0" w:space="0" w:color="auto"/>
        <w:right w:val="none" w:sz="0" w:space="0" w:color="auto"/>
      </w:divBdr>
      <w:divsChild>
        <w:div w:id="1776439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1667C-51CB-4499-AD24-8425C8F80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1538</TotalTime>
  <Pages>22</Pages>
  <Words>4515</Words>
  <Characters>26644</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I</vt:lpstr>
    </vt:vector>
  </TitlesOfParts>
  <Company>Ministerstvo financí</Company>
  <LinksUpToDate>false</LinksUpToDate>
  <CharactersWithSpaces>31097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12488</dc:creator>
  <cp:lastModifiedBy>Rucká Karla Ing.</cp:lastModifiedBy>
  <cp:revision>262</cp:revision>
  <cp:lastPrinted>2015-08-25T14:05:00Z</cp:lastPrinted>
  <dcterms:created xsi:type="dcterms:W3CDTF">2015-08-20T14:22:00Z</dcterms:created>
  <dcterms:modified xsi:type="dcterms:W3CDTF">2015-08-27T07:35:00Z</dcterms:modified>
</cp:coreProperties>
</file>