
<file path=[Content_Types].xml><?xml version="1.0" encoding="utf-8"?>
<Types xmlns="http://schemas.openxmlformats.org/package/2006/content-types">
  <Override PartName="/word/footnotes.xml" ContentType="application/vnd.openxmlformats-officedocument.wordprocessingml.footnotes+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9B8" w:rsidRDefault="003649B8" w:rsidP="005F7F5E">
      <w:bookmarkStart w:id="0" w:name="_Toc24962050"/>
      <w:bookmarkStart w:id="1" w:name="_Toc49932516"/>
      <w:bookmarkStart w:id="2" w:name="_Toc471703149"/>
      <w:bookmarkStart w:id="3" w:name="_Toc471703344"/>
      <w:bookmarkStart w:id="4" w:name="_Toc471704741"/>
      <w:bookmarkStart w:id="5" w:name="_Toc480162821"/>
      <w:bookmarkStart w:id="6" w:name="_Toc494005727"/>
    </w:p>
    <w:p w:rsidR="003649B8" w:rsidRDefault="003649B8" w:rsidP="005F7F5E"/>
    <w:p w:rsidR="003649B8" w:rsidRPr="00451C69" w:rsidRDefault="003649B8" w:rsidP="005F7F5E">
      <w:r w:rsidRPr="00451C69">
        <w:t>Ministerstvo financí</w:t>
      </w:r>
    </w:p>
    <w:p w:rsidR="003649B8" w:rsidRPr="009869B6" w:rsidRDefault="003649B8" w:rsidP="005F7F5E">
      <w:pPr>
        <w:spacing w:after="120"/>
      </w:pPr>
      <w:r w:rsidRPr="009869B6">
        <w:t>č.</w:t>
      </w:r>
      <w:r>
        <w:t xml:space="preserve"> </w:t>
      </w:r>
      <w:r w:rsidRPr="009869B6">
        <w:t xml:space="preserve">j. MF- </w:t>
      </w:r>
      <w:r>
        <w:t>26 622</w:t>
      </w:r>
      <w:r w:rsidRPr="002B4491">
        <w:t>/201</w:t>
      </w:r>
      <w:r>
        <w:t>5</w:t>
      </w:r>
      <w:r w:rsidRPr="002B4491">
        <w:t>/11</w:t>
      </w:r>
    </w:p>
    <w:p w:rsidR="003649B8" w:rsidRPr="00451C69" w:rsidRDefault="003649B8" w:rsidP="005F7F5E"/>
    <w:p w:rsidR="003649B8" w:rsidRPr="00451C69" w:rsidRDefault="003649B8" w:rsidP="005F7F5E"/>
    <w:p w:rsidR="003649B8" w:rsidRPr="00451C69" w:rsidRDefault="003649B8" w:rsidP="005F7F5E"/>
    <w:p w:rsidR="003649B8" w:rsidRPr="00451C69" w:rsidRDefault="003649B8" w:rsidP="005F7F5E"/>
    <w:p w:rsidR="003649B8" w:rsidRPr="00451C69" w:rsidRDefault="003649B8" w:rsidP="005F7F5E"/>
    <w:p w:rsidR="003649B8" w:rsidRPr="00451C69" w:rsidRDefault="003649B8" w:rsidP="005F7F5E"/>
    <w:p w:rsidR="003649B8" w:rsidRPr="00451C69" w:rsidRDefault="003649B8" w:rsidP="005F7F5E"/>
    <w:p w:rsidR="003649B8" w:rsidRPr="00451C69" w:rsidRDefault="003649B8" w:rsidP="005F7F5E"/>
    <w:p w:rsidR="003649B8" w:rsidRPr="00451C69" w:rsidRDefault="003649B8" w:rsidP="005F7F5E"/>
    <w:p w:rsidR="003649B8" w:rsidRPr="00451C69" w:rsidRDefault="003649B8" w:rsidP="005F7F5E"/>
    <w:p w:rsidR="003649B8" w:rsidRPr="00451C69" w:rsidRDefault="003649B8" w:rsidP="005F7F5E"/>
    <w:p w:rsidR="003649B8" w:rsidRPr="00451C69" w:rsidRDefault="003649B8" w:rsidP="005F7F5E"/>
    <w:p w:rsidR="003649B8" w:rsidRPr="00451C69" w:rsidRDefault="003649B8" w:rsidP="005F7F5E"/>
    <w:p w:rsidR="003649B8" w:rsidRPr="00451C69" w:rsidRDefault="003649B8" w:rsidP="005F7F5E"/>
    <w:p w:rsidR="003649B8" w:rsidRPr="00451C69" w:rsidRDefault="003649B8" w:rsidP="005F7F5E"/>
    <w:p w:rsidR="003649B8" w:rsidRPr="00451C69" w:rsidRDefault="003649B8" w:rsidP="005F7F5E"/>
    <w:p w:rsidR="003649B8" w:rsidRPr="00451C69" w:rsidRDefault="003649B8" w:rsidP="005F7F5E">
      <w:pPr>
        <w:rPr>
          <w:sz w:val="44"/>
        </w:rPr>
      </w:pPr>
    </w:p>
    <w:p w:rsidR="003649B8" w:rsidRPr="00451C69" w:rsidRDefault="003649B8" w:rsidP="005F7F5E">
      <w:pPr>
        <w:jc w:val="center"/>
        <w:rPr>
          <w:b/>
          <w:bCs/>
          <w:sz w:val="44"/>
        </w:rPr>
      </w:pPr>
      <w:r w:rsidRPr="00451C69">
        <w:rPr>
          <w:b/>
          <w:bCs/>
          <w:sz w:val="44"/>
        </w:rPr>
        <w:t>K.</w:t>
      </w:r>
    </w:p>
    <w:p w:rsidR="003649B8" w:rsidRPr="00451C69" w:rsidRDefault="003649B8" w:rsidP="005F7F5E">
      <w:pPr>
        <w:jc w:val="center"/>
        <w:rPr>
          <w:b/>
          <w:bCs/>
          <w:sz w:val="44"/>
        </w:rPr>
      </w:pPr>
    </w:p>
    <w:p w:rsidR="003649B8" w:rsidRPr="00451C69" w:rsidRDefault="003649B8" w:rsidP="005F7F5E">
      <w:pPr>
        <w:jc w:val="center"/>
        <w:rPr>
          <w:b/>
          <w:bCs/>
          <w:sz w:val="44"/>
        </w:rPr>
      </w:pPr>
      <w:r w:rsidRPr="00451C69">
        <w:rPr>
          <w:b/>
          <w:bCs/>
          <w:sz w:val="44"/>
        </w:rPr>
        <w:t>Hospodaření veřejných rozpočtů</w:t>
      </w:r>
    </w:p>
    <w:p w:rsidR="003649B8" w:rsidRDefault="003649B8" w:rsidP="005F7F5E">
      <w:pPr>
        <w:pStyle w:val="TOC1"/>
        <w:tabs>
          <w:tab w:val="right" w:leader="dot" w:pos="9061"/>
        </w:tabs>
        <w:rPr>
          <w:noProof/>
        </w:rPr>
      </w:pPr>
      <w:r w:rsidRPr="00451C69">
        <w:br w:type="page"/>
      </w:r>
      <w:r>
        <w:rPr>
          <w:b w:val="0"/>
          <w:bCs w:val="0"/>
          <w:caps w:val="0"/>
        </w:rPr>
        <w:fldChar w:fldCharType="begin"/>
      </w:r>
      <w:r>
        <w:rPr>
          <w:b w:val="0"/>
          <w:bCs w:val="0"/>
          <w:caps w:val="0"/>
        </w:rPr>
        <w:instrText xml:space="preserve"> USERADDRESS   \* MERGEFORMAT </w:instrText>
      </w:r>
      <w:r>
        <w:rPr>
          <w:b w:val="0"/>
          <w:bCs w:val="0"/>
          <w:caps w:val="0"/>
        </w:rPr>
        <w:fldChar w:fldCharType="end"/>
      </w:r>
      <w:r>
        <w:rPr>
          <w:b w:val="0"/>
          <w:bCs w:val="0"/>
          <w:caps w:val="0"/>
        </w:rPr>
        <w:fldChar w:fldCharType="begin"/>
      </w:r>
      <w:r>
        <w:rPr>
          <w:b w:val="0"/>
          <w:bCs w:val="0"/>
          <w:caps w:val="0"/>
        </w:rPr>
        <w:instrText xml:space="preserve"> TOC \o "1-3" \h \z </w:instrText>
      </w:r>
      <w:r>
        <w:rPr>
          <w:b w:val="0"/>
          <w:bCs w:val="0"/>
          <w:caps w:val="0"/>
        </w:rPr>
        <w:fldChar w:fldCharType="separate"/>
      </w:r>
    </w:p>
    <w:p w:rsidR="003649B8" w:rsidRDefault="003649B8">
      <w:pPr>
        <w:pStyle w:val="TOC1"/>
        <w:tabs>
          <w:tab w:val="right" w:leader="dot" w:pos="9061"/>
        </w:tabs>
        <w:rPr>
          <w:rFonts w:ascii="Calibri" w:hAnsi="Calibri"/>
          <w:b w:val="0"/>
          <w:bCs w:val="0"/>
          <w:caps w:val="0"/>
          <w:noProof/>
          <w:sz w:val="22"/>
          <w:szCs w:val="22"/>
        </w:rPr>
      </w:pPr>
      <w:hyperlink w:anchor="_Toc428446397" w:history="1">
        <w:r w:rsidRPr="0087083A">
          <w:rPr>
            <w:rStyle w:val="Hyperlink"/>
            <w:noProof/>
          </w:rPr>
          <w:t>I. Očekávaný vývoj veřejných rozpočtů a vládního dluhu</w:t>
        </w:r>
        <w:r>
          <w:rPr>
            <w:noProof/>
            <w:webHidden/>
          </w:rPr>
          <w:tab/>
        </w:r>
        <w:r>
          <w:rPr>
            <w:noProof/>
            <w:webHidden/>
          </w:rPr>
          <w:fldChar w:fldCharType="begin"/>
        </w:r>
        <w:r>
          <w:rPr>
            <w:noProof/>
            <w:webHidden/>
          </w:rPr>
          <w:instrText xml:space="preserve"> PAGEREF _Toc428446397 \h </w:instrText>
        </w:r>
        <w:r>
          <w:rPr>
            <w:noProof/>
          </w:rPr>
        </w:r>
        <w:r>
          <w:rPr>
            <w:noProof/>
            <w:webHidden/>
          </w:rPr>
          <w:fldChar w:fldCharType="separate"/>
        </w:r>
        <w:r>
          <w:rPr>
            <w:noProof/>
            <w:webHidden/>
          </w:rPr>
          <w:t>1</w:t>
        </w:r>
        <w:r>
          <w:rPr>
            <w:noProof/>
            <w:webHidden/>
          </w:rPr>
          <w:fldChar w:fldCharType="end"/>
        </w:r>
      </w:hyperlink>
    </w:p>
    <w:p w:rsidR="003649B8" w:rsidRDefault="003649B8">
      <w:pPr>
        <w:pStyle w:val="TOC2"/>
        <w:rPr>
          <w:rFonts w:ascii="Calibri" w:hAnsi="Calibri"/>
          <w:smallCaps w:val="0"/>
          <w:noProof/>
          <w:sz w:val="22"/>
          <w:szCs w:val="22"/>
        </w:rPr>
      </w:pPr>
      <w:hyperlink w:anchor="_Toc428446398" w:history="1">
        <w:r w:rsidRPr="0087083A">
          <w:rPr>
            <w:rStyle w:val="Hyperlink"/>
            <w:noProof/>
          </w:rPr>
          <w:t>A)</w:t>
        </w:r>
        <w:r>
          <w:rPr>
            <w:rFonts w:ascii="Calibri" w:hAnsi="Calibri"/>
            <w:smallCaps w:val="0"/>
            <w:noProof/>
            <w:sz w:val="22"/>
            <w:szCs w:val="22"/>
          </w:rPr>
          <w:tab/>
        </w:r>
        <w:r w:rsidRPr="0087083A">
          <w:rPr>
            <w:rStyle w:val="Hyperlink"/>
            <w:noProof/>
          </w:rPr>
          <w:t>Veřejné rozpočty (metodika GFS 2001)</w:t>
        </w:r>
        <w:r>
          <w:rPr>
            <w:noProof/>
            <w:webHidden/>
          </w:rPr>
          <w:tab/>
        </w:r>
        <w:r>
          <w:rPr>
            <w:noProof/>
            <w:webHidden/>
          </w:rPr>
          <w:fldChar w:fldCharType="begin"/>
        </w:r>
        <w:r>
          <w:rPr>
            <w:noProof/>
            <w:webHidden/>
          </w:rPr>
          <w:instrText xml:space="preserve"> PAGEREF _Toc428446398 \h </w:instrText>
        </w:r>
        <w:r>
          <w:rPr>
            <w:noProof/>
          </w:rPr>
        </w:r>
        <w:r>
          <w:rPr>
            <w:noProof/>
            <w:webHidden/>
          </w:rPr>
          <w:fldChar w:fldCharType="separate"/>
        </w:r>
        <w:r>
          <w:rPr>
            <w:noProof/>
            <w:webHidden/>
          </w:rPr>
          <w:t>1</w:t>
        </w:r>
        <w:r>
          <w:rPr>
            <w:noProof/>
            <w:webHidden/>
          </w:rPr>
          <w:fldChar w:fldCharType="end"/>
        </w:r>
      </w:hyperlink>
    </w:p>
    <w:p w:rsidR="003649B8" w:rsidRDefault="003649B8">
      <w:pPr>
        <w:pStyle w:val="TOC3"/>
        <w:tabs>
          <w:tab w:val="left" w:pos="1100"/>
          <w:tab w:val="right" w:leader="dot" w:pos="9061"/>
        </w:tabs>
        <w:rPr>
          <w:rFonts w:ascii="Calibri" w:hAnsi="Calibri"/>
          <w:i w:val="0"/>
          <w:iCs w:val="0"/>
          <w:noProof/>
          <w:sz w:val="22"/>
          <w:szCs w:val="22"/>
        </w:rPr>
      </w:pPr>
      <w:hyperlink w:anchor="_Toc428446399" w:history="1">
        <w:r w:rsidRPr="0087083A">
          <w:rPr>
            <w:rStyle w:val="Hyperlink"/>
            <w:noProof/>
          </w:rPr>
          <w:t>1.</w:t>
        </w:r>
        <w:r>
          <w:rPr>
            <w:rFonts w:ascii="Calibri" w:hAnsi="Calibri"/>
            <w:i w:val="0"/>
            <w:iCs w:val="0"/>
            <w:noProof/>
            <w:sz w:val="22"/>
            <w:szCs w:val="22"/>
          </w:rPr>
          <w:tab/>
        </w:r>
        <w:r w:rsidRPr="0087083A">
          <w:rPr>
            <w:rStyle w:val="Hyperlink"/>
            <w:noProof/>
          </w:rPr>
          <w:t>Veřejné rozpočty v roce 2015 - východisko pro rok 2016</w:t>
        </w:r>
        <w:r>
          <w:rPr>
            <w:noProof/>
            <w:webHidden/>
          </w:rPr>
          <w:tab/>
        </w:r>
        <w:r>
          <w:rPr>
            <w:noProof/>
            <w:webHidden/>
          </w:rPr>
          <w:fldChar w:fldCharType="begin"/>
        </w:r>
        <w:r>
          <w:rPr>
            <w:noProof/>
            <w:webHidden/>
          </w:rPr>
          <w:instrText xml:space="preserve"> PAGEREF _Toc428446399 \h </w:instrText>
        </w:r>
        <w:r>
          <w:rPr>
            <w:noProof/>
          </w:rPr>
        </w:r>
        <w:r>
          <w:rPr>
            <w:noProof/>
            <w:webHidden/>
          </w:rPr>
          <w:fldChar w:fldCharType="separate"/>
        </w:r>
        <w:r>
          <w:rPr>
            <w:noProof/>
            <w:webHidden/>
          </w:rPr>
          <w:t>1</w:t>
        </w:r>
        <w:r>
          <w:rPr>
            <w:noProof/>
            <w:webHidden/>
          </w:rPr>
          <w:fldChar w:fldCharType="end"/>
        </w:r>
      </w:hyperlink>
    </w:p>
    <w:p w:rsidR="003649B8" w:rsidRDefault="003649B8">
      <w:pPr>
        <w:pStyle w:val="TOC3"/>
        <w:tabs>
          <w:tab w:val="left" w:pos="1100"/>
          <w:tab w:val="right" w:leader="dot" w:pos="9061"/>
        </w:tabs>
        <w:rPr>
          <w:rFonts w:ascii="Calibri" w:hAnsi="Calibri"/>
          <w:i w:val="0"/>
          <w:iCs w:val="0"/>
          <w:noProof/>
          <w:sz w:val="22"/>
          <w:szCs w:val="22"/>
        </w:rPr>
      </w:pPr>
      <w:hyperlink w:anchor="_Toc428446400" w:history="1">
        <w:r w:rsidRPr="0087083A">
          <w:rPr>
            <w:rStyle w:val="Hyperlink"/>
            <w:noProof/>
          </w:rPr>
          <w:t>2.</w:t>
        </w:r>
        <w:r>
          <w:rPr>
            <w:rFonts w:ascii="Calibri" w:hAnsi="Calibri"/>
            <w:i w:val="0"/>
            <w:iCs w:val="0"/>
            <w:noProof/>
            <w:sz w:val="22"/>
            <w:szCs w:val="22"/>
          </w:rPr>
          <w:tab/>
        </w:r>
        <w:r w:rsidRPr="0087083A">
          <w:rPr>
            <w:rStyle w:val="Hyperlink"/>
            <w:noProof/>
          </w:rPr>
          <w:t>Veřejné rozpočty v roce 2016</w:t>
        </w:r>
        <w:r>
          <w:rPr>
            <w:noProof/>
            <w:webHidden/>
          </w:rPr>
          <w:tab/>
        </w:r>
        <w:r>
          <w:rPr>
            <w:noProof/>
            <w:webHidden/>
          </w:rPr>
          <w:fldChar w:fldCharType="begin"/>
        </w:r>
        <w:r>
          <w:rPr>
            <w:noProof/>
            <w:webHidden/>
          </w:rPr>
          <w:instrText xml:space="preserve"> PAGEREF _Toc428446400 \h </w:instrText>
        </w:r>
        <w:r>
          <w:rPr>
            <w:noProof/>
          </w:rPr>
        </w:r>
        <w:r>
          <w:rPr>
            <w:noProof/>
            <w:webHidden/>
          </w:rPr>
          <w:fldChar w:fldCharType="separate"/>
        </w:r>
        <w:r>
          <w:rPr>
            <w:noProof/>
            <w:webHidden/>
          </w:rPr>
          <w:t>1</w:t>
        </w:r>
        <w:r>
          <w:rPr>
            <w:noProof/>
            <w:webHidden/>
          </w:rPr>
          <w:fldChar w:fldCharType="end"/>
        </w:r>
      </w:hyperlink>
    </w:p>
    <w:p w:rsidR="003649B8" w:rsidRDefault="003649B8">
      <w:pPr>
        <w:pStyle w:val="TOC2"/>
        <w:rPr>
          <w:rFonts w:ascii="Calibri" w:hAnsi="Calibri"/>
          <w:smallCaps w:val="0"/>
          <w:noProof/>
          <w:sz w:val="22"/>
          <w:szCs w:val="22"/>
        </w:rPr>
      </w:pPr>
      <w:hyperlink w:anchor="_Toc428446401" w:history="1">
        <w:r w:rsidRPr="0087083A">
          <w:rPr>
            <w:rStyle w:val="Hyperlink"/>
            <w:noProof/>
            <w:lang w:val="de-DE"/>
          </w:rPr>
          <w:t>B)</w:t>
        </w:r>
        <w:r>
          <w:rPr>
            <w:rFonts w:ascii="Calibri" w:hAnsi="Calibri"/>
            <w:smallCaps w:val="0"/>
            <w:noProof/>
            <w:sz w:val="22"/>
            <w:szCs w:val="22"/>
          </w:rPr>
          <w:tab/>
        </w:r>
        <w:r w:rsidRPr="0087083A">
          <w:rPr>
            <w:rStyle w:val="Hyperlink"/>
            <w:noProof/>
            <w:lang w:val="de-DE"/>
          </w:rPr>
          <w:t>Dluh veřejných rozpočtů</w:t>
        </w:r>
        <w:r>
          <w:rPr>
            <w:noProof/>
            <w:webHidden/>
          </w:rPr>
          <w:tab/>
        </w:r>
        <w:r>
          <w:rPr>
            <w:noProof/>
            <w:webHidden/>
          </w:rPr>
          <w:fldChar w:fldCharType="begin"/>
        </w:r>
        <w:r>
          <w:rPr>
            <w:noProof/>
            <w:webHidden/>
          </w:rPr>
          <w:instrText xml:space="preserve"> PAGEREF _Toc428446401 \h </w:instrText>
        </w:r>
        <w:r>
          <w:rPr>
            <w:noProof/>
          </w:rPr>
        </w:r>
        <w:r>
          <w:rPr>
            <w:noProof/>
            <w:webHidden/>
          </w:rPr>
          <w:fldChar w:fldCharType="separate"/>
        </w:r>
        <w:r>
          <w:rPr>
            <w:noProof/>
            <w:webHidden/>
          </w:rPr>
          <w:t>1</w:t>
        </w:r>
        <w:r>
          <w:rPr>
            <w:noProof/>
            <w:webHidden/>
          </w:rPr>
          <w:fldChar w:fldCharType="end"/>
        </w:r>
      </w:hyperlink>
    </w:p>
    <w:p w:rsidR="003649B8" w:rsidRDefault="003649B8">
      <w:pPr>
        <w:pStyle w:val="TOC1"/>
        <w:tabs>
          <w:tab w:val="right" w:leader="dot" w:pos="9061"/>
        </w:tabs>
        <w:rPr>
          <w:rFonts w:ascii="Calibri" w:hAnsi="Calibri"/>
          <w:b w:val="0"/>
          <w:bCs w:val="0"/>
          <w:caps w:val="0"/>
          <w:noProof/>
          <w:sz w:val="22"/>
          <w:szCs w:val="22"/>
        </w:rPr>
      </w:pPr>
      <w:hyperlink w:anchor="_Toc428446402" w:history="1">
        <w:r w:rsidRPr="0087083A">
          <w:rPr>
            <w:rStyle w:val="Hyperlink"/>
            <w:noProof/>
          </w:rPr>
          <w:t>II. Mimorozpočtové fondy</w:t>
        </w:r>
        <w:r>
          <w:rPr>
            <w:noProof/>
            <w:webHidden/>
          </w:rPr>
          <w:tab/>
        </w:r>
        <w:r>
          <w:rPr>
            <w:noProof/>
            <w:webHidden/>
          </w:rPr>
          <w:fldChar w:fldCharType="begin"/>
        </w:r>
        <w:r>
          <w:rPr>
            <w:noProof/>
            <w:webHidden/>
          </w:rPr>
          <w:instrText xml:space="preserve"> PAGEREF _Toc428446402 \h </w:instrText>
        </w:r>
        <w:r>
          <w:rPr>
            <w:noProof/>
          </w:rPr>
        </w:r>
        <w:r>
          <w:rPr>
            <w:noProof/>
            <w:webHidden/>
          </w:rPr>
          <w:fldChar w:fldCharType="separate"/>
        </w:r>
        <w:r>
          <w:rPr>
            <w:noProof/>
            <w:webHidden/>
          </w:rPr>
          <w:t>1</w:t>
        </w:r>
        <w:r>
          <w:rPr>
            <w:noProof/>
            <w:webHidden/>
          </w:rPr>
          <w:fldChar w:fldCharType="end"/>
        </w:r>
      </w:hyperlink>
    </w:p>
    <w:p w:rsidR="003649B8" w:rsidRDefault="003649B8">
      <w:pPr>
        <w:pStyle w:val="TOC2"/>
        <w:rPr>
          <w:rFonts w:ascii="Calibri" w:hAnsi="Calibri"/>
          <w:smallCaps w:val="0"/>
          <w:noProof/>
          <w:sz w:val="22"/>
          <w:szCs w:val="22"/>
        </w:rPr>
      </w:pPr>
      <w:hyperlink w:anchor="_Toc428446403" w:history="1">
        <w:r w:rsidRPr="0087083A">
          <w:rPr>
            <w:rStyle w:val="Hyperlink"/>
            <w:noProof/>
          </w:rPr>
          <w:t>A)</w:t>
        </w:r>
        <w:r>
          <w:rPr>
            <w:rFonts w:ascii="Calibri" w:hAnsi="Calibri"/>
            <w:smallCaps w:val="0"/>
            <w:noProof/>
            <w:sz w:val="22"/>
            <w:szCs w:val="22"/>
          </w:rPr>
          <w:tab/>
        </w:r>
        <w:r w:rsidRPr="0087083A">
          <w:rPr>
            <w:rStyle w:val="Hyperlink"/>
            <w:noProof/>
          </w:rPr>
          <w:t>Státní fondy</w:t>
        </w:r>
        <w:r>
          <w:rPr>
            <w:noProof/>
            <w:webHidden/>
          </w:rPr>
          <w:tab/>
        </w:r>
        <w:r>
          <w:rPr>
            <w:noProof/>
            <w:webHidden/>
          </w:rPr>
          <w:fldChar w:fldCharType="begin"/>
        </w:r>
        <w:r>
          <w:rPr>
            <w:noProof/>
            <w:webHidden/>
          </w:rPr>
          <w:instrText xml:space="preserve"> PAGEREF _Toc428446403 \h </w:instrText>
        </w:r>
        <w:r>
          <w:rPr>
            <w:noProof/>
          </w:rPr>
        </w:r>
        <w:r>
          <w:rPr>
            <w:noProof/>
            <w:webHidden/>
          </w:rPr>
          <w:fldChar w:fldCharType="separate"/>
        </w:r>
        <w:r>
          <w:rPr>
            <w:noProof/>
            <w:webHidden/>
          </w:rPr>
          <w:t>1</w:t>
        </w:r>
        <w:r>
          <w:rPr>
            <w:noProof/>
            <w:webHidden/>
          </w:rPr>
          <w:fldChar w:fldCharType="end"/>
        </w:r>
      </w:hyperlink>
    </w:p>
    <w:p w:rsidR="003649B8" w:rsidRDefault="003649B8">
      <w:pPr>
        <w:pStyle w:val="TOC3"/>
        <w:tabs>
          <w:tab w:val="left" w:pos="1100"/>
          <w:tab w:val="right" w:leader="dot" w:pos="9061"/>
        </w:tabs>
        <w:rPr>
          <w:rFonts w:ascii="Calibri" w:hAnsi="Calibri"/>
          <w:i w:val="0"/>
          <w:iCs w:val="0"/>
          <w:noProof/>
          <w:sz w:val="22"/>
          <w:szCs w:val="22"/>
        </w:rPr>
      </w:pPr>
      <w:hyperlink w:anchor="_Toc428446404" w:history="1">
        <w:r w:rsidRPr="0087083A">
          <w:rPr>
            <w:rStyle w:val="Hyperlink"/>
            <w:noProof/>
          </w:rPr>
          <w:t>1.</w:t>
        </w:r>
        <w:r>
          <w:rPr>
            <w:rFonts w:ascii="Calibri" w:hAnsi="Calibri"/>
            <w:i w:val="0"/>
            <w:iCs w:val="0"/>
            <w:noProof/>
            <w:sz w:val="22"/>
            <w:szCs w:val="22"/>
          </w:rPr>
          <w:tab/>
        </w:r>
        <w:r w:rsidRPr="0087083A">
          <w:rPr>
            <w:rStyle w:val="Hyperlink"/>
            <w:noProof/>
          </w:rPr>
          <w:t>Státní fond životního prostředí České republiky</w:t>
        </w:r>
        <w:r>
          <w:rPr>
            <w:noProof/>
            <w:webHidden/>
          </w:rPr>
          <w:tab/>
        </w:r>
        <w:r>
          <w:rPr>
            <w:noProof/>
            <w:webHidden/>
          </w:rPr>
          <w:fldChar w:fldCharType="begin"/>
        </w:r>
        <w:r>
          <w:rPr>
            <w:noProof/>
            <w:webHidden/>
          </w:rPr>
          <w:instrText xml:space="preserve"> PAGEREF _Toc428446404 \h </w:instrText>
        </w:r>
        <w:r>
          <w:rPr>
            <w:noProof/>
          </w:rPr>
        </w:r>
        <w:r>
          <w:rPr>
            <w:noProof/>
            <w:webHidden/>
          </w:rPr>
          <w:fldChar w:fldCharType="separate"/>
        </w:r>
        <w:r>
          <w:rPr>
            <w:noProof/>
            <w:webHidden/>
          </w:rPr>
          <w:t>1</w:t>
        </w:r>
        <w:r>
          <w:rPr>
            <w:noProof/>
            <w:webHidden/>
          </w:rPr>
          <w:fldChar w:fldCharType="end"/>
        </w:r>
      </w:hyperlink>
    </w:p>
    <w:p w:rsidR="003649B8" w:rsidRDefault="003649B8">
      <w:pPr>
        <w:pStyle w:val="TOC3"/>
        <w:tabs>
          <w:tab w:val="left" w:pos="1100"/>
          <w:tab w:val="right" w:leader="dot" w:pos="9061"/>
        </w:tabs>
        <w:rPr>
          <w:rFonts w:ascii="Calibri" w:hAnsi="Calibri"/>
          <w:i w:val="0"/>
          <w:iCs w:val="0"/>
          <w:noProof/>
          <w:sz w:val="22"/>
          <w:szCs w:val="22"/>
        </w:rPr>
      </w:pPr>
      <w:hyperlink w:anchor="_Toc428446405" w:history="1">
        <w:r w:rsidRPr="0087083A">
          <w:rPr>
            <w:rStyle w:val="Hyperlink"/>
            <w:noProof/>
          </w:rPr>
          <w:t>2.</w:t>
        </w:r>
        <w:r>
          <w:rPr>
            <w:rFonts w:ascii="Calibri" w:hAnsi="Calibri"/>
            <w:i w:val="0"/>
            <w:iCs w:val="0"/>
            <w:noProof/>
            <w:sz w:val="22"/>
            <w:szCs w:val="22"/>
          </w:rPr>
          <w:tab/>
        </w:r>
        <w:r w:rsidRPr="0087083A">
          <w:rPr>
            <w:rStyle w:val="Hyperlink"/>
            <w:noProof/>
          </w:rPr>
          <w:t>Státní fond dopravní infrastruktury</w:t>
        </w:r>
        <w:r>
          <w:rPr>
            <w:noProof/>
            <w:webHidden/>
          </w:rPr>
          <w:tab/>
        </w:r>
        <w:r>
          <w:rPr>
            <w:noProof/>
            <w:webHidden/>
          </w:rPr>
          <w:fldChar w:fldCharType="begin"/>
        </w:r>
        <w:r>
          <w:rPr>
            <w:noProof/>
            <w:webHidden/>
          </w:rPr>
          <w:instrText xml:space="preserve"> PAGEREF _Toc428446405 \h </w:instrText>
        </w:r>
        <w:r>
          <w:rPr>
            <w:noProof/>
          </w:rPr>
        </w:r>
        <w:r>
          <w:rPr>
            <w:noProof/>
            <w:webHidden/>
          </w:rPr>
          <w:fldChar w:fldCharType="separate"/>
        </w:r>
        <w:r>
          <w:rPr>
            <w:noProof/>
            <w:webHidden/>
          </w:rPr>
          <w:t>1</w:t>
        </w:r>
        <w:r>
          <w:rPr>
            <w:noProof/>
            <w:webHidden/>
          </w:rPr>
          <w:fldChar w:fldCharType="end"/>
        </w:r>
      </w:hyperlink>
    </w:p>
    <w:p w:rsidR="003649B8" w:rsidRDefault="003649B8">
      <w:pPr>
        <w:pStyle w:val="TOC3"/>
        <w:tabs>
          <w:tab w:val="left" w:pos="1100"/>
          <w:tab w:val="right" w:leader="dot" w:pos="9061"/>
        </w:tabs>
        <w:rPr>
          <w:rFonts w:ascii="Calibri" w:hAnsi="Calibri"/>
          <w:i w:val="0"/>
          <w:iCs w:val="0"/>
          <w:noProof/>
          <w:sz w:val="22"/>
          <w:szCs w:val="22"/>
        </w:rPr>
      </w:pPr>
      <w:hyperlink w:anchor="_Toc428446406" w:history="1">
        <w:r w:rsidRPr="0087083A">
          <w:rPr>
            <w:rStyle w:val="Hyperlink"/>
            <w:noProof/>
          </w:rPr>
          <w:t>3.</w:t>
        </w:r>
        <w:r>
          <w:rPr>
            <w:rFonts w:ascii="Calibri" w:hAnsi="Calibri"/>
            <w:i w:val="0"/>
            <w:iCs w:val="0"/>
            <w:noProof/>
            <w:sz w:val="22"/>
            <w:szCs w:val="22"/>
          </w:rPr>
          <w:tab/>
        </w:r>
        <w:r w:rsidRPr="0087083A">
          <w:rPr>
            <w:rStyle w:val="Hyperlink"/>
            <w:noProof/>
          </w:rPr>
          <w:t>Státní fond rozvoje bydlení</w:t>
        </w:r>
        <w:r>
          <w:rPr>
            <w:noProof/>
            <w:webHidden/>
          </w:rPr>
          <w:tab/>
        </w:r>
        <w:r>
          <w:rPr>
            <w:noProof/>
            <w:webHidden/>
          </w:rPr>
          <w:fldChar w:fldCharType="begin"/>
        </w:r>
        <w:r>
          <w:rPr>
            <w:noProof/>
            <w:webHidden/>
          </w:rPr>
          <w:instrText xml:space="preserve"> PAGEREF _Toc428446406 \h </w:instrText>
        </w:r>
        <w:r>
          <w:rPr>
            <w:noProof/>
          </w:rPr>
        </w:r>
        <w:r>
          <w:rPr>
            <w:noProof/>
            <w:webHidden/>
          </w:rPr>
          <w:fldChar w:fldCharType="separate"/>
        </w:r>
        <w:r>
          <w:rPr>
            <w:noProof/>
            <w:webHidden/>
          </w:rPr>
          <w:t>1</w:t>
        </w:r>
        <w:r>
          <w:rPr>
            <w:noProof/>
            <w:webHidden/>
          </w:rPr>
          <w:fldChar w:fldCharType="end"/>
        </w:r>
      </w:hyperlink>
    </w:p>
    <w:p w:rsidR="003649B8" w:rsidRDefault="003649B8">
      <w:pPr>
        <w:pStyle w:val="TOC3"/>
        <w:tabs>
          <w:tab w:val="left" w:pos="1100"/>
          <w:tab w:val="right" w:leader="dot" w:pos="9061"/>
        </w:tabs>
        <w:rPr>
          <w:rFonts w:ascii="Calibri" w:hAnsi="Calibri"/>
          <w:i w:val="0"/>
          <w:iCs w:val="0"/>
          <w:noProof/>
          <w:sz w:val="22"/>
          <w:szCs w:val="22"/>
        </w:rPr>
      </w:pPr>
      <w:hyperlink w:anchor="_Toc428446407" w:history="1">
        <w:r w:rsidRPr="0087083A">
          <w:rPr>
            <w:rStyle w:val="Hyperlink"/>
            <w:noProof/>
          </w:rPr>
          <w:t>4.</w:t>
        </w:r>
        <w:r>
          <w:rPr>
            <w:rFonts w:ascii="Calibri" w:hAnsi="Calibri"/>
            <w:i w:val="0"/>
            <w:iCs w:val="0"/>
            <w:noProof/>
            <w:sz w:val="22"/>
            <w:szCs w:val="22"/>
          </w:rPr>
          <w:tab/>
        </w:r>
        <w:r w:rsidRPr="0087083A">
          <w:rPr>
            <w:rStyle w:val="Hyperlink"/>
            <w:noProof/>
          </w:rPr>
          <w:t>Státní zemědělský intervenční fond</w:t>
        </w:r>
        <w:r>
          <w:rPr>
            <w:noProof/>
            <w:webHidden/>
          </w:rPr>
          <w:tab/>
        </w:r>
        <w:r>
          <w:rPr>
            <w:noProof/>
            <w:webHidden/>
          </w:rPr>
          <w:fldChar w:fldCharType="begin"/>
        </w:r>
        <w:r>
          <w:rPr>
            <w:noProof/>
            <w:webHidden/>
          </w:rPr>
          <w:instrText xml:space="preserve"> PAGEREF _Toc428446407 \h </w:instrText>
        </w:r>
        <w:r>
          <w:rPr>
            <w:noProof/>
          </w:rPr>
        </w:r>
        <w:r>
          <w:rPr>
            <w:noProof/>
            <w:webHidden/>
          </w:rPr>
          <w:fldChar w:fldCharType="separate"/>
        </w:r>
        <w:r>
          <w:rPr>
            <w:noProof/>
            <w:webHidden/>
          </w:rPr>
          <w:t>1</w:t>
        </w:r>
        <w:r>
          <w:rPr>
            <w:noProof/>
            <w:webHidden/>
          </w:rPr>
          <w:fldChar w:fldCharType="end"/>
        </w:r>
      </w:hyperlink>
    </w:p>
    <w:p w:rsidR="003649B8" w:rsidRDefault="003649B8">
      <w:pPr>
        <w:pStyle w:val="TOC3"/>
        <w:tabs>
          <w:tab w:val="left" w:pos="1100"/>
          <w:tab w:val="right" w:leader="dot" w:pos="9061"/>
        </w:tabs>
        <w:rPr>
          <w:rFonts w:ascii="Calibri" w:hAnsi="Calibri"/>
          <w:i w:val="0"/>
          <w:iCs w:val="0"/>
          <w:noProof/>
          <w:sz w:val="22"/>
          <w:szCs w:val="22"/>
        </w:rPr>
      </w:pPr>
      <w:hyperlink w:anchor="_Toc428446408" w:history="1">
        <w:r w:rsidRPr="0087083A">
          <w:rPr>
            <w:rStyle w:val="Hyperlink"/>
            <w:noProof/>
          </w:rPr>
          <w:t>5.</w:t>
        </w:r>
        <w:r>
          <w:rPr>
            <w:rFonts w:ascii="Calibri" w:hAnsi="Calibri"/>
            <w:i w:val="0"/>
            <w:iCs w:val="0"/>
            <w:noProof/>
            <w:sz w:val="22"/>
            <w:szCs w:val="22"/>
          </w:rPr>
          <w:tab/>
        </w:r>
        <w:r w:rsidRPr="0087083A">
          <w:rPr>
            <w:rStyle w:val="Hyperlink"/>
            <w:noProof/>
          </w:rPr>
          <w:t>Státní fond kultury České republiky</w:t>
        </w:r>
        <w:r>
          <w:rPr>
            <w:noProof/>
            <w:webHidden/>
          </w:rPr>
          <w:tab/>
        </w:r>
        <w:r>
          <w:rPr>
            <w:noProof/>
            <w:webHidden/>
          </w:rPr>
          <w:fldChar w:fldCharType="begin"/>
        </w:r>
        <w:r>
          <w:rPr>
            <w:noProof/>
            <w:webHidden/>
          </w:rPr>
          <w:instrText xml:space="preserve"> PAGEREF _Toc428446408 \h </w:instrText>
        </w:r>
        <w:r>
          <w:rPr>
            <w:noProof/>
          </w:rPr>
        </w:r>
        <w:r>
          <w:rPr>
            <w:noProof/>
            <w:webHidden/>
          </w:rPr>
          <w:fldChar w:fldCharType="separate"/>
        </w:r>
        <w:r>
          <w:rPr>
            <w:noProof/>
            <w:webHidden/>
          </w:rPr>
          <w:t>1</w:t>
        </w:r>
        <w:r>
          <w:rPr>
            <w:noProof/>
            <w:webHidden/>
          </w:rPr>
          <w:fldChar w:fldCharType="end"/>
        </w:r>
      </w:hyperlink>
    </w:p>
    <w:p w:rsidR="003649B8" w:rsidRDefault="003649B8">
      <w:pPr>
        <w:pStyle w:val="TOC3"/>
        <w:tabs>
          <w:tab w:val="left" w:pos="1100"/>
          <w:tab w:val="right" w:leader="dot" w:pos="9061"/>
        </w:tabs>
        <w:rPr>
          <w:rFonts w:ascii="Calibri" w:hAnsi="Calibri"/>
          <w:i w:val="0"/>
          <w:iCs w:val="0"/>
          <w:noProof/>
          <w:sz w:val="22"/>
          <w:szCs w:val="22"/>
        </w:rPr>
      </w:pPr>
      <w:hyperlink w:anchor="_Toc428446409" w:history="1">
        <w:r w:rsidRPr="0087083A">
          <w:rPr>
            <w:rStyle w:val="Hyperlink"/>
            <w:noProof/>
          </w:rPr>
          <w:t>6.</w:t>
        </w:r>
        <w:r>
          <w:rPr>
            <w:rFonts w:ascii="Calibri" w:hAnsi="Calibri"/>
            <w:i w:val="0"/>
            <w:iCs w:val="0"/>
            <w:noProof/>
            <w:sz w:val="22"/>
            <w:szCs w:val="22"/>
          </w:rPr>
          <w:tab/>
        </w:r>
        <w:r w:rsidRPr="0087083A">
          <w:rPr>
            <w:rStyle w:val="Hyperlink"/>
            <w:noProof/>
          </w:rPr>
          <w:t>Státní fond kinematografie</w:t>
        </w:r>
        <w:r>
          <w:rPr>
            <w:noProof/>
            <w:webHidden/>
          </w:rPr>
          <w:tab/>
        </w:r>
        <w:r>
          <w:rPr>
            <w:noProof/>
            <w:webHidden/>
          </w:rPr>
          <w:fldChar w:fldCharType="begin"/>
        </w:r>
        <w:r>
          <w:rPr>
            <w:noProof/>
            <w:webHidden/>
          </w:rPr>
          <w:instrText xml:space="preserve"> PAGEREF _Toc428446409 \h </w:instrText>
        </w:r>
        <w:r>
          <w:rPr>
            <w:noProof/>
          </w:rPr>
        </w:r>
        <w:r>
          <w:rPr>
            <w:noProof/>
            <w:webHidden/>
          </w:rPr>
          <w:fldChar w:fldCharType="separate"/>
        </w:r>
        <w:r>
          <w:rPr>
            <w:noProof/>
            <w:webHidden/>
          </w:rPr>
          <w:t>1</w:t>
        </w:r>
        <w:r>
          <w:rPr>
            <w:noProof/>
            <w:webHidden/>
          </w:rPr>
          <w:fldChar w:fldCharType="end"/>
        </w:r>
      </w:hyperlink>
    </w:p>
    <w:p w:rsidR="003649B8" w:rsidRDefault="003649B8">
      <w:pPr>
        <w:pStyle w:val="TOC2"/>
        <w:rPr>
          <w:rFonts w:ascii="Calibri" w:hAnsi="Calibri"/>
          <w:smallCaps w:val="0"/>
          <w:noProof/>
          <w:sz w:val="22"/>
          <w:szCs w:val="22"/>
        </w:rPr>
      </w:pPr>
      <w:hyperlink w:anchor="_Toc428446410" w:history="1">
        <w:r w:rsidRPr="0087083A">
          <w:rPr>
            <w:rStyle w:val="Hyperlink"/>
            <w:noProof/>
          </w:rPr>
          <w:t>B)</w:t>
        </w:r>
        <w:r>
          <w:rPr>
            <w:rFonts w:ascii="Calibri" w:hAnsi="Calibri"/>
            <w:smallCaps w:val="0"/>
            <w:noProof/>
            <w:sz w:val="22"/>
            <w:szCs w:val="22"/>
          </w:rPr>
          <w:tab/>
        </w:r>
        <w:r w:rsidRPr="0087083A">
          <w:rPr>
            <w:rStyle w:val="Hyperlink"/>
            <w:noProof/>
          </w:rPr>
          <w:t>Fond privatizace</w:t>
        </w:r>
        <w:r>
          <w:rPr>
            <w:noProof/>
            <w:webHidden/>
          </w:rPr>
          <w:tab/>
        </w:r>
        <w:r>
          <w:rPr>
            <w:noProof/>
            <w:webHidden/>
          </w:rPr>
          <w:fldChar w:fldCharType="begin"/>
        </w:r>
        <w:r>
          <w:rPr>
            <w:noProof/>
            <w:webHidden/>
          </w:rPr>
          <w:instrText xml:space="preserve"> PAGEREF _Toc428446410 \h </w:instrText>
        </w:r>
        <w:r>
          <w:rPr>
            <w:noProof/>
          </w:rPr>
        </w:r>
        <w:r>
          <w:rPr>
            <w:noProof/>
            <w:webHidden/>
          </w:rPr>
          <w:fldChar w:fldCharType="separate"/>
        </w:r>
        <w:r>
          <w:rPr>
            <w:noProof/>
            <w:webHidden/>
          </w:rPr>
          <w:t>1</w:t>
        </w:r>
        <w:r>
          <w:rPr>
            <w:noProof/>
            <w:webHidden/>
          </w:rPr>
          <w:fldChar w:fldCharType="end"/>
        </w:r>
      </w:hyperlink>
    </w:p>
    <w:p w:rsidR="003649B8" w:rsidRDefault="003649B8">
      <w:pPr>
        <w:pStyle w:val="TOC1"/>
        <w:tabs>
          <w:tab w:val="right" w:leader="dot" w:pos="9061"/>
        </w:tabs>
        <w:rPr>
          <w:rFonts w:ascii="Calibri" w:hAnsi="Calibri"/>
          <w:b w:val="0"/>
          <w:bCs w:val="0"/>
          <w:caps w:val="0"/>
          <w:noProof/>
          <w:sz w:val="22"/>
          <w:szCs w:val="22"/>
        </w:rPr>
      </w:pPr>
      <w:hyperlink w:anchor="_Toc428446411" w:history="1">
        <w:r w:rsidRPr="0087083A">
          <w:rPr>
            <w:rStyle w:val="Hyperlink"/>
            <w:noProof/>
          </w:rPr>
          <w:t>III. Veřejné zdravotní pojištění</w:t>
        </w:r>
        <w:r>
          <w:rPr>
            <w:noProof/>
            <w:webHidden/>
          </w:rPr>
          <w:tab/>
        </w:r>
        <w:r>
          <w:rPr>
            <w:noProof/>
            <w:webHidden/>
          </w:rPr>
          <w:fldChar w:fldCharType="begin"/>
        </w:r>
        <w:r>
          <w:rPr>
            <w:noProof/>
            <w:webHidden/>
          </w:rPr>
          <w:instrText xml:space="preserve"> PAGEREF _Toc428446411 \h </w:instrText>
        </w:r>
        <w:r>
          <w:rPr>
            <w:noProof/>
          </w:rPr>
        </w:r>
        <w:r>
          <w:rPr>
            <w:noProof/>
            <w:webHidden/>
          </w:rPr>
          <w:fldChar w:fldCharType="separate"/>
        </w:r>
        <w:r>
          <w:rPr>
            <w:noProof/>
            <w:webHidden/>
          </w:rPr>
          <w:t>1</w:t>
        </w:r>
        <w:r>
          <w:rPr>
            <w:noProof/>
            <w:webHidden/>
          </w:rPr>
          <w:fldChar w:fldCharType="end"/>
        </w:r>
      </w:hyperlink>
    </w:p>
    <w:p w:rsidR="003649B8" w:rsidRDefault="003649B8" w:rsidP="00A77FBE">
      <w:pPr>
        <w:sectPr w:rsidR="003649B8" w:rsidSect="002C4EF1">
          <w:footerReference w:type="even" r:id="rId7"/>
          <w:footerReference w:type="default" r:id="rId8"/>
          <w:footerReference w:type="first" r:id="rId9"/>
          <w:pgSz w:w="11907" w:h="16840"/>
          <w:pgMar w:top="1418" w:right="1418" w:bottom="1418" w:left="1418" w:header="708" w:footer="708" w:gutter="0"/>
          <w:pgNumType w:start="0"/>
          <w:cols w:space="708"/>
          <w:titlePg/>
        </w:sectPr>
      </w:pPr>
      <w:r>
        <w:rPr>
          <w:b/>
          <w:bCs/>
          <w:caps/>
        </w:rPr>
        <w:fldChar w:fldCharType="end"/>
      </w:r>
    </w:p>
    <w:p w:rsidR="003649B8" w:rsidRDefault="003649B8" w:rsidP="00C97B50">
      <w:pPr>
        <w:pStyle w:val="Heading1"/>
        <w:spacing w:before="0"/>
      </w:pPr>
      <w:bookmarkStart w:id="7" w:name="_Toc50797849"/>
      <w:bookmarkStart w:id="8" w:name="_Toc50966496"/>
      <w:bookmarkStart w:id="9" w:name="_Toc24962055"/>
      <w:bookmarkStart w:id="10" w:name="_Toc49932517"/>
      <w:bookmarkStart w:id="11" w:name="_Toc50797854"/>
      <w:bookmarkStart w:id="12" w:name="_Toc50966501"/>
      <w:bookmarkEnd w:id="0"/>
      <w:bookmarkEnd w:id="1"/>
      <w:r>
        <w:br w:type="page"/>
      </w:r>
      <w:bookmarkStart w:id="13" w:name="_Toc207011051"/>
      <w:bookmarkStart w:id="14" w:name="_Toc428446397"/>
      <w:r>
        <w:t>I. Očekávaný vývoj veřejných rozpočtů a vládního dluhu</w:t>
      </w:r>
      <w:bookmarkEnd w:id="7"/>
      <w:bookmarkEnd w:id="8"/>
      <w:bookmarkEnd w:id="13"/>
      <w:bookmarkEnd w:id="14"/>
    </w:p>
    <w:p w:rsidR="003649B8" w:rsidRDefault="003649B8" w:rsidP="00C97B50"/>
    <w:p w:rsidR="003649B8" w:rsidRDefault="003649B8" w:rsidP="00C97B50">
      <w:pPr>
        <w:pStyle w:val="Heading2"/>
      </w:pPr>
      <w:bookmarkStart w:id="15" w:name="_Toc207097209"/>
      <w:bookmarkStart w:id="16" w:name="_Toc112674743"/>
      <w:bookmarkStart w:id="17" w:name="_Toc207011052"/>
      <w:bookmarkStart w:id="18" w:name="_Toc428446398"/>
      <w:bookmarkEnd w:id="15"/>
      <w:r>
        <w:t>Veřejné rozpočty</w:t>
      </w:r>
      <w:bookmarkEnd w:id="16"/>
      <w:bookmarkEnd w:id="17"/>
      <w:r>
        <w:t xml:space="preserve"> (metodika GFS 2001</w:t>
      </w:r>
      <w:r>
        <w:rPr>
          <w:rStyle w:val="FootnoteReference"/>
        </w:rPr>
        <w:footnoteReference w:id="1"/>
      </w:r>
      <w:r>
        <w:t>)</w:t>
      </w:r>
      <w:bookmarkEnd w:id="18"/>
    </w:p>
    <w:p w:rsidR="003649B8" w:rsidRPr="00977585" w:rsidRDefault="003649B8" w:rsidP="00977585"/>
    <w:p w:rsidR="003649B8" w:rsidRDefault="003649B8" w:rsidP="0016698C">
      <w:pPr>
        <w:pStyle w:val="Heading3"/>
        <w:spacing w:before="0" w:after="0"/>
      </w:pPr>
      <w:bookmarkStart w:id="19" w:name="_Toc428446399"/>
      <w:r>
        <w:t xml:space="preserve">Veřejné rozpočty v roce </w:t>
      </w:r>
      <w:r w:rsidRPr="005B3B89">
        <w:t>201</w:t>
      </w:r>
      <w:r>
        <w:t xml:space="preserve">5 (predikce) - východisko pro rok </w:t>
      </w:r>
      <w:r w:rsidRPr="00EB46E5">
        <w:t>201</w:t>
      </w:r>
      <w:r>
        <w:t>6</w:t>
      </w:r>
      <w:bookmarkEnd w:id="19"/>
    </w:p>
    <w:p w:rsidR="003649B8" w:rsidRDefault="003649B8" w:rsidP="00B61162">
      <w:pPr>
        <w:pStyle w:val="Standardnstyl"/>
      </w:pPr>
    </w:p>
    <w:p w:rsidR="003649B8" w:rsidRDefault="003649B8" w:rsidP="00B61162">
      <w:pPr>
        <w:pStyle w:val="Standardnstyl"/>
      </w:pPr>
      <w:r>
        <w:t xml:space="preserve">Vývoj hospodaření veřejných rozpočtů </w:t>
      </w:r>
      <w:r w:rsidRPr="00057135">
        <w:t>v metodice Me</w:t>
      </w:r>
      <w:r>
        <w:t>z</w:t>
      </w:r>
      <w:r w:rsidRPr="00057135">
        <w:t xml:space="preserve">inárodního měnového fondu GFS 2001 </w:t>
      </w:r>
      <w:r>
        <w:t xml:space="preserve">v roce </w:t>
      </w:r>
      <w:r w:rsidRPr="00EB46E5">
        <w:t>201</w:t>
      </w:r>
      <w:r>
        <w:t>5 zaznamená meziročně mírné zhoršení</w:t>
      </w:r>
      <w:r w:rsidRPr="00FC5D8A">
        <w:t>;</w:t>
      </w:r>
      <w:r>
        <w:t xml:space="preserve"> na druhou stranu se </w:t>
      </w:r>
      <w:r w:rsidRPr="00AB7E07">
        <w:t xml:space="preserve">oproti předpokladům v rozpočtové dokumentaci </w:t>
      </w:r>
      <w:r>
        <w:t>na</w:t>
      </w:r>
      <w:r w:rsidRPr="00AB7E07">
        <w:t xml:space="preserve"> rok 201</w:t>
      </w:r>
      <w:r>
        <w:t>5</w:t>
      </w:r>
      <w:r w:rsidRPr="00AB7E07">
        <w:t xml:space="preserve"> </w:t>
      </w:r>
      <w:r>
        <w:t>očekává nižší deficit veřejných rozpočtů včetně rozpočtu státního.</w:t>
      </w:r>
    </w:p>
    <w:p w:rsidR="003649B8" w:rsidRDefault="003649B8" w:rsidP="001623C3">
      <w:pPr>
        <w:spacing w:before="60" w:line="360" w:lineRule="auto"/>
        <w:ind w:firstLine="426"/>
        <w:jc w:val="both"/>
      </w:pPr>
      <w:r w:rsidRPr="008F25D3">
        <w:t>Celkové saldo veřejných rozpočtů</w:t>
      </w:r>
      <w:r>
        <w:t xml:space="preserve"> </w:t>
      </w:r>
      <w:r w:rsidRPr="008F25D3">
        <w:t xml:space="preserve">se meziročně </w:t>
      </w:r>
      <w:r>
        <w:t xml:space="preserve">zhorší </w:t>
      </w:r>
      <w:r w:rsidRPr="008F25D3">
        <w:t xml:space="preserve">o </w:t>
      </w:r>
      <w:r>
        <w:t>0,1</w:t>
      </w:r>
      <w:r w:rsidRPr="008F25D3">
        <w:t xml:space="preserve"> p.</w:t>
      </w:r>
      <w:r>
        <w:t xml:space="preserve"> </w:t>
      </w:r>
      <w:r w:rsidRPr="008F25D3">
        <w:t xml:space="preserve">b. na </w:t>
      </w:r>
      <w:r>
        <w:t xml:space="preserve">1,9 </w:t>
      </w:r>
      <w:r w:rsidRPr="008F25D3">
        <w:t>% HDP</w:t>
      </w:r>
      <w:r w:rsidRPr="00FC5D8A">
        <w:t>;</w:t>
      </w:r>
      <w:r>
        <w:t xml:space="preserve"> v absolutním vyjádření o 8,5 mld. Kč na 83,5 mld. Kč. Proti původní rozpočtované výši se ale zlepší o 20,9 mld. Kč, z toho státní rozpočet o 19,9 mld. Kč. P</w:t>
      </w:r>
      <w:r w:rsidRPr="005B573A">
        <w:t>o</w:t>
      </w:r>
      <w:r>
        <w:t>měr</w:t>
      </w:r>
      <w:r w:rsidRPr="005B573A">
        <w:t xml:space="preserve"> čistého peněžního toku z</w:t>
      </w:r>
      <w:r>
        <w:t> </w:t>
      </w:r>
      <w:r w:rsidRPr="005B573A">
        <w:t>provozní činnosti</w:t>
      </w:r>
      <w:r>
        <w:t xml:space="preserve"> (</w:t>
      </w:r>
      <w:r w:rsidRPr="00682A73">
        <w:t>rozdíl mezi příjmy a výdaji z provozní činnosti</w:t>
      </w:r>
      <w:r>
        <w:t>)</w:t>
      </w:r>
      <w:r w:rsidRPr="005B573A">
        <w:t xml:space="preserve"> na HDP</w:t>
      </w:r>
      <w:r>
        <w:t xml:space="preserve"> se ve srovnání s rokem 2014 zlepší o 0,2 p. b. a dosáhne přebytku 0,4 % HDP. Primární saldo, které je zde vypočteno jako saldo očištěné o výdaje spojené s náklady na dluhovou službu veřejných rozpočtů, se meziročně nezmění a udrží se na záporné hodnotě -0,6 % HDP.</w:t>
      </w:r>
    </w:p>
    <w:p w:rsidR="003649B8" w:rsidRDefault="003649B8" w:rsidP="001623C3">
      <w:pPr>
        <w:spacing w:before="60" w:line="360" w:lineRule="auto"/>
        <w:ind w:firstLine="426"/>
        <w:jc w:val="both"/>
      </w:pPr>
      <w:r>
        <w:t>Tendence veřejných financí se zdají být i přes zvýšený deficit pozitivnější, neboť v meziročním srovnání roste objem celkových příjmů v absolutní výši. Z hlediska dlouhodobé udržitelnosti veřejných financí jsou však potřebná v současné době přijímaná systémová opatření. Přehled o vývoji jednotlivých sald od roku 2012 podávají následující tabulky.</w:t>
      </w:r>
    </w:p>
    <w:p w:rsidR="003649B8" w:rsidRDefault="003649B8" w:rsidP="002A6109">
      <w:pPr>
        <w:pStyle w:val="Caption"/>
      </w:pPr>
      <w:r>
        <w:t xml:space="preserve">Tabulka č. </w:t>
      </w:r>
      <w:fldSimple w:instr=" SEQ Tabulka \* ARABIC " w:fldLock="1">
        <w:r>
          <w:rPr>
            <w:noProof/>
          </w:rPr>
          <w:t>1</w:t>
        </w:r>
      </w:fldSimple>
      <w:r>
        <w:rPr>
          <w:noProof/>
        </w:rPr>
        <w:t xml:space="preserve">: </w:t>
      </w:r>
      <w:r>
        <w:t xml:space="preserve">Vývoj sald veřejných rozpočtů v mld. </w:t>
      </w:r>
      <w:r w:rsidRPr="0093354A">
        <w:t>Kč</w:t>
      </w:r>
    </w:p>
    <w:p w:rsidR="003649B8" w:rsidRDefault="003649B8" w:rsidP="00256D4F">
      <w:pPr>
        <w:pStyle w:val="Pramen"/>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6pt;height:54.6pt">
            <v:imagedata r:id="rId10" o:title=""/>
          </v:shape>
        </w:pict>
      </w:r>
      <w:r>
        <w:t>Pramen: Ministerstvo financí ČR</w:t>
      </w:r>
    </w:p>
    <w:p w:rsidR="003649B8" w:rsidRPr="0093354A" w:rsidRDefault="003649B8" w:rsidP="002A6109">
      <w:pPr>
        <w:pStyle w:val="Caption"/>
      </w:pPr>
      <w:r w:rsidRPr="0093354A">
        <w:t xml:space="preserve">Tabulka </w:t>
      </w:r>
      <w:r>
        <w:t xml:space="preserve">č. </w:t>
      </w:r>
      <w:fldSimple w:instr=" SEQ Tabulka \* ARABIC " w:fldLock="1">
        <w:r>
          <w:rPr>
            <w:noProof/>
          </w:rPr>
          <w:t>2</w:t>
        </w:r>
      </w:fldSimple>
      <w:r>
        <w:t xml:space="preserve">: </w:t>
      </w:r>
      <w:r w:rsidRPr="0093354A">
        <w:t>Vývoj sald veřejných rozpočtů v % HDP</w:t>
      </w:r>
    </w:p>
    <w:p w:rsidR="003649B8" w:rsidRDefault="003649B8" w:rsidP="005A4300">
      <w:pPr>
        <w:pStyle w:val="Pramen"/>
        <w:spacing w:after="0"/>
      </w:pPr>
      <w:r>
        <w:pict>
          <v:shape id="_x0000_i1026" type="#_x0000_t75" style="width:447.6pt;height:54.6pt">
            <v:imagedata r:id="rId11" o:title=""/>
          </v:shape>
        </w:pict>
      </w:r>
      <w:r>
        <w:t>Pramen: Ministerstvo financí ČR</w:t>
      </w:r>
    </w:p>
    <w:p w:rsidR="003649B8" w:rsidRDefault="003649B8" w:rsidP="00B61162">
      <w:pPr>
        <w:pStyle w:val="Standardnstyl"/>
      </w:pPr>
    </w:p>
    <w:p w:rsidR="003649B8" w:rsidRDefault="003649B8" w:rsidP="00B61162">
      <w:pPr>
        <w:pStyle w:val="Standardnstyl"/>
      </w:pPr>
      <w:r>
        <w:t>P</w:t>
      </w:r>
      <w:r w:rsidRPr="00C03601">
        <w:t>o</w:t>
      </w:r>
      <w:r>
        <w:t>měr</w:t>
      </w:r>
      <w:r w:rsidRPr="00C03601">
        <w:t xml:space="preserve"> celkových příjmů</w:t>
      </w:r>
      <w:r>
        <w:t xml:space="preserve"> veřejných rozpočtů k HDP v roce 2015 se ve srovnání s rokem 2014 zvýší o 1,0 p. b. a bude činit 38,3 %. Přestože celkové daňové příjmy (včetně pojistného na sociální zabezpečení)</w:t>
      </w:r>
      <w:r w:rsidRPr="00113673">
        <w:t xml:space="preserve"> </w:t>
      </w:r>
      <w:r>
        <w:t xml:space="preserve">meziročně zaznamenají pozitivní vývoj v podobě růstu o 3,4 % (v roce 2014 vzrostly o 3,7 %), konsolidovaná daňová kvóta se sníží o 0,4 p. b. a bude činit 31,2 % HDP. Ve srovnání s původními předpoklady se sníží pouze inkaso daně z příjmů fyzických osob, a to </w:t>
      </w:r>
      <w:r w:rsidRPr="002F0207">
        <w:t>zejména v důsledku obnovení základní slevy pro pracující důchodce</w:t>
      </w:r>
      <w:r>
        <w:t xml:space="preserve"> 3,2 mld. Kč</w:t>
      </w:r>
      <w:r w:rsidRPr="00D80B0D">
        <w:t xml:space="preserve">; </w:t>
      </w:r>
      <w:r>
        <w:t xml:space="preserve">zbylé fiskálně klíčové daně zaznamenají vyšší výběr, než se plánovalo při přípravě rozpočtu, daň z příjmů právnických osob dokonce o 10,3 mld. Kč. Výnos DPH se i přes zavedení druhé snížené sazby 10 % na zboží uvedené v Příloze 3a zákona č. 235/2004 Sb., o dani z přidané hodnoty, ve znění pozdějších předpisů, meziročně zvýší, byť jen o 0,7 mld. Kč (oproti rozpočtu vzroste o 1,2 mld. Kč). </w:t>
      </w:r>
    </w:p>
    <w:p w:rsidR="003649B8" w:rsidRDefault="003649B8" w:rsidP="00B61162">
      <w:pPr>
        <w:pStyle w:val="Standardnstyl"/>
      </w:pPr>
      <w:r>
        <w:t>V roce 2015 poměr výdajů veřejných rozpočtů k HDP oproti roku 2014 vzroste o 1,1 p. b. na 40,2 % HDP. Nejvyšší váhu na celkových výdajích (41,7 % ve srovnání s 43,7 % v roce 2014) mají sociální dávky, realizované zejména státním rozpočtem, s meziročním růstem 2,8 %. V jejich rámci jsou nejvýznamnější výdajovou položkou dávky důchodového pojištění. Další významnou skupinou mandatorních výdajů jsou dávky nemocenského pojištění, systém státní sociální podpory a dávky pomoci v hmotné nouzi.</w:t>
      </w:r>
    </w:p>
    <w:p w:rsidR="003649B8" w:rsidRDefault="003649B8" w:rsidP="00C47925">
      <w:pPr>
        <w:spacing w:before="60" w:line="360" w:lineRule="auto"/>
        <w:ind w:firstLine="426"/>
        <w:jc w:val="both"/>
      </w:pPr>
      <w:r w:rsidRPr="00F73B09">
        <w:t>V roce 201</w:t>
      </w:r>
      <w:r>
        <w:t>5 lze meziročně opět očekávat zvýšení výdajů na nákup fixních aktiv, tentokrát o 11,4 %, což dokládá další posílení investiční aktivity prostřednictvím</w:t>
      </w:r>
      <w:r w:rsidRPr="00C61CED">
        <w:t xml:space="preserve"> pořízení dlouhodobého majetku</w:t>
      </w:r>
      <w:r>
        <w:t>. Převážná část těchto výdajů bude</w:t>
      </w:r>
      <w:r w:rsidRPr="00B114D5">
        <w:t xml:space="preserve"> realizována </w:t>
      </w:r>
      <w:r>
        <w:t xml:space="preserve">územními samosprávnými celky a </w:t>
      </w:r>
      <w:r w:rsidRPr="00B114D5">
        <w:t>státním</w:t>
      </w:r>
      <w:r>
        <w:t xml:space="preserve"> rozpočtem. U běžných transferů</w:t>
      </w:r>
      <w:r w:rsidRPr="004F577C">
        <w:t xml:space="preserve"> poskytovan</w:t>
      </w:r>
      <w:r>
        <w:t>ých</w:t>
      </w:r>
      <w:r w:rsidRPr="004F577C">
        <w:t xml:space="preserve"> </w:t>
      </w:r>
      <w:r>
        <w:t>podnikatelským subjektům se v roce 2015 očekává nepatrně menší podíl na celkových výdajích (20,0 %) než v roce 2014 (20,5 %), byť meziročně vzrostou o 5,3 %. Asi 60 % z nich připadá na veřejné společnosti a zbylých cca 40 % si rozdělí společnosti soukromé.</w:t>
      </w:r>
    </w:p>
    <w:p w:rsidR="003649B8" w:rsidRPr="001D0E67" w:rsidRDefault="003649B8" w:rsidP="00B61162">
      <w:pPr>
        <w:pStyle w:val="Standardnstyl"/>
      </w:pPr>
      <w:r>
        <w:t xml:space="preserve">Nejvýznamnější složkou deficitu veřejných rozpočtů zůstává i v roce 2015 schodek státního rozpočtu. Ve srovnání s výsledky dosaženými v roce 2014 lze očekávat zvýšení jeho deficitu o 1,5 mld. Kč na 84,0 </w:t>
      </w:r>
      <w:r w:rsidRPr="001D0E67">
        <w:t>mld.</w:t>
      </w:r>
      <w:r>
        <w:t xml:space="preserve"> </w:t>
      </w:r>
      <w:r w:rsidRPr="001D0E67">
        <w:t>Kč.</w:t>
      </w:r>
    </w:p>
    <w:p w:rsidR="003649B8" w:rsidRDefault="003649B8" w:rsidP="00B61162">
      <w:pPr>
        <w:pStyle w:val="Standardnstyl"/>
      </w:pPr>
      <w:r>
        <w:t>Oproti původním</w:t>
      </w:r>
      <w:r w:rsidRPr="00877281">
        <w:t xml:space="preserve"> předpoklad</w:t>
      </w:r>
      <w:r>
        <w:t>ům</w:t>
      </w:r>
      <w:r w:rsidRPr="00877281">
        <w:t xml:space="preserve"> v </w:t>
      </w:r>
      <w:r>
        <w:t>D</w:t>
      </w:r>
      <w:r w:rsidRPr="00877281">
        <w:t>okumentaci k</w:t>
      </w:r>
      <w:r>
        <w:t xml:space="preserve"> n</w:t>
      </w:r>
      <w:r w:rsidRPr="00877281">
        <w:t>ávrhu</w:t>
      </w:r>
      <w:r>
        <w:t xml:space="preserve"> zákona</w:t>
      </w:r>
      <w:r w:rsidRPr="00877281">
        <w:t xml:space="preserve"> </w:t>
      </w:r>
      <w:r>
        <w:t xml:space="preserve">o </w:t>
      </w:r>
      <w:r w:rsidRPr="00877281">
        <w:t>státní</w:t>
      </w:r>
      <w:r>
        <w:t>m</w:t>
      </w:r>
      <w:r w:rsidRPr="00877281">
        <w:t xml:space="preserve"> rozpočtu </w:t>
      </w:r>
      <w:r>
        <w:t xml:space="preserve">ČR </w:t>
      </w:r>
      <w:r w:rsidRPr="00877281">
        <w:t>na rok 20</w:t>
      </w:r>
      <w:r>
        <w:t>15 dochází k určitým odchylkám na příjmové i výdajové straně státního rozpočtu.</w:t>
      </w:r>
      <w:r w:rsidRPr="009676DA">
        <w:t xml:space="preserve"> </w:t>
      </w:r>
      <w:r>
        <w:t>Z příjmů lze vyzdvihnout vyšší inkaso daně z příjmů právnických osob (o 6,8 mld. Kč), spotřebních daní (o 3,9 mld. Kč) a sociálních příspěvků (o 3,3 mld. Kč) a v rámci vztahů uvnitř veřejných rozpočtů také vyšší příjem od jiných jednotek (o 93,2 mld. Kč), který se ale na celkové úrovni veřejných rozpočtů konsoliduje. Významnější příjmovou položkou, která naopak zaznamená pokles, je pouze daň z příjmů fyzických osob (o 1,5 mld. Kč). Ve vztahu k </w:t>
      </w:r>
      <w:r w:rsidRPr="00D57108">
        <w:t>původním předpoklad</w:t>
      </w:r>
      <w:r>
        <w:t>ům se očekává zvýšení celkových příjmů státního rozpočtu o 115,9 mld. Kč.</w:t>
      </w:r>
    </w:p>
    <w:p w:rsidR="003649B8" w:rsidRDefault="003649B8" w:rsidP="00B61162">
      <w:pPr>
        <w:pStyle w:val="Standardnstyl"/>
      </w:pPr>
      <w:r>
        <w:t>Na výdajové straně se oproti rozpočtovým předpokladům u státního rozpočtu výrazněji zvýší kapitálové výdaje, které nemají dotační povahu (o 34,6 mld. Kč), dotace jiným jednotkám veřejných rozpočtů (o 79,7 mld. Kč), které se na celkové úrovni také konsolidují, a výdaje na mzdy a platy (o 4,2 mld. Kč). Naopak pokles se projeví u nákupů zboží a služeb (o 4,7 mld. Kč), běžných transferů s</w:t>
      </w:r>
      <w:r w:rsidRPr="00A51593">
        <w:t xml:space="preserve">oukromým </w:t>
      </w:r>
      <w:r>
        <w:t xml:space="preserve">nefinančním </w:t>
      </w:r>
      <w:r w:rsidRPr="00A51593">
        <w:t>společnostem</w:t>
      </w:r>
      <w:r>
        <w:t xml:space="preserve"> (o 7,9 mld. Kč), sociálních dávek (o 3,3 mld. Kč) a běžných dotací mezinárodním organizacím (o 5,3 mld. Kč). Celkové výdaje státního rozpočtu by měly být o 96,0 mld. Kč vyšší, než činil původní rozpočtový předpoklad.</w:t>
      </w:r>
    </w:p>
    <w:p w:rsidR="003649B8" w:rsidRDefault="003649B8" w:rsidP="00B61162">
      <w:pPr>
        <w:pStyle w:val="Standardnstyl"/>
      </w:pPr>
      <w:r w:rsidRPr="008F25D3">
        <w:t xml:space="preserve">Schodek státního rozpočtu byl původně </w:t>
      </w:r>
      <w:r>
        <w:t>předpokládán</w:t>
      </w:r>
      <w:r w:rsidRPr="008F25D3">
        <w:t xml:space="preserve"> </w:t>
      </w:r>
      <w:r>
        <w:t>na úrovni</w:t>
      </w:r>
      <w:r w:rsidRPr="008F25D3">
        <w:t xml:space="preserve"> </w:t>
      </w:r>
      <w:r>
        <w:t>104,0</w:t>
      </w:r>
      <w:r w:rsidRPr="008F25D3">
        <w:t xml:space="preserve"> mld. Kč</w:t>
      </w:r>
      <w:r>
        <w:t xml:space="preserve"> </w:t>
      </w:r>
      <w:r w:rsidRPr="006F0A66">
        <w:t>(po zahrnutí transakcí Národního fondu a</w:t>
      </w:r>
      <w:r>
        <w:t xml:space="preserve"> Fondu </w:t>
      </w:r>
      <w:r w:rsidRPr="006F0A66">
        <w:t xml:space="preserve">privatizace </w:t>
      </w:r>
      <w:r>
        <w:t>108,3</w:t>
      </w:r>
      <w:r w:rsidRPr="006F0A66">
        <w:t xml:space="preserve"> mld. Kč). P</w:t>
      </w:r>
      <w:r w:rsidRPr="008F25D3">
        <w:t>odle aktuálních odhadů</w:t>
      </w:r>
      <w:r>
        <w:t xml:space="preserve"> </w:t>
      </w:r>
      <w:r w:rsidRPr="008F25D3">
        <w:t xml:space="preserve">dosáhne </w:t>
      </w:r>
      <w:r>
        <w:t>jeho výše</w:t>
      </w:r>
      <w:r w:rsidRPr="008F25D3">
        <w:t xml:space="preserve"> </w:t>
      </w:r>
      <w:r>
        <w:t>84,0</w:t>
      </w:r>
      <w:r w:rsidRPr="008F25D3">
        <w:t xml:space="preserve"> mld. Kč</w:t>
      </w:r>
      <w:r>
        <w:t xml:space="preserve"> (resp. 82,9 </w:t>
      </w:r>
      <w:r w:rsidRPr="006F0A66">
        <w:t>mld. Kč</w:t>
      </w:r>
      <w:r>
        <w:t xml:space="preserve"> </w:t>
      </w:r>
      <w:r w:rsidRPr="006F0A66">
        <w:t>po zahrnutí transakcí Národního fondu a</w:t>
      </w:r>
      <w:r>
        <w:t xml:space="preserve"> Fondu </w:t>
      </w:r>
      <w:r w:rsidRPr="006F0A66">
        <w:t>privatizace</w:t>
      </w:r>
      <w:r>
        <w:t>)</w:t>
      </w:r>
      <w:r w:rsidRPr="008F25D3">
        <w:t xml:space="preserve">. </w:t>
      </w:r>
      <w:r w:rsidRPr="000A7610">
        <w:rPr>
          <w:b/>
        </w:rPr>
        <w:t>Takto upravený deficit není metodicky srovnatelný s</w:t>
      </w:r>
      <w:r>
        <w:rPr>
          <w:b/>
        </w:rPr>
        <w:t> </w:t>
      </w:r>
      <w:r w:rsidRPr="000A7610">
        <w:rPr>
          <w:b/>
        </w:rPr>
        <w:t>deficitem prezentovaným v ostatních částech rozpočtové dokumentace, neboť z</w:t>
      </w:r>
      <w:r>
        <w:rPr>
          <w:b/>
        </w:rPr>
        <w:t xml:space="preserve"> </w:t>
      </w:r>
      <w:r w:rsidRPr="000A7610">
        <w:rPr>
          <w:b/>
        </w:rPr>
        <w:t xml:space="preserve">jeho výše je vyloučen vliv finančních operací </w:t>
      </w:r>
      <w:r w:rsidRPr="00EF3C1E">
        <w:t>(poskytování a</w:t>
      </w:r>
      <w:r>
        <w:t xml:space="preserve"> </w:t>
      </w:r>
      <w:r w:rsidRPr="00EF3C1E">
        <w:t>splácení půjček, nákup a</w:t>
      </w:r>
      <w:r>
        <w:t xml:space="preserve"> </w:t>
      </w:r>
      <w:r w:rsidRPr="00EF3C1E">
        <w:t>prodej majetkových účastí).</w:t>
      </w:r>
      <w:r>
        <w:t xml:space="preserve"> </w:t>
      </w:r>
    </w:p>
    <w:p w:rsidR="003649B8" w:rsidRDefault="003649B8" w:rsidP="00B61162">
      <w:pPr>
        <w:pStyle w:val="Standardnstyl"/>
      </w:pPr>
      <w:r>
        <w:t>O</w:t>
      </w:r>
      <w:r w:rsidRPr="00307EBB">
        <w:t xml:space="preserve">statní subjekty veřejných rozpočtů </w:t>
      </w:r>
      <w:r>
        <w:t xml:space="preserve">dosáhnou </w:t>
      </w:r>
      <w:r w:rsidRPr="00307EBB">
        <w:t>s výjimkou územních samosprávných celků</w:t>
      </w:r>
      <w:r>
        <w:t xml:space="preserve"> (zlepšení o 4,5 mld. Kč)</w:t>
      </w:r>
      <w:r w:rsidRPr="00307EBB">
        <w:t xml:space="preserve"> podle aktuálních odhadů proti původním předpokladům horšího výsledku hospodaření - mimorozpočtové fondy</w:t>
      </w:r>
      <w:r>
        <w:rPr>
          <w:rStyle w:val="FootnoteReference"/>
        </w:rPr>
        <w:footnoteReference w:id="2"/>
      </w:r>
      <w:r w:rsidRPr="00307EBB">
        <w:t xml:space="preserve"> celkově o </w:t>
      </w:r>
      <w:r>
        <w:t>8,0</w:t>
      </w:r>
      <w:r w:rsidRPr="00307EBB">
        <w:t xml:space="preserve"> mld. Kč (</w:t>
      </w:r>
      <w:r>
        <w:t xml:space="preserve">z toho </w:t>
      </w:r>
      <w:r w:rsidRPr="00307EBB">
        <w:t>Státní fond dopravní infrastruktury o</w:t>
      </w:r>
      <w:r>
        <w:t xml:space="preserve"> 6,7</w:t>
      </w:r>
      <w:r w:rsidRPr="00307EBB">
        <w:t xml:space="preserve"> mld. </w:t>
      </w:r>
      <w:r>
        <w:t>Kč</w:t>
      </w:r>
      <w:r w:rsidRPr="00307EBB">
        <w:t xml:space="preserve">) </w:t>
      </w:r>
      <w:r>
        <w:t>a veřejné zdravotní pojištění se z původního přebytku 0,2</w:t>
      </w:r>
      <w:r w:rsidRPr="00307EBB">
        <w:t xml:space="preserve"> mld. Kč</w:t>
      </w:r>
      <w:r>
        <w:t xml:space="preserve"> dostane na schodek 0,9 mld. Kč.</w:t>
      </w:r>
    </w:p>
    <w:p w:rsidR="003649B8" w:rsidRDefault="003649B8" w:rsidP="00B61162">
      <w:pPr>
        <w:pStyle w:val="Standardnstyl"/>
      </w:pPr>
      <w:r>
        <w:t xml:space="preserve">Z </w:t>
      </w:r>
      <w:r w:rsidRPr="005E2AC4">
        <w:t xml:space="preserve">Grafu </w:t>
      </w:r>
      <w:r>
        <w:t xml:space="preserve">č. 1 je patrné, že v posledních letech nedocházelo v podílech výdajů jednotlivých subsektorů na celkových výdajích veřejných rozpočtů k nijak dramatickým změnám, nicméně podíl výdajů dotačně závislých státních fondů za rok </w:t>
      </w:r>
      <w:r w:rsidRPr="000A09C6">
        <w:t>201</w:t>
      </w:r>
      <w:r>
        <w:t>5 vzroste</w:t>
      </w:r>
      <w:r w:rsidRPr="004742C2">
        <w:t>.</w:t>
      </w:r>
    </w:p>
    <w:p w:rsidR="003649B8" w:rsidRDefault="003649B8" w:rsidP="002A6109">
      <w:pPr>
        <w:pStyle w:val="Caption"/>
      </w:pPr>
      <w:r>
        <w:t>Graf č. 1: Podíl výdajů jednotlivých subsektorů na celkových nekonsolidovaných výdajích vládního sektoru v %</w:t>
      </w:r>
    </w:p>
    <w:p w:rsidR="003649B8" w:rsidRDefault="003649B8" w:rsidP="007F774F">
      <w:pPr>
        <w:pStyle w:val="graftab"/>
      </w:pPr>
      <w:r>
        <w:pict>
          <v:shape id="_x0000_i1027" type="#_x0000_t75" style="width:448.2pt;height:237pt">
            <v:imagedata r:id="rId12" o:title=""/>
          </v:shape>
        </w:pict>
      </w:r>
    </w:p>
    <w:p w:rsidR="003649B8" w:rsidRDefault="003649B8" w:rsidP="007F774F">
      <w:pPr>
        <w:pStyle w:val="graftab"/>
        <w:spacing w:after="120"/>
      </w:pPr>
      <w:r>
        <w:t>P</w:t>
      </w:r>
      <w:r w:rsidRPr="001A50E5">
        <w:t xml:space="preserve">ramen: </w:t>
      </w:r>
      <w:r>
        <w:t>Ministerstvo financí ČR</w:t>
      </w:r>
    </w:p>
    <w:p w:rsidR="003649B8" w:rsidRPr="009C06B0" w:rsidRDefault="003649B8" w:rsidP="00256D4F">
      <w:pPr>
        <w:pStyle w:val="Pramen"/>
        <w:rPr>
          <w:i w:val="0"/>
        </w:rPr>
      </w:pPr>
    </w:p>
    <w:p w:rsidR="003649B8" w:rsidRDefault="003649B8" w:rsidP="00B61162">
      <w:pPr>
        <w:pStyle w:val="Standardnstyl"/>
      </w:pPr>
      <w:r>
        <w:t xml:space="preserve">Očekávaný vývoj státního rozpočtu a rozpočtů územních samosprávných celků je detailně analyzován v samostatných částech Dokumentace návrhu zákona o státním rozpočtu ČR na rok </w:t>
      </w:r>
      <w:r w:rsidRPr="00FB1E46">
        <w:rPr>
          <w:color w:val="000000"/>
        </w:rPr>
        <w:t>20</w:t>
      </w:r>
      <w:r>
        <w:rPr>
          <w:color w:val="000000"/>
        </w:rPr>
        <w:t>16</w:t>
      </w:r>
      <w:r>
        <w:t>. Hospodaření ostatních složek veřejných rozpočtů - mimorozpočtových, tj. státních fondů a Fondu privatizace a dále veřejného zdravotního pojištění - je součástí tohoto materiálu o veřejných rozpočtech.</w:t>
      </w:r>
    </w:p>
    <w:p w:rsidR="003649B8" w:rsidRDefault="003649B8" w:rsidP="00256D4F">
      <w:pPr>
        <w:sectPr w:rsidR="003649B8" w:rsidSect="00360FB8">
          <w:footerReference w:type="default" r:id="rId13"/>
          <w:type w:val="continuous"/>
          <w:pgSz w:w="11907" w:h="16840"/>
          <w:pgMar w:top="1418" w:right="1418" w:bottom="1418" w:left="1418" w:header="708" w:footer="708" w:gutter="0"/>
          <w:pgNumType w:start="0" w:chapStyle="1"/>
          <w:cols w:space="708"/>
          <w:titlePg/>
        </w:sectPr>
      </w:pPr>
    </w:p>
    <w:p w:rsidR="003649B8" w:rsidRDefault="003649B8" w:rsidP="002A6109">
      <w:pPr>
        <w:pStyle w:val="Caption"/>
      </w:pPr>
      <w:r>
        <w:t xml:space="preserve">Tabulka č. </w:t>
      </w:r>
      <w:fldSimple w:instr=" SEQ Tabulka \* ARABIC " w:fldLock="1">
        <w:r>
          <w:rPr>
            <w:noProof/>
          </w:rPr>
          <w:t>3</w:t>
        </w:r>
      </w:fldSimple>
      <w:r>
        <w:rPr>
          <w:noProof/>
        </w:rPr>
        <w:t xml:space="preserve">: </w:t>
      </w:r>
      <w:r>
        <w:t xml:space="preserve">Příjmy jednotlivých složek veřejných rozpočtů v roce </w:t>
      </w:r>
      <w:r w:rsidRPr="00FB1E46">
        <w:rPr>
          <w:color w:val="000000"/>
        </w:rPr>
        <w:t>20</w:t>
      </w:r>
      <w:r>
        <w:rPr>
          <w:color w:val="000000"/>
        </w:rPr>
        <w:t>15</w:t>
      </w:r>
      <w:r>
        <w:t xml:space="preserve"> v mld. Kč</w:t>
      </w:r>
    </w:p>
    <w:p w:rsidR="003649B8" w:rsidRDefault="003649B8" w:rsidP="007F774F">
      <w:pPr>
        <w:pStyle w:val="graftab"/>
      </w:pPr>
      <w:r>
        <w:pict>
          <v:shape id="_x0000_i1028" type="#_x0000_t75" style="width:696pt;height:370.2pt">
            <v:imagedata r:id="rId14" o:title=""/>
          </v:shape>
        </w:pict>
      </w:r>
      <w:r>
        <w:t>Pramen: Ministerstvo financí ČR</w:t>
      </w:r>
    </w:p>
    <w:p w:rsidR="003649B8" w:rsidRPr="00C932B0" w:rsidRDefault="003649B8" w:rsidP="002B30F9">
      <w:pPr>
        <w:pStyle w:val="vysvtlivky"/>
        <w:numPr>
          <w:ilvl w:val="0"/>
          <w:numId w:val="6"/>
        </w:numPr>
        <w:jc w:val="both"/>
      </w:pPr>
      <w:r>
        <w:t xml:space="preserve">konsolidovaný </w:t>
      </w:r>
      <w:r w:rsidRPr="009833CE">
        <w:t xml:space="preserve">státní rozpočet včetně Národního fondu a </w:t>
      </w:r>
      <w:r>
        <w:t>Fondu</w:t>
      </w:r>
      <w:r w:rsidRPr="009833CE">
        <w:t xml:space="preserve"> privatizace </w:t>
      </w:r>
    </w:p>
    <w:p w:rsidR="003649B8" w:rsidRPr="00305ED9" w:rsidRDefault="003649B8" w:rsidP="002B30F9">
      <w:pPr>
        <w:pStyle w:val="ListParagraph"/>
        <w:numPr>
          <w:ilvl w:val="0"/>
          <w:numId w:val="6"/>
        </w:numPr>
        <w:rPr>
          <w:i/>
          <w:sz w:val="20"/>
          <w:szCs w:val="20"/>
        </w:rPr>
      </w:pPr>
      <w:r w:rsidRPr="00305ED9">
        <w:rPr>
          <w:i/>
          <w:sz w:val="20"/>
          <w:szCs w:val="20"/>
        </w:rPr>
        <w:t>Státní fond dopravní infrastruktury, Státní fond rozvoje bydlení, Státní fond životního prostředí, Státní fond kultury, Státní fond kinematografie a Státní zemědělský intervenční fond</w:t>
      </w:r>
    </w:p>
    <w:p w:rsidR="003649B8" w:rsidRDefault="003649B8" w:rsidP="002B30F9">
      <w:pPr>
        <w:pStyle w:val="vysvtlivky"/>
        <w:numPr>
          <w:ilvl w:val="0"/>
          <w:numId w:val="6"/>
        </w:numPr>
        <w:jc w:val="both"/>
      </w:pPr>
      <w:r>
        <w:t xml:space="preserve">Územní samosprávné celky zahrnují </w:t>
      </w:r>
      <w:r w:rsidRPr="00931991">
        <w:t>obce, k</w:t>
      </w:r>
      <w:r>
        <w:t>raje, dobrovolné svazky obcí a R</w:t>
      </w:r>
      <w:r w:rsidRPr="00931991">
        <w:t>egio</w:t>
      </w:r>
      <w:r>
        <w:t>nální rady regionů soudržnosti.</w:t>
      </w:r>
    </w:p>
    <w:p w:rsidR="003649B8" w:rsidRDefault="003649B8" w:rsidP="002A6109">
      <w:pPr>
        <w:pStyle w:val="Caption"/>
      </w:pPr>
      <w:r>
        <w:t xml:space="preserve"> </w:t>
      </w:r>
      <w:r w:rsidRPr="00901A94">
        <w:t xml:space="preserve">Tabulka </w:t>
      </w:r>
      <w:r>
        <w:t xml:space="preserve">č. </w:t>
      </w:r>
      <w:fldSimple w:instr=" SEQ Tabulka \* ARABIC " w:fldLock="1">
        <w:r>
          <w:rPr>
            <w:noProof/>
          </w:rPr>
          <w:t>4</w:t>
        </w:r>
      </w:fldSimple>
      <w:r>
        <w:rPr>
          <w:noProof/>
        </w:rPr>
        <w:t xml:space="preserve">: </w:t>
      </w:r>
      <w:r>
        <w:t xml:space="preserve">Výdaje a saldo jednotlivých složek veřejných rozpočtů v roce </w:t>
      </w:r>
      <w:r w:rsidRPr="00FB1E46">
        <w:rPr>
          <w:color w:val="000000"/>
        </w:rPr>
        <w:t>20</w:t>
      </w:r>
      <w:r>
        <w:rPr>
          <w:color w:val="000000"/>
        </w:rPr>
        <w:t>15</w:t>
      </w:r>
      <w:r>
        <w:t xml:space="preserve"> v mld. Kč</w:t>
      </w:r>
    </w:p>
    <w:p w:rsidR="003649B8" w:rsidRDefault="003649B8" w:rsidP="007F774F">
      <w:pPr>
        <w:pStyle w:val="graftab"/>
      </w:pPr>
      <w:r>
        <w:pict>
          <v:shape id="_x0000_i1029" type="#_x0000_t75" style="width:691.2pt;height:377.4pt">
            <v:imagedata r:id="rId15" o:title=""/>
          </v:shape>
        </w:pict>
      </w:r>
      <w:r>
        <w:t>Pramen: Ministerstvo financí ČR</w:t>
      </w:r>
    </w:p>
    <w:p w:rsidR="003649B8" w:rsidRPr="00281A75" w:rsidRDefault="003649B8" w:rsidP="002B30F9">
      <w:pPr>
        <w:pStyle w:val="vysvtlivky"/>
        <w:numPr>
          <w:ilvl w:val="0"/>
          <w:numId w:val="7"/>
        </w:numPr>
        <w:jc w:val="both"/>
      </w:pPr>
      <w:r>
        <w:t xml:space="preserve">konsolidovaný </w:t>
      </w:r>
      <w:r w:rsidRPr="009833CE">
        <w:t xml:space="preserve">státní rozpočet včetně Národního fondu a </w:t>
      </w:r>
      <w:r>
        <w:t xml:space="preserve">Fondu </w:t>
      </w:r>
      <w:r w:rsidRPr="009833CE">
        <w:t>privatizace</w:t>
      </w:r>
    </w:p>
    <w:p w:rsidR="003649B8" w:rsidRPr="00305ED9" w:rsidRDefault="003649B8" w:rsidP="002B30F9">
      <w:pPr>
        <w:pStyle w:val="ListParagraph"/>
        <w:numPr>
          <w:ilvl w:val="0"/>
          <w:numId w:val="7"/>
        </w:numPr>
        <w:rPr>
          <w:i/>
          <w:sz w:val="20"/>
          <w:szCs w:val="20"/>
        </w:rPr>
      </w:pPr>
      <w:r w:rsidRPr="00305ED9">
        <w:rPr>
          <w:i/>
          <w:sz w:val="20"/>
          <w:szCs w:val="20"/>
        </w:rPr>
        <w:t>Státní fond dopravní infrastruktury, Státní fond rozvoje bydlení, Státní fond životního prostředí, Státní fond kultury, Státní fond kinematografie a Státní zemědělský intervenční fond</w:t>
      </w:r>
    </w:p>
    <w:p w:rsidR="003649B8" w:rsidRDefault="003649B8" w:rsidP="002B30F9">
      <w:pPr>
        <w:pStyle w:val="vysvtlivky"/>
        <w:numPr>
          <w:ilvl w:val="0"/>
          <w:numId w:val="7"/>
        </w:numPr>
        <w:jc w:val="both"/>
      </w:pPr>
      <w:r w:rsidRPr="00901A94">
        <w:t>Územn</w:t>
      </w:r>
      <w:r>
        <w:t xml:space="preserve">í </w:t>
      </w:r>
      <w:r w:rsidRPr="00901A94">
        <w:t>samosprávné celky zahrnují ob</w:t>
      </w:r>
      <w:r>
        <w:t>ce, kraje, dobrovolné svazky obcí a R</w:t>
      </w:r>
      <w:r w:rsidRPr="00C644B6">
        <w:t>egionální rady regionů</w:t>
      </w:r>
      <w:r>
        <w:t xml:space="preserve"> soudržnosti. </w:t>
      </w:r>
    </w:p>
    <w:p w:rsidR="003649B8" w:rsidRDefault="003649B8" w:rsidP="0026728D">
      <w:pPr>
        <w:sectPr w:rsidR="003649B8" w:rsidSect="00256D4F">
          <w:type w:val="continuous"/>
          <w:pgSz w:w="16840" w:h="11907" w:orient="landscape" w:code="9"/>
          <w:pgMar w:top="1418" w:right="1418" w:bottom="1418" w:left="1418" w:header="709" w:footer="709" w:gutter="0"/>
          <w:cols w:space="708"/>
        </w:sectPr>
      </w:pPr>
    </w:p>
    <w:p w:rsidR="003649B8" w:rsidRDefault="003649B8" w:rsidP="00C814DF">
      <w:pPr>
        <w:sectPr w:rsidR="003649B8" w:rsidSect="00C814DF">
          <w:footerReference w:type="default" r:id="rId16"/>
          <w:type w:val="continuous"/>
          <w:pgSz w:w="16840" w:h="11907" w:orient="landscape" w:code="9"/>
          <w:pgMar w:top="1418" w:right="1418" w:bottom="1418" w:left="1418" w:header="709" w:footer="709" w:gutter="0"/>
          <w:cols w:space="708"/>
        </w:sectPr>
      </w:pPr>
    </w:p>
    <w:p w:rsidR="003649B8" w:rsidRDefault="003649B8" w:rsidP="005838F5">
      <w:pPr>
        <w:pStyle w:val="Heading3"/>
        <w:sectPr w:rsidR="003649B8" w:rsidSect="0026728D">
          <w:footerReference w:type="default" r:id="rId17"/>
          <w:type w:val="continuous"/>
          <w:pgSz w:w="11907" w:h="16840"/>
          <w:pgMar w:top="1418" w:right="1418" w:bottom="1418" w:left="1418" w:header="708" w:footer="708" w:gutter="0"/>
          <w:cols w:space="708"/>
        </w:sectPr>
      </w:pPr>
      <w:bookmarkStart w:id="20" w:name="_Toc428446400"/>
      <w:bookmarkStart w:id="21" w:name="_Toc112674746"/>
      <w:bookmarkStart w:id="22" w:name="_Toc207011055"/>
      <w:bookmarkStart w:id="23" w:name="_Toc207011056"/>
      <w:r>
        <w:t xml:space="preserve">Veřejné rozpočty v roce </w:t>
      </w:r>
      <w:r w:rsidRPr="005B3B89">
        <w:t>201</w:t>
      </w:r>
      <w:r>
        <w:t>6</w:t>
      </w:r>
      <w:bookmarkEnd w:id="20"/>
      <w:r>
        <w:t xml:space="preserve"> (rozpočet)</w:t>
      </w:r>
    </w:p>
    <w:bookmarkEnd w:id="21"/>
    <w:bookmarkEnd w:id="22"/>
    <w:p w:rsidR="003649B8" w:rsidRDefault="003649B8" w:rsidP="006F7399">
      <w:pPr>
        <w:pStyle w:val="Heading3"/>
        <w:numPr>
          <w:ilvl w:val="0"/>
          <w:numId w:val="0"/>
        </w:numPr>
        <w:spacing w:before="0" w:after="0" w:line="360" w:lineRule="auto"/>
        <w:ind w:left="284"/>
        <w:rPr>
          <w:rFonts w:ascii="Times New Roman" w:hAnsi="Times New Roman"/>
        </w:rPr>
      </w:pPr>
    </w:p>
    <w:p w:rsidR="003649B8" w:rsidRPr="00204830" w:rsidRDefault="003649B8" w:rsidP="00494D66">
      <w:pPr>
        <w:pStyle w:val="Standardnstyl"/>
      </w:pPr>
      <w:r>
        <w:t xml:space="preserve">Meziroční snížení deficitu veřejných rozpočtů na 51,3 mld. Kč (1,1 % HDP) je projevem </w:t>
      </w:r>
      <w:r w:rsidRPr="00176D31">
        <w:t>zlepšení hospodaření všech jejich složek.</w:t>
      </w:r>
      <w:r>
        <w:t xml:space="preserve"> Poměr</w:t>
      </w:r>
      <w:r w:rsidRPr="006E2F49">
        <w:t xml:space="preserve"> čistého peněžního toku z provozní činnosti</w:t>
      </w:r>
      <w:r>
        <w:t xml:space="preserve"> k </w:t>
      </w:r>
      <w:r w:rsidRPr="00C528AE">
        <w:t>HDP se ve srovnání s rokem 201</w:t>
      </w:r>
      <w:r>
        <w:t>5</w:t>
      </w:r>
      <w:r w:rsidRPr="00C528AE">
        <w:t xml:space="preserve"> </w:t>
      </w:r>
      <w:r>
        <w:t>zhorší</w:t>
      </w:r>
      <w:r w:rsidRPr="00C528AE">
        <w:t xml:space="preserve"> o </w:t>
      </w:r>
      <w:r>
        <w:t>0,1</w:t>
      </w:r>
      <w:r w:rsidRPr="00C528AE">
        <w:t xml:space="preserve"> p. b. a dosáhne </w:t>
      </w:r>
      <w:r w:rsidRPr="004D1DEC">
        <w:t>přebytku</w:t>
      </w:r>
      <w:r w:rsidRPr="00C528AE">
        <w:t xml:space="preserve"> </w:t>
      </w:r>
      <w:r>
        <w:t>0,3</w:t>
      </w:r>
      <w:r w:rsidRPr="00C528AE">
        <w:t xml:space="preserve"> % HDP</w:t>
      </w:r>
      <w:r>
        <w:t>, tj. 14,0 mld. Kč</w:t>
      </w:r>
      <w:r w:rsidRPr="00C528AE">
        <w:t xml:space="preserve">. </w:t>
      </w:r>
      <w:r w:rsidRPr="00BA5C3D">
        <w:t xml:space="preserve">Primární saldo </w:t>
      </w:r>
      <w:r w:rsidRPr="00C528AE">
        <w:t xml:space="preserve">se meziročně </w:t>
      </w:r>
      <w:r>
        <w:t>zlepší o 0,6</w:t>
      </w:r>
      <w:r w:rsidRPr="00C528AE">
        <w:t xml:space="preserve"> </w:t>
      </w:r>
      <w:r>
        <w:t xml:space="preserve">p. b. </w:t>
      </w:r>
      <w:r w:rsidRPr="00C528AE">
        <w:t xml:space="preserve">na </w:t>
      </w:r>
      <w:r>
        <w:t>úroveň</w:t>
      </w:r>
      <w:r w:rsidRPr="00C528AE">
        <w:t xml:space="preserve"> </w:t>
      </w:r>
      <w:r>
        <w:t>0,1</w:t>
      </w:r>
      <w:r w:rsidRPr="00C528AE">
        <w:t xml:space="preserve"> % HDP</w:t>
      </w:r>
      <w:r>
        <w:t xml:space="preserve"> (3,9 mld. Kč)</w:t>
      </w:r>
      <w:r w:rsidRPr="00204830">
        <w:t>. V po</w:t>
      </w:r>
      <w:r>
        <w:t>měro</w:t>
      </w:r>
      <w:r w:rsidRPr="00204830">
        <w:t xml:space="preserve">vém vyjádření ve vztahu k HDP příjmy meziročně </w:t>
      </w:r>
      <w:r>
        <w:t>poklesnou</w:t>
      </w:r>
      <w:r w:rsidRPr="00204830">
        <w:t xml:space="preserve"> o</w:t>
      </w:r>
      <w:r>
        <w:t> 1,7 </w:t>
      </w:r>
      <w:r w:rsidRPr="00204830">
        <w:t>p.</w:t>
      </w:r>
      <w:r>
        <w:t> </w:t>
      </w:r>
      <w:r w:rsidRPr="00204830">
        <w:t xml:space="preserve">b. na </w:t>
      </w:r>
      <w:r>
        <w:t>36,6</w:t>
      </w:r>
      <w:r w:rsidRPr="00204830">
        <w:t xml:space="preserve"> </w:t>
      </w:r>
      <w:r w:rsidRPr="00C52B92">
        <w:t>%</w:t>
      </w:r>
      <w:r>
        <w:t xml:space="preserve"> (v důsledku zejména kapitálových transferů z EU)</w:t>
      </w:r>
      <w:r w:rsidRPr="00C52B92">
        <w:t>, avšak daňová kvóta se</w:t>
      </w:r>
      <w:r>
        <w:t xml:space="preserve"> díky zavedení efektivnějších procesních nástrojů na výběr daní</w:t>
      </w:r>
      <w:r w:rsidRPr="00C52B92">
        <w:t xml:space="preserve"> zvýší</w:t>
      </w:r>
      <w:r w:rsidRPr="00204830">
        <w:t xml:space="preserve"> o </w:t>
      </w:r>
      <w:r>
        <w:t>0,5</w:t>
      </w:r>
      <w:r w:rsidRPr="00204830">
        <w:t xml:space="preserve"> p. b. na </w:t>
      </w:r>
      <w:r>
        <w:t xml:space="preserve">31,7 </w:t>
      </w:r>
      <w:r w:rsidRPr="00204830">
        <w:t xml:space="preserve">%. Objem celkových výdajů </w:t>
      </w:r>
      <w:r>
        <w:t>se sníží</w:t>
      </w:r>
      <w:r w:rsidRPr="00CF0435">
        <w:t xml:space="preserve"> o </w:t>
      </w:r>
      <w:r>
        <w:t>2,5</w:t>
      </w:r>
      <w:r w:rsidRPr="00CF0435">
        <w:t xml:space="preserve"> p. b. na</w:t>
      </w:r>
      <w:r w:rsidRPr="00204830">
        <w:t xml:space="preserve"> </w:t>
      </w:r>
      <w:r>
        <w:t>37,7</w:t>
      </w:r>
      <w:r w:rsidRPr="00204830">
        <w:t xml:space="preserve"> % HDP (viz</w:t>
      </w:r>
      <w:r>
        <w:t xml:space="preserve"> </w:t>
      </w:r>
      <w:r w:rsidRPr="00204830">
        <w:t xml:space="preserve">Graf č. 2). Meziročně příjmy </w:t>
      </w:r>
      <w:r>
        <w:t>klesnou</w:t>
      </w:r>
      <w:r w:rsidRPr="00204830">
        <w:t xml:space="preserve"> o </w:t>
      </w:r>
      <w:r>
        <w:t>0,7</w:t>
      </w:r>
      <w:r w:rsidRPr="00204830">
        <w:t xml:space="preserve"> %, výdaje o </w:t>
      </w:r>
      <w:r>
        <w:t>2,5</w:t>
      </w:r>
      <w:r w:rsidRPr="00204830">
        <w:t xml:space="preserve"> % a výsledkem bude zmíněný </w:t>
      </w:r>
      <w:r w:rsidRPr="00FB11BE">
        <w:t>pokles deficitu veřejných</w:t>
      </w:r>
      <w:r w:rsidRPr="00204830">
        <w:t xml:space="preserve"> rozpočtů.</w:t>
      </w:r>
    </w:p>
    <w:p w:rsidR="003649B8" w:rsidRDefault="003649B8" w:rsidP="002A6109">
      <w:pPr>
        <w:pStyle w:val="Caption"/>
      </w:pPr>
      <w:bookmarkStart w:id="24" w:name="_Ref114747314"/>
      <w:bookmarkStart w:id="25" w:name="OLE_LINK1"/>
      <w:r>
        <w:t xml:space="preserve">Graf </w:t>
      </w:r>
      <w:bookmarkEnd w:id="24"/>
      <w:r>
        <w:t>č. 2:</w:t>
      </w:r>
      <w:bookmarkEnd w:id="25"/>
      <w:r>
        <w:t xml:space="preserve"> Konsolidovaná daňová kvóta a podíl výdajů veřejných rozpočtů na HDP</w:t>
      </w:r>
    </w:p>
    <w:p w:rsidR="003649B8" w:rsidRDefault="003649B8" w:rsidP="007F774F">
      <w:pPr>
        <w:pStyle w:val="graftab"/>
      </w:pPr>
      <w:r>
        <w:pict>
          <v:shape id="_x0000_i1030" type="#_x0000_t75" style="width:449.4pt;height:243.6pt">
            <v:imagedata r:id="rId18" o:title=""/>
          </v:shape>
        </w:pict>
      </w:r>
      <w:r w:rsidRPr="001A50E5">
        <w:t xml:space="preserve">Pramen: </w:t>
      </w:r>
      <w:r>
        <w:t>Ministerstvo financí ČR</w:t>
      </w:r>
    </w:p>
    <w:p w:rsidR="003649B8" w:rsidRDefault="003649B8" w:rsidP="00256D4F">
      <w:pPr>
        <w:pStyle w:val="Pramen"/>
      </w:pPr>
    </w:p>
    <w:p w:rsidR="003649B8" w:rsidRPr="000043FD" w:rsidRDefault="003649B8" w:rsidP="00B61162">
      <w:pPr>
        <w:pStyle w:val="Standardnstyl"/>
      </w:pPr>
      <w:r w:rsidRPr="00D34D09">
        <w:t xml:space="preserve">Vývoj veřejných rozpočtů </w:t>
      </w:r>
      <w:r>
        <w:t>se po</w:t>
      </w:r>
      <w:r w:rsidRPr="00D34D09">
        <w:t xml:space="preserve"> nedávn</w:t>
      </w:r>
      <w:r>
        <w:t>ých turbulencích</w:t>
      </w:r>
      <w:r w:rsidRPr="00D34D09">
        <w:t xml:space="preserve"> </w:t>
      </w:r>
      <w:r>
        <w:t xml:space="preserve">dostává do příznivých hodnot. I nadále je však žádoucí provádět obezřetnou fiskální politiku, ideálně s podporou vládních investic. Je nutné připomenout, že </w:t>
      </w:r>
      <w:r w:rsidRPr="00D34D09">
        <w:t>ke krytí výdajů již nejsou k</w:t>
      </w:r>
      <w:r>
        <w:t xml:space="preserve"> </w:t>
      </w:r>
      <w:r w:rsidRPr="00D34D09">
        <w:t>dispozici mimořádné příjmy jednorázového charakteru jako v</w:t>
      </w:r>
      <w:r>
        <w:t xml:space="preserve"> minulých letech.</w:t>
      </w:r>
    </w:p>
    <w:p w:rsidR="003649B8" w:rsidRDefault="003649B8" w:rsidP="002A6109">
      <w:pPr>
        <w:pStyle w:val="Caption"/>
      </w:pPr>
      <w:bookmarkStart w:id="26" w:name="_Ref114885570"/>
      <w:r>
        <w:t xml:space="preserve">Graf </w:t>
      </w:r>
      <w:bookmarkEnd w:id="26"/>
      <w:r>
        <w:t>č. 3: Vývoj sald veřejných rozpočtů v % HDP</w:t>
      </w:r>
    </w:p>
    <w:p w:rsidR="003649B8" w:rsidRDefault="003649B8" w:rsidP="007F774F">
      <w:pPr>
        <w:pStyle w:val="graftab"/>
      </w:pPr>
      <w:r>
        <w:pict>
          <v:shape id="_x0000_i1031" type="#_x0000_t75" style="width:449.4pt;height:243.6pt">
            <v:imagedata r:id="rId19" o:title=""/>
          </v:shape>
        </w:pict>
      </w:r>
      <w:r w:rsidRPr="001A50E5">
        <w:t xml:space="preserve">Pramen: </w:t>
      </w:r>
      <w:r>
        <w:t>Ministerstvo financí ČR</w:t>
      </w:r>
    </w:p>
    <w:p w:rsidR="003649B8" w:rsidRPr="009878B1" w:rsidRDefault="003649B8" w:rsidP="00B61162">
      <w:pPr>
        <w:pStyle w:val="Standardnstyl"/>
      </w:pPr>
    </w:p>
    <w:p w:rsidR="003649B8" w:rsidRDefault="003649B8" w:rsidP="00B61162">
      <w:pPr>
        <w:pStyle w:val="Standardnstyl"/>
      </w:pPr>
      <w:r>
        <w:t>P</w:t>
      </w:r>
      <w:r w:rsidRPr="00D63049">
        <w:t xml:space="preserve">říjmy státních fondů bez dotací </w:t>
      </w:r>
      <w:r>
        <w:t>v</w:t>
      </w:r>
      <w:r w:rsidRPr="00D63049">
        <w:t xml:space="preserve">ykazují </w:t>
      </w:r>
      <w:r>
        <w:t>proměnlivý</w:t>
      </w:r>
      <w:r w:rsidRPr="00D63049">
        <w:t xml:space="preserve"> trend</w:t>
      </w:r>
      <w:r>
        <w:t xml:space="preserve"> (v podílovém vyjádření viz Graf č. 4) a většina z nich nemá dostatečné vlastní zdroje na realizaci svých nastavených</w:t>
      </w:r>
      <w:r w:rsidRPr="00BE188C">
        <w:t xml:space="preserve"> výdajov</w:t>
      </w:r>
      <w:r>
        <w:t>ých</w:t>
      </w:r>
      <w:r w:rsidRPr="00BE188C">
        <w:t xml:space="preserve"> program</w:t>
      </w:r>
      <w:r>
        <w:t xml:space="preserve">ů. Tyto skutečnosti představují pro vývoj deficitu i dluhu veřejných rozpočtů určité riziko. </w:t>
      </w:r>
      <w:r w:rsidRPr="00A42E34">
        <w:t xml:space="preserve">Zahajování nových programů státních fondů lze </w:t>
      </w:r>
      <w:r>
        <w:t>proto z tohoto důvodu</w:t>
      </w:r>
      <w:r w:rsidRPr="00A42E34">
        <w:t xml:space="preserve"> pokládat za další</w:t>
      </w:r>
      <w:r>
        <w:t>,</w:t>
      </w:r>
      <w:r w:rsidRPr="00A42E34">
        <w:t xml:space="preserve"> </w:t>
      </w:r>
      <w:r>
        <w:t>ne příliš žádoucí</w:t>
      </w:r>
      <w:r w:rsidRPr="00A42E34">
        <w:t xml:space="preserve"> faktor.</w:t>
      </w:r>
    </w:p>
    <w:p w:rsidR="003649B8" w:rsidRDefault="003649B8" w:rsidP="002A6109">
      <w:pPr>
        <w:pStyle w:val="Caption"/>
      </w:pPr>
      <w:bookmarkStart w:id="27" w:name="_Ref114747336"/>
      <w:r>
        <w:t xml:space="preserve">Graf </w:t>
      </w:r>
      <w:bookmarkEnd w:id="27"/>
      <w:r>
        <w:t>č. 4: Struktura příjmů státních fondů v %</w:t>
      </w:r>
    </w:p>
    <w:p w:rsidR="003649B8" w:rsidRDefault="003649B8" w:rsidP="007F774F">
      <w:pPr>
        <w:pStyle w:val="graftab"/>
      </w:pPr>
      <w:r>
        <w:pict>
          <v:shape id="_x0000_i1032" type="#_x0000_t75" style="width:448.2pt;height:238.2pt">
            <v:imagedata r:id="rId20" o:title=""/>
          </v:shape>
        </w:pict>
      </w:r>
    </w:p>
    <w:p w:rsidR="003649B8" w:rsidRPr="001C6EDE" w:rsidRDefault="003649B8" w:rsidP="007F774F">
      <w:pPr>
        <w:pStyle w:val="graftab"/>
      </w:pPr>
      <w:r w:rsidRPr="001C6EDE">
        <w:t xml:space="preserve">Pramen: </w:t>
      </w:r>
      <w:r>
        <w:t>Ministerstvo financí ČR</w:t>
      </w:r>
    </w:p>
    <w:p w:rsidR="003649B8" w:rsidRPr="00675FC4" w:rsidRDefault="003649B8" w:rsidP="00B61162">
      <w:pPr>
        <w:pStyle w:val="Standardnstyl"/>
      </w:pPr>
    </w:p>
    <w:p w:rsidR="003649B8" w:rsidRDefault="003649B8" w:rsidP="00B61162">
      <w:pPr>
        <w:pStyle w:val="Standardnstyl"/>
      </w:pPr>
      <w:r>
        <w:t>Ke snížení schodku veřejných rozpočtů dochází z velké části v důsledku zachování principů</w:t>
      </w:r>
      <w:r w:rsidRPr="00933A32">
        <w:t xml:space="preserve"> udržitelnost</w:t>
      </w:r>
      <w:r>
        <w:t>i hospodaření systému</w:t>
      </w:r>
      <w:r w:rsidRPr="00933A32">
        <w:t xml:space="preserve"> veřejných </w:t>
      </w:r>
      <w:r>
        <w:t>rozpočtů</w:t>
      </w:r>
      <w:r w:rsidRPr="00933A32">
        <w:t xml:space="preserve"> v</w:t>
      </w:r>
      <w:r>
        <w:t xml:space="preserve"> </w:t>
      </w:r>
      <w:r w:rsidRPr="00933A32">
        <w:t>dlouhodobém časovém horizontu.</w:t>
      </w:r>
    </w:p>
    <w:p w:rsidR="003649B8" w:rsidRDefault="003649B8" w:rsidP="00B61162">
      <w:pPr>
        <w:pStyle w:val="Standardnstyl"/>
      </w:pPr>
      <w:r>
        <w:t>Graf č. 5 znázorňuje vývoj salda (deficitu) veřejných rozpočtů a celkových příjmů a výdajů v čase (2012 – 2016) a dokumentuje tak výše uvedený komentář o vývojových trendech.</w:t>
      </w:r>
    </w:p>
    <w:p w:rsidR="003649B8" w:rsidRDefault="003649B8" w:rsidP="002A6109">
      <w:pPr>
        <w:pStyle w:val="Caption"/>
      </w:pPr>
      <w:r>
        <w:t>Graf č. 5: Vývoj salda a celkových příjmů a výdajů veřejných rozpočtů v ČR (% HDP)</w:t>
      </w:r>
    </w:p>
    <w:p w:rsidR="003649B8" w:rsidRDefault="003649B8" w:rsidP="003B5141">
      <w:pPr>
        <w:pStyle w:val="Podtitulek"/>
        <w:jc w:val="center"/>
      </w:pPr>
      <w:r>
        <w:pict>
          <v:shape id="_x0000_i1033" type="#_x0000_t75" style="width:449.4pt;height:238.8pt">
            <v:imagedata r:id="rId21" o:title=""/>
          </v:shape>
        </w:pict>
      </w:r>
    </w:p>
    <w:p w:rsidR="003649B8" w:rsidRPr="00665700" w:rsidRDefault="003649B8" w:rsidP="00256D4F">
      <w:pPr>
        <w:pStyle w:val="Podtitulek"/>
      </w:pPr>
      <w:r w:rsidRPr="00665700">
        <w:t xml:space="preserve">Pramen: </w:t>
      </w:r>
      <w:r>
        <w:t>Ministerstvo financí ČR</w:t>
      </w:r>
    </w:p>
    <w:p w:rsidR="003649B8" w:rsidRDefault="003649B8" w:rsidP="00B61162">
      <w:pPr>
        <w:pStyle w:val="Standardnstyl"/>
        <w:sectPr w:rsidR="003649B8" w:rsidSect="0026728D">
          <w:footerReference w:type="default" r:id="rId22"/>
          <w:type w:val="continuous"/>
          <w:pgSz w:w="11907" w:h="16840"/>
          <w:pgMar w:top="1418" w:right="1418" w:bottom="1418" w:left="1418" w:header="708" w:footer="708" w:gutter="0"/>
          <w:cols w:space="708"/>
        </w:sectPr>
      </w:pPr>
    </w:p>
    <w:p w:rsidR="003649B8" w:rsidRDefault="003649B8" w:rsidP="002A6109">
      <w:pPr>
        <w:pStyle w:val="Caption"/>
      </w:pPr>
      <w:r>
        <w:t xml:space="preserve">Tabulka č. </w:t>
      </w:r>
      <w:fldSimple w:instr=" SEQ Tabulka \* ARABIC " w:fldLock="1">
        <w:r>
          <w:rPr>
            <w:noProof/>
          </w:rPr>
          <w:t>5</w:t>
        </w:r>
      </w:fldSimple>
      <w:r>
        <w:rPr>
          <w:noProof/>
        </w:rPr>
        <w:t xml:space="preserve">: </w:t>
      </w:r>
      <w:r>
        <w:t xml:space="preserve">Příjmy jednotlivých složek veřejných rozpočtů v roce </w:t>
      </w:r>
      <w:r w:rsidRPr="00B36DCB">
        <w:rPr>
          <w:color w:val="000000"/>
        </w:rPr>
        <w:t>20</w:t>
      </w:r>
      <w:r>
        <w:rPr>
          <w:color w:val="000000"/>
        </w:rPr>
        <w:t>16</w:t>
      </w:r>
      <w:r>
        <w:t xml:space="preserve"> v mld. Kč </w:t>
      </w:r>
    </w:p>
    <w:p w:rsidR="003649B8" w:rsidRDefault="003649B8" w:rsidP="007F774F">
      <w:pPr>
        <w:pStyle w:val="graftab"/>
      </w:pPr>
      <w:bookmarkStart w:id="28" w:name="čísl_3"/>
      <w:bookmarkEnd w:id="28"/>
      <w:r>
        <w:pict>
          <v:shape id="_x0000_i1034" type="#_x0000_t75" style="width:695.4pt;height:365.4pt">
            <v:imagedata r:id="rId23" o:title=""/>
          </v:shape>
        </w:pict>
      </w:r>
      <w:r>
        <w:t>Pramen: Ministerstvo financí ČR</w:t>
      </w:r>
    </w:p>
    <w:p w:rsidR="003649B8" w:rsidRPr="00C932B0" w:rsidRDefault="003649B8" w:rsidP="00256D4F">
      <w:pPr>
        <w:pStyle w:val="StylvysvtlivkyVlevo0cmPrvndek0cm"/>
        <w:jc w:val="both"/>
      </w:pPr>
      <w:r>
        <w:t xml:space="preserve">konsolidovaný </w:t>
      </w:r>
      <w:r w:rsidRPr="009833CE">
        <w:t xml:space="preserve">státní rozpočet včetně Národního fondu a </w:t>
      </w:r>
      <w:r>
        <w:t>Fondu</w:t>
      </w:r>
      <w:r w:rsidRPr="009833CE">
        <w:t xml:space="preserve"> privatizace</w:t>
      </w:r>
    </w:p>
    <w:p w:rsidR="003649B8" w:rsidRPr="00305ED9" w:rsidRDefault="003649B8" w:rsidP="00305ED9">
      <w:pPr>
        <w:pStyle w:val="StylvysvtlivkyVlevo0cmPrvndek0cm"/>
      </w:pPr>
      <w:r w:rsidRPr="00305ED9">
        <w:t>Státní fond dopravní infrastruktury, Státní fond rozvoje bydlení, Státní fond životního prostředí, Státní fond kultury, Státní fond kinematografie a Státní zemědělský intervenční fond</w:t>
      </w:r>
    </w:p>
    <w:p w:rsidR="003649B8" w:rsidRDefault="003649B8" w:rsidP="00256D4F">
      <w:pPr>
        <w:pStyle w:val="StylvysvtlivkyVlevo0cmPrvndek0cm"/>
        <w:jc w:val="both"/>
      </w:pPr>
      <w:r>
        <w:t xml:space="preserve">Územní samosprávné celky zahrnují </w:t>
      </w:r>
      <w:r w:rsidRPr="00931991">
        <w:t xml:space="preserve">obce, kraje, dobrovolné svazky obcí a </w:t>
      </w:r>
      <w:r>
        <w:t>R</w:t>
      </w:r>
      <w:r w:rsidRPr="00931991">
        <w:t>egio</w:t>
      </w:r>
      <w:r>
        <w:t>nální rady regionů soudržnosti.</w:t>
      </w:r>
    </w:p>
    <w:p w:rsidR="003649B8" w:rsidRDefault="003649B8" w:rsidP="002A6109">
      <w:pPr>
        <w:pStyle w:val="Caption"/>
      </w:pPr>
      <w:r>
        <w:t xml:space="preserve">Tabulka č. </w:t>
      </w:r>
      <w:fldSimple w:instr=" SEQ Tabulka \* ARABIC " w:fldLock="1">
        <w:r>
          <w:rPr>
            <w:noProof/>
          </w:rPr>
          <w:t>6</w:t>
        </w:r>
      </w:fldSimple>
      <w:r>
        <w:rPr>
          <w:noProof/>
        </w:rPr>
        <w:t xml:space="preserve">: </w:t>
      </w:r>
      <w:r>
        <w:t xml:space="preserve">Výdaje a saldo jednotlivých složek veřejných rozpočtů v roce </w:t>
      </w:r>
      <w:r w:rsidRPr="00B36DCB">
        <w:rPr>
          <w:color w:val="000000"/>
        </w:rPr>
        <w:t>20</w:t>
      </w:r>
      <w:r>
        <w:rPr>
          <w:color w:val="000000"/>
        </w:rPr>
        <w:t>16</w:t>
      </w:r>
      <w:r>
        <w:t xml:space="preserve"> v mld. Kč </w:t>
      </w:r>
    </w:p>
    <w:p w:rsidR="003649B8" w:rsidRDefault="003649B8" w:rsidP="007F774F">
      <w:pPr>
        <w:pStyle w:val="graftab"/>
      </w:pPr>
      <w:r>
        <w:pict>
          <v:shape id="_x0000_i1035" type="#_x0000_t75" style="width:690pt;height:377.4pt">
            <v:imagedata r:id="rId24" o:title=""/>
          </v:shape>
        </w:pict>
      </w:r>
      <w:r>
        <w:t>Pramen: Ministerstvo financí ČR</w:t>
      </w:r>
    </w:p>
    <w:p w:rsidR="003649B8" w:rsidRPr="00C932B0" w:rsidRDefault="003649B8" w:rsidP="002B30F9">
      <w:pPr>
        <w:pStyle w:val="StylvysvtlivkyVlevo0cmPrvndek0cm"/>
        <w:numPr>
          <w:ilvl w:val="0"/>
          <w:numId w:val="5"/>
        </w:numPr>
        <w:jc w:val="both"/>
      </w:pPr>
      <w:r>
        <w:t xml:space="preserve">konsolidovaný </w:t>
      </w:r>
      <w:r w:rsidRPr="009833CE">
        <w:t xml:space="preserve">státní rozpočet včetně Národního fondu a </w:t>
      </w:r>
      <w:r>
        <w:t>Fondu</w:t>
      </w:r>
      <w:r w:rsidRPr="009833CE">
        <w:t xml:space="preserve"> privatizace</w:t>
      </w:r>
    </w:p>
    <w:p w:rsidR="003649B8" w:rsidRPr="00C932B0" w:rsidRDefault="003649B8" w:rsidP="002B30F9">
      <w:pPr>
        <w:pStyle w:val="StylvysvtlivkyVlevo0cmPrvndek0cm"/>
        <w:numPr>
          <w:ilvl w:val="0"/>
          <w:numId w:val="5"/>
        </w:numPr>
        <w:ind w:right="504"/>
        <w:jc w:val="both"/>
      </w:pPr>
      <w:r>
        <w:t xml:space="preserve">Státní fond dopravní infrastruktury, </w:t>
      </w:r>
      <w:r w:rsidRPr="002D5276">
        <w:t>Státní fond rozvoj</w:t>
      </w:r>
      <w:r>
        <w:t>e</w:t>
      </w:r>
      <w:r w:rsidRPr="002D5276">
        <w:t xml:space="preserve"> bydlení, Státní fond životního prostředí, Státní fond kultury, Státní fond</w:t>
      </w:r>
      <w:r>
        <w:t xml:space="preserve"> </w:t>
      </w:r>
      <w:r w:rsidRPr="002D5276">
        <w:t>kinematografie</w:t>
      </w:r>
      <w:r>
        <w:t xml:space="preserve"> a</w:t>
      </w:r>
      <w:r w:rsidRPr="002D5276">
        <w:t xml:space="preserve"> Státní zemědělský inter</w:t>
      </w:r>
      <w:r>
        <w:t>venční fond</w:t>
      </w:r>
    </w:p>
    <w:p w:rsidR="003649B8" w:rsidRDefault="003649B8" w:rsidP="002B30F9">
      <w:pPr>
        <w:pStyle w:val="StylvysvtlivkyVlevo0cmPrvndek0cm"/>
        <w:numPr>
          <w:ilvl w:val="0"/>
          <w:numId w:val="5"/>
        </w:numPr>
      </w:pPr>
      <w:r w:rsidRPr="00901A94">
        <w:t>Územn</w:t>
      </w:r>
      <w:r>
        <w:t xml:space="preserve">í </w:t>
      </w:r>
      <w:r w:rsidRPr="00901A94">
        <w:t>samosprávné celky zahrnují obc</w:t>
      </w:r>
      <w:r>
        <w:t xml:space="preserve">e, kraje, dobrovolné svazky obcí </w:t>
      </w:r>
      <w:r w:rsidRPr="003B3D06">
        <w:t xml:space="preserve">a </w:t>
      </w:r>
      <w:r>
        <w:t>R</w:t>
      </w:r>
      <w:r w:rsidRPr="003B3D06">
        <w:t>egionální rady regionů</w:t>
      </w:r>
      <w:r>
        <w:t xml:space="preserve"> soudržnosti. </w:t>
      </w:r>
    </w:p>
    <w:p w:rsidR="003649B8" w:rsidRDefault="003649B8" w:rsidP="002A6109">
      <w:pPr>
        <w:pStyle w:val="Caption"/>
      </w:pPr>
      <w:bookmarkStart w:id="29" w:name="čísl_4"/>
      <w:bookmarkEnd w:id="29"/>
      <w:r>
        <w:t xml:space="preserve">Dodatek: Vývoj hospodaření konsolidovaných veřejných rozpočtů </w:t>
      </w:r>
    </w:p>
    <w:p w:rsidR="003649B8" w:rsidRDefault="003649B8" w:rsidP="002A6109">
      <w:pPr>
        <w:pStyle w:val="Caption"/>
      </w:pPr>
      <w:r>
        <w:t xml:space="preserve">Tabulka č. </w:t>
      </w:r>
      <w:fldSimple w:instr=" SEQ Tabulka \* ARABIC " w:fldLock="1">
        <w:r>
          <w:rPr>
            <w:noProof/>
          </w:rPr>
          <w:t>7</w:t>
        </w:r>
      </w:fldSimple>
      <w:r>
        <w:rPr>
          <w:noProof/>
        </w:rPr>
        <w:t xml:space="preserve">: </w:t>
      </w:r>
      <w:r>
        <w:t>Příjmy konsolidovaných veřejných rozpočtů</w:t>
      </w:r>
    </w:p>
    <w:p w:rsidR="003649B8" w:rsidRDefault="003649B8" w:rsidP="007F774F">
      <w:pPr>
        <w:pStyle w:val="graftab"/>
      </w:pPr>
      <w:r>
        <w:pict>
          <v:shape id="_x0000_i1036" type="#_x0000_t75" style="width:685.2pt;height:389.4pt">
            <v:imagedata r:id="rId25" o:title=""/>
          </v:shape>
        </w:pict>
      </w:r>
      <w:r>
        <w:t>Pramen: Ministerstvo financí ČR</w:t>
      </w:r>
    </w:p>
    <w:p w:rsidR="003649B8" w:rsidRDefault="003649B8" w:rsidP="002A6109">
      <w:pPr>
        <w:pStyle w:val="Caption"/>
      </w:pPr>
      <w:r>
        <w:t xml:space="preserve">Tabulka č. </w:t>
      </w:r>
      <w:fldSimple w:instr=" SEQ Tabulka \* ARABIC " w:fldLock="1">
        <w:r>
          <w:rPr>
            <w:noProof/>
          </w:rPr>
          <w:t>8</w:t>
        </w:r>
      </w:fldSimple>
      <w:r>
        <w:rPr>
          <w:noProof/>
        </w:rPr>
        <w:t xml:space="preserve">: </w:t>
      </w:r>
      <w:r>
        <w:t>Výdaje a saldo konsolidovaných veřejných rozpočtů</w:t>
      </w:r>
    </w:p>
    <w:p w:rsidR="003649B8" w:rsidRDefault="003649B8" w:rsidP="007F774F">
      <w:pPr>
        <w:pStyle w:val="graftab"/>
      </w:pPr>
      <w:r>
        <w:pict>
          <v:shape id="_x0000_i1037" type="#_x0000_t75" style="width:682.2pt;height:394.8pt">
            <v:imagedata r:id="rId26" o:title=""/>
          </v:shape>
        </w:pict>
      </w:r>
      <w:r w:rsidRPr="007546CD">
        <w:t xml:space="preserve">Pramen: </w:t>
      </w:r>
      <w:r>
        <w:t>Ministerstvo financí ČR</w:t>
      </w:r>
    </w:p>
    <w:p w:rsidR="003649B8" w:rsidRDefault="003649B8" w:rsidP="0026728D">
      <w:pPr>
        <w:sectPr w:rsidR="003649B8" w:rsidSect="00256D4F">
          <w:type w:val="continuous"/>
          <w:pgSz w:w="16840" w:h="11907" w:orient="landscape"/>
          <w:pgMar w:top="1418" w:right="1418" w:bottom="1418" w:left="1418" w:header="708" w:footer="708" w:gutter="0"/>
          <w:cols w:space="708"/>
        </w:sectPr>
      </w:pPr>
    </w:p>
    <w:p w:rsidR="003649B8" w:rsidRDefault="003649B8" w:rsidP="00256D4F">
      <w:pPr>
        <w:sectPr w:rsidR="003649B8" w:rsidSect="00256D4F">
          <w:type w:val="continuous"/>
          <w:pgSz w:w="16840" w:h="11907" w:orient="landscape"/>
          <w:pgMar w:top="1418" w:right="1418" w:bottom="1418" w:left="1418" w:header="708" w:footer="708" w:gutter="0"/>
          <w:cols w:space="708"/>
        </w:sectPr>
      </w:pPr>
    </w:p>
    <w:p w:rsidR="003649B8" w:rsidRDefault="003649B8" w:rsidP="002B30F9">
      <w:pPr>
        <w:pStyle w:val="Heading2"/>
        <w:numPr>
          <w:ilvl w:val="0"/>
          <w:numId w:val="8"/>
        </w:numPr>
        <w:tabs>
          <w:tab w:val="clear" w:pos="720"/>
          <w:tab w:val="num" w:pos="0"/>
        </w:tabs>
        <w:spacing w:before="0" w:after="0"/>
        <w:ind w:left="360"/>
        <w:rPr>
          <w:lang w:val="de-DE"/>
        </w:rPr>
      </w:pPr>
      <w:bookmarkStart w:id="30" w:name="_Toc428446401"/>
      <w:r>
        <w:rPr>
          <w:lang w:val="de-DE"/>
        </w:rPr>
        <w:t>Dluh veřejných rozpočtů</w:t>
      </w:r>
      <w:bookmarkEnd w:id="30"/>
    </w:p>
    <w:p w:rsidR="003649B8" w:rsidRPr="007F138A" w:rsidRDefault="003649B8" w:rsidP="006F7399">
      <w:pPr>
        <w:spacing w:line="360" w:lineRule="auto"/>
        <w:rPr>
          <w:lang w:val="de-DE"/>
        </w:rPr>
      </w:pPr>
    </w:p>
    <w:p w:rsidR="003649B8" w:rsidRDefault="003649B8" w:rsidP="00D47C43">
      <w:pPr>
        <w:pStyle w:val="Standardnstyl"/>
      </w:pPr>
      <w:r>
        <w:t xml:space="preserve">V roce 2015 se očekává dluh veřejných rozpočtů ve výši 1 776,0 mld. Kč (z toho státní dluh 1 663,0 mld. Kč). Pro srovnání rozpočtovaná výše dluhu veřejných rozpočtů činí 1 790,2 mld. Kč. Poměr veřejného dluhu k HDP se meziročně sníží o 1,6 p. b. na 39,7 % HDP, a to vlivem jak použití peněžních prostředků ze systému řízení likvidity státní pokladny, tak vlivem růstu ekonomiky. Hlavní příčinu růstu dluhu veřejných rozpočtů představuje deficit státního rozpočtu, a proto má státní dluh v jeho struktuře nejvyšší </w:t>
      </w:r>
      <w:r w:rsidRPr="008E5B97">
        <w:t>váhu (</w:t>
      </w:r>
      <w:r>
        <w:t xml:space="preserve">93,4 </w:t>
      </w:r>
      <w:r w:rsidRPr="008E5B97">
        <w:t>%)</w:t>
      </w:r>
      <w:r>
        <w:rPr>
          <w:rStyle w:val="FootnoteReference"/>
        </w:rPr>
        <w:footnoteReference w:id="3"/>
      </w:r>
      <w:r w:rsidRPr="008E5B97">
        <w:t>.</w:t>
      </w:r>
    </w:p>
    <w:p w:rsidR="003649B8" w:rsidRPr="00566707" w:rsidRDefault="003649B8" w:rsidP="00D47C43">
      <w:pPr>
        <w:pStyle w:val="Standardnstyl"/>
      </w:pPr>
      <w:r>
        <w:t xml:space="preserve">V roce 2016 dynamika růstu veřejného </w:t>
      </w:r>
      <w:r w:rsidRPr="00566707">
        <w:t xml:space="preserve">dluhu </w:t>
      </w:r>
      <w:r w:rsidRPr="0065130D">
        <w:t>vzroste</w:t>
      </w:r>
      <w:r w:rsidRPr="00ED4432">
        <w:t xml:space="preserve"> na </w:t>
      </w:r>
      <w:r>
        <w:t>3,9</w:t>
      </w:r>
      <w:r w:rsidRPr="00ED4432">
        <w:t xml:space="preserve"> % a očekáv</w:t>
      </w:r>
      <w:r>
        <w:t xml:space="preserve">á se </w:t>
      </w:r>
      <w:r w:rsidRPr="00424134">
        <w:t>zvýšení j</w:t>
      </w:r>
      <w:r>
        <w:t>eho</w:t>
      </w:r>
      <w:r w:rsidRPr="00ED4432">
        <w:t xml:space="preserve"> stav</w:t>
      </w:r>
      <w:r>
        <w:t xml:space="preserve">u </w:t>
      </w:r>
      <w:r w:rsidRPr="00ED4432">
        <w:t xml:space="preserve">o </w:t>
      </w:r>
      <w:r>
        <w:t>68,6</w:t>
      </w:r>
      <w:r w:rsidRPr="00ED4432">
        <w:t xml:space="preserve"> mld. Kč na </w:t>
      </w:r>
      <w:r>
        <w:t>1 844,6</w:t>
      </w:r>
      <w:r w:rsidRPr="00ED4432">
        <w:t xml:space="preserve"> mld. Kč. V po</w:t>
      </w:r>
      <w:r>
        <w:t>měro</w:t>
      </w:r>
      <w:r w:rsidRPr="00ED4432">
        <w:t xml:space="preserve">vém vyjádření k HDP </w:t>
      </w:r>
      <w:r>
        <w:t xml:space="preserve">se </w:t>
      </w:r>
      <w:r w:rsidRPr="00ED4432">
        <w:t>ve srovnání s rokem 201</w:t>
      </w:r>
      <w:r>
        <w:t>5</w:t>
      </w:r>
      <w:r w:rsidRPr="00ED4432">
        <w:t xml:space="preserve"> </w:t>
      </w:r>
      <w:r>
        <w:t>nezmění a zůstane na úrovni</w:t>
      </w:r>
      <w:r w:rsidRPr="00ED4432">
        <w:t xml:space="preserve"> </w:t>
      </w:r>
      <w:r>
        <w:t>39,7</w:t>
      </w:r>
      <w:r w:rsidRPr="00ED4432">
        <w:t xml:space="preserve"> % HDP. Váha státního dluhu na celkovém veřejném zadlužení se </w:t>
      </w:r>
      <w:r>
        <w:t>meziročně zvýší na</w:t>
      </w:r>
      <w:r w:rsidRPr="00ED4432">
        <w:t xml:space="preserve"> </w:t>
      </w:r>
      <w:r>
        <w:t xml:space="preserve">93,7 </w:t>
      </w:r>
      <w:r w:rsidRPr="00ED4432">
        <w:t>%</w:t>
      </w:r>
      <w:r w:rsidRPr="007B01E2">
        <w:rPr>
          <w:vertAlign w:val="superscript"/>
        </w:rPr>
        <w:t>4</w:t>
      </w:r>
      <w:r w:rsidRPr="00ED4432">
        <w:t>. Jeho meziroční dynamika ve srovnání s</w:t>
      </w:r>
      <w:r>
        <w:t> </w:t>
      </w:r>
      <w:r w:rsidRPr="00ED4432">
        <w:t xml:space="preserve">rokem 2014 </w:t>
      </w:r>
      <w:r w:rsidRPr="00424134">
        <w:t>vzroste o</w:t>
      </w:r>
      <w:r w:rsidRPr="00ED4432">
        <w:t xml:space="preserve"> </w:t>
      </w:r>
      <w:r>
        <w:t>3,4</w:t>
      </w:r>
      <w:r w:rsidRPr="00566707">
        <w:t xml:space="preserve"> p.</w:t>
      </w:r>
      <w:r>
        <w:t xml:space="preserve"> </w:t>
      </w:r>
      <w:r w:rsidRPr="00566707">
        <w:t xml:space="preserve">b. na </w:t>
      </w:r>
      <w:r>
        <w:t>4,2</w:t>
      </w:r>
      <w:r w:rsidRPr="00566707">
        <w:t xml:space="preserve"> %.</w:t>
      </w:r>
    </w:p>
    <w:p w:rsidR="003649B8" w:rsidRDefault="003649B8" w:rsidP="00B61162">
      <w:pPr>
        <w:pStyle w:val="Standardnstyl"/>
      </w:pPr>
      <w:r w:rsidRPr="00566707">
        <w:t xml:space="preserve">U podílu jednotlivých segmentů veřejných rozpočtů na celkovém zadlužení nedojde k žádným výrazným změnám. Z hlediska váhy se po státním dluhu na celkovém dluhu veřejných rozpočtů nejvíce podílejí územní samosprávné celky, jejichž zadlužení </w:t>
      </w:r>
      <w:r>
        <w:t xml:space="preserve">se má </w:t>
      </w:r>
      <w:r w:rsidRPr="00566707">
        <w:t>v roce 201</w:t>
      </w:r>
      <w:r>
        <w:t>6</w:t>
      </w:r>
      <w:r w:rsidRPr="00566707">
        <w:t xml:space="preserve"> ve srovnání s rokem</w:t>
      </w:r>
      <w:r>
        <w:t xml:space="preserve"> 2015</w:t>
      </w:r>
      <w:r w:rsidRPr="00566707">
        <w:t xml:space="preserve"> </w:t>
      </w:r>
      <w:r w:rsidRPr="004C62E0">
        <w:t>nepatrně snížit</w:t>
      </w:r>
      <w:r w:rsidRPr="00DF41F4">
        <w:t>.</w:t>
      </w:r>
      <w:r w:rsidRPr="00566707">
        <w:t xml:space="preserve"> </w:t>
      </w:r>
      <w:r w:rsidRPr="005D4DEC">
        <w:t>Z mimorozpočtových fondů by měl v roce 2016 zaznamenat dluh stejně jako v roce 2015 Státní zemědělský intervenční fond z</w:t>
      </w:r>
      <w:r>
        <w:t xml:space="preserve"> </w:t>
      </w:r>
      <w:r w:rsidRPr="005D4DEC">
        <w:t xml:space="preserve">důvodu krátkodobé půjčky ze státního rozpočtu ve výši </w:t>
      </w:r>
      <w:r>
        <w:t>0,2</w:t>
      </w:r>
      <w:r w:rsidRPr="005D4DEC">
        <w:t xml:space="preserve"> mld. Kč. </w:t>
      </w:r>
      <w:r w:rsidRPr="00340FCC">
        <w:t>Avšak z důvodu konsolidace se celkový dluh veřejných rozpočtů touto operací nezvýší. Jak již bylo řečeno, vyčerpání vlastních zdrojů mimorozpočtových fondů k financování deficitů představuje potenciální riziko růstu dluhu veřejných rozpočtů.</w:t>
      </w:r>
      <w:r w:rsidRPr="002C6CB8">
        <w:t xml:space="preserve"> </w:t>
      </w:r>
      <w:r w:rsidRPr="002F0331">
        <w:t xml:space="preserve">Zdravotní pojišťovny </w:t>
      </w:r>
      <w:r w:rsidRPr="00340FCC">
        <w:t xml:space="preserve">vykážou </w:t>
      </w:r>
      <w:r>
        <w:t xml:space="preserve">v roce 2015 </w:t>
      </w:r>
      <w:r w:rsidRPr="00340FCC">
        <w:t>dluh vůči státnímu rozpočtu</w:t>
      </w:r>
      <w:r>
        <w:t xml:space="preserve"> ve výši 0,5 mld. Kč, </w:t>
      </w:r>
      <w:r w:rsidRPr="0002673C">
        <w:t xml:space="preserve">který je </w:t>
      </w:r>
      <w:r>
        <w:t xml:space="preserve">ale </w:t>
      </w:r>
      <w:r w:rsidRPr="0002673C">
        <w:t xml:space="preserve">na úrovni veřejných rozpočtů </w:t>
      </w:r>
      <w:r>
        <w:t xml:space="preserve">rovněž </w:t>
      </w:r>
      <w:r w:rsidRPr="0002673C">
        <w:t>konsolidován</w:t>
      </w:r>
      <w:r>
        <w:t>. V roce 2016 bude zcela splacen. Z</w:t>
      </w:r>
      <w:r w:rsidRPr="002F0331">
        <w:t>ávazky</w:t>
      </w:r>
      <w:r>
        <w:t xml:space="preserve"> zdravotních pojišťoven</w:t>
      </w:r>
      <w:r w:rsidRPr="002F0331">
        <w:t xml:space="preserve"> vůči zdravotnickým zařízením nejsou součástí dluhu</w:t>
      </w:r>
      <w:r>
        <w:t xml:space="preserve"> veřejných rozpočtů</w:t>
      </w:r>
      <w:r w:rsidRPr="00566707">
        <w:t>.</w:t>
      </w:r>
    </w:p>
    <w:p w:rsidR="003649B8" w:rsidRDefault="003649B8" w:rsidP="00B61162">
      <w:pPr>
        <w:pStyle w:val="Standardnstyl"/>
      </w:pPr>
      <w:r w:rsidRPr="003C5F55">
        <w:t xml:space="preserve">Z hlediska mezinárodního srovnání není úroveň dluhu </w:t>
      </w:r>
      <w:r>
        <w:t xml:space="preserve">veřejných rozpočtů v </w:t>
      </w:r>
      <w:r w:rsidRPr="003C5F55">
        <w:t xml:space="preserve">ČR vysoká, nicméně rizikem </w:t>
      </w:r>
      <w:r>
        <w:t>může být</w:t>
      </w:r>
      <w:r w:rsidRPr="003C5F55">
        <w:t xml:space="preserve"> </w:t>
      </w:r>
      <w:r>
        <w:t xml:space="preserve">v budoucnu další </w:t>
      </w:r>
      <w:r w:rsidRPr="003C5F55">
        <w:t xml:space="preserve">případný nepříznivý ekonomický vývoj, který </w:t>
      </w:r>
      <w:r>
        <w:t>může mít</w:t>
      </w:r>
      <w:r w:rsidRPr="003C5F55">
        <w:t xml:space="preserve"> za následek zrychlení dynamiky jeho růstu. Navíc růst dluhu byl v minulosti značně zpomalován inkasem privatizačních příjmů, jejichž vliv v posledních letech víceméně odezněl a dosažená výše deficitu má tak na růst dluhu těsnější vazbu. Proto je jediným možným řešením </w:t>
      </w:r>
      <w:r>
        <w:t>snižování</w:t>
      </w:r>
      <w:r w:rsidRPr="003C5F55">
        <w:t xml:space="preserve"> schodků veřejných rozpočtů, které dluh generují, v lepším případě pak trvalé dosahování přebytků primární bilance</w:t>
      </w:r>
      <w:r>
        <w:t>.</w:t>
      </w:r>
    </w:p>
    <w:p w:rsidR="003649B8" w:rsidRDefault="003649B8" w:rsidP="002A6109">
      <w:pPr>
        <w:pStyle w:val="Caption"/>
      </w:pPr>
      <w:r>
        <w:t xml:space="preserve">Tabulka č. </w:t>
      </w:r>
      <w:fldSimple w:instr=" SEQ Tabulka \* ARABIC " w:fldLock="1">
        <w:r>
          <w:rPr>
            <w:noProof/>
          </w:rPr>
          <w:t>9</w:t>
        </w:r>
      </w:fldSimple>
      <w:r>
        <w:rPr>
          <w:noProof/>
        </w:rPr>
        <w:t>:</w:t>
      </w:r>
      <w:r>
        <w:t>Vývoj dluhu veřejných rozpočtů v mld. Kč a jeho poměr k HDP</w:t>
      </w:r>
    </w:p>
    <w:p w:rsidR="003649B8" w:rsidRDefault="003649B8" w:rsidP="00256D4F">
      <w:pPr>
        <w:pStyle w:val="Pramen"/>
      </w:pPr>
      <w:r>
        <w:pict>
          <v:shape id="_x0000_i1038" type="#_x0000_t75" style="width:447.6pt;height:133.2pt">
            <v:imagedata r:id="rId27" o:title=""/>
          </v:shape>
        </w:pict>
      </w:r>
      <w:r>
        <w:t>Pramen: Ministerstvo financí ČR</w:t>
      </w:r>
    </w:p>
    <w:p w:rsidR="003649B8" w:rsidRDefault="003649B8" w:rsidP="00515DAB">
      <w:pPr>
        <w:sectPr w:rsidR="003649B8">
          <w:headerReference w:type="first" r:id="rId28"/>
          <w:type w:val="continuous"/>
          <w:pgSz w:w="11906" w:h="16838"/>
          <w:pgMar w:top="1417" w:right="1417" w:bottom="1417" w:left="1417" w:header="708" w:footer="708" w:gutter="0"/>
          <w:cols w:space="708"/>
          <w:docGrid w:linePitch="360"/>
        </w:sectPr>
      </w:pPr>
    </w:p>
    <w:p w:rsidR="003649B8" w:rsidRDefault="003649B8" w:rsidP="00070F54">
      <w:pPr>
        <w:sectPr w:rsidR="003649B8">
          <w:headerReference w:type="first" r:id="rId29"/>
          <w:type w:val="continuous"/>
          <w:pgSz w:w="11906" w:h="16838"/>
          <w:pgMar w:top="1417" w:right="1417" w:bottom="1417" w:left="1417" w:header="708" w:footer="708" w:gutter="0"/>
          <w:cols w:space="708"/>
          <w:docGrid w:linePitch="360"/>
        </w:sectPr>
      </w:pPr>
      <w:r w:rsidRPr="00B763D5">
        <w:rPr>
          <w:i/>
          <w:sz w:val="20"/>
          <w:szCs w:val="20"/>
        </w:rPr>
        <w:t>Pozn</w:t>
      </w:r>
      <w:r w:rsidRPr="00070F54">
        <w:rPr>
          <w:i/>
          <w:sz w:val="20"/>
          <w:szCs w:val="20"/>
        </w:rPr>
        <w:t>.: Dluh veřejných rozpočtů včetně jeho jednotlivých složek je vykázán v</w:t>
      </w:r>
      <w:r>
        <w:rPr>
          <w:i/>
          <w:sz w:val="20"/>
          <w:szCs w:val="20"/>
        </w:rPr>
        <w:t xml:space="preserve"> </w:t>
      </w:r>
      <w:r w:rsidRPr="00070F54">
        <w:rPr>
          <w:i/>
          <w:sz w:val="20"/>
          <w:szCs w:val="20"/>
        </w:rPr>
        <w:t>metodice Mezinárodního měnového fondu GFS 200</w:t>
      </w:r>
      <w:r>
        <w:rPr>
          <w:i/>
          <w:sz w:val="20"/>
          <w:szCs w:val="20"/>
        </w:rPr>
        <w:t>1.</w:t>
      </w:r>
    </w:p>
    <w:p w:rsidR="003649B8" w:rsidRDefault="003649B8" w:rsidP="00256D4F">
      <w:pPr>
        <w:sectPr w:rsidR="003649B8">
          <w:headerReference w:type="first" r:id="rId30"/>
          <w:type w:val="continuous"/>
          <w:pgSz w:w="11906" w:h="16838"/>
          <w:pgMar w:top="1417" w:right="1417" w:bottom="1417" w:left="1417" w:header="708" w:footer="708" w:gutter="0"/>
          <w:cols w:space="708"/>
          <w:docGrid w:linePitch="360"/>
        </w:sectPr>
      </w:pPr>
    </w:p>
    <w:p w:rsidR="003649B8" w:rsidRDefault="003649B8" w:rsidP="00044930">
      <w:pPr>
        <w:sectPr w:rsidR="003649B8">
          <w:headerReference w:type="first" r:id="rId31"/>
          <w:pgSz w:w="11906" w:h="16838"/>
          <w:pgMar w:top="1417" w:right="1417" w:bottom="1417" w:left="1417" w:header="708" w:footer="708" w:gutter="0"/>
          <w:cols w:space="708"/>
          <w:docGrid w:linePitch="360"/>
        </w:sectPr>
      </w:pPr>
    </w:p>
    <w:p w:rsidR="003649B8" w:rsidRDefault="003649B8" w:rsidP="00A77FBE">
      <w:pPr>
        <w:pStyle w:val="Heading1"/>
        <w:spacing w:before="0"/>
      </w:pPr>
      <w:bookmarkStart w:id="31" w:name="_Toc428446402"/>
      <w:bookmarkStart w:id="32" w:name="_Toc112674750"/>
      <w:bookmarkStart w:id="33" w:name="_Toc207011059"/>
      <w:bookmarkStart w:id="34" w:name="_Toc112674751"/>
      <w:bookmarkStart w:id="35" w:name="_Toc207011060"/>
      <w:bookmarkEnd w:id="2"/>
      <w:bookmarkEnd w:id="3"/>
      <w:bookmarkEnd w:id="4"/>
      <w:bookmarkEnd w:id="5"/>
      <w:bookmarkEnd w:id="6"/>
      <w:bookmarkEnd w:id="9"/>
      <w:bookmarkEnd w:id="10"/>
      <w:bookmarkEnd w:id="11"/>
      <w:bookmarkEnd w:id="12"/>
      <w:bookmarkEnd w:id="23"/>
      <w:r>
        <w:t>II. Mimorozpočtové fondy</w:t>
      </w:r>
      <w:bookmarkEnd w:id="31"/>
    </w:p>
    <w:p w:rsidR="003649B8" w:rsidRDefault="003649B8" w:rsidP="00F15E35">
      <w:pPr>
        <w:pStyle w:val="Heading2"/>
        <w:numPr>
          <w:ilvl w:val="0"/>
          <w:numId w:val="3"/>
        </w:numPr>
      </w:pPr>
      <w:bookmarkStart w:id="36" w:name="_Toc524941172"/>
      <w:bookmarkStart w:id="37" w:name="_Toc24962056"/>
      <w:bookmarkStart w:id="38" w:name="_Toc49932518"/>
      <w:bookmarkStart w:id="39" w:name="_Toc50797855"/>
      <w:bookmarkStart w:id="40" w:name="_Toc50966502"/>
      <w:bookmarkStart w:id="41" w:name="_Toc207011057"/>
      <w:bookmarkStart w:id="42" w:name="_Toc428446403"/>
      <w:r>
        <w:t>Státní fondy</w:t>
      </w:r>
      <w:bookmarkStart w:id="43" w:name="_Toc112674749"/>
      <w:bookmarkStart w:id="44" w:name="_Toc24962059"/>
      <w:bookmarkStart w:id="45" w:name="_Toc31168978"/>
      <w:bookmarkStart w:id="46" w:name="_Toc50797858"/>
      <w:bookmarkStart w:id="47" w:name="_Toc50966505"/>
      <w:bookmarkEnd w:id="36"/>
      <w:bookmarkEnd w:id="37"/>
      <w:bookmarkEnd w:id="38"/>
      <w:bookmarkEnd w:id="39"/>
      <w:bookmarkEnd w:id="40"/>
      <w:bookmarkEnd w:id="41"/>
      <w:bookmarkEnd w:id="42"/>
    </w:p>
    <w:p w:rsidR="003649B8" w:rsidRPr="0072774E" w:rsidRDefault="003649B8" w:rsidP="0072774E"/>
    <w:p w:rsidR="003649B8" w:rsidRDefault="003649B8" w:rsidP="00F15E35">
      <w:pPr>
        <w:sectPr w:rsidR="003649B8" w:rsidSect="00044930">
          <w:type w:val="continuous"/>
          <w:pgSz w:w="11906" w:h="16838"/>
          <w:pgMar w:top="1417" w:right="1417" w:bottom="1417" w:left="1417" w:header="708" w:footer="708" w:gutter="0"/>
          <w:cols w:space="708"/>
          <w:docGrid w:linePitch="360"/>
        </w:sectPr>
      </w:pPr>
      <w:bookmarkStart w:id="48" w:name="_Toc207011058"/>
      <w:bookmarkStart w:id="49" w:name="_Toc269750352"/>
      <w:bookmarkEnd w:id="43"/>
    </w:p>
    <w:p w:rsidR="003649B8" w:rsidRDefault="003649B8" w:rsidP="00E51A96">
      <w:pPr>
        <w:pStyle w:val="Heading3"/>
        <w:spacing w:before="0" w:after="0"/>
      </w:pPr>
      <w:bookmarkStart w:id="50" w:name="_Toc428446404"/>
      <w:bookmarkEnd w:id="48"/>
      <w:bookmarkEnd w:id="49"/>
      <w:r>
        <w:t>Státní fond životního prostředí České republiky</w:t>
      </w:r>
      <w:bookmarkEnd w:id="50"/>
    </w:p>
    <w:p w:rsidR="003649B8" w:rsidRDefault="003649B8" w:rsidP="0026728D">
      <w:pPr>
        <w:sectPr w:rsidR="003649B8" w:rsidSect="00256D4F">
          <w:type w:val="continuous"/>
          <w:pgSz w:w="11906" w:h="16838"/>
          <w:pgMar w:top="1417" w:right="1417" w:bottom="1417" w:left="1417" w:header="708" w:footer="708" w:gutter="0"/>
          <w:cols w:space="708"/>
          <w:docGrid w:linePitch="360"/>
        </w:sectPr>
      </w:pPr>
    </w:p>
    <w:p w:rsidR="003649B8" w:rsidRDefault="003649B8" w:rsidP="006F7399">
      <w:pPr>
        <w:spacing w:line="360" w:lineRule="auto"/>
        <w:sectPr w:rsidR="003649B8" w:rsidSect="00256D4F">
          <w:type w:val="continuous"/>
          <w:pgSz w:w="11906" w:h="16838"/>
          <w:pgMar w:top="1417" w:right="1417" w:bottom="1417" w:left="1417" w:header="708" w:footer="708" w:gutter="0"/>
          <w:cols w:space="708"/>
          <w:docGrid w:linePitch="360"/>
        </w:sectPr>
      </w:pPr>
    </w:p>
    <w:bookmarkEnd w:id="44"/>
    <w:bookmarkEnd w:id="45"/>
    <w:bookmarkEnd w:id="46"/>
    <w:bookmarkEnd w:id="47"/>
    <w:p w:rsidR="003649B8" w:rsidRDefault="003649B8" w:rsidP="00B61162">
      <w:pPr>
        <w:pStyle w:val="Standardnstyl"/>
      </w:pPr>
      <w:r>
        <w:t>Státní fond životního prostředí České republiky (dále SFŽP nebo v rámci této kapitoly Fond) vznikl v roce 1991 na základě zákona č. 388/1991 Sb</w:t>
      </w:r>
      <w:r w:rsidRPr="00963065">
        <w:t xml:space="preserve">., </w:t>
      </w:r>
      <w:r w:rsidRPr="00963065">
        <w:rPr>
          <w:rStyle w:val="tema2"/>
        </w:rPr>
        <w:t>o Státním fondu životního prostředí České republiky</w:t>
      </w:r>
      <w:r>
        <w:rPr>
          <w:rStyle w:val="tema2"/>
        </w:rPr>
        <w:t>,</w:t>
      </w:r>
      <w:r>
        <w:t xml:space="preserve"> a to sloučením Fondu ochrany vod a Fondu ochrany ovzduší. Jeho správcem je Ministerstvo životního prostředí, které vůči němu vykonává zřizovatelské funkce. SFŽP představuje jeden ze základních centrálních nástrojů pro realizaci aktuální politiky životního prostředí České republiky, ať již státní nebo vyplývající z mezinárodních smluv či členství v EU.</w:t>
      </w:r>
    </w:p>
    <w:p w:rsidR="003649B8" w:rsidRDefault="003649B8" w:rsidP="00B61162">
      <w:pPr>
        <w:pStyle w:val="Standardnstyl"/>
      </w:pPr>
      <w:r>
        <w:t xml:space="preserve">Fond plní funkci významného finančního zdroje pro podporu opatření k ochraně a zlepšování stavu životního prostředí. Dále vykonává úlohu zprostředkujícího orgánu u prostředků získávaných od EU pro oblast životního prostředí v rámci Operačního programu Životní prostředí (OPŽP). SFŽP byl ustanoven implementačním orgánem pro Fond </w:t>
      </w:r>
      <w:r w:rsidRPr="00A64051">
        <w:t>soudržnosti</w:t>
      </w:r>
      <w:r>
        <w:t xml:space="preserve"> a využívá také prostředků z Programu švýcarsko-české spolupráce.</w:t>
      </w:r>
    </w:p>
    <w:p w:rsidR="003649B8" w:rsidRDefault="003649B8" w:rsidP="00B61162">
      <w:pPr>
        <w:pStyle w:val="Standardnstyl"/>
      </w:pPr>
      <w:r>
        <w:t xml:space="preserve">SFŽP disponuje příjmy zejména z plateb za znečišťování nebo poškozování jednotlivých složek životního prostředí, úroků z uložených disponibilních prostředků na termínovaných účtech a z dotací ze státního rozpočtu na úhradu výdajů vynaložených z technické asistence programů EU na jejich administraci. V letech 2009 – 2012 byly součástí příjmové strany Fondu příjmy z prodeje jednotek AAU </w:t>
      </w:r>
      <w:r w:rsidRPr="00541C2A">
        <w:t>(</w:t>
      </w:r>
      <w:r w:rsidRPr="00AE0A4E">
        <w:rPr>
          <w:i/>
        </w:rPr>
        <w:t>Assigned Amounts Units</w:t>
      </w:r>
      <w:r>
        <w:t>, Kjótský protokol</w:t>
      </w:r>
      <w:r>
        <w:rPr>
          <w:rStyle w:val="FootnoteReference"/>
        </w:rPr>
        <w:footnoteReference w:id="4"/>
      </w:r>
      <w:r>
        <w:t>, čl. 17</w:t>
      </w:r>
      <w:r w:rsidRPr="00541C2A">
        <w:t>)</w:t>
      </w:r>
      <w:r>
        <w:t xml:space="preserve">. O použití peněžních prostředků Fondu rozhoduje ze zákona ministr životního prostředí. </w:t>
      </w:r>
      <w:r w:rsidRPr="00315A62">
        <w:rPr>
          <w:szCs w:val="24"/>
        </w:rPr>
        <w:t>Fond v roce 2003 a 2004 čerpal úvěr od společnosti MUFIS, a. s</w:t>
      </w:r>
      <w:r>
        <w:rPr>
          <w:szCs w:val="24"/>
        </w:rPr>
        <w:t>. ve výši 0,50 mld. Kč, který byl</w:t>
      </w:r>
      <w:r w:rsidRPr="00315A62">
        <w:rPr>
          <w:szCs w:val="24"/>
        </w:rPr>
        <w:t xml:space="preserve"> využíván jako zdroj krytí jeho finančních závazků. K 31. 12. 2014 byl</w:t>
      </w:r>
      <w:r>
        <w:rPr>
          <w:szCs w:val="24"/>
        </w:rPr>
        <w:t xml:space="preserve"> tento</w:t>
      </w:r>
      <w:r w:rsidRPr="00315A62">
        <w:rPr>
          <w:szCs w:val="24"/>
        </w:rPr>
        <w:t xml:space="preserve"> úvěr </w:t>
      </w:r>
      <w:r>
        <w:rPr>
          <w:szCs w:val="24"/>
        </w:rPr>
        <w:t xml:space="preserve">definitivně </w:t>
      </w:r>
      <w:r w:rsidRPr="00315A62">
        <w:rPr>
          <w:szCs w:val="24"/>
        </w:rPr>
        <w:t>splacen.</w:t>
      </w:r>
    </w:p>
    <w:p w:rsidR="003649B8" w:rsidRPr="00C11540" w:rsidRDefault="003649B8" w:rsidP="00B61162">
      <w:pPr>
        <w:pStyle w:val="Standardnstyl"/>
      </w:pPr>
      <w:r>
        <w:t xml:space="preserve">Podpory ze SFŽP jsou určeny zejména na ochranu vod, ovzduší, nakládání s odpady, ochranu přírody, péči o krajinu, podporu využívání obnovitelných zdrojů energie a na programy EU. Jsou poskytovány zejména formou dotací a půjček, případně jejich kombinací. Prostředky získané z prodeje jednotek AAU byly účelově vyčleněny na realizaci opatření vedoucích k úsporám energie a využití obnovitelných zdrojů energie v rodinných a bytových domech. V roce 2010 byl program rozšířen i o budovy veřejného sektoru. Podpora zmíněných opatření probíhala v rámci programu </w:t>
      </w:r>
      <w:r w:rsidRPr="00E93667">
        <w:rPr>
          <w:i/>
        </w:rPr>
        <w:t>Zelená úsporám</w:t>
      </w:r>
      <w:r>
        <w:t xml:space="preserve"> (GIS – </w:t>
      </w:r>
      <w:r w:rsidRPr="00AE0A4E">
        <w:rPr>
          <w:i/>
        </w:rPr>
        <w:t>Green Investment Scheme</w:t>
      </w:r>
      <w:r>
        <w:t xml:space="preserve">), jehož organizační </w:t>
      </w:r>
      <w:r w:rsidRPr="00C11540">
        <w:t>příprava byla zahájena na podzim 2008</w:t>
      </w:r>
      <w:r w:rsidRPr="00D61925">
        <w:t>.</w:t>
      </w:r>
      <w:r>
        <w:t xml:space="preserve"> P</w:t>
      </w:r>
      <w:r w:rsidRPr="00110FFE">
        <w:t xml:space="preserve">rogram </w:t>
      </w:r>
      <w:r w:rsidRPr="00E93667">
        <w:rPr>
          <w:i/>
        </w:rPr>
        <w:t>Zelená úsporám</w:t>
      </w:r>
      <w:r w:rsidRPr="00110FFE">
        <w:t xml:space="preserve"> </w:t>
      </w:r>
      <w:r>
        <w:t xml:space="preserve">byl prodloužen do konce roku 2016 dodatkem č. 3 ke směrnici MŽP č. 7/2010  z 8. září 2014 v oblasti podpory Realizace úspor energie v budovách veřejného sektoru. Na navazující program </w:t>
      </w:r>
      <w:r w:rsidRPr="00E93667">
        <w:rPr>
          <w:i/>
        </w:rPr>
        <w:t>Nová zelená úsporám</w:t>
      </w:r>
      <w:r w:rsidRPr="00110FFE">
        <w:t xml:space="preserve"> budou použity finanční prostředky SFŽP, převedené k</w:t>
      </w:r>
      <w:r>
        <w:t> </w:t>
      </w:r>
      <w:r w:rsidRPr="00110FFE">
        <w:t>financování tohoto programu z příjmů z poplatku na podporu sběru, zpracování, využití a</w:t>
      </w:r>
      <w:r>
        <w:t> </w:t>
      </w:r>
      <w:r w:rsidRPr="00110FFE">
        <w:t>odstranění vybraných autovraků.</w:t>
      </w:r>
    </w:p>
    <w:p w:rsidR="003649B8" w:rsidRPr="00C11540" w:rsidRDefault="003649B8" w:rsidP="00B61162">
      <w:pPr>
        <w:pStyle w:val="Standardnstyl"/>
      </w:pPr>
      <w:r w:rsidRPr="00C11540">
        <w:t>V roce 201</w:t>
      </w:r>
      <w:r>
        <w:t>5</w:t>
      </w:r>
      <w:r w:rsidRPr="00C11540">
        <w:t xml:space="preserve"> by celkové příjmy SFŽP měly </w:t>
      </w:r>
      <w:r w:rsidRPr="003856B0">
        <w:t xml:space="preserve">dosáhnout částky </w:t>
      </w:r>
      <w:r>
        <w:t>1,65</w:t>
      </w:r>
      <w:r w:rsidRPr="003856B0">
        <w:t xml:space="preserve"> mld. Kč, předpokládaná výše jeho celkových výdajů pak činí </w:t>
      </w:r>
      <w:r>
        <w:t>3,93</w:t>
      </w:r>
      <w:r w:rsidRPr="003856B0">
        <w:t xml:space="preserve"> mld. Kč. Od roku 2009 Fond podle zákona č. 383/2008 Sb.</w:t>
      </w:r>
      <w:r>
        <w:t>, kterým se mění zákon o odpadech a některé související zákony,</w:t>
      </w:r>
      <w:r w:rsidRPr="003856B0">
        <w:t xml:space="preserve"> disponuje příjmy z poplatků za převody a registraci automobilů, které nesplňují normy ochrany ovzduší. Příjmy z tohoto poplatku jsou účelově vázány na ekologickou likvidaci vozidel s ukončenou životností.</w:t>
      </w:r>
      <w:r>
        <w:t xml:space="preserve"> </w:t>
      </w:r>
      <w:r w:rsidRPr="00110FFE">
        <w:t>Hospodaření SFŽP skončí v roce 201</w:t>
      </w:r>
      <w:r>
        <w:t>5</w:t>
      </w:r>
      <w:r w:rsidRPr="00110FFE">
        <w:t xml:space="preserve"> deficitem ve výši </w:t>
      </w:r>
      <w:r>
        <w:t>2,28 </w:t>
      </w:r>
      <w:r w:rsidRPr="00110FFE">
        <w:t>mld. Kč</w:t>
      </w:r>
      <w:r>
        <w:t xml:space="preserve">. </w:t>
      </w:r>
      <w:r w:rsidRPr="00C62E68">
        <w:rPr>
          <w:szCs w:val="24"/>
        </w:rPr>
        <w:t>Záporné saldo příjmů a výdajů bude kryto zůstatkem finančních prostředků na účtech SFŽP</w:t>
      </w:r>
      <w:r>
        <w:rPr>
          <w:szCs w:val="24"/>
        </w:rPr>
        <w:t>.</w:t>
      </w:r>
      <w:r>
        <w:t xml:space="preserve"> </w:t>
      </w:r>
      <w:r w:rsidRPr="00C11540">
        <w:t>Konečný zůstatek peněžních prostředků Fondu by měl ke konci roku</w:t>
      </w:r>
      <w:r>
        <w:t xml:space="preserve"> 2015</w:t>
      </w:r>
      <w:r w:rsidRPr="00C11540">
        <w:t xml:space="preserve"> dosáhnout hodnoty </w:t>
      </w:r>
      <w:r>
        <w:t>3,86</w:t>
      </w:r>
      <w:r w:rsidRPr="00C11540">
        <w:t xml:space="preserve"> mld. Kč, přičemž převážná část z nich je vázána na termínovaných a</w:t>
      </w:r>
      <w:r>
        <w:t> </w:t>
      </w:r>
      <w:r w:rsidRPr="00C11540">
        <w:t xml:space="preserve">běžných účtech u komerčních bank. </w:t>
      </w:r>
    </w:p>
    <w:p w:rsidR="003649B8" w:rsidRDefault="003649B8" w:rsidP="00462013">
      <w:pPr>
        <w:spacing w:before="60" w:line="360" w:lineRule="auto"/>
        <w:ind w:firstLine="426"/>
        <w:jc w:val="both"/>
      </w:pPr>
      <w:r w:rsidRPr="009109D3">
        <w:t xml:space="preserve">Celkové příjmy na rok 2016 jsou rozpočtovány ve výši </w:t>
      </w:r>
      <w:r>
        <w:t>1,53</w:t>
      </w:r>
      <w:r w:rsidRPr="009109D3">
        <w:t xml:space="preserve"> mld. Kč. Největší podíl (</w:t>
      </w:r>
      <w:r>
        <w:t>54,6</w:t>
      </w:r>
      <w:r w:rsidRPr="009109D3">
        <w:t> % celkových příjmů) budou mít příjmy z poplatků, které vyplývají z předpisů o ochraně jednotlivých složek životního prostředí (</w:t>
      </w:r>
      <w:r>
        <w:t>0,83</w:t>
      </w:r>
      <w:r w:rsidRPr="009109D3">
        <w:t xml:space="preserve"> mld. Kč). Rozpočet výdajů na rok 2016 je sestaven v objemu </w:t>
      </w:r>
      <w:r>
        <w:t>1,95</w:t>
      </w:r>
      <w:r w:rsidRPr="009109D3">
        <w:t xml:space="preserve"> mld. Kč. Ve výdajové struktuře má </w:t>
      </w:r>
      <w:r>
        <w:t>64,5</w:t>
      </w:r>
      <w:r w:rsidRPr="009109D3">
        <w:t xml:space="preserve"> % výdajů kapitálový charakter (</w:t>
      </w:r>
      <w:r>
        <w:t>1,26</w:t>
      </w:r>
      <w:r w:rsidRPr="009109D3">
        <w:t xml:space="preserve"> mld. Kč), z toho </w:t>
      </w:r>
      <w:r>
        <w:t>53,8</w:t>
      </w:r>
      <w:r w:rsidRPr="009109D3">
        <w:t xml:space="preserve"> % má formu dotací územním samosprávným celkům. Rozpočet pro rok 2016 je plánován jako schodkový ve výši </w:t>
      </w:r>
      <w:r>
        <w:t>0,43</w:t>
      </w:r>
      <w:r w:rsidRPr="009109D3">
        <w:t xml:space="preserve"> mld. Kč.</w:t>
      </w:r>
      <w:r>
        <w:t xml:space="preserve"> Také v tomto případě bude záporné saldo kryto zůstatkem finančních prostředků na účtech Fondu, který by se měl k 31. prosinci 2016 snížit na 3,64 mld. Kč.</w:t>
      </w:r>
    </w:p>
    <w:p w:rsidR="003649B8" w:rsidRPr="00C62E68" w:rsidRDefault="003649B8" w:rsidP="00462013">
      <w:pPr>
        <w:spacing w:before="60" w:line="360" w:lineRule="auto"/>
        <w:ind w:firstLine="426"/>
        <w:jc w:val="both"/>
      </w:pPr>
    </w:p>
    <w:p w:rsidR="003649B8" w:rsidRDefault="003649B8" w:rsidP="002A6109">
      <w:pPr>
        <w:pStyle w:val="Caption"/>
      </w:pPr>
      <w:r>
        <w:t xml:space="preserve">Tabulka č. </w:t>
      </w:r>
      <w:fldSimple w:instr=" SEQ Tabulka \* ARABIC " w:fldLock="1">
        <w:r>
          <w:rPr>
            <w:noProof/>
          </w:rPr>
          <w:t>10</w:t>
        </w:r>
      </w:fldSimple>
      <w:r>
        <w:rPr>
          <w:noProof/>
        </w:rPr>
        <w:t xml:space="preserve">: </w:t>
      </w:r>
      <w:r>
        <w:t>Bilance Státního fondu životního prostředí v mld. Kč</w:t>
      </w:r>
    </w:p>
    <w:p w:rsidR="003649B8" w:rsidRDefault="003649B8" w:rsidP="007F774F">
      <w:pPr>
        <w:pStyle w:val="graftab"/>
      </w:pPr>
      <w:r>
        <w:pict>
          <v:shape id="_x0000_i1039" type="#_x0000_t75" style="width:445.8pt;height:532.8pt">
            <v:imagedata r:id="rId32" o:title=""/>
          </v:shape>
        </w:pict>
      </w:r>
      <w:r w:rsidRPr="003F2429">
        <w:t xml:space="preserve">Pramen: </w:t>
      </w:r>
      <w:r>
        <w:t xml:space="preserve">Ministerstvo financí ČR, </w:t>
      </w:r>
      <w:r w:rsidRPr="003F2429">
        <w:t>SFŽP</w:t>
      </w:r>
    </w:p>
    <w:p w:rsidR="003649B8" w:rsidRPr="003856B0" w:rsidRDefault="003649B8" w:rsidP="0026728D">
      <w:pPr>
        <w:rPr>
          <w:szCs w:val="20"/>
        </w:rPr>
        <w:sectPr w:rsidR="003649B8" w:rsidRPr="003856B0" w:rsidSect="00256D4F">
          <w:type w:val="continuous"/>
          <w:pgSz w:w="11906" w:h="16838"/>
          <w:pgMar w:top="1417" w:right="1417" w:bottom="1417" w:left="1417" w:header="708" w:footer="708" w:gutter="0"/>
          <w:cols w:space="708"/>
          <w:docGrid w:linePitch="360"/>
        </w:sectPr>
      </w:pPr>
      <w:r>
        <w:br w:type="page"/>
      </w:r>
    </w:p>
    <w:p w:rsidR="003649B8" w:rsidRDefault="003649B8" w:rsidP="00515DAB">
      <w:pPr>
        <w:sectPr w:rsidR="003649B8">
          <w:headerReference w:type="first" r:id="rId33"/>
          <w:type w:val="continuous"/>
          <w:pgSz w:w="11906" w:h="16838"/>
          <w:pgMar w:top="1417" w:right="1417" w:bottom="1417" w:left="1417" w:header="708" w:footer="708" w:gutter="0"/>
          <w:cols w:space="708"/>
          <w:docGrid w:linePitch="360"/>
        </w:sectPr>
      </w:pPr>
    </w:p>
    <w:p w:rsidR="003649B8" w:rsidRDefault="003649B8" w:rsidP="00E51A96">
      <w:pPr>
        <w:pStyle w:val="Heading3"/>
        <w:spacing w:before="0" w:after="0"/>
      </w:pPr>
      <w:bookmarkStart w:id="51" w:name="_Toc428446405"/>
      <w:bookmarkEnd w:id="32"/>
      <w:bookmarkEnd w:id="33"/>
      <w:r w:rsidRPr="007F326A">
        <w:t>Státní fond dopravní infrastruktury</w:t>
      </w:r>
      <w:bookmarkEnd w:id="51"/>
    </w:p>
    <w:p w:rsidR="003649B8" w:rsidRDefault="003649B8" w:rsidP="0026728D">
      <w:pPr>
        <w:sectPr w:rsidR="003649B8">
          <w:type w:val="continuous"/>
          <w:pgSz w:w="11906" w:h="16838"/>
          <w:pgMar w:top="1417" w:right="1417" w:bottom="1417" w:left="1417" w:header="708" w:footer="708" w:gutter="0"/>
          <w:cols w:space="708"/>
          <w:docGrid w:linePitch="360"/>
        </w:sectPr>
      </w:pPr>
    </w:p>
    <w:p w:rsidR="003649B8" w:rsidRDefault="003649B8" w:rsidP="006F7399">
      <w:pPr>
        <w:spacing w:line="360" w:lineRule="auto"/>
        <w:sectPr w:rsidR="003649B8">
          <w:headerReference w:type="first" r:id="rId34"/>
          <w:type w:val="continuous"/>
          <w:pgSz w:w="11906" w:h="16838"/>
          <w:pgMar w:top="1417" w:right="1417" w:bottom="1417" w:left="1417" w:header="708" w:footer="708" w:gutter="0"/>
          <w:cols w:space="708"/>
          <w:docGrid w:linePitch="360"/>
        </w:sectPr>
      </w:pPr>
    </w:p>
    <w:p w:rsidR="003649B8" w:rsidRDefault="003649B8" w:rsidP="00B61162">
      <w:pPr>
        <w:pStyle w:val="Standardnstyl"/>
      </w:pPr>
      <w:bookmarkStart w:id="52" w:name="_Toc112674753"/>
      <w:bookmarkEnd w:id="34"/>
      <w:bookmarkEnd w:id="35"/>
      <w:r>
        <w:t>Státní fond dopravní infrastruktury (dále SFDI nebo v této kapitole Fond) vznikl 1. července 2000. Byl zřízen zákonem č. 104/2000 Sb</w:t>
      </w:r>
      <w:r w:rsidRPr="005A3FCE">
        <w:t>., o Státním fondu dopravní infrastruktury a</w:t>
      </w:r>
      <w:r>
        <w:t> </w:t>
      </w:r>
      <w:r w:rsidRPr="005A3FCE">
        <w:t>o</w:t>
      </w:r>
      <w:r>
        <w:t> </w:t>
      </w:r>
      <w:r w:rsidRPr="005A3FCE">
        <w:t>změně zákona č.</w:t>
      </w:r>
      <w:r>
        <w:t> </w:t>
      </w:r>
      <w:r w:rsidRPr="005A3FCE">
        <w:t>171/1991 Sb., o</w:t>
      </w:r>
      <w:r>
        <w:t xml:space="preserve"> </w:t>
      </w:r>
      <w:r w:rsidRPr="005A3FCE">
        <w:t>působnosti orgánů České republiky ve věcech převodů majetku státu na jiné osoby a</w:t>
      </w:r>
      <w:r>
        <w:t xml:space="preserve"> </w:t>
      </w:r>
      <w:r w:rsidRPr="005A3FCE">
        <w:t>o</w:t>
      </w:r>
      <w:r>
        <w:t xml:space="preserve"> </w:t>
      </w:r>
      <w:r w:rsidRPr="005A3FCE">
        <w:t>Fondu národního majetku České republiky</w:t>
      </w:r>
      <w:r>
        <w:t>,</w:t>
      </w:r>
      <w:r w:rsidRPr="005A3FCE">
        <w:t xml:space="preserve"> </w:t>
      </w:r>
      <w:r>
        <w:t>ve znění pozdějších předpisů, jako právnická osoba podřízená Ministerstvu dopravy. Účelem Fondu je zabezpečit financování rozvoje, výstavby, údržby a modernizace silnic a dálnic a vnitrozemských vodních a železničních dopravních cest. Kromě vlastního financování výstavby a údržby Fond poskytuje příspěvky na průzkumné a projektové práce a studijní a expertní činnosti zaměřené na dopravní infrastrukturu.</w:t>
      </w:r>
    </w:p>
    <w:p w:rsidR="003649B8" w:rsidRDefault="003649B8" w:rsidP="002B30F9">
      <w:pPr>
        <w:spacing w:line="360" w:lineRule="auto"/>
        <w:ind w:firstLine="426"/>
        <w:jc w:val="both"/>
      </w:pPr>
      <w:r>
        <w:t xml:space="preserve">Ze všech státních fondů SFDI trvale realizuje nejvyšší objem příjmů i výdajů. Jeho očekávané příjmy v roce 2015 </w:t>
      </w:r>
      <w:r w:rsidRPr="00D511D3">
        <w:t>budou o</w:t>
      </w:r>
      <w:r>
        <w:t xml:space="preserve"> 40,09 mld. Kč vyšší, než předpokládal schválený rozpočet, a dosáhnou 89,93 mld. Kč. Většina příjmů</w:t>
      </w:r>
      <w:r w:rsidRPr="00AB5B2F">
        <w:rPr>
          <w:b/>
        </w:rPr>
        <w:t xml:space="preserve"> </w:t>
      </w:r>
      <w:r>
        <w:t xml:space="preserve">(69,0 %) je </w:t>
      </w:r>
      <w:r w:rsidRPr="00105C42">
        <w:t>tvořen</w:t>
      </w:r>
      <w:r>
        <w:t>a</w:t>
      </w:r>
      <w:r w:rsidRPr="00105C42">
        <w:t xml:space="preserve"> dotacemi</w:t>
      </w:r>
      <w:r w:rsidRPr="00FC5D8A">
        <w:t>;</w:t>
      </w:r>
      <w:r>
        <w:t xml:space="preserve"> očekávané dotace ze státního rozpočtu </w:t>
      </w:r>
      <w:r w:rsidRPr="00732618">
        <w:t xml:space="preserve">budou </w:t>
      </w:r>
      <w:r w:rsidRPr="004435CC">
        <w:t xml:space="preserve">o </w:t>
      </w:r>
      <w:r>
        <w:t xml:space="preserve">37,15 </w:t>
      </w:r>
      <w:r w:rsidRPr="004435CC">
        <w:t>mld. Kč vyšší, než bylo původně rozpočtováno</w:t>
      </w:r>
      <w:r>
        <w:t xml:space="preserve"> (z toho investiční o 24,33 mld. Kč)</w:t>
      </w:r>
      <w:r w:rsidRPr="004435CC">
        <w:t>.</w:t>
      </w:r>
      <w:r>
        <w:t xml:space="preserve"> Očekávané daňové příjmy Fondu v roce 2015 </w:t>
      </w:r>
      <w:r w:rsidRPr="00F74EB6">
        <w:t>činí</w:t>
      </w:r>
      <w:r>
        <w:t xml:space="preserve"> 12,60 mld. Kč, jsou o 0,10 mld. Kč nižší než ve schváleném rozpočtu a tvoří pouze 14,0 % z celkových příjmů. </w:t>
      </w:r>
      <w:r w:rsidRPr="005C3E9D">
        <w:t>Příjmy mající povahu daní se skládají z</w:t>
      </w:r>
      <w:r>
        <w:t> </w:t>
      </w:r>
      <w:r w:rsidRPr="005C3E9D">
        <w:t>výnosů ze silniční daně (5,40</w:t>
      </w:r>
      <w:r>
        <w:t> </w:t>
      </w:r>
      <w:r w:rsidRPr="005C3E9D">
        <w:t>mld. Kč)</w:t>
      </w:r>
      <w:r>
        <w:t xml:space="preserve"> a</w:t>
      </w:r>
      <w:r w:rsidRPr="005C3E9D">
        <w:t xml:space="preserve"> </w:t>
      </w:r>
      <w:r>
        <w:t xml:space="preserve">výnosů ze </w:t>
      </w:r>
      <w:r w:rsidRPr="005C3E9D">
        <w:t>spotřební daně z minerálních olejů (9,1 % celostátního hrubého výnosu, tj. 7,20 mld. Kč)</w:t>
      </w:r>
      <w:r>
        <w:t>. Dalším významným příjmem je</w:t>
      </w:r>
      <w:r w:rsidRPr="005C3E9D">
        <w:t xml:space="preserve"> poplat</w:t>
      </w:r>
      <w:r>
        <w:t>ek</w:t>
      </w:r>
      <w:r w:rsidRPr="005C3E9D">
        <w:t xml:space="preserve"> za užívání dálnic a</w:t>
      </w:r>
      <w:r>
        <w:t> </w:t>
      </w:r>
      <w:r w:rsidRPr="005C3E9D">
        <w:t>rychlostních silnic (</w:t>
      </w:r>
      <w:r>
        <w:t xml:space="preserve">inkaso </w:t>
      </w:r>
      <w:r w:rsidRPr="005C3E9D">
        <w:t>4,1</w:t>
      </w:r>
      <w:r>
        <w:t>0</w:t>
      </w:r>
      <w:r w:rsidRPr="005C3E9D">
        <w:t xml:space="preserve"> mld. Kč</w:t>
      </w:r>
      <w:r>
        <w:t xml:space="preserve"> v roce 2015</w:t>
      </w:r>
      <w:r w:rsidRPr="005C3E9D">
        <w:t>).</w:t>
      </w:r>
      <w:r>
        <w:t xml:space="preserve"> </w:t>
      </w:r>
      <w:r w:rsidRPr="00675719">
        <w:t>Z</w:t>
      </w:r>
      <w:r>
        <w:t xml:space="preserve"> </w:t>
      </w:r>
      <w:r w:rsidRPr="00675719">
        <w:t xml:space="preserve">rozpočtu </w:t>
      </w:r>
      <w:r>
        <w:t>S</w:t>
      </w:r>
      <w:r w:rsidRPr="00675719">
        <w:t>F</w:t>
      </w:r>
      <w:r>
        <w:t>DI</w:t>
      </w:r>
      <w:r w:rsidRPr="00675719">
        <w:t xml:space="preserve"> jsou hrazeny náklady na </w:t>
      </w:r>
      <w:r w:rsidRPr="005418EF">
        <w:t>zavedení a</w:t>
      </w:r>
      <w:r w:rsidRPr="00675719">
        <w:t xml:space="preserve"> provozování systému elektronického mýtného</w:t>
      </w:r>
      <w:r>
        <w:t xml:space="preserve">, jehož očekávaná výše inkasa </w:t>
      </w:r>
      <w:r w:rsidRPr="00105C42">
        <w:t xml:space="preserve">činí </w:t>
      </w:r>
      <w:r>
        <w:t>8,20</w:t>
      </w:r>
      <w:r w:rsidRPr="00E85760">
        <w:t xml:space="preserve"> </w:t>
      </w:r>
      <w:r w:rsidRPr="00F64515">
        <w:t>mld.</w:t>
      </w:r>
      <w:r w:rsidRPr="00105C42">
        <w:t xml:space="preserve"> Kč</w:t>
      </w:r>
      <w:r>
        <w:t xml:space="preserve"> (oproti schválenému rozpočtu o 0,10</w:t>
      </w:r>
      <w:r w:rsidRPr="009376D9">
        <w:t xml:space="preserve"> mld. Kč </w:t>
      </w:r>
      <w:r>
        <w:t>méně)</w:t>
      </w:r>
      <w:r w:rsidRPr="00732618">
        <w:t>.</w:t>
      </w:r>
      <w:r>
        <w:t xml:space="preserve"> V</w:t>
      </w:r>
      <w:r w:rsidRPr="00675719">
        <w:t>ýnos</w:t>
      </w:r>
      <w:r>
        <w:t>y</w:t>
      </w:r>
      <w:r w:rsidRPr="00675719">
        <w:t xml:space="preserve"> z</w:t>
      </w:r>
      <w:r>
        <w:t>e</w:t>
      </w:r>
      <w:r w:rsidRPr="00675719">
        <w:t xml:space="preserve"> zpoplatnění užívání pozemních komunikací</w:t>
      </w:r>
      <w:r>
        <w:t xml:space="preserve">, tj. časový poplatek v podobě dálničního kupónu a elektronické mýtné, </w:t>
      </w:r>
      <w:r w:rsidRPr="00675719">
        <w:t>jsou součástí nedaňových příjmů</w:t>
      </w:r>
      <w:r>
        <w:t xml:space="preserve"> Fondu.</w:t>
      </w:r>
    </w:p>
    <w:p w:rsidR="003649B8" w:rsidRDefault="003649B8" w:rsidP="00B61162">
      <w:pPr>
        <w:pStyle w:val="Standardnstyl"/>
      </w:pPr>
      <w:r>
        <w:t xml:space="preserve">SFDI předpokládá v roce 2015 výdaje ve výši 96,59 mld. Kč, které budou použity k financování rozvoje, výstavby a údržby </w:t>
      </w:r>
      <w:r w:rsidRPr="00140717">
        <w:t>in</w:t>
      </w:r>
      <w:r>
        <w:t xml:space="preserve">frastruktury. Zatímco </w:t>
      </w:r>
      <w:r w:rsidRPr="000D77FA">
        <w:t>dotace ze státního rozpočtu na odstranění škod po povodních v roce 2013, na financování národních podílů akcí spolufinancovaných v rámci Operačního programu Doprava 2007-2013 a Operačního programu Doprava 2014-2020 budou využity v plné výši</w:t>
      </w:r>
      <w:r>
        <w:t xml:space="preserve"> a </w:t>
      </w:r>
      <w:r w:rsidRPr="00035AEA">
        <w:t>částečně</w:t>
      </w:r>
      <w:r>
        <w:t xml:space="preserve"> </w:t>
      </w:r>
      <w:r w:rsidRPr="00035AEA">
        <w:t xml:space="preserve">budou </w:t>
      </w:r>
      <w:r>
        <w:t xml:space="preserve">využity také </w:t>
      </w:r>
      <w:r w:rsidRPr="00035AEA">
        <w:t>prostředky na spolufinancované projekty EU v rámci Komunitárních programů (IRIS Europe III a</w:t>
      </w:r>
      <w:r>
        <w:t xml:space="preserve"> </w:t>
      </w:r>
      <w:r w:rsidRPr="00035AEA">
        <w:t>Crocodile)</w:t>
      </w:r>
      <w:r>
        <w:t xml:space="preserve">, </w:t>
      </w:r>
      <w:r w:rsidRPr="00035AEA">
        <w:t>prostředky na projekty hrazené z</w:t>
      </w:r>
      <w:r>
        <w:t> </w:t>
      </w:r>
      <w:r w:rsidRPr="00035AEA">
        <w:t>Komunitárního programu CEF v roce 2015 využity nebudou</w:t>
      </w:r>
      <w:r>
        <w:t>.</w:t>
      </w:r>
      <w:r w:rsidRPr="000D77FA">
        <w:t xml:space="preserve"> </w:t>
      </w:r>
      <w:r>
        <w:t xml:space="preserve">Ve srovnání se schváleným rozpočtem jsou očekávané celkové výdaje Fondu </w:t>
      </w:r>
      <w:r w:rsidRPr="00A43999">
        <w:t>o</w:t>
      </w:r>
      <w:r>
        <w:t xml:space="preserve"> 46,75</w:t>
      </w:r>
      <w:r w:rsidRPr="00CD335F">
        <w:rPr>
          <w:color w:val="FFFFFF"/>
        </w:rPr>
        <w:t xml:space="preserve"> </w:t>
      </w:r>
      <w:r>
        <w:t xml:space="preserve">mld. Kč vyšší. Z poslání Fondu vyplývá, že jeho výdaje jsou nejvíce realizovány jako dotace příspěvkovým organizacím (Ředitelství silnic a dálnic) a podnikatelským subjektům (Správa železniční dopravní cesty, s. o.) na investiční akce. Rovněž i kraje jsou příjemci dotací a financují z nich opravy </w:t>
      </w:r>
      <w:r w:rsidRPr="00105C42">
        <w:t xml:space="preserve">silnic </w:t>
      </w:r>
      <w:r>
        <w:t>II.</w:t>
      </w:r>
      <w:r w:rsidRPr="00105C42">
        <w:t xml:space="preserve"> a</w:t>
      </w:r>
      <w:r>
        <w:t xml:space="preserve"> III.</w:t>
      </w:r>
      <w:r w:rsidRPr="00105C42">
        <w:t xml:space="preserve"> třídy, </w:t>
      </w:r>
      <w:r>
        <w:t xml:space="preserve">údržbu </w:t>
      </w:r>
      <w:r w:rsidRPr="00105C42">
        <w:t>cyklistických stezek, projektovou dokumentaci a</w:t>
      </w:r>
      <w:r>
        <w:t xml:space="preserve"> bezpečnost silničního provozu. Výdaje Fondu v roce 2015 meziročně vzrostou o více než 85 %, naproti tomu příjmy se zvýší jen o cca polovinu, což zapříčiní schodkové hospodaření Fondu ve výši 6,66 mld. Kč (ve srovnání s vyrovnaným rozpočtem SFDI na rok 2015). Na jeho krytí budou použity peněžní prostředky na účtech SFDI, které k 31. prosinci 2015 dosáhnou 9,36 mld. Kč.</w:t>
      </w:r>
    </w:p>
    <w:p w:rsidR="003649B8" w:rsidRDefault="003649B8" w:rsidP="002B30F9">
      <w:pPr>
        <w:spacing w:line="360" w:lineRule="auto"/>
        <w:ind w:firstLine="425"/>
        <w:jc w:val="both"/>
      </w:pPr>
      <w:r>
        <w:t xml:space="preserve">V roce 2016 se ve srovnání s rokem 2015 </w:t>
      </w:r>
      <w:r w:rsidRPr="0035195D">
        <w:t xml:space="preserve">předpokládají </w:t>
      </w:r>
      <w:r w:rsidRPr="0000135A">
        <w:t>nižší celkové příjmy i výdaje</w:t>
      </w:r>
      <w:r>
        <w:t xml:space="preserve"> a r</w:t>
      </w:r>
      <w:r w:rsidRPr="0035195D">
        <w:t xml:space="preserve">ozpočet je </w:t>
      </w:r>
      <w:r>
        <w:t xml:space="preserve">tak </w:t>
      </w:r>
      <w:r w:rsidRPr="0035195D">
        <w:t xml:space="preserve">sestaven jako </w:t>
      </w:r>
      <w:r w:rsidRPr="0000135A">
        <w:t>vyrovnaný v</w:t>
      </w:r>
      <w:r w:rsidRPr="000E7F33">
        <w:t xml:space="preserve"> souladu s výdajovým rámcem na rok 201</w:t>
      </w:r>
      <w:r>
        <w:t>6</w:t>
      </w:r>
      <w:r w:rsidRPr="000E7F33">
        <w:t>.</w:t>
      </w:r>
      <w:r w:rsidRPr="0035195D">
        <w:t xml:space="preserve"> Příjmy </w:t>
      </w:r>
      <w:r w:rsidRPr="00C22605">
        <w:t>i</w:t>
      </w:r>
      <w:r>
        <w:t xml:space="preserve"> </w:t>
      </w:r>
      <w:r w:rsidRPr="00C22605">
        <w:t>výdaje</w:t>
      </w:r>
      <w:r>
        <w:t xml:space="preserve"> </w:t>
      </w:r>
      <w:r w:rsidRPr="0035195D">
        <w:t xml:space="preserve">Fondu budou činit </w:t>
      </w:r>
      <w:r>
        <w:t>61,45 mld. Kč</w:t>
      </w:r>
      <w:r w:rsidRPr="0035195D">
        <w:t xml:space="preserve">, přičemž </w:t>
      </w:r>
      <w:r>
        <w:t>na příjmové straně budou opět dominovat</w:t>
      </w:r>
      <w:r w:rsidRPr="0035195D">
        <w:t xml:space="preserve"> </w:t>
      </w:r>
      <w:r w:rsidRPr="0000135A">
        <w:t>dotace</w:t>
      </w:r>
      <w:r w:rsidRPr="0035195D">
        <w:t xml:space="preserve"> v</w:t>
      </w:r>
      <w:r>
        <w:t> </w:t>
      </w:r>
      <w:r w:rsidRPr="0035195D">
        <w:t xml:space="preserve">celkové výši </w:t>
      </w:r>
      <w:r>
        <w:t>35,15</w:t>
      </w:r>
      <w:r w:rsidRPr="0035195D">
        <w:t xml:space="preserve"> mld. Kč</w:t>
      </w:r>
      <w:r>
        <w:t>. Inkaso</w:t>
      </w:r>
      <w:r w:rsidRPr="005C3E9D">
        <w:t xml:space="preserve"> silniční daně </w:t>
      </w:r>
      <w:r>
        <w:t>má odpovídat výši 5</w:t>
      </w:r>
      <w:r w:rsidRPr="005C3E9D">
        <w:t>,</w:t>
      </w:r>
      <w:r>
        <w:t>6</w:t>
      </w:r>
      <w:r w:rsidRPr="005C3E9D">
        <w:t>0</w:t>
      </w:r>
      <w:r>
        <w:t> </w:t>
      </w:r>
      <w:r w:rsidRPr="005C3E9D">
        <w:t>mld. Kč</w:t>
      </w:r>
      <w:r>
        <w:t>,</w:t>
      </w:r>
      <w:r w:rsidRPr="005C3E9D">
        <w:t xml:space="preserve"> spotřební da</w:t>
      </w:r>
      <w:r>
        <w:t>ně</w:t>
      </w:r>
      <w:r w:rsidRPr="005C3E9D">
        <w:t xml:space="preserve"> z</w:t>
      </w:r>
      <w:r>
        <w:t xml:space="preserve"> </w:t>
      </w:r>
      <w:r w:rsidRPr="005C3E9D">
        <w:t xml:space="preserve">minerálních olejů </w:t>
      </w:r>
      <w:r>
        <w:t xml:space="preserve">stejně jako v roce 2015 hodnotě </w:t>
      </w:r>
      <w:r w:rsidRPr="005C3E9D">
        <w:t>7,20</w:t>
      </w:r>
      <w:r>
        <w:t> </w:t>
      </w:r>
      <w:r w:rsidRPr="005C3E9D">
        <w:t>mld.</w:t>
      </w:r>
      <w:r>
        <w:t> </w:t>
      </w:r>
      <w:r w:rsidRPr="005C3E9D">
        <w:t>Kč</w:t>
      </w:r>
      <w:r>
        <w:t xml:space="preserve">, výnos z </w:t>
      </w:r>
      <w:r w:rsidRPr="0026202E">
        <w:t>poplatk</w:t>
      </w:r>
      <w:r>
        <w:t>u</w:t>
      </w:r>
      <w:r w:rsidRPr="0026202E">
        <w:t xml:space="preserve"> za užívání dálnic a rychlostních silnic</w:t>
      </w:r>
      <w:r>
        <w:t xml:space="preserve"> má být 4,20 mld. Kč a z mýtného se má vybrat 8,40 mld. Kč. Vzhledem k zaměření Fondu budou i nadále relevantní výdaje kapitálového charakteru (35,93 mld. Kč); součet celkových běžných výdajových dotací a transferů dosáhne 25,01 mld. Kč. Struktura výdajů bude obdobná jako v roce 2015 s tím, že výrazně ubydou investiční transfery, a to o cca 42 %.</w:t>
      </w:r>
    </w:p>
    <w:p w:rsidR="003649B8" w:rsidRDefault="003649B8" w:rsidP="00B61162">
      <w:pPr>
        <w:pStyle w:val="Standardnstyl"/>
      </w:pPr>
      <w:r>
        <w:t>Jak již bylo zmíněno v předchozí části sešitu, silná závislost Fondu na dotacích představuje pro jeho další činnost významné riziko. Již nastavené výdajové programy Fond nedokáže pokrýt z vlastních zdrojů a jeho hospodaření se bez zapojení např. soukromých zdrojů financování stává zdrojem deficitů a růstu dluhu veřejných financí, a to již v krátkém období. Případné zapojení soukromých zdrojů do financování výstavby dopravní infrastruktury by umožnilo rozložit výdaje v čase. Na druhé straně je oproti standardní formě financování investičních projektů, tj. z vlastních zdrojů Fondu, jejich zapojení spojeno s rizikem možného nárůstu implicitních podmíněných závazků státu.</w:t>
      </w:r>
    </w:p>
    <w:p w:rsidR="003649B8" w:rsidRDefault="003649B8" w:rsidP="002A6109">
      <w:pPr>
        <w:pStyle w:val="Caption"/>
      </w:pPr>
      <w:r w:rsidRPr="00E44597">
        <w:rPr>
          <w:lang w:val="pl-PL"/>
        </w:rPr>
        <w:t xml:space="preserve">Tabulka </w:t>
      </w:r>
      <w:r>
        <w:rPr>
          <w:lang w:val="pl-PL"/>
        </w:rPr>
        <w:t xml:space="preserve">č. </w:t>
      </w:r>
      <w:r w:rsidRPr="00E44597">
        <w:rPr>
          <w:lang w:val="pl-PL"/>
        </w:rPr>
        <w:fldChar w:fldCharType="begin" w:fldLock="1"/>
      </w:r>
      <w:r w:rsidRPr="00E44597">
        <w:rPr>
          <w:lang w:val="pl-PL"/>
        </w:rPr>
        <w:instrText xml:space="preserve"> SEQ Tabulka \* ARABIC </w:instrText>
      </w:r>
      <w:r w:rsidRPr="00E44597">
        <w:rPr>
          <w:lang w:val="pl-PL"/>
        </w:rPr>
        <w:fldChar w:fldCharType="separate"/>
      </w:r>
      <w:r>
        <w:rPr>
          <w:noProof/>
          <w:lang w:val="pl-PL"/>
        </w:rPr>
        <w:t>11</w:t>
      </w:r>
      <w:r w:rsidRPr="00E44597">
        <w:rPr>
          <w:lang w:val="pl-PL"/>
        </w:rPr>
        <w:fldChar w:fldCharType="end"/>
      </w:r>
      <w:r>
        <w:t xml:space="preserve">: </w:t>
      </w:r>
      <w:r w:rsidRPr="00E44597">
        <w:rPr>
          <w:lang w:val="pl-PL"/>
        </w:rPr>
        <w:t xml:space="preserve">Bilance Státního fondu dopravní infrastruktury v mld. </w:t>
      </w:r>
      <w:r>
        <w:t>Kč</w:t>
      </w:r>
    </w:p>
    <w:p w:rsidR="003649B8" w:rsidRDefault="003649B8" w:rsidP="007F774F">
      <w:pPr>
        <w:pStyle w:val="graftab"/>
      </w:pPr>
      <w:r>
        <w:pict>
          <v:shape id="_x0000_i1040" type="#_x0000_t75" style="width:451.2pt;height:532.8pt">
            <v:imagedata r:id="rId35" o:title=""/>
          </v:shape>
        </w:pict>
      </w:r>
      <w:r w:rsidRPr="00523677">
        <w:t xml:space="preserve">Pramen: </w:t>
      </w:r>
      <w:r>
        <w:t>Ministerstvo financí ČR, SFDI</w:t>
      </w:r>
    </w:p>
    <w:p w:rsidR="003649B8" w:rsidRDefault="003649B8" w:rsidP="00B61162">
      <w:pPr>
        <w:pStyle w:val="Standardnstyl"/>
      </w:pPr>
    </w:p>
    <w:p w:rsidR="003649B8" w:rsidRDefault="003649B8" w:rsidP="00B61162">
      <w:pPr>
        <w:pStyle w:val="Standardnstyl"/>
      </w:pPr>
    </w:p>
    <w:p w:rsidR="003649B8" w:rsidRDefault="003649B8" w:rsidP="00B61162">
      <w:pPr>
        <w:pStyle w:val="Standardnstyl"/>
      </w:pPr>
    </w:p>
    <w:p w:rsidR="003649B8" w:rsidRDefault="003649B8" w:rsidP="00B61162">
      <w:pPr>
        <w:pStyle w:val="Standardnstyl"/>
      </w:pPr>
    </w:p>
    <w:p w:rsidR="003649B8" w:rsidRPr="00F47AA3" w:rsidRDefault="003649B8" w:rsidP="00B61162">
      <w:pPr>
        <w:pStyle w:val="Standardnstyl"/>
      </w:pPr>
    </w:p>
    <w:p w:rsidR="003649B8" w:rsidRDefault="003649B8" w:rsidP="00044930"/>
    <w:p w:rsidR="003649B8" w:rsidRDefault="003649B8" w:rsidP="00515DAB">
      <w:pPr>
        <w:sectPr w:rsidR="003649B8">
          <w:type w:val="continuous"/>
          <w:pgSz w:w="11906" w:h="16838"/>
          <w:pgMar w:top="1417" w:right="1417" w:bottom="1417" w:left="1417" w:header="708" w:footer="708" w:gutter="0"/>
          <w:cols w:space="708"/>
          <w:docGrid w:linePitch="360"/>
        </w:sectPr>
      </w:pPr>
    </w:p>
    <w:p w:rsidR="003649B8" w:rsidRDefault="003649B8" w:rsidP="00044930">
      <w:pPr>
        <w:sectPr w:rsidR="003649B8">
          <w:type w:val="continuous"/>
          <w:pgSz w:w="11906" w:h="16838"/>
          <w:pgMar w:top="1417" w:right="1417" w:bottom="1417" w:left="1417" w:header="708" w:footer="708" w:gutter="0"/>
          <w:cols w:space="708"/>
          <w:docGrid w:linePitch="360"/>
        </w:sectPr>
      </w:pPr>
    </w:p>
    <w:p w:rsidR="003649B8" w:rsidRDefault="003649B8" w:rsidP="00EF4813">
      <w:pPr>
        <w:pStyle w:val="Heading3"/>
        <w:spacing w:before="0" w:after="0"/>
      </w:pPr>
      <w:bookmarkStart w:id="53" w:name="_Toc428446406"/>
      <w:bookmarkEnd w:id="52"/>
      <w:r>
        <w:t>Státní fond rozvoje bydlení</w:t>
      </w:r>
      <w:bookmarkEnd w:id="53"/>
    </w:p>
    <w:p w:rsidR="003649B8" w:rsidRDefault="003649B8" w:rsidP="00EF4813">
      <w:pPr>
        <w:sectPr w:rsidR="003649B8">
          <w:type w:val="continuous"/>
          <w:pgSz w:w="11906" w:h="16838"/>
          <w:pgMar w:top="1417" w:right="1417" w:bottom="1417" w:left="1417" w:header="708" w:footer="708" w:gutter="0"/>
          <w:cols w:space="708"/>
          <w:docGrid w:linePitch="360"/>
        </w:sectPr>
      </w:pPr>
    </w:p>
    <w:p w:rsidR="003649B8" w:rsidRDefault="003649B8" w:rsidP="00B61162">
      <w:pPr>
        <w:pStyle w:val="Standardnstyl"/>
      </w:pPr>
    </w:p>
    <w:p w:rsidR="003649B8" w:rsidRDefault="003649B8" w:rsidP="00B61162">
      <w:pPr>
        <w:pStyle w:val="Standardnstyl"/>
        <w:rPr>
          <w:highlight w:val="red"/>
        </w:rPr>
      </w:pPr>
      <w:r>
        <w:t xml:space="preserve">Státní fond rozvoje bydlení (dále SFRB nebo v této kapitole Fond) vznikl v červenci 2000 jako jeden z nástrojů realizace státní bytové politiky. Byl zřízen zákonem č. 211/2000 Sb., o Státním fondu rozvoje bydlení a o </w:t>
      </w:r>
      <w:r w:rsidRPr="00341F0B">
        <w:t>změn</w:t>
      </w:r>
      <w:r>
        <w:t xml:space="preserve">ě zákona č. 171/1991 Sb., o působnosti orgánů České republiky ve věcech převodů majetku státu na jiné osoby a o Fondu národního majetku České republiky, ve znění pozdějších předpisů. </w:t>
      </w:r>
    </w:p>
    <w:p w:rsidR="003649B8" w:rsidRDefault="003649B8" w:rsidP="00B61162">
      <w:pPr>
        <w:pStyle w:val="Standardnstyl"/>
      </w:pPr>
      <w:r>
        <w:t xml:space="preserve">Stěžejním posláním SFRB je vytvářet a akumulovat finanční zdroje určené pro podporu bydlení a používat je v souladu se zákonem. Fondové hospodaření by mělo podle záměru vlády umožnit průběžné vynakládání prostředků a zajistit, aby žadatelé o podporu měli možnost čerpat prostředky schválené v rámci vypsaných programů bez ohledu na roční rozpočtový cyklus. Ke splnění svých cílů využívá SFRB celou řadu nástrojů (poskytnuté úvěry, úrokové dotace, záruky za splácení úvěrů), přičemž trendem posledních let je přechod od poskytování nenávratných dotací k poskytování návratných forem podpory a používání vrácených prostředků k opětovnému použití, což s sebou přináší relativně nižší zatížení veřejných rozpočtů. </w:t>
      </w:r>
      <w:r w:rsidRPr="00115BCB">
        <w:t>Tento záměr je v souladu s</w:t>
      </w:r>
      <w:r>
        <w:t xml:space="preserve"> </w:t>
      </w:r>
      <w:r w:rsidRPr="00115BCB">
        <w:t>Koncepcí bydlení do roku 2020, schválené usnesením</w:t>
      </w:r>
      <w:r>
        <w:t xml:space="preserve"> vlády</w:t>
      </w:r>
      <w:r w:rsidRPr="00115BCB">
        <w:t xml:space="preserve"> č. 524 ze dne 13. července 2011, a v podstatě znamená přechod k</w:t>
      </w:r>
      <w:r>
        <w:t> </w:t>
      </w:r>
      <w:r w:rsidRPr="00115BCB">
        <w:t>revolvingovému hospodaření Fondu.</w:t>
      </w:r>
    </w:p>
    <w:p w:rsidR="003649B8" w:rsidRDefault="003649B8" w:rsidP="00B61162">
      <w:pPr>
        <w:pStyle w:val="Standardnstyl"/>
      </w:pPr>
      <w:r>
        <w:t xml:space="preserve">Pro politiku Fondu jsou charakteristické dlouhodobé závazkové vztahy. V rámci programů </w:t>
      </w:r>
      <w:r w:rsidRPr="004C5A2E">
        <w:rPr>
          <w:i/>
        </w:rPr>
        <w:t xml:space="preserve">Panel </w:t>
      </w:r>
      <w:r>
        <w:t xml:space="preserve">a </w:t>
      </w:r>
      <w:r w:rsidRPr="004C5A2E">
        <w:rPr>
          <w:i/>
        </w:rPr>
        <w:t>Nový panel</w:t>
      </w:r>
      <w:r>
        <w:rPr>
          <w:i/>
        </w:rPr>
        <w:t xml:space="preserve"> </w:t>
      </w:r>
      <w:r>
        <w:t>bude probíhat výplata úrokových dotací ze smluv uzavřených v letech 2001 – 2011 až do roku 2026. Poskytnuté finanční prostředky jsou určeny ke krytí úroků z bankovních úvěrů, které získají fyzické i právnické osoby na rekonstrukce a modernizace bytových domů. Nové žádosti o podporu ve formě úrokové dotace z těchto programů Fond již od roku 2011 nepřijímá s ohledem na omezení zdrojů ze státního rozpočtu a výše popsanou změnu strategie podpory. Obdobně byla ukončena také podpora mladým lidem na výstavbu nebo pořízení bydlení formou snížení jistiny úvěru při narození dítěte s tím, že SFRB má povinnost dostát svým závazkům z již uzavřených smluv. To představuje potřebu zajištění finančních prostředků i v příštích letech.</w:t>
      </w:r>
    </w:p>
    <w:p w:rsidR="003649B8" w:rsidRDefault="003649B8" w:rsidP="00B61162">
      <w:pPr>
        <w:pStyle w:val="Standardnstyl"/>
      </w:pPr>
      <w:r>
        <w:t>Aktuálně otevřené (ve smyslu přijímání nových žádostí) formy podpory mají podobu úvěrů na výstavbu nájemních bytů, úvěrů na opravy a modernizace domů, záruk za splácení úvěrů na výstavbu nájemních domů, úvěrů obcím na opravy a modernizace bytového fondu a úvěrů poskytovaných v rámci povodňových programů. Z výčtu těchto kategorií je zřejmé, že se Fond snaží kromě v minulosti podporovaného vlastnického bydlení posílit programy na podporu výstavby a rekonstrukce nájemních bytů. Tento posun souvisí se zmíněnou vládní Koncepcí bydlení přijatou v roce 2011.</w:t>
      </w:r>
    </w:p>
    <w:p w:rsidR="003649B8" w:rsidRDefault="003649B8" w:rsidP="00B61162">
      <w:pPr>
        <w:pStyle w:val="Standardnstyl"/>
      </w:pPr>
      <w:r w:rsidRPr="00B54DA1">
        <w:t xml:space="preserve">V lednu 2014 byl zahájen příjem žádostí o nízkoúročené úvěry poskytované v rámci </w:t>
      </w:r>
      <w:r>
        <w:t>p</w:t>
      </w:r>
      <w:r w:rsidRPr="00B54DA1">
        <w:t>rogramu JESSICA</w:t>
      </w:r>
      <w:r>
        <w:t xml:space="preserve"> vlastníkům </w:t>
      </w:r>
      <w:r w:rsidRPr="00B54DA1">
        <w:t>bytových domů na rekonstrukce a modernizace těchto objektů</w:t>
      </w:r>
      <w:r>
        <w:t>, a to</w:t>
      </w:r>
      <w:r w:rsidRPr="00B54DA1">
        <w:t xml:space="preserve"> ve vymezených územích měst </w:t>
      </w:r>
      <w:r>
        <w:t>s Integrovanými plány rozvoje</w:t>
      </w:r>
      <w:r w:rsidRPr="00B54DA1">
        <w:t>. Tento program je financován z dotace EU v rámci Integ</w:t>
      </w:r>
      <w:r>
        <w:t>rovaného operačního programu</w:t>
      </w:r>
      <w:r w:rsidRPr="00B54DA1">
        <w:t xml:space="preserve"> a je součástí koncepce Společné evropské podpory udržitelných investic do městských částí.</w:t>
      </w:r>
      <w:r>
        <w:t xml:space="preserve"> </w:t>
      </w:r>
      <w:r w:rsidRPr="00B54DA1">
        <w:t>Pro období 2013</w:t>
      </w:r>
      <w:r>
        <w:t xml:space="preserve"> – </w:t>
      </w:r>
      <w:r w:rsidRPr="00B54DA1">
        <w:t xml:space="preserve">2015 získal Fond pilotní částku </w:t>
      </w:r>
      <w:r>
        <w:t>0,</w:t>
      </w:r>
      <w:r w:rsidRPr="00B54DA1">
        <w:t>6</w:t>
      </w:r>
      <w:r>
        <w:t>1 mld</w:t>
      </w:r>
      <w:r w:rsidRPr="00B54DA1">
        <w:t>. Kč, se kterou hospodaří prostřednictvím svého Holdingového fondu. Pro rok 2016 počítá Fond s příjmy v podobě přijatých splátek jistin a</w:t>
      </w:r>
      <w:r>
        <w:t> </w:t>
      </w:r>
      <w:r w:rsidRPr="00B54DA1">
        <w:t>úroků z</w:t>
      </w:r>
      <w:r>
        <w:t> </w:t>
      </w:r>
      <w:r w:rsidRPr="00B54DA1">
        <w:t xml:space="preserve">úvěrů </w:t>
      </w:r>
      <w:r>
        <w:t xml:space="preserve">již </w:t>
      </w:r>
      <w:r w:rsidRPr="00B54DA1">
        <w:t>poskytnutých prostřednictvím tohoto finančního nástroje, které budou dále použity na poskytování obdobné podpory v oblasti bydlení – tzv. druhá obrátka JESSICA.</w:t>
      </w:r>
    </w:p>
    <w:p w:rsidR="003649B8" w:rsidRDefault="003649B8" w:rsidP="00B61162">
      <w:pPr>
        <w:pStyle w:val="Standardnstyl"/>
      </w:pPr>
      <w:r>
        <w:t>SFRB v posledních letech čerpá na financování své činnosti vlastní finanční prostředky. Na poskytování nenávratných dotací má Fond zákonný nárok čerpat každoročně dotaci ze státního rozpočtu. Podmínkou úspěšnosti státní bytové politiky je kromě maximálního zapojení vlastních aktiv SFRB v rámci revolvingového hospodaření i záměr využívat další mimorozpočtové finanční zdroje, především finanční prostředky z EU.</w:t>
      </w:r>
    </w:p>
    <w:p w:rsidR="003649B8" w:rsidRDefault="003649B8" w:rsidP="00B61162">
      <w:pPr>
        <w:pStyle w:val="Standardnstyl"/>
      </w:pPr>
      <w:r>
        <w:t xml:space="preserve">V roce 2015 by celkové příjmy Fondu měly dosáhnout 0,24 mld. Kč a budou tak o 0,01 mld. Kč vyšší, než předpokládala rozpočtová dokumentace. Výdaje se očekávají ve výši 0,96 mld. Kč, což znamená snížení oproti původním předpokladům o 0,19 mld. Kč. Běžné transfery se meziročně sníží o </w:t>
      </w:r>
      <w:r w:rsidRPr="00595EBA">
        <w:t>téměř 20 % na</w:t>
      </w:r>
      <w:r>
        <w:t xml:space="preserve"> úroveň 0,33 mld. Kč. Významnou část příjmů tvoří příjmy z úroků (0,10 mld. Kč). Hospodaření SFRB v roce 2015 skončí předpokládaným deficitem ve výši 0,72 mld. Kč, tzn. o 0,20 mld. Kč nižším, než bylo rozpočtováno. Konečný stav peněžních prostředků Fondu by měl na konci roku 2015 činit 7,67 mld. Kč.</w:t>
      </w:r>
    </w:p>
    <w:p w:rsidR="003649B8" w:rsidRDefault="003649B8" w:rsidP="00B61162">
      <w:pPr>
        <w:pStyle w:val="Standardnstyl"/>
      </w:pPr>
      <w:r w:rsidRPr="00F21458">
        <w:t xml:space="preserve">Z návrhu rozpočtu SFRB pro rok 2016 vyplývá, že se meziročně sníží objem jeho příjmů, naproti tomu je rozpočtován nárůst výdajů, což </w:t>
      </w:r>
      <w:r>
        <w:t xml:space="preserve">ve výsledku </w:t>
      </w:r>
      <w:r w:rsidRPr="00F21458">
        <w:t>povede k růstu deficitu</w:t>
      </w:r>
      <w:r>
        <w:t xml:space="preserve"> Fondu</w:t>
      </w:r>
      <w:r w:rsidRPr="00F21458">
        <w:t>.</w:t>
      </w:r>
      <w:r w:rsidRPr="008D533A">
        <w:t xml:space="preserve"> Celkové příjmy dosáhnou </w:t>
      </w:r>
      <w:r>
        <w:t>0,22</w:t>
      </w:r>
      <w:r w:rsidRPr="008D533A">
        <w:t xml:space="preserve"> mld. Kč a </w:t>
      </w:r>
      <w:r>
        <w:t xml:space="preserve">celkové </w:t>
      </w:r>
      <w:r w:rsidRPr="008D533A">
        <w:t xml:space="preserve">výdaje </w:t>
      </w:r>
      <w:r>
        <w:t xml:space="preserve">1,26 </w:t>
      </w:r>
      <w:r w:rsidRPr="008D533A">
        <w:t xml:space="preserve">mld. Kč. </w:t>
      </w:r>
      <w:r>
        <w:t>Jak bylo výše uvedeno, n</w:t>
      </w:r>
      <w:r w:rsidRPr="008D533A">
        <w:t>a smlouvy uzavřené od roku 2011 již SFRB neposkytuje nenávratné formy podpory na bydlení (přímé ani úrokové dotace) a nové po</w:t>
      </w:r>
      <w:r>
        <w:t xml:space="preserve">dpory jsou poskytovány pouze ve </w:t>
      </w:r>
      <w:r w:rsidRPr="008D533A">
        <w:t>formě úvěrů a</w:t>
      </w:r>
      <w:r>
        <w:t xml:space="preserve"> </w:t>
      </w:r>
      <w:r w:rsidRPr="008D533A">
        <w:t>ručení za splácení komerčních úvěrů,</w:t>
      </w:r>
      <w:r>
        <w:t xml:space="preserve"> ale i v roce 2016 se na výdajové straně projeví vyplacené dotace z dříve uzavřených smluv. Jeho další financování z </w:t>
      </w:r>
      <w:r w:rsidRPr="008D533A">
        <w:t>veřejn</w:t>
      </w:r>
      <w:r>
        <w:t xml:space="preserve">ých rozpočtů je v souvislosti s udržitelným hospodařením </w:t>
      </w:r>
      <w:r w:rsidRPr="008D533A">
        <w:t xml:space="preserve">veřejných </w:t>
      </w:r>
      <w:r>
        <w:t>rozpočtů</w:t>
      </w:r>
      <w:r w:rsidRPr="008D533A">
        <w:t xml:space="preserve"> nanejvýš nežádoucí.</w:t>
      </w:r>
      <w:r>
        <w:t xml:space="preserve"> </w:t>
      </w:r>
      <w:r w:rsidRPr="008D533A">
        <w:t>Hospodaření SFRB skončí v</w:t>
      </w:r>
      <w:r>
        <w:t xml:space="preserve"> </w:t>
      </w:r>
      <w:r w:rsidRPr="008D533A">
        <w:t>roce 201</w:t>
      </w:r>
      <w:r>
        <w:t>6</w:t>
      </w:r>
      <w:r w:rsidRPr="008D533A">
        <w:t xml:space="preserve"> </w:t>
      </w:r>
      <w:r w:rsidRPr="00F21458">
        <w:t>deficitem</w:t>
      </w:r>
      <w:r>
        <w:t xml:space="preserve"> 1,04 mld. Kč, který bude</w:t>
      </w:r>
      <w:r w:rsidRPr="002F3189">
        <w:t xml:space="preserve"> profinancován použitím zůstatku finančních prostředků z roku 2015. Rozpočtovaný konečný stav peněžních zdrojů k</w:t>
      </w:r>
      <w:r>
        <w:t> </w:t>
      </w:r>
      <w:r w:rsidRPr="002F3189">
        <w:t>31.</w:t>
      </w:r>
      <w:r>
        <w:t> prosinci</w:t>
      </w:r>
      <w:r w:rsidRPr="002F3189">
        <w:t xml:space="preserve"> 2016 se očekává na úrovni </w:t>
      </w:r>
      <w:r>
        <w:t>6,31</w:t>
      </w:r>
      <w:r w:rsidRPr="002F3189">
        <w:t xml:space="preserve"> mld. Kč.</w:t>
      </w:r>
    </w:p>
    <w:p w:rsidR="003649B8" w:rsidRPr="00246E1C" w:rsidRDefault="003649B8" w:rsidP="00B61162">
      <w:pPr>
        <w:pStyle w:val="Standardnstyl"/>
      </w:pPr>
    </w:p>
    <w:p w:rsidR="003649B8" w:rsidRDefault="003649B8" w:rsidP="002A6109">
      <w:pPr>
        <w:pStyle w:val="Caption"/>
      </w:pPr>
      <w:r>
        <w:t xml:space="preserve">Tabulka č. </w:t>
      </w:r>
      <w:fldSimple w:instr=" SEQ Tabulka \* ARABIC " w:fldLock="1">
        <w:r>
          <w:rPr>
            <w:noProof/>
          </w:rPr>
          <w:t>12</w:t>
        </w:r>
      </w:fldSimple>
      <w:r>
        <w:rPr>
          <w:noProof/>
        </w:rPr>
        <w:t xml:space="preserve">: </w:t>
      </w:r>
      <w:r>
        <w:t>Bilance Státního fondu rozvoje bydlení v mld. Kč</w:t>
      </w:r>
    </w:p>
    <w:p w:rsidR="003649B8" w:rsidRDefault="003649B8" w:rsidP="007F774F">
      <w:pPr>
        <w:pStyle w:val="graftab"/>
      </w:pPr>
      <w:r>
        <w:pict>
          <v:shape id="_x0000_i1041" type="#_x0000_t75" style="width:451.2pt;height:532.8pt">
            <v:imagedata r:id="rId36" o:title=""/>
          </v:shape>
        </w:pict>
      </w:r>
      <w:r w:rsidRPr="003F2429">
        <w:t xml:space="preserve">Pramen: </w:t>
      </w:r>
      <w:r>
        <w:t>Ministerstvo financí ČR, SFRB</w:t>
      </w:r>
    </w:p>
    <w:p w:rsidR="003649B8" w:rsidRDefault="003649B8" w:rsidP="00B61162">
      <w:pPr>
        <w:pStyle w:val="Standardnstyl"/>
      </w:pPr>
    </w:p>
    <w:p w:rsidR="003649B8" w:rsidRPr="008356D6" w:rsidRDefault="003649B8" w:rsidP="00B61162">
      <w:pPr>
        <w:pStyle w:val="Standardnstyl"/>
      </w:pPr>
    </w:p>
    <w:p w:rsidR="003649B8" w:rsidRDefault="003649B8" w:rsidP="00515DAB">
      <w:pPr>
        <w:sectPr w:rsidR="003649B8">
          <w:headerReference w:type="first" r:id="rId37"/>
          <w:type w:val="continuous"/>
          <w:pgSz w:w="11906" w:h="16838"/>
          <w:pgMar w:top="1417" w:right="1417" w:bottom="1417" w:left="1417" w:header="708" w:footer="708" w:gutter="0"/>
          <w:cols w:space="708"/>
          <w:docGrid w:linePitch="360"/>
        </w:sectPr>
      </w:pPr>
    </w:p>
    <w:p w:rsidR="003649B8" w:rsidRDefault="003649B8" w:rsidP="0026728D">
      <w:pPr>
        <w:sectPr w:rsidR="003649B8">
          <w:headerReference w:type="first" r:id="rId38"/>
          <w:type w:val="continuous"/>
          <w:pgSz w:w="11906" w:h="16838"/>
          <w:pgMar w:top="1417" w:right="1417" w:bottom="1417" w:left="1417" w:header="708" w:footer="708" w:gutter="0"/>
          <w:cols w:space="708"/>
          <w:docGrid w:linePitch="360"/>
        </w:sectPr>
      </w:pPr>
    </w:p>
    <w:p w:rsidR="003649B8" w:rsidRDefault="003649B8" w:rsidP="00256D4F">
      <w:pPr>
        <w:sectPr w:rsidR="003649B8">
          <w:type w:val="continuous"/>
          <w:pgSz w:w="11906" w:h="16838"/>
          <w:pgMar w:top="1417" w:right="1417" w:bottom="1417" w:left="1417" w:header="708" w:footer="708" w:gutter="0"/>
          <w:cols w:space="708"/>
          <w:docGrid w:linePitch="360"/>
        </w:sectPr>
      </w:pPr>
    </w:p>
    <w:p w:rsidR="003649B8" w:rsidRDefault="003649B8" w:rsidP="00781207">
      <w:pPr>
        <w:pStyle w:val="Heading3"/>
        <w:spacing w:before="0" w:after="0"/>
      </w:pPr>
      <w:bookmarkStart w:id="54" w:name="_Toc207011061"/>
      <w:bookmarkStart w:id="55" w:name="_Toc269750355"/>
      <w:bookmarkStart w:id="56" w:name="_Toc428446407"/>
      <w:bookmarkStart w:id="57" w:name="_Toc112674754"/>
      <w:bookmarkStart w:id="58" w:name="_Toc207011062"/>
      <w:bookmarkStart w:id="59" w:name="_Toc207011063"/>
      <w:bookmarkStart w:id="60" w:name="_Toc50797862"/>
      <w:bookmarkStart w:id="61" w:name="_Toc50966509"/>
      <w:r>
        <w:t>Státní zemědělský intervenční fond</w:t>
      </w:r>
      <w:bookmarkEnd w:id="54"/>
      <w:bookmarkEnd w:id="55"/>
      <w:bookmarkEnd w:id="56"/>
    </w:p>
    <w:p w:rsidR="003649B8" w:rsidRDefault="003649B8" w:rsidP="00515DAB">
      <w:pPr>
        <w:sectPr w:rsidR="003649B8" w:rsidSect="00256D4F">
          <w:headerReference w:type="first" r:id="rId39"/>
          <w:type w:val="continuous"/>
          <w:pgSz w:w="11906" w:h="16838"/>
          <w:pgMar w:top="1417" w:right="1417" w:bottom="1417" w:left="1417" w:header="708" w:footer="708" w:gutter="0"/>
          <w:cols w:space="708"/>
          <w:docGrid w:linePitch="360"/>
        </w:sectPr>
      </w:pPr>
    </w:p>
    <w:p w:rsidR="003649B8" w:rsidRPr="00781207" w:rsidRDefault="003649B8" w:rsidP="00F45441">
      <w:pPr>
        <w:pStyle w:val="Heading3"/>
        <w:numPr>
          <w:ilvl w:val="0"/>
          <w:numId w:val="0"/>
        </w:numPr>
        <w:tabs>
          <w:tab w:val="num" w:pos="709"/>
        </w:tabs>
        <w:spacing w:before="0" w:after="0" w:line="360" w:lineRule="auto"/>
        <w:ind w:left="284"/>
        <w:rPr>
          <w:rFonts w:ascii="Times New Roman" w:hAnsi="Times New Roman"/>
        </w:rPr>
      </w:pPr>
    </w:p>
    <w:p w:rsidR="003649B8" w:rsidRDefault="003649B8" w:rsidP="00E603AE">
      <w:pPr>
        <w:pStyle w:val="NormalWeb"/>
        <w:spacing w:before="0" w:after="0" w:line="360" w:lineRule="auto"/>
        <w:ind w:firstLine="426"/>
        <w:jc w:val="both"/>
        <w:rPr>
          <w:rFonts w:ascii="Times New Roman" w:hAnsi="Times New Roman"/>
        </w:rPr>
      </w:pPr>
      <w:r w:rsidRPr="00C622E4">
        <w:rPr>
          <w:rFonts w:ascii="Times New Roman" w:hAnsi="Times New Roman"/>
        </w:rPr>
        <w:t>Státní zemědělský intervenční fond (dále SZIF</w:t>
      </w:r>
      <w:r>
        <w:rPr>
          <w:rFonts w:ascii="Times New Roman" w:hAnsi="Times New Roman"/>
        </w:rPr>
        <w:t xml:space="preserve"> nebo </w:t>
      </w:r>
      <w:r w:rsidRPr="00986747">
        <w:rPr>
          <w:rFonts w:ascii="Times New Roman" w:hAnsi="Times New Roman"/>
        </w:rPr>
        <w:t xml:space="preserve">v této kapitole </w:t>
      </w:r>
      <w:r>
        <w:rPr>
          <w:rFonts w:ascii="Times New Roman" w:hAnsi="Times New Roman"/>
        </w:rPr>
        <w:t>Fond</w:t>
      </w:r>
      <w:r w:rsidRPr="00C622E4">
        <w:rPr>
          <w:rFonts w:ascii="Times New Roman" w:hAnsi="Times New Roman"/>
        </w:rPr>
        <w:t>) byl zřízen 11.</w:t>
      </w:r>
      <w:r>
        <w:rPr>
          <w:rFonts w:ascii="Times New Roman" w:hAnsi="Times New Roman"/>
        </w:rPr>
        <w:t xml:space="preserve"> srpna 2000 zákonem č. </w:t>
      </w:r>
      <w:r w:rsidRPr="00C622E4">
        <w:rPr>
          <w:rFonts w:ascii="Times New Roman" w:hAnsi="Times New Roman"/>
        </w:rPr>
        <w:t>256/2000</w:t>
      </w:r>
      <w:r>
        <w:rPr>
          <w:rFonts w:ascii="Times New Roman" w:hAnsi="Times New Roman"/>
        </w:rPr>
        <w:t xml:space="preserve"> </w:t>
      </w:r>
      <w:r w:rsidRPr="00C622E4">
        <w:rPr>
          <w:rFonts w:ascii="Times New Roman" w:hAnsi="Times New Roman"/>
        </w:rPr>
        <w:t>Sb., o Státním zemědělském intervenčním fondu</w:t>
      </w:r>
      <w:r>
        <w:rPr>
          <w:rFonts w:ascii="Times New Roman" w:hAnsi="Times New Roman"/>
        </w:rPr>
        <w:t xml:space="preserve"> a </w:t>
      </w:r>
      <w:r w:rsidRPr="00714879">
        <w:rPr>
          <w:rFonts w:ascii="Times New Roman" w:hAnsi="Times New Roman"/>
        </w:rPr>
        <w:t>o</w:t>
      </w:r>
      <w:r>
        <w:rPr>
          <w:rFonts w:ascii="Times New Roman" w:hAnsi="Times New Roman"/>
        </w:rPr>
        <w:t> </w:t>
      </w:r>
      <w:r w:rsidRPr="00714879">
        <w:rPr>
          <w:rFonts w:ascii="Times New Roman" w:hAnsi="Times New Roman"/>
        </w:rPr>
        <w:t>změně některých dalších zákonů</w:t>
      </w:r>
      <w:r w:rsidRPr="00C622E4">
        <w:rPr>
          <w:rFonts w:ascii="Times New Roman" w:hAnsi="Times New Roman"/>
        </w:rPr>
        <w:t>, kterým se řídí jeho činnost. SZIF je právnickou osobou,</w:t>
      </w:r>
      <w:r>
        <w:rPr>
          <w:rFonts w:ascii="Times New Roman" w:hAnsi="Times New Roman"/>
        </w:rPr>
        <w:t xml:space="preserve"> která náleží do působnosti Ministerstva zemědělství. Fond</w:t>
      </w:r>
      <w:r w:rsidRPr="00C622E4">
        <w:rPr>
          <w:rFonts w:ascii="Times New Roman" w:hAnsi="Times New Roman"/>
        </w:rPr>
        <w:t xml:space="preserve"> </w:t>
      </w:r>
      <w:r>
        <w:rPr>
          <w:rFonts w:ascii="Times New Roman" w:hAnsi="Times New Roman"/>
        </w:rPr>
        <w:t>představuje jeden z ekonomických nástrojů k plnění závazků vyplývajících ze Společné zemědělské politiky EU. SZIF je tvořen centrálním pracovištěm a sedmi regionálními odbory.</w:t>
      </w:r>
    </w:p>
    <w:p w:rsidR="003649B8" w:rsidRPr="00C622E4" w:rsidRDefault="003649B8" w:rsidP="00117B72">
      <w:pPr>
        <w:pStyle w:val="NormalWeb"/>
        <w:spacing w:before="0" w:after="0" w:line="360" w:lineRule="auto"/>
        <w:ind w:firstLine="426"/>
        <w:jc w:val="both"/>
        <w:rPr>
          <w:rFonts w:ascii="Times New Roman" w:hAnsi="Times New Roman"/>
        </w:rPr>
      </w:pPr>
      <w:r>
        <w:rPr>
          <w:rFonts w:ascii="Times New Roman" w:hAnsi="Times New Roman"/>
        </w:rPr>
        <w:t>SZIF je akreditovanou platební agenturou pro zprostředkování finanční podpory z EU a národních zdrojů. Dotace z EU jsou v rámci společné zemědělské politiky poskytovány z</w:t>
      </w:r>
      <w:r w:rsidRPr="00117B72">
        <w:rPr>
          <w:rFonts w:ascii="Times New Roman" w:hAnsi="Times New Roman"/>
        </w:rPr>
        <w:t> </w:t>
      </w:r>
      <w:r>
        <w:rPr>
          <w:rFonts w:ascii="Times New Roman" w:hAnsi="Times New Roman"/>
        </w:rPr>
        <w:t xml:space="preserve">Evropského zemědělského záručního fondu (EAGF), z Evropského zemědělského fondu pro rozvoj venkova (EAFRD) a v rámci společné rybářské politiky z Evropského námořního a rybářského fondu (EMFF), který je pokračovatelem Evropského rybářského fondu z programového období 2007 </w:t>
      </w:r>
      <w:r w:rsidRPr="00117B72">
        <w:rPr>
          <w:rFonts w:ascii="Times New Roman" w:hAnsi="Times New Roman"/>
        </w:rPr>
        <w:t>–</w:t>
      </w:r>
      <w:r>
        <w:rPr>
          <w:rFonts w:ascii="Times New Roman" w:hAnsi="Times New Roman"/>
        </w:rPr>
        <w:t xml:space="preserve"> 2013. SZIF dále provádí pro Ministerstvo zemědělství administraci dotací výhradně z národních zdrojů.</w:t>
      </w:r>
    </w:p>
    <w:p w:rsidR="003649B8" w:rsidRPr="00C622E4" w:rsidRDefault="003649B8" w:rsidP="005A0DCE">
      <w:pPr>
        <w:pStyle w:val="NormalWeb"/>
        <w:spacing w:before="0" w:after="0" w:line="360" w:lineRule="auto"/>
        <w:ind w:firstLine="426"/>
        <w:jc w:val="both"/>
        <w:rPr>
          <w:rFonts w:ascii="Times New Roman" w:hAnsi="Times New Roman"/>
        </w:rPr>
      </w:pPr>
      <w:r>
        <w:rPr>
          <w:rFonts w:ascii="Times New Roman" w:hAnsi="Times New Roman"/>
        </w:rPr>
        <w:t xml:space="preserve">Společná zemědělská politika sleduje cíle zabezpečení produktivity zemědělství, stabilizace trhu a podporuje zásadu finanční solidarity. V oblasti zemědělské politiky se čelí také novým výzvám, jako jsou zejména zajištění konkurenceschopnosti zemědělství, udržitelné hospodaření s přírodními zdroji a opatření v oblasti klimatu a dále vyvážený územní rozvoj. K naplnění těchto cílů slouží nástroje poskytování finanční podpory, kterou administruje SZIF. </w:t>
      </w:r>
      <w:r w:rsidRPr="00C622E4">
        <w:rPr>
          <w:rFonts w:ascii="Times New Roman" w:hAnsi="Times New Roman"/>
        </w:rPr>
        <w:t xml:space="preserve">Pilířem </w:t>
      </w:r>
      <w:r>
        <w:rPr>
          <w:rFonts w:ascii="Times New Roman" w:hAnsi="Times New Roman"/>
        </w:rPr>
        <w:t>vyplácených</w:t>
      </w:r>
      <w:r w:rsidRPr="00C622E4">
        <w:rPr>
          <w:rFonts w:ascii="Times New Roman" w:hAnsi="Times New Roman"/>
        </w:rPr>
        <w:t xml:space="preserve"> finančních </w:t>
      </w:r>
      <w:r>
        <w:rPr>
          <w:rFonts w:ascii="Times New Roman" w:hAnsi="Times New Roman"/>
        </w:rPr>
        <w:t>prostředků určených na dotace v zemědělství</w:t>
      </w:r>
      <w:r w:rsidRPr="00C622E4">
        <w:rPr>
          <w:rFonts w:ascii="Times New Roman" w:hAnsi="Times New Roman"/>
        </w:rPr>
        <w:t xml:space="preserve"> jsou přímé platby.</w:t>
      </w:r>
      <w:r>
        <w:rPr>
          <w:rFonts w:ascii="Times New Roman" w:hAnsi="Times New Roman"/>
        </w:rPr>
        <w:t xml:space="preserve"> Pro období 2015 – 2020 jsou přímé platby zaměřeny především na šetrný přístup k životnímu prostředí pomocí režimu </w:t>
      </w:r>
      <w:r w:rsidRPr="00694B75">
        <w:rPr>
          <w:rFonts w:ascii="Times New Roman" w:hAnsi="Times New Roman"/>
          <w:i/>
        </w:rPr>
        <w:t>Greening</w:t>
      </w:r>
      <w:r>
        <w:rPr>
          <w:rFonts w:ascii="Times New Roman" w:hAnsi="Times New Roman"/>
        </w:rPr>
        <w:t xml:space="preserve">, podpory pro mladé zemědělce a podporu znevýhodněných odvětví nebo regionů. Z EAGF jsou také poskytovány prostředky v rámci </w:t>
      </w:r>
      <w:r w:rsidRPr="002201B8">
        <w:rPr>
          <w:rFonts w:ascii="Times New Roman" w:hAnsi="Times New Roman"/>
          <w:i/>
        </w:rPr>
        <w:t>Společné organizace trhu</w:t>
      </w:r>
      <w:r>
        <w:rPr>
          <w:rFonts w:ascii="Times New Roman" w:hAnsi="Times New Roman"/>
        </w:rPr>
        <w:t>. O</w:t>
      </w:r>
      <w:r w:rsidRPr="00C622E4">
        <w:rPr>
          <w:rFonts w:ascii="Times New Roman" w:hAnsi="Times New Roman"/>
        </w:rPr>
        <w:t xml:space="preserve">patření </w:t>
      </w:r>
      <w:r>
        <w:rPr>
          <w:rFonts w:ascii="Times New Roman" w:hAnsi="Times New Roman"/>
        </w:rPr>
        <w:t xml:space="preserve">v rámci </w:t>
      </w:r>
      <w:r w:rsidRPr="002201B8">
        <w:rPr>
          <w:rFonts w:ascii="Times New Roman" w:hAnsi="Times New Roman"/>
          <w:i/>
        </w:rPr>
        <w:t>Společné organizace trhu</w:t>
      </w:r>
      <w:r w:rsidRPr="006D3597">
        <w:rPr>
          <w:rFonts w:ascii="Times New Roman" w:hAnsi="Times New Roman"/>
        </w:rPr>
        <w:t xml:space="preserve"> </w:t>
      </w:r>
      <w:r>
        <w:rPr>
          <w:rFonts w:ascii="Times New Roman" w:hAnsi="Times New Roman"/>
        </w:rPr>
        <w:t>aplikuje EU u vybraných zemědělských komodit, u kterých závazně stanovuje některé podmínky výroby a obchodu. Využívá k tomu intervenční zásahy, dotace, licenční politiku nebo úpravu obchodních podmínek a vyrovnává tak výkyvy nabídky a poptávky.</w:t>
      </w:r>
      <w:r w:rsidRPr="00C622E4">
        <w:rPr>
          <w:rFonts w:ascii="Times New Roman" w:hAnsi="Times New Roman"/>
        </w:rPr>
        <w:t xml:space="preserve"> Významnou finanční pomoc </w:t>
      </w:r>
      <w:r>
        <w:rPr>
          <w:rFonts w:ascii="Times New Roman" w:hAnsi="Times New Roman"/>
        </w:rPr>
        <w:t xml:space="preserve">nabízí </w:t>
      </w:r>
      <w:r w:rsidRPr="002201B8">
        <w:rPr>
          <w:rFonts w:ascii="Times New Roman" w:hAnsi="Times New Roman"/>
          <w:i/>
        </w:rPr>
        <w:t>Program rozvoje venkova</w:t>
      </w:r>
      <w:r>
        <w:rPr>
          <w:rFonts w:ascii="Times New Roman" w:hAnsi="Times New Roman"/>
        </w:rPr>
        <w:t xml:space="preserve"> (dále PRV), který čerpá prostředky z EAFRD. SZIF administruje také dotace poskytované v rámci </w:t>
      </w:r>
      <w:r w:rsidRPr="00147F17">
        <w:rPr>
          <w:rFonts w:ascii="Times New Roman" w:hAnsi="Times New Roman"/>
          <w:i/>
        </w:rPr>
        <w:t>Operačního programu</w:t>
      </w:r>
      <w:r>
        <w:rPr>
          <w:rFonts w:ascii="Times New Roman" w:hAnsi="Times New Roman"/>
        </w:rPr>
        <w:t xml:space="preserve"> </w:t>
      </w:r>
      <w:r w:rsidRPr="00653292">
        <w:rPr>
          <w:rFonts w:ascii="Times New Roman" w:hAnsi="Times New Roman"/>
          <w:i/>
        </w:rPr>
        <w:t xml:space="preserve">Rybářství </w:t>
      </w:r>
      <w:r>
        <w:rPr>
          <w:rFonts w:ascii="Times New Roman" w:hAnsi="Times New Roman"/>
        </w:rPr>
        <w:t>financovaného z EMFF.</w:t>
      </w:r>
    </w:p>
    <w:p w:rsidR="003649B8" w:rsidRDefault="003649B8" w:rsidP="00B61162">
      <w:pPr>
        <w:pStyle w:val="Standardnstyl"/>
      </w:pPr>
      <w:r>
        <w:t>SZIF dále</w:t>
      </w:r>
      <w:r w:rsidRPr="00A56D5F">
        <w:t xml:space="preserve"> </w:t>
      </w:r>
      <w:r>
        <w:t>zajišťuje</w:t>
      </w:r>
      <w:r w:rsidRPr="00A56D5F">
        <w:t xml:space="preserve"> administraci vývozních a dovozních licencí,</w:t>
      </w:r>
      <w:r>
        <w:t xml:space="preserve"> záruk, systému produkčních kvót </w:t>
      </w:r>
      <w:r w:rsidRPr="00A56D5F">
        <w:t xml:space="preserve">a prémiových práv. </w:t>
      </w:r>
      <w:r>
        <w:t>Provádí také podporu marketingu</w:t>
      </w:r>
      <w:r w:rsidRPr="00A56D5F">
        <w:t xml:space="preserve"> domácích potravinářských produktů</w:t>
      </w:r>
      <w:r>
        <w:t xml:space="preserve"> v rámci projektu </w:t>
      </w:r>
      <w:r w:rsidRPr="00C959A9">
        <w:rPr>
          <w:i/>
        </w:rPr>
        <w:t>Regionální potravina</w:t>
      </w:r>
      <w:r>
        <w:t xml:space="preserve"> a propagaci národní </w:t>
      </w:r>
      <w:r w:rsidRPr="005C6E7D">
        <w:t>značky kvality</w:t>
      </w:r>
      <w:r>
        <w:t xml:space="preserve"> KLASA</w:t>
      </w:r>
      <w:r w:rsidRPr="00A56D5F">
        <w:t>.</w:t>
      </w:r>
      <w:r>
        <w:t xml:space="preserve"> Zajišťuje rozhodování o poskytování dotací a jejich následnou kontrolu, provádí vládou schválené programy zaměřené na nepotravinářské využití a zpracování zemědělských výrobků, ukládá, vybírá a také odvádí finanční dávky z výroby cukru a v odvětví mléka a mléčných výrobků. Dále provádí programy strukturální podpory a opatření v oblasti společné organizace trhu.</w:t>
      </w:r>
    </w:p>
    <w:p w:rsidR="003649B8" w:rsidRDefault="003649B8" w:rsidP="00B61162">
      <w:pPr>
        <w:pStyle w:val="Standardnstyl"/>
      </w:pPr>
      <w:r>
        <w:t>Zákonnými finančními zdroji Fondu jsou dotace, tržby z obchodní činnosti, úvěry, úroky, podpory poskytnuté ze strany EU či jiným zahraničním subjektem, vrácené dotace a penále a část stanoveného objemu dávek z výroby cukru pokrývající náklady na jejich výběr.</w:t>
      </w:r>
    </w:p>
    <w:p w:rsidR="003649B8" w:rsidRDefault="003649B8" w:rsidP="00B61162">
      <w:pPr>
        <w:pStyle w:val="Standardnstyl"/>
      </w:pPr>
      <w:r w:rsidRPr="003E7735">
        <w:t>Celkové příjmy SZIF se v roce 2015 předpokládají</w:t>
      </w:r>
      <w:r>
        <w:t xml:space="preserve"> ve výši 41,18 </w:t>
      </w:r>
      <w:r w:rsidRPr="00A56D5F">
        <w:t>mld.</w:t>
      </w:r>
      <w:r>
        <w:t xml:space="preserve"> </w:t>
      </w:r>
      <w:r w:rsidRPr="00A56D5F">
        <w:t xml:space="preserve">Kč. </w:t>
      </w:r>
      <w:r>
        <w:t xml:space="preserve">Ve struktuře příjmů zcela dominují </w:t>
      </w:r>
      <w:r w:rsidRPr="00A56D5F">
        <w:t>dotace z</w:t>
      </w:r>
      <w:r>
        <w:t xml:space="preserve"> </w:t>
      </w:r>
      <w:r w:rsidRPr="00A56D5F">
        <w:t>veřejných rozpočtů centrální úrovně v</w:t>
      </w:r>
      <w:r>
        <w:t xml:space="preserve"> částce 41,15 </w:t>
      </w:r>
      <w:r w:rsidRPr="00A56D5F">
        <w:t>mld.</w:t>
      </w:r>
      <w:r>
        <w:t xml:space="preserve"> </w:t>
      </w:r>
      <w:r w:rsidRPr="00A56D5F">
        <w:t xml:space="preserve">Kč. </w:t>
      </w:r>
      <w:r>
        <w:t>Jejich výše ovšem vyplývá z úlohy Fondu a jedná se tak o prostředky související s programy EU. Zbylé</w:t>
      </w:r>
      <w:r w:rsidRPr="0011521F">
        <w:t xml:space="preserve"> příjmy mají</w:t>
      </w:r>
      <w:r w:rsidRPr="00A56D5F">
        <w:t xml:space="preserve"> </w:t>
      </w:r>
      <w:r>
        <w:t xml:space="preserve">rovněž nedaňový </w:t>
      </w:r>
      <w:r w:rsidRPr="00A56D5F">
        <w:t xml:space="preserve">charakter </w:t>
      </w:r>
      <w:r>
        <w:t>a</w:t>
      </w:r>
      <w:r w:rsidRPr="00A56D5F">
        <w:t xml:space="preserve"> </w:t>
      </w:r>
      <w:r>
        <w:t>jsou tvořeny především</w:t>
      </w:r>
      <w:r w:rsidRPr="00A56D5F">
        <w:t xml:space="preserve"> </w:t>
      </w:r>
      <w:r>
        <w:t>podílem na dávkách z cukru prostřednictvím položky správní poplatky.</w:t>
      </w:r>
      <w:r w:rsidRPr="00A56D5F">
        <w:t xml:space="preserve"> </w:t>
      </w:r>
      <w:r>
        <w:t>Celkové v</w:t>
      </w:r>
      <w:r w:rsidRPr="00A56D5F">
        <w:t>ýdaje jsou očekávány na úrovni</w:t>
      </w:r>
      <w:r>
        <w:t xml:space="preserve"> 41,63 mld. </w:t>
      </w:r>
      <w:r w:rsidRPr="00A56D5F">
        <w:t xml:space="preserve">Kč. </w:t>
      </w:r>
      <w:r>
        <w:t xml:space="preserve">Z celkových odhadovaných výdajů </w:t>
      </w:r>
      <w:r w:rsidRPr="004E611E">
        <w:t xml:space="preserve">tvoří </w:t>
      </w:r>
      <w:r>
        <w:t>82,9</w:t>
      </w:r>
      <w:r w:rsidRPr="00E85F3D">
        <w:t xml:space="preserve"> %</w:t>
      </w:r>
      <w:r>
        <w:t xml:space="preserve"> EU-</w:t>
      </w:r>
      <w:r w:rsidRPr="00E85F3D">
        <w:t>výdaje.</w:t>
      </w:r>
      <w:r>
        <w:t xml:space="preserve"> V převážné většině se jedná o</w:t>
      </w:r>
      <w:r w:rsidRPr="00A56D5F">
        <w:t xml:space="preserve"> běžn</w:t>
      </w:r>
      <w:r>
        <w:t>é</w:t>
      </w:r>
      <w:r w:rsidRPr="00A56D5F">
        <w:t xml:space="preserve"> </w:t>
      </w:r>
      <w:r>
        <w:t>transfery</w:t>
      </w:r>
      <w:r w:rsidRPr="00A56D5F">
        <w:t>, na které připadá</w:t>
      </w:r>
      <w:r>
        <w:t xml:space="preserve"> 32,88 </w:t>
      </w:r>
      <w:r w:rsidRPr="00A56D5F">
        <w:t>mld. Kč</w:t>
      </w:r>
      <w:r>
        <w:t xml:space="preserve"> (tj. 78,4 % z celkových očekávaných výdajů Fondu). V rámci nich naprosto převládají transfery poskytované</w:t>
      </w:r>
      <w:r w:rsidRPr="00A56D5F">
        <w:t xml:space="preserve"> podnikatelským subjektům</w:t>
      </w:r>
      <w:r>
        <w:t xml:space="preserve"> a jejich největší část připadá na výplatu přímých plateb (53,3 % celkových očekávaných výdajů Fondu)</w:t>
      </w:r>
      <w:r w:rsidRPr="00A56D5F">
        <w:t xml:space="preserve">. </w:t>
      </w:r>
      <w:r w:rsidRPr="009A1268">
        <w:t>Vý</w:t>
      </w:r>
      <w:r>
        <w:t xml:space="preserve">daje na PRV včetně </w:t>
      </w:r>
      <w:r w:rsidRPr="00375FAE">
        <w:rPr>
          <w:i/>
        </w:rPr>
        <w:t>Horizontálního plánu rozvoje venkova</w:t>
      </w:r>
      <w:r>
        <w:t xml:space="preserve"> představují 39,2 % celkových odhadovaných výdajů. </w:t>
      </w:r>
      <w:r w:rsidRPr="00A56D5F">
        <w:t xml:space="preserve">Na </w:t>
      </w:r>
      <w:r>
        <w:t xml:space="preserve">náhrady zaměstnancům a nákupy zboží a služeb Fond vynaloží 1,94 </w:t>
      </w:r>
      <w:r w:rsidRPr="00A56D5F">
        <w:t>mld.</w:t>
      </w:r>
      <w:r>
        <w:t xml:space="preserve"> </w:t>
      </w:r>
      <w:r w:rsidRPr="00A56D5F">
        <w:t xml:space="preserve">Kč. </w:t>
      </w:r>
      <w:r>
        <w:t xml:space="preserve">Výdaje na </w:t>
      </w:r>
      <w:r w:rsidRPr="00375FAE">
        <w:rPr>
          <w:i/>
        </w:rPr>
        <w:t>Společnou organizaci trhu</w:t>
      </w:r>
      <w:r>
        <w:t xml:space="preserve"> a marketing se na celkových očekávaných výdajích podílejí 3,2</w:t>
      </w:r>
      <w:r w:rsidRPr="004E611E">
        <w:t xml:space="preserve"> </w:t>
      </w:r>
      <w:r>
        <w:t>%. Podíl správních výdajů se předpokládá ve výši 4,3</w:t>
      </w:r>
      <w:r w:rsidRPr="004E611E">
        <w:t xml:space="preserve"> %.</w:t>
      </w:r>
    </w:p>
    <w:p w:rsidR="003649B8" w:rsidRDefault="003649B8" w:rsidP="00B61162">
      <w:pPr>
        <w:pStyle w:val="Standardnstyl"/>
      </w:pPr>
      <w:r w:rsidRPr="00A56D5F">
        <w:t xml:space="preserve">Hospodaření SZIF </w:t>
      </w:r>
      <w:r>
        <w:t xml:space="preserve">by </w:t>
      </w:r>
      <w:r w:rsidRPr="00A56D5F">
        <w:t>v</w:t>
      </w:r>
      <w:r>
        <w:t xml:space="preserve"> </w:t>
      </w:r>
      <w:r w:rsidRPr="00A56D5F">
        <w:t xml:space="preserve">roce </w:t>
      </w:r>
      <w:r>
        <w:t>2015</w:t>
      </w:r>
      <w:r w:rsidRPr="00A56D5F">
        <w:t xml:space="preserve"> </w:t>
      </w:r>
      <w:r>
        <w:t>mělo skončit schodkem 0,79 m</w:t>
      </w:r>
      <w:r w:rsidRPr="00A56D5F">
        <w:t>ld</w:t>
      </w:r>
      <w:r>
        <w:t>. Kč</w:t>
      </w:r>
      <w:r w:rsidRPr="003D6495">
        <w:t xml:space="preserve">. </w:t>
      </w:r>
      <w:r w:rsidRPr="00711145">
        <w:t>V průběhu roku se předpokládá čerpání krátkodobého úvěru Ministerstva financí na intervenční nákupy ve výši</w:t>
      </w:r>
      <w:r>
        <w:t xml:space="preserve"> 0,24 mld. </w:t>
      </w:r>
      <w:r w:rsidRPr="00711145">
        <w:t xml:space="preserve">Kč, </w:t>
      </w:r>
      <w:r w:rsidRPr="00280C03">
        <w:t xml:space="preserve">proto SZIF bude ke konci roku vykazovat dluh v </w:t>
      </w:r>
      <w:r>
        <w:t xml:space="preserve">této </w:t>
      </w:r>
      <w:r w:rsidRPr="00280C03">
        <w:t>výši</w:t>
      </w:r>
      <w:r w:rsidRPr="003D6495">
        <w:t xml:space="preserve">. </w:t>
      </w:r>
      <w:r>
        <w:t>Předpokládaný konečný stav peněžních prostředků k 31. prosinci 2015 bude činit 2,24 mld. Kč.</w:t>
      </w:r>
    </w:p>
    <w:p w:rsidR="003649B8" w:rsidRPr="00A56D5F" w:rsidRDefault="003649B8" w:rsidP="00B61162">
      <w:pPr>
        <w:pStyle w:val="Standardnstyl"/>
      </w:pPr>
      <w:r w:rsidRPr="00A56D5F">
        <w:t xml:space="preserve">Návrh rozpočtu SZIF na rok </w:t>
      </w:r>
      <w:r>
        <w:t>2016</w:t>
      </w:r>
      <w:r w:rsidRPr="00A56D5F">
        <w:t xml:space="preserve"> počítá s</w:t>
      </w:r>
      <w:r>
        <w:t xml:space="preserve"> celkovými </w:t>
      </w:r>
      <w:r w:rsidRPr="00A56D5F">
        <w:t>příjmy</w:t>
      </w:r>
      <w:r>
        <w:t xml:space="preserve"> 35,82 </w:t>
      </w:r>
      <w:r w:rsidRPr="00A56D5F">
        <w:t>mld.</w:t>
      </w:r>
      <w:r>
        <w:t xml:space="preserve"> </w:t>
      </w:r>
      <w:r w:rsidRPr="00A56D5F">
        <w:t>Kč</w:t>
      </w:r>
      <w:r>
        <w:t xml:space="preserve">, z toho se v drtivé většině </w:t>
      </w:r>
      <w:r w:rsidRPr="00A54573">
        <w:t>opět jedná o dotace ze státního rozpočtu.</w:t>
      </w:r>
      <w:r>
        <w:t xml:space="preserve"> Celkové v</w:t>
      </w:r>
      <w:r w:rsidRPr="00A56D5F">
        <w:t xml:space="preserve">ýdaje </w:t>
      </w:r>
      <w:r>
        <w:t>jsou na</w:t>
      </w:r>
      <w:r w:rsidRPr="00A56D5F">
        <w:t xml:space="preserve"> rok </w:t>
      </w:r>
      <w:r>
        <w:t>2016</w:t>
      </w:r>
      <w:r w:rsidRPr="00A56D5F">
        <w:t xml:space="preserve"> </w:t>
      </w:r>
      <w:r w:rsidRPr="00E45DB0">
        <w:t xml:space="preserve">navrhovány </w:t>
      </w:r>
      <w:r w:rsidRPr="00AA1647">
        <w:t>rovněž</w:t>
      </w:r>
      <w:r>
        <w:t xml:space="preserve"> </w:t>
      </w:r>
      <w:r w:rsidRPr="00E45DB0">
        <w:t xml:space="preserve">ve </w:t>
      </w:r>
      <w:r w:rsidRPr="00A54573">
        <w:t xml:space="preserve">výši </w:t>
      </w:r>
      <w:r>
        <w:t xml:space="preserve">35,82 mld. </w:t>
      </w:r>
      <w:r w:rsidRPr="00A54573">
        <w:t xml:space="preserve">Kč. Stejně jako v předchozích letech budou mít charakter zejména běžných transferů </w:t>
      </w:r>
      <w:r>
        <w:t xml:space="preserve">soukromým </w:t>
      </w:r>
      <w:r w:rsidRPr="00A54573">
        <w:t>nefinančním subjektům</w:t>
      </w:r>
      <w:r>
        <w:t xml:space="preserve"> </w:t>
      </w:r>
      <w:r w:rsidRPr="00A54573">
        <w:t>(</w:t>
      </w:r>
      <w:r>
        <w:t xml:space="preserve">89,5 </w:t>
      </w:r>
      <w:r w:rsidRPr="00A54573">
        <w:t>% celkových výdajů</w:t>
      </w:r>
      <w:r>
        <w:t>)</w:t>
      </w:r>
      <w:r w:rsidRPr="00A54573">
        <w:t>.</w:t>
      </w:r>
      <w:r>
        <w:t xml:space="preserve"> </w:t>
      </w:r>
      <w:r w:rsidRPr="00A54573">
        <w:t>Významný je i objem náhrad zaměstnancům a</w:t>
      </w:r>
      <w:r>
        <w:t xml:space="preserve"> </w:t>
      </w:r>
      <w:r w:rsidRPr="00A54573">
        <w:t>nákupů zboží a služeb (</w:t>
      </w:r>
      <w:r>
        <w:t xml:space="preserve">1,11 </w:t>
      </w:r>
      <w:r w:rsidRPr="00A54573">
        <w:t>mld.</w:t>
      </w:r>
      <w:r>
        <w:t xml:space="preserve"> </w:t>
      </w:r>
      <w:r w:rsidRPr="00A54573">
        <w:t xml:space="preserve">Kč). Z výše uvedeného je zřejmé, že předkládaný rozpočet je sestaven jako </w:t>
      </w:r>
      <w:r w:rsidRPr="00AA1647">
        <w:t>vyrovnaný</w:t>
      </w:r>
      <w:r>
        <w:t>.</w:t>
      </w:r>
      <w:r>
        <w:rPr>
          <w:i/>
        </w:rPr>
        <w:t xml:space="preserve"> </w:t>
      </w:r>
      <w:r w:rsidRPr="0065256B">
        <w:t xml:space="preserve">V roce 2016 SZIF předpokládá splacení půjčky </w:t>
      </w:r>
      <w:r>
        <w:t xml:space="preserve">ze státního rozpočtu </w:t>
      </w:r>
      <w:r w:rsidRPr="0065256B">
        <w:t xml:space="preserve">ve výši 0,24 mld. Kč a čerpání krátkodobého úvěru </w:t>
      </w:r>
      <w:r>
        <w:t xml:space="preserve">opět </w:t>
      </w:r>
      <w:r w:rsidRPr="0065256B">
        <w:t xml:space="preserve">ze státního rozpočtu na intervenční nákupy. Na konci roku 2016 by tak měly dluhové závazky SZIF </w:t>
      </w:r>
      <w:r>
        <w:t xml:space="preserve">z tohoto titulu </w:t>
      </w:r>
      <w:r w:rsidRPr="0065256B">
        <w:t xml:space="preserve">dosáhnout výše </w:t>
      </w:r>
      <w:r>
        <w:t xml:space="preserve">0,25 mld. </w:t>
      </w:r>
      <w:r w:rsidRPr="0065256B">
        <w:t>Kč</w:t>
      </w:r>
      <w:r w:rsidRPr="00030E7B">
        <w:t>.</w:t>
      </w:r>
      <w:r>
        <w:t xml:space="preserve"> Konečný stav peněžních prostředků se na konci roku 2016 očekává ve výši 2,25 mld. Kč</w:t>
      </w:r>
      <w:r w:rsidRPr="00A56D5F">
        <w:t>.</w:t>
      </w:r>
    </w:p>
    <w:p w:rsidR="003649B8" w:rsidRDefault="003649B8" w:rsidP="002A6109">
      <w:pPr>
        <w:pStyle w:val="Caption"/>
      </w:pPr>
      <w:r>
        <w:t xml:space="preserve">Tabulka č. </w:t>
      </w:r>
      <w:fldSimple w:instr=" SEQ Tabulka \* ARABIC " w:fldLock="1">
        <w:r>
          <w:rPr>
            <w:noProof/>
          </w:rPr>
          <w:t>13</w:t>
        </w:r>
      </w:fldSimple>
      <w:r>
        <w:rPr>
          <w:noProof/>
        </w:rPr>
        <w:t xml:space="preserve">: </w:t>
      </w:r>
      <w:r>
        <w:t>Bilance Státního zemědělského intervenčního fondu v mld. Kč</w:t>
      </w:r>
    </w:p>
    <w:p w:rsidR="003649B8" w:rsidRDefault="003649B8" w:rsidP="007F774F">
      <w:pPr>
        <w:pStyle w:val="graftab"/>
      </w:pPr>
      <w:r>
        <w:pict>
          <v:shape id="_x0000_i1042" type="#_x0000_t75" style="width:457.2pt;height:539.4pt">
            <v:imagedata r:id="rId40" o:title=""/>
          </v:shape>
        </w:pict>
      </w:r>
      <w:r w:rsidRPr="003F2429">
        <w:t xml:space="preserve">Pramen: </w:t>
      </w:r>
      <w:r>
        <w:t>Ministerstvo financí ČR,</w:t>
      </w:r>
      <w:r w:rsidRPr="003F2429">
        <w:t xml:space="preserve"> SZIF</w:t>
      </w:r>
    </w:p>
    <w:p w:rsidR="003649B8" w:rsidRDefault="003649B8" w:rsidP="00FC7B4C">
      <w:pPr>
        <w:spacing w:line="360" w:lineRule="auto"/>
      </w:pPr>
    </w:p>
    <w:p w:rsidR="003649B8" w:rsidRDefault="003649B8" w:rsidP="00FC7B4C">
      <w:pPr>
        <w:spacing w:line="360" w:lineRule="auto"/>
      </w:pPr>
    </w:p>
    <w:p w:rsidR="003649B8" w:rsidRDefault="003649B8" w:rsidP="00515DAB">
      <w:pPr>
        <w:sectPr w:rsidR="003649B8" w:rsidSect="00256D4F">
          <w:headerReference w:type="first" r:id="rId41"/>
          <w:type w:val="continuous"/>
          <w:pgSz w:w="11906" w:h="16838"/>
          <w:pgMar w:top="1417" w:right="1417" w:bottom="1417" w:left="1417" w:header="708" w:footer="708" w:gutter="0"/>
          <w:cols w:space="708"/>
          <w:docGrid w:linePitch="360"/>
        </w:sectPr>
      </w:pPr>
    </w:p>
    <w:p w:rsidR="003649B8" w:rsidRDefault="003649B8" w:rsidP="00FC7B4C">
      <w:pPr>
        <w:sectPr w:rsidR="003649B8" w:rsidSect="00256D4F">
          <w:type w:val="continuous"/>
          <w:pgSz w:w="11906" w:h="16838"/>
          <w:pgMar w:top="1417" w:right="1417" w:bottom="1417" w:left="1417" w:header="708" w:footer="708" w:gutter="0"/>
          <w:cols w:space="708"/>
          <w:docGrid w:linePitch="360"/>
        </w:sectPr>
      </w:pPr>
    </w:p>
    <w:p w:rsidR="003649B8" w:rsidRDefault="003649B8" w:rsidP="00D74F23">
      <w:pPr>
        <w:sectPr w:rsidR="003649B8">
          <w:type w:val="continuous"/>
          <w:pgSz w:w="11906" w:h="16838"/>
          <w:pgMar w:top="1417" w:right="1417" w:bottom="1417" w:left="1417" w:header="708" w:footer="708" w:gutter="0"/>
          <w:cols w:space="708"/>
          <w:docGrid w:linePitch="360"/>
        </w:sectPr>
      </w:pPr>
    </w:p>
    <w:p w:rsidR="003649B8" w:rsidRDefault="003649B8" w:rsidP="001002F8">
      <w:pPr>
        <w:pStyle w:val="Heading3"/>
        <w:spacing w:before="0" w:after="0"/>
      </w:pPr>
      <w:bookmarkStart w:id="62" w:name="_Toc428446408"/>
      <w:bookmarkStart w:id="63" w:name="_Toc207011064"/>
      <w:bookmarkEnd w:id="57"/>
      <w:bookmarkEnd w:id="58"/>
      <w:bookmarkEnd w:id="59"/>
      <w:bookmarkEnd w:id="60"/>
      <w:bookmarkEnd w:id="61"/>
      <w:r>
        <w:t>Státní fond kultury České republiky</w:t>
      </w:r>
      <w:bookmarkEnd w:id="62"/>
      <w:r>
        <w:t xml:space="preserve"> </w:t>
      </w:r>
    </w:p>
    <w:p w:rsidR="003649B8" w:rsidRDefault="003649B8" w:rsidP="001002F8">
      <w:pPr>
        <w:sectPr w:rsidR="003649B8">
          <w:type w:val="continuous"/>
          <w:pgSz w:w="11906" w:h="16838"/>
          <w:pgMar w:top="1417" w:right="1417" w:bottom="1417" w:left="1417" w:header="708" w:footer="708" w:gutter="0"/>
          <w:cols w:space="708"/>
          <w:docGrid w:linePitch="360"/>
        </w:sectPr>
      </w:pPr>
    </w:p>
    <w:p w:rsidR="003649B8" w:rsidRDefault="003649B8" w:rsidP="00B61162">
      <w:pPr>
        <w:pStyle w:val="Standardnstyl"/>
      </w:pPr>
    </w:p>
    <w:p w:rsidR="003649B8" w:rsidRDefault="003649B8" w:rsidP="00B61162">
      <w:pPr>
        <w:pStyle w:val="Standardnstyl"/>
      </w:pPr>
      <w:r>
        <w:t>Státní fond kultury České republiky (dále SFK nebo v této kapitole Fond) je spravován Ministerstvem kultury a jeho ministr je zároveň statutárním orgánem Fondu. SFK byl zřízen zákonem č. 239/1992 Sb., o Státním fondu kultury České republiky. Orgánem, který rozhoduje o způsobu a výši čerpání prostředků Fondu, je Rada Fondu.</w:t>
      </w:r>
      <w:r w:rsidRPr="00282FEC">
        <w:t xml:space="preserve"> </w:t>
      </w:r>
      <w:r>
        <w:t>V současné době ji</w:t>
      </w:r>
      <w:r w:rsidRPr="00282FEC">
        <w:t xml:space="preserve"> </w:t>
      </w:r>
      <w:r>
        <w:t>tvoří</w:t>
      </w:r>
      <w:r w:rsidRPr="00282FEC">
        <w:t xml:space="preserve"> 12 členů</w:t>
      </w:r>
      <w:r>
        <w:t>, zvolených</w:t>
      </w:r>
      <w:r w:rsidRPr="00282FEC">
        <w:t xml:space="preserve"> Poslaneckou sněmovnou ČR </w:t>
      </w:r>
      <w:r>
        <w:t>na</w:t>
      </w:r>
      <w:r w:rsidRPr="00282FEC">
        <w:t xml:space="preserve"> období 2015</w:t>
      </w:r>
      <w:r>
        <w:t xml:space="preserve"> – </w:t>
      </w:r>
      <w:r w:rsidRPr="00282FEC">
        <w:t>2017</w:t>
      </w:r>
      <w:r>
        <w:t xml:space="preserve">. </w:t>
      </w:r>
      <w:r w:rsidRPr="00064338">
        <w:t>Došlo i</w:t>
      </w:r>
      <w:r>
        <w:t> </w:t>
      </w:r>
      <w:r w:rsidRPr="00064338">
        <w:t>k</w:t>
      </w:r>
      <w:r>
        <w:t> </w:t>
      </w:r>
      <w:r w:rsidRPr="00064338">
        <w:t>posílení zdrojů Fondu změnou zákona č. 483/1991 Sb., o České televizi, která mu zajistila příjmy z reklam na programu ČT 2</w:t>
      </w:r>
      <w:r>
        <w:t xml:space="preserve"> (novelizující zákon č. 302/2011 Sb.)</w:t>
      </w:r>
      <w:r w:rsidRPr="00064338">
        <w:t>.</w:t>
      </w:r>
    </w:p>
    <w:p w:rsidR="003649B8" w:rsidRDefault="003649B8" w:rsidP="00B61162">
      <w:pPr>
        <w:pStyle w:val="Standardnstyl"/>
      </w:pPr>
      <w:r>
        <w:t>Celkové příjmy SFK mají v roce 2015 dosáhnout výše 61,0 mil. Kč, celkové výdaje jsou očekávány v objemu 48,0 mil. Kč a hospodaření Fondu se tak odhaduje na přebytek 13,0 mil.Kč.</w:t>
      </w:r>
    </w:p>
    <w:p w:rsidR="003649B8" w:rsidRDefault="003649B8" w:rsidP="00B61162">
      <w:pPr>
        <w:pStyle w:val="Standardnstyl"/>
      </w:pPr>
      <w:r>
        <w:t>Na rok 2016 jsou celkové příjmy Fondu navrženy ve výši 64,0 mil. Kč. Významnou část těchto příjmů tvoří příjmy z pronájmu nemovitých věcí, ke kterým má Fond příslušnost hospodaření (dům U Černé Matky Boží, d</w:t>
      </w:r>
      <w:r w:rsidRPr="00321524">
        <w:t>ům U Hybernů a Národní dům na Vinohradech)</w:t>
      </w:r>
      <w:r>
        <w:t xml:space="preserve"> a které jsou rozpočtovány ve výši </w:t>
      </w:r>
      <w:r w:rsidRPr="00EC3CE8">
        <w:t>33,0</w:t>
      </w:r>
      <w:r>
        <w:t xml:space="preserve"> mil. Kč. </w:t>
      </w:r>
      <w:r w:rsidRPr="002A321B">
        <w:t xml:space="preserve">Dalšími vlastními finančními zdroji jsou </w:t>
      </w:r>
      <w:r>
        <w:t>výnosy z reklam na programu ČT2 (na rok 2016 rozpočtovány ve výši 26,5 mil. Kč), p</w:t>
      </w:r>
      <w:r w:rsidRPr="002A321B">
        <w:t>řijaté platby za výkon majetkových autorských práv, kter</w:t>
      </w:r>
      <w:r>
        <w:t>é</w:t>
      </w:r>
      <w:r w:rsidRPr="002A321B">
        <w:t xml:space="preserve"> připadl</w:t>
      </w:r>
      <w:r>
        <w:t>y</w:t>
      </w:r>
      <w:r w:rsidRPr="002A321B">
        <w:t xml:space="preserve"> státu</w:t>
      </w:r>
      <w:r>
        <w:t xml:space="preserve"> (tzv. odúmrtě) nebo přijaté úroky.</w:t>
      </w:r>
    </w:p>
    <w:p w:rsidR="003649B8" w:rsidRDefault="003649B8" w:rsidP="00B61162">
      <w:pPr>
        <w:pStyle w:val="Standardnstyl"/>
      </w:pPr>
      <w:r w:rsidRPr="006823D9">
        <w:t>Fond plánuje v</w:t>
      </w:r>
      <w:r>
        <w:t xml:space="preserve"> </w:t>
      </w:r>
      <w:r w:rsidRPr="006823D9">
        <w:t>roce 201</w:t>
      </w:r>
      <w:r>
        <w:t>6</w:t>
      </w:r>
      <w:r w:rsidRPr="006823D9">
        <w:t xml:space="preserve"> ho</w:t>
      </w:r>
      <w:r>
        <w:t xml:space="preserve">spodařit s </w:t>
      </w:r>
      <w:r w:rsidRPr="00CD2F35">
        <w:t>přebytkovým</w:t>
      </w:r>
      <w:r>
        <w:t xml:space="preserve"> rozpočtem, neboť celkové výdaje jsou naplánovány ve výši 53,0 mil. Kč. Významnou část výdajů představují poskytované podpory na projekty v oblasti kultury, z nichž největší část je určena občanským sdružením. Zbývající částí výdajů jsou pak výdaje související s provozem nemovitých věcí (výdaje na opravy, správu, telekomunikaci atd.), se správou Fondu a s činností jeho Rady. Výše kapitálových výdajů pro rok 2016 je očekávána ve výši 15,4 mil. Kč a jedná se především o výdaje na technické zhodnocení objektu U Hybernů a Národního domu Vinohrady. K</w:t>
      </w:r>
      <w:r w:rsidRPr="006823D9">
        <w:t xml:space="preserve">onečný stav peněžních prostředků </w:t>
      </w:r>
      <w:r>
        <w:t xml:space="preserve">Fondu se </w:t>
      </w:r>
      <w:r w:rsidRPr="006823D9">
        <w:t>na konci roku</w:t>
      </w:r>
      <w:r>
        <w:t xml:space="preserve"> 2016</w:t>
      </w:r>
      <w:r w:rsidRPr="006823D9">
        <w:t xml:space="preserve"> </w:t>
      </w:r>
      <w:r>
        <w:t>předpokládá ve výši 116,3 </w:t>
      </w:r>
      <w:r w:rsidRPr="006823D9">
        <w:t>mil.</w:t>
      </w:r>
      <w:r>
        <w:t xml:space="preserve"> Kč.</w:t>
      </w:r>
    </w:p>
    <w:p w:rsidR="003649B8" w:rsidRDefault="003649B8" w:rsidP="00B61162">
      <w:pPr>
        <w:pStyle w:val="Standardnstyl"/>
      </w:pPr>
      <w:r w:rsidRPr="001753FF">
        <w:t xml:space="preserve">Na rozpočet Fondu mohou mít negativní dopad dvě velmi významné a zatím stále </w:t>
      </w:r>
      <w:r w:rsidRPr="0088554B">
        <w:t>silně stochastické skutečnosti.</w:t>
      </w:r>
      <w:r w:rsidRPr="001753FF">
        <w:t xml:space="preserve"> Jednak je to vleklý spor vztahující se k</w:t>
      </w:r>
      <w:r>
        <w:t xml:space="preserve"> </w:t>
      </w:r>
      <w:r w:rsidRPr="001753FF">
        <w:t>nemovit</w:t>
      </w:r>
      <w:r>
        <w:t>é věci</w:t>
      </w:r>
      <w:r w:rsidRPr="001753FF">
        <w:t xml:space="preserve"> Dům U</w:t>
      </w:r>
      <w:r>
        <w:t xml:space="preserve"> </w:t>
      </w:r>
      <w:r w:rsidRPr="001753FF">
        <w:t>Černé Matky Boží s reálnou možností prohry a dále pak nejistota ohledně výše nákladů na opravy a</w:t>
      </w:r>
      <w:r>
        <w:t> </w:t>
      </w:r>
      <w:r w:rsidRPr="001753FF">
        <w:t>rekonstrukce</w:t>
      </w:r>
      <w:r>
        <w:t xml:space="preserve"> nemovitých věcí</w:t>
      </w:r>
      <w:r w:rsidRPr="001753FF">
        <w:t>.</w:t>
      </w:r>
    </w:p>
    <w:p w:rsidR="003649B8" w:rsidRDefault="003649B8" w:rsidP="002A6109">
      <w:pPr>
        <w:pStyle w:val="Caption"/>
      </w:pPr>
      <w:r>
        <w:t xml:space="preserve">Tabulka č. </w:t>
      </w:r>
      <w:fldSimple w:instr=" SEQ Tabulka \* ARABIC " w:fldLock="1">
        <w:r>
          <w:rPr>
            <w:noProof/>
          </w:rPr>
          <w:t>14</w:t>
        </w:r>
      </w:fldSimple>
      <w:r>
        <w:rPr>
          <w:noProof/>
        </w:rPr>
        <w:t xml:space="preserve">: </w:t>
      </w:r>
      <w:r>
        <w:t>Bilance Státního fondu kultury České republiky  v mil. Kč.</w:t>
      </w:r>
    </w:p>
    <w:p w:rsidR="003649B8" w:rsidRDefault="003649B8" w:rsidP="007F774F">
      <w:pPr>
        <w:pStyle w:val="graftab"/>
      </w:pPr>
      <w:r>
        <w:pict>
          <v:shape id="_x0000_i1043" type="#_x0000_t75" style="width:457.8pt;height:539.4pt">
            <v:imagedata r:id="rId42" o:title=""/>
          </v:shape>
        </w:pict>
      </w:r>
      <w:r w:rsidRPr="003F2429">
        <w:t xml:space="preserve">Pramen: </w:t>
      </w:r>
      <w:r>
        <w:t xml:space="preserve">Ministerstvo financí ČR, </w:t>
      </w:r>
      <w:r w:rsidRPr="003F2429">
        <w:t>SFK</w:t>
      </w:r>
      <w:bookmarkStart w:id="64" w:name="_Toc524941178"/>
    </w:p>
    <w:p w:rsidR="003649B8" w:rsidRDefault="003649B8" w:rsidP="00DC7699">
      <w:pPr>
        <w:pStyle w:val="Standardnstyl"/>
        <w:ind w:firstLine="0"/>
      </w:pPr>
    </w:p>
    <w:p w:rsidR="003649B8" w:rsidRDefault="003649B8" w:rsidP="00DC7699">
      <w:pPr>
        <w:pStyle w:val="Standardnstyl"/>
        <w:ind w:firstLine="0"/>
      </w:pPr>
    </w:p>
    <w:p w:rsidR="003649B8" w:rsidRDefault="003649B8" w:rsidP="00DC7699">
      <w:pPr>
        <w:pStyle w:val="Standardnstyl"/>
        <w:ind w:firstLine="0"/>
      </w:pPr>
    </w:p>
    <w:p w:rsidR="003649B8" w:rsidRPr="00FB394F" w:rsidRDefault="003649B8" w:rsidP="00DC7699">
      <w:pPr>
        <w:pStyle w:val="Standardnstyl"/>
        <w:ind w:firstLine="0"/>
      </w:pPr>
    </w:p>
    <w:bookmarkEnd w:id="64"/>
    <w:p w:rsidR="003649B8" w:rsidRDefault="003649B8" w:rsidP="0026728D">
      <w:pPr>
        <w:sectPr w:rsidR="003649B8">
          <w:type w:val="continuous"/>
          <w:pgSz w:w="11906" w:h="16838"/>
          <w:pgMar w:top="1417" w:right="1417" w:bottom="1417" w:left="1417" w:header="708" w:footer="708" w:gutter="0"/>
          <w:cols w:space="708"/>
          <w:docGrid w:linePitch="360"/>
        </w:sectPr>
      </w:pPr>
    </w:p>
    <w:p w:rsidR="003649B8" w:rsidRDefault="003649B8" w:rsidP="00256D4F">
      <w:pPr>
        <w:sectPr w:rsidR="003649B8">
          <w:type w:val="continuous"/>
          <w:pgSz w:w="11906" w:h="16838"/>
          <w:pgMar w:top="1417" w:right="1417" w:bottom="1417" w:left="1417" w:header="708" w:footer="708" w:gutter="0"/>
          <w:cols w:space="708"/>
          <w:docGrid w:linePitch="360"/>
        </w:sectPr>
      </w:pPr>
    </w:p>
    <w:p w:rsidR="003649B8" w:rsidRDefault="003649B8" w:rsidP="00D74F23">
      <w:pPr>
        <w:sectPr w:rsidR="003649B8">
          <w:type w:val="continuous"/>
          <w:pgSz w:w="11906" w:h="16838"/>
          <w:pgMar w:top="1417" w:right="1417" w:bottom="1417" w:left="1417" w:header="708" w:footer="708" w:gutter="0"/>
          <w:cols w:space="708"/>
          <w:docGrid w:linePitch="360"/>
        </w:sectPr>
      </w:pPr>
    </w:p>
    <w:p w:rsidR="003649B8" w:rsidRDefault="003649B8" w:rsidP="00515DAB">
      <w:pPr>
        <w:sectPr w:rsidR="003649B8">
          <w:type w:val="continuous"/>
          <w:pgSz w:w="11906" w:h="16838"/>
          <w:pgMar w:top="1417" w:right="1417" w:bottom="1417" w:left="1417" w:header="708" w:footer="708" w:gutter="0"/>
          <w:cols w:space="708"/>
          <w:docGrid w:linePitch="360"/>
        </w:sectPr>
      </w:pPr>
    </w:p>
    <w:p w:rsidR="003649B8" w:rsidRDefault="003649B8" w:rsidP="00F5759F">
      <w:pPr>
        <w:pStyle w:val="Heading3"/>
        <w:spacing w:before="0" w:after="0"/>
      </w:pPr>
      <w:bookmarkStart w:id="65" w:name="_Toc428446409"/>
      <w:r>
        <w:t>Státní fond kinematografie</w:t>
      </w:r>
      <w:bookmarkEnd w:id="65"/>
    </w:p>
    <w:p w:rsidR="003649B8" w:rsidRDefault="003649B8" w:rsidP="00F5759F">
      <w:pPr>
        <w:sectPr w:rsidR="003649B8">
          <w:type w:val="continuous"/>
          <w:pgSz w:w="11906" w:h="16838"/>
          <w:pgMar w:top="1417" w:right="1417" w:bottom="1417" w:left="1417" w:header="708" w:footer="708" w:gutter="0"/>
          <w:cols w:space="708"/>
          <w:docGrid w:linePitch="360"/>
        </w:sectPr>
      </w:pPr>
    </w:p>
    <w:p w:rsidR="003649B8" w:rsidRDefault="003649B8" w:rsidP="00B61162">
      <w:pPr>
        <w:pStyle w:val="Standardnstyl"/>
      </w:pPr>
    </w:p>
    <w:p w:rsidR="003649B8" w:rsidRDefault="003649B8" w:rsidP="00B61162">
      <w:pPr>
        <w:pStyle w:val="Standardnstyl"/>
      </w:pPr>
      <w:r w:rsidRPr="00EB2C98">
        <w:t xml:space="preserve">Zákonem č. 496/2012 Sb., o audiovizuálních dílech a podpoře kinematografie a o změně některých zákonů (zákon o audiovizi), který </w:t>
      </w:r>
      <w:r>
        <w:t>vstoupil v platnost</w:t>
      </w:r>
      <w:r w:rsidRPr="00EB2C98">
        <w:t xml:space="preserve"> dne 1. </w:t>
      </w:r>
      <w:r>
        <w:t>ledna</w:t>
      </w:r>
      <w:r w:rsidRPr="00EB2C98">
        <w:t xml:space="preserve"> 2013, vznikl nový samostatný S</w:t>
      </w:r>
      <w:r>
        <w:t xml:space="preserve">tátní fond kinematografie (dále v této kapitole </w:t>
      </w:r>
      <w:r w:rsidRPr="00EB2C98">
        <w:t xml:space="preserve">Fond). </w:t>
      </w:r>
      <w:r>
        <w:t>J</w:t>
      </w:r>
      <w:r w:rsidRPr="00EB2C98">
        <w:t>e právním nástupcem Státního fondu České republiky pro podporu a rozvoj české kinematografie, který byl zřízený zákonem č. 241/1992 Sb.</w:t>
      </w:r>
      <w:r>
        <w:t>,</w:t>
      </w:r>
      <w:r w:rsidRPr="00EB2C98">
        <w:t xml:space="preserve"> a převzal </w:t>
      </w:r>
      <w:r>
        <w:t xml:space="preserve">jeho </w:t>
      </w:r>
      <w:r w:rsidRPr="00EB2C98">
        <w:t>veškerá práva a povinnosti.</w:t>
      </w:r>
    </w:p>
    <w:p w:rsidR="003649B8" w:rsidRDefault="003649B8" w:rsidP="00B61162">
      <w:pPr>
        <w:pStyle w:val="Standardnstyl"/>
      </w:pPr>
      <w:r>
        <w:t xml:space="preserve"> V roce 2015 se předpokládají celkové příjmy i celkové výdaje Fondu ve stejné výši 751,0 mil. Kč, což znamená, že hospodaření Fondu by mělo skončit vyrovnaně. </w:t>
      </w:r>
    </w:p>
    <w:p w:rsidR="003649B8" w:rsidRPr="00C44033" w:rsidRDefault="003649B8" w:rsidP="00B61162">
      <w:pPr>
        <w:pStyle w:val="Standardnstyl"/>
        <w:rPr>
          <w:color w:val="000000"/>
          <w:szCs w:val="24"/>
        </w:rPr>
      </w:pPr>
      <w:r>
        <w:t>Také v roce 2016 je rozpočet Fondu sestaven jako vyrovnaný. Celkové příjmy i celkové výdaje by měly dosáhnout v</w:t>
      </w:r>
      <w:r w:rsidRPr="00A606FF">
        <w:t>ýš</w:t>
      </w:r>
      <w:r>
        <w:t xml:space="preserve">e 1 227,0 </w:t>
      </w:r>
      <w:r w:rsidRPr="00A606FF">
        <w:t>mil. Kč</w:t>
      </w:r>
      <w:r>
        <w:t xml:space="preserve">. </w:t>
      </w:r>
      <w:r w:rsidRPr="00570C9F">
        <w:t>Vedle vlastních příjmů Fondu je v plánu zahrnut</w:t>
      </w:r>
      <w:r>
        <w:t>a</w:t>
      </w:r>
      <w:r w:rsidRPr="00570C9F">
        <w:t xml:space="preserve"> dotac</w:t>
      </w:r>
      <w:r>
        <w:t>e</w:t>
      </w:r>
      <w:r w:rsidRPr="00570C9F">
        <w:t xml:space="preserve"> ze státního rozpočtu</w:t>
      </w:r>
      <w:r>
        <w:t xml:space="preserve">, která opět tvoří jeho největší příjem. Z vlastních zdrojů pak největší část tvoří příjmy od provozovatelů televizního vysílání s celostátní působností (televize </w:t>
      </w:r>
      <w:r w:rsidRPr="00AB4242">
        <w:t>Nova, Prima a Barrandov, cca 150,0 mil</w:t>
      </w:r>
      <w:r>
        <w:t>. Kč), příjmy za užití filmů zveřejněných v letech 1965 – 1991, k nimž Fond vykonává autorská práva výrobce (tzn. příjem z prodaných licencí k užití děl), příjmy od provozovatelů kin (</w:t>
      </w:r>
      <w:r w:rsidRPr="000E088A">
        <w:rPr>
          <w:color w:val="000000"/>
          <w:szCs w:val="24"/>
        </w:rPr>
        <w:t>poplatky za kinematografick</w:t>
      </w:r>
      <w:r>
        <w:rPr>
          <w:color w:val="000000"/>
          <w:szCs w:val="24"/>
        </w:rPr>
        <w:t>á</w:t>
      </w:r>
      <w:r w:rsidRPr="000E088A">
        <w:rPr>
          <w:color w:val="000000"/>
          <w:szCs w:val="24"/>
        </w:rPr>
        <w:t xml:space="preserve"> představení ve výši 1</w:t>
      </w:r>
      <w:r>
        <w:rPr>
          <w:color w:val="000000"/>
          <w:szCs w:val="24"/>
        </w:rPr>
        <w:t xml:space="preserve"> </w:t>
      </w:r>
      <w:r w:rsidRPr="000E088A">
        <w:rPr>
          <w:color w:val="000000"/>
          <w:szCs w:val="24"/>
        </w:rPr>
        <w:t>% z</w:t>
      </w:r>
      <w:r>
        <w:rPr>
          <w:color w:val="000000"/>
          <w:szCs w:val="24"/>
        </w:rPr>
        <w:t xml:space="preserve"> </w:t>
      </w:r>
      <w:r w:rsidRPr="000E088A">
        <w:rPr>
          <w:color w:val="000000"/>
          <w:szCs w:val="24"/>
        </w:rPr>
        <w:t>příjmů ze vstupného</w:t>
      </w:r>
      <w:r>
        <w:rPr>
          <w:color w:val="000000"/>
          <w:szCs w:val="24"/>
        </w:rPr>
        <w:t>), příjmy z převzatého televizního vysílání (</w:t>
      </w:r>
      <w:r w:rsidRPr="000E088A">
        <w:rPr>
          <w:color w:val="000000"/>
          <w:szCs w:val="24"/>
        </w:rPr>
        <w:t>poplatek za šíření televizního vysílání prostřednictvím kabelových sítí a satelitů ve výši 1</w:t>
      </w:r>
      <w:r>
        <w:rPr>
          <w:color w:val="000000"/>
          <w:szCs w:val="24"/>
        </w:rPr>
        <w:t xml:space="preserve"> </w:t>
      </w:r>
      <w:r w:rsidRPr="000E088A">
        <w:rPr>
          <w:color w:val="000000"/>
          <w:szCs w:val="24"/>
        </w:rPr>
        <w:t>% z</w:t>
      </w:r>
      <w:r>
        <w:rPr>
          <w:color w:val="000000"/>
          <w:szCs w:val="24"/>
        </w:rPr>
        <w:t xml:space="preserve"> </w:t>
      </w:r>
      <w:r w:rsidRPr="000E088A">
        <w:rPr>
          <w:color w:val="000000"/>
          <w:szCs w:val="24"/>
        </w:rPr>
        <w:t>ceny poskytnuté za převzaté televizní vysílání</w:t>
      </w:r>
      <w:r>
        <w:rPr>
          <w:color w:val="000000"/>
          <w:szCs w:val="24"/>
        </w:rPr>
        <w:t xml:space="preserve">), </w:t>
      </w:r>
      <w:r w:rsidRPr="00C44033">
        <w:rPr>
          <w:color w:val="000000"/>
          <w:szCs w:val="24"/>
        </w:rPr>
        <w:t>příjmy ze správních</w:t>
      </w:r>
      <w:r>
        <w:rPr>
          <w:color w:val="000000"/>
          <w:szCs w:val="24"/>
        </w:rPr>
        <w:t xml:space="preserve"> </w:t>
      </w:r>
      <w:r w:rsidRPr="00C44033">
        <w:rPr>
          <w:color w:val="000000"/>
          <w:szCs w:val="24"/>
        </w:rPr>
        <w:t>poplatků</w:t>
      </w:r>
      <w:r>
        <w:rPr>
          <w:color w:val="000000"/>
          <w:szCs w:val="24"/>
        </w:rPr>
        <w:t>, z nájmu budovy a z vracení podpor.</w:t>
      </w:r>
    </w:p>
    <w:p w:rsidR="003649B8" w:rsidRDefault="003649B8" w:rsidP="00B61162">
      <w:pPr>
        <w:pStyle w:val="Standardnstyl"/>
      </w:pPr>
      <w:r>
        <w:t>Na výdajové straně tvoří největší část výdaje na podporu filmových pobídek (pobídky lze hradit pouze z dotace ze státního rozpočtu, kterou dostává Fond prostřednictvím Ministerstva kultury) a na podporu projektů v oblasti kinematografie. Menší část pak tvoří výdaje na provoz kanceláře Fondu, včetně platů zaměstnanců a poradních orgánů a na zajištění příjmů Fondu. Stav peněžních prostředků se ke konci roku 2016 očekává ve výši 1 031,2 mil. Kč.</w:t>
      </w:r>
    </w:p>
    <w:p w:rsidR="003649B8" w:rsidRDefault="003649B8" w:rsidP="002A6109">
      <w:pPr>
        <w:pStyle w:val="Caption"/>
      </w:pPr>
      <w:r>
        <w:t xml:space="preserve">Tabulka č. </w:t>
      </w:r>
      <w:fldSimple w:instr=" SEQ Tabulka \* ARABIC " w:fldLock="1">
        <w:r>
          <w:rPr>
            <w:noProof/>
          </w:rPr>
          <w:t>15</w:t>
        </w:r>
      </w:fldSimple>
      <w:r>
        <w:rPr>
          <w:noProof/>
        </w:rPr>
        <w:t xml:space="preserve">: </w:t>
      </w:r>
      <w:r>
        <w:t>Bilance Státního fondu kinematografie v mil. Kč</w:t>
      </w:r>
    </w:p>
    <w:p w:rsidR="003649B8" w:rsidRDefault="003649B8" w:rsidP="007F774F">
      <w:pPr>
        <w:pStyle w:val="graftab"/>
      </w:pPr>
      <w:r>
        <w:pict>
          <v:shape id="_x0000_i1044" type="#_x0000_t75" style="width:453pt;height:539.4pt">
            <v:imagedata r:id="rId43" o:title=""/>
          </v:shape>
        </w:pict>
      </w:r>
      <w:r w:rsidRPr="003F2429">
        <w:t xml:space="preserve">Pramen: </w:t>
      </w:r>
      <w:r>
        <w:t xml:space="preserve">Ministerstvo financí ČR, </w:t>
      </w:r>
      <w:r w:rsidRPr="003F2429">
        <w:t>S</w:t>
      </w:r>
      <w:r>
        <w:t>tátní fond kinematografie</w:t>
      </w:r>
    </w:p>
    <w:p w:rsidR="003649B8" w:rsidRDefault="003649B8" w:rsidP="00256D4F"/>
    <w:p w:rsidR="003649B8" w:rsidRDefault="003649B8" w:rsidP="00256D4F"/>
    <w:p w:rsidR="003649B8" w:rsidRDefault="003649B8" w:rsidP="00F01A77"/>
    <w:p w:rsidR="003649B8" w:rsidRDefault="003649B8" w:rsidP="00F01A77"/>
    <w:p w:rsidR="003649B8" w:rsidRDefault="003649B8" w:rsidP="00F01A77"/>
    <w:p w:rsidR="003649B8" w:rsidRDefault="003649B8" w:rsidP="00F01A77"/>
    <w:p w:rsidR="003649B8" w:rsidRDefault="003649B8" w:rsidP="00F01A77"/>
    <w:p w:rsidR="003649B8" w:rsidRDefault="003649B8" w:rsidP="00F01A77"/>
    <w:p w:rsidR="003649B8" w:rsidRDefault="003649B8" w:rsidP="00515DAB">
      <w:pPr>
        <w:sectPr w:rsidR="003649B8">
          <w:type w:val="continuous"/>
          <w:pgSz w:w="11906" w:h="16838"/>
          <w:pgMar w:top="1417" w:right="1417" w:bottom="1417" w:left="1417" w:header="708" w:footer="708" w:gutter="0"/>
          <w:cols w:space="708"/>
          <w:docGrid w:linePitch="360"/>
        </w:sectPr>
      </w:pPr>
    </w:p>
    <w:p w:rsidR="003649B8" w:rsidRDefault="003649B8" w:rsidP="00044930">
      <w:pPr>
        <w:sectPr w:rsidR="003649B8">
          <w:type w:val="continuous"/>
          <w:pgSz w:w="11906" w:h="16838"/>
          <w:pgMar w:top="1417" w:right="1417" w:bottom="1417" w:left="1417" w:header="708" w:footer="708" w:gutter="0"/>
          <w:cols w:space="708"/>
          <w:docGrid w:linePitch="360"/>
        </w:sectPr>
      </w:pPr>
    </w:p>
    <w:p w:rsidR="003649B8" w:rsidRDefault="003649B8" w:rsidP="00F01A77">
      <w:pPr>
        <w:sectPr w:rsidR="003649B8">
          <w:type w:val="continuous"/>
          <w:pgSz w:w="11906" w:h="16838"/>
          <w:pgMar w:top="1417" w:right="1417" w:bottom="1417" w:left="1417" w:header="708" w:footer="708" w:gutter="0"/>
          <w:cols w:space="708"/>
          <w:docGrid w:linePitch="360"/>
        </w:sectPr>
      </w:pPr>
    </w:p>
    <w:p w:rsidR="003649B8" w:rsidRDefault="003649B8" w:rsidP="002B30F9">
      <w:pPr>
        <w:pStyle w:val="Heading2"/>
        <w:numPr>
          <w:ilvl w:val="0"/>
          <w:numId w:val="9"/>
        </w:numPr>
        <w:tabs>
          <w:tab w:val="clear" w:pos="720"/>
          <w:tab w:val="num" w:pos="426"/>
        </w:tabs>
        <w:spacing w:before="0" w:after="0"/>
        <w:ind w:hanging="720"/>
      </w:pPr>
      <w:bookmarkStart w:id="66" w:name="_Toc428446410"/>
      <w:bookmarkStart w:id="67" w:name="_Toc112674759"/>
      <w:bookmarkStart w:id="68" w:name="_Toc207011066"/>
      <w:bookmarkEnd w:id="63"/>
      <w:r>
        <w:t>Fond privatizace</w:t>
      </w:r>
      <w:bookmarkEnd w:id="66"/>
    </w:p>
    <w:p w:rsidR="003649B8" w:rsidRPr="007F138A" w:rsidRDefault="003649B8" w:rsidP="00225F65">
      <w:pPr>
        <w:spacing w:line="360" w:lineRule="auto"/>
      </w:pPr>
    </w:p>
    <w:p w:rsidR="003649B8" w:rsidRDefault="003649B8" w:rsidP="00B61162">
      <w:pPr>
        <w:pStyle w:val="Standardnstyl"/>
      </w:pPr>
      <w:r>
        <w:t xml:space="preserve">K 1. lednu 2006 došlo zákonem č. 178/2005 Sb., o zrušení Fondu národního majetku České republiky a o působnosti Ministerstva financí při privatizaci majetku České republiky, ke zrušení Fondu národního majetku ČR (dále jen FNM). Veškerý majetek přešel dnem zrušení FNM na stát, který vstupuje do všech práv a povinností vyplývajících z právních vztahů FNM, včetně práv a povinností z pracovněprávních vztahů. Působnost FNM přešla na Ministerstvo financí, které je oprávněno hospodařit s majetkem, který na stát přešel z titulu zrušení FNM, a jednat jménem státu v právních vztazích, do nichž vstoupil jako nástupce FNM. Finanční prostředky zrušeného FNM jsou vedeny Ministerstvem financí na zvláštních účtech jako mimorozpočtový zdroj Fond privatizace (dále v této kapitole Fond). O těchto prostředcích je účtováno v rámci účetnictví Ministerstva financí na základě vyhlášky č. 410/2009 Sb., </w:t>
      </w:r>
      <w:r w:rsidRPr="00B76456">
        <w:t>kterou se provádějí některá ustanovení zákona č. 563/1991 Sb., o účetnictví, ve znění pozdějších předpisů, pro některé vybrané účetní jednotky</w:t>
      </w:r>
      <w:r>
        <w:t>.</w:t>
      </w:r>
    </w:p>
    <w:p w:rsidR="003649B8" w:rsidRDefault="003649B8" w:rsidP="00B61162">
      <w:pPr>
        <w:pStyle w:val="Standardnstyl"/>
      </w:pPr>
      <w:r w:rsidRPr="00057B42">
        <w:t>Malou privatizaci lze považovat téměř za dokončenou. V jejím rámci se na příjmové straně v roce 2015 i 2016 předpokládají víceméně jen příjmy z likvidace státních podniků (95,0 mil. Kč z celkových 97,0 mil. Kč v</w:t>
      </w:r>
      <w:r>
        <w:t xml:space="preserve"> </w:t>
      </w:r>
      <w:r w:rsidRPr="00057B42">
        <w:t>roce 2015 a 60,0 mil. Kč z</w:t>
      </w:r>
      <w:r>
        <w:t xml:space="preserve"> </w:t>
      </w:r>
      <w:r w:rsidRPr="00057B42">
        <w:t xml:space="preserve">celkových 62,0 mil. Kč v roce 2016). </w:t>
      </w:r>
      <w:r>
        <w:t xml:space="preserve">Na výdajové straně se </w:t>
      </w:r>
      <w:r w:rsidRPr="00057B42">
        <w:t>v</w:t>
      </w:r>
      <w:r>
        <w:t xml:space="preserve"> </w:t>
      </w:r>
      <w:r w:rsidRPr="00057B42">
        <w:t xml:space="preserve">roce 2015 </w:t>
      </w:r>
      <w:r>
        <w:t xml:space="preserve">počítá s částkou 12,0 mil. Kč a v roce 2016 díky převodu do státního rozpočtu (kapitola Všeobecná pokladní správa) </w:t>
      </w:r>
      <w:r w:rsidRPr="00AA42CA">
        <w:t>na úhradu schodku důchodového pojištění</w:t>
      </w:r>
      <w:r>
        <w:t xml:space="preserve"> (600,0 mil. Kč)</w:t>
      </w:r>
      <w:r w:rsidRPr="00AA42CA">
        <w:t xml:space="preserve"> </w:t>
      </w:r>
      <w:r>
        <w:t>s částkou 609,7 mil. Kč.</w:t>
      </w:r>
    </w:p>
    <w:p w:rsidR="003649B8" w:rsidRPr="00FE2680" w:rsidRDefault="003649B8" w:rsidP="00B61162">
      <w:pPr>
        <w:pStyle w:val="Standardnstyl"/>
      </w:pPr>
      <w:r w:rsidRPr="00D06536">
        <w:t xml:space="preserve">V rámci velké privatizace se nepředpokládá do konce roku 2015 realizace žádného významného privatizačního projektu. Proto jsou nejvýznamnějším příjmem Fondu </w:t>
      </w:r>
      <w:r>
        <w:t xml:space="preserve">pouze </w:t>
      </w:r>
      <w:r w:rsidRPr="00D06536">
        <w:t>přiznané dividendy, v první řadě společností ČEZ, a. s., v okrajové míře společnostmi ČEPRO, a. s., MERO ČR, a. s. a Český Aeroholding, a.s. (</w:t>
      </w:r>
      <w:r w:rsidRPr="009C6A55">
        <w:t>celkem 13,8</w:t>
      </w:r>
      <w:r>
        <w:t>9</w:t>
      </w:r>
      <w:r w:rsidRPr="00D06536">
        <w:t xml:space="preserve"> mld. Kč</w:t>
      </w:r>
      <w:r>
        <w:t>). C</w:t>
      </w:r>
      <w:r w:rsidRPr="00463A78">
        <w:t xml:space="preserve">elkové příjmy </w:t>
      </w:r>
      <w:r>
        <w:t>Fondu</w:t>
      </w:r>
      <w:r w:rsidRPr="00463A78">
        <w:t xml:space="preserve"> </w:t>
      </w:r>
      <w:r>
        <w:t xml:space="preserve">se v roce 2015 </w:t>
      </w:r>
      <w:r w:rsidRPr="00463A78">
        <w:t>předpokládají v</w:t>
      </w:r>
      <w:r>
        <w:t>e výši</w:t>
      </w:r>
      <w:r w:rsidRPr="00463A78">
        <w:t xml:space="preserve"> </w:t>
      </w:r>
      <w:r>
        <w:t>13,90</w:t>
      </w:r>
      <w:r w:rsidRPr="00463A78">
        <w:t xml:space="preserve"> mld. Kč a oproti rozpočtované výši jsou tak </w:t>
      </w:r>
      <w:r>
        <w:t>nižší</w:t>
      </w:r>
      <w:r w:rsidRPr="00463A78">
        <w:t xml:space="preserve"> o</w:t>
      </w:r>
      <w:r>
        <w:t xml:space="preserve"> 2,63 </w:t>
      </w:r>
      <w:r w:rsidRPr="00463A78">
        <w:t>mld. Kč</w:t>
      </w:r>
      <w:r>
        <w:rPr>
          <w:bCs/>
        </w:rPr>
        <w:t xml:space="preserve">. </w:t>
      </w:r>
      <w:r>
        <w:t>Celkové v</w:t>
      </w:r>
      <w:r w:rsidRPr="005C7036">
        <w:t>ýdaje,</w:t>
      </w:r>
      <w:r>
        <w:t xml:space="preserve"> které by v roce 2015 měly dosáhnout 16,62 mld. Kč, budou použity </w:t>
      </w:r>
      <w:r w:rsidRPr="00C95B95">
        <w:t xml:space="preserve">především </w:t>
      </w:r>
      <w:r w:rsidRPr="00D24045">
        <w:t>jako převod do kapitoly státního rozpočtu Všeobecná pokladní správa na úhradu schodku důchodového účtu (</w:t>
      </w:r>
      <w:r w:rsidRPr="00FC1F1D">
        <w:t>10,70</w:t>
      </w:r>
      <w:r>
        <w:t xml:space="preserve"> </w:t>
      </w:r>
      <w:r w:rsidRPr="00D24045">
        <w:t>mld.</w:t>
      </w:r>
      <w:r>
        <w:t xml:space="preserve"> </w:t>
      </w:r>
      <w:r w:rsidRPr="00D24045">
        <w:t>Kč</w:t>
      </w:r>
      <w:r>
        <w:t xml:space="preserve">) </w:t>
      </w:r>
      <w:r w:rsidRPr="00D24045">
        <w:t xml:space="preserve">a </w:t>
      </w:r>
      <w:r w:rsidRPr="004D584E">
        <w:t>dále na úhradu nákladů spojených s</w:t>
      </w:r>
      <w:r>
        <w:t xml:space="preserve"> </w:t>
      </w:r>
      <w:r w:rsidRPr="004D584E">
        <w:t>odstraňováním ekologických škod (</w:t>
      </w:r>
      <w:r w:rsidRPr="00FC1F1D">
        <w:t>3,00</w:t>
      </w:r>
      <w:r w:rsidRPr="004D584E">
        <w:t xml:space="preserve"> mld. Kč</w:t>
      </w:r>
      <w:r w:rsidRPr="004C4363">
        <w:t>), jako dotace státnímu podniku DIAMO (</w:t>
      </w:r>
      <w:r w:rsidRPr="00FC1F1D">
        <w:t xml:space="preserve">1,88 </w:t>
      </w:r>
      <w:r w:rsidRPr="004C4363">
        <w:t xml:space="preserve">mld. Kč) </w:t>
      </w:r>
      <w:r>
        <w:t>a</w:t>
      </w:r>
      <w:r w:rsidRPr="002C0FFF">
        <w:t xml:space="preserve"> jako převod do kapitol</w:t>
      </w:r>
      <w:r>
        <w:t>y</w:t>
      </w:r>
      <w:r w:rsidRPr="002C0FFF">
        <w:t xml:space="preserve"> státního rozpočtu Ministerstvo průmyslu a</w:t>
      </w:r>
      <w:r>
        <w:t xml:space="preserve"> </w:t>
      </w:r>
      <w:r w:rsidRPr="002C0FFF">
        <w:t>obchodu (</w:t>
      </w:r>
      <w:r w:rsidRPr="00FC1F1D">
        <w:t>0,48 mld</w:t>
      </w:r>
      <w:r w:rsidRPr="002C0FFF">
        <w:t>. Kč)</w:t>
      </w:r>
      <w:r w:rsidRPr="00A400BB">
        <w:t>.</w:t>
      </w:r>
      <w:r w:rsidRPr="00614A14">
        <w:t xml:space="preserve"> </w:t>
      </w:r>
      <w:r w:rsidRPr="00257EED">
        <w:t xml:space="preserve">Oproti původnímu plánu </w:t>
      </w:r>
      <w:r>
        <w:t>tak l</w:t>
      </w:r>
      <w:r w:rsidRPr="00257EED">
        <w:t xml:space="preserve">ze očekávat </w:t>
      </w:r>
      <w:r>
        <w:t>snížení výdajů</w:t>
      </w:r>
      <w:r w:rsidRPr="00257EED">
        <w:t xml:space="preserve"> o</w:t>
      </w:r>
      <w:r>
        <w:t xml:space="preserve"> 7,63 </w:t>
      </w:r>
      <w:r w:rsidRPr="00257EED">
        <w:t>mld. Kč.</w:t>
      </w:r>
      <w:r>
        <w:t xml:space="preserve"> Hospodaření Fondu by v roce 2015 mělo skončit schodkem 2,72 mld. Kč. Konečný zůstatek privatizačních peněžních prostředků by měl k 31. prosinci 2015</w:t>
      </w:r>
      <w:r w:rsidRPr="00700E0E">
        <w:t xml:space="preserve"> </w:t>
      </w:r>
      <w:r>
        <w:t>činit 11,24 mld. Kč.</w:t>
      </w:r>
    </w:p>
    <w:p w:rsidR="003649B8" w:rsidRPr="004C5EE4" w:rsidRDefault="003649B8" w:rsidP="00B61162">
      <w:pPr>
        <w:pStyle w:val="Standardnstyl"/>
      </w:pPr>
      <w:r w:rsidRPr="00003FA7">
        <w:t>Návrh rozpočtu pro rok 201</w:t>
      </w:r>
      <w:r>
        <w:t>6</w:t>
      </w:r>
      <w:r w:rsidRPr="00003FA7">
        <w:t xml:space="preserve"> předpokládá příjmy v celkové výši </w:t>
      </w:r>
      <w:r>
        <w:t>13,89</w:t>
      </w:r>
      <w:r w:rsidRPr="00003FA7">
        <w:t xml:space="preserve"> mld. Kč</w:t>
      </w:r>
      <w:r>
        <w:t xml:space="preserve">, prakticky jen z </w:t>
      </w:r>
      <w:r w:rsidRPr="00B726AC">
        <w:t>vyplacených dividend v předchozím odstavci zmíněných společností se státní majetkovou účastí</w:t>
      </w:r>
      <w:r w:rsidRPr="00463A78">
        <w:t>.</w:t>
      </w:r>
      <w:r>
        <w:t xml:space="preserve"> </w:t>
      </w:r>
      <w:r w:rsidRPr="004C5EE4">
        <w:t xml:space="preserve">Celkový objem výdajů je rozpočtován na </w:t>
      </w:r>
      <w:r>
        <w:t>18,24</w:t>
      </w:r>
      <w:r w:rsidRPr="004C5EE4">
        <w:t xml:space="preserve"> mld. Kč</w:t>
      </w:r>
      <w:r>
        <w:t xml:space="preserve"> </w:t>
      </w:r>
      <w:r w:rsidRPr="003A699C">
        <w:t xml:space="preserve">a nejvýznamnější položku představuje opět převod do státního rozpočtu na úhradu deficitu důchodového účtu </w:t>
      </w:r>
      <w:r w:rsidRPr="00A17F49">
        <w:t>(11,</w:t>
      </w:r>
      <w:r>
        <w:t>1</w:t>
      </w:r>
      <w:r w:rsidRPr="00A17F49">
        <w:t>0</w:t>
      </w:r>
      <w:r>
        <w:t xml:space="preserve"> </w:t>
      </w:r>
      <w:r w:rsidRPr="003A699C">
        <w:t>mld. Kč). Následuje úhrada nákladů na odstraňování starých ekologických škod (</w:t>
      </w:r>
      <w:r w:rsidRPr="00E44B7B">
        <w:t>3,20</w:t>
      </w:r>
      <w:r>
        <w:t> </w:t>
      </w:r>
      <w:r w:rsidRPr="003A699C">
        <w:t>mld. Kč)</w:t>
      </w:r>
      <w:r>
        <w:t xml:space="preserve"> a</w:t>
      </w:r>
      <w:r w:rsidRPr="003A699C">
        <w:t xml:space="preserve"> dotace státnímu podniku DIAMO (</w:t>
      </w:r>
      <w:r w:rsidRPr="00BD3FA9">
        <w:t xml:space="preserve">1,60 </w:t>
      </w:r>
      <w:r w:rsidRPr="003A699C">
        <w:t>mld. Kč).</w:t>
      </w:r>
      <w:r>
        <w:t xml:space="preserve"> </w:t>
      </w:r>
      <w:r w:rsidRPr="004C5EE4">
        <w:t>Za výše uvedených předpokladů lze očekávat, že hospodaření s</w:t>
      </w:r>
      <w:r>
        <w:t xml:space="preserve"> </w:t>
      </w:r>
      <w:r w:rsidRPr="004C5EE4">
        <w:t xml:space="preserve">privatizačními prostředky skončí </w:t>
      </w:r>
      <w:r w:rsidRPr="002A0FE4">
        <w:t>deficitem</w:t>
      </w:r>
      <w:r>
        <w:t xml:space="preserve"> 4,35 </w:t>
      </w:r>
      <w:r w:rsidRPr="004C5EE4">
        <w:t xml:space="preserve">mld. Kč. </w:t>
      </w:r>
      <w:r>
        <w:t>Stav p</w:t>
      </w:r>
      <w:r w:rsidRPr="004C5EE4">
        <w:t>eněžní</w:t>
      </w:r>
      <w:r>
        <w:t>ch</w:t>
      </w:r>
      <w:r w:rsidRPr="004C5EE4">
        <w:t xml:space="preserve"> prostředk</w:t>
      </w:r>
      <w:r>
        <w:t>ů</w:t>
      </w:r>
      <w:r w:rsidRPr="004C5EE4">
        <w:t xml:space="preserve"> se</w:t>
      </w:r>
      <w:r>
        <w:t xml:space="preserve"> </w:t>
      </w:r>
      <w:r w:rsidRPr="004C5EE4">
        <w:t>k</w:t>
      </w:r>
      <w:r>
        <w:t xml:space="preserve"> </w:t>
      </w:r>
      <w:r w:rsidRPr="004C5EE4">
        <w:t>31.</w:t>
      </w:r>
      <w:r>
        <w:t xml:space="preserve"> prosinci </w:t>
      </w:r>
      <w:r w:rsidRPr="004C5EE4">
        <w:t>201</w:t>
      </w:r>
      <w:r>
        <w:t>6</w:t>
      </w:r>
      <w:r w:rsidRPr="004C5EE4">
        <w:t xml:space="preserve"> očekává </w:t>
      </w:r>
      <w:r>
        <w:t>na úrovni</w:t>
      </w:r>
      <w:r w:rsidRPr="00551CE0">
        <w:t xml:space="preserve"> </w:t>
      </w:r>
      <w:r>
        <w:t>7,41 </w:t>
      </w:r>
      <w:r w:rsidRPr="00551CE0">
        <w:t>mld.</w:t>
      </w:r>
      <w:r>
        <w:t> </w:t>
      </w:r>
      <w:r w:rsidRPr="00551CE0">
        <w:t>Kč.</w:t>
      </w:r>
    </w:p>
    <w:p w:rsidR="003649B8" w:rsidRDefault="003649B8" w:rsidP="002A6109">
      <w:pPr>
        <w:pStyle w:val="Caption"/>
      </w:pPr>
      <w:r>
        <w:t xml:space="preserve">Tabulka č. </w:t>
      </w:r>
      <w:fldSimple w:instr=" SEQ Tabulka \* ARABIC " w:fldLock="1">
        <w:r>
          <w:rPr>
            <w:noProof/>
          </w:rPr>
          <w:t>16</w:t>
        </w:r>
      </w:fldSimple>
      <w:r>
        <w:rPr>
          <w:noProof/>
        </w:rPr>
        <w:t xml:space="preserve">: </w:t>
      </w:r>
      <w:r>
        <w:t>Bilance Fondu privatizace v mld. Kč</w:t>
      </w:r>
    </w:p>
    <w:p w:rsidR="003649B8" w:rsidRDefault="003649B8" w:rsidP="007F774F">
      <w:pPr>
        <w:pStyle w:val="graftab"/>
      </w:pPr>
      <w:r>
        <w:pict>
          <v:shape id="_x0000_i1045" type="#_x0000_t75" style="width:451.2pt;height:532.8pt">
            <v:imagedata r:id="rId44" o:title=""/>
          </v:shape>
        </w:pict>
      </w:r>
      <w:r w:rsidRPr="00006B2A">
        <w:t xml:space="preserve">Pramen: </w:t>
      </w:r>
      <w:r>
        <w:t>Ministerstvo financí ČR</w:t>
      </w:r>
    </w:p>
    <w:p w:rsidR="003649B8" w:rsidRDefault="003649B8" w:rsidP="001C20C5">
      <w:pPr>
        <w:pStyle w:val="Standardnstyl"/>
        <w:ind w:firstLine="0"/>
      </w:pPr>
    </w:p>
    <w:p w:rsidR="003649B8" w:rsidRDefault="003649B8" w:rsidP="001C20C5">
      <w:pPr>
        <w:pStyle w:val="Standardnstyl"/>
        <w:ind w:firstLine="0"/>
      </w:pPr>
    </w:p>
    <w:p w:rsidR="003649B8" w:rsidRDefault="003649B8" w:rsidP="001C20C5">
      <w:pPr>
        <w:pStyle w:val="Standardnstyl"/>
        <w:ind w:firstLine="0"/>
      </w:pPr>
    </w:p>
    <w:p w:rsidR="003649B8" w:rsidRDefault="003649B8" w:rsidP="001C20C5">
      <w:pPr>
        <w:pStyle w:val="Standardnstyl"/>
        <w:ind w:firstLine="0"/>
      </w:pPr>
    </w:p>
    <w:p w:rsidR="003649B8" w:rsidRDefault="003649B8" w:rsidP="001C20C5">
      <w:pPr>
        <w:pStyle w:val="Standardnstyl"/>
        <w:ind w:firstLine="0"/>
      </w:pPr>
    </w:p>
    <w:p w:rsidR="003649B8" w:rsidRPr="002D28D2" w:rsidRDefault="003649B8" w:rsidP="001C20C5">
      <w:pPr>
        <w:pStyle w:val="Standardnstyl"/>
        <w:ind w:firstLine="0"/>
      </w:pPr>
    </w:p>
    <w:p w:rsidR="003649B8" w:rsidRDefault="003649B8" w:rsidP="00515DAB">
      <w:pPr>
        <w:sectPr w:rsidR="003649B8">
          <w:type w:val="continuous"/>
          <w:pgSz w:w="11906" w:h="16838"/>
          <w:pgMar w:top="1417" w:right="1417" w:bottom="1417" w:left="1417" w:header="708" w:footer="708" w:gutter="0"/>
          <w:cols w:space="708"/>
          <w:docGrid w:linePitch="360"/>
        </w:sectPr>
      </w:pPr>
    </w:p>
    <w:p w:rsidR="003649B8" w:rsidRDefault="003649B8" w:rsidP="00F01A77">
      <w:pPr>
        <w:sectPr w:rsidR="003649B8">
          <w:type w:val="continuous"/>
          <w:pgSz w:w="11906" w:h="16838"/>
          <w:pgMar w:top="1417" w:right="1417" w:bottom="1417" w:left="1417" w:header="708" w:footer="708" w:gutter="0"/>
          <w:cols w:space="708"/>
          <w:docGrid w:linePitch="360"/>
        </w:sectPr>
      </w:pPr>
    </w:p>
    <w:p w:rsidR="003649B8" w:rsidRDefault="003649B8" w:rsidP="00330BC0">
      <w:pPr>
        <w:pStyle w:val="Heading1"/>
        <w:spacing w:before="0" w:after="0"/>
      </w:pPr>
      <w:bookmarkStart w:id="69" w:name="_Toc428446411"/>
      <w:bookmarkEnd w:id="67"/>
      <w:bookmarkEnd w:id="68"/>
      <w:r>
        <w:t>III. Veřejné zdravotní pojištění</w:t>
      </w:r>
      <w:bookmarkEnd w:id="69"/>
    </w:p>
    <w:p w:rsidR="003649B8" w:rsidRPr="007F138A" w:rsidRDefault="003649B8" w:rsidP="00225F65">
      <w:pPr>
        <w:spacing w:line="360" w:lineRule="auto"/>
      </w:pPr>
    </w:p>
    <w:p w:rsidR="003649B8" w:rsidRPr="004352F9" w:rsidRDefault="003649B8" w:rsidP="00B61162">
      <w:pPr>
        <w:pStyle w:val="Standardnstyl"/>
      </w:pPr>
      <w:r w:rsidRPr="00E869F8">
        <w:t xml:space="preserve">Systém </w:t>
      </w:r>
      <w:r>
        <w:t>veřejného zdravotního pojištění (dále v. z. p</w:t>
      </w:r>
      <w:r w:rsidRPr="00C26591">
        <w:t xml:space="preserve">.) </w:t>
      </w:r>
      <w:r>
        <w:t>zajišťuje v ČR v současné době</w:t>
      </w:r>
      <w:r w:rsidRPr="00C26591">
        <w:t xml:space="preserve"> </w:t>
      </w:r>
      <w:r w:rsidRPr="00992E0E">
        <w:t>sedm</w:t>
      </w:r>
      <w:r w:rsidRPr="00C26591">
        <w:t xml:space="preserve"> zdravotních pojišťoven pro celkem </w:t>
      </w:r>
      <w:r w:rsidRPr="00992E0E">
        <w:t>10,4</w:t>
      </w:r>
      <w:r>
        <w:t>0</w:t>
      </w:r>
      <w:r w:rsidRPr="00C26591">
        <w:t xml:space="preserve"> mil. pojištěnců, z</w:t>
      </w:r>
      <w:r>
        <w:t xml:space="preserve"> </w:t>
      </w:r>
      <w:r w:rsidRPr="00C26591">
        <w:t>toho</w:t>
      </w:r>
      <w:r>
        <w:t xml:space="preserve"> největší podíl má</w:t>
      </w:r>
      <w:r w:rsidRPr="00C26591">
        <w:t xml:space="preserve"> Všeobecná zdravotní pojišťovna ČR (dále jen „VZP ČR“)</w:t>
      </w:r>
      <w:r>
        <w:t>. Tento podíl se však postupně snižuje</w:t>
      </w:r>
      <w:r w:rsidRPr="00745CDB">
        <w:t>;</w:t>
      </w:r>
      <w:r>
        <w:t xml:space="preserve"> zatímco k 31. prosinci 2014 registrovala VZP ČR 5,97 mil. pojištěnců, tj. 57,3 % z celého systému v. z. p., ke konci roku 2015 se očekává 5,92 mil. pojištěnců. </w:t>
      </w:r>
      <w:r w:rsidRPr="004352F9">
        <w:t xml:space="preserve">Provozování komerčního pojištění </w:t>
      </w:r>
      <w:r>
        <w:t>v</w:t>
      </w:r>
      <w:r w:rsidRPr="004352F9">
        <w:t xml:space="preserve"> systému v.</w:t>
      </w:r>
      <w:r>
        <w:t xml:space="preserve"> </w:t>
      </w:r>
      <w:r w:rsidRPr="004352F9">
        <w:t xml:space="preserve">z. p. </w:t>
      </w:r>
      <w:r>
        <w:t>platné zákony a právo EU nepřipouští, proto VZP ČR a Oborová zdravotní pojišťovna bank, pojišťoven a stavebnictví provozují tento druh pojištění odděleně, ve stoprocentně vlastněných dceřiných společnostech</w:t>
      </w:r>
      <w:r w:rsidRPr="00E02AEB">
        <w:t>.</w:t>
      </w:r>
    </w:p>
    <w:p w:rsidR="003649B8" w:rsidRPr="00F328BC" w:rsidRDefault="003649B8" w:rsidP="00B61162">
      <w:pPr>
        <w:pStyle w:val="Standardnstyl"/>
      </w:pPr>
      <w:r w:rsidRPr="00562BEE">
        <w:t>Odhad očekávaných výsledků hospodaření zdravotních pojišťoven (dále ZP) v roce 201</w:t>
      </w:r>
      <w:r>
        <w:t>5</w:t>
      </w:r>
      <w:r w:rsidRPr="00562BEE">
        <w:t xml:space="preserve"> vychází z</w:t>
      </w:r>
      <w:r>
        <w:t xml:space="preserve"> </w:t>
      </w:r>
      <w:r w:rsidRPr="00562BEE">
        <w:t xml:space="preserve">hodnocení výsledků hospodaření </w:t>
      </w:r>
      <w:r>
        <w:t>ZP</w:t>
      </w:r>
      <w:r w:rsidRPr="00562BEE">
        <w:t xml:space="preserve"> za 1. pololetí 201</w:t>
      </w:r>
      <w:r>
        <w:t>5</w:t>
      </w:r>
      <w:r w:rsidRPr="00562BEE">
        <w:t xml:space="preserve"> a</w:t>
      </w:r>
      <w:r>
        <w:t xml:space="preserve"> </w:t>
      </w:r>
      <w:r w:rsidRPr="00562BEE">
        <w:t>z</w:t>
      </w:r>
      <w:r>
        <w:t xml:space="preserve"> </w:t>
      </w:r>
      <w:r w:rsidRPr="00562BEE">
        <w:t>aktuální makroekonomické predikce ČR (především při konstrukci příjmové strany systému v. z. p.).</w:t>
      </w:r>
    </w:p>
    <w:p w:rsidR="003649B8" w:rsidRDefault="003649B8" w:rsidP="00B61162">
      <w:pPr>
        <w:pStyle w:val="Standardnstyl"/>
      </w:pPr>
      <w:r w:rsidRPr="00C26591">
        <w:t>Celkové příjmy systému v. z. p. v roce 201</w:t>
      </w:r>
      <w:r>
        <w:t>5</w:t>
      </w:r>
      <w:r w:rsidRPr="00C26591">
        <w:rPr>
          <w:b/>
        </w:rPr>
        <w:t xml:space="preserve"> </w:t>
      </w:r>
      <w:r w:rsidRPr="00C26591">
        <w:t xml:space="preserve">jsou odhadovány </w:t>
      </w:r>
      <w:r w:rsidRPr="00C8750A">
        <w:t xml:space="preserve">na </w:t>
      </w:r>
      <w:r>
        <w:t>247,01</w:t>
      </w:r>
      <w:r w:rsidRPr="00C26591">
        <w:t xml:space="preserve"> mld. Kč při</w:t>
      </w:r>
      <w:r>
        <w:t xml:space="preserve"> </w:t>
      </w:r>
      <w:r w:rsidRPr="00C26591">
        <w:t xml:space="preserve">meziročním nárůstu o </w:t>
      </w:r>
      <w:r>
        <w:t>5,77</w:t>
      </w:r>
      <w:r w:rsidRPr="00C26591">
        <w:t xml:space="preserve"> mld. Kč (</w:t>
      </w:r>
      <w:r>
        <w:t>o 2,4</w:t>
      </w:r>
      <w:r w:rsidRPr="00C26591">
        <w:t xml:space="preserve"> %)</w:t>
      </w:r>
      <w:r>
        <w:t>. V nárůstu těchto příjmů se pozitivně projevuje růst české ekonomiky a s ním související růst objemu mezd a platů a také</w:t>
      </w:r>
      <w:r w:rsidRPr="00755E20">
        <w:t xml:space="preserve"> nárůst plateb ze státního rozpočtu za osoby, za které je plátcem pojistného stát (plateb za státní pojištěnce).</w:t>
      </w:r>
      <w:r w:rsidRPr="00C26591">
        <w:t xml:space="preserve"> Rozhodující měrou se na nich podílí příjmy z</w:t>
      </w:r>
      <w:r>
        <w:t xml:space="preserve"> </w:t>
      </w:r>
      <w:r w:rsidRPr="00C26591">
        <w:t xml:space="preserve">vlastního výběru pojistného včetně příslušenství, které tvoří </w:t>
      </w:r>
      <w:r>
        <w:t>74,6</w:t>
      </w:r>
      <w:r w:rsidRPr="00C26591">
        <w:t xml:space="preserve"> % z celkového objemu příjmů. Zbytek příjmů tvoří převážně příjmy z</w:t>
      </w:r>
      <w:r>
        <w:t>e zmíněných</w:t>
      </w:r>
      <w:r w:rsidRPr="00C26591">
        <w:t xml:space="preserve"> plateb za </w:t>
      </w:r>
      <w:r>
        <w:t xml:space="preserve">státní pojištěnce </w:t>
      </w:r>
      <w:r w:rsidRPr="00C26591">
        <w:t xml:space="preserve">s podílem </w:t>
      </w:r>
      <w:r>
        <w:t>24,8 </w:t>
      </w:r>
      <w:r w:rsidRPr="00C26591">
        <w:t>% z</w:t>
      </w:r>
      <w:r>
        <w:t xml:space="preserve"> </w:t>
      </w:r>
      <w:r w:rsidRPr="00C26591">
        <w:t>celkových příjmů systému v</w:t>
      </w:r>
      <w:r>
        <w:t xml:space="preserve">. z. </w:t>
      </w:r>
      <w:r w:rsidRPr="00C26591">
        <w:t>p. Ostatní příjmy mají jen marginální</w:t>
      </w:r>
      <w:r w:rsidRPr="00F328BC">
        <w:t xml:space="preserve"> význam a</w:t>
      </w:r>
      <w:r>
        <w:t> </w:t>
      </w:r>
      <w:r w:rsidRPr="00F328BC">
        <w:t xml:space="preserve">dosáhnou </w:t>
      </w:r>
      <w:r>
        <w:t xml:space="preserve">1,41 </w:t>
      </w:r>
      <w:r w:rsidRPr="00C26591">
        <w:t>mld. Kč. Jsou tvořeny především očekávanými příjmy od zahraničních pojišťoven, sankčními příjmy, úroky a</w:t>
      </w:r>
      <w:r>
        <w:t> </w:t>
      </w:r>
      <w:r w:rsidRPr="00C26591">
        <w:t>příjmy z</w:t>
      </w:r>
      <w:r>
        <w:t xml:space="preserve"> </w:t>
      </w:r>
      <w:r w:rsidRPr="00C26591">
        <w:t>vlastní činnosti.</w:t>
      </w:r>
      <w:r>
        <w:t xml:space="preserve"> </w:t>
      </w:r>
    </w:p>
    <w:p w:rsidR="003649B8" w:rsidRPr="00C26591" w:rsidRDefault="003649B8" w:rsidP="00B61162">
      <w:pPr>
        <w:pStyle w:val="Standardnstyl"/>
      </w:pPr>
      <w:r w:rsidRPr="00C26591">
        <w:t>Celkové výdaje v. z. p. se v</w:t>
      </w:r>
      <w:r>
        <w:t xml:space="preserve"> </w:t>
      </w:r>
      <w:r w:rsidRPr="00C26591">
        <w:t>roce 201</w:t>
      </w:r>
      <w:r>
        <w:t>5</w:t>
      </w:r>
      <w:r w:rsidRPr="00C26591">
        <w:t xml:space="preserve"> meziročně zvýší o</w:t>
      </w:r>
      <w:r>
        <w:t xml:space="preserve"> 8,87 </w:t>
      </w:r>
      <w:r w:rsidRPr="00C26591">
        <w:t xml:space="preserve">mld. Kč (o </w:t>
      </w:r>
      <w:r>
        <w:t>3,7</w:t>
      </w:r>
      <w:r w:rsidRPr="00C26591">
        <w:t xml:space="preserve"> %) na </w:t>
      </w:r>
      <w:r>
        <w:t>247,89</w:t>
      </w:r>
      <w:r w:rsidRPr="00C26591">
        <w:t xml:space="preserve"> mld. Kč. </w:t>
      </w:r>
      <w:r>
        <w:t>Většinu</w:t>
      </w:r>
      <w:r w:rsidRPr="00C26591">
        <w:t xml:space="preserve"> výdajů (</w:t>
      </w:r>
      <w:r>
        <w:t>96,5</w:t>
      </w:r>
      <w:r w:rsidRPr="00C26591">
        <w:t xml:space="preserve"> %) budou tvořit výdaje na zdravotní péči, které se oproti předcházejícímu roku</w:t>
      </w:r>
      <w:r>
        <w:t xml:space="preserve"> 2014</w:t>
      </w:r>
      <w:r w:rsidRPr="00C26591">
        <w:t xml:space="preserve"> zvýší o </w:t>
      </w:r>
      <w:r>
        <w:t>3,1</w:t>
      </w:r>
      <w:r w:rsidRPr="00C26591">
        <w:t xml:space="preserve"> %. </w:t>
      </w:r>
      <w:r>
        <w:t xml:space="preserve">Zde se promítne zvýšení platů pracovníků ve zdravotnictví a zároveň kompenzace výpadku příjmů ze zrušených regulačních poplatků. Naopak pozitivně se projeví zavedení 10% sazby DPH na léčiva. </w:t>
      </w:r>
      <w:r w:rsidRPr="00C26591">
        <w:t>V souvislosti s tímto vývojem lze</w:t>
      </w:r>
      <w:r>
        <w:t xml:space="preserve"> </w:t>
      </w:r>
      <w:r w:rsidRPr="00C26591">
        <w:t>na konci roku 201</w:t>
      </w:r>
      <w:r>
        <w:t>5</w:t>
      </w:r>
      <w:r w:rsidRPr="00C26591">
        <w:t xml:space="preserve"> očekávat </w:t>
      </w:r>
      <w:r>
        <w:t xml:space="preserve">deficit v </w:t>
      </w:r>
      <w:r w:rsidRPr="00C26591">
        <w:t>hospodaření systému v. z. p. ve v</w:t>
      </w:r>
      <w:r>
        <w:t>ý</w:t>
      </w:r>
      <w:r w:rsidRPr="00C26591">
        <w:t xml:space="preserve">ši </w:t>
      </w:r>
      <w:r>
        <w:t>0,87 </w:t>
      </w:r>
      <w:r w:rsidRPr="00666014">
        <w:t>mld</w:t>
      </w:r>
      <w:r w:rsidRPr="00C26591">
        <w:t>.</w:t>
      </w:r>
      <w:r>
        <w:t xml:space="preserve"> </w:t>
      </w:r>
      <w:r w:rsidRPr="00C26591">
        <w:t>Kč</w:t>
      </w:r>
      <w:r>
        <w:t>, čímž</w:t>
      </w:r>
      <w:r w:rsidRPr="00C26591">
        <w:t xml:space="preserve"> dojde ke </w:t>
      </w:r>
      <w:r>
        <w:t>zhoršení</w:t>
      </w:r>
      <w:r w:rsidRPr="00C26591">
        <w:t xml:space="preserve"> salda </w:t>
      </w:r>
      <w:r>
        <w:t xml:space="preserve">meziročně </w:t>
      </w:r>
      <w:r w:rsidRPr="00C26591">
        <w:t xml:space="preserve">o </w:t>
      </w:r>
      <w:r>
        <w:t>3,10 mld. Kč.</w:t>
      </w:r>
    </w:p>
    <w:p w:rsidR="003649B8" w:rsidRDefault="003649B8" w:rsidP="00B61162">
      <w:pPr>
        <w:pStyle w:val="Standardnstyl"/>
      </w:pPr>
      <w:r w:rsidRPr="00C26591">
        <w:t>Predikce základních ukazatelů finanční bilance systému v. z. p. pro rok 201</w:t>
      </w:r>
      <w:r>
        <w:t>6</w:t>
      </w:r>
      <w:r w:rsidRPr="00C26591">
        <w:t xml:space="preserve"> vychází z aktuální makroekonomické predikce.</w:t>
      </w:r>
      <w:r>
        <w:t xml:space="preserve"> </w:t>
      </w:r>
      <w:r w:rsidRPr="00C26591">
        <w:t>Celkové příjmy se v roce 201</w:t>
      </w:r>
      <w:r>
        <w:t>6</w:t>
      </w:r>
      <w:r w:rsidRPr="00C26591">
        <w:t xml:space="preserve"> očekávají ve výši </w:t>
      </w:r>
      <w:r>
        <w:t>256,16</w:t>
      </w:r>
      <w:r w:rsidRPr="00C26591">
        <w:t xml:space="preserve"> </w:t>
      </w:r>
      <w:r w:rsidRPr="00C26591">
        <w:rPr>
          <w:color w:val="000000"/>
        </w:rPr>
        <w:t>mld. Kč s meziročním nárůstem o</w:t>
      </w:r>
      <w:r>
        <w:rPr>
          <w:color w:val="000000"/>
        </w:rPr>
        <w:t xml:space="preserve"> </w:t>
      </w:r>
      <w:r>
        <w:t>3,7</w:t>
      </w:r>
      <w:r w:rsidRPr="00C26591">
        <w:rPr>
          <w:color w:val="000000"/>
        </w:rPr>
        <w:t xml:space="preserve"> %. Z toho podíl příjmů z vlastního výběru pojistného včetně p</w:t>
      </w:r>
      <w:r w:rsidRPr="00F328BC">
        <w:rPr>
          <w:color w:val="000000"/>
        </w:rPr>
        <w:t xml:space="preserve">říslušenství bude činit </w:t>
      </w:r>
      <w:r>
        <w:t>74,8</w:t>
      </w:r>
      <w:r w:rsidRPr="00C26591">
        <w:rPr>
          <w:color w:val="000000"/>
        </w:rPr>
        <w:t xml:space="preserve"> </w:t>
      </w:r>
      <w:r w:rsidRPr="00C26591">
        <w:t>%</w:t>
      </w:r>
      <w:r>
        <w:t xml:space="preserve"> a podíl z </w:t>
      </w:r>
      <w:r w:rsidRPr="003516A1">
        <w:t>příjm</w:t>
      </w:r>
      <w:r>
        <w:t>ů</w:t>
      </w:r>
      <w:r w:rsidRPr="003516A1">
        <w:t xml:space="preserve"> z plateb za státní pojištěnce</w:t>
      </w:r>
      <w:r>
        <w:t xml:space="preserve"> 24,6 %</w:t>
      </w:r>
      <w:r w:rsidRPr="00C26591">
        <w:t>.</w:t>
      </w:r>
      <w:r>
        <w:t xml:space="preserve"> J</w:t>
      </w:r>
      <w:r w:rsidRPr="00C26591">
        <w:t xml:space="preserve">ako v předchozích letech </w:t>
      </w:r>
      <w:r>
        <w:t xml:space="preserve">budou </w:t>
      </w:r>
      <w:r w:rsidRPr="00C26591">
        <w:t>ostatní příjmy systému v. z. p. zanedbatelné.</w:t>
      </w:r>
    </w:p>
    <w:p w:rsidR="003649B8" w:rsidRPr="00A67AD7" w:rsidRDefault="003649B8" w:rsidP="00B61162">
      <w:pPr>
        <w:pStyle w:val="Standardnstyl"/>
        <w:rPr>
          <w:i/>
        </w:rPr>
      </w:pPr>
      <w:r w:rsidRPr="00C26591">
        <w:t>Meziroční tempo růstu celkových výdajů systému v. z. p. se v</w:t>
      </w:r>
      <w:r>
        <w:t xml:space="preserve"> </w:t>
      </w:r>
      <w:r w:rsidRPr="00C26591">
        <w:t>roce 201</w:t>
      </w:r>
      <w:r>
        <w:t>6</w:t>
      </w:r>
      <w:r w:rsidRPr="00C26591">
        <w:t xml:space="preserve"> předpokládá ve výši </w:t>
      </w:r>
      <w:r>
        <w:t xml:space="preserve">3,1 </w:t>
      </w:r>
      <w:r w:rsidRPr="00C26591">
        <w:t>%. Tempo růstu výdajů na zdravotní péči bude mít mírně vyšší dynamiku</w:t>
      </w:r>
      <w:r>
        <w:t>, a to</w:t>
      </w:r>
      <w:r w:rsidRPr="00C26591">
        <w:t xml:space="preserve"> </w:t>
      </w:r>
      <w:r>
        <w:t>3,5</w:t>
      </w:r>
      <w:r w:rsidRPr="00C26591">
        <w:t xml:space="preserve"> %. Tyto výdaje budou tvořit </w:t>
      </w:r>
      <w:r>
        <w:t>96,9</w:t>
      </w:r>
      <w:r w:rsidRPr="00C26591">
        <w:t xml:space="preserve"> % celkových výdajů. V absolutním vyjádření se výše celkových výdajů očekává na úrovni </w:t>
      </w:r>
      <w:r>
        <w:t xml:space="preserve">255,50 </w:t>
      </w:r>
      <w:r w:rsidRPr="00C26591">
        <w:t>mld. Kč. Na základě odhadovaných příjm</w:t>
      </w:r>
      <w:r>
        <w:t xml:space="preserve">ů a výdajů lze předpokládat, že v roce </w:t>
      </w:r>
      <w:r w:rsidRPr="00C26591">
        <w:t>201</w:t>
      </w:r>
      <w:r>
        <w:t>6</w:t>
      </w:r>
      <w:r w:rsidRPr="00C26591">
        <w:t xml:space="preserve"> bude dosažen v</w:t>
      </w:r>
      <w:r>
        <w:t xml:space="preserve"> </w:t>
      </w:r>
      <w:r w:rsidRPr="00C26591">
        <w:t xml:space="preserve">systému v. z. p. přebytek hospodaření ve výši </w:t>
      </w:r>
      <w:r>
        <w:t>0,66</w:t>
      </w:r>
      <w:r w:rsidRPr="00C26591">
        <w:t xml:space="preserve"> mld. Kč. </w:t>
      </w:r>
    </w:p>
    <w:p w:rsidR="003649B8" w:rsidRDefault="003649B8" w:rsidP="002A6109">
      <w:pPr>
        <w:pStyle w:val="Caption"/>
      </w:pPr>
      <w:r>
        <w:t xml:space="preserve">Tabulka č. </w:t>
      </w:r>
      <w:fldSimple w:instr=" SEQ Tabulka \* ARABIC ">
        <w:r>
          <w:rPr>
            <w:noProof/>
          </w:rPr>
          <w:t>17</w:t>
        </w:r>
      </w:fldSimple>
      <w:r>
        <w:rPr>
          <w:noProof/>
        </w:rPr>
        <w:t xml:space="preserve">: </w:t>
      </w:r>
      <w:r>
        <w:t>Bilance veřejného zdravotního pojištění v mld. Kč</w:t>
      </w:r>
    </w:p>
    <w:p w:rsidR="003649B8" w:rsidRDefault="003649B8" w:rsidP="007F774F">
      <w:pPr>
        <w:pStyle w:val="graftab"/>
      </w:pPr>
      <w:r>
        <w:pict>
          <v:shape id="_x0000_i1046" type="#_x0000_t75" style="width:450.6pt;height:532.8pt">
            <v:imagedata r:id="rId45" o:title=""/>
          </v:shape>
        </w:pict>
      </w:r>
      <w:r w:rsidRPr="003F2429">
        <w:t xml:space="preserve">Pramen: </w:t>
      </w:r>
      <w:r>
        <w:t>Ministerstvo financí ČR</w:t>
      </w:r>
    </w:p>
    <w:p w:rsidR="003649B8" w:rsidRDefault="003649B8" w:rsidP="002B30F9">
      <w:pPr>
        <w:pStyle w:val="StylvysvtlivkyVlevo0cmPrvndek0cm"/>
        <w:numPr>
          <w:ilvl w:val="0"/>
          <w:numId w:val="12"/>
        </w:numPr>
        <w:tabs>
          <w:tab w:val="clear" w:pos="1065"/>
          <w:tab w:val="num" w:pos="360"/>
        </w:tabs>
        <w:ind w:hanging="1065"/>
      </w:pPr>
      <w:r>
        <w:t>pojistné na zdravotní pojištění včetně příslušenství</w:t>
      </w:r>
    </w:p>
    <w:p w:rsidR="003649B8" w:rsidRPr="002978FF" w:rsidRDefault="003649B8" w:rsidP="00F41F5D">
      <w:pPr>
        <w:pStyle w:val="StylvysvtlivkyVlevo0cmPrvndek0cm"/>
        <w:numPr>
          <w:ilvl w:val="0"/>
          <w:numId w:val="0"/>
        </w:numPr>
        <w:ind w:left="360" w:hanging="360"/>
      </w:pPr>
      <w:r>
        <w:t>2)</w:t>
      </w:r>
      <w:r>
        <w:tab/>
        <w:t>výdaje na zdravotní péči</w:t>
      </w:r>
    </w:p>
    <w:p w:rsidR="003649B8" w:rsidRDefault="003649B8" w:rsidP="00515DAB">
      <w:pPr>
        <w:sectPr w:rsidR="003649B8">
          <w:type w:val="continuous"/>
          <w:pgSz w:w="11906" w:h="16838"/>
          <w:pgMar w:top="1417" w:right="1417" w:bottom="1417" w:left="1417" w:header="708" w:footer="708" w:gutter="0"/>
          <w:cols w:space="708"/>
          <w:docGrid w:linePitch="360"/>
        </w:sectPr>
      </w:pPr>
    </w:p>
    <w:p w:rsidR="003649B8" w:rsidRPr="002978FF" w:rsidRDefault="003649B8" w:rsidP="00F41F5D">
      <w:pPr>
        <w:pStyle w:val="StylvysvtlivkyVlevo0cmPrvndek0cm"/>
        <w:numPr>
          <w:ilvl w:val="0"/>
          <w:numId w:val="0"/>
        </w:numPr>
        <w:ind w:left="360" w:hanging="360"/>
      </w:pPr>
    </w:p>
    <w:sectPr w:rsidR="003649B8" w:rsidRPr="002978FF" w:rsidSect="00874D4B">
      <w:type w:val="continuous"/>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9B8" w:rsidRDefault="003649B8" w:rsidP="0086543A">
      <w:r>
        <w:separator/>
      </w:r>
    </w:p>
  </w:endnote>
  <w:endnote w:type="continuationSeparator" w:id="0">
    <w:p w:rsidR="003649B8" w:rsidRDefault="003649B8" w:rsidP="0086543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9B8" w:rsidRDefault="003649B8" w:rsidP="002C4E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42</w:t>
    </w:r>
    <w:r>
      <w:rPr>
        <w:rStyle w:val="PageNumber"/>
      </w:rPr>
      <w:fldChar w:fldCharType="end"/>
    </w:r>
  </w:p>
  <w:p w:rsidR="003649B8" w:rsidRDefault="003649B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9B8" w:rsidRDefault="003649B8">
    <w:pPr>
      <w:pStyle w:val="Footer"/>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9B8" w:rsidRDefault="003649B8" w:rsidP="00404A4E">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9B8" w:rsidRDefault="003649B8" w:rsidP="00C97B5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3649B8" w:rsidRDefault="003649B8">
    <w:pPr>
      <w:pStyle w:val="Footer"/>
      <w:ind w:right="360"/>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9B8" w:rsidRDefault="003649B8" w:rsidP="00C97B5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3649B8" w:rsidRDefault="003649B8">
    <w:pPr>
      <w:pStyle w:val="Footer"/>
      <w:ind w:right="360"/>
      <w:jc w:val="cen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9B8" w:rsidRDefault="003649B8" w:rsidP="00D55F8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3649B8" w:rsidRDefault="003649B8">
    <w:pPr>
      <w:pStyle w:val="Footer"/>
      <w:ind w:right="360"/>
      <w:jc w:val="cen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9B8" w:rsidRDefault="003649B8" w:rsidP="00D55F8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37</w:t>
    </w:r>
    <w:r>
      <w:rPr>
        <w:rStyle w:val="PageNumber"/>
      </w:rPr>
      <w:fldChar w:fldCharType="end"/>
    </w:r>
  </w:p>
  <w:p w:rsidR="003649B8" w:rsidRDefault="003649B8">
    <w:pPr>
      <w:pStyle w:val="Footer"/>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9B8" w:rsidRDefault="003649B8" w:rsidP="0086543A">
      <w:r>
        <w:separator/>
      </w:r>
    </w:p>
  </w:footnote>
  <w:footnote w:type="continuationSeparator" w:id="0">
    <w:p w:rsidR="003649B8" w:rsidRDefault="003649B8" w:rsidP="0086543A">
      <w:r>
        <w:continuationSeparator/>
      </w:r>
    </w:p>
  </w:footnote>
  <w:footnote w:id="1">
    <w:p w:rsidR="003649B8" w:rsidRDefault="003649B8">
      <w:pPr>
        <w:pStyle w:val="FootnoteText"/>
      </w:pPr>
      <w:r>
        <w:rPr>
          <w:rStyle w:val="FootnoteReference"/>
        </w:rPr>
        <w:footnoteRef/>
      </w:r>
      <w:r>
        <w:t xml:space="preserve"> </w:t>
      </w:r>
      <w:r w:rsidRPr="00A93893">
        <w:rPr>
          <w:sz w:val="18"/>
          <w:szCs w:val="18"/>
        </w:rPr>
        <w:t>Jedná se o výkaz zdrojů a užití peněžních prostředků v užším sektorovém pokrytí, kam se zařazuje státní rozpočet, Národní fond, Fond privatizace, státní fondy, zdravotní pojišťovny a územní rozpočty (obce a kraje a dále dobrovolné svazky obcí a</w:t>
      </w:r>
      <w:r>
        <w:rPr>
          <w:sz w:val="18"/>
          <w:szCs w:val="18"/>
        </w:rPr>
        <w:t> </w:t>
      </w:r>
      <w:r w:rsidRPr="00A93893">
        <w:rPr>
          <w:sz w:val="18"/>
          <w:szCs w:val="18"/>
        </w:rPr>
        <w:t>regionální rady regionů soudržnosti).</w:t>
      </w:r>
    </w:p>
  </w:footnote>
  <w:footnote w:id="2">
    <w:p w:rsidR="003649B8" w:rsidRDefault="003649B8">
      <w:pPr>
        <w:pStyle w:val="FootnoteText"/>
      </w:pPr>
      <w:r>
        <w:rPr>
          <w:rStyle w:val="FootnoteReference"/>
        </w:rPr>
        <w:footnoteRef/>
      </w:r>
      <w:r>
        <w:t xml:space="preserve"> </w:t>
      </w:r>
      <w:r w:rsidRPr="00772764">
        <w:rPr>
          <w:sz w:val="18"/>
          <w:szCs w:val="18"/>
        </w:rPr>
        <w:t>Po zrušení Pozemkového fondu ČR k 1. 1. 2013 jsou mimorozpočtové fondy v současné době tvořeny pouze státními fondy, kterých nyní existuje šest. Jejich výčet je uveden v poznámce 2 pod tabulkami č. 3-6 anebo v obsahu tohoto textu v</w:t>
      </w:r>
      <w:r>
        <w:rPr>
          <w:sz w:val="18"/>
          <w:szCs w:val="18"/>
        </w:rPr>
        <w:t> </w:t>
      </w:r>
      <w:r w:rsidRPr="00772764">
        <w:rPr>
          <w:sz w:val="18"/>
          <w:szCs w:val="18"/>
        </w:rPr>
        <w:t>pasáži II. A Státní fondy.</w:t>
      </w:r>
    </w:p>
  </w:footnote>
  <w:footnote w:id="3">
    <w:p w:rsidR="003649B8" w:rsidRDefault="003649B8">
      <w:pPr>
        <w:pStyle w:val="FootnoteText"/>
      </w:pPr>
      <w:r w:rsidRPr="000E1372">
        <w:rPr>
          <w:rStyle w:val="FootnoteReference"/>
          <w:sz w:val="18"/>
          <w:szCs w:val="18"/>
        </w:rPr>
        <w:footnoteRef/>
      </w:r>
      <w:r w:rsidRPr="000E1372">
        <w:rPr>
          <w:sz w:val="18"/>
          <w:szCs w:val="18"/>
        </w:rPr>
        <w:t xml:space="preserve"> Jedná se o podíl státního dluhu na celkovém veřejném nekonsolidovaném dluhu.</w:t>
      </w:r>
    </w:p>
  </w:footnote>
  <w:footnote w:id="4">
    <w:p w:rsidR="003649B8" w:rsidRDefault="003649B8">
      <w:pPr>
        <w:pStyle w:val="FootnoteText"/>
      </w:pPr>
      <w:r>
        <w:rPr>
          <w:rStyle w:val="FootnoteReference"/>
        </w:rPr>
        <w:footnoteRef/>
      </w:r>
      <w:r>
        <w:t xml:space="preserve"> </w:t>
      </w:r>
      <w:r w:rsidRPr="00347868">
        <w:rPr>
          <w:sz w:val="18"/>
          <w:szCs w:val="18"/>
        </w:rPr>
        <w:t>Kjótský protokol umožnil České republice prodat 100 miliónů emisních kreditů, tj. 100 miliónů tun emisí CO</w:t>
      </w:r>
      <w:r w:rsidRPr="00347868">
        <w:rPr>
          <w:sz w:val="18"/>
          <w:szCs w:val="18"/>
          <w:vertAlign w:val="subscript"/>
        </w:rPr>
        <w:t>2</w:t>
      </w:r>
      <w:r w:rsidRPr="00347868">
        <w:rPr>
          <w:sz w:val="18"/>
          <w:szCs w:val="18"/>
        </w:rPr>
        <w:t>. Na základě zákona č. 695/2004 Sb., o podmínkách obchodování s povolenkami na emise skleníkových plynů a nakládání s nimi, ve znění zákona č. 315/2008 Sb., byly výnosy z prodeje emisních kreditů příjmem Fondu a bylo možné je použít pouze na další snižování emisí CO</w:t>
      </w:r>
      <w:r w:rsidRPr="00347868">
        <w:rPr>
          <w:sz w:val="18"/>
          <w:szCs w:val="18"/>
          <w:vertAlign w:val="subscript"/>
        </w:rPr>
        <w:t>2</w:t>
      </w:r>
      <w:r w:rsidRPr="00347868">
        <w:rPr>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9B8" w:rsidRDefault="003649B8">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9B8" w:rsidRDefault="003649B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9B8" w:rsidRDefault="003649B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9B8" w:rsidRDefault="003649B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9B8" w:rsidRDefault="003649B8">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9B8" w:rsidRDefault="003649B8">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9B8" w:rsidRDefault="003649B8">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9B8" w:rsidRDefault="003649B8">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9B8" w:rsidRDefault="003649B8">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9B8" w:rsidRDefault="003649B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05C1B"/>
    <w:multiLevelType w:val="hybridMultilevel"/>
    <w:tmpl w:val="E1AAD786"/>
    <w:lvl w:ilvl="0" w:tplc="4474A90C">
      <w:start w:val="2"/>
      <w:numFmt w:val="upperLetter"/>
      <w:lvlText w:val="%1)"/>
      <w:lvlJc w:val="left"/>
      <w:pPr>
        <w:tabs>
          <w:tab w:val="num" w:pos="720"/>
        </w:tabs>
        <w:ind w:left="720" w:hanging="360"/>
      </w:pPr>
      <w:rPr>
        <w:rFonts w:ascii="Arial" w:hAnsi="Arial" w:cs="Times New Roman" w:hint="default"/>
        <w:sz w:val="28"/>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0EC67DD3"/>
    <w:multiLevelType w:val="hybridMultilevel"/>
    <w:tmpl w:val="B0844706"/>
    <w:lvl w:ilvl="0" w:tplc="333601C4">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267648B8"/>
    <w:multiLevelType w:val="hybridMultilevel"/>
    <w:tmpl w:val="04E62388"/>
    <w:lvl w:ilvl="0" w:tplc="707823AC">
      <w:start w:val="1"/>
      <w:numFmt w:val="decimal"/>
      <w:lvlText w:val="%1)"/>
      <w:lvlJc w:val="left"/>
      <w:pPr>
        <w:tabs>
          <w:tab w:val="num" w:pos="1065"/>
        </w:tabs>
        <w:ind w:left="1065" w:hanging="705"/>
      </w:pPr>
      <w:rPr>
        <w:rFonts w:ascii="Times New Roman" w:eastAsia="Times New Roman" w:hAnsi="Times New Roman"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34A84892"/>
    <w:multiLevelType w:val="hybridMultilevel"/>
    <w:tmpl w:val="89423C4A"/>
    <w:lvl w:ilvl="0" w:tplc="333601C4">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368672AB"/>
    <w:multiLevelType w:val="hybridMultilevel"/>
    <w:tmpl w:val="D6702268"/>
    <w:lvl w:ilvl="0" w:tplc="333601C4">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37963DF2"/>
    <w:multiLevelType w:val="hybridMultilevel"/>
    <w:tmpl w:val="0FEEA1CA"/>
    <w:lvl w:ilvl="0" w:tplc="C3124602">
      <w:start w:val="1"/>
      <w:numFmt w:val="decimal"/>
      <w:lvlText w:val="%1."/>
      <w:lvlJc w:val="left"/>
      <w:pPr>
        <w:tabs>
          <w:tab w:val="num" w:pos="1638"/>
        </w:tabs>
        <w:ind w:left="1638" w:hanging="930"/>
      </w:pPr>
      <w:rPr>
        <w:rFonts w:cs="Times New Roman" w:hint="default"/>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6">
    <w:nsid w:val="379A5139"/>
    <w:multiLevelType w:val="hybridMultilevel"/>
    <w:tmpl w:val="46DAA6E4"/>
    <w:lvl w:ilvl="0" w:tplc="141A6B7E">
      <w:start w:val="1"/>
      <w:numFmt w:val="decimal"/>
      <w:pStyle w:val="StylvysvtlivkyVlevo0cmPrvndek0cm"/>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40BF2342"/>
    <w:multiLevelType w:val="hybridMultilevel"/>
    <w:tmpl w:val="F8FC743A"/>
    <w:lvl w:ilvl="0" w:tplc="3D86B7BA">
      <w:start w:val="2"/>
      <w:numFmt w:val="upp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430273D8"/>
    <w:multiLevelType w:val="hybridMultilevel"/>
    <w:tmpl w:val="6AACCFBE"/>
    <w:lvl w:ilvl="0" w:tplc="333601C4">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6B7E089D"/>
    <w:multiLevelType w:val="hybridMultilevel"/>
    <w:tmpl w:val="41C8E4AC"/>
    <w:lvl w:ilvl="0" w:tplc="0405000B">
      <w:start w:val="1"/>
      <w:numFmt w:val="bullet"/>
      <w:lvlText w:val=""/>
      <w:lvlJc w:val="left"/>
      <w:pPr>
        <w:tabs>
          <w:tab w:val="num" w:pos="1260"/>
        </w:tabs>
        <w:ind w:left="1260" w:hanging="360"/>
      </w:pPr>
      <w:rPr>
        <w:rFonts w:ascii="Wingdings" w:hAnsi="Wingdings" w:hint="default"/>
      </w:rPr>
    </w:lvl>
    <w:lvl w:ilvl="1" w:tplc="04050003">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10">
    <w:nsid w:val="6F4E4E6E"/>
    <w:multiLevelType w:val="hybridMultilevel"/>
    <w:tmpl w:val="3B081394"/>
    <w:lvl w:ilvl="0" w:tplc="AF68CB2C">
      <w:start w:val="1"/>
      <w:numFmt w:val="upperLetter"/>
      <w:pStyle w:val="Heading2"/>
      <w:lvlText w:val="%1)"/>
      <w:lvlJc w:val="left"/>
      <w:pPr>
        <w:tabs>
          <w:tab w:val="num" w:pos="360"/>
        </w:tabs>
      </w:pPr>
      <w:rPr>
        <w:rFonts w:ascii="Arial" w:hAnsi="Arial" w:cs="Times New Roman" w:hint="default"/>
        <w:b/>
        <w:i/>
        <w:sz w:val="28"/>
      </w:rPr>
    </w:lvl>
    <w:lvl w:ilvl="1" w:tplc="732014E6">
      <w:start w:val="1"/>
      <w:numFmt w:val="decimal"/>
      <w:pStyle w:val="Heading3"/>
      <w:lvlText w:val="%2."/>
      <w:lvlJc w:val="left"/>
      <w:pPr>
        <w:tabs>
          <w:tab w:val="num" w:pos="108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10"/>
  </w:num>
  <w:num w:numId="3">
    <w:abstractNumId w:val="10"/>
    <w:lvlOverride w:ilvl="0">
      <w:startOverride w:val="1"/>
    </w:lvlOverride>
  </w:num>
  <w:num w:numId="4">
    <w:abstractNumId w:val="1"/>
  </w:num>
  <w:num w:numId="5">
    <w:abstractNumId w:val="3"/>
  </w:num>
  <w:num w:numId="6">
    <w:abstractNumId w:val="8"/>
  </w:num>
  <w:num w:numId="7">
    <w:abstractNumId w:val="4"/>
  </w:num>
  <w:num w:numId="8">
    <w:abstractNumId w:val="0"/>
  </w:num>
  <w:num w:numId="9">
    <w:abstractNumId w:val="7"/>
  </w:num>
  <w:num w:numId="10">
    <w:abstractNumId w:val="5"/>
  </w:num>
  <w:num w:numId="11">
    <w:abstractNumId w:val="9"/>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7FBE"/>
    <w:rsid w:val="00000F13"/>
    <w:rsid w:val="0000135A"/>
    <w:rsid w:val="00001365"/>
    <w:rsid w:val="00001640"/>
    <w:rsid w:val="00001E85"/>
    <w:rsid w:val="00003FA7"/>
    <w:rsid w:val="000043E6"/>
    <w:rsid w:val="000043FD"/>
    <w:rsid w:val="00004619"/>
    <w:rsid w:val="0000492D"/>
    <w:rsid w:val="00005087"/>
    <w:rsid w:val="000052BF"/>
    <w:rsid w:val="00005590"/>
    <w:rsid w:val="00005D82"/>
    <w:rsid w:val="00005EA2"/>
    <w:rsid w:val="000060F7"/>
    <w:rsid w:val="00006A0C"/>
    <w:rsid w:val="00006B2A"/>
    <w:rsid w:val="000070EF"/>
    <w:rsid w:val="000071C9"/>
    <w:rsid w:val="00007608"/>
    <w:rsid w:val="0000771D"/>
    <w:rsid w:val="00007ABC"/>
    <w:rsid w:val="00007BDB"/>
    <w:rsid w:val="0001077F"/>
    <w:rsid w:val="000107D7"/>
    <w:rsid w:val="0001098C"/>
    <w:rsid w:val="00011383"/>
    <w:rsid w:val="00012AB6"/>
    <w:rsid w:val="00012C0F"/>
    <w:rsid w:val="00012C55"/>
    <w:rsid w:val="00012CAA"/>
    <w:rsid w:val="00013DA6"/>
    <w:rsid w:val="00013DF5"/>
    <w:rsid w:val="00014209"/>
    <w:rsid w:val="000145B0"/>
    <w:rsid w:val="00014AF2"/>
    <w:rsid w:val="00014D8A"/>
    <w:rsid w:val="00014E0A"/>
    <w:rsid w:val="000153A5"/>
    <w:rsid w:val="00015B40"/>
    <w:rsid w:val="00015C03"/>
    <w:rsid w:val="00016821"/>
    <w:rsid w:val="00016F12"/>
    <w:rsid w:val="0001760B"/>
    <w:rsid w:val="00017DB3"/>
    <w:rsid w:val="0002049B"/>
    <w:rsid w:val="0002050D"/>
    <w:rsid w:val="0002084D"/>
    <w:rsid w:val="00020A7A"/>
    <w:rsid w:val="000210EE"/>
    <w:rsid w:val="00021770"/>
    <w:rsid w:val="00021BBA"/>
    <w:rsid w:val="0002260A"/>
    <w:rsid w:val="000229D9"/>
    <w:rsid w:val="00022BFA"/>
    <w:rsid w:val="00023364"/>
    <w:rsid w:val="00023B62"/>
    <w:rsid w:val="000243A5"/>
    <w:rsid w:val="0002509F"/>
    <w:rsid w:val="0002511A"/>
    <w:rsid w:val="00025194"/>
    <w:rsid w:val="0002533C"/>
    <w:rsid w:val="000254A5"/>
    <w:rsid w:val="00025CAA"/>
    <w:rsid w:val="00025DFA"/>
    <w:rsid w:val="00026584"/>
    <w:rsid w:val="000266A9"/>
    <w:rsid w:val="000266E0"/>
    <w:rsid w:val="000266F9"/>
    <w:rsid w:val="0002673C"/>
    <w:rsid w:val="00026C95"/>
    <w:rsid w:val="00027297"/>
    <w:rsid w:val="00027779"/>
    <w:rsid w:val="000278F3"/>
    <w:rsid w:val="000279D7"/>
    <w:rsid w:val="00027B2F"/>
    <w:rsid w:val="00027FDD"/>
    <w:rsid w:val="00030B8A"/>
    <w:rsid w:val="00030E7B"/>
    <w:rsid w:val="00031176"/>
    <w:rsid w:val="000313AF"/>
    <w:rsid w:val="00031E4E"/>
    <w:rsid w:val="000327FC"/>
    <w:rsid w:val="00032D80"/>
    <w:rsid w:val="00033047"/>
    <w:rsid w:val="0003403D"/>
    <w:rsid w:val="0003447B"/>
    <w:rsid w:val="000345B7"/>
    <w:rsid w:val="00034795"/>
    <w:rsid w:val="00034D2D"/>
    <w:rsid w:val="00034FAB"/>
    <w:rsid w:val="00034FB5"/>
    <w:rsid w:val="00035752"/>
    <w:rsid w:val="00035802"/>
    <w:rsid w:val="00035AEA"/>
    <w:rsid w:val="00036833"/>
    <w:rsid w:val="00036B27"/>
    <w:rsid w:val="00036B9D"/>
    <w:rsid w:val="000371C8"/>
    <w:rsid w:val="000374BE"/>
    <w:rsid w:val="00037588"/>
    <w:rsid w:val="000376FE"/>
    <w:rsid w:val="00037B9D"/>
    <w:rsid w:val="000400EE"/>
    <w:rsid w:val="000413D0"/>
    <w:rsid w:val="000429FB"/>
    <w:rsid w:val="00042DB0"/>
    <w:rsid w:val="00043DCF"/>
    <w:rsid w:val="0004423F"/>
    <w:rsid w:val="00044930"/>
    <w:rsid w:val="00045838"/>
    <w:rsid w:val="000462B7"/>
    <w:rsid w:val="000470A1"/>
    <w:rsid w:val="00047CD0"/>
    <w:rsid w:val="00047D83"/>
    <w:rsid w:val="00050844"/>
    <w:rsid w:val="0005137B"/>
    <w:rsid w:val="00051601"/>
    <w:rsid w:val="00051EFE"/>
    <w:rsid w:val="000520D2"/>
    <w:rsid w:val="0005220D"/>
    <w:rsid w:val="0005233A"/>
    <w:rsid w:val="00052492"/>
    <w:rsid w:val="000533D7"/>
    <w:rsid w:val="00053687"/>
    <w:rsid w:val="000539BD"/>
    <w:rsid w:val="00053C5B"/>
    <w:rsid w:val="00054E32"/>
    <w:rsid w:val="00055086"/>
    <w:rsid w:val="000553DB"/>
    <w:rsid w:val="0005566B"/>
    <w:rsid w:val="000557E6"/>
    <w:rsid w:val="00055D02"/>
    <w:rsid w:val="00055DC4"/>
    <w:rsid w:val="00055EED"/>
    <w:rsid w:val="000567DF"/>
    <w:rsid w:val="000568A1"/>
    <w:rsid w:val="00057135"/>
    <w:rsid w:val="000576C5"/>
    <w:rsid w:val="000577FA"/>
    <w:rsid w:val="00057B42"/>
    <w:rsid w:val="00060C33"/>
    <w:rsid w:val="000611B5"/>
    <w:rsid w:val="000611D4"/>
    <w:rsid w:val="000614C6"/>
    <w:rsid w:val="00061B6D"/>
    <w:rsid w:val="00061E42"/>
    <w:rsid w:val="00062681"/>
    <w:rsid w:val="000633D5"/>
    <w:rsid w:val="00063BDF"/>
    <w:rsid w:val="00064338"/>
    <w:rsid w:val="000643A5"/>
    <w:rsid w:val="00064A9F"/>
    <w:rsid w:val="00065012"/>
    <w:rsid w:val="00065853"/>
    <w:rsid w:val="00066839"/>
    <w:rsid w:val="00066E40"/>
    <w:rsid w:val="0006705C"/>
    <w:rsid w:val="00067496"/>
    <w:rsid w:val="00067EC9"/>
    <w:rsid w:val="00067EFE"/>
    <w:rsid w:val="00070D5A"/>
    <w:rsid w:val="00070DC9"/>
    <w:rsid w:val="00070F54"/>
    <w:rsid w:val="000714DF"/>
    <w:rsid w:val="00071740"/>
    <w:rsid w:val="0007182E"/>
    <w:rsid w:val="00071B69"/>
    <w:rsid w:val="00071F58"/>
    <w:rsid w:val="00072175"/>
    <w:rsid w:val="00072665"/>
    <w:rsid w:val="000734B9"/>
    <w:rsid w:val="00073767"/>
    <w:rsid w:val="00073BB4"/>
    <w:rsid w:val="00074CEA"/>
    <w:rsid w:val="00074E71"/>
    <w:rsid w:val="000758B2"/>
    <w:rsid w:val="000758FC"/>
    <w:rsid w:val="000760C8"/>
    <w:rsid w:val="00076C94"/>
    <w:rsid w:val="0007713F"/>
    <w:rsid w:val="000771FD"/>
    <w:rsid w:val="000774BC"/>
    <w:rsid w:val="000777FA"/>
    <w:rsid w:val="00077AAB"/>
    <w:rsid w:val="00077F03"/>
    <w:rsid w:val="00080499"/>
    <w:rsid w:val="0008053A"/>
    <w:rsid w:val="0008180A"/>
    <w:rsid w:val="00081E78"/>
    <w:rsid w:val="00081F01"/>
    <w:rsid w:val="0008300A"/>
    <w:rsid w:val="000834DA"/>
    <w:rsid w:val="00083918"/>
    <w:rsid w:val="000841A0"/>
    <w:rsid w:val="00084529"/>
    <w:rsid w:val="000845DB"/>
    <w:rsid w:val="00084C83"/>
    <w:rsid w:val="0008522C"/>
    <w:rsid w:val="00085861"/>
    <w:rsid w:val="000858FE"/>
    <w:rsid w:val="0008652C"/>
    <w:rsid w:val="00086F0B"/>
    <w:rsid w:val="00087931"/>
    <w:rsid w:val="00087A72"/>
    <w:rsid w:val="00087D0D"/>
    <w:rsid w:val="00087D9B"/>
    <w:rsid w:val="000908B9"/>
    <w:rsid w:val="000910AF"/>
    <w:rsid w:val="00091189"/>
    <w:rsid w:val="00091523"/>
    <w:rsid w:val="00092515"/>
    <w:rsid w:val="00092B44"/>
    <w:rsid w:val="000945B6"/>
    <w:rsid w:val="000947E7"/>
    <w:rsid w:val="00095472"/>
    <w:rsid w:val="0009584F"/>
    <w:rsid w:val="00095974"/>
    <w:rsid w:val="00095FE3"/>
    <w:rsid w:val="000960E1"/>
    <w:rsid w:val="00097563"/>
    <w:rsid w:val="000975BE"/>
    <w:rsid w:val="00097D3D"/>
    <w:rsid w:val="000A09C6"/>
    <w:rsid w:val="000A0BA9"/>
    <w:rsid w:val="000A106F"/>
    <w:rsid w:val="000A1224"/>
    <w:rsid w:val="000A31C1"/>
    <w:rsid w:val="000A367F"/>
    <w:rsid w:val="000A36E6"/>
    <w:rsid w:val="000A3760"/>
    <w:rsid w:val="000A3866"/>
    <w:rsid w:val="000A3A12"/>
    <w:rsid w:val="000A3B54"/>
    <w:rsid w:val="000A3C11"/>
    <w:rsid w:val="000A3E82"/>
    <w:rsid w:val="000A4268"/>
    <w:rsid w:val="000A45DA"/>
    <w:rsid w:val="000A475F"/>
    <w:rsid w:val="000A4DFB"/>
    <w:rsid w:val="000A573D"/>
    <w:rsid w:val="000A5E44"/>
    <w:rsid w:val="000A60E6"/>
    <w:rsid w:val="000A629C"/>
    <w:rsid w:val="000A6778"/>
    <w:rsid w:val="000A6ECF"/>
    <w:rsid w:val="000A6FAE"/>
    <w:rsid w:val="000A7610"/>
    <w:rsid w:val="000A7A04"/>
    <w:rsid w:val="000A7B25"/>
    <w:rsid w:val="000B1043"/>
    <w:rsid w:val="000B24A1"/>
    <w:rsid w:val="000B28E7"/>
    <w:rsid w:val="000B2A17"/>
    <w:rsid w:val="000B2B4F"/>
    <w:rsid w:val="000B2D63"/>
    <w:rsid w:val="000B3159"/>
    <w:rsid w:val="000B3762"/>
    <w:rsid w:val="000B3E1D"/>
    <w:rsid w:val="000B4391"/>
    <w:rsid w:val="000B4633"/>
    <w:rsid w:val="000B5342"/>
    <w:rsid w:val="000B5BCD"/>
    <w:rsid w:val="000B63DC"/>
    <w:rsid w:val="000B662F"/>
    <w:rsid w:val="000B6938"/>
    <w:rsid w:val="000B76F6"/>
    <w:rsid w:val="000B7995"/>
    <w:rsid w:val="000B7F1B"/>
    <w:rsid w:val="000C0512"/>
    <w:rsid w:val="000C0856"/>
    <w:rsid w:val="000C10F2"/>
    <w:rsid w:val="000C1967"/>
    <w:rsid w:val="000C1B8E"/>
    <w:rsid w:val="000C1EAC"/>
    <w:rsid w:val="000C2184"/>
    <w:rsid w:val="000C3371"/>
    <w:rsid w:val="000C3646"/>
    <w:rsid w:val="000C39D0"/>
    <w:rsid w:val="000C3B6D"/>
    <w:rsid w:val="000C42E3"/>
    <w:rsid w:val="000C467F"/>
    <w:rsid w:val="000C4756"/>
    <w:rsid w:val="000C5E8B"/>
    <w:rsid w:val="000C7660"/>
    <w:rsid w:val="000C7D73"/>
    <w:rsid w:val="000C7E78"/>
    <w:rsid w:val="000D02F0"/>
    <w:rsid w:val="000D072C"/>
    <w:rsid w:val="000D08F6"/>
    <w:rsid w:val="000D0B6A"/>
    <w:rsid w:val="000D1369"/>
    <w:rsid w:val="000D149B"/>
    <w:rsid w:val="000D24B9"/>
    <w:rsid w:val="000D250F"/>
    <w:rsid w:val="000D33E4"/>
    <w:rsid w:val="000D39F0"/>
    <w:rsid w:val="000D3CC9"/>
    <w:rsid w:val="000D41CE"/>
    <w:rsid w:val="000D45A4"/>
    <w:rsid w:val="000D5707"/>
    <w:rsid w:val="000D5DAA"/>
    <w:rsid w:val="000D7516"/>
    <w:rsid w:val="000D77FA"/>
    <w:rsid w:val="000E01E9"/>
    <w:rsid w:val="000E088A"/>
    <w:rsid w:val="000E0F42"/>
    <w:rsid w:val="000E10AB"/>
    <w:rsid w:val="000E1372"/>
    <w:rsid w:val="000E152C"/>
    <w:rsid w:val="000E1E6F"/>
    <w:rsid w:val="000E22A9"/>
    <w:rsid w:val="000E2CA0"/>
    <w:rsid w:val="000E3075"/>
    <w:rsid w:val="000E4786"/>
    <w:rsid w:val="000E47D8"/>
    <w:rsid w:val="000E47F8"/>
    <w:rsid w:val="000E4F0D"/>
    <w:rsid w:val="000E520D"/>
    <w:rsid w:val="000E690D"/>
    <w:rsid w:val="000E7A05"/>
    <w:rsid w:val="000E7F33"/>
    <w:rsid w:val="000F0BCF"/>
    <w:rsid w:val="000F0FC5"/>
    <w:rsid w:val="000F11C8"/>
    <w:rsid w:val="000F123F"/>
    <w:rsid w:val="000F1F19"/>
    <w:rsid w:val="000F2888"/>
    <w:rsid w:val="000F29F9"/>
    <w:rsid w:val="000F2A9C"/>
    <w:rsid w:val="000F2B38"/>
    <w:rsid w:val="000F30F2"/>
    <w:rsid w:val="000F3360"/>
    <w:rsid w:val="000F3A3A"/>
    <w:rsid w:val="000F3A5F"/>
    <w:rsid w:val="000F3D22"/>
    <w:rsid w:val="000F405B"/>
    <w:rsid w:val="000F54E4"/>
    <w:rsid w:val="000F5C7F"/>
    <w:rsid w:val="000F618C"/>
    <w:rsid w:val="000F62B3"/>
    <w:rsid w:val="000F6FE2"/>
    <w:rsid w:val="000F71E5"/>
    <w:rsid w:val="001002F8"/>
    <w:rsid w:val="00100DAE"/>
    <w:rsid w:val="0010122C"/>
    <w:rsid w:val="00101359"/>
    <w:rsid w:val="001017B1"/>
    <w:rsid w:val="00102280"/>
    <w:rsid w:val="00102B05"/>
    <w:rsid w:val="00102C3B"/>
    <w:rsid w:val="00102E1E"/>
    <w:rsid w:val="00103D7A"/>
    <w:rsid w:val="00105044"/>
    <w:rsid w:val="00105112"/>
    <w:rsid w:val="001058D5"/>
    <w:rsid w:val="00105C42"/>
    <w:rsid w:val="00106A9F"/>
    <w:rsid w:val="001076C7"/>
    <w:rsid w:val="00107B1C"/>
    <w:rsid w:val="00110786"/>
    <w:rsid w:val="00110815"/>
    <w:rsid w:val="00110C97"/>
    <w:rsid w:val="00110FFE"/>
    <w:rsid w:val="001114D0"/>
    <w:rsid w:val="0011171E"/>
    <w:rsid w:val="00112218"/>
    <w:rsid w:val="001125C4"/>
    <w:rsid w:val="00112826"/>
    <w:rsid w:val="00113673"/>
    <w:rsid w:val="0011388B"/>
    <w:rsid w:val="00113CCD"/>
    <w:rsid w:val="00113FE1"/>
    <w:rsid w:val="001143CF"/>
    <w:rsid w:val="00114675"/>
    <w:rsid w:val="00114E3D"/>
    <w:rsid w:val="0011521F"/>
    <w:rsid w:val="001154E4"/>
    <w:rsid w:val="0011582E"/>
    <w:rsid w:val="00115BCB"/>
    <w:rsid w:val="0011639D"/>
    <w:rsid w:val="001170D5"/>
    <w:rsid w:val="0011748D"/>
    <w:rsid w:val="00117982"/>
    <w:rsid w:val="00117B72"/>
    <w:rsid w:val="00120543"/>
    <w:rsid w:val="00121F8D"/>
    <w:rsid w:val="001221F4"/>
    <w:rsid w:val="0012234D"/>
    <w:rsid w:val="00122CD9"/>
    <w:rsid w:val="001231B7"/>
    <w:rsid w:val="00123BF0"/>
    <w:rsid w:val="00123DD5"/>
    <w:rsid w:val="001246AF"/>
    <w:rsid w:val="00125215"/>
    <w:rsid w:val="001258AD"/>
    <w:rsid w:val="001268D3"/>
    <w:rsid w:val="00126E2D"/>
    <w:rsid w:val="001303B6"/>
    <w:rsid w:val="001304F7"/>
    <w:rsid w:val="00130C39"/>
    <w:rsid w:val="00130D36"/>
    <w:rsid w:val="00131862"/>
    <w:rsid w:val="0013269C"/>
    <w:rsid w:val="001333EE"/>
    <w:rsid w:val="001334C0"/>
    <w:rsid w:val="001335DC"/>
    <w:rsid w:val="001337C0"/>
    <w:rsid w:val="001338C5"/>
    <w:rsid w:val="00133A6F"/>
    <w:rsid w:val="00133AAE"/>
    <w:rsid w:val="00133E22"/>
    <w:rsid w:val="0013420A"/>
    <w:rsid w:val="0013432D"/>
    <w:rsid w:val="001344BD"/>
    <w:rsid w:val="00134A67"/>
    <w:rsid w:val="00134BB6"/>
    <w:rsid w:val="00135387"/>
    <w:rsid w:val="00135677"/>
    <w:rsid w:val="00136B89"/>
    <w:rsid w:val="00140091"/>
    <w:rsid w:val="001404A4"/>
    <w:rsid w:val="00140717"/>
    <w:rsid w:val="00141242"/>
    <w:rsid w:val="0014129D"/>
    <w:rsid w:val="0014194F"/>
    <w:rsid w:val="00142E95"/>
    <w:rsid w:val="00143490"/>
    <w:rsid w:val="001439C0"/>
    <w:rsid w:val="001439E3"/>
    <w:rsid w:val="00143A5E"/>
    <w:rsid w:val="00143E2B"/>
    <w:rsid w:val="001449FA"/>
    <w:rsid w:val="00144A15"/>
    <w:rsid w:val="001459E5"/>
    <w:rsid w:val="00145C5F"/>
    <w:rsid w:val="00146895"/>
    <w:rsid w:val="001478C8"/>
    <w:rsid w:val="00147A88"/>
    <w:rsid w:val="00147E81"/>
    <w:rsid w:val="00147E8E"/>
    <w:rsid w:val="00147F17"/>
    <w:rsid w:val="00150814"/>
    <w:rsid w:val="00151703"/>
    <w:rsid w:val="0015183A"/>
    <w:rsid w:val="00152645"/>
    <w:rsid w:val="00152799"/>
    <w:rsid w:val="001527F8"/>
    <w:rsid w:val="0015356A"/>
    <w:rsid w:val="0015474B"/>
    <w:rsid w:val="00154D55"/>
    <w:rsid w:val="00155B9B"/>
    <w:rsid w:val="00155C87"/>
    <w:rsid w:val="001574B2"/>
    <w:rsid w:val="00160253"/>
    <w:rsid w:val="00160669"/>
    <w:rsid w:val="00161529"/>
    <w:rsid w:val="001623C3"/>
    <w:rsid w:val="00162400"/>
    <w:rsid w:val="00163155"/>
    <w:rsid w:val="001634BF"/>
    <w:rsid w:val="00164758"/>
    <w:rsid w:val="00164BDF"/>
    <w:rsid w:val="00165332"/>
    <w:rsid w:val="00165AB7"/>
    <w:rsid w:val="00165EF3"/>
    <w:rsid w:val="00165F63"/>
    <w:rsid w:val="00166210"/>
    <w:rsid w:val="00166910"/>
    <w:rsid w:val="0016698C"/>
    <w:rsid w:val="00166A58"/>
    <w:rsid w:val="00166E22"/>
    <w:rsid w:val="00167C8A"/>
    <w:rsid w:val="00170947"/>
    <w:rsid w:val="00170C78"/>
    <w:rsid w:val="0017130C"/>
    <w:rsid w:val="001715EA"/>
    <w:rsid w:val="00172AD2"/>
    <w:rsid w:val="00172D62"/>
    <w:rsid w:val="00173A5C"/>
    <w:rsid w:val="00174DEF"/>
    <w:rsid w:val="0017535D"/>
    <w:rsid w:val="001753FF"/>
    <w:rsid w:val="00175B8F"/>
    <w:rsid w:val="00175C5D"/>
    <w:rsid w:val="00176D31"/>
    <w:rsid w:val="001776B8"/>
    <w:rsid w:val="0017789F"/>
    <w:rsid w:val="0017796B"/>
    <w:rsid w:val="00177E35"/>
    <w:rsid w:val="001808CC"/>
    <w:rsid w:val="00180BED"/>
    <w:rsid w:val="0018105B"/>
    <w:rsid w:val="0018136B"/>
    <w:rsid w:val="00181894"/>
    <w:rsid w:val="00182151"/>
    <w:rsid w:val="0018303A"/>
    <w:rsid w:val="0018304B"/>
    <w:rsid w:val="00183CFE"/>
    <w:rsid w:val="00183D88"/>
    <w:rsid w:val="001848E1"/>
    <w:rsid w:val="00184DA5"/>
    <w:rsid w:val="001854EC"/>
    <w:rsid w:val="00185B84"/>
    <w:rsid w:val="00185FE3"/>
    <w:rsid w:val="00186B37"/>
    <w:rsid w:val="00186CE4"/>
    <w:rsid w:val="00187777"/>
    <w:rsid w:val="00187B4D"/>
    <w:rsid w:val="00187D59"/>
    <w:rsid w:val="00190B4A"/>
    <w:rsid w:val="00191074"/>
    <w:rsid w:val="00191456"/>
    <w:rsid w:val="00191D9C"/>
    <w:rsid w:val="00191F28"/>
    <w:rsid w:val="00192E22"/>
    <w:rsid w:val="001935DD"/>
    <w:rsid w:val="00194B4F"/>
    <w:rsid w:val="00194DAB"/>
    <w:rsid w:val="001957CB"/>
    <w:rsid w:val="00196819"/>
    <w:rsid w:val="00197F4B"/>
    <w:rsid w:val="001A0293"/>
    <w:rsid w:val="001A0979"/>
    <w:rsid w:val="001A15C1"/>
    <w:rsid w:val="001A2646"/>
    <w:rsid w:val="001A2AD4"/>
    <w:rsid w:val="001A3078"/>
    <w:rsid w:val="001A3ACD"/>
    <w:rsid w:val="001A423D"/>
    <w:rsid w:val="001A4300"/>
    <w:rsid w:val="001A4461"/>
    <w:rsid w:val="001A4B11"/>
    <w:rsid w:val="001A50E5"/>
    <w:rsid w:val="001A559B"/>
    <w:rsid w:val="001A5B82"/>
    <w:rsid w:val="001A5E5F"/>
    <w:rsid w:val="001A6410"/>
    <w:rsid w:val="001A661F"/>
    <w:rsid w:val="001A6848"/>
    <w:rsid w:val="001A70A3"/>
    <w:rsid w:val="001A7796"/>
    <w:rsid w:val="001A7A5F"/>
    <w:rsid w:val="001A7ACB"/>
    <w:rsid w:val="001B10EA"/>
    <w:rsid w:val="001B254D"/>
    <w:rsid w:val="001B425C"/>
    <w:rsid w:val="001B4ADA"/>
    <w:rsid w:val="001B50F6"/>
    <w:rsid w:val="001B5221"/>
    <w:rsid w:val="001B5804"/>
    <w:rsid w:val="001B5DDF"/>
    <w:rsid w:val="001B6924"/>
    <w:rsid w:val="001B74F0"/>
    <w:rsid w:val="001B76DC"/>
    <w:rsid w:val="001C0205"/>
    <w:rsid w:val="001C0672"/>
    <w:rsid w:val="001C0C2E"/>
    <w:rsid w:val="001C0D64"/>
    <w:rsid w:val="001C1640"/>
    <w:rsid w:val="001C16BF"/>
    <w:rsid w:val="001C1959"/>
    <w:rsid w:val="001C1B76"/>
    <w:rsid w:val="001C1CAD"/>
    <w:rsid w:val="001C20C5"/>
    <w:rsid w:val="001C262C"/>
    <w:rsid w:val="001C2776"/>
    <w:rsid w:val="001C2865"/>
    <w:rsid w:val="001C2998"/>
    <w:rsid w:val="001C3763"/>
    <w:rsid w:val="001C37DC"/>
    <w:rsid w:val="001C3927"/>
    <w:rsid w:val="001C4206"/>
    <w:rsid w:val="001C469E"/>
    <w:rsid w:val="001C4712"/>
    <w:rsid w:val="001C52A9"/>
    <w:rsid w:val="001C5436"/>
    <w:rsid w:val="001C583F"/>
    <w:rsid w:val="001C64ED"/>
    <w:rsid w:val="001C6B8D"/>
    <w:rsid w:val="001C6D1A"/>
    <w:rsid w:val="001C6EDE"/>
    <w:rsid w:val="001C7151"/>
    <w:rsid w:val="001C716D"/>
    <w:rsid w:val="001C7C79"/>
    <w:rsid w:val="001D0E67"/>
    <w:rsid w:val="001D0F15"/>
    <w:rsid w:val="001D17AA"/>
    <w:rsid w:val="001D1933"/>
    <w:rsid w:val="001D22E1"/>
    <w:rsid w:val="001D2A69"/>
    <w:rsid w:val="001D2A88"/>
    <w:rsid w:val="001D2DF4"/>
    <w:rsid w:val="001D38FC"/>
    <w:rsid w:val="001D3C48"/>
    <w:rsid w:val="001D3F14"/>
    <w:rsid w:val="001D3FA2"/>
    <w:rsid w:val="001D4416"/>
    <w:rsid w:val="001D4926"/>
    <w:rsid w:val="001D497F"/>
    <w:rsid w:val="001D49F7"/>
    <w:rsid w:val="001D4BBD"/>
    <w:rsid w:val="001D4F30"/>
    <w:rsid w:val="001D5070"/>
    <w:rsid w:val="001D5212"/>
    <w:rsid w:val="001D550B"/>
    <w:rsid w:val="001D5665"/>
    <w:rsid w:val="001D6141"/>
    <w:rsid w:val="001D633F"/>
    <w:rsid w:val="001D64EC"/>
    <w:rsid w:val="001D688D"/>
    <w:rsid w:val="001D6D2B"/>
    <w:rsid w:val="001D6FEF"/>
    <w:rsid w:val="001D7239"/>
    <w:rsid w:val="001E00D5"/>
    <w:rsid w:val="001E050B"/>
    <w:rsid w:val="001E0AC8"/>
    <w:rsid w:val="001E11D1"/>
    <w:rsid w:val="001E164D"/>
    <w:rsid w:val="001E19BB"/>
    <w:rsid w:val="001E41A0"/>
    <w:rsid w:val="001E4A11"/>
    <w:rsid w:val="001E547B"/>
    <w:rsid w:val="001E5FE1"/>
    <w:rsid w:val="001E65DC"/>
    <w:rsid w:val="001E704E"/>
    <w:rsid w:val="001E72EA"/>
    <w:rsid w:val="001E76AD"/>
    <w:rsid w:val="001E7DE0"/>
    <w:rsid w:val="001E7F31"/>
    <w:rsid w:val="001F01BD"/>
    <w:rsid w:val="001F01F3"/>
    <w:rsid w:val="001F04E7"/>
    <w:rsid w:val="001F04F6"/>
    <w:rsid w:val="001F25D8"/>
    <w:rsid w:val="001F2A84"/>
    <w:rsid w:val="001F358A"/>
    <w:rsid w:val="001F3787"/>
    <w:rsid w:val="001F3DA1"/>
    <w:rsid w:val="001F42B9"/>
    <w:rsid w:val="001F44F5"/>
    <w:rsid w:val="001F468F"/>
    <w:rsid w:val="001F5B2E"/>
    <w:rsid w:val="001F5B6F"/>
    <w:rsid w:val="001F5C0C"/>
    <w:rsid w:val="001F6077"/>
    <w:rsid w:val="001F6908"/>
    <w:rsid w:val="00200554"/>
    <w:rsid w:val="00200649"/>
    <w:rsid w:val="0020077F"/>
    <w:rsid w:val="00200842"/>
    <w:rsid w:val="00200DF1"/>
    <w:rsid w:val="00200F4E"/>
    <w:rsid w:val="0020126A"/>
    <w:rsid w:val="00201422"/>
    <w:rsid w:val="00201741"/>
    <w:rsid w:val="002029CD"/>
    <w:rsid w:val="00203263"/>
    <w:rsid w:val="002040A8"/>
    <w:rsid w:val="00204198"/>
    <w:rsid w:val="00204830"/>
    <w:rsid w:val="00204B00"/>
    <w:rsid w:val="00204CD1"/>
    <w:rsid w:val="00205AB6"/>
    <w:rsid w:val="0020605B"/>
    <w:rsid w:val="0020606E"/>
    <w:rsid w:val="00206BB2"/>
    <w:rsid w:val="002072DD"/>
    <w:rsid w:val="002072EB"/>
    <w:rsid w:val="00207897"/>
    <w:rsid w:val="002107E2"/>
    <w:rsid w:val="00210C41"/>
    <w:rsid w:val="00211301"/>
    <w:rsid w:val="0021196B"/>
    <w:rsid w:val="00211DCD"/>
    <w:rsid w:val="0021280C"/>
    <w:rsid w:val="0021286A"/>
    <w:rsid w:val="00212C2D"/>
    <w:rsid w:val="00212E7F"/>
    <w:rsid w:val="0021387C"/>
    <w:rsid w:val="00214714"/>
    <w:rsid w:val="0021554A"/>
    <w:rsid w:val="00215749"/>
    <w:rsid w:val="00215DAB"/>
    <w:rsid w:val="00217E78"/>
    <w:rsid w:val="002201B8"/>
    <w:rsid w:val="002202D1"/>
    <w:rsid w:val="00220A37"/>
    <w:rsid w:val="002212C6"/>
    <w:rsid w:val="00221543"/>
    <w:rsid w:val="00221F20"/>
    <w:rsid w:val="0022206C"/>
    <w:rsid w:val="002224D6"/>
    <w:rsid w:val="00222B6B"/>
    <w:rsid w:val="00222BB8"/>
    <w:rsid w:val="0022431B"/>
    <w:rsid w:val="00224928"/>
    <w:rsid w:val="00224CCD"/>
    <w:rsid w:val="002258B4"/>
    <w:rsid w:val="00225F65"/>
    <w:rsid w:val="002260CF"/>
    <w:rsid w:val="00226881"/>
    <w:rsid w:val="002268E8"/>
    <w:rsid w:val="00226BAE"/>
    <w:rsid w:val="00227E4E"/>
    <w:rsid w:val="0023070F"/>
    <w:rsid w:val="00230BF3"/>
    <w:rsid w:val="002318D0"/>
    <w:rsid w:val="002321DD"/>
    <w:rsid w:val="00232240"/>
    <w:rsid w:val="002323A0"/>
    <w:rsid w:val="00232870"/>
    <w:rsid w:val="00232C82"/>
    <w:rsid w:val="00233300"/>
    <w:rsid w:val="0023334E"/>
    <w:rsid w:val="00234013"/>
    <w:rsid w:val="00234064"/>
    <w:rsid w:val="002347CA"/>
    <w:rsid w:val="00234D1F"/>
    <w:rsid w:val="00234E6A"/>
    <w:rsid w:val="00235605"/>
    <w:rsid w:val="00235815"/>
    <w:rsid w:val="00236785"/>
    <w:rsid w:val="00236898"/>
    <w:rsid w:val="00236CBF"/>
    <w:rsid w:val="00237C3C"/>
    <w:rsid w:val="00237F88"/>
    <w:rsid w:val="002402CC"/>
    <w:rsid w:val="00240810"/>
    <w:rsid w:val="00240C02"/>
    <w:rsid w:val="00241191"/>
    <w:rsid w:val="002419F7"/>
    <w:rsid w:val="00242570"/>
    <w:rsid w:val="00242658"/>
    <w:rsid w:val="00242AF8"/>
    <w:rsid w:val="00242C75"/>
    <w:rsid w:val="00243175"/>
    <w:rsid w:val="002437E2"/>
    <w:rsid w:val="00243BC1"/>
    <w:rsid w:val="0024429F"/>
    <w:rsid w:val="002446FC"/>
    <w:rsid w:val="002447ED"/>
    <w:rsid w:val="002456BD"/>
    <w:rsid w:val="0024584A"/>
    <w:rsid w:val="00245B52"/>
    <w:rsid w:val="00245F44"/>
    <w:rsid w:val="002469E5"/>
    <w:rsid w:val="00246E1C"/>
    <w:rsid w:val="002475B4"/>
    <w:rsid w:val="0024786B"/>
    <w:rsid w:val="002500C1"/>
    <w:rsid w:val="0025013F"/>
    <w:rsid w:val="00250D57"/>
    <w:rsid w:val="00250F43"/>
    <w:rsid w:val="0025156F"/>
    <w:rsid w:val="0025172C"/>
    <w:rsid w:val="00251C3E"/>
    <w:rsid w:val="00251D11"/>
    <w:rsid w:val="00251E45"/>
    <w:rsid w:val="00252366"/>
    <w:rsid w:val="00252F8F"/>
    <w:rsid w:val="002531FF"/>
    <w:rsid w:val="00253FC3"/>
    <w:rsid w:val="002565A2"/>
    <w:rsid w:val="00256724"/>
    <w:rsid w:val="002568A2"/>
    <w:rsid w:val="00256D4F"/>
    <w:rsid w:val="002570F4"/>
    <w:rsid w:val="002575DB"/>
    <w:rsid w:val="002578B2"/>
    <w:rsid w:val="00257D52"/>
    <w:rsid w:val="00257EED"/>
    <w:rsid w:val="002600E0"/>
    <w:rsid w:val="00260630"/>
    <w:rsid w:val="00261678"/>
    <w:rsid w:val="00261AB3"/>
    <w:rsid w:val="00261DAB"/>
    <w:rsid w:val="0026202E"/>
    <w:rsid w:val="0026321A"/>
    <w:rsid w:val="00263516"/>
    <w:rsid w:val="00263C7C"/>
    <w:rsid w:val="0026404B"/>
    <w:rsid w:val="00264584"/>
    <w:rsid w:val="00265F52"/>
    <w:rsid w:val="00266162"/>
    <w:rsid w:val="002670DB"/>
    <w:rsid w:val="0026728D"/>
    <w:rsid w:val="00270177"/>
    <w:rsid w:val="00270A15"/>
    <w:rsid w:val="00270D83"/>
    <w:rsid w:val="00271228"/>
    <w:rsid w:val="0027137E"/>
    <w:rsid w:val="002719DA"/>
    <w:rsid w:val="00272D10"/>
    <w:rsid w:val="00274985"/>
    <w:rsid w:val="002752FD"/>
    <w:rsid w:val="00275529"/>
    <w:rsid w:val="002768A2"/>
    <w:rsid w:val="002772DA"/>
    <w:rsid w:val="002773F5"/>
    <w:rsid w:val="002775EB"/>
    <w:rsid w:val="00277D34"/>
    <w:rsid w:val="00280C03"/>
    <w:rsid w:val="002813DE"/>
    <w:rsid w:val="00281A75"/>
    <w:rsid w:val="00282963"/>
    <w:rsid w:val="00282D0E"/>
    <w:rsid w:val="00282FEC"/>
    <w:rsid w:val="00283595"/>
    <w:rsid w:val="00283C99"/>
    <w:rsid w:val="00284500"/>
    <w:rsid w:val="002846F2"/>
    <w:rsid w:val="00284902"/>
    <w:rsid w:val="002856E7"/>
    <w:rsid w:val="002856F3"/>
    <w:rsid w:val="0028595C"/>
    <w:rsid w:val="00285DD8"/>
    <w:rsid w:val="0028620A"/>
    <w:rsid w:val="00286220"/>
    <w:rsid w:val="00286590"/>
    <w:rsid w:val="00286DE5"/>
    <w:rsid w:val="0028714C"/>
    <w:rsid w:val="002879D2"/>
    <w:rsid w:val="00290824"/>
    <w:rsid w:val="00290932"/>
    <w:rsid w:val="00290943"/>
    <w:rsid w:val="0029099B"/>
    <w:rsid w:val="00290D1C"/>
    <w:rsid w:val="002912CF"/>
    <w:rsid w:val="00291DE7"/>
    <w:rsid w:val="002928F6"/>
    <w:rsid w:val="0029377B"/>
    <w:rsid w:val="00295896"/>
    <w:rsid w:val="00295E75"/>
    <w:rsid w:val="0029640B"/>
    <w:rsid w:val="00296BE9"/>
    <w:rsid w:val="0029703B"/>
    <w:rsid w:val="002971B5"/>
    <w:rsid w:val="00297364"/>
    <w:rsid w:val="00297397"/>
    <w:rsid w:val="002973A7"/>
    <w:rsid w:val="002975A4"/>
    <w:rsid w:val="0029766A"/>
    <w:rsid w:val="0029770C"/>
    <w:rsid w:val="002978FF"/>
    <w:rsid w:val="00297E00"/>
    <w:rsid w:val="002A08E9"/>
    <w:rsid w:val="002A0933"/>
    <w:rsid w:val="002A0FE4"/>
    <w:rsid w:val="002A1529"/>
    <w:rsid w:val="002A262A"/>
    <w:rsid w:val="002A2E9F"/>
    <w:rsid w:val="002A321B"/>
    <w:rsid w:val="002A3CC3"/>
    <w:rsid w:val="002A4775"/>
    <w:rsid w:val="002A4CD4"/>
    <w:rsid w:val="002A54F3"/>
    <w:rsid w:val="002A5E0E"/>
    <w:rsid w:val="002A5F58"/>
    <w:rsid w:val="002A6109"/>
    <w:rsid w:val="002A63AF"/>
    <w:rsid w:val="002A6D6A"/>
    <w:rsid w:val="002A7FF9"/>
    <w:rsid w:val="002B07A5"/>
    <w:rsid w:val="002B1C36"/>
    <w:rsid w:val="002B30F9"/>
    <w:rsid w:val="002B318F"/>
    <w:rsid w:val="002B3717"/>
    <w:rsid w:val="002B4361"/>
    <w:rsid w:val="002B4491"/>
    <w:rsid w:val="002B5194"/>
    <w:rsid w:val="002B5D51"/>
    <w:rsid w:val="002B60D1"/>
    <w:rsid w:val="002B645F"/>
    <w:rsid w:val="002B6891"/>
    <w:rsid w:val="002B69C4"/>
    <w:rsid w:val="002B6B13"/>
    <w:rsid w:val="002B724A"/>
    <w:rsid w:val="002B7CC1"/>
    <w:rsid w:val="002C0B12"/>
    <w:rsid w:val="002C0FFF"/>
    <w:rsid w:val="002C1217"/>
    <w:rsid w:val="002C1299"/>
    <w:rsid w:val="002C165F"/>
    <w:rsid w:val="002C19D4"/>
    <w:rsid w:val="002C2B39"/>
    <w:rsid w:val="002C333A"/>
    <w:rsid w:val="002C35B3"/>
    <w:rsid w:val="002C4EF1"/>
    <w:rsid w:val="002C55D9"/>
    <w:rsid w:val="002C599E"/>
    <w:rsid w:val="002C5AB4"/>
    <w:rsid w:val="002C60C3"/>
    <w:rsid w:val="002C63BD"/>
    <w:rsid w:val="002C63E5"/>
    <w:rsid w:val="002C6A1D"/>
    <w:rsid w:val="002C6CB8"/>
    <w:rsid w:val="002C6DEC"/>
    <w:rsid w:val="002C6FB4"/>
    <w:rsid w:val="002D00F7"/>
    <w:rsid w:val="002D0E9A"/>
    <w:rsid w:val="002D2199"/>
    <w:rsid w:val="002D28D2"/>
    <w:rsid w:val="002D2CDC"/>
    <w:rsid w:val="002D31A3"/>
    <w:rsid w:val="002D3691"/>
    <w:rsid w:val="002D3DF9"/>
    <w:rsid w:val="002D5276"/>
    <w:rsid w:val="002D541D"/>
    <w:rsid w:val="002D56C9"/>
    <w:rsid w:val="002D5AE8"/>
    <w:rsid w:val="002D6AA2"/>
    <w:rsid w:val="002D73F3"/>
    <w:rsid w:val="002D76FA"/>
    <w:rsid w:val="002D7D64"/>
    <w:rsid w:val="002E0686"/>
    <w:rsid w:val="002E0DBD"/>
    <w:rsid w:val="002E0E33"/>
    <w:rsid w:val="002E1245"/>
    <w:rsid w:val="002E124A"/>
    <w:rsid w:val="002E12F1"/>
    <w:rsid w:val="002E1A4A"/>
    <w:rsid w:val="002E1B9B"/>
    <w:rsid w:val="002E1DB4"/>
    <w:rsid w:val="002E2171"/>
    <w:rsid w:val="002E2365"/>
    <w:rsid w:val="002E28E6"/>
    <w:rsid w:val="002E3507"/>
    <w:rsid w:val="002E37A1"/>
    <w:rsid w:val="002E3E45"/>
    <w:rsid w:val="002E3EDF"/>
    <w:rsid w:val="002E4650"/>
    <w:rsid w:val="002E4F9F"/>
    <w:rsid w:val="002E562C"/>
    <w:rsid w:val="002E5F2E"/>
    <w:rsid w:val="002E6302"/>
    <w:rsid w:val="002E6561"/>
    <w:rsid w:val="002E659A"/>
    <w:rsid w:val="002E7140"/>
    <w:rsid w:val="002E7487"/>
    <w:rsid w:val="002F01EB"/>
    <w:rsid w:val="002F0207"/>
    <w:rsid w:val="002F0331"/>
    <w:rsid w:val="002F06AC"/>
    <w:rsid w:val="002F07D6"/>
    <w:rsid w:val="002F1310"/>
    <w:rsid w:val="002F1E2F"/>
    <w:rsid w:val="002F2538"/>
    <w:rsid w:val="002F29E3"/>
    <w:rsid w:val="002F2CF3"/>
    <w:rsid w:val="002F2EE9"/>
    <w:rsid w:val="002F3182"/>
    <w:rsid w:val="002F3189"/>
    <w:rsid w:val="002F4829"/>
    <w:rsid w:val="002F4C5C"/>
    <w:rsid w:val="002F4E4B"/>
    <w:rsid w:val="002F56D0"/>
    <w:rsid w:val="002F5730"/>
    <w:rsid w:val="002F6CD2"/>
    <w:rsid w:val="002F6F79"/>
    <w:rsid w:val="002F72E2"/>
    <w:rsid w:val="002F7530"/>
    <w:rsid w:val="002F7905"/>
    <w:rsid w:val="002F7DBE"/>
    <w:rsid w:val="003004DB"/>
    <w:rsid w:val="00300AD6"/>
    <w:rsid w:val="00300E7F"/>
    <w:rsid w:val="0030140D"/>
    <w:rsid w:val="00301B8C"/>
    <w:rsid w:val="00301CAD"/>
    <w:rsid w:val="00301DA5"/>
    <w:rsid w:val="0030264B"/>
    <w:rsid w:val="00302809"/>
    <w:rsid w:val="0030282E"/>
    <w:rsid w:val="00302F2A"/>
    <w:rsid w:val="003034B1"/>
    <w:rsid w:val="003034DE"/>
    <w:rsid w:val="0030390E"/>
    <w:rsid w:val="00303F02"/>
    <w:rsid w:val="003049BC"/>
    <w:rsid w:val="003049EB"/>
    <w:rsid w:val="0030567F"/>
    <w:rsid w:val="00305ED9"/>
    <w:rsid w:val="003062CA"/>
    <w:rsid w:val="003067E7"/>
    <w:rsid w:val="003068DB"/>
    <w:rsid w:val="00306B06"/>
    <w:rsid w:val="003079D3"/>
    <w:rsid w:val="00307ACB"/>
    <w:rsid w:val="00307EBB"/>
    <w:rsid w:val="00310A34"/>
    <w:rsid w:val="00310BE7"/>
    <w:rsid w:val="003117AC"/>
    <w:rsid w:val="0031198F"/>
    <w:rsid w:val="00312364"/>
    <w:rsid w:val="00313DD0"/>
    <w:rsid w:val="003142D2"/>
    <w:rsid w:val="00314616"/>
    <w:rsid w:val="00314BB0"/>
    <w:rsid w:val="00315581"/>
    <w:rsid w:val="0031573D"/>
    <w:rsid w:val="00315A62"/>
    <w:rsid w:val="003160F9"/>
    <w:rsid w:val="003169E5"/>
    <w:rsid w:val="003170D7"/>
    <w:rsid w:val="00317205"/>
    <w:rsid w:val="0031726B"/>
    <w:rsid w:val="00317D59"/>
    <w:rsid w:val="00317D71"/>
    <w:rsid w:val="00320557"/>
    <w:rsid w:val="00320BA8"/>
    <w:rsid w:val="00320F1C"/>
    <w:rsid w:val="00320F6D"/>
    <w:rsid w:val="003212B1"/>
    <w:rsid w:val="00321524"/>
    <w:rsid w:val="00321CD6"/>
    <w:rsid w:val="003223B5"/>
    <w:rsid w:val="003236AE"/>
    <w:rsid w:val="00323879"/>
    <w:rsid w:val="00323E30"/>
    <w:rsid w:val="0032445B"/>
    <w:rsid w:val="0032463B"/>
    <w:rsid w:val="003249D7"/>
    <w:rsid w:val="00324A89"/>
    <w:rsid w:val="00324DE4"/>
    <w:rsid w:val="00325686"/>
    <w:rsid w:val="003257E5"/>
    <w:rsid w:val="00326615"/>
    <w:rsid w:val="00326F7A"/>
    <w:rsid w:val="0032727E"/>
    <w:rsid w:val="00327629"/>
    <w:rsid w:val="0032770E"/>
    <w:rsid w:val="00327E21"/>
    <w:rsid w:val="00330385"/>
    <w:rsid w:val="00330607"/>
    <w:rsid w:val="00330BC0"/>
    <w:rsid w:val="00330BFE"/>
    <w:rsid w:val="00330D87"/>
    <w:rsid w:val="003311C2"/>
    <w:rsid w:val="003312D6"/>
    <w:rsid w:val="00331313"/>
    <w:rsid w:val="00332053"/>
    <w:rsid w:val="0033250E"/>
    <w:rsid w:val="00332B5B"/>
    <w:rsid w:val="00333142"/>
    <w:rsid w:val="0033389C"/>
    <w:rsid w:val="00333950"/>
    <w:rsid w:val="00333B21"/>
    <w:rsid w:val="00334222"/>
    <w:rsid w:val="0033432B"/>
    <w:rsid w:val="00334C8D"/>
    <w:rsid w:val="003357A7"/>
    <w:rsid w:val="00336543"/>
    <w:rsid w:val="0033660E"/>
    <w:rsid w:val="003368B1"/>
    <w:rsid w:val="003369BE"/>
    <w:rsid w:val="00336F79"/>
    <w:rsid w:val="00336FF9"/>
    <w:rsid w:val="00337400"/>
    <w:rsid w:val="00337469"/>
    <w:rsid w:val="00337737"/>
    <w:rsid w:val="0033793E"/>
    <w:rsid w:val="00337EC3"/>
    <w:rsid w:val="0034038B"/>
    <w:rsid w:val="003406D1"/>
    <w:rsid w:val="00340C39"/>
    <w:rsid w:val="00340FCC"/>
    <w:rsid w:val="00341215"/>
    <w:rsid w:val="00341411"/>
    <w:rsid w:val="00341992"/>
    <w:rsid w:val="00341C7D"/>
    <w:rsid w:val="00341E8A"/>
    <w:rsid w:val="00341F0B"/>
    <w:rsid w:val="00341F9D"/>
    <w:rsid w:val="003434B9"/>
    <w:rsid w:val="00343902"/>
    <w:rsid w:val="00343A9F"/>
    <w:rsid w:val="003442EC"/>
    <w:rsid w:val="00345643"/>
    <w:rsid w:val="0034625C"/>
    <w:rsid w:val="00346AB1"/>
    <w:rsid w:val="00347076"/>
    <w:rsid w:val="00347868"/>
    <w:rsid w:val="00347BCF"/>
    <w:rsid w:val="00347C82"/>
    <w:rsid w:val="00347C90"/>
    <w:rsid w:val="00350F8A"/>
    <w:rsid w:val="0035149B"/>
    <w:rsid w:val="003516A1"/>
    <w:rsid w:val="0035182A"/>
    <w:rsid w:val="0035195D"/>
    <w:rsid w:val="00351BB6"/>
    <w:rsid w:val="00353EA3"/>
    <w:rsid w:val="00354795"/>
    <w:rsid w:val="00354E1E"/>
    <w:rsid w:val="00355016"/>
    <w:rsid w:val="003557E0"/>
    <w:rsid w:val="003558AB"/>
    <w:rsid w:val="00355F58"/>
    <w:rsid w:val="0035698E"/>
    <w:rsid w:val="00356B22"/>
    <w:rsid w:val="00357663"/>
    <w:rsid w:val="00357F4B"/>
    <w:rsid w:val="003607F8"/>
    <w:rsid w:val="00360F92"/>
    <w:rsid w:val="00360FB8"/>
    <w:rsid w:val="00361C18"/>
    <w:rsid w:val="00361D45"/>
    <w:rsid w:val="00363392"/>
    <w:rsid w:val="003638F2"/>
    <w:rsid w:val="0036418E"/>
    <w:rsid w:val="003649B8"/>
    <w:rsid w:val="00364AA3"/>
    <w:rsid w:val="0036572D"/>
    <w:rsid w:val="00365854"/>
    <w:rsid w:val="00365D55"/>
    <w:rsid w:val="003668B6"/>
    <w:rsid w:val="00366958"/>
    <w:rsid w:val="00366B74"/>
    <w:rsid w:val="00366DA1"/>
    <w:rsid w:val="00367064"/>
    <w:rsid w:val="00367145"/>
    <w:rsid w:val="00367C29"/>
    <w:rsid w:val="00370847"/>
    <w:rsid w:val="003713FE"/>
    <w:rsid w:val="00371D5D"/>
    <w:rsid w:val="00372881"/>
    <w:rsid w:val="003729E4"/>
    <w:rsid w:val="00373938"/>
    <w:rsid w:val="003745DE"/>
    <w:rsid w:val="00375FAE"/>
    <w:rsid w:val="003761E1"/>
    <w:rsid w:val="003769F0"/>
    <w:rsid w:val="003805C2"/>
    <w:rsid w:val="00381121"/>
    <w:rsid w:val="00381215"/>
    <w:rsid w:val="003826CB"/>
    <w:rsid w:val="00382721"/>
    <w:rsid w:val="00382873"/>
    <w:rsid w:val="00383296"/>
    <w:rsid w:val="00383D8F"/>
    <w:rsid w:val="00383ED0"/>
    <w:rsid w:val="0038430B"/>
    <w:rsid w:val="00384405"/>
    <w:rsid w:val="0038440F"/>
    <w:rsid w:val="00384CB3"/>
    <w:rsid w:val="003856B0"/>
    <w:rsid w:val="00385913"/>
    <w:rsid w:val="00386372"/>
    <w:rsid w:val="00387A97"/>
    <w:rsid w:val="00387BF6"/>
    <w:rsid w:val="00387DF1"/>
    <w:rsid w:val="003918E5"/>
    <w:rsid w:val="00391AA0"/>
    <w:rsid w:val="00391BA6"/>
    <w:rsid w:val="00392426"/>
    <w:rsid w:val="0039352E"/>
    <w:rsid w:val="003935E4"/>
    <w:rsid w:val="003941FE"/>
    <w:rsid w:val="00394548"/>
    <w:rsid w:val="00394748"/>
    <w:rsid w:val="00394CC7"/>
    <w:rsid w:val="00394E30"/>
    <w:rsid w:val="0039539E"/>
    <w:rsid w:val="00395556"/>
    <w:rsid w:val="0039558B"/>
    <w:rsid w:val="003957FD"/>
    <w:rsid w:val="00395D6E"/>
    <w:rsid w:val="00396CD8"/>
    <w:rsid w:val="003976E9"/>
    <w:rsid w:val="00397B60"/>
    <w:rsid w:val="003A0A02"/>
    <w:rsid w:val="003A0EC6"/>
    <w:rsid w:val="003A121D"/>
    <w:rsid w:val="003A1B52"/>
    <w:rsid w:val="003A1F2E"/>
    <w:rsid w:val="003A2A65"/>
    <w:rsid w:val="003A306E"/>
    <w:rsid w:val="003A3298"/>
    <w:rsid w:val="003A3884"/>
    <w:rsid w:val="003A3B97"/>
    <w:rsid w:val="003A3BD1"/>
    <w:rsid w:val="003A4C79"/>
    <w:rsid w:val="003A4ECD"/>
    <w:rsid w:val="003A5C93"/>
    <w:rsid w:val="003A5FC5"/>
    <w:rsid w:val="003A60D7"/>
    <w:rsid w:val="003A68D4"/>
    <w:rsid w:val="003A699C"/>
    <w:rsid w:val="003A69C9"/>
    <w:rsid w:val="003A7DF6"/>
    <w:rsid w:val="003B0F43"/>
    <w:rsid w:val="003B3339"/>
    <w:rsid w:val="003B3D06"/>
    <w:rsid w:val="003B41B9"/>
    <w:rsid w:val="003B4D84"/>
    <w:rsid w:val="003B5141"/>
    <w:rsid w:val="003B5679"/>
    <w:rsid w:val="003B59BD"/>
    <w:rsid w:val="003B5BFA"/>
    <w:rsid w:val="003B64A1"/>
    <w:rsid w:val="003B6C8F"/>
    <w:rsid w:val="003B7525"/>
    <w:rsid w:val="003B7647"/>
    <w:rsid w:val="003B7715"/>
    <w:rsid w:val="003B7B24"/>
    <w:rsid w:val="003B7C6B"/>
    <w:rsid w:val="003B7CD4"/>
    <w:rsid w:val="003C0641"/>
    <w:rsid w:val="003C0F13"/>
    <w:rsid w:val="003C2737"/>
    <w:rsid w:val="003C2881"/>
    <w:rsid w:val="003C2A49"/>
    <w:rsid w:val="003C2AE1"/>
    <w:rsid w:val="003C2D51"/>
    <w:rsid w:val="003C3038"/>
    <w:rsid w:val="003C30D0"/>
    <w:rsid w:val="003C31E6"/>
    <w:rsid w:val="003C325E"/>
    <w:rsid w:val="003C5467"/>
    <w:rsid w:val="003C5C25"/>
    <w:rsid w:val="003C5F55"/>
    <w:rsid w:val="003C5FE3"/>
    <w:rsid w:val="003C75B4"/>
    <w:rsid w:val="003C7E63"/>
    <w:rsid w:val="003D0003"/>
    <w:rsid w:val="003D0443"/>
    <w:rsid w:val="003D066E"/>
    <w:rsid w:val="003D0833"/>
    <w:rsid w:val="003D0989"/>
    <w:rsid w:val="003D1033"/>
    <w:rsid w:val="003D1650"/>
    <w:rsid w:val="003D225C"/>
    <w:rsid w:val="003D3583"/>
    <w:rsid w:val="003D35E1"/>
    <w:rsid w:val="003D3681"/>
    <w:rsid w:val="003D44AF"/>
    <w:rsid w:val="003D456F"/>
    <w:rsid w:val="003D5259"/>
    <w:rsid w:val="003D5840"/>
    <w:rsid w:val="003D5918"/>
    <w:rsid w:val="003D5940"/>
    <w:rsid w:val="003D5A1D"/>
    <w:rsid w:val="003D6495"/>
    <w:rsid w:val="003D64D4"/>
    <w:rsid w:val="003D700B"/>
    <w:rsid w:val="003D736C"/>
    <w:rsid w:val="003D7675"/>
    <w:rsid w:val="003D7856"/>
    <w:rsid w:val="003D7CA6"/>
    <w:rsid w:val="003D7CBA"/>
    <w:rsid w:val="003D7EE5"/>
    <w:rsid w:val="003E05FE"/>
    <w:rsid w:val="003E12C6"/>
    <w:rsid w:val="003E155D"/>
    <w:rsid w:val="003E1591"/>
    <w:rsid w:val="003E17FF"/>
    <w:rsid w:val="003E280A"/>
    <w:rsid w:val="003E3014"/>
    <w:rsid w:val="003E378C"/>
    <w:rsid w:val="003E3ABA"/>
    <w:rsid w:val="003E3CEE"/>
    <w:rsid w:val="003E4442"/>
    <w:rsid w:val="003E455E"/>
    <w:rsid w:val="003E45AD"/>
    <w:rsid w:val="003E467C"/>
    <w:rsid w:val="003E4D48"/>
    <w:rsid w:val="003E5829"/>
    <w:rsid w:val="003E5C6E"/>
    <w:rsid w:val="003E5E1E"/>
    <w:rsid w:val="003E5F8E"/>
    <w:rsid w:val="003E6A7A"/>
    <w:rsid w:val="003E7735"/>
    <w:rsid w:val="003E7C1B"/>
    <w:rsid w:val="003F01BB"/>
    <w:rsid w:val="003F11FE"/>
    <w:rsid w:val="003F23A6"/>
    <w:rsid w:val="003F2429"/>
    <w:rsid w:val="003F2558"/>
    <w:rsid w:val="003F295E"/>
    <w:rsid w:val="003F3431"/>
    <w:rsid w:val="003F3DD5"/>
    <w:rsid w:val="003F3F09"/>
    <w:rsid w:val="003F4113"/>
    <w:rsid w:val="003F4176"/>
    <w:rsid w:val="003F4372"/>
    <w:rsid w:val="003F5C24"/>
    <w:rsid w:val="003F6695"/>
    <w:rsid w:val="003F7A16"/>
    <w:rsid w:val="003F7D72"/>
    <w:rsid w:val="00400232"/>
    <w:rsid w:val="004003C9"/>
    <w:rsid w:val="0040083E"/>
    <w:rsid w:val="004008B9"/>
    <w:rsid w:val="00402003"/>
    <w:rsid w:val="004026C5"/>
    <w:rsid w:val="004028DB"/>
    <w:rsid w:val="004036D8"/>
    <w:rsid w:val="00403C9F"/>
    <w:rsid w:val="00404A4E"/>
    <w:rsid w:val="00404BAB"/>
    <w:rsid w:val="00406A96"/>
    <w:rsid w:val="00407364"/>
    <w:rsid w:val="00407585"/>
    <w:rsid w:val="00410297"/>
    <w:rsid w:val="00410747"/>
    <w:rsid w:val="004107C9"/>
    <w:rsid w:val="00410AED"/>
    <w:rsid w:val="00410E40"/>
    <w:rsid w:val="00411165"/>
    <w:rsid w:val="00411274"/>
    <w:rsid w:val="004113D7"/>
    <w:rsid w:val="00411E7A"/>
    <w:rsid w:val="004137DA"/>
    <w:rsid w:val="00413829"/>
    <w:rsid w:val="00414664"/>
    <w:rsid w:val="00414EC6"/>
    <w:rsid w:val="00415022"/>
    <w:rsid w:val="00416201"/>
    <w:rsid w:val="00416FF6"/>
    <w:rsid w:val="00417998"/>
    <w:rsid w:val="00417C90"/>
    <w:rsid w:val="00417D2E"/>
    <w:rsid w:val="00420EAE"/>
    <w:rsid w:val="00421C11"/>
    <w:rsid w:val="00422052"/>
    <w:rsid w:val="00422074"/>
    <w:rsid w:val="004229BE"/>
    <w:rsid w:val="004232A7"/>
    <w:rsid w:val="00423CC0"/>
    <w:rsid w:val="00424134"/>
    <w:rsid w:val="00424916"/>
    <w:rsid w:val="004249FB"/>
    <w:rsid w:val="00424AA2"/>
    <w:rsid w:val="00424E88"/>
    <w:rsid w:val="00425C53"/>
    <w:rsid w:val="00425EE2"/>
    <w:rsid w:val="004263C7"/>
    <w:rsid w:val="004264AD"/>
    <w:rsid w:val="0042699B"/>
    <w:rsid w:val="00426DC6"/>
    <w:rsid w:val="004276F5"/>
    <w:rsid w:val="00427887"/>
    <w:rsid w:val="00427B22"/>
    <w:rsid w:val="00427C36"/>
    <w:rsid w:val="00427DF9"/>
    <w:rsid w:val="00427E53"/>
    <w:rsid w:val="00430E3F"/>
    <w:rsid w:val="00431008"/>
    <w:rsid w:val="0043248A"/>
    <w:rsid w:val="00432586"/>
    <w:rsid w:val="00432BC4"/>
    <w:rsid w:val="00433678"/>
    <w:rsid w:val="00433871"/>
    <w:rsid w:val="004352F9"/>
    <w:rsid w:val="004355E3"/>
    <w:rsid w:val="00435874"/>
    <w:rsid w:val="0043633B"/>
    <w:rsid w:val="00436917"/>
    <w:rsid w:val="00437B40"/>
    <w:rsid w:val="0044013B"/>
    <w:rsid w:val="00441D1A"/>
    <w:rsid w:val="00441EF3"/>
    <w:rsid w:val="004420AD"/>
    <w:rsid w:val="004422DC"/>
    <w:rsid w:val="004426A8"/>
    <w:rsid w:val="004435CC"/>
    <w:rsid w:val="004439EA"/>
    <w:rsid w:val="004442B4"/>
    <w:rsid w:val="00444342"/>
    <w:rsid w:val="00444520"/>
    <w:rsid w:val="0044509B"/>
    <w:rsid w:val="004454F5"/>
    <w:rsid w:val="00445BB8"/>
    <w:rsid w:val="00445EE7"/>
    <w:rsid w:val="004466AC"/>
    <w:rsid w:val="00446B4E"/>
    <w:rsid w:val="004471A1"/>
    <w:rsid w:val="00447350"/>
    <w:rsid w:val="00447456"/>
    <w:rsid w:val="0045010C"/>
    <w:rsid w:val="00450684"/>
    <w:rsid w:val="00450A76"/>
    <w:rsid w:val="00450DDF"/>
    <w:rsid w:val="004513ED"/>
    <w:rsid w:val="00451603"/>
    <w:rsid w:val="00451C46"/>
    <w:rsid w:val="00451C69"/>
    <w:rsid w:val="0045231F"/>
    <w:rsid w:val="00452879"/>
    <w:rsid w:val="0045293F"/>
    <w:rsid w:val="00452D73"/>
    <w:rsid w:val="00452F5C"/>
    <w:rsid w:val="0045365D"/>
    <w:rsid w:val="00454842"/>
    <w:rsid w:val="00454908"/>
    <w:rsid w:val="0045528B"/>
    <w:rsid w:val="00455907"/>
    <w:rsid w:val="00456795"/>
    <w:rsid w:val="00457C7F"/>
    <w:rsid w:val="00457EC2"/>
    <w:rsid w:val="00457EF1"/>
    <w:rsid w:val="00457F9D"/>
    <w:rsid w:val="00460DAB"/>
    <w:rsid w:val="0046100D"/>
    <w:rsid w:val="00461490"/>
    <w:rsid w:val="0046151F"/>
    <w:rsid w:val="00462013"/>
    <w:rsid w:val="004636BC"/>
    <w:rsid w:val="00463927"/>
    <w:rsid w:val="00463A78"/>
    <w:rsid w:val="00465048"/>
    <w:rsid w:val="00466223"/>
    <w:rsid w:val="004666E9"/>
    <w:rsid w:val="00466E2F"/>
    <w:rsid w:val="00466F40"/>
    <w:rsid w:val="004700E2"/>
    <w:rsid w:val="00470F04"/>
    <w:rsid w:val="00471342"/>
    <w:rsid w:val="0047170C"/>
    <w:rsid w:val="00471928"/>
    <w:rsid w:val="004724CF"/>
    <w:rsid w:val="00473BAB"/>
    <w:rsid w:val="00474054"/>
    <w:rsid w:val="004742C2"/>
    <w:rsid w:val="00474A6B"/>
    <w:rsid w:val="00474C43"/>
    <w:rsid w:val="00474E7A"/>
    <w:rsid w:val="004751BD"/>
    <w:rsid w:val="004755BB"/>
    <w:rsid w:val="00475A37"/>
    <w:rsid w:val="00476023"/>
    <w:rsid w:val="0047707B"/>
    <w:rsid w:val="00480303"/>
    <w:rsid w:val="00481B89"/>
    <w:rsid w:val="00481D0B"/>
    <w:rsid w:val="004821AC"/>
    <w:rsid w:val="004826E9"/>
    <w:rsid w:val="00482B1E"/>
    <w:rsid w:val="0048303A"/>
    <w:rsid w:val="004840DF"/>
    <w:rsid w:val="004840F0"/>
    <w:rsid w:val="00485E08"/>
    <w:rsid w:val="00485EEA"/>
    <w:rsid w:val="004860D6"/>
    <w:rsid w:val="00486474"/>
    <w:rsid w:val="004866E7"/>
    <w:rsid w:val="00486CCA"/>
    <w:rsid w:val="004872CE"/>
    <w:rsid w:val="00487F7A"/>
    <w:rsid w:val="00487FE4"/>
    <w:rsid w:val="00490620"/>
    <w:rsid w:val="004906BC"/>
    <w:rsid w:val="00490904"/>
    <w:rsid w:val="0049099C"/>
    <w:rsid w:val="00491A60"/>
    <w:rsid w:val="00491E0E"/>
    <w:rsid w:val="00492753"/>
    <w:rsid w:val="004928DD"/>
    <w:rsid w:val="00493659"/>
    <w:rsid w:val="00493FCC"/>
    <w:rsid w:val="00494082"/>
    <w:rsid w:val="0049467B"/>
    <w:rsid w:val="00494CE3"/>
    <w:rsid w:val="00494D66"/>
    <w:rsid w:val="00495694"/>
    <w:rsid w:val="00495E5E"/>
    <w:rsid w:val="0049617A"/>
    <w:rsid w:val="004971C8"/>
    <w:rsid w:val="004974E8"/>
    <w:rsid w:val="00497A17"/>
    <w:rsid w:val="00497C5B"/>
    <w:rsid w:val="004A0308"/>
    <w:rsid w:val="004A0508"/>
    <w:rsid w:val="004A0C5A"/>
    <w:rsid w:val="004A0E74"/>
    <w:rsid w:val="004A1278"/>
    <w:rsid w:val="004A141F"/>
    <w:rsid w:val="004A14EC"/>
    <w:rsid w:val="004A21A4"/>
    <w:rsid w:val="004A22EF"/>
    <w:rsid w:val="004A2986"/>
    <w:rsid w:val="004A2E1B"/>
    <w:rsid w:val="004A3194"/>
    <w:rsid w:val="004A3465"/>
    <w:rsid w:val="004A44C4"/>
    <w:rsid w:val="004A48CE"/>
    <w:rsid w:val="004A4EB0"/>
    <w:rsid w:val="004A52B2"/>
    <w:rsid w:val="004A55AC"/>
    <w:rsid w:val="004A55D0"/>
    <w:rsid w:val="004A55FE"/>
    <w:rsid w:val="004A5DF4"/>
    <w:rsid w:val="004A634C"/>
    <w:rsid w:val="004A69CF"/>
    <w:rsid w:val="004A6B52"/>
    <w:rsid w:val="004A6DC5"/>
    <w:rsid w:val="004A739A"/>
    <w:rsid w:val="004A7F51"/>
    <w:rsid w:val="004B08CA"/>
    <w:rsid w:val="004B0C8D"/>
    <w:rsid w:val="004B0E86"/>
    <w:rsid w:val="004B137E"/>
    <w:rsid w:val="004B1CDF"/>
    <w:rsid w:val="004B42CB"/>
    <w:rsid w:val="004B52F0"/>
    <w:rsid w:val="004B550C"/>
    <w:rsid w:val="004B6E19"/>
    <w:rsid w:val="004B6FBC"/>
    <w:rsid w:val="004C00AD"/>
    <w:rsid w:val="004C02DF"/>
    <w:rsid w:val="004C04BE"/>
    <w:rsid w:val="004C0D96"/>
    <w:rsid w:val="004C1648"/>
    <w:rsid w:val="004C1736"/>
    <w:rsid w:val="004C1F37"/>
    <w:rsid w:val="004C3404"/>
    <w:rsid w:val="004C3A41"/>
    <w:rsid w:val="004C4363"/>
    <w:rsid w:val="004C458C"/>
    <w:rsid w:val="004C4A04"/>
    <w:rsid w:val="004C5164"/>
    <w:rsid w:val="004C54D0"/>
    <w:rsid w:val="004C5A2E"/>
    <w:rsid w:val="004C5A5E"/>
    <w:rsid w:val="004C5DDD"/>
    <w:rsid w:val="004C5DE1"/>
    <w:rsid w:val="004C5EE4"/>
    <w:rsid w:val="004C5FDC"/>
    <w:rsid w:val="004C62E0"/>
    <w:rsid w:val="004C632D"/>
    <w:rsid w:val="004C67D6"/>
    <w:rsid w:val="004C68A5"/>
    <w:rsid w:val="004C6F11"/>
    <w:rsid w:val="004C7121"/>
    <w:rsid w:val="004C7C3A"/>
    <w:rsid w:val="004D0911"/>
    <w:rsid w:val="004D1684"/>
    <w:rsid w:val="004D1DEC"/>
    <w:rsid w:val="004D2281"/>
    <w:rsid w:val="004D2285"/>
    <w:rsid w:val="004D2584"/>
    <w:rsid w:val="004D3A1B"/>
    <w:rsid w:val="004D3F10"/>
    <w:rsid w:val="004D3FF6"/>
    <w:rsid w:val="004D43FF"/>
    <w:rsid w:val="004D46BD"/>
    <w:rsid w:val="004D490B"/>
    <w:rsid w:val="004D4F73"/>
    <w:rsid w:val="004D528A"/>
    <w:rsid w:val="004D584E"/>
    <w:rsid w:val="004D6114"/>
    <w:rsid w:val="004D6471"/>
    <w:rsid w:val="004D6AF7"/>
    <w:rsid w:val="004D6C1E"/>
    <w:rsid w:val="004D6F5F"/>
    <w:rsid w:val="004D737B"/>
    <w:rsid w:val="004D7508"/>
    <w:rsid w:val="004D7664"/>
    <w:rsid w:val="004E018D"/>
    <w:rsid w:val="004E0CBC"/>
    <w:rsid w:val="004E0E05"/>
    <w:rsid w:val="004E118D"/>
    <w:rsid w:val="004E149C"/>
    <w:rsid w:val="004E17C5"/>
    <w:rsid w:val="004E1D5A"/>
    <w:rsid w:val="004E1E72"/>
    <w:rsid w:val="004E2124"/>
    <w:rsid w:val="004E29C4"/>
    <w:rsid w:val="004E2F1A"/>
    <w:rsid w:val="004E305B"/>
    <w:rsid w:val="004E3BA8"/>
    <w:rsid w:val="004E4B54"/>
    <w:rsid w:val="004E4E2A"/>
    <w:rsid w:val="004E5E54"/>
    <w:rsid w:val="004E611E"/>
    <w:rsid w:val="004E6B8B"/>
    <w:rsid w:val="004E74C2"/>
    <w:rsid w:val="004F0853"/>
    <w:rsid w:val="004F0E04"/>
    <w:rsid w:val="004F1ACD"/>
    <w:rsid w:val="004F1DF8"/>
    <w:rsid w:val="004F29DA"/>
    <w:rsid w:val="004F2BF4"/>
    <w:rsid w:val="004F3845"/>
    <w:rsid w:val="004F3C30"/>
    <w:rsid w:val="004F4275"/>
    <w:rsid w:val="004F48E6"/>
    <w:rsid w:val="004F4A3D"/>
    <w:rsid w:val="004F5348"/>
    <w:rsid w:val="004F577C"/>
    <w:rsid w:val="004F5B72"/>
    <w:rsid w:val="004F5E22"/>
    <w:rsid w:val="004F6A1A"/>
    <w:rsid w:val="004F6F1C"/>
    <w:rsid w:val="004F743E"/>
    <w:rsid w:val="004F782B"/>
    <w:rsid w:val="004F7E46"/>
    <w:rsid w:val="00500AB6"/>
    <w:rsid w:val="00501190"/>
    <w:rsid w:val="00501556"/>
    <w:rsid w:val="005025D9"/>
    <w:rsid w:val="00502D24"/>
    <w:rsid w:val="00502F94"/>
    <w:rsid w:val="005034F3"/>
    <w:rsid w:val="00504D1A"/>
    <w:rsid w:val="00504DCF"/>
    <w:rsid w:val="00504ECD"/>
    <w:rsid w:val="00505321"/>
    <w:rsid w:val="00506191"/>
    <w:rsid w:val="00506A05"/>
    <w:rsid w:val="00507E04"/>
    <w:rsid w:val="005101F3"/>
    <w:rsid w:val="005108FA"/>
    <w:rsid w:val="00511052"/>
    <w:rsid w:val="00511B64"/>
    <w:rsid w:val="00511CA1"/>
    <w:rsid w:val="00511EAE"/>
    <w:rsid w:val="00512815"/>
    <w:rsid w:val="005131A0"/>
    <w:rsid w:val="005137D0"/>
    <w:rsid w:val="00513934"/>
    <w:rsid w:val="005139CB"/>
    <w:rsid w:val="0051498C"/>
    <w:rsid w:val="00515500"/>
    <w:rsid w:val="00515DAB"/>
    <w:rsid w:val="00515FAE"/>
    <w:rsid w:val="00516443"/>
    <w:rsid w:val="005164DF"/>
    <w:rsid w:val="0051715F"/>
    <w:rsid w:val="005174BA"/>
    <w:rsid w:val="005174CA"/>
    <w:rsid w:val="00520321"/>
    <w:rsid w:val="00520B88"/>
    <w:rsid w:val="00521578"/>
    <w:rsid w:val="005219CC"/>
    <w:rsid w:val="00522BFB"/>
    <w:rsid w:val="00523078"/>
    <w:rsid w:val="00523135"/>
    <w:rsid w:val="00523330"/>
    <w:rsid w:val="00523677"/>
    <w:rsid w:val="00523856"/>
    <w:rsid w:val="005238F5"/>
    <w:rsid w:val="005239EE"/>
    <w:rsid w:val="00523C16"/>
    <w:rsid w:val="00523CC3"/>
    <w:rsid w:val="00523E64"/>
    <w:rsid w:val="005243AA"/>
    <w:rsid w:val="00524FB1"/>
    <w:rsid w:val="005266A4"/>
    <w:rsid w:val="005267A4"/>
    <w:rsid w:val="00526BE8"/>
    <w:rsid w:val="005275D5"/>
    <w:rsid w:val="00527ACC"/>
    <w:rsid w:val="00531422"/>
    <w:rsid w:val="005315A2"/>
    <w:rsid w:val="0053168B"/>
    <w:rsid w:val="00531AB1"/>
    <w:rsid w:val="00531B1B"/>
    <w:rsid w:val="0053219D"/>
    <w:rsid w:val="00532520"/>
    <w:rsid w:val="005326C7"/>
    <w:rsid w:val="00532FDD"/>
    <w:rsid w:val="0053314F"/>
    <w:rsid w:val="00533463"/>
    <w:rsid w:val="005339D0"/>
    <w:rsid w:val="00533F87"/>
    <w:rsid w:val="005352FD"/>
    <w:rsid w:val="00535493"/>
    <w:rsid w:val="00535E19"/>
    <w:rsid w:val="00536062"/>
    <w:rsid w:val="00536623"/>
    <w:rsid w:val="005369EC"/>
    <w:rsid w:val="00536FDD"/>
    <w:rsid w:val="00537955"/>
    <w:rsid w:val="00537E3F"/>
    <w:rsid w:val="005418C3"/>
    <w:rsid w:val="005418EF"/>
    <w:rsid w:val="00541C2A"/>
    <w:rsid w:val="00541CDF"/>
    <w:rsid w:val="0054230A"/>
    <w:rsid w:val="00543615"/>
    <w:rsid w:val="00543B47"/>
    <w:rsid w:val="00543F2D"/>
    <w:rsid w:val="0054473A"/>
    <w:rsid w:val="00545060"/>
    <w:rsid w:val="005454B1"/>
    <w:rsid w:val="00545634"/>
    <w:rsid w:val="005459CF"/>
    <w:rsid w:val="00545B1C"/>
    <w:rsid w:val="00545EE8"/>
    <w:rsid w:val="005462F9"/>
    <w:rsid w:val="00546530"/>
    <w:rsid w:val="00547095"/>
    <w:rsid w:val="00550251"/>
    <w:rsid w:val="00550EE3"/>
    <w:rsid w:val="005514B6"/>
    <w:rsid w:val="00551B14"/>
    <w:rsid w:val="00551CE0"/>
    <w:rsid w:val="005529B4"/>
    <w:rsid w:val="005529F0"/>
    <w:rsid w:val="00552AED"/>
    <w:rsid w:val="00552BF3"/>
    <w:rsid w:val="00553829"/>
    <w:rsid w:val="0055471F"/>
    <w:rsid w:val="00555A68"/>
    <w:rsid w:val="0055616F"/>
    <w:rsid w:val="00556D76"/>
    <w:rsid w:val="00556DCC"/>
    <w:rsid w:val="005577A8"/>
    <w:rsid w:val="005577F5"/>
    <w:rsid w:val="005578C5"/>
    <w:rsid w:val="00557F09"/>
    <w:rsid w:val="005600D7"/>
    <w:rsid w:val="00560188"/>
    <w:rsid w:val="00560778"/>
    <w:rsid w:val="00560CED"/>
    <w:rsid w:val="00560D6D"/>
    <w:rsid w:val="00560F06"/>
    <w:rsid w:val="00561150"/>
    <w:rsid w:val="005612E2"/>
    <w:rsid w:val="0056263E"/>
    <w:rsid w:val="00562BEE"/>
    <w:rsid w:val="00563DFE"/>
    <w:rsid w:val="0056401D"/>
    <w:rsid w:val="0056414A"/>
    <w:rsid w:val="005642D3"/>
    <w:rsid w:val="00564CD1"/>
    <w:rsid w:val="00564D1D"/>
    <w:rsid w:val="00564EAE"/>
    <w:rsid w:val="00564F4F"/>
    <w:rsid w:val="00565063"/>
    <w:rsid w:val="00565506"/>
    <w:rsid w:val="00565E9E"/>
    <w:rsid w:val="005663F4"/>
    <w:rsid w:val="00566707"/>
    <w:rsid w:val="005670A1"/>
    <w:rsid w:val="00567AF7"/>
    <w:rsid w:val="00570217"/>
    <w:rsid w:val="0057064A"/>
    <w:rsid w:val="00570888"/>
    <w:rsid w:val="00570C9F"/>
    <w:rsid w:val="00570DC9"/>
    <w:rsid w:val="00570EA4"/>
    <w:rsid w:val="005714D8"/>
    <w:rsid w:val="005714D9"/>
    <w:rsid w:val="00571B81"/>
    <w:rsid w:val="00571C04"/>
    <w:rsid w:val="00572FFB"/>
    <w:rsid w:val="005732E8"/>
    <w:rsid w:val="005735A5"/>
    <w:rsid w:val="00573E22"/>
    <w:rsid w:val="005750D0"/>
    <w:rsid w:val="00575104"/>
    <w:rsid w:val="00575800"/>
    <w:rsid w:val="005758D7"/>
    <w:rsid w:val="00575C9A"/>
    <w:rsid w:val="00575DEC"/>
    <w:rsid w:val="005765EE"/>
    <w:rsid w:val="00576AD5"/>
    <w:rsid w:val="00576AD9"/>
    <w:rsid w:val="00576B3E"/>
    <w:rsid w:val="00576BA2"/>
    <w:rsid w:val="00577892"/>
    <w:rsid w:val="00577AE1"/>
    <w:rsid w:val="00577EB4"/>
    <w:rsid w:val="00580563"/>
    <w:rsid w:val="00580A9E"/>
    <w:rsid w:val="00580EBE"/>
    <w:rsid w:val="0058178B"/>
    <w:rsid w:val="00581D1D"/>
    <w:rsid w:val="00581F12"/>
    <w:rsid w:val="00582336"/>
    <w:rsid w:val="00582B21"/>
    <w:rsid w:val="00582BBE"/>
    <w:rsid w:val="00582BCE"/>
    <w:rsid w:val="00582E7B"/>
    <w:rsid w:val="005835E7"/>
    <w:rsid w:val="005837D0"/>
    <w:rsid w:val="005838F5"/>
    <w:rsid w:val="005838F9"/>
    <w:rsid w:val="00584A1B"/>
    <w:rsid w:val="00584E87"/>
    <w:rsid w:val="00585130"/>
    <w:rsid w:val="0058547D"/>
    <w:rsid w:val="0058562E"/>
    <w:rsid w:val="00585ECB"/>
    <w:rsid w:val="00587C79"/>
    <w:rsid w:val="005905F4"/>
    <w:rsid w:val="00590719"/>
    <w:rsid w:val="00590ACB"/>
    <w:rsid w:val="00590C4D"/>
    <w:rsid w:val="00590D01"/>
    <w:rsid w:val="00590FCD"/>
    <w:rsid w:val="005910F6"/>
    <w:rsid w:val="00591C62"/>
    <w:rsid w:val="00591CA1"/>
    <w:rsid w:val="00591CFE"/>
    <w:rsid w:val="00592F0D"/>
    <w:rsid w:val="00593322"/>
    <w:rsid w:val="00593AE5"/>
    <w:rsid w:val="00594E77"/>
    <w:rsid w:val="00595296"/>
    <w:rsid w:val="0059576B"/>
    <w:rsid w:val="005958BF"/>
    <w:rsid w:val="00595EBA"/>
    <w:rsid w:val="005961E2"/>
    <w:rsid w:val="005A0196"/>
    <w:rsid w:val="005A0B1C"/>
    <w:rsid w:val="005A0DCE"/>
    <w:rsid w:val="005A0EBB"/>
    <w:rsid w:val="005A142F"/>
    <w:rsid w:val="005A1A54"/>
    <w:rsid w:val="005A1B62"/>
    <w:rsid w:val="005A1C20"/>
    <w:rsid w:val="005A28D5"/>
    <w:rsid w:val="005A3A23"/>
    <w:rsid w:val="005A3FCE"/>
    <w:rsid w:val="005A4232"/>
    <w:rsid w:val="005A4300"/>
    <w:rsid w:val="005A4315"/>
    <w:rsid w:val="005A5E7F"/>
    <w:rsid w:val="005A6148"/>
    <w:rsid w:val="005A6AC5"/>
    <w:rsid w:val="005A71EB"/>
    <w:rsid w:val="005A7983"/>
    <w:rsid w:val="005B01F7"/>
    <w:rsid w:val="005B2217"/>
    <w:rsid w:val="005B3080"/>
    <w:rsid w:val="005B3B89"/>
    <w:rsid w:val="005B3FE1"/>
    <w:rsid w:val="005B4500"/>
    <w:rsid w:val="005B4770"/>
    <w:rsid w:val="005B4F74"/>
    <w:rsid w:val="005B5210"/>
    <w:rsid w:val="005B56E1"/>
    <w:rsid w:val="005B573A"/>
    <w:rsid w:val="005B5E80"/>
    <w:rsid w:val="005B62A6"/>
    <w:rsid w:val="005B6519"/>
    <w:rsid w:val="005B6FE7"/>
    <w:rsid w:val="005C06FF"/>
    <w:rsid w:val="005C15A6"/>
    <w:rsid w:val="005C1ABB"/>
    <w:rsid w:val="005C1BA1"/>
    <w:rsid w:val="005C34D6"/>
    <w:rsid w:val="005C3E9D"/>
    <w:rsid w:val="005C424F"/>
    <w:rsid w:val="005C47DA"/>
    <w:rsid w:val="005C546C"/>
    <w:rsid w:val="005C56A9"/>
    <w:rsid w:val="005C5831"/>
    <w:rsid w:val="005C5878"/>
    <w:rsid w:val="005C66CB"/>
    <w:rsid w:val="005C6AB3"/>
    <w:rsid w:val="005C6E7D"/>
    <w:rsid w:val="005C7036"/>
    <w:rsid w:val="005C71A4"/>
    <w:rsid w:val="005C738A"/>
    <w:rsid w:val="005C73B4"/>
    <w:rsid w:val="005C7A2A"/>
    <w:rsid w:val="005D0A81"/>
    <w:rsid w:val="005D0C97"/>
    <w:rsid w:val="005D2C2A"/>
    <w:rsid w:val="005D3411"/>
    <w:rsid w:val="005D3807"/>
    <w:rsid w:val="005D3B81"/>
    <w:rsid w:val="005D45C3"/>
    <w:rsid w:val="005D4DEC"/>
    <w:rsid w:val="005D4E3B"/>
    <w:rsid w:val="005D5675"/>
    <w:rsid w:val="005D5A25"/>
    <w:rsid w:val="005D5F2D"/>
    <w:rsid w:val="005D6362"/>
    <w:rsid w:val="005D73DE"/>
    <w:rsid w:val="005D7E3E"/>
    <w:rsid w:val="005E0355"/>
    <w:rsid w:val="005E0374"/>
    <w:rsid w:val="005E0D20"/>
    <w:rsid w:val="005E1FFE"/>
    <w:rsid w:val="005E22DA"/>
    <w:rsid w:val="005E2301"/>
    <w:rsid w:val="005E243F"/>
    <w:rsid w:val="005E2727"/>
    <w:rsid w:val="005E2AC4"/>
    <w:rsid w:val="005E4100"/>
    <w:rsid w:val="005E44B8"/>
    <w:rsid w:val="005E47B4"/>
    <w:rsid w:val="005E4A01"/>
    <w:rsid w:val="005E4F70"/>
    <w:rsid w:val="005E51D7"/>
    <w:rsid w:val="005E5336"/>
    <w:rsid w:val="005E5646"/>
    <w:rsid w:val="005E5C4A"/>
    <w:rsid w:val="005E6368"/>
    <w:rsid w:val="005E6557"/>
    <w:rsid w:val="005E7E05"/>
    <w:rsid w:val="005F0DCF"/>
    <w:rsid w:val="005F1ABB"/>
    <w:rsid w:val="005F24EA"/>
    <w:rsid w:val="005F2C84"/>
    <w:rsid w:val="005F36FD"/>
    <w:rsid w:val="005F4948"/>
    <w:rsid w:val="005F5FCF"/>
    <w:rsid w:val="005F6700"/>
    <w:rsid w:val="005F6FAB"/>
    <w:rsid w:val="005F7A95"/>
    <w:rsid w:val="005F7F5E"/>
    <w:rsid w:val="00600448"/>
    <w:rsid w:val="00600CC5"/>
    <w:rsid w:val="00600CE5"/>
    <w:rsid w:val="00600D48"/>
    <w:rsid w:val="00601031"/>
    <w:rsid w:val="006017C6"/>
    <w:rsid w:val="00603993"/>
    <w:rsid w:val="00603AF1"/>
    <w:rsid w:val="00604C48"/>
    <w:rsid w:val="00604D72"/>
    <w:rsid w:val="00605234"/>
    <w:rsid w:val="00605DFD"/>
    <w:rsid w:val="0060604B"/>
    <w:rsid w:val="00606A1C"/>
    <w:rsid w:val="00610CD0"/>
    <w:rsid w:val="0061101A"/>
    <w:rsid w:val="00611846"/>
    <w:rsid w:val="00611924"/>
    <w:rsid w:val="00611D0D"/>
    <w:rsid w:val="006123A3"/>
    <w:rsid w:val="006124D4"/>
    <w:rsid w:val="00612B21"/>
    <w:rsid w:val="00612C75"/>
    <w:rsid w:val="006137A5"/>
    <w:rsid w:val="00613B53"/>
    <w:rsid w:val="00613CFA"/>
    <w:rsid w:val="00613EE9"/>
    <w:rsid w:val="00614A14"/>
    <w:rsid w:val="00614C64"/>
    <w:rsid w:val="006168F1"/>
    <w:rsid w:val="00616DE6"/>
    <w:rsid w:val="00620441"/>
    <w:rsid w:val="0062054E"/>
    <w:rsid w:val="00620CD7"/>
    <w:rsid w:val="006214A3"/>
    <w:rsid w:val="0062299E"/>
    <w:rsid w:val="00622C59"/>
    <w:rsid w:val="006231F3"/>
    <w:rsid w:val="006232FD"/>
    <w:rsid w:val="00623D72"/>
    <w:rsid w:val="00624509"/>
    <w:rsid w:val="006245C6"/>
    <w:rsid w:val="006250D5"/>
    <w:rsid w:val="00625FD6"/>
    <w:rsid w:val="006270FB"/>
    <w:rsid w:val="00627148"/>
    <w:rsid w:val="006272EB"/>
    <w:rsid w:val="00627DE7"/>
    <w:rsid w:val="006306C5"/>
    <w:rsid w:val="00630AFF"/>
    <w:rsid w:val="00630CCB"/>
    <w:rsid w:val="006313D5"/>
    <w:rsid w:val="00631AE1"/>
    <w:rsid w:val="00631F34"/>
    <w:rsid w:val="00632ADA"/>
    <w:rsid w:val="00632F5C"/>
    <w:rsid w:val="006343C6"/>
    <w:rsid w:val="0063552E"/>
    <w:rsid w:val="0063624E"/>
    <w:rsid w:val="00636DBE"/>
    <w:rsid w:val="006376B5"/>
    <w:rsid w:val="00637DD6"/>
    <w:rsid w:val="00637EC9"/>
    <w:rsid w:val="006402D7"/>
    <w:rsid w:val="00640979"/>
    <w:rsid w:val="006410E9"/>
    <w:rsid w:val="00641937"/>
    <w:rsid w:val="00641C2A"/>
    <w:rsid w:val="00643462"/>
    <w:rsid w:val="00643CC2"/>
    <w:rsid w:val="0064447D"/>
    <w:rsid w:val="006445A6"/>
    <w:rsid w:val="006447A9"/>
    <w:rsid w:val="00644AFB"/>
    <w:rsid w:val="00645B3D"/>
    <w:rsid w:val="00645CAE"/>
    <w:rsid w:val="00646D48"/>
    <w:rsid w:val="00647D96"/>
    <w:rsid w:val="00650DCB"/>
    <w:rsid w:val="00650E45"/>
    <w:rsid w:val="006512C9"/>
    <w:rsid w:val="006512DE"/>
    <w:rsid w:val="0065130D"/>
    <w:rsid w:val="006514A3"/>
    <w:rsid w:val="006515AA"/>
    <w:rsid w:val="006520CC"/>
    <w:rsid w:val="0065256B"/>
    <w:rsid w:val="006529AC"/>
    <w:rsid w:val="00653292"/>
    <w:rsid w:val="00653363"/>
    <w:rsid w:val="006533B2"/>
    <w:rsid w:val="00653AAE"/>
    <w:rsid w:val="00655DDD"/>
    <w:rsid w:val="00655EB7"/>
    <w:rsid w:val="00655F5A"/>
    <w:rsid w:val="00656A47"/>
    <w:rsid w:val="00656A53"/>
    <w:rsid w:val="00657935"/>
    <w:rsid w:val="006600C8"/>
    <w:rsid w:val="00660D9F"/>
    <w:rsid w:val="00661591"/>
    <w:rsid w:val="006627D5"/>
    <w:rsid w:val="00662CD7"/>
    <w:rsid w:val="00662D0F"/>
    <w:rsid w:val="0066353F"/>
    <w:rsid w:val="006637F6"/>
    <w:rsid w:val="00663880"/>
    <w:rsid w:val="00663884"/>
    <w:rsid w:val="00663932"/>
    <w:rsid w:val="006645A5"/>
    <w:rsid w:val="00664D11"/>
    <w:rsid w:val="00664F90"/>
    <w:rsid w:val="00665700"/>
    <w:rsid w:val="00666014"/>
    <w:rsid w:val="006670FE"/>
    <w:rsid w:val="00667C05"/>
    <w:rsid w:val="00671329"/>
    <w:rsid w:val="006717C5"/>
    <w:rsid w:val="00671B1D"/>
    <w:rsid w:val="00671FC4"/>
    <w:rsid w:val="00672002"/>
    <w:rsid w:val="006724EA"/>
    <w:rsid w:val="00672DD0"/>
    <w:rsid w:val="00672EB3"/>
    <w:rsid w:val="00673470"/>
    <w:rsid w:val="00673961"/>
    <w:rsid w:val="00674A02"/>
    <w:rsid w:val="00675719"/>
    <w:rsid w:val="00675FC4"/>
    <w:rsid w:val="0067616A"/>
    <w:rsid w:val="00676C7C"/>
    <w:rsid w:val="0067740E"/>
    <w:rsid w:val="006805FE"/>
    <w:rsid w:val="0068092B"/>
    <w:rsid w:val="00680F44"/>
    <w:rsid w:val="00681D98"/>
    <w:rsid w:val="00681F34"/>
    <w:rsid w:val="006823D9"/>
    <w:rsid w:val="0068258F"/>
    <w:rsid w:val="00682970"/>
    <w:rsid w:val="00682A73"/>
    <w:rsid w:val="00684226"/>
    <w:rsid w:val="00684276"/>
    <w:rsid w:val="00684BAD"/>
    <w:rsid w:val="00684E70"/>
    <w:rsid w:val="00686558"/>
    <w:rsid w:val="00686BD2"/>
    <w:rsid w:val="00687092"/>
    <w:rsid w:val="00687097"/>
    <w:rsid w:val="006911E4"/>
    <w:rsid w:val="00691A52"/>
    <w:rsid w:val="0069265D"/>
    <w:rsid w:val="00692C5F"/>
    <w:rsid w:val="00693175"/>
    <w:rsid w:val="00693325"/>
    <w:rsid w:val="00693676"/>
    <w:rsid w:val="00693729"/>
    <w:rsid w:val="00693DC4"/>
    <w:rsid w:val="00694300"/>
    <w:rsid w:val="0069454E"/>
    <w:rsid w:val="0069463B"/>
    <w:rsid w:val="00694B75"/>
    <w:rsid w:val="00694C3D"/>
    <w:rsid w:val="00694FDB"/>
    <w:rsid w:val="0069584E"/>
    <w:rsid w:val="00695DD6"/>
    <w:rsid w:val="00696659"/>
    <w:rsid w:val="006967B7"/>
    <w:rsid w:val="00696E65"/>
    <w:rsid w:val="00696E9F"/>
    <w:rsid w:val="006975A4"/>
    <w:rsid w:val="006A0348"/>
    <w:rsid w:val="006A096C"/>
    <w:rsid w:val="006A0A99"/>
    <w:rsid w:val="006A0B2E"/>
    <w:rsid w:val="006A12C8"/>
    <w:rsid w:val="006A1962"/>
    <w:rsid w:val="006A1D10"/>
    <w:rsid w:val="006A1E23"/>
    <w:rsid w:val="006A2DC1"/>
    <w:rsid w:val="006A5050"/>
    <w:rsid w:val="006A53AE"/>
    <w:rsid w:val="006A5BE3"/>
    <w:rsid w:val="006A61AD"/>
    <w:rsid w:val="006A61D4"/>
    <w:rsid w:val="006A6A9D"/>
    <w:rsid w:val="006A6B4F"/>
    <w:rsid w:val="006A6D52"/>
    <w:rsid w:val="006A6FA2"/>
    <w:rsid w:val="006A79D2"/>
    <w:rsid w:val="006A7FD7"/>
    <w:rsid w:val="006B072B"/>
    <w:rsid w:val="006B0DB3"/>
    <w:rsid w:val="006B16BF"/>
    <w:rsid w:val="006B1DC2"/>
    <w:rsid w:val="006B21C1"/>
    <w:rsid w:val="006B2E90"/>
    <w:rsid w:val="006B303E"/>
    <w:rsid w:val="006B32E1"/>
    <w:rsid w:val="006B38F8"/>
    <w:rsid w:val="006B3F75"/>
    <w:rsid w:val="006B4908"/>
    <w:rsid w:val="006B4FC0"/>
    <w:rsid w:val="006B5613"/>
    <w:rsid w:val="006B636A"/>
    <w:rsid w:val="006B789D"/>
    <w:rsid w:val="006B7F50"/>
    <w:rsid w:val="006C0482"/>
    <w:rsid w:val="006C20D2"/>
    <w:rsid w:val="006C28BC"/>
    <w:rsid w:val="006C378C"/>
    <w:rsid w:val="006C406F"/>
    <w:rsid w:val="006C426C"/>
    <w:rsid w:val="006C4623"/>
    <w:rsid w:val="006C49CB"/>
    <w:rsid w:val="006C4B7E"/>
    <w:rsid w:val="006C503B"/>
    <w:rsid w:val="006C516C"/>
    <w:rsid w:val="006C5A2B"/>
    <w:rsid w:val="006C5ED7"/>
    <w:rsid w:val="006C686E"/>
    <w:rsid w:val="006C6A3D"/>
    <w:rsid w:val="006C6F98"/>
    <w:rsid w:val="006C72E1"/>
    <w:rsid w:val="006C763F"/>
    <w:rsid w:val="006D0A42"/>
    <w:rsid w:val="006D1192"/>
    <w:rsid w:val="006D1AB8"/>
    <w:rsid w:val="006D2126"/>
    <w:rsid w:val="006D21E7"/>
    <w:rsid w:val="006D241E"/>
    <w:rsid w:val="006D277A"/>
    <w:rsid w:val="006D2DEE"/>
    <w:rsid w:val="006D2F00"/>
    <w:rsid w:val="006D2F61"/>
    <w:rsid w:val="006D3597"/>
    <w:rsid w:val="006D382A"/>
    <w:rsid w:val="006D3F00"/>
    <w:rsid w:val="006D41E6"/>
    <w:rsid w:val="006D4D3D"/>
    <w:rsid w:val="006D5035"/>
    <w:rsid w:val="006D5439"/>
    <w:rsid w:val="006D5CD5"/>
    <w:rsid w:val="006D666A"/>
    <w:rsid w:val="006D6FDA"/>
    <w:rsid w:val="006D774A"/>
    <w:rsid w:val="006D79C3"/>
    <w:rsid w:val="006D7D7B"/>
    <w:rsid w:val="006E0064"/>
    <w:rsid w:val="006E030E"/>
    <w:rsid w:val="006E0ECC"/>
    <w:rsid w:val="006E123A"/>
    <w:rsid w:val="006E1550"/>
    <w:rsid w:val="006E16D0"/>
    <w:rsid w:val="006E2708"/>
    <w:rsid w:val="006E2724"/>
    <w:rsid w:val="006E273A"/>
    <w:rsid w:val="006E29F4"/>
    <w:rsid w:val="006E2F49"/>
    <w:rsid w:val="006E39CA"/>
    <w:rsid w:val="006E3B42"/>
    <w:rsid w:val="006E3DCC"/>
    <w:rsid w:val="006E3DEE"/>
    <w:rsid w:val="006E4C6A"/>
    <w:rsid w:val="006E50C8"/>
    <w:rsid w:val="006E52B2"/>
    <w:rsid w:val="006E5474"/>
    <w:rsid w:val="006E5842"/>
    <w:rsid w:val="006E5DB8"/>
    <w:rsid w:val="006E649E"/>
    <w:rsid w:val="006E64E4"/>
    <w:rsid w:val="006E6ACB"/>
    <w:rsid w:val="006E747D"/>
    <w:rsid w:val="006E75D2"/>
    <w:rsid w:val="006E7A7A"/>
    <w:rsid w:val="006E7F49"/>
    <w:rsid w:val="006F0A66"/>
    <w:rsid w:val="006F141F"/>
    <w:rsid w:val="006F172E"/>
    <w:rsid w:val="006F1C7E"/>
    <w:rsid w:val="006F2B26"/>
    <w:rsid w:val="006F33D6"/>
    <w:rsid w:val="006F39AB"/>
    <w:rsid w:val="006F3EF7"/>
    <w:rsid w:val="006F4AEA"/>
    <w:rsid w:val="006F4B38"/>
    <w:rsid w:val="006F4CD2"/>
    <w:rsid w:val="006F5A69"/>
    <w:rsid w:val="006F69C4"/>
    <w:rsid w:val="006F7399"/>
    <w:rsid w:val="006F7AC3"/>
    <w:rsid w:val="006F7CC7"/>
    <w:rsid w:val="006F7F54"/>
    <w:rsid w:val="007003D5"/>
    <w:rsid w:val="00700E0E"/>
    <w:rsid w:val="007010C7"/>
    <w:rsid w:val="00701720"/>
    <w:rsid w:val="0070270F"/>
    <w:rsid w:val="0070306D"/>
    <w:rsid w:val="007037FA"/>
    <w:rsid w:val="00703F91"/>
    <w:rsid w:val="00705866"/>
    <w:rsid w:val="00706845"/>
    <w:rsid w:val="00706EBE"/>
    <w:rsid w:val="00707374"/>
    <w:rsid w:val="007079EE"/>
    <w:rsid w:val="007103D3"/>
    <w:rsid w:val="0071099C"/>
    <w:rsid w:val="00711145"/>
    <w:rsid w:val="0071125C"/>
    <w:rsid w:val="00711D1D"/>
    <w:rsid w:val="00712328"/>
    <w:rsid w:val="007123C2"/>
    <w:rsid w:val="0071246F"/>
    <w:rsid w:val="00712546"/>
    <w:rsid w:val="00712981"/>
    <w:rsid w:val="00712F41"/>
    <w:rsid w:val="00713169"/>
    <w:rsid w:val="00713655"/>
    <w:rsid w:val="0071389B"/>
    <w:rsid w:val="007138CE"/>
    <w:rsid w:val="007139F2"/>
    <w:rsid w:val="00713A31"/>
    <w:rsid w:val="007142E9"/>
    <w:rsid w:val="00714879"/>
    <w:rsid w:val="007178B0"/>
    <w:rsid w:val="00717B7B"/>
    <w:rsid w:val="0072128B"/>
    <w:rsid w:val="0072197A"/>
    <w:rsid w:val="00721CAD"/>
    <w:rsid w:val="0072224D"/>
    <w:rsid w:val="0072226B"/>
    <w:rsid w:val="007225C9"/>
    <w:rsid w:val="00723012"/>
    <w:rsid w:val="00723CA4"/>
    <w:rsid w:val="0072455F"/>
    <w:rsid w:val="007245EC"/>
    <w:rsid w:val="00724D60"/>
    <w:rsid w:val="0072500B"/>
    <w:rsid w:val="007257CC"/>
    <w:rsid w:val="00727051"/>
    <w:rsid w:val="0072774E"/>
    <w:rsid w:val="00727A58"/>
    <w:rsid w:val="00731602"/>
    <w:rsid w:val="0073168F"/>
    <w:rsid w:val="007318C9"/>
    <w:rsid w:val="00732425"/>
    <w:rsid w:val="00732513"/>
    <w:rsid w:val="00732618"/>
    <w:rsid w:val="00732964"/>
    <w:rsid w:val="0073351B"/>
    <w:rsid w:val="007338E4"/>
    <w:rsid w:val="0073390D"/>
    <w:rsid w:val="00733BF6"/>
    <w:rsid w:val="00734426"/>
    <w:rsid w:val="00734DA1"/>
    <w:rsid w:val="00734F03"/>
    <w:rsid w:val="00735BBD"/>
    <w:rsid w:val="00736BC0"/>
    <w:rsid w:val="007379AD"/>
    <w:rsid w:val="007400CB"/>
    <w:rsid w:val="0074049F"/>
    <w:rsid w:val="00740553"/>
    <w:rsid w:val="007405EE"/>
    <w:rsid w:val="00740ACE"/>
    <w:rsid w:val="00741163"/>
    <w:rsid w:val="0074154B"/>
    <w:rsid w:val="00745186"/>
    <w:rsid w:val="0074535D"/>
    <w:rsid w:val="00745CDB"/>
    <w:rsid w:val="00746022"/>
    <w:rsid w:val="007467CF"/>
    <w:rsid w:val="00746F9E"/>
    <w:rsid w:val="0075036D"/>
    <w:rsid w:val="0075061F"/>
    <w:rsid w:val="0075138D"/>
    <w:rsid w:val="00751A6A"/>
    <w:rsid w:val="00751FCE"/>
    <w:rsid w:val="00753155"/>
    <w:rsid w:val="0075397D"/>
    <w:rsid w:val="007539C4"/>
    <w:rsid w:val="00753DFE"/>
    <w:rsid w:val="00754309"/>
    <w:rsid w:val="007546CD"/>
    <w:rsid w:val="00754986"/>
    <w:rsid w:val="00754B68"/>
    <w:rsid w:val="00754E0B"/>
    <w:rsid w:val="00755E20"/>
    <w:rsid w:val="00756FD5"/>
    <w:rsid w:val="0075726D"/>
    <w:rsid w:val="0075726E"/>
    <w:rsid w:val="00757592"/>
    <w:rsid w:val="00757FAB"/>
    <w:rsid w:val="00760BA5"/>
    <w:rsid w:val="007616B4"/>
    <w:rsid w:val="007617C3"/>
    <w:rsid w:val="007618C5"/>
    <w:rsid w:val="0076305B"/>
    <w:rsid w:val="007638FD"/>
    <w:rsid w:val="00764382"/>
    <w:rsid w:val="007652AB"/>
    <w:rsid w:val="007654DA"/>
    <w:rsid w:val="00765DB6"/>
    <w:rsid w:val="007661D8"/>
    <w:rsid w:val="007664DA"/>
    <w:rsid w:val="007673BB"/>
    <w:rsid w:val="00770B94"/>
    <w:rsid w:val="00770F4F"/>
    <w:rsid w:val="00771990"/>
    <w:rsid w:val="0077249F"/>
    <w:rsid w:val="00772764"/>
    <w:rsid w:val="0077326F"/>
    <w:rsid w:val="00773C99"/>
    <w:rsid w:val="00773D3E"/>
    <w:rsid w:val="00773EBF"/>
    <w:rsid w:val="0077479C"/>
    <w:rsid w:val="00774F97"/>
    <w:rsid w:val="00775122"/>
    <w:rsid w:val="0077528B"/>
    <w:rsid w:val="00775703"/>
    <w:rsid w:val="00775F55"/>
    <w:rsid w:val="0077601B"/>
    <w:rsid w:val="007762CB"/>
    <w:rsid w:val="00776613"/>
    <w:rsid w:val="0077717D"/>
    <w:rsid w:val="00777453"/>
    <w:rsid w:val="007779E1"/>
    <w:rsid w:val="00777F85"/>
    <w:rsid w:val="00780252"/>
    <w:rsid w:val="00780DDE"/>
    <w:rsid w:val="00780E4C"/>
    <w:rsid w:val="0078117B"/>
    <w:rsid w:val="00781207"/>
    <w:rsid w:val="00781419"/>
    <w:rsid w:val="007815CE"/>
    <w:rsid w:val="00782852"/>
    <w:rsid w:val="0078329A"/>
    <w:rsid w:val="00783393"/>
    <w:rsid w:val="00784035"/>
    <w:rsid w:val="007841EF"/>
    <w:rsid w:val="0078429C"/>
    <w:rsid w:val="007842B1"/>
    <w:rsid w:val="007847E8"/>
    <w:rsid w:val="00784C33"/>
    <w:rsid w:val="00784C5E"/>
    <w:rsid w:val="00784F44"/>
    <w:rsid w:val="0078510C"/>
    <w:rsid w:val="00785A71"/>
    <w:rsid w:val="00785CB8"/>
    <w:rsid w:val="007868D7"/>
    <w:rsid w:val="00786E81"/>
    <w:rsid w:val="00787EF6"/>
    <w:rsid w:val="0079060D"/>
    <w:rsid w:val="00790B74"/>
    <w:rsid w:val="00790C38"/>
    <w:rsid w:val="00791348"/>
    <w:rsid w:val="0079154E"/>
    <w:rsid w:val="007932B3"/>
    <w:rsid w:val="00793EF7"/>
    <w:rsid w:val="00793F2E"/>
    <w:rsid w:val="00793FF0"/>
    <w:rsid w:val="00794AFA"/>
    <w:rsid w:val="0079528F"/>
    <w:rsid w:val="007957D1"/>
    <w:rsid w:val="00795E69"/>
    <w:rsid w:val="00796116"/>
    <w:rsid w:val="007966AA"/>
    <w:rsid w:val="0079675E"/>
    <w:rsid w:val="00796FC6"/>
    <w:rsid w:val="007A0455"/>
    <w:rsid w:val="007A0A0C"/>
    <w:rsid w:val="007A0DF0"/>
    <w:rsid w:val="007A1349"/>
    <w:rsid w:val="007A1BEF"/>
    <w:rsid w:val="007A1C32"/>
    <w:rsid w:val="007A26AF"/>
    <w:rsid w:val="007A2E2E"/>
    <w:rsid w:val="007A30A5"/>
    <w:rsid w:val="007A34AB"/>
    <w:rsid w:val="007A356D"/>
    <w:rsid w:val="007A41EE"/>
    <w:rsid w:val="007A4C49"/>
    <w:rsid w:val="007A4D0B"/>
    <w:rsid w:val="007A5595"/>
    <w:rsid w:val="007A5D72"/>
    <w:rsid w:val="007A64F8"/>
    <w:rsid w:val="007A655F"/>
    <w:rsid w:val="007A694A"/>
    <w:rsid w:val="007A6BAC"/>
    <w:rsid w:val="007A6F4F"/>
    <w:rsid w:val="007A7261"/>
    <w:rsid w:val="007A7527"/>
    <w:rsid w:val="007A7858"/>
    <w:rsid w:val="007A7A34"/>
    <w:rsid w:val="007A7A6A"/>
    <w:rsid w:val="007B01E2"/>
    <w:rsid w:val="007B03B1"/>
    <w:rsid w:val="007B0463"/>
    <w:rsid w:val="007B1104"/>
    <w:rsid w:val="007B1137"/>
    <w:rsid w:val="007B118C"/>
    <w:rsid w:val="007B17E5"/>
    <w:rsid w:val="007B1810"/>
    <w:rsid w:val="007B1825"/>
    <w:rsid w:val="007B1AE7"/>
    <w:rsid w:val="007B1BB6"/>
    <w:rsid w:val="007B2709"/>
    <w:rsid w:val="007B2A3E"/>
    <w:rsid w:val="007B4095"/>
    <w:rsid w:val="007B4484"/>
    <w:rsid w:val="007B4AFA"/>
    <w:rsid w:val="007B4FAC"/>
    <w:rsid w:val="007B571D"/>
    <w:rsid w:val="007B612E"/>
    <w:rsid w:val="007B633E"/>
    <w:rsid w:val="007B661C"/>
    <w:rsid w:val="007B6995"/>
    <w:rsid w:val="007B6F6B"/>
    <w:rsid w:val="007B73CC"/>
    <w:rsid w:val="007B7B0F"/>
    <w:rsid w:val="007B7F5D"/>
    <w:rsid w:val="007C00A4"/>
    <w:rsid w:val="007C07EA"/>
    <w:rsid w:val="007C107A"/>
    <w:rsid w:val="007C198A"/>
    <w:rsid w:val="007C235B"/>
    <w:rsid w:val="007C23BC"/>
    <w:rsid w:val="007C2A4B"/>
    <w:rsid w:val="007C2F92"/>
    <w:rsid w:val="007C30AA"/>
    <w:rsid w:val="007C33D4"/>
    <w:rsid w:val="007C4467"/>
    <w:rsid w:val="007C473B"/>
    <w:rsid w:val="007C4C2B"/>
    <w:rsid w:val="007C57D2"/>
    <w:rsid w:val="007C5866"/>
    <w:rsid w:val="007C5FE6"/>
    <w:rsid w:val="007C6767"/>
    <w:rsid w:val="007C6BF7"/>
    <w:rsid w:val="007C7A11"/>
    <w:rsid w:val="007D2D32"/>
    <w:rsid w:val="007D2F02"/>
    <w:rsid w:val="007D3252"/>
    <w:rsid w:val="007D3520"/>
    <w:rsid w:val="007D3AB6"/>
    <w:rsid w:val="007D75B8"/>
    <w:rsid w:val="007D79BC"/>
    <w:rsid w:val="007D7CF6"/>
    <w:rsid w:val="007D7DFC"/>
    <w:rsid w:val="007D7EDE"/>
    <w:rsid w:val="007E00BC"/>
    <w:rsid w:val="007E0EEB"/>
    <w:rsid w:val="007E259A"/>
    <w:rsid w:val="007E2BDC"/>
    <w:rsid w:val="007E3870"/>
    <w:rsid w:val="007E3E20"/>
    <w:rsid w:val="007E4709"/>
    <w:rsid w:val="007E4F3F"/>
    <w:rsid w:val="007E4F6F"/>
    <w:rsid w:val="007E5126"/>
    <w:rsid w:val="007E5234"/>
    <w:rsid w:val="007E617D"/>
    <w:rsid w:val="007E61C3"/>
    <w:rsid w:val="007E61D4"/>
    <w:rsid w:val="007E638C"/>
    <w:rsid w:val="007E6431"/>
    <w:rsid w:val="007E6873"/>
    <w:rsid w:val="007E6880"/>
    <w:rsid w:val="007E6920"/>
    <w:rsid w:val="007E6F5B"/>
    <w:rsid w:val="007E77AC"/>
    <w:rsid w:val="007E7E2B"/>
    <w:rsid w:val="007F028D"/>
    <w:rsid w:val="007F10B2"/>
    <w:rsid w:val="007F138A"/>
    <w:rsid w:val="007F326A"/>
    <w:rsid w:val="007F34A3"/>
    <w:rsid w:val="007F37C8"/>
    <w:rsid w:val="007F3C03"/>
    <w:rsid w:val="007F5058"/>
    <w:rsid w:val="007F5121"/>
    <w:rsid w:val="007F5ABC"/>
    <w:rsid w:val="007F60F0"/>
    <w:rsid w:val="007F774F"/>
    <w:rsid w:val="007F7ABE"/>
    <w:rsid w:val="007F7B3D"/>
    <w:rsid w:val="00800161"/>
    <w:rsid w:val="00801BE9"/>
    <w:rsid w:val="008025C1"/>
    <w:rsid w:val="00802F8D"/>
    <w:rsid w:val="008038B7"/>
    <w:rsid w:val="00803AF6"/>
    <w:rsid w:val="00804FFA"/>
    <w:rsid w:val="0080644A"/>
    <w:rsid w:val="00807233"/>
    <w:rsid w:val="00807389"/>
    <w:rsid w:val="00807465"/>
    <w:rsid w:val="0081000F"/>
    <w:rsid w:val="00810030"/>
    <w:rsid w:val="0081012A"/>
    <w:rsid w:val="0081039E"/>
    <w:rsid w:val="00810652"/>
    <w:rsid w:val="00811974"/>
    <w:rsid w:val="00811E12"/>
    <w:rsid w:val="008125AE"/>
    <w:rsid w:val="0081298A"/>
    <w:rsid w:val="00812D56"/>
    <w:rsid w:val="008135BE"/>
    <w:rsid w:val="00814B2E"/>
    <w:rsid w:val="00815114"/>
    <w:rsid w:val="0081568E"/>
    <w:rsid w:val="00815742"/>
    <w:rsid w:val="00815B5C"/>
    <w:rsid w:val="00815D2E"/>
    <w:rsid w:val="0081731B"/>
    <w:rsid w:val="00817F17"/>
    <w:rsid w:val="00820563"/>
    <w:rsid w:val="00821EFB"/>
    <w:rsid w:val="008224A2"/>
    <w:rsid w:val="00822665"/>
    <w:rsid w:val="00822C2D"/>
    <w:rsid w:val="00823C79"/>
    <w:rsid w:val="008243E5"/>
    <w:rsid w:val="008250EB"/>
    <w:rsid w:val="00825434"/>
    <w:rsid w:val="00826963"/>
    <w:rsid w:val="00826CBE"/>
    <w:rsid w:val="00827C63"/>
    <w:rsid w:val="00827FAE"/>
    <w:rsid w:val="0083014D"/>
    <w:rsid w:val="00830288"/>
    <w:rsid w:val="008308BB"/>
    <w:rsid w:val="00831515"/>
    <w:rsid w:val="008317A0"/>
    <w:rsid w:val="00831FB3"/>
    <w:rsid w:val="008325D2"/>
    <w:rsid w:val="00832909"/>
    <w:rsid w:val="00833F4B"/>
    <w:rsid w:val="00834C07"/>
    <w:rsid w:val="008356D6"/>
    <w:rsid w:val="00835FB9"/>
    <w:rsid w:val="00835FBD"/>
    <w:rsid w:val="00836572"/>
    <w:rsid w:val="00836FB7"/>
    <w:rsid w:val="00837716"/>
    <w:rsid w:val="00837944"/>
    <w:rsid w:val="00837CC5"/>
    <w:rsid w:val="0084001C"/>
    <w:rsid w:val="00840DD0"/>
    <w:rsid w:val="00840E27"/>
    <w:rsid w:val="008414C7"/>
    <w:rsid w:val="0084162D"/>
    <w:rsid w:val="008416C2"/>
    <w:rsid w:val="008419FF"/>
    <w:rsid w:val="00841EBB"/>
    <w:rsid w:val="00841EFD"/>
    <w:rsid w:val="00843E68"/>
    <w:rsid w:val="00843F13"/>
    <w:rsid w:val="00844BA4"/>
    <w:rsid w:val="00846415"/>
    <w:rsid w:val="00846CE1"/>
    <w:rsid w:val="00846F13"/>
    <w:rsid w:val="00847A48"/>
    <w:rsid w:val="00847C58"/>
    <w:rsid w:val="008513F4"/>
    <w:rsid w:val="008519F5"/>
    <w:rsid w:val="0085228C"/>
    <w:rsid w:val="00852292"/>
    <w:rsid w:val="00852818"/>
    <w:rsid w:val="0085285F"/>
    <w:rsid w:val="00852B52"/>
    <w:rsid w:val="00853037"/>
    <w:rsid w:val="008537E4"/>
    <w:rsid w:val="00853AEE"/>
    <w:rsid w:val="00853C6E"/>
    <w:rsid w:val="00853F37"/>
    <w:rsid w:val="008547B5"/>
    <w:rsid w:val="00854810"/>
    <w:rsid w:val="00855636"/>
    <w:rsid w:val="00855E83"/>
    <w:rsid w:val="00856344"/>
    <w:rsid w:val="00856441"/>
    <w:rsid w:val="0085668F"/>
    <w:rsid w:val="00856F07"/>
    <w:rsid w:val="0085707C"/>
    <w:rsid w:val="00857143"/>
    <w:rsid w:val="00857857"/>
    <w:rsid w:val="00860266"/>
    <w:rsid w:val="0086041B"/>
    <w:rsid w:val="0086063A"/>
    <w:rsid w:val="008608DF"/>
    <w:rsid w:val="00861546"/>
    <w:rsid w:val="00861E0E"/>
    <w:rsid w:val="00862A08"/>
    <w:rsid w:val="00862FD6"/>
    <w:rsid w:val="008635C8"/>
    <w:rsid w:val="0086360B"/>
    <w:rsid w:val="008649CE"/>
    <w:rsid w:val="00864A7C"/>
    <w:rsid w:val="00865071"/>
    <w:rsid w:val="0086543A"/>
    <w:rsid w:val="00865984"/>
    <w:rsid w:val="00866CA1"/>
    <w:rsid w:val="0086725C"/>
    <w:rsid w:val="0086758A"/>
    <w:rsid w:val="008675D2"/>
    <w:rsid w:val="00867977"/>
    <w:rsid w:val="0087031C"/>
    <w:rsid w:val="0087037B"/>
    <w:rsid w:val="0087077A"/>
    <w:rsid w:val="0087083A"/>
    <w:rsid w:val="00870C34"/>
    <w:rsid w:val="00870CE6"/>
    <w:rsid w:val="00871D9D"/>
    <w:rsid w:val="0087237E"/>
    <w:rsid w:val="008728DB"/>
    <w:rsid w:val="008729ED"/>
    <w:rsid w:val="00872BAC"/>
    <w:rsid w:val="00872F39"/>
    <w:rsid w:val="00873047"/>
    <w:rsid w:val="008732C5"/>
    <w:rsid w:val="00873800"/>
    <w:rsid w:val="00874D4B"/>
    <w:rsid w:val="00874D4F"/>
    <w:rsid w:val="00874DCA"/>
    <w:rsid w:val="00875426"/>
    <w:rsid w:val="0087609F"/>
    <w:rsid w:val="00876141"/>
    <w:rsid w:val="00876668"/>
    <w:rsid w:val="00877281"/>
    <w:rsid w:val="00877649"/>
    <w:rsid w:val="00881771"/>
    <w:rsid w:val="00881862"/>
    <w:rsid w:val="008820CF"/>
    <w:rsid w:val="00882B3B"/>
    <w:rsid w:val="008831C2"/>
    <w:rsid w:val="00883808"/>
    <w:rsid w:val="00883B6D"/>
    <w:rsid w:val="00883CF4"/>
    <w:rsid w:val="0088400A"/>
    <w:rsid w:val="008843EF"/>
    <w:rsid w:val="008844B2"/>
    <w:rsid w:val="008845AC"/>
    <w:rsid w:val="0088554B"/>
    <w:rsid w:val="008859BA"/>
    <w:rsid w:val="00885C17"/>
    <w:rsid w:val="00885CAC"/>
    <w:rsid w:val="00886A9B"/>
    <w:rsid w:val="008870D1"/>
    <w:rsid w:val="00887156"/>
    <w:rsid w:val="0088718B"/>
    <w:rsid w:val="008876EE"/>
    <w:rsid w:val="00890036"/>
    <w:rsid w:val="00890E27"/>
    <w:rsid w:val="00891EA1"/>
    <w:rsid w:val="008921B4"/>
    <w:rsid w:val="00892297"/>
    <w:rsid w:val="00892861"/>
    <w:rsid w:val="008929F7"/>
    <w:rsid w:val="00893D13"/>
    <w:rsid w:val="00893EAA"/>
    <w:rsid w:val="00894F03"/>
    <w:rsid w:val="008952FB"/>
    <w:rsid w:val="00895315"/>
    <w:rsid w:val="008955A8"/>
    <w:rsid w:val="00895744"/>
    <w:rsid w:val="00896055"/>
    <w:rsid w:val="00896C1A"/>
    <w:rsid w:val="0089733D"/>
    <w:rsid w:val="008A0254"/>
    <w:rsid w:val="008A031E"/>
    <w:rsid w:val="008A0D36"/>
    <w:rsid w:val="008A0EBE"/>
    <w:rsid w:val="008A0FEE"/>
    <w:rsid w:val="008A1C7F"/>
    <w:rsid w:val="008A1FB3"/>
    <w:rsid w:val="008A23D0"/>
    <w:rsid w:val="008A346E"/>
    <w:rsid w:val="008A39E2"/>
    <w:rsid w:val="008A3B7B"/>
    <w:rsid w:val="008A468C"/>
    <w:rsid w:val="008A46CA"/>
    <w:rsid w:val="008A47EE"/>
    <w:rsid w:val="008A4DB8"/>
    <w:rsid w:val="008A51DA"/>
    <w:rsid w:val="008A556B"/>
    <w:rsid w:val="008A5A6C"/>
    <w:rsid w:val="008A5D8E"/>
    <w:rsid w:val="008A61F4"/>
    <w:rsid w:val="008A7224"/>
    <w:rsid w:val="008A796B"/>
    <w:rsid w:val="008B2426"/>
    <w:rsid w:val="008B259A"/>
    <w:rsid w:val="008B26D1"/>
    <w:rsid w:val="008B2855"/>
    <w:rsid w:val="008B2B78"/>
    <w:rsid w:val="008B2E30"/>
    <w:rsid w:val="008B362B"/>
    <w:rsid w:val="008B3B58"/>
    <w:rsid w:val="008B667B"/>
    <w:rsid w:val="008B7CFD"/>
    <w:rsid w:val="008B7D75"/>
    <w:rsid w:val="008B7E24"/>
    <w:rsid w:val="008C00D6"/>
    <w:rsid w:val="008C0538"/>
    <w:rsid w:val="008C06BF"/>
    <w:rsid w:val="008C0F74"/>
    <w:rsid w:val="008C1169"/>
    <w:rsid w:val="008C1242"/>
    <w:rsid w:val="008C14BC"/>
    <w:rsid w:val="008C194B"/>
    <w:rsid w:val="008C1D01"/>
    <w:rsid w:val="008C2884"/>
    <w:rsid w:val="008C315A"/>
    <w:rsid w:val="008C3314"/>
    <w:rsid w:val="008C353E"/>
    <w:rsid w:val="008C3726"/>
    <w:rsid w:val="008C44F2"/>
    <w:rsid w:val="008C5558"/>
    <w:rsid w:val="008C5779"/>
    <w:rsid w:val="008C5E7D"/>
    <w:rsid w:val="008C5FAE"/>
    <w:rsid w:val="008C7121"/>
    <w:rsid w:val="008C71B0"/>
    <w:rsid w:val="008C7796"/>
    <w:rsid w:val="008C7EDC"/>
    <w:rsid w:val="008D06C1"/>
    <w:rsid w:val="008D0BD2"/>
    <w:rsid w:val="008D105D"/>
    <w:rsid w:val="008D12C0"/>
    <w:rsid w:val="008D1BFD"/>
    <w:rsid w:val="008D27BA"/>
    <w:rsid w:val="008D2AD7"/>
    <w:rsid w:val="008D2E73"/>
    <w:rsid w:val="008D2F4D"/>
    <w:rsid w:val="008D349D"/>
    <w:rsid w:val="008D363B"/>
    <w:rsid w:val="008D373E"/>
    <w:rsid w:val="008D3B9F"/>
    <w:rsid w:val="008D50BF"/>
    <w:rsid w:val="008D533A"/>
    <w:rsid w:val="008D56B4"/>
    <w:rsid w:val="008D5D1C"/>
    <w:rsid w:val="008D642E"/>
    <w:rsid w:val="008D66D8"/>
    <w:rsid w:val="008D68AB"/>
    <w:rsid w:val="008D6A7F"/>
    <w:rsid w:val="008D7574"/>
    <w:rsid w:val="008D779C"/>
    <w:rsid w:val="008E0001"/>
    <w:rsid w:val="008E0337"/>
    <w:rsid w:val="008E05EF"/>
    <w:rsid w:val="008E0DB9"/>
    <w:rsid w:val="008E1079"/>
    <w:rsid w:val="008E2F7C"/>
    <w:rsid w:val="008E2FB8"/>
    <w:rsid w:val="008E4FA3"/>
    <w:rsid w:val="008E598B"/>
    <w:rsid w:val="008E5B97"/>
    <w:rsid w:val="008E5E4E"/>
    <w:rsid w:val="008E6940"/>
    <w:rsid w:val="008E6E6E"/>
    <w:rsid w:val="008E740A"/>
    <w:rsid w:val="008E741A"/>
    <w:rsid w:val="008E775D"/>
    <w:rsid w:val="008F04A3"/>
    <w:rsid w:val="008F054C"/>
    <w:rsid w:val="008F0EF9"/>
    <w:rsid w:val="008F1552"/>
    <w:rsid w:val="008F1851"/>
    <w:rsid w:val="008F1EDA"/>
    <w:rsid w:val="008F1F64"/>
    <w:rsid w:val="008F25D3"/>
    <w:rsid w:val="008F2E59"/>
    <w:rsid w:val="008F3F51"/>
    <w:rsid w:val="008F53EF"/>
    <w:rsid w:val="008F6013"/>
    <w:rsid w:val="008F6B72"/>
    <w:rsid w:val="008F75EA"/>
    <w:rsid w:val="00900447"/>
    <w:rsid w:val="00901206"/>
    <w:rsid w:val="009017D6"/>
    <w:rsid w:val="00901A92"/>
    <w:rsid w:val="00901A94"/>
    <w:rsid w:val="009025FF"/>
    <w:rsid w:val="00902A24"/>
    <w:rsid w:val="00902FF2"/>
    <w:rsid w:val="00903258"/>
    <w:rsid w:val="009033F9"/>
    <w:rsid w:val="009035A7"/>
    <w:rsid w:val="00903EC0"/>
    <w:rsid w:val="009042EC"/>
    <w:rsid w:val="0090458F"/>
    <w:rsid w:val="009049D3"/>
    <w:rsid w:val="00904F5B"/>
    <w:rsid w:val="00905B9E"/>
    <w:rsid w:val="00905C17"/>
    <w:rsid w:val="00905CB5"/>
    <w:rsid w:val="00906049"/>
    <w:rsid w:val="00907D66"/>
    <w:rsid w:val="00910624"/>
    <w:rsid w:val="009109D3"/>
    <w:rsid w:val="00910AF8"/>
    <w:rsid w:val="00910ECA"/>
    <w:rsid w:val="009111E4"/>
    <w:rsid w:val="00911297"/>
    <w:rsid w:val="00911310"/>
    <w:rsid w:val="00911427"/>
    <w:rsid w:val="009122C2"/>
    <w:rsid w:val="00912893"/>
    <w:rsid w:val="009129FD"/>
    <w:rsid w:val="009130FF"/>
    <w:rsid w:val="009137EB"/>
    <w:rsid w:val="00913989"/>
    <w:rsid w:val="00913BD2"/>
    <w:rsid w:val="00914836"/>
    <w:rsid w:val="00915F58"/>
    <w:rsid w:val="00916262"/>
    <w:rsid w:val="0091727F"/>
    <w:rsid w:val="00920B75"/>
    <w:rsid w:val="0092129B"/>
    <w:rsid w:val="00921881"/>
    <w:rsid w:val="00922EE5"/>
    <w:rsid w:val="00923157"/>
    <w:rsid w:val="00923FA6"/>
    <w:rsid w:val="009243AC"/>
    <w:rsid w:val="00924A39"/>
    <w:rsid w:val="00924C1F"/>
    <w:rsid w:val="00924C5A"/>
    <w:rsid w:val="00924DD5"/>
    <w:rsid w:val="00924E49"/>
    <w:rsid w:val="00925C60"/>
    <w:rsid w:val="0092600D"/>
    <w:rsid w:val="00926867"/>
    <w:rsid w:val="00927135"/>
    <w:rsid w:val="00927212"/>
    <w:rsid w:val="00927F40"/>
    <w:rsid w:val="00927FF4"/>
    <w:rsid w:val="00931225"/>
    <w:rsid w:val="00931569"/>
    <w:rsid w:val="0093165E"/>
    <w:rsid w:val="00931991"/>
    <w:rsid w:val="00931C0D"/>
    <w:rsid w:val="00932168"/>
    <w:rsid w:val="0093240F"/>
    <w:rsid w:val="00932413"/>
    <w:rsid w:val="00932688"/>
    <w:rsid w:val="00932FC0"/>
    <w:rsid w:val="0093354A"/>
    <w:rsid w:val="00933A32"/>
    <w:rsid w:val="0093411F"/>
    <w:rsid w:val="00934FC3"/>
    <w:rsid w:val="00935221"/>
    <w:rsid w:val="00935236"/>
    <w:rsid w:val="0093547E"/>
    <w:rsid w:val="009359F7"/>
    <w:rsid w:val="009361FD"/>
    <w:rsid w:val="009362BF"/>
    <w:rsid w:val="009367A5"/>
    <w:rsid w:val="00937491"/>
    <w:rsid w:val="009374B7"/>
    <w:rsid w:val="009376D9"/>
    <w:rsid w:val="00937E26"/>
    <w:rsid w:val="0094052B"/>
    <w:rsid w:val="00941685"/>
    <w:rsid w:val="00941EB4"/>
    <w:rsid w:val="0094223A"/>
    <w:rsid w:val="0094225F"/>
    <w:rsid w:val="00942823"/>
    <w:rsid w:val="00942ADE"/>
    <w:rsid w:val="00942F35"/>
    <w:rsid w:val="00943648"/>
    <w:rsid w:val="00943F4D"/>
    <w:rsid w:val="00944317"/>
    <w:rsid w:val="009452FD"/>
    <w:rsid w:val="00945319"/>
    <w:rsid w:val="00945653"/>
    <w:rsid w:val="00945849"/>
    <w:rsid w:val="00946C1C"/>
    <w:rsid w:val="00950C0B"/>
    <w:rsid w:val="00950F4F"/>
    <w:rsid w:val="009515BB"/>
    <w:rsid w:val="00951ECC"/>
    <w:rsid w:val="009524CB"/>
    <w:rsid w:val="00952666"/>
    <w:rsid w:val="00952CB6"/>
    <w:rsid w:val="00952D73"/>
    <w:rsid w:val="00953508"/>
    <w:rsid w:val="0095359C"/>
    <w:rsid w:val="00953ABD"/>
    <w:rsid w:val="00954798"/>
    <w:rsid w:val="00954ED0"/>
    <w:rsid w:val="00956138"/>
    <w:rsid w:val="009562B5"/>
    <w:rsid w:val="00956E69"/>
    <w:rsid w:val="00957FA6"/>
    <w:rsid w:val="00960432"/>
    <w:rsid w:val="00961515"/>
    <w:rsid w:val="00961961"/>
    <w:rsid w:val="00961BA5"/>
    <w:rsid w:val="00961E94"/>
    <w:rsid w:val="0096277A"/>
    <w:rsid w:val="00962BA8"/>
    <w:rsid w:val="00963065"/>
    <w:rsid w:val="00963740"/>
    <w:rsid w:val="00963DCA"/>
    <w:rsid w:val="0096636D"/>
    <w:rsid w:val="0096671D"/>
    <w:rsid w:val="009672C7"/>
    <w:rsid w:val="009676DA"/>
    <w:rsid w:val="00967A23"/>
    <w:rsid w:val="00967B45"/>
    <w:rsid w:val="009705B5"/>
    <w:rsid w:val="0097079B"/>
    <w:rsid w:val="00970976"/>
    <w:rsid w:val="00970A51"/>
    <w:rsid w:val="00970CE7"/>
    <w:rsid w:val="00970EC3"/>
    <w:rsid w:val="00971493"/>
    <w:rsid w:val="009716E7"/>
    <w:rsid w:val="00971E13"/>
    <w:rsid w:val="00972C37"/>
    <w:rsid w:val="009736A6"/>
    <w:rsid w:val="0097446B"/>
    <w:rsid w:val="00974553"/>
    <w:rsid w:val="00975B96"/>
    <w:rsid w:val="009767C4"/>
    <w:rsid w:val="00976863"/>
    <w:rsid w:val="00976E88"/>
    <w:rsid w:val="00976FAD"/>
    <w:rsid w:val="00977585"/>
    <w:rsid w:val="0097764D"/>
    <w:rsid w:val="009801B4"/>
    <w:rsid w:val="009807DB"/>
    <w:rsid w:val="009808E2"/>
    <w:rsid w:val="00980B8B"/>
    <w:rsid w:val="00981F2D"/>
    <w:rsid w:val="00981F77"/>
    <w:rsid w:val="00982183"/>
    <w:rsid w:val="0098266D"/>
    <w:rsid w:val="00982C38"/>
    <w:rsid w:val="009833CE"/>
    <w:rsid w:val="00983822"/>
    <w:rsid w:val="009849F2"/>
    <w:rsid w:val="009851A8"/>
    <w:rsid w:val="0098522D"/>
    <w:rsid w:val="00985AA2"/>
    <w:rsid w:val="00985F22"/>
    <w:rsid w:val="00986747"/>
    <w:rsid w:val="0098679B"/>
    <w:rsid w:val="009867E4"/>
    <w:rsid w:val="009869B6"/>
    <w:rsid w:val="00986D10"/>
    <w:rsid w:val="009878B1"/>
    <w:rsid w:val="00987EA1"/>
    <w:rsid w:val="00987F05"/>
    <w:rsid w:val="009906DD"/>
    <w:rsid w:val="009906E5"/>
    <w:rsid w:val="00990AD7"/>
    <w:rsid w:val="00990F8E"/>
    <w:rsid w:val="00991123"/>
    <w:rsid w:val="00991A1B"/>
    <w:rsid w:val="00992E0E"/>
    <w:rsid w:val="00993096"/>
    <w:rsid w:val="00993F42"/>
    <w:rsid w:val="009940D3"/>
    <w:rsid w:val="00994190"/>
    <w:rsid w:val="00994891"/>
    <w:rsid w:val="009956F6"/>
    <w:rsid w:val="009956FF"/>
    <w:rsid w:val="009965AB"/>
    <w:rsid w:val="00996C56"/>
    <w:rsid w:val="00996F47"/>
    <w:rsid w:val="00997AF0"/>
    <w:rsid w:val="009A0789"/>
    <w:rsid w:val="009A1268"/>
    <w:rsid w:val="009A1624"/>
    <w:rsid w:val="009A1B36"/>
    <w:rsid w:val="009A2003"/>
    <w:rsid w:val="009A222F"/>
    <w:rsid w:val="009A22E4"/>
    <w:rsid w:val="009A24D1"/>
    <w:rsid w:val="009A2CBC"/>
    <w:rsid w:val="009A30B9"/>
    <w:rsid w:val="009A3161"/>
    <w:rsid w:val="009A3416"/>
    <w:rsid w:val="009A494A"/>
    <w:rsid w:val="009A4BA0"/>
    <w:rsid w:val="009A5057"/>
    <w:rsid w:val="009A54A6"/>
    <w:rsid w:val="009A5C0E"/>
    <w:rsid w:val="009A5E73"/>
    <w:rsid w:val="009A5FE5"/>
    <w:rsid w:val="009A6ABB"/>
    <w:rsid w:val="009A6FC4"/>
    <w:rsid w:val="009A7173"/>
    <w:rsid w:val="009B101E"/>
    <w:rsid w:val="009B1FA2"/>
    <w:rsid w:val="009B276D"/>
    <w:rsid w:val="009B28B0"/>
    <w:rsid w:val="009B390E"/>
    <w:rsid w:val="009B3AD9"/>
    <w:rsid w:val="009B44F3"/>
    <w:rsid w:val="009B53A0"/>
    <w:rsid w:val="009B59DC"/>
    <w:rsid w:val="009B5D49"/>
    <w:rsid w:val="009B5DD9"/>
    <w:rsid w:val="009B604A"/>
    <w:rsid w:val="009B70E4"/>
    <w:rsid w:val="009B75FE"/>
    <w:rsid w:val="009B7A7E"/>
    <w:rsid w:val="009B7CC3"/>
    <w:rsid w:val="009C06B0"/>
    <w:rsid w:val="009C20A4"/>
    <w:rsid w:val="009C3672"/>
    <w:rsid w:val="009C3834"/>
    <w:rsid w:val="009C5317"/>
    <w:rsid w:val="009C5784"/>
    <w:rsid w:val="009C5EF0"/>
    <w:rsid w:val="009C636C"/>
    <w:rsid w:val="009C6A55"/>
    <w:rsid w:val="009C6D29"/>
    <w:rsid w:val="009C6FC0"/>
    <w:rsid w:val="009C7608"/>
    <w:rsid w:val="009D019D"/>
    <w:rsid w:val="009D048F"/>
    <w:rsid w:val="009D1051"/>
    <w:rsid w:val="009D10C8"/>
    <w:rsid w:val="009D22A3"/>
    <w:rsid w:val="009D2A5F"/>
    <w:rsid w:val="009D41AE"/>
    <w:rsid w:val="009D42C2"/>
    <w:rsid w:val="009D4838"/>
    <w:rsid w:val="009D4D38"/>
    <w:rsid w:val="009D56BE"/>
    <w:rsid w:val="009D5B4B"/>
    <w:rsid w:val="009D5C32"/>
    <w:rsid w:val="009D5E95"/>
    <w:rsid w:val="009D60A3"/>
    <w:rsid w:val="009D6388"/>
    <w:rsid w:val="009D6FD7"/>
    <w:rsid w:val="009D71DE"/>
    <w:rsid w:val="009D7389"/>
    <w:rsid w:val="009D7646"/>
    <w:rsid w:val="009E0108"/>
    <w:rsid w:val="009E03E8"/>
    <w:rsid w:val="009E0CB5"/>
    <w:rsid w:val="009E113E"/>
    <w:rsid w:val="009E153B"/>
    <w:rsid w:val="009E1CCD"/>
    <w:rsid w:val="009E290B"/>
    <w:rsid w:val="009E31A5"/>
    <w:rsid w:val="009E33D3"/>
    <w:rsid w:val="009E34F9"/>
    <w:rsid w:val="009E3CB3"/>
    <w:rsid w:val="009E4889"/>
    <w:rsid w:val="009E49D4"/>
    <w:rsid w:val="009E4DBD"/>
    <w:rsid w:val="009E535B"/>
    <w:rsid w:val="009E5E77"/>
    <w:rsid w:val="009E5E78"/>
    <w:rsid w:val="009E620E"/>
    <w:rsid w:val="009E6CB2"/>
    <w:rsid w:val="009E7131"/>
    <w:rsid w:val="009E7697"/>
    <w:rsid w:val="009F0002"/>
    <w:rsid w:val="009F036F"/>
    <w:rsid w:val="009F0BFF"/>
    <w:rsid w:val="009F1295"/>
    <w:rsid w:val="009F1753"/>
    <w:rsid w:val="009F4F0C"/>
    <w:rsid w:val="009F5646"/>
    <w:rsid w:val="009F76BE"/>
    <w:rsid w:val="00A00025"/>
    <w:rsid w:val="00A00B60"/>
    <w:rsid w:val="00A00BC1"/>
    <w:rsid w:val="00A00D17"/>
    <w:rsid w:val="00A01B58"/>
    <w:rsid w:val="00A01C7E"/>
    <w:rsid w:val="00A01D03"/>
    <w:rsid w:val="00A021C0"/>
    <w:rsid w:val="00A02954"/>
    <w:rsid w:val="00A0360E"/>
    <w:rsid w:val="00A03E0A"/>
    <w:rsid w:val="00A0477F"/>
    <w:rsid w:val="00A0634E"/>
    <w:rsid w:val="00A063E6"/>
    <w:rsid w:val="00A07252"/>
    <w:rsid w:val="00A07408"/>
    <w:rsid w:val="00A07EF0"/>
    <w:rsid w:val="00A100E9"/>
    <w:rsid w:val="00A105A4"/>
    <w:rsid w:val="00A10AF0"/>
    <w:rsid w:val="00A10BAA"/>
    <w:rsid w:val="00A11E7A"/>
    <w:rsid w:val="00A12471"/>
    <w:rsid w:val="00A12E08"/>
    <w:rsid w:val="00A13400"/>
    <w:rsid w:val="00A148C5"/>
    <w:rsid w:val="00A15FC1"/>
    <w:rsid w:val="00A1616F"/>
    <w:rsid w:val="00A166AE"/>
    <w:rsid w:val="00A1688F"/>
    <w:rsid w:val="00A16CFD"/>
    <w:rsid w:val="00A172A7"/>
    <w:rsid w:val="00A174C9"/>
    <w:rsid w:val="00A17E23"/>
    <w:rsid w:val="00A17F49"/>
    <w:rsid w:val="00A20113"/>
    <w:rsid w:val="00A20408"/>
    <w:rsid w:val="00A2091D"/>
    <w:rsid w:val="00A211B0"/>
    <w:rsid w:val="00A21263"/>
    <w:rsid w:val="00A22102"/>
    <w:rsid w:val="00A22414"/>
    <w:rsid w:val="00A22567"/>
    <w:rsid w:val="00A22D0D"/>
    <w:rsid w:val="00A22E53"/>
    <w:rsid w:val="00A2309F"/>
    <w:rsid w:val="00A23179"/>
    <w:rsid w:val="00A2388C"/>
    <w:rsid w:val="00A23937"/>
    <w:rsid w:val="00A23AC2"/>
    <w:rsid w:val="00A24AC7"/>
    <w:rsid w:val="00A25DED"/>
    <w:rsid w:val="00A25E29"/>
    <w:rsid w:val="00A25F76"/>
    <w:rsid w:val="00A2604F"/>
    <w:rsid w:val="00A26827"/>
    <w:rsid w:val="00A26B22"/>
    <w:rsid w:val="00A2797E"/>
    <w:rsid w:val="00A27BB0"/>
    <w:rsid w:val="00A313A6"/>
    <w:rsid w:val="00A3181D"/>
    <w:rsid w:val="00A319B4"/>
    <w:rsid w:val="00A326B7"/>
    <w:rsid w:val="00A3298E"/>
    <w:rsid w:val="00A330AA"/>
    <w:rsid w:val="00A337E0"/>
    <w:rsid w:val="00A361CE"/>
    <w:rsid w:val="00A368C2"/>
    <w:rsid w:val="00A36F59"/>
    <w:rsid w:val="00A37B3B"/>
    <w:rsid w:val="00A400BB"/>
    <w:rsid w:val="00A40533"/>
    <w:rsid w:val="00A40627"/>
    <w:rsid w:val="00A413D3"/>
    <w:rsid w:val="00A41B83"/>
    <w:rsid w:val="00A41D6B"/>
    <w:rsid w:val="00A41DC1"/>
    <w:rsid w:val="00A427D1"/>
    <w:rsid w:val="00A42A7D"/>
    <w:rsid w:val="00A42B5E"/>
    <w:rsid w:val="00A42E34"/>
    <w:rsid w:val="00A43154"/>
    <w:rsid w:val="00A43999"/>
    <w:rsid w:val="00A43B58"/>
    <w:rsid w:val="00A440FD"/>
    <w:rsid w:val="00A44310"/>
    <w:rsid w:val="00A449B6"/>
    <w:rsid w:val="00A44EEA"/>
    <w:rsid w:val="00A44F56"/>
    <w:rsid w:val="00A451C0"/>
    <w:rsid w:val="00A46D5A"/>
    <w:rsid w:val="00A471F0"/>
    <w:rsid w:val="00A47554"/>
    <w:rsid w:val="00A50CA3"/>
    <w:rsid w:val="00A511BE"/>
    <w:rsid w:val="00A512D2"/>
    <w:rsid w:val="00A51593"/>
    <w:rsid w:val="00A51B9E"/>
    <w:rsid w:val="00A51D32"/>
    <w:rsid w:val="00A52477"/>
    <w:rsid w:val="00A53358"/>
    <w:rsid w:val="00A53791"/>
    <w:rsid w:val="00A53E02"/>
    <w:rsid w:val="00A54573"/>
    <w:rsid w:val="00A54A8C"/>
    <w:rsid w:val="00A55456"/>
    <w:rsid w:val="00A555DA"/>
    <w:rsid w:val="00A5594D"/>
    <w:rsid w:val="00A55A84"/>
    <w:rsid w:val="00A560B3"/>
    <w:rsid w:val="00A5658A"/>
    <w:rsid w:val="00A56D5F"/>
    <w:rsid w:val="00A56EF3"/>
    <w:rsid w:val="00A5778C"/>
    <w:rsid w:val="00A60145"/>
    <w:rsid w:val="00A6026B"/>
    <w:rsid w:val="00A6041C"/>
    <w:rsid w:val="00A606FF"/>
    <w:rsid w:val="00A60CCC"/>
    <w:rsid w:val="00A61090"/>
    <w:rsid w:val="00A614A9"/>
    <w:rsid w:val="00A619CA"/>
    <w:rsid w:val="00A61C06"/>
    <w:rsid w:val="00A623C0"/>
    <w:rsid w:val="00A624C0"/>
    <w:rsid w:val="00A62B0C"/>
    <w:rsid w:val="00A62D06"/>
    <w:rsid w:val="00A63A5E"/>
    <w:rsid w:val="00A63D1D"/>
    <w:rsid w:val="00A6404C"/>
    <w:rsid w:val="00A64051"/>
    <w:rsid w:val="00A64922"/>
    <w:rsid w:val="00A652B1"/>
    <w:rsid w:val="00A65434"/>
    <w:rsid w:val="00A65492"/>
    <w:rsid w:val="00A662ED"/>
    <w:rsid w:val="00A6693A"/>
    <w:rsid w:val="00A670D7"/>
    <w:rsid w:val="00A67AD7"/>
    <w:rsid w:val="00A67D91"/>
    <w:rsid w:val="00A70A52"/>
    <w:rsid w:val="00A713A7"/>
    <w:rsid w:val="00A71707"/>
    <w:rsid w:val="00A71A05"/>
    <w:rsid w:val="00A7326A"/>
    <w:rsid w:val="00A7361B"/>
    <w:rsid w:val="00A76359"/>
    <w:rsid w:val="00A763BC"/>
    <w:rsid w:val="00A763C4"/>
    <w:rsid w:val="00A7688B"/>
    <w:rsid w:val="00A77625"/>
    <w:rsid w:val="00A77F8A"/>
    <w:rsid w:val="00A77FBE"/>
    <w:rsid w:val="00A80677"/>
    <w:rsid w:val="00A80C81"/>
    <w:rsid w:val="00A80CCB"/>
    <w:rsid w:val="00A81E6E"/>
    <w:rsid w:val="00A82BC1"/>
    <w:rsid w:val="00A83717"/>
    <w:rsid w:val="00A839E7"/>
    <w:rsid w:val="00A83BAC"/>
    <w:rsid w:val="00A8411D"/>
    <w:rsid w:val="00A848E7"/>
    <w:rsid w:val="00A853C8"/>
    <w:rsid w:val="00A86275"/>
    <w:rsid w:val="00A86450"/>
    <w:rsid w:val="00A8660F"/>
    <w:rsid w:val="00A90E3B"/>
    <w:rsid w:val="00A91C43"/>
    <w:rsid w:val="00A92031"/>
    <w:rsid w:val="00A92660"/>
    <w:rsid w:val="00A92846"/>
    <w:rsid w:val="00A92851"/>
    <w:rsid w:val="00A92FB5"/>
    <w:rsid w:val="00A93877"/>
    <w:rsid w:val="00A93893"/>
    <w:rsid w:val="00A93925"/>
    <w:rsid w:val="00A949E9"/>
    <w:rsid w:val="00A952EF"/>
    <w:rsid w:val="00A95FB5"/>
    <w:rsid w:val="00AA1647"/>
    <w:rsid w:val="00AA1921"/>
    <w:rsid w:val="00AA1E1B"/>
    <w:rsid w:val="00AA394F"/>
    <w:rsid w:val="00AA3AF8"/>
    <w:rsid w:val="00AA4242"/>
    <w:rsid w:val="00AA42CA"/>
    <w:rsid w:val="00AA44AE"/>
    <w:rsid w:val="00AA4A82"/>
    <w:rsid w:val="00AA4FCD"/>
    <w:rsid w:val="00AA4FDD"/>
    <w:rsid w:val="00AA5632"/>
    <w:rsid w:val="00AA59D4"/>
    <w:rsid w:val="00AA5F15"/>
    <w:rsid w:val="00AA63A6"/>
    <w:rsid w:val="00AA757F"/>
    <w:rsid w:val="00AA7593"/>
    <w:rsid w:val="00AA78AF"/>
    <w:rsid w:val="00AA7D3B"/>
    <w:rsid w:val="00AB0BF0"/>
    <w:rsid w:val="00AB1096"/>
    <w:rsid w:val="00AB1B6F"/>
    <w:rsid w:val="00AB1DBD"/>
    <w:rsid w:val="00AB222D"/>
    <w:rsid w:val="00AB359C"/>
    <w:rsid w:val="00AB3A38"/>
    <w:rsid w:val="00AB3F43"/>
    <w:rsid w:val="00AB4242"/>
    <w:rsid w:val="00AB4FD8"/>
    <w:rsid w:val="00AB5367"/>
    <w:rsid w:val="00AB5B2F"/>
    <w:rsid w:val="00AB6D10"/>
    <w:rsid w:val="00AB6F0F"/>
    <w:rsid w:val="00AB781F"/>
    <w:rsid w:val="00AB7890"/>
    <w:rsid w:val="00AB7E07"/>
    <w:rsid w:val="00AC073F"/>
    <w:rsid w:val="00AC0BCA"/>
    <w:rsid w:val="00AC1308"/>
    <w:rsid w:val="00AC208D"/>
    <w:rsid w:val="00AC2134"/>
    <w:rsid w:val="00AC218B"/>
    <w:rsid w:val="00AC23CF"/>
    <w:rsid w:val="00AC253E"/>
    <w:rsid w:val="00AC31C0"/>
    <w:rsid w:val="00AC3D07"/>
    <w:rsid w:val="00AC43C0"/>
    <w:rsid w:val="00AC4D7C"/>
    <w:rsid w:val="00AC5875"/>
    <w:rsid w:val="00AC5E25"/>
    <w:rsid w:val="00AC5FAC"/>
    <w:rsid w:val="00AC6237"/>
    <w:rsid w:val="00AC68A1"/>
    <w:rsid w:val="00AC714A"/>
    <w:rsid w:val="00AC718D"/>
    <w:rsid w:val="00AC7255"/>
    <w:rsid w:val="00AC7267"/>
    <w:rsid w:val="00AD002A"/>
    <w:rsid w:val="00AD04AF"/>
    <w:rsid w:val="00AD06AB"/>
    <w:rsid w:val="00AD0B38"/>
    <w:rsid w:val="00AD0B99"/>
    <w:rsid w:val="00AD13C0"/>
    <w:rsid w:val="00AD142E"/>
    <w:rsid w:val="00AD1807"/>
    <w:rsid w:val="00AD1950"/>
    <w:rsid w:val="00AD1A81"/>
    <w:rsid w:val="00AD1A96"/>
    <w:rsid w:val="00AD2907"/>
    <w:rsid w:val="00AD3788"/>
    <w:rsid w:val="00AD37EF"/>
    <w:rsid w:val="00AD426D"/>
    <w:rsid w:val="00AD4309"/>
    <w:rsid w:val="00AD4D8A"/>
    <w:rsid w:val="00AD4E7C"/>
    <w:rsid w:val="00AD5F77"/>
    <w:rsid w:val="00AD6593"/>
    <w:rsid w:val="00AD6609"/>
    <w:rsid w:val="00AD6FB2"/>
    <w:rsid w:val="00AD7270"/>
    <w:rsid w:val="00AD78BA"/>
    <w:rsid w:val="00AD7AA6"/>
    <w:rsid w:val="00AD7AE0"/>
    <w:rsid w:val="00AE0875"/>
    <w:rsid w:val="00AE0A4E"/>
    <w:rsid w:val="00AE0A88"/>
    <w:rsid w:val="00AE0B5A"/>
    <w:rsid w:val="00AE106E"/>
    <w:rsid w:val="00AE1418"/>
    <w:rsid w:val="00AE1D06"/>
    <w:rsid w:val="00AE2409"/>
    <w:rsid w:val="00AE2F91"/>
    <w:rsid w:val="00AE309C"/>
    <w:rsid w:val="00AE37D2"/>
    <w:rsid w:val="00AE3A3E"/>
    <w:rsid w:val="00AE3A91"/>
    <w:rsid w:val="00AE40E8"/>
    <w:rsid w:val="00AE424F"/>
    <w:rsid w:val="00AE59C4"/>
    <w:rsid w:val="00AE5A00"/>
    <w:rsid w:val="00AE6369"/>
    <w:rsid w:val="00AE667E"/>
    <w:rsid w:val="00AE6F74"/>
    <w:rsid w:val="00AE70B0"/>
    <w:rsid w:val="00AE78AF"/>
    <w:rsid w:val="00AF05AE"/>
    <w:rsid w:val="00AF10B8"/>
    <w:rsid w:val="00AF180B"/>
    <w:rsid w:val="00AF19C2"/>
    <w:rsid w:val="00AF1B83"/>
    <w:rsid w:val="00AF33BB"/>
    <w:rsid w:val="00AF3484"/>
    <w:rsid w:val="00AF39BB"/>
    <w:rsid w:val="00AF3CBD"/>
    <w:rsid w:val="00AF3E40"/>
    <w:rsid w:val="00AF4074"/>
    <w:rsid w:val="00AF43CC"/>
    <w:rsid w:val="00AF4A3C"/>
    <w:rsid w:val="00AF4A8B"/>
    <w:rsid w:val="00AF4DCD"/>
    <w:rsid w:val="00AF53B2"/>
    <w:rsid w:val="00AF5420"/>
    <w:rsid w:val="00AF6677"/>
    <w:rsid w:val="00AF6F8D"/>
    <w:rsid w:val="00B006B8"/>
    <w:rsid w:val="00B007FD"/>
    <w:rsid w:val="00B00A4F"/>
    <w:rsid w:val="00B00F9F"/>
    <w:rsid w:val="00B01198"/>
    <w:rsid w:val="00B01373"/>
    <w:rsid w:val="00B02882"/>
    <w:rsid w:val="00B0306C"/>
    <w:rsid w:val="00B0373B"/>
    <w:rsid w:val="00B03CCA"/>
    <w:rsid w:val="00B046A1"/>
    <w:rsid w:val="00B04BAC"/>
    <w:rsid w:val="00B04F2F"/>
    <w:rsid w:val="00B04F71"/>
    <w:rsid w:val="00B0521A"/>
    <w:rsid w:val="00B0750E"/>
    <w:rsid w:val="00B07845"/>
    <w:rsid w:val="00B07B93"/>
    <w:rsid w:val="00B10347"/>
    <w:rsid w:val="00B10716"/>
    <w:rsid w:val="00B10BD3"/>
    <w:rsid w:val="00B10DA8"/>
    <w:rsid w:val="00B1105F"/>
    <w:rsid w:val="00B11370"/>
    <w:rsid w:val="00B114D5"/>
    <w:rsid w:val="00B11519"/>
    <w:rsid w:val="00B1157A"/>
    <w:rsid w:val="00B12928"/>
    <w:rsid w:val="00B12FB3"/>
    <w:rsid w:val="00B133AB"/>
    <w:rsid w:val="00B139A0"/>
    <w:rsid w:val="00B13B97"/>
    <w:rsid w:val="00B1432A"/>
    <w:rsid w:val="00B14858"/>
    <w:rsid w:val="00B14947"/>
    <w:rsid w:val="00B14EE0"/>
    <w:rsid w:val="00B14F4F"/>
    <w:rsid w:val="00B15139"/>
    <w:rsid w:val="00B163E4"/>
    <w:rsid w:val="00B16565"/>
    <w:rsid w:val="00B16C99"/>
    <w:rsid w:val="00B16EFA"/>
    <w:rsid w:val="00B17E3A"/>
    <w:rsid w:val="00B17E6B"/>
    <w:rsid w:val="00B201DC"/>
    <w:rsid w:val="00B208D1"/>
    <w:rsid w:val="00B20C3F"/>
    <w:rsid w:val="00B20EC4"/>
    <w:rsid w:val="00B21228"/>
    <w:rsid w:val="00B21627"/>
    <w:rsid w:val="00B21B40"/>
    <w:rsid w:val="00B22F95"/>
    <w:rsid w:val="00B23446"/>
    <w:rsid w:val="00B2355E"/>
    <w:rsid w:val="00B2419A"/>
    <w:rsid w:val="00B24666"/>
    <w:rsid w:val="00B24F26"/>
    <w:rsid w:val="00B24F57"/>
    <w:rsid w:val="00B25376"/>
    <w:rsid w:val="00B2554C"/>
    <w:rsid w:val="00B25E07"/>
    <w:rsid w:val="00B2726A"/>
    <w:rsid w:val="00B27273"/>
    <w:rsid w:val="00B277AA"/>
    <w:rsid w:val="00B277C3"/>
    <w:rsid w:val="00B27BF5"/>
    <w:rsid w:val="00B304BC"/>
    <w:rsid w:val="00B30704"/>
    <w:rsid w:val="00B313C8"/>
    <w:rsid w:val="00B31E22"/>
    <w:rsid w:val="00B31ED4"/>
    <w:rsid w:val="00B32266"/>
    <w:rsid w:val="00B32593"/>
    <w:rsid w:val="00B32634"/>
    <w:rsid w:val="00B332A9"/>
    <w:rsid w:val="00B340C3"/>
    <w:rsid w:val="00B3430B"/>
    <w:rsid w:val="00B34498"/>
    <w:rsid w:val="00B34609"/>
    <w:rsid w:val="00B34965"/>
    <w:rsid w:val="00B35500"/>
    <w:rsid w:val="00B36DCB"/>
    <w:rsid w:val="00B36F41"/>
    <w:rsid w:val="00B371B4"/>
    <w:rsid w:val="00B3722A"/>
    <w:rsid w:val="00B37381"/>
    <w:rsid w:val="00B379A1"/>
    <w:rsid w:val="00B37F05"/>
    <w:rsid w:val="00B4193A"/>
    <w:rsid w:val="00B41CAA"/>
    <w:rsid w:val="00B426E4"/>
    <w:rsid w:val="00B428C8"/>
    <w:rsid w:val="00B42A67"/>
    <w:rsid w:val="00B437D7"/>
    <w:rsid w:val="00B43868"/>
    <w:rsid w:val="00B43D03"/>
    <w:rsid w:val="00B4520A"/>
    <w:rsid w:val="00B4533C"/>
    <w:rsid w:val="00B45A48"/>
    <w:rsid w:val="00B470D9"/>
    <w:rsid w:val="00B47238"/>
    <w:rsid w:val="00B510A6"/>
    <w:rsid w:val="00B51CA3"/>
    <w:rsid w:val="00B526E3"/>
    <w:rsid w:val="00B526F8"/>
    <w:rsid w:val="00B52810"/>
    <w:rsid w:val="00B53202"/>
    <w:rsid w:val="00B53F0A"/>
    <w:rsid w:val="00B54DA1"/>
    <w:rsid w:val="00B54FDA"/>
    <w:rsid w:val="00B553AD"/>
    <w:rsid w:val="00B5643E"/>
    <w:rsid w:val="00B60AB8"/>
    <w:rsid w:val="00B60BAD"/>
    <w:rsid w:val="00B60FF1"/>
    <w:rsid w:val="00B61162"/>
    <w:rsid w:val="00B61631"/>
    <w:rsid w:val="00B6181A"/>
    <w:rsid w:val="00B61977"/>
    <w:rsid w:val="00B62110"/>
    <w:rsid w:val="00B62743"/>
    <w:rsid w:val="00B62FC9"/>
    <w:rsid w:val="00B63707"/>
    <w:rsid w:val="00B64533"/>
    <w:rsid w:val="00B663B0"/>
    <w:rsid w:val="00B6747A"/>
    <w:rsid w:val="00B6751D"/>
    <w:rsid w:val="00B67C4C"/>
    <w:rsid w:val="00B7019C"/>
    <w:rsid w:val="00B70347"/>
    <w:rsid w:val="00B714CC"/>
    <w:rsid w:val="00B720AB"/>
    <w:rsid w:val="00B72242"/>
    <w:rsid w:val="00B72525"/>
    <w:rsid w:val="00B726AC"/>
    <w:rsid w:val="00B72BFF"/>
    <w:rsid w:val="00B72E8E"/>
    <w:rsid w:val="00B741F7"/>
    <w:rsid w:val="00B7459A"/>
    <w:rsid w:val="00B746AA"/>
    <w:rsid w:val="00B7476C"/>
    <w:rsid w:val="00B76218"/>
    <w:rsid w:val="00B763D5"/>
    <w:rsid w:val="00B76456"/>
    <w:rsid w:val="00B776B0"/>
    <w:rsid w:val="00B77991"/>
    <w:rsid w:val="00B77C6D"/>
    <w:rsid w:val="00B8032B"/>
    <w:rsid w:val="00B809FB"/>
    <w:rsid w:val="00B8233C"/>
    <w:rsid w:val="00B82CF1"/>
    <w:rsid w:val="00B82DBD"/>
    <w:rsid w:val="00B83051"/>
    <w:rsid w:val="00B834CF"/>
    <w:rsid w:val="00B840D0"/>
    <w:rsid w:val="00B84591"/>
    <w:rsid w:val="00B847C2"/>
    <w:rsid w:val="00B84846"/>
    <w:rsid w:val="00B85E04"/>
    <w:rsid w:val="00B86AA1"/>
    <w:rsid w:val="00B87625"/>
    <w:rsid w:val="00B87C89"/>
    <w:rsid w:val="00B87D41"/>
    <w:rsid w:val="00B87D66"/>
    <w:rsid w:val="00B90FA1"/>
    <w:rsid w:val="00B911DB"/>
    <w:rsid w:val="00B91B55"/>
    <w:rsid w:val="00B926C3"/>
    <w:rsid w:val="00B93015"/>
    <w:rsid w:val="00B93B24"/>
    <w:rsid w:val="00B94B3D"/>
    <w:rsid w:val="00B94DC5"/>
    <w:rsid w:val="00B94E30"/>
    <w:rsid w:val="00B958C7"/>
    <w:rsid w:val="00B96049"/>
    <w:rsid w:val="00B966D7"/>
    <w:rsid w:val="00B96935"/>
    <w:rsid w:val="00B96AC4"/>
    <w:rsid w:val="00B97306"/>
    <w:rsid w:val="00BA0F93"/>
    <w:rsid w:val="00BA1418"/>
    <w:rsid w:val="00BA188D"/>
    <w:rsid w:val="00BA1D25"/>
    <w:rsid w:val="00BA1E84"/>
    <w:rsid w:val="00BA2669"/>
    <w:rsid w:val="00BA3112"/>
    <w:rsid w:val="00BA3BA0"/>
    <w:rsid w:val="00BA5C3D"/>
    <w:rsid w:val="00BA5DA5"/>
    <w:rsid w:val="00BA6C17"/>
    <w:rsid w:val="00BA6C32"/>
    <w:rsid w:val="00BB0507"/>
    <w:rsid w:val="00BB0744"/>
    <w:rsid w:val="00BB08A4"/>
    <w:rsid w:val="00BB0A10"/>
    <w:rsid w:val="00BB126F"/>
    <w:rsid w:val="00BB1E6F"/>
    <w:rsid w:val="00BB2426"/>
    <w:rsid w:val="00BB2992"/>
    <w:rsid w:val="00BB3301"/>
    <w:rsid w:val="00BB3A3B"/>
    <w:rsid w:val="00BB3BA6"/>
    <w:rsid w:val="00BB3F70"/>
    <w:rsid w:val="00BB4A23"/>
    <w:rsid w:val="00BB4E28"/>
    <w:rsid w:val="00BB52B5"/>
    <w:rsid w:val="00BB54EC"/>
    <w:rsid w:val="00BB60F9"/>
    <w:rsid w:val="00BB6271"/>
    <w:rsid w:val="00BB678B"/>
    <w:rsid w:val="00BB6CF1"/>
    <w:rsid w:val="00BB7203"/>
    <w:rsid w:val="00BB7AAC"/>
    <w:rsid w:val="00BC063E"/>
    <w:rsid w:val="00BC077F"/>
    <w:rsid w:val="00BC0FE6"/>
    <w:rsid w:val="00BC175D"/>
    <w:rsid w:val="00BC244D"/>
    <w:rsid w:val="00BC2719"/>
    <w:rsid w:val="00BC29EE"/>
    <w:rsid w:val="00BC2B7E"/>
    <w:rsid w:val="00BC2BAE"/>
    <w:rsid w:val="00BC3557"/>
    <w:rsid w:val="00BC3DDC"/>
    <w:rsid w:val="00BC3EB8"/>
    <w:rsid w:val="00BC489B"/>
    <w:rsid w:val="00BC5066"/>
    <w:rsid w:val="00BC5463"/>
    <w:rsid w:val="00BC595B"/>
    <w:rsid w:val="00BC5F21"/>
    <w:rsid w:val="00BC646B"/>
    <w:rsid w:val="00BC66CD"/>
    <w:rsid w:val="00BC6AFB"/>
    <w:rsid w:val="00BC763A"/>
    <w:rsid w:val="00BC7727"/>
    <w:rsid w:val="00BC7810"/>
    <w:rsid w:val="00BD0CC6"/>
    <w:rsid w:val="00BD1298"/>
    <w:rsid w:val="00BD1417"/>
    <w:rsid w:val="00BD319F"/>
    <w:rsid w:val="00BD3E92"/>
    <w:rsid w:val="00BD3FA9"/>
    <w:rsid w:val="00BD40FD"/>
    <w:rsid w:val="00BD5347"/>
    <w:rsid w:val="00BD55C4"/>
    <w:rsid w:val="00BD734C"/>
    <w:rsid w:val="00BD782B"/>
    <w:rsid w:val="00BD7F4E"/>
    <w:rsid w:val="00BE1070"/>
    <w:rsid w:val="00BE1453"/>
    <w:rsid w:val="00BE188C"/>
    <w:rsid w:val="00BE3385"/>
    <w:rsid w:val="00BE3783"/>
    <w:rsid w:val="00BE499E"/>
    <w:rsid w:val="00BE522C"/>
    <w:rsid w:val="00BE58DB"/>
    <w:rsid w:val="00BE5CA2"/>
    <w:rsid w:val="00BE5EB1"/>
    <w:rsid w:val="00BE5F31"/>
    <w:rsid w:val="00BE5FBD"/>
    <w:rsid w:val="00BE6618"/>
    <w:rsid w:val="00BE67A9"/>
    <w:rsid w:val="00BE7780"/>
    <w:rsid w:val="00BE78D8"/>
    <w:rsid w:val="00BF0A54"/>
    <w:rsid w:val="00BF23D8"/>
    <w:rsid w:val="00BF24A6"/>
    <w:rsid w:val="00BF2A48"/>
    <w:rsid w:val="00BF2A99"/>
    <w:rsid w:val="00BF2EA5"/>
    <w:rsid w:val="00BF3681"/>
    <w:rsid w:val="00BF4519"/>
    <w:rsid w:val="00BF4842"/>
    <w:rsid w:val="00BF4BB1"/>
    <w:rsid w:val="00BF4C1C"/>
    <w:rsid w:val="00BF4CD7"/>
    <w:rsid w:val="00BF5685"/>
    <w:rsid w:val="00BF62D3"/>
    <w:rsid w:val="00BF634F"/>
    <w:rsid w:val="00BF64BF"/>
    <w:rsid w:val="00BF64C8"/>
    <w:rsid w:val="00BF6734"/>
    <w:rsid w:val="00BF689C"/>
    <w:rsid w:val="00BF77A1"/>
    <w:rsid w:val="00BF794E"/>
    <w:rsid w:val="00BF79AC"/>
    <w:rsid w:val="00C000BE"/>
    <w:rsid w:val="00C006EF"/>
    <w:rsid w:val="00C00B5A"/>
    <w:rsid w:val="00C00C2A"/>
    <w:rsid w:val="00C018FF"/>
    <w:rsid w:val="00C022BB"/>
    <w:rsid w:val="00C027B1"/>
    <w:rsid w:val="00C02FB2"/>
    <w:rsid w:val="00C03601"/>
    <w:rsid w:val="00C03A41"/>
    <w:rsid w:val="00C05F7B"/>
    <w:rsid w:val="00C0687E"/>
    <w:rsid w:val="00C06B55"/>
    <w:rsid w:val="00C06C2C"/>
    <w:rsid w:val="00C06E09"/>
    <w:rsid w:val="00C077CF"/>
    <w:rsid w:val="00C1020A"/>
    <w:rsid w:val="00C1026E"/>
    <w:rsid w:val="00C1063A"/>
    <w:rsid w:val="00C10EAE"/>
    <w:rsid w:val="00C11540"/>
    <w:rsid w:val="00C117E1"/>
    <w:rsid w:val="00C11C2D"/>
    <w:rsid w:val="00C12AE0"/>
    <w:rsid w:val="00C13110"/>
    <w:rsid w:val="00C13EBE"/>
    <w:rsid w:val="00C13FE4"/>
    <w:rsid w:val="00C14553"/>
    <w:rsid w:val="00C149FB"/>
    <w:rsid w:val="00C14AA5"/>
    <w:rsid w:val="00C15903"/>
    <w:rsid w:val="00C15A35"/>
    <w:rsid w:val="00C162FA"/>
    <w:rsid w:val="00C166E4"/>
    <w:rsid w:val="00C16CC1"/>
    <w:rsid w:val="00C17556"/>
    <w:rsid w:val="00C2057D"/>
    <w:rsid w:val="00C2083A"/>
    <w:rsid w:val="00C20A30"/>
    <w:rsid w:val="00C213B2"/>
    <w:rsid w:val="00C2158D"/>
    <w:rsid w:val="00C22400"/>
    <w:rsid w:val="00C22605"/>
    <w:rsid w:val="00C231A8"/>
    <w:rsid w:val="00C23348"/>
    <w:rsid w:val="00C237EC"/>
    <w:rsid w:val="00C2593B"/>
    <w:rsid w:val="00C26591"/>
    <w:rsid w:val="00C268E8"/>
    <w:rsid w:val="00C26BB0"/>
    <w:rsid w:val="00C276AD"/>
    <w:rsid w:val="00C27751"/>
    <w:rsid w:val="00C30062"/>
    <w:rsid w:val="00C30543"/>
    <w:rsid w:val="00C30CCD"/>
    <w:rsid w:val="00C30D93"/>
    <w:rsid w:val="00C30EBD"/>
    <w:rsid w:val="00C31202"/>
    <w:rsid w:val="00C312B3"/>
    <w:rsid w:val="00C31CFF"/>
    <w:rsid w:val="00C327B3"/>
    <w:rsid w:val="00C32977"/>
    <w:rsid w:val="00C32E87"/>
    <w:rsid w:val="00C334A5"/>
    <w:rsid w:val="00C336FB"/>
    <w:rsid w:val="00C33B81"/>
    <w:rsid w:val="00C33F6F"/>
    <w:rsid w:val="00C34275"/>
    <w:rsid w:val="00C34637"/>
    <w:rsid w:val="00C34A27"/>
    <w:rsid w:val="00C34DA1"/>
    <w:rsid w:val="00C35394"/>
    <w:rsid w:val="00C353DC"/>
    <w:rsid w:val="00C35790"/>
    <w:rsid w:val="00C35C4F"/>
    <w:rsid w:val="00C36378"/>
    <w:rsid w:val="00C36419"/>
    <w:rsid w:val="00C3696B"/>
    <w:rsid w:val="00C36BA4"/>
    <w:rsid w:val="00C376D2"/>
    <w:rsid w:val="00C37A2E"/>
    <w:rsid w:val="00C37DB2"/>
    <w:rsid w:val="00C419BC"/>
    <w:rsid w:val="00C41C0A"/>
    <w:rsid w:val="00C420CE"/>
    <w:rsid w:val="00C4294A"/>
    <w:rsid w:val="00C437A6"/>
    <w:rsid w:val="00C43D87"/>
    <w:rsid w:val="00C44033"/>
    <w:rsid w:val="00C441FC"/>
    <w:rsid w:val="00C448BF"/>
    <w:rsid w:val="00C44BB8"/>
    <w:rsid w:val="00C44F4D"/>
    <w:rsid w:val="00C45659"/>
    <w:rsid w:val="00C45781"/>
    <w:rsid w:val="00C45FF5"/>
    <w:rsid w:val="00C4610F"/>
    <w:rsid w:val="00C46280"/>
    <w:rsid w:val="00C463FF"/>
    <w:rsid w:val="00C46449"/>
    <w:rsid w:val="00C47121"/>
    <w:rsid w:val="00C476E9"/>
    <w:rsid w:val="00C47830"/>
    <w:rsid w:val="00C47925"/>
    <w:rsid w:val="00C47C32"/>
    <w:rsid w:val="00C47D05"/>
    <w:rsid w:val="00C47D31"/>
    <w:rsid w:val="00C505D4"/>
    <w:rsid w:val="00C50CE3"/>
    <w:rsid w:val="00C510D1"/>
    <w:rsid w:val="00C51922"/>
    <w:rsid w:val="00C528AE"/>
    <w:rsid w:val="00C52AD4"/>
    <w:rsid w:val="00C52B92"/>
    <w:rsid w:val="00C52BC4"/>
    <w:rsid w:val="00C52C32"/>
    <w:rsid w:val="00C52E7B"/>
    <w:rsid w:val="00C53098"/>
    <w:rsid w:val="00C53121"/>
    <w:rsid w:val="00C5336A"/>
    <w:rsid w:val="00C533F1"/>
    <w:rsid w:val="00C536F6"/>
    <w:rsid w:val="00C53F4C"/>
    <w:rsid w:val="00C5424B"/>
    <w:rsid w:val="00C54926"/>
    <w:rsid w:val="00C54C63"/>
    <w:rsid w:val="00C55680"/>
    <w:rsid w:val="00C5597E"/>
    <w:rsid w:val="00C55F30"/>
    <w:rsid w:val="00C56C05"/>
    <w:rsid w:val="00C577D2"/>
    <w:rsid w:val="00C57984"/>
    <w:rsid w:val="00C60131"/>
    <w:rsid w:val="00C602FE"/>
    <w:rsid w:val="00C60693"/>
    <w:rsid w:val="00C610C4"/>
    <w:rsid w:val="00C61CB5"/>
    <w:rsid w:val="00C61CCF"/>
    <w:rsid w:val="00C61CD3"/>
    <w:rsid w:val="00C61CED"/>
    <w:rsid w:val="00C621A3"/>
    <w:rsid w:val="00C622E4"/>
    <w:rsid w:val="00C62981"/>
    <w:rsid w:val="00C62A34"/>
    <w:rsid w:val="00C62E68"/>
    <w:rsid w:val="00C63056"/>
    <w:rsid w:val="00C6309C"/>
    <w:rsid w:val="00C6333F"/>
    <w:rsid w:val="00C63829"/>
    <w:rsid w:val="00C6420E"/>
    <w:rsid w:val="00C644B6"/>
    <w:rsid w:val="00C6474B"/>
    <w:rsid w:val="00C64928"/>
    <w:rsid w:val="00C65ED2"/>
    <w:rsid w:val="00C67087"/>
    <w:rsid w:val="00C67251"/>
    <w:rsid w:val="00C674D8"/>
    <w:rsid w:val="00C67A1B"/>
    <w:rsid w:val="00C703F2"/>
    <w:rsid w:val="00C7071E"/>
    <w:rsid w:val="00C707EF"/>
    <w:rsid w:val="00C7354A"/>
    <w:rsid w:val="00C73700"/>
    <w:rsid w:val="00C753BB"/>
    <w:rsid w:val="00C75585"/>
    <w:rsid w:val="00C7578F"/>
    <w:rsid w:val="00C7608F"/>
    <w:rsid w:val="00C80938"/>
    <w:rsid w:val="00C809DC"/>
    <w:rsid w:val="00C80ADE"/>
    <w:rsid w:val="00C814DF"/>
    <w:rsid w:val="00C81B20"/>
    <w:rsid w:val="00C8217B"/>
    <w:rsid w:val="00C82221"/>
    <w:rsid w:val="00C82889"/>
    <w:rsid w:val="00C82EA5"/>
    <w:rsid w:val="00C82FC6"/>
    <w:rsid w:val="00C83281"/>
    <w:rsid w:val="00C83373"/>
    <w:rsid w:val="00C847B6"/>
    <w:rsid w:val="00C8537B"/>
    <w:rsid w:val="00C856D0"/>
    <w:rsid w:val="00C867D2"/>
    <w:rsid w:val="00C86BDC"/>
    <w:rsid w:val="00C874EB"/>
    <w:rsid w:val="00C8750A"/>
    <w:rsid w:val="00C87576"/>
    <w:rsid w:val="00C876C8"/>
    <w:rsid w:val="00C923DE"/>
    <w:rsid w:val="00C92BBA"/>
    <w:rsid w:val="00C932B0"/>
    <w:rsid w:val="00C9331C"/>
    <w:rsid w:val="00C934E8"/>
    <w:rsid w:val="00C93994"/>
    <w:rsid w:val="00C93A53"/>
    <w:rsid w:val="00C93DDC"/>
    <w:rsid w:val="00C941B9"/>
    <w:rsid w:val="00C94883"/>
    <w:rsid w:val="00C94F17"/>
    <w:rsid w:val="00C953FC"/>
    <w:rsid w:val="00C95944"/>
    <w:rsid w:val="00C959A9"/>
    <w:rsid w:val="00C95A76"/>
    <w:rsid w:val="00C95B95"/>
    <w:rsid w:val="00C961FA"/>
    <w:rsid w:val="00C96989"/>
    <w:rsid w:val="00C9740B"/>
    <w:rsid w:val="00C97662"/>
    <w:rsid w:val="00C97B50"/>
    <w:rsid w:val="00CA02FE"/>
    <w:rsid w:val="00CA0A92"/>
    <w:rsid w:val="00CA0AB5"/>
    <w:rsid w:val="00CA0D21"/>
    <w:rsid w:val="00CA1A9D"/>
    <w:rsid w:val="00CA23DE"/>
    <w:rsid w:val="00CA2491"/>
    <w:rsid w:val="00CA27D6"/>
    <w:rsid w:val="00CA2E2D"/>
    <w:rsid w:val="00CA30B6"/>
    <w:rsid w:val="00CA44AC"/>
    <w:rsid w:val="00CA528C"/>
    <w:rsid w:val="00CA55CE"/>
    <w:rsid w:val="00CA5C4B"/>
    <w:rsid w:val="00CA5E31"/>
    <w:rsid w:val="00CA5E63"/>
    <w:rsid w:val="00CA6D8A"/>
    <w:rsid w:val="00CA7296"/>
    <w:rsid w:val="00CA7334"/>
    <w:rsid w:val="00CA77E4"/>
    <w:rsid w:val="00CA7847"/>
    <w:rsid w:val="00CA7A6E"/>
    <w:rsid w:val="00CA7D33"/>
    <w:rsid w:val="00CB09CF"/>
    <w:rsid w:val="00CB1F4A"/>
    <w:rsid w:val="00CB2350"/>
    <w:rsid w:val="00CB2553"/>
    <w:rsid w:val="00CB27B5"/>
    <w:rsid w:val="00CB29C8"/>
    <w:rsid w:val="00CB42E5"/>
    <w:rsid w:val="00CB4796"/>
    <w:rsid w:val="00CB580C"/>
    <w:rsid w:val="00CB5A62"/>
    <w:rsid w:val="00CB5BC2"/>
    <w:rsid w:val="00CB5C6B"/>
    <w:rsid w:val="00CB6385"/>
    <w:rsid w:val="00CB6B31"/>
    <w:rsid w:val="00CB74FB"/>
    <w:rsid w:val="00CB7788"/>
    <w:rsid w:val="00CB7997"/>
    <w:rsid w:val="00CB7AC4"/>
    <w:rsid w:val="00CC09AF"/>
    <w:rsid w:val="00CC0B11"/>
    <w:rsid w:val="00CC1073"/>
    <w:rsid w:val="00CC1AA4"/>
    <w:rsid w:val="00CC265A"/>
    <w:rsid w:val="00CC2D1E"/>
    <w:rsid w:val="00CC2F2D"/>
    <w:rsid w:val="00CC32DF"/>
    <w:rsid w:val="00CC3CA3"/>
    <w:rsid w:val="00CC4513"/>
    <w:rsid w:val="00CC4A17"/>
    <w:rsid w:val="00CC5622"/>
    <w:rsid w:val="00CC5C7D"/>
    <w:rsid w:val="00CC6502"/>
    <w:rsid w:val="00CC6D81"/>
    <w:rsid w:val="00CC773A"/>
    <w:rsid w:val="00CD033F"/>
    <w:rsid w:val="00CD06FF"/>
    <w:rsid w:val="00CD0CF6"/>
    <w:rsid w:val="00CD1898"/>
    <w:rsid w:val="00CD21CF"/>
    <w:rsid w:val="00CD2F35"/>
    <w:rsid w:val="00CD335F"/>
    <w:rsid w:val="00CD351B"/>
    <w:rsid w:val="00CD5F68"/>
    <w:rsid w:val="00CD6090"/>
    <w:rsid w:val="00CD6969"/>
    <w:rsid w:val="00CD6B0E"/>
    <w:rsid w:val="00CD766A"/>
    <w:rsid w:val="00CE01A9"/>
    <w:rsid w:val="00CE01BF"/>
    <w:rsid w:val="00CE0900"/>
    <w:rsid w:val="00CE1A7A"/>
    <w:rsid w:val="00CE1F3A"/>
    <w:rsid w:val="00CE26DC"/>
    <w:rsid w:val="00CE2A34"/>
    <w:rsid w:val="00CE32C2"/>
    <w:rsid w:val="00CE36C9"/>
    <w:rsid w:val="00CE4A10"/>
    <w:rsid w:val="00CE542C"/>
    <w:rsid w:val="00CE5A19"/>
    <w:rsid w:val="00CE6329"/>
    <w:rsid w:val="00CE69F0"/>
    <w:rsid w:val="00CE6EDA"/>
    <w:rsid w:val="00CE7D89"/>
    <w:rsid w:val="00CE7EBA"/>
    <w:rsid w:val="00CF0435"/>
    <w:rsid w:val="00CF1A72"/>
    <w:rsid w:val="00CF3733"/>
    <w:rsid w:val="00CF4032"/>
    <w:rsid w:val="00CF4383"/>
    <w:rsid w:val="00CF474B"/>
    <w:rsid w:val="00CF4C2B"/>
    <w:rsid w:val="00CF4C9D"/>
    <w:rsid w:val="00CF5E5D"/>
    <w:rsid w:val="00CF629E"/>
    <w:rsid w:val="00CF6AA5"/>
    <w:rsid w:val="00CF6D90"/>
    <w:rsid w:val="00CF785C"/>
    <w:rsid w:val="00CF7A65"/>
    <w:rsid w:val="00D00416"/>
    <w:rsid w:val="00D00A52"/>
    <w:rsid w:val="00D00B79"/>
    <w:rsid w:val="00D00B93"/>
    <w:rsid w:val="00D00DBC"/>
    <w:rsid w:val="00D01819"/>
    <w:rsid w:val="00D01BA5"/>
    <w:rsid w:val="00D01D3F"/>
    <w:rsid w:val="00D020FC"/>
    <w:rsid w:val="00D02CA6"/>
    <w:rsid w:val="00D034F4"/>
    <w:rsid w:val="00D04E80"/>
    <w:rsid w:val="00D05AE6"/>
    <w:rsid w:val="00D05F4E"/>
    <w:rsid w:val="00D06536"/>
    <w:rsid w:val="00D06829"/>
    <w:rsid w:val="00D06DE0"/>
    <w:rsid w:val="00D077F1"/>
    <w:rsid w:val="00D07F1D"/>
    <w:rsid w:val="00D1023A"/>
    <w:rsid w:val="00D1049C"/>
    <w:rsid w:val="00D104BB"/>
    <w:rsid w:val="00D1086F"/>
    <w:rsid w:val="00D10E20"/>
    <w:rsid w:val="00D11137"/>
    <w:rsid w:val="00D1135C"/>
    <w:rsid w:val="00D115FB"/>
    <w:rsid w:val="00D11660"/>
    <w:rsid w:val="00D11B46"/>
    <w:rsid w:val="00D11CB5"/>
    <w:rsid w:val="00D122F0"/>
    <w:rsid w:val="00D1242B"/>
    <w:rsid w:val="00D127CA"/>
    <w:rsid w:val="00D1376C"/>
    <w:rsid w:val="00D141B3"/>
    <w:rsid w:val="00D143B9"/>
    <w:rsid w:val="00D14E6D"/>
    <w:rsid w:val="00D14E75"/>
    <w:rsid w:val="00D155D3"/>
    <w:rsid w:val="00D16C4F"/>
    <w:rsid w:val="00D17075"/>
    <w:rsid w:val="00D17208"/>
    <w:rsid w:val="00D20404"/>
    <w:rsid w:val="00D2068D"/>
    <w:rsid w:val="00D20A7C"/>
    <w:rsid w:val="00D21D31"/>
    <w:rsid w:val="00D22CC3"/>
    <w:rsid w:val="00D22FF4"/>
    <w:rsid w:val="00D24045"/>
    <w:rsid w:val="00D2475B"/>
    <w:rsid w:val="00D247B5"/>
    <w:rsid w:val="00D2493B"/>
    <w:rsid w:val="00D24DC0"/>
    <w:rsid w:val="00D254E3"/>
    <w:rsid w:val="00D2591F"/>
    <w:rsid w:val="00D26BE3"/>
    <w:rsid w:val="00D26C62"/>
    <w:rsid w:val="00D26F33"/>
    <w:rsid w:val="00D272CD"/>
    <w:rsid w:val="00D27744"/>
    <w:rsid w:val="00D3012D"/>
    <w:rsid w:val="00D31E63"/>
    <w:rsid w:val="00D32070"/>
    <w:rsid w:val="00D3224E"/>
    <w:rsid w:val="00D3390D"/>
    <w:rsid w:val="00D34D09"/>
    <w:rsid w:val="00D34D85"/>
    <w:rsid w:val="00D3509E"/>
    <w:rsid w:val="00D3525B"/>
    <w:rsid w:val="00D35C41"/>
    <w:rsid w:val="00D35D6E"/>
    <w:rsid w:val="00D36233"/>
    <w:rsid w:val="00D36700"/>
    <w:rsid w:val="00D37642"/>
    <w:rsid w:val="00D4037D"/>
    <w:rsid w:val="00D403D5"/>
    <w:rsid w:val="00D40DF5"/>
    <w:rsid w:val="00D41206"/>
    <w:rsid w:val="00D41993"/>
    <w:rsid w:val="00D41BDA"/>
    <w:rsid w:val="00D42AF7"/>
    <w:rsid w:val="00D43934"/>
    <w:rsid w:val="00D44739"/>
    <w:rsid w:val="00D44922"/>
    <w:rsid w:val="00D452B6"/>
    <w:rsid w:val="00D45B20"/>
    <w:rsid w:val="00D45D47"/>
    <w:rsid w:val="00D45F80"/>
    <w:rsid w:val="00D46705"/>
    <w:rsid w:val="00D46E64"/>
    <w:rsid w:val="00D4738E"/>
    <w:rsid w:val="00D47C43"/>
    <w:rsid w:val="00D47EBB"/>
    <w:rsid w:val="00D50293"/>
    <w:rsid w:val="00D50995"/>
    <w:rsid w:val="00D511D3"/>
    <w:rsid w:val="00D512A0"/>
    <w:rsid w:val="00D51512"/>
    <w:rsid w:val="00D528AA"/>
    <w:rsid w:val="00D530B2"/>
    <w:rsid w:val="00D53529"/>
    <w:rsid w:val="00D54445"/>
    <w:rsid w:val="00D545E9"/>
    <w:rsid w:val="00D54A93"/>
    <w:rsid w:val="00D5515F"/>
    <w:rsid w:val="00D55DC9"/>
    <w:rsid w:val="00D55F85"/>
    <w:rsid w:val="00D5621C"/>
    <w:rsid w:val="00D567E4"/>
    <w:rsid w:val="00D57108"/>
    <w:rsid w:val="00D57766"/>
    <w:rsid w:val="00D60302"/>
    <w:rsid w:val="00D60915"/>
    <w:rsid w:val="00D60BE9"/>
    <w:rsid w:val="00D60D78"/>
    <w:rsid w:val="00D61925"/>
    <w:rsid w:val="00D61BBB"/>
    <w:rsid w:val="00D62B68"/>
    <w:rsid w:val="00D62D06"/>
    <w:rsid w:val="00D63049"/>
    <w:rsid w:val="00D634CE"/>
    <w:rsid w:val="00D64031"/>
    <w:rsid w:val="00D64E32"/>
    <w:rsid w:val="00D6554A"/>
    <w:rsid w:val="00D65993"/>
    <w:rsid w:val="00D659A1"/>
    <w:rsid w:val="00D65C6C"/>
    <w:rsid w:val="00D664A3"/>
    <w:rsid w:val="00D676B1"/>
    <w:rsid w:val="00D7060D"/>
    <w:rsid w:val="00D71280"/>
    <w:rsid w:val="00D712FC"/>
    <w:rsid w:val="00D71F28"/>
    <w:rsid w:val="00D71FFC"/>
    <w:rsid w:val="00D72691"/>
    <w:rsid w:val="00D72DA6"/>
    <w:rsid w:val="00D73673"/>
    <w:rsid w:val="00D736D3"/>
    <w:rsid w:val="00D74201"/>
    <w:rsid w:val="00D7428E"/>
    <w:rsid w:val="00D744B9"/>
    <w:rsid w:val="00D74F23"/>
    <w:rsid w:val="00D75928"/>
    <w:rsid w:val="00D75971"/>
    <w:rsid w:val="00D75A2D"/>
    <w:rsid w:val="00D75BB8"/>
    <w:rsid w:val="00D75ECE"/>
    <w:rsid w:val="00D764CE"/>
    <w:rsid w:val="00D76706"/>
    <w:rsid w:val="00D76E86"/>
    <w:rsid w:val="00D7702C"/>
    <w:rsid w:val="00D770F0"/>
    <w:rsid w:val="00D77905"/>
    <w:rsid w:val="00D77ED4"/>
    <w:rsid w:val="00D80B0D"/>
    <w:rsid w:val="00D80BD1"/>
    <w:rsid w:val="00D818EF"/>
    <w:rsid w:val="00D81BC2"/>
    <w:rsid w:val="00D826E7"/>
    <w:rsid w:val="00D82CF6"/>
    <w:rsid w:val="00D83C07"/>
    <w:rsid w:val="00D84312"/>
    <w:rsid w:val="00D84698"/>
    <w:rsid w:val="00D855C8"/>
    <w:rsid w:val="00D85707"/>
    <w:rsid w:val="00D86729"/>
    <w:rsid w:val="00D86D82"/>
    <w:rsid w:val="00D86DED"/>
    <w:rsid w:val="00D8770D"/>
    <w:rsid w:val="00D878E5"/>
    <w:rsid w:val="00D87B6B"/>
    <w:rsid w:val="00D9002D"/>
    <w:rsid w:val="00D9090E"/>
    <w:rsid w:val="00D9107D"/>
    <w:rsid w:val="00D91097"/>
    <w:rsid w:val="00D91612"/>
    <w:rsid w:val="00D91F61"/>
    <w:rsid w:val="00D922C9"/>
    <w:rsid w:val="00D927BF"/>
    <w:rsid w:val="00D93CE7"/>
    <w:rsid w:val="00D93DDB"/>
    <w:rsid w:val="00D94A15"/>
    <w:rsid w:val="00D94CB6"/>
    <w:rsid w:val="00D94FF3"/>
    <w:rsid w:val="00D95D2D"/>
    <w:rsid w:val="00D96410"/>
    <w:rsid w:val="00D965C6"/>
    <w:rsid w:val="00D96AEE"/>
    <w:rsid w:val="00DA090B"/>
    <w:rsid w:val="00DA0C29"/>
    <w:rsid w:val="00DA0FA6"/>
    <w:rsid w:val="00DA15C2"/>
    <w:rsid w:val="00DA161F"/>
    <w:rsid w:val="00DA2008"/>
    <w:rsid w:val="00DA25F7"/>
    <w:rsid w:val="00DA27BB"/>
    <w:rsid w:val="00DA2B5E"/>
    <w:rsid w:val="00DA2CE8"/>
    <w:rsid w:val="00DA3125"/>
    <w:rsid w:val="00DA398B"/>
    <w:rsid w:val="00DA3EC8"/>
    <w:rsid w:val="00DA3EDA"/>
    <w:rsid w:val="00DA4034"/>
    <w:rsid w:val="00DA453D"/>
    <w:rsid w:val="00DA52F9"/>
    <w:rsid w:val="00DA53B1"/>
    <w:rsid w:val="00DA56F5"/>
    <w:rsid w:val="00DA6253"/>
    <w:rsid w:val="00DA668D"/>
    <w:rsid w:val="00DA6A09"/>
    <w:rsid w:val="00DA6D79"/>
    <w:rsid w:val="00DA6FB0"/>
    <w:rsid w:val="00DA710A"/>
    <w:rsid w:val="00DA7407"/>
    <w:rsid w:val="00DB2687"/>
    <w:rsid w:val="00DB2AC7"/>
    <w:rsid w:val="00DB33B6"/>
    <w:rsid w:val="00DB41F0"/>
    <w:rsid w:val="00DB435B"/>
    <w:rsid w:val="00DB508C"/>
    <w:rsid w:val="00DB522D"/>
    <w:rsid w:val="00DB5DC9"/>
    <w:rsid w:val="00DB5FA9"/>
    <w:rsid w:val="00DB6168"/>
    <w:rsid w:val="00DB6388"/>
    <w:rsid w:val="00DB6629"/>
    <w:rsid w:val="00DC06AD"/>
    <w:rsid w:val="00DC07D8"/>
    <w:rsid w:val="00DC1332"/>
    <w:rsid w:val="00DC1460"/>
    <w:rsid w:val="00DC1944"/>
    <w:rsid w:val="00DC1B27"/>
    <w:rsid w:val="00DC2298"/>
    <w:rsid w:val="00DC27C5"/>
    <w:rsid w:val="00DC2F29"/>
    <w:rsid w:val="00DC342E"/>
    <w:rsid w:val="00DC469D"/>
    <w:rsid w:val="00DC481C"/>
    <w:rsid w:val="00DC51F1"/>
    <w:rsid w:val="00DC5E48"/>
    <w:rsid w:val="00DC6612"/>
    <w:rsid w:val="00DC688F"/>
    <w:rsid w:val="00DC71CA"/>
    <w:rsid w:val="00DC744C"/>
    <w:rsid w:val="00DC7690"/>
    <w:rsid w:val="00DC7699"/>
    <w:rsid w:val="00DC7840"/>
    <w:rsid w:val="00DC7989"/>
    <w:rsid w:val="00DC7B5F"/>
    <w:rsid w:val="00DD04C4"/>
    <w:rsid w:val="00DD1222"/>
    <w:rsid w:val="00DD1C1B"/>
    <w:rsid w:val="00DD1D46"/>
    <w:rsid w:val="00DD2254"/>
    <w:rsid w:val="00DD3758"/>
    <w:rsid w:val="00DD3C31"/>
    <w:rsid w:val="00DD4A57"/>
    <w:rsid w:val="00DD4B8E"/>
    <w:rsid w:val="00DD5A8E"/>
    <w:rsid w:val="00DD609A"/>
    <w:rsid w:val="00DD625E"/>
    <w:rsid w:val="00DD640A"/>
    <w:rsid w:val="00DD6701"/>
    <w:rsid w:val="00DD6F4C"/>
    <w:rsid w:val="00DD7110"/>
    <w:rsid w:val="00DD720C"/>
    <w:rsid w:val="00DD7C26"/>
    <w:rsid w:val="00DE117F"/>
    <w:rsid w:val="00DE12EB"/>
    <w:rsid w:val="00DE15EC"/>
    <w:rsid w:val="00DE22EE"/>
    <w:rsid w:val="00DE2320"/>
    <w:rsid w:val="00DE2632"/>
    <w:rsid w:val="00DE28A7"/>
    <w:rsid w:val="00DE2971"/>
    <w:rsid w:val="00DE2AF9"/>
    <w:rsid w:val="00DE2B83"/>
    <w:rsid w:val="00DE33E7"/>
    <w:rsid w:val="00DE3A6D"/>
    <w:rsid w:val="00DE4A53"/>
    <w:rsid w:val="00DE52FE"/>
    <w:rsid w:val="00DE5302"/>
    <w:rsid w:val="00DE663F"/>
    <w:rsid w:val="00DE7832"/>
    <w:rsid w:val="00DF003F"/>
    <w:rsid w:val="00DF044B"/>
    <w:rsid w:val="00DF0DB1"/>
    <w:rsid w:val="00DF0F96"/>
    <w:rsid w:val="00DF1249"/>
    <w:rsid w:val="00DF13B1"/>
    <w:rsid w:val="00DF1478"/>
    <w:rsid w:val="00DF15E5"/>
    <w:rsid w:val="00DF19F9"/>
    <w:rsid w:val="00DF20CC"/>
    <w:rsid w:val="00DF2B74"/>
    <w:rsid w:val="00DF2E16"/>
    <w:rsid w:val="00DF3491"/>
    <w:rsid w:val="00DF3B8F"/>
    <w:rsid w:val="00DF3BC5"/>
    <w:rsid w:val="00DF3C00"/>
    <w:rsid w:val="00DF4184"/>
    <w:rsid w:val="00DF41F4"/>
    <w:rsid w:val="00DF4869"/>
    <w:rsid w:val="00DF4C7B"/>
    <w:rsid w:val="00DF5BA4"/>
    <w:rsid w:val="00DF5FFF"/>
    <w:rsid w:val="00DF7731"/>
    <w:rsid w:val="00DF7BC3"/>
    <w:rsid w:val="00E00075"/>
    <w:rsid w:val="00E00ED9"/>
    <w:rsid w:val="00E021BA"/>
    <w:rsid w:val="00E02AEB"/>
    <w:rsid w:val="00E02BE6"/>
    <w:rsid w:val="00E02C24"/>
    <w:rsid w:val="00E02D0F"/>
    <w:rsid w:val="00E02F5C"/>
    <w:rsid w:val="00E02F62"/>
    <w:rsid w:val="00E03327"/>
    <w:rsid w:val="00E0397A"/>
    <w:rsid w:val="00E041C7"/>
    <w:rsid w:val="00E04A78"/>
    <w:rsid w:val="00E050F7"/>
    <w:rsid w:val="00E051C6"/>
    <w:rsid w:val="00E053A2"/>
    <w:rsid w:val="00E05804"/>
    <w:rsid w:val="00E05CF6"/>
    <w:rsid w:val="00E066B4"/>
    <w:rsid w:val="00E06AD7"/>
    <w:rsid w:val="00E06FDE"/>
    <w:rsid w:val="00E07008"/>
    <w:rsid w:val="00E077AA"/>
    <w:rsid w:val="00E07A50"/>
    <w:rsid w:val="00E07AFA"/>
    <w:rsid w:val="00E07E17"/>
    <w:rsid w:val="00E07FCC"/>
    <w:rsid w:val="00E1058B"/>
    <w:rsid w:val="00E1187B"/>
    <w:rsid w:val="00E11FF3"/>
    <w:rsid w:val="00E12224"/>
    <w:rsid w:val="00E12766"/>
    <w:rsid w:val="00E12AAC"/>
    <w:rsid w:val="00E13033"/>
    <w:rsid w:val="00E130A4"/>
    <w:rsid w:val="00E138D4"/>
    <w:rsid w:val="00E14837"/>
    <w:rsid w:val="00E14BE4"/>
    <w:rsid w:val="00E1516A"/>
    <w:rsid w:val="00E16228"/>
    <w:rsid w:val="00E1662E"/>
    <w:rsid w:val="00E16E27"/>
    <w:rsid w:val="00E170F1"/>
    <w:rsid w:val="00E171AA"/>
    <w:rsid w:val="00E179B9"/>
    <w:rsid w:val="00E17B1C"/>
    <w:rsid w:val="00E17B4D"/>
    <w:rsid w:val="00E20058"/>
    <w:rsid w:val="00E2019A"/>
    <w:rsid w:val="00E20AA9"/>
    <w:rsid w:val="00E20AFE"/>
    <w:rsid w:val="00E21267"/>
    <w:rsid w:val="00E21B0D"/>
    <w:rsid w:val="00E21DBB"/>
    <w:rsid w:val="00E21FB5"/>
    <w:rsid w:val="00E21FDC"/>
    <w:rsid w:val="00E2299C"/>
    <w:rsid w:val="00E22AE6"/>
    <w:rsid w:val="00E22EEE"/>
    <w:rsid w:val="00E2302A"/>
    <w:rsid w:val="00E23B67"/>
    <w:rsid w:val="00E241AA"/>
    <w:rsid w:val="00E24D99"/>
    <w:rsid w:val="00E25617"/>
    <w:rsid w:val="00E2565B"/>
    <w:rsid w:val="00E25B3F"/>
    <w:rsid w:val="00E25B71"/>
    <w:rsid w:val="00E26072"/>
    <w:rsid w:val="00E2695C"/>
    <w:rsid w:val="00E27528"/>
    <w:rsid w:val="00E278EF"/>
    <w:rsid w:val="00E27D4B"/>
    <w:rsid w:val="00E30082"/>
    <w:rsid w:val="00E30210"/>
    <w:rsid w:val="00E30311"/>
    <w:rsid w:val="00E304A5"/>
    <w:rsid w:val="00E309CB"/>
    <w:rsid w:val="00E30EE2"/>
    <w:rsid w:val="00E3130B"/>
    <w:rsid w:val="00E31B6C"/>
    <w:rsid w:val="00E31EA1"/>
    <w:rsid w:val="00E31F1B"/>
    <w:rsid w:val="00E32787"/>
    <w:rsid w:val="00E330A9"/>
    <w:rsid w:val="00E33327"/>
    <w:rsid w:val="00E33470"/>
    <w:rsid w:val="00E336B6"/>
    <w:rsid w:val="00E3594C"/>
    <w:rsid w:val="00E35DEE"/>
    <w:rsid w:val="00E3659D"/>
    <w:rsid w:val="00E36D02"/>
    <w:rsid w:val="00E37BE8"/>
    <w:rsid w:val="00E4024A"/>
    <w:rsid w:val="00E408C9"/>
    <w:rsid w:val="00E408EA"/>
    <w:rsid w:val="00E4095E"/>
    <w:rsid w:val="00E409E6"/>
    <w:rsid w:val="00E43560"/>
    <w:rsid w:val="00E438A9"/>
    <w:rsid w:val="00E44556"/>
    <w:rsid w:val="00E44597"/>
    <w:rsid w:val="00E44B7B"/>
    <w:rsid w:val="00E4522D"/>
    <w:rsid w:val="00E45DB0"/>
    <w:rsid w:val="00E46126"/>
    <w:rsid w:val="00E4613A"/>
    <w:rsid w:val="00E464A4"/>
    <w:rsid w:val="00E4770B"/>
    <w:rsid w:val="00E47AB2"/>
    <w:rsid w:val="00E47AB7"/>
    <w:rsid w:val="00E47D2A"/>
    <w:rsid w:val="00E50899"/>
    <w:rsid w:val="00E509B7"/>
    <w:rsid w:val="00E513E1"/>
    <w:rsid w:val="00E51A96"/>
    <w:rsid w:val="00E52AE5"/>
    <w:rsid w:val="00E52EB8"/>
    <w:rsid w:val="00E52EE4"/>
    <w:rsid w:val="00E53E7E"/>
    <w:rsid w:val="00E5417D"/>
    <w:rsid w:val="00E54649"/>
    <w:rsid w:val="00E54934"/>
    <w:rsid w:val="00E54A00"/>
    <w:rsid w:val="00E551D0"/>
    <w:rsid w:val="00E558B0"/>
    <w:rsid w:val="00E56291"/>
    <w:rsid w:val="00E5686F"/>
    <w:rsid w:val="00E56992"/>
    <w:rsid w:val="00E56C04"/>
    <w:rsid w:val="00E572A8"/>
    <w:rsid w:val="00E5744E"/>
    <w:rsid w:val="00E603AE"/>
    <w:rsid w:val="00E60AB6"/>
    <w:rsid w:val="00E61721"/>
    <w:rsid w:val="00E61DB0"/>
    <w:rsid w:val="00E63518"/>
    <w:rsid w:val="00E64424"/>
    <w:rsid w:val="00E64515"/>
    <w:rsid w:val="00E6494D"/>
    <w:rsid w:val="00E649DA"/>
    <w:rsid w:val="00E64F0A"/>
    <w:rsid w:val="00E6608F"/>
    <w:rsid w:val="00E66774"/>
    <w:rsid w:val="00E66BEA"/>
    <w:rsid w:val="00E66F44"/>
    <w:rsid w:val="00E66FA2"/>
    <w:rsid w:val="00E67A51"/>
    <w:rsid w:val="00E67CA1"/>
    <w:rsid w:val="00E7002F"/>
    <w:rsid w:val="00E70C1D"/>
    <w:rsid w:val="00E7104D"/>
    <w:rsid w:val="00E7199A"/>
    <w:rsid w:val="00E721D1"/>
    <w:rsid w:val="00E72437"/>
    <w:rsid w:val="00E72DDD"/>
    <w:rsid w:val="00E72F1B"/>
    <w:rsid w:val="00E7329A"/>
    <w:rsid w:val="00E7357A"/>
    <w:rsid w:val="00E737AA"/>
    <w:rsid w:val="00E73C93"/>
    <w:rsid w:val="00E73EFD"/>
    <w:rsid w:val="00E74105"/>
    <w:rsid w:val="00E74F5F"/>
    <w:rsid w:val="00E75375"/>
    <w:rsid w:val="00E753AE"/>
    <w:rsid w:val="00E75E6B"/>
    <w:rsid w:val="00E761F6"/>
    <w:rsid w:val="00E76653"/>
    <w:rsid w:val="00E76E25"/>
    <w:rsid w:val="00E7703E"/>
    <w:rsid w:val="00E770F0"/>
    <w:rsid w:val="00E7745B"/>
    <w:rsid w:val="00E77607"/>
    <w:rsid w:val="00E804F4"/>
    <w:rsid w:val="00E805A5"/>
    <w:rsid w:val="00E80D47"/>
    <w:rsid w:val="00E81473"/>
    <w:rsid w:val="00E81537"/>
    <w:rsid w:val="00E81CFB"/>
    <w:rsid w:val="00E822D3"/>
    <w:rsid w:val="00E83740"/>
    <w:rsid w:val="00E83E09"/>
    <w:rsid w:val="00E8422B"/>
    <w:rsid w:val="00E843A1"/>
    <w:rsid w:val="00E84CF0"/>
    <w:rsid w:val="00E84FDC"/>
    <w:rsid w:val="00E85760"/>
    <w:rsid w:val="00E857E5"/>
    <w:rsid w:val="00E85B09"/>
    <w:rsid w:val="00E85EDB"/>
    <w:rsid w:val="00E85F3D"/>
    <w:rsid w:val="00E86062"/>
    <w:rsid w:val="00E8622D"/>
    <w:rsid w:val="00E86491"/>
    <w:rsid w:val="00E869F8"/>
    <w:rsid w:val="00E87BE0"/>
    <w:rsid w:val="00E911BD"/>
    <w:rsid w:val="00E91EA7"/>
    <w:rsid w:val="00E91ED2"/>
    <w:rsid w:val="00E92346"/>
    <w:rsid w:val="00E92869"/>
    <w:rsid w:val="00E9289F"/>
    <w:rsid w:val="00E9292B"/>
    <w:rsid w:val="00E9296F"/>
    <w:rsid w:val="00E92FB8"/>
    <w:rsid w:val="00E93667"/>
    <w:rsid w:val="00E93A7E"/>
    <w:rsid w:val="00E93ECA"/>
    <w:rsid w:val="00E940E5"/>
    <w:rsid w:val="00E95786"/>
    <w:rsid w:val="00E95A44"/>
    <w:rsid w:val="00E95F8B"/>
    <w:rsid w:val="00E9648D"/>
    <w:rsid w:val="00EA0D71"/>
    <w:rsid w:val="00EA192A"/>
    <w:rsid w:val="00EA1C70"/>
    <w:rsid w:val="00EA26C8"/>
    <w:rsid w:val="00EA3275"/>
    <w:rsid w:val="00EA457E"/>
    <w:rsid w:val="00EA4EC7"/>
    <w:rsid w:val="00EA550D"/>
    <w:rsid w:val="00EA5562"/>
    <w:rsid w:val="00EA5B60"/>
    <w:rsid w:val="00EA5CD0"/>
    <w:rsid w:val="00EA5DEF"/>
    <w:rsid w:val="00EA6038"/>
    <w:rsid w:val="00EA660E"/>
    <w:rsid w:val="00EA6889"/>
    <w:rsid w:val="00EA70A0"/>
    <w:rsid w:val="00EA7614"/>
    <w:rsid w:val="00EA780D"/>
    <w:rsid w:val="00EB0B41"/>
    <w:rsid w:val="00EB148E"/>
    <w:rsid w:val="00EB14B7"/>
    <w:rsid w:val="00EB2BF3"/>
    <w:rsid w:val="00EB2C98"/>
    <w:rsid w:val="00EB2CDB"/>
    <w:rsid w:val="00EB442F"/>
    <w:rsid w:val="00EB46E5"/>
    <w:rsid w:val="00EB51AF"/>
    <w:rsid w:val="00EB575F"/>
    <w:rsid w:val="00EB596C"/>
    <w:rsid w:val="00EB5BC3"/>
    <w:rsid w:val="00EB5D40"/>
    <w:rsid w:val="00EB60AC"/>
    <w:rsid w:val="00EB6CF7"/>
    <w:rsid w:val="00EB6D71"/>
    <w:rsid w:val="00EB7110"/>
    <w:rsid w:val="00EB7708"/>
    <w:rsid w:val="00EB7904"/>
    <w:rsid w:val="00EC03A4"/>
    <w:rsid w:val="00EC0E12"/>
    <w:rsid w:val="00EC158F"/>
    <w:rsid w:val="00EC19DB"/>
    <w:rsid w:val="00EC1A4A"/>
    <w:rsid w:val="00EC2BB1"/>
    <w:rsid w:val="00EC2C4F"/>
    <w:rsid w:val="00EC3089"/>
    <w:rsid w:val="00EC3CE8"/>
    <w:rsid w:val="00EC4041"/>
    <w:rsid w:val="00EC48DE"/>
    <w:rsid w:val="00EC4BF0"/>
    <w:rsid w:val="00EC4C20"/>
    <w:rsid w:val="00EC4D50"/>
    <w:rsid w:val="00EC4E06"/>
    <w:rsid w:val="00EC53CE"/>
    <w:rsid w:val="00EC57AA"/>
    <w:rsid w:val="00EC57CE"/>
    <w:rsid w:val="00EC599C"/>
    <w:rsid w:val="00EC5AB2"/>
    <w:rsid w:val="00EC6AF1"/>
    <w:rsid w:val="00EC6EEE"/>
    <w:rsid w:val="00EC79E3"/>
    <w:rsid w:val="00ED036A"/>
    <w:rsid w:val="00ED069C"/>
    <w:rsid w:val="00ED0A15"/>
    <w:rsid w:val="00ED0E91"/>
    <w:rsid w:val="00ED0EAF"/>
    <w:rsid w:val="00ED11DC"/>
    <w:rsid w:val="00ED140B"/>
    <w:rsid w:val="00ED1AAF"/>
    <w:rsid w:val="00ED3141"/>
    <w:rsid w:val="00ED3317"/>
    <w:rsid w:val="00ED3643"/>
    <w:rsid w:val="00ED3B73"/>
    <w:rsid w:val="00ED4432"/>
    <w:rsid w:val="00ED48DE"/>
    <w:rsid w:val="00ED4D6D"/>
    <w:rsid w:val="00ED547E"/>
    <w:rsid w:val="00ED5D23"/>
    <w:rsid w:val="00ED6902"/>
    <w:rsid w:val="00ED757E"/>
    <w:rsid w:val="00ED75AB"/>
    <w:rsid w:val="00ED7679"/>
    <w:rsid w:val="00ED7B8C"/>
    <w:rsid w:val="00ED7C6F"/>
    <w:rsid w:val="00EE0196"/>
    <w:rsid w:val="00EE0200"/>
    <w:rsid w:val="00EE0F55"/>
    <w:rsid w:val="00EE15D0"/>
    <w:rsid w:val="00EE189C"/>
    <w:rsid w:val="00EE1C67"/>
    <w:rsid w:val="00EE2B4A"/>
    <w:rsid w:val="00EE2C15"/>
    <w:rsid w:val="00EE314A"/>
    <w:rsid w:val="00EE35DD"/>
    <w:rsid w:val="00EE3D51"/>
    <w:rsid w:val="00EE449D"/>
    <w:rsid w:val="00EE4AF2"/>
    <w:rsid w:val="00EE4BC9"/>
    <w:rsid w:val="00EE6414"/>
    <w:rsid w:val="00EE6748"/>
    <w:rsid w:val="00EE68CB"/>
    <w:rsid w:val="00EE6911"/>
    <w:rsid w:val="00EE6AC7"/>
    <w:rsid w:val="00EE6D48"/>
    <w:rsid w:val="00EE755F"/>
    <w:rsid w:val="00EE786A"/>
    <w:rsid w:val="00EE79F6"/>
    <w:rsid w:val="00EF032A"/>
    <w:rsid w:val="00EF0AB8"/>
    <w:rsid w:val="00EF13CB"/>
    <w:rsid w:val="00EF202E"/>
    <w:rsid w:val="00EF2518"/>
    <w:rsid w:val="00EF2836"/>
    <w:rsid w:val="00EF2983"/>
    <w:rsid w:val="00EF3A54"/>
    <w:rsid w:val="00EF3C1E"/>
    <w:rsid w:val="00EF4813"/>
    <w:rsid w:val="00EF553E"/>
    <w:rsid w:val="00EF58AB"/>
    <w:rsid w:val="00EF6412"/>
    <w:rsid w:val="00EF6CDC"/>
    <w:rsid w:val="00EF75D8"/>
    <w:rsid w:val="00EF771F"/>
    <w:rsid w:val="00F00DDB"/>
    <w:rsid w:val="00F0138D"/>
    <w:rsid w:val="00F0185E"/>
    <w:rsid w:val="00F01A77"/>
    <w:rsid w:val="00F01CAB"/>
    <w:rsid w:val="00F0291A"/>
    <w:rsid w:val="00F0362A"/>
    <w:rsid w:val="00F0482A"/>
    <w:rsid w:val="00F04A5F"/>
    <w:rsid w:val="00F04D83"/>
    <w:rsid w:val="00F04FDB"/>
    <w:rsid w:val="00F05C97"/>
    <w:rsid w:val="00F05E79"/>
    <w:rsid w:val="00F067D4"/>
    <w:rsid w:val="00F06CB3"/>
    <w:rsid w:val="00F07447"/>
    <w:rsid w:val="00F106E7"/>
    <w:rsid w:val="00F108CE"/>
    <w:rsid w:val="00F10A07"/>
    <w:rsid w:val="00F10CBF"/>
    <w:rsid w:val="00F11494"/>
    <w:rsid w:val="00F11DCA"/>
    <w:rsid w:val="00F11DFE"/>
    <w:rsid w:val="00F1227A"/>
    <w:rsid w:val="00F12367"/>
    <w:rsid w:val="00F13255"/>
    <w:rsid w:val="00F140BE"/>
    <w:rsid w:val="00F148FE"/>
    <w:rsid w:val="00F14E26"/>
    <w:rsid w:val="00F14E6C"/>
    <w:rsid w:val="00F157D3"/>
    <w:rsid w:val="00F15E35"/>
    <w:rsid w:val="00F16AB9"/>
    <w:rsid w:val="00F16BBB"/>
    <w:rsid w:val="00F16F07"/>
    <w:rsid w:val="00F17DD0"/>
    <w:rsid w:val="00F17E5F"/>
    <w:rsid w:val="00F206EB"/>
    <w:rsid w:val="00F20799"/>
    <w:rsid w:val="00F20BBB"/>
    <w:rsid w:val="00F20F97"/>
    <w:rsid w:val="00F213A5"/>
    <w:rsid w:val="00F21458"/>
    <w:rsid w:val="00F21477"/>
    <w:rsid w:val="00F21637"/>
    <w:rsid w:val="00F21761"/>
    <w:rsid w:val="00F21D09"/>
    <w:rsid w:val="00F21E15"/>
    <w:rsid w:val="00F22039"/>
    <w:rsid w:val="00F220CD"/>
    <w:rsid w:val="00F22775"/>
    <w:rsid w:val="00F23C27"/>
    <w:rsid w:val="00F2480B"/>
    <w:rsid w:val="00F24849"/>
    <w:rsid w:val="00F255AE"/>
    <w:rsid w:val="00F25630"/>
    <w:rsid w:val="00F25667"/>
    <w:rsid w:val="00F25896"/>
    <w:rsid w:val="00F25CF0"/>
    <w:rsid w:val="00F2625D"/>
    <w:rsid w:val="00F262B3"/>
    <w:rsid w:val="00F265EC"/>
    <w:rsid w:val="00F270A1"/>
    <w:rsid w:val="00F30E63"/>
    <w:rsid w:val="00F31095"/>
    <w:rsid w:val="00F328BC"/>
    <w:rsid w:val="00F33106"/>
    <w:rsid w:val="00F33B3C"/>
    <w:rsid w:val="00F345A1"/>
    <w:rsid w:val="00F3656E"/>
    <w:rsid w:val="00F36766"/>
    <w:rsid w:val="00F3765D"/>
    <w:rsid w:val="00F37F53"/>
    <w:rsid w:val="00F406D3"/>
    <w:rsid w:val="00F409C9"/>
    <w:rsid w:val="00F410E8"/>
    <w:rsid w:val="00F41802"/>
    <w:rsid w:val="00F41CE6"/>
    <w:rsid w:val="00F41F5D"/>
    <w:rsid w:val="00F42E64"/>
    <w:rsid w:val="00F431A8"/>
    <w:rsid w:val="00F43716"/>
    <w:rsid w:val="00F43830"/>
    <w:rsid w:val="00F438D0"/>
    <w:rsid w:val="00F43B7A"/>
    <w:rsid w:val="00F448C9"/>
    <w:rsid w:val="00F44EF4"/>
    <w:rsid w:val="00F45441"/>
    <w:rsid w:val="00F4557B"/>
    <w:rsid w:val="00F45DC7"/>
    <w:rsid w:val="00F46256"/>
    <w:rsid w:val="00F46A35"/>
    <w:rsid w:val="00F475C9"/>
    <w:rsid w:val="00F4775A"/>
    <w:rsid w:val="00F47AA3"/>
    <w:rsid w:val="00F47B0A"/>
    <w:rsid w:val="00F47D04"/>
    <w:rsid w:val="00F47FBA"/>
    <w:rsid w:val="00F5041F"/>
    <w:rsid w:val="00F523B3"/>
    <w:rsid w:val="00F52A0A"/>
    <w:rsid w:val="00F52FEC"/>
    <w:rsid w:val="00F5370B"/>
    <w:rsid w:val="00F5399C"/>
    <w:rsid w:val="00F53A73"/>
    <w:rsid w:val="00F54F14"/>
    <w:rsid w:val="00F55BCD"/>
    <w:rsid w:val="00F56CA3"/>
    <w:rsid w:val="00F56FDF"/>
    <w:rsid w:val="00F57011"/>
    <w:rsid w:val="00F57373"/>
    <w:rsid w:val="00F5759F"/>
    <w:rsid w:val="00F57E6C"/>
    <w:rsid w:val="00F57EFF"/>
    <w:rsid w:val="00F60099"/>
    <w:rsid w:val="00F6051A"/>
    <w:rsid w:val="00F6060A"/>
    <w:rsid w:val="00F60621"/>
    <w:rsid w:val="00F60EB8"/>
    <w:rsid w:val="00F62C5F"/>
    <w:rsid w:val="00F63C58"/>
    <w:rsid w:val="00F6438C"/>
    <w:rsid w:val="00F64515"/>
    <w:rsid w:val="00F64A60"/>
    <w:rsid w:val="00F64B84"/>
    <w:rsid w:val="00F64E46"/>
    <w:rsid w:val="00F65991"/>
    <w:rsid w:val="00F65AAD"/>
    <w:rsid w:val="00F65D21"/>
    <w:rsid w:val="00F663E9"/>
    <w:rsid w:val="00F66FEB"/>
    <w:rsid w:val="00F67891"/>
    <w:rsid w:val="00F67999"/>
    <w:rsid w:val="00F67A6F"/>
    <w:rsid w:val="00F67D94"/>
    <w:rsid w:val="00F70365"/>
    <w:rsid w:val="00F70460"/>
    <w:rsid w:val="00F704D1"/>
    <w:rsid w:val="00F70680"/>
    <w:rsid w:val="00F71C2F"/>
    <w:rsid w:val="00F71FAE"/>
    <w:rsid w:val="00F72A4D"/>
    <w:rsid w:val="00F73B09"/>
    <w:rsid w:val="00F74335"/>
    <w:rsid w:val="00F74465"/>
    <w:rsid w:val="00F74EB6"/>
    <w:rsid w:val="00F74F7E"/>
    <w:rsid w:val="00F750B9"/>
    <w:rsid w:val="00F75501"/>
    <w:rsid w:val="00F759EF"/>
    <w:rsid w:val="00F76154"/>
    <w:rsid w:val="00F7659B"/>
    <w:rsid w:val="00F76FDA"/>
    <w:rsid w:val="00F776CD"/>
    <w:rsid w:val="00F77F31"/>
    <w:rsid w:val="00F80029"/>
    <w:rsid w:val="00F82108"/>
    <w:rsid w:val="00F834DF"/>
    <w:rsid w:val="00F83D5D"/>
    <w:rsid w:val="00F84427"/>
    <w:rsid w:val="00F84E46"/>
    <w:rsid w:val="00F84ED6"/>
    <w:rsid w:val="00F855DB"/>
    <w:rsid w:val="00F85895"/>
    <w:rsid w:val="00F85AE3"/>
    <w:rsid w:val="00F85C8B"/>
    <w:rsid w:val="00F86788"/>
    <w:rsid w:val="00F9121B"/>
    <w:rsid w:val="00F91258"/>
    <w:rsid w:val="00F915BA"/>
    <w:rsid w:val="00F91747"/>
    <w:rsid w:val="00F918CE"/>
    <w:rsid w:val="00F91C90"/>
    <w:rsid w:val="00F91E57"/>
    <w:rsid w:val="00F92C3F"/>
    <w:rsid w:val="00F92F82"/>
    <w:rsid w:val="00F93978"/>
    <w:rsid w:val="00F94115"/>
    <w:rsid w:val="00F9462F"/>
    <w:rsid w:val="00F94924"/>
    <w:rsid w:val="00F94C51"/>
    <w:rsid w:val="00F94E9E"/>
    <w:rsid w:val="00F94FC8"/>
    <w:rsid w:val="00F95F2A"/>
    <w:rsid w:val="00F96189"/>
    <w:rsid w:val="00F969B7"/>
    <w:rsid w:val="00F96FE2"/>
    <w:rsid w:val="00F973EE"/>
    <w:rsid w:val="00F97771"/>
    <w:rsid w:val="00F978E5"/>
    <w:rsid w:val="00F97C42"/>
    <w:rsid w:val="00FA05AD"/>
    <w:rsid w:val="00FA0C4A"/>
    <w:rsid w:val="00FA1D6D"/>
    <w:rsid w:val="00FA206E"/>
    <w:rsid w:val="00FA2608"/>
    <w:rsid w:val="00FA267F"/>
    <w:rsid w:val="00FA2C77"/>
    <w:rsid w:val="00FA300F"/>
    <w:rsid w:val="00FA34AC"/>
    <w:rsid w:val="00FA4961"/>
    <w:rsid w:val="00FA5429"/>
    <w:rsid w:val="00FA5D06"/>
    <w:rsid w:val="00FA64C8"/>
    <w:rsid w:val="00FA6712"/>
    <w:rsid w:val="00FA7642"/>
    <w:rsid w:val="00FA7716"/>
    <w:rsid w:val="00FA7A23"/>
    <w:rsid w:val="00FA7B47"/>
    <w:rsid w:val="00FA7FCB"/>
    <w:rsid w:val="00FB00F2"/>
    <w:rsid w:val="00FB05CE"/>
    <w:rsid w:val="00FB0CB1"/>
    <w:rsid w:val="00FB10C4"/>
    <w:rsid w:val="00FB11BE"/>
    <w:rsid w:val="00FB18D7"/>
    <w:rsid w:val="00FB1913"/>
    <w:rsid w:val="00FB19FB"/>
    <w:rsid w:val="00FB1C1D"/>
    <w:rsid w:val="00FB1D05"/>
    <w:rsid w:val="00FB1E46"/>
    <w:rsid w:val="00FB1F8A"/>
    <w:rsid w:val="00FB2A67"/>
    <w:rsid w:val="00FB2B95"/>
    <w:rsid w:val="00FB359B"/>
    <w:rsid w:val="00FB394F"/>
    <w:rsid w:val="00FB39B1"/>
    <w:rsid w:val="00FB3E5C"/>
    <w:rsid w:val="00FB46AA"/>
    <w:rsid w:val="00FB4BAC"/>
    <w:rsid w:val="00FB4CF3"/>
    <w:rsid w:val="00FB6C46"/>
    <w:rsid w:val="00FB6EF7"/>
    <w:rsid w:val="00FB7DE6"/>
    <w:rsid w:val="00FB7EE4"/>
    <w:rsid w:val="00FC0471"/>
    <w:rsid w:val="00FC1A84"/>
    <w:rsid w:val="00FC1B32"/>
    <w:rsid w:val="00FC1F1D"/>
    <w:rsid w:val="00FC24E3"/>
    <w:rsid w:val="00FC2A56"/>
    <w:rsid w:val="00FC2AD6"/>
    <w:rsid w:val="00FC2B70"/>
    <w:rsid w:val="00FC3128"/>
    <w:rsid w:val="00FC3FE9"/>
    <w:rsid w:val="00FC4D48"/>
    <w:rsid w:val="00FC4FD7"/>
    <w:rsid w:val="00FC5123"/>
    <w:rsid w:val="00FC514B"/>
    <w:rsid w:val="00FC5BD7"/>
    <w:rsid w:val="00FC5D8A"/>
    <w:rsid w:val="00FC63D5"/>
    <w:rsid w:val="00FC6DAC"/>
    <w:rsid w:val="00FC7816"/>
    <w:rsid w:val="00FC785C"/>
    <w:rsid w:val="00FC79B5"/>
    <w:rsid w:val="00FC7B4C"/>
    <w:rsid w:val="00FC7C90"/>
    <w:rsid w:val="00FD016D"/>
    <w:rsid w:val="00FD12AD"/>
    <w:rsid w:val="00FD12CC"/>
    <w:rsid w:val="00FD152D"/>
    <w:rsid w:val="00FD1B27"/>
    <w:rsid w:val="00FD1F25"/>
    <w:rsid w:val="00FD2772"/>
    <w:rsid w:val="00FD29AD"/>
    <w:rsid w:val="00FD2B7B"/>
    <w:rsid w:val="00FD37BD"/>
    <w:rsid w:val="00FD446F"/>
    <w:rsid w:val="00FD4A04"/>
    <w:rsid w:val="00FD4C2A"/>
    <w:rsid w:val="00FD4D1E"/>
    <w:rsid w:val="00FD5B79"/>
    <w:rsid w:val="00FD602B"/>
    <w:rsid w:val="00FD6FF9"/>
    <w:rsid w:val="00FD71A6"/>
    <w:rsid w:val="00FD7278"/>
    <w:rsid w:val="00FD760D"/>
    <w:rsid w:val="00FE04AF"/>
    <w:rsid w:val="00FE1045"/>
    <w:rsid w:val="00FE127D"/>
    <w:rsid w:val="00FE22AD"/>
    <w:rsid w:val="00FE2680"/>
    <w:rsid w:val="00FE35BB"/>
    <w:rsid w:val="00FE4170"/>
    <w:rsid w:val="00FE4AB1"/>
    <w:rsid w:val="00FE4B85"/>
    <w:rsid w:val="00FE51DA"/>
    <w:rsid w:val="00FE5602"/>
    <w:rsid w:val="00FE5949"/>
    <w:rsid w:val="00FE6067"/>
    <w:rsid w:val="00FE6641"/>
    <w:rsid w:val="00FE6D72"/>
    <w:rsid w:val="00FE7419"/>
    <w:rsid w:val="00FE7D8D"/>
    <w:rsid w:val="00FE7E09"/>
    <w:rsid w:val="00FF078A"/>
    <w:rsid w:val="00FF0949"/>
    <w:rsid w:val="00FF0EEA"/>
    <w:rsid w:val="00FF1604"/>
    <w:rsid w:val="00FF1F31"/>
    <w:rsid w:val="00FF25B3"/>
    <w:rsid w:val="00FF2804"/>
    <w:rsid w:val="00FF282F"/>
    <w:rsid w:val="00FF290D"/>
    <w:rsid w:val="00FF309C"/>
    <w:rsid w:val="00FF3B7F"/>
    <w:rsid w:val="00FF4FA7"/>
    <w:rsid w:val="00FF5B06"/>
    <w:rsid w:val="00FF6626"/>
    <w:rsid w:val="00FF7246"/>
    <w:rsid w:val="00FF7375"/>
    <w:rsid w:val="00FF74F5"/>
    <w:rsid w:val="00FF7529"/>
    <w:rsid w:val="00FF7A0E"/>
    <w:rsid w:val="00FF7ECD"/>
    <w:rsid w:val="00FF7FCC"/>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FBE"/>
    <w:rPr>
      <w:sz w:val="24"/>
      <w:szCs w:val="24"/>
    </w:rPr>
  </w:style>
  <w:style w:type="paragraph" w:styleId="Heading1">
    <w:name w:val="heading 1"/>
    <w:basedOn w:val="Normal"/>
    <w:next w:val="Normal"/>
    <w:link w:val="Heading1Char"/>
    <w:uiPriority w:val="99"/>
    <w:qFormat/>
    <w:rsid w:val="00A77FB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9"/>
    <w:qFormat/>
    <w:rsid w:val="00A77FBE"/>
    <w:pPr>
      <w:keepNext/>
      <w:numPr>
        <w:numId w:val="2"/>
      </w:numPr>
      <w:spacing w:before="240" w:after="100"/>
      <w:outlineLvl w:val="1"/>
    </w:pPr>
    <w:rPr>
      <w:rFonts w:ascii="Arial" w:hAnsi="Arial"/>
      <w:b/>
      <w:i/>
      <w:sz w:val="28"/>
    </w:rPr>
  </w:style>
  <w:style w:type="paragraph" w:styleId="Heading3">
    <w:name w:val="heading 3"/>
    <w:basedOn w:val="Normal"/>
    <w:link w:val="Heading3Char"/>
    <w:autoRedefine/>
    <w:uiPriority w:val="99"/>
    <w:qFormat/>
    <w:rsid w:val="00A77FBE"/>
    <w:pPr>
      <w:keepNext/>
      <w:numPr>
        <w:ilvl w:val="1"/>
        <w:numId w:val="2"/>
      </w:numPr>
      <w:tabs>
        <w:tab w:val="clear" w:pos="1080"/>
        <w:tab w:val="num" w:pos="709"/>
      </w:tabs>
      <w:spacing w:before="240" w:after="100"/>
      <w:ind w:left="284" w:hanging="284"/>
      <w:outlineLvl w:val="2"/>
    </w:pPr>
    <w:rPr>
      <w:rFonts w:ascii="Arial" w:hAnsi="Arial"/>
    </w:rPr>
  </w:style>
  <w:style w:type="paragraph" w:styleId="Heading4">
    <w:name w:val="heading 4"/>
    <w:basedOn w:val="Normal"/>
    <w:next w:val="Normal"/>
    <w:link w:val="Heading4Char"/>
    <w:uiPriority w:val="99"/>
    <w:qFormat/>
    <w:rsid w:val="00A77FBE"/>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Arial" w:hAnsi="Arial"/>
      <w:b/>
      <w:kern w:val="32"/>
      <w:sz w:val="32"/>
    </w:rPr>
  </w:style>
  <w:style w:type="character" w:customStyle="1" w:styleId="Heading2Char">
    <w:name w:val="Heading 2 Char"/>
    <w:basedOn w:val="DefaultParagraphFont"/>
    <w:link w:val="Heading2"/>
    <w:uiPriority w:val="99"/>
    <w:locked/>
    <w:rPr>
      <w:rFonts w:ascii="Arial" w:hAnsi="Arial"/>
      <w:b/>
      <w:i/>
      <w:sz w:val="24"/>
    </w:rPr>
  </w:style>
  <w:style w:type="character" w:customStyle="1" w:styleId="Heading3Char">
    <w:name w:val="Heading 3 Char"/>
    <w:basedOn w:val="DefaultParagraphFont"/>
    <w:link w:val="Heading3"/>
    <w:uiPriority w:val="99"/>
    <w:locked/>
    <w:rPr>
      <w:rFonts w:ascii="Arial" w:hAnsi="Arial"/>
      <w:sz w:val="24"/>
    </w:rPr>
  </w:style>
  <w:style w:type="character" w:customStyle="1" w:styleId="Heading4Char">
    <w:name w:val="Heading 4 Char"/>
    <w:basedOn w:val="DefaultParagraphFont"/>
    <w:link w:val="Heading4"/>
    <w:uiPriority w:val="9"/>
    <w:semiHidden/>
    <w:rsid w:val="0003138A"/>
    <w:rPr>
      <w:rFonts w:asciiTheme="minorHAnsi" w:eastAsiaTheme="minorEastAsia" w:hAnsiTheme="minorHAnsi" w:cstheme="minorBidi"/>
      <w:b/>
      <w:bCs/>
      <w:sz w:val="28"/>
      <w:szCs w:val="28"/>
    </w:rPr>
  </w:style>
  <w:style w:type="paragraph" w:styleId="Caption">
    <w:name w:val="caption"/>
    <w:basedOn w:val="Normal"/>
    <w:next w:val="Normal"/>
    <w:autoRedefine/>
    <w:uiPriority w:val="99"/>
    <w:qFormat/>
    <w:rsid w:val="002A6109"/>
    <w:pPr>
      <w:keepNext/>
      <w:spacing w:before="120" w:after="80"/>
      <w:jc w:val="both"/>
    </w:pPr>
    <w:rPr>
      <w:b/>
      <w:sz w:val="20"/>
    </w:rPr>
  </w:style>
  <w:style w:type="paragraph" w:styleId="FootnoteText">
    <w:name w:val="footnote text"/>
    <w:basedOn w:val="Normal"/>
    <w:link w:val="FootnoteTextChar"/>
    <w:uiPriority w:val="99"/>
    <w:semiHidden/>
    <w:rsid w:val="00A77FBE"/>
    <w:pPr>
      <w:jc w:val="both"/>
    </w:pPr>
    <w:rPr>
      <w:sz w:val="20"/>
    </w:rPr>
  </w:style>
  <w:style w:type="character" w:customStyle="1" w:styleId="FootnoteTextChar">
    <w:name w:val="Footnote Text Char"/>
    <w:basedOn w:val="DefaultParagraphFont"/>
    <w:link w:val="FootnoteText"/>
    <w:uiPriority w:val="99"/>
    <w:semiHidden/>
    <w:locked/>
    <w:rPr>
      <w:sz w:val="24"/>
    </w:rPr>
  </w:style>
  <w:style w:type="character" w:styleId="FootnoteReference">
    <w:name w:val="footnote reference"/>
    <w:basedOn w:val="DefaultParagraphFont"/>
    <w:uiPriority w:val="99"/>
    <w:semiHidden/>
    <w:rsid w:val="00A77FBE"/>
    <w:rPr>
      <w:rFonts w:cs="Times New Roman"/>
      <w:u w:val="none"/>
      <w:vertAlign w:val="superscript"/>
    </w:rPr>
  </w:style>
  <w:style w:type="paragraph" w:styleId="TOC1">
    <w:name w:val="toc 1"/>
    <w:basedOn w:val="Normal"/>
    <w:next w:val="Normal"/>
    <w:uiPriority w:val="99"/>
    <w:rsid w:val="00A77FBE"/>
    <w:pPr>
      <w:spacing w:before="120" w:after="120"/>
    </w:pPr>
    <w:rPr>
      <w:b/>
      <w:bCs/>
      <w:caps/>
    </w:rPr>
  </w:style>
  <w:style w:type="paragraph" w:styleId="TOC2">
    <w:name w:val="toc 2"/>
    <w:basedOn w:val="Normal"/>
    <w:next w:val="Normal"/>
    <w:uiPriority w:val="99"/>
    <w:rsid w:val="00A77FBE"/>
    <w:pPr>
      <w:tabs>
        <w:tab w:val="left" w:pos="737"/>
        <w:tab w:val="right" w:leader="dot" w:pos="9072"/>
      </w:tabs>
      <w:ind w:left="240"/>
    </w:pPr>
    <w:rPr>
      <w:smallCaps/>
    </w:rPr>
  </w:style>
  <w:style w:type="paragraph" w:styleId="TOC3">
    <w:name w:val="toc 3"/>
    <w:basedOn w:val="Normal"/>
    <w:next w:val="Normal"/>
    <w:uiPriority w:val="99"/>
    <w:rsid w:val="00A77FBE"/>
    <w:pPr>
      <w:ind w:left="480"/>
    </w:pPr>
    <w:rPr>
      <w:i/>
      <w:iCs/>
    </w:rPr>
  </w:style>
  <w:style w:type="paragraph" w:customStyle="1" w:styleId="graftab">
    <w:name w:val="graf_tab"/>
    <w:next w:val="Standardnstyl"/>
    <w:autoRedefine/>
    <w:uiPriority w:val="99"/>
    <w:rsid w:val="007F774F"/>
    <w:pPr>
      <w:keepNext/>
      <w:jc w:val="both"/>
    </w:pPr>
    <w:rPr>
      <w:i/>
      <w:sz w:val="20"/>
      <w:szCs w:val="20"/>
    </w:rPr>
  </w:style>
  <w:style w:type="paragraph" w:customStyle="1" w:styleId="Standardnstyl">
    <w:name w:val="Standardní styl"/>
    <w:link w:val="StandardnstylChar"/>
    <w:autoRedefine/>
    <w:uiPriority w:val="99"/>
    <w:rsid w:val="00B61162"/>
    <w:pPr>
      <w:spacing w:line="360" w:lineRule="auto"/>
      <w:ind w:firstLine="426"/>
      <w:jc w:val="both"/>
    </w:pPr>
    <w:rPr>
      <w:sz w:val="24"/>
      <w:szCs w:val="20"/>
    </w:rPr>
  </w:style>
  <w:style w:type="paragraph" w:styleId="Footer">
    <w:name w:val="footer"/>
    <w:basedOn w:val="Normal"/>
    <w:link w:val="FooterChar"/>
    <w:uiPriority w:val="99"/>
    <w:rsid w:val="00A77FBE"/>
    <w:pPr>
      <w:tabs>
        <w:tab w:val="center" w:pos="4536"/>
        <w:tab w:val="right" w:pos="9072"/>
      </w:tabs>
    </w:pPr>
  </w:style>
  <w:style w:type="character" w:customStyle="1" w:styleId="FooterChar">
    <w:name w:val="Footer Char"/>
    <w:basedOn w:val="DefaultParagraphFont"/>
    <w:link w:val="Footer"/>
    <w:uiPriority w:val="99"/>
    <w:locked/>
    <w:rPr>
      <w:rFonts w:cs="Times New Roman"/>
      <w:sz w:val="24"/>
      <w:szCs w:val="24"/>
    </w:rPr>
  </w:style>
  <w:style w:type="character" w:styleId="PageNumber">
    <w:name w:val="page number"/>
    <w:basedOn w:val="DefaultParagraphFont"/>
    <w:uiPriority w:val="99"/>
    <w:rsid w:val="00A77FBE"/>
    <w:rPr>
      <w:rFonts w:cs="Times New Roman"/>
    </w:rPr>
  </w:style>
  <w:style w:type="paragraph" w:styleId="Header">
    <w:name w:val="header"/>
    <w:basedOn w:val="Normal"/>
    <w:link w:val="HeaderChar"/>
    <w:uiPriority w:val="99"/>
    <w:rsid w:val="00A77FBE"/>
    <w:pPr>
      <w:tabs>
        <w:tab w:val="center" w:pos="4536"/>
        <w:tab w:val="right" w:pos="9072"/>
      </w:tabs>
    </w:pPr>
  </w:style>
  <w:style w:type="character" w:customStyle="1" w:styleId="HeaderChar">
    <w:name w:val="Header Char"/>
    <w:basedOn w:val="DefaultParagraphFont"/>
    <w:link w:val="Header"/>
    <w:uiPriority w:val="99"/>
    <w:locked/>
    <w:rPr>
      <w:sz w:val="24"/>
    </w:rPr>
  </w:style>
  <w:style w:type="character" w:styleId="Hyperlink">
    <w:name w:val="Hyperlink"/>
    <w:basedOn w:val="DefaultParagraphFont"/>
    <w:uiPriority w:val="99"/>
    <w:rsid w:val="00A77FBE"/>
    <w:rPr>
      <w:rFonts w:cs="Times New Roman"/>
      <w:color w:val="0000FF"/>
      <w:u w:val="single"/>
    </w:rPr>
  </w:style>
  <w:style w:type="paragraph" w:styleId="NormalWeb">
    <w:name w:val="Normal (Web)"/>
    <w:basedOn w:val="Normal"/>
    <w:uiPriority w:val="99"/>
    <w:semiHidden/>
    <w:rsid w:val="00A77FBE"/>
    <w:pPr>
      <w:spacing w:before="100" w:after="100"/>
    </w:pPr>
    <w:rPr>
      <w:rFonts w:ascii="Arial Unicode MS" w:eastAsia="Arial Unicode MS" w:hAnsi="Arial Unicode MS"/>
    </w:rPr>
  </w:style>
  <w:style w:type="paragraph" w:customStyle="1" w:styleId="Pramen">
    <w:name w:val="Pramen"/>
    <w:link w:val="PramenChar"/>
    <w:autoRedefine/>
    <w:uiPriority w:val="99"/>
    <w:rsid w:val="00A77FBE"/>
    <w:pPr>
      <w:tabs>
        <w:tab w:val="left" w:pos="5245"/>
      </w:tabs>
      <w:spacing w:after="80"/>
    </w:pPr>
    <w:rPr>
      <w:i/>
      <w:sz w:val="20"/>
      <w:szCs w:val="20"/>
    </w:rPr>
  </w:style>
  <w:style w:type="paragraph" w:customStyle="1" w:styleId="vysvtlivky">
    <w:name w:val="vysvětlivky"/>
    <w:uiPriority w:val="99"/>
    <w:rsid w:val="00A77FBE"/>
    <w:rPr>
      <w:i/>
      <w:sz w:val="20"/>
      <w:szCs w:val="20"/>
    </w:rPr>
  </w:style>
  <w:style w:type="paragraph" w:customStyle="1" w:styleId="Podtitulek">
    <w:name w:val="Podtitulek"/>
    <w:basedOn w:val="Heading4"/>
    <w:autoRedefine/>
    <w:uiPriority w:val="99"/>
    <w:rsid w:val="00665700"/>
    <w:pPr>
      <w:spacing w:before="0"/>
    </w:pPr>
    <w:rPr>
      <w:b w:val="0"/>
      <w:bCs w:val="0"/>
      <w:i/>
      <w:sz w:val="20"/>
      <w:szCs w:val="24"/>
    </w:rPr>
  </w:style>
  <w:style w:type="paragraph" w:customStyle="1" w:styleId="StylvysvtlivkyVlevo0cmPrvndek0cm">
    <w:name w:val="Styl vysvětlivky + Vlevo:  0 cm První řádek:  0 cm"/>
    <w:basedOn w:val="vysvtlivky"/>
    <w:uiPriority w:val="99"/>
    <w:rsid w:val="00A77FBE"/>
    <w:pPr>
      <w:numPr>
        <w:numId w:val="1"/>
      </w:numPr>
    </w:pPr>
    <w:rPr>
      <w:iCs/>
    </w:rPr>
  </w:style>
  <w:style w:type="paragraph" w:styleId="BalloonText">
    <w:name w:val="Balloon Text"/>
    <w:basedOn w:val="Normal"/>
    <w:link w:val="BalloonTextChar"/>
    <w:uiPriority w:val="99"/>
    <w:semiHidden/>
    <w:rsid w:val="00BB1E6F"/>
    <w:rPr>
      <w:rFonts w:ascii="Tahoma" w:hAnsi="Tahoma" w:cs="Tahoma"/>
      <w:sz w:val="16"/>
      <w:szCs w:val="16"/>
    </w:rPr>
  </w:style>
  <w:style w:type="character" w:customStyle="1" w:styleId="BalloonTextChar">
    <w:name w:val="Balloon Text Char"/>
    <w:basedOn w:val="DefaultParagraphFont"/>
    <w:link w:val="BalloonText"/>
    <w:uiPriority w:val="99"/>
    <w:semiHidden/>
    <w:rsid w:val="0003138A"/>
    <w:rPr>
      <w:sz w:val="0"/>
      <w:szCs w:val="0"/>
    </w:rPr>
  </w:style>
  <w:style w:type="paragraph" w:customStyle="1" w:styleId="StylStandardnstyl115b">
    <w:name w:val="Styl Standardní styl + 115 b."/>
    <w:basedOn w:val="Standardnstyl"/>
    <w:link w:val="StylStandardnstyl115bChar"/>
    <w:uiPriority w:val="99"/>
    <w:rsid w:val="00C14553"/>
  </w:style>
  <w:style w:type="character" w:customStyle="1" w:styleId="StandardnstylChar">
    <w:name w:val="Standardní styl Char"/>
    <w:link w:val="Standardnstyl"/>
    <w:uiPriority w:val="99"/>
    <w:locked/>
    <w:rsid w:val="00B61162"/>
    <w:rPr>
      <w:sz w:val="24"/>
    </w:rPr>
  </w:style>
  <w:style w:type="character" w:customStyle="1" w:styleId="StylStandardnstyl115bChar">
    <w:name w:val="Styl Standardní styl + 115 b. Char"/>
    <w:basedOn w:val="StandardnstylChar"/>
    <w:link w:val="StylStandardnstyl115b"/>
    <w:uiPriority w:val="99"/>
    <w:locked/>
    <w:rsid w:val="00C14553"/>
    <w:rPr>
      <w:rFonts w:cs="Times New Roman"/>
      <w:lang w:val="cs-CZ" w:eastAsia="cs-CZ" w:bidi="ar-SA"/>
    </w:rPr>
  </w:style>
  <w:style w:type="character" w:styleId="FollowedHyperlink">
    <w:name w:val="FollowedHyperlink"/>
    <w:basedOn w:val="DefaultParagraphFont"/>
    <w:uiPriority w:val="99"/>
    <w:rsid w:val="00B3722A"/>
    <w:rPr>
      <w:rFonts w:cs="Times New Roman"/>
      <w:color w:val="800080"/>
      <w:u w:val="single"/>
    </w:rPr>
  </w:style>
  <w:style w:type="paragraph" w:styleId="BodyTextIndent">
    <w:name w:val="Body Text Indent"/>
    <w:basedOn w:val="Normal"/>
    <w:link w:val="BodyTextIndentChar"/>
    <w:uiPriority w:val="99"/>
    <w:rsid w:val="00F30E63"/>
    <w:pPr>
      <w:spacing w:before="120"/>
      <w:ind w:firstLine="567"/>
    </w:pPr>
    <w:rPr>
      <w:szCs w:val="20"/>
    </w:rPr>
  </w:style>
  <w:style w:type="character" w:customStyle="1" w:styleId="BodyTextIndentChar">
    <w:name w:val="Body Text Indent Char"/>
    <w:basedOn w:val="DefaultParagraphFont"/>
    <w:link w:val="BodyTextIndent"/>
    <w:uiPriority w:val="99"/>
    <w:semiHidden/>
    <w:rsid w:val="0003138A"/>
    <w:rPr>
      <w:sz w:val="24"/>
      <w:szCs w:val="24"/>
    </w:rPr>
  </w:style>
  <w:style w:type="character" w:customStyle="1" w:styleId="tema2">
    <w:name w:val="tema2"/>
    <w:basedOn w:val="DefaultParagraphFont"/>
    <w:uiPriority w:val="99"/>
    <w:rsid w:val="00963065"/>
    <w:rPr>
      <w:rFonts w:cs="Times New Roman"/>
    </w:rPr>
  </w:style>
  <w:style w:type="character" w:styleId="Strong">
    <w:name w:val="Strong"/>
    <w:basedOn w:val="DefaultParagraphFont"/>
    <w:uiPriority w:val="99"/>
    <w:qFormat/>
    <w:rsid w:val="00A41D6B"/>
    <w:rPr>
      <w:rFonts w:cs="Times New Roman"/>
      <w:b/>
    </w:rPr>
  </w:style>
  <w:style w:type="character" w:customStyle="1" w:styleId="PramenChar">
    <w:name w:val="Pramen Char"/>
    <w:link w:val="Pramen"/>
    <w:uiPriority w:val="99"/>
    <w:locked/>
    <w:rsid w:val="00EC2C4F"/>
    <w:rPr>
      <w:i/>
      <w:lang w:val="cs-CZ" w:eastAsia="cs-CZ"/>
    </w:rPr>
  </w:style>
  <w:style w:type="paragraph" w:styleId="BodyText">
    <w:name w:val="Body Text"/>
    <w:basedOn w:val="Normal"/>
    <w:link w:val="BodyTextChar"/>
    <w:uiPriority w:val="99"/>
    <w:rsid w:val="00612C75"/>
    <w:pPr>
      <w:spacing w:after="120"/>
    </w:pPr>
  </w:style>
  <w:style w:type="character" w:customStyle="1" w:styleId="BodyTextChar">
    <w:name w:val="Body Text Char"/>
    <w:basedOn w:val="DefaultParagraphFont"/>
    <w:link w:val="BodyText"/>
    <w:uiPriority w:val="99"/>
    <w:locked/>
    <w:rsid w:val="00612C75"/>
    <w:rPr>
      <w:sz w:val="24"/>
      <w:lang w:val="cs-CZ" w:eastAsia="cs-CZ"/>
    </w:rPr>
  </w:style>
  <w:style w:type="paragraph" w:styleId="ListParagraph">
    <w:name w:val="List Paragraph"/>
    <w:basedOn w:val="Normal"/>
    <w:uiPriority w:val="99"/>
    <w:qFormat/>
    <w:rsid w:val="00305ED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openxmlformats.org/officeDocument/2006/relationships/image" Target="media/image6.emf"/><Relationship Id="rId26" Type="http://schemas.openxmlformats.org/officeDocument/2006/relationships/image" Target="media/image13.emf"/><Relationship Id="rId39"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image" Target="media/image9.emf"/><Relationship Id="rId34" Type="http://schemas.openxmlformats.org/officeDocument/2006/relationships/header" Target="header6.xml"/><Relationship Id="rId42" Type="http://schemas.openxmlformats.org/officeDocument/2006/relationships/image" Target="media/image19.emf"/><Relationship Id="rId47"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image" Target="media/image3.emf"/><Relationship Id="rId17" Type="http://schemas.openxmlformats.org/officeDocument/2006/relationships/footer" Target="footer6.xml"/><Relationship Id="rId25" Type="http://schemas.openxmlformats.org/officeDocument/2006/relationships/image" Target="media/image12.emf"/><Relationship Id="rId33" Type="http://schemas.openxmlformats.org/officeDocument/2006/relationships/header" Target="header5.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image" Target="media/image8.emf"/><Relationship Id="rId29" Type="http://schemas.openxmlformats.org/officeDocument/2006/relationships/header" Target="header2.xml"/><Relationship Id="rId41"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24" Type="http://schemas.openxmlformats.org/officeDocument/2006/relationships/image" Target="media/image11.emf"/><Relationship Id="rId32" Type="http://schemas.openxmlformats.org/officeDocument/2006/relationships/image" Target="media/image15.emf"/><Relationship Id="rId37" Type="http://schemas.openxmlformats.org/officeDocument/2006/relationships/header" Target="header7.xml"/><Relationship Id="rId40" Type="http://schemas.openxmlformats.org/officeDocument/2006/relationships/image" Target="media/image18.emf"/><Relationship Id="rId45" Type="http://schemas.openxmlformats.org/officeDocument/2006/relationships/image" Target="media/image22.emf"/><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10.emf"/><Relationship Id="rId28" Type="http://schemas.openxmlformats.org/officeDocument/2006/relationships/header" Target="header1.xml"/><Relationship Id="rId36" Type="http://schemas.openxmlformats.org/officeDocument/2006/relationships/image" Target="media/image17.emf"/><Relationship Id="rId10" Type="http://schemas.openxmlformats.org/officeDocument/2006/relationships/image" Target="media/image1.emf"/><Relationship Id="rId19" Type="http://schemas.openxmlformats.org/officeDocument/2006/relationships/image" Target="media/image7.emf"/><Relationship Id="rId31" Type="http://schemas.openxmlformats.org/officeDocument/2006/relationships/header" Target="header4.xml"/><Relationship Id="rId44" Type="http://schemas.openxmlformats.org/officeDocument/2006/relationships/image" Target="media/image21.emf"/><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image" Target="media/image4.emf"/><Relationship Id="rId22" Type="http://schemas.openxmlformats.org/officeDocument/2006/relationships/footer" Target="footer7.xml"/><Relationship Id="rId27" Type="http://schemas.openxmlformats.org/officeDocument/2006/relationships/image" Target="media/image14.emf"/><Relationship Id="rId30" Type="http://schemas.openxmlformats.org/officeDocument/2006/relationships/header" Target="header3.xml"/><Relationship Id="rId35" Type="http://schemas.openxmlformats.org/officeDocument/2006/relationships/image" Target="media/image16.emf"/><Relationship Id="rId43" Type="http://schemas.openxmlformats.org/officeDocument/2006/relationships/image" Target="media/image2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7019</Words>
  <Characters>-32766</Characters>
  <Application>Microsoft Office Outlook</Application>
  <DocSecurity>0</DocSecurity>
  <Lines>0</Lines>
  <Paragraphs>0</Paragraphs>
  <ScaleCrop>false</ScaleCrop>
  <Company>MF ČR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Čižík Vojtěch</dc:creator>
  <cp:keywords/>
  <dc:description/>
  <cp:lastModifiedBy>11207</cp:lastModifiedBy>
  <cp:revision>2</cp:revision>
  <cp:lastPrinted>2015-08-26T12:27:00Z</cp:lastPrinted>
  <dcterms:created xsi:type="dcterms:W3CDTF">2015-08-28T12:44:00Z</dcterms:created>
  <dcterms:modified xsi:type="dcterms:W3CDTF">2015-08-28T12:44:00Z</dcterms:modified>
</cp:coreProperties>
</file>