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D17" w:rsidRPr="007F0A74" w:rsidRDefault="00485D17" w:rsidP="005D27CB">
      <w:pPr>
        <w:spacing w:before="0" w:after="0" w:line="240" w:lineRule="auto"/>
        <w:ind w:firstLine="0"/>
        <w:jc w:val="left"/>
        <w:rPr>
          <w:szCs w:val="20"/>
        </w:rPr>
      </w:pPr>
      <w:bookmarkStart w:id="0" w:name="_Toc206999959"/>
      <w:bookmarkStart w:id="1" w:name="_Toc241917772"/>
      <w:r w:rsidRPr="007F0A74">
        <w:rPr>
          <w:szCs w:val="20"/>
        </w:rPr>
        <w:t>Ministerstvo financí</w:t>
      </w:r>
    </w:p>
    <w:p w:rsidR="00485D17" w:rsidRPr="00451C69" w:rsidRDefault="00485D17" w:rsidP="005D27CB">
      <w:pPr>
        <w:spacing w:line="240" w:lineRule="auto"/>
        <w:ind w:firstLine="0"/>
      </w:pPr>
      <w:r w:rsidRPr="007B351D">
        <w:t>č.</w:t>
      </w:r>
      <w:r>
        <w:t xml:space="preserve"> </w:t>
      </w:r>
      <w:r w:rsidRPr="007B351D">
        <w:t>j. MF</w:t>
      </w:r>
      <w:r>
        <w:t xml:space="preserve"> –</w:t>
      </w:r>
      <w:r w:rsidRPr="007B351D">
        <w:t xml:space="preserve"> </w:t>
      </w:r>
      <w:r>
        <w:t>26 622/2015/11</w:t>
      </w: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Cs w:val="20"/>
        </w:rPr>
      </w:pPr>
    </w:p>
    <w:p w:rsidR="00485D17" w:rsidRPr="00DB2E39" w:rsidRDefault="00485D17" w:rsidP="00FF4A00">
      <w:pPr>
        <w:spacing w:before="0" w:after="0" w:line="240" w:lineRule="auto"/>
        <w:ind w:firstLine="0"/>
        <w:jc w:val="left"/>
        <w:rPr>
          <w:sz w:val="44"/>
          <w:szCs w:val="20"/>
        </w:rPr>
      </w:pPr>
    </w:p>
    <w:p w:rsidR="00485D17" w:rsidRPr="00DB2E39" w:rsidRDefault="00485D17" w:rsidP="00FF4A00">
      <w:pPr>
        <w:spacing w:before="0" w:after="0" w:line="240" w:lineRule="auto"/>
        <w:ind w:firstLine="0"/>
        <w:jc w:val="center"/>
        <w:rPr>
          <w:b/>
          <w:bCs/>
          <w:sz w:val="44"/>
          <w:szCs w:val="20"/>
        </w:rPr>
      </w:pPr>
      <w:r w:rsidRPr="00DB2E39">
        <w:rPr>
          <w:b/>
          <w:bCs/>
          <w:sz w:val="44"/>
          <w:szCs w:val="20"/>
        </w:rPr>
        <w:t>M.</w:t>
      </w:r>
    </w:p>
    <w:p w:rsidR="00485D17" w:rsidRPr="00DB2E39" w:rsidRDefault="00485D17" w:rsidP="00FF4A00">
      <w:pPr>
        <w:spacing w:before="0" w:after="0" w:line="240" w:lineRule="auto"/>
        <w:ind w:firstLine="0"/>
        <w:jc w:val="center"/>
        <w:rPr>
          <w:b/>
          <w:bCs/>
          <w:sz w:val="44"/>
          <w:szCs w:val="20"/>
        </w:rPr>
      </w:pPr>
    </w:p>
    <w:p w:rsidR="00485D17" w:rsidRDefault="00485D17" w:rsidP="00FF4A00">
      <w:pPr>
        <w:spacing w:before="0" w:after="0" w:line="240" w:lineRule="auto"/>
        <w:ind w:firstLine="0"/>
        <w:jc w:val="center"/>
        <w:rPr>
          <w:b/>
          <w:bCs/>
          <w:sz w:val="44"/>
          <w:szCs w:val="20"/>
        </w:rPr>
      </w:pPr>
      <w:r w:rsidRPr="00B64C76">
        <w:rPr>
          <w:b/>
          <w:bCs/>
          <w:sz w:val="44"/>
          <w:szCs w:val="20"/>
        </w:rPr>
        <w:t xml:space="preserve">Návrh střednědobého výhledu státního rozpočtu na léta </w:t>
      </w:r>
      <w:smartTag w:uri="urn:schemas-microsoft-com:office:smarttags" w:element="metricconverter">
        <w:smartTagPr>
          <w:attr w:name="ProductID" w:val="2017 a"/>
        </w:smartTagPr>
        <w:r w:rsidRPr="00B64C76">
          <w:rPr>
            <w:b/>
            <w:bCs/>
            <w:sz w:val="44"/>
            <w:szCs w:val="20"/>
          </w:rPr>
          <w:t>201</w:t>
        </w:r>
        <w:r>
          <w:rPr>
            <w:b/>
            <w:bCs/>
            <w:sz w:val="44"/>
            <w:szCs w:val="20"/>
          </w:rPr>
          <w:t>7</w:t>
        </w:r>
        <w:r w:rsidRPr="00B64C76">
          <w:rPr>
            <w:b/>
            <w:bCs/>
            <w:sz w:val="44"/>
            <w:szCs w:val="20"/>
          </w:rPr>
          <w:t xml:space="preserve"> a</w:t>
        </w:r>
      </w:smartTag>
      <w:r w:rsidRPr="00B64C76">
        <w:rPr>
          <w:b/>
          <w:bCs/>
          <w:sz w:val="44"/>
          <w:szCs w:val="20"/>
        </w:rPr>
        <w:t xml:space="preserve"> 201</w:t>
      </w:r>
      <w:r>
        <w:rPr>
          <w:b/>
          <w:bCs/>
          <w:sz w:val="44"/>
          <w:szCs w:val="20"/>
        </w:rPr>
        <w:t>8</w:t>
      </w:r>
    </w:p>
    <w:p w:rsidR="00485D17" w:rsidRPr="00DB2E39" w:rsidRDefault="00485D17" w:rsidP="00FF4A00">
      <w:pPr>
        <w:spacing w:before="0" w:after="0" w:line="240" w:lineRule="auto"/>
        <w:ind w:firstLine="0"/>
        <w:rPr>
          <w:b/>
          <w:bCs/>
          <w:sz w:val="44"/>
          <w:szCs w:val="20"/>
        </w:rPr>
      </w:pPr>
    </w:p>
    <w:p w:rsidR="00485D17" w:rsidRPr="00410549" w:rsidRDefault="00485D17" w:rsidP="005C0D6B">
      <w:pPr>
        <w:ind w:firstLine="0"/>
        <w:jc w:val="left"/>
        <w:sectPr w:rsidR="00485D17" w:rsidRPr="00410549" w:rsidSect="00AA700B">
          <w:footerReference w:type="even" r:id="rId7"/>
          <w:footerReference w:type="default" r:id="rId8"/>
          <w:footerReference w:type="first" r:id="rId9"/>
          <w:type w:val="continuous"/>
          <w:pgSz w:w="11906" w:h="16838"/>
          <w:pgMar w:top="1418" w:right="1106" w:bottom="1418" w:left="1418" w:header="709" w:footer="709" w:gutter="0"/>
          <w:cols w:space="708"/>
          <w:docGrid w:linePitch="360"/>
        </w:sectPr>
      </w:pPr>
    </w:p>
    <w:bookmarkEnd w:id="0"/>
    <w:bookmarkEnd w:id="1"/>
    <w:p w:rsidR="00485D17" w:rsidRDefault="00485D17" w:rsidP="00FF00CE">
      <w:pPr>
        <w:rPr>
          <w:noProof/>
        </w:rPr>
      </w:pPr>
      <w:r>
        <w:t xml:space="preserve">                    </w:t>
      </w:r>
      <w:r>
        <w:fldChar w:fldCharType="begin"/>
      </w:r>
      <w:r>
        <w:instrText xml:space="preserve"> TOC \o "4-4" \f \h \z \t "Nadpis 1;2;Nadpis 2;3;Nadpis 3;4;Nadpis hlavní části;1;Styl Nadpis 2 + není Kurzíva1;2;Styl Nadpis hlavní části + Zarovnat do bloku První řádek:  095 cm;1" </w:instrText>
      </w:r>
      <w:r>
        <w:fldChar w:fldCharType="separate"/>
      </w:r>
    </w:p>
    <w:p w:rsidR="00485D17" w:rsidRDefault="00485D17">
      <w:pPr>
        <w:pStyle w:val="TOC1"/>
        <w:rPr>
          <w:b w:val="0"/>
        </w:rPr>
      </w:pPr>
      <w:hyperlink w:anchor="_Toc428706715" w:history="1">
        <w:r w:rsidRPr="00162A45">
          <w:rPr>
            <w:rStyle w:val="Hyperlink"/>
          </w:rPr>
          <w:t>Úvod</w:t>
        </w:r>
        <w:r>
          <w:rPr>
            <w:webHidden/>
          </w:rPr>
          <w:tab/>
        </w:r>
        <w:r>
          <w:rPr>
            <w:webHidden/>
          </w:rPr>
          <w:fldChar w:fldCharType="begin"/>
        </w:r>
        <w:r>
          <w:rPr>
            <w:webHidden/>
          </w:rPr>
          <w:instrText xml:space="preserve"> PAGEREF _Toc428706715 \h </w:instrText>
        </w:r>
        <w:r>
          <w:rPr>
            <w:webHidden/>
          </w:rPr>
          <w:fldChar w:fldCharType="separate"/>
        </w:r>
        <w:r>
          <w:rPr>
            <w:webHidden/>
          </w:rPr>
          <w:t>3</w:t>
        </w:r>
        <w:r>
          <w:rPr>
            <w:webHidden/>
          </w:rPr>
          <w:fldChar w:fldCharType="end"/>
        </w:r>
      </w:hyperlink>
    </w:p>
    <w:p w:rsidR="00485D17" w:rsidRDefault="00485D17">
      <w:pPr>
        <w:pStyle w:val="TOC1"/>
        <w:rPr>
          <w:b w:val="0"/>
        </w:rPr>
      </w:pPr>
      <w:hyperlink w:anchor="_Toc428706716" w:history="1">
        <w:r w:rsidRPr="00162A45">
          <w:rPr>
            <w:rStyle w:val="Hyperlink"/>
          </w:rPr>
          <w:t>A. Makroekonomický rámec na léta 2016 až 2018</w:t>
        </w:r>
        <w:r>
          <w:rPr>
            <w:webHidden/>
          </w:rPr>
          <w:tab/>
        </w:r>
        <w:r>
          <w:rPr>
            <w:webHidden/>
          </w:rPr>
          <w:fldChar w:fldCharType="begin"/>
        </w:r>
        <w:r>
          <w:rPr>
            <w:webHidden/>
          </w:rPr>
          <w:instrText xml:space="preserve"> PAGEREF _Toc428706716 \h </w:instrText>
        </w:r>
        <w:r>
          <w:rPr>
            <w:webHidden/>
          </w:rPr>
          <w:fldChar w:fldCharType="separate"/>
        </w:r>
        <w:r>
          <w:rPr>
            <w:webHidden/>
          </w:rPr>
          <w:t>4</w:t>
        </w:r>
        <w:r>
          <w:rPr>
            <w:webHidden/>
          </w:rPr>
          <w:fldChar w:fldCharType="end"/>
        </w:r>
      </w:hyperlink>
    </w:p>
    <w:p w:rsidR="00485D17" w:rsidRDefault="00485D17">
      <w:pPr>
        <w:pStyle w:val="TOC2"/>
      </w:pPr>
      <w:hyperlink w:anchor="_Toc428706717" w:history="1">
        <w:r w:rsidRPr="00162A45">
          <w:rPr>
            <w:rStyle w:val="Hyperlink"/>
          </w:rPr>
          <w:t>1. Shrnutí makroekonomického rámce</w:t>
        </w:r>
        <w:r>
          <w:rPr>
            <w:webHidden/>
          </w:rPr>
          <w:tab/>
        </w:r>
        <w:r>
          <w:rPr>
            <w:webHidden/>
          </w:rPr>
          <w:fldChar w:fldCharType="begin"/>
        </w:r>
        <w:r>
          <w:rPr>
            <w:webHidden/>
          </w:rPr>
          <w:instrText xml:space="preserve"> PAGEREF _Toc428706717 \h </w:instrText>
        </w:r>
        <w:r>
          <w:rPr>
            <w:webHidden/>
          </w:rPr>
          <w:fldChar w:fldCharType="separate"/>
        </w:r>
        <w:r>
          <w:rPr>
            <w:webHidden/>
          </w:rPr>
          <w:t>4</w:t>
        </w:r>
        <w:r>
          <w:rPr>
            <w:webHidden/>
          </w:rPr>
          <w:fldChar w:fldCharType="end"/>
        </w:r>
      </w:hyperlink>
    </w:p>
    <w:p w:rsidR="00485D17" w:rsidRDefault="00485D17">
      <w:pPr>
        <w:pStyle w:val="TOC2"/>
      </w:pPr>
      <w:hyperlink w:anchor="_Toc428706718" w:history="1">
        <w:r w:rsidRPr="00162A45">
          <w:rPr>
            <w:rStyle w:val="Hyperlink"/>
          </w:rPr>
          <w:t>2. Předpoklady budoucího vývoje</w:t>
        </w:r>
        <w:r>
          <w:rPr>
            <w:webHidden/>
          </w:rPr>
          <w:tab/>
        </w:r>
        <w:r>
          <w:rPr>
            <w:webHidden/>
          </w:rPr>
          <w:fldChar w:fldCharType="begin"/>
        </w:r>
        <w:r>
          <w:rPr>
            <w:webHidden/>
          </w:rPr>
          <w:instrText xml:space="preserve"> PAGEREF _Toc428706718 \h </w:instrText>
        </w:r>
        <w:r>
          <w:rPr>
            <w:webHidden/>
          </w:rPr>
          <w:fldChar w:fldCharType="separate"/>
        </w:r>
        <w:r>
          <w:rPr>
            <w:webHidden/>
          </w:rPr>
          <w:t>6</w:t>
        </w:r>
        <w:r>
          <w:rPr>
            <w:webHidden/>
          </w:rPr>
          <w:fldChar w:fldCharType="end"/>
        </w:r>
      </w:hyperlink>
    </w:p>
    <w:p w:rsidR="00485D17" w:rsidRDefault="00485D17">
      <w:pPr>
        <w:pStyle w:val="TOC3"/>
        <w:rPr>
          <w:noProof/>
        </w:rPr>
      </w:pPr>
      <w:hyperlink w:anchor="_Toc428706719" w:history="1">
        <w:r w:rsidRPr="00162A45">
          <w:rPr>
            <w:rStyle w:val="Hyperlink"/>
            <w:noProof/>
          </w:rPr>
          <w:t>2.1. Vnější prostředí</w:t>
        </w:r>
        <w:r>
          <w:rPr>
            <w:noProof/>
            <w:webHidden/>
          </w:rPr>
          <w:tab/>
        </w:r>
        <w:r>
          <w:rPr>
            <w:noProof/>
            <w:webHidden/>
          </w:rPr>
          <w:fldChar w:fldCharType="begin"/>
        </w:r>
        <w:r>
          <w:rPr>
            <w:noProof/>
            <w:webHidden/>
          </w:rPr>
          <w:instrText xml:space="preserve"> PAGEREF _Toc428706719 \h </w:instrText>
        </w:r>
        <w:r>
          <w:rPr>
            <w:noProof/>
          </w:rPr>
        </w:r>
        <w:r>
          <w:rPr>
            <w:noProof/>
            <w:webHidden/>
          </w:rPr>
          <w:fldChar w:fldCharType="separate"/>
        </w:r>
        <w:r>
          <w:rPr>
            <w:noProof/>
            <w:webHidden/>
          </w:rPr>
          <w:t>6</w:t>
        </w:r>
        <w:r>
          <w:rPr>
            <w:noProof/>
            <w:webHidden/>
          </w:rPr>
          <w:fldChar w:fldCharType="end"/>
        </w:r>
      </w:hyperlink>
    </w:p>
    <w:p w:rsidR="00485D17" w:rsidRDefault="00485D17">
      <w:pPr>
        <w:pStyle w:val="TOC4"/>
        <w:rPr>
          <w:noProof/>
        </w:rPr>
      </w:pPr>
      <w:hyperlink w:anchor="_Toc428706720" w:history="1">
        <w:r w:rsidRPr="00162A45">
          <w:rPr>
            <w:rStyle w:val="Hyperlink"/>
            <w:noProof/>
          </w:rPr>
          <w:t>2.1.1. Ekonomický výkon</w:t>
        </w:r>
        <w:r>
          <w:rPr>
            <w:noProof/>
            <w:webHidden/>
          </w:rPr>
          <w:tab/>
        </w:r>
        <w:r>
          <w:rPr>
            <w:noProof/>
            <w:webHidden/>
          </w:rPr>
          <w:fldChar w:fldCharType="begin"/>
        </w:r>
        <w:r>
          <w:rPr>
            <w:noProof/>
            <w:webHidden/>
          </w:rPr>
          <w:instrText xml:space="preserve"> PAGEREF _Toc428706720 \h </w:instrText>
        </w:r>
        <w:r>
          <w:rPr>
            <w:noProof/>
          </w:rPr>
        </w:r>
        <w:r>
          <w:rPr>
            <w:noProof/>
            <w:webHidden/>
          </w:rPr>
          <w:fldChar w:fldCharType="separate"/>
        </w:r>
        <w:r>
          <w:rPr>
            <w:noProof/>
            <w:webHidden/>
          </w:rPr>
          <w:t>6</w:t>
        </w:r>
        <w:r>
          <w:rPr>
            <w:noProof/>
            <w:webHidden/>
          </w:rPr>
          <w:fldChar w:fldCharType="end"/>
        </w:r>
      </w:hyperlink>
    </w:p>
    <w:p w:rsidR="00485D17" w:rsidRDefault="00485D17">
      <w:pPr>
        <w:pStyle w:val="TOC4"/>
        <w:rPr>
          <w:noProof/>
        </w:rPr>
      </w:pPr>
      <w:hyperlink w:anchor="_Toc428706721" w:history="1">
        <w:r w:rsidRPr="00162A45">
          <w:rPr>
            <w:rStyle w:val="Hyperlink"/>
            <w:noProof/>
          </w:rPr>
          <w:t>2.1.2. Situace v Řecku</w:t>
        </w:r>
        <w:r>
          <w:rPr>
            <w:noProof/>
            <w:webHidden/>
          </w:rPr>
          <w:tab/>
        </w:r>
        <w:r>
          <w:rPr>
            <w:noProof/>
            <w:webHidden/>
          </w:rPr>
          <w:fldChar w:fldCharType="begin"/>
        </w:r>
        <w:r>
          <w:rPr>
            <w:noProof/>
            <w:webHidden/>
          </w:rPr>
          <w:instrText xml:space="preserve"> PAGEREF _Toc428706721 \h </w:instrText>
        </w:r>
        <w:r>
          <w:rPr>
            <w:noProof/>
          </w:rPr>
        </w:r>
        <w:r>
          <w:rPr>
            <w:noProof/>
            <w:webHidden/>
          </w:rPr>
          <w:fldChar w:fldCharType="separate"/>
        </w:r>
        <w:r>
          <w:rPr>
            <w:noProof/>
            <w:webHidden/>
          </w:rPr>
          <w:t>8</w:t>
        </w:r>
        <w:r>
          <w:rPr>
            <w:noProof/>
            <w:webHidden/>
          </w:rPr>
          <w:fldChar w:fldCharType="end"/>
        </w:r>
      </w:hyperlink>
    </w:p>
    <w:p w:rsidR="00485D17" w:rsidRDefault="00485D17">
      <w:pPr>
        <w:pStyle w:val="TOC4"/>
        <w:rPr>
          <w:noProof/>
        </w:rPr>
      </w:pPr>
      <w:hyperlink w:anchor="_Toc428706722" w:history="1">
        <w:r w:rsidRPr="00162A45">
          <w:rPr>
            <w:rStyle w:val="Hyperlink"/>
            <w:noProof/>
          </w:rPr>
          <w:t>2.1.3. Ropné suroviny</w:t>
        </w:r>
        <w:r>
          <w:rPr>
            <w:noProof/>
            <w:webHidden/>
          </w:rPr>
          <w:tab/>
        </w:r>
        <w:r>
          <w:rPr>
            <w:noProof/>
            <w:webHidden/>
          </w:rPr>
          <w:fldChar w:fldCharType="begin"/>
        </w:r>
        <w:r>
          <w:rPr>
            <w:noProof/>
            <w:webHidden/>
          </w:rPr>
          <w:instrText xml:space="preserve"> PAGEREF _Toc428706722 \h </w:instrText>
        </w:r>
        <w:r>
          <w:rPr>
            <w:noProof/>
          </w:rPr>
        </w:r>
        <w:r>
          <w:rPr>
            <w:noProof/>
            <w:webHidden/>
          </w:rPr>
          <w:fldChar w:fldCharType="separate"/>
        </w:r>
        <w:r>
          <w:rPr>
            <w:noProof/>
            <w:webHidden/>
          </w:rPr>
          <w:t>10</w:t>
        </w:r>
        <w:r>
          <w:rPr>
            <w:noProof/>
            <w:webHidden/>
          </w:rPr>
          <w:fldChar w:fldCharType="end"/>
        </w:r>
      </w:hyperlink>
    </w:p>
    <w:p w:rsidR="00485D17" w:rsidRDefault="00485D17">
      <w:pPr>
        <w:pStyle w:val="TOC3"/>
        <w:rPr>
          <w:noProof/>
        </w:rPr>
      </w:pPr>
      <w:hyperlink w:anchor="_Toc428706723" w:history="1">
        <w:r w:rsidRPr="00162A45">
          <w:rPr>
            <w:rStyle w:val="Hyperlink"/>
            <w:noProof/>
          </w:rPr>
          <w:t>2.2. Fiskální politika</w:t>
        </w:r>
        <w:r>
          <w:rPr>
            <w:noProof/>
            <w:webHidden/>
          </w:rPr>
          <w:tab/>
        </w:r>
        <w:r>
          <w:rPr>
            <w:noProof/>
            <w:webHidden/>
          </w:rPr>
          <w:fldChar w:fldCharType="begin"/>
        </w:r>
        <w:r>
          <w:rPr>
            <w:noProof/>
            <w:webHidden/>
          </w:rPr>
          <w:instrText xml:space="preserve"> PAGEREF _Toc428706723 \h </w:instrText>
        </w:r>
        <w:r>
          <w:rPr>
            <w:noProof/>
          </w:rPr>
        </w:r>
        <w:r>
          <w:rPr>
            <w:noProof/>
            <w:webHidden/>
          </w:rPr>
          <w:fldChar w:fldCharType="separate"/>
        </w:r>
        <w:r>
          <w:rPr>
            <w:noProof/>
            <w:webHidden/>
          </w:rPr>
          <w:t>11</w:t>
        </w:r>
        <w:r>
          <w:rPr>
            <w:noProof/>
            <w:webHidden/>
          </w:rPr>
          <w:fldChar w:fldCharType="end"/>
        </w:r>
      </w:hyperlink>
    </w:p>
    <w:p w:rsidR="00485D17" w:rsidRDefault="00485D17">
      <w:pPr>
        <w:pStyle w:val="TOC3"/>
        <w:rPr>
          <w:noProof/>
        </w:rPr>
      </w:pPr>
      <w:hyperlink w:anchor="_Toc428706724" w:history="1">
        <w:r w:rsidRPr="00162A45">
          <w:rPr>
            <w:rStyle w:val="Hyperlink"/>
            <w:noProof/>
          </w:rPr>
          <w:t>2.3. Měnová politika a měnový kurz</w:t>
        </w:r>
        <w:r>
          <w:rPr>
            <w:noProof/>
            <w:webHidden/>
          </w:rPr>
          <w:tab/>
        </w:r>
        <w:r>
          <w:rPr>
            <w:noProof/>
            <w:webHidden/>
          </w:rPr>
          <w:fldChar w:fldCharType="begin"/>
        </w:r>
        <w:r>
          <w:rPr>
            <w:noProof/>
            <w:webHidden/>
          </w:rPr>
          <w:instrText xml:space="preserve"> PAGEREF _Toc428706724 \h </w:instrText>
        </w:r>
        <w:r>
          <w:rPr>
            <w:noProof/>
          </w:rPr>
        </w:r>
        <w:r>
          <w:rPr>
            <w:noProof/>
            <w:webHidden/>
          </w:rPr>
          <w:fldChar w:fldCharType="separate"/>
        </w:r>
        <w:r>
          <w:rPr>
            <w:noProof/>
            <w:webHidden/>
          </w:rPr>
          <w:t>12</w:t>
        </w:r>
        <w:r>
          <w:rPr>
            <w:noProof/>
            <w:webHidden/>
          </w:rPr>
          <w:fldChar w:fldCharType="end"/>
        </w:r>
      </w:hyperlink>
    </w:p>
    <w:p w:rsidR="00485D17" w:rsidRDefault="00485D17">
      <w:pPr>
        <w:pStyle w:val="TOC3"/>
        <w:rPr>
          <w:noProof/>
        </w:rPr>
      </w:pPr>
      <w:hyperlink w:anchor="_Toc428706725" w:history="1">
        <w:r w:rsidRPr="00162A45">
          <w:rPr>
            <w:rStyle w:val="Hyperlink"/>
            <w:noProof/>
          </w:rPr>
          <w:t>2.4. Strukturální politiky</w:t>
        </w:r>
        <w:r>
          <w:rPr>
            <w:noProof/>
            <w:webHidden/>
          </w:rPr>
          <w:tab/>
        </w:r>
        <w:r>
          <w:rPr>
            <w:noProof/>
            <w:webHidden/>
          </w:rPr>
          <w:fldChar w:fldCharType="begin"/>
        </w:r>
        <w:r>
          <w:rPr>
            <w:noProof/>
            <w:webHidden/>
          </w:rPr>
          <w:instrText xml:space="preserve"> PAGEREF _Toc428706725 \h </w:instrText>
        </w:r>
        <w:r>
          <w:rPr>
            <w:noProof/>
          </w:rPr>
        </w:r>
        <w:r>
          <w:rPr>
            <w:noProof/>
            <w:webHidden/>
          </w:rPr>
          <w:fldChar w:fldCharType="separate"/>
        </w:r>
        <w:r>
          <w:rPr>
            <w:noProof/>
            <w:webHidden/>
          </w:rPr>
          <w:t>13</w:t>
        </w:r>
        <w:r>
          <w:rPr>
            <w:noProof/>
            <w:webHidden/>
          </w:rPr>
          <w:fldChar w:fldCharType="end"/>
        </w:r>
      </w:hyperlink>
    </w:p>
    <w:p w:rsidR="00485D17" w:rsidRDefault="00485D17">
      <w:pPr>
        <w:pStyle w:val="TOC2"/>
      </w:pPr>
      <w:hyperlink w:anchor="_Toc428706726" w:history="1">
        <w:r w:rsidRPr="00162A45">
          <w:rPr>
            <w:rStyle w:val="Hyperlink"/>
          </w:rPr>
          <w:t>3. Makroekonomický vývoj v České republice</w:t>
        </w:r>
        <w:r>
          <w:rPr>
            <w:webHidden/>
          </w:rPr>
          <w:tab/>
        </w:r>
        <w:r>
          <w:rPr>
            <w:webHidden/>
          </w:rPr>
          <w:fldChar w:fldCharType="begin"/>
        </w:r>
        <w:r>
          <w:rPr>
            <w:webHidden/>
          </w:rPr>
          <w:instrText xml:space="preserve"> PAGEREF _Toc428706726 \h </w:instrText>
        </w:r>
        <w:r>
          <w:rPr>
            <w:webHidden/>
          </w:rPr>
          <w:fldChar w:fldCharType="separate"/>
        </w:r>
        <w:r>
          <w:rPr>
            <w:webHidden/>
          </w:rPr>
          <w:t>14</w:t>
        </w:r>
        <w:r>
          <w:rPr>
            <w:webHidden/>
          </w:rPr>
          <w:fldChar w:fldCharType="end"/>
        </w:r>
      </w:hyperlink>
    </w:p>
    <w:p w:rsidR="00485D17" w:rsidRDefault="00485D17">
      <w:pPr>
        <w:pStyle w:val="TOC3"/>
        <w:rPr>
          <w:noProof/>
        </w:rPr>
      </w:pPr>
      <w:hyperlink w:anchor="_Toc428706727" w:history="1">
        <w:r w:rsidRPr="00162A45">
          <w:rPr>
            <w:rStyle w:val="Hyperlink"/>
            <w:noProof/>
          </w:rPr>
          <w:t>3.1. Ekonomický výkon</w:t>
        </w:r>
        <w:r>
          <w:rPr>
            <w:noProof/>
            <w:webHidden/>
          </w:rPr>
          <w:tab/>
        </w:r>
        <w:r>
          <w:rPr>
            <w:noProof/>
            <w:webHidden/>
          </w:rPr>
          <w:fldChar w:fldCharType="begin"/>
        </w:r>
        <w:r>
          <w:rPr>
            <w:noProof/>
            <w:webHidden/>
          </w:rPr>
          <w:instrText xml:space="preserve"> PAGEREF _Toc428706727 \h </w:instrText>
        </w:r>
        <w:r>
          <w:rPr>
            <w:noProof/>
          </w:rPr>
        </w:r>
        <w:r>
          <w:rPr>
            <w:noProof/>
            <w:webHidden/>
          </w:rPr>
          <w:fldChar w:fldCharType="separate"/>
        </w:r>
        <w:r>
          <w:rPr>
            <w:noProof/>
            <w:webHidden/>
          </w:rPr>
          <w:t>14</w:t>
        </w:r>
        <w:r>
          <w:rPr>
            <w:noProof/>
            <w:webHidden/>
          </w:rPr>
          <w:fldChar w:fldCharType="end"/>
        </w:r>
      </w:hyperlink>
    </w:p>
    <w:p w:rsidR="00485D17" w:rsidRDefault="00485D17">
      <w:pPr>
        <w:pStyle w:val="TOC3"/>
        <w:rPr>
          <w:noProof/>
        </w:rPr>
      </w:pPr>
      <w:hyperlink w:anchor="_Toc428706728" w:history="1">
        <w:r w:rsidRPr="00162A45">
          <w:rPr>
            <w:rStyle w:val="Hyperlink"/>
            <w:noProof/>
          </w:rPr>
          <w:t>3.2. Ceny zboží a služeb</w:t>
        </w:r>
        <w:r>
          <w:rPr>
            <w:noProof/>
            <w:webHidden/>
          </w:rPr>
          <w:tab/>
        </w:r>
        <w:r>
          <w:rPr>
            <w:noProof/>
            <w:webHidden/>
          </w:rPr>
          <w:fldChar w:fldCharType="begin"/>
        </w:r>
        <w:r>
          <w:rPr>
            <w:noProof/>
            <w:webHidden/>
          </w:rPr>
          <w:instrText xml:space="preserve"> PAGEREF _Toc428706728 \h </w:instrText>
        </w:r>
        <w:r>
          <w:rPr>
            <w:noProof/>
          </w:rPr>
        </w:r>
        <w:r>
          <w:rPr>
            <w:noProof/>
            <w:webHidden/>
          </w:rPr>
          <w:fldChar w:fldCharType="separate"/>
        </w:r>
        <w:r>
          <w:rPr>
            <w:noProof/>
            <w:webHidden/>
          </w:rPr>
          <w:t>17</w:t>
        </w:r>
        <w:r>
          <w:rPr>
            <w:noProof/>
            <w:webHidden/>
          </w:rPr>
          <w:fldChar w:fldCharType="end"/>
        </w:r>
      </w:hyperlink>
    </w:p>
    <w:p w:rsidR="00485D17" w:rsidRDefault="00485D17">
      <w:pPr>
        <w:pStyle w:val="TOC3"/>
        <w:rPr>
          <w:noProof/>
        </w:rPr>
      </w:pPr>
      <w:hyperlink w:anchor="_Toc428706729" w:history="1">
        <w:r w:rsidRPr="00162A45">
          <w:rPr>
            <w:rStyle w:val="Hyperlink"/>
            <w:noProof/>
          </w:rPr>
          <w:t>3.3. Trh práce</w:t>
        </w:r>
        <w:r>
          <w:rPr>
            <w:noProof/>
            <w:webHidden/>
          </w:rPr>
          <w:tab/>
        </w:r>
        <w:r>
          <w:rPr>
            <w:noProof/>
            <w:webHidden/>
          </w:rPr>
          <w:fldChar w:fldCharType="begin"/>
        </w:r>
        <w:r>
          <w:rPr>
            <w:noProof/>
            <w:webHidden/>
          </w:rPr>
          <w:instrText xml:space="preserve"> PAGEREF _Toc428706729 \h </w:instrText>
        </w:r>
        <w:r>
          <w:rPr>
            <w:noProof/>
          </w:rPr>
        </w:r>
        <w:r>
          <w:rPr>
            <w:noProof/>
            <w:webHidden/>
          </w:rPr>
          <w:fldChar w:fldCharType="separate"/>
        </w:r>
        <w:r>
          <w:rPr>
            <w:noProof/>
            <w:webHidden/>
          </w:rPr>
          <w:t>18</w:t>
        </w:r>
        <w:r>
          <w:rPr>
            <w:noProof/>
            <w:webHidden/>
          </w:rPr>
          <w:fldChar w:fldCharType="end"/>
        </w:r>
      </w:hyperlink>
    </w:p>
    <w:p w:rsidR="00485D17" w:rsidRDefault="00485D17">
      <w:pPr>
        <w:pStyle w:val="TOC4"/>
        <w:rPr>
          <w:noProof/>
        </w:rPr>
      </w:pPr>
      <w:hyperlink w:anchor="_Toc428706730" w:history="1">
        <w:r w:rsidRPr="00162A45">
          <w:rPr>
            <w:rStyle w:val="Hyperlink"/>
            <w:noProof/>
          </w:rPr>
          <w:t>3.3.1. Zaměstnanost a nezaměstnanost (v metodice VŠPS)</w:t>
        </w:r>
        <w:r>
          <w:rPr>
            <w:noProof/>
            <w:webHidden/>
          </w:rPr>
          <w:tab/>
        </w:r>
        <w:r>
          <w:rPr>
            <w:noProof/>
            <w:webHidden/>
          </w:rPr>
          <w:fldChar w:fldCharType="begin"/>
        </w:r>
        <w:r>
          <w:rPr>
            <w:noProof/>
            <w:webHidden/>
          </w:rPr>
          <w:instrText xml:space="preserve"> PAGEREF _Toc428706730 \h </w:instrText>
        </w:r>
        <w:r>
          <w:rPr>
            <w:noProof/>
          </w:rPr>
        </w:r>
        <w:r>
          <w:rPr>
            <w:noProof/>
            <w:webHidden/>
          </w:rPr>
          <w:fldChar w:fldCharType="separate"/>
        </w:r>
        <w:r>
          <w:rPr>
            <w:noProof/>
            <w:webHidden/>
          </w:rPr>
          <w:t>18</w:t>
        </w:r>
        <w:r>
          <w:rPr>
            <w:noProof/>
            <w:webHidden/>
          </w:rPr>
          <w:fldChar w:fldCharType="end"/>
        </w:r>
      </w:hyperlink>
    </w:p>
    <w:p w:rsidR="00485D17" w:rsidRDefault="00485D17">
      <w:pPr>
        <w:pStyle w:val="TOC4"/>
        <w:rPr>
          <w:noProof/>
        </w:rPr>
      </w:pPr>
      <w:hyperlink w:anchor="_Toc428706731" w:history="1">
        <w:r w:rsidRPr="00162A45">
          <w:rPr>
            <w:rStyle w:val="Hyperlink"/>
            <w:noProof/>
          </w:rPr>
          <w:t>3.3.2. Mzdy</w:t>
        </w:r>
        <w:r>
          <w:rPr>
            <w:noProof/>
            <w:webHidden/>
          </w:rPr>
          <w:tab/>
        </w:r>
        <w:r>
          <w:rPr>
            <w:noProof/>
            <w:webHidden/>
          </w:rPr>
          <w:fldChar w:fldCharType="begin"/>
        </w:r>
        <w:r>
          <w:rPr>
            <w:noProof/>
            <w:webHidden/>
          </w:rPr>
          <w:instrText xml:space="preserve"> PAGEREF _Toc428706731 \h </w:instrText>
        </w:r>
        <w:r>
          <w:rPr>
            <w:noProof/>
          </w:rPr>
        </w:r>
        <w:r>
          <w:rPr>
            <w:noProof/>
            <w:webHidden/>
          </w:rPr>
          <w:fldChar w:fldCharType="separate"/>
        </w:r>
        <w:r>
          <w:rPr>
            <w:noProof/>
            <w:webHidden/>
          </w:rPr>
          <w:t>20</w:t>
        </w:r>
        <w:r>
          <w:rPr>
            <w:noProof/>
            <w:webHidden/>
          </w:rPr>
          <w:fldChar w:fldCharType="end"/>
        </w:r>
      </w:hyperlink>
    </w:p>
    <w:p w:rsidR="00485D17" w:rsidRDefault="00485D17">
      <w:pPr>
        <w:pStyle w:val="TOC3"/>
        <w:rPr>
          <w:noProof/>
        </w:rPr>
      </w:pPr>
      <w:hyperlink w:anchor="_Toc428706732" w:history="1">
        <w:r w:rsidRPr="00162A45">
          <w:rPr>
            <w:rStyle w:val="Hyperlink"/>
            <w:noProof/>
          </w:rPr>
          <w:t>3.4. Vztahy k zahraničí</w:t>
        </w:r>
        <w:r>
          <w:rPr>
            <w:noProof/>
            <w:webHidden/>
          </w:rPr>
          <w:tab/>
        </w:r>
        <w:r>
          <w:rPr>
            <w:noProof/>
            <w:webHidden/>
          </w:rPr>
          <w:fldChar w:fldCharType="begin"/>
        </w:r>
        <w:r>
          <w:rPr>
            <w:noProof/>
            <w:webHidden/>
          </w:rPr>
          <w:instrText xml:space="preserve"> PAGEREF _Toc428706732 \h </w:instrText>
        </w:r>
        <w:r>
          <w:rPr>
            <w:noProof/>
          </w:rPr>
        </w:r>
        <w:r>
          <w:rPr>
            <w:noProof/>
            <w:webHidden/>
          </w:rPr>
          <w:fldChar w:fldCharType="separate"/>
        </w:r>
        <w:r>
          <w:rPr>
            <w:noProof/>
            <w:webHidden/>
          </w:rPr>
          <w:t>20</w:t>
        </w:r>
        <w:r>
          <w:rPr>
            <w:noProof/>
            <w:webHidden/>
          </w:rPr>
          <w:fldChar w:fldCharType="end"/>
        </w:r>
      </w:hyperlink>
    </w:p>
    <w:p w:rsidR="00485D17" w:rsidRDefault="00485D17">
      <w:pPr>
        <w:pStyle w:val="TOC2"/>
      </w:pPr>
      <w:hyperlink w:anchor="_Toc428706733" w:history="1">
        <w:r w:rsidRPr="00162A45">
          <w:rPr>
            <w:rStyle w:val="Hyperlink"/>
          </w:rPr>
          <w:t>4. Ověření makroekonomického rámce nezávislými prognózami</w:t>
        </w:r>
        <w:r>
          <w:rPr>
            <w:webHidden/>
          </w:rPr>
          <w:tab/>
        </w:r>
        <w:r>
          <w:rPr>
            <w:webHidden/>
          </w:rPr>
          <w:fldChar w:fldCharType="begin"/>
        </w:r>
        <w:r>
          <w:rPr>
            <w:webHidden/>
          </w:rPr>
          <w:instrText xml:space="preserve"> PAGEREF _Toc428706733 \h </w:instrText>
        </w:r>
        <w:r>
          <w:rPr>
            <w:webHidden/>
          </w:rPr>
          <w:fldChar w:fldCharType="separate"/>
        </w:r>
        <w:r>
          <w:rPr>
            <w:webHidden/>
          </w:rPr>
          <w:t>22</w:t>
        </w:r>
        <w:r>
          <w:rPr>
            <w:webHidden/>
          </w:rPr>
          <w:fldChar w:fldCharType="end"/>
        </w:r>
      </w:hyperlink>
    </w:p>
    <w:p w:rsidR="00485D17" w:rsidRDefault="00485D17">
      <w:pPr>
        <w:pStyle w:val="TOC1"/>
        <w:rPr>
          <w:b w:val="0"/>
        </w:rPr>
      </w:pPr>
      <w:hyperlink w:anchor="_Toc428706734" w:history="1">
        <w:r w:rsidRPr="00162A45">
          <w:rPr>
            <w:rStyle w:val="Hyperlink"/>
          </w:rPr>
          <w:t>B. Fiskální cílení centrální vlády v letech 2016 až 2018</w:t>
        </w:r>
        <w:r>
          <w:rPr>
            <w:webHidden/>
          </w:rPr>
          <w:tab/>
        </w:r>
        <w:r>
          <w:rPr>
            <w:webHidden/>
          </w:rPr>
          <w:fldChar w:fldCharType="begin"/>
        </w:r>
        <w:r>
          <w:rPr>
            <w:webHidden/>
          </w:rPr>
          <w:instrText xml:space="preserve"> PAGEREF _Toc428706734 \h </w:instrText>
        </w:r>
        <w:r>
          <w:rPr>
            <w:webHidden/>
          </w:rPr>
          <w:fldChar w:fldCharType="separate"/>
        </w:r>
        <w:r>
          <w:rPr>
            <w:webHidden/>
          </w:rPr>
          <w:t>23</w:t>
        </w:r>
        <w:r>
          <w:rPr>
            <w:webHidden/>
          </w:rPr>
          <w:fldChar w:fldCharType="end"/>
        </w:r>
      </w:hyperlink>
    </w:p>
    <w:p w:rsidR="00485D17" w:rsidRDefault="00485D17">
      <w:pPr>
        <w:pStyle w:val="TOC2"/>
      </w:pPr>
      <w:hyperlink w:anchor="_Toc428706735" w:history="1">
        <w:r w:rsidRPr="00162A45">
          <w:rPr>
            <w:rStyle w:val="Hyperlink"/>
          </w:rPr>
          <w:t>5. Schválený výdajový rámec pro roky 2016 a 2017</w:t>
        </w:r>
        <w:r>
          <w:rPr>
            <w:webHidden/>
          </w:rPr>
          <w:tab/>
        </w:r>
        <w:r>
          <w:rPr>
            <w:webHidden/>
          </w:rPr>
          <w:fldChar w:fldCharType="begin"/>
        </w:r>
        <w:r>
          <w:rPr>
            <w:webHidden/>
          </w:rPr>
          <w:instrText xml:space="preserve"> PAGEREF _Toc428706735 \h </w:instrText>
        </w:r>
        <w:r>
          <w:rPr>
            <w:webHidden/>
          </w:rPr>
          <w:fldChar w:fldCharType="separate"/>
        </w:r>
        <w:r>
          <w:rPr>
            <w:webHidden/>
          </w:rPr>
          <w:t>23</w:t>
        </w:r>
        <w:r>
          <w:rPr>
            <w:webHidden/>
          </w:rPr>
          <w:fldChar w:fldCharType="end"/>
        </w:r>
      </w:hyperlink>
    </w:p>
    <w:p w:rsidR="00485D17" w:rsidRDefault="00485D17">
      <w:pPr>
        <w:pStyle w:val="TOC2"/>
      </w:pPr>
      <w:hyperlink w:anchor="_Toc428706736" w:history="1">
        <w:r w:rsidRPr="00162A45">
          <w:rPr>
            <w:rStyle w:val="Hyperlink"/>
          </w:rPr>
          <w:t>6. Nový výdajový rámec na léta 2016 až 2018</w:t>
        </w:r>
        <w:r>
          <w:rPr>
            <w:webHidden/>
          </w:rPr>
          <w:tab/>
        </w:r>
        <w:r>
          <w:rPr>
            <w:webHidden/>
          </w:rPr>
          <w:fldChar w:fldCharType="begin"/>
        </w:r>
        <w:r>
          <w:rPr>
            <w:webHidden/>
          </w:rPr>
          <w:instrText xml:space="preserve"> PAGEREF _Toc428706736 \h </w:instrText>
        </w:r>
        <w:r>
          <w:rPr>
            <w:webHidden/>
          </w:rPr>
          <w:fldChar w:fldCharType="separate"/>
        </w:r>
        <w:r>
          <w:rPr>
            <w:webHidden/>
          </w:rPr>
          <w:t>23</w:t>
        </w:r>
        <w:r>
          <w:rPr>
            <w:webHidden/>
          </w:rPr>
          <w:fldChar w:fldCharType="end"/>
        </w:r>
      </w:hyperlink>
    </w:p>
    <w:p w:rsidR="00485D17" w:rsidRDefault="00485D17">
      <w:pPr>
        <w:pStyle w:val="TOC1"/>
        <w:rPr>
          <w:b w:val="0"/>
        </w:rPr>
      </w:pPr>
      <w:hyperlink w:anchor="_Toc428706737" w:history="1">
        <w:r w:rsidRPr="00162A45">
          <w:rPr>
            <w:rStyle w:val="Hyperlink"/>
          </w:rPr>
          <w:t>C. Vývoj základních ukazatelů střednědobého výhledu v letech 2017 až 2018</w:t>
        </w:r>
        <w:r>
          <w:rPr>
            <w:webHidden/>
          </w:rPr>
          <w:tab/>
        </w:r>
        <w:r>
          <w:rPr>
            <w:webHidden/>
          </w:rPr>
          <w:fldChar w:fldCharType="begin"/>
        </w:r>
        <w:r>
          <w:rPr>
            <w:webHidden/>
          </w:rPr>
          <w:instrText xml:space="preserve"> PAGEREF _Toc428706737 \h </w:instrText>
        </w:r>
        <w:r>
          <w:rPr>
            <w:webHidden/>
          </w:rPr>
          <w:fldChar w:fldCharType="separate"/>
        </w:r>
        <w:r>
          <w:rPr>
            <w:webHidden/>
          </w:rPr>
          <w:t>26</w:t>
        </w:r>
        <w:r>
          <w:rPr>
            <w:webHidden/>
          </w:rPr>
          <w:fldChar w:fldCharType="end"/>
        </w:r>
      </w:hyperlink>
    </w:p>
    <w:p w:rsidR="00485D17" w:rsidRDefault="00485D17">
      <w:pPr>
        <w:pStyle w:val="TOC2"/>
      </w:pPr>
      <w:hyperlink w:anchor="_Toc428706738" w:history="1">
        <w:r w:rsidRPr="00162A45">
          <w:rPr>
            <w:rStyle w:val="Hyperlink"/>
          </w:rPr>
          <w:t>7. Základní ukazatele státního rozpočtu ve střednědobém výhledu</w:t>
        </w:r>
        <w:r>
          <w:rPr>
            <w:webHidden/>
          </w:rPr>
          <w:tab/>
        </w:r>
        <w:r>
          <w:rPr>
            <w:webHidden/>
          </w:rPr>
          <w:fldChar w:fldCharType="begin"/>
        </w:r>
        <w:r>
          <w:rPr>
            <w:webHidden/>
          </w:rPr>
          <w:instrText xml:space="preserve"> PAGEREF _Toc428706738 \h </w:instrText>
        </w:r>
        <w:r>
          <w:rPr>
            <w:webHidden/>
          </w:rPr>
          <w:fldChar w:fldCharType="separate"/>
        </w:r>
        <w:r>
          <w:rPr>
            <w:webHidden/>
          </w:rPr>
          <w:t>26</w:t>
        </w:r>
        <w:r>
          <w:rPr>
            <w:webHidden/>
          </w:rPr>
          <w:fldChar w:fldCharType="end"/>
        </w:r>
      </w:hyperlink>
    </w:p>
    <w:p w:rsidR="00485D17" w:rsidRDefault="00485D17">
      <w:pPr>
        <w:pStyle w:val="TOC3"/>
        <w:rPr>
          <w:noProof/>
        </w:rPr>
      </w:pPr>
      <w:hyperlink w:anchor="_Toc428706739" w:history="1">
        <w:r w:rsidRPr="00162A45">
          <w:rPr>
            <w:rStyle w:val="Hyperlink"/>
            <w:noProof/>
          </w:rPr>
          <w:t>7.1. Východiska zpracování střednědobého výhledu</w:t>
        </w:r>
        <w:r>
          <w:rPr>
            <w:noProof/>
            <w:webHidden/>
          </w:rPr>
          <w:tab/>
        </w:r>
        <w:r>
          <w:rPr>
            <w:noProof/>
            <w:webHidden/>
          </w:rPr>
          <w:fldChar w:fldCharType="begin"/>
        </w:r>
        <w:r>
          <w:rPr>
            <w:noProof/>
            <w:webHidden/>
          </w:rPr>
          <w:instrText xml:space="preserve"> PAGEREF _Toc428706739 \h </w:instrText>
        </w:r>
        <w:r>
          <w:rPr>
            <w:noProof/>
          </w:rPr>
        </w:r>
        <w:r>
          <w:rPr>
            <w:noProof/>
            <w:webHidden/>
          </w:rPr>
          <w:fldChar w:fldCharType="separate"/>
        </w:r>
        <w:r>
          <w:rPr>
            <w:noProof/>
            <w:webHidden/>
          </w:rPr>
          <w:t>26</w:t>
        </w:r>
        <w:r>
          <w:rPr>
            <w:noProof/>
            <w:webHidden/>
          </w:rPr>
          <w:fldChar w:fldCharType="end"/>
        </w:r>
      </w:hyperlink>
    </w:p>
    <w:p w:rsidR="00485D17" w:rsidRDefault="00485D17">
      <w:pPr>
        <w:pStyle w:val="TOC3"/>
        <w:rPr>
          <w:noProof/>
        </w:rPr>
      </w:pPr>
      <w:hyperlink w:anchor="_Toc428706740" w:history="1">
        <w:r w:rsidRPr="00162A45">
          <w:rPr>
            <w:rStyle w:val="Hyperlink"/>
            <w:noProof/>
          </w:rPr>
          <w:t>7.2. Predikce příjmů</w:t>
        </w:r>
        <w:r>
          <w:rPr>
            <w:noProof/>
            <w:webHidden/>
          </w:rPr>
          <w:tab/>
        </w:r>
        <w:r>
          <w:rPr>
            <w:noProof/>
            <w:webHidden/>
          </w:rPr>
          <w:fldChar w:fldCharType="begin"/>
        </w:r>
        <w:r>
          <w:rPr>
            <w:noProof/>
            <w:webHidden/>
          </w:rPr>
          <w:instrText xml:space="preserve"> PAGEREF _Toc428706740 \h </w:instrText>
        </w:r>
        <w:r>
          <w:rPr>
            <w:noProof/>
          </w:rPr>
        </w:r>
        <w:r>
          <w:rPr>
            <w:noProof/>
            <w:webHidden/>
          </w:rPr>
          <w:fldChar w:fldCharType="separate"/>
        </w:r>
        <w:r>
          <w:rPr>
            <w:noProof/>
            <w:webHidden/>
          </w:rPr>
          <w:t>27</w:t>
        </w:r>
        <w:r>
          <w:rPr>
            <w:noProof/>
            <w:webHidden/>
          </w:rPr>
          <w:fldChar w:fldCharType="end"/>
        </w:r>
      </w:hyperlink>
    </w:p>
    <w:p w:rsidR="00485D17" w:rsidRDefault="00485D17">
      <w:pPr>
        <w:pStyle w:val="TOC4"/>
        <w:rPr>
          <w:noProof/>
        </w:rPr>
      </w:pPr>
      <w:hyperlink w:anchor="_Toc428706741" w:history="1">
        <w:r w:rsidRPr="00162A45">
          <w:rPr>
            <w:rStyle w:val="Hyperlink"/>
            <w:noProof/>
          </w:rPr>
          <w:t>7.2.1. Daňové příjmy státního rozpočtu</w:t>
        </w:r>
        <w:r>
          <w:rPr>
            <w:noProof/>
            <w:webHidden/>
          </w:rPr>
          <w:tab/>
        </w:r>
        <w:r>
          <w:rPr>
            <w:noProof/>
            <w:webHidden/>
          </w:rPr>
          <w:fldChar w:fldCharType="begin"/>
        </w:r>
        <w:r>
          <w:rPr>
            <w:noProof/>
            <w:webHidden/>
          </w:rPr>
          <w:instrText xml:space="preserve"> PAGEREF _Toc428706741 \h </w:instrText>
        </w:r>
        <w:r>
          <w:rPr>
            <w:noProof/>
          </w:rPr>
        </w:r>
        <w:r>
          <w:rPr>
            <w:noProof/>
            <w:webHidden/>
          </w:rPr>
          <w:fldChar w:fldCharType="separate"/>
        </w:r>
        <w:r>
          <w:rPr>
            <w:noProof/>
            <w:webHidden/>
          </w:rPr>
          <w:t>27</w:t>
        </w:r>
        <w:r>
          <w:rPr>
            <w:noProof/>
            <w:webHidden/>
          </w:rPr>
          <w:fldChar w:fldCharType="end"/>
        </w:r>
      </w:hyperlink>
    </w:p>
    <w:p w:rsidR="00485D17" w:rsidRDefault="00485D17">
      <w:pPr>
        <w:pStyle w:val="TOC4"/>
        <w:rPr>
          <w:noProof/>
        </w:rPr>
      </w:pPr>
      <w:hyperlink w:anchor="_Toc428706742" w:history="1">
        <w:r w:rsidRPr="00162A45">
          <w:rPr>
            <w:rStyle w:val="Hyperlink"/>
            <w:noProof/>
          </w:rPr>
          <w:t>7.2.1.1. Vývoj daňové kvóty</w:t>
        </w:r>
        <w:r>
          <w:rPr>
            <w:noProof/>
            <w:webHidden/>
          </w:rPr>
          <w:tab/>
        </w:r>
        <w:r>
          <w:rPr>
            <w:noProof/>
            <w:webHidden/>
          </w:rPr>
          <w:fldChar w:fldCharType="begin"/>
        </w:r>
        <w:r>
          <w:rPr>
            <w:noProof/>
            <w:webHidden/>
          </w:rPr>
          <w:instrText xml:space="preserve"> PAGEREF _Toc428706742 \h </w:instrText>
        </w:r>
        <w:r>
          <w:rPr>
            <w:noProof/>
          </w:rPr>
        </w:r>
        <w:r>
          <w:rPr>
            <w:noProof/>
            <w:webHidden/>
          </w:rPr>
          <w:fldChar w:fldCharType="separate"/>
        </w:r>
        <w:r>
          <w:rPr>
            <w:noProof/>
            <w:webHidden/>
          </w:rPr>
          <w:t>27</w:t>
        </w:r>
        <w:r>
          <w:rPr>
            <w:noProof/>
            <w:webHidden/>
          </w:rPr>
          <w:fldChar w:fldCharType="end"/>
        </w:r>
      </w:hyperlink>
    </w:p>
    <w:p w:rsidR="00485D17" w:rsidRDefault="00485D17">
      <w:pPr>
        <w:pStyle w:val="TOC4"/>
        <w:rPr>
          <w:noProof/>
        </w:rPr>
      </w:pPr>
      <w:hyperlink w:anchor="_Toc428706743" w:history="1">
        <w:r w:rsidRPr="00162A45">
          <w:rPr>
            <w:rStyle w:val="Hyperlink"/>
            <w:noProof/>
          </w:rPr>
          <w:t>7.2.1.2. Daňové příjmy podle jednotlivých daní</w:t>
        </w:r>
        <w:r>
          <w:rPr>
            <w:noProof/>
            <w:webHidden/>
          </w:rPr>
          <w:tab/>
        </w:r>
        <w:r>
          <w:rPr>
            <w:noProof/>
            <w:webHidden/>
          </w:rPr>
          <w:fldChar w:fldCharType="begin"/>
        </w:r>
        <w:r>
          <w:rPr>
            <w:noProof/>
            <w:webHidden/>
          </w:rPr>
          <w:instrText xml:space="preserve"> PAGEREF _Toc428706743 \h </w:instrText>
        </w:r>
        <w:r>
          <w:rPr>
            <w:noProof/>
          </w:rPr>
        </w:r>
        <w:r>
          <w:rPr>
            <w:noProof/>
            <w:webHidden/>
          </w:rPr>
          <w:fldChar w:fldCharType="separate"/>
        </w:r>
        <w:r>
          <w:rPr>
            <w:noProof/>
            <w:webHidden/>
          </w:rPr>
          <w:t>29</w:t>
        </w:r>
        <w:r>
          <w:rPr>
            <w:noProof/>
            <w:webHidden/>
          </w:rPr>
          <w:fldChar w:fldCharType="end"/>
        </w:r>
      </w:hyperlink>
    </w:p>
    <w:p w:rsidR="00485D17" w:rsidRDefault="00485D17">
      <w:pPr>
        <w:pStyle w:val="TOC4"/>
        <w:rPr>
          <w:noProof/>
        </w:rPr>
      </w:pPr>
      <w:hyperlink w:anchor="_Toc428706744" w:history="1">
        <w:r w:rsidRPr="00162A45">
          <w:rPr>
            <w:rStyle w:val="Hyperlink"/>
            <w:noProof/>
          </w:rPr>
          <w:t>7.2.2. Příjmy z pojistného na sociální zabezpečení a příspěvku na státní politiku zaměstnanosti</w:t>
        </w:r>
        <w:r>
          <w:rPr>
            <w:noProof/>
            <w:webHidden/>
          </w:rPr>
          <w:tab/>
        </w:r>
        <w:r>
          <w:rPr>
            <w:noProof/>
            <w:webHidden/>
          </w:rPr>
          <w:fldChar w:fldCharType="begin"/>
        </w:r>
        <w:r>
          <w:rPr>
            <w:noProof/>
            <w:webHidden/>
          </w:rPr>
          <w:instrText xml:space="preserve"> PAGEREF _Toc428706744 \h </w:instrText>
        </w:r>
        <w:r>
          <w:rPr>
            <w:noProof/>
          </w:rPr>
        </w:r>
        <w:r>
          <w:rPr>
            <w:noProof/>
            <w:webHidden/>
          </w:rPr>
          <w:fldChar w:fldCharType="separate"/>
        </w:r>
        <w:r>
          <w:rPr>
            <w:noProof/>
            <w:webHidden/>
          </w:rPr>
          <w:t>32</w:t>
        </w:r>
        <w:r>
          <w:rPr>
            <w:noProof/>
            <w:webHidden/>
          </w:rPr>
          <w:fldChar w:fldCharType="end"/>
        </w:r>
      </w:hyperlink>
    </w:p>
    <w:p w:rsidR="00485D17" w:rsidRDefault="00485D17">
      <w:pPr>
        <w:pStyle w:val="TOC4"/>
        <w:rPr>
          <w:noProof/>
        </w:rPr>
      </w:pPr>
      <w:hyperlink w:anchor="_Toc428706745" w:history="1">
        <w:r w:rsidRPr="00162A45">
          <w:rPr>
            <w:rStyle w:val="Hyperlink"/>
            <w:noProof/>
          </w:rPr>
          <w:t>7.2.3. Nedaňové příjmy, kapitálové příjmy a přijaté transfery</w:t>
        </w:r>
        <w:r>
          <w:rPr>
            <w:noProof/>
            <w:webHidden/>
          </w:rPr>
          <w:tab/>
        </w:r>
        <w:r>
          <w:rPr>
            <w:noProof/>
            <w:webHidden/>
          </w:rPr>
          <w:fldChar w:fldCharType="begin"/>
        </w:r>
        <w:r>
          <w:rPr>
            <w:noProof/>
            <w:webHidden/>
          </w:rPr>
          <w:instrText xml:space="preserve"> PAGEREF _Toc428706745 \h </w:instrText>
        </w:r>
        <w:r>
          <w:rPr>
            <w:noProof/>
          </w:rPr>
        </w:r>
        <w:r>
          <w:rPr>
            <w:noProof/>
            <w:webHidden/>
          </w:rPr>
          <w:fldChar w:fldCharType="separate"/>
        </w:r>
        <w:r>
          <w:rPr>
            <w:noProof/>
            <w:webHidden/>
          </w:rPr>
          <w:t>33</w:t>
        </w:r>
        <w:r>
          <w:rPr>
            <w:noProof/>
            <w:webHidden/>
          </w:rPr>
          <w:fldChar w:fldCharType="end"/>
        </w:r>
      </w:hyperlink>
    </w:p>
    <w:p w:rsidR="00485D17" w:rsidRDefault="00485D17">
      <w:pPr>
        <w:pStyle w:val="TOC3"/>
        <w:rPr>
          <w:noProof/>
        </w:rPr>
      </w:pPr>
      <w:hyperlink w:anchor="_Toc428706746" w:history="1">
        <w:r w:rsidRPr="00162A45">
          <w:rPr>
            <w:rStyle w:val="Hyperlink"/>
            <w:noProof/>
          </w:rPr>
          <w:t>7.3. Predikce výdajů</w:t>
        </w:r>
        <w:r>
          <w:rPr>
            <w:noProof/>
            <w:webHidden/>
          </w:rPr>
          <w:tab/>
        </w:r>
        <w:r>
          <w:rPr>
            <w:noProof/>
            <w:webHidden/>
          </w:rPr>
          <w:fldChar w:fldCharType="begin"/>
        </w:r>
        <w:r>
          <w:rPr>
            <w:noProof/>
            <w:webHidden/>
          </w:rPr>
          <w:instrText xml:space="preserve"> PAGEREF _Toc428706746 \h </w:instrText>
        </w:r>
        <w:r>
          <w:rPr>
            <w:noProof/>
          </w:rPr>
        </w:r>
        <w:r>
          <w:rPr>
            <w:noProof/>
            <w:webHidden/>
          </w:rPr>
          <w:fldChar w:fldCharType="separate"/>
        </w:r>
        <w:r>
          <w:rPr>
            <w:noProof/>
            <w:webHidden/>
          </w:rPr>
          <w:t>34</w:t>
        </w:r>
        <w:r>
          <w:rPr>
            <w:noProof/>
            <w:webHidden/>
          </w:rPr>
          <w:fldChar w:fldCharType="end"/>
        </w:r>
      </w:hyperlink>
    </w:p>
    <w:p w:rsidR="00485D17" w:rsidRDefault="00485D17">
      <w:pPr>
        <w:pStyle w:val="TOC4"/>
        <w:rPr>
          <w:noProof/>
        </w:rPr>
      </w:pPr>
      <w:hyperlink w:anchor="_Toc428706747" w:history="1">
        <w:r w:rsidRPr="00162A45">
          <w:rPr>
            <w:rStyle w:val="Hyperlink"/>
            <w:noProof/>
          </w:rPr>
          <w:t>7.3.1. Vybrané výdaje stanovené usnesením vlády a další vybrané výdaje, které byly promítnuty do návrhu výdajů kapitol v letech 2016 až 2018</w:t>
        </w:r>
        <w:r>
          <w:rPr>
            <w:noProof/>
            <w:webHidden/>
          </w:rPr>
          <w:tab/>
        </w:r>
        <w:r>
          <w:rPr>
            <w:noProof/>
            <w:webHidden/>
          </w:rPr>
          <w:fldChar w:fldCharType="begin"/>
        </w:r>
        <w:r>
          <w:rPr>
            <w:noProof/>
            <w:webHidden/>
          </w:rPr>
          <w:instrText xml:space="preserve"> PAGEREF _Toc428706747 \h </w:instrText>
        </w:r>
        <w:r>
          <w:rPr>
            <w:noProof/>
          </w:rPr>
        </w:r>
        <w:r>
          <w:rPr>
            <w:noProof/>
            <w:webHidden/>
          </w:rPr>
          <w:fldChar w:fldCharType="separate"/>
        </w:r>
        <w:r>
          <w:rPr>
            <w:noProof/>
            <w:webHidden/>
          </w:rPr>
          <w:t>34</w:t>
        </w:r>
        <w:r>
          <w:rPr>
            <w:noProof/>
            <w:webHidden/>
          </w:rPr>
          <w:fldChar w:fldCharType="end"/>
        </w:r>
      </w:hyperlink>
    </w:p>
    <w:p w:rsidR="00485D17" w:rsidRDefault="00485D17">
      <w:pPr>
        <w:pStyle w:val="TOC4"/>
        <w:rPr>
          <w:noProof/>
        </w:rPr>
      </w:pPr>
      <w:hyperlink w:anchor="_Toc428706748" w:history="1">
        <w:r w:rsidRPr="00162A45">
          <w:rPr>
            <w:rStyle w:val="Hyperlink"/>
            <w:noProof/>
          </w:rPr>
          <w:t>7.3.2. Mandatorní sociální výdaje</w:t>
        </w:r>
        <w:r>
          <w:rPr>
            <w:noProof/>
            <w:webHidden/>
          </w:rPr>
          <w:tab/>
        </w:r>
        <w:r>
          <w:rPr>
            <w:noProof/>
            <w:webHidden/>
          </w:rPr>
          <w:fldChar w:fldCharType="begin"/>
        </w:r>
        <w:r>
          <w:rPr>
            <w:noProof/>
            <w:webHidden/>
          </w:rPr>
          <w:instrText xml:space="preserve"> PAGEREF _Toc428706748 \h </w:instrText>
        </w:r>
        <w:r>
          <w:rPr>
            <w:noProof/>
          </w:rPr>
        </w:r>
        <w:r>
          <w:rPr>
            <w:noProof/>
            <w:webHidden/>
          </w:rPr>
          <w:fldChar w:fldCharType="separate"/>
        </w:r>
        <w:r>
          <w:rPr>
            <w:noProof/>
            <w:webHidden/>
          </w:rPr>
          <w:t>38</w:t>
        </w:r>
        <w:r>
          <w:rPr>
            <w:noProof/>
            <w:webHidden/>
          </w:rPr>
          <w:fldChar w:fldCharType="end"/>
        </w:r>
      </w:hyperlink>
    </w:p>
    <w:p w:rsidR="00485D17" w:rsidRDefault="00485D17">
      <w:pPr>
        <w:pStyle w:val="TOC4"/>
        <w:rPr>
          <w:noProof/>
        </w:rPr>
      </w:pPr>
      <w:hyperlink w:anchor="_Toc428706749" w:history="1">
        <w:r w:rsidRPr="00162A45">
          <w:rPr>
            <w:rStyle w:val="Hyperlink"/>
            <w:noProof/>
          </w:rPr>
          <w:t>7.3.3. Odvody vlastních zdrojů do rozpočtu EU</w:t>
        </w:r>
        <w:r>
          <w:rPr>
            <w:noProof/>
            <w:webHidden/>
          </w:rPr>
          <w:tab/>
        </w:r>
        <w:r>
          <w:rPr>
            <w:noProof/>
            <w:webHidden/>
          </w:rPr>
          <w:fldChar w:fldCharType="begin"/>
        </w:r>
        <w:r>
          <w:rPr>
            <w:noProof/>
            <w:webHidden/>
          </w:rPr>
          <w:instrText xml:space="preserve"> PAGEREF _Toc428706749 \h </w:instrText>
        </w:r>
        <w:r>
          <w:rPr>
            <w:noProof/>
          </w:rPr>
        </w:r>
        <w:r>
          <w:rPr>
            <w:noProof/>
            <w:webHidden/>
          </w:rPr>
          <w:fldChar w:fldCharType="separate"/>
        </w:r>
        <w:r>
          <w:rPr>
            <w:noProof/>
            <w:webHidden/>
          </w:rPr>
          <w:t>41</w:t>
        </w:r>
        <w:r>
          <w:rPr>
            <w:noProof/>
            <w:webHidden/>
          </w:rPr>
          <w:fldChar w:fldCharType="end"/>
        </w:r>
      </w:hyperlink>
    </w:p>
    <w:p w:rsidR="00485D17" w:rsidRDefault="00485D17">
      <w:pPr>
        <w:pStyle w:val="TOC4"/>
        <w:rPr>
          <w:noProof/>
        </w:rPr>
      </w:pPr>
      <w:hyperlink w:anchor="_Toc428706750" w:history="1">
        <w:r w:rsidRPr="00162A45">
          <w:rPr>
            <w:rStyle w:val="Hyperlink"/>
            <w:noProof/>
          </w:rPr>
          <w:t>7.3.4. Výdaje na platy a ostatní platby za provedenou práci</w:t>
        </w:r>
        <w:r>
          <w:rPr>
            <w:noProof/>
            <w:webHidden/>
          </w:rPr>
          <w:tab/>
        </w:r>
        <w:r>
          <w:rPr>
            <w:noProof/>
            <w:webHidden/>
          </w:rPr>
          <w:fldChar w:fldCharType="begin"/>
        </w:r>
        <w:r>
          <w:rPr>
            <w:noProof/>
            <w:webHidden/>
          </w:rPr>
          <w:instrText xml:space="preserve"> PAGEREF _Toc428706750 \h </w:instrText>
        </w:r>
        <w:r>
          <w:rPr>
            <w:noProof/>
          </w:rPr>
        </w:r>
        <w:r>
          <w:rPr>
            <w:noProof/>
            <w:webHidden/>
          </w:rPr>
          <w:fldChar w:fldCharType="separate"/>
        </w:r>
        <w:r>
          <w:rPr>
            <w:noProof/>
            <w:webHidden/>
          </w:rPr>
          <w:t>41</w:t>
        </w:r>
        <w:r>
          <w:rPr>
            <w:noProof/>
            <w:webHidden/>
          </w:rPr>
          <w:fldChar w:fldCharType="end"/>
        </w:r>
      </w:hyperlink>
    </w:p>
    <w:p w:rsidR="00485D17" w:rsidRDefault="00485D17">
      <w:pPr>
        <w:pStyle w:val="TOC4"/>
        <w:rPr>
          <w:noProof/>
        </w:rPr>
      </w:pPr>
      <w:hyperlink w:anchor="_Toc428706751" w:history="1">
        <w:r w:rsidRPr="00162A45">
          <w:rPr>
            <w:rStyle w:val="Hyperlink"/>
            <w:noProof/>
          </w:rPr>
          <w:t>7.3.5. Výdaje na výzkum, vývoj a inovace</w:t>
        </w:r>
        <w:r>
          <w:rPr>
            <w:noProof/>
            <w:webHidden/>
          </w:rPr>
          <w:tab/>
        </w:r>
        <w:r>
          <w:rPr>
            <w:noProof/>
            <w:webHidden/>
          </w:rPr>
          <w:fldChar w:fldCharType="begin"/>
        </w:r>
        <w:r>
          <w:rPr>
            <w:noProof/>
            <w:webHidden/>
          </w:rPr>
          <w:instrText xml:space="preserve"> PAGEREF _Toc428706751 \h </w:instrText>
        </w:r>
        <w:r>
          <w:rPr>
            <w:noProof/>
          </w:rPr>
        </w:r>
        <w:r>
          <w:rPr>
            <w:noProof/>
            <w:webHidden/>
          </w:rPr>
          <w:fldChar w:fldCharType="separate"/>
        </w:r>
        <w:r>
          <w:rPr>
            <w:noProof/>
            <w:webHidden/>
          </w:rPr>
          <w:t>43</w:t>
        </w:r>
        <w:r>
          <w:rPr>
            <w:noProof/>
            <w:webHidden/>
          </w:rPr>
          <w:fldChar w:fldCharType="end"/>
        </w:r>
      </w:hyperlink>
    </w:p>
    <w:p w:rsidR="00485D17" w:rsidRDefault="00485D17">
      <w:pPr>
        <w:pStyle w:val="TOC3"/>
        <w:rPr>
          <w:noProof/>
        </w:rPr>
      </w:pPr>
      <w:hyperlink w:anchor="_Toc428706752" w:history="1">
        <w:r w:rsidRPr="00162A45">
          <w:rPr>
            <w:rStyle w:val="Hyperlink"/>
            <w:noProof/>
          </w:rPr>
          <w:t>7.4. Předpokládaný způsob financování deficitu</w:t>
        </w:r>
        <w:r>
          <w:rPr>
            <w:noProof/>
            <w:webHidden/>
          </w:rPr>
          <w:tab/>
        </w:r>
        <w:r>
          <w:rPr>
            <w:noProof/>
            <w:webHidden/>
          </w:rPr>
          <w:fldChar w:fldCharType="begin"/>
        </w:r>
        <w:r>
          <w:rPr>
            <w:noProof/>
            <w:webHidden/>
          </w:rPr>
          <w:instrText xml:space="preserve"> PAGEREF _Toc428706752 \h </w:instrText>
        </w:r>
        <w:r>
          <w:rPr>
            <w:noProof/>
          </w:rPr>
        </w:r>
        <w:r>
          <w:rPr>
            <w:noProof/>
            <w:webHidden/>
          </w:rPr>
          <w:fldChar w:fldCharType="separate"/>
        </w:r>
        <w:r>
          <w:rPr>
            <w:noProof/>
            <w:webHidden/>
          </w:rPr>
          <w:t>43</w:t>
        </w:r>
        <w:r>
          <w:rPr>
            <w:noProof/>
            <w:webHidden/>
          </w:rPr>
          <w:fldChar w:fldCharType="end"/>
        </w:r>
      </w:hyperlink>
    </w:p>
    <w:p w:rsidR="00485D17" w:rsidRDefault="00485D17">
      <w:pPr>
        <w:pStyle w:val="TOC2"/>
      </w:pPr>
      <w:hyperlink w:anchor="_Toc428706753" w:history="1">
        <w:r w:rsidRPr="00162A45">
          <w:rPr>
            <w:rStyle w:val="Hyperlink"/>
          </w:rPr>
          <w:t>8. Základní ukazatele státních fondů ve střednědobém výhledu</w:t>
        </w:r>
        <w:r>
          <w:rPr>
            <w:webHidden/>
          </w:rPr>
          <w:tab/>
        </w:r>
        <w:r>
          <w:rPr>
            <w:webHidden/>
          </w:rPr>
          <w:fldChar w:fldCharType="begin"/>
        </w:r>
        <w:r>
          <w:rPr>
            <w:webHidden/>
          </w:rPr>
          <w:instrText xml:space="preserve"> PAGEREF _Toc428706753 \h </w:instrText>
        </w:r>
        <w:r>
          <w:rPr>
            <w:webHidden/>
          </w:rPr>
          <w:fldChar w:fldCharType="separate"/>
        </w:r>
        <w:r>
          <w:rPr>
            <w:webHidden/>
          </w:rPr>
          <w:t>43</w:t>
        </w:r>
        <w:r>
          <w:rPr>
            <w:webHidden/>
          </w:rPr>
          <w:fldChar w:fldCharType="end"/>
        </w:r>
      </w:hyperlink>
    </w:p>
    <w:p w:rsidR="00485D17" w:rsidRDefault="00485D17">
      <w:pPr>
        <w:pStyle w:val="TOC3"/>
        <w:rPr>
          <w:noProof/>
        </w:rPr>
      </w:pPr>
      <w:hyperlink w:anchor="_Toc428706754" w:history="1">
        <w:r w:rsidRPr="00162A45">
          <w:rPr>
            <w:rStyle w:val="Hyperlink"/>
            <w:noProof/>
          </w:rPr>
          <w:t>8.1. Státní fond dopravní infrastruktury</w:t>
        </w:r>
        <w:r>
          <w:rPr>
            <w:noProof/>
            <w:webHidden/>
          </w:rPr>
          <w:tab/>
        </w:r>
        <w:r>
          <w:rPr>
            <w:noProof/>
            <w:webHidden/>
          </w:rPr>
          <w:fldChar w:fldCharType="begin"/>
        </w:r>
        <w:r>
          <w:rPr>
            <w:noProof/>
            <w:webHidden/>
          </w:rPr>
          <w:instrText xml:space="preserve"> PAGEREF _Toc428706754 \h </w:instrText>
        </w:r>
        <w:r>
          <w:rPr>
            <w:noProof/>
          </w:rPr>
        </w:r>
        <w:r>
          <w:rPr>
            <w:noProof/>
            <w:webHidden/>
          </w:rPr>
          <w:fldChar w:fldCharType="separate"/>
        </w:r>
        <w:r>
          <w:rPr>
            <w:noProof/>
            <w:webHidden/>
          </w:rPr>
          <w:t>43</w:t>
        </w:r>
        <w:r>
          <w:rPr>
            <w:noProof/>
            <w:webHidden/>
          </w:rPr>
          <w:fldChar w:fldCharType="end"/>
        </w:r>
      </w:hyperlink>
    </w:p>
    <w:p w:rsidR="00485D17" w:rsidRDefault="00485D17">
      <w:pPr>
        <w:pStyle w:val="TOC3"/>
        <w:rPr>
          <w:noProof/>
        </w:rPr>
      </w:pPr>
      <w:hyperlink w:anchor="_Toc428706755" w:history="1">
        <w:r w:rsidRPr="00162A45">
          <w:rPr>
            <w:rStyle w:val="Hyperlink"/>
            <w:noProof/>
          </w:rPr>
          <w:t>8.2. Státní zemědělský intervenční fond</w:t>
        </w:r>
        <w:r>
          <w:rPr>
            <w:noProof/>
            <w:webHidden/>
          </w:rPr>
          <w:tab/>
        </w:r>
        <w:r>
          <w:rPr>
            <w:noProof/>
            <w:webHidden/>
          </w:rPr>
          <w:fldChar w:fldCharType="begin"/>
        </w:r>
        <w:r>
          <w:rPr>
            <w:noProof/>
            <w:webHidden/>
          </w:rPr>
          <w:instrText xml:space="preserve"> PAGEREF _Toc428706755 \h </w:instrText>
        </w:r>
        <w:r>
          <w:rPr>
            <w:noProof/>
          </w:rPr>
        </w:r>
        <w:r>
          <w:rPr>
            <w:noProof/>
            <w:webHidden/>
          </w:rPr>
          <w:fldChar w:fldCharType="separate"/>
        </w:r>
        <w:r>
          <w:rPr>
            <w:noProof/>
            <w:webHidden/>
          </w:rPr>
          <w:t>44</w:t>
        </w:r>
        <w:r>
          <w:rPr>
            <w:noProof/>
            <w:webHidden/>
          </w:rPr>
          <w:fldChar w:fldCharType="end"/>
        </w:r>
      </w:hyperlink>
    </w:p>
    <w:p w:rsidR="00485D17" w:rsidRDefault="00485D17">
      <w:pPr>
        <w:pStyle w:val="TOC3"/>
        <w:rPr>
          <w:noProof/>
        </w:rPr>
      </w:pPr>
      <w:hyperlink w:anchor="_Toc428706756" w:history="1">
        <w:r w:rsidRPr="00162A45">
          <w:rPr>
            <w:rStyle w:val="Hyperlink"/>
            <w:noProof/>
          </w:rPr>
          <w:t>8.3. Státní fond kinematografie</w:t>
        </w:r>
        <w:r>
          <w:rPr>
            <w:noProof/>
            <w:webHidden/>
          </w:rPr>
          <w:tab/>
        </w:r>
        <w:r>
          <w:rPr>
            <w:noProof/>
            <w:webHidden/>
          </w:rPr>
          <w:fldChar w:fldCharType="begin"/>
        </w:r>
        <w:r>
          <w:rPr>
            <w:noProof/>
            <w:webHidden/>
          </w:rPr>
          <w:instrText xml:space="preserve"> PAGEREF _Toc428706756 \h </w:instrText>
        </w:r>
        <w:r>
          <w:rPr>
            <w:noProof/>
          </w:rPr>
        </w:r>
        <w:r>
          <w:rPr>
            <w:noProof/>
            <w:webHidden/>
          </w:rPr>
          <w:fldChar w:fldCharType="separate"/>
        </w:r>
        <w:r>
          <w:rPr>
            <w:noProof/>
            <w:webHidden/>
          </w:rPr>
          <w:t>45</w:t>
        </w:r>
        <w:r>
          <w:rPr>
            <w:noProof/>
            <w:webHidden/>
          </w:rPr>
          <w:fldChar w:fldCharType="end"/>
        </w:r>
      </w:hyperlink>
    </w:p>
    <w:p w:rsidR="00485D17" w:rsidRDefault="00485D17">
      <w:pPr>
        <w:pStyle w:val="TOC3"/>
        <w:rPr>
          <w:noProof/>
        </w:rPr>
      </w:pPr>
      <w:hyperlink w:anchor="_Toc428706757" w:history="1">
        <w:r w:rsidRPr="00162A45">
          <w:rPr>
            <w:rStyle w:val="Hyperlink"/>
            <w:noProof/>
          </w:rPr>
          <w:t>8.4. Státní fond kultury České republiky</w:t>
        </w:r>
        <w:r>
          <w:rPr>
            <w:noProof/>
            <w:webHidden/>
          </w:rPr>
          <w:tab/>
        </w:r>
        <w:r>
          <w:rPr>
            <w:noProof/>
            <w:webHidden/>
          </w:rPr>
          <w:fldChar w:fldCharType="begin"/>
        </w:r>
        <w:r>
          <w:rPr>
            <w:noProof/>
            <w:webHidden/>
          </w:rPr>
          <w:instrText xml:space="preserve"> PAGEREF _Toc428706757 \h </w:instrText>
        </w:r>
        <w:r>
          <w:rPr>
            <w:noProof/>
          </w:rPr>
        </w:r>
        <w:r>
          <w:rPr>
            <w:noProof/>
            <w:webHidden/>
          </w:rPr>
          <w:fldChar w:fldCharType="separate"/>
        </w:r>
        <w:r>
          <w:rPr>
            <w:noProof/>
            <w:webHidden/>
          </w:rPr>
          <w:t>46</w:t>
        </w:r>
        <w:r>
          <w:rPr>
            <w:noProof/>
            <w:webHidden/>
          </w:rPr>
          <w:fldChar w:fldCharType="end"/>
        </w:r>
      </w:hyperlink>
    </w:p>
    <w:p w:rsidR="00485D17" w:rsidRDefault="00485D17">
      <w:pPr>
        <w:pStyle w:val="TOC3"/>
        <w:rPr>
          <w:noProof/>
        </w:rPr>
      </w:pPr>
      <w:hyperlink w:anchor="_Toc428706758" w:history="1">
        <w:r w:rsidRPr="00162A45">
          <w:rPr>
            <w:rStyle w:val="Hyperlink"/>
            <w:noProof/>
          </w:rPr>
          <w:t>8.5. Státní fond rozvoje bydlení</w:t>
        </w:r>
        <w:r>
          <w:rPr>
            <w:noProof/>
            <w:webHidden/>
          </w:rPr>
          <w:tab/>
        </w:r>
        <w:r>
          <w:rPr>
            <w:noProof/>
            <w:webHidden/>
          </w:rPr>
          <w:fldChar w:fldCharType="begin"/>
        </w:r>
        <w:r>
          <w:rPr>
            <w:noProof/>
            <w:webHidden/>
          </w:rPr>
          <w:instrText xml:space="preserve"> PAGEREF _Toc428706758 \h </w:instrText>
        </w:r>
        <w:r>
          <w:rPr>
            <w:noProof/>
          </w:rPr>
        </w:r>
        <w:r>
          <w:rPr>
            <w:noProof/>
            <w:webHidden/>
          </w:rPr>
          <w:fldChar w:fldCharType="separate"/>
        </w:r>
        <w:r>
          <w:rPr>
            <w:noProof/>
            <w:webHidden/>
          </w:rPr>
          <w:t>46</w:t>
        </w:r>
        <w:r>
          <w:rPr>
            <w:noProof/>
            <w:webHidden/>
          </w:rPr>
          <w:fldChar w:fldCharType="end"/>
        </w:r>
      </w:hyperlink>
    </w:p>
    <w:p w:rsidR="00485D17" w:rsidRDefault="00485D17">
      <w:pPr>
        <w:pStyle w:val="TOC3"/>
        <w:rPr>
          <w:noProof/>
        </w:rPr>
      </w:pPr>
      <w:hyperlink w:anchor="_Toc428706759" w:history="1">
        <w:r w:rsidRPr="00162A45">
          <w:rPr>
            <w:rStyle w:val="Hyperlink"/>
            <w:noProof/>
          </w:rPr>
          <w:t>8.6. Státní fond životního prostředí České republiky</w:t>
        </w:r>
        <w:r>
          <w:rPr>
            <w:noProof/>
            <w:webHidden/>
          </w:rPr>
          <w:tab/>
        </w:r>
        <w:r>
          <w:rPr>
            <w:noProof/>
            <w:webHidden/>
          </w:rPr>
          <w:fldChar w:fldCharType="begin"/>
        </w:r>
        <w:r>
          <w:rPr>
            <w:noProof/>
            <w:webHidden/>
          </w:rPr>
          <w:instrText xml:space="preserve"> PAGEREF _Toc428706759 \h </w:instrText>
        </w:r>
        <w:r>
          <w:rPr>
            <w:noProof/>
          </w:rPr>
        </w:r>
        <w:r>
          <w:rPr>
            <w:noProof/>
            <w:webHidden/>
          </w:rPr>
          <w:fldChar w:fldCharType="separate"/>
        </w:r>
        <w:r>
          <w:rPr>
            <w:noProof/>
            <w:webHidden/>
          </w:rPr>
          <w:t>47</w:t>
        </w:r>
        <w:r>
          <w:rPr>
            <w:noProof/>
            <w:webHidden/>
          </w:rPr>
          <w:fldChar w:fldCharType="end"/>
        </w:r>
      </w:hyperlink>
    </w:p>
    <w:p w:rsidR="00485D17" w:rsidRDefault="00485D17">
      <w:pPr>
        <w:pStyle w:val="TOC3"/>
        <w:rPr>
          <w:noProof/>
        </w:rPr>
      </w:pPr>
      <w:hyperlink w:anchor="_Toc428706760" w:history="1">
        <w:r w:rsidRPr="00162A45">
          <w:rPr>
            <w:rStyle w:val="Hyperlink"/>
            <w:noProof/>
          </w:rPr>
          <w:t>8.7. Úhrnná bilance státních fondů</w:t>
        </w:r>
        <w:r>
          <w:rPr>
            <w:noProof/>
            <w:webHidden/>
          </w:rPr>
          <w:tab/>
        </w:r>
        <w:r>
          <w:rPr>
            <w:noProof/>
            <w:webHidden/>
          </w:rPr>
          <w:fldChar w:fldCharType="begin"/>
        </w:r>
        <w:r>
          <w:rPr>
            <w:noProof/>
            <w:webHidden/>
          </w:rPr>
          <w:instrText xml:space="preserve"> PAGEREF _Toc428706760 \h </w:instrText>
        </w:r>
        <w:r>
          <w:rPr>
            <w:noProof/>
          </w:rPr>
        </w:r>
        <w:r>
          <w:rPr>
            <w:noProof/>
            <w:webHidden/>
          </w:rPr>
          <w:fldChar w:fldCharType="separate"/>
        </w:r>
        <w:r>
          <w:rPr>
            <w:noProof/>
            <w:webHidden/>
          </w:rPr>
          <w:t>48</w:t>
        </w:r>
        <w:r>
          <w:rPr>
            <w:noProof/>
            <w:webHidden/>
          </w:rPr>
          <w:fldChar w:fldCharType="end"/>
        </w:r>
      </w:hyperlink>
    </w:p>
    <w:p w:rsidR="00485D17" w:rsidRDefault="00485D17">
      <w:pPr>
        <w:pStyle w:val="TOC1"/>
        <w:rPr>
          <w:b w:val="0"/>
        </w:rPr>
      </w:pPr>
      <w:hyperlink w:anchor="_Toc428706761" w:history="1">
        <w:r w:rsidRPr="00162A45">
          <w:rPr>
            <w:rStyle w:val="Hyperlink"/>
          </w:rPr>
          <w:t>D. Další vybrané údaje střednědobého výhledu na léta 2017 a 2018</w:t>
        </w:r>
        <w:r>
          <w:rPr>
            <w:webHidden/>
          </w:rPr>
          <w:tab/>
        </w:r>
        <w:r>
          <w:rPr>
            <w:webHidden/>
          </w:rPr>
          <w:fldChar w:fldCharType="begin"/>
        </w:r>
        <w:r>
          <w:rPr>
            <w:webHidden/>
          </w:rPr>
          <w:instrText xml:space="preserve"> PAGEREF _Toc428706761 \h </w:instrText>
        </w:r>
        <w:r>
          <w:rPr>
            <w:webHidden/>
          </w:rPr>
          <w:fldChar w:fldCharType="separate"/>
        </w:r>
        <w:r>
          <w:rPr>
            <w:webHidden/>
          </w:rPr>
          <w:t>49</w:t>
        </w:r>
        <w:r>
          <w:rPr>
            <w:webHidden/>
          </w:rPr>
          <w:fldChar w:fldCharType="end"/>
        </w:r>
      </w:hyperlink>
    </w:p>
    <w:p w:rsidR="00485D17" w:rsidRDefault="00485D17">
      <w:pPr>
        <w:pStyle w:val="TOC2"/>
      </w:pPr>
      <w:hyperlink w:anchor="_Toc428706762" w:history="1">
        <w:r w:rsidRPr="00162A45">
          <w:rPr>
            <w:rStyle w:val="Hyperlink"/>
          </w:rPr>
          <w:t>9. Výdaje na programy nebo projekty spolufinancované z rozpočtu Evropské unie v letech 2017 až 2018</w:t>
        </w:r>
        <w:r>
          <w:rPr>
            <w:webHidden/>
          </w:rPr>
          <w:tab/>
        </w:r>
        <w:r>
          <w:rPr>
            <w:webHidden/>
          </w:rPr>
          <w:fldChar w:fldCharType="begin"/>
        </w:r>
        <w:r>
          <w:rPr>
            <w:webHidden/>
          </w:rPr>
          <w:instrText xml:space="preserve"> PAGEREF _Toc428706762 \h </w:instrText>
        </w:r>
        <w:r>
          <w:rPr>
            <w:webHidden/>
          </w:rPr>
          <w:fldChar w:fldCharType="separate"/>
        </w:r>
        <w:r>
          <w:rPr>
            <w:webHidden/>
          </w:rPr>
          <w:t>49</w:t>
        </w:r>
        <w:r>
          <w:rPr>
            <w:webHidden/>
          </w:rPr>
          <w:fldChar w:fldCharType="end"/>
        </w:r>
      </w:hyperlink>
    </w:p>
    <w:p w:rsidR="00485D17" w:rsidRDefault="00485D17">
      <w:pPr>
        <w:pStyle w:val="TOC2"/>
      </w:pPr>
      <w:hyperlink w:anchor="_Toc428706763" w:history="1">
        <w:r w:rsidRPr="00162A45">
          <w:rPr>
            <w:rStyle w:val="Hyperlink"/>
          </w:rPr>
          <w:t>10. Výdaje na Finanční mechanismy EHP/ Norska 2009 - 2014 a Program švýcarsko-české spolupráce v letech 2017 až 2018</w:t>
        </w:r>
        <w:r>
          <w:rPr>
            <w:webHidden/>
          </w:rPr>
          <w:tab/>
        </w:r>
        <w:r>
          <w:rPr>
            <w:webHidden/>
          </w:rPr>
          <w:fldChar w:fldCharType="begin"/>
        </w:r>
        <w:r>
          <w:rPr>
            <w:webHidden/>
          </w:rPr>
          <w:instrText xml:space="preserve"> PAGEREF _Toc428706763 \h </w:instrText>
        </w:r>
        <w:r>
          <w:rPr>
            <w:webHidden/>
          </w:rPr>
          <w:fldChar w:fldCharType="separate"/>
        </w:r>
        <w:r>
          <w:rPr>
            <w:webHidden/>
          </w:rPr>
          <w:t>51</w:t>
        </w:r>
        <w:r>
          <w:rPr>
            <w:webHidden/>
          </w:rPr>
          <w:fldChar w:fldCharType="end"/>
        </w:r>
      </w:hyperlink>
    </w:p>
    <w:p w:rsidR="00485D17" w:rsidRDefault="00485D17">
      <w:pPr>
        <w:pStyle w:val="TOC2"/>
      </w:pPr>
      <w:hyperlink w:anchor="_Toc428706764" w:history="1">
        <w:r w:rsidRPr="00162A45">
          <w:rPr>
            <w:rStyle w:val="Hyperlink"/>
          </w:rPr>
          <w:t>11. Přehled závazků fyzických a právnických osob, za které se zaručily jménem státu jeho organizační složky</w:t>
        </w:r>
        <w:r>
          <w:rPr>
            <w:webHidden/>
          </w:rPr>
          <w:tab/>
        </w:r>
        <w:r>
          <w:rPr>
            <w:webHidden/>
          </w:rPr>
          <w:fldChar w:fldCharType="begin"/>
        </w:r>
        <w:r>
          <w:rPr>
            <w:webHidden/>
          </w:rPr>
          <w:instrText xml:space="preserve"> PAGEREF _Toc428706764 \h </w:instrText>
        </w:r>
        <w:r>
          <w:rPr>
            <w:webHidden/>
          </w:rPr>
          <w:fldChar w:fldCharType="separate"/>
        </w:r>
        <w:r>
          <w:rPr>
            <w:webHidden/>
          </w:rPr>
          <w:t>52</w:t>
        </w:r>
        <w:r>
          <w:rPr>
            <w:webHidden/>
          </w:rPr>
          <w:fldChar w:fldCharType="end"/>
        </w:r>
      </w:hyperlink>
    </w:p>
    <w:p w:rsidR="00485D17" w:rsidRDefault="00485D17">
      <w:pPr>
        <w:pStyle w:val="TOC2"/>
      </w:pPr>
      <w:hyperlink w:anchor="_Toc428706765" w:history="1">
        <w:r w:rsidRPr="00162A45">
          <w:rPr>
            <w:rStyle w:val="Hyperlink"/>
          </w:rPr>
          <w:t>12. Vývoj státního dluhu, příjmů a výdajů kapitoly Státní dluh</w:t>
        </w:r>
        <w:r>
          <w:rPr>
            <w:webHidden/>
          </w:rPr>
          <w:tab/>
        </w:r>
        <w:r>
          <w:rPr>
            <w:webHidden/>
          </w:rPr>
          <w:fldChar w:fldCharType="begin"/>
        </w:r>
        <w:r>
          <w:rPr>
            <w:webHidden/>
          </w:rPr>
          <w:instrText xml:space="preserve"> PAGEREF _Toc428706765 \h </w:instrText>
        </w:r>
        <w:r>
          <w:rPr>
            <w:webHidden/>
          </w:rPr>
          <w:fldChar w:fldCharType="separate"/>
        </w:r>
        <w:r>
          <w:rPr>
            <w:webHidden/>
          </w:rPr>
          <w:t>54</w:t>
        </w:r>
        <w:r>
          <w:rPr>
            <w:webHidden/>
          </w:rPr>
          <w:fldChar w:fldCharType="end"/>
        </w:r>
      </w:hyperlink>
    </w:p>
    <w:p w:rsidR="00485D17" w:rsidRDefault="00485D17">
      <w:pPr>
        <w:pStyle w:val="TOC2"/>
      </w:pPr>
      <w:hyperlink w:anchor="_Toc428706766" w:history="1">
        <w:r w:rsidRPr="00162A45">
          <w:rPr>
            <w:rStyle w:val="Hyperlink"/>
          </w:rPr>
          <w:t>13. Závazky státu vyplývajících z víceletých významných veřejných zakázek a z koncesních smluv</w:t>
        </w:r>
        <w:r>
          <w:rPr>
            <w:webHidden/>
          </w:rPr>
          <w:tab/>
        </w:r>
        <w:r>
          <w:rPr>
            <w:webHidden/>
          </w:rPr>
          <w:fldChar w:fldCharType="begin"/>
        </w:r>
        <w:r>
          <w:rPr>
            <w:webHidden/>
          </w:rPr>
          <w:instrText xml:space="preserve"> PAGEREF _Toc428706766 \h </w:instrText>
        </w:r>
        <w:r>
          <w:rPr>
            <w:webHidden/>
          </w:rPr>
          <w:fldChar w:fldCharType="separate"/>
        </w:r>
        <w:r>
          <w:rPr>
            <w:webHidden/>
          </w:rPr>
          <w:t>56</w:t>
        </w:r>
        <w:r>
          <w:rPr>
            <w:webHidden/>
          </w:rPr>
          <w:fldChar w:fldCharType="end"/>
        </w:r>
      </w:hyperlink>
    </w:p>
    <w:p w:rsidR="00485D17" w:rsidRDefault="00485D17">
      <w:pPr>
        <w:pStyle w:val="TOC1"/>
        <w:rPr>
          <w:b w:val="0"/>
        </w:rPr>
      </w:pPr>
      <w:hyperlink w:anchor="_Toc428706767" w:history="1">
        <w:r w:rsidRPr="00162A45">
          <w:rPr>
            <w:rStyle w:val="Hyperlink"/>
          </w:rPr>
          <w:t>E. Tabulková část</w:t>
        </w:r>
        <w:r>
          <w:rPr>
            <w:webHidden/>
          </w:rPr>
          <w:tab/>
        </w:r>
        <w:r>
          <w:rPr>
            <w:webHidden/>
          </w:rPr>
          <w:fldChar w:fldCharType="begin"/>
        </w:r>
        <w:r>
          <w:rPr>
            <w:webHidden/>
          </w:rPr>
          <w:instrText xml:space="preserve"> PAGEREF _Toc428706767 \h </w:instrText>
        </w:r>
        <w:r>
          <w:rPr>
            <w:webHidden/>
          </w:rPr>
          <w:fldChar w:fldCharType="separate"/>
        </w:r>
        <w:r>
          <w:rPr>
            <w:webHidden/>
          </w:rPr>
          <w:t>58</w:t>
        </w:r>
        <w:r>
          <w:rPr>
            <w:webHidden/>
          </w:rPr>
          <w:fldChar w:fldCharType="end"/>
        </w:r>
      </w:hyperlink>
    </w:p>
    <w:p w:rsidR="00485D17" w:rsidRDefault="00485D17" w:rsidP="00932F6C">
      <w:pPr>
        <w:pStyle w:val="Nadpishlavnsti"/>
        <w:pageBreakBefore w:val="0"/>
      </w:pPr>
      <w:r>
        <w:fldChar w:fldCharType="end"/>
      </w:r>
    </w:p>
    <w:p w:rsidR="00485D17" w:rsidRPr="00D819EA" w:rsidRDefault="00485D17" w:rsidP="006120DF">
      <w:pPr>
        <w:pStyle w:val="Nadpishlavnsti"/>
      </w:pPr>
      <w:bookmarkStart w:id="2" w:name="_Toc206999960"/>
      <w:bookmarkStart w:id="3" w:name="_Toc241917773"/>
      <w:bookmarkStart w:id="4" w:name="_Toc333680158"/>
      <w:bookmarkStart w:id="5" w:name="_Toc428706715"/>
      <w:r w:rsidRPr="00D819EA">
        <w:t>Úvod</w:t>
      </w:r>
      <w:bookmarkEnd w:id="2"/>
      <w:bookmarkEnd w:id="3"/>
      <w:bookmarkEnd w:id="4"/>
      <w:bookmarkEnd w:id="5"/>
    </w:p>
    <w:p w:rsidR="00485D17" w:rsidRPr="002A711C" w:rsidRDefault="00485D17" w:rsidP="002A711C">
      <w:pPr>
        <w:ind w:firstLine="720"/>
      </w:pPr>
      <w:r w:rsidRPr="002A711C">
        <w:t xml:space="preserve">Povinnost předložit Poslanecké sněmovně schválený střednědobý výhled ukládá vládě zákon o rozpočtových pravidlech. </w:t>
      </w:r>
    </w:p>
    <w:p w:rsidR="00485D17" w:rsidRPr="002A711C" w:rsidRDefault="00485D17" w:rsidP="006A0A7F">
      <w:pPr>
        <w:ind w:firstLine="720"/>
      </w:pPr>
      <w:r w:rsidRPr="002A711C">
        <w:t>Střednědobý výhled se zpracovává zároveň s návrhem státního rozpočtu na příslušný rok a jeho obsah tvoří příjmy a výdaje státního rozpočtu a státních fondů na dvouleté období následující po roce, na který je sestavován a zpracováván návrh státního rozpočtu. Výhled poskytuje přehled o klíčových aspektech budoucího vývoje ve fiskální oblasti.</w:t>
      </w:r>
    </w:p>
    <w:p w:rsidR="00485D17" w:rsidRDefault="00485D17" w:rsidP="00FC1CF1">
      <w:pPr>
        <w:autoSpaceDE w:val="0"/>
        <w:autoSpaceDN w:val="0"/>
        <w:adjustRightInd w:val="0"/>
        <w:ind w:firstLine="720"/>
      </w:pPr>
    </w:p>
    <w:p w:rsidR="00485D17" w:rsidRPr="00B64C76" w:rsidRDefault="00485D17" w:rsidP="00FC1CF1">
      <w:pPr>
        <w:autoSpaceDE w:val="0"/>
        <w:autoSpaceDN w:val="0"/>
        <w:adjustRightInd w:val="0"/>
        <w:ind w:firstLine="720"/>
      </w:pPr>
    </w:p>
    <w:p w:rsidR="00485D17" w:rsidRPr="00B64C76" w:rsidRDefault="00485D17" w:rsidP="000E1DA5"/>
    <w:p w:rsidR="00485D17" w:rsidRPr="00D819EA" w:rsidRDefault="00485D17" w:rsidP="000E1DA5"/>
    <w:p w:rsidR="00485D17" w:rsidRPr="00BE375B" w:rsidRDefault="00485D17" w:rsidP="00E90FB0">
      <w:pPr>
        <w:pStyle w:val="Nadpishlavnsti"/>
      </w:pPr>
      <w:bookmarkStart w:id="6" w:name="_Toc267549780"/>
      <w:bookmarkStart w:id="7" w:name="_Toc268781552"/>
      <w:bookmarkStart w:id="8" w:name="_Toc268781580"/>
      <w:bookmarkStart w:id="9" w:name="_Toc302128550"/>
      <w:bookmarkStart w:id="10" w:name="_Toc333680159"/>
      <w:bookmarkStart w:id="11" w:name="_Toc428706716"/>
      <w:bookmarkStart w:id="12" w:name="_Toc267549781"/>
      <w:bookmarkStart w:id="13" w:name="_Toc268781553"/>
      <w:bookmarkStart w:id="14" w:name="_Toc268781581"/>
      <w:bookmarkStart w:id="15" w:name="_Toc270672635"/>
      <w:r w:rsidRPr="0078640E">
        <w:t xml:space="preserve">A. </w:t>
      </w:r>
      <w:r w:rsidRPr="00BE375B">
        <w:t>Ma</w:t>
      </w:r>
      <w:r>
        <w:t>kroekonomický rámec na léta 2016</w:t>
      </w:r>
      <w:r w:rsidRPr="00BE375B">
        <w:t xml:space="preserve"> až 201</w:t>
      </w:r>
      <w:bookmarkEnd w:id="6"/>
      <w:bookmarkEnd w:id="7"/>
      <w:bookmarkEnd w:id="8"/>
      <w:bookmarkEnd w:id="9"/>
      <w:bookmarkEnd w:id="10"/>
      <w:r>
        <w:t>8</w:t>
      </w:r>
      <w:bookmarkEnd w:id="11"/>
    </w:p>
    <w:p w:rsidR="00485D17" w:rsidRDefault="00485D17" w:rsidP="00C513C0">
      <w:pPr>
        <w:pStyle w:val="Heading1"/>
        <w:ind w:left="0"/>
      </w:pPr>
      <w:bookmarkStart w:id="16" w:name="_Toc361667770"/>
      <w:bookmarkStart w:id="17" w:name="_Toc428706717"/>
      <w:bookmarkStart w:id="18" w:name="_Toc206999976"/>
      <w:bookmarkStart w:id="19" w:name="_Toc241917793"/>
      <w:bookmarkStart w:id="20" w:name="_Toc333680173"/>
      <w:bookmarkEnd w:id="12"/>
      <w:bookmarkEnd w:id="13"/>
      <w:bookmarkEnd w:id="14"/>
      <w:bookmarkEnd w:id="15"/>
      <w:r w:rsidRPr="00D77888">
        <w:t>Shrnutí makroekonomického rámce</w:t>
      </w:r>
      <w:bookmarkEnd w:id="16"/>
      <w:bookmarkEnd w:id="17"/>
    </w:p>
    <w:p w:rsidR="00485D17" w:rsidRDefault="00485D17" w:rsidP="00C14F32">
      <w:pPr>
        <w:spacing w:after="0"/>
      </w:pPr>
      <w:r>
        <w:t>Makroekonomický rámec výhledu státního rozpočtu na léta 2017 a 2018 vychází z Makroekonomické predikce MF z července 2015</w:t>
      </w:r>
      <w:r w:rsidRPr="00353BA0">
        <w:t xml:space="preserve"> </w:t>
      </w:r>
      <w:r>
        <w:t>(zpracované na základě dat k 7. 7. 2015) a navazuje na makroekonomický rámec státního rozpočtu na rok 2016 (viz část D. rozpočtové dokumentace).</w:t>
      </w:r>
    </w:p>
    <w:p w:rsidR="00485D17" w:rsidRDefault="00485D17" w:rsidP="00C14F32">
      <w:pPr>
        <w:spacing w:after="0"/>
      </w:pPr>
      <w:r w:rsidRPr="009D56E0">
        <w:t xml:space="preserve">Česká ekonomika se </w:t>
      </w:r>
      <w:r>
        <w:t>na počátku roku 2015</w:t>
      </w:r>
      <w:r w:rsidRPr="009D56E0">
        <w:t xml:space="preserve"> nacházela v</w:t>
      </w:r>
      <w:r>
        <w:t>e fázi dynamického ekonomického růstu. Vývoj v roce 2015 je však do značné míry mimořádný, protože v jeho průběhu působí synergický efekt několika příznivých jednorázových faktorů.</w:t>
      </w:r>
      <w:r w:rsidRPr="003D6C6E">
        <w:t xml:space="preserve"> </w:t>
      </w:r>
      <w:r>
        <w:t>Zaprvé jde o pozitivní nabídkový šok v podobě nízkých cen ropy – průměrná korunová cena ropy Brent by v roce 2015 měla být o čtvrtinu nižší než v roce 2014. Dalším pozitivním faktorem je fiskální stimulace, jejíž vliv na HDP odhadujeme okolo 0,4 %. Efekt expanzivní fiskální politiky je dále prohlubován čerpáním z fondů EU z Programového období 2007–2013, které je možno využít do konce roku 2015.</w:t>
      </w:r>
    </w:p>
    <w:p w:rsidR="00485D17" w:rsidRDefault="00485D17" w:rsidP="00C14F32">
      <w:pPr>
        <w:spacing w:after="0"/>
      </w:pPr>
      <w:r>
        <w:t>Od</w:t>
      </w:r>
      <w:r w:rsidRPr="003D6C6E">
        <w:t xml:space="preserve"> ro</w:t>
      </w:r>
      <w:r>
        <w:t>ku</w:t>
      </w:r>
      <w:r w:rsidRPr="003D6C6E">
        <w:t xml:space="preserve"> 2016 by měly </w:t>
      </w:r>
      <w:r>
        <w:t xml:space="preserve">výše </w:t>
      </w:r>
      <w:r w:rsidRPr="003D6C6E">
        <w:t>uvedené jednorázové faktory odeznít</w:t>
      </w:r>
      <w:r>
        <w:t xml:space="preserve"> a </w:t>
      </w:r>
      <w:r w:rsidRPr="003D6C6E">
        <w:t>ekonomický růst by měl odrážet normální podmínky</w:t>
      </w:r>
      <w:r>
        <w:t xml:space="preserve"> a </w:t>
      </w:r>
      <w:r w:rsidRPr="003D6C6E">
        <w:t>možnosti české ekonomiky.</w:t>
      </w:r>
      <w:r>
        <w:t xml:space="preserve"> Intenzita růstu bude kriticky závislá jak na stabilitě vnějšího okolí české ekonomiky a jeho ekonomické dynamice, tak i na adekvátních hospodářských politikách respektujících průběh ekonomického cyklu. Makroekonomický rámec přitom předpokládá, že v roce 2015 dojde k uzavření záporné produkční mezery, přičemž v letech výhledu by ekonomika měla operovat mírně nad svým potenciálem.</w:t>
      </w:r>
    </w:p>
    <w:p w:rsidR="00485D17" w:rsidRDefault="00485D17" w:rsidP="00C14F32">
      <w:pPr>
        <w:spacing w:after="0"/>
      </w:pPr>
      <w:r w:rsidRPr="006871C6">
        <w:t>Fiskální politika b</w:t>
      </w:r>
      <w:r>
        <w:t>y měla být</w:t>
      </w:r>
      <w:r w:rsidRPr="006871C6">
        <w:t xml:space="preserve"> mírně proticyklická, orientovaná na snižování deficitu vládního sektoru. </w:t>
      </w:r>
      <w:r>
        <w:t>To by mělo být dále umocněno postupným</w:t>
      </w:r>
      <w:r w:rsidRPr="006871C6">
        <w:t xml:space="preserve"> náběh</w:t>
      </w:r>
      <w:r>
        <w:t>em</w:t>
      </w:r>
      <w:r w:rsidRPr="006871C6">
        <w:t xml:space="preserve"> čerpání </w:t>
      </w:r>
      <w:r>
        <w:t xml:space="preserve">prostředků </w:t>
      </w:r>
      <w:r w:rsidRPr="006871C6">
        <w:t>z nové finanční perspektivy 2014–2020</w:t>
      </w:r>
      <w:r>
        <w:t>, což</w:t>
      </w:r>
      <w:r w:rsidRPr="006871C6">
        <w:t xml:space="preserve"> zmírní růst investic.</w:t>
      </w:r>
    </w:p>
    <w:p w:rsidR="00485D17" w:rsidRDefault="00485D17" w:rsidP="00C14F32">
      <w:pPr>
        <w:spacing w:after="0"/>
      </w:pPr>
      <w:r>
        <w:t>Předpokládáme, že ČNB bude nadále používat měnový kurz jako další nástroj měnové politiky i v letech 2015 a 2016. Opuštění tohoto režimu bude záviset na pominutí rizika soustavného podstřelování inflačního cíle ČNB. V celém horizontu makroekonomického rámce předpokládáme umírněný</w:t>
      </w:r>
      <w:r w:rsidRPr="00C844E8">
        <w:t xml:space="preserve"> </w:t>
      </w:r>
      <w:r>
        <w:t xml:space="preserve">růst spotřebitelských cen, přičemž zhruba na konci roku 2016 by se meziroční inflace měla přiblížit </w:t>
      </w:r>
      <w:r w:rsidRPr="009D56E0">
        <w:t>inflační</w:t>
      </w:r>
      <w:r>
        <w:t>mu</w:t>
      </w:r>
      <w:r w:rsidRPr="009D56E0">
        <w:t xml:space="preserve"> cíl</w:t>
      </w:r>
      <w:r>
        <w:t>i</w:t>
      </w:r>
      <w:r w:rsidRPr="009D56E0">
        <w:t xml:space="preserve"> ČNB</w:t>
      </w:r>
      <w:r>
        <w:t>.</w:t>
      </w:r>
    </w:p>
    <w:p w:rsidR="00485D17" w:rsidRDefault="00485D17" w:rsidP="00C14F32">
      <w:pPr>
        <w:spacing w:after="0"/>
      </w:pPr>
      <w:r>
        <w:t>Stav t</w:t>
      </w:r>
      <w:r w:rsidRPr="009D56E0">
        <w:t>rh</w:t>
      </w:r>
      <w:r>
        <w:t>u</w:t>
      </w:r>
      <w:r w:rsidRPr="009D56E0">
        <w:t xml:space="preserve"> práce</w:t>
      </w:r>
      <w:r>
        <w:t xml:space="preserve"> </w:t>
      </w:r>
      <w:r w:rsidRPr="009D56E0">
        <w:t xml:space="preserve">by </w:t>
      </w:r>
      <w:r>
        <w:t xml:space="preserve">se </w:t>
      </w:r>
      <w:r w:rsidRPr="009D56E0">
        <w:t xml:space="preserve">měl </w:t>
      </w:r>
      <w:r>
        <w:t>nadále zlepšovat. Při mírném růstu zaměstnanosti a postupně se snižující</w:t>
      </w:r>
      <w:r w:rsidRPr="00120ED5">
        <w:t xml:space="preserve"> </w:t>
      </w:r>
      <w:r>
        <w:t>míře nezaměstnanosti by se měla dále zvyšovat míra ekonomické aktivity. Ta bude podporována prodlužováním statutárního věku odchodu do starobního důchodu a demografickým vývojem.</w:t>
      </w:r>
    </w:p>
    <w:p w:rsidR="00485D17" w:rsidRDefault="00485D17" w:rsidP="00C14F32">
      <w:pPr>
        <w:spacing w:after="0"/>
      </w:pPr>
      <w:r>
        <w:t>B</w:t>
      </w:r>
      <w:r w:rsidRPr="009D56E0">
        <w:t>ěžn</w:t>
      </w:r>
      <w:r>
        <w:t>ý</w:t>
      </w:r>
      <w:r w:rsidRPr="009D56E0">
        <w:t xml:space="preserve"> úč</w:t>
      </w:r>
      <w:r>
        <w:t>e</w:t>
      </w:r>
      <w:r w:rsidRPr="009D56E0">
        <w:t xml:space="preserve">t </w:t>
      </w:r>
      <w:r>
        <w:t>platební bilance v roce 2014 dosáhl prvního přebytku od roku 1993</w:t>
      </w:r>
      <w:r w:rsidRPr="009D56E0">
        <w:t>.</w:t>
      </w:r>
      <w:r>
        <w:t xml:space="preserve"> V horizontu výhledu by pak měl běžný účet zůstat víceméně vyrovnaný.</w:t>
      </w:r>
    </w:p>
    <w:p w:rsidR="00485D17" w:rsidRDefault="00485D17" w:rsidP="00C14F32">
      <w:pPr>
        <w:spacing w:after="0"/>
      </w:pPr>
      <w:r>
        <w:t xml:space="preserve">Rizika </w:t>
      </w:r>
      <w:r w:rsidRPr="003C35FD">
        <w:t xml:space="preserve">tohoto makroekonomického rámce </w:t>
      </w:r>
      <w:r>
        <w:t xml:space="preserve">považujeme za mírně vychýlená směrem dolů, a to zejména kvůli rizikům ve vnějším okolí české ekonomiky. Pro vývoj světového obchodu jsou to nejistoty spojené s vývojem ekonomiky Číny, což by mohlo vést i ke zpomalení evropských exportů do této oblasti. Další rizika pro globální ekonomiku představují přetrvávající napětí na Ukrajině či nestabilita na Blízkém východě a v severní Africe, jež by mohly ovlivnit trhy s ropou a zemním plynem. </w:t>
      </w:r>
      <w:r w:rsidRPr="006D4ED0">
        <w:t xml:space="preserve">Naopak pozitivně ve smyslu zpomalení cenového růstu ropy by mohl působit návrat íránské ropy na světové trhy. </w:t>
      </w:r>
      <w:r>
        <w:t>Situace Řecka, i když prochází poměrně dramatickým vývojem, by českou ekonomiku neměla přímo zásadněji ovlivnit. Nepřímé efekty budou záviset na tom, zda a jak se podaří či nepodaří situaci vyřešit.</w:t>
      </w:r>
    </w:p>
    <w:p w:rsidR="00485D17" w:rsidRDefault="00485D17" w:rsidP="00D713AA">
      <w:pPr>
        <w:pStyle w:val="Caption"/>
        <w:spacing w:after="0"/>
      </w:pPr>
      <w:bookmarkStart w:id="21" w:name="_Ref238698767"/>
      <w:bookmarkStart w:id="22" w:name="_Ref238698802"/>
      <w:r>
        <w:t xml:space="preserve">Tabulka č. </w:t>
      </w:r>
      <w:fldSimple w:instr=" SEQ Tabulka_č._ \* ARABIC ">
        <w:r>
          <w:rPr>
            <w:noProof/>
          </w:rPr>
          <w:t>1</w:t>
        </w:r>
      </w:fldSimple>
      <w:r>
        <w:rPr>
          <w:noProof/>
        </w:rPr>
        <w:t xml:space="preserve"> Hlavní makroekonomické indiátory</w:t>
      </w:r>
    </w:p>
    <w:p w:rsidR="00485D17" w:rsidRPr="009D56E0" w:rsidRDefault="00485D17" w:rsidP="00D713AA">
      <w:pPr>
        <w:pStyle w:val="Caption"/>
        <w:spacing w:before="0" w:after="0"/>
        <w:rPr>
          <w:b w:val="0"/>
          <w:i/>
          <w:iCs/>
        </w:rPr>
      </w:pPr>
      <w:bookmarkStart w:id="23" w:name="_Ref238698776"/>
      <w:bookmarkEnd w:id="21"/>
      <w:r w:rsidRPr="009D56E0">
        <w:rPr>
          <w:b w:val="0"/>
          <w:i/>
        </w:rPr>
        <w:t>(</w:t>
      </w:r>
      <w:r>
        <w:rPr>
          <w:b w:val="0"/>
          <w:i/>
        </w:rPr>
        <w:t>Makroekonomická predikce MF ČR, červenec</w:t>
      </w:r>
      <w:r w:rsidRPr="009D56E0">
        <w:rPr>
          <w:b w:val="0"/>
          <w:i/>
          <w:iCs/>
        </w:rPr>
        <w:t xml:space="preserve"> 201</w:t>
      </w:r>
      <w:r>
        <w:rPr>
          <w:b w:val="0"/>
          <w:i/>
          <w:iCs/>
        </w:rPr>
        <w:t>5</w:t>
      </w:r>
      <w:r w:rsidRPr="009D56E0">
        <w:rPr>
          <w:b w:val="0"/>
          <w:i/>
          <w:iCs/>
        </w:rPr>
        <w:t xml:space="preserve"> na základě dat</w:t>
      </w:r>
      <w:r>
        <w:rPr>
          <w:b w:val="0"/>
          <w:i/>
          <w:iCs/>
        </w:rPr>
        <w:t xml:space="preserve"> k 7</w:t>
      </w:r>
      <w:r w:rsidRPr="009D56E0">
        <w:rPr>
          <w:b w:val="0"/>
          <w:i/>
          <w:iCs/>
        </w:rPr>
        <w:t xml:space="preserve">. </w:t>
      </w:r>
      <w:r>
        <w:rPr>
          <w:b w:val="0"/>
          <w:i/>
          <w:iCs/>
        </w:rPr>
        <w:t>7</w:t>
      </w:r>
      <w:r w:rsidRPr="009D56E0">
        <w:rPr>
          <w:b w:val="0"/>
          <w:i/>
          <w:iCs/>
        </w:rPr>
        <w:t>. 201</w:t>
      </w:r>
      <w:r>
        <w:rPr>
          <w:b w:val="0"/>
          <w:i/>
          <w:iCs/>
        </w:rPr>
        <w:t>5</w:t>
      </w:r>
      <w:r w:rsidRPr="009D56E0">
        <w:rPr>
          <w:b w:val="0"/>
          <w:i/>
          <w:iCs/>
        </w:rPr>
        <w:t>)</w:t>
      </w:r>
      <w:bookmarkEnd w:id="22"/>
      <w:bookmarkEnd w:id="23"/>
    </w:p>
    <w:p w:rsidR="00485D17" w:rsidRPr="009D56E0" w:rsidRDefault="00485D17" w:rsidP="00D713AA">
      <w:pPr>
        <w:keepNext/>
        <w:spacing w:line="240" w:lineRule="auto"/>
        <w:ind w:right="-108"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4pt;height:274.2pt">
            <v:imagedata r:id="rId10" o:title=""/>
          </v:shape>
        </w:pict>
      </w:r>
    </w:p>
    <w:p w:rsidR="00485D17" w:rsidRPr="00D713AA" w:rsidRDefault="00485D17" w:rsidP="00D713AA">
      <w:pPr>
        <w:spacing w:before="0" w:after="600" w:line="240" w:lineRule="auto"/>
        <w:ind w:right="-108" w:firstLine="0"/>
        <w:rPr>
          <w:i/>
          <w:iCs/>
          <w:sz w:val="20"/>
          <w:szCs w:val="20"/>
        </w:rPr>
      </w:pPr>
      <w:r>
        <w:rPr>
          <w:i/>
          <w:iCs/>
          <w:sz w:val="20"/>
          <w:szCs w:val="20"/>
        </w:rPr>
        <w:t>Pramen</w:t>
      </w:r>
      <w:r w:rsidRPr="003149B3">
        <w:rPr>
          <w:i/>
          <w:iCs/>
          <w:sz w:val="20"/>
          <w:szCs w:val="20"/>
        </w:rPr>
        <w:t>: ČNB, ČSÚ, Eurostat, U. S. Energy Information Administration</w:t>
      </w:r>
      <w:r>
        <w:rPr>
          <w:i/>
          <w:iCs/>
          <w:sz w:val="20"/>
          <w:szCs w:val="20"/>
        </w:rPr>
        <w:t>. Výpočty a predikce MF ČR.</w:t>
      </w:r>
    </w:p>
    <w:p w:rsidR="00485D17" w:rsidRDefault="00485D17" w:rsidP="00C513C0">
      <w:pPr>
        <w:pStyle w:val="Heading1"/>
        <w:spacing w:before="600"/>
        <w:ind w:left="0"/>
      </w:pPr>
      <w:bookmarkStart w:id="24" w:name="_Toc302128552"/>
      <w:bookmarkStart w:id="25" w:name="_Toc333680162"/>
      <w:bookmarkStart w:id="26" w:name="_Toc361667771"/>
      <w:bookmarkStart w:id="27" w:name="_Toc428706718"/>
      <w:r w:rsidRPr="00D77888">
        <w:t>Předpoklady budoucího vývoje</w:t>
      </w:r>
      <w:bookmarkEnd w:id="24"/>
      <w:bookmarkEnd w:id="25"/>
      <w:bookmarkEnd w:id="26"/>
      <w:bookmarkEnd w:id="27"/>
    </w:p>
    <w:p w:rsidR="00485D17" w:rsidRPr="00AC79FB" w:rsidRDefault="00485D17" w:rsidP="00814E15">
      <w:pPr>
        <w:pStyle w:val="Heading2"/>
      </w:pPr>
      <w:bookmarkStart w:id="28" w:name="_Toc302128553"/>
      <w:bookmarkStart w:id="29" w:name="_Toc333680163"/>
      <w:bookmarkStart w:id="30" w:name="_Toc396372816"/>
      <w:bookmarkStart w:id="31" w:name="_Toc428706719"/>
      <w:r w:rsidRPr="00AC79FB">
        <w:t>Vnější prostředí</w:t>
      </w:r>
      <w:bookmarkEnd w:id="28"/>
      <w:bookmarkEnd w:id="29"/>
      <w:bookmarkEnd w:id="30"/>
      <w:bookmarkEnd w:id="31"/>
    </w:p>
    <w:p w:rsidR="00485D17" w:rsidRPr="00C14F32" w:rsidRDefault="00485D17" w:rsidP="00C14F32">
      <w:pPr>
        <w:pStyle w:val="Heading3"/>
      </w:pPr>
      <w:bookmarkStart w:id="32" w:name="_Toc396372817"/>
      <w:bookmarkStart w:id="33" w:name="_Toc428706720"/>
      <w:r w:rsidRPr="00C14F32">
        <w:t>Ekonomický výkon</w:t>
      </w:r>
      <w:bookmarkEnd w:id="32"/>
      <w:bookmarkEnd w:id="33"/>
    </w:p>
    <w:p w:rsidR="00485D17" w:rsidRDefault="00485D17" w:rsidP="00C14F32">
      <w:pPr>
        <w:spacing w:after="0"/>
      </w:pPr>
      <w:r w:rsidRPr="009D56E0">
        <w:t xml:space="preserve">Růst </w:t>
      </w:r>
      <w:r w:rsidRPr="00C14F32">
        <w:t>světové ekonomiky</w:t>
      </w:r>
      <w:r w:rsidRPr="009D56E0">
        <w:t xml:space="preserve"> </w:t>
      </w:r>
      <w:r>
        <w:t>je od roku 2012 stabilizovaný a pohybuje se v úzkém intervalu mezi 3,0 a 3,5 %. V horizontu makroekonomického rámce</w:t>
      </w:r>
      <w:r w:rsidRPr="008F5763">
        <w:t xml:space="preserve"> </w:t>
      </w:r>
      <w:r>
        <w:t>by měl být obdobně či nepatrně více dynamický.</w:t>
      </w:r>
      <w:r w:rsidRPr="009D56E0">
        <w:t xml:space="preserve"> </w:t>
      </w:r>
      <w:r>
        <w:t>I přes dočasné zpomalení v roce 2015, dané nižším růstem čínské ekonomiky a poklesem ekonomického výkonu v Rusku a Brazílii, by měly rozvíjející se ekonomiky vykazovat vyšší tempa růstu než ekonomiky vyspělé. Ty by měly být taženy ekonomikou USA, naopak eurozóna i přes mírné zlepšení situace nejspíše zůstane nejpomaleji rostoucí oblastí globální ekonomiky s výjimkou Japonska.</w:t>
      </w:r>
    </w:p>
    <w:p w:rsidR="00485D17" w:rsidRDefault="00485D17" w:rsidP="00C14F32">
      <w:pPr>
        <w:spacing w:after="0"/>
      </w:pPr>
      <w:r>
        <w:t>E</w:t>
      </w:r>
      <w:r w:rsidRPr="009D56E0">
        <w:t xml:space="preserve">konomika </w:t>
      </w:r>
      <w:r w:rsidRPr="00C14F32">
        <w:t>USA</w:t>
      </w:r>
      <w:r>
        <w:t xml:space="preserve"> </w:t>
      </w:r>
      <w:r w:rsidRPr="009D56E0">
        <w:t>pokračuje</w:t>
      </w:r>
      <w:r>
        <w:t xml:space="preserve"> v </w:t>
      </w:r>
      <w:r w:rsidRPr="009D56E0">
        <w:t xml:space="preserve">růstu, který by </w:t>
      </w:r>
      <w:r>
        <w:t>se měl v horizontu makroekonomického rámce pohybovat v rozmezí 2–3 %. Růst by měl být i </w:t>
      </w:r>
      <w:r w:rsidRPr="009D56E0">
        <w:t>nadále t</w:t>
      </w:r>
      <w:r>
        <w:t>ažen</w:t>
      </w:r>
      <w:r w:rsidRPr="009D56E0">
        <w:t xml:space="preserve"> </w:t>
      </w:r>
      <w:r>
        <w:t>spotřebou domácností a investicemi. Ekonomika je</w:t>
      </w:r>
      <w:r w:rsidRPr="004C4DDB">
        <w:t xml:space="preserve"> </w:t>
      </w:r>
      <w:r>
        <w:t xml:space="preserve">stále </w:t>
      </w:r>
      <w:r w:rsidRPr="004C4DDB">
        <w:t>podpor</w:t>
      </w:r>
      <w:r>
        <w:t>ována</w:t>
      </w:r>
      <w:r w:rsidRPr="004C4DDB">
        <w:t xml:space="preserve"> měnov</w:t>
      </w:r>
      <w:r>
        <w:t>ou</w:t>
      </w:r>
      <w:r w:rsidRPr="004C4DDB">
        <w:t xml:space="preserve"> politik</w:t>
      </w:r>
      <w:r>
        <w:t>ou Fedu. V s</w:t>
      </w:r>
      <w:r w:rsidRPr="009D56E0">
        <w:t>ouvislosti s</w:t>
      </w:r>
      <w:r>
        <w:t>e</w:t>
      </w:r>
      <w:r w:rsidRPr="009D56E0">
        <w:t xml:space="preserve"> </w:t>
      </w:r>
      <w:r>
        <w:t xml:space="preserve">zlepšováním </w:t>
      </w:r>
      <w:r w:rsidRPr="009D56E0">
        <w:t>situac</w:t>
      </w:r>
      <w:r>
        <w:t>e</w:t>
      </w:r>
      <w:r w:rsidRPr="009D56E0">
        <w:t xml:space="preserve"> na </w:t>
      </w:r>
      <w:r>
        <w:t>trhu práce a předpokládaným návratem míry inflace k dlouhodobému cíli se však očekává postupné zvyšování úrokových sazeb. Rizika</w:t>
      </w:r>
      <w:r w:rsidRPr="004C4DDB">
        <w:t xml:space="preserve"> spojen</w:t>
      </w:r>
      <w:r>
        <w:t>á</w:t>
      </w:r>
      <w:r w:rsidRPr="004C4DDB">
        <w:t xml:space="preserve"> s</w:t>
      </w:r>
      <w:r>
        <w:t> </w:t>
      </w:r>
      <w:r w:rsidRPr="004C4DDB">
        <w:t>krátkodobou nejistotou</w:t>
      </w:r>
      <w:r>
        <w:t xml:space="preserve"> v oblasti fiskální politiky ustoupila do pozadí, ve</w:t>
      </w:r>
      <w:r w:rsidRPr="004C4DDB">
        <w:t xml:space="preserve"> střednědob</w:t>
      </w:r>
      <w:r>
        <w:t>é</w:t>
      </w:r>
      <w:r w:rsidRPr="004C4DDB">
        <w:t>m</w:t>
      </w:r>
      <w:r>
        <w:t xml:space="preserve"> období však bude</w:t>
      </w:r>
      <w:r w:rsidRPr="004C4DDB">
        <w:t xml:space="preserve"> fiskální konsolidace </w:t>
      </w:r>
      <w:r>
        <w:t>nezbytná, neboť vládní dluh převyšuje 100 % HDP</w:t>
      </w:r>
      <w:r w:rsidRPr="004C4DDB">
        <w:t>.</w:t>
      </w:r>
    </w:p>
    <w:p w:rsidR="00485D17" w:rsidRDefault="00485D17" w:rsidP="00C14F32">
      <w:pPr>
        <w:spacing w:after="0"/>
      </w:pPr>
      <w:r w:rsidRPr="006F5A29">
        <w:t>V</w:t>
      </w:r>
      <w:r>
        <w:rPr>
          <w:b/>
        </w:rPr>
        <w:t xml:space="preserve"> </w:t>
      </w:r>
      <w:r w:rsidRPr="00C14F32">
        <w:t>eurozóně</w:t>
      </w:r>
      <w:r>
        <w:t xml:space="preserve"> posílilo hospodářské oživení,</w:t>
      </w:r>
      <w:r w:rsidRPr="009D56E0">
        <w:t xml:space="preserve"> </w:t>
      </w:r>
      <w:r>
        <w:t>které ale v řadě</w:t>
      </w:r>
      <w:r w:rsidRPr="004C4DDB">
        <w:t xml:space="preserve"> </w:t>
      </w:r>
      <w:r>
        <w:t>zemí</w:t>
      </w:r>
      <w:r w:rsidRPr="004C4DDB">
        <w:t xml:space="preserve"> </w:t>
      </w:r>
      <w:r>
        <w:t>stále brzdí</w:t>
      </w:r>
      <w:r w:rsidRPr="004C4DDB">
        <w:t xml:space="preserve"> strukturální problémy</w:t>
      </w:r>
      <w:r>
        <w:t>. Ve výhledu by se měl růst HDP eurozóny mírně zrychlovat. Vývoj v jednotlivých zemích eurozóny zůstává rozdílný, v horizontu výhledu by se nicméně tempa růstu měla sbližovat</w:t>
      </w:r>
      <w:r w:rsidRPr="009D56E0">
        <w:t>.</w:t>
      </w:r>
      <w:r>
        <w:t xml:space="preserve"> Specifickým případem v souvislosti s aktuálním vývojem je Řecko, o nejistotách spojených s tamějším výhledem pojednává následující subkapitola.</w:t>
      </w:r>
    </w:p>
    <w:p w:rsidR="00485D17" w:rsidRDefault="00485D17" w:rsidP="007F3D03">
      <w:pPr>
        <w:spacing w:after="0"/>
      </w:pPr>
      <w:r>
        <w:t>Značné rozdíly lze pozorovat i na trzích práce, v důsledku hospodářského oživení však očekáváme další snižování míry nezaměstnanosti v eurozóně jako celku. Ekonomiku eurozóny nadále podporuje rozvolněná monetární politika ECB, která na počátku roku 2015 v situaci, kdy se většina ukazatelů skutečné i očekávané inflace v eurozóně přibližovala ke svým historickým minimům, rozhodla o dalším uvolnění monetární politiky prostřednictvím rozšíření programu nákupu aktiv o dluhopisy vydané vládami států a agenturami v eurozóně a evropskými institucemi. Příznivě také působí oslabené euro, nízké ceny energií a zlepšující se sentiment spotřebitelů a firem. Riziko představují vysoká zadluženost a nízká produktivita a konkurenceschopnost některých zemí.</w:t>
      </w:r>
    </w:p>
    <w:p w:rsidR="00485D17" w:rsidRDefault="00485D17" w:rsidP="007F3D03">
      <w:pPr>
        <w:spacing w:after="0"/>
      </w:pPr>
      <w:r>
        <w:t>E</w:t>
      </w:r>
      <w:r w:rsidRPr="004C4DDB">
        <w:t>konomiku</w:t>
      </w:r>
      <w:r>
        <w:t xml:space="preserve"> </w:t>
      </w:r>
      <w:r w:rsidRPr="007F3D03">
        <w:t>Německa</w:t>
      </w:r>
      <w:r w:rsidRPr="004C4DDB">
        <w:t xml:space="preserve"> </w:t>
      </w:r>
      <w:r>
        <w:t xml:space="preserve">kromě nízkých sazeb ECB nadále příznivě ovlivňuje </w:t>
      </w:r>
      <w:r w:rsidRPr="004C4DDB">
        <w:t>ve</w:t>
      </w:r>
      <w:r>
        <w:t>lmi dobrá situace na trhu práce, jež posiluje spotřebu domácností</w:t>
      </w:r>
      <w:r w:rsidRPr="009D56E0">
        <w:t xml:space="preserve">. </w:t>
      </w:r>
      <w:r w:rsidRPr="004C4DDB">
        <w:t>Očekávan</w:t>
      </w:r>
      <w:r>
        <w:t>ý růst aktivity v </w:t>
      </w:r>
      <w:r w:rsidRPr="004C4DDB">
        <w:t>rozvinutých ekonomik</w:t>
      </w:r>
      <w:r>
        <w:t>ách by spolu</w:t>
      </w:r>
      <w:r w:rsidRPr="004C4DDB">
        <w:t xml:space="preserve"> </w:t>
      </w:r>
      <w:r>
        <w:t>s </w:t>
      </w:r>
      <w:r w:rsidRPr="004C4DDB">
        <w:t>vysok</w:t>
      </w:r>
      <w:r>
        <w:t>ou</w:t>
      </w:r>
      <w:r w:rsidRPr="004C4DDB">
        <w:t xml:space="preserve"> konkurenceschopnost</w:t>
      </w:r>
      <w:r>
        <w:t>í</w:t>
      </w:r>
      <w:r w:rsidRPr="004C4DDB">
        <w:t xml:space="preserve"> německých firem měl </w:t>
      </w:r>
      <w:r w:rsidRPr="009D56E0">
        <w:t xml:space="preserve">příznivě působit na </w:t>
      </w:r>
      <w:r>
        <w:t xml:space="preserve">německý </w:t>
      </w:r>
      <w:r w:rsidRPr="009D56E0">
        <w:t>export</w:t>
      </w:r>
      <w:r>
        <w:t>, a </w:t>
      </w:r>
      <w:r w:rsidRPr="009D56E0">
        <w:t>přinést tak nové příležitosti i pro české vývozce.</w:t>
      </w:r>
      <w:r w:rsidRPr="0002307B">
        <w:t xml:space="preserve"> </w:t>
      </w:r>
      <w:r>
        <w:t>Úvěrové standardy byly dále uvolněny, úvěry firmám i domácnostem nadále meziročně rostou. V této souvislosti očekáváme pozitivní vliv na spotřební a investiční aktivitu.</w:t>
      </w:r>
    </w:p>
    <w:p w:rsidR="00485D17" w:rsidRDefault="00485D17" w:rsidP="007F3D03">
      <w:pPr>
        <w:spacing w:after="0"/>
      </w:pPr>
      <w:r>
        <w:t>Situace se zlepšila</w:t>
      </w:r>
      <w:r w:rsidRPr="009D56E0">
        <w:t xml:space="preserve"> </w:t>
      </w:r>
      <w:r>
        <w:t>i v </w:t>
      </w:r>
      <w:r w:rsidRPr="009D56E0">
        <w:t>ostatní</w:t>
      </w:r>
      <w:r>
        <w:t>ch velkých ekonomikách eurozóny, bylo by však prozatím předčasné toto oživení vnímat jako stabilní.</w:t>
      </w:r>
      <w:r w:rsidRPr="009D56E0">
        <w:t xml:space="preserve"> </w:t>
      </w:r>
      <w:r>
        <w:t>Očekáváme postupné upevnění růstu</w:t>
      </w:r>
      <w:r w:rsidRPr="00F12DD8">
        <w:rPr>
          <w:b/>
        </w:rPr>
        <w:t xml:space="preserve"> </w:t>
      </w:r>
      <w:r w:rsidRPr="007F3D03">
        <w:t>ve Francii a Itálii. Španělsku</w:t>
      </w:r>
      <w:r>
        <w:rPr>
          <w:b/>
        </w:rPr>
        <w:t xml:space="preserve"> </w:t>
      </w:r>
      <w:r>
        <w:t>se podařilo navázat na dynamiku růstu minulého roku, stále jej však tíží extrémně vysoká míra nezaměstnanosti. Všechny uvedené ekonomiky nadále trápí rozličné strukturální problémy spojené s vysokým zadlužením, rigiditami na trhu práce a nízkou produktivitou.</w:t>
      </w:r>
    </w:p>
    <w:p w:rsidR="00485D17" w:rsidRDefault="00485D17" w:rsidP="00814E15">
      <w:pPr>
        <w:pStyle w:val="Caption"/>
        <w:rPr>
          <w:noProof/>
        </w:rPr>
      </w:pPr>
      <w:r>
        <w:t xml:space="preserve">Graf č. </w:t>
      </w:r>
      <w:fldSimple w:instr=" SEQ Graf_č._ \* ARABIC ">
        <w:r>
          <w:rPr>
            <w:noProof/>
          </w:rPr>
          <w:t>1</w:t>
        </w:r>
      </w:fldSimple>
      <w:r>
        <w:rPr>
          <w:noProof/>
        </w:rPr>
        <w:t xml:space="preserve"> </w:t>
      </w:r>
      <w:r w:rsidRPr="003B5BB1">
        <w:rPr>
          <w:noProof/>
        </w:rPr>
        <w:t>Reálný hrubý domácí produkt EA12 (růst proti předchozímu roku</w:t>
      </w:r>
      <w:r>
        <w:rPr>
          <w:noProof/>
        </w:rPr>
        <w:t xml:space="preserve"> v %</w:t>
      </w:r>
      <w:r w:rsidRPr="003B5BB1">
        <w:rPr>
          <w:noProof/>
        </w:rPr>
        <w:t>)</w:t>
      </w:r>
    </w:p>
    <w:p w:rsidR="00485D17" w:rsidRPr="009D56E0" w:rsidRDefault="00485D17" w:rsidP="00814E15">
      <w:pPr>
        <w:spacing w:line="240" w:lineRule="auto"/>
        <w:ind w:firstLine="0"/>
        <w:jc w:val="center"/>
        <w:rPr>
          <w:color w:val="000000"/>
        </w:rPr>
      </w:pPr>
      <w:r w:rsidRPr="00E64FE8">
        <w:rPr>
          <w:color w:val="000000"/>
        </w:rPr>
        <w:pict>
          <v:shape id="_x0000_i1026" type="#_x0000_t75" style="width:351.6pt;height:196.2pt">
            <v:imagedata r:id="rId11" o:title=""/>
            <o:lock v:ext="edit" aspectratio="f"/>
          </v:shape>
        </w:pict>
      </w:r>
    </w:p>
    <w:p w:rsidR="00485D17" w:rsidRPr="009D56E0" w:rsidRDefault="00485D17" w:rsidP="00814E15">
      <w:pPr>
        <w:spacing w:before="0" w:after="480" w:line="240" w:lineRule="auto"/>
        <w:ind w:firstLine="0"/>
        <w:jc w:val="left"/>
        <w:rPr>
          <w:i/>
          <w:iCs/>
          <w:color w:val="000000"/>
          <w:sz w:val="20"/>
          <w:szCs w:val="20"/>
        </w:rPr>
      </w:pPr>
      <w:r w:rsidRPr="009D56E0">
        <w:rPr>
          <w:i/>
          <w:iCs/>
          <w:color w:val="000000"/>
          <w:sz w:val="20"/>
          <w:szCs w:val="20"/>
        </w:rPr>
        <w:t>Pramen: Eurostat, propočty MF ČR</w:t>
      </w:r>
    </w:p>
    <w:p w:rsidR="00485D17" w:rsidRDefault="00485D17" w:rsidP="007F3D03">
      <w:pPr>
        <w:spacing w:after="0"/>
      </w:pPr>
      <w:r w:rsidRPr="009D56E0">
        <w:t xml:space="preserve">Makroekonomický rámec </w:t>
      </w:r>
      <w:r>
        <w:t>počítá s pozvolným zrychlováním</w:t>
      </w:r>
      <w:r w:rsidRPr="009D56E0">
        <w:t xml:space="preserve"> </w:t>
      </w:r>
      <w:r>
        <w:t>růstu reálného HDP EA12 z 1,4 % v roce 2015 až na 2,1 % v roce 2018</w:t>
      </w:r>
      <w:r w:rsidRPr="009D56E0">
        <w:t xml:space="preserve">. </w:t>
      </w:r>
      <w:r>
        <w:t>Očekáváme</w:t>
      </w:r>
      <w:r w:rsidRPr="009D56E0">
        <w:t>, že</w:t>
      </w:r>
      <w:r>
        <w:t xml:space="preserve"> v </w:t>
      </w:r>
      <w:r w:rsidRPr="009D56E0">
        <w:t>důsledku</w:t>
      </w:r>
      <w:r>
        <w:t xml:space="preserve"> stabilizace trhu práce a </w:t>
      </w:r>
      <w:r w:rsidRPr="009D56E0">
        <w:t>zlepšení sentimentu spotřebitelů dojde</w:t>
      </w:r>
      <w:r>
        <w:t xml:space="preserve"> k </w:t>
      </w:r>
      <w:r w:rsidRPr="009D56E0">
        <w:t>posílení soukromé spotřeby</w:t>
      </w:r>
      <w:r>
        <w:t>, nízké úrokové sazby by pak měly pozitivně působit na investiční aktivitu. Předpokládáme také pokračující stabilizaci v </w:t>
      </w:r>
      <w:r w:rsidRPr="009D56E0">
        <w:t>bankovním sektoru.</w:t>
      </w:r>
      <w:r>
        <w:t xml:space="preserve"> V oblasti zahraničního obchodu by mělo příznivě působit oslabené euro.</w:t>
      </w:r>
      <w:r w:rsidRPr="005E4AF9">
        <w:t xml:space="preserve"> </w:t>
      </w:r>
      <w:r>
        <w:t>Ve výhledu lze spatřovat rizika v podobě přetrvávajících strukturálních problémů, zejména na trhu práce, dlouhodobě problematického stavu veřejných financí, možných negativních dopadů souvisejících se situací v Řecku a eventuálního stupňování napětí v obchodních vztazích s Ruskou federací.</w:t>
      </w:r>
    </w:p>
    <w:p w:rsidR="00485D17" w:rsidRPr="000B5566" w:rsidRDefault="00485D17" w:rsidP="000B5566">
      <w:pPr>
        <w:pStyle w:val="Heading3"/>
      </w:pPr>
      <w:bookmarkStart w:id="34" w:name="_Toc396372818"/>
      <w:bookmarkStart w:id="35" w:name="_Toc428706721"/>
      <w:r w:rsidRPr="000B5566">
        <w:t>Situace v Řecku</w:t>
      </w:r>
      <w:bookmarkEnd w:id="34"/>
      <w:bookmarkEnd w:id="35"/>
    </w:p>
    <w:p w:rsidR="00485D17" w:rsidRDefault="00485D17" w:rsidP="007F3D03">
      <w:pPr>
        <w:spacing w:after="0"/>
      </w:pPr>
      <w:r>
        <w:t>Řecko jakožto nejzadluženější země eurozóny v roce 2010 ztratilo přístup na primární trh státních dluhopisů (po „zpřesnění“ dat o výši deficitu a dluhu vládního sektoru v předchozích letech došlo k razantnímu nárůstu výnosů státních dluhopisů). V rámci záchranných programů z let 2010 a 2012, financovaných státy eurozóny a MMF, bylo Řecku poskytnuto přibližně 227 mld. eur (v rámci druhého programu navíc došlo k odepsání více než 50 % dluhu v držení soukromých věřitelů), přístup Řecka na primární trh státních dluhopisů se ale trvale obnovit nepodařilo. Fiskální restrikce podmíněná záchrannými programy přitom významně prohloubila depresi řecké ekonomiky – reálný HDP se mezi roky 2007 a 2014 propadl o cca 26 %.</w:t>
      </w:r>
    </w:p>
    <w:p w:rsidR="00485D17" w:rsidRDefault="00485D17" w:rsidP="007F3D03">
      <w:pPr>
        <w:spacing w:after="0"/>
      </w:pPr>
      <w:r>
        <w:t xml:space="preserve">Ani třetí záchranný program, v jehož rámci Řecko </w:t>
      </w:r>
      <w:r w:rsidRPr="00DC177D">
        <w:t>během tří let obdrž</w:t>
      </w:r>
      <w:r>
        <w:t>í až</w:t>
      </w:r>
      <w:r w:rsidRPr="00DC177D">
        <w:t xml:space="preserve"> </w:t>
      </w:r>
      <w:r>
        <w:t>86</w:t>
      </w:r>
      <w:r w:rsidRPr="00DC177D">
        <w:t> mld. eur,</w:t>
      </w:r>
      <w:r>
        <w:t xml:space="preserve"> přitom nemusí skončit úspěchem. Nejistota ohledně dalšího setrvání Řecka v eurozóně se tak v budoucnu opět může zvýšit.</w:t>
      </w:r>
    </w:p>
    <w:p w:rsidR="00485D17" w:rsidRDefault="00485D17" w:rsidP="007F3D03">
      <w:pPr>
        <w:spacing w:after="0"/>
      </w:pPr>
      <w:r>
        <w:t>Bez ohledu na události, které přinese budoucí vývoj, se domníváme, že by dopad vývoje v Řecku (jeho případný odchod z eurozóny nevyjímaje) na českou ekonomiku měl být omezený. Přímý dopad prostřednictvím zahraničního obchodu může být významný pro jednotlivé firmy, z pohledu české ekonomiky jako celku ale bude zanedbatelný. Podíl Řecka na celkovém exportu zboží v roce 2014 činil méně než 0,2 %, u služeb pak šlo o cca 0,4 %. Ani ostatní státy EU (s výjimkou Kypru či Bulharska) by problémy řecké ekonomiky neměly prostřednictvím tohoto kanálu výrazně</w:t>
      </w:r>
      <w:r w:rsidRPr="00CD1B42">
        <w:t xml:space="preserve"> </w:t>
      </w:r>
      <w:r>
        <w:t>pocítit. Do zemí EU směřovalo v minulém roce jen 48 % celkového vývozu zboží Řecka, zatímco u dovozu zboží činil podíl zemí EU 49 %.</w:t>
      </w:r>
    </w:p>
    <w:p w:rsidR="00485D17" w:rsidRDefault="00485D17" w:rsidP="007F3D03">
      <w:pPr>
        <w:spacing w:after="0"/>
      </w:pPr>
      <w:r>
        <w:t>Negativně by vývoj v Řecku mohl ovlivnit sentiment firem a domácností, a to pochopitelně nejen v ČR, ale i v zemích našich obchodních partnerů v EU. Zhoršená očekávání by se následně mohla promítnout do vývoje investic a soukromé spotřeby či prostřednictvím zahraniční poptávky do výsledků zahraničního obchodu ČR.</w:t>
      </w:r>
    </w:p>
    <w:p w:rsidR="00485D17" w:rsidRDefault="00485D17" w:rsidP="007F3D03">
      <w:pPr>
        <w:spacing w:after="0"/>
      </w:pPr>
      <w:r>
        <w:t xml:space="preserve">Na vývoj v Řecku pak zcela jistě budou reagovat finanční trhy. Akciový trh sice v tuzemské ekonomice nehraje významnou roli, to ale pochopitelně neplatí pro trh státních dluhopisů. V případě odchodu Řecka z eurozóny by se pod tlak kromě řeckých státních dluhopisů mohly dostat i dluhopisy jiných států eurozóny, pravděpodobně těch z „jižního křídla“. Eventuální šíření paniky na dluhopisových trzích by ale zřejmě tlumily dopady kvantitativního uvolňování, v jehož rámci ECB do své bilance nakupuje mj. státní dluhopisy zemí eurozóny (zatím vyjma Řecka). České státní dluhopisy finanční trhy dlouhodobě považují za </w:t>
      </w:r>
      <w:r w:rsidRPr="00CD1B42">
        <w:t>důvěryhodné (</w:t>
      </w:r>
      <w:r w:rsidRPr="00026F67">
        <w:t>viz graf č. </w:t>
      </w:r>
      <w:r>
        <w:t>2</w:t>
      </w:r>
      <w:r w:rsidRPr="00CD1B42">
        <w:t>), případn</w:t>
      </w:r>
      <w:r>
        <w:t xml:space="preserve">á </w:t>
      </w:r>
      <w:r w:rsidRPr="00CD1B42">
        <w:t xml:space="preserve">eskalace problémů Řecka </w:t>
      </w:r>
      <w:r>
        <w:t>by tak mohla dokonce vést k poklesu jejich výnosů.</w:t>
      </w:r>
    </w:p>
    <w:p w:rsidR="00485D17" w:rsidRPr="009D56E0" w:rsidRDefault="00485D17" w:rsidP="00814E15">
      <w:pPr>
        <w:pStyle w:val="Caption"/>
        <w:rPr>
          <w:b w:val="0"/>
          <w:i/>
        </w:rPr>
      </w:pPr>
      <w:r>
        <w:t xml:space="preserve">Graf č. </w:t>
      </w:r>
      <w:fldSimple w:instr=" SEQ Graf_č._ \* ARABIC ">
        <w:r>
          <w:rPr>
            <w:noProof/>
          </w:rPr>
          <w:t>2</w:t>
        </w:r>
      </w:fldSimple>
      <w:r>
        <w:rPr>
          <w:noProof/>
        </w:rPr>
        <w:t xml:space="preserve"> </w:t>
      </w:r>
      <w:r>
        <w:t>Riziková prémie</w:t>
      </w:r>
      <w:r w:rsidRPr="006D6D60">
        <w:t xml:space="preserve"> (</w:t>
      </w:r>
      <w:r>
        <w:t>spread vůči 10letým SD Německa, v p. b.</w:t>
      </w:r>
      <w:r w:rsidRPr="003B4AB8">
        <w:t>, průměr měsíce</w:t>
      </w:r>
      <w:r w:rsidRPr="006D6D60">
        <w:t>)</w:t>
      </w:r>
    </w:p>
    <w:p w:rsidR="00485D17" w:rsidRPr="00D94915" w:rsidRDefault="00485D17" w:rsidP="00814E15">
      <w:pPr>
        <w:spacing w:before="0"/>
        <w:ind w:firstLine="0"/>
        <w:jc w:val="center"/>
        <w:rPr>
          <w:i/>
          <w:iCs/>
          <w:color w:val="FF0000"/>
          <w:sz w:val="20"/>
          <w:szCs w:val="20"/>
        </w:rPr>
      </w:pPr>
      <w:r>
        <w:rPr>
          <w:noProof/>
        </w:rPr>
        <w:object w:dxaOrig="7082" w:dyaOrig="3714">
          <v:shape id="_x0000_i1027" type="#_x0000_t75" style="width:354pt;height:186pt" o:ole="">
            <v:imagedata r:id="rId12" o:title=""/>
          </v:shape>
          <o:OLEObject Type="Embed" ProgID="Excel.Sheet.12" ShapeID="_x0000_i1027" DrawAspect="Content" ObjectID="_1502448750" r:id="rId13"/>
        </w:object>
      </w:r>
    </w:p>
    <w:p w:rsidR="00485D17" w:rsidRPr="009D56E0" w:rsidRDefault="00485D17" w:rsidP="00814E15">
      <w:pPr>
        <w:spacing w:before="0" w:after="240"/>
        <w:ind w:firstLine="0"/>
        <w:jc w:val="left"/>
        <w:rPr>
          <w:i/>
          <w:iCs/>
          <w:sz w:val="20"/>
          <w:szCs w:val="20"/>
        </w:rPr>
      </w:pPr>
      <w:r w:rsidRPr="009D56E0">
        <w:rPr>
          <w:i/>
          <w:iCs/>
          <w:sz w:val="20"/>
          <w:szCs w:val="20"/>
        </w:rPr>
        <w:t>Pramen: E</w:t>
      </w:r>
      <w:r>
        <w:rPr>
          <w:i/>
          <w:iCs/>
          <w:sz w:val="20"/>
          <w:szCs w:val="20"/>
        </w:rPr>
        <w:t>urostat</w:t>
      </w:r>
    </w:p>
    <w:p w:rsidR="00485D17" w:rsidRDefault="00485D17" w:rsidP="007F3D03">
      <w:pPr>
        <w:spacing w:after="0"/>
      </w:pPr>
      <w:r>
        <w:t>Rovněž je nutné zdůraznit, že český bankovní sektor je podle zátěžových testů ČNB (Zpráva o finanční stabilitě 2014/2015) dostatečně odolný i proti velmi nepříznivým šokům. Jeho expozice vůči Řecku je přitom zanedbatelná.</w:t>
      </w:r>
    </w:p>
    <w:p w:rsidR="00485D17" w:rsidRDefault="00485D17" w:rsidP="007F3D03">
      <w:pPr>
        <w:spacing w:after="0"/>
      </w:pPr>
      <w:r>
        <w:t>Po institucionální stránce (zejména existence Evropského stabilizačního mechanismu a základů bankovní unie) se eurozóna zdá být lépe připravena čelit nepříznivým šokům. Tyto mechanismy by však v horizontu výhledu mohly být vystaveny zatěžkávací zkoušce. S ohledem na výše uvedené by ani případný odchod Řecka z eurozóny neměl českou ekonomiku přímo ohrozit. Nepřímé efekty přes ekonomiky našich hlavních obchodních partnerů či přes finanční trhy však nelze zcela vyloučit.</w:t>
      </w:r>
    </w:p>
    <w:p w:rsidR="00485D17" w:rsidRPr="00304576" w:rsidRDefault="00485D17" w:rsidP="00C14F32">
      <w:pPr>
        <w:pStyle w:val="Heading3"/>
      </w:pPr>
      <w:bookmarkStart w:id="36" w:name="_Toc396372819"/>
      <w:bookmarkStart w:id="37" w:name="_Toc428706722"/>
      <w:r>
        <w:t>Ropné s</w:t>
      </w:r>
      <w:r w:rsidRPr="00304576">
        <w:t>uroviny</w:t>
      </w:r>
      <w:bookmarkEnd w:id="36"/>
      <w:bookmarkEnd w:id="37"/>
    </w:p>
    <w:p w:rsidR="00485D17" w:rsidRDefault="00485D17" w:rsidP="007F3D03">
      <w:pPr>
        <w:spacing w:after="0"/>
      </w:pPr>
      <w:r>
        <w:t>V druhé polovině roku 2014 došlo k výraznému poklesu cen ropy v důsledku převisu nabídky nad poptávkou a rozhodnutí organizace OPEC o zachování těžebních limitů. Cena ropy Brent se od počátku roku 2015 pohybuje kolem 60 USD/barel. Především u producentů v USA lze pozorovat výrazný pokles investičních záměrů v těžebním odvětví v souvislosti s poklesem cen komodity. Na růst ceny pak dále působí rostoucí globální poptávka a rizika v podobě nečekaných výpadků dodávek ropy. Nabídka na trhu s ropou však v současné době převyšuje poptávku a zásoby dosahují vysokých úrovní.</w:t>
      </w:r>
      <w:r w:rsidRPr="00BB7073">
        <w:t xml:space="preserve"> </w:t>
      </w:r>
      <w:r>
        <w:t>Stejným směrem na cenu působí i možný návrat íránské ropy na světové trhy. Ceny by tak ve výhledu měly pouze pozvolně růst, případně mohou i delší období stagnovat. Pro rok 2015 očekáváme průměrnou cenu ropy Brent na úrovni 60 USD/barel, pro rok 2018 počítáme s cenou 77 USD/barel.</w:t>
      </w:r>
    </w:p>
    <w:p w:rsidR="00485D17" w:rsidRDefault="00485D17" w:rsidP="007F3D03">
      <w:pPr>
        <w:spacing w:after="0"/>
      </w:pPr>
      <w:r>
        <w:t>Cena zemního plynu by měla v souvislosti s rostoucí produkcí ve výhledu stagnovat. Rizika růstu cen ropy a plynu spojená s eskalací geopolitických konfliktů zůstávají vážná. Soudě dle situace na derivátových trzích by ceny komodit obecně měly ve výhledu pozvolna narůstat. Vývoj cen bude odvislý od tempa a charakteru růstu světové ekonomiky.</w:t>
      </w:r>
    </w:p>
    <w:p w:rsidR="00485D17" w:rsidRPr="009D56E0" w:rsidRDefault="00485D17" w:rsidP="00814E15">
      <w:pPr>
        <w:pStyle w:val="Caption"/>
        <w:rPr>
          <w:color w:val="000000"/>
        </w:rPr>
      </w:pPr>
      <w:r>
        <w:t xml:space="preserve">Graf č. </w:t>
      </w:r>
      <w:fldSimple w:instr=" SEQ Graf_č._ \* ARABIC ">
        <w:r>
          <w:rPr>
            <w:noProof/>
          </w:rPr>
          <w:t>3</w:t>
        </w:r>
      </w:fldSimple>
      <w:r>
        <w:rPr>
          <w:noProof/>
        </w:rPr>
        <w:t xml:space="preserve"> </w:t>
      </w:r>
      <w:r w:rsidRPr="0081405D">
        <w:rPr>
          <w:noProof/>
        </w:rPr>
        <w:t>Cena ropy Brent (USD/barel)</w:t>
      </w:r>
    </w:p>
    <w:p w:rsidR="00485D17" w:rsidRPr="009D56E0" w:rsidRDefault="00485D17" w:rsidP="00814E15">
      <w:pPr>
        <w:spacing w:line="240" w:lineRule="auto"/>
        <w:ind w:firstLine="0"/>
        <w:jc w:val="center"/>
      </w:pPr>
      <w:r>
        <w:pict>
          <v:shape id="_x0000_i1028" type="#_x0000_t75" style="width:351.6pt;height:196.2pt">
            <v:imagedata r:id="rId14" o:title=""/>
            <o:lock v:ext="edit" aspectratio="f"/>
          </v:shape>
        </w:pict>
      </w:r>
    </w:p>
    <w:p w:rsidR="00485D17" w:rsidRDefault="00485D17" w:rsidP="00814E15">
      <w:pPr>
        <w:spacing w:before="0" w:after="480" w:line="240" w:lineRule="auto"/>
        <w:ind w:firstLine="0"/>
        <w:rPr>
          <w:i/>
          <w:iCs/>
          <w:color w:val="000000"/>
          <w:sz w:val="20"/>
          <w:szCs w:val="20"/>
        </w:rPr>
      </w:pPr>
      <w:r w:rsidRPr="009D56E0">
        <w:rPr>
          <w:i/>
          <w:iCs/>
          <w:color w:val="000000"/>
          <w:sz w:val="20"/>
          <w:szCs w:val="20"/>
        </w:rPr>
        <w:t>Pramen: MMF, propočty MF ČR</w:t>
      </w:r>
    </w:p>
    <w:p w:rsidR="00485D17" w:rsidRPr="00304576" w:rsidRDefault="00485D17" w:rsidP="001715E8">
      <w:pPr>
        <w:pStyle w:val="Heading2"/>
      </w:pPr>
      <w:bookmarkStart w:id="38" w:name="_Toc302128555"/>
      <w:bookmarkStart w:id="39" w:name="_Toc333680164"/>
      <w:bookmarkStart w:id="40" w:name="_Toc396372820"/>
      <w:bookmarkStart w:id="41" w:name="_Toc428706723"/>
      <w:r w:rsidRPr="00304576">
        <w:t>Fiskální politika</w:t>
      </w:r>
      <w:bookmarkEnd w:id="38"/>
      <w:bookmarkEnd w:id="39"/>
      <w:bookmarkEnd w:id="40"/>
      <w:bookmarkEnd w:id="41"/>
    </w:p>
    <w:p w:rsidR="00485D17" w:rsidRDefault="00485D17" w:rsidP="007F3D03">
      <w:pPr>
        <w:spacing w:after="0"/>
      </w:pPr>
      <w:bookmarkStart w:id="42" w:name="_Toc302128556"/>
      <w:bookmarkStart w:id="43" w:name="_Toc333680165"/>
      <w:r w:rsidRPr="0055080D">
        <w:t>Hospodaření vládního sektoru skončilo</w:t>
      </w:r>
      <w:r>
        <w:t xml:space="preserve"> v </w:t>
      </w:r>
      <w:r w:rsidRPr="0055080D">
        <w:t xml:space="preserve">roce </w:t>
      </w:r>
      <w:r w:rsidRPr="007F3D03">
        <w:t xml:space="preserve">2014 </w:t>
      </w:r>
      <w:r w:rsidRPr="0055080D">
        <w:t>deficitem ve výši 2,0</w:t>
      </w:r>
      <w:r>
        <w:t> %</w:t>
      </w:r>
      <w:r w:rsidRPr="0055080D">
        <w:t xml:space="preserve"> HDP, což ve</w:t>
      </w:r>
      <w:r>
        <w:t> </w:t>
      </w:r>
      <w:r w:rsidRPr="0055080D">
        <w:t>srovnání s rokem 2013 představuje zvýšení deficitu o 0,8 </w:t>
      </w:r>
      <w:r>
        <w:t>p. b.</w:t>
      </w:r>
      <w:r w:rsidRPr="0055080D">
        <w:t xml:space="preserve"> Mezi hlavní vlivy patří </w:t>
      </w:r>
      <w:r>
        <w:t xml:space="preserve">jednorázová </w:t>
      </w:r>
      <w:r w:rsidRPr="0055080D">
        <w:t>výplata náhrad klientům zkrachovalých družstevních zál</w:t>
      </w:r>
      <w:r>
        <w:t>o</w:t>
      </w:r>
      <w:r w:rsidRPr="0055080D">
        <w:t>žen Fondem pojištění vkladů ve výši cca 0,3</w:t>
      </w:r>
      <w:r>
        <w:t> %</w:t>
      </w:r>
      <w:r w:rsidRPr="0055080D">
        <w:t xml:space="preserve"> HDP, meziroční akruální pokles výnosu daně z tabákových výrobků vlivem omezení časové platnosti tabákových </w:t>
      </w:r>
      <w:r>
        <w:t>nálepek a v </w:t>
      </w:r>
      <w:r w:rsidRPr="0055080D">
        <w:t>neposlední řadě meziroční nárůst investic vládního sektoru o více jak 17</w:t>
      </w:r>
      <w:r>
        <w:t> %</w:t>
      </w:r>
      <w:r w:rsidRPr="0055080D">
        <w:t>. Ke zvýšení investic došlo především u místních vládních institucí (nicméně</w:t>
      </w:r>
      <w:r>
        <w:t xml:space="preserve"> k </w:t>
      </w:r>
      <w:r w:rsidRPr="0055080D">
        <w:t>růstu došlo i</w:t>
      </w:r>
      <w:r>
        <w:t xml:space="preserve"> v </w:t>
      </w:r>
      <w:r w:rsidRPr="0055080D">
        <w:t>ústřední vládě),</w:t>
      </w:r>
      <w:r>
        <w:t xml:space="preserve"> a </w:t>
      </w:r>
      <w:r w:rsidRPr="0055080D">
        <w:t>to vlivem nárůstu investic financovaných z</w:t>
      </w:r>
      <w:r>
        <w:t> </w:t>
      </w:r>
      <w:r w:rsidRPr="0055080D">
        <w:t>evropských</w:t>
      </w:r>
      <w:r>
        <w:t xml:space="preserve"> i </w:t>
      </w:r>
      <w:r w:rsidRPr="0055080D">
        <w:t>národních zdrojů. Investice se tak po období neustálých poklesů od roku 2009 dostaly blízko úrovně roku 2011.</w:t>
      </w:r>
    </w:p>
    <w:p w:rsidR="00485D17" w:rsidRDefault="00485D17" w:rsidP="007F3D03">
      <w:pPr>
        <w:spacing w:after="0"/>
      </w:pPr>
      <w:r w:rsidRPr="007504F9">
        <w:t xml:space="preserve">V </w:t>
      </w:r>
      <w:r w:rsidRPr="007F3D03">
        <w:t>roce 2015</w:t>
      </w:r>
      <w:r w:rsidRPr="007504F9">
        <w:t xml:space="preserve"> očekáváme nepatrný pokles relativní výše deficitu vládního sektoru na 1,9</w:t>
      </w:r>
      <w:r>
        <w:t> %</w:t>
      </w:r>
      <w:r w:rsidRPr="007504F9">
        <w:t xml:space="preserve"> HDP. Na příjmové straně by mělo dojít</w:t>
      </w:r>
      <w:r>
        <w:t xml:space="preserve"> k </w:t>
      </w:r>
      <w:r w:rsidRPr="007504F9">
        <w:t>opětovnému skokovému navýšení výnosu daně z</w:t>
      </w:r>
      <w:r>
        <w:t> </w:t>
      </w:r>
      <w:r w:rsidRPr="007504F9">
        <w:t>tabákových výrobků</w:t>
      </w:r>
      <w:r>
        <w:t xml:space="preserve"> a </w:t>
      </w:r>
      <w:r w:rsidRPr="007504F9">
        <w:t>také inkaso DPH by se i přes zavedení druhé snížené sazby na vybrané skupiny komodit mělo vyvíjet příznivě. O více než 3</w:t>
      </w:r>
      <w:r>
        <w:t> %</w:t>
      </w:r>
      <w:r w:rsidRPr="007504F9">
        <w:t xml:space="preserve"> by mělo vzrůst inkaso přímých daní, které bude podobně jako</w:t>
      </w:r>
      <w:r>
        <w:t xml:space="preserve"> v </w:t>
      </w:r>
      <w:r w:rsidRPr="007504F9">
        <w:t>roce 2014 taženo především výnosem DPPO.</w:t>
      </w:r>
      <w:r>
        <w:t xml:space="preserve"> Na straně výdajů </w:t>
      </w:r>
      <w:r w:rsidRPr="007504F9">
        <w:t>očekáváme akceleraci růstu u sociálních dávek díky znovuzavedení indexace důchodů o</w:t>
      </w:r>
      <w:r>
        <w:t> </w:t>
      </w:r>
      <w:r w:rsidRPr="007504F9">
        <w:t>inflaci</w:t>
      </w:r>
      <w:r>
        <w:t xml:space="preserve"> a </w:t>
      </w:r>
      <w:r w:rsidRPr="007504F9">
        <w:t xml:space="preserve">1/3 růstu reálné mzdy, </w:t>
      </w:r>
      <w:r>
        <w:t>umocněné</w:t>
      </w:r>
      <w:r w:rsidRPr="007504F9">
        <w:t xml:space="preserve"> jednorázový</w:t>
      </w:r>
      <w:r>
        <w:t>m</w:t>
      </w:r>
      <w:r w:rsidRPr="007504F9">
        <w:t xml:space="preserve"> mimořádný</w:t>
      </w:r>
      <w:r>
        <w:t>m</w:t>
      </w:r>
      <w:r w:rsidRPr="007504F9">
        <w:t xml:space="preserve"> příspěvk</w:t>
      </w:r>
      <w:r>
        <w:t>em k </w:t>
      </w:r>
      <w:r w:rsidRPr="007504F9">
        <w:t>důchodu ve výši 600</w:t>
      </w:r>
      <w:r>
        <w:t xml:space="preserve"> </w:t>
      </w:r>
      <w:r w:rsidRPr="007504F9">
        <w:t>Kč, který bude vyplacen</w:t>
      </w:r>
      <w:r>
        <w:t xml:space="preserve"> v </w:t>
      </w:r>
      <w:r w:rsidRPr="007504F9">
        <w:t>prosinci.</w:t>
      </w:r>
      <w:r>
        <w:t xml:space="preserve"> V </w:t>
      </w:r>
      <w:r w:rsidRPr="007504F9">
        <w:t xml:space="preserve">letošním roce </w:t>
      </w:r>
      <w:r>
        <w:t>by měla vrcholit</w:t>
      </w:r>
      <w:r w:rsidRPr="007504F9">
        <w:t xml:space="preserve"> siln</w:t>
      </w:r>
      <w:r>
        <w:t>á</w:t>
      </w:r>
      <w:r w:rsidRPr="007504F9">
        <w:t xml:space="preserve"> investiční aktivit</w:t>
      </w:r>
      <w:r>
        <w:t>a</w:t>
      </w:r>
      <w:r w:rsidRPr="007504F9">
        <w:t xml:space="preserve"> vládních institucí z</w:t>
      </w:r>
      <w:r>
        <w:t> </w:t>
      </w:r>
      <w:r w:rsidRPr="007504F9">
        <w:t>evropských</w:t>
      </w:r>
      <w:r>
        <w:t xml:space="preserve"> zdrojů</w:t>
      </w:r>
      <w:r w:rsidRPr="007504F9">
        <w:t xml:space="preserve"> </w:t>
      </w:r>
      <w:r>
        <w:t xml:space="preserve">a pokračovat </w:t>
      </w:r>
      <w:r w:rsidRPr="007504F9">
        <w:t>z</w:t>
      </w:r>
      <w:r>
        <w:t>e</w:t>
      </w:r>
      <w:r w:rsidRPr="007504F9">
        <w:t xml:space="preserve"> zdrojů národních.</w:t>
      </w:r>
      <w:r>
        <w:t xml:space="preserve"> Do investic se v metodice ESA 2010 </w:t>
      </w:r>
      <w:r w:rsidRPr="007504F9">
        <w:t>jednorázově</w:t>
      </w:r>
      <w:r>
        <w:t xml:space="preserve"> rovněž</w:t>
      </w:r>
      <w:r w:rsidRPr="007504F9">
        <w:t xml:space="preserve"> promítne pronájem nadzvukových letadel JAS-39 Gripen ve výši 10,5 mld. Kč.</w:t>
      </w:r>
    </w:p>
    <w:p w:rsidR="00485D17" w:rsidRDefault="00485D17" w:rsidP="007F3D03">
      <w:r w:rsidRPr="007504F9">
        <w:t xml:space="preserve">Pro rok </w:t>
      </w:r>
      <w:r w:rsidRPr="007F3D03">
        <w:t>2016</w:t>
      </w:r>
      <w:r w:rsidRPr="007504F9">
        <w:t xml:space="preserve"> počítáme s lepším výsledkem hospodaření vládního sektoru než</w:t>
      </w:r>
      <w:r>
        <w:t xml:space="preserve"> v </w:t>
      </w:r>
      <w:r w:rsidRPr="007504F9">
        <w:t xml:space="preserve">letošním roce. Především </w:t>
      </w:r>
      <w:r>
        <w:t>opatření</w:t>
      </w:r>
      <w:r w:rsidRPr="007504F9">
        <w:t xml:space="preserve"> na příjmové straně by měla zajistit fiskální úsilí ve výši 0,4 </w:t>
      </w:r>
      <w:r>
        <w:t>p. b.</w:t>
      </w:r>
      <w:r w:rsidRPr="007504F9">
        <w:t xml:space="preserve"> Celkové saldo vládního sektoru vlivem </w:t>
      </w:r>
      <w:r>
        <w:t>příznivé</w:t>
      </w:r>
      <w:r w:rsidRPr="007504F9">
        <w:t xml:space="preserve"> makroekonomické situace</w:t>
      </w:r>
      <w:r>
        <w:t xml:space="preserve"> a </w:t>
      </w:r>
      <w:r w:rsidRPr="007504F9">
        <w:t xml:space="preserve">kladné produkční mezery očekáváme na úrovni </w:t>
      </w:r>
      <w:r>
        <w:t>-</w:t>
      </w:r>
      <w:r w:rsidRPr="007504F9">
        <w:t>1,2</w:t>
      </w:r>
      <w:r>
        <w:t> %</w:t>
      </w:r>
      <w:r w:rsidRPr="007504F9">
        <w:t xml:space="preserve"> HDP. Od roku 2016 by již mělo docházet</w:t>
      </w:r>
      <w:r>
        <w:t xml:space="preserve"> k </w:t>
      </w:r>
      <w:r w:rsidRPr="007504F9">
        <w:t>postupnému náběhu vyšších daňových příjmů z důvodu zavedení opatření, která by měla redukovat daňové úniky. Jde především o kontrolní hlášení u DPH, elektronickou evidenci tržeb</w:t>
      </w:r>
      <w:r>
        <w:t xml:space="preserve"> a </w:t>
      </w:r>
      <w:r w:rsidRPr="007504F9">
        <w:t xml:space="preserve">restrukturalizaci finanční </w:t>
      </w:r>
      <w:r>
        <w:t xml:space="preserve">a celní </w:t>
      </w:r>
      <w:r w:rsidRPr="007504F9">
        <w:t>správy.</w:t>
      </w:r>
    </w:p>
    <w:p w:rsidR="00485D17" w:rsidRDefault="00485D17" w:rsidP="00814E15">
      <w:pPr>
        <w:pStyle w:val="Caption"/>
        <w:rPr>
          <w:b w:val="0"/>
          <w:i/>
          <w:color w:val="000000"/>
        </w:rPr>
      </w:pPr>
      <w:r>
        <w:t xml:space="preserve">Graf č. </w:t>
      </w:r>
      <w:fldSimple w:instr=" SEQ Graf_č._ \* ARABIC ">
        <w:r>
          <w:rPr>
            <w:noProof/>
          </w:rPr>
          <w:t>4</w:t>
        </w:r>
      </w:fldSimple>
      <w:r>
        <w:rPr>
          <w:noProof/>
        </w:rPr>
        <w:t xml:space="preserve"> </w:t>
      </w:r>
      <w:r w:rsidRPr="0012205D">
        <w:rPr>
          <w:noProof/>
        </w:rPr>
        <w:t>Saldo vládního sektoru (v</w:t>
      </w:r>
      <w:r>
        <w:rPr>
          <w:noProof/>
        </w:rPr>
        <w:t> %</w:t>
      </w:r>
      <w:r w:rsidRPr="0012205D">
        <w:rPr>
          <w:noProof/>
        </w:rPr>
        <w:t xml:space="preserve"> HDP)</w:t>
      </w:r>
    </w:p>
    <w:p w:rsidR="00485D17" w:rsidRDefault="00485D17" w:rsidP="00814E15">
      <w:pPr>
        <w:spacing w:after="0" w:line="240" w:lineRule="auto"/>
        <w:ind w:firstLine="0"/>
        <w:jc w:val="center"/>
      </w:pPr>
      <w:r>
        <w:pict>
          <v:shape id="_x0000_i1029" type="#_x0000_t75" style="width:351.6pt;height:196.2pt">
            <v:imagedata r:id="rId15" o:title=""/>
            <o:lock v:ext="edit" aspectratio="f"/>
          </v:shape>
        </w:pict>
      </w:r>
    </w:p>
    <w:p w:rsidR="00485D17" w:rsidRDefault="00485D17" w:rsidP="00814E15">
      <w:pPr>
        <w:ind w:firstLine="0"/>
        <w:rPr>
          <w:i/>
          <w:iCs/>
          <w:color w:val="000000"/>
          <w:sz w:val="20"/>
          <w:szCs w:val="20"/>
        </w:rPr>
      </w:pPr>
      <w:r w:rsidRPr="00E13A21">
        <w:rPr>
          <w:i/>
          <w:iCs/>
          <w:color w:val="000000"/>
          <w:sz w:val="20"/>
          <w:szCs w:val="20"/>
        </w:rPr>
        <w:t xml:space="preserve">Pramen: </w:t>
      </w:r>
      <w:r>
        <w:rPr>
          <w:i/>
          <w:iCs/>
          <w:color w:val="000000"/>
          <w:sz w:val="20"/>
          <w:szCs w:val="20"/>
        </w:rPr>
        <w:t>ČSÚ, predikce a propočty MF ČR.</w:t>
      </w:r>
    </w:p>
    <w:p w:rsidR="00485D17" w:rsidRDefault="00485D17" w:rsidP="007F3D03">
      <w:bookmarkStart w:id="44" w:name="_Toc396372821"/>
      <w:r w:rsidRPr="007F3D03">
        <w:t>V dalších letech</w:t>
      </w:r>
      <w:r w:rsidRPr="00BD3D1E">
        <w:t xml:space="preserve"> by měl </w:t>
      </w:r>
      <w:r>
        <w:t>deficit</w:t>
      </w:r>
      <w:r w:rsidRPr="00BD3D1E">
        <w:t xml:space="preserve"> sektoru vládních institucí klesnout </w:t>
      </w:r>
      <w:r>
        <w:t>na 0,8 % HDP v roce 2017 a </w:t>
      </w:r>
      <w:r w:rsidRPr="00BD3D1E">
        <w:t>0,6</w:t>
      </w:r>
      <w:r>
        <w:t> %</w:t>
      </w:r>
      <w:r w:rsidRPr="00BD3D1E">
        <w:t xml:space="preserve"> HDP</w:t>
      </w:r>
      <w:r>
        <w:t xml:space="preserve"> v </w:t>
      </w:r>
      <w:r w:rsidRPr="00BD3D1E">
        <w:t>roce 2018,</w:t>
      </w:r>
      <w:r>
        <w:t xml:space="preserve"> a to</w:t>
      </w:r>
      <w:r w:rsidRPr="00BD3D1E">
        <w:t xml:space="preserve"> na základě vládních opatření </w:t>
      </w:r>
      <w:r>
        <w:t>i</w:t>
      </w:r>
      <w:r w:rsidRPr="00BD3D1E">
        <w:t xml:space="preserve"> vývoje ekonomiky. Klesající trend očekáváme i u strukturálního salda, které by</w:t>
      </w:r>
      <w:r>
        <w:t xml:space="preserve"> v roce 2018 </w:t>
      </w:r>
      <w:r w:rsidRPr="00BD3D1E">
        <w:t xml:space="preserve">mělo </w:t>
      </w:r>
      <w:r>
        <w:t>činit</w:t>
      </w:r>
      <w:r w:rsidRPr="00BD3D1E">
        <w:t xml:space="preserve"> -0,9</w:t>
      </w:r>
      <w:r>
        <w:t> %</w:t>
      </w:r>
      <w:r w:rsidRPr="00BD3D1E">
        <w:t xml:space="preserve"> HDP</w:t>
      </w:r>
      <w:r>
        <w:t xml:space="preserve">. Střednědobý rozpočtový cíl ČR, který činí </w:t>
      </w:r>
      <w:r w:rsidRPr="00BD3D1E">
        <w:t>-1</w:t>
      </w:r>
      <w:r>
        <w:t>,0 %</w:t>
      </w:r>
      <w:r w:rsidRPr="00BD3D1E">
        <w:t xml:space="preserve"> HDP</w:t>
      </w:r>
      <w:r>
        <w:t>, by tak měl být dosažen.</w:t>
      </w:r>
    </w:p>
    <w:p w:rsidR="00485D17" w:rsidRPr="00304576" w:rsidRDefault="00485D17" w:rsidP="001715E8">
      <w:pPr>
        <w:pStyle w:val="Heading2"/>
      </w:pPr>
      <w:bookmarkStart w:id="45" w:name="_Toc428706724"/>
      <w:r w:rsidRPr="00304576">
        <w:t>Měnová politika</w:t>
      </w:r>
      <w:bookmarkEnd w:id="42"/>
      <w:bookmarkEnd w:id="43"/>
      <w:r>
        <w:t xml:space="preserve"> a </w:t>
      </w:r>
      <w:r w:rsidRPr="00304576">
        <w:t>měnový kurz</w:t>
      </w:r>
      <w:bookmarkEnd w:id="44"/>
      <w:bookmarkEnd w:id="45"/>
    </w:p>
    <w:p w:rsidR="00485D17" w:rsidRDefault="00485D17" w:rsidP="007F3D03">
      <w:pPr>
        <w:spacing w:after="0"/>
      </w:pPr>
      <w:r w:rsidRPr="009D56E0">
        <w:t xml:space="preserve">Hlavním úkolem </w:t>
      </w:r>
      <w:r w:rsidRPr="007F3D03">
        <w:t>měnové politiky</w:t>
      </w:r>
      <w:r w:rsidRPr="009D56E0">
        <w:t xml:space="preserve">, založené na režimu cílování inflace, je zabezpečovat cenovou stabilitu. Inflační cíl </w:t>
      </w:r>
      <w:r>
        <w:t>je </w:t>
      </w:r>
      <w:r w:rsidRPr="009D56E0">
        <w:t>definovaný jako meziroční přírůstek indexu spotřebitelských cen ve výši 2</w:t>
      </w:r>
      <w:r>
        <w:t> %</w:t>
      </w:r>
      <w:r w:rsidRPr="009D56E0">
        <w:t xml:space="preserve"> s tolerančním pásmem ± 1 </w:t>
      </w:r>
      <w:r>
        <w:t>p. b. a</w:t>
      </w:r>
      <w:r w:rsidRPr="009D56E0">
        <w:t xml:space="preserve"> je koncipován jako střednědobý, s délkou horizontu transmise měnové politiky 12–18 měsíců.</w:t>
      </w:r>
    </w:p>
    <w:p w:rsidR="00485D17" w:rsidRDefault="00485D17" w:rsidP="007F3D03">
      <w:pPr>
        <w:spacing w:after="0"/>
      </w:pPr>
      <w:r>
        <w:t>S cílem zamezit</w:t>
      </w:r>
      <w:r w:rsidRPr="00F218C1">
        <w:t xml:space="preserve"> dlouhodobému podstřelování inflačního cíle</w:t>
      </w:r>
      <w:r>
        <w:t xml:space="preserve"> a </w:t>
      </w:r>
      <w:r w:rsidRPr="00F218C1">
        <w:t>urychl</w:t>
      </w:r>
      <w:r>
        <w:t>it</w:t>
      </w:r>
      <w:r w:rsidRPr="00F218C1">
        <w:t xml:space="preserve"> návrat do situace, kdy opět bude moci využívat svůj standardní nástroj, rozhodla Bankovní rada ČNB dne 7.</w:t>
      </w:r>
      <w:r>
        <w:t> listopadu 2013 o </w:t>
      </w:r>
      <w:r w:rsidRPr="00F218C1">
        <w:t>používání měnového kurzu jako dalšího nástroje monetární politiky.</w:t>
      </w:r>
      <w:r>
        <w:t xml:space="preserve"> Na základě tohoto rozhodnutí se ČNB zavázala, že nepřipustí posílení kurzu koruny pod hladinu 27 korun za euro a v případě potřeby bude intervenovat na devizovém trhu.</w:t>
      </w:r>
    </w:p>
    <w:p w:rsidR="00485D17" w:rsidRDefault="00485D17" w:rsidP="007F3D03">
      <w:pPr>
        <w:spacing w:after="0"/>
      </w:pPr>
      <w:r>
        <w:t xml:space="preserve">V návaznosti na zavedení kurzového závazku se </w:t>
      </w:r>
      <w:r w:rsidRPr="007F3D03">
        <w:t>nominální měnový kurz</w:t>
      </w:r>
      <w:r>
        <w:t xml:space="preserve"> od konce roku 2013 pohybuje v blízkosti hladiny 27,50 CZK/EUR. S výjimkou několika dočasných výkyvů byl přitom kurz poměrně stabilní, bez výrazných fluktuací. Na základě dostupných informací byl pro období do konce roku 2016 zvolen technický předpoklad stability kurzu na hladině 27,50 CZK/EUR. Poté by měla koruna proti euru znovu začít velmi mírně posilovat. Ani v roce 2018 by ale průměrný roční měnový kurz neměl být výrazně silnější než 27 CZK/EUR.</w:t>
      </w:r>
    </w:p>
    <w:p w:rsidR="00485D17" w:rsidRPr="009D56E0" w:rsidRDefault="00485D17" w:rsidP="00814E15">
      <w:pPr>
        <w:pStyle w:val="Caption"/>
      </w:pPr>
      <w:r>
        <w:t xml:space="preserve">Graf č. </w:t>
      </w:r>
      <w:fldSimple w:instr=" SEQ Graf_č._ \* ARABIC ">
        <w:r>
          <w:rPr>
            <w:noProof/>
          </w:rPr>
          <w:t>5</w:t>
        </w:r>
      </w:fldSimple>
      <w:r>
        <w:rPr>
          <w:noProof/>
        </w:rPr>
        <w:t xml:space="preserve"> </w:t>
      </w:r>
      <w:r w:rsidRPr="00F32EAE">
        <w:rPr>
          <w:noProof/>
        </w:rPr>
        <w:t>Měnový kurz CZK/EUR</w:t>
      </w:r>
    </w:p>
    <w:p w:rsidR="00485D17" w:rsidRPr="009D56E0" w:rsidRDefault="00485D17" w:rsidP="00814E15">
      <w:pPr>
        <w:spacing w:line="240" w:lineRule="auto"/>
        <w:ind w:firstLine="0"/>
        <w:jc w:val="center"/>
        <w:rPr>
          <w:szCs w:val="20"/>
        </w:rPr>
      </w:pPr>
      <w:r w:rsidRPr="00E64FE8">
        <w:rPr>
          <w:szCs w:val="20"/>
        </w:rPr>
        <w:pict>
          <v:shape id="_x0000_i1030" type="#_x0000_t75" style="width:351.6pt;height:196.8pt">
            <v:imagedata r:id="rId16" o:title=""/>
            <o:lock v:ext="edit" aspectratio="f"/>
          </v:shape>
        </w:pict>
      </w:r>
    </w:p>
    <w:p w:rsidR="00485D17" w:rsidRPr="009D56E0" w:rsidRDefault="00485D17" w:rsidP="00814E15">
      <w:pPr>
        <w:tabs>
          <w:tab w:val="left" w:pos="8647"/>
        </w:tabs>
        <w:spacing w:before="0" w:after="480" w:line="240" w:lineRule="auto"/>
        <w:ind w:right="28" w:firstLine="0"/>
        <w:jc w:val="left"/>
        <w:rPr>
          <w:i/>
          <w:iCs/>
          <w:sz w:val="20"/>
          <w:szCs w:val="20"/>
        </w:rPr>
      </w:pPr>
      <w:r w:rsidRPr="009D56E0">
        <w:rPr>
          <w:i/>
          <w:iCs/>
          <w:sz w:val="20"/>
          <w:szCs w:val="20"/>
        </w:rPr>
        <w:t>Pramen: ČNB, propočty MF ČR</w:t>
      </w:r>
    </w:p>
    <w:p w:rsidR="00485D17" w:rsidRDefault="00485D17" w:rsidP="007F3D03">
      <w:pPr>
        <w:spacing w:after="0"/>
      </w:pPr>
      <w:r>
        <w:t xml:space="preserve">V dokumentu </w:t>
      </w:r>
      <w:r w:rsidRPr="00FD03C8">
        <w:t>Vyhodnocení plnění maastrichtských konvergenčních kritérií</w:t>
      </w:r>
      <w:r>
        <w:t xml:space="preserve"> a </w:t>
      </w:r>
      <w:r w:rsidRPr="00FD03C8">
        <w:t>stupně ekonomické sladěnosti ČR s</w:t>
      </w:r>
      <w:r>
        <w:t> </w:t>
      </w:r>
      <w:r w:rsidRPr="00FD03C8">
        <w:t>eurozónou</w:t>
      </w:r>
      <w:r>
        <w:t xml:space="preserve">, schváleném vládou v prosinci 2014, MF ČR a ČNB vládě doporučily prozatím nestanovovat cílové datum </w:t>
      </w:r>
      <w:r w:rsidRPr="007F3D03">
        <w:t>vstupu do eurozóny</w:t>
      </w:r>
      <w:r w:rsidRPr="00DC177D">
        <w:t>,</w:t>
      </w:r>
      <w:r w:rsidRPr="00603031">
        <w:t xml:space="preserve"> </w:t>
      </w:r>
      <w:r>
        <w:t>a to zejména kvůli probíhajícím významným institucionálním změnám ve fungování měnové unie. Předpokládáme, že ani v horizontu makroekonomického rámce nebude ČR usilovat o vstup do mechanismu měnových kurzů ERM II.</w:t>
      </w:r>
    </w:p>
    <w:p w:rsidR="00485D17" w:rsidRPr="00304576" w:rsidRDefault="00485D17" w:rsidP="004B4B30">
      <w:pPr>
        <w:pStyle w:val="Heading2"/>
      </w:pPr>
      <w:bookmarkStart w:id="46" w:name="_Toc302128557"/>
      <w:bookmarkStart w:id="47" w:name="_Toc333680166"/>
      <w:bookmarkStart w:id="48" w:name="_Toc396372822"/>
      <w:bookmarkStart w:id="49" w:name="_Toc428706725"/>
      <w:r w:rsidRPr="00304576">
        <w:t>Strukturální politiky</w:t>
      </w:r>
      <w:bookmarkEnd w:id="46"/>
      <w:bookmarkEnd w:id="47"/>
      <w:bookmarkEnd w:id="48"/>
      <w:bookmarkEnd w:id="49"/>
    </w:p>
    <w:p w:rsidR="00485D17" w:rsidRDefault="00485D17" w:rsidP="007F3D03">
      <w:r>
        <w:t>V únoru 2014 se vláda ČR ve svém programovém prohlášení zavázala prosazovat ekonomický program založený na podpoře podnikání, fungující a transparentní státní správě, efektivním trhu práce, dlouhodobě udržitelném penzijním systému, sociálním smíru ve společnosti a investicích do vzdělání, vědy a výzkumu. Stanovené cíle by měly být postupně naplňovány během celého volebního období 2013-2017.</w:t>
      </w:r>
    </w:p>
    <w:p w:rsidR="00485D17" w:rsidRDefault="00485D17" w:rsidP="007F3D03">
      <w:r>
        <w:t>Mezi nejvýznamnější schválené reformy patří zákon o státní službě, jenž by měl zvýšit efektivnost a přispět k modernizaci státní správy. Zákon nabyl účinnosti dne 1. ledna 2015, přičemž klíčové prvky zákona byly zavedeny k 1. červenci 2015.</w:t>
      </w:r>
    </w:p>
    <w:p w:rsidR="00485D17" w:rsidRDefault="00485D17" w:rsidP="007F3D03">
      <w:r>
        <w:t>Ústavní zákon o rozpočtové odpovědnosti a jeho prováděcí zákon o pravidlech rozpočtové odpovědnosti definují pravidla pro fungování veřejných financí, posilují střednědobou dimenzi rozpočtového procesu, stanovují požadavky na realistické makroekonomické a rozpočtové prognózy a zřizují nezávislou instituci s odpovědností za hodnocení plnění rozpočtových a fiskálních pravidel. Zákon je nyní projednáván, předpokládaná účinnost je k 1. lednu 2016.</w:t>
      </w:r>
    </w:p>
    <w:p w:rsidR="00485D17" w:rsidRDefault="00485D17" w:rsidP="007F3D03">
      <w:r>
        <w:t>V daňové oblasti jsou pak realizována a plánována opatření, která by měla zvýšit efektivnost výběru daní (zavedení kontrolního hlášení, zřízení registrů osob podnikajících ve vybraných odvětvích, zavedení elektronické evidence tržeb či rozšíření režimu přenesení daňové povinnosti, anebo restrukturalizace daňové a celní správy) a preventivního charakteru (zákon o prokazování původu majetku).</w:t>
      </w:r>
    </w:p>
    <w:p w:rsidR="00485D17" w:rsidRDefault="00485D17" w:rsidP="007F3D03">
      <w:r>
        <w:t>Další reformy jsou přijímány v oblasti investičních pobídek, veřejných zakázek, vzdělávání, výzkumu a vývoje, trhu práce či zvyšování dostupných služeb péče o děti.</w:t>
      </w:r>
    </w:p>
    <w:p w:rsidR="00485D17" w:rsidRPr="00D713AA" w:rsidRDefault="00485D17" w:rsidP="00D713AA"/>
    <w:p w:rsidR="00485D17" w:rsidRDefault="00485D17" w:rsidP="00C513C0">
      <w:pPr>
        <w:pStyle w:val="Heading1"/>
        <w:ind w:left="0"/>
      </w:pPr>
      <w:bookmarkStart w:id="50" w:name="_Toc302128558"/>
      <w:bookmarkStart w:id="51" w:name="_Toc333680167"/>
      <w:bookmarkStart w:id="52" w:name="_Toc361667779"/>
      <w:bookmarkStart w:id="53" w:name="_Toc428706726"/>
      <w:r w:rsidRPr="00D77888">
        <w:t>Makroekonomický vývoj</w:t>
      </w:r>
      <w:bookmarkEnd w:id="50"/>
      <w:bookmarkEnd w:id="51"/>
      <w:r w:rsidRPr="00D77888">
        <w:t xml:space="preserve"> v České republice</w:t>
      </w:r>
      <w:bookmarkEnd w:id="52"/>
      <w:bookmarkEnd w:id="53"/>
    </w:p>
    <w:p w:rsidR="00485D17" w:rsidRPr="00304576" w:rsidRDefault="00485D17" w:rsidP="004B4B30">
      <w:pPr>
        <w:pStyle w:val="Heading2"/>
      </w:pPr>
      <w:bookmarkStart w:id="54" w:name="_Toc396372824"/>
      <w:bookmarkStart w:id="55" w:name="_Toc428706727"/>
      <w:r w:rsidRPr="00304576">
        <w:t>Ekonomický výkon</w:t>
      </w:r>
      <w:bookmarkEnd w:id="54"/>
      <w:bookmarkEnd w:id="55"/>
    </w:p>
    <w:p w:rsidR="00485D17" w:rsidRPr="009669B8" w:rsidRDefault="00485D17" w:rsidP="007F3D03">
      <w:pPr>
        <w:spacing w:after="0"/>
      </w:pPr>
      <w:r>
        <w:t xml:space="preserve">Česká </w:t>
      </w:r>
      <w:r w:rsidRPr="009669B8">
        <w:t>ekonomika vystoupila</w:t>
      </w:r>
      <w:r>
        <w:t xml:space="preserve"> z poslední recese ve 2. </w:t>
      </w:r>
      <w:r w:rsidRPr="009669B8">
        <w:t>čtvrtletí roku 2013. Ekonomické oživení nabralo na intenzitě během</w:t>
      </w:r>
      <w:r>
        <w:t xml:space="preserve"> roku</w:t>
      </w:r>
      <w:r w:rsidRPr="009669B8">
        <w:t xml:space="preserve"> 2014</w:t>
      </w:r>
      <w:r>
        <w:t xml:space="preserve"> a následně byl v 1. čtvrtletí 2015 zaznamenán mezičtvrtletní přírůstek hrubé přidané hodnoty o 1,3 %</w:t>
      </w:r>
      <w:r w:rsidRPr="009669B8">
        <w:t>.</w:t>
      </w:r>
      <w:r>
        <w:t xml:space="preserve"> V tomto</w:t>
      </w:r>
      <w:r w:rsidRPr="009669B8">
        <w:t xml:space="preserve"> čtvrtletí byla </w:t>
      </w:r>
      <w:r>
        <w:t xml:space="preserve">rovněž </w:t>
      </w:r>
      <w:r w:rsidRPr="009669B8">
        <w:t xml:space="preserve">předstižena úroveň </w:t>
      </w:r>
      <w:r>
        <w:t xml:space="preserve">předchozího </w:t>
      </w:r>
      <w:r w:rsidRPr="009669B8">
        <w:t>vrcholu hospodářského cyklu z</w:t>
      </w:r>
      <w:r>
        <w:t> 3.</w:t>
      </w:r>
      <w:r w:rsidRPr="009669B8">
        <w:t xml:space="preserve"> čtvrtletí roku 2008 o 2,5</w:t>
      </w:r>
      <w:r>
        <w:t> %.</w:t>
      </w:r>
    </w:p>
    <w:p w:rsidR="00485D17" w:rsidRDefault="00485D17" w:rsidP="007F3D03">
      <w:pPr>
        <w:spacing w:after="0"/>
      </w:pPr>
      <w:r w:rsidRPr="009669B8">
        <w:t xml:space="preserve">Pro zbývající část roku 2015 makroekonomický rámec počítá s pokračujícím </w:t>
      </w:r>
      <w:r>
        <w:t>růstem</w:t>
      </w:r>
      <w:r w:rsidRPr="009669B8">
        <w:t xml:space="preserve"> ekonomické aktivity, </w:t>
      </w:r>
      <w:r>
        <w:t xml:space="preserve">přičemž </w:t>
      </w:r>
      <w:r w:rsidRPr="009669B8">
        <w:t>za celý rok by měl HDP reálně vzrůst o 3,9</w:t>
      </w:r>
      <w:r>
        <w:t> %</w:t>
      </w:r>
      <w:r w:rsidRPr="009669B8">
        <w:t xml:space="preserve">. </w:t>
      </w:r>
      <w:r>
        <w:t>Vývoj v roce 2015 je však zcela mimořádný, neboť v jeho průběhu působí synergický efekt několika příznivých jednorázových faktorů.</w:t>
      </w:r>
    </w:p>
    <w:p w:rsidR="00485D17" w:rsidRDefault="00485D17" w:rsidP="007F3D03">
      <w:pPr>
        <w:spacing w:after="0"/>
      </w:pPr>
      <w:r>
        <w:t xml:space="preserve">Zaprvé jde </w:t>
      </w:r>
      <w:r w:rsidRPr="00D46331">
        <w:t>o pozitivní nabídkový šok</w:t>
      </w:r>
      <w:r>
        <w:t xml:space="preserve"> v </w:t>
      </w:r>
      <w:r w:rsidRPr="00D46331">
        <w:t>podobě nízkých cen ropy</w:t>
      </w:r>
      <w:r>
        <w:t xml:space="preserve">, kdy by </w:t>
      </w:r>
      <w:r w:rsidRPr="00D46331">
        <w:t>průměrná korunová cena ropy Brent</w:t>
      </w:r>
      <w:r>
        <w:t xml:space="preserve"> měla v roce 2015 dosáhnout </w:t>
      </w:r>
      <w:r w:rsidRPr="00D46331">
        <w:t>o čtvrtinu nižší</w:t>
      </w:r>
      <w:r>
        <w:t xml:space="preserve"> hodnoty</w:t>
      </w:r>
      <w:r w:rsidRPr="00D46331">
        <w:t xml:space="preserve"> než</w:t>
      </w:r>
      <w:r>
        <w:t xml:space="preserve"> v </w:t>
      </w:r>
      <w:r w:rsidRPr="00D46331">
        <w:t xml:space="preserve">roce </w:t>
      </w:r>
      <w:r>
        <w:t>předchozím</w:t>
      </w:r>
      <w:r w:rsidRPr="00D46331">
        <w:t>.</w:t>
      </w:r>
      <w:r>
        <w:t xml:space="preserve"> V této souvislosti by úspora nákladů podnikové sféry a nízká spotřebitelská inflace měly přispět k růstu HDP v rozsahu cca 0,7 p. b. </w:t>
      </w:r>
      <w:r w:rsidRPr="00D46331">
        <w:t>Další pozitivní faktor</w:t>
      </w:r>
      <w:r>
        <w:t xml:space="preserve"> představuje</w:t>
      </w:r>
      <w:r w:rsidRPr="00D46331">
        <w:t xml:space="preserve"> fiskální stimulace, </w:t>
      </w:r>
      <w:r>
        <w:t>jejíž rozsah odhadujeme okolo 0,4 % HDP.</w:t>
      </w:r>
      <w:r w:rsidRPr="00D46331">
        <w:t xml:space="preserve"> Efekt expanzivní fiskální politiky je </w:t>
      </w:r>
      <w:r>
        <w:t>navíc</w:t>
      </w:r>
      <w:r w:rsidRPr="00D46331">
        <w:t xml:space="preserve"> prohlubován snahou o maximální využití prostředků z fondů EU z minulé finanční perspektivy 2007–2013 do konce roku 2015.</w:t>
      </w:r>
      <w:r w:rsidRPr="00DB540D">
        <w:t xml:space="preserve"> </w:t>
      </w:r>
      <w:r>
        <w:t>To by mohlo zvýšit HDP až o 0,6 p. b. V neposlední řadě přispěje k růstu HDP v roce 2015 obnovení zásob tabákových nálepek po zavedení omezené platnosti kolků s předchozí sazbou spotřební daně. Velikost tohoto efektu lze odhadnout na cca 0,2 p. b.</w:t>
      </w:r>
    </w:p>
    <w:p w:rsidR="00485D17" w:rsidRDefault="00485D17" w:rsidP="007F3D03">
      <w:pPr>
        <w:spacing w:after="0"/>
      </w:pPr>
      <w:r>
        <w:t>Hospodářský r</w:t>
      </w:r>
      <w:r w:rsidRPr="009669B8">
        <w:t>ůst by měl být tažen domácí poptávkou</w:t>
      </w:r>
      <w:r>
        <w:t>. Předstih růstu</w:t>
      </w:r>
      <w:r w:rsidRPr="009669B8">
        <w:t xml:space="preserve"> objemu dovozu před vývozem</w:t>
      </w:r>
      <w:r>
        <w:t xml:space="preserve"> v </w:t>
      </w:r>
      <w:r w:rsidRPr="009669B8">
        <w:t>důsledku dynamicky rostoucí domácí poptávky se odrazí</w:t>
      </w:r>
      <w:r>
        <w:t xml:space="preserve"> v mírně </w:t>
      </w:r>
      <w:r w:rsidRPr="009669B8">
        <w:t>záporném příspěvku zahraniční obchodu.</w:t>
      </w:r>
    </w:p>
    <w:p w:rsidR="00485D17" w:rsidRPr="009669B8" w:rsidRDefault="00485D17" w:rsidP="007F3D03">
      <w:pPr>
        <w:spacing w:after="0"/>
      </w:pPr>
      <w:r>
        <w:t>Od</w:t>
      </w:r>
      <w:r w:rsidRPr="003D6C6E">
        <w:t xml:space="preserve"> ro</w:t>
      </w:r>
      <w:r>
        <w:t>ku</w:t>
      </w:r>
      <w:r w:rsidRPr="003D6C6E">
        <w:t xml:space="preserve"> 2016 by měly uvedené jednorázové faktory odeznít</w:t>
      </w:r>
      <w:r>
        <w:t xml:space="preserve"> a </w:t>
      </w:r>
      <w:r w:rsidRPr="003D6C6E">
        <w:t>ekonomický růst by měl odrážet normální podmínky</w:t>
      </w:r>
      <w:r>
        <w:t xml:space="preserve"> a </w:t>
      </w:r>
      <w:r w:rsidRPr="003D6C6E">
        <w:t>možnosti české ekonomiky.</w:t>
      </w:r>
      <w:r>
        <w:t xml:space="preserve"> Růst HDP by se v roce 2016 mohl zpomalit na 2,5 %. Pro další roky pak počítáme s růstem ekonomiky o 2,3 %, což zhruba odpovídá odhadované dynamice potenciálního produktu. Po celé sledované období by dominantním faktorem růstu měla být domácí poptávka,</w:t>
      </w:r>
      <w:r w:rsidRPr="00232ABC">
        <w:t xml:space="preserve"> </w:t>
      </w:r>
      <w:r>
        <w:t>příspěvek zahraničního obchodu by však měl být již kladný.</w:t>
      </w:r>
    </w:p>
    <w:p w:rsidR="00485D17" w:rsidRPr="009D56E0" w:rsidRDefault="00485D17" w:rsidP="00D713AA">
      <w:pPr>
        <w:pStyle w:val="Caption"/>
      </w:pPr>
      <w:r>
        <w:t xml:space="preserve">Graf č. </w:t>
      </w:r>
      <w:fldSimple w:instr=" SEQ Graf_č._ \* ARABIC ">
        <w:r>
          <w:rPr>
            <w:noProof/>
          </w:rPr>
          <w:t>6</w:t>
        </w:r>
      </w:fldSimple>
      <w:r>
        <w:rPr>
          <w:noProof/>
        </w:rPr>
        <w:t xml:space="preserve"> </w:t>
      </w:r>
      <w:r w:rsidRPr="006C62DB">
        <w:rPr>
          <w:noProof/>
        </w:rPr>
        <w:t>Reálný hrubý domácí produkt (růst proti předchozímu roku</w:t>
      </w:r>
      <w:r>
        <w:rPr>
          <w:noProof/>
        </w:rPr>
        <w:t xml:space="preserve"> v %</w:t>
      </w:r>
      <w:r w:rsidRPr="006C62DB">
        <w:rPr>
          <w:noProof/>
        </w:rPr>
        <w:t>)</w:t>
      </w:r>
    </w:p>
    <w:p w:rsidR="00485D17" w:rsidRPr="006C55A1" w:rsidRDefault="00485D17" w:rsidP="00D713AA">
      <w:pPr>
        <w:ind w:firstLine="0"/>
        <w:jc w:val="center"/>
      </w:pPr>
      <w:r>
        <w:pict>
          <v:shape id="_x0000_i1031" type="#_x0000_t75" style="width:351.6pt;height:196.2pt">
            <v:imagedata r:id="rId17" o:title=""/>
            <o:lock v:ext="edit" aspectratio="f"/>
          </v:shape>
        </w:pict>
      </w:r>
    </w:p>
    <w:p w:rsidR="00485D17" w:rsidRPr="009D56E0" w:rsidRDefault="00485D17" w:rsidP="00D713AA">
      <w:pPr>
        <w:numPr>
          <w:ilvl w:val="12"/>
          <w:numId w:val="0"/>
        </w:numPr>
        <w:tabs>
          <w:tab w:val="left" w:pos="8647"/>
        </w:tabs>
        <w:spacing w:before="0" w:after="480" w:line="240" w:lineRule="auto"/>
        <w:ind w:right="28"/>
        <w:jc w:val="left"/>
        <w:rPr>
          <w:i/>
          <w:iCs/>
          <w:sz w:val="20"/>
          <w:szCs w:val="20"/>
        </w:rPr>
      </w:pPr>
      <w:r w:rsidRPr="009D56E0">
        <w:rPr>
          <w:i/>
          <w:iCs/>
          <w:sz w:val="20"/>
          <w:szCs w:val="20"/>
        </w:rPr>
        <w:t>Pramen: ČSÚ, propočty MF ČR</w:t>
      </w:r>
    </w:p>
    <w:p w:rsidR="00485D17" w:rsidRPr="009669B8" w:rsidRDefault="00485D17" w:rsidP="007F3D03">
      <w:pPr>
        <w:spacing w:after="0"/>
      </w:pPr>
      <w:r w:rsidRPr="009669B8">
        <w:t xml:space="preserve">Růst </w:t>
      </w:r>
      <w:r w:rsidRPr="007F3D03">
        <w:t>spotřeby domácností</w:t>
      </w:r>
      <w:r w:rsidRPr="009669B8">
        <w:t xml:space="preserve"> by měl odrážet očekávané zlepšování situace na trhu práce</w:t>
      </w:r>
      <w:r>
        <w:t xml:space="preserve"> a </w:t>
      </w:r>
      <w:r w:rsidRPr="009669B8">
        <w:t xml:space="preserve">nárůst reálného disponibilního důchodu, na nějž </w:t>
      </w:r>
      <w:r>
        <w:t>bude</w:t>
      </w:r>
      <w:r w:rsidRPr="009669B8">
        <w:t xml:space="preserve"> příznivě působit nízká inflace.</w:t>
      </w:r>
      <w:r>
        <w:t xml:space="preserve"> V roce 2015 </w:t>
      </w:r>
      <w:r w:rsidRPr="009669B8">
        <w:t>se projev</w:t>
      </w:r>
      <w:r>
        <w:t>uje vysoká úroveň</w:t>
      </w:r>
      <w:r w:rsidRPr="009669B8">
        <w:t xml:space="preserve"> spotřebitel</w:t>
      </w:r>
      <w:r>
        <w:t>ského sentimentu a spotřeba domácností by se tak mohla zvýšit o 2,9 %. V následujících letech by k předpokládanému zpomalování růstu spotřeby domácností ke 2 % v roce 2018 měla primárně přispívat vyšší inflace</w:t>
      </w:r>
      <w:r w:rsidRPr="009669B8">
        <w:t>.</w:t>
      </w:r>
      <w:r>
        <w:t xml:space="preserve"> V nominálním vyjádření naopak počítáme se zrychlením růstu výdajů domácností na konečnou spotřebu </w:t>
      </w:r>
      <w:r w:rsidRPr="009669B8">
        <w:t>z</w:t>
      </w:r>
      <w:r>
        <w:t> </w:t>
      </w:r>
      <w:r w:rsidRPr="009669B8">
        <w:t>3,5</w:t>
      </w:r>
      <w:r>
        <w:t> % v </w:t>
      </w:r>
      <w:r w:rsidRPr="009669B8">
        <w:t>roce 2015 až</w:t>
      </w:r>
      <w:r>
        <w:t xml:space="preserve"> k </w:t>
      </w:r>
      <w:r w:rsidRPr="009669B8">
        <w:t>hranici 4</w:t>
      </w:r>
      <w:r>
        <w:t> % v roce 2018</w:t>
      </w:r>
      <w:r w:rsidRPr="009669B8">
        <w:t>.</w:t>
      </w:r>
    </w:p>
    <w:p w:rsidR="00485D17" w:rsidRPr="009669B8" w:rsidRDefault="00485D17" w:rsidP="007F3D03">
      <w:pPr>
        <w:spacing w:after="0"/>
      </w:pPr>
      <w:r>
        <w:t xml:space="preserve">Očekáváme, že </w:t>
      </w:r>
      <w:r w:rsidRPr="009669B8">
        <w:t>po zvýšení o 2,0</w:t>
      </w:r>
      <w:r>
        <w:t> % v </w:t>
      </w:r>
      <w:r w:rsidRPr="009669B8">
        <w:t xml:space="preserve">roce 2015 bude růst </w:t>
      </w:r>
      <w:r w:rsidRPr="007F3D03">
        <w:t>reálné spotřeby vlády</w:t>
      </w:r>
      <w:r w:rsidRPr="009669B8">
        <w:t xml:space="preserve"> postupně zpomalovat</w:t>
      </w:r>
      <w:r>
        <w:t xml:space="preserve"> k </w:t>
      </w:r>
      <w:r w:rsidRPr="009669B8">
        <w:t>1,3</w:t>
      </w:r>
      <w:r>
        <w:t> % v </w:t>
      </w:r>
      <w:r w:rsidRPr="009669B8">
        <w:t xml:space="preserve">roce 2018. Na růst reálné spotřeby vlády působí především růst naturálních sociálních dávek, </w:t>
      </w:r>
      <w:r>
        <w:t>brzdu naopak představuje snižování tempa nákupů zboží a </w:t>
      </w:r>
      <w:r w:rsidRPr="009669B8">
        <w:t>služeb.</w:t>
      </w:r>
    </w:p>
    <w:p w:rsidR="00485D17" w:rsidRPr="00E629AB" w:rsidRDefault="00485D17" w:rsidP="007F3D03">
      <w:pPr>
        <w:spacing w:after="0"/>
      </w:pPr>
      <w:r w:rsidRPr="00CA439A">
        <w:rPr>
          <w:rStyle w:val="Tuntext"/>
          <w:b w:val="0"/>
        </w:rPr>
        <w:t xml:space="preserve">Predikce růstu </w:t>
      </w:r>
      <w:r w:rsidRPr="007F3D03">
        <w:rPr>
          <w:rStyle w:val="Tuntext"/>
          <w:b w:val="0"/>
        </w:rPr>
        <w:t>tvorby hrubého fixního kapitálu</w:t>
      </w:r>
      <w:r w:rsidRPr="00CA439A">
        <w:rPr>
          <w:rStyle w:val="Tuntext"/>
          <w:b w:val="0"/>
        </w:rPr>
        <w:t xml:space="preserve"> odráží očekávaný vývoj domácí spotřeby</w:t>
      </w:r>
      <w:r>
        <w:rPr>
          <w:rStyle w:val="Tuntext"/>
          <w:b w:val="0"/>
        </w:rPr>
        <w:t xml:space="preserve"> a vývozu (vedoucí k potřebě investic do rozšiřování výrobních kapacit)</w:t>
      </w:r>
      <w:r w:rsidRPr="00CA439A">
        <w:rPr>
          <w:rStyle w:val="Tuntext"/>
          <w:b w:val="0"/>
        </w:rPr>
        <w:t>, růst interních zdrojů pro financování investic (na základě vývoje hrubého provozního přebytku), uvolněnou měnovou politiku</w:t>
      </w:r>
      <w:r>
        <w:rPr>
          <w:rStyle w:val="Tuntext"/>
          <w:b w:val="0"/>
        </w:rPr>
        <w:t xml:space="preserve"> a </w:t>
      </w:r>
      <w:r w:rsidRPr="00CA439A">
        <w:rPr>
          <w:rStyle w:val="Tuntext"/>
          <w:b w:val="0"/>
        </w:rPr>
        <w:t xml:space="preserve">předpokládané intenzivní čerpání prostředků z evropských fondů z finanční perspektivy 2007–2013 do konce roku 2015. </w:t>
      </w:r>
      <w:r>
        <w:rPr>
          <w:rStyle w:val="Tuntext"/>
          <w:b w:val="0"/>
        </w:rPr>
        <w:t>Probíhající oživení investiční aktivity potvrzují i data o vývoji ve stavebnictví. V investicích za rok 2015 se projeví i pronájem nadzvukových stíhaček JAS-39 Gripen (tato transakce však bude</w:t>
      </w:r>
      <w:r w:rsidRPr="00A82E1F">
        <w:rPr>
          <w:rStyle w:val="Tuntext"/>
          <w:b w:val="0"/>
        </w:rPr>
        <w:t xml:space="preserve"> </w:t>
      </w:r>
      <w:r>
        <w:rPr>
          <w:rStyle w:val="Tuntext"/>
          <w:b w:val="0"/>
        </w:rPr>
        <w:t>zároveň zachycena i v dovozech). V </w:t>
      </w:r>
      <w:r w:rsidRPr="00CA439A">
        <w:rPr>
          <w:rStyle w:val="Tuntext"/>
          <w:b w:val="0"/>
        </w:rPr>
        <w:t xml:space="preserve">roce </w:t>
      </w:r>
      <w:r>
        <w:rPr>
          <w:rStyle w:val="Tuntext"/>
          <w:b w:val="0"/>
        </w:rPr>
        <w:t xml:space="preserve">2015 </w:t>
      </w:r>
      <w:r w:rsidRPr="00CA439A">
        <w:rPr>
          <w:rStyle w:val="Tuntext"/>
          <w:b w:val="0"/>
        </w:rPr>
        <w:t>by se tak tvorba hrubého fixního kapitálu mohla zvýšit o 6,4</w:t>
      </w:r>
      <w:r>
        <w:rPr>
          <w:rStyle w:val="Tuntext"/>
          <w:b w:val="0"/>
        </w:rPr>
        <w:t> %</w:t>
      </w:r>
      <w:r w:rsidRPr="00CA439A">
        <w:rPr>
          <w:rStyle w:val="Tuntext"/>
          <w:b w:val="0"/>
        </w:rPr>
        <w:t xml:space="preserve">. </w:t>
      </w:r>
      <w:r>
        <w:rPr>
          <w:rStyle w:val="Tuntext"/>
          <w:b w:val="0"/>
        </w:rPr>
        <w:t xml:space="preserve">Po odeznění jednorázových faktorů </w:t>
      </w:r>
      <w:r w:rsidRPr="00CA439A">
        <w:rPr>
          <w:rStyle w:val="Tuntext"/>
          <w:b w:val="0"/>
        </w:rPr>
        <w:t>by se</w:t>
      </w:r>
      <w:r>
        <w:rPr>
          <w:rStyle w:val="Tuntext"/>
          <w:b w:val="0"/>
        </w:rPr>
        <w:t xml:space="preserve"> v </w:t>
      </w:r>
      <w:r w:rsidRPr="00CA439A">
        <w:rPr>
          <w:rStyle w:val="Tuntext"/>
          <w:b w:val="0"/>
        </w:rPr>
        <w:t>dalších letech</w:t>
      </w:r>
      <w:r>
        <w:rPr>
          <w:rStyle w:val="Tuntext"/>
          <w:b w:val="0"/>
        </w:rPr>
        <w:t xml:space="preserve"> </w:t>
      </w:r>
      <w:r w:rsidRPr="00CA439A">
        <w:rPr>
          <w:rStyle w:val="Tuntext"/>
          <w:b w:val="0"/>
        </w:rPr>
        <w:t>měl růst zpomalit mírně nad 3</w:t>
      </w:r>
      <w:r>
        <w:rPr>
          <w:rStyle w:val="Tuntext"/>
          <w:b w:val="0"/>
        </w:rPr>
        <w:t> %</w:t>
      </w:r>
      <w:r w:rsidRPr="00CA439A">
        <w:rPr>
          <w:rStyle w:val="Tuntext"/>
          <w:b w:val="0"/>
        </w:rPr>
        <w:t>.</w:t>
      </w:r>
    </w:p>
    <w:p w:rsidR="00485D17" w:rsidRDefault="00485D17" w:rsidP="007F3D03">
      <w:pPr>
        <w:spacing w:after="0"/>
      </w:pPr>
      <w:r w:rsidRPr="009669B8">
        <w:t>V saldu zahraničního obchodu proti sobě působí růst ekonomik hlavních obchodních partnerů ČR</w:t>
      </w:r>
      <w:r>
        <w:t xml:space="preserve"> a </w:t>
      </w:r>
      <w:r w:rsidRPr="009669B8">
        <w:t>zvýšené dovozy, dané rychlejším růstem domácí poptávky</w:t>
      </w:r>
      <w:r>
        <w:t xml:space="preserve"> a </w:t>
      </w:r>
      <w:r w:rsidRPr="009669B8">
        <w:t xml:space="preserve">vysokou dovozní náročností českého exportu. Příspěvek salda </w:t>
      </w:r>
      <w:r w:rsidRPr="007F3D03">
        <w:t>zahraničního obchodu</w:t>
      </w:r>
      <w:r>
        <w:t xml:space="preserve"> k </w:t>
      </w:r>
      <w:r w:rsidRPr="009669B8">
        <w:t xml:space="preserve">růstu reálného HDP </w:t>
      </w:r>
      <w:r>
        <w:t>by tak letos mohl dosáhnout</w:t>
      </w:r>
      <w:r w:rsidRPr="009669B8">
        <w:t xml:space="preserve"> -0,4 </w:t>
      </w:r>
      <w:r>
        <w:t>p. b., pro nadcházející roky pak počítáme s mírně kladným příspěvkem.</w:t>
      </w:r>
    </w:p>
    <w:p w:rsidR="00485D17" w:rsidRPr="009669B8" w:rsidRDefault="00485D17" w:rsidP="007F3D03">
      <w:pPr>
        <w:spacing w:after="0"/>
      </w:pPr>
      <w:r w:rsidRPr="009669B8">
        <w:t xml:space="preserve">Česká ekonomika se od </w:t>
      </w:r>
      <w:r>
        <w:t xml:space="preserve">roku 2009 </w:t>
      </w:r>
      <w:r w:rsidRPr="009669B8">
        <w:t>pohybovala pod svým potenciálním produktem.</w:t>
      </w:r>
      <w:r>
        <w:t xml:space="preserve"> V roce </w:t>
      </w:r>
      <w:r w:rsidRPr="009669B8">
        <w:t xml:space="preserve">2015 by měla </w:t>
      </w:r>
      <w:r w:rsidRPr="007F3D03">
        <w:t>produkční mezera</w:t>
      </w:r>
      <w:r w:rsidRPr="009669B8">
        <w:t xml:space="preserve"> opustit záporné hodnoty</w:t>
      </w:r>
      <w:r>
        <w:t xml:space="preserve"> a </w:t>
      </w:r>
      <w:r w:rsidRPr="009669B8">
        <w:t xml:space="preserve">dosáhnout </w:t>
      </w:r>
      <w:r>
        <w:t>0,4 %</w:t>
      </w:r>
      <w:r w:rsidRPr="009669B8">
        <w:t xml:space="preserve"> potenciální</w:t>
      </w:r>
      <w:r>
        <w:t>ho</w:t>
      </w:r>
      <w:r w:rsidRPr="009669B8">
        <w:t xml:space="preserve"> produkt</w:t>
      </w:r>
      <w:r>
        <w:t>u. V </w:t>
      </w:r>
      <w:r w:rsidRPr="009669B8">
        <w:t xml:space="preserve">dalších letech by </w:t>
      </w:r>
      <w:r>
        <w:t xml:space="preserve">měla být dynamika ekonomiky přibližně v souladu s růstem potenciálu, a tak by </w:t>
      </w:r>
      <w:r w:rsidRPr="009669B8">
        <w:t xml:space="preserve">kladná produkční mezera </w:t>
      </w:r>
      <w:r>
        <w:t>ani v horizontu výhledu neměla přesáhnout 0,8 % potenciálního produktu.</w:t>
      </w:r>
    </w:p>
    <w:p w:rsidR="00485D17" w:rsidRDefault="00485D17" w:rsidP="007F3D03">
      <w:pPr>
        <w:spacing w:after="0"/>
      </w:pPr>
      <w:r w:rsidRPr="009669B8">
        <w:t xml:space="preserve">Růst </w:t>
      </w:r>
      <w:r w:rsidRPr="007F3D03">
        <w:t>nominálního HDP</w:t>
      </w:r>
      <w:r w:rsidRPr="009669B8">
        <w:t xml:space="preserve"> je dán vývojem reálného ekonomického výkonu</w:t>
      </w:r>
      <w:r>
        <w:t xml:space="preserve"> a </w:t>
      </w:r>
      <w:r w:rsidRPr="009669B8">
        <w:t xml:space="preserve">cenové složky HDP. Růst deflátoru hrubých domácích výdajů by </w:t>
      </w:r>
      <w:r>
        <w:t xml:space="preserve">se </w:t>
      </w:r>
      <w:r w:rsidRPr="009669B8">
        <w:t>měl</w:t>
      </w:r>
      <w:r>
        <w:t xml:space="preserve"> po výkyvu v roce 2015 způsobeném poklesem cen ropy stabilizovat mezi 1,3 % a 1,5 %. </w:t>
      </w:r>
      <w:r w:rsidRPr="009669B8">
        <w:t>Smě</w:t>
      </w:r>
      <w:r>
        <w:t>nné relace by se po vyprchání efektu cen ropy většinou měly mírně zlepšovat do 0,4 % meziročně. V </w:t>
      </w:r>
      <w:r w:rsidRPr="009669B8">
        <w:t>roce 2015 by tak nominální HDP mohl vzrůst o 4,9</w:t>
      </w:r>
      <w:r>
        <w:t> %</w:t>
      </w:r>
      <w:r w:rsidRPr="009669B8">
        <w:t>,</w:t>
      </w:r>
      <w:r>
        <w:t xml:space="preserve"> v </w:t>
      </w:r>
      <w:r w:rsidRPr="009669B8">
        <w:t>dalších letech by se jeho růst měl pohybovat těsně pod hranicí 4</w:t>
      </w:r>
      <w:r>
        <w:t> %</w:t>
      </w:r>
      <w:r w:rsidRPr="009669B8">
        <w:t>.</w:t>
      </w:r>
    </w:p>
    <w:p w:rsidR="00485D17" w:rsidRPr="00304576" w:rsidRDefault="00485D17" w:rsidP="004B4B30">
      <w:pPr>
        <w:pStyle w:val="Heading2"/>
      </w:pPr>
      <w:bookmarkStart w:id="56" w:name="_Toc302128560"/>
      <w:bookmarkStart w:id="57" w:name="_Toc333680169"/>
      <w:bookmarkStart w:id="58" w:name="_Toc396372825"/>
      <w:r w:rsidRPr="00304576">
        <w:t xml:space="preserve"> </w:t>
      </w:r>
      <w:bookmarkStart w:id="59" w:name="_Toc428706728"/>
      <w:r w:rsidRPr="00304576">
        <w:t>Ceny zboží</w:t>
      </w:r>
      <w:r>
        <w:t xml:space="preserve"> a </w:t>
      </w:r>
      <w:r w:rsidRPr="00304576">
        <w:t>služeb</w:t>
      </w:r>
      <w:bookmarkEnd w:id="56"/>
      <w:bookmarkEnd w:id="57"/>
      <w:bookmarkEnd w:id="58"/>
      <w:bookmarkEnd w:id="59"/>
    </w:p>
    <w:p w:rsidR="00485D17" w:rsidRDefault="00485D17" w:rsidP="007F3D03">
      <w:pPr>
        <w:spacing w:after="0"/>
      </w:pPr>
      <w:r w:rsidRPr="009D56E0">
        <w:t>Českou ekonomiku lze z dlouhodobého pohledu charakterizovat jako nízkoinflační</w:t>
      </w:r>
      <w:r>
        <w:t xml:space="preserve">. Rok </w:t>
      </w:r>
      <w:r w:rsidRPr="007F3D03">
        <w:t>2015</w:t>
      </w:r>
      <w:r>
        <w:t xml:space="preserve"> by měl být stále ve znamení </w:t>
      </w:r>
      <w:r w:rsidRPr="000D2BD9">
        <w:t>příznivého nabídkového šoku</w:t>
      </w:r>
      <w:r>
        <w:t xml:space="preserve"> v </w:t>
      </w:r>
      <w:r w:rsidRPr="000D2BD9">
        <w:t xml:space="preserve">podobě výrazného </w:t>
      </w:r>
      <w:r>
        <w:t xml:space="preserve">meziročního </w:t>
      </w:r>
      <w:r w:rsidRPr="000D2BD9">
        <w:t>poklesu ceny ropy</w:t>
      </w:r>
      <w:r>
        <w:t xml:space="preserve">. V porovnání s předchozími roky je příspěvek administrativních opatření nízký, daný zejména zvýšením spotřební daně z tabákových výrobků. Růst cen naopak zpomaluje zavedení druhé snížené sazby DPH a zrušení většiny poplatků ve zdravotnictví. </w:t>
      </w:r>
      <w:r w:rsidRPr="00C63E7B">
        <w:t>Průměrná míra inflace</w:t>
      </w:r>
      <w:r>
        <w:t xml:space="preserve"> by tak v roce 2015 mohla dosáhnout jen 0,5 %.</w:t>
      </w:r>
    </w:p>
    <w:p w:rsidR="00485D17" w:rsidRPr="009D56E0" w:rsidRDefault="00485D17" w:rsidP="007F3D03">
      <w:pPr>
        <w:spacing w:after="0"/>
      </w:pPr>
      <w:r>
        <w:t xml:space="preserve">V roce </w:t>
      </w:r>
      <w:r w:rsidRPr="007F3D03">
        <w:t>2016</w:t>
      </w:r>
      <w:r>
        <w:t xml:space="preserve"> by hlavní faktory inflace měly působit buď neutrálně (měnový kurz, regulované ceny), nebo proinflačně (rostoucí poptávka ve spojení s kladnou produkční mezerou, růst ceny ropy a jednotkových nákladů práce). Dopad snížení DPH ve stravovacích službách by měl být přibližně vykompenzován očekávaným zvýšením cen v reakci na zavedení elektronické evidence tržeb. V průběhu příštího roku by se tak inflace měla dále zrychlovat k 2% inflačnímu cíli ČNB, v jehož těsné blízkosti by pak v průběhu let 2017 a 2018 měla setrvat.</w:t>
      </w:r>
    </w:p>
    <w:p w:rsidR="00485D17" w:rsidRPr="009D56E0" w:rsidRDefault="00485D17" w:rsidP="00D713AA">
      <w:pPr>
        <w:pStyle w:val="Caption"/>
      </w:pPr>
      <w:r>
        <w:t xml:space="preserve">Graf č. </w:t>
      </w:r>
      <w:fldSimple w:instr=" SEQ Graf_č._ \* ARABIC ">
        <w:r>
          <w:rPr>
            <w:noProof/>
          </w:rPr>
          <w:t>7</w:t>
        </w:r>
      </w:fldSimple>
      <w:r>
        <w:rPr>
          <w:noProof/>
        </w:rPr>
        <w:t xml:space="preserve"> </w:t>
      </w:r>
      <w:r w:rsidRPr="00C87A11">
        <w:rPr>
          <w:noProof/>
        </w:rPr>
        <w:t>Spotřebitelské ceny (průměrná míra inflace</w:t>
      </w:r>
      <w:r>
        <w:rPr>
          <w:noProof/>
        </w:rPr>
        <w:t xml:space="preserve"> v %</w:t>
      </w:r>
      <w:r w:rsidRPr="00C87A11">
        <w:rPr>
          <w:noProof/>
        </w:rPr>
        <w:t>)</w:t>
      </w:r>
    </w:p>
    <w:p w:rsidR="00485D17" w:rsidRPr="009D56E0" w:rsidRDefault="00485D17" w:rsidP="00D713AA">
      <w:pPr>
        <w:tabs>
          <w:tab w:val="left" w:pos="8647"/>
        </w:tabs>
        <w:spacing w:line="240" w:lineRule="auto"/>
        <w:ind w:firstLine="0"/>
        <w:jc w:val="center"/>
        <w:rPr>
          <w:sz w:val="16"/>
          <w:szCs w:val="20"/>
        </w:rPr>
      </w:pPr>
      <w:r w:rsidRPr="00E64FE8">
        <w:rPr>
          <w:sz w:val="16"/>
          <w:szCs w:val="20"/>
        </w:rPr>
        <w:pict>
          <v:shape id="_x0000_i1032" type="#_x0000_t75" style="width:351.6pt;height:196.2pt">
            <v:imagedata r:id="rId18" o:title=""/>
            <o:lock v:ext="edit" aspectratio="f"/>
          </v:shape>
        </w:pict>
      </w:r>
    </w:p>
    <w:p w:rsidR="00485D17" w:rsidRPr="009D56E0" w:rsidRDefault="00485D17" w:rsidP="00D713AA">
      <w:pPr>
        <w:tabs>
          <w:tab w:val="left" w:pos="8647"/>
        </w:tabs>
        <w:spacing w:before="0" w:after="480" w:line="240" w:lineRule="auto"/>
        <w:ind w:right="28" w:firstLine="0"/>
        <w:jc w:val="left"/>
        <w:rPr>
          <w:i/>
          <w:sz w:val="20"/>
          <w:szCs w:val="20"/>
        </w:rPr>
      </w:pPr>
      <w:r w:rsidRPr="009D56E0">
        <w:rPr>
          <w:i/>
          <w:sz w:val="20"/>
          <w:szCs w:val="20"/>
        </w:rPr>
        <w:t>Pramen: ČSÚ, propočty MF ČR</w:t>
      </w:r>
    </w:p>
    <w:p w:rsidR="00485D17" w:rsidRPr="00304576" w:rsidRDefault="00485D17" w:rsidP="004B4B30">
      <w:pPr>
        <w:pStyle w:val="Heading2"/>
      </w:pPr>
      <w:bookmarkStart w:id="60" w:name="_Toc302128561"/>
      <w:bookmarkStart w:id="61" w:name="_Toc333680170"/>
      <w:bookmarkStart w:id="62" w:name="_Toc396372826"/>
      <w:bookmarkStart w:id="63" w:name="_Toc428706729"/>
      <w:r w:rsidRPr="00304576">
        <w:t>Trh práce</w:t>
      </w:r>
      <w:bookmarkEnd w:id="60"/>
      <w:bookmarkEnd w:id="61"/>
      <w:bookmarkEnd w:id="62"/>
      <w:bookmarkEnd w:id="63"/>
    </w:p>
    <w:p w:rsidR="00485D17" w:rsidRPr="00304576" w:rsidRDefault="00485D17" w:rsidP="00BC32C8">
      <w:pPr>
        <w:pStyle w:val="Heading3"/>
      </w:pPr>
      <w:bookmarkStart w:id="64" w:name="_Toc396372827"/>
      <w:bookmarkStart w:id="65" w:name="_Toc428706730"/>
      <w:r w:rsidRPr="00304576">
        <w:t>Zaměstnanost</w:t>
      </w:r>
      <w:r>
        <w:t xml:space="preserve"> a </w:t>
      </w:r>
      <w:r w:rsidRPr="00304576">
        <w:t>nezaměstnanost (v metodice VŠPS)</w:t>
      </w:r>
      <w:bookmarkEnd w:id="64"/>
      <w:bookmarkEnd w:id="65"/>
    </w:p>
    <w:p w:rsidR="00485D17" w:rsidRDefault="00485D17" w:rsidP="00F96C4E">
      <w:pPr>
        <w:spacing w:after="0"/>
      </w:pPr>
      <w:r>
        <w:t>Trh práce bude v nadcházejících letech podléhat odlišným strukturálním charakteristikám, než tomu bylo v období předcházejícím recesi z přelomu let 2008 a 2009. Míra</w:t>
      </w:r>
      <w:r w:rsidRPr="009D56E0">
        <w:t xml:space="preserve"> participace</w:t>
      </w:r>
      <w:r>
        <w:rPr>
          <w:rStyle w:val="FootnoteReference"/>
        </w:rPr>
        <w:footnoteReference w:id="1"/>
      </w:r>
      <w:r w:rsidRPr="009D56E0">
        <w:t xml:space="preserve"> </w:t>
      </w:r>
      <w:r>
        <w:t>by v letech 2015 až 2018 měla v důsledku nárůstu strukturního podílu obyvatel s vysokou mírou ekonomické aktivity (zejména 40-49 let) a zvyšování statutárního věku odchodu do důchodu vykazovat relativně silný růst v průměru o 0,7 p. b. Cyklické faktory by měly mít na míru participace zásadnější vliv až od roku 2016, kdy by se ČR měla pohybovat v oblasti kladné produkční mezery. Vzhledem k tomu, že je míra participace v ČR proticyklická, by měl hospodářský vývoj růst míry participace poněkud tlumit.</w:t>
      </w:r>
    </w:p>
    <w:p w:rsidR="00485D17" w:rsidRDefault="00485D17" w:rsidP="00F96C4E">
      <w:pPr>
        <w:spacing w:after="0"/>
      </w:pPr>
      <w:r w:rsidRPr="009D56E0">
        <w:t>Navzdory</w:t>
      </w:r>
      <w:r>
        <w:t xml:space="preserve"> nedávné</w:t>
      </w:r>
      <w:r w:rsidRPr="009D56E0">
        <w:t xml:space="preserve"> hospodářské recesi</w:t>
      </w:r>
      <w:r>
        <w:t xml:space="preserve"> a </w:t>
      </w:r>
      <w:r w:rsidRPr="009D56E0">
        <w:t>snižující se populaci</w:t>
      </w:r>
      <w:r>
        <w:t xml:space="preserve"> v </w:t>
      </w:r>
      <w:r w:rsidRPr="009D56E0">
        <w:t xml:space="preserve">produktivním věku </w:t>
      </w:r>
      <w:r>
        <w:t xml:space="preserve">tak </w:t>
      </w:r>
      <w:r w:rsidRPr="00F96C4E">
        <w:t>zaměstnanost</w:t>
      </w:r>
      <w:r w:rsidRPr="00FC359A">
        <w:rPr>
          <w:b/>
        </w:rPr>
        <w:t xml:space="preserve"> </w:t>
      </w:r>
      <w:r w:rsidRPr="009D56E0">
        <w:t>od roku 201</w:t>
      </w:r>
      <w:r>
        <w:t>1 roste. Tento n</w:t>
      </w:r>
      <w:r w:rsidRPr="009D56E0">
        <w:t xml:space="preserve">árůst </w:t>
      </w:r>
      <w:r>
        <w:t>byl především v letech recese podpořen cyklickým zvýšením počtu zkrácených úvazků. Ten sice v současné době stagnuje, po horizont výhledu však počítáme s jeho postupným nárůstem. Z hlediska struktury zaměstnanosti již nejspíše kulminoval počet míst v neformální části ekonomiky, čemuž odpovídá rychle se snižující rozdíl mezi počtem nezaměstnaných registrovaných na úřadech práce a podle metodiky VŠPS</w:t>
      </w:r>
      <w:r>
        <w:rPr>
          <w:rStyle w:val="FootnoteReference"/>
        </w:rPr>
        <w:footnoteReference w:id="2"/>
      </w:r>
      <w:r>
        <w:t xml:space="preserve">. Zlepšující se struktuře zaměstnanosti taktéž může napovídat snižující se počet </w:t>
      </w:r>
      <w:r w:rsidRPr="009D56E0">
        <w:t>sebezaměstnaných</w:t>
      </w:r>
      <w:r>
        <w:t xml:space="preserve">, což by mohlo souviset s omezováním </w:t>
      </w:r>
      <w:r w:rsidRPr="009D56E0">
        <w:t>„daňov</w:t>
      </w:r>
      <w:r>
        <w:t>é optimalizace</w:t>
      </w:r>
      <w:r w:rsidRPr="009D56E0">
        <w:t>“</w:t>
      </w:r>
      <w:r>
        <w:t xml:space="preserve"> prostřednictvím tzv. švarcsystému díky zlepšující se finanční situaci podniků.</w:t>
      </w:r>
    </w:p>
    <w:p w:rsidR="00485D17" w:rsidRDefault="00485D17" w:rsidP="00F96C4E">
      <w:pPr>
        <w:spacing w:after="0"/>
      </w:pPr>
      <w:r>
        <w:t>Hospodářské oživení by spolu s výše uvedenými faktory působícími na počet osob participujících na trhu práce mělo v letošním roce vést k růstu</w:t>
      </w:r>
      <w:r w:rsidRPr="009D56E0">
        <w:t xml:space="preserve"> </w:t>
      </w:r>
      <w:r w:rsidRPr="00170CC0">
        <w:t>zaměstnanosti</w:t>
      </w:r>
      <w:r w:rsidRPr="009D56E0">
        <w:rPr>
          <w:b/>
        </w:rPr>
        <w:t xml:space="preserve"> </w:t>
      </w:r>
      <w:r w:rsidRPr="009D56E0">
        <w:t xml:space="preserve">o </w:t>
      </w:r>
      <w:r>
        <w:t xml:space="preserve">1,0 %. V následujících letech by se zaměstnanost měla zvyšovat jen mírně, v rozmezí 0,1 až </w:t>
      </w:r>
      <w:r w:rsidRPr="009D56E0">
        <w:t>0,2</w:t>
      </w:r>
      <w:r>
        <w:t> % ročně. Růst zaměstnanosti bude brzděn zejména poklesem počtu osob v produktivním věku, který by měl ve sledovaném období činit v průměru 0,9 % ročně.</w:t>
      </w:r>
    </w:p>
    <w:p w:rsidR="00485D17" w:rsidRPr="009D56E0" w:rsidRDefault="00485D17" w:rsidP="00D713AA">
      <w:pPr>
        <w:pStyle w:val="Caption"/>
      </w:pPr>
      <w:r>
        <w:t xml:space="preserve">Graf č. </w:t>
      </w:r>
      <w:fldSimple w:instr=" SEQ Graf_č._ \* ARABIC ">
        <w:r>
          <w:rPr>
            <w:noProof/>
          </w:rPr>
          <w:t>8</w:t>
        </w:r>
      </w:fldSimple>
      <w:r>
        <w:rPr>
          <w:noProof/>
        </w:rPr>
        <w:t xml:space="preserve"> </w:t>
      </w:r>
      <w:r w:rsidRPr="008225FC">
        <w:rPr>
          <w:noProof/>
        </w:rPr>
        <w:t>Zaměstnanost (podle metodiky VŠPS, růst proti předchozímu roku</w:t>
      </w:r>
      <w:r>
        <w:rPr>
          <w:noProof/>
        </w:rPr>
        <w:t xml:space="preserve"> v %</w:t>
      </w:r>
      <w:r w:rsidRPr="008225FC">
        <w:rPr>
          <w:noProof/>
        </w:rPr>
        <w:t>)</w:t>
      </w:r>
    </w:p>
    <w:p w:rsidR="00485D17" w:rsidRPr="009D56E0" w:rsidRDefault="00485D17" w:rsidP="00D713AA">
      <w:pPr>
        <w:keepNext/>
        <w:tabs>
          <w:tab w:val="left" w:pos="8647"/>
        </w:tabs>
        <w:spacing w:line="240" w:lineRule="auto"/>
        <w:ind w:firstLine="0"/>
        <w:jc w:val="center"/>
        <w:rPr>
          <w:sz w:val="16"/>
          <w:szCs w:val="16"/>
        </w:rPr>
      </w:pPr>
      <w:r w:rsidRPr="00E64FE8">
        <w:rPr>
          <w:sz w:val="16"/>
          <w:szCs w:val="16"/>
        </w:rPr>
        <w:pict>
          <v:shape id="_x0000_i1033" type="#_x0000_t75" style="width:351.6pt;height:198pt">
            <v:imagedata r:id="rId19" o:title=""/>
            <o:lock v:ext="edit" aspectratio="f"/>
          </v:shape>
        </w:pict>
      </w:r>
    </w:p>
    <w:p w:rsidR="00485D17" w:rsidRPr="009D56E0" w:rsidRDefault="00485D17" w:rsidP="00D713AA">
      <w:pPr>
        <w:tabs>
          <w:tab w:val="left" w:pos="8647"/>
        </w:tabs>
        <w:spacing w:before="0" w:after="240" w:line="240" w:lineRule="auto"/>
        <w:ind w:firstLine="0"/>
        <w:jc w:val="left"/>
        <w:rPr>
          <w:i/>
          <w:iCs/>
          <w:sz w:val="20"/>
          <w:szCs w:val="20"/>
        </w:rPr>
      </w:pPr>
      <w:r w:rsidRPr="009D56E0">
        <w:rPr>
          <w:i/>
          <w:iCs/>
          <w:sz w:val="20"/>
          <w:szCs w:val="20"/>
        </w:rPr>
        <w:t>Pramen: ČSÚ, propočty MF ČR</w:t>
      </w:r>
    </w:p>
    <w:p w:rsidR="00485D17" w:rsidRDefault="00485D17" w:rsidP="00F96C4E">
      <w:pPr>
        <w:spacing w:after="0"/>
      </w:pPr>
      <w:r>
        <w:t xml:space="preserve">Vzhledem k očekávanému hospodářskému růstu by měla </w:t>
      </w:r>
      <w:r w:rsidRPr="00F96C4E">
        <w:t>míra nezaměstnanosti</w:t>
      </w:r>
      <w:r>
        <w:t xml:space="preserve"> nadále klesat až na 5,3 % v roce 2018</w:t>
      </w:r>
      <w:r w:rsidRPr="009D56E0">
        <w:t xml:space="preserve">. </w:t>
      </w:r>
      <w:r>
        <w:t>Její strmější pokles však pravděpodobně budou brzdit strukturální faktory – vysoká míra dlouhodobé</w:t>
      </w:r>
      <w:r>
        <w:rPr>
          <w:rStyle w:val="FootnoteReference"/>
        </w:rPr>
        <w:footnoteReference w:id="3"/>
      </w:r>
      <w:r>
        <w:t xml:space="preserve"> nezaměstnanosti či nesoulad mezi poptávkou a nabídkou práce (zejména nesoulad dosaženého vzdělání obyvatel a charakteru nových volných pracovních pozic). K těmto frikcím nemalou měrou přispívá také tradičně nízká pracovní mobilita.</w:t>
      </w:r>
    </w:p>
    <w:p w:rsidR="00485D17" w:rsidRPr="009D56E0" w:rsidRDefault="00485D17" w:rsidP="00D713AA">
      <w:pPr>
        <w:pStyle w:val="Caption"/>
      </w:pPr>
      <w:r>
        <w:t xml:space="preserve">Graf č. </w:t>
      </w:r>
      <w:fldSimple w:instr=" SEQ Graf_č._ \* ARABIC ">
        <w:r>
          <w:rPr>
            <w:noProof/>
          </w:rPr>
          <w:t>9</w:t>
        </w:r>
      </w:fldSimple>
      <w:r>
        <w:rPr>
          <w:noProof/>
        </w:rPr>
        <w:t xml:space="preserve"> </w:t>
      </w:r>
      <w:r w:rsidRPr="008350CD">
        <w:rPr>
          <w:noProof/>
        </w:rPr>
        <w:t>Míra nezaměstnanosti (podle metodiky VŠPS,</w:t>
      </w:r>
      <w:r>
        <w:rPr>
          <w:noProof/>
        </w:rPr>
        <w:t xml:space="preserve"> v %</w:t>
      </w:r>
      <w:r w:rsidRPr="008350CD">
        <w:rPr>
          <w:noProof/>
        </w:rPr>
        <w:t>)</w:t>
      </w:r>
    </w:p>
    <w:p w:rsidR="00485D17" w:rsidRPr="009D56E0" w:rsidRDefault="00485D17" w:rsidP="00D713AA">
      <w:pPr>
        <w:keepNext/>
        <w:tabs>
          <w:tab w:val="left" w:pos="8647"/>
        </w:tabs>
        <w:spacing w:line="240" w:lineRule="auto"/>
        <w:ind w:firstLine="0"/>
        <w:jc w:val="center"/>
        <w:rPr>
          <w:szCs w:val="16"/>
        </w:rPr>
      </w:pPr>
      <w:r w:rsidRPr="00E64FE8">
        <w:rPr>
          <w:szCs w:val="16"/>
        </w:rPr>
        <w:pict>
          <v:shape id="_x0000_i1034" type="#_x0000_t75" style="width:351.6pt;height:196.2pt">
            <v:imagedata r:id="rId20" o:title=""/>
            <o:lock v:ext="edit" aspectratio="f"/>
          </v:shape>
        </w:pict>
      </w:r>
    </w:p>
    <w:p w:rsidR="00485D17" w:rsidRPr="009D56E0" w:rsidRDefault="00485D17" w:rsidP="00D713AA">
      <w:pPr>
        <w:tabs>
          <w:tab w:val="left" w:pos="8647"/>
        </w:tabs>
        <w:spacing w:before="0" w:after="480" w:line="240" w:lineRule="auto"/>
        <w:ind w:right="28" w:firstLine="0"/>
        <w:jc w:val="left"/>
        <w:rPr>
          <w:i/>
          <w:iCs/>
          <w:sz w:val="20"/>
          <w:szCs w:val="20"/>
        </w:rPr>
      </w:pPr>
      <w:r w:rsidRPr="009D56E0">
        <w:rPr>
          <w:i/>
          <w:iCs/>
          <w:sz w:val="20"/>
          <w:szCs w:val="20"/>
        </w:rPr>
        <w:t>Pramen: ČSÚ, propočty MF ČR</w:t>
      </w:r>
    </w:p>
    <w:p w:rsidR="00485D17" w:rsidRPr="00304576" w:rsidRDefault="00485D17" w:rsidP="00BC32C8">
      <w:pPr>
        <w:pStyle w:val="Heading3"/>
      </w:pPr>
      <w:bookmarkStart w:id="66" w:name="_Toc396372828"/>
      <w:bookmarkStart w:id="67" w:name="_Toc428706731"/>
      <w:r w:rsidRPr="00304576">
        <w:t>Mzdy</w:t>
      </w:r>
      <w:bookmarkEnd w:id="66"/>
      <w:bookmarkEnd w:id="67"/>
    </w:p>
    <w:p w:rsidR="00485D17" w:rsidRDefault="00485D17" w:rsidP="00F96C4E">
      <w:pPr>
        <w:spacing w:after="0"/>
      </w:pPr>
      <w:r>
        <w:t xml:space="preserve">Pro rok 2015 očekáváme meziroční růst </w:t>
      </w:r>
      <w:r w:rsidRPr="00F96C4E">
        <w:t>objemu nominálních mezd a platů</w:t>
      </w:r>
      <w:r>
        <w:rPr>
          <w:b/>
        </w:rPr>
        <w:t xml:space="preserve"> </w:t>
      </w:r>
      <w:r>
        <w:t>o 4,2 %, který by měl být zapříčiněn růstem počtu zaměstnanců i jejich mezd.</w:t>
      </w:r>
    </w:p>
    <w:p w:rsidR="00485D17" w:rsidRPr="009D56E0" w:rsidRDefault="00485D17" w:rsidP="00D713AA">
      <w:pPr>
        <w:pStyle w:val="Caption"/>
      </w:pPr>
      <w:r>
        <w:t xml:space="preserve">Graf č. </w:t>
      </w:r>
      <w:fldSimple w:instr=" SEQ Graf_č._ \* ARABIC ">
        <w:r>
          <w:rPr>
            <w:noProof/>
          </w:rPr>
          <w:t>10</w:t>
        </w:r>
      </w:fldSimple>
      <w:r>
        <w:rPr>
          <w:noProof/>
        </w:rPr>
        <w:t xml:space="preserve"> </w:t>
      </w:r>
      <w:r w:rsidRPr="00576B35">
        <w:rPr>
          <w:noProof/>
        </w:rPr>
        <w:t>Objem mezd</w:t>
      </w:r>
      <w:r>
        <w:rPr>
          <w:noProof/>
        </w:rPr>
        <w:t xml:space="preserve"> a </w:t>
      </w:r>
      <w:r w:rsidRPr="00576B35">
        <w:rPr>
          <w:noProof/>
        </w:rPr>
        <w:t>platů (domácí koncept, růst proti předchozímu roku</w:t>
      </w:r>
      <w:r>
        <w:rPr>
          <w:noProof/>
        </w:rPr>
        <w:t xml:space="preserve"> v %</w:t>
      </w:r>
      <w:r w:rsidRPr="00576B35">
        <w:rPr>
          <w:noProof/>
        </w:rPr>
        <w:t>)</w:t>
      </w:r>
    </w:p>
    <w:p w:rsidR="00485D17" w:rsidRPr="009D56E0" w:rsidRDefault="00485D17" w:rsidP="00D713AA">
      <w:pPr>
        <w:keepNext/>
        <w:tabs>
          <w:tab w:val="left" w:pos="8647"/>
        </w:tabs>
        <w:spacing w:line="240" w:lineRule="auto"/>
        <w:ind w:right="28" w:firstLine="0"/>
        <w:jc w:val="center"/>
        <w:rPr>
          <w:i/>
          <w:iCs/>
          <w:sz w:val="20"/>
          <w:szCs w:val="20"/>
        </w:rPr>
      </w:pPr>
      <w:r w:rsidRPr="00E64FE8">
        <w:rPr>
          <w:i/>
          <w:iCs/>
          <w:sz w:val="20"/>
          <w:szCs w:val="20"/>
        </w:rPr>
        <w:pict>
          <v:shape id="_x0000_i1035" type="#_x0000_t75" style="width:351.6pt;height:196.2pt">
            <v:imagedata r:id="rId21" o:title=""/>
            <o:lock v:ext="edit" aspectratio="f"/>
          </v:shape>
        </w:pict>
      </w:r>
    </w:p>
    <w:p w:rsidR="00485D17" w:rsidRPr="009D56E0" w:rsidRDefault="00485D17" w:rsidP="00D713AA">
      <w:pPr>
        <w:tabs>
          <w:tab w:val="left" w:pos="8647"/>
        </w:tabs>
        <w:spacing w:before="0" w:after="480" w:line="240" w:lineRule="auto"/>
        <w:ind w:right="28" w:firstLine="0"/>
        <w:jc w:val="left"/>
      </w:pPr>
      <w:r w:rsidRPr="009D56E0">
        <w:rPr>
          <w:i/>
          <w:iCs/>
          <w:sz w:val="20"/>
          <w:szCs w:val="20"/>
        </w:rPr>
        <w:t>Pramen: ČSÚ, propočty MF ČR</w:t>
      </w:r>
    </w:p>
    <w:p w:rsidR="00485D17" w:rsidRDefault="00485D17" w:rsidP="00F96C4E">
      <w:pPr>
        <w:spacing w:after="0"/>
      </w:pPr>
      <w:bookmarkStart w:id="68" w:name="_Toc302128562"/>
      <w:bookmarkStart w:id="69" w:name="_Toc333680171"/>
      <w:bookmarkStart w:id="70" w:name="_Toc396372829"/>
      <w:r>
        <w:t>V dalších letech předpokládáme velmi obdobný vývoj, podpořený očekávanými solidními růsty reálné produktivity práce. Tlak na vyšší růst objemu mezd bude dále přinášet již výše zmíněný příznivý vývoj struktury zaměstnanosti, zvyšování platů v rozpočtové sféře a frikce na trhu práce. Jediným výraznějším faktorem brzdícím růst mezd by tak měla být očekávaná nízká míra inflace. Z celkového pohledu by tento mzdový vývoj neměl mít za následek snižování cenové konkurenceschopnosti české ekonomiky prostřednictvím výraznějšího růstu jednotkových nákladů práce, taktéž podíl náhrad zaměstnancům na HDP by se měl v horizontu makroekonomického rámce pohybovat v blízkosti dlouhodobého průměru 40 %.</w:t>
      </w:r>
    </w:p>
    <w:p w:rsidR="00485D17" w:rsidRPr="00304576" w:rsidRDefault="00485D17" w:rsidP="004B4B30">
      <w:pPr>
        <w:pStyle w:val="Heading2"/>
      </w:pPr>
      <w:bookmarkStart w:id="71" w:name="_Toc428706732"/>
      <w:r w:rsidRPr="00304576">
        <w:t>Vztahy</w:t>
      </w:r>
      <w:r>
        <w:t xml:space="preserve"> k </w:t>
      </w:r>
      <w:r w:rsidRPr="00304576">
        <w:t>zahraničí</w:t>
      </w:r>
      <w:bookmarkEnd w:id="68"/>
      <w:bookmarkEnd w:id="69"/>
      <w:bookmarkEnd w:id="70"/>
      <w:bookmarkEnd w:id="71"/>
    </w:p>
    <w:p w:rsidR="00485D17" w:rsidRDefault="00485D17" w:rsidP="00F96C4E">
      <w:pPr>
        <w:spacing w:after="0"/>
      </w:pPr>
      <w:r w:rsidRPr="00F96C4E">
        <w:t>Běžný účet</w:t>
      </w:r>
      <w:r w:rsidRPr="009D56E0">
        <w:rPr>
          <w:b/>
        </w:rPr>
        <w:t xml:space="preserve"> </w:t>
      </w:r>
      <w:r w:rsidRPr="009D56E0">
        <w:t>platební bilance</w:t>
      </w:r>
      <w:r>
        <w:t xml:space="preserve"> zaznamenal po několika letech zlepšování v roce 2014 malý přebytek ve výši 0,6 % HDP. Kladného salda běžného účtu bylo dosaženo poprvé od roku 1993.</w:t>
      </w:r>
    </w:p>
    <w:p w:rsidR="00485D17" w:rsidRPr="009D56E0" w:rsidRDefault="00485D17" w:rsidP="00D713AA">
      <w:pPr>
        <w:pStyle w:val="Caption"/>
      </w:pPr>
      <w:r>
        <w:t xml:space="preserve">Graf č. </w:t>
      </w:r>
      <w:fldSimple w:instr=" SEQ Graf_č._ \* ARABIC ">
        <w:r>
          <w:rPr>
            <w:noProof/>
          </w:rPr>
          <w:t>11</w:t>
        </w:r>
      </w:fldSimple>
      <w:r>
        <w:rPr>
          <w:noProof/>
        </w:rPr>
        <w:t xml:space="preserve"> </w:t>
      </w:r>
      <w:r w:rsidRPr="0071748A">
        <w:rPr>
          <w:noProof/>
        </w:rPr>
        <w:t>Saldo běžného účtu platební bilance (poměr</w:t>
      </w:r>
      <w:r>
        <w:rPr>
          <w:noProof/>
        </w:rPr>
        <w:t xml:space="preserve"> k </w:t>
      </w:r>
      <w:r w:rsidRPr="0071748A">
        <w:rPr>
          <w:noProof/>
        </w:rPr>
        <w:t>HDP</w:t>
      </w:r>
      <w:r>
        <w:rPr>
          <w:noProof/>
        </w:rPr>
        <w:t xml:space="preserve"> v %</w:t>
      </w:r>
      <w:r w:rsidRPr="0071748A">
        <w:rPr>
          <w:noProof/>
        </w:rPr>
        <w:t>)</w:t>
      </w:r>
    </w:p>
    <w:p w:rsidR="00485D17" w:rsidRPr="009D56E0" w:rsidRDefault="00485D17" w:rsidP="00D713AA">
      <w:pPr>
        <w:keepNext/>
        <w:tabs>
          <w:tab w:val="left" w:pos="8647"/>
        </w:tabs>
        <w:spacing w:line="240" w:lineRule="auto"/>
        <w:ind w:firstLine="0"/>
        <w:jc w:val="center"/>
        <w:rPr>
          <w:rFonts w:ascii="Arial" w:hAnsi="Arial" w:cs="Arial"/>
          <w:sz w:val="21"/>
          <w:szCs w:val="21"/>
        </w:rPr>
      </w:pPr>
      <w:r w:rsidRPr="00E64FE8">
        <w:rPr>
          <w:rFonts w:ascii="Arial" w:hAnsi="Arial" w:cs="Arial"/>
          <w:sz w:val="21"/>
          <w:szCs w:val="21"/>
        </w:rPr>
        <w:pict>
          <v:shape id="_x0000_i1036" type="#_x0000_t75" style="width:351pt;height:196.2pt">
            <v:imagedata r:id="rId22" o:title=""/>
            <o:lock v:ext="edit" aspectratio="f"/>
          </v:shape>
        </w:pict>
      </w:r>
    </w:p>
    <w:p w:rsidR="00485D17" w:rsidRPr="009D56E0" w:rsidRDefault="00485D17" w:rsidP="00D713AA">
      <w:pPr>
        <w:tabs>
          <w:tab w:val="left" w:pos="8647"/>
        </w:tabs>
        <w:spacing w:before="0" w:after="480" w:line="240" w:lineRule="auto"/>
        <w:ind w:right="28" w:firstLine="0"/>
        <w:jc w:val="left"/>
        <w:rPr>
          <w:i/>
          <w:iCs/>
          <w:sz w:val="20"/>
          <w:szCs w:val="20"/>
        </w:rPr>
      </w:pPr>
      <w:r w:rsidRPr="009D56E0">
        <w:rPr>
          <w:i/>
          <w:iCs/>
          <w:sz w:val="20"/>
          <w:szCs w:val="20"/>
        </w:rPr>
        <w:t>Pramen: ČNB, ČSÚ, propočty MF ČR</w:t>
      </w:r>
    </w:p>
    <w:p w:rsidR="00485D17" w:rsidRDefault="00485D17" w:rsidP="00F96C4E">
      <w:pPr>
        <w:spacing w:after="0"/>
      </w:pPr>
      <w:r w:rsidRPr="009D56E0">
        <w:t xml:space="preserve">V rámci </w:t>
      </w:r>
      <w:r>
        <w:t>jednotlivých složek</w:t>
      </w:r>
      <w:r w:rsidRPr="009D56E0">
        <w:t xml:space="preserve"> </w:t>
      </w:r>
      <w:r>
        <w:t>pokračoval nárůst přebytku</w:t>
      </w:r>
      <w:r w:rsidRPr="009D56E0">
        <w:t xml:space="preserve"> obchodu se zbožím</w:t>
      </w:r>
      <w:r>
        <w:t xml:space="preserve"> vlivem oživení v zemích našich obchodních partnerů i zlepšením exportní výkonnosti zejména ve zpracovatelském průmyslu. Přebytek se</w:t>
      </w:r>
      <w:r w:rsidRPr="009D56E0">
        <w:t xml:space="preserve"> zvýšil o 1,</w:t>
      </w:r>
      <w:r>
        <w:t>5</w:t>
      </w:r>
      <w:r w:rsidRPr="009D56E0">
        <w:t> </w:t>
      </w:r>
      <w:r>
        <w:t>p. b.</w:t>
      </w:r>
      <w:r w:rsidRPr="009D56E0">
        <w:t xml:space="preserve"> na</w:t>
      </w:r>
      <w:r>
        <w:t xml:space="preserve"> 5</w:t>
      </w:r>
      <w:r w:rsidRPr="009D56E0">
        <w:t>,</w:t>
      </w:r>
      <w:r>
        <w:t>6 %</w:t>
      </w:r>
      <w:r w:rsidRPr="009D56E0">
        <w:t xml:space="preserve"> HDP, což byl nejlepší výsledek</w:t>
      </w:r>
      <w:r>
        <w:t xml:space="preserve"> v </w:t>
      </w:r>
      <w:r w:rsidRPr="009D56E0">
        <w:t xml:space="preserve">historii ČR. </w:t>
      </w:r>
      <w:r>
        <w:t>Rovněž tak nebyla přerušena tendence ke zmenšování p</w:t>
      </w:r>
      <w:r w:rsidRPr="009D56E0">
        <w:t>řebytk</w:t>
      </w:r>
      <w:r>
        <w:t>u</w:t>
      </w:r>
      <w:r w:rsidRPr="009D56E0">
        <w:t xml:space="preserve"> obchodu se službami</w:t>
      </w:r>
      <w:r>
        <w:t>, který</w:t>
      </w:r>
      <w:r w:rsidRPr="009D56E0">
        <w:t xml:space="preserve"> se snížil o 0,</w:t>
      </w:r>
      <w:r>
        <w:t>4</w:t>
      </w:r>
      <w:r w:rsidRPr="009D56E0">
        <w:t> </w:t>
      </w:r>
      <w:r>
        <w:t>p. b. na 1,3 %</w:t>
      </w:r>
      <w:r w:rsidRPr="009D56E0">
        <w:t xml:space="preserve"> HDP. </w:t>
      </w:r>
      <w:r>
        <w:t>Chronicky</w:t>
      </w:r>
      <w:r w:rsidRPr="009D56E0">
        <w:t xml:space="preserve"> deficit</w:t>
      </w:r>
      <w:r>
        <w:t>ní saldo</w:t>
      </w:r>
      <w:r w:rsidRPr="009D56E0">
        <w:t xml:space="preserve"> bilance </w:t>
      </w:r>
      <w:r>
        <w:t>prvotních důchodů</w:t>
      </w:r>
      <w:r w:rsidRPr="009D56E0">
        <w:t xml:space="preserve">, </w:t>
      </w:r>
      <w:r>
        <w:t>způsobené ze</w:t>
      </w:r>
      <w:r w:rsidRPr="009D56E0">
        <w:t xml:space="preserve">jména </w:t>
      </w:r>
      <w:r>
        <w:t>odlivem</w:t>
      </w:r>
      <w:r w:rsidRPr="009D56E0">
        <w:t xml:space="preserve"> zisků z přímých zahraničn</w:t>
      </w:r>
      <w:r>
        <w:t>ích investic, zůstalo stabilní na úrovni -6,1 %</w:t>
      </w:r>
      <w:r w:rsidRPr="009D56E0">
        <w:t xml:space="preserve"> HDP. </w:t>
      </w:r>
      <w:r>
        <w:t>Obdobně stabilní byla i b</w:t>
      </w:r>
      <w:r w:rsidRPr="009D56E0">
        <w:t xml:space="preserve">ilance </w:t>
      </w:r>
      <w:r>
        <w:t>druhotných důchodů</w:t>
      </w:r>
      <w:r w:rsidRPr="009D56E0">
        <w:t xml:space="preserve"> </w:t>
      </w:r>
      <w:r>
        <w:t>ve výši -0,2 % HDP</w:t>
      </w:r>
      <w:r w:rsidRPr="009D56E0">
        <w:t>.</w:t>
      </w:r>
    </w:p>
    <w:p w:rsidR="00485D17" w:rsidRDefault="00485D17" w:rsidP="00F96C4E">
      <w:pPr>
        <w:spacing w:after="0"/>
      </w:pPr>
      <w:r>
        <w:t xml:space="preserve">Hlavní tendence ovlivňující saldo běžného účtu by měly pokračovat i v dalších letech, běžný účet však je a bude ovlivňován i jednorázovými faktory. Mezi ty nejvýznamnější patří hluboký propad cen ropy z druhé poloviny roku 2014 a začátku roku 2015 a jejich očekávané postupné zvyšování, </w:t>
      </w:r>
      <w:r w:rsidRPr="0009352F">
        <w:t>snah</w:t>
      </w:r>
      <w:r>
        <w:t>a</w:t>
      </w:r>
      <w:r w:rsidRPr="0009352F">
        <w:t xml:space="preserve"> o maximální využití prostředků z fondů EU z finanční perspektivy 2007–2013 do konce roku 2015</w:t>
      </w:r>
      <w:r>
        <w:t xml:space="preserve"> a pomalý náběh čerpání z následující perspektivy, jednorázová platba za pronájem bojových letounů </w:t>
      </w:r>
      <w:r w:rsidRPr="007504F9">
        <w:t xml:space="preserve">JAS-39 </w:t>
      </w:r>
      <w:r>
        <w:t>Gripen v roce 2015 za 10,5 mld. Kč (0,2 % HDP) či předpokládaná tendence k mírnému posilování měnového kurzu koruny po očekávaném opuštění kurzového závazku koncem roku 2016.</w:t>
      </w:r>
    </w:p>
    <w:p w:rsidR="00485D17" w:rsidRDefault="00485D17" w:rsidP="00F96C4E">
      <w:pPr>
        <w:spacing w:after="0"/>
      </w:pPr>
      <w:r>
        <w:t>P</w:t>
      </w:r>
      <w:r w:rsidRPr="002F4CCD">
        <w:t>ředpokládáme,</w:t>
      </w:r>
      <w:r>
        <w:t xml:space="preserve"> že výsledkem těchto jevů by měl být přibližně vyrovnaný běžný účet s tendencí k velmi pozvolnému zhoršování jeho salda</w:t>
      </w:r>
      <w:r w:rsidRPr="002F4CCD">
        <w:t>.</w:t>
      </w:r>
    </w:p>
    <w:p w:rsidR="00485D17" w:rsidRPr="00D713AA" w:rsidRDefault="00485D17" w:rsidP="00D713AA"/>
    <w:p w:rsidR="00485D17" w:rsidRPr="00D77888" w:rsidRDefault="00485D17" w:rsidP="00C513C0">
      <w:pPr>
        <w:pStyle w:val="Heading1"/>
        <w:ind w:left="0"/>
      </w:pPr>
      <w:bookmarkStart w:id="72" w:name="_Toc302128563"/>
      <w:bookmarkStart w:id="73" w:name="_Toc333680172"/>
      <w:bookmarkStart w:id="74" w:name="_Toc361667786"/>
      <w:bookmarkStart w:id="75" w:name="_Toc428706733"/>
      <w:r w:rsidRPr="00D77888">
        <w:t>Ověření makroekonomického rámce nezávislými prognózami</w:t>
      </w:r>
      <w:bookmarkEnd w:id="72"/>
      <w:bookmarkEnd w:id="73"/>
      <w:bookmarkEnd w:id="74"/>
      <w:bookmarkEnd w:id="75"/>
    </w:p>
    <w:p w:rsidR="00485D17" w:rsidRDefault="00485D17" w:rsidP="00F96C4E">
      <w:pPr>
        <w:pStyle w:val="ZKDvouslopcovpozn"/>
        <w:spacing w:before="120" w:after="0" w:line="360" w:lineRule="auto"/>
        <w:ind w:firstLine="709"/>
        <w:rPr>
          <w:rFonts w:ascii="Times New Roman" w:hAnsi="Times New Roman"/>
          <w:i w:val="0"/>
          <w:iCs/>
          <w:kern w:val="0"/>
        </w:rPr>
      </w:pPr>
      <w:r w:rsidRPr="009D56E0">
        <w:rPr>
          <w:rFonts w:ascii="Times New Roman" w:hAnsi="Times New Roman"/>
          <w:i w:val="0"/>
          <w:iCs/>
          <w:kern w:val="0"/>
        </w:rPr>
        <w:t>MF ČR monitoruje makroekonomické predikce ostatních institucí zabývajících se předpovídáním budoucího vývoje české ekonomiky. Z veřejně přístupných datových zdrojů jsou průběžně sledovány prognózy 1</w:t>
      </w:r>
      <w:r>
        <w:rPr>
          <w:rFonts w:ascii="Times New Roman" w:hAnsi="Times New Roman"/>
          <w:i w:val="0"/>
          <w:iCs/>
          <w:kern w:val="0"/>
        </w:rPr>
        <w:t>3</w:t>
      </w:r>
      <w:r w:rsidRPr="009D56E0">
        <w:rPr>
          <w:rFonts w:ascii="Times New Roman" w:hAnsi="Times New Roman"/>
          <w:i w:val="0"/>
          <w:iCs/>
          <w:kern w:val="0"/>
        </w:rPr>
        <w:t xml:space="preserve"> institucí, z čehož </w:t>
      </w:r>
      <w:r>
        <w:rPr>
          <w:rFonts w:ascii="Times New Roman" w:hAnsi="Times New Roman"/>
          <w:i w:val="0"/>
          <w:iCs/>
          <w:kern w:val="0"/>
        </w:rPr>
        <w:t>7</w:t>
      </w:r>
      <w:r w:rsidRPr="009D56E0">
        <w:rPr>
          <w:rFonts w:ascii="Times New Roman" w:hAnsi="Times New Roman"/>
          <w:i w:val="0"/>
          <w:iCs/>
          <w:kern w:val="0"/>
        </w:rPr>
        <w:t xml:space="preserve"> institucí je tuzemských (ČNB, MPSV, </w:t>
      </w:r>
      <w:r>
        <w:rPr>
          <w:rFonts w:ascii="Times New Roman" w:hAnsi="Times New Roman"/>
          <w:i w:val="0"/>
          <w:iCs/>
          <w:kern w:val="0"/>
        </w:rPr>
        <w:t>finanční instituce</w:t>
      </w:r>
      <w:r w:rsidRPr="009D56E0">
        <w:rPr>
          <w:rFonts w:ascii="Times New Roman" w:hAnsi="Times New Roman"/>
          <w:i w:val="0"/>
          <w:iCs/>
          <w:kern w:val="0"/>
        </w:rPr>
        <w:t>)</w:t>
      </w:r>
      <w:r>
        <w:rPr>
          <w:rFonts w:ascii="Times New Roman" w:hAnsi="Times New Roman"/>
          <w:i w:val="0"/>
          <w:iCs/>
          <w:kern w:val="0"/>
        </w:rPr>
        <w:t>,</w:t>
      </w:r>
      <w:r w:rsidRPr="009D56E0">
        <w:rPr>
          <w:rFonts w:ascii="Times New Roman" w:hAnsi="Times New Roman"/>
          <w:i w:val="0"/>
          <w:iCs/>
          <w:kern w:val="0"/>
        </w:rPr>
        <w:t xml:space="preserve"> ostatní jsou zahraniční (</w:t>
      </w:r>
      <w:r>
        <w:rPr>
          <w:rFonts w:ascii="Times New Roman" w:hAnsi="Times New Roman"/>
          <w:i w:val="0"/>
          <w:iCs/>
          <w:kern w:val="0"/>
        </w:rPr>
        <w:t>Evropská komise, OECD, MMF aj.)</w:t>
      </w:r>
      <w:r w:rsidRPr="009D56E0">
        <w:rPr>
          <w:rFonts w:ascii="Times New Roman" w:hAnsi="Times New Roman"/>
          <w:i w:val="0"/>
          <w:iCs/>
          <w:kern w:val="0"/>
        </w:rPr>
        <w:t xml:space="preserve"> </w:t>
      </w:r>
    </w:p>
    <w:p w:rsidR="00485D17" w:rsidRPr="009D56E0" w:rsidRDefault="00485D17" w:rsidP="00D713AA">
      <w:pPr>
        <w:pStyle w:val="Caption"/>
      </w:pPr>
      <w:r>
        <w:t xml:space="preserve">Tabulka č. </w:t>
      </w:r>
      <w:fldSimple w:instr=" SEQ Tabulka_č._ \* ARABIC ">
        <w:r>
          <w:rPr>
            <w:noProof/>
          </w:rPr>
          <w:t>2</w:t>
        </w:r>
      </w:fldSimple>
      <w:r>
        <w:rPr>
          <w:noProof/>
        </w:rPr>
        <w:t xml:space="preserve">  </w:t>
      </w:r>
      <w:r w:rsidRPr="006B7212">
        <w:rPr>
          <w:noProof/>
        </w:rPr>
        <w:t>Ověření makroekonomického rámce nezávislými prognózami</w:t>
      </w:r>
    </w:p>
    <w:p w:rsidR="00485D17" w:rsidRPr="009D56E0" w:rsidRDefault="00485D17" w:rsidP="00D713AA">
      <w:pPr>
        <w:tabs>
          <w:tab w:val="left" w:pos="8647"/>
        </w:tabs>
        <w:spacing w:line="240" w:lineRule="auto"/>
        <w:ind w:right="28" w:firstLine="0"/>
        <w:jc w:val="center"/>
      </w:pPr>
      <w:r>
        <w:pict>
          <v:shape id="_x0000_i1037" type="#_x0000_t75" style="width:425.4pt;height:123.6pt">
            <v:imagedata r:id="rId23" o:title=""/>
          </v:shape>
        </w:pict>
      </w:r>
    </w:p>
    <w:p w:rsidR="00485D17" w:rsidRDefault="00485D17" w:rsidP="00D713AA">
      <w:pPr>
        <w:tabs>
          <w:tab w:val="left" w:pos="8647"/>
        </w:tabs>
        <w:spacing w:before="0" w:after="480" w:line="240" w:lineRule="auto"/>
        <w:ind w:right="28" w:firstLine="0"/>
        <w:jc w:val="left"/>
        <w:rPr>
          <w:i/>
          <w:iCs/>
          <w:sz w:val="20"/>
          <w:szCs w:val="20"/>
        </w:rPr>
      </w:pPr>
      <w:r w:rsidRPr="009D56E0">
        <w:rPr>
          <w:i/>
          <w:iCs/>
          <w:sz w:val="20"/>
          <w:szCs w:val="20"/>
        </w:rPr>
        <w:t>Pramen: prognózy jednotlivých institucí</w:t>
      </w:r>
      <w:r>
        <w:rPr>
          <w:i/>
          <w:iCs/>
          <w:sz w:val="20"/>
          <w:szCs w:val="20"/>
        </w:rPr>
        <w:t xml:space="preserve"> k polovině srpna 2015</w:t>
      </w:r>
      <w:r w:rsidRPr="009D56E0">
        <w:rPr>
          <w:i/>
          <w:iCs/>
          <w:sz w:val="20"/>
          <w:szCs w:val="20"/>
        </w:rPr>
        <w:t>, propočty MF ČR</w:t>
      </w:r>
    </w:p>
    <w:p w:rsidR="00485D17" w:rsidRPr="00372A7B" w:rsidRDefault="00485D17" w:rsidP="00F96C4E">
      <w:pPr>
        <w:pStyle w:val="ZKDvouslopcovpozn"/>
        <w:spacing w:line="360" w:lineRule="auto"/>
        <w:ind w:firstLine="709"/>
        <w:rPr>
          <w:rFonts w:ascii="Times New Roman" w:hAnsi="Times New Roman"/>
          <w:i w:val="0"/>
          <w:iCs/>
          <w:kern w:val="0"/>
        </w:rPr>
      </w:pPr>
      <w:r>
        <w:rPr>
          <w:rFonts w:ascii="Times New Roman" w:hAnsi="Times New Roman"/>
          <w:i w:val="0"/>
          <w:iCs/>
          <w:kern w:val="0"/>
        </w:rPr>
        <w:t>Prognózu MF ČR pro rok 2016 lze považovat za realistickou. V případě růstu HDP, průměrné míry inflace a růstu průměrné mzdy je predikce MF ČR v souladu s odhady sledovaných institucí. Za nižším odhadem přebytku běžného účtu platební bilance stojí dle MF ČR předpokládaný pomalejší růst až stagnace přebytku obchodní bilance, silnější pokles přebytku bilance služeb a rychlejší prohlubování deficitu prvotních důchodů. Nicméně jde o ukazatel s nejnižší vazbou k problematice návrhu rozpočtu na rok 2016.</w:t>
      </w:r>
    </w:p>
    <w:p w:rsidR="00485D17" w:rsidRPr="009D56E0" w:rsidRDefault="00485D17" w:rsidP="00B65077"/>
    <w:p w:rsidR="00485D17" w:rsidRPr="00D77888" w:rsidRDefault="00485D17" w:rsidP="00E90FB0">
      <w:pPr>
        <w:pStyle w:val="Nadpishlavnsti"/>
        <w:rPr>
          <w:highlight w:val="yellow"/>
        </w:rPr>
      </w:pPr>
      <w:bookmarkStart w:id="76" w:name="_Toc428706734"/>
      <w:r w:rsidRPr="0078640E">
        <w:t>B</w:t>
      </w:r>
      <w:r w:rsidRPr="005C2AC1">
        <w:t>. Fiskální cílení centrální vlády v letech 201</w:t>
      </w:r>
      <w:r>
        <w:t>6</w:t>
      </w:r>
      <w:r w:rsidRPr="005C2AC1">
        <w:t xml:space="preserve"> až 201</w:t>
      </w:r>
      <w:bookmarkEnd w:id="18"/>
      <w:bookmarkEnd w:id="19"/>
      <w:bookmarkEnd w:id="20"/>
      <w:r>
        <w:t>8</w:t>
      </w:r>
      <w:bookmarkEnd w:id="76"/>
    </w:p>
    <w:p w:rsidR="00485D17" w:rsidRPr="00D562DC" w:rsidRDefault="00485D17" w:rsidP="00B072EA">
      <w:bookmarkStart w:id="77" w:name="_Toc333680174"/>
      <w:r w:rsidRPr="00D562DC">
        <w:t xml:space="preserve">Významným systémovým prvkem rozpočtového procesu je povinnost vlády prezentovat střednědobé fiskální cíle a </w:t>
      </w:r>
      <w:r>
        <w:t>s nimi provázaný</w:t>
      </w:r>
      <w:r w:rsidRPr="00D562DC">
        <w:t xml:space="preserve"> střednědobý výdajový rámec. Operativním kritériem, z jehož plnění se vláda zodpovídá, je dodržování limitů výdajů státního rozpočtu a</w:t>
      </w:r>
      <w:r>
        <w:t> </w:t>
      </w:r>
      <w:r w:rsidRPr="00D562DC">
        <w:t>státních fondů v jednotlivých letech střednědobého výdajového rámce.</w:t>
      </w:r>
    </w:p>
    <w:p w:rsidR="00485D17" w:rsidRPr="00F31304" w:rsidRDefault="00485D17" w:rsidP="00B072EA">
      <w:r w:rsidRPr="00D562DC">
        <w:t>Závaznost střednědobého výdajového rámce vyplývá ze zákona č. 218/2000 Sb., o</w:t>
      </w:r>
      <w:r>
        <w:t> </w:t>
      </w:r>
      <w:r w:rsidRPr="00D562DC">
        <w:t>rozpočtových pravidlech.</w:t>
      </w:r>
      <w:r>
        <w:t xml:space="preserve"> V roce 2012 vstoupila v platnost novela </w:t>
      </w:r>
      <w:r w:rsidRPr="00D562DC">
        <w:t xml:space="preserve">zákona č. 218/2000 Sb. </w:t>
      </w:r>
      <w:r>
        <w:t>(zákon č. 501/2012 Sb.), která upravuje náplň částek výdajového rámce tak, že jsou nyní plně konzistentní s metodikou sestavování státního rozpočtu a rozpočtů státních fondů.</w:t>
      </w:r>
      <w:r w:rsidRPr="00D562DC">
        <w:t xml:space="preserve"> </w:t>
      </w:r>
      <w:r>
        <w:t xml:space="preserve">To s sebou přináší i to, že rámce jsou stanovovány v konsolidovaném vyjádření (na rozdíl od dřívější praxe, </w:t>
      </w:r>
      <w:r w:rsidRPr="00F31304">
        <w:t>kdy byly stanovovány jako nekonsolidované).</w:t>
      </w:r>
    </w:p>
    <w:p w:rsidR="00485D17" w:rsidRPr="00F31304" w:rsidRDefault="00485D17" w:rsidP="00C513C0">
      <w:pPr>
        <w:pStyle w:val="Heading1"/>
        <w:ind w:left="0"/>
      </w:pPr>
      <w:bookmarkStart w:id="78" w:name="_Toc428706735"/>
      <w:r w:rsidRPr="00F31304">
        <w:t>Schválený výdajový rámec pro roky 2016 a 201</w:t>
      </w:r>
      <w:bookmarkEnd w:id="77"/>
      <w:r w:rsidRPr="00F31304">
        <w:t>7</w:t>
      </w:r>
      <w:bookmarkEnd w:id="78"/>
    </w:p>
    <w:p w:rsidR="00485D17" w:rsidRPr="00F31304" w:rsidRDefault="00485D17" w:rsidP="00B072EA">
      <w:r w:rsidRPr="00F31304">
        <w:t xml:space="preserve">Poslanecká sněmovna schválila dne 10. prosince 2014 usnesením č. 556/2014 částky střednědobého výdajového rámce na </w:t>
      </w:r>
      <w:r w:rsidRPr="00F31304">
        <w:rPr>
          <w:snapToGrid w:val="0"/>
        </w:rPr>
        <w:t>1 182,4 </w:t>
      </w:r>
      <w:r w:rsidRPr="00F31304">
        <w:t xml:space="preserve">mld. Kč pro rok 2016 a </w:t>
      </w:r>
      <w:r w:rsidRPr="00F31304">
        <w:rPr>
          <w:snapToGrid w:val="0"/>
        </w:rPr>
        <w:t xml:space="preserve">1 215,5 </w:t>
      </w:r>
      <w:r w:rsidRPr="00F31304">
        <w:t>mld. Kč pro rok 2017 (v konsolidovaném vyjádření). Na rok 2016 je dále částka rámce v souladu s §8a zákona č. 218/2000 Sb., o rozpočtových pravidlech, zvýšena o 94,5 mld. Kč v důsledku očekávaných výdajů spolufinancovaných z fondů Evropské unie a z finančních mechanismů (viz tabulka č. 3).</w:t>
      </w:r>
    </w:p>
    <w:p w:rsidR="00485D17" w:rsidRPr="005C2AC1" w:rsidRDefault="00485D17" w:rsidP="00BD5D8B">
      <w:pPr>
        <w:pStyle w:val="Caption"/>
        <w:spacing w:before="240"/>
        <w:jc w:val="left"/>
      </w:pPr>
      <w:bookmarkStart w:id="79" w:name="_Ref365306856"/>
      <w:bookmarkStart w:id="80" w:name="_Ref428374510"/>
      <w:r w:rsidRPr="005C2AC1">
        <w:t xml:space="preserve">Tabulka č. </w:t>
      </w:r>
      <w:fldSimple w:instr=" SEQ Tabulka_č._ \* ARABIC ">
        <w:r>
          <w:rPr>
            <w:noProof/>
          </w:rPr>
          <w:t>3</w:t>
        </w:r>
      </w:fldSimple>
      <w:r w:rsidRPr="005C2AC1">
        <w:rPr>
          <w:noProof/>
        </w:rPr>
        <w:t xml:space="preserve"> </w:t>
      </w:r>
      <w:r>
        <w:rPr>
          <w:noProof/>
        </w:rPr>
        <w:t xml:space="preserve"> </w:t>
      </w:r>
      <w:r w:rsidRPr="005C2AC1">
        <w:t xml:space="preserve">Úprava původního střednědobého výdajového rámce (SDVR) </w:t>
      </w:r>
      <w:r w:rsidRPr="005C2AC1">
        <w:rPr>
          <w:b w:val="0"/>
          <w:i/>
        </w:rPr>
        <w:t>v</w:t>
      </w:r>
      <w:r w:rsidRPr="005C2AC1">
        <w:t> </w:t>
      </w:r>
      <w:r w:rsidRPr="005C2AC1">
        <w:rPr>
          <w:b w:val="0"/>
          <w:i/>
        </w:rPr>
        <w:t>mld. Kč</w:t>
      </w:r>
    </w:p>
    <w:bookmarkEnd w:id="79"/>
    <w:bookmarkEnd w:id="80"/>
    <w:p w:rsidR="00485D17" w:rsidRPr="00F31304" w:rsidRDefault="00485D17" w:rsidP="00BD5D8B">
      <w:pPr>
        <w:spacing w:after="0" w:line="240" w:lineRule="auto"/>
        <w:ind w:firstLine="0"/>
        <w:jc w:val="left"/>
      </w:pPr>
      <w:r>
        <w:pict>
          <v:shape id="_x0000_i1038" type="#_x0000_t75" style="width:453pt;height:94.8pt">
            <v:imagedata r:id="rId24" o:title=""/>
          </v:shape>
        </w:pict>
      </w:r>
    </w:p>
    <w:p w:rsidR="00485D17" w:rsidRPr="00F31304" w:rsidRDefault="00485D17" w:rsidP="00B072EA">
      <w:pPr>
        <w:ind w:firstLine="0"/>
        <w:rPr>
          <w:i/>
          <w:sz w:val="20"/>
        </w:rPr>
      </w:pPr>
      <w:r w:rsidRPr="00F31304">
        <w:rPr>
          <w:i/>
          <w:sz w:val="20"/>
        </w:rPr>
        <w:t>Pozn.: SDVR označuje střednědobý výdajový rámec pro státní rozpočet a státní fondy. Částky SDVR jsou na</w:t>
      </w:r>
      <w:r>
        <w:rPr>
          <w:i/>
          <w:sz w:val="20"/>
        </w:rPr>
        <w:t> </w:t>
      </w:r>
      <w:r w:rsidRPr="00F31304">
        <w:rPr>
          <w:i/>
          <w:sz w:val="20"/>
        </w:rPr>
        <w:t>konsolidované bázi.</w:t>
      </w:r>
    </w:p>
    <w:p w:rsidR="00485D17" w:rsidRPr="00F31304" w:rsidRDefault="00485D17" w:rsidP="00C513C0">
      <w:pPr>
        <w:pStyle w:val="Heading1"/>
        <w:ind w:left="0"/>
      </w:pPr>
      <w:bookmarkStart w:id="81" w:name="_Toc333680175"/>
      <w:bookmarkStart w:id="82" w:name="_Toc428706736"/>
      <w:r w:rsidRPr="00F31304">
        <w:t>Nový výdajový rámec na léta 2016 až 201</w:t>
      </w:r>
      <w:bookmarkEnd w:id="81"/>
      <w:r w:rsidRPr="00F31304">
        <w:t>8</w:t>
      </w:r>
      <w:bookmarkEnd w:id="82"/>
    </w:p>
    <w:p w:rsidR="00485D17" w:rsidRDefault="00485D17" w:rsidP="00B072EA">
      <w:r w:rsidRPr="001C33AA">
        <w:t xml:space="preserve">V roce 2014 dosáhlo hospodaření sektoru vládních institucí </w:t>
      </w:r>
      <w:r>
        <w:t xml:space="preserve">v metodice ESA 2010 </w:t>
      </w:r>
      <w:r w:rsidRPr="001C33AA">
        <w:t xml:space="preserve">deficitu ve výši 2,0 % HDP. </w:t>
      </w:r>
      <w:r>
        <w:t>S</w:t>
      </w:r>
      <w:r w:rsidRPr="001C33AA">
        <w:t xml:space="preserve">aldo bylo </w:t>
      </w:r>
      <w:r>
        <w:t xml:space="preserve">výrazně </w:t>
      </w:r>
      <w:r w:rsidRPr="001C33AA">
        <w:t xml:space="preserve">ovlivněno jak nově zahrnutými finančními institucemi </w:t>
      </w:r>
      <w:r>
        <w:t xml:space="preserve">do </w:t>
      </w:r>
      <w:r w:rsidRPr="001C33AA">
        <w:t xml:space="preserve">vládního sektoru, tak </w:t>
      </w:r>
      <w:r>
        <w:t>značným</w:t>
      </w:r>
      <w:r w:rsidRPr="001C33AA">
        <w:t xml:space="preserve"> jednorázovým akruálním výpadkem spotřebních daní</w:t>
      </w:r>
      <w:r>
        <w:t xml:space="preserve">. V neposlední řadě se do salda promítlo i oživení </w:t>
      </w:r>
      <w:r w:rsidRPr="001C33AA">
        <w:t>investiční aktivity</w:t>
      </w:r>
      <w:r>
        <w:t xml:space="preserve"> jednotek vládního sektoru</w:t>
      </w:r>
      <w:r w:rsidRPr="001C33AA">
        <w:t>. Fiskální úsilí</w:t>
      </w:r>
      <w:r>
        <w:t xml:space="preserve"> (tj. meziroční změna strukturálního salda)</w:t>
      </w:r>
      <w:r w:rsidRPr="001C33AA">
        <w:t xml:space="preserve"> pak činilo cca −1,5 p.b., neboť většina výše zmíněných vlivů se výrazně promítá </w:t>
      </w:r>
      <w:r>
        <w:t xml:space="preserve">právě </w:t>
      </w:r>
      <w:r w:rsidRPr="001C33AA">
        <w:t xml:space="preserve">do strukturálního salda. </w:t>
      </w:r>
    </w:p>
    <w:p w:rsidR="00485D17" w:rsidRDefault="00485D17" w:rsidP="00B072EA">
      <w:r w:rsidRPr="001C33AA">
        <w:t>V roce 2015 očekáváme mírné zlepšení deficitu sektoru vládních institucí na 1,9 % HDP. Záporné fiskální úsilí minulého roku by se mělo značným způsobem redukovat na −0,</w:t>
      </w:r>
      <w:r>
        <w:t>5</w:t>
      </w:r>
      <w:r w:rsidRPr="001C33AA">
        <w:t xml:space="preserve"> p.b.</w:t>
      </w:r>
    </w:p>
    <w:p w:rsidR="00485D17" w:rsidRDefault="00485D17" w:rsidP="00B072EA">
      <w:r w:rsidRPr="003D3248">
        <w:t>Prioritou v oblasti fiskální politiky pro následující roky je zvýšení efektivnosti výběru daní. Hlavními opatřeními by měly být kontrolní hlášení, elektronická evidence tržeb a</w:t>
      </w:r>
      <w:r>
        <w:t> </w:t>
      </w:r>
      <w:r w:rsidRPr="003D3248">
        <w:t xml:space="preserve">restrukturalizace finanční </w:t>
      </w:r>
      <w:r>
        <w:t xml:space="preserve">a celní </w:t>
      </w:r>
      <w:r w:rsidRPr="003D3248">
        <w:t>správy. S opatřeními v daňové oblasti se počítá jako s hlavním fak</w:t>
      </w:r>
      <w:r>
        <w:t>torem v kladném fiskálním úsilí</w:t>
      </w:r>
      <w:r w:rsidRPr="003D3248">
        <w:t xml:space="preserve"> v horizontu predikce.</w:t>
      </w:r>
      <w:r>
        <w:t xml:space="preserve"> </w:t>
      </w:r>
      <w:r w:rsidRPr="001C33AA">
        <w:t xml:space="preserve">V důsledku opatření na straně příjmů a predikovaného makroekonomického vývoje by se schodek měl snižovat až na 0,6 % HDP v roce 2018. </w:t>
      </w:r>
      <w:r>
        <w:t>Zlepšení hospodaření vládního sektoru by mělo být doprovázeno</w:t>
      </w:r>
      <w:r w:rsidRPr="001C33AA">
        <w:t xml:space="preserve"> snížení</w:t>
      </w:r>
      <w:r>
        <w:t>m</w:t>
      </w:r>
      <w:r w:rsidRPr="001C33AA">
        <w:t xml:space="preserve"> schodku očištěného o vliv hospodářského cyklu a jednorázových a přechodných operací z 1,</w:t>
      </w:r>
      <w:r>
        <w:t>8</w:t>
      </w:r>
      <w:r w:rsidRPr="001C33AA">
        <w:t xml:space="preserve"> % HDP v</w:t>
      </w:r>
      <w:r>
        <w:t> </w:t>
      </w:r>
      <w:r w:rsidRPr="001C33AA">
        <w:t xml:space="preserve">roce 2015 na </w:t>
      </w:r>
      <w:r>
        <w:t>0</w:t>
      </w:r>
      <w:r w:rsidRPr="001C33AA">
        <w:t>,</w:t>
      </w:r>
      <w:r>
        <w:t>9</w:t>
      </w:r>
      <w:r w:rsidRPr="001C33AA">
        <w:t xml:space="preserve"> % HDP v roce 2018</w:t>
      </w:r>
      <w:r>
        <w:t xml:space="preserve"> (viz graf č. 12)</w:t>
      </w:r>
      <w:r w:rsidRPr="001C33AA">
        <w:t>. Na konci horizontu predikce by tak měl být dosažen střednědobý rozpočtový cíl, který v případě ČR odpovídá strukturálnímu saldu −1,0</w:t>
      </w:r>
      <w:r>
        <w:t> </w:t>
      </w:r>
      <w:r w:rsidRPr="001C33AA">
        <w:t xml:space="preserve">% HDP. </w:t>
      </w:r>
    </w:p>
    <w:p w:rsidR="00485D17" w:rsidRDefault="00485D17" w:rsidP="007F74FE">
      <w:pPr>
        <w:pStyle w:val="Caption"/>
        <w:spacing w:before="240" w:after="0"/>
        <w:jc w:val="left"/>
        <w:rPr>
          <w:noProof/>
        </w:rPr>
      </w:pPr>
      <w:r>
        <w:t xml:space="preserve">Graf č. </w:t>
      </w:r>
      <w:fldSimple w:instr=" SEQ Graf_č._ \* ARABIC ">
        <w:r>
          <w:rPr>
            <w:noProof/>
          </w:rPr>
          <w:t>12</w:t>
        </w:r>
      </w:fldSimple>
      <w:r>
        <w:rPr>
          <w:noProof/>
        </w:rPr>
        <w:t xml:space="preserve">  Vývoj celkového a strukturálního salda vládního sektoru v letech 2012 – 2018</w:t>
      </w:r>
    </w:p>
    <w:p w:rsidR="00485D17" w:rsidRPr="00F8263A" w:rsidRDefault="00485D17" w:rsidP="00B818CE">
      <w:pPr>
        <w:tabs>
          <w:tab w:val="right" w:pos="9382"/>
        </w:tabs>
        <w:spacing w:before="0"/>
        <w:rPr>
          <w:bCs/>
          <w:i/>
          <w:sz w:val="18"/>
          <w:szCs w:val="18"/>
        </w:rPr>
      </w:pPr>
      <w:r>
        <w:rPr>
          <w:bCs/>
          <w:i/>
          <w:sz w:val="18"/>
          <w:szCs w:val="18"/>
        </w:rPr>
        <w:t xml:space="preserve">        </w:t>
      </w:r>
      <w:r w:rsidRPr="00F8263A">
        <w:rPr>
          <w:bCs/>
          <w:i/>
          <w:sz w:val="18"/>
          <w:szCs w:val="18"/>
        </w:rPr>
        <w:t>(akruální metodika ESA 95, v % HDP)</w:t>
      </w:r>
      <w:r>
        <w:rPr>
          <w:bCs/>
          <w:i/>
          <w:sz w:val="18"/>
          <w:szCs w:val="18"/>
        </w:rPr>
        <w:tab/>
      </w:r>
    </w:p>
    <w:p w:rsidR="00485D17" w:rsidRDefault="00485D17" w:rsidP="00B072EA">
      <w:pPr>
        <w:spacing w:before="0" w:after="0" w:line="240" w:lineRule="auto"/>
        <w:ind w:firstLine="0"/>
        <w:jc w:val="center"/>
      </w:pPr>
      <w:r>
        <w:pict>
          <v:shape id="_x0000_i1039" type="#_x0000_t75" style="width:357.6pt;height:214.8pt;mso-position-horizontal-relative:char;mso-position-vertical-relative:line">
            <v:imagedata r:id="rId25" o:title=""/>
          </v:shape>
        </w:pict>
      </w:r>
    </w:p>
    <w:p w:rsidR="00485D17" w:rsidRDefault="00485D17" w:rsidP="00B072EA">
      <w:pPr>
        <w:spacing w:before="360"/>
      </w:pPr>
      <w:r>
        <w:t xml:space="preserve">Při odvození částek střednědobého výdajového rámce z celkového salda vládního sektoru v akruální metodice bylo zapotřebí vyjít z předpokladů o výsledku hospodaření ostatních složek vládního sektoru vyjma hospodaření státního rozpočtu a státních fondů (viz tabulka č. 4). </w:t>
      </w:r>
    </w:p>
    <w:p w:rsidR="00485D17" w:rsidRDefault="00485D17" w:rsidP="007F74FE">
      <w:pPr>
        <w:pStyle w:val="Caption"/>
        <w:spacing w:before="240"/>
        <w:ind w:left="1418" w:hanging="1418"/>
        <w:jc w:val="left"/>
        <w:rPr>
          <w:b w:val="0"/>
          <w:bCs/>
          <w:i/>
          <w:sz w:val="18"/>
          <w:szCs w:val="18"/>
        </w:rPr>
      </w:pPr>
      <w:bookmarkStart w:id="83" w:name="_Ref396900098"/>
      <w:r w:rsidRPr="005C2AC1">
        <w:t xml:space="preserve">Tabulka č. </w:t>
      </w:r>
      <w:fldSimple w:instr=" SEQ Tabulka_č._ \* ARABIC ">
        <w:r>
          <w:rPr>
            <w:noProof/>
          </w:rPr>
          <w:t>4</w:t>
        </w:r>
      </w:fldSimple>
      <w:r w:rsidRPr="005C2AC1">
        <w:rPr>
          <w:noProof/>
        </w:rPr>
        <w:t xml:space="preserve"> </w:t>
      </w:r>
      <w:r>
        <w:rPr>
          <w:noProof/>
        </w:rPr>
        <w:t xml:space="preserve"> </w:t>
      </w:r>
      <w:r w:rsidRPr="005C2AC1">
        <w:rPr>
          <w:noProof/>
        </w:rPr>
        <w:t>Odvození</w:t>
      </w:r>
      <w:r w:rsidRPr="005C2AC1">
        <w:t xml:space="preserve"> akruální výše salda státního rozpočtu a státních fondů z celkového salda vládního sektoru</w:t>
      </w:r>
      <w:r w:rsidRPr="005C2AC1">
        <w:rPr>
          <w:bCs/>
        </w:rPr>
        <w:br/>
      </w:r>
      <w:r w:rsidRPr="005C2AC1">
        <w:rPr>
          <w:b w:val="0"/>
          <w:bCs/>
          <w:i/>
          <w:sz w:val="18"/>
          <w:szCs w:val="18"/>
        </w:rPr>
        <w:t>(akruální metodika ESA 95, v % HDP)</w:t>
      </w:r>
    </w:p>
    <w:bookmarkEnd w:id="83"/>
    <w:p w:rsidR="00485D17" w:rsidRDefault="00485D17" w:rsidP="00B072EA">
      <w:pPr>
        <w:spacing w:before="0" w:after="360" w:line="240" w:lineRule="auto"/>
        <w:ind w:firstLine="0"/>
        <w:jc w:val="left"/>
      </w:pPr>
      <w:r>
        <w:pict>
          <v:shape id="_x0000_i1040" type="#_x0000_t75" style="width:453pt;height:194.4pt">
            <v:imagedata r:id="rId26" o:title=""/>
          </v:shape>
        </w:pict>
      </w:r>
      <w:r>
        <w:t xml:space="preserve"> </w:t>
      </w:r>
      <w:r w:rsidRPr="00DA4C15">
        <w:rPr>
          <w:i/>
          <w:sz w:val="20"/>
        </w:rPr>
        <w:t>Pozn.:</w:t>
      </w:r>
      <w:r>
        <w:rPr>
          <w:i/>
          <w:sz w:val="20"/>
        </w:rPr>
        <w:t xml:space="preserve"> SR označuje státní rozpočet, SF státní fondy.</w:t>
      </w:r>
    </w:p>
    <w:p w:rsidR="00485D17" w:rsidRDefault="00485D17" w:rsidP="00B072EA">
      <w:r w:rsidRPr="00E30A1B">
        <w:t xml:space="preserve">Nově navržené </w:t>
      </w:r>
      <w:r>
        <w:t xml:space="preserve">částky </w:t>
      </w:r>
      <w:r w:rsidRPr="00E30A1B">
        <w:t>střednědobé</w:t>
      </w:r>
      <w:r>
        <w:t>ho</w:t>
      </w:r>
      <w:r w:rsidRPr="00E30A1B">
        <w:t xml:space="preserve"> výdajové</w:t>
      </w:r>
      <w:r>
        <w:t>ho</w:t>
      </w:r>
      <w:r w:rsidRPr="00E30A1B">
        <w:t xml:space="preserve"> rámce státn</w:t>
      </w:r>
      <w:r>
        <w:t>ího rozpočtu a státních fondů v </w:t>
      </w:r>
      <w:r w:rsidRPr="00E30A1B">
        <w:t xml:space="preserve">konsolidovaném vyjádření tedy činí </w:t>
      </w:r>
      <w:r>
        <w:t>1280,1</w:t>
      </w:r>
      <w:r w:rsidRPr="00E30A1B">
        <w:t xml:space="preserve"> </w:t>
      </w:r>
      <w:r>
        <w:t>mld. Kč pro rok 2016</w:t>
      </w:r>
      <w:r w:rsidRPr="00E30A1B">
        <w:t>, d</w:t>
      </w:r>
      <w:r>
        <w:t xml:space="preserve">ále 1211,2 mld. Kč pro rok 2017 a 1244,1 mld. Kč pro rok 2018. </w:t>
      </w:r>
      <w:r w:rsidRPr="00731280">
        <w:t>Výdajový rámec na rok 201</w:t>
      </w:r>
      <w:r>
        <w:t>6</w:t>
      </w:r>
      <w:r w:rsidRPr="00731280">
        <w:t xml:space="preserve"> </w:t>
      </w:r>
      <w:r>
        <w:t>je oproti schválenému rámci z prosince 2014</w:t>
      </w:r>
      <w:r w:rsidRPr="00731280">
        <w:t xml:space="preserve"> </w:t>
      </w:r>
      <w:r>
        <w:t xml:space="preserve">překročen </w:t>
      </w:r>
      <w:r w:rsidRPr="00731280">
        <w:t>o </w:t>
      </w:r>
      <w:r>
        <w:t>3,2</w:t>
      </w:r>
      <w:r w:rsidRPr="00731280">
        <w:t xml:space="preserve"> mld. Kč, </w:t>
      </w:r>
      <w:r>
        <w:t xml:space="preserve">na rok 2017 naopak o 4,3 mld. Kč snížen </w:t>
      </w:r>
      <w:r w:rsidRPr="00731280">
        <w:t xml:space="preserve">(viz </w:t>
      </w:r>
      <w:r>
        <w:t>tabulka č. 5</w:t>
      </w:r>
      <w:r w:rsidRPr="00731280">
        <w:t>).</w:t>
      </w:r>
    </w:p>
    <w:p w:rsidR="00485D17" w:rsidRPr="00090B79" w:rsidRDefault="00485D17" w:rsidP="007F74FE">
      <w:pPr>
        <w:pStyle w:val="Caption"/>
        <w:spacing w:before="240"/>
        <w:ind w:left="1418" w:hanging="1418"/>
        <w:jc w:val="left"/>
        <w:rPr>
          <w:rStyle w:val="Kurzva"/>
          <w:b w:val="0"/>
        </w:rPr>
      </w:pPr>
      <w:bookmarkStart w:id="84" w:name="_Ref365306826"/>
      <w:r w:rsidRPr="005C2AC1">
        <w:t xml:space="preserve">Tabulka č. </w:t>
      </w:r>
      <w:fldSimple w:instr=" SEQ Tabulka_č._ \* ARABIC ">
        <w:r>
          <w:rPr>
            <w:noProof/>
          </w:rPr>
          <w:t>5</w:t>
        </w:r>
      </w:fldSimple>
      <w:r w:rsidRPr="005C2AC1">
        <w:rPr>
          <w:noProof/>
        </w:rPr>
        <w:t xml:space="preserve">  </w:t>
      </w:r>
      <w:r w:rsidRPr="005C2AC1">
        <w:t>Rozdíly mezi upraveným SDVR schváleným v roce 201</w:t>
      </w:r>
      <w:r>
        <w:t xml:space="preserve">4 </w:t>
      </w:r>
      <w:r w:rsidRPr="005C2AC1">
        <w:t>a nově navržené částky  SDVR až do roku 201</w:t>
      </w:r>
      <w:r>
        <w:t>8</w:t>
      </w:r>
      <w:r w:rsidRPr="005C2AC1">
        <w:t xml:space="preserve"> </w:t>
      </w:r>
      <w:r w:rsidRPr="005C2AC1">
        <w:rPr>
          <w:rStyle w:val="Kurzva"/>
          <w:b w:val="0"/>
        </w:rPr>
        <w:t>(v mld. Kč)</w:t>
      </w:r>
    </w:p>
    <w:bookmarkEnd w:id="84"/>
    <w:p w:rsidR="00485D17" w:rsidRDefault="00485D17" w:rsidP="00B072EA">
      <w:pPr>
        <w:ind w:firstLine="0"/>
      </w:pPr>
      <w:r>
        <w:pict>
          <v:shape id="_x0000_i1041" type="#_x0000_t75" style="width:453pt;height:54pt">
            <v:imagedata r:id="rId27" o:title=""/>
          </v:shape>
        </w:pict>
      </w:r>
    </w:p>
    <w:p w:rsidR="00485D17" w:rsidRPr="00090B79" w:rsidRDefault="00485D17" w:rsidP="009963F9">
      <w:pPr>
        <w:spacing w:after="0"/>
      </w:pPr>
    </w:p>
    <w:p w:rsidR="00485D17" w:rsidRPr="0073555D" w:rsidRDefault="00485D17" w:rsidP="00037457">
      <w:pPr>
        <w:pStyle w:val="Nadpishlavnsti"/>
        <w:ind w:left="540" w:hanging="540"/>
      </w:pPr>
      <w:bookmarkStart w:id="85" w:name="_Toc206999977"/>
      <w:bookmarkStart w:id="86" w:name="_Toc241917796"/>
      <w:bookmarkStart w:id="87" w:name="_Toc333680176"/>
      <w:bookmarkStart w:id="88" w:name="_Toc428706737"/>
      <w:r w:rsidRPr="0073555D">
        <w:t>C. Vývoj základních ukazatelů střednědobého výhledu v letech 2017 až 201</w:t>
      </w:r>
      <w:bookmarkEnd w:id="85"/>
      <w:bookmarkEnd w:id="86"/>
      <w:bookmarkEnd w:id="87"/>
      <w:r w:rsidRPr="0073555D">
        <w:t>8</w:t>
      </w:r>
      <w:bookmarkEnd w:id="88"/>
    </w:p>
    <w:p w:rsidR="00485D17" w:rsidRPr="0073555D" w:rsidRDefault="00485D17" w:rsidP="00DF76C5">
      <w:pPr>
        <w:pStyle w:val="Heading1"/>
        <w:ind w:left="360" w:hanging="360"/>
      </w:pPr>
      <w:bookmarkStart w:id="89" w:name="_Toc206999979"/>
      <w:bookmarkStart w:id="90" w:name="_Toc241917798"/>
      <w:bookmarkStart w:id="91" w:name="_Toc333680177"/>
      <w:bookmarkStart w:id="92" w:name="_Toc428706738"/>
      <w:r w:rsidRPr="0073555D">
        <w:t>Základní ukazatele státního rozpočtu</w:t>
      </w:r>
      <w:bookmarkEnd w:id="89"/>
      <w:bookmarkEnd w:id="90"/>
      <w:r w:rsidRPr="0073555D">
        <w:t xml:space="preserve"> ve střednědobém výhledu</w:t>
      </w:r>
      <w:bookmarkEnd w:id="91"/>
      <w:bookmarkEnd w:id="92"/>
    </w:p>
    <w:p w:rsidR="00485D17" w:rsidRPr="0073555D" w:rsidRDefault="00485D17" w:rsidP="00074A51">
      <w:pPr>
        <w:pStyle w:val="Heading2"/>
      </w:pPr>
      <w:bookmarkStart w:id="93" w:name="_Toc206999980"/>
      <w:bookmarkStart w:id="94" w:name="_Toc241917799"/>
      <w:bookmarkStart w:id="95" w:name="_Toc333680178"/>
      <w:bookmarkStart w:id="96" w:name="_Toc428706739"/>
      <w:r w:rsidRPr="0073555D">
        <w:t>Východiska zpracování střednědobého výhledu</w:t>
      </w:r>
      <w:bookmarkEnd w:id="93"/>
      <w:bookmarkEnd w:id="94"/>
      <w:bookmarkEnd w:id="95"/>
      <w:bookmarkEnd w:id="96"/>
    </w:p>
    <w:p w:rsidR="00485D17" w:rsidRDefault="00485D17" w:rsidP="00F40E04">
      <w:pPr>
        <w:numPr>
          <w:ilvl w:val="0"/>
          <w:numId w:val="20"/>
        </w:numPr>
        <w:tabs>
          <w:tab w:val="clear" w:pos="170"/>
          <w:tab w:val="num" w:pos="540"/>
        </w:tabs>
        <w:spacing w:before="0" w:after="0"/>
        <w:ind w:left="540" w:hanging="540"/>
      </w:pPr>
      <w:r>
        <w:t>Programové prohlášení vlády České republiky;</w:t>
      </w:r>
    </w:p>
    <w:p w:rsidR="00485D17" w:rsidRDefault="00485D17" w:rsidP="00F40E04">
      <w:pPr>
        <w:numPr>
          <w:ilvl w:val="0"/>
          <w:numId w:val="20"/>
        </w:numPr>
        <w:tabs>
          <w:tab w:val="clear" w:pos="170"/>
          <w:tab w:val="num" w:pos="540"/>
        </w:tabs>
        <w:spacing w:before="0" w:after="0"/>
        <w:ind w:left="540" w:hanging="540"/>
      </w:pPr>
      <w:r>
        <w:t xml:space="preserve">výdajové rámce na rok 2016 a 2017 stanovené usnesením Poslanecké sněmovny Parlamentu ČR č. 556/2014;  </w:t>
      </w:r>
    </w:p>
    <w:p w:rsidR="00485D17" w:rsidRPr="00F03785" w:rsidRDefault="00485D17" w:rsidP="00F40E04">
      <w:pPr>
        <w:numPr>
          <w:ilvl w:val="0"/>
          <w:numId w:val="20"/>
        </w:numPr>
        <w:tabs>
          <w:tab w:val="clear" w:pos="170"/>
          <w:tab w:val="num" w:pos="540"/>
        </w:tabs>
        <w:spacing w:before="0" w:after="0"/>
        <w:ind w:left="540" w:hanging="540"/>
        <w:rPr>
          <w:bCs/>
        </w:rPr>
      </w:pPr>
      <w:r>
        <w:t xml:space="preserve">střednědobý výhled státního rozpočtu ČR na léta 2016 a 2017 schválený usnesením vlády č. 769/2014 a předložený PSP ČR na vědomí; </w:t>
      </w:r>
    </w:p>
    <w:p w:rsidR="00485D17" w:rsidRDefault="00485D17" w:rsidP="00F40E04">
      <w:pPr>
        <w:numPr>
          <w:ilvl w:val="0"/>
          <w:numId w:val="20"/>
        </w:numPr>
        <w:tabs>
          <w:tab w:val="clear" w:pos="170"/>
          <w:tab w:val="num" w:pos="540"/>
        </w:tabs>
        <w:spacing w:before="0" w:after="0"/>
        <w:ind w:left="540" w:hanging="540"/>
      </w:pPr>
      <w:r>
        <w:t xml:space="preserve">předběžné návrhy příjmů a výdajů rozpočtových kapitol schválené usnesením vlády č. 484 ze dne 24. června 2015; </w:t>
      </w:r>
    </w:p>
    <w:p w:rsidR="00485D17" w:rsidRDefault="00485D17" w:rsidP="00F40E04">
      <w:pPr>
        <w:numPr>
          <w:ilvl w:val="0"/>
          <w:numId w:val="20"/>
        </w:numPr>
        <w:tabs>
          <w:tab w:val="clear" w:pos="170"/>
          <w:tab w:val="num" w:pos="540"/>
        </w:tabs>
        <w:spacing w:before="0" w:after="0"/>
        <w:ind w:left="540" w:hanging="540"/>
      </w:pPr>
      <w:r>
        <w:t>v</w:t>
      </w:r>
      <w:r w:rsidRPr="00BF278F">
        <w:t> příjmech a ve výdajích na rok 2017 a 2018 nejsou zahrnut</w:t>
      </w:r>
      <w:r>
        <w:t>y prostředky z rozpočtu EU a FM;</w:t>
      </w:r>
    </w:p>
    <w:p w:rsidR="00485D17" w:rsidRDefault="00485D17" w:rsidP="00F40E04">
      <w:pPr>
        <w:numPr>
          <w:ilvl w:val="0"/>
          <w:numId w:val="20"/>
        </w:numPr>
        <w:tabs>
          <w:tab w:val="clear" w:pos="170"/>
          <w:tab w:val="num" w:pos="540"/>
        </w:tabs>
        <w:spacing w:before="0" w:after="0"/>
        <w:ind w:left="540" w:hanging="540"/>
      </w:pPr>
      <w:r>
        <w:t>p</w:t>
      </w:r>
      <w:r w:rsidRPr="00BF278F">
        <w:t>redikce základních makroekonomických indikátorů do roku 2018 zpracovaná Ministerstvem financí v červenci 2015.</w:t>
      </w:r>
    </w:p>
    <w:p w:rsidR="00485D17" w:rsidRPr="002210CC" w:rsidRDefault="00485D17" w:rsidP="003A12C7">
      <w:pPr>
        <w:pStyle w:val="Caption"/>
        <w:spacing w:line="360" w:lineRule="auto"/>
        <w:ind w:firstLine="720"/>
        <w:jc w:val="both"/>
        <w:rPr>
          <w:b w:val="0"/>
        </w:rPr>
      </w:pPr>
      <w:r w:rsidRPr="00BF278F">
        <w:rPr>
          <w:b w:val="0"/>
        </w:rPr>
        <w:t xml:space="preserve">Na léta 2017 a 2018 jsou navrženy střednědobé výdajové rámce státního rozpočtu </w:t>
      </w:r>
      <w:r w:rsidRPr="002210CC">
        <w:rPr>
          <w:b w:val="0"/>
        </w:rPr>
        <w:t>a státních</w:t>
      </w:r>
      <w:r w:rsidRPr="002210CC">
        <w:t xml:space="preserve"> </w:t>
      </w:r>
      <w:r w:rsidRPr="002210CC">
        <w:rPr>
          <w:b w:val="0"/>
        </w:rPr>
        <w:t>fondů (v metodice sestavování státního rozpočtu a konsolidované) v následující výši.</w:t>
      </w:r>
    </w:p>
    <w:p w:rsidR="00485D17" w:rsidRPr="00BE375B" w:rsidRDefault="00485D17" w:rsidP="007F74FE">
      <w:pPr>
        <w:pStyle w:val="Caption"/>
        <w:spacing w:before="240"/>
        <w:jc w:val="left"/>
      </w:pPr>
      <w:r>
        <w:t xml:space="preserve">Tabulka č. </w:t>
      </w:r>
      <w:fldSimple w:instr=" SEQ Tabulka_č._ \* ARABIC ">
        <w:r>
          <w:rPr>
            <w:noProof/>
          </w:rPr>
          <w:t>6</w:t>
        </w:r>
      </w:fldSimple>
      <w:r>
        <w:rPr>
          <w:noProof/>
        </w:rPr>
        <w:t xml:space="preserve"> </w:t>
      </w:r>
      <w:r w:rsidRPr="0069338F">
        <w:t>Střednědobé výdajové rámce na léta 201</w:t>
      </w:r>
      <w:r>
        <w:t>7</w:t>
      </w:r>
      <w:r w:rsidRPr="0069338F">
        <w:t xml:space="preserve"> – 201</w:t>
      </w:r>
      <w:r>
        <w:t>8</w:t>
      </w:r>
      <w:r w:rsidRPr="0069338F">
        <w:t xml:space="preserve"> </w:t>
      </w:r>
      <w:r w:rsidRPr="0069338F">
        <w:rPr>
          <w:b w:val="0"/>
          <w:i/>
        </w:rPr>
        <w:t>(v mld. Kč)</w:t>
      </w:r>
    </w:p>
    <w:p w:rsidR="00485D17" w:rsidRPr="00AA5428" w:rsidRDefault="00485D17" w:rsidP="00AA5428">
      <w:pPr>
        <w:ind w:firstLine="0"/>
      </w:pPr>
      <w:r>
        <w:pict>
          <v:shape id="_x0000_i1042" type="#_x0000_t75" style="width:294.6pt;height:99.6pt">
            <v:imagedata r:id="rId28" o:title=""/>
          </v:shape>
        </w:pict>
      </w:r>
    </w:p>
    <w:p w:rsidR="00485D17" w:rsidRPr="00F40E04" w:rsidRDefault="00485D17" w:rsidP="001966AF">
      <w:pPr>
        <w:ind w:firstLine="0"/>
        <w:jc w:val="left"/>
        <w:rPr>
          <w:highlight w:val="yellow"/>
        </w:rPr>
      </w:pPr>
    </w:p>
    <w:p w:rsidR="00485D17" w:rsidRPr="002A19E4" w:rsidRDefault="00485D17" w:rsidP="00543635">
      <w:pPr>
        <w:ind w:firstLine="720"/>
        <w:rPr>
          <w:highlight w:val="yellow"/>
        </w:rPr>
      </w:pPr>
    </w:p>
    <w:p w:rsidR="00485D17" w:rsidRPr="00BF278F" w:rsidRDefault="00485D17" w:rsidP="00543635">
      <w:pPr>
        <w:ind w:firstLine="720"/>
      </w:pPr>
      <w:r w:rsidRPr="00BF278F">
        <w:t>Souhrnnou bilanci základních ukazatelů státního rozpočtu v letech 201</w:t>
      </w:r>
      <w:r>
        <w:t>6</w:t>
      </w:r>
      <w:r w:rsidRPr="00BF278F">
        <w:t xml:space="preserve"> až 201</w:t>
      </w:r>
      <w:r>
        <w:t>8</w:t>
      </w:r>
      <w:r w:rsidRPr="00BF278F">
        <w:t xml:space="preserve"> demonstruje následující tabulka. </w:t>
      </w:r>
    </w:p>
    <w:p w:rsidR="00485D17" w:rsidRPr="0038599B" w:rsidRDefault="00485D17" w:rsidP="0069338F">
      <w:pPr>
        <w:pStyle w:val="Caption"/>
        <w:spacing w:before="240"/>
        <w:jc w:val="left"/>
      </w:pPr>
      <w:r w:rsidRPr="0038599B">
        <w:t xml:space="preserve">Tabulka č. </w:t>
      </w:r>
      <w:fldSimple w:instr=" SEQ Tabulka_č._ \* ARABIC ">
        <w:r>
          <w:rPr>
            <w:noProof/>
          </w:rPr>
          <w:t>7</w:t>
        </w:r>
      </w:fldSimple>
      <w:r w:rsidRPr="0038599B">
        <w:rPr>
          <w:noProof/>
        </w:rPr>
        <w:t xml:space="preserve"> </w:t>
      </w:r>
      <w:r w:rsidRPr="0038599B">
        <w:t xml:space="preserve">Souhrnné veličiny celkových příjmů, celkových výdajů a salda státního rozpočtu v letech 2012 až 2018 </w:t>
      </w:r>
      <w:r w:rsidRPr="0038599B">
        <w:rPr>
          <w:b w:val="0"/>
          <w:i/>
        </w:rPr>
        <w:t>(v mld. Kč)</w:t>
      </w:r>
    </w:p>
    <w:p w:rsidR="00485D17" w:rsidRPr="009875B9" w:rsidRDefault="00485D17" w:rsidP="00BA31C6">
      <w:pPr>
        <w:spacing w:line="240" w:lineRule="auto"/>
        <w:ind w:firstLine="0"/>
        <w:jc w:val="left"/>
        <w:rPr>
          <w:highlight w:val="yellow"/>
        </w:rPr>
      </w:pPr>
      <w:r w:rsidRPr="009875B9">
        <w:pict>
          <v:shape id="_x0000_i1043" type="#_x0000_t75" style="width:469.2pt;height:124.2pt">
            <v:imagedata r:id="rId29" o:title=""/>
          </v:shape>
        </w:pict>
      </w:r>
    </w:p>
    <w:p w:rsidR="00485D17" w:rsidRPr="0073555D" w:rsidRDefault="00485D17" w:rsidP="00DF76C5">
      <w:pPr>
        <w:pStyle w:val="Heading2"/>
        <w:ind w:left="360" w:hanging="360"/>
      </w:pPr>
      <w:bookmarkStart w:id="97" w:name="_Toc206999981"/>
      <w:bookmarkStart w:id="98" w:name="_Toc241917800"/>
      <w:bookmarkStart w:id="99" w:name="_Toc333680179"/>
      <w:bookmarkStart w:id="100" w:name="_Toc428706740"/>
      <w:r w:rsidRPr="0073555D">
        <w:t>Predikce příjmů</w:t>
      </w:r>
      <w:bookmarkEnd w:id="97"/>
      <w:bookmarkEnd w:id="98"/>
      <w:bookmarkEnd w:id="99"/>
      <w:bookmarkEnd w:id="100"/>
    </w:p>
    <w:p w:rsidR="00485D17" w:rsidRPr="0073555D" w:rsidRDefault="00485D17" w:rsidP="0069338F">
      <w:pPr>
        <w:pStyle w:val="Caption"/>
        <w:spacing w:before="240"/>
        <w:jc w:val="left"/>
      </w:pPr>
      <w:r w:rsidRPr="0073555D">
        <w:t xml:space="preserve">Tabulka č. </w:t>
      </w:r>
      <w:fldSimple w:instr=" SEQ Tabulka_č._ \* ARABIC ">
        <w:r>
          <w:rPr>
            <w:noProof/>
          </w:rPr>
          <w:t>8</w:t>
        </w:r>
      </w:fldSimple>
      <w:r w:rsidRPr="0073555D">
        <w:rPr>
          <w:noProof/>
        </w:rPr>
        <w:t xml:space="preserve"> </w:t>
      </w:r>
      <w:r w:rsidRPr="0073555D">
        <w:t xml:space="preserve">Vývoj příjmů státního rozpočtu v letech 2012 až 2018 </w:t>
      </w:r>
      <w:r w:rsidRPr="0073555D">
        <w:rPr>
          <w:b w:val="0"/>
          <w:i/>
        </w:rPr>
        <w:t>(v mld. Kč)</w:t>
      </w:r>
    </w:p>
    <w:p w:rsidR="00485D17" w:rsidRPr="009875B9" w:rsidRDefault="00485D17" w:rsidP="00D922BC">
      <w:pPr>
        <w:ind w:firstLine="0"/>
      </w:pPr>
      <w:r w:rsidRPr="009875B9">
        <w:pict>
          <v:shape id="_x0000_i1044" type="#_x0000_t75" style="width:468.6pt;height:143.4pt">
            <v:imagedata r:id="rId30" o:title=""/>
          </v:shape>
        </w:pict>
      </w:r>
    </w:p>
    <w:p w:rsidR="00485D17" w:rsidRPr="00D77888" w:rsidRDefault="00485D17" w:rsidP="00C513C0">
      <w:pPr>
        <w:pStyle w:val="Heading3"/>
      </w:pPr>
      <w:bookmarkStart w:id="101" w:name="_Toc206999982"/>
      <w:bookmarkStart w:id="102" w:name="_Toc241917801"/>
      <w:bookmarkStart w:id="103" w:name="_Toc333680180"/>
      <w:bookmarkStart w:id="104" w:name="_Toc428706741"/>
      <w:r w:rsidRPr="00D77888">
        <w:t>Daňové příjmy státního rozpočtu</w:t>
      </w:r>
      <w:bookmarkEnd w:id="101"/>
      <w:bookmarkEnd w:id="102"/>
      <w:bookmarkEnd w:id="103"/>
      <w:bookmarkEnd w:id="104"/>
    </w:p>
    <w:p w:rsidR="00485D17" w:rsidRPr="00D77888" w:rsidRDefault="00485D17" w:rsidP="00C513C0">
      <w:pPr>
        <w:pStyle w:val="Heading4"/>
        <w:ind w:left="0"/>
      </w:pPr>
      <w:bookmarkStart w:id="105" w:name="_Toc428706742"/>
      <w:r w:rsidRPr="00D77888">
        <w:t>Vývoj daňové kvóty</w:t>
      </w:r>
      <w:bookmarkEnd w:id="105"/>
    </w:p>
    <w:p w:rsidR="00485D17" w:rsidRDefault="00485D17" w:rsidP="00AA026D">
      <w:r>
        <w:t>Jednoduchá daňová kvóta zahrnuje pouze daňové příjmy veřejných rozpočtů, které se jako daně skutečně označují. Naproti tomu složená daňová kvóta zahrnuje kromě výše zmíněných daňových příjmů i příjmy z povinného pojistného na sociální zabezpečení a příspěvek na státní politiku zaměstnanosti i příjmy z povinného pojistného na zdravotní pojištění. Tato kvóta je komplexnějším ukazatelem daňového zatížení.</w:t>
      </w:r>
    </w:p>
    <w:p w:rsidR="00485D17" w:rsidRDefault="00485D17" w:rsidP="006B3E8F">
      <w:r>
        <w:t>Pro všechny metodiky výpočtů daňových kvót je společné, že jmenovatelem vždy zůstává hodnota nominálního HDP a liší se tedy pouze hodnoty v čitateli podle toho, co jednotlivé metodiky definují jako daňové příjmy. Daňové příjmy v čitateli mohou být na hotovostním nebo na akruálním principu. Akruální princip je založen na tom, že příjmy jsou evidovány v době, kdy nastaly ekonomické skutečnosti, které zavdaly příčinu zdanění, a nikoli v okamžiku, kdy jsou peníze přijaty na účet.</w:t>
      </w:r>
    </w:p>
    <w:p w:rsidR="00485D17" w:rsidRPr="0013306D" w:rsidRDefault="00485D17" w:rsidP="006B3E8F">
      <w:r>
        <w:t>Národní metodika dle rozpočtové skladby je založena na hotovostním základě, stejně jako státní rozpočet a vychází z rozpočtové skladby daňových příjmů platných v ČR.</w:t>
      </w:r>
    </w:p>
    <w:p w:rsidR="00485D17" w:rsidRPr="007A09C5" w:rsidRDefault="00485D17" w:rsidP="007A09C5">
      <w:pPr>
        <w:pStyle w:val="Caption"/>
        <w:spacing w:before="240"/>
        <w:jc w:val="left"/>
        <w:rPr>
          <w:rStyle w:val="Tuntext"/>
          <w:b/>
        </w:rPr>
      </w:pPr>
      <w:r w:rsidRPr="007A09C5">
        <w:t xml:space="preserve">Tabulka č. </w:t>
      </w:r>
      <w:fldSimple w:instr=" SEQ Tabulka_č._ \* ARABIC ">
        <w:r>
          <w:rPr>
            <w:noProof/>
          </w:rPr>
          <w:t>9</w:t>
        </w:r>
      </w:fldSimple>
      <w:r w:rsidRPr="007A09C5">
        <w:rPr>
          <w:noProof/>
        </w:rPr>
        <w:t xml:space="preserve"> </w:t>
      </w:r>
      <w:r w:rsidRPr="007A09C5">
        <w:t xml:space="preserve">Daňová kvóta dle rozpočtové skladby v ČR </w:t>
      </w:r>
      <w:r w:rsidRPr="007A09C5">
        <w:rPr>
          <w:b w:val="0"/>
          <w:i/>
        </w:rPr>
        <w:t>(v %)</w:t>
      </w:r>
    </w:p>
    <w:p w:rsidR="00485D17" w:rsidRDefault="00485D17" w:rsidP="00C104F7">
      <w:pPr>
        <w:ind w:firstLine="0"/>
        <w:jc w:val="center"/>
        <w:rPr>
          <w:rStyle w:val="Tuntext"/>
          <w:b w:val="0"/>
        </w:rPr>
      </w:pPr>
      <w:r w:rsidRPr="00E64FE8">
        <w:rPr>
          <w:rStyle w:val="Tuntext"/>
          <w:b w:val="0"/>
        </w:rPr>
        <w:pict>
          <v:shape id="_x0000_i1045" type="#_x0000_t75" style="width:466.2pt;height:72.6pt">
            <v:imagedata r:id="rId31" o:title=""/>
          </v:shape>
        </w:pict>
      </w:r>
    </w:p>
    <w:p w:rsidR="00485D17" w:rsidRDefault="00485D17" w:rsidP="00B818CE">
      <w:pPr>
        <w:pStyle w:val="Caption"/>
        <w:spacing w:before="240" w:after="0"/>
        <w:jc w:val="left"/>
        <w:rPr>
          <w:noProof/>
        </w:rPr>
      </w:pPr>
      <w:r>
        <w:t xml:space="preserve">Graf č. </w:t>
      </w:r>
      <w:fldSimple w:instr=" SEQ Graf_č._ \* ARABIC ">
        <w:r>
          <w:rPr>
            <w:noProof/>
          </w:rPr>
          <w:t>13</w:t>
        </w:r>
      </w:fldSimple>
      <w:r>
        <w:rPr>
          <w:noProof/>
        </w:rPr>
        <w:t xml:space="preserve">  Vývoj vybraných příjmů veřejných rozpočtů v mld. Kč</w:t>
      </w:r>
    </w:p>
    <w:p w:rsidR="00485D17" w:rsidRPr="00B818CE" w:rsidRDefault="00485D17" w:rsidP="00C104F7">
      <w:pPr>
        <w:ind w:firstLine="0"/>
        <w:jc w:val="center"/>
        <w:rPr>
          <w:rStyle w:val="Tuntext"/>
          <w:b w:val="0"/>
        </w:rPr>
      </w:pPr>
      <w:r w:rsidRPr="00B818CE">
        <w:rPr>
          <w:rStyle w:val="Tuntext"/>
          <w:b w:val="0"/>
        </w:rPr>
        <w:pict>
          <v:shape id="_x0000_i1046" type="#_x0000_t75" style="width:467.4pt;height:246pt">
            <v:imagedata r:id="rId32" o:title=""/>
          </v:shape>
        </w:pict>
      </w:r>
    </w:p>
    <w:p w:rsidR="00485D17" w:rsidRPr="00D77888" w:rsidRDefault="00485D17" w:rsidP="00C513C0">
      <w:pPr>
        <w:pStyle w:val="Heading4"/>
        <w:ind w:left="0"/>
      </w:pPr>
      <w:bookmarkStart w:id="106" w:name="_Toc428706743"/>
      <w:r w:rsidRPr="00D77888">
        <w:t>Daňové příjmy podle jednotlivých daní</w:t>
      </w:r>
      <w:bookmarkEnd w:id="106"/>
    </w:p>
    <w:p w:rsidR="00485D17" w:rsidRPr="00776268" w:rsidRDefault="00485D17" w:rsidP="0069338F">
      <w:pPr>
        <w:pStyle w:val="Caption"/>
        <w:spacing w:before="240"/>
        <w:jc w:val="left"/>
        <w:rPr>
          <w:b w:val="0"/>
          <w:i/>
        </w:rPr>
      </w:pPr>
      <w:r w:rsidRPr="00776268">
        <w:t xml:space="preserve">Tabulka č. </w:t>
      </w:r>
      <w:fldSimple w:instr=" SEQ Tabulka_č._ \* ARABIC ">
        <w:r>
          <w:rPr>
            <w:noProof/>
          </w:rPr>
          <w:t>10</w:t>
        </w:r>
      </w:fldSimple>
      <w:r w:rsidRPr="00776268">
        <w:rPr>
          <w:noProof/>
        </w:rPr>
        <w:t xml:space="preserve"> </w:t>
      </w:r>
      <w:r w:rsidRPr="00776268">
        <w:t xml:space="preserve">Vývoj daňových příjmů v letech 2012 až 2018 </w:t>
      </w:r>
      <w:r w:rsidRPr="00776268">
        <w:rPr>
          <w:b w:val="0"/>
          <w:i/>
        </w:rPr>
        <w:t>(v mld. Kč)</w:t>
      </w:r>
    </w:p>
    <w:p w:rsidR="00485D17" w:rsidRPr="009862CE" w:rsidRDefault="00485D17" w:rsidP="009A31D6">
      <w:pPr>
        <w:ind w:firstLine="0"/>
      </w:pPr>
      <w:r w:rsidRPr="009862CE">
        <w:pict>
          <v:shape id="_x0000_i1047" type="#_x0000_t75" style="width:465pt;height:348pt">
            <v:imagedata r:id="rId33" o:title=""/>
          </v:shape>
        </w:pict>
      </w:r>
    </w:p>
    <w:p w:rsidR="00485D17" w:rsidRPr="000066E9" w:rsidRDefault="00485D17" w:rsidP="00BA31C6">
      <w:pPr>
        <w:pStyle w:val="Zkladntextodsazen21"/>
        <w:ind w:firstLine="0"/>
        <w:jc w:val="left"/>
      </w:pPr>
    </w:p>
    <w:p w:rsidR="00485D17" w:rsidRPr="00CB4490" w:rsidRDefault="00485D17" w:rsidP="009B6069">
      <w:pPr>
        <w:ind w:firstLine="0"/>
        <w:rPr>
          <w:b/>
        </w:rPr>
      </w:pPr>
      <w:r w:rsidRPr="00CB4490">
        <w:rPr>
          <w:b/>
        </w:rPr>
        <w:t>D</w:t>
      </w:r>
      <w:r>
        <w:rPr>
          <w:b/>
        </w:rPr>
        <w:t>aň z přidané hodnoty</w:t>
      </w:r>
    </w:p>
    <w:p w:rsidR="00485D17" w:rsidRDefault="00485D17" w:rsidP="009B6069">
      <w:pPr>
        <w:ind w:firstLine="708"/>
      </w:pPr>
      <w:r w:rsidRPr="00CB4490">
        <w:t xml:space="preserve">V roce 2017 je předpokládané inkaso DPH na úrovni státního </w:t>
      </w:r>
      <w:r>
        <w:t xml:space="preserve">rozpočtu </w:t>
      </w:r>
      <w:r w:rsidRPr="00CA2178">
        <w:t>260,6</w:t>
      </w:r>
      <w:r w:rsidRPr="00E81B08">
        <w:t xml:space="preserve"> mld. Kč. </w:t>
      </w:r>
      <w:r w:rsidRPr="00CB4490">
        <w:t xml:space="preserve">Meziročně tak dojde k nárůstu inkasa </w:t>
      </w:r>
      <w:r>
        <w:t>o cca 5,2 %, tj. 12,9</w:t>
      </w:r>
      <w:r w:rsidRPr="00E81B08">
        <w:t xml:space="preserve"> mld. Kč</w:t>
      </w:r>
      <w:r w:rsidRPr="00CB4490">
        <w:t xml:space="preserve">. Inkaso DPH v roce 2017 nebude ovlivněno žádnými novými legislativními návrhy, </w:t>
      </w:r>
      <w:r>
        <w:t xml:space="preserve">dojde pouze k plnému a </w:t>
      </w:r>
      <w:r w:rsidRPr="00CB4490">
        <w:t>vyššímu promítnutí dopadů některých opatření, která byla zavedena</w:t>
      </w:r>
      <w:r>
        <w:t xml:space="preserve"> v roce 2016. Prvním z těchto opatření je elektronická</w:t>
      </w:r>
      <w:r w:rsidRPr="00CB4490">
        <w:t xml:space="preserve"> </w:t>
      </w:r>
      <w:r>
        <w:t>evidence tržeb. Navýšení dopadu elektronické evidence tržeb mezi roky 2016 a 2017 činí 1,9 mld. Kč</w:t>
      </w:r>
      <w:r w:rsidRPr="00B177B5">
        <w:t xml:space="preserve">. </w:t>
      </w:r>
      <w:r w:rsidRPr="00CB4490">
        <w:t xml:space="preserve">Dalším opatřením, které bylo zavedeno v roce 2016 a jehož dopad se </w:t>
      </w:r>
      <w:r>
        <w:t>mezi roky 2016 a 2017 ještě zvýší, je</w:t>
      </w:r>
      <w:r w:rsidRPr="00CB4490">
        <w:t xml:space="preserve"> kontrolní hlášení</w:t>
      </w:r>
      <w:r>
        <w:t>. Meziroční zvýšení dopadu se předpokládá na úrovni 2 mld. Kč.</w:t>
      </w:r>
    </w:p>
    <w:p w:rsidR="00485D17" w:rsidRPr="009220C9" w:rsidRDefault="00485D17" w:rsidP="009B6069">
      <w:pPr>
        <w:ind w:firstLine="708"/>
        <w:rPr>
          <w:highlight w:val="yellow"/>
        </w:rPr>
      </w:pPr>
      <w:r w:rsidRPr="00B177B5">
        <w:t xml:space="preserve">V roce 2018 je předpokládané inkaso DPH na úrovni státního </w:t>
      </w:r>
      <w:r>
        <w:t xml:space="preserve">rozpočtu </w:t>
      </w:r>
      <w:r w:rsidRPr="00CA2178">
        <w:t>271,5</w:t>
      </w:r>
      <w:r>
        <w:t xml:space="preserve"> </w:t>
      </w:r>
      <w:r w:rsidRPr="00E81B08">
        <w:t>mld. Kč. Meziročně tak dojde k nárů</w:t>
      </w:r>
      <w:r>
        <w:t xml:space="preserve">stu inkasa o cca </w:t>
      </w:r>
      <w:r w:rsidRPr="00CA2178">
        <w:t>4,2 %, tj. 10,9 mld</w:t>
      </w:r>
      <w:r w:rsidRPr="00E81B08">
        <w:t xml:space="preserve">. Kč. </w:t>
      </w:r>
      <w:r w:rsidRPr="00B177B5">
        <w:t>Rok 2018 nepočítá s žádnými novými legislativními opatřeními, která by měla zás</w:t>
      </w:r>
      <w:r>
        <w:t>adní vliv na inkaso DPH. Důvod</w:t>
      </w:r>
      <w:r w:rsidRPr="00B177B5">
        <w:t xml:space="preserve"> růstu inkasa lze spatřovat především v autonomním růstu inkasa DPH a v plném promítnutí dopadů zavedení kontrolního hlášení. Postupný náběh dopadů je dán především efektivnějším plánováním kontrol a preventivní účinky zavedení kontrolního hlášení.</w:t>
      </w:r>
      <w:r>
        <w:t xml:space="preserve"> Předpokládaný plný dopad zavedení kontrolního hlášení na inkaso DPH v roce 2018 činí 10,3 mld. Kč.</w:t>
      </w:r>
    </w:p>
    <w:p w:rsidR="00485D17" w:rsidRPr="00696F7C" w:rsidRDefault="00485D17" w:rsidP="009B6069">
      <w:pPr>
        <w:ind w:firstLine="0"/>
        <w:rPr>
          <w:highlight w:val="yellow"/>
        </w:rPr>
      </w:pPr>
      <w:r w:rsidRPr="002B7757">
        <w:rPr>
          <w:b/>
        </w:rPr>
        <w:t>S</w:t>
      </w:r>
      <w:r>
        <w:rPr>
          <w:b/>
        </w:rPr>
        <w:t>potřební daně</w:t>
      </w:r>
    </w:p>
    <w:p w:rsidR="00485D17" w:rsidRPr="002B7757" w:rsidRDefault="00485D17" w:rsidP="009B6069">
      <w:pPr>
        <w:ind w:firstLine="708"/>
      </w:pPr>
      <w:r w:rsidRPr="002B7757">
        <w:t xml:space="preserve">Příjem státního rozpočtu v oblasti minerálních olejů bude v roce 2017 mírně </w:t>
      </w:r>
      <w:r>
        <w:t>růst na úroveň 74,4</w:t>
      </w:r>
      <w:r w:rsidRPr="002B7757">
        <w:t xml:space="preserve"> mld. Kč, vlivem růstu HDP.</w:t>
      </w:r>
      <w:r>
        <w:t xml:space="preserve"> V</w:t>
      </w:r>
      <w:r w:rsidRPr="00425FE4">
        <w:t xml:space="preserve"> roce 2018 </w:t>
      </w:r>
      <w:r>
        <w:t xml:space="preserve">je očekáván vlivem růstu HDP další </w:t>
      </w:r>
      <w:r w:rsidRPr="00425FE4">
        <w:t>mírn</w:t>
      </w:r>
      <w:r>
        <w:t>ý</w:t>
      </w:r>
      <w:r w:rsidRPr="00425FE4">
        <w:t xml:space="preserve"> růst o cca 1,4 % na úroveň 75,4 mld. Kč.</w:t>
      </w:r>
    </w:p>
    <w:p w:rsidR="00485D17" w:rsidRDefault="00485D17" w:rsidP="009B6069">
      <w:pPr>
        <w:ind w:firstLine="708"/>
      </w:pPr>
      <w:r w:rsidRPr="002B7757">
        <w:t>Inkaso spotřební daně z tabákov</w:t>
      </w:r>
      <w:r>
        <w:t>ých výrobků bude v letech 2016 až</w:t>
      </w:r>
      <w:r w:rsidRPr="002B7757">
        <w:t xml:space="preserve"> 2018 ovlivněno návrhem zákona zavádějícím tříletý harmonogram zvyšování sazeb spotřební daně z tabákových výrobků. </w:t>
      </w:r>
      <w:r>
        <w:t>Dodatečné d</w:t>
      </w:r>
      <w:r w:rsidRPr="002B7757">
        <w:t xml:space="preserve">opady tohoto návrhu na inkaso státního rozpočtu jsou očekávány ve výši 1,1 mld. Kč v roce 2017, </w:t>
      </w:r>
      <w:r>
        <w:t xml:space="preserve">celkové </w:t>
      </w:r>
      <w:r w:rsidRPr="002B7757">
        <w:t xml:space="preserve">očekávané inkaso na úrovni státního rozpočtu bude v roce 2017 činit 52,7 mld. Kč. </w:t>
      </w:r>
      <w:r>
        <w:t>Dodatečné d</w:t>
      </w:r>
      <w:r w:rsidRPr="00425FE4">
        <w:t xml:space="preserve">opady tohoto návrhu </w:t>
      </w:r>
      <w:r>
        <w:t xml:space="preserve">v roce 2018 </w:t>
      </w:r>
      <w:r w:rsidRPr="00425FE4">
        <w:t>jsou očekávány ve</w:t>
      </w:r>
      <w:r>
        <w:t> </w:t>
      </w:r>
      <w:r w:rsidRPr="00425FE4">
        <w:t>výši 1,4</w:t>
      </w:r>
      <w:r>
        <w:t> </w:t>
      </w:r>
      <w:r w:rsidRPr="00425FE4">
        <w:t xml:space="preserve">mld. </w:t>
      </w:r>
      <w:r w:rsidRPr="00446386">
        <w:t xml:space="preserve">Kč, očekávané inkaso na úrovni státního rozpočtu bude v roce 2018 činit 54,0 mld. Kč. </w:t>
      </w:r>
    </w:p>
    <w:p w:rsidR="00485D17" w:rsidRPr="002B7757" w:rsidRDefault="00485D17" w:rsidP="009B6069">
      <w:pPr>
        <w:ind w:firstLine="708"/>
      </w:pPr>
      <w:r w:rsidRPr="002B7757">
        <w:t>Autonomní vývoj spotřební daně z lihu reflektuje dlouhodobý trend snižování spotřeby lihu, inkaso v roce 2017 mírně poklesne na 6,7 mld. Kč.</w:t>
      </w:r>
      <w:r>
        <w:t xml:space="preserve"> </w:t>
      </w:r>
      <w:r w:rsidRPr="00446386">
        <w:t>V</w:t>
      </w:r>
      <w:r>
        <w:t> roce 2018 v ko</w:t>
      </w:r>
      <w:r w:rsidRPr="00446386">
        <w:t xml:space="preserve">moditě líh dosáhne inkaso spotřební daně </w:t>
      </w:r>
      <w:r>
        <w:t xml:space="preserve">rovněž </w:t>
      </w:r>
      <w:r w:rsidRPr="00446386">
        <w:t>výše 6,7 mld. Kč.</w:t>
      </w:r>
      <w:r>
        <w:t xml:space="preserve"> </w:t>
      </w:r>
      <w:r w:rsidRPr="00446386">
        <w:t xml:space="preserve">Inkaso spotřební daně z piva bude </w:t>
      </w:r>
      <w:r>
        <w:t xml:space="preserve">v roce 2017 i </w:t>
      </w:r>
      <w:r w:rsidRPr="00446386">
        <w:t>v roce 2018 na stabilní úrovni ve výši 4,6 mld. Kč.</w:t>
      </w:r>
      <w:r>
        <w:t xml:space="preserve"> </w:t>
      </w:r>
      <w:r w:rsidRPr="002B7757">
        <w:t>Komodita víno je dlouhodobě stálým příjmem státního rozpočtu, v </w:t>
      </w:r>
      <w:r>
        <w:t>letech</w:t>
      </w:r>
      <w:r w:rsidRPr="002B7757">
        <w:t xml:space="preserve"> 2017</w:t>
      </w:r>
      <w:r>
        <w:t xml:space="preserve"> - 2018</w:t>
      </w:r>
      <w:r w:rsidRPr="002B7757">
        <w:t xml:space="preserve"> bude činit inkaso cca 0,3</w:t>
      </w:r>
      <w:r>
        <w:t> </w:t>
      </w:r>
      <w:r w:rsidRPr="002B7757">
        <w:t>mld. Kč.</w:t>
      </w:r>
    </w:p>
    <w:p w:rsidR="00485D17" w:rsidRDefault="00485D17" w:rsidP="009B6069">
      <w:pPr>
        <w:ind w:firstLine="708"/>
      </w:pPr>
      <w:r w:rsidRPr="002B7757">
        <w:t xml:space="preserve">Výhled v oblasti energetických daní reflektuje </w:t>
      </w:r>
      <w:r>
        <w:t>dosavadní</w:t>
      </w:r>
      <w:r w:rsidRPr="002B7757">
        <w:t xml:space="preserve"> trend snižování spotřeby pevných paliv</w:t>
      </w:r>
      <w:r>
        <w:t xml:space="preserve">, elektřiny </w:t>
      </w:r>
      <w:r w:rsidRPr="002B7757">
        <w:t xml:space="preserve">a zemního plynu. V roce 2017 je očekáván </w:t>
      </w:r>
      <w:r>
        <w:t>mírný pokles inkasa daně ze zemního plynu. V</w:t>
      </w:r>
      <w:r w:rsidRPr="009241C6">
        <w:t xml:space="preserve"> roce 2018 </w:t>
      </w:r>
      <w:r>
        <w:t xml:space="preserve">se </w:t>
      </w:r>
      <w:r w:rsidRPr="009241C6">
        <w:t>očekává příjem státního rozpočtu ve výši 2,7 mld. Kč.</w:t>
      </w:r>
    </w:p>
    <w:p w:rsidR="00485D17" w:rsidRPr="004B4E58" w:rsidRDefault="00485D17" w:rsidP="009B6069">
      <w:pPr>
        <w:ind w:firstLine="0"/>
        <w:rPr>
          <w:b/>
        </w:rPr>
      </w:pPr>
      <w:r w:rsidRPr="004B4E58">
        <w:rPr>
          <w:b/>
        </w:rPr>
        <w:t>D</w:t>
      </w:r>
      <w:r>
        <w:rPr>
          <w:b/>
        </w:rPr>
        <w:t>aň z příjmů právnických osob</w:t>
      </w:r>
    </w:p>
    <w:p w:rsidR="00485D17" w:rsidRDefault="00485D17" w:rsidP="009B6069">
      <w:pPr>
        <w:ind w:firstLine="708"/>
      </w:pPr>
      <w:r w:rsidRPr="004B4E58">
        <w:t xml:space="preserve">V roce 2017 </w:t>
      </w:r>
      <w:r>
        <w:t xml:space="preserve">se </w:t>
      </w:r>
      <w:r w:rsidRPr="004B4E58">
        <w:t>předpokládá inkaso DPPO ve výši 10</w:t>
      </w:r>
      <w:r>
        <w:t>5</w:t>
      </w:r>
      <w:r w:rsidRPr="004B4E58">
        <w:t>,</w:t>
      </w:r>
      <w:r>
        <w:t>5</w:t>
      </w:r>
      <w:r w:rsidRPr="004B4E58">
        <w:t xml:space="preserve"> mld. Kč. Meziročně tak dojde k nárůstu inkasa o 4,</w:t>
      </w:r>
      <w:r>
        <w:t>0</w:t>
      </w:r>
      <w:r w:rsidRPr="004B4E58">
        <w:t xml:space="preserve"> %, tj. o 4,</w:t>
      </w:r>
      <w:r>
        <w:t>1</w:t>
      </w:r>
      <w:r w:rsidRPr="004B4E58">
        <w:t xml:space="preserve"> mld. Kč.</w:t>
      </w:r>
      <w:r>
        <w:t xml:space="preserve"> </w:t>
      </w:r>
      <w:r w:rsidRPr="004B4E58">
        <w:t>V roce 2017 je ve výhledu zohledněn dopad postupného zavádění elektronické evidence tržeb. Na úrovni státního rozpočtu je očekáván pozitivní vliv na inkaso DPPO ve výši cca 0,8 mld. Kč. Zároveň je pro rok 2017 ve výhledu zohledněno zavedení rezolučních fondů ve finančním sektoru. Dopad této legislativní úpravy je v</w:t>
      </w:r>
      <w:r>
        <w:t> roce 2017</w:t>
      </w:r>
      <w:r w:rsidRPr="004B4E58">
        <w:t xml:space="preserve"> po zavedení na úrovni státního rozpočtu očekáván ve výši -0,4 mld. Kč.</w:t>
      </w:r>
    </w:p>
    <w:p w:rsidR="00485D17" w:rsidRDefault="00485D17" w:rsidP="009B6069">
      <w:pPr>
        <w:ind w:firstLine="708"/>
      </w:pPr>
      <w:r w:rsidRPr="004B4E58">
        <w:t xml:space="preserve">V roce 2018 </w:t>
      </w:r>
      <w:r>
        <w:t xml:space="preserve">se </w:t>
      </w:r>
      <w:r w:rsidRPr="004B4E58">
        <w:t>předpokládá inkaso DPPO ve výši 10</w:t>
      </w:r>
      <w:r>
        <w:t>9</w:t>
      </w:r>
      <w:r w:rsidRPr="004B4E58">
        <w:t>,</w:t>
      </w:r>
      <w:r>
        <w:t>5</w:t>
      </w:r>
      <w:r w:rsidRPr="004B4E58">
        <w:t xml:space="preserve"> mld. Kč. Meziročně tak dojde k nárůstu inkasa o </w:t>
      </w:r>
      <w:r>
        <w:t>3</w:t>
      </w:r>
      <w:r w:rsidRPr="004B4E58">
        <w:t>,</w:t>
      </w:r>
      <w:r>
        <w:t>8</w:t>
      </w:r>
      <w:r w:rsidRPr="004B4E58">
        <w:t xml:space="preserve"> %, tj. o 4</w:t>
      </w:r>
      <w:r>
        <w:t xml:space="preserve"> </w:t>
      </w:r>
      <w:r w:rsidRPr="004B4E58">
        <w:t>mld. Kč.</w:t>
      </w:r>
      <w:r>
        <w:t xml:space="preserve"> </w:t>
      </w:r>
      <w:r w:rsidRPr="004B4E58">
        <w:t>V roce 2018 se ve výhledu projevuje dopad plného zavedení el</w:t>
      </w:r>
      <w:r>
        <w:t>ektronické evidence tržeb</w:t>
      </w:r>
      <w:r w:rsidRPr="004B4E58">
        <w:t>. Na úrovni státního rozpočtu je očekáván</w:t>
      </w:r>
      <w:r>
        <w:t xml:space="preserve"> z tohoto důvodu</w:t>
      </w:r>
      <w:r w:rsidRPr="004B4E58">
        <w:t xml:space="preserve"> pozitivní vliv na inkaso DPPO ve výši cca 1,3 mld. Kč. Stejně jako v roce 2017 je na</w:t>
      </w:r>
      <w:r>
        <w:t> </w:t>
      </w:r>
      <w:r w:rsidRPr="004B4E58">
        <w:t>úrovni státního rozpočtu v roce 2018 předpokládán negativní dopad existence rezolučního fondu ve výši -0,4 mld. Kč.</w:t>
      </w:r>
    </w:p>
    <w:p w:rsidR="00485D17" w:rsidRPr="00A86D40" w:rsidRDefault="00485D17" w:rsidP="009B6069">
      <w:pPr>
        <w:ind w:firstLine="0"/>
        <w:rPr>
          <w:b/>
        </w:rPr>
      </w:pPr>
      <w:r w:rsidRPr="00A86D40">
        <w:rPr>
          <w:b/>
        </w:rPr>
        <w:t>D</w:t>
      </w:r>
      <w:r>
        <w:rPr>
          <w:b/>
        </w:rPr>
        <w:t>aň z příjmů fyzických osob</w:t>
      </w:r>
    </w:p>
    <w:p w:rsidR="00485D17" w:rsidRPr="00327F26" w:rsidRDefault="00485D17" w:rsidP="009B6069">
      <w:pPr>
        <w:ind w:firstLine="708"/>
      </w:pPr>
      <w:r w:rsidRPr="00CB2150">
        <w:t xml:space="preserve">V roce 2017 je předpoklad odhadu celkového inkasa u této daně ve výši cca </w:t>
      </w:r>
      <w:r w:rsidRPr="00CA2178">
        <w:t>115,6 mld. Kč na úrovni státního rozpočtu. V roce 2018 je předpoklad odhadu celkového inkasa u této daně ve výši cca 123 mld. Kč na úrovni státního rozpočtu.</w:t>
      </w:r>
    </w:p>
    <w:p w:rsidR="00485D17" w:rsidRPr="00CB2150" w:rsidRDefault="00485D17" w:rsidP="009B6069">
      <w:pPr>
        <w:ind w:firstLine="708"/>
      </w:pPr>
      <w:r w:rsidRPr="00CB2150">
        <w:t xml:space="preserve">Inkaso daně z příjmů fyzických osob ze závislé činnosti je predikováno ve výši </w:t>
      </w:r>
      <w:r w:rsidRPr="00CA2178">
        <w:t>101,7 mld. Kč v roce 2017 a 107,8</w:t>
      </w:r>
      <w:r>
        <w:t xml:space="preserve"> mld. Kč v roce 2018</w:t>
      </w:r>
      <w:r w:rsidRPr="00CB2150">
        <w:t xml:space="preserve"> a bude </w:t>
      </w:r>
      <w:r>
        <w:t>v obou letech</w:t>
      </w:r>
      <w:r w:rsidRPr="00CB2150">
        <w:t xml:space="preserve"> ovlivněno stejnými daňovými opatřeními jako v</w:t>
      </w:r>
      <w:r>
        <w:t> roce 2016</w:t>
      </w:r>
      <w:r w:rsidRPr="00CB2150">
        <w:t>.</w:t>
      </w:r>
    </w:p>
    <w:p w:rsidR="00485D17" w:rsidRPr="00327F26" w:rsidRDefault="00485D17" w:rsidP="009B6069">
      <w:pPr>
        <w:ind w:firstLine="708"/>
      </w:pPr>
      <w:r w:rsidRPr="00CB2150">
        <w:t xml:space="preserve">Odhadované inkaso </w:t>
      </w:r>
      <w:r>
        <w:t xml:space="preserve">daně </w:t>
      </w:r>
      <w:r w:rsidRPr="00CB2150">
        <w:t>z</w:t>
      </w:r>
      <w:r>
        <w:t> </w:t>
      </w:r>
      <w:r w:rsidRPr="00CB2150">
        <w:t>přiznání</w:t>
      </w:r>
      <w:r>
        <w:t xml:space="preserve"> fyzických osob</w:t>
      </w:r>
      <w:r w:rsidRPr="00CB2150">
        <w:t xml:space="preserve"> </w:t>
      </w:r>
      <w:r>
        <w:t>za</w:t>
      </w:r>
      <w:r w:rsidRPr="00CB2150">
        <w:t xml:space="preserve"> rok 2017 je ve výši 2,7 mld. Kč. Inkaso je pozitivně ovlivněno hlavně zavedením tzv. elektronické evidence tržeb (EET). U</w:t>
      </w:r>
      <w:r>
        <w:t> </w:t>
      </w:r>
      <w:r w:rsidRPr="00CB2150">
        <w:t xml:space="preserve">tohoto opatření se předpokládá pozitivní dopad </w:t>
      </w:r>
      <w:r>
        <w:t xml:space="preserve">na inkaso </w:t>
      </w:r>
      <w:r w:rsidRPr="00CB2150">
        <w:t xml:space="preserve">ve výši cca 1,1 mld. Kč. </w:t>
      </w:r>
      <w:r>
        <w:t>Výše pozitivního</w:t>
      </w:r>
      <w:r w:rsidRPr="00CB2150">
        <w:t xml:space="preserve"> dopad</w:t>
      </w:r>
      <w:r>
        <w:t>u je snižována vlivem</w:t>
      </w:r>
      <w:r w:rsidRPr="00CB2150">
        <w:t xml:space="preserve"> návrh</w:t>
      </w:r>
      <w:r>
        <w:t>u</w:t>
      </w:r>
      <w:r w:rsidRPr="00CB2150">
        <w:t xml:space="preserve"> na zavedení nové jednorázové slevy pro</w:t>
      </w:r>
      <w:r>
        <w:t> </w:t>
      </w:r>
      <w:r w:rsidRPr="00CB2150">
        <w:t xml:space="preserve">poplatníka evidujícího tržby. </w:t>
      </w:r>
      <w:r>
        <w:t>Nicméně v</w:t>
      </w:r>
      <w:r w:rsidRPr="00CB2150">
        <w:t xml:space="preserve"> této první fázi zavedení </w:t>
      </w:r>
      <w:r>
        <w:t xml:space="preserve">je </w:t>
      </w:r>
      <w:r w:rsidRPr="00CB2150">
        <w:t>počítá</w:t>
      </w:r>
      <w:r>
        <w:t>no</w:t>
      </w:r>
      <w:r w:rsidRPr="00CB2150">
        <w:t xml:space="preserve"> s postupným zavedením EET na jednotlivé sektory ekonomiky a tudíž s nižším celoročním rozpočtovým dopadem z tohoto opatření</w:t>
      </w:r>
      <w:r>
        <w:t xml:space="preserve"> (v dalších letech bude dopad vyšší)</w:t>
      </w:r>
      <w:r w:rsidRPr="00CB2150">
        <w:t xml:space="preserve">. Postupně </w:t>
      </w:r>
      <w:r>
        <w:t>se počítá</w:t>
      </w:r>
      <w:r w:rsidRPr="00CB2150">
        <w:t xml:space="preserve"> i se zvyšujícím se </w:t>
      </w:r>
      <w:r>
        <w:t>vlivem</w:t>
      </w:r>
      <w:r w:rsidRPr="00CB2150">
        <w:t xml:space="preserve"> preventivního účinku tohoto opatření. Zavedení daňového zvýhodnění na</w:t>
      </w:r>
      <w:r>
        <w:t> </w:t>
      </w:r>
      <w:r w:rsidRPr="00CB2150">
        <w:t xml:space="preserve">druhé a další dítě (od roku 2016 </w:t>
      </w:r>
      <w:r>
        <w:t xml:space="preserve">opět </w:t>
      </w:r>
      <w:r w:rsidRPr="00CB2150">
        <w:t>dodatečně zvýšeno) bude mít v roce 2017</w:t>
      </w:r>
      <w:r>
        <w:t xml:space="preserve"> </w:t>
      </w:r>
      <w:r w:rsidRPr="00CB2150">
        <w:t xml:space="preserve">dodatečný </w:t>
      </w:r>
      <w:r>
        <w:t xml:space="preserve">negativní dopad oproti předcházejícímu roku ve </w:t>
      </w:r>
      <w:r w:rsidRPr="00CB2150">
        <w:t>výši 0,1 mld. Kč.</w:t>
      </w:r>
      <w:r>
        <w:t xml:space="preserve"> </w:t>
      </w:r>
      <w:r w:rsidRPr="00327F26">
        <w:t xml:space="preserve">Odhadované inkaso daně z přiznání fyzických osob za rok 2018 je ve výši 3,7 mld. Kč. V tomto roce </w:t>
      </w:r>
      <w:r>
        <w:t xml:space="preserve">je </w:t>
      </w:r>
      <w:r w:rsidRPr="00327F26">
        <w:t>počítá</w:t>
      </w:r>
      <w:r>
        <w:t>no</w:t>
      </w:r>
      <w:r w:rsidRPr="00327F26">
        <w:t xml:space="preserve"> už s plným rozpočtovým dopadem ze zavedení elektronické evidence tržeb ve výši 2 mld. Kč.</w:t>
      </w:r>
    </w:p>
    <w:p w:rsidR="00485D17" w:rsidRPr="00D4789F" w:rsidRDefault="00485D17" w:rsidP="009B6069">
      <w:pPr>
        <w:ind w:firstLine="708"/>
      </w:pPr>
      <w:r w:rsidRPr="001B1C5D">
        <w:t xml:space="preserve">Inkaso zvláštní sazby daně z příjmů fyzických osob je pro </w:t>
      </w:r>
      <w:r w:rsidRPr="00CA2178">
        <w:t>rok 2017 odhadováno</w:t>
      </w:r>
      <w:r w:rsidRPr="001B1C5D">
        <w:t xml:space="preserve"> na</w:t>
      </w:r>
      <w:r>
        <w:t> </w:t>
      </w:r>
      <w:r w:rsidRPr="001B1C5D">
        <w:t>1</w:t>
      </w:r>
      <w:r>
        <w:t xml:space="preserve">,2 mld. Kč a pro rok 2018 na </w:t>
      </w:r>
      <w:r w:rsidRPr="00327F26">
        <w:t>11,5 mld. Kč.</w:t>
      </w:r>
    </w:p>
    <w:p w:rsidR="00485D17" w:rsidRPr="004B4E58" w:rsidRDefault="00485D17" w:rsidP="009B6069">
      <w:pPr>
        <w:ind w:firstLine="0"/>
        <w:rPr>
          <w:b/>
        </w:rPr>
      </w:pPr>
      <w:r w:rsidRPr="004B4E58">
        <w:rPr>
          <w:b/>
        </w:rPr>
        <w:t>Daň z nabytí nemovitých věcí</w:t>
      </w:r>
    </w:p>
    <w:p w:rsidR="00485D17" w:rsidRDefault="00485D17" w:rsidP="009B6069">
      <w:pPr>
        <w:ind w:firstLine="708"/>
      </w:pPr>
      <w:r w:rsidRPr="004B4E58">
        <w:t>V období 2016 až 201</w:t>
      </w:r>
      <w:r>
        <w:t>8</w:t>
      </w:r>
      <w:r w:rsidRPr="004B4E58">
        <w:t xml:space="preserve"> se nepočítá s žádnými legislativními změnami, které by měly mít zásadní dopad na inkaso daně z nabytí nemovitých věcí. Inkaso je odhadováno na úrovni </w:t>
      </w:r>
      <w:r>
        <w:t>10,4 </w:t>
      </w:r>
      <w:r w:rsidRPr="004B4E58">
        <w:t>mld. Kč</w:t>
      </w:r>
      <w:r>
        <w:t xml:space="preserve"> v roce 2017 a 10,5 mld. Kč v roce 2018</w:t>
      </w:r>
      <w:r w:rsidRPr="004B4E58">
        <w:t>.</w:t>
      </w:r>
    </w:p>
    <w:p w:rsidR="00485D17" w:rsidRPr="0098018E" w:rsidRDefault="00485D17" w:rsidP="009B6069">
      <w:pPr>
        <w:ind w:firstLine="0"/>
        <w:rPr>
          <w:b/>
        </w:rPr>
      </w:pPr>
      <w:r w:rsidRPr="0098018E">
        <w:rPr>
          <w:b/>
        </w:rPr>
        <w:t>Odvod z elektřiny vyrobené ze slunečního záření</w:t>
      </w:r>
    </w:p>
    <w:p w:rsidR="00485D17" w:rsidRDefault="00485D17" w:rsidP="009B6069">
      <w:pPr>
        <w:ind w:firstLine="708"/>
      </w:pPr>
      <w:r w:rsidRPr="0098018E">
        <w:t>V </w:t>
      </w:r>
      <w:r>
        <w:t>letech</w:t>
      </w:r>
      <w:r w:rsidRPr="0098018E">
        <w:t xml:space="preserve"> 2017</w:t>
      </w:r>
      <w:r>
        <w:t xml:space="preserve"> - 2018</w:t>
      </w:r>
      <w:r w:rsidRPr="0098018E">
        <w:t xml:space="preserve"> bude odvod z elektřiny vyrobené ze slunečního záření na úrovni 1,9</w:t>
      </w:r>
      <w:r>
        <w:t> </w:t>
      </w:r>
      <w:r w:rsidRPr="0098018E">
        <w:t>mld. Kč. Nejsou plánovány žádné legislativní změny, které by měly bezprostřední vliv na</w:t>
      </w:r>
      <w:r>
        <w:t> </w:t>
      </w:r>
      <w:r w:rsidRPr="0098018E">
        <w:t>inkaso odvodu.</w:t>
      </w:r>
    </w:p>
    <w:p w:rsidR="00485D17" w:rsidRPr="0098018E" w:rsidRDefault="00485D17" w:rsidP="009B6069">
      <w:pPr>
        <w:ind w:firstLine="0"/>
        <w:rPr>
          <w:b/>
        </w:rPr>
      </w:pPr>
      <w:r w:rsidRPr="0098018E">
        <w:rPr>
          <w:b/>
        </w:rPr>
        <w:t>Daň z hazardu</w:t>
      </w:r>
    </w:p>
    <w:p w:rsidR="00485D17" w:rsidRDefault="00485D17" w:rsidP="009B6069">
      <w:pPr>
        <w:ind w:firstLine="708"/>
      </w:pPr>
      <w:r w:rsidRPr="0098018E">
        <w:t>Od roku 2017 se počítá se zavedením nové daně z hazardu, která nahradí stávající odvod z loterií. Celkové inkaso této nové daně v</w:t>
      </w:r>
      <w:r>
        <w:t xml:space="preserve"> letech </w:t>
      </w:r>
      <w:r w:rsidRPr="0098018E">
        <w:t>2017</w:t>
      </w:r>
      <w:r>
        <w:t xml:space="preserve"> až 2018 se </w:t>
      </w:r>
      <w:r w:rsidRPr="0098018E">
        <w:t>predikuje ve výši 4,8</w:t>
      </w:r>
      <w:r>
        <w:t> </w:t>
      </w:r>
      <w:r w:rsidRPr="0098018E">
        <w:t>mld. Kč.</w:t>
      </w:r>
    </w:p>
    <w:p w:rsidR="00485D17" w:rsidRPr="00DA7602" w:rsidRDefault="00485D17" w:rsidP="002A19E4">
      <w:pPr>
        <w:pStyle w:val="Heading3"/>
      </w:pPr>
      <w:bookmarkStart w:id="107" w:name="_Toc206999983"/>
      <w:bookmarkStart w:id="108" w:name="_Toc241917802"/>
      <w:bookmarkStart w:id="109" w:name="_Toc333680181"/>
      <w:bookmarkStart w:id="110" w:name="_Toc428706744"/>
      <w:r w:rsidRPr="00DA7602">
        <w:t>Příjmy z pojistného na sociální zabezpečení a příspěvku na státní politiku zaměstnanosti</w:t>
      </w:r>
      <w:bookmarkEnd w:id="107"/>
      <w:bookmarkEnd w:id="108"/>
      <w:bookmarkEnd w:id="109"/>
      <w:bookmarkEnd w:id="110"/>
      <w:r w:rsidRPr="00DA7602">
        <w:t xml:space="preserve"> </w:t>
      </w:r>
    </w:p>
    <w:p w:rsidR="00485D17" w:rsidRPr="0073555D" w:rsidRDefault="00485D17" w:rsidP="0069338F">
      <w:pPr>
        <w:pStyle w:val="Caption"/>
        <w:spacing w:before="240"/>
        <w:jc w:val="left"/>
      </w:pPr>
      <w:r w:rsidRPr="0073555D">
        <w:t xml:space="preserve">Tabulka č. </w:t>
      </w:r>
      <w:fldSimple w:instr=" SEQ Tabulka_č._ \* ARABIC ">
        <w:r>
          <w:rPr>
            <w:noProof/>
          </w:rPr>
          <w:t>11</w:t>
        </w:r>
      </w:fldSimple>
      <w:r w:rsidRPr="0073555D">
        <w:rPr>
          <w:noProof/>
        </w:rPr>
        <w:t xml:space="preserve"> </w:t>
      </w:r>
      <w:r w:rsidRPr="0073555D">
        <w:t>Příjmy z pojistného v letech 201</w:t>
      </w:r>
      <w:r>
        <w:t>2</w:t>
      </w:r>
      <w:r w:rsidRPr="0073555D">
        <w:t xml:space="preserve"> až 201</w:t>
      </w:r>
      <w:r>
        <w:t>8</w:t>
      </w:r>
      <w:r w:rsidRPr="0073555D">
        <w:t xml:space="preserve"> </w:t>
      </w:r>
      <w:r w:rsidRPr="0073555D">
        <w:rPr>
          <w:b w:val="0"/>
          <w:i/>
        </w:rPr>
        <w:t>(v mld. Kč)</w:t>
      </w:r>
    </w:p>
    <w:p w:rsidR="00485D17" w:rsidRPr="00234C54" w:rsidRDefault="00485D17" w:rsidP="00264F63">
      <w:pPr>
        <w:ind w:firstLine="0"/>
        <w:jc w:val="left"/>
        <w:rPr>
          <w:highlight w:val="yellow"/>
        </w:rPr>
      </w:pPr>
      <w:bookmarkStart w:id="111" w:name="_Toc206999984"/>
      <w:bookmarkStart w:id="112" w:name="_Toc241917803"/>
      <w:bookmarkStart w:id="113" w:name="_Toc333680182"/>
      <w:r>
        <w:pict>
          <v:shape id="_x0000_i1048" type="#_x0000_t75" style="width:463.8pt;height:67.2pt">
            <v:imagedata r:id="rId34" o:title=""/>
          </v:shape>
        </w:pict>
      </w:r>
    </w:p>
    <w:p w:rsidR="00485D17" w:rsidRDefault="00485D17" w:rsidP="00A4756F">
      <w:pPr>
        <w:spacing w:before="240"/>
        <w:ind w:firstLine="708"/>
      </w:pPr>
      <w:r>
        <w:t>Výhled příjmů z pojistného pro roky 2017 a 2018 se opírá o makroekonomickou predikci z července 2015, ve které se v odhadu vývoje mezd, platů a zaměstnanosti promítají zlepšené výsledky ekonomiky i očekávaný nárůst platů ve vládním sektoru. V každém roce výhledu příjmů pojistného je zahrnuto zhruba 0,9 mld. Kč v důsledku ukončení důchodové spoření, kdy v inkasu od jeho účastníků jsou obsaženy příjmy v plné výši 6,5 % povinné sazby na důchodové pojištění z vyměřovacího základu pro pojistné. Ve výhledu však není zahrnuta kvantifikace případného dobrovolného využití možnosti pro bývalé účastníky důchodového spoření doplatit si individuálně pojistné na důchodové pojištění (z prostředků jim vyplacených z důchodového spoření), jakoby účastníky důchodového spoření nebyli. Predikce pojistného v letech výhledu 2017-2018  neuvažuje se změnami sazeb, vyměřovacích základů, ani se změnami stávající organizace rozpočtování příjmů v kapitolách správců pojistného. Za těchto předpokladů dosahuje odhad příjmů z povinných odvodů pojistného 440,8 mld. Kč v roce 2017 (meziroční nárůst o 4,5 %) a 460,0 mld. Kč v roce 2018 (meziroční nárůst o 4,4 %). Příjmy z pojistného se podílejí na celkových příjmech státního rozpočtu v obou letech výhledu okolo 39,5 %.</w:t>
      </w:r>
    </w:p>
    <w:p w:rsidR="00485D17" w:rsidRDefault="00485D17" w:rsidP="00A4756F">
      <w:pPr>
        <w:spacing w:before="240"/>
        <w:ind w:firstLine="708"/>
      </w:pPr>
      <w:r>
        <w:t xml:space="preserve">Při naplnění predikce růstu příjmů a výdajů na důchodové pojištění, včetně započtení odhadovaných výdajů na správu důchodové služby, činí odhad deficitu hospodaření důchodového pojištění v každém roce výhledu 32 až 33 mld. Kč.  </w:t>
      </w:r>
    </w:p>
    <w:p w:rsidR="00485D17" w:rsidRPr="00FB47FE" w:rsidRDefault="00485D17" w:rsidP="002A19E4">
      <w:pPr>
        <w:pStyle w:val="Heading3"/>
      </w:pPr>
      <w:bookmarkStart w:id="114" w:name="_Toc428706745"/>
      <w:r w:rsidRPr="00FB47FE">
        <w:t>Nedaňové příjmy, kapitálové příjmy a přijaté transfery</w:t>
      </w:r>
      <w:bookmarkEnd w:id="114"/>
    </w:p>
    <w:p w:rsidR="00485D17" w:rsidRPr="00234C54" w:rsidRDefault="00485D17" w:rsidP="00B67FAE">
      <w:pPr>
        <w:rPr>
          <w:highlight w:val="yellow"/>
        </w:rPr>
      </w:pPr>
      <w:r w:rsidRPr="00D9050C">
        <w:t>V rámci těchto příjmů jsou mj. rozpočtovány odvody prostředků ze státních podniků v</w:t>
      </w:r>
      <w:r>
        <w:t> </w:t>
      </w:r>
      <w:r w:rsidRPr="00D9050C">
        <w:t>působnosti Ministerstva zemědělství (částka 5,6 mld. Kč v roce 2016, částka 4 mld. Kč v roce 2017 a částka 1,75 mld. Kč v roce 2018) a Ministerstva dopravy (každoročně 100 mil. Kč). V</w:t>
      </w:r>
      <w:r>
        <w:t> </w:t>
      </w:r>
      <w:r w:rsidRPr="00D9050C">
        <w:t>kapitole Ministerstva průmyslu a obchodu jsou rozpočtovány příjmy z dividend (Česká energetická přenosová soustava - ČEPS, a.s.) ve výši 0,6 mld. Kč každoročně v letech 2016</w:t>
      </w:r>
      <w:r>
        <w:t> </w:t>
      </w:r>
      <w:r w:rsidRPr="00D9050C">
        <w:t>-</w:t>
      </w:r>
      <w:r>
        <w:t> </w:t>
      </w:r>
      <w:r w:rsidRPr="00D9050C">
        <w:t>2018. Oproti výhledu na léta 2016-2017 se rozpočtují v této kapitole nižší příjmy z poplatků za</w:t>
      </w:r>
      <w:r>
        <w:t> </w:t>
      </w:r>
      <w:r w:rsidRPr="00D9050C">
        <w:t>přístup k technickým normám ČSN, a to na úrovni roku 2015 (částka 110 mil. Kč ročně) v</w:t>
      </w:r>
      <w:r>
        <w:t> </w:t>
      </w:r>
      <w:r w:rsidRPr="00D9050C">
        <w:t>souladu s novelou vyhlášky Ministerstva průmyslu a obchodu č. 486/2008 Sb. V kapitole Ministerstva životního prostředí jsou zahrnuty mj. i příjmy z obchodování s povolenkami na</w:t>
      </w:r>
      <w:r>
        <w:t> </w:t>
      </w:r>
      <w:r w:rsidRPr="00D9050C">
        <w:t>emise skleníkových plynů (částka 5,7 mld. Kč v roce 2016, částka 8,8 mld. Kč v roce 2017 a ve výši 10,1 mld. Kč v roce 2018). V kapitole Všeobecná pokladní správa jsou zahrnuty příjmy z</w:t>
      </w:r>
      <w:r>
        <w:t> </w:t>
      </w:r>
      <w:r w:rsidRPr="00D9050C">
        <w:t>privatizačních účtů na kompenzaci deficitu důchodového systému (rok 2016 ve výši 11,7</w:t>
      </w:r>
      <w:r>
        <w:t> </w:t>
      </w:r>
      <w:r w:rsidRPr="00D9050C">
        <w:t>mld.</w:t>
      </w:r>
      <w:r>
        <w:t> </w:t>
      </w:r>
      <w:r w:rsidRPr="00D9050C">
        <w:t>Kč, pro roky 2017 a 2018 částky 7 mld. Kč. Zdrojem těchto příjmů by měly být dividendy ze společností s účastí státu a prostředky z účtu malé privatizace podle novely zákona č. 500/1990 Sb. Rozpočet příjmů kapitoly Ministerstva zdravotnictví nezahrnuje pro léta 2016-2018 odvod prostředků Státního úřadu pro kontrolu léčiv (v roce 2015 částka 1,7 mld. Kč). Rozpočet příjmů z úhrad dobývacího prostoru a z vydobytých nerostů v kapitole Ministerstva průmyslu a obchodu a v kapitole Ministerstva životního prostředí činí celkem 0,23 mld. Kč v</w:t>
      </w:r>
      <w:r>
        <w:t> </w:t>
      </w:r>
      <w:r w:rsidRPr="00D9050C">
        <w:t>každém roce výhledu 2016-2018.</w:t>
      </w:r>
    </w:p>
    <w:p w:rsidR="00485D17" w:rsidRPr="0073555D" w:rsidRDefault="00485D17" w:rsidP="00074A51">
      <w:pPr>
        <w:pStyle w:val="Heading2"/>
      </w:pPr>
      <w:bookmarkStart w:id="115" w:name="_Toc428706746"/>
      <w:r w:rsidRPr="0073555D">
        <w:t>Predikce výdajů</w:t>
      </w:r>
      <w:bookmarkEnd w:id="111"/>
      <w:bookmarkEnd w:id="112"/>
      <w:bookmarkEnd w:id="113"/>
      <w:bookmarkEnd w:id="115"/>
    </w:p>
    <w:p w:rsidR="00485D17" w:rsidRPr="0073555D" w:rsidRDefault="00485D17" w:rsidP="00D56543">
      <w:pPr>
        <w:pStyle w:val="Caption"/>
        <w:spacing w:before="240"/>
        <w:jc w:val="left"/>
      </w:pPr>
      <w:r w:rsidRPr="0073555D">
        <w:t xml:space="preserve">Tabulka č. </w:t>
      </w:r>
      <w:fldSimple w:instr=" SEQ Tabulka_č._ \* ARABIC ">
        <w:r>
          <w:rPr>
            <w:noProof/>
          </w:rPr>
          <w:t>12</w:t>
        </w:r>
      </w:fldSimple>
      <w:r w:rsidRPr="0073555D">
        <w:rPr>
          <w:noProof/>
        </w:rPr>
        <w:t xml:space="preserve"> </w:t>
      </w:r>
      <w:r w:rsidRPr="00B818CE">
        <w:rPr>
          <w:noProof/>
        </w:rPr>
        <w:t>Vývoj</w:t>
      </w:r>
      <w:r w:rsidRPr="00B818CE">
        <w:t xml:space="preserve"> celkových výdajů v letech 2012 až 2018 v mld. Kč</w:t>
      </w:r>
    </w:p>
    <w:p w:rsidR="00485D17" w:rsidRPr="00B818CE" w:rsidRDefault="00485D17" w:rsidP="00077E31">
      <w:pPr>
        <w:ind w:firstLine="0"/>
        <w:jc w:val="center"/>
        <w:rPr>
          <w:highlight w:val="yellow"/>
        </w:rPr>
      </w:pPr>
      <w:r w:rsidRPr="00B818CE">
        <w:pict>
          <v:shape id="_x0000_i1049" type="#_x0000_t75" style="width:468.6pt;height:99.6pt">
            <v:imagedata r:id="rId35" o:title=""/>
          </v:shape>
        </w:pict>
      </w:r>
    </w:p>
    <w:p w:rsidR="00485D17" w:rsidRPr="00BF0834" w:rsidRDefault="00485D17" w:rsidP="002A19E4">
      <w:pPr>
        <w:pStyle w:val="Heading3"/>
        <w:rPr>
          <w:rStyle w:val="Tuntext"/>
          <w:b/>
          <w:sz w:val="26"/>
        </w:rPr>
      </w:pPr>
      <w:bookmarkStart w:id="116" w:name="_Toc333680183"/>
      <w:bookmarkStart w:id="117" w:name="_Toc428706747"/>
      <w:r w:rsidRPr="00BF0834">
        <w:rPr>
          <w:rStyle w:val="Tuntext"/>
          <w:b/>
          <w:sz w:val="26"/>
        </w:rPr>
        <w:t>V</w:t>
      </w:r>
      <w:r>
        <w:rPr>
          <w:rStyle w:val="Tuntext"/>
          <w:b/>
          <w:sz w:val="26"/>
        </w:rPr>
        <w:t xml:space="preserve">ybrané výdaje </w:t>
      </w:r>
      <w:r w:rsidRPr="00BF0834">
        <w:rPr>
          <w:rStyle w:val="Tuntext"/>
          <w:b/>
          <w:sz w:val="26"/>
        </w:rPr>
        <w:t>stanovené usnesením vlády a dal</w:t>
      </w:r>
      <w:r>
        <w:rPr>
          <w:rStyle w:val="Tuntext"/>
          <w:b/>
          <w:sz w:val="26"/>
        </w:rPr>
        <w:t>ší vybrané</w:t>
      </w:r>
      <w:r w:rsidRPr="00BF0834">
        <w:rPr>
          <w:rStyle w:val="Tuntext"/>
          <w:b/>
          <w:sz w:val="26"/>
        </w:rPr>
        <w:t xml:space="preserve"> výdaje, které byly promítnuty do návrhu výdajů kapitol v letech 2016 až 201</w:t>
      </w:r>
      <w:bookmarkEnd w:id="116"/>
      <w:r w:rsidRPr="00BF0834">
        <w:rPr>
          <w:rStyle w:val="Tuntext"/>
          <w:b/>
          <w:sz w:val="26"/>
        </w:rPr>
        <w:t>8</w:t>
      </w:r>
      <w:bookmarkEnd w:id="117"/>
    </w:p>
    <w:p w:rsidR="00485D17" w:rsidRDefault="00485D17" w:rsidP="001D3CA7">
      <w:r w:rsidRPr="00035823">
        <w:t xml:space="preserve">K dosažení stanovených deficitů státního rozpočtu v letech 2016 až 2018 a zajištění výdajových priorit je </w:t>
      </w:r>
      <w:r>
        <w:t>rozpočtováno</w:t>
      </w:r>
      <w:r w:rsidRPr="00035823">
        <w:t xml:space="preserve"> snížení výdajů kapitol </w:t>
      </w:r>
      <w:r>
        <w:t xml:space="preserve">v úhrnu </w:t>
      </w:r>
      <w:r w:rsidRPr="00035823">
        <w:t xml:space="preserve">o 4,6 mld. Kč každoročně. Jedná se o snížení výdajů </w:t>
      </w:r>
      <w:r>
        <w:t xml:space="preserve">o 10 % stavu </w:t>
      </w:r>
      <w:r w:rsidRPr="00035823">
        <w:t>nároků z nespotřebovaných neprofilujících výdajů a</w:t>
      </w:r>
      <w:r>
        <w:t> </w:t>
      </w:r>
      <w:r w:rsidRPr="00035823">
        <w:t>nespotřebovaných výdajů na programy podle §</w:t>
      </w:r>
      <w:r>
        <w:t xml:space="preserve"> </w:t>
      </w:r>
      <w:r w:rsidRPr="00035823">
        <w:t>13 odst. 3 zákona č. 218/2000 Sb. k 1.</w:t>
      </w:r>
      <w:r>
        <w:t xml:space="preserve"> </w:t>
      </w:r>
      <w:r w:rsidRPr="00035823">
        <w:t>1. 2015.</w:t>
      </w:r>
    </w:p>
    <w:p w:rsidR="00485D17" w:rsidRPr="00035823" w:rsidRDefault="00485D17" w:rsidP="001D3CA7">
      <w:pPr>
        <w:ind w:firstLine="720"/>
      </w:pPr>
      <w:r w:rsidRPr="00035823">
        <w:t>V předloženém návrhu výdajů státního rozpočtu na rok 2016 a výhledu na léta 2017 a 2018 jsou obsaženy i výdaje dlouhodobějšího charakteru vyplývající z příslušných usnesení vlády a některé další výdaje. Jedná se například o následující výdaje.</w:t>
      </w:r>
    </w:p>
    <w:p w:rsidR="00485D17" w:rsidRPr="00035823" w:rsidRDefault="00485D17" w:rsidP="001D3CA7">
      <w:pPr>
        <w:ind w:firstLine="720"/>
      </w:pPr>
      <w:r w:rsidRPr="00035823">
        <w:rPr>
          <w:b/>
        </w:rPr>
        <w:t>Výdaje na zahraniční rozvojovou spolupráci a humanitární pomoc</w:t>
      </w:r>
      <w:r w:rsidRPr="00035823">
        <w:t xml:space="preserve"> pro léta 2016 až 2018 vychází z rozpočtu na tuto oblast, který byl schválen usnesením vlády č. 468/2015.</w:t>
      </w:r>
    </w:p>
    <w:p w:rsidR="00485D17" w:rsidRPr="00035823" w:rsidRDefault="00485D17" w:rsidP="001D3CA7">
      <w:pPr>
        <w:ind w:firstLine="720"/>
      </w:pPr>
      <w:r w:rsidRPr="00035823">
        <w:t xml:space="preserve"> Podle usnesení vlády č. 348/2015 jsou v návrhu rozpočtu kapitol Ministerstva školství, mládeže a tělovýchovy, Ministerstva zahraničních věcí a Ministerstva zdravotnictví rozpočtovány prostředky na pokračování </w:t>
      </w:r>
      <w:r w:rsidRPr="00035823">
        <w:rPr>
          <w:b/>
        </w:rPr>
        <w:t>Programu podpory českého kulturního dědictví v zahraničí na léta 2016 až 2020</w:t>
      </w:r>
      <w:r w:rsidRPr="00035823">
        <w:t>.</w:t>
      </w:r>
    </w:p>
    <w:p w:rsidR="00485D17" w:rsidRPr="001408A8" w:rsidRDefault="00485D17" w:rsidP="001B191B">
      <w:r w:rsidRPr="001408A8">
        <w:t xml:space="preserve">Výdaje </w:t>
      </w:r>
      <w:r w:rsidRPr="001408A8">
        <w:rPr>
          <w:b/>
        </w:rPr>
        <w:t xml:space="preserve">kapitoly Bezpečnostní informační služby </w:t>
      </w:r>
      <w:r w:rsidRPr="001408A8">
        <w:t>byly zvýšeny</w:t>
      </w:r>
      <w:r>
        <w:t xml:space="preserve"> oproti výhledu</w:t>
      </w:r>
      <w:r w:rsidRPr="001408A8">
        <w:t xml:space="preserve"> v roce 2016 o částku 280,2 mil. Kč a v roce 2017 o částku 387,2 mil. Kč na zajištění potřeb v návaznosti na</w:t>
      </w:r>
      <w:r>
        <w:t> </w:t>
      </w:r>
      <w:r w:rsidRPr="001408A8">
        <w:t>nové bezpečnostní hrozby. Tyto výdaje jsou zajištěny i pro rok 2018.</w:t>
      </w:r>
    </w:p>
    <w:p w:rsidR="00485D17" w:rsidRDefault="00485D17" w:rsidP="001B191B">
      <w:r w:rsidRPr="00D27306">
        <w:t>V </w:t>
      </w:r>
      <w:r w:rsidRPr="00D27306">
        <w:rPr>
          <w:b/>
        </w:rPr>
        <w:t>kapitole Ministerstva zahraničních věcí</w:t>
      </w:r>
      <w:r w:rsidRPr="00D27306">
        <w:t xml:space="preserve"> jsou zajištěny pro rok 2016 výdaje na</w:t>
      </w:r>
      <w:r>
        <w:t> </w:t>
      </w:r>
      <w:r w:rsidRPr="00D27306">
        <w:t>Světovou výstavu EXPO 2015 v Miláně podle usnesení vlády č. 964/2012</w:t>
      </w:r>
      <w:r>
        <w:t>,</w:t>
      </w:r>
      <w:r w:rsidRPr="00D27306">
        <w:t xml:space="preserve"> aktualizované investiční potřeby diplomatické mise ČR v USA podle usnesení vlády č. 903/2014</w:t>
      </w:r>
      <w:r>
        <w:t xml:space="preserve"> a prostředky na poskytnutí daru Kalifornské univerzitě podle usnesení vlády č. 616/2015. Výdaje byly dále posíleny na zajištění bezpečnosti zastupitelských úřadů, na konzulární službu, na rekonstrukce zastupitelských úřadů a na projekty ekonomické diplomacie.</w:t>
      </w:r>
    </w:p>
    <w:p w:rsidR="00485D17" w:rsidRPr="00352834" w:rsidRDefault="00485D17" w:rsidP="001D3CA7">
      <w:r w:rsidRPr="00352834">
        <w:rPr>
          <w:b/>
        </w:rPr>
        <w:t>Výdaje kapitoly Ministerstva obrany</w:t>
      </w:r>
      <w:r w:rsidRPr="00352834">
        <w:t xml:space="preserve"> jsou navrženy v letech 2016 až 2018 ve výši 47,6 mld. Kč pro rok 2016, ve výši 49,7 mld. Kč pro rok 2017 a ve výši 52,9 mld. Kč pro rok 2018. Podíl těchto výdajů na HDP (dle makroekonomické predikce z července 201</w:t>
      </w:r>
      <w:r>
        <w:t>5</w:t>
      </w:r>
      <w:r w:rsidRPr="00352834">
        <w:t>) činí cca 1,02 % až 1,06 % .</w:t>
      </w:r>
    </w:p>
    <w:p w:rsidR="00485D17" w:rsidRPr="00D27306" w:rsidRDefault="00485D17" w:rsidP="001B191B">
      <w:r w:rsidRPr="00D27306">
        <w:t>V </w:t>
      </w:r>
      <w:r w:rsidRPr="00D27306">
        <w:rPr>
          <w:b/>
        </w:rPr>
        <w:t>kapitole Ministerstva financí</w:t>
      </w:r>
      <w:r w:rsidRPr="00D27306">
        <w:t xml:space="preserve"> je rozpočtován převod části agendy majetkové újmy peněžních ústavů z kapitoly Všeobecná pokladní správa do kapitoly Ministerstva financí (úhrada za činnost mandatáře ČSOB, a.s. v částkách 73 mil. Kč, 67 mil. Kč a 64 mil. Kč v letech 2016 až</w:t>
      </w:r>
      <w:r>
        <w:t> </w:t>
      </w:r>
      <w:r w:rsidRPr="00D27306">
        <w:t>2018).</w:t>
      </w:r>
      <w:r>
        <w:t xml:space="preserve"> Ve výhledu jsou mj. vytvořeny předpoklady pro zavedení elektronické evidence tržeb, pro rozšíření trestní kompetence celní správy a pro rozšíření kompetence Kanceláře finančního arbitra.</w:t>
      </w:r>
    </w:p>
    <w:p w:rsidR="00485D17" w:rsidRDefault="00485D17" w:rsidP="001D3CA7">
      <w:pPr>
        <w:ind w:firstLine="720"/>
      </w:pPr>
      <w:r w:rsidRPr="0003180B">
        <w:rPr>
          <w:b/>
        </w:rPr>
        <w:t>V kapitole Ministerstva práce a sociálních věcí</w:t>
      </w:r>
      <w:r w:rsidRPr="0003180B">
        <w:t xml:space="preserve"> byly posíleny dotace na sociální služby (každoročně +</w:t>
      </w:r>
      <w:r>
        <w:t>0,55</w:t>
      </w:r>
      <w:r w:rsidRPr="0003180B">
        <w:t xml:space="preserve"> m</w:t>
      </w:r>
      <w:r>
        <w:t>ld</w:t>
      </w:r>
      <w:r w:rsidRPr="0003180B">
        <w:t>. Kč) a ostatní dotační a podobné systémy (ročně +</w:t>
      </w:r>
      <w:r>
        <w:t>0,1 mld.</w:t>
      </w:r>
      <w:r w:rsidRPr="0003180B">
        <w:t xml:space="preserve"> Kč). </w:t>
      </w:r>
      <w:r w:rsidRPr="00380EEC">
        <w:t xml:space="preserve">Výdaje na neinvestiční nedávkové transfery (bez prostředků EU a FM) </w:t>
      </w:r>
      <w:r>
        <w:t xml:space="preserve">se rozpočtují </w:t>
      </w:r>
      <w:r w:rsidRPr="00380EEC">
        <w:t>ve výši 10,8</w:t>
      </w:r>
      <w:r>
        <w:t> </w:t>
      </w:r>
      <w:r w:rsidRPr="00380EEC">
        <w:t>mld.</w:t>
      </w:r>
      <w:r>
        <w:t> </w:t>
      </w:r>
      <w:r w:rsidRPr="00380EEC">
        <w:t xml:space="preserve">Kč </w:t>
      </w:r>
      <w:r>
        <w:t>každoročně v letech 2016-2018.</w:t>
      </w:r>
      <w:r w:rsidRPr="00380EEC">
        <w:t xml:space="preserve"> Z uvedeného objemu připadá na transfery podle zákona č. 108/200 Sb., o sociálních službách částka 8,4 mld. Kč  v </w:t>
      </w:r>
      <w:r w:rsidRPr="00BF0834">
        <w:t>každém roce (na rok 2015 byl schválen rozpočet 7,85 mld. Kč a ve výhledu pro rok 2016 byla rozpočtována částka 7,7</w:t>
      </w:r>
      <w:r>
        <w:t> </w:t>
      </w:r>
      <w:r w:rsidRPr="00BF0834">
        <w:t>mld.</w:t>
      </w:r>
      <w:r>
        <w:t> </w:t>
      </w:r>
      <w:r w:rsidRPr="00BF0834">
        <w:t>Kč). Dále na transfery na činnosti vykonávané obcemi s rozšířenou působností v oblasti sociálně</w:t>
      </w:r>
      <w:r w:rsidRPr="00380EEC">
        <w:t xml:space="preserve"> právní ochrany dětí připadá částka 1,1 mld. Kč ročně.</w:t>
      </w:r>
    </w:p>
    <w:p w:rsidR="00485D17" w:rsidRPr="008F2420" w:rsidRDefault="00485D17" w:rsidP="001D3CA7">
      <w:pPr>
        <w:ind w:firstLine="540"/>
      </w:pPr>
      <w:r w:rsidRPr="008F2420">
        <w:t>V </w:t>
      </w:r>
      <w:r w:rsidRPr="008F2420">
        <w:rPr>
          <w:b/>
        </w:rPr>
        <w:t>kapitole Ministerstva vnitra</w:t>
      </w:r>
      <w:r w:rsidRPr="008F2420">
        <w:t xml:space="preserve"> jsou rozpočtovány výdaje k zajištění dopadů migrace</w:t>
      </w:r>
      <w:r>
        <w:t>,</w:t>
      </w:r>
      <w:r w:rsidRPr="008F2420">
        <w:t xml:space="preserve"> integrace cizinců na území ČR a posíleny výdaje k zajištění bezpečnosti státu. Posíleny byly i</w:t>
      </w:r>
      <w:r>
        <w:t> </w:t>
      </w:r>
      <w:r w:rsidRPr="008F2420">
        <w:t>výdaje na financování činnosti dobrovolných hasičů. Oproti výhledu 2016 byly zvýšeny běžné výdaje (bez prostředků na platy a příslušenství) kapitoly o 1 mld. Kč ročně. Podle usnesení vlády č. 19/2015 jsou rozpočtovány prostředky na program asistence uprchlíkům ve výši 100 mil. Kč každoročně v letech 2016-2018.</w:t>
      </w:r>
    </w:p>
    <w:p w:rsidR="00485D17" w:rsidRDefault="00485D17" w:rsidP="001D3CA7">
      <w:pPr>
        <w:ind w:firstLine="720"/>
      </w:pPr>
      <w:r w:rsidRPr="00380EEC">
        <w:t>V </w:t>
      </w:r>
      <w:r w:rsidRPr="00380EEC">
        <w:rPr>
          <w:b/>
        </w:rPr>
        <w:t>kapitole Ministerstva životního prostředí</w:t>
      </w:r>
      <w:r w:rsidRPr="00380EEC">
        <w:t xml:space="preserve"> jsou mj. rozpočtovány v návaznosti na příjmy z prodeje emisních povolenek (viz výše) výdaje v</w:t>
      </w:r>
      <w:r>
        <w:t> poloviční výši těchto r</w:t>
      </w:r>
      <w:r w:rsidRPr="00380EEC">
        <w:t>ozpočtovaných objemů.</w:t>
      </w:r>
      <w:r>
        <w:t xml:space="preserve"> Druhá polovina je rozpočtována v kapitole MPO na podporu obnovitelných zdrojů energie.</w:t>
      </w:r>
    </w:p>
    <w:p w:rsidR="00485D17" w:rsidRPr="005713EF" w:rsidRDefault="00485D17" w:rsidP="001D3CA7">
      <w:pPr>
        <w:ind w:firstLine="720"/>
      </w:pPr>
      <w:r w:rsidRPr="00380EEC">
        <w:t>V </w:t>
      </w:r>
      <w:r w:rsidRPr="00380EEC">
        <w:rPr>
          <w:b/>
        </w:rPr>
        <w:t xml:space="preserve">kapitole Ministerstva </w:t>
      </w:r>
      <w:r>
        <w:rPr>
          <w:b/>
        </w:rPr>
        <w:t xml:space="preserve">pro místní rozvoj </w:t>
      </w:r>
      <w:r>
        <w:t xml:space="preserve">byly posíleny výdaje na podporu cestovního ruchu, podporu bydlení, na územně plánovací činnost obcí do 3 tis. obyvatel. </w:t>
      </w:r>
      <w:r w:rsidRPr="005713EF">
        <w:t>Výdaj</w:t>
      </w:r>
      <w:r>
        <w:t xml:space="preserve">e byly zvýšeny o 1,5 </w:t>
      </w:r>
      <w:r w:rsidRPr="005713EF">
        <w:t>mld. Kč v roce 2016 na spolufinancování IROP.</w:t>
      </w:r>
    </w:p>
    <w:p w:rsidR="00485D17" w:rsidRPr="00AD5E8C" w:rsidRDefault="00485D17" w:rsidP="001D3CA7">
      <w:pPr>
        <w:ind w:firstLine="720"/>
        <w:rPr>
          <w:highlight w:val="yellow"/>
        </w:rPr>
      </w:pPr>
      <w:r w:rsidRPr="00DE5028">
        <w:rPr>
          <w:b/>
        </w:rPr>
        <w:t>V kapitole Ministerstva průmyslu a obchodu</w:t>
      </w:r>
      <w:r w:rsidRPr="00DE5028">
        <w:t xml:space="preserve"> je uvažováno pro léta 2016 až 2018 s </w:t>
      </w:r>
      <w:r w:rsidRPr="00DE5028">
        <w:rPr>
          <w:b/>
        </w:rPr>
        <w:t>dotacemi na obnovitelné zdroje energie</w:t>
      </w:r>
      <w:r w:rsidRPr="00DE5028">
        <w:t xml:space="preserve"> ve výši 20,4 mld. Kč pro rok 2016 a ve výši 15,7</w:t>
      </w:r>
      <w:r>
        <w:t> </w:t>
      </w:r>
      <w:r w:rsidRPr="00DE5028">
        <w:t>mld. Kč v každém roce výhledu. Byly</w:t>
      </w:r>
      <w:r w:rsidRPr="002121DA">
        <w:t xml:space="preserve"> posíleny výdaje na zahlazování následků hornické činnosti (technický útlum), na podporu strategických investičních akcí, na technologická centra a</w:t>
      </w:r>
      <w:r>
        <w:t> </w:t>
      </w:r>
      <w:r w:rsidRPr="002121DA">
        <w:t xml:space="preserve">centra strategických služeb a na činnost </w:t>
      </w:r>
      <w:r>
        <w:t xml:space="preserve">aparátu </w:t>
      </w:r>
      <w:r w:rsidRPr="002121DA">
        <w:t>MPO</w:t>
      </w:r>
      <w:r>
        <w:t xml:space="preserve"> a podřízených organizací</w:t>
      </w:r>
      <w:r w:rsidRPr="002121DA">
        <w:t>.</w:t>
      </w:r>
    </w:p>
    <w:p w:rsidR="00485D17" w:rsidRPr="0022008D" w:rsidRDefault="00485D17" w:rsidP="001D3CA7">
      <w:pPr>
        <w:ind w:firstLine="720"/>
        <w:rPr>
          <w:strike/>
          <w:highlight w:val="yellow"/>
        </w:rPr>
      </w:pPr>
      <w:r w:rsidRPr="006F2AD5">
        <w:rPr>
          <w:b/>
        </w:rPr>
        <w:t xml:space="preserve">V kapitole Ministerstva dopravy </w:t>
      </w:r>
      <w:r w:rsidRPr="006F2AD5">
        <w:t>jsou rozpočtovány výdaje na úhradu ztráty ze závazku veřejné služby ve veřejné drážní osobní dopravě ve výši 7</w:t>
      </w:r>
      <w:r>
        <w:t xml:space="preserve">,14 mld. Kč </w:t>
      </w:r>
      <w:r w:rsidRPr="006F2AD5">
        <w:t>ročně v letech 2016 až</w:t>
      </w:r>
      <w:r>
        <w:t> </w:t>
      </w:r>
      <w:r w:rsidRPr="006F2AD5">
        <w:t>2018</w:t>
      </w:r>
      <w:r>
        <w:t>, z toho pro kraje a hl. m. Prahu 2,77 mld. Kč ročně</w:t>
      </w:r>
      <w:r w:rsidRPr="006F2AD5">
        <w:t>. Dále je rozpočtována dotace pro</w:t>
      </w:r>
      <w:r>
        <w:t> </w:t>
      </w:r>
      <w:r w:rsidRPr="006F2AD5">
        <w:t xml:space="preserve">Státní fond dopravní infrastruktury ve výši </w:t>
      </w:r>
      <w:r>
        <w:t>20,8</w:t>
      </w:r>
      <w:r w:rsidRPr="006F2AD5">
        <w:t xml:space="preserve"> mld. Kč pro rok 201</w:t>
      </w:r>
      <w:r>
        <w:t>6</w:t>
      </w:r>
      <w:r w:rsidRPr="006F2AD5">
        <w:t xml:space="preserve"> a v částkách 1</w:t>
      </w:r>
      <w:r>
        <w:t>8,2 mld. Kč a 21,9</w:t>
      </w:r>
      <w:r w:rsidRPr="006F2AD5">
        <w:t xml:space="preserve"> mld. Kč pro léta 201</w:t>
      </w:r>
      <w:r>
        <w:t>7</w:t>
      </w:r>
      <w:r w:rsidRPr="006F2AD5">
        <w:t xml:space="preserve"> a 201</w:t>
      </w:r>
      <w:r>
        <w:t>8</w:t>
      </w:r>
      <w:r w:rsidRPr="006F2AD5">
        <w:t>.</w:t>
      </w:r>
      <w:r>
        <w:t xml:space="preserve"> </w:t>
      </w:r>
      <w:r w:rsidRPr="0022008D">
        <w:t>Rozpočet byl zvýšen o dopady kompenzace slev jízdného ve veřejné osobní dopravě (</w:t>
      </w:r>
      <w:r>
        <w:t>0,</w:t>
      </w:r>
      <w:r w:rsidRPr="0022008D">
        <w:t>26 m</w:t>
      </w:r>
      <w:r>
        <w:t>ld</w:t>
      </w:r>
      <w:r w:rsidRPr="0022008D">
        <w:t>. Kč každoročně) a dále na</w:t>
      </w:r>
      <w:r>
        <w:t> </w:t>
      </w:r>
      <w:r w:rsidRPr="0022008D">
        <w:t>kosmické projekty ESA</w:t>
      </w:r>
      <w:r>
        <w:t xml:space="preserve"> (+0,2 mld. Kč ročně)</w:t>
      </w:r>
      <w:r w:rsidRPr="0022008D">
        <w:t>.</w:t>
      </w:r>
    </w:p>
    <w:p w:rsidR="00485D17" w:rsidRPr="0022008D" w:rsidRDefault="00485D17" w:rsidP="001D3CA7">
      <w:pPr>
        <w:ind w:firstLine="720"/>
      </w:pPr>
      <w:r w:rsidRPr="006F2AD5">
        <w:rPr>
          <w:b/>
        </w:rPr>
        <w:t xml:space="preserve">V kapitole Ministerstva </w:t>
      </w:r>
      <w:r>
        <w:rPr>
          <w:b/>
        </w:rPr>
        <w:t xml:space="preserve">zemědělství </w:t>
      </w:r>
      <w:r w:rsidRPr="0022008D">
        <w:t>byly posíleny výdaje na národní kofina</w:t>
      </w:r>
      <w:r>
        <w:t>ncování Podpory rozvoje venkova a dotace do PGRLF.</w:t>
      </w:r>
    </w:p>
    <w:p w:rsidR="00485D17" w:rsidRPr="00A81759" w:rsidRDefault="00485D17" w:rsidP="001B191B">
      <w:r w:rsidRPr="00380EEC">
        <w:t>V </w:t>
      </w:r>
      <w:r w:rsidRPr="00380EEC">
        <w:rPr>
          <w:b/>
        </w:rPr>
        <w:t>kapitole Ministerstva školství, mládeže a tělovýchovy</w:t>
      </w:r>
      <w:r w:rsidRPr="00380EEC">
        <w:t xml:space="preserve"> jsou zajištěny prostředky podle usnesení vlády č. 743/2014 na konání Kontinentálního poháru v atletice v roce 2018 (každoročně částka 20 mil. Kč v roce 2017 a v roce 2018).</w:t>
      </w:r>
      <w:r>
        <w:t xml:space="preserve"> </w:t>
      </w:r>
      <w:r w:rsidRPr="00A81759">
        <w:t>Výdaje kapitoly</w:t>
      </w:r>
      <w:r w:rsidRPr="00A81759">
        <w:rPr>
          <w:b/>
        </w:rPr>
        <w:t xml:space="preserve"> </w:t>
      </w:r>
      <w:r w:rsidRPr="00A81759">
        <w:t>byly zvýšeny každoročně o částku 676 mil. Kč na financování soukromého a církevního školství s ohledem na to, že nebyly realizovány zamýšlené změny financování regionálního školství a dále v návaznosti na novelu nařízení vlády č. 564/2006 Sb., kterým byly zvýšeny platové tarify ve veřejných školách v roce 2015. Oproti výhledu byly posíleny výdaje na podporu činností v oblasti sportu, dále výdaje na</w:t>
      </w:r>
      <w:r>
        <w:t> </w:t>
      </w:r>
      <w:r w:rsidRPr="00A81759">
        <w:t>regionální školství, soukromé a církevní školství v souvislosti s nárůstem výkonů v těchto institucích.</w:t>
      </w:r>
    </w:p>
    <w:p w:rsidR="00485D17" w:rsidRPr="00DC144D" w:rsidRDefault="00485D17" w:rsidP="001D3CA7">
      <w:pPr>
        <w:ind w:firstLine="720"/>
        <w:rPr>
          <w:strike/>
        </w:rPr>
      </w:pPr>
      <w:r w:rsidRPr="006F2AD5">
        <w:t>V </w:t>
      </w:r>
      <w:r w:rsidRPr="006F2AD5">
        <w:rPr>
          <w:b/>
        </w:rPr>
        <w:t>kapitole Ministerstva kultury</w:t>
      </w:r>
      <w:r w:rsidRPr="006F2AD5">
        <w:t xml:space="preserve"> je rozpočtován příspěvek na podporu činnosti dotčených církví a náboženských společností v návaznosti na zákon o majetkovém vyrovnání s církvemi a náboženskými společnostmi ve výši 1 372 515 tis. Kč pro rok 2016, ve výši 1 300 278 tis. Kč pro rok 2017 a 1 228 040 tis. Kč pro rok 2018.</w:t>
      </w:r>
      <w:r w:rsidRPr="00FE2396">
        <w:rPr>
          <w:color w:val="FF0000"/>
        </w:rPr>
        <w:t xml:space="preserve"> </w:t>
      </w:r>
      <w:r w:rsidRPr="006F2AD5">
        <w:t>Dále rozpočet kapitoly obsahuje prostředky na finanční náhrady poskytované církvím podle výše citovaného zákona (pro rok 2016 částka 2 060 261 tis. Kč, pro rok 2017 částka 2 101 466 tis. Kč a pro rok 2018 částka 2 143 495 tis. Kč). Podle usnesení vlády č. 324/2015 jsou zajištěny prostředky na konání Česko bavorské zemské výstavy 2016 (rok 2016 částka 20 860 tis. Kč, rok 2017 částka 150 tis. Kč).  Schválený výhled obsahuje i prostředky na financování Programu péče o Národní kulturní poklad (v letech 2016 a 2017 každoročně 1 mld. Kč).</w:t>
      </w:r>
      <w:r>
        <w:t xml:space="preserve">  </w:t>
      </w:r>
      <w:r w:rsidRPr="00FE5628">
        <w:t>Dále je rozpočtována dotace pro Státní fond kinematografie (0,18 mld. Kč ročně), zvýšena dotace na filmové pobídky (</w:t>
      </w:r>
      <w:r>
        <w:t>+</w:t>
      </w:r>
      <w:r w:rsidRPr="00FE5628">
        <w:t xml:space="preserve">0,3mld. Kč ročně). Rovněž byly posíleny výdaje zabezpečující investice příspěvkových organizací a výdaje na záchranu a obnovu kulturních památek (celkem </w:t>
      </w:r>
      <w:r>
        <w:t>+</w:t>
      </w:r>
      <w:r w:rsidRPr="00FE5628">
        <w:t>0,2 mld. Kč ročně).</w:t>
      </w:r>
    </w:p>
    <w:p w:rsidR="00485D17" w:rsidRPr="005467F7" w:rsidRDefault="00485D17" w:rsidP="00586717">
      <w:pPr>
        <w:rPr>
          <w:strike/>
        </w:rPr>
      </w:pPr>
      <w:r w:rsidRPr="00380EEC">
        <w:t>V </w:t>
      </w:r>
      <w:r w:rsidRPr="00380EEC">
        <w:rPr>
          <w:b/>
        </w:rPr>
        <w:t>kapitole Ministerstva spravedlnosti</w:t>
      </w:r>
      <w:r w:rsidRPr="00380EEC">
        <w:t xml:space="preserve"> jsou rozpočtovány příjmy a výdaje ve výši 71 mil. Kč na problematiku poštovného (sleva poskytovaná Českou poštou, a.s. na příjmový účet Ústředí Ministerstva spravedlnosti) ve všech letech. Součástí rozpočtu jsou i aktualizované výdaje na výstavbu justičního areálu Krajského soudu v Ústí nad Labem.</w:t>
      </w:r>
      <w:r>
        <w:t xml:space="preserve"> Ve výdajích kapitoly jsou kromě změn v platové oblasti zajištěny výdaje podle usnesení vlády č. 554/2015 k </w:t>
      </w:r>
      <w:r w:rsidRPr="00E929E4">
        <w:t>zajištění finančních prostředků na pořízení a provoz elektronického monitorovacího systému na trestní justici</w:t>
      </w:r>
      <w:r>
        <w:t xml:space="preserve">, posíleny provozní výdaje Vězeňské služby, výdaje na znalecké posudky v návaznosti na nový občanský zákoník a na zajištění novely </w:t>
      </w:r>
      <w:r w:rsidRPr="007C2E7C">
        <w:t>zákona, kterým se mění zákon č. 159/2006 Sb., o</w:t>
      </w:r>
      <w:r>
        <w:t> </w:t>
      </w:r>
      <w:r w:rsidRPr="007C2E7C">
        <w:t>střetu zájm</w:t>
      </w:r>
      <w:r>
        <w:t>ů, ve znění pozdějších předpisů.</w:t>
      </w:r>
    </w:p>
    <w:p w:rsidR="00485D17" w:rsidRDefault="00485D17" w:rsidP="00586717">
      <w:r w:rsidRPr="00371122">
        <w:t>V </w:t>
      </w:r>
      <w:r w:rsidRPr="00371122">
        <w:rPr>
          <w:b/>
        </w:rPr>
        <w:t>kapitole Český telekomunikační úřad</w:t>
      </w:r>
      <w:r w:rsidRPr="00371122">
        <w:t xml:space="preserve"> jsou zabezpečeny prostředky na úhradu čistých nákladů představujících nespravedlivou finanční zátěž držiteli poštovní licence pro </w:t>
      </w:r>
      <w:r w:rsidRPr="00666AB0">
        <w:t>Českou poštu, s.p.</w:t>
      </w:r>
      <w:r>
        <w:t xml:space="preserve"> (částka 0,7 mld. Kč pro rok 2016, částka 0,6 mld. Kč pro rok 2017 a částka 0,5 mld. Kč pro rok 2018).</w:t>
      </w:r>
    </w:p>
    <w:p w:rsidR="00485D17" w:rsidRDefault="00485D17" w:rsidP="00586717">
      <w:r w:rsidRPr="00666AB0">
        <w:t>V </w:t>
      </w:r>
      <w:r w:rsidRPr="00666AB0">
        <w:rPr>
          <w:b/>
        </w:rPr>
        <w:t xml:space="preserve">kapitole Český úřad zeměměřický a katastrální byly </w:t>
      </w:r>
      <w:r w:rsidRPr="00666AB0">
        <w:t xml:space="preserve">posíleny provozní výdaje </w:t>
      </w:r>
      <w:r>
        <w:t xml:space="preserve">a výdaje </w:t>
      </w:r>
      <w:r w:rsidRPr="00666AB0">
        <w:t xml:space="preserve">na zajištění provozu centrálních informačních systémů ČÚZK a udržitelnosti projektů financovaných z EU a </w:t>
      </w:r>
      <w:r>
        <w:t xml:space="preserve">dále </w:t>
      </w:r>
      <w:r w:rsidRPr="00666AB0">
        <w:t>výdaje na služby pošt v návaznosti na úkoly stanovené novým katastrálním zákonem</w:t>
      </w:r>
      <w:r>
        <w:t>. Posíleny byly i</w:t>
      </w:r>
      <w:r w:rsidRPr="00666AB0">
        <w:t xml:space="preserve"> výdaje na obnovu infrastruktury centrálních informačních systémů</w:t>
      </w:r>
      <w:r>
        <w:t>.</w:t>
      </w:r>
    </w:p>
    <w:p w:rsidR="00485D17" w:rsidRDefault="00485D17" w:rsidP="001B191B">
      <w:r w:rsidRPr="00FF07A7">
        <w:t>V </w:t>
      </w:r>
      <w:r w:rsidRPr="00FF07A7">
        <w:rPr>
          <w:b/>
        </w:rPr>
        <w:t>kapitole Energetický regulační úřad</w:t>
      </w:r>
      <w:r w:rsidRPr="00FF07A7">
        <w:t xml:space="preserve"> jsou zajištěny prostředky na převod nové rozšířené kontrolní činnosti (vliv novely energetického zákona).</w:t>
      </w:r>
      <w:r>
        <w:t xml:space="preserve"> </w:t>
      </w:r>
    </w:p>
    <w:p w:rsidR="00485D17" w:rsidRPr="00872C24" w:rsidRDefault="00485D17" w:rsidP="001B191B">
      <w:r>
        <w:t xml:space="preserve">Podle usnesení rozpočtového výboru č. 264/2015 jsou rozpočtovány </w:t>
      </w:r>
      <w:r w:rsidRPr="0022590A">
        <w:rPr>
          <w:b/>
        </w:rPr>
        <w:t>v kapitole Nejvyšší kontrolní úřad</w:t>
      </w:r>
      <w:r>
        <w:t xml:space="preserve"> chybějící prostředky na výstavbu sídla úřadu ve výši 121 mil. Kč v roce 2018.</w:t>
      </w:r>
    </w:p>
    <w:p w:rsidR="00485D17" w:rsidRPr="00D94B0F" w:rsidRDefault="00485D17" w:rsidP="001B191B">
      <w:r w:rsidRPr="00F821EE">
        <w:t>V </w:t>
      </w:r>
      <w:r w:rsidRPr="00F821EE">
        <w:rPr>
          <w:b/>
        </w:rPr>
        <w:t>kapitole Všeobecná pokladní správa</w:t>
      </w:r>
      <w:r w:rsidRPr="00F821EE">
        <w:t xml:space="preserve"> se mj. se rozpočtují výdaje na datové schránky ve výši 605 mil. Kč ročně a na pozemkové úpravy ve výši 700 mil. Kč ročně. Zvýšeny byly výdaje na platbu státu</w:t>
      </w:r>
      <w:r w:rsidRPr="00352834">
        <w:t xml:space="preserve"> do veřejného </w:t>
      </w:r>
      <w:r w:rsidRPr="0070201D">
        <w:t>zdravotního pojištění o 0,9 mld. Kč proti roku 2015 a tyto výdaje dosahují 63,1 mld. Kč ročně. V letech 2016 až 2018 jsou zajištěny prostředky na</w:t>
      </w:r>
      <w:r>
        <w:t> </w:t>
      </w:r>
      <w:r w:rsidRPr="0070201D">
        <w:t>pokračování podprogramu Podpora rozvoje a obnovy materiálně technické základny regionálních škol v okolí velkých měst</w:t>
      </w:r>
      <w:r>
        <w:t xml:space="preserve">. </w:t>
      </w:r>
      <w:r w:rsidRPr="00D94B0F">
        <w:t>Jsou rozpočtovány výdaje na podporu exportu pro Českou exportní banku, a.s., a to na zvýšení základního kapitálu o 1 mld. Kč ročně. Dále byla posílena dotace na úhradu ztráty z podpořeného financování ztráty na celkovou částku pro rok 2016 ve výši 1,27</w:t>
      </w:r>
      <w:r>
        <w:t> </w:t>
      </w:r>
      <w:r w:rsidRPr="00D94B0F">
        <w:t>mld. Kč, pro rok 2017 ve výši 1,22 mld. Kč a pro rok 2018 ve výši 1,12 mld. Kč. Dotace do</w:t>
      </w:r>
      <w:r>
        <w:t> </w:t>
      </w:r>
      <w:r w:rsidRPr="00D94B0F">
        <w:t xml:space="preserve">pojistných fondů Exportní a garanční pojišťovny, a.s. byla pro rok 2016 </w:t>
      </w:r>
      <w:r>
        <w:t>stanovena</w:t>
      </w:r>
      <w:r w:rsidRPr="00D94B0F">
        <w:t xml:space="preserve"> na</w:t>
      </w:r>
      <w:r>
        <w:t> </w:t>
      </w:r>
      <w:r w:rsidRPr="00D94B0F">
        <w:t>konečnou částku 2,2 mld. Kč, pro rok 2017 a 2018 na částku 4,1 mld. Kč každý rok.</w:t>
      </w:r>
    </w:p>
    <w:p w:rsidR="00485D17" w:rsidRPr="007F67C9" w:rsidRDefault="00485D17" w:rsidP="002A19E4">
      <w:pPr>
        <w:pStyle w:val="Heading3"/>
        <w:rPr>
          <w:rStyle w:val="Tuntext"/>
          <w:b/>
        </w:rPr>
      </w:pPr>
      <w:bookmarkStart w:id="118" w:name="_Toc241917804"/>
      <w:bookmarkStart w:id="119" w:name="_Toc333680184"/>
      <w:bookmarkStart w:id="120" w:name="_Toc428706748"/>
      <w:r w:rsidRPr="007F67C9">
        <w:rPr>
          <w:rStyle w:val="Tuntext"/>
          <w:b/>
        </w:rPr>
        <w:t>Mandatorní sociální výdaje</w:t>
      </w:r>
      <w:bookmarkEnd w:id="118"/>
      <w:bookmarkEnd w:id="119"/>
      <w:bookmarkEnd w:id="120"/>
    </w:p>
    <w:p w:rsidR="00485D17" w:rsidRDefault="00485D17" w:rsidP="007F67C9">
      <w:pPr>
        <w:ind w:firstLine="708"/>
      </w:pPr>
      <w:bookmarkStart w:id="121" w:name="OLE_LINK1"/>
      <w:r>
        <w:t>Aktualizace schváleného výhledu na rok 2017 a návrh výhledu na rok 2018 vychází z legislativních a metodických úprav, které byly promítnuty již do odhadů jednotlivých výdajových položek v návrhu státního rozpočtu na rok 2016 spolu se zohledněním vlivu predikcí makroekonomických ukazatelů v roce 2015.</w:t>
      </w:r>
    </w:p>
    <w:p w:rsidR="00485D17" w:rsidRDefault="00485D17" w:rsidP="007F67C9">
      <w:pPr>
        <w:ind w:firstLine="708"/>
      </w:pPr>
      <w:r>
        <w:t>Do návrhu rozpočtového výhledu na roky 2017 a 2018 bylo promítnuto zrušení zákona č. 266/2006 Sb., o úrazovém pojištění zaměstnanců založeném na dávkovém principu sociálního pojištění, který měl nabýt účinnosti k 1. 1. 2017, výdaje na dávky úrazového pojištění byly odstraněny. Dále bylo promítnuto zvýšení platby za státní pojištěnce v roce 2016.</w:t>
      </w:r>
    </w:p>
    <w:p w:rsidR="00485D17" w:rsidRDefault="00485D17" w:rsidP="007F67C9">
      <w:pPr>
        <w:ind w:firstLine="708"/>
      </w:pPr>
      <w:r>
        <w:t xml:space="preserve">Odhad výdajů sledovaného souboru sociálních výdajů na rok 2017 je ve výhledu zapracován v celkové částce 621,0 mld. Kč a na celkových výdajích státního rozpočtu bez EU a FM se podílí 52,7 %. Odhad byl aktualizován a snížen o 12,3 mld. Kč oproti schválenému výhledu na roky 2016 a 2017. Výrazně se na tomto snížení podílí zrušení zákona č. 266/2006 Sb., o úrazovém pojištění zaměstnanců, který měl nabýt účinnosti k 1. lednu 2017, z důvodu jeho zrušení byly vypuštěny výdaje na dávky úrazového pojištění. Odhad výdajů na ostatní dávkové tituly byl zpřesněn na základě očekávané skutečnosti roku 2015 a návrhu rozpočtu na rok 2016. V absolutním vyjádření nejvyšší zvýšení oproti návrhu rozpočtu na rok 2016 vykazují v roce 2017 již tradičně výdaje na dávky důchodového pojištění a jsou vyšší o 16,9 mld. Kč, což znamená navýšení o 4,2 procentního bodu. V tomto navýšení je zohledněna jak valorizace důchodů, tak i mezigenerační obměna důchodců a s tím související zvyšování průměrné výše důchodu, dále pak postupný nárůst příjemců důchodů. </w:t>
      </w:r>
    </w:p>
    <w:p w:rsidR="00485D17" w:rsidRPr="00234C54" w:rsidRDefault="00485D17" w:rsidP="007F67C9">
      <w:pPr>
        <w:ind w:firstLine="708"/>
      </w:pPr>
      <w:r>
        <w:t xml:space="preserve">Odhad celkových výdajů na sociální transfery a služby zaměstnanosti je ve výhledu na rok 2018 zapracován v celkové výši 640,3 mld. Kč s meziročním tempem růstu 3,1 % a v absolutním vyjádření jsou výdaje roku 2018 oproti roku 2017 vyšší o 19,3 mld. Kč., což představuje 53,1 % celkových výdajů státního rozpočtu bez prostředků EU a FM. Z celkových výdajů činí výdaje na sociální dávky 560,0 mld. Kč, což je 87,5 % sociálních transferů obyvatelstvu. Jejich tempo růstu je o 0,4 procentního bodu vyšší, než tempo růstu všech sociálních transferů. </w:t>
      </w:r>
    </w:p>
    <w:p w:rsidR="00485D17" w:rsidRPr="00234C54" w:rsidRDefault="00485D17" w:rsidP="00045F0E">
      <w:pPr>
        <w:ind w:firstLine="708"/>
        <w:rPr>
          <w:highlight w:val="yellow"/>
        </w:rPr>
      </w:pPr>
    </w:p>
    <w:p w:rsidR="00485D17" w:rsidRPr="00234C54" w:rsidRDefault="00485D17" w:rsidP="00045F0E">
      <w:pPr>
        <w:ind w:firstLine="708"/>
        <w:rPr>
          <w:highlight w:val="yellow"/>
        </w:rPr>
        <w:sectPr w:rsidR="00485D17" w:rsidRPr="00234C54" w:rsidSect="00B03A64">
          <w:footerReference w:type="default" r:id="rId36"/>
          <w:footerReference w:type="first" r:id="rId37"/>
          <w:pgSz w:w="11906" w:h="16838"/>
          <w:pgMar w:top="1418" w:right="1106" w:bottom="1418" w:left="1418" w:header="709" w:footer="709" w:gutter="0"/>
          <w:pgNumType w:start="1"/>
          <w:cols w:space="708"/>
          <w:docGrid w:linePitch="360"/>
        </w:sectPr>
      </w:pPr>
    </w:p>
    <w:p w:rsidR="00485D17" w:rsidRPr="00234C54" w:rsidRDefault="00485D17" w:rsidP="00045F0E">
      <w:pPr>
        <w:ind w:firstLine="708"/>
        <w:rPr>
          <w:highlight w:val="yellow"/>
        </w:rPr>
      </w:pPr>
    </w:p>
    <w:p w:rsidR="00485D17" w:rsidRPr="001C7774" w:rsidRDefault="00485D17" w:rsidP="005D2B26">
      <w:pPr>
        <w:pStyle w:val="Caption"/>
        <w:spacing w:before="240"/>
        <w:ind w:left="1560" w:hanging="1560"/>
        <w:jc w:val="left"/>
      </w:pPr>
      <w:r w:rsidRPr="005D2B26">
        <w:t xml:space="preserve">Tabulka č. </w:t>
      </w:r>
      <w:fldSimple w:instr=" SEQ Tabulka_č._ \* ARABIC ">
        <w:r>
          <w:rPr>
            <w:noProof/>
          </w:rPr>
          <w:t>13</w:t>
        </w:r>
      </w:fldSimple>
      <w:r w:rsidRPr="005D2B26">
        <w:rPr>
          <w:noProof/>
        </w:rPr>
        <w:t xml:space="preserve"> </w:t>
      </w:r>
      <w:r w:rsidRPr="005D2B26">
        <w:t xml:space="preserve">Přehled výhledu sociálních mandatorních výdajů podle jednotlivých výdajových </w:t>
      </w:r>
      <w:r w:rsidRPr="001C7774">
        <w:t xml:space="preserve">segmentů </w:t>
      </w:r>
      <w:r>
        <w:t>v mil. Kč</w:t>
      </w:r>
    </w:p>
    <w:p w:rsidR="00485D17" w:rsidRPr="005D2B26" w:rsidRDefault="00485D17" w:rsidP="005D2B26">
      <w:pPr>
        <w:ind w:firstLine="0"/>
      </w:pPr>
      <w:r>
        <w:pict>
          <v:shape id="_x0000_i1050" type="#_x0000_t75" style="width:693.6pt;height:289.8pt">
            <v:imagedata r:id="rId38" o:title=""/>
          </v:shape>
        </w:pict>
      </w:r>
    </w:p>
    <w:p w:rsidR="00485D17" w:rsidRPr="007F67C9" w:rsidRDefault="00485D17" w:rsidP="007F67C9">
      <w:pPr>
        <w:ind w:firstLine="0"/>
        <w:rPr>
          <w:highlight w:val="yellow"/>
        </w:rPr>
      </w:pPr>
    </w:p>
    <w:p w:rsidR="00485D17" w:rsidRPr="00234C54" w:rsidRDefault="00485D17" w:rsidP="00D56543">
      <w:pPr>
        <w:ind w:firstLine="0"/>
        <w:jc w:val="left"/>
        <w:rPr>
          <w:highlight w:val="yellow"/>
        </w:rPr>
        <w:sectPr w:rsidR="00485D17" w:rsidRPr="00234C54" w:rsidSect="00150815">
          <w:pgSz w:w="16838" w:h="11906" w:orient="landscape"/>
          <w:pgMar w:top="1418" w:right="1418" w:bottom="1106" w:left="1418" w:header="709" w:footer="709" w:gutter="0"/>
          <w:cols w:space="708"/>
          <w:docGrid w:linePitch="360"/>
        </w:sectPr>
      </w:pPr>
    </w:p>
    <w:p w:rsidR="00485D17" w:rsidRPr="00E22106" w:rsidRDefault="00485D17" w:rsidP="006D5410">
      <w:pPr>
        <w:pStyle w:val="Heading3"/>
        <w:rPr>
          <w:rStyle w:val="Tuntext"/>
          <w:b/>
        </w:rPr>
      </w:pPr>
      <w:bookmarkStart w:id="122" w:name="_Toc428706749"/>
      <w:bookmarkEnd w:id="121"/>
      <w:r w:rsidRPr="00E22106">
        <w:rPr>
          <w:rStyle w:val="Tuntext"/>
          <w:b/>
        </w:rPr>
        <w:t>Odvody vlastních zdrojů do rozpočtu EU</w:t>
      </w:r>
      <w:bookmarkEnd w:id="122"/>
    </w:p>
    <w:p w:rsidR="00485D17" w:rsidRPr="00204480" w:rsidRDefault="00485D17" w:rsidP="00204480">
      <w:pPr>
        <w:ind w:firstLine="538"/>
      </w:pPr>
      <w:r w:rsidRPr="00204480">
        <w:t>V návaznosti na přípravu rozpočtového výhledu na roky 2017 - 2018 byla pro výši vlastních zdrojů EU, které jsou financovány ze státního rozpočtu (tj. zdrojů dle DPH, HND, korekci UK a hrubé snížení), použita následující východiska.</w:t>
      </w:r>
    </w:p>
    <w:p w:rsidR="00485D17" w:rsidRPr="00204480" w:rsidRDefault="00485D17" w:rsidP="00204480">
      <w:pPr>
        <w:numPr>
          <w:ilvl w:val="0"/>
          <w:numId w:val="23"/>
        </w:numPr>
        <w:tabs>
          <w:tab w:val="num" w:pos="540"/>
        </w:tabs>
        <w:spacing w:before="60" w:after="0"/>
        <w:ind w:left="567" w:hanging="578"/>
      </w:pPr>
      <w:r w:rsidRPr="00204480">
        <w:t>Odhady za rok 2017 a 2018 vychází se ze stropů plateb finančního rámce na roky 2014 – 2020</w:t>
      </w:r>
      <w:r w:rsidRPr="00204480">
        <w:rPr>
          <w:vertAlign w:val="superscript"/>
        </w:rPr>
        <w:footnoteReference w:id="4"/>
      </w:r>
      <w:r w:rsidRPr="00204480">
        <w:t>, z možné mobilizace a financování nástrojů flexibility, které jsou uvedeny mimo finanční rámec a z nové legislativy (tj. rozhodnutí Rady č. 2014/335/EU, Euratom) vztahující se k vlastním zdrojům.</w:t>
      </w:r>
    </w:p>
    <w:p w:rsidR="00485D17" w:rsidRPr="00204480" w:rsidRDefault="00485D17" w:rsidP="00204480">
      <w:pPr>
        <w:numPr>
          <w:ilvl w:val="0"/>
          <w:numId w:val="23"/>
        </w:numPr>
        <w:tabs>
          <w:tab w:val="num" w:pos="540"/>
        </w:tabs>
        <w:spacing w:before="60" w:after="0"/>
        <w:ind w:left="567" w:hanging="567"/>
      </w:pPr>
      <w:r w:rsidRPr="00204480">
        <w:t>V uvedených letech se předpokládá stejný podíl vlastních zdrojů ČR hrazených ze státního rozpočtu na celkových vlastních zdrojích EU hrazených z národních rozpočtů členských zemí. Tento podíl vychází ze schváleného rozpočtu Unie na rok 2015 a z výše HND ČR v metodice ESA 2010.</w:t>
      </w:r>
    </w:p>
    <w:p w:rsidR="00485D17" w:rsidRPr="00E22106" w:rsidRDefault="00485D17" w:rsidP="006D5410">
      <w:pPr>
        <w:pStyle w:val="Heading3"/>
        <w:rPr>
          <w:rStyle w:val="Tuntext"/>
          <w:b/>
        </w:rPr>
      </w:pPr>
      <w:bookmarkStart w:id="123" w:name="_Toc428706750"/>
      <w:r w:rsidRPr="00E22106">
        <w:rPr>
          <w:rStyle w:val="Tuntext"/>
          <w:b/>
        </w:rPr>
        <w:t>Výdaje na platy a ostatní platby za provedenou práci</w:t>
      </w:r>
      <w:bookmarkEnd w:id="123"/>
    </w:p>
    <w:p w:rsidR="00485D17" w:rsidRDefault="00485D17" w:rsidP="00E07B67">
      <w:pPr>
        <w:ind w:firstLine="708"/>
      </w:pPr>
      <w:r>
        <w:t>Ve mzdové oblasti pro roky 2017 a 2018 není v současné době uvažováno s meziročním plošným nárůstem prostředků na platy a ostatní platby za provedenou práci (ostatní osobní náklady) s tím, že příslušné plošné navýšení bude předmětem jednání při přípravě návrhu státního rozpočtu na rok 2017.</w:t>
      </w:r>
    </w:p>
    <w:p w:rsidR="00485D17" w:rsidRDefault="00485D17" w:rsidP="00E07B67">
      <w:pPr>
        <w:ind w:firstLine="708"/>
      </w:pPr>
      <w:r>
        <w:t>Střednědobý výhled v sobě nezahrnuje prostředky na spolufinancování z nadnárodních zdrojů (EU/FM), neboť jsou rozpočtovány pouze ročně.</w:t>
      </w:r>
    </w:p>
    <w:p w:rsidR="00485D17" w:rsidRDefault="00485D17" w:rsidP="00E07B67">
      <w:pPr>
        <w:ind w:firstLine="708"/>
      </w:pPr>
      <w:r>
        <w:tab/>
        <w:t>Ve střednědobém výhledu na rok 2017 dochází k meziročnímu nárůstu objemu prostředků na platy a ostatní platby za provedenou práci bez započtení prostředků EU/FM o 0,29 mld. Kč a nárůstu o 197 míst, z čehož 0,2 mld. Kč tvoří dopad navýšení prostředků na platy soudců, státních zástupců a ostatních ústavních činitelů, jejichž platy se odvíjí od platové základny stanovené zákonem č. 236/1995 Sb., o platu a dalších náležitostech spojených s výkonem funkce představitelů státní moci a některých státních orgánů a soudců, ve znění pozdějších předpisů. Je odhadováno, že platová základna soudců a státních zástupců poroste oproti základně roku 2016 o 3 % a platová základna ostatních ústavních činitelů o 7 %. Odhadovaná výše bude zpřesněna při přípravě rozpočtu na rok 2017 podle aktuální úrovně průměrné nominální měsíční mzdy fyzických osob (přepočtené počty) v nepodnikatelské sféře dosažené podle zveřejněných údajů Českého statistického úřadu za předminulý kalendářní rok, od které se výpočet základny pro platy ústavních činitelů, soudců a státních zástupců odvíjí.</w:t>
      </w:r>
    </w:p>
    <w:p w:rsidR="00485D17" w:rsidRDefault="00485D17" w:rsidP="00E07B67">
      <w:pPr>
        <w:ind w:firstLine="708"/>
      </w:pPr>
      <w:r>
        <w:t>Další vlivy v celkové výši 0,1 mld. Kč představují především výdaje ve výši 0,08 mld. Kč a navýšení 164 míst u Generálního ředitelství cel v souvislosti s rozšířením kompetencí v oblasti trestního řízení a elektronické evidence tržeb, částka 0,02 mld. Kč a 49 míst vojáků u Ministerstva obrany na řešení kybernetické obrany, dále pak například zařazení výdajů na výplatu odchodného pro poslance či navýšení prostředků na platy a 10 míst u Ministerstva spravedlnosti na dopady zákona o střetu zájmů (UV č. 588/2015). Záporně se v rozpočtu projevují jednorázové vlivy z roku 2016 (např. dopad UV č. 604/2015) a některé vlivy přenesené ze střednědobého výhledu na rok 2017 schváleného UV č. 769/2014.</w:t>
      </w:r>
    </w:p>
    <w:p w:rsidR="00485D17" w:rsidRDefault="00485D17" w:rsidP="00E07B67">
      <w:pPr>
        <w:ind w:firstLine="708"/>
      </w:pPr>
      <w:r>
        <w:tab/>
        <w:t>Ve střednědobém výhledu na rok 2018 dochází k meziročnímu nárůstu objemu prostředků na platy a ostatní platby za provedenou práci celkem o 0,43 mld. Kč a k nárůstu o 290 míst. Nejvýraznějšími vlivy jsou dopad navýšení prostředků na platy soudců, státních zástupců a ostatních ústavních činitelů ve výši 0,2 mld. Kč, kdy růst platové základny oproti platové základně roku 2017 je odhadován u soudců a státních zástupců o 3 % a u ostatních ústavních činitelů o 5 % (přesnou výši bude možno stanovit až při přípravě rozpočtu na rok 2018), dále  částka 0,17 mld. Kč a 284 míst u Generálního ředitelství cel v souvislosti s rozšířením kompetencí v oblasti trestního řízení a elektronické evidence tržeb a zařazení výdajů ve výši 0,05 mld. Kč na odchodné poslanců v kapitole Poslanecká sněmovna Parlamentu ČR.</w:t>
      </w:r>
    </w:p>
    <w:p w:rsidR="00485D17" w:rsidRDefault="00485D17" w:rsidP="00E07B67">
      <w:pPr>
        <w:ind w:firstLine="708"/>
      </w:pPr>
      <w:r>
        <w:tab/>
        <w:t>Souhrnné údaje o vývoji objemu prostředků na platy a ostatní platby za provedenou práci, počtu míst a průměrném platu uvádí následující tabulka. Údaje jsou poměřovány mezi rozpočty očištěnými o prostředky spolufinancování z EU/FM.</w:t>
      </w:r>
    </w:p>
    <w:p w:rsidR="00485D17" w:rsidRDefault="00485D17" w:rsidP="006F2FC0">
      <w:pPr>
        <w:pStyle w:val="Caption"/>
        <w:spacing w:before="240"/>
        <w:ind w:left="1418" w:hanging="1418"/>
        <w:jc w:val="left"/>
      </w:pPr>
      <w:r w:rsidRPr="004B5CB9">
        <w:t xml:space="preserve">Tabulka č. </w:t>
      </w:r>
      <w:fldSimple w:instr=" SEQ Tabulka_č._ \* ARABIC ">
        <w:r>
          <w:rPr>
            <w:noProof/>
          </w:rPr>
          <w:t>14</w:t>
        </w:r>
      </w:fldSimple>
      <w:r w:rsidRPr="004B5CB9">
        <w:t xml:space="preserve"> </w:t>
      </w:r>
      <w:r w:rsidRPr="00642EB0">
        <w:t>Vývoj objemu prostředků na platy a ostatní platby za</w:t>
      </w:r>
      <w:r>
        <w:t xml:space="preserve"> provedenou práci, počtu míst a </w:t>
      </w:r>
      <w:r w:rsidRPr="00642EB0">
        <w:t>průměrných platů v OSS a PO v letech 2012</w:t>
      </w:r>
      <w:r>
        <w:t xml:space="preserve"> – 2018 </w:t>
      </w:r>
      <w:r w:rsidRPr="006A40C3">
        <w:t>(údaje nezahrnují prostředky spolufinancování EU/FM)</w:t>
      </w:r>
    </w:p>
    <w:p w:rsidR="00485D17" w:rsidRPr="00234C54" w:rsidRDefault="00485D17" w:rsidP="00AA026D">
      <w:pPr>
        <w:tabs>
          <w:tab w:val="left" w:pos="426"/>
        </w:tabs>
        <w:ind w:firstLine="0"/>
        <w:rPr>
          <w:highlight w:val="yellow"/>
        </w:rPr>
      </w:pPr>
      <w:r>
        <w:pict>
          <v:shape id="_x0000_i1051" type="#_x0000_t75" style="width:447pt;height:88.8pt">
            <v:imagedata r:id="rId39" o:title=""/>
          </v:shape>
        </w:pict>
      </w:r>
    </w:p>
    <w:p w:rsidR="00485D17" w:rsidRPr="00E22106" w:rsidRDefault="00485D17" w:rsidP="006D5410">
      <w:pPr>
        <w:pStyle w:val="Heading3"/>
        <w:rPr>
          <w:rStyle w:val="Tuntext"/>
          <w:b/>
        </w:rPr>
      </w:pPr>
      <w:bookmarkStart w:id="124" w:name="_Toc428706751"/>
      <w:r w:rsidRPr="00E22106">
        <w:rPr>
          <w:rStyle w:val="Tuntext"/>
          <w:b/>
        </w:rPr>
        <w:t>Výdaje na výzkum, vývoj a inovace</w:t>
      </w:r>
      <w:bookmarkEnd w:id="124"/>
    </w:p>
    <w:p w:rsidR="00485D17" w:rsidRPr="001345E4" w:rsidRDefault="00485D17" w:rsidP="00610278">
      <w:pPr>
        <w:ind w:firstLine="720"/>
      </w:pPr>
      <w:bookmarkStart w:id="125" w:name="_Toc206999985"/>
      <w:bookmarkStart w:id="126" w:name="_Toc241917806"/>
      <w:r w:rsidRPr="001345E4">
        <w:t>Prostředky v této oblasti jsou rozpočtovány ve výši 29 mld. Kč (bez EU) v roce 2017 a</w:t>
      </w:r>
      <w:r>
        <w:t> </w:t>
      </w:r>
      <w:r w:rsidRPr="001345E4">
        <w:t>29,2 mld. Kč v roce 2018. Podíl výdajů na výzkum, vývoj a inovace na celkových výdajích státního rozpočtu se v letech střednědobého výhledu pohybuje na úrovni okolo 2,5 %.</w:t>
      </w:r>
    </w:p>
    <w:p w:rsidR="00485D17" w:rsidRPr="004F647A" w:rsidRDefault="00485D17" w:rsidP="00323167">
      <w:pPr>
        <w:pStyle w:val="Heading2"/>
      </w:pPr>
      <w:bookmarkStart w:id="127" w:name="_Toc333680185"/>
      <w:bookmarkStart w:id="128" w:name="_Toc428706752"/>
      <w:r w:rsidRPr="004F647A">
        <w:t>Předpokládaný způsob financování</w:t>
      </w:r>
      <w:bookmarkEnd w:id="125"/>
      <w:r w:rsidRPr="004F647A">
        <w:t xml:space="preserve"> deficitu</w:t>
      </w:r>
      <w:bookmarkEnd w:id="126"/>
      <w:bookmarkEnd w:id="127"/>
      <w:bookmarkEnd w:id="128"/>
    </w:p>
    <w:p w:rsidR="00485D17" w:rsidRPr="00D819EA" w:rsidRDefault="00485D17" w:rsidP="004E71E9">
      <w:pPr>
        <w:ind w:firstLine="720"/>
      </w:pPr>
      <w:r w:rsidRPr="004F647A">
        <w:t>V předloženém střednědobém výhledu státního rozpočtu se předpokládá, že schodky státního rozpočtu budou vypořádány emisemi státních dluhopisů na finančních trzích a změnou stavu na účtech státních finančních aktiv</w:t>
      </w:r>
      <w:r>
        <w:t>, v roce 2017 pak i přijetím úvěru od zahraničních institucí.</w:t>
      </w:r>
    </w:p>
    <w:p w:rsidR="00485D17" w:rsidRPr="00E3632E" w:rsidRDefault="00485D17" w:rsidP="00CD1232">
      <w:pPr>
        <w:pStyle w:val="Heading1"/>
        <w:ind w:left="0"/>
      </w:pPr>
      <w:bookmarkStart w:id="129" w:name="_Toc206999986"/>
      <w:bookmarkStart w:id="130" w:name="_Toc241917807"/>
      <w:bookmarkStart w:id="131" w:name="_Toc333680186"/>
      <w:bookmarkStart w:id="132" w:name="_Toc428706753"/>
      <w:r w:rsidRPr="00E3632E">
        <w:t>Základní ukazatele státních fondů</w:t>
      </w:r>
      <w:bookmarkEnd w:id="129"/>
      <w:bookmarkEnd w:id="130"/>
      <w:r w:rsidRPr="00E3632E">
        <w:t xml:space="preserve"> ve střednědobém výhledu</w:t>
      </w:r>
      <w:bookmarkEnd w:id="131"/>
      <w:bookmarkEnd w:id="132"/>
    </w:p>
    <w:p w:rsidR="00485D17" w:rsidRPr="004F647A" w:rsidRDefault="00485D17" w:rsidP="00543635">
      <w:pPr>
        <w:pStyle w:val="BodyText"/>
        <w:numPr>
          <w:ilvl w:val="12"/>
          <w:numId w:val="0"/>
        </w:numPr>
        <w:spacing w:before="120" w:after="120" w:line="360" w:lineRule="auto"/>
        <w:ind w:firstLine="720"/>
        <w:jc w:val="both"/>
      </w:pPr>
      <w:bookmarkStart w:id="133" w:name="_Toc206999987"/>
      <w:bookmarkStart w:id="134" w:name="_Toc241917808"/>
      <w:r w:rsidRPr="004F647A">
        <w:t xml:space="preserve">Státní fondy jsou samostatné právnické osoby zřízené příslušnými zákony. Střednědobý výhled státních fondů obsahuje očekávané příjmy a výdaje státních fondů na rok, na který je předkládán návrh státního rozpočtu a na dva roky bezprostředně následující po tomto roce. </w:t>
      </w:r>
    </w:p>
    <w:p w:rsidR="00485D17" w:rsidRPr="004F647A" w:rsidRDefault="00485D17" w:rsidP="00543635">
      <w:pPr>
        <w:pStyle w:val="BodyText"/>
        <w:numPr>
          <w:ilvl w:val="12"/>
          <w:numId w:val="0"/>
        </w:numPr>
        <w:spacing w:before="120" w:after="120" w:line="360" w:lineRule="auto"/>
        <w:ind w:firstLine="720"/>
        <w:jc w:val="both"/>
      </w:pPr>
      <w:r w:rsidRPr="004F647A">
        <w:t>V České republice jsou zřízeny následující státní fondy.</w:t>
      </w:r>
    </w:p>
    <w:p w:rsidR="00485D17" w:rsidRPr="004F647A" w:rsidRDefault="00485D17" w:rsidP="00D56543">
      <w:pPr>
        <w:numPr>
          <w:ilvl w:val="0"/>
          <w:numId w:val="3"/>
        </w:numPr>
        <w:tabs>
          <w:tab w:val="clear" w:pos="284"/>
          <w:tab w:val="num" w:pos="709"/>
        </w:tabs>
        <w:spacing w:line="240" w:lineRule="auto"/>
        <w:ind w:left="709" w:hanging="709"/>
      </w:pPr>
      <w:r w:rsidRPr="004F647A">
        <w:t>Státní fond dopravní infrastruktury</w:t>
      </w:r>
    </w:p>
    <w:p w:rsidR="00485D17" w:rsidRPr="004F647A" w:rsidRDefault="00485D17" w:rsidP="00D56543">
      <w:pPr>
        <w:numPr>
          <w:ilvl w:val="0"/>
          <w:numId w:val="3"/>
        </w:numPr>
        <w:tabs>
          <w:tab w:val="clear" w:pos="284"/>
          <w:tab w:val="num" w:pos="709"/>
        </w:tabs>
        <w:spacing w:line="240" w:lineRule="auto"/>
        <w:ind w:left="709" w:hanging="709"/>
      </w:pPr>
      <w:r w:rsidRPr="004F647A">
        <w:t>Státní zemědělský intervenční fond</w:t>
      </w:r>
    </w:p>
    <w:p w:rsidR="00485D17" w:rsidRPr="004F647A" w:rsidRDefault="00485D17" w:rsidP="00D56543">
      <w:pPr>
        <w:numPr>
          <w:ilvl w:val="0"/>
          <w:numId w:val="3"/>
        </w:numPr>
        <w:tabs>
          <w:tab w:val="clear" w:pos="284"/>
          <w:tab w:val="num" w:pos="709"/>
        </w:tabs>
        <w:spacing w:line="240" w:lineRule="auto"/>
        <w:ind w:left="709" w:hanging="709"/>
      </w:pPr>
      <w:r w:rsidRPr="004F647A">
        <w:t>Státní fond kinematografie</w:t>
      </w:r>
    </w:p>
    <w:p w:rsidR="00485D17" w:rsidRPr="004F647A" w:rsidRDefault="00485D17" w:rsidP="00D56543">
      <w:pPr>
        <w:numPr>
          <w:ilvl w:val="0"/>
          <w:numId w:val="3"/>
        </w:numPr>
        <w:tabs>
          <w:tab w:val="clear" w:pos="284"/>
          <w:tab w:val="num" w:pos="709"/>
        </w:tabs>
        <w:spacing w:line="240" w:lineRule="auto"/>
        <w:ind w:left="709" w:hanging="709"/>
      </w:pPr>
      <w:r w:rsidRPr="004F647A">
        <w:t>Státní fond kultury České republiky</w:t>
      </w:r>
    </w:p>
    <w:p w:rsidR="00485D17" w:rsidRPr="004F647A" w:rsidRDefault="00485D17" w:rsidP="00D56543">
      <w:pPr>
        <w:numPr>
          <w:ilvl w:val="0"/>
          <w:numId w:val="3"/>
        </w:numPr>
        <w:tabs>
          <w:tab w:val="clear" w:pos="284"/>
          <w:tab w:val="num" w:pos="709"/>
        </w:tabs>
        <w:spacing w:line="240" w:lineRule="auto"/>
        <w:ind w:left="709" w:hanging="709"/>
      </w:pPr>
      <w:r w:rsidRPr="004F647A">
        <w:t>Státní fond rozvoje bydlení</w:t>
      </w:r>
    </w:p>
    <w:p w:rsidR="00485D17" w:rsidRPr="004F647A" w:rsidRDefault="00485D17" w:rsidP="00D56543">
      <w:pPr>
        <w:numPr>
          <w:ilvl w:val="0"/>
          <w:numId w:val="3"/>
        </w:numPr>
        <w:tabs>
          <w:tab w:val="clear" w:pos="284"/>
          <w:tab w:val="num" w:pos="709"/>
        </w:tabs>
        <w:spacing w:line="240" w:lineRule="auto"/>
        <w:ind w:left="709" w:hanging="709"/>
      </w:pPr>
      <w:r w:rsidRPr="004F647A">
        <w:t>Státní fond životního prostředí České republiky</w:t>
      </w:r>
    </w:p>
    <w:p w:rsidR="00485D17" w:rsidRPr="0057788B" w:rsidRDefault="00485D17" w:rsidP="00D56543">
      <w:pPr>
        <w:pStyle w:val="Heading2"/>
        <w:spacing w:before="480"/>
        <w:rPr>
          <w:rStyle w:val="Tuntext"/>
          <w:b/>
          <w:sz w:val="28"/>
        </w:rPr>
      </w:pPr>
      <w:bookmarkStart w:id="135" w:name="_Toc428706754"/>
      <w:r w:rsidRPr="0057788B">
        <w:rPr>
          <w:rStyle w:val="Tuntext"/>
          <w:b/>
          <w:sz w:val="28"/>
        </w:rPr>
        <w:t>Státní fond dopravní infrastruktury</w:t>
      </w:r>
      <w:bookmarkEnd w:id="135"/>
      <w:r w:rsidRPr="0057788B">
        <w:rPr>
          <w:rStyle w:val="Tuntext"/>
          <w:b/>
          <w:sz w:val="28"/>
        </w:rPr>
        <w:t xml:space="preserve"> </w:t>
      </w:r>
    </w:p>
    <w:p w:rsidR="00485D17" w:rsidRPr="002765E3" w:rsidRDefault="00485D17" w:rsidP="00F02E9F">
      <w:r w:rsidRPr="00F92DEA">
        <w:t xml:space="preserve">Návrh rozpočtu na rok 2016 i </w:t>
      </w:r>
      <w:r>
        <w:t xml:space="preserve">na </w:t>
      </w:r>
      <w:r w:rsidRPr="00F92DEA">
        <w:t>oba následující roky střednědobého výhledu jsou sestaveny jako vyrovnané. Celkové příjmy a výdaje jsou pro rok 2016 rozpočtovány ve výši 61,4</w:t>
      </w:r>
      <w:r>
        <w:t> </w:t>
      </w:r>
      <w:r w:rsidRPr="00F92DEA">
        <w:t xml:space="preserve">mld. Kč a pro roky 2017 a 2018 ve výši 47 mld. Kč, resp. 48 mld. Kč. Hlavní zdroje příjmů v návrhu </w:t>
      </w:r>
      <w:r w:rsidRPr="002765E3">
        <w:t>na rok 2016 tvoří spotřební daň z minerálních olejů ve výši 7,4 mld. Kč, silniční daň ve</w:t>
      </w:r>
      <w:r>
        <w:t> </w:t>
      </w:r>
      <w:r w:rsidRPr="002765E3">
        <w:t>výši 5,7 mld. Kč, poplatek za užívání dálnic a rychlostních silnic ve výši 4,2 mld. Kč a mýtné ve</w:t>
      </w:r>
      <w:r>
        <w:t> </w:t>
      </w:r>
      <w:r w:rsidRPr="002765E3">
        <w:t>výši 9 mld. Kč. Přijaté transfery (dotace) jsou v návrhu na rok 2016 rozpočtovány v celkové výši 35,1 mld. Kč, z toho dotace ze státního rozpočtu z kapitoly Ministerstva dopravy určené na společné programy EU a ČR ve výši 14,3 mld. Kč. Dotace ze státního rozpočtu určené na</w:t>
      </w:r>
      <w:r>
        <w:t> </w:t>
      </w:r>
      <w:r w:rsidRPr="002765E3">
        <w:t>krytí deficitu jsou pro rok 2016 stanoveny na 20,8 mld. Kč. Přijaté transfery na rok 2017 jsou plánovány ve výši 21,2 mld. Kč a na rok 2018 ve výši 21,9 mld. Kč, z toho dotace ze státního rozpočtu určené na krytí deficitu jsou stanoveny na 18,2 mld. Kč v roce 2017 a na 21,9 mld. Kč v roce 2018.</w:t>
      </w:r>
    </w:p>
    <w:p w:rsidR="00485D17" w:rsidRPr="000D0D5F" w:rsidRDefault="00485D17" w:rsidP="00F02E9F">
      <w:r w:rsidRPr="002765E3">
        <w:t>Na výdajové straně v roce 2016 z celkových výdajů ve výši 61,4 mld. Kč tvoří rozhodující část výdaje určené</w:t>
      </w:r>
      <w:r w:rsidRPr="000C6229">
        <w:t xml:space="preserve"> na výstavbu, modernizaci, opravy a údržbu silnic, dálnic</w:t>
      </w:r>
      <w:r>
        <w:t>,</w:t>
      </w:r>
      <w:r w:rsidRPr="000C6229">
        <w:t xml:space="preserve"> celostátních i regionálních drah</w:t>
      </w:r>
      <w:r>
        <w:t>, na výstavbu a modernizaci vodních cest a na příspěvkové programy</w:t>
      </w:r>
      <w:r w:rsidRPr="000C6229">
        <w:t xml:space="preserve">. </w:t>
      </w:r>
      <w:r>
        <w:t xml:space="preserve">Fond uvažuje v roce 2016 se zapojením zůstatků na účtech fondu v očekávané výši 4,2 mld. Kč. </w:t>
      </w:r>
      <w:r w:rsidRPr="000D0D5F">
        <w:t>Výdaje na roky 2017 a 2018 jsou rozpočtovány ve výši 47 mld. Kč, resp. 48 mld. Kč</w:t>
      </w:r>
      <w:r>
        <w:t>, které neosahují prostředky EU a FM (promítají se až při přípravě ročního rozpočtu).</w:t>
      </w:r>
    </w:p>
    <w:p w:rsidR="00485D17" w:rsidRPr="00874F33" w:rsidRDefault="00485D17" w:rsidP="00D56543">
      <w:pPr>
        <w:pStyle w:val="Caption"/>
        <w:spacing w:before="240"/>
        <w:jc w:val="left"/>
        <w:rPr>
          <w:b w:val="0"/>
          <w:i/>
        </w:rPr>
      </w:pPr>
      <w:r w:rsidRPr="00874F33">
        <w:t xml:space="preserve">Tabulka č. </w:t>
      </w:r>
      <w:fldSimple w:instr=" SEQ Tabulka_č._ \* ARABIC ">
        <w:r>
          <w:rPr>
            <w:noProof/>
          </w:rPr>
          <w:t>15</w:t>
        </w:r>
      </w:fldSimple>
      <w:r w:rsidRPr="00874F33">
        <w:rPr>
          <w:noProof/>
        </w:rPr>
        <w:t xml:space="preserve"> </w:t>
      </w:r>
      <w:r w:rsidRPr="00874F33">
        <w:t xml:space="preserve">Státní fond dopravní infrastruktury </w:t>
      </w:r>
      <w:r w:rsidRPr="00874F33">
        <w:rPr>
          <w:b w:val="0"/>
          <w:i/>
        </w:rPr>
        <w:t>(v Kč)</w:t>
      </w:r>
    </w:p>
    <w:p w:rsidR="00485D17" w:rsidRPr="00874F33" w:rsidRDefault="00485D17" w:rsidP="00874F33">
      <w:pPr>
        <w:ind w:firstLine="0"/>
        <w:rPr>
          <w:highlight w:val="yellow"/>
        </w:rPr>
      </w:pPr>
      <w:r>
        <w:pict>
          <v:shape id="_x0000_i1052" type="#_x0000_t75" style="width:464.4pt;height:163.8pt">
            <v:imagedata r:id="rId40" o:title=""/>
          </v:shape>
        </w:pict>
      </w:r>
    </w:p>
    <w:p w:rsidR="00485D17" w:rsidRPr="0057788B" w:rsidRDefault="00485D17" w:rsidP="0002580A">
      <w:pPr>
        <w:pStyle w:val="Heading2"/>
        <w:rPr>
          <w:rStyle w:val="Tuntext"/>
          <w:b/>
          <w:sz w:val="28"/>
        </w:rPr>
      </w:pPr>
      <w:bookmarkStart w:id="136" w:name="_Toc428706755"/>
      <w:r w:rsidRPr="0057788B">
        <w:rPr>
          <w:rStyle w:val="Tuntext"/>
          <w:b/>
          <w:sz w:val="28"/>
        </w:rPr>
        <w:t>Státní zemědělský intervenční fond</w:t>
      </w:r>
      <w:bookmarkEnd w:id="136"/>
      <w:r w:rsidRPr="0057788B">
        <w:rPr>
          <w:rStyle w:val="Tuntext"/>
          <w:b/>
          <w:sz w:val="28"/>
        </w:rPr>
        <w:t xml:space="preserve"> </w:t>
      </w:r>
    </w:p>
    <w:p w:rsidR="00485D17" w:rsidRPr="0057788B" w:rsidRDefault="00485D17" w:rsidP="0002580A">
      <w:r w:rsidRPr="0057788B">
        <w:t>V návrhu příjmů rozpočtu na rok 2016 v celkové výši 3</w:t>
      </w:r>
      <w:r>
        <w:t>5,9</w:t>
      </w:r>
      <w:r w:rsidRPr="0057788B">
        <w:t xml:space="preserve"> mld. Kč tvoří nejvýznamnější příjmovou položku dotace na Společnou zemědělskou politiku z kapitoly Ministerstva zemědělství ve výši 34,8 mld. Kč. Součástí příjmů fondu je i dotace ze státního rozpočtu na </w:t>
      </w:r>
      <w:r>
        <w:t>krytí deficitu</w:t>
      </w:r>
      <w:r w:rsidRPr="0057788B">
        <w:t xml:space="preserve"> ve výši 0,9 mld. Kč. Celkové přijaté transfery ze státního rozpočtu tak činí 35,7 mld. Kč.</w:t>
      </w:r>
    </w:p>
    <w:p w:rsidR="00485D17" w:rsidRPr="0057788B" w:rsidRDefault="00485D17" w:rsidP="0002580A">
      <w:r w:rsidRPr="0057788B">
        <w:t xml:space="preserve">Celkové výdaje fondu na rok 2016 jsou rozpočtovány ve výši 35,9 mld. Kč. Fond provádí administraci řady podpor, které jsou v rámci Společné zemědělské politiky poskytovány. Jedná se zejména o přímé platby, opatření Společné organizace trhu (finanční podpory, vývozní subvence, dotace, intervenční nákupy aj.) a další výdaje spojené s účastí v Programu rozvoje venkova. </w:t>
      </w:r>
    </w:p>
    <w:p w:rsidR="00485D17" w:rsidRPr="000D0D5F" w:rsidRDefault="00485D17" w:rsidP="000E2920">
      <w:r w:rsidRPr="0057788B">
        <w:t>V letech střednědobého výhledu se předpokládá vyrovnaná bilance ve výši 5,5 mld. Kč v roce 2017 a 5,2 mld. Kč v roce 2018</w:t>
      </w:r>
      <w:r>
        <w:t xml:space="preserve"> </w:t>
      </w:r>
      <w:r w:rsidRPr="0057788B">
        <w:t>na straně příjmů i výdajů fondu.</w:t>
      </w:r>
      <w:r>
        <w:t xml:space="preserve"> Výdaje na léta 2017 a 2018 neosahují prostředky EU a FM (promítají se až při přípravě ročního rozpočtu).</w:t>
      </w:r>
    </w:p>
    <w:p w:rsidR="00485D17" w:rsidRPr="0057788B" w:rsidRDefault="00485D17" w:rsidP="0057788B">
      <w:pPr>
        <w:spacing w:before="0" w:after="240"/>
        <w:rPr>
          <w:i/>
          <w:iCs/>
          <w:sz w:val="20"/>
          <w:szCs w:val="20"/>
        </w:rPr>
      </w:pPr>
    </w:p>
    <w:p w:rsidR="00485D17" w:rsidRPr="00BE0E15" w:rsidRDefault="00485D17" w:rsidP="00D56543">
      <w:pPr>
        <w:pStyle w:val="Caption"/>
        <w:spacing w:before="240"/>
        <w:jc w:val="left"/>
        <w:rPr>
          <w:b w:val="0"/>
          <w:i/>
        </w:rPr>
      </w:pPr>
      <w:r w:rsidRPr="00BE0E15">
        <w:t xml:space="preserve">Tabulka č. </w:t>
      </w:r>
      <w:fldSimple w:instr=" SEQ Tabulka_č._ \* ARABIC ">
        <w:r>
          <w:rPr>
            <w:noProof/>
          </w:rPr>
          <w:t>16</w:t>
        </w:r>
      </w:fldSimple>
      <w:r w:rsidRPr="00BE0E15">
        <w:rPr>
          <w:noProof/>
        </w:rPr>
        <w:t xml:space="preserve"> </w:t>
      </w:r>
      <w:r w:rsidRPr="00BE0E15">
        <w:t xml:space="preserve">Státní zemědělský intervenční fond </w:t>
      </w:r>
      <w:r w:rsidRPr="00BE0E15">
        <w:rPr>
          <w:b w:val="0"/>
          <w:i/>
        </w:rPr>
        <w:t>(v Kč)</w:t>
      </w:r>
    </w:p>
    <w:p w:rsidR="00485D17" w:rsidRPr="0058706B" w:rsidRDefault="00485D17" w:rsidP="0058706B">
      <w:pPr>
        <w:ind w:firstLine="0"/>
        <w:rPr>
          <w:highlight w:val="yellow"/>
        </w:rPr>
      </w:pPr>
      <w:r>
        <w:pict>
          <v:shape id="_x0000_i1053" type="#_x0000_t75" style="width:464.4pt;height:113.4pt">
            <v:imagedata r:id="rId41" o:title=""/>
          </v:shape>
        </w:pict>
      </w:r>
    </w:p>
    <w:p w:rsidR="00485D17" w:rsidRPr="004C131D" w:rsidRDefault="00485D17" w:rsidP="00556D96">
      <w:pPr>
        <w:pStyle w:val="Heading2"/>
        <w:rPr>
          <w:rStyle w:val="Tuntext"/>
          <w:b/>
          <w:sz w:val="28"/>
        </w:rPr>
      </w:pPr>
      <w:bookmarkStart w:id="137" w:name="_Toc428706756"/>
      <w:r w:rsidRPr="004C131D">
        <w:rPr>
          <w:rStyle w:val="Tuntext"/>
          <w:b/>
          <w:sz w:val="28"/>
        </w:rPr>
        <w:t>Státní fond kinematografie</w:t>
      </w:r>
      <w:bookmarkEnd w:id="137"/>
      <w:r w:rsidRPr="004C131D">
        <w:rPr>
          <w:rStyle w:val="Tuntext"/>
          <w:b/>
          <w:sz w:val="28"/>
        </w:rPr>
        <w:t xml:space="preserve"> </w:t>
      </w:r>
    </w:p>
    <w:p w:rsidR="00485D17" w:rsidRPr="008D359E" w:rsidRDefault="00485D17" w:rsidP="00556D96">
      <w:r w:rsidRPr="004C131D">
        <w:t xml:space="preserve">Příjmy Státního fondu kinematografie pro rok 2016 jsou rozpočtovány ve výši 1 226,8 mil. Kč. Z vlastních příjmů fondu tvoří největší část příjmy od provozovatelů televizního vysílání, příjmy z poskytování licencí k užití filmů, k nimž fond vykonává práva výrobce, příjmy od pořadatelů kinematografických představení a příjmy od provozovatelů převzatého vysílání. Celková výše dotace ze státního rozpočtu na rok 2016 je pro fond určena ve výši 981,8 mil. Kč, z toho dotace na filmové pobídky </w:t>
      </w:r>
      <w:r w:rsidRPr="008D359E">
        <w:t xml:space="preserve">činí </w:t>
      </w:r>
      <w:r>
        <w:t>8</w:t>
      </w:r>
      <w:r w:rsidRPr="008D359E">
        <w:t>00 mil</w:t>
      </w:r>
      <w:r>
        <w:t>.</w:t>
      </w:r>
      <w:r w:rsidRPr="008D359E">
        <w:t xml:space="preserve"> Kč.</w:t>
      </w:r>
    </w:p>
    <w:p w:rsidR="00485D17" w:rsidRPr="004C131D" w:rsidRDefault="00485D17" w:rsidP="00556D96">
      <w:pPr>
        <w:pStyle w:val="BodyTextIndent"/>
        <w:ind w:left="0"/>
      </w:pPr>
      <w:r w:rsidRPr="004C131D">
        <w:t>Výdaje pro rok 2016 jsou navrhovány ve výši 1 226,</w:t>
      </w:r>
      <w:r>
        <w:t>9</w:t>
      </w:r>
      <w:r w:rsidRPr="004C131D">
        <w:t xml:space="preserve"> mil. Kč</w:t>
      </w:r>
      <w:r>
        <w:t>, deficit je rozpočtovaný ve výši 91,4 tis. Kč</w:t>
      </w:r>
      <w:r w:rsidRPr="004C131D">
        <w:t xml:space="preserve">. </w:t>
      </w:r>
      <w:r>
        <w:t>V</w:t>
      </w:r>
      <w:r w:rsidRPr="004C131D">
        <w:t>ýdaje jsou určeny především na poskytování podpor projektů v oblasti kinematografie a podporu filmových pobídek.</w:t>
      </w:r>
    </w:p>
    <w:p w:rsidR="00485D17" w:rsidRPr="004C131D" w:rsidRDefault="00485D17" w:rsidP="00556D96">
      <w:pPr>
        <w:ind w:firstLine="708"/>
      </w:pPr>
      <w:r w:rsidRPr="004C131D">
        <w:t>V roce 2017 jsou Státním fondem kinematografie plánovány příjmy i výdaje ve výši 1 256,7 mil. Kč a v roce 2018 pak příjmy i výdaje ve výši 1 223,8 mil. Kč.</w:t>
      </w:r>
    </w:p>
    <w:p w:rsidR="00485D17" w:rsidRPr="00BE0E15" w:rsidRDefault="00485D17" w:rsidP="00D56543">
      <w:pPr>
        <w:pStyle w:val="Caption"/>
        <w:spacing w:before="240"/>
        <w:jc w:val="left"/>
        <w:rPr>
          <w:b w:val="0"/>
          <w:i/>
        </w:rPr>
      </w:pPr>
      <w:r w:rsidRPr="00BE0E15">
        <w:t xml:space="preserve">Tabulka č. </w:t>
      </w:r>
      <w:fldSimple w:instr=" SEQ Tabulka_č._ \* ARABIC ">
        <w:r>
          <w:rPr>
            <w:noProof/>
          </w:rPr>
          <w:t>17</w:t>
        </w:r>
      </w:fldSimple>
      <w:r w:rsidRPr="00BE0E15">
        <w:rPr>
          <w:noProof/>
        </w:rPr>
        <w:t xml:space="preserve"> </w:t>
      </w:r>
      <w:r w:rsidRPr="00BE0E15">
        <w:t xml:space="preserve">Státní fond kinematografie </w:t>
      </w:r>
      <w:r w:rsidRPr="00BE0E15">
        <w:rPr>
          <w:b w:val="0"/>
          <w:i/>
        </w:rPr>
        <w:t>(v Kč)</w:t>
      </w:r>
    </w:p>
    <w:p w:rsidR="00485D17" w:rsidRPr="00BE0E15" w:rsidRDefault="00485D17" w:rsidP="0058706B">
      <w:pPr>
        <w:ind w:firstLine="0"/>
      </w:pPr>
      <w:r>
        <w:pict>
          <v:shape id="_x0000_i1054" type="#_x0000_t75" style="width:464.4pt;height:87pt">
            <v:imagedata r:id="rId42" o:title=""/>
          </v:shape>
        </w:pict>
      </w:r>
    </w:p>
    <w:p w:rsidR="00485D17" w:rsidRPr="002765E3" w:rsidRDefault="00485D17" w:rsidP="00F43885">
      <w:pPr>
        <w:pStyle w:val="Heading2"/>
        <w:rPr>
          <w:rStyle w:val="Tuntext"/>
          <w:b/>
          <w:sz w:val="28"/>
        </w:rPr>
      </w:pPr>
      <w:bookmarkStart w:id="138" w:name="_Toc428706757"/>
      <w:r w:rsidRPr="002765E3">
        <w:rPr>
          <w:rStyle w:val="Tuntext"/>
          <w:b/>
          <w:sz w:val="28"/>
        </w:rPr>
        <w:t>Státní fond kultury České republiky</w:t>
      </w:r>
      <w:bookmarkEnd w:id="138"/>
      <w:r w:rsidRPr="002765E3">
        <w:rPr>
          <w:rStyle w:val="Tuntext"/>
          <w:b/>
          <w:sz w:val="28"/>
        </w:rPr>
        <w:t xml:space="preserve"> </w:t>
      </w:r>
    </w:p>
    <w:p w:rsidR="00485D17" w:rsidRPr="004E6712" w:rsidRDefault="00485D17" w:rsidP="00F43885">
      <w:r w:rsidRPr="004E6712">
        <w:t>Celkové příjmy fondu jsou na rok 2016 rozpočtovány ve výši 63,5 mil. Kč.</w:t>
      </w:r>
    </w:p>
    <w:p w:rsidR="00485D17" w:rsidRPr="002765E3" w:rsidRDefault="00485D17" w:rsidP="0061048C">
      <w:pPr>
        <w:rPr>
          <w:color w:val="000000"/>
        </w:rPr>
      </w:pPr>
      <w:r w:rsidRPr="002765E3">
        <w:rPr>
          <w:color w:val="000000"/>
        </w:rPr>
        <w:t>Hlavní příjmy v roce 201</w:t>
      </w:r>
      <w:r>
        <w:rPr>
          <w:color w:val="000000"/>
        </w:rPr>
        <w:t>6</w:t>
      </w:r>
      <w:r w:rsidRPr="002765E3">
        <w:rPr>
          <w:color w:val="000000"/>
        </w:rPr>
        <w:t xml:space="preserve"> i v následujících letech tvoří výnosy z reklam vysílaných na ČT2 v předpokládané výši 26,5 mil. Kč a příjmy z pronájmu nemovitostí ve výši 33 mil. Kč.</w:t>
      </w:r>
    </w:p>
    <w:p w:rsidR="00485D17" w:rsidRPr="002765E3" w:rsidRDefault="00485D17" w:rsidP="00F43885">
      <w:r w:rsidRPr="002765E3">
        <w:t>Výdaje fondu pro rok 2016 jsou rozpočtovány ve výši 52,6 mil. Kč. Největší výdajové položky představují zákonem stanovené podpory poskytované na projekty v oblasti kultury v předpokládané výši 20 mil. Kč a technické zhodnocení objektů U Hybernů a Národního domu Vinohrady v Praze v předpokládané výši 15,4 mil. Kč.</w:t>
      </w:r>
    </w:p>
    <w:p w:rsidR="00485D17" w:rsidRPr="004E6712" w:rsidRDefault="00485D17" w:rsidP="00F43885">
      <w:r w:rsidRPr="004E6712">
        <w:t>Rozpočty na rok 2016 i léta výhledu 2017 a 2018 jsou navrhovány jako přebytkové. Příjmy jsou na rok 2017 stanoveny ve výši 63,8 mil. Kč a výdaje ve výši 52,6 mil. Kč, na rok  2018 příjmy ve výši 62 mil. Kč a výdaje ve výši 52,5 mil. Kč.</w:t>
      </w:r>
    </w:p>
    <w:p w:rsidR="00485D17" w:rsidRPr="00BE0E15" w:rsidRDefault="00485D17" w:rsidP="00D56543">
      <w:pPr>
        <w:pStyle w:val="Caption"/>
        <w:spacing w:before="240"/>
        <w:jc w:val="left"/>
        <w:rPr>
          <w:b w:val="0"/>
          <w:i/>
        </w:rPr>
      </w:pPr>
      <w:r w:rsidRPr="00BE0E15">
        <w:t xml:space="preserve">Tabulka č. </w:t>
      </w:r>
      <w:fldSimple w:instr=" SEQ Tabulka_č._ \* ARABIC ">
        <w:r>
          <w:rPr>
            <w:noProof/>
          </w:rPr>
          <w:t>18</w:t>
        </w:r>
      </w:fldSimple>
      <w:r w:rsidRPr="00BE0E15">
        <w:rPr>
          <w:noProof/>
        </w:rPr>
        <w:t xml:space="preserve"> </w:t>
      </w:r>
      <w:r w:rsidRPr="00BE0E15">
        <w:t xml:space="preserve">Státní fond kultury ČR </w:t>
      </w:r>
      <w:r w:rsidRPr="00BE0E15">
        <w:rPr>
          <w:b w:val="0"/>
          <w:i/>
        </w:rPr>
        <w:t>(v Kč)</w:t>
      </w:r>
    </w:p>
    <w:p w:rsidR="00485D17" w:rsidRPr="00BE0E15" w:rsidRDefault="00485D17" w:rsidP="0058706B">
      <w:pPr>
        <w:ind w:firstLine="0"/>
      </w:pPr>
      <w:r>
        <w:pict>
          <v:shape id="_x0000_i1055" type="#_x0000_t75" style="width:464.4pt;height:75.6pt">
            <v:imagedata r:id="rId43" o:title=""/>
          </v:shape>
        </w:pict>
      </w:r>
    </w:p>
    <w:p w:rsidR="00485D17" w:rsidRPr="00BE0E15" w:rsidRDefault="00485D17" w:rsidP="00F43885">
      <w:pPr>
        <w:pStyle w:val="Heading2"/>
        <w:rPr>
          <w:rStyle w:val="Tuntext"/>
          <w:b/>
          <w:sz w:val="28"/>
        </w:rPr>
      </w:pPr>
      <w:bookmarkStart w:id="139" w:name="_Toc428706758"/>
      <w:r w:rsidRPr="00BE0E15">
        <w:rPr>
          <w:rStyle w:val="Tuntext"/>
          <w:b/>
          <w:sz w:val="28"/>
        </w:rPr>
        <w:t>Státní fond rozvoje bydlení</w:t>
      </w:r>
      <w:bookmarkEnd w:id="139"/>
      <w:r w:rsidRPr="00BE0E15">
        <w:rPr>
          <w:rStyle w:val="Tuntext"/>
          <w:b/>
          <w:sz w:val="28"/>
        </w:rPr>
        <w:t xml:space="preserve"> </w:t>
      </w:r>
    </w:p>
    <w:p w:rsidR="00485D17" w:rsidRPr="008D359E" w:rsidRDefault="00485D17" w:rsidP="00F43885">
      <w:pPr>
        <w:rPr>
          <w:color w:val="FF0000"/>
        </w:rPr>
      </w:pPr>
      <w:r w:rsidRPr="008D359E">
        <w:t xml:space="preserve">Pro rok 2016 jsou příjmy rozpočtovány ve výši 958 mil. Kč, ve výhledu na rok 2017 ve výši 937,2 mil. Kč a na rok 2018 ve výši 950,8 mil. Kč.  Příjmy fondu jsou tvořeny především splátkami úvěrů, které fond poskytl. Roční splátky úvěrů </w:t>
      </w:r>
      <w:r>
        <w:t xml:space="preserve">v roce 2016 </w:t>
      </w:r>
      <w:r w:rsidRPr="008D359E">
        <w:t>činí 735,4 mil. Kč. Úroky z těchto úvěrů činí 103 mil. Kč. Dotace ze státního rozpočtu na rok 2016 z rozpočtu MMR je ve</w:t>
      </w:r>
      <w:r>
        <w:t> </w:t>
      </w:r>
      <w:r w:rsidRPr="008D359E">
        <w:t>výši 118,6 mil. Kč.</w:t>
      </w:r>
    </w:p>
    <w:p w:rsidR="00485D17" w:rsidRPr="008D359E" w:rsidRDefault="00485D17" w:rsidP="00F43885">
      <w:r w:rsidRPr="008D359E">
        <w:t>Výdaje na rok 2016 jsou stanoveny na 2</w:t>
      </w:r>
      <w:r>
        <w:t> </w:t>
      </w:r>
      <w:r w:rsidRPr="008D359E">
        <w:t>3</w:t>
      </w:r>
      <w:r>
        <w:t>23,8</w:t>
      </w:r>
      <w:r w:rsidRPr="008D359E">
        <w:t xml:space="preserve"> m</w:t>
      </w:r>
      <w:r>
        <w:t>i</w:t>
      </w:r>
      <w:r w:rsidRPr="008D359E">
        <w:t>l. Kč a jsou především určeny na úvěry fyzickým a právnickým osobám ve výši 1</w:t>
      </w:r>
      <w:r>
        <w:t xml:space="preserve"> </w:t>
      </w:r>
      <w:r w:rsidRPr="008D359E">
        <w:t>06</w:t>
      </w:r>
      <w:r>
        <w:t>0</w:t>
      </w:r>
      <w:r w:rsidRPr="008D359E">
        <w:t xml:space="preserve"> m</w:t>
      </w:r>
      <w:r>
        <w:t>i</w:t>
      </w:r>
      <w:r w:rsidRPr="008D359E">
        <w:t>l. Kč, na výplatu úrokových dotací k úvěrům na</w:t>
      </w:r>
      <w:r>
        <w:t> </w:t>
      </w:r>
      <w:r w:rsidRPr="008D359E">
        <w:t>rekonstrukce a modernizace bytových domů 2001 - 2010 ve výši 769 mil. Kč, na výplatu úrokových dotací k úvěrům na rekonstrukce a modernizace bytových domů z roku 2011 ve výši 150 mil. Kč, na výdaje zajišťování podpor ve výši 154,</w:t>
      </w:r>
      <w:r>
        <w:t>1</w:t>
      </w:r>
      <w:r w:rsidRPr="008D359E">
        <w:t xml:space="preserve"> mil. Kč, na snižování jistiny úvěrů mladým lidem na výstavbu ve výši 50 mil. Kč a na správní výdaje fondu ve výši 72,1 mil. Kč.</w:t>
      </w:r>
    </w:p>
    <w:p w:rsidR="00485D17" w:rsidRPr="00DA236B" w:rsidRDefault="00485D17" w:rsidP="00F43885">
      <w:r w:rsidRPr="008D359E">
        <w:t>V roce 2017 jsou příjmy plánovány ve výši 937,2 mil. Kč a výdaje ve výši 2</w:t>
      </w:r>
      <w:r>
        <w:t> </w:t>
      </w:r>
      <w:r w:rsidRPr="008D359E">
        <w:t>1</w:t>
      </w:r>
      <w:r>
        <w:t>43,6 </w:t>
      </w:r>
      <w:r w:rsidRPr="008D359E">
        <w:t>m</w:t>
      </w:r>
      <w:r>
        <w:t>i</w:t>
      </w:r>
      <w:r w:rsidRPr="008D359E">
        <w:t>l.</w:t>
      </w:r>
      <w:r>
        <w:t> </w:t>
      </w:r>
      <w:r w:rsidRPr="008D359E">
        <w:t>Kč, v roce 2018 příjmy ve výši 950,8 mil. Kč a výdaje ve výši 2</w:t>
      </w:r>
      <w:r>
        <w:t> </w:t>
      </w:r>
      <w:r w:rsidRPr="008D359E">
        <w:t>1</w:t>
      </w:r>
      <w:r>
        <w:t>34,9</w:t>
      </w:r>
      <w:r w:rsidRPr="008D359E">
        <w:t xml:space="preserve"> m</w:t>
      </w:r>
      <w:r>
        <w:t>i</w:t>
      </w:r>
      <w:r w:rsidRPr="008D359E">
        <w:t>l. Kč.</w:t>
      </w:r>
    </w:p>
    <w:p w:rsidR="00485D17" w:rsidRPr="00BE0E15" w:rsidRDefault="00485D17" w:rsidP="00D56543">
      <w:pPr>
        <w:pStyle w:val="Caption"/>
        <w:spacing w:before="240"/>
        <w:jc w:val="left"/>
        <w:rPr>
          <w:b w:val="0"/>
          <w:i/>
        </w:rPr>
      </w:pPr>
      <w:r w:rsidRPr="00BE0E15">
        <w:t xml:space="preserve">Tabulka č. </w:t>
      </w:r>
      <w:fldSimple w:instr=" SEQ Tabulka_č._ \* ARABIC ">
        <w:r>
          <w:rPr>
            <w:noProof/>
          </w:rPr>
          <w:t>19</w:t>
        </w:r>
      </w:fldSimple>
      <w:r w:rsidRPr="00BE0E15">
        <w:rPr>
          <w:noProof/>
        </w:rPr>
        <w:t xml:space="preserve"> </w:t>
      </w:r>
      <w:r w:rsidRPr="00BE0E15">
        <w:t xml:space="preserve">Státní fond rozvoje bydlení </w:t>
      </w:r>
      <w:r w:rsidRPr="00BE0E15">
        <w:rPr>
          <w:b w:val="0"/>
          <w:i/>
        </w:rPr>
        <w:t>(v Kč)</w:t>
      </w:r>
    </w:p>
    <w:p w:rsidR="00485D17" w:rsidRPr="00BE0E15" w:rsidRDefault="00485D17" w:rsidP="0052449E">
      <w:pPr>
        <w:ind w:firstLine="0"/>
        <w:jc w:val="left"/>
      </w:pPr>
      <w:r>
        <w:pict>
          <v:shape id="_x0000_i1056" type="#_x0000_t75" style="width:464.4pt;height:93.6pt">
            <v:imagedata r:id="rId44" o:title=""/>
          </v:shape>
        </w:pict>
      </w:r>
    </w:p>
    <w:p w:rsidR="00485D17" w:rsidRPr="00810130" w:rsidRDefault="00485D17" w:rsidP="0048025C">
      <w:pPr>
        <w:pStyle w:val="Heading2"/>
        <w:rPr>
          <w:rStyle w:val="Tuntext"/>
          <w:b/>
          <w:sz w:val="28"/>
        </w:rPr>
      </w:pPr>
      <w:bookmarkStart w:id="140" w:name="_Toc428706759"/>
      <w:r w:rsidRPr="00810130">
        <w:rPr>
          <w:rStyle w:val="Tuntext"/>
          <w:b/>
          <w:sz w:val="28"/>
        </w:rPr>
        <w:t>Státní fond životního prostředí České republiky</w:t>
      </w:r>
      <w:bookmarkEnd w:id="140"/>
      <w:r w:rsidRPr="00810130">
        <w:rPr>
          <w:rStyle w:val="Tuntext"/>
          <w:b/>
          <w:sz w:val="28"/>
        </w:rPr>
        <w:t xml:space="preserve"> </w:t>
      </w:r>
    </w:p>
    <w:p w:rsidR="00485D17" w:rsidRPr="00810130" w:rsidRDefault="00485D17" w:rsidP="0048025C">
      <w:r w:rsidRPr="00A54CCE">
        <w:t>Příjmy fondu jsou pro rok 2016 rozpočtovány ve výši 1</w:t>
      </w:r>
      <w:r>
        <w:t> 766,5</w:t>
      </w:r>
      <w:r w:rsidRPr="00A54CCE">
        <w:t xml:space="preserve"> m</w:t>
      </w:r>
      <w:r>
        <w:t>il</w:t>
      </w:r>
      <w:r w:rsidRPr="00A54CCE">
        <w:t>. Kč</w:t>
      </w:r>
      <w:r w:rsidRPr="00A941EC">
        <w:t>, přičemž převážnou část příjmů tvoří poplatky za znečišťování životního prostředí ve výši 1</w:t>
      </w:r>
      <w:r>
        <w:t xml:space="preserve"> 207</w:t>
      </w:r>
      <w:r w:rsidRPr="00A941EC">
        <w:t xml:space="preserve"> m</w:t>
      </w:r>
      <w:r>
        <w:t>il</w:t>
      </w:r>
      <w:r w:rsidRPr="00A941EC">
        <w:t>. Kč</w:t>
      </w:r>
      <w:r w:rsidRPr="00810130">
        <w:t xml:space="preserve">. Zbývající část příjmů tvoří dotace ze státního rozpočtu na úhradu výdajů vynaložených z technické asistence programů EU ve výši 300 mil. Kč, dále splátky půjček poskytnutých příjemcům podpor ve výši 242,3 mil. Kč a platby úroků z těchto půjček ve výši 17,2 mil. Kč. </w:t>
      </w:r>
    </w:p>
    <w:p w:rsidR="00485D17" w:rsidRPr="00810130" w:rsidRDefault="00485D17" w:rsidP="0048025C">
      <w:r w:rsidRPr="00A54CCE">
        <w:t xml:space="preserve">Výdaje fondu na rok 2016 jsou stanoveny ve výši </w:t>
      </w:r>
      <w:r>
        <w:t>1 990</w:t>
      </w:r>
      <w:r w:rsidRPr="00A54CCE">
        <w:t xml:space="preserve"> m</w:t>
      </w:r>
      <w:r>
        <w:t>il</w:t>
      </w:r>
      <w:r w:rsidRPr="00A54CCE">
        <w:t>. Kč</w:t>
      </w:r>
      <w:r w:rsidRPr="00810130">
        <w:t>. Největší výdaje představuje kofinancování závazků v rámci programu OPŽP ve výši 470,3 m</w:t>
      </w:r>
      <w:r>
        <w:t>i</w:t>
      </w:r>
      <w:r w:rsidRPr="00810130">
        <w:t xml:space="preserve">l. Kč, výdaje na akce národních programů ve výši </w:t>
      </w:r>
      <w:r>
        <w:t>409</w:t>
      </w:r>
      <w:r w:rsidRPr="00810130">
        <w:t xml:space="preserve"> mil. Kč, financování programu Nová Zelená úsporám 2013 (NZÚ 2013) ve výši 3</w:t>
      </w:r>
      <w:r>
        <w:t>9</w:t>
      </w:r>
      <w:r w:rsidRPr="00810130">
        <w:t xml:space="preserve">6,7 mil. Kč a úhrada nákladů spojených s činností kanceláře fondu včetně technické asistence ve výši 614 mil. Kč.  </w:t>
      </w:r>
    </w:p>
    <w:p w:rsidR="00485D17" w:rsidRPr="00A54CCE" w:rsidRDefault="00485D17" w:rsidP="0048025C">
      <w:r w:rsidRPr="00A54CCE">
        <w:t>V roce 2017 jsou příjmy fondu navrženy ve výši 1</w:t>
      </w:r>
      <w:r>
        <w:t> 282,2</w:t>
      </w:r>
      <w:r w:rsidRPr="00A54CCE">
        <w:t xml:space="preserve"> m</w:t>
      </w:r>
      <w:r>
        <w:t>i</w:t>
      </w:r>
      <w:r w:rsidRPr="00A54CCE">
        <w:t>l. Kč a výdaje ve výši 1</w:t>
      </w:r>
      <w:r>
        <w:t> </w:t>
      </w:r>
      <w:r w:rsidRPr="00A54CCE">
        <w:t>5</w:t>
      </w:r>
      <w:r>
        <w:t>00</w:t>
      </w:r>
      <w:r w:rsidRPr="00A54CCE">
        <w:t> m</w:t>
      </w:r>
      <w:r>
        <w:t>i</w:t>
      </w:r>
      <w:r w:rsidRPr="00A54CCE">
        <w:t>l. Kč, v roce 2018 příjmy ve výši 1</w:t>
      </w:r>
      <w:r>
        <w:t xml:space="preserve"> </w:t>
      </w:r>
      <w:r w:rsidRPr="00A54CCE">
        <w:t>2</w:t>
      </w:r>
      <w:r>
        <w:t>00</w:t>
      </w:r>
      <w:r w:rsidRPr="00A54CCE">
        <w:t xml:space="preserve"> m</w:t>
      </w:r>
      <w:r>
        <w:t>i</w:t>
      </w:r>
      <w:r w:rsidRPr="00A54CCE">
        <w:t>l. Kč a výdaje ve výši 1</w:t>
      </w:r>
      <w:r>
        <w:t xml:space="preserve"> </w:t>
      </w:r>
      <w:r w:rsidRPr="00A54CCE">
        <w:t>7</w:t>
      </w:r>
      <w:r>
        <w:t>00</w:t>
      </w:r>
      <w:r w:rsidRPr="00A54CCE">
        <w:t xml:space="preserve"> m</w:t>
      </w:r>
      <w:r>
        <w:t>i</w:t>
      </w:r>
      <w:r w:rsidRPr="00A54CCE">
        <w:t>l. Kč.</w:t>
      </w:r>
    </w:p>
    <w:p w:rsidR="00485D17" w:rsidRPr="00BE0E15" w:rsidRDefault="00485D17" w:rsidP="00D56543">
      <w:pPr>
        <w:pStyle w:val="Caption"/>
        <w:spacing w:before="240"/>
        <w:jc w:val="left"/>
        <w:rPr>
          <w:b w:val="0"/>
          <w:i/>
        </w:rPr>
      </w:pPr>
      <w:r w:rsidRPr="00BE0E15">
        <w:t xml:space="preserve">Tabulka č. </w:t>
      </w:r>
      <w:fldSimple w:instr=" SEQ Tabulka_č._ \* ARABIC ">
        <w:r>
          <w:rPr>
            <w:noProof/>
          </w:rPr>
          <w:t>20</w:t>
        </w:r>
      </w:fldSimple>
      <w:r w:rsidRPr="00BE0E15">
        <w:rPr>
          <w:noProof/>
        </w:rPr>
        <w:t xml:space="preserve"> </w:t>
      </w:r>
      <w:r w:rsidRPr="00BE0E15">
        <w:t xml:space="preserve">Státní fond životního prostředí ČR </w:t>
      </w:r>
      <w:r w:rsidRPr="00BE0E15">
        <w:rPr>
          <w:b w:val="0"/>
          <w:i/>
        </w:rPr>
        <w:t>(v Kč)</w:t>
      </w:r>
    </w:p>
    <w:p w:rsidR="00485D17" w:rsidRPr="00BE0E15" w:rsidRDefault="00485D17" w:rsidP="0058706B">
      <w:pPr>
        <w:ind w:firstLine="0"/>
      </w:pPr>
      <w:r>
        <w:pict>
          <v:shape id="_x0000_i1057" type="#_x0000_t75" style="width:464.4pt;height:85.8pt">
            <v:imagedata r:id="rId45" o:title=""/>
          </v:shape>
        </w:pict>
      </w:r>
    </w:p>
    <w:p w:rsidR="00485D17" w:rsidRPr="00E04B8B" w:rsidRDefault="00485D17" w:rsidP="006C55C7">
      <w:pPr>
        <w:pStyle w:val="Heading2"/>
        <w:rPr>
          <w:rStyle w:val="Tuntext"/>
          <w:b/>
          <w:sz w:val="28"/>
        </w:rPr>
      </w:pPr>
      <w:bookmarkStart w:id="141" w:name="_Toc428706760"/>
      <w:r w:rsidRPr="00E04B8B">
        <w:rPr>
          <w:rStyle w:val="Tuntext"/>
          <w:b/>
          <w:sz w:val="28"/>
        </w:rPr>
        <w:t>Úhrnná bilance státních fondů</w:t>
      </w:r>
      <w:bookmarkEnd w:id="141"/>
      <w:r w:rsidRPr="00E04B8B">
        <w:rPr>
          <w:rStyle w:val="Tuntext"/>
          <w:b/>
          <w:sz w:val="28"/>
        </w:rPr>
        <w:t xml:space="preserve"> </w:t>
      </w:r>
    </w:p>
    <w:p w:rsidR="00485D17" w:rsidRPr="000D0D5F" w:rsidRDefault="00485D17" w:rsidP="000E2920">
      <w:r w:rsidRPr="00BF278F">
        <w:t>Úhrnná celková bilance základních ukazatelů státních fondů je v rámci střednědobého výhledu na roky 2017 a 2018 uvedena spolu s návrhem rozpočtu na rok 2016 v následující tabulce.</w:t>
      </w:r>
      <w:r>
        <w:t xml:space="preserve"> Výdaje na léta 2017 a 2018 neosahují prostředky EU a FM (promítají se až při přípravě ročního rozpočtu).</w:t>
      </w:r>
    </w:p>
    <w:p w:rsidR="00485D17" w:rsidRPr="00E04B8B" w:rsidRDefault="00485D17" w:rsidP="00D56543">
      <w:pPr>
        <w:pStyle w:val="Caption"/>
        <w:spacing w:before="240"/>
        <w:jc w:val="left"/>
        <w:rPr>
          <w:b w:val="0"/>
          <w:i/>
        </w:rPr>
      </w:pPr>
      <w:r w:rsidRPr="00E04B8B">
        <w:t xml:space="preserve">Tabulka č. </w:t>
      </w:r>
      <w:fldSimple w:instr=" SEQ Tabulka_č._ \* ARABIC ">
        <w:r>
          <w:rPr>
            <w:noProof/>
          </w:rPr>
          <w:t>21</w:t>
        </w:r>
      </w:fldSimple>
      <w:r w:rsidRPr="00E04B8B">
        <w:rPr>
          <w:noProof/>
        </w:rPr>
        <w:t xml:space="preserve"> </w:t>
      </w:r>
      <w:r w:rsidRPr="00E04B8B">
        <w:t xml:space="preserve">Úhrnná bilance státních fondů v letech 2016 až 2018 </w:t>
      </w:r>
      <w:r w:rsidRPr="00E04B8B">
        <w:rPr>
          <w:b w:val="0"/>
          <w:i/>
        </w:rPr>
        <w:t>(v Kč)</w:t>
      </w:r>
    </w:p>
    <w:p w:rsidR="00485D17" w:rsidRPr="00E04B8B" w:rsidRDefault="00485D17" w:rsidP="00E04B8B">
      <w:pPr>
        <w:ind w:firstLine="0"/>
      </w:pPr>
      <w:r>
        <w:pict>
          <v:shape id="_x0000_i1058" type="#_x0000_t75" style="width:460.8pt;height:256.8pt">
            <v:imagedata r:id="rId46" o:title=""/>
          </v:shape>
        </w:pict>
      </w:r>
    </w:p>
    <w:p w:rsidR="00485D17" w:rsidRPr="00BE375B" w:rsidRDefault="00485D17" w:rsidP="00E90FB0">
      <w:pPr>
        <w:pStyle w:val="Nadpishlavnsti"/>
      </w:pPr>
      <w:bookmarkStart w:id="142" w:name="_Toc333680188"/>
      <w:bookmarkStart w:id="143" w:name="_Toc428706761"/>
      <w:r w:rsidRPr="006D5435">
        <w:t xml:space="preserve">D. </w:t>
      </w:r>
      <w:r w:rsidRPr="00BE375B">
        <w:t>Další vybrané údaje střednědobého výhledu na léta 201</w:t>
      </w:r>
      <w:r>
        <w:t>7</w:t>
      </w:r>
      <w:r w:rsidRPr="00BE375B">
        <w:t xml:space="preserve"> a 201</w:t>
      </w:r>
      <w:bookmarkEnd w:id="133"/>
      <w:bookmarkEnd w:id="134"/>
      <w:bookmarkEnd w:id="142"/>
      <w:r>
        <w:t>8</w:t>
      </w:r>
      <w:bookmarkEnd w:id="143"/>
    </w:p>
    <w:p w:rsidR="00485D17" w:rsidRPr="00D77888" w:rsidRDefault="00485D17" w:rsidP="002A1868">
      <w:pPr>
        <w:pStyle w:val="Heading1"/>
        <w:spacing w:line="240" w:lineRule="auto"/>
        <w:ind w:left="360" w:hanging="360"/>
      </w:pPr>
      <w:bookmarkStart w:id="144" w:name="_Toc239326968"/>
      <w:bookmarkStart w:id="145" w:name="_Toc333680189"/>
      <w:bookmarkStart w:id="146" w:name="_Toc428706762"/>
      <w:bookmarkStart w:id="147" w:name="_Toc206999989"/>
      <w:bookmarkStart w:id="148" w:name="_Toc241917810"/>
      <w:r w:rsidRPr="00D77888">
        <w:t>Výdaje na programy nebo projekty spolufinancované z rozpočtu Evropské unie v letech 201</w:t>
      </w:r>
      <w:r>
        <w:t xml:space="preserve">7 </w:t>
      </w:r>
      <w:r w:rsidRPr="00D77888">
        <w:t xml:space="preserve">až </w:t>
      </w:r>
      <w:bookmarkEnd w:id="144"/>
      <w:r w:rsidRPr="00D77888">
        <w:t>201</w:t>
      </w:r>
      <w:bookmarkEnd w:id="145"/>
      <w:r>
        <w:t>8</w:t>
      </w:r>
      <w:bookmarkEnd w:id="146"/>
    </w:p>
    <w:p w:rsidR="00485D17" w:rsidRDefault="00485D17" w:rsidP="008364D1">
      <w:r>
        <w:t xml:space="preserve">Skutečné výdaje státního rozpočtu na předfinancování prostředků EU v letech 2017 a 2018 se budou v podstatě týkat pouze programů období 2014-2020. </w:t>
      </w:r>
    </w:p>
    <w:p w:rsidR="00485D17" w:rsidRDefault="00485D17" w:rsidP="008364D1">
      <w:r>
        <w:t xml:space="preserve">V letech 2017 a 2018 již nelze očekávat žádné financování programů období 2007-2013 ze státního rozpočtu. Mohou nastat pouze specifické případy tzv. nedokončených nebo nefungujících projektů EU, jejichž financování může být po 1. 1. 2016 dokončeno z národních zdrojů, aby výdaje za tyto projekty vzniklé do 31. 12. 2015 Evropská komise při uzavírání programového období 2007-2013 uznala jako způsobilé. Oproti tomu je z hlediska příjmů státního rozpočtu možné očekávat platby konečného zůstatku, které Evropská komise členskému státu vyplatí po uzavření operačního programu. Na bilanci příjmů a výdajů za operační programy z období 2007-2013 bude mít dopad vlastní čerpání a vyčerpání jejich alokace a případné přezávazkování, které nebude kryto příjmem z Evropské unie. </w:t>
      </w:r>
    </w:p>
    <w:p w:rsidR="00485D17" w:rsidRDefault="00485D17" w:rsidP="008364D1">
      <w:r>
        <w:t>Česká republika má nárok na Politiku soudržnosti v programovém období 2014-2020 vyčerpat alokaci ve výši 23,1 mld. EUR a tato alokace se musí vyčerpat v souladu s pravidlem n+3. Tato částka obsahuje i převod prostředků z alokace ČR na Fond soudržnosti ve výši 1,1 mld. EUR do Nástroje pro propojení Evropy. Tuto alokaci má ČR garantovanou do konce roku 2016, do kdy musí předložit vhodné dopravní projekty pro financování. Zásadním dokumentem v oblasti čerpání prostředků Politiky soudržnosti je Dohoda o partnerství, která definuje rozdělení prostředků na jednotlivé operační programy a stanoví rámec pro budoucí charakter intervencí. Dohoda o partnerství byla v konečné podobě schválena v srpnu 2014 Evropskou komisí. Vzhledem ke skutečnosti, že žádný z programů nebyl schválen do konce roku 2014, byla alokace jednotlivých programů na rok 2014 přičtena k alokaci na rok 2015. V souladu s pravidlem n+3 se proto poprvé bude pravidlo zrušení závazku hodnotit na konci roku 2018. V průběhu dubna až června 2015 byly schváleny všechny operační programy a ČR byly na účty Národního fondu  již proplaceny veškeré zálohové platby na roky 2014 a 2015.</w:t>
      </w:r>
    </w:p>
    <w:p w:rsidR="00485D17" w:rsidRDefault="00485D17" w:rsidP="008364D1">
      <w:r>
        <w:t xml:space="preserve">S ohledem na zpožděné schvalování programů je významnější náběh předfinancování programů období 2014 - 2020 reálný až od roku 2016. Podotýkáme, že beze změn zůstává způsob předfinancování výdajů ze SR i přijímání prostředků z EU do SR prostřednictvím Národního fondu, takže realizace rozpočtových příjmů bude opět probíhat s určitým odstupem od uskutečněných výdajů. </w:t>
      </w:r>
    </w:p>
    <w:p w:rsidR="00485D17" w:rsidRDefault="00485D17" w:rsidP="008364D1">
      <w:r>
        <w:t>Pokud jde o míru podílu ČR na financování programů, byly usnesením vlády ČR č. 583 z 14. července 2014 stanoveny minimální procentní hodnoty účasti příjemců pomoci a současně maximální výše podílu státního rozpočtu. Obě tyto hodnoty by měly být respektovány při přípravě návrhů státního rozpočtu do budoucna.  U strukturálních fondů a Fondu soudržnosti se obecně předpokládá národní spolufinancování ve výši 15 %, v případě regionu Praha bude národní podíl činit 50 %.</w:t>
      </w:r>
    </w:p>
    <w:p w:rsidR="00485D17" w:rsidRDefault="00485D17" w:rsidP="008364D1">
      <w:r w:rsidRPr="00FA101E">
        <w:t xml:space="preserve">Financování </w:t>
      </w:r>
      <w:r w:rsidRPr="004F647A">
        <w:t>Společné zemědělské politiky</w:t>
      </w:r>
      <w:r w:rsidRPr="00FA101E">
        <w:t xml:space="preserve"> je tvořeno dvěma hlavními zdroji: přímými platbami a prostředky na rozvoj venkova. Předfinancování </w:t>
      </w:r>
      <w:r w:rsidRPr="004F647A">
        <w:t>přímých plateb</w:t>
      </w:r>
      <w:r w:rsidRPr="00FA101E">
        <w:t xml:space="preserve"> ze státního rozpočtu je na období roku 201</w:t>
      </w:r>
      <w:r>
        <w:t>7</w:t>
      </w:r>
      <w:r w:rsidRPr="00FA101E">
        <w:t xml:space="preserve"> a 201</w:t>
      </w:r>
      <w:r>
        <w:t>8</w:t>
      </w:r>
      <w:r w:rsidRPr="00FA101E">
        <w:t xml:space="preserve"> stanoveno na základě schválených alokací</w:t>
      </w:r>
      <w:r>
        <w:t xml:space="preserve">, přičemž na přímé platby může ČR v programovém období čerpat téměř 6 mld. EUR a na rozvoj venkova 2,3 mld. EUR. </w:t>
      </w:r>
      <w:r w:rsidRPr="00FA101E">
        <w:t xml:space="preserve">Z rozpočtu EU jsou přímé platby propláceny vždy až v roce následujícím po roce jejich vyplacení ze státního rozpočtu. </w:t>
      </w:r>
      <w:r>
        <w:t xml:space="preserve">Co se týká míry spolufinancování EU,  v případě Evropského zemědělského fondu pro rozvoj venkova a Evropského námořního a rybářského fondu je míra evropského spolufinancování stanovena na 75 %. </w:t>
      </w:r>
    </w:p>
    <w:p w:rsidR="00485D17" w:rsidRDefault="00485D17" w:rsidP="008364D1">
      <w:r>
        <w:t xml:space="preserve"> Pro přepočet částek do Kč je použit kurz dle Makroekonomické predikce MF z července 2015.</w:t>
      </w:r>
    </w:p>
    <w:p w:rsidR="00485D17" w:rsidRDefault="00485D17" w:rsidP="009E1296">
      <w:r>
        <w:t>Předpokládané financování politik EU vyvolávajících předfinancování prostředků fondů EU v letech 2017 a 2018 je obsaženo v následující tabulce:</w:t>
      </w:r>
    </w:p>
    <w:p w:rsidR="00485D17" w:rsidRPr="00207645" w:rsidRDefault="00485D17" w:rsidP="00207645">
      <w:pPr>
        <w:pStyle w:val="Caption"/>
        <w:spacing w:before="240"/>
        <w:ind w:left="1560" w:hanging="1560"/>
        <w:jc w:val="left"/>
        <w:rPr>
          <w:b w:val="0"/>
          <w:i/>
        </w:rPr>
      </w:pPr>
      <w:r>
        <w:t xml:space="preserve">Tabulka č. </w:t>
      </w:r>
      <w:fldSimple w:instr=" SEQ Tabulka_č._ \* ARABIC ">
        <w:r>
          <w:rPr>
            <w:noProof/>
          </w:rPr>
          <w:t>22</w:t>
        </w:r>
      </w:fldSimple>
      <w:r>
        <w:rPr>
          <w:noProof/>
        </w:rPr>
        <w:t xml:space="preserve">  </w:t>
      </w:r>
      <w:r w:rsidRPr="00BE375B">
        <w:t>Odhad skutečných výdajů státního rozpočtu na předfina</w:t>
      </w:r>
      <w:r>
        <w:t>ncování politik EU v letech 2017 a 2018</w:t>
      </w:r>
      <w:r w:rsidRPr="00BE375B">
        <w:t xml:space="preserve"> </w:t>
      </w:r>
      <w:r w:rsidRPr="00BE375B">
        <w:rPr>
          <w:b w:val="0"/>
          <w:i/>
        </w:rPr>
        <w:t>(v mil. Kč)</w:t>
      </w:r>
    </w:p>
    <w:tbl>
      <w:tblPr>
        <w:tblpPr w:leftFromText="141" w:rightFromText="141" w:vertAnchor="text" w:tblpXSpec="center" w:tblpY="1"/>
        <w:tblOverlap w:val="never"/>
        <w:tblW w:w="7780" w:type="dxa"/>
        <w:tblCellMar>
          <w:left w:w="70" w:type="dxa"/>
          <w:right w:w="70" w:type="dxa"/>
        </w:tblCellMar>
        <w:tblLook w:val="0000"/>
      </w:tblPr>
      <w:tblGrid>
        <w:gridCol w:w="4570"/>
        <w:gridCol w:w="1430"/>
        <w:gridCol w:w="1780"/>
      </w:tblGrid>
      <w:tr w:rsidR="00485D17" w:rsidRPr="00EC3BC0" w:rsidTr="00651E6E">
        <w:trPr>
          <w:trHeight w:val="270"/>
        </w:trPr>
        <w:tc>
          <w:tcPr>
            <w:tcW w:w="4570" w:type="dxa"/>
            <w:tcBorders>
              <w:top w:val="single" w:sz="8" w:space="0" w:color="auto"/>
              <w:left w:val="single" w:sz="8" w:space="0" w:color="auto"/>
              <w:bottom w:val="single" w:sz="8" w:space="0" w:color="auto"/>
              <w:right w:val="single" w:sz="4" w:space="0" w:color="auto"/>
            </w:tcBorders>
            <w:shd w:val="clear" w:color="auto" w:fill="CCFFCC"/>
            <w:noWrap/>
            <w:vAlign w:val="bottom"/>
          </w:tcPr>
          <w:p w:rsidR="00485D17" w:rsidRPr="007E5862" w:rsidRDefault="00485D17" w:rsidP="00651E6E">
            <w:pPr>
              <w:spacing w:before="0" w:after="0" w:line="240" w:lineRule="auto"/>
              <w:ind w:firstLine="0"/>
              <w:jc w:val="left"/>
              <w:rPr>
                <w:b/>
                <w:bCs/>
              </w:rPr>
            </w:pPr>
            <w:r w:rsidRPr="00696C13">
              <w:rPr>
                <w:b/>
                <w:sz w:val="22"/>
                <w:szCs w:val="22"/>
              </w:rPr>
              <w:t>Programové období 2014-2020</w:t>
            </w:r>
          </w:p>
        </w:tc>
        <w:tc>
          <w:tcPr>
            <w:tcW w:w="1430" w:type="dxa"/>
            <w:tcBorders>
              <w:top w:val="single" w:sz="8" w:space="0" w:color="auto"/>
              <w:left w:val="nil"/>
              <w:bottom w:val="single" w:sz="8" w:space="0" w:color="auto"/>
              <w:right w:val="single" w:sz="4" w:space="0" w:color="auto"/>
            </w:tcBorders>
            <w:shd w:val="clear" w:color="auto" w:fill="CCFFCC"/>
            <w:noWrap/>
            <w:vAlign w:val="bottom"/>
          </w:tcPr>
          <w:p w:rsidR="00485D17" w:rsidRPr="007942DC" w:rsidRDefault="00485D17" w:rsidP="00651E6E">
            <w:pPr>
              <w:spacing w:before="0" w:after="0" w:line="240" w:lineRule="auto"/>
              <w:ind w:firstLine="0"/>
              <w:jc w:val="center"/>
              <w:rPr>
                <w:b/>
                <w:bCs/>
              </w:rPr>
            </w:pPr>
            <w:r w:rsidRPr="007942DC">
              <w:rPr>
                <w:b/>
                <w:sz w:val="22"/>
                <w:szCs w:val="22"/>
              </w:rPr>
              <w:t>201</w:t>
            </w:r>
            <w:r>
              <w:rPr>
                <w:b/>
                <w:sz w:val="22"/>
                <w:szCs w:val="22"/>
              </w:rPr>
              <w:t>7</w:t>
            </w:r>
          </w:p>
        </w:tc>
        <w:tc>
          <w:tcPr>
            <w:tcW w:w="1780" w:type="dxa"/>
            <w:tcBorders>
              <w:top w:val="single" w:sz="8" w:space="0" w:color="auto"/>
              <w:left w:val="nil"/>
              <w:bottom w:val="single" w:sz="8" w:space="0" w:color="auto"/>
              <w:right w:val="single" w:sz="8" w:space="0" w:color="auto"/>
            </w:tcBorders>
            <w:shd w:val="clear" w:color="auto" w:fill="CCFFCC"/>
            <w:noWrap/>
            <w:vAlign w:val="bottom"/>
          </w:tcPr>
          <w:p w:rsidR="00485D17" w:rsidRPr="007942DC" w:rsidRDefault="00485D17" w:rsidP="00651E6E">
            <w:pPr>
              <w:spacing w:before="0" w:after="0" w:line="240" w:lineRule="auto"/>
              <w:ind w:firstLine="0"/>
              <w:jc w:val="center"/>
              <w:rPr>
                <w:b/>
                <w:bCs/>
              </w:rPr>
            </w:pPr>
            <w:r w:rsidRPr="007942DC">
              <w:rPr>
                <w:b/>
                <w:sz w:val="22"/>
                <w:szCs w:val="22"/>
              </w:rPr>
              <w:t>201</w:t>
            </w:r>
            <w:r>
              <w:rPr>
                <w:b/>
                <w:sz w:val="22"/>
                <w:szCs w:val="22"/>
              </w:rPr>
              <w:t>8</w:t>
            </w:r>
          </w:p>
        </w:tc>
      </w:tr>
      <w:tr w:rsidR="00485D17" w:rsidRPr="00EC3BC0" w:rsidTr="00651E6E">
        <w:trPr>
          <w:trHeight w:val="255"/>
        </w:trPr>
        <w:tc>
          <w:tcPr>
            <w:tcW w:w="4570" w:type="dxa"/>
            <w:tcBorders>
              <w:top w:val="nil"/>
              <w:left w:val="single" w:sz="8" w:space="0" w:color="auto"/>
              <w:bottom w:val="single" w:sz="4" w:space="0" w:color="auto"/>
              <w:right w:val="single" w:sz="4" w:space="0" w:color="auto"/>
            </w:tcBorders>
            <w:noWrap/>
            <w:vAlign w:val="bottom"/>
          </w:tcPr>
          <w:p w:rsidR="00485D17" w:rsidRPr="00EC3BC0" w:rsidRDefault="00485D17" w:rsidP="00651E6E">
            <w:pPr>
              <w:spacing w:before="0" w:after="0" w:line="240" w:lineRule="auto"/>
              <w:ind w:firstLine="0"/>
              <w:jc w:val="left"/>
            </w:pPr>
            <w:r>
              <w:rPr>
                <w:sz w:val="22"/>
                <w:szCs w:val="22"/>
              </w:rPr>
              <w:t>Strukturální fondy</w:t>
            </w:r>
          </w:p>
        </w:tc>
        <w:tc>
          <w:tcPr>
            <w:tcW w:w="1430" w:type="dxa"/>
            <w:tcBorders>
              <w:top w:val="nil"/>
              <w:left w:val="nil"/>
              <w:bottom w:val="single" w:sz="4" w:space="0" w:color="auto"/>
              <w:right w:val="single" w:sz="4" w:space="0" w:color="auto"/>
            </w:tcBorders>
            <w:noWrap/>
            <w:vAlign w:val="bottom"/>
          </w:tcPr>
          <w:p w:rsidR="00485D17" w:rsidRDefault="00485D17" w:rsidP="00651E6E">
            <w:pPr>
              <w:spacing w:before="0" w:after="0" w:line="240" w:lineRule="auto"/>
              <w:ind w:firstLine="0"/>
              <w:jc w:val="right"/>
            </w:pPr>
            <w:r>
              <w:rPr>
                <w:sz w:val="22"/>
                <w:szCs w:val="22"/>
              </w:rPr>
              <w:t>55 000</w:t>
            </w:r>
          </w:p>
        </w:tc>
        <w:tc>
          <w:tcPr>
            <w:tcW w:w="1780" w:type="dxa"/>
            <w:tcBorders>
              <w:top w:val="nil"/>
              <w:left w:val="nil"/>
              <w:bottom w:val="single" w:sz="4" w:space="0" w:color="auto"/>
              <w:right w:val="single" w:sz="8" w:space="0" w:color="auto"/>
            </w:tcBorders>
            <w:noWrap/>
            <w:vAlign w:val="bottom"/>
          </w:tcPr>
          <w:p w:rsidR="00485D17" w:rsidRDefault="00485D17" w:rsidP="00651E6E">
            <w:pPr>
              <w:spacing w:before="0" w:after="0" w:line="240" w:lineRule="auto"/>
              <w:ind w:firstLine="0"/>
              <w:jc w:val="right"/>
            </w:pPr>
            <w:r>
              <w:rPr>
                <w:sz w:val="22"/>
                <w:szCs w:val="22"/>
              </w:rPr>
              <w:t>60 000</w:t>
            </w:r>
          </w:p>
        </w:tc>
      </w:tr>
      <w:tr w:rsidR="00485D17" w:rsidRPr="00EC3BC0" w:rsidTr="00651E6E">
        <w:trPr>
          <w:trHeight w:val="255"/>
        </w:trPr>
        <w:tc>
          <w:tcPr>
            <w:tcW w:w="4570" w:type="dxa"/>
            <w:tcBorders>
              <w:top w:val="nil"/>
              <w:left w:val="single" w:sz="8" w:space="0" w:color="auto"/>
              <w:bottom w:val="single" w:sz="4" w:space="0" w:color="auto"/>
              <w:right w:val="single" w:sz="4" w:space="0" w:color="auto"/>
            </w:tcBorders>
            <w:noWrap/>
            <w:vAlign w:val="bottom"/>
          </w:tcPr>
          <w:p w:rsidR="00485D17" w:rsidRPr="00EC3BC0" w:rsidRDefault="00485D17" w:rsidP="00651E6E">
            <w:pPr>
              <w:spacing w:before="0" w:after="0" w:line="240" w:lineRule="auto"/>
              <w:ind w:firstLine="0"/>
              <w:jc w:val="left"/>
            </w:pPr>
            <w:r>
              <w:rPr>
                <w:sz w:val="22"/>
                <w:szCs w:val="22"/>
              </w:rPr>
              <w:t>Fond soudržnosti</w:t>
            </w:r>
          </w:p>
        </w:tc>
        <w:tc>
          <w:tcPr>
            <w:tcW w:w="1430" w:type="dxa"/>
            <w:tcBorders>
              <w:top w:val="nil"/>
              <w:left w:val="nil"/>
              <w:bottom w:val="single" w:sz="4" w:space="0" w:color="auto"/>
              <w:right w:val="single" w:sz="4" w:space="0" w:color="auto"/>
            </w:tcBorders>
            <w:noWrap/>
            <w:vAlign w:val="bottom"/>
          </w:tcPr>
          <w:p w:rsidR="00485D17" w:rsidRDefault="00485D17" w:rsidP="00651E6E">
            <w:pPr>
              <w:spacing w:before="0" w:after="0" w:line="240" w:lineRule="auto"/>
              <w:ind w:firstLine="0"/>
              <w:jc w:val="right"/>
            </w:pPr>
            <w:r>
              <w:rPr>
                <w:sz w:val="22"/>
                <w:szCs w:val="22"/>
              </w:rPr>
              <w:t>23 000</w:t>
            </w:r>
          </w:p>
        </w:tc>
        <w:tc>
          <w:tcPr>
            <w:tcW w:w="1780" w:type="dxa"/>
            <w:tcBorders>
              <w:top w:val="nil"/>
              <w:left w:val="nil"/>
              <w:bottom w:val="single" w:sz="4" w:space="0" w:color="auto"/>
              <w:right w:val="single" w:sz="8" w:space="0" w:color="auto"/>
            </w:tcBorders>
            <w:noWrap/>
            <w:vAlign w:val="bottom"/>
          </w:tcPr>
          <w:p w:rsidR="00485D17" w:rsidRDefault="00485D17" w:rsidP="00651E6E">
            <w:pPr>
              <w:spacing w:before="0" w:after="0" w:line="240" w:lineRule="auto"/>
              <w:ind w:firstLine="0"/>
              <w:jc w:val="right"/>
            </w:pPr>
            <w:r>
              <w:rPr>
                <w:sz w:val="22"/>
                <w:szCs w:val="22"/>
              </w:rPr>
              <w:t>27 000</w:t>
            </w:r>
          </w:p>
        </w:tc>
      </w:tr>
      <w:tr w:rsidR="00485D17" w:rsidRPr="00EC3BC0" w:rsidTr="00651E6E">
        <w:trPr>
          <w:trHeight w:val="255"/>
        </w:trPr>
        <w:tc>
          <w:tcPr>
            <w:tcW w:w="4570" w:type="dxa"/>
            <w:tcBorders>
              <w:top w:val="nil"/>
              <w:left w:val="single" w:sz="8" w:space="0" w:color="auto"/>
              <w:bottom w:val="single" w:sz="4" w:space="0" w:color="auto"/>
              <w:right w:val="single" w:sz="4" w:space="0" w:color="auto"/>
            </w:tcBorders>
            <w:noWrap/>
            <w:vAlign w:val="bottom"/>
          </w:tcPr>
          <w:p w:rsidR="00485D17" w:rsidRPr="00EC3BC0" w:rsidRDefault="00485D17" w:rsidP="00651E6E">
            <w:pPr>
              <w:spacing w:before="0" w:after="0" w:line="240" w:lineRule="auto"/>
              <w:ind w:firstLine="0"/>
              <w:jc w:val="left"/>
            </w:pPr>
            <w:r w:rsidRPr="00EC3BC0">
              <w:rPr>
                <w:b/>
                <w:bCs/>
                <w:sz w:val="22"/>
                <w:szCs w:val="22"/>
              </w:rPr>
              <w:t xml:space="preserve">Celkem strukturální fondy a </w:t>
            </w:r>
            <w:r>
              <w:rPr>
                <w:b/>
                <w:bCs/>
                <w:sz w:val="22"/>
                <w:szCs w:val="22"/>
              </w:rPr>
              <w:t>Fond  soudržnosti</w:t>
            </w:r>
          </w:p>
        </w:tc>
        <w:tc>
          <w:tcPr>
            <w:tcW w:w="1430" w:type="dxa"/>
            <w:tcBorders>
              <w:top w:val="nil"/>
              <w:left w:val="nil"/>
              <w:bottom w:val="single" w:sz="4" w:space="0" w:color="auto"/>
              <w:right w:val="single" w:sz="4" w:space="0" w:color="auto"/>
            </w:tcBorders>
            <w:noWrap/>
            <w:vAlign w:val="bottom"/>
          </w:tcPr>
          <w:p w:rsidR="00485D17" w:rsidRPr="007E5862" w:rsidRDefault="00485D17" w:rsidP="00651E6E">
            <w:pPr>
              <w:spacing w:before="0" w:after="0" w:line="240" w:lineRule="auto"/>
              <w:ind w:firstLine="0"/>
              <w:jc w:val="right"/>
              <w:rPr>
                <w:b/>
              </w:rPr>
            </w:pPr>
            <w:r>
              <w:rPr>
                <w:b/>
                <w:sz w:val="22"/>
                <w:szCs w:val="22"/>
              </w:rPr>
              <w:t>78 000</w:t>
            </w:r>
          </w:p>
        </w:tc>
        <w:tc>
          <w:tcPr>
            <w:tcW w:w="1780" w:type="dxa"/>
            <w:tcBorders>
              <w:top w:val="nil"/>
              <w:left w:val="nil"/>
              <w:bottom w:val="single" w:sz="4" w:space="0" w:color="auto"/>
              <w:right w:val="single" w:sz="8" w:space="0" w:color="auto"/>
            </w:tcBorders>
            <w:noWrap/>
            <w:vAlign w:val="bottom"/>
          </w:tcPr>
          <w:p w:rsidR="00485D17" w:rsidRPr="007E5862" w:rsidRDefault="00485D17" w:rsidP="00651E6E">
            <w:pPr>
              <w:spacing w:before="0" w:after="0" w:line="240" w:lineRule="auto"/>
              <w:ind w:firstLine="0"/>
              <w:jc w:val="right"/>
              <w:rPr>
                <w:b/>
              </w:rPr>
            </w:pPr>
            <w:r>
              <w:rPr>
                <w:b/>
                <w:sz w:val="22"/>
                <w:szCs w:val="22"/>
              </w:rPr>
              <w:t>87 000</w:t>
            </w:r>
          </w:p>
        </w:tc>
      </w:tr>
      <w:tr w:rsidR="00485D17" w:rsidRPr="00EC3BC0" w:rsidTr="00651E6E">
        <w:trPr>
          <w:trHeight w:val="255"/>
        </w:trPr>
        <w:tc>
          <w:tcPr>
            <w:tcW w:w="4570" w:type="dxa"/>
            <w:tcBorders>
              <w:top w:val="single" w:sz="4" w:space="0" w:color="auto"/>
              <w:left w:val="single" w:sz="4" w:space="0" w:color="auto"/>
              <w:bottom w:val="single" w:sz="4" w:space="0" w:color="auto"/>
            </w:tcBorders>
            <w:noWrap/>
            <w:vAlign w:val="bottom"/>
          </w:tcPr>
          <w:p w:rsidR="00485D17" w:rsidRPr="007E5862" w:rsidRDefault="00485D17" w:rsidP="00651E6E">
            <w:pPr>
              <w:spacing w:before="0" w:after="0" w:line="240" w:lineRule="auto"/>
              <w:ind w:firstLine="0"/>
              <w:jc w:val="left"/>
              <w:rPr>
                <w:b/>
              </w:rPr>
            </w:pPr>
          </w:p>
        </w:tc>
        <w:tc>
          <w:tcPr>
            <w:tcW w:w="1430" w:type="dxa"/>
            <w:tcBorders>
              <w:top w:val="single" w:sz="4" w:space="0" w:color="auto"/>
              <w:bottom w:val="single" w:sz="4" w:space="0" w:color="auto"/>
            </w:tcBorders>
            <w:noWrap/>
            <w:vAlign w:val="bottom"/>
          </w:tcPr>
          <w:p w:rsidR="00485D17" w:rsidRDefault="00485D17" w:rsidP="00651E6E">
            <w:pPr>
              <w:spacing w:before="0" w:after="0" w:line="240" w:lineRule="auto"/>
              <w:ind w:firstLine="0"/>
              <w:jc w:val="right"/>
            </w:pPr>
          </w:p>
        </w:tc>
        <w:tc>
          <w:tcPr>
            <w:tcW w:w="1780" w:type="dxa"/>
            <w:tcBorders>
              <w:top w:val="single" w:sz="4" w:space="0" w:color="auto"/>
              <w:bottom w:val="single" w:sz="4" w:space="0" w:color="auto"/>
              <w:right w:val="single" w:sz="4" w:space="0" w:color="auto"/>
            </w:tcBorders>
            <w:noWrap/>
            <w:vAlign w:val="bottom"/>
          </w:tcPr>
          <w:p w:rsidR="00485D17" w:rsidRDefault="00485D17" w:rsidP="00651E6E">
            <w:pPr>
              <w:spacing w:before="0" w:after="0" w:line="240" w:lineRule="auto"/>
              <w:ind w:firstLine="0"/>
              <w:jc w:val="right"/>
            </w:pPr>
          </w:p>
        </w:tc>
      </w:tr>
      <w:tr w:rsidR="00485D17" w:rsidRPr="00EC3BC0" w:rsidTr="00651E6E">
        <w:trPr>
          <w:trHeight w:val="255"/>
        </w:trPr>
        <w:tc>
          <w:tcPr>
            <w:tcW w:w="4570" w:type="dxa"/>
            <w:tcBorders>
              <w:top w:val="single" w:sz="4" w:space="0" w:color="auto"/>
              <w:left w:val="single" w:sz="8" w:space="0" w:color="auto"/>
              <w:bottom w:val="single" w:sz="4" w:space="0" w:color="auto"/>
              <w:right w:val="single" w:sz="4" w:space="0" w:color="auto"/>
            </w:tcBorders>
            <w:noWrap/>
            <w:vAlign w:val="bottom"/>
          </w:tcPr>
          <w:p w:rsidR="00485D17" w:rsidRPr="007E5862" w:rsidRDefault="00485D17" w:rsidP="00651E6E">
            <w:pPr>
              <w:spacing w:before="0" w:after="0" w:line="240" w:lineRule="auto"/>
              <w:ind w:firstLine="0"/>
              <w:jc w:val="left"/>
              <w:rPr>
                <w:b/>
              </w:rPr>
            </w:pPr>
            <w:r w:rsidRPr="007E5862">
              <w:rPr>
                <w:b/>
                <w:sz w:val="22"/>
                <w:szCs w:val="22"/>
              </w:rPr>
              <w:t>Společná zemědělská politika</w:t>
            </w:r>
          </w:p>
        </w:tc>
        <w:tc>
          <w:tcPr>
            <w:tcW w:w="1430" w:type="dxa"/>
            <w:tcBorders>
              <w:top w:val="single" w:sz="4" w:space="0" w:color="auto"/>
              <w:left w:val="nil"/>
              <w:bottom w:val="single" w:sz="4" w:space="0" w:color="auto"/>
              <w:right w:val="single" w:sz="4" w:space="0" w:color="auto"/>
            </w:tcBorders>
            <w:noWrap/>
            <w:vAlign w:val="bottom"/>
          </w:tcPr>
          <w:p w:rsidR="00485D17" w:rsidRDefault="00485D17" w:rsidP="00651E6E">
            <w:pPr>
              <w:spacing w:before="0" w:after="0" w:line="240" w:lineRule="auto"/>
              <w:ind w:firstLine="0"/>
              <w:jc w:val="right"/>
            </w:pPr>
          </w:p>
        </w:tc>
        <w:tc>
          <w:tcPr>
            <w:tcW w:w="1780" w:type="dxa"/>
            <w:tcBorders>
              <w:top w:val="single" w:sz="4" w:space="0" w:color="auto"/>
              <w:left w:val="nil"/>
              <w:bottom w:val="single" w:sz="4" w:space="0" w:color="auto"/>
              <w:right w:val="single" w:sz="8" w:space="0" w:color="auto"/>
            </w:tcBorders>
            <w:noWrap/>
            <w:vAlign w:val="bottom"/>
          </w:tcPr>
          <w:p w:rsidR="00485D17" w:rsidRDefault="00485D17" w:rsidP="00651E6E">
            <w:pPr>
              <w:spacing w:before="0" w:after="0" w:line="240" w:lineRule="auto"/>
              <w:ind w:firstLine="0"/>
              <w:jc w:val="right"/>
            </w:pPr>
          </w:p>
        </w:tc>
      </w:tr>
      <w:tr w:rsidR="00485D17" w:rsidRPr="00EC3BC0" w:rsidTr="00651E6E">
        <w:trPr>
          <w:trHeight w:val="255"/>
        </w:trPr>
        <w:tc>
          <w:tcPr>
            <w:tcW w:w="4570" w:type="dxa"/>
            <w:tcBorders>
              <w:top w:val="nil"/>
              <w:left w:val="single" w:sz="8" w:space="0" w:color="auto"/>
              <w:bottom w:val="single" w:sz="4" w:space="0" w:color="auto"/>
              <w:right w:val="single" w:sz="4" w:space="0" w:color="auto"/>
            </w:tcBorders>
            <w:noWrap/>
            <w:vAlign w:val="bottom"/>
          </w:tcPr>
          <w:p w:rsidR="00485D17" w:rsidRPr="00EC3BC0" w:rsidRDefault="00485D17" w:rsidP="00651E6E">
            <w:pPr>
              <w:spacing w:before="0" w:after="0" w:line="240" w:lineRule="auto"/>
              <w:ind w:firstLine="0"/>
              <w:jc w:val="left"/>
            </w:pPr>
            <w:r w:rsidRPr="00EC3BC0">
              <w:rPr>
                <w:sz w:val="22"/>
                <w:szCs w:val="22"/>
              </w:rPr>
              <w:t>I. pilíř *</w:t>
            </w:r>
          </w:p>
        </w:tc>
        <w:tc>
          <w:tcPr>
            <w:tcW w:w="1430" w:type="dxa"/>
            <w:tcBorders>
              <w:top w:val="nil"/>
              <w:left w:val="nil"/>
              <w:bottom w:val="single" w:sz="4" w:space="0" w:color="auto"/>
              <w:right w:val="single" w:sz="4" w:space="0" w:color="auto"/>
            </w:tcBorders>
            <w:noWrap/>
            <w:vAlign w:val="bottom"/>
          </w:tcPr>
          <w:p w:rsidR="00485D17" w:rsidRPr="00EC3BC0" w:rsidRDefault="00485D17" w:rsidP="00651E6E">
            <w:pPr>
              <w:spacing w:before="0" w:after="0" w:line="240" w:lineRule="auto"/>
              <w:ind w:firstLine="0"/>
              <w:jc w:val="right"/>
            </w:pPr>
            <w:r>
              <w:rPr>
                <w:sz w:val="22"/>
                <w:szCs w:val="22"/>
              </w:rPr>
              <w:t>23 000</w:t>
            </w:r>
          </w:p>
        </w:tc>
        <w:tc>
          <w:tcPr>
            <w:tcW w:w="1780" w:type="dxa"/>
            <w:tcBorders>
              <w:top w:val="nil"/>
              <w:left w:val="nil"/>
              <w:bottom w:val="single" w:sz="4" w:space="0" w:color="auto"/>
              <w:right w:val="single" w:sz="8" w:space="0" w:color="auto"/>
            </w:tcBorders>
            <w:noWrap/>
            <w:vAlign w:val="bottom"/>
          </w:tcPr>
          <w:p w:rsidR="00485D17" w:rsidRPr="00EC3BC0" w:rsidRDefault="00485D17" w:rsidP="00651E6E">
            <w:pPr>
              <w:spacing w:before="0" w:after="0" w:line="240" w:lineRule="auto"/>
              <w:ind w:firstLine="0"/>
              <w:jc w:val="right"/>
            </w:pPr>
            <w:r>
              <w:rPr>
                <w:sz w:val="22"/>
                <w:szCs w:val="22"/>
              </w:rPr>
              <w:t>22 500</w:t>
            </w:r>
          </w:p>
        </w:tc>
      </w:tr>
      <w:tr w:rsidR="00485D17" w:rsidRPr="00EC3BC0" w:rsidTr="00651E6E">
        <w:trPr>
          <w:trHeight w:val="255"/>
        </w:trPr>
        <w:tc>
          <w:tcPr>
            <w:tcW w:w="4570" w:type="dxa"/>
            <w:tcBorders>
              <w:top w:val="nil"/>
              <w:left w:val="single" w:sz="8" w:space="0" w:color="auto"/>
              <w:bottom w:val="single" w:sz="4" w:space="0" w:color="auto"/>
              <w:right w:val="single" w:sz="4" w:space="0" w:color="auto"/>
            </w:tcBorders>
            <w:noWrap/>
            <w:vAlign w:val="bottom"/>
          </w:tcPr>
          <w:p w:rsidR="00485D17" w:rsidRPr="00EC3BC0" w:rsidRDefault="00485D17" w:rsidP="00651E6E">
            <w:pPr>
              <w:spacing w:before="0" w:after="0" w:line="240" w:lineRule="auto"/>
              <w:ind w:firstLine="0"/>
              <w:jc w:val="left"/>
            </w:pPr>
            <w:r w:rsidRPr="00EC3BC0">
              <w:rPr>
                <w:sz w:val="22"/>
                <w:szCs w:val="22"/>
              </w:rPr>
              <w:t>II.pilíř **</w:t>
            </w:r>
          </w:p>
        </w:tc>
        <w:tc>
          <w:tcPr>
            <w:tcW w:w="1430" w:type="dxa"/>
            <w:tcBorders>
              <w:top w:val="nil"/>
              <w:left w:val="nil"/>
              <w:bottom w:val="single" w:sz="4" w:space="0" w:color="auto"/>
              <w:right w:val="single" w:sz="4" w:space="0" w:color="auto"/>
            </w:tcBorders>
            <w:noWrap/>
            <w:vAlign w:val="bottom"/>
          </w:tcPr>
          <w:p w:rsidR="00485D17" w:rsidRPr="00EC3BC0" w:rsidRDefault="00485D17" w:rsidP="00651E6E">
            <w:pPr>
              <w:spacing w:before="0" w:after="0" w:line="240" w:lineRule="auto"/>
              <w:ind w:firstLine="0"/>
              <w:jc w:val="right"/>
            </w:pPr>
            <w:r>
              <w:rPr>
                <w:sz w:val="22"/>
                <w:szCs w:val="22"/>
              </w:rPr>
              <w:t>9 000</w:t>
            </w:r>
          </w:p>
        </w:tc>
        <w:tc>
          <w:tcPr>
            <w:tcW w:w="1780" w:type="dxa"/>
            <w:tcBorders>
              <w:top w:val="nil"/>
              <w:left w:val="nil"/>
              <w:bottom w:val="single" w:sz="4" w:space="0" w:color="auto"/>
              <w:right w:val="single" w:sz="8" w:space="0" w:color="auto"/>
            </w:tcBorders>
            <w:noWrap/>
            <w:vAlign w:val="bottom"/>
          </w:tcPr>
          <w:p w:rsidR="00485D17" w:rsidRPr="00EC3BC0" w:rsidRDefault="00485D17" w:rsidP="00651E6E">
            <w:pPr>
              <w:spacing w:before="0" w:after="0" w:line="240" w:lineRule="auto"/>
              <w:ind w:firstLine="0"/>
              <w:jc w:val="right"/>
            </w:pPr>
            <w:r>
              <w:rPr>
                <w:sz w:val="22"/>
                <w:szCs w:val="22"/>
              </w:rPr>
              <w:t>10 000</w:t>
            </w:r>
          </w:p>
        </w:tc>
      </w:tr>
      <w:tr w:rsidR="00485D17" w:rsidRPr="00EC3BC0" w:rsidTr="00651E6E">
        <w:trPr>
          <w:trHeight w:val="142"/>
        </w:trPr>
        <w:tc>
          <w:tcPr>
            <w:tcW w:w="4570" w:type="dxa"/>
            <w:tcBorders>
              <w:top w:val="nil"/>
              <w:left w:val="single" w:sz="8" w:space="0" w:color="auto"/>
              <w:bottom w:val="nil"/>
              <w:right w:val="single" w:sz="4" w:space="0" w:color="auto"/>
            </w:tcBorders>
            <w:noWrap/>
            <w:vAlign w:val="bottom"/>
          </w:tcPr>
          <w:p w:rsidR="00485D17" w:rsidRPr="00EC3BC0" w:rsidRDefault="00485D17" w:rsidP="00651E6E">
            <w:pPr>
              <w:spacing w:before="0" w:after="0" w:line="240" w:lineRule="auto"/>
              <w:ind w:firstLine="0"/>
              <w:jc w:val="left"/>
              <w:rPr>
                <w:b/>
                <w:bCs/>
              </w:rPr>
            </w:pPr>
            <w:r w:rsidRPr="00EC3BC0">
              <w:rPr>
                <w:b/>
                <w:bCs/>
                <w:sz w:val="22"/>
                <w:szCs w:val="22"/>
              </w:rPr>
              <w:t xml:space="preserve">Celkem </w:t>
            </w:r>
            <w:r>
              <w:rPr>
                <w:b/>
                <w:bCs/>
                <w:sz w:val="22"/>
                <w:szCs w:val="22"/>
              </w:rPr>
              <w:t>SZP</w:t>
            </w:r>
          </w:p>
        </w:tc>
        <w:tc>
          <w:tcPr>
            <w:tcW w:w="1430" w:type="dxa"/>
            <w:tcBorders>
              <w:top w:val="nil"/>
              <w:left w:val="nil"/>
              <w:bottom w:val="single" w:sz="4" w:space="0" w:color="auto"/>
              <w:right w:val="single" w:sz="4" w:space="0" w:color="auto"/>
            </w:tcBorders>
            <w:noWrap/>
            <w:vAlign w:val="bottom"/>
          </w:tcPr>
          <w:p w:rsidR="00485D17" w:rsidRPr="009C5A40" w:rsidRDefault="00485D17" w:rsidP="00651E6E">
            <w:pPr>
              <w:spacing w:before="0" w:after="0" w:line="240" w:lineRule="auto"/>
              <w:ind w:firstLine="0"/>
              <w:jc w:val="right"/>
              <w:rPr>
                <w:b/>
                <w:bCs/>
              </w:rPr>
            </w:pPr>
            <w:r w:rsidRPr="009C5A40">
              <w:rPr>
                <w:b/>
                <w:bCs/>
                <w:sz w:val="22"/>
                <w:szCs w:val="22"/>
              </w:rPr>
              <w:t>32 000</w:t>
            </w:r>
          </w:p>
        </w:tc>
        <w:tc>
          <w:tcPr>
            <w:tcW w:w="1780" w:type="dxa"/>
            <w:tcBorders>
              <w:top w:val="nil"/>
              <w:left w:val="nil"/>
              <w:bottom w:val="single" w:sz="4" w:space="0" w:color="auto"/>
              <w:right w:val="single" w:sz="8" w:space="0" w:color="auto"/>
            </w:tcBorders>
            <w:noWrap/>
            <w:vAlign w:val="bottom"/>
          </w:tcPr>
          <w:p w:rsidR="00485D17" w:rsidRPr="009C5A40" w:rsidRDefault="00485D17" w:rsidP="00651E6E">
            <w:pPr>
              <w:spacing w:before="0" w:after="0" w:line="240" w:lineRule="auto"/>
              <w:ind w:firstLine="0"/>
              <w:jc w:val="right"/>
              <w:rPr>
                <w:b/>
                <w:bCs/>
              </w:rPr>
            </w:pPr>
            <w:r w:rsidRPr="009C5A40">
              <w:rPr>
                <w:b/>
                <w:bCs/>
                <w:sz w:val="22"/>
                <w:szCs w:val="22"/>
              </w:rPr>
              <w:t>32 500</w:t>
            </w:r>
          </w:p>
        </w:tc>
      </w:tr>
      <w:tr w:rsidR="00485D17" w:rsidRPr="00EC3BC0" w:rsidTr="00651E6E">
        <w:trPr>
          <w:trHeight w:val="270"/>
        </w:trPr>
        <w:tc>
          <w:tcPr>
            <w:tcW w:w="4570" w:type="dxa"/>
            <w:tcBorders>
              <w:top w:val="single" w:sz="4" w:space="0" w:color="auto"/>
              <w:left w:val="single" w:sz="8" w:space="0" w:color="auto"/>
              <w:bottom w:val="single" w:sz="8" w:space="0" w:color="auto"/>
              <w:right w:val="single" w:sz="4" w:space="0" w:color="auto"/>
            </w:tcBorders>
            <w:noWrap/>
            <w:vAlign w:val="bottom"/>
          </w:tcPr>
          <w:p w:rsidR="00485D17" w:rsidRPr="00EC3BC0" w:rsidRDefault="00485D17" w:rsidP="00651E6E">
            <w:pPr>
              <w:spacing w:before="0" w:after="0" w:line="240" w:lineRule="auto"/>
              <w:ind w:firstLine="0"/>
              <w:jc w:val="left"/>
              <w:rPr>
                <w:b/>
                <w:bCs/>
              </w:rPr>
            </w:pPr>
            <w:r w:rsidRPr="00EC3BC0">
              <w:rPr>
                <w:b/>
                <w:bCs/>
                <w:sz w:val="22"/>
                <w:szCs w:val="22"/>
              </w:rPr>
              <w:t>Celkem</w:t>
            </w:r>
            <w:r>
              <w:rPr>
                <w:b/>
                <w:bCs/>
                <w:sz w:val="22"/>
                <w:szCs w:val="22"/>
              </w:rPr>
              <w:t xml:space="preserve"> fondy Politiky soudržnosti a SZP</w:t>
            </w:r>
          </w:p>
        </w:tc>
        <w:tc>
          <w:tcPr>
            <w:tcW w:w="1430" w:type="dxa"/>
            <w:tcBorders>
              <w:top w:val="nil"/>
              <w:left w:val="nil"/>
              <w:bottom w:val="single" w:sz="8" w:space="0" w:color="auto"/>
              <w:right w:val="single" w:sz="4" w:space="0" w:color="auto"/>
            </w:tcBorders>
            <w:noWrap/>
            <w:vAlign w:val="bottom"/>
          </w:tcPr>
          <w:p w:rsidR="00485D17" w:rsidRPr="009C5A40" w:rsidRDefault="00485D17" w:rsidP="00651E6E">
            <w:pPr>
              <w:spacing w:before="0" w:after="0" w:line="240" w:lineRule="auto"/>
              <w:ind w:firstLine="0"/>
              <w:jc w:val="right"/>
              <w:rPr>
                <w:b/>
                <w:bCs/>
              </w:rPr>
            </w:pPr>
            <w:r w:rsidRPr="009C5A40">
              <w:rPr>
                <w:b/>
                <w:bCs/>
                <w:sz w:val="22"/>
                <w:szCs w:val="22"/>
              </w:rPr>
              <w:t>110 000</w:t>
            </w:r>
          </w:p>
        </w:tc>
        <w:tc>
          <w:tcPr>
            <w:tcW w:w="1780" w:type="dxa"/>
            <w:tcBorders>
              <w:top w:val="nil"/>
              <w:left w:val="nil"/>
              <w:bottom w:val="single" w:sz="8" w:space="0" w:color="auto"/>
              <w:right w:val="single" w:sz="8" w:space="0" w:color="auto"/>
            </w:tcBorders>
            <w:noWrap/>
            <w:vAlign w:val="bottom"/>
          </w:tcPr>
          <w:p w:rsidR="00485D17" w:rsidRPr="009C5A40" w:rsidRDefault="00485D17" w:rsidP="00651E6E">
            <w:pPr>
              <w:spacing w:before="0" w:after="0" w:line="240" w:lineRule="auto"/>
              <w:ind w:firstLine="0"/>
              <w:jc w:val="right"/>
              <w:rPr>
                <w:b/>
                <w:bCs/>
              </w:rPr>
            </w:pPr>
            <w:r w:rsidRPr="009C5A40">
              <w:rPr>
                <w:b/>
                <w:bCs/>
                <w:sz w:val="22"/>
                <w:szCs w:val="22"/>
              </w:rPr>
              <w:t>119 500</w:t>
            </w:r>
          </w:p>
        </w:tc>
      </w:tr>
      <w:tr w:rsidR="00485D17" w:rsidRPr="00EC3BC0" w:rsidTr="00651E6E">
        <w:trPr>
          <w:trHeight w:val="255"/>
        </w:trPr>
        <w:tc>
          <w:tcPr>
            <w:tcW w:w="4570" w:type="dxa"/>
            <w:tcBorders>
              <w:top w:val="nil"/>
              <w:left w:val="nil"/>
              <w:bottom w:val="nil"/>
              <w:right w:val="nil"/>
            </w:tcBorders>
            <w:noWrap/>
            <w:vAlign w:val="bottom"/>
          </w:tcPr>
          <w:p w:rsidR="00485D17" w:rsidRPr="00564500" w:rsidRDefault="00485D17" w:rsidP="00651E6E">
            <w:pPr>
              <w:spacing w:before="0" w:after="0" w:line="240" w:lineRule="auto"/>
              <w:ind w:firstLine="0"/>
              <w:jc w:val="left"/>
              <w:rPr>
                <w:sz w:val="20"/>
                <w:szCs w:val="20"/>
              </w:rPr>
            </w:pPr>
            <w:r w:rsidRPr="00564500">
              <w:rPr>
                <w:sz w:val="20"/>
                <w:szCs w:val="20"/>
              </w:rPr>
              <w:t>* I. pilíř zahrnuje přímé platby</w:t>
            </w:r>
          </w:p>
          <w:p w:rsidR="00485D17" w:rsidRPr="00564500" w:rsidRDefault="00485D17" w:rsidP="008364D1">
            <w:pPr>
              <w:numPr>
                <w:ilvl w:val="0"/>
                <w:numId w:val="6"/>
              </w:numPr>
              <w:tabs>
                <w:tab w:val="clear" w:pos="720"/>
              </w:tabs>
              <w:spacing w:before="0" w:after="0" w:line="240" w:lineRule="auto"/>
              <w:ind w:hanging="900"/>
              <w:jc w:val="left"/>
              <w:rPr>
                <w:sz w:val="20"/>
                <w:szCs w:val="20"/>
              </w:rPr>
            </w:pPr>
            <w:r w:rsidRPr="00564500">
              <w:rPr>
                <w:sz w:val="20"/>
                <w:szCs w:val="20"/>
              </w:rPr>
              <w:t>* II. Pilíř zahrnuje rozvoj</w:t>
            </w:r>
            <w:r>
              <w:rPr>
                <w:sz w:val="20"/>
                <w:szCs w:val="20"/>
              </w:rPr>
              <w:t xml:space="preserve"> </w:t>
            </w:r>
            <w:r w:rsidRPr="00564500">
              <w:rPr>
                <w:sz w:val="20"/>
                <w:szCs w:val="20"/>
              </w:rPr>
              <w:t>venkova</w:t>
            </w:r>
          </w:p>
        </w:tc>
        <w:tc>
          <w:tcPr>
            <w:tcW w:w="1430" w:type="dxa"/>
            <w:tcBorders>
              <w:top w:val="nil"/>
              <w:left w:val="nil"/>
              <w:bottom w:val="nil"/>
              <w:right w:val="nil"/>
            </w:tcBorders>
            <w:noWrap/>
            <w:vAlign w:val="bottom"/>
          </w:tcPr>
          <w:p w:rsidR="00485D17" w:rsidRPr="00EC3BC0" w:rsidRDefault="00485D17" w:rsidP="00651E6E">
            <w:pPr>
              <w:spacing w:before="0" w:after="0" w:line="240" w:lineRule="auto"/>
              <w:ind w:firstLine="0"/>
              <w:jc w:val="left"/>
            </w:pPr>
          </w:p>
        </w:tc>
        <w:tc>
          <w:tcPr>
            <w:tcW w:w="1780" w:type="dxa"/>
            <w:tcBorders>
              <w:top w:val="nil"/>
              <w:left w:val="nil"/>
              <w:bottom w:val="nil"/>
              <w:right w:val="nil"/>
            </w:tcBorders>
            <w:noWrap/>
            <w:vAlign w:val="bottom"/>
          </w:tcPr>
          <w:p w:rsidR="00485D17" w:rsidRPr="00EC3BC0" w:rsidRDefault="00485D17" w:rsidP="00651E6E">
            <w:pPr>
              <w:spacing w:before="0" w:after="0" w:line="240" w:lineRule="auto"/>
              <w:ind w:firstLine="0"/>
              <w:jc w:val="left"/>
            </w:pPr>
          </w:p>
        </w:tc>
      </w:tr>
    </w:tbl>
    <w:p w:rsidR="00485D17" w:rsidRDefault="00485D17" w:rsidP="008364D1">
      <w:pPr>
        <w:rPr>
          <w:b/>
          <w:sz w:val="22"/>
          <w:szCs w:val="22"/>
        </w:rPr>
      </w:pPr>
    </w:p>
    <w:p w:rsidR="00485D17" w:rsidRDefault="00485D17" w:rsidP="008364D1">
      <w:pPr>
        <w:rPr>
          <w:b/>
          <w:sz w:val="22"/>
          <w:szCs w:val="22"/>
        </w:rPr>
      </w:pPr>
    </w:p>
    <w:p w:rsidR="00485D17" w:rsidRDefault="00485D17" w:rsidP="008364D1">
      <w:pPr>
        <w:ind w:firstLine="0"/>
        <w:rPr>
          <w:b/>
          <w:sz w:val="22"/>
          <w:szCs w:val="22"/>
        </w:rPr>
      </w:pPr>
    </w:p>
    <w:p w:rsidR="00485D17" w:rsidRDefault="00485D17" w:rsidP="008364D1">
      <w:pPr>
        <w:ind w:firstLine="0"/>
        <w:rPr>
          <w:b/>
          <w:sz w:val="22"/>
          <w:szCs w:val="22"/>
        </w:rPr>
      </w:pPr>
    </w:p>
    <w:p w:rsidR="00485D17" w:rsidRDefault="00485D17" w:rsidP="008364D1">
      <w:pPr>
        <w:ind w:firstLine="0"/>
        <w:rPr>
          <w:b/>
          <w:sz w:val="22"/>
          <w:szCs w:val="22"/>
        </w:rPr>
      </w:pPr>
    </w:p>
    <w:p w:rsidR="00485D17" w:rsidRDefault="00485D17" w:rsidP="008364D1">
      <w:pPr>
        <w:ind w:firstLine="0"/>
        <w:rPr>
          <w:b/>
          <w:sz w:val="22"/>
          <w:szCs w:val="22"/>
        </w:rPr>
      </w:pPr>
    </w:p>
    <w:p w:rsidR="00485D17" w:rsidRPr="002A1868" w:rsidRDefault="00485D17" w:rsidP="002A1868"/>
    <w:p w:rsidR="00485D17" w:rsidRDefault="00485D17" w:rsidP="002A1868">
      <w:pPr>
        <w:pStyle w:val="Heading1"/>
        <w:ind w:left="540" w:hanging="540"/>
      </w:pPr>
      <w:bookmarkStart w:id="149" w:name="_Toc333680190"/>
      <w:bookmarkStart w:id="150" w:name="_Toc428706763"/>
      <w:r w:rsidRPr="007B351D">
        <w:t>Výdaje na Finanční mechanismy EHP/ Norska 2009 - 2014 a Program švýcarsko-české spolupráce v letech 201</w:t>
      </w:r>
      <w:r>
        <w:t>7</w:t>
      </w:r>
      <w:r w:rsidRPr="007B351D">
        <w:t xml:space="preserve"> až 201</w:t>
      </w:r>
      <w:bookmarkEnd w:id="149"/>
      <w:r>
        <w:t>8</w:t>
      </w:r>
      <w:bookmarkEnd w:id="150"/>
    </w:p>
    <w:p w:rsidR="00485D17" w:rsidRDefault="00485D17" w:rsidP="008364D1">
      <w:pPr>
        <w:ind w:firstLine="708"/>
      </w:pPr>
      <w:r w:rsidRPr="004532B9">
        <w:t xml:space="preserve">V ČR </w:t>
      </w:r>
      <w:r>
        <w:t>je</w:t>
      </w:r>
      <w:r w:rsidRPr="004532B9">
        <w:t xml:space="preserve"> </w:t>
      </w:r>
      <w:r>
        <w:t xml:space="preserve">za oblast </w:t>
      </w:r>
      <w:r w:rsidRPr="008364D1">
        <w:t>EHP a Norské fondy pro programovací období 2009 – 2014</w:t>
      </w:r>
      <w:r w:rsidRPr="004532B9">
        <w:t xml:space="preserve"> realizováno 1</w:t>
      </w:r>
      <w:r>
        <w:t>5</w:t>
      </w:r>
      <w:r w:rsidRPr="004532B9">
        <w:t xml:space="preserve"> programů zahrnujících 21 prioritních oblastí. </w:t>
      </w:r>
      <w:r>
        <w:t xml:space="preserve">V druhé polovině roku </w:t>
      </w:r>
      <w:r w:rsidRPr="004532B9">
        <w:t xml:space="preserve">2013 </w:t>
      </w:r>
      <w:r>
        <w:t>byla</w:t>
      </w:r>
      <w:r w:rsidRPr="004532B9">
        <w:t xml:space="preserve"> </w:t>
      </w:r>
      <w:r>
        <w:t xml:space="preserve">spuštěna </w:t>
      </w:r>
      <w:r w:rsidRPr="004532B9">
        <w:t xml:space="preserve">implementace </w:t>
      </w:r>
      <w:r>
        <w:t xml:space="preserve">programů a následně v první polovině roku 2014 byly vyhlášeny výzvy ve většině programů. </w:t>
      </w:r>
      <w:r w:rsidRPr="004532B9">
        <w:t xml:space="preserve">Programy </w:t>
      </w:r>
      <w:r>
        <w:t>jsou</w:t>
      </w:r>
      <w:r w:rsidRPr="004532B9">
        <w:t xml:space="preserve"> zaměřeny zejména na ochranu a management životního prostředí, zachycování a ukládání uhlíku (CCS), ochranu kulturního dědictví, zdravotnictví, vědu a výzkum, na rozvoj občanské společnosti, uplatňování hlediska rovných příležitostí žen</w:t>
      </w:r>
      <w:r>
        <w:t xml:space="preserve"> </w:t>
      </w:r>
      <w:r w:rsidRPr="004532B9">
        <w:t>a mužů, na ochranu ohrožených dětí a mladistvých</w:t>
      </w:r>
      <w:r>
        <w:t>,</w:t>
      </w:r>
      <w:r w:rsidRPr="004532B9">
        <w:t xml:space="preserve"> na spolupráci škol</w:t>
      </w:r>
      <w:r>
        <w:t xml:space="preserve"> a na podporu justice</w:t>
      </w:r>
      <w:r w:rsidRPr="004532B9">
        <w:t xml:space="preserve">. Do programů jsou zapojeny Ministerstvo životního prostředí, Ministerstvo vnitra, Ministerstvo kultury, Ministerstvo práce a sociálních věci, Ministerstvo školství, mládeže a tělovýchovy, </w:t>
      </w:r>
      <w:r>
        <w:t xml:space="preserve">Ministerstvo zdravotnictví, </w:t>
      </w:r>
      <w:r w:rsidRPr="004532B9">
        <w:t>Ministerstvo spravedlnosti a také Ministerstvo financí. Kraje zapojeny nejsou.</w:t>
      </w:r>
      <w:r>
        <w:t xml:space="preserve"> </w:t>
      </w:r>
      <w:r w:rsidRPr="004532B9">
        <w:t>V</w:t>
      </w:r>
      <w:r>
        <w:t> první polovině roku 2016 dojde k</w:t>
      </w:r>
      <w:r w:rsidRPr="004532B9">
        <w:t xml:space="preserve"> ukončování většiny projektů a </w:t>
      </w:r>
      <w:r>
        <w:t xml:space="preserve">v druhé polovině tohoto roku k </w:t>
      </w:r>
      <w:r w:rsidRPr="004532B9">
        <w:t xml:space="preserve">proplácení závěrečných výdajů, nicméně i v tomto roce lze, vzhledem k charakteru některých projektů, </w:t>
      </w:r>
      <w:r w:rsidRPr="00857734">
        <w:t xml:space="preserve">předpokládat </w:t>
      </w:r>
      <w:r>
        <w:t xml:space="preserve">výši </w:t>
      </w:r>
      <w:r w:rsidRPr="00857734">
        <w:t>výdaj</w:t>
      </w:r>
      <w:r>
        <w:t>ů</w:t>
      </w:r>
      <w:r w:rsidRPr="00857734">
        <w:t xml:space="preserve"> na úrovni předchozích dvou let</w:t>
      </w:r>
      <w:r w:rsidRPr="004532B9">
        <w:t>.</w:t>
      </w:r>
      <w:r>
        <w:t xml:space="preserve"> </w:t>
      </w:r>
      <w:r w:rsidRPr="002665C4">
        <w:t>V odůvodněných případech může dojít k prodloužení implementační fáze některých projektů až do dubna 2017.</w:t>
      </w:r>
      <w:r>
        <w:t xml:space="preserve"> V takovém případě by byly příslušné programy ukončeny až na konci roku 2017. </w:t>
      </w:r>
    </w:p>
    <w:p w:rsidR="00485D17" w:rsidRDefault="00485D17" w:rsidP="008364D1">
      <w:pPr>
        <w:ind w:firstLine="708"/>
        <w:rPr>
          <w:b/>
          <w:sz w:val="22"/>
          <w:szCs w:val="22"/>
        </w:rPr>
      </w:pPr>
      <w:r>
        <w:t xml:space="preserve">Pokud jde o </w:t>
      </w:r>
      <w:r w:rsidRPr="008364D1">
        <w:t>Program švýcarsko-české spolupráce</w:t>
      </w:r>
      <w:r w:rsidRPr="004532B9">
        <w:t xml:space="preserve"> </w:t>
      </w:r>
      <w:r>
        <w:t xml:space="preserve">k jeho nejvyššímu rozvinutí by mělo dojít v roce </w:t>
      </w:r>
      <w:r w:rsidRPr="004532B9">
        <w:t>201</w:t>
      </w:r>
      <w:r>
        <w:t>6, v kterém mj.</w:t>
      </w:r>
      <w:r w:rsidRPr="004532B9">
        <w:t xml:space="preserve"> započne tzv. „phasing out“ fáze programu, tj. ukončování většiny projektů </w:t>
      </w:r>
      <w:r>
        <w:t>a proplácení závěrečných výdajů. V počátku roku 2017 by mělo být</w:t>
      </w:r>
      <w:r w:rsidRPr="004532B9">
        <w:t xml:space="preserve"> </w:t>
      </w:r>
      <w:r>
        <w:t>všech zhruba</w:t>
      </w:r>
      <w:r w:rsidRPr="004532B9">
        <w:t xml:space="preserve"> 3</w:t>
      </w:r>
      <w:r>
        <w:t>7 projektů, programů, fondů a 1 blokový grant uzavřeno nebo bezprostředně v závěrečné fázi.</w:t>
      </w:r>
      <w:r w:rsidRPr="004532B9">
        <w:t xml:space="preserve"> </w:t>
      </w:r>
      <w:r>
        <w:t>Na principech realizace programu se pro uvedené roky nic nemění, neboť se stále</w:t>
      </w:r>
      <w:r w:rsidRPr="004532B9">
        <w:t xml:space="preserve"> počítá s předfinancováním a spolufinancováním na úrovni jednotlivých resortů. Největší toky jsou předpokládány u Ministerstva životního prostředí, Ministerstva práce a sociálních věcí, Ministerstva </w:t>
      </w:r>
      <w:r>
        <w:t>z</w:t>
      </w:r>
      <w:r w:rsidRPr="004532B9">
        <w:t xml:space="preserve">dravotnictví, Ministerstva průmyslu a obchodu, Ministerstva vnitra a v omezené míře také Ministerstva financí a Ministerstva spravedlnosti. </w:t>
      </w:r>
      <w:r>
        <w:t xml:space="preserve">Ani </w:t>
      </w:r>
      <w:r w:rsidRPr="004532B9">
        <w:t>do</w:t>
      </w:r>
      <w:r>
        <w:t xml:space="preserve"> tohoto</w:t>
      </w:r>
      <w:r w:rsidRPr="004532B9">
        <w:t xml:space="preserve"> Programu </w:t>
      </w:r>
      <w:r>
        <w:t xml:space="preserve">kraje </w:t>
      </w:r>
      <w:r w:rsidRPr="004532B9">
        <w:t>zapojeny nejsou. V rámci Programu švýcarsko-české spolupráce jsou podporovány projekty v oblasti životního prostředí, sdílení know-how a lepší praxe mezi institucemi ČR a Švýcarska, modernizace soudnictví a probačních programů, zavádění nových metod sociální práce pro</w:t>
      </w:r>
      <w:r>
        <w:t> </w:t>
      </w:r>
      <w:r w:rsidRPr="004532B9">
        <w:t>seniory</w:t>
      </w:r>
      <w:r>
        <w:t>, podpora začínajících podnikatelů</w:t>
      </w:r>
      <w:r w:rsidRPr="004532B9">
        <w:t xml:space="preserve"> a zlepšení regulace ve finančním sektoru.</w:t>
      </w:r>
      <w:r>
        <w:t xml:space="preserve"> </w:t>
      </w:r>
    </w:p>
    <w:p w:rsidR="00485D17" w:rsidRPr="009518EA" w:rsidRDefault="00485D17" w:rsidP="002A1868">
      <w:pPr>
        <w:pStyle w:val="Heading1"/>
        <w:ind w:left="540" w:hanging="540"/>
      </w:pPr>
      <w:bookmarkStart w:id="151" w:name="_Toc428706764"/>
      <w:bookmarkEnd w:id="147"/>
      <w:bookmarkEnd w:id="148"/>
      <w:r w:rsidRPr="009518EA">
        <w:t xml:space="preserve">Přehled závazků fyzických a právnických osob, za které se zaručily </w:t>
      </w:r>
      <w:bookmarkStart w:id="152" w:name="_Toc241917811"/>
      <w:bookmarkStart w:id="153" w:name="_Toc333680192"/>
      <w:bookmarkStart w:id="154" w:name="_Toc206999990"/>
      <w:r w:rsidRPr="009518EA">
        <w:t>jménem státu jeho organizační složky</w:t>
      </w:r>
      <w:bookmarkEnd w:id="152"/>
      <w:bookmarkEnd w:id="153"/>
      <w:bookmarkEnd w:id="154"/>
      <w:bookmarkEnd w:id="151"/>
    </w:p>
    <w:p w:rsidR="00485D17" w:rsidRDefault="00485D17" w:rsidP="00B91368">
      <w:r>
        <w:t>Objem poskytnutých státních záruk za úvěry a emitované dluhopisy se za poslední léta výrazně snížil; z objemu 280,5 mld. Kč v roce 2005 až k objemu ve výši 181,5 mld. Kč v roce 2012. K přerušení tohoto trendu došlo v roce 2013. Česká republika vyhověla požadavku Rady EU a poskytla půjčku Mezinárodnímu měnovému fondu. Půjčku ve výši 2,53 mld. EUR poskytla Česká národní banka ze svých devizových rezerv. Státní záruka za tuto půjčku je zakotvena v zákoně č. 216/2013 Sb.</w:t>
      </w:r>
    </w:p>
    <w:p w:rsidR="00485D17" w:rsidRDefault="00485D17" w:rsidP="00B91368">
      <w:r>
        <w:t xml:space="preserve">Přehled všech poskytnutých státních záruk včetně jejich splátek do doby jejich konečné splatnosti obsahuje </w:t>
      </w:r>
      <w:r w:rsidRPr="00AA21C9">
        <w:t>tabulka č. 8 v tabulkové části E. V</w:t>
      </w:r>
      <w:r>
        <w:t xml:space="preserve"> nejbližších letech se další nárůst objemu záruk o nově poskytnuté úvěry neočekává. Průběžné splátky stávajících garantovaných závazků podle platných splátkových kalendářů ze smluvní dokumentace budou celkový objem záruk dále snižovat.</w:t>
      </w:r>
    </w:p>
    <w:p w:rsidR="00485D17" w:rsidRDefault="00485D17" w:rsidP="00B91368">
      <w:r>
        <w:t>Celkový objem garancí nejvíce zatěžují státní záruky směřující do bankovního sektoru, tzv. nestandardní, včetně výše uvedené poskytnuté státní záruky za půjčku MMF. Z roku 2000 pochází záruka ve prospěch České národní banky, určená k pokrytí některých ztrát, které ČNB vzniknou v souvislosti se „Smlouvou a slibem odškodnění“ a záruka ve prospěch Československé obchodní banky „Smlouva a státní záruka“ v kauze převzetí Investiční a poštovní banky bankou ČSOB. Jako zásadní pro tuto státní záruku se jeví jednostranné prohlášení ČSOB, ve kterém svůj požadavek na plnění ze záruky omezila maximálním objemem 160 mld. Kč a časovým limitem splatnosti rokem 2016. Platby z těchto záruk byly od roku 2003 doposud, v poměru k zaručenému objemu, nízké (5,840 mld. Kč). Úhrady jsou navázány na průběh projednávání a rozhodování jednotlivých kauz soudy. Ve výhledu konečného roku splatnosti 2016 jsou avizovány možné dopady do rozpočtu ze dvou probíhajících arbitráží (ICEC Holding a České pivo) a z kauzy Investiční společnosti podnikatelů (Banka Haná). V případě, že bude v roce 2016 zaplacena záloha na plnění ze záruky, pak bude muset plnění pokračovat i po tomto roce.</w:t>
      </w:r>
    </w:p>
    <w:p w:rsidR="00485D17" w:rsidRDefault="00485D17" w:rsidP="00B91368">
      <w:r>
        <w:t>Správa železniční dopravní cesty, s. o. (resp. bývalé České dráhy) patřila již od roku 1998 k dlužníkům státního rozpočtu z titulu plnění z poskytnutých záruk. Garance byly SŽDC poskytovány jednak podle zákona o rozpočtových pravidlech a od roku 2003 ještě podle zvláštního zákona č. 77/2002 Sb. Výše dluhu této státní organizace vůči státnímu rozpočtu a vývoj jejího hospodaření nedává dosud předpoklady, že by byla schopna svým závazkům v nejbližších letech dostát. Příjmy a úhrady za použití železniční dopravní cesty  SŽDC nepostačují na pokrytí nákladů na její správu, provoz, údržbu a další rozvoj. SŽDC proto nevytváří volné zdroje, ze kterých by byla schopna plnit své závazky z dluhové služby.</w:t>
      </w:r>
    </w:p>
    <w:p w:rsidR="00485D17" w:rsidRDefault="00485D17" w:rsidP="00B91368">
      <w:r>
        <w:t>Na základě usnesení vlády byly v minulých letech prováděny vzájemné zápočty závazků a pohledávek SŽDC a České republiky a od roku 2005 jsou každoročně částečně promíjeny dluhy této státní organizace vůči státnímu rozpočtu. Celkově byly dosud prominuty závazky SŽDC za 51,551 mld. Kč.</w:t>
      </w:r>
    </w:p>
    <w:p w:rsidR="00485D17" w:rsidRDefault="00485D17" w:rsidP="00B91368">
      <w:r>
        <w:t>Celková pohledávka státního rozpočtu za SŽDC se tak k 1. 1. 2015 snížila na částku 1,018 mld. Kč. Zároveň se však za I. pololetí 2015 dluh SŽDC opět navýšil o 709 mil. Kč za v tomto období realizované státní záruky. V letošním roce se předpokládá prominutí dluhu ve výši 1,727 mld. Kč. Rovněž v roce 2016 a následujících se počítá s částečným prominutím dluhu. Je předpoklad, že tento nástroj bude používán k oddlužování SŽDC vůči státu i nadále, resp. do splatnosti všech garantovaných úvěrů této organizace, tj. rok 2019. Z toho vyplývá, že zatížení výdajové stránky státního rozpočtu rizikem vyplývajícím z poskytnutých státních záruk tomuto subjektu je trvalejšího charakteru, i když má sestupný trend.</w:t>
      </w:r>
    </w:p>
    <w:p w:rsidR="00485D17" w:rsidRDefault="00485D17" w:rsidP="00B91368">
      <w:r>
        <w:t>Dlouhodobé investiční úvěry poskytnuté Evropskou investiční bankou v letech 1996 – 2000, určené na infrastrukturální programy (silnice, dálnice, odstranění povodňových škod, vodohospodářské stavby) jsou všechny již vyčerpány a dochází pouze k jejich splácení. Poslední úvěr má být splacen v roce 2022. Zdrojem splátek je státní rozpočet, který se již při jejich přijetí ke splácení přímo zavázal. Příjemcem a zároveň finančním manažerem úvěrů je Českomoravská záruční a rozvojová banka, a. s. Od roku 2003 jsou úvěry na financování obdobných programů financovány přímými úvěry státu a instrument státních záruk již z tohoto titulu není využíván.</w:t>
      </w:r>
    </w:p>
    <w:p w:rsidR="00485D17" w:rsidRDefault="00485D17" w:rsidP="00B91368">
      <w:r>
        <w:t>Od roku 2003 financují České dráhy, a.s. nákup nových železničních vozů i prostřednictvím státem garantovaných úvěrů od společnosti EUROFIMA. Jednalo se o pět úvěrů v hodnotě 165 mil. EUR, z nichž byly již tři v letech 2013, 2014 a 2015 splaceny (celkem 105 mil. EUR). Zdrojem úhrady nebyly prostředky státního rozpočtu. Rizikem těchto úvěrů zůstává jednorázová splatnost jejich jistin v letech 2016 – 2017 a vysoké dluhové zatížení a.s. České dráhy. Splatnost těchto úvěrů zajišťují ČD dalšími úvěrovými prostředky, či vlastními emisemi dluhopisů, které již nejsou garantovány státní zárukou.</w:t>
      </w:r>
    </w:p>
    <w:p w:rsidR="00485D17" w:rsidRPr="00C142FB" w:rsidRDefault="00485D17" w:rsidP="000A37BE">
      <w:r>
        <w:t>Nové impulzy, které by vedly k požadavkům na úvěrové financování za podpory státních záruk od nových subjektů, nebyly zaznamenány.</w:t>
      </w:r>
    </w:p>
    <w:p w:rsidR="00485D17" w:rsidRPr="009D5B72" w:rsidRDefault="00485D17" w:rsidP="00052D9E">
      <w:pPr>
        <w:pStyle w:val="Heading1"/>
        <w:ind w:left="360" w:hanging="360"/>
      </w:pPr>
      <w:bookmarkStart w:id="155" w:name="_Toc206999991"/>
      <w:bookmarkStart w:id="156" w:name="_Toc241917812"/>
      <w:bookmarkStart w:id="157" w:name="_Toc333680193"/>
      <w:bookmarkStart w:id="158" w:name="_Toc428706765"/>
      <w:r w:rsidRPr="009D5B72">
        <w:t>Vývoj státního dluhu</w:t>
      </w:r>
      <w:bookmarkEnd w:id="155"/>
      <w:bookmarkEnd w:id="156"/>
      <w:bookmarkEnd w:id="157"/>
      <w:r w:rsidRPr="009D5B72">
        <w:t>, příjmů a výdajů kapitoly Státní dluh</w:t>
      </w:r>
      <w:bookmarkEnd w:id="158"/>
    </w:p>
    <w:p w:rsidR="00485D17" w:rsidRPr="009D5B72" w:rsidRDefault="00485D17" w:rsidP="009D5B72">
      <w:r w:rsidRPr="009D5B72">
        <w:t>Střednědobý výhled pro kapitolu Státní dluh na léta 2016 až 2018, doplněný o výhled vývoje státního dluhu a jeho splátek, byl zpracován na základě následujících předpokladů.</w:t>
      </w:r>
    </w:p>
    <w:p w:rsidR="00485D17" w:rsidRPr="009D5B72" w:rsidRDefault="00485D17" w:rsidP="009D5B72">
      <w:r w:rsidRPr="009D5B72">
        <w:t>Stávající státní dluh bude refinancován zejména prostředky získanými z emisí státních dluhopisů. Vládou přijímané reformní kroky, stabilní ratingová hodnocení a v letech 2014 a 2015 i pokles resp. stabilizace stavu státního dluhu v důsledku efektivnějšího řízení disponibilní likvidity státu podporují zájem investorů nakupovat české státní dluhopisy i při relativně nízkých výnosech, což dále přispívá k úsporám výdajů na obsluhu státního dluhu.</w:t>
      </w:r>
    </w:p>
    <w:p w:rsidR="00485D17" w:rsidRPr="009D5B72" w:rsidRDefault="00485D17" w:rsidP="009D5B72">
      <w:r w:rsidRPr="009D5B72">
        <w:t>Rozpočtová salda budou ve střednědobém výhledu nadále dosahovat záporných hodnot, avšak vzhledem k předpokládanému růstu HDP nebude prakticky docházet k růstu podílu státního dluhu na HDP, což je v souladu s požadavkem omezení růstu zadlužování. Zatímco v</w:t>
      </w:r>
      <w:r>
        <w:t> </w:t>
      </w:r>
      <w:r w:rsidRPr="009D5B72">
        <w:t>letech 2016 a 2018 se v současnosti nepředpokládá přijímání nových úvěrů od Evropské investiční banky, v roce 2017 je plánováno přijetí úvěru pro potřeby resortu Ministerstva dopravy ve  výši 3,0 mld. Kč.</w:t>
      </w:r>
    </w:p>
    <w:p w:rsidR="00485D17" w:rsidRDefault="00485D17" w:rsidP="00207645">
      <w:pPr>
        <w:pStyle w:val="Caption"/>
        <w:spacing w:before="240"/>
        <w:jc w:val="left"/>
      </w:pPr>
      <w:r>
        <w:t xml:space="preserve">Tabulka č. </w:t>
      </w:r>
      <w:fldSimple w:instr=" SEQ Tabulka_č._ \* ARABIC ">
        <w:r>
          <w:rPr>
            <w:noProof/>
          </w:rPr>
          <w:t>23</w:t>
        </w:r>
      </w:fldSimple>
      <w:r>
        <w:rPr>
          <w:noProof/>
        </w:rPr>
        <w:t xml:space="preserve"> </w:t>
      </w:r>
      <w:r>
        <w:t>Vývoj státního dluhu a jeho podíl na HDP v letech 2005 - 2018</w:t>
      </w:r>
    </w:p>
    <w:p w:rsidR="00485D17" w:rsidRDefault="00485D17" w:rsidP="009D5B72">
      <w:pPr>
        <w:spacing w:after="0" w:line="240" w:lineRule="auto"/>
        <w:ind w:firstLine="0"/>
        <w:rPr>
          <w:noProof/>
        </w:rPr>
      </w:pPr>
      <w:r>
        <w:rPr>
          <w:noProof/>
        </w:rPr>
        <w:pict>
          <v:shape id="Obrázek 1" o:spid="_x0000_i1059" type="#_x0000_t75" style="width:452.4pt;height:97.2pt;visibility:visible">
            <v:imagedata r:id="rId47" o:title=""/>
          </v:shape>
        </w:pict>
      </w:r>
    </w:p>
    <w:p w:rsidR="00485D17" w:rsidRPr="009D5B72" w:rsidRDefault="00485D17" w:rsidP="009D5B72">
      <w:r w:rsidRPr="009D5B72">
        <w:t>Skutečný vývoj státního dluhu a výdajů na obsluhu státního dluhu v letech 2016 až 2018 však bude záviset zejména na dalším rozvoji systému státní pokladny a případném zapojování dalších peněžních prostředků státních a veřejných institucí do centrálního systému refinancování státu.</w:t>
      </w:r>
    </w:p>
    <w:p w:rsidR="00485D17" w:rsidRPr="009D5B72" w:rsidRDefault="00485D17" w:rsidP="009D5B72"/>
    <w:p w:rsidR="00485D17" w:rsidRDefault="00485D17" w:rsidP="00207645">
      <w:pPr>
        <w:pStyle w:val="Caption"/>
        <w:spacing w:before="240"/>
        <w:jc w:val="left"/>
      </w:pPr>
      <w:r w:rsidRPr="0093523C">
        <w:t xml:space="preserve">Graf č. </w:t>
      </w:r>
      <w:fldSimple w:instr=" SEQ Graf_č._ \* ARABIC ">
        <w:r>
          <w:rPr>
            <w:noProof/>
          </w:rPr>
          <w:t>14</w:t>
        </w:r>
      </w:fldSimple>
      <w:r w:rsidRPr="0093523C">
        <w:rPr>
          <w:noProof/>
        </w:rPr>
        <w:t xml:space="preserve"> </w:t>
      </w:r>
      <w:r w:rsidRPr="0093523C">
        <w:t>Vývoj</w:t>
      </w:r>
      <w:r>
        <w:t xml:space="preserve"> státního dluhu a jeho střednědobý výhled</w:t>
      </w:r>
    </w:p>
    <w:p w:rsidR="00485D17" w:rsidRPr="009D5B72" w:rsidRDefault="00485D17" w:rsidP="00207645">
      <w:pPr>
        <w:spacing w:after="0"/>
        <w:ind w:firstLine="0"/>
        <w:jc w:val="left"/>
        <w:rPr>
          <w:bCs/>
          <w:i/>
          <w:sz w:val="20"/>
          <w:szCs w:val="20"/>
        </w:rPr>
      </w:pPr>
      <w:r>
        <w:rPr>
          <w:noProof/>
        </w:rPr>
        <w:pict>
          <v:shape id="Obrázek 2" o:spid="_x0000_i1060" type="#_x0000_t75" style="width:329.4pt;height:213pt;visibility:visible">
            <v:imagedata r:id="rId48" o:title=""/>
          </v:shape>
        </w:pict>
      </w:r>
    </w:p>
    <w:p w:rsidR="00485D17" w:rsidRPr="009D5B72" w:rsidRDefault="00485D17" w:rsidP="009D5B72">
      <w:r w:rsidRPr="009D5B72">
        <w:t>Nezbytné kroky ke stabilizaci rozpočtů a optimalizace procesu financování státu také umožňují významný pokles rozpočtovaných výdajů na obsluhu státního dluhu v letech 2016 a</w:t>
      </w:r>
      <w:r>
        <w:t> </w:t>
      </w:r>
      <w:r w:rsidRPr="009D5B72">
        <w:t>2017 oproti původním střednědobým výdajovým rámcům z minulých let.</w:t>
      </w:r>
    </w:p>
    <w:p w:rsidR="00485D17" w:rsidRPr="0057283D" w:rsidRDefault="00485D17" w:rsidP="00207645">
      <w:pPr>
        <w:pStyle w:val="Caption"/>
        <w:spacing w:before="240"/>
        <w:ind w:left="1560" w:hanging="1560"/>
        <w:jc w:val="left"/>
        <w:rPr>
          <w:highlight w:val="yellow"/>
        </w:rPr>
      </w:pPr>
      <w:r>
        <w:t xml:space="preserve">Tabulka č. </w:t>
      </w:r>
      <w:fldSimple w:instr=" SEQ Tabulka_č._ \* ARABIC ">
        <w:r>
          <w:rPr>
            <w:noProof/>
          </w:rPr>
          <w:t>24</w:t>
        </w:r>
      </w:fldSimple>
      <w:r>
        <w:rPr>
          <w:noProof/>
        </w:rPr>
        <w:t xml:space="preserve">  </w:t>
      </w:r>
      <w:r w:rsidRPr="0057283D">
        <w:t>Základní ukazatele státního rozpočtu v kapitole Státní dluh v letech      201</w:t>
      </w:r>
      <w:r>
        <w:t>2</w:t>
      </w:r>
      <w:r w:rsidRPr="0057283D">
        <w:t> - 201</w:t>
      </w:r>
      <w:r>
        <w:t>8</w:t>
      </w:r>
      <w:r w:rsidRPr="0057283D">
        <w:t xml:space="preserve"> (mil. Kč)</w:t>
      </w:r>
    </w:p>
    <w:p w:rsidR="00485D17" w:rsidRPr="009D5B72" w:rsidRDefault="00485D17" w:rsidP="009D5B72">
      <w:pPr>
        <w:spacing w:after="0" w:line="240" w:lineRule="auto"/>
        <w:ind w:firstLine="0"/>
        <w:jc w:val="center"/>
        <w:rPr>
          <w:b/>
        </w:rPr>
      </w:pPr>
      <w:r>
        <w:rPr>
          <w:noProof/>
        </w:rPr>
        <w:pict>
          <v:shape id="Obrázek 3" o:spid="_x0000_i1061" type="#_x0000_t75" style="width:448.8pt;height:78pt;visibility:visible">
            <v:imagedata r:id="rId49" o:title=""/>
          </v:shape>
        </w:pict>
      </w:r>
    </w:p>
    <w:p w:rsidR="00485D17" w:rsidRPr="009D5B72" w:rsidRDefault="00485D17" w:rsidP="009D5B72">
      <w:pPr>
        <w:spacing w:after="0"/>
        <w:ind w:firstLine="0"/>
        <w:rPr>
          <w:rFonts w:eastAsia="MS Mincho"/>
          <w:sz w:val="18"/>
          <w:szCs w:val="18"/>
        </w:rPr>
      </w:pPr>
      <w:r w:rsidRPr="009D5B72">
        <w:rPr>
          <w:rFonts w:eastAsia="MS Mincho"/>
          <w:sz w:val="18"/>
          <w:szCs w:val="18"/>
        </w:rPr>
        <w:t>Poznámka: Od roku 2016 dojde ke změně metodiky rozpočtování kapitoly Státní dluhu spočívající ve vzájemném měsíčním započítávání realizovaných úrokových příjmů a výdajů.</w:t>
      </w:r>
    </w:p>
    <w:p w:rsidR="00485D17" w:rsidRPr="009D5B72" w:rsidRDefault="00485D17" w:rsidP="009D5B72">
      <w:r w:rsidRPr="009D5B72">
        <w:t xml:space="preserve">Ve schváleném střednědobém rozpočtovém výhledu činilo saldo rozpočtových </w:t>
      </w:r>
      <w:r>
        <w:t xml:space="preserve">příjmů a </w:t>
      </w:r>
      <w:r w:rsidRPr="009D5B72">
        <w:t>výdajů kapitoly Státní dluh na rok 2016 celkem 63,9 mld. Kč (výdaje kapitoly ve výši 68,9 mld. Kč a</w:t>
      </w:r>
      <w:r>
        <w:t> </w:t>
      </w:r>
      <w:r w:rsidRPr="009D5B72">
        <w:t>příjmy ve výši 5,0 mld. Kč). Vzhledem ke změně zákona č. 218/2000 Sb. (rozpočtových pravidel)</w:t>
      </w:r>
      <w:r w:rsidRPr="00AA21C9">
        <w:rPr>
          <w:vertAlign w:val="superscript"/>
        </w:rPr>
        <w:footnoteReference w:id="5"/>
      </w:r>
      <w:r w:rsidRPr="009D5B72">
        <w:t>, která umožnila vzájemný zápočet příjmů a výdajů souvisejících s řízením likvidity státní pokladny nebo řízením státního dluhu, se navrhuje rozpočet příjmů kapitoly ve výši nula při souvztažném snížení rozpočtu hrubých výdajů kapitoly jednak z titulu možnosti započítávání rozpočtovaných příjmů a výdajů ve výši 5 mld. Kč, a jednak z titulu situace na finančním trhu, kdy se výnosy státních dluhopisů nalézají na rekordně nízkých úrovních</w:t>
      </w:r>
      <w:r>
        <w:t>, tj. snížení o </w:t>
      </w:r>
      <w:r w:rsidRPr="009D5B72">
        <w:t>dodatečných 9,9 mld. Kč.</w:t>
      </w:r>
    </w:p>
    <w:p w:rsidR="00485D17" w:rsidRPr="009D5B72" w:rsidRDefault="00485D17" w:rsidP="009D5B72">
      <w:r w:rsidRPr="009D5B72">
        <w:t>Díky předchozímu je tak možné navrhnout celkové výdaje kapitoly ve výši 54,0 mld. Kč, což představuje pokles salda kapitoly oproti schválenému střednědobému výdajovému rámci o cca 9,9 mld. Kč a pokles hrubých výdajů oproti schválenému střednědobému výdajovému rámci činí cca 14,9 mld. Kč.</w:t>
      </w:r>
    </w:p>
    <w:p w:rsidR="00485D17" w:rsidRPr="009D5B72" w:rsidRDefault="00485D17" w:rsidP="009D5B72">
      <w:r w:rsidRPr="009D5B72">
        <w:t>Pro rok 2017 je navrženo snížení salda kapitoly oproti schválenému střednědobému výdajovému rámci o cca 16,4 mld. Kč. Navrhovaný rámec výdajů kapitoly poklesne o 18,9 mld. Kč a činí 57,0 mld. Kč. Navrhovaný rámec příjmů kapitoly poklesne oproti schválenému výhledu o 2,5 mld. Kč a činí 0 Kč (stejně jako navrhovaný rozpočet pro rok 2016).</w:t>
      </w:r>
    </w:p>
    <w:p w:rsidR="00485D17" w:rsidRPr="009D5B72" w:rsidRDefault="00485D17" w:rsidP="009D5B72">
      <w:r w:rsidRPr="009D5B72">
        <w:t xml:space="preserve">Pro rok 2018 je stanoven rámec výdajů kapitoly na úrovni 62,0 mld. Kč. Nastavení rámce pro rok 2018 je problematické nejen s ohledem na vývoj úrokových sazeb při takto dlouhém horizontu předpovědi, ale také s ohledem na vysokou míru nejistoty </w:t>
      </w:r>
      <w:r>
        <w:t>ve struktuře financování na </w:t>
      </w:r>
      <w:r w:rsidRPr="009D5B72">
        <w:t>domácím, případně na zahraničním trhu.</w:t>
      </w:r>
    </w:p>
    <w:p w:rsidR="00485D17" w:rsidRPr="009D5B72" w:rsidRDefault="00485D17" w:rsidP="009D5B72">
      <w:r w:rsidRPr="009D5B72">
        <w:t>V letech 2016 až 2018 budou splaceny emise střednědobých a dlouhodobých státních dluhopisů včetně plánovaných zpětných odkupů nebo výměn před datem splatnosti a</w:t>
      </w:r>
      <w:r>
        <w:t> </w:t>
      </w:r>
      <w:r w:rsidRPr="009D5B72">
        <w:t>jmenovitých hodnot nebo jistin derivátů souvisejících s úhradou jmenovitých hodnot nebo jistin státního dluhu v celkové výši 543,7 mld. Kč, tj. podle jednotlivých let: 186,3 mld. Kč v roce 2016, 160,9 mld. Kč v roce 2017 a 196,5 mld. Kč v roce 2018. Dále budou spláceny jistiny úvěrů přijatých od Evropské investiční banky v letech 2016 až 2018 v předpokládané celkové hodnotě 8,2 mld. Kč.</w:t>
      </w:r>
    </w:p>
    <w:p w:rsidR="00485D17" w:rsidRPr="009518EA" w:rsidRDefault="00485D17" w:rsidP="002A1868">
      <w:pPr>
        <w:pStyle w:val="Heading1"/>
        <w:ind w:left="540" w:hanging="540"/>
      </w:pPr>
      <w:bookmarkStart w:id="159" w:name="_Toc206999992"/>
      <w:bookmarkStart w:id="160" w:name="_Toc241917813"/>
      <w:bookmarkStart w:id="161" w:name="_Toc333680194"/>
      <w:bookmarkStart w:id="162" w:name="_Toc428706766"/>
      <w:r w:rsidRPr="009518EA">
        <w:t xml:space="preserve">Závazky státu vyplývajících </w:t>
      </w:r>
      <w:bookmarkEnd w:id="159"/>
      <w:bookmarkEnd w:id="160"/>
      <w:bookmarkEnd w:id="161"/>
      <w:r w:rsidRPr="009518EA">
        <w:t>z víceletých významných veřejných zakázek a z koncesních smluv</w:t>
      </w:r>
      <w:bookmarkEnd w:id="162"/>
    </w:p>
    <w:p w:rsidR="00485D17" w:rsidRDefault="00485D17" w:rsidP="009518EA">
      <w:pPr>
        <w:rPr>
          <w:bCs/>
        </w:rPr>
      </w:pPr>
      <w:r>
        <w:t>M</w:t>
      </w:r>
      <w:r>
        <w:rPr>
          <w:bCs/>
        </w:rPr>
        <w:t xml:space="preserve">inisterstva zahraničních věcí, obrany, vnitra, dopravy a kultury a Státní zemědělský intervenční fond </w:t>
      </w:r>
      <w:r>
        <w:t>předpokládají na léta 2017 a 2018 realizaci 23 již uzavřených nebo připravených smluv</w:t>
      </w:r>
      <w:r w:rsidRPr="00183496">
        <w:rPr>
          <w:bCs/>
        </w:rPr>
        <w:t xml:space="preserve"> </w:t>
      </w:r>
      <w:r>
        <w:rPr>
          <w:bCs/>
        </w:rPr>
        <w:t xml:space="preserve">na víceleté významné veřejné zakázky. Celková hodnota výdajů na realizaci těchto smluv v období od roku 2017 do roku 2027 </w:t>
      </w:r>
      <w:r w:rsidRPr="00754062">
        <w:t xml:space="preserve">dosáhne </w:t>
      </w:r>
      <w:r>
        <w:t xml:space="preserve">38 873 </w:t>
      </w:r>
      <w:r>
        <w:rPr>
          <w:bCs/>
        </w:rPr>
        <w:t>mil. Kč. Z toho v letech 2017 a 2018 budou výdaje činit 7 660 mil. Kč resp. 7 596 mil. Kč.</w:t>
      </w:r>
    </w:p>
    <w:p w:rsidR="00485D17" w:rsidRPr="00754062" w:rsidRDefault="00485D17" w:rsidP="009518EA">
      <w:pPr>
        <w:rPr>
          <w:bCs/>
        </w:rPr>
      </w:pPr>
      <w:r>
        <w:rPr>
          <w:bCs/>
        </w:rPr>
        <w:t xml:space="preserve">Nejvyšších hodnot v jednotlivých případech dosahují víceleté zakázky ministerstev obrany a vnitra. U Ministerstva obrany jde zejména o zakázku na udržení a rozvoj schopností nadzvukového letectva, na mobilní 3D radiolokátor, na nákupy velitelsko-štábních a spojovacích vozidel a na servisní podporu letounů a vrtulníků. Mezi víceletými zakázkami Ministerstva vnitra je rozpočtově nejvýznamnější provozování informačního systému datových schránek. </w:t>
      </w:r>
    </w:p>
    <w:p w:rsidR="00485D17" w:rsidRPr="008364D1" w:rsidRDefault="00485D17" w:rsidP="009518EA">
      <w:pPr>
        <w:rPr>
          <w:bCs/>
        </w:rPr>
      </w:pPr>
      <w:r>
        <w:rPr>
          <w:bCs/>
        </w:rPr>
        <w:t xml:space="preserve">Koncesní smlouvy jsou u organizačních složek státu, státních příspěvkových organizací a státních fondů spíše výjimečně využívanou formou zadání a realizace služeb či dodávek. </w:t>
      </w:r>
      <w:r w:rsidRPr="00091BCF">
        <w:t>Předpokládaná hodnota koncesních smluv uzavřených státními institucemi činí 1 8</w:t>
      </w:r>
      <w:r>
        <w:t>90</w:t>
      </w:r>
      <w:r w:rsidRPr="00091BCF">
        <w:t xml:space="preserve"> mil. Kč. </w:t>
      </w:r>
      <w:r>
        <w:t>Finančně nejvýznamnější jsou</w:t>
      </w:r>
      <w:r w:rsidRPr="00091BCF">
        <w:t xml:space="preserve"> smlouvy Ministerstva pro místní rozvoj na vytváření a</w:t>
      </w:r>
      <w:r>
        <w:t> </w:t>
      </w:r>
      <w:r w:rsidRPr="00091BCF">
        <w:t>provozování Informačního systému o veřejných zakázkách a elektronických tržišť veřejné správy</w:t>
      </w:r>
      <w:r>
        <w:t>. V</w:t>
      </w:r>
      <w:r w:rsidRPr="00091BCF">
        <w:t>ýdaje zadavatelů na realizaci koncesní</w:t>
      </w:r>
      <w:r>
        <w:t>ch</w:t>
      </w:r>
      <w:r w:rsidRPr="00091BCF">
        <w:t xml:space="preserve"> smluv představují minoritní část celkové hodnoty smluv</w:t>
      </w:r>
      <w:r>
        <w:t>,</w:t>
      </w:r>
      <w:r w:rsidRPr="00785830">
        <w:t xml:space="preserve"> </w:t>
      </w:r>
      <w:r>
        <w:t>p</w:t>
      </w:r>
      <w:r w:rsidRPr="00091BCF">
        <w:t>řevážná část příjmů koncesionářů plyne od třetích osob</w:t>
      </w:r>
      <w:r>
        <w:t>.</w:t>
      </w:r>
    </w:p>
    <w:p w:rsidR="00485D17" w:rsidRPr="00EA0614" w:rsidRDefault="00485D17" w:rsidP="009518EA">
      <w:pPr>
        <w:ind w:firstLine="0"/>
        <w:rPr>
          <w:bCs/>
        </w:rPr>
      </w:pPr>
    </w:p>
    <w:p w:rsidR="00485D17" w:rsidRPr="000E2920" w:rsidRDefault="00485D17" w:rsidP="00E90FB0">
      <w:pPr>
        <w:pStyle w:val="Nadpishlavnsti"/>
      </w:pPr>
      <w:bookmarkStart w:id="163" w:name="_Toc206999993"/>
      <w:bookmarkStart w:id="164" w:name="_Toc241917814"/>
      <w:bookmarkStart w:id="165" w:name="_Toc333680195"/>
      <w:bookmarkStart w:id="166" w:name="_Toc428706767"/>
      <w:r w:rsidRPr="000E2920">
        <w:t xml:space="preserve">E. </w:t>
      </w:r>
      <w:bookmarkEnd w:id="163"/>
      <w:bookmarkEnd w:id="164"/>
      <w:r w:rsidRPr="000E2920">
        <w:t>Tabulková část</w:t>
      </w:r>
      <w:bookmarkEnd w:id="165"/>
      <w:bookmarkEnd w:id="166"/>
    </w:p>
    <w:sectPr w:rsidR="00485D17" w:rsidRPr="000E2920" w:rsidSect="00356FF3">
      <w:footerReference w:type="default" r:id="rId50"/>
      <w:pgSz w:w="11906" w:h="16838"/>
      <w:pgMar w:top="1418" w:right="1286"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D17" w:rsidRDefault="00485D17">
      <w:r>
        <w:separator/>
      </w:r>
    </w:p>
  </w:endnote>
  <w:endnote w:type="continuationSeparator" w:id="0">
    <w:p w:rsidR="00485D17" w:rsidRDefault="00485D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17" w:rsidRDefault="00485D17" w:rsidP="00004B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5D17" w:rsidRDefault="00485D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17" w:rsidRDefault="00485D17" w:rsidP="00B03A64">
    <w:pPr>
      <w:pStyle w:val="Footer"/>
    </w:pPr>
  </w:p>
  <w:p w:rsidR="00485D17" w:rsidRDefault="00485D17" w:rsidP="00B03A64">
    <w:pPr>
      <w:pStyle w:val="Footer"/>
      <w:tabs>
        <w:tab w:val="clear" w:pos="4536"/>
        <w:tab w:val="clear" w:pos="9072"/>
        <w:tab w:val="left" w:pos="423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17" w:rsidRDefault="00485D17">
    <w:pPr>
      <w:pStyle w:val="Footer"/>
      <w:jc w:val="center"/>
    </w:pPr>
  </w:p>
  <w:p w:rsidR="00485D17" w:rsidRDefault="00485D1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17" w:rsidRDefault="00485D17" w:rsidP="00B03A64">
    <w:pPr>
      <w:pStyle w:val="Footer"/>
      <w:jc w:val="center"/>
    </w:pPr>
    <w:fldSimple w:instr="PAGE   \* MERGEFORMAT">
      <w:r>
        <w:rPr>
          <w:noProof/>
        </w:rPr>
        <w:t>2</w:t>
      </w:r>
    </w:fldSimple>
  </w:p>
  <w:p w:rsidR="00485D17" w:rsidRDefault="00485D17" w:rsidP="00B03A64">
    <w:pPr>
      <w:pStyle w:val="Footer"/>
      <w:tabs>
        <w:tab w:val="clear" w:pos="4536"/>
        <w:tab w:val="clear" w:pos="9072"/>
        <w:tab w:val="left" w:pos="4230"/>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17" w:rsidRDefault="00485D17">
    <w:pPr>
      <w:pStyle w:val="Footer"/>
      <w:jc w:val="center"/>
    </w:pPr>
    <w:fldSimple w:instr="PAGE   \* MERGEFORMAT">
      <w:r>
        <w:rPr>
          <w:noProof/>
        </w:rPr>
        <w:t>1</w:t>
      </w:r>
    </w:fldSimple>
  </w:p>
  <w:p w:rsidR="00485D17" w:rsidRDefault="00485D17">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17" w:rsidRDefault="00485D17" w:rsidP="00004BAB">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43</w:t>
    </w:r>
    <w:r>
      <w:rPr>
        <w:rStyle w:val="PageNumber"/>
      </w:rPr>
      <w:fldChar w:fldCharType="end"/>
    </w:r>
  </w:p>
  <w:p w:rsidR="00485D17" w:rsidRDefault="00485D17" w:rsidP="00B44F34">
    <w:pPr>
      <w:pStyle w:val="Footer"/>
      <w:framePr w:wrap="around" w:vAnchor="text" w:hAnchor="margin" w:xAlign="center" w:y="1"/>
      <w:rPr>
        <w:rStyle w:val="PageNumber"/>
      </w:rPr>
    </w:pPr>
  </w:p>
  <w:p w:rsidR="00485D17" w:rsidRDefault="00485D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D17" w:rsidRDefault="00485D17">
      <w:r>
        <w:separator/>
      </w:r>
    </w:p>
  </w:footnote>
  <w:footnote w:type="continuationSeparator" w:id="0">
    <w:p w:rsidR="00485D17" w:rsidRDefault="00485D17">
      <w:r>
        <w:continuationSeparator/>
      </w:r>
    </w:p>
  </w:footnote>
  <w:footnote w:id="1">
    <w:p w:rsidR="00485D17" w:rsidRDefault="00485D17" w:rsidP="00D713AA">
      <w:pPr>
        <w:pStyle w:val="FootnoteText"/>
      </w:pPr>
      <w:r>
        <w:rPr>
          <w:rStyle w:val="FootnoteReference"/>
        </w:rPr>
        <w:footnoteRef/>
      </w:r>
      <w:r>
        <w:t xml:space="preserve"> Míra participace vyjadřuje </w:t>
      </w:r>
      <w:r w:rsidRPr="009D56E0">
        <w:t xml:space="preserve">podíl </w:t>
      </w:r>
      <w:r>
        <w:t xml:space="preserve">součtu </w:t>
      </w:r>
      <w:r w:rsidRPr="009D56E0">
        <w:t>nezaměstnaných</w:t>
      </w:r>
      <w:r>
        <w:t xml:space="preserve"> a </w:t>
      </w:r>
      <w:r w:rsidRPr="009D56E0">
        <w:t>zaměstnaných na populaci</w:t>
      </w:r>
      <w:r>
        <w:t xml:space="preserve"> v </w:t>
      </w:r>
      <w:r w:rsidRPr="009D56E0">
        <w:t>produktivním věku</w:t>
      </w:r>
      <w:r>
        <w:t>.</w:t>
      </w:r>
    </w:p>
  </w:footnote>
  <w:footnote w:id="2">
    <w:p w:rsidR="00485D17" w:rsidRDefault="00485D17" w:rsidP="00D713AA">
      <w:pPr>
        <w:pStyle w:val="FootnoteText"/>
      </w:pPr>
      <w:r>
        <w:rPr>
          <w:rStyle w:val="FootnoteReference"/>
        </w:rPr>
        <w:footnoteRef/>
      </w:r>
      <w:r>
        <w:t xml:space="preserve"> Nezaměstnanost podle VŠPS je nižší též z metodických důvodů. Pro to, aby se dotyčný mohl označit za zaměstnaného, stačí odpracovat 1 hodinu během referenčního týdne.</w:t>
      </w:r>
    </w:p>
  </w:footnote>
  <w:footnote w:id="3">
    <w:p w:rsidR="00485D17" w:rsidRDefault="00485D17" w:rsidP="00D713AA">
      <w:pPr>
        <w:pStyle w:val="FootnoteText"/>
      </w:pPr>
      <w:r>
        <w:rPr>
          <w:rStyle w:val="FootnoteReference"/>
        </w:rPr>
        <w:footnoteRef/>
      </w:r>
      <w:r>
        <w:t xml:space="preserve"> Delší než 12 měsíců</w:t>
      </w:r>
    </w:p>
  </w:footnote>
  <w:footnote w:id="4">
    <w:p w:rsidR="00485D17" w:rsidRDefault="00485D17" w:rsidP="00204480">
      <w:pPr>
        <w:pStyle w:val="FootnoteText"/>
      </w:pPr>
      <w:r>
        <w:rPr>
          <w:rStyle w:val="FootnoteReference"/>
        </w:rPr>
        <w:footnoteRef/>
      </w:r>
      <w:r>
        <w:t xml:space="preserve"> Finanční rámec stanoví maximální strop výdajů rozpočtu EU, které lze čerpat. Cca 13 % vlastních zdrojů představují příjmy z tradičních vlastních zdrojů, které nejsou financovány prostřednictvím národních rozpočtů. Rozpočet EU má navíc vedle vlastních zdrojů EU své další vlastní příjmy ovlivňujících výši vlastních zdrojů EU.</w:t>
      </w:r>
    </w:p>
  </w:footnote>
  <w:footnote w:id="5">
    <w:p w:rsidR="00485D17" w:rsidRDefault="00485D17" w:rsidP="009D5B72">
      <w:pPr>
        <w:pStyle w:val="FootnoteText"/>
      </w:pPr>
      <w:r>
        <w:rPr>
          <w:rStyle w:val="FootnoteReference"/>
        </w:rPr>
        <w:footnoteRef/>
      </w:r>
      <w:r>
        <w:t xml:space="preserve"> Z</w:t>
      </w:r>
      <w:r w:rsidRPr="00E375B1">
        <w:t>ákon č. 25/2015 Sb. z února tohoto roku</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30FB"/>
    <w:multiLevelType w:val="multilevel"/>
    <w:tmpl w:val="CBA06C60"/>
    <w:lvl w:ilvl="0">
      <w:start w:val="1"/>
      <w:numFmt w:val="decimal"/>
      <w:suff w:val="space"/>
      <w:lvlText w:val="%1."/>
      <w:lvlJc w:val="left"/>
      <w:pPr>
        <w:ind w:left="709"/>
      </w:pPr>
      <w:rPr>
        <w:rFonts w:cs="Times New Roman" w:hint="default"/>
        <w:b/>
        <w:i w:val="0"/>
        <w:sz w:val="32"/>
      </w:rPr>
    </w:lvl>
    <w:lvl w:ilvl="1">
      <w:start w:val="1"/>
      <w:numFmt w:val="decimal"/>
      <w:suff w:val="space"/>
      <w:lvlText w:val="%1.%2."/>
      <w:lvlJc w:val="left"/>
      <w:pPr>
        <w:ind w:left="709"/>
      </w:pPr>
      <w:rPr>
        <w:rFonts w:cs="Times New Roman" w:hint="default"/>
        <w:b/>
        <w:i/>
      </w:rPr>
    </w:lvl>
    <w:lvl w:ilvl="2">
      <w:start w:val="1"/>
      <w:numFmt w:val="decimal"/>
      <w:suff w:val="space"/>
      <w:lvlText w:val="%1.%2.%3."/>
      <w:lvlJc w:val="left"/>
      <w:pPr>
        <w:ind w:left="709"/>
      </w:pPr>
      <w:rPr>
        <w:rFonts w:cs="Times New Roman" w:hint="default"/>
        <w:b/>
        <w:i w:val="0"/>
      </w:rPr>
    </w:lvl>
    <w:lvl w:ilvl="3">
      <w:start w:val="1"/>
      <w:numFmt w:val="decimal"/>
      <w:suff w:val="space"/>
      <w:lvlText w:val="%1.%2.%3.%4."/>
      <w:lvlJc w:val="left"/>
      <w:pPr>
        <w:ind w:left="540"/>
      </w:pPr>
      <w:rPr>
        <w:rFonts w:ascii="Times New Roman" w:hAnsi="Times New Roman" w:cs="Times New Roman" w:hint="default"/>
        <w:b/>
        <w:i w:val="0"/>
        <w:sz w:val="24"/>
      </w:rPr>
    </w:lvl>
    <w:lvl w:ilvl="4">
      <w:start w:val="1"/>
      <w:numFmt w:val="decimal"/>
      <w:lvlText w:val="%1.%2.%3.%4.%5."/>
      <w:lvlJc w:val="left"/>
      <w:pPr>
        <w:tabs>
          <w:tab w:val="num" w:pos="8044"/>
        </w:tabs>
        <w:ind w:left="6316" w:hanging="792"/>
      </w:pPr>
      <w:rPr>
        <w:rFonts w:cs="Times New Roman" w:hint="default"/>
      </w:rPr>
    </w:lvl>
    <w:lvl w:ilvl="5">
      <w:start w:val="1"/>
      <w:numFmt w:val="decimal"/>
      <w:lvlText w:val="%1.%2.%3.%4.%5.%6."/>
      <w:lvlJc w:val="left"/>
      <w:pPr>
        <w:tabs>
          <w:tab w:val="num" w:pos="8764"/>
        </w:tabs>
        <w:ind w:left="6820" w:hanging="936"/>
      </w:pPr>
      <w:rPr>
        <w:rFonts w:cs="Times New Roman" w:hint="default"/>
      </w:rPr>
    </w:lvl>
    <w:lvl w:ilvl="6">
      <w:start w:val="1"/>
      <w:numFmt w:val="decimal"/>
      <w:lvlText w:val="%1.%2.%3.%4.%5.%6.%7."/>
      <w:lvlJc w:val="left"/>
      <w:pPr>
        <w:tabs>
          <w:tab w:val="num" w:pos="9484"/>
        </w:tabs>
        <w:ind w:left="7324" w:hanging="1080"/>
      </w:pPr>
      <w:rPr>
        <w:rFonts w:cs="Times New Roman" w:hint="default"/>
      </w:rPr>
    </w:lvl>
    <w:lvl w:ilvl="7">
      <w:start w:val="1"/>
      <w:numFmt w:val="decimal"/>
      <w:lvlText w:val="%1.%2.%3.%4.%5.%6.%7.%8."/>
      <w:lvlJc w:val="left"/>
      <w:pPr>
        <w:tabs>
          <w:tab w:val="num" w:pos="10204"/>
        </w:tabs>
        <w:ind w:left="7828" w:hanging="1224"/>
      </w:pPr>
      <w:rPr>
        <w:rFonts w:cs="Times New Roman" w:hint="default"/>
      </w:rPr>
    </w:lvl>
    <w:lvl w:ilvl="8">
      <w:start w:val="1"/>
      <w:numFmt w:val="decimal"/>
      <w:lvlText w:val="%1.%2.%3.%4.%5.%6.%7.%8.%9."/>
      <w:lvlJc w:val="left"/>
      <w:pPr>
        <w:tabs>
          <w:tab w:val="num" w:pos="10924"/>
        </w:tabs>
        <w:ind w:left="8404" w:hanging="1440"/>
      </w:pPr>
      <w:rPr>
        <w:rFonts w:cs="Times New Roman" w:hint="default"/>
      </w:rPr>
    </w:lvl>
  </w:abstractNum>
  <w:abstractNum w:abstractNumId="1">
    <w:nsid w:val="05CD267D"/>
    <w:multiLevelType w:val="multilevel"/>
    <w:tmpl w:val="6B68D65C"/>
    <w:lvl w:ilvl="0">
      <w:start w:val="1"/>
      <w:numFmt w:val="bullet"/>
      <w:suff w:val="space"/>
      <w:lvlText w:val=""/>
      <w:lvlJc w:val="left"/>
      <w:rPr>
        <w:rFonts w:ascii="Wingdings" w:hAnsi="Wingdings" w:hint="default"/>
      </w:rPr>
    </w:lvl>
    <w:lvl w:ilvl="1">
      <w:start w:val="1"/>
      <w:numFmt w:val="bullet"/>
      <w:suff w:val="space"/>
      <w:lvlText w:val=""/>
      <w:lvlJc w:val="left"/>
      <w:pPr>
        <w:ind w:left="992"/>
      </w:pPr>
      <w:rPr>
        <w:rFonts w:ascii="Symbol" w:hAnsi="Symbol" w:hint="default"/>
      </w:rPr>
    </w:lvl>
    <w:lvl w:ilvl="2">
      <w:start w:val="1"/>
      <w:numFmt w:val="bullet"/>
      <w:suff w:val="space"/>
      <w:lvlText w:val=""/>
      <w:lvlJc w:val="left"/>
      <w:pPr>
        <w:ind w:left="1276"/>
      </w:pPr>
      <w:rPr>
        <w:rFonts w:ascii="Wingdings" w:hAnsi="Wingdings" w:hint="default"/>
        <w:b/>
        <w:i w:val="0"/>
        <w:sz w:val="24"/>
      </w:rPr>
    </w:lvl>
    <w:lvl w:ilvl="3">
      <w:start w:val="1"/>
      <w:numFmt w:val="bullet"/>
      <w:suff w:val="space"/>
      <w:lvlText w:val=""/>
      <w:lvlJc w:val="left"/>
      <w:pPr>
        <w:ind w:left="1559"/>
      </w:pPr>
      <w:rPr>
        <w:rFonts w:ascii="Wingdings 2" w:hAnsi="Wingdings 2"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A0A43D7"/>
    <w:multiLevelType w:val="hybridMultilevel"/>
    <w:tmpl w:val="06729D62"/>
    <w:lvl w:ilvl="0" w:tplc="04050001">
      <w:start w:val="1"/>
      <w:numFmt w:val="bullet"/>
      <w:lvlText w:val=""/>
      <w:lvlJc w:val="left"/>
      <w:pPr>
        <w:tabs>
          <w:tab w:val="num" w:pos="2520"/>
        </w:tabs>
        <w:ind w:left="2520" w:hanging="360"/>
      </w:pPr>
      <w:rPr>
        <w:rFonts w:ascii="Symbol" w:hAnsi="Symbol" w:hint="default"/>
      </w:rPr>
    </w:lvl>
    <w:lvl w:ilvl="1" w:tplc="04050003" w:tentative="1">
      <w:start w:val="1"/>
      <w:numFmt w:val="bullet"/>
      <w:lvlText w:val="o"/>
      <w:lvlJc w:val="left"/>
      <w:pPr>
        <w:tabs>
          <w:tab w:val="num" w:pos="3240"/>
        </w:tabs>
        <w:ind w:left="3240" w:hanging="360"/>
      </w:pPr>
      <w:rPr>
        <w:rFonts w:ascii="Courier New" w:hAnsi="Courier New" w:hint="default"/>
      </w:rPr>
    </w:lvl>
    <w:lvl w:ilvl="2" w:tplc="04050005" w:tentative="1">
      <w:start w:val="1"/>
      <w:numFmt w:val="bullet"/>
      <w:lvlText w:val=""/>
      <w:lvlJc w:val="left"/>
      <w:pPr>
        <w:tabs>
          <w:tab w:val="num" w:pos="3960"/>
        </w:tabs>
        <w:ind w:left="3960" w:hanging="360"/>
      </w:pPr>
      <w:rPr>
        <w:rFonts w:ascii="Wingdings" w:hAnsi="Wingdings" w:hint="default"/>
      </w:rPr>
    </w:lvl>
    <w:lvl w:ilvl="3" w:tplc="04050001" w:tentative="1">
      <w:start w:val="1"/>
      <w:numFmt w:val="bullet"/>
      <w:lvlText w:val=""/>
      <w:lvlJc w:val="left"/>
      <w:pPr>
        <w:tabs>
          <w:tab w:val="num" w:pos="4680"/>
        </w:tabs>
        <w:ind w:left="4680" w:hanging="360"/>
      </w:pPr>
      <w:rPr>
        <w:rFonts w:ascii="Symbol" w:hAnsi="Symbol" w:hint="default"/>
      </w:rPr>
    </w:lvl>
    <w:lvl w:ilvl="4" w:tplc="04050003" w:tentative="1">
      <w:start w:val="1"/>
      <w:numFmt w:val="bullet"/>
      <w:lvlText w:val="o"/>
      <w:lvlJc w:val="left"/>
      <w:pPr>
        <w:tabs>
          <w:tab w:val="num" w:pos="5400"/>
        </w:tabs>
        <w:ind w:left="5400" w:hanging="360"/>
      </w:pPr>
      <w:rPr>
        <w:rFonts w:ascii="Courier New" w:hAnsi="Courier New" w:hint="default"/>
      </w:rPr>
    </w:lvl>
    <w:lvl w:ilvl="5" w:tplc="04050005" w:tentative="1">
      <w:start w:val="1"/>
      <w:numFmt w:val="bullet"/>
      <w:lvlText w:val=""/>
      <w:lvlJc w:val="left"/>
      <w:pPr>
        <w:tabs>
          <w:tab w:val="num" w:pos="6120"/>
        </w:tabs>
        <w:ind w:left="6120" w:hanging="360"/>
      </w:pPr>
      <w:rPr>
        <w:rFonts w:ascii="Wingdings" w:hAnsi="Wingdings" w:hint="default"/>
      </w:rPr>
    </w:lvl>
    <w:lvl w:ilvl="6" w:tplc="04050001" w:tentative="1">
      <w:start w:val="1"/>
      <w:numFmt w:val="bullet"/>
      <w:lvlText w:val=""/>
      <w:lvlJc w:val="left"/>
      <w:pPr>
        <w:tabs>
          <w:tab w:val="num" w:pos="6840"/>
        </w:tabs>
        <w:ind w:left="6840" w:hanging="360"/>
      </w:pPr>
      <w:rPr>
        <w:rFonts w:ascii="Symbol" w:hAnsi="Symbol" w:hint="default"/>
      </w:rPr>
    </w:lvl>
    <w:lvl w:ilvl="7" w:tplc="04050003" w:tentative="1">
      <w:start w:val="1"/>
      <w:numFmt w:val="bullet"/>
      <w:lvlText w:val="o"/>
      <w:lvlJc w:val="left"/>
      <w:pPr>
        <w:tabs>
          <w:tab w:val="num" w:pos="7560"/>
        </w:tabs>
        <w:ind w:left="7560" w:hanging="360"/>
      </w:pPr>
      <w:rPr>
        <w:rFonts w:ascii="Courier New" w:hAnsi="Courier New" w:hint="default"/>
      </w:rPr>
    </w:lvl>
    <w:lvl w:ilvl="8" w:tplc="04050005" w:tentative="1">
      <w:start w:val="1"/>
      <w:numFmt w:val="bullet"/>
      <w:lvlText w:val=""/>
      <w:lvlJc w:val="left"/>
      <w:pPr>
        <w:tabs>
          <w:tab w:val="num" w:pos="8280"/>
        </w:tabs>
        <w:ind w:left="8280" w:hanging="360"/>
      </w:pPr>
      <w:rPr>
        <w:rFonts w:ascii="Wingdings" w:hAnsi="Wingdings" w:hint="default"/>
      </w:rPr>
    </w:lvl>
  </w:abstractNum>
  <w:abstractNum w:abstractNumId="3">
    <w:nsid w:val="0B04516C"/>
    <w:multiLevelType w:val="hybridMultilevel"/>
    <w:tmpl w:val="CA3E4E36"/>
    <w:lvl w:ilvl="0" w:tplc="3BD83D1E">
      <w:start w:val="1"/>
      <w:numFmt w:val="bullet"/>
      <w:lvlText w:val=""/>
      <w:lvlJc w:val="left"/>
      <w:pPr>
        <w:tabs>
          <w:tab w:val="num" w:pos="170"/>
        </w:tabs>
        <w:ind w:left="1078" w:hanging="1078"/>
      </w:pPr>
      <w:rPr>
        <w:rFonts w:ascii="Symbol" w:hAnsi="Symbol" w:hint="default"/>
      </w:rPr>
    </w:lvl>
    <w:lvl w:ilvl="1" w:tplc="7DC8EA06">
      <w:start w:val="5"/>
      <w:numFmt w:val="upperLetter"/>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10717508"/>
    <w:multiLevelType w:val="singleLevel"/>
    <w:tmpl w:val="04050001"/>
    <w:lvl w:ilvl="0">
      <w:start w:val="1"/>
      <w:numFmt w:val="bullet"/>
      <w:lvlText w:val=""/>
      <w:lvlJc w:val="left"/>
      <w:pPr>
        <w:tabs>
          <w:tab w:val="num" w:pos="284"/>
        </w:tabs>
      </w:pPr>
      <w:rPr>
        <w:rFonts w:ascii="Symbol" w:hAnsi="Symbol" w:hint="default"/>
      </w:rPr>
    </w:lvl>
  </w:abstractNum>
  <w:abstractNum w:abstractNumId="5">
    <w:nsid w:val="112C02AB"/>
    <w:multiLevelType w:val="multilevel"/>
    <w:tmpl w:val="F540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A91C9F"/>
    <w:multiLevelType w:val="singleLevel"/>
    <w:tmpl w:val="535EAF96"/>
    <w:lvl w:ilvl="0">
      <w:start w:val="2"/>
      <w:numFmt w:val="upperRoman"/>
      <w:lvlText w:val="%1. "/>
      <w:legacy w:legacy="1" w:legacySpace="0" w:legacyIndent="283"/>
      <w:lvlJc w:val="left"/>
      <w:pPr>
        <w:ind w:left="343" w:hanging="283"/>
      </w:pPr>
      <w:rPr>
        <w:rFonts w:cs="Times New Roman"/>
        <w:b w:val="0"/>
        <w:i w:val="0"/>
        <w:sz w:val="24"/>
      </w:rPr>
    </w:lvl>
  </w:abstractNum>
  <w:abstractNum w:abstractNumId="7">
    <w:nsid w:val="20EE0D80"/>
    <w:multiLevelType w:val="hybridMultilevel"/>
    <w:tmpl w:val="E4D8C472"/>
    <w:lvl w:ilvl="0" w:tplc="A2AC13E6">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DE72124"/>
    <w:multiLevelType w:val="hybridMultilevel"/>
    <w:tmpl w:val="3020A274"/>
    <w:lvl w:ilvl="0" w:tplc="01186ACA">
      <w:start w:val="1"/>
      <w:numFmt w:val="lowerLetter"/>
      <w:lvlText w:val="%1)"/>
      <w:lvlJc w:val="left"/>
      <w:pPr>
        <w:tabs>
          <w:tab w:val="num" w:pos="510"/>
        </w:tabs>
        <w:ind w:left="851" w:hanging="511"/>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F3E2B64"/>
    <w:multiLevelType w:val="multilevel"/>
    <w:tmpl w:val="23221686"/>
    <w:lvl w:ilvl="0">
      <w:start w:val="1"/>
      <w:numFmt w:val="decimal"/>
      <w:pStyle w:val="Heading1"/>
      <w:suff w:val="space"/>
      <w:lvlText w:val="%1."/>
      <w:lvlJc w:val="left"/>
      <w:pPr>
        <w:ind w:left="1446"/>
      </w:pPr>
      <w:rPr>
        <w:rFonts w:cs="Times New Roman" w:hint="default"/>
        <w:b/>
        <w:i w:val="0"/>
        <w:sz w:val="32"/>
      </w:rPr>
    </w:lvl>
    <w:lvl w:ilvl="1">
      <w:start w:val="1"/>
      <w:numFmt w:val="decimal"/>
      <w:pStyle w:val="Heading2"/>
      <w:suff w:val="space"/>
      <w:lvlText w:val="%1.%2."/>
      <w:lvlJc w:val="left"/>
      <w:rPr>
        <w:rFonts w:cs="Times New Roman" w:hint="default"/>
        <w:b/>
        <w:i/>
      </w:rPr>
    </w:lvl>
    <w:lvl w:ilvl="2">
      <w:start w:val="1"/>
      <w:numFmt w:val="decimal"/>
      <w:pStyle w:val="Heading3"/>
      <w:suff w:val="space"/>
      <w:lvlText w:val="%1.%2.%3."/>
      <w:lvlJc w:val="left"/>
      <w:rPr>
        <w:rFonts w:cs="Times New Roman" w:hint="default"/>
        <w:b/>
        <w:i w:val="0"/>
      </w:rPr>
    </w:lvl>
    <w:lvl w:ilvl="3">
      <w:start w:val="1"/>
      <w:numFmt w:val="decimal"/>
      <w:pStyle w:val="Heading4"/>
      <w:suff w:val="space"/>
      <w:lvlText w:val="%1.%2.%3.%4."/>
      <w:lvlJc w:val="left"/>
      <w:pPr>
        <w:ind w:left="284"/>
      </w:pPr>
      <w:rPr>
        <w:rFonts w:ascii="Times New Roman" w:hAnsi="Times New Roman" w:cs="Times New Roman" w:hint="default"/>
        <w:b/>
        <w:i w:val="0"/>
        <w:sz w:val="24"/>
      </w:rPr>
    </w:lvl>
    <w:lvl w:ilvl="4">
      <w:start w:val="1"/>
      <w:numFmt w:val="decimal"/>
      <w:lvlText w:val="%1.%2.%3.%4.%5."/>
      <w:lvlJc w:val="left"/>
      <w:pPr>
        <w:tabs>
          <w:tab w:val="num" w:pos="8781"/>
        </w:tabs>
        <w:ind w:left="7053" w:hanging="792"/>
      </w:pPr>
      <w:rPr>
        <w:rFonts w:cs="Times New Roman" w:hint="default"/>
      </w:rPr>
    </w:lvl>
    <w:lvl w:ilvl="5">
      <w:start w:val="1"/>
      <w:numFmt w:val="decimal"/>
      <w:lvlText w:val="%1.%2.%3.%4.%5.%6."/>
      <w:lvlJc w:val="left"/>
      <w:pPr>
        <w:tabs>
          <w:tab w:val="num" w:pos="9501"/>
        </w:tabs>
        <w:ind w:left="7557" w:hanging="936"/>
      </w:pPr>
      <w:rPr>
        <w:rFonts w:cs="Times New Roman" w:hint="default"/>
      </w:rPr>
    </w:lvl>
    <w:lvl w:ilvl="6">
      <w:start w:val="1"/>
      <w:numFmt w:val="decimal"/>
      <w:lvlText w:val="%1.%2.%3.%4.%5.%6.%7."/>
      <w:lvlJc w:val="left"/>
      <w:pPr>
        <w:tabs>
          <w:tab w:val="num" w:pos="10221"/>
        </w:tabs>
        <w:ind w:left="8061" w:hanging="1080"/>
      </w:pPr>
      <w:rPr>
        <w:rFonts w:cs="Times New Roman" w:hint="default"/>
      </w:rPr>
    </w:lvl>
    <w:lvl w:ilvl="7">
      <w:start w:val="1"/>
      <w:numFmt w:val="decimal"/>
      <w:lvlText w:val="%1.%2.%3.%4.%5.%6.%7.%8."/>
      <w:lvlJc w:val="left"/>
      <w:pPr>
        <w:tabs>
          <w:tab w:val="num" w:pos="10941"/>
        </w:tabs>
        <w:ind w:left="8565" w:hanging="1224"/>
      </w:pPr>
      <w:rPr>
        <w:rFonts w:cs="Times New Roman" w:hint="default"/>
      </w:rPr>
    </w:lvl>
    <w:lvl w:ilvl="8">
      <w:start w:val="1"/>
      <w:numFmt w:val="decimal"/>
      <w:lvlText w:val="%1.%2.%3.%4.%5.%6.%7.%8.%9."/>
      <w:lvlJc w:val="left"/>
      <w:pPr>
        <w:tabs>
          <w:tab w:val="num" w:pos="11661"/>
        </w:tabs>
        <w:ind w:left="9141" w:hanging="1440"/>
      </w:pPr>
      <w:rPr>
        <w:rFonts w:cs="Times New Roman" w:hint="default"/>
      </w:rPr>
    </w:lvl>
  </w:abstractNum>
  <w:abstractNum w:abstractNumId="10">
    <w:nsid w:val="3C0D08CC"/>
    <w:multiLevelType w:val="hybridMultilevel"/>
    <w:tmpl w:val="49C47A1A"/>
    <w:lvl w:ilvl="0" w:tplc="D97888D6">
      <w:start w:val="1"/>
      <w:numFmt w:val="bullet"/>
      <w:pStyle w:val="odrkynae"/>
      <w:lvlText w:val=""/>
      <w:lvlJc w:val="left"/>
      <w:pPr>
        <w:tabs>
          <w:tab w:val="num" w:pos="567"/>
        </w:tabs>
        <w:ind w:left="567" w:hanging="283"/>
      </w:pPr>
      <w:rPr>
        <w:rFonts w:ascii="Symbol" w:hAnsi="Symbol" w:hint="default"/>
      </w:rPr>
    </w:lvl>
    <w:lvl w:ilvl="1" w:tplc="16563824" w:tentative="1">
      <w:start w:val="1"/>
      <w:numFmt w:val="bullet"/>
      <w:lvlText w:val="o"/>
      <w:lvlJc w:val="left"/>
      <w:pPr>
        <w:tabs>
          <w:tab w:val="num" w:pos="1440"/>
        </w:tabs>
        <w:ind w:left="1440" w:hanging="360"/>
      </w:pPr>
      <w:rPr>
        <w:rFonts w:ascii="Courier New" w:hAnsi="Courier New" w:hint="default"/>
      </w:rPr>
    </w:lvl>
    <w:lvl w:ilvl="2" w:tplc="2FFADDFA" w:tentative="1">
      <w:start w:val="1"/>
      <w:numFmt w:val="bullet"/>
      <w:lvlText w:val=""/>
      <w:lvlJc w:val="left"/>
      <w:pPr>
        <w:tabs>
          <w:tab w:val="num" w:pos="2160"/>
        </w:tabs>
        <w:ind w:left="2160" w:hanging="360"/>
      </w:pPr>
      <w:rPr>
        <w:rFonts w:ascii="Wingdings" w:hAnsi="Wingdings" w:hint="default"/>
      </w:rPr>
    </w:lvl>
    <w:lvl w:ilvl="3" w:tplc="55228AE6" w:tentative="1">
      <w:start w:val="1"/>
      <w:numFmt w:val="bullet"/>
      <w:lvlText w:val=""/>
      <w:lvlJc w:val="left"/>
      <w:pPr>
        <w:tabs>
          <w:tab w:val="num" w:pos="2880"/>
        </w:tabs>
        <w:ind w:left="2880" w:hanging="360"/>
      </w:pPr>
      <w:rPr>
        <w:rFonts w:ascii="Symbol" w:hAnsi="Symbol" w:hint="default"/>
      </w:rPr>
    </w:lvl>
    <w:lvl w:ilvl="4" w:tplc="FDC4CEE2" w:tentative="1">
      <w:start w:val="1"/>
      <w:numFmt w:val="bullet"/>
      <w:lvlText w:val="o"/>
      <w:lvlJc w:val="left"/>
      <w:pPr>
        <w:tabs>
          <w:tab w:val="num" w:pos="3600"/>
        </w:tabs>
        <w:ind w:left="3600" w:hanging="360"/>
      </w:pPr>
      <w:rPr>
        <w:rFonts w:ascii="Courier New" w:hAnsi="Courier New" w:hint="default"/>
      </w:rPr>
    </w:lvl>
    <w:lvl w:ilvl="5" w:tplc="2B7A2EFE" w:tentative="1">
      <w:start w:val="1"/>
      <w:numFmt w:val="bullet"/>
      <w:lvlText w:val=""/>
      <w:lvlJc w:val="left"/>
      <w:pPr>
        <w:tabs>
          <w:tab w:val="num" w:pos="4320"/>
        </w:tabs>
        <w:ind w:left="4320" w:hanging="360"/>
      </w:pPr>
      <w:rPr>
        <w:rFonts w:ascii="Wingdings" w:hAnsi="Wingdings" w:hint="default"/>
      </w:rPr>
    </w:lvl>
    <w:lvl w:ilvl="6" w:tplc="4B22E9B6" w:tentative="1">
      <w:start w:val="1"/>
      <w:numFmt w:val="bullet"/>
      <w:lvlText w:val=""/>
      <w:lvlJc w:val="left"/>
      <w:pPr>
        <w:tabs>
          <w:tab w:val="num" w:pos="5040"/>
        </w:tabs>
        <w:ind w:left="5040" w:hanging="360"/>
      </w:pPr>
      <w:rPr>
        <w:rFonts w:ascii="Symbol" w:hAnsi="Symbol" w:hint="default"/>
      </w:rPr>
    </w:lvl>
    <w:lvl w:ilvl="7" w:tplc="70201FBE" w:tentative="1">
      <w:start w:val="1"/>
      <w:numFmt w:val="bullet"/>
      <w:lvlText w:val="o"/>
      <w:lvlJc w:val="left"/>
      <w:pPr>
        <w:tabs>
          <w:tab w:val="num" w:pos="5760"/>
        </w:tabs>
        <w:ind w:left="5760" w:hanging="360"/>
      </w:pPr>
      <w:rPr>
        <w:rFonts w:ascii="Courier New" w:hAnsi="Courier New" w:hint="default"/>
      </w:rPr>
    </w:lvl>
    <w:lvl w:ilvl="8" w:tplc="1F0C7644" w:tentative="1">
      <w:start w:val="1"/>
      <w:numFmt w:val="bullet"/>
      <w:lvlText w:val=""/>
      <w:lvlJc w:val="left"/>
      <w:pPr>
        <w:tabs>
          <w:tab w:val="num" w:pos="6480"/>
        </w:tabs>
        <w:ind w:left="6480" w:hanging="360"/>
      </w:pPr>
      <w:rPr>
        <w:rFonts w:ascii="Wingdings" w:hAnsi="Wingdings" w:hint="default"/>
      </w:rPr>
    </w:lvl>
  </w:abstractNum>
  <w:abstractNum w:abstractNumId="11">
    <w:nsid w:val="40F6667A"/>
    <w:multiLevelType w:val="multilevel"/>
    <w:tmpl w:val="8814E3E8"/>
    <w:styleLink w:val="Odrky"/>
    <w:lvl w:ilvl="0">
      <w:start w:val="1"/>
      <w:numFmt w:val="bullet"/>
      <w:lvlText w:val=""/>
      <w:lvlJc w:val="left"/>
      <w:pPr>
        <w:tabs>
          <w:tab w:val="num" w:pos="284"/>
        </w:tabs>
      </w:pPr>
      <w:rPr>
        <w:rFonts w:ascii="Wingdings" w:hAnsi="Wingdings" w:hint="default"/>
      </w:rPr>
    </w:lvl>
    <w:lvl w:ilvl="1">
      <w:start w:val="1"/>
      <w:numFmt w:val="bullet"/>
      <w:suff w:val="space"/>
      <w:lvlText w:val=""/>
      <w:lvlJc w:val="left"/>
      <w:pPr>
        <w:ind w:left="992"/>
      </w:pPr>
      <w:rPr>
        <w:rFonts w:ascii="Symbol" w:hAnsi="Symbol" w:hint="default"/>
      </w:rPr>
    </w:lvl>
    <w:lvl w:ilvl="2">
      <w:start w:val="1"/>
      <w:numFmt w:val="bullet"/>
      <w:suff w:val="space"/>
      <w:lvlText w:val=""/>
      <w:lvlJc w:val="left"/>
      <w:pPr>
        <w:ind w:left="1276"/>
      </w:pPr>
      <w:rPr>
        <w:rFonts w:ascii="Symbol" w:hAnsi="Symbol" w:hint="default"/>
      </w:rPr>
    </w:lvl>
    <w:lvl w:ilvl="3">
      <w:start w:val="1"/>
      <w:numFmt w:val="bullet"/>
      <w:suff w:val="space"/>
      <w:lvlText w:val=""/>
      <w:lvlJc w:val="left"/>
      <w:pPr>
        <w:ind w:left="1559"/>
      </w:pPr>
      <w:rPr>
        <w:rFonts w:ascii="Wingdings 2" w:hAnsi="Wingdings 2"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nsid w:val="4AA557B2"/>
    <w:multiLevelType w:val="hybridMultilevel"/>
    <w:tmpl w:val="41387476"/>
    <w:lvl w:ilvl="0" w:tplc="D1A062C4">
      <w:start w:val="1"/>
      <w:numFmt w:val="bullet"/>
      <w:lvlText w:val=""/>
      <w:lvlJc w:val="left"/>
      <w:pPr>
        <w:tabs>
          <w:tab w:val="num" w:pos="340"/>
        </w:tabs>
        <w:ind w:left="340" w:hanging="340"/>
      </w:pPr>
      <w:rPr>
        <w:rFonts w:ascii="Symbol" w:hAnsi="Symbol" w:hint="default"/>
      </w:rPr>
    </w:lvl>
    <w:lvl w:ilvl="1" w:tplc="6A06D490" w:tentative="1">
      <w:start w:val="1"/>
      <w:numFmt w:val="bullet"/>
      <w:lvlText w:val="o"/>
      <w:lvlJc w:val="left"/>
      <w:pPr>
        <w:tabs>
          <w:tab w:val="num" w:pos="3240"/>
        </w:tabs>
        <w:ind w:left="3240" w:hanging="360"/>
      </w:pPr>
      <w:rPr>
        <w:rFonts w:ascii="Courier New" w:hAnsi="Courier New" w:hint="default"/>
      </w:rPr>
    </w:lvl>
    <w:lvl w:ilvl="2" w:tplc="16369AE8" w:tentative="1">
      <w:start w:val="1"/>
      <w:numFmt w:val="bullet"/>
      <w:lvlText w:val=""/>
      <w:lvlJc w:val="left"/>
      <w:pPr>
        <w:tabs>
          <w:tab w:val="num" w:pos="3960"/>
        </w:tabs>
        <w:ind w:left="3960" w:hanging="360"/>
      </w:pPr>
      <w:rPr>
        <w:rFonts w:ascii="Wingdings" w:hAnsi="Wingdings" w:hint="default"/>
      </w:rPr>
    </w:lvl>
    <w:lvl w:ilvl="3" w:tplc="2A7C359A" w:tentative="1">
      <w:start w:val="1"/>
      <w:numFmt w:val="bullet"/>
      <w:lvlText w:val=""/>
      <w:lvlJc w:val="left"/>
      <w:pPr>
        <w:tabs>
          <w:tab w:val="num" w:pos="4680"/>
        </w:tabs>
        <w:ind w:left="4680" w:hanging="360"/>
      </w:pPr>
      <w:rPr>
        <w:rFonts w:ascii="Symbol" w:hAnsi="Symbol" w:hint="default"/>
      </w:rPr>
    </w:lvl>
    <w:lvl w:ilvl="4" w:tplc="A90A8C9A" w:tentative="1">
      <w:start w:val="1"/>
      <w:numFmt w:val="bullet"/>
      <w:lvlText w:val="o"/>
      <w:lvlJc w:val="left"/>
      <w:pPr>
        <w:tabs>
          <w:tab w:val="num" w:pos="5400"/>
        </w:tabs>
        <w:ind w:left="5400" w:hanging="360"/>
      </w:pPr>
      <w:rPr>
        <w:rFonts w:ascii="Courier New" w:hAnsi="Courier New" w:hint="default"/>
      </w:rPr>
    </w:lvl>
    <w:lvl w:ilvl="5" w:tplc="8C1818F2" w:tentative="1">
      <w:start w:val="1"/>
      <w:numFmt w:val="bullet"/>
      <w:lvlText w:val=""/>
      <w:lvlJc w:val="left"/>
      <w:pPr>
        <w:tabs>
          <w:tab w:val="num" w:pos="6120"/>
        </w:tabs>
        <w:ind w:left="6120" w:hanging="360"/>
      </w:pPr>
      <w:rPr>
        <w:rFonts w:ascii="Wingdings" w:hAnsi="Wingdings" w:hint="default"/>
      </w:rPr>
    </w:lvl>
    <w:lvl w:ilvl="6" w:tplc="49C69C9A" w:tentative="1">
      <w:start w:val="1"/>
      <w:numFmt w:val="bullet"/>
      <w:lvlText w:val=""/>
      <w:lvlJc w:val="left"/>
      <w:pPr>
        <w:tabs>
          <w:tab w:val="num" w:pos="6840"/>
        </w:tabs>
        <w:ind w:left="6840" w:hanging="360"/>
      </w:pPr>
      <w:rPr>
        <w:rFonts w:ascii="Symbol" w:hAnsi="Symbol" w:hint="default"/>
      </w:rPr>
    </w:lvl>
    <w:lvl w:ilvl="7" w:tplc="6B7E35DA" w:tentative="1">
      <w:start w:val="1"/>
      <w:numFmt w:val="bullet"/>
      <w:lvlText w:val="o"/>
      <w:lvlJc w:val="left"/>
      <w:pPr>
        <w:tabs>
          <w:tab w:val="num" w:pos="7560"/>
        </w:tabs>
        <w:ind w:left="7560" w:hanging="360"/>
      </w:pPr>
      <w:rPr>
        <w:rFonts w:ascii="Courier New" w:hAnsi="Courier New" w:hint="default"/>
      </w:rPr>
    </w:lvl>
    <w:lvl w:ilvl="8" w:tplc="69EA92BC" w:tentative="1">
      <w:start w:val="1"/>
      <w:numFmt w:val="bullet"/>
      <w:lvlText w:val=""/>
      <w:lvlJc w:val="left"/>
      <w:pPr>
        <w:tabs>
          <w:tab w:val="num" w:pos="8280"/>
        </w:tabs>
        <w:ind w:left="8280" w:hanging="360"/>
      </w:pPr>
      <w:rPr>
        <w:rFonts w:ascii="Wingdings" w:hAnsi="Wingdings" w:hint="default"/>
      </w:rPr>
    </w:lvl>
  </w:abstractNum>
  <w:abstractNum w:abstractNumId="13">
    <w:nsid w:val="4B3031D9"/>
    <w:multiLevelType w:val="hybridMultilevel"/>
    <w:tmpl w:val="1980A244"/>
    <w:lvl w:ilvl="0" w:tplc="7C82FDB2">
      <w:start w:val="1"/>
      <w:numFmt w:val="bullet"/>
      <w:lvlText w:val="•"/>
      <w:lvlJc w:val="left"/>
      <w:pPr>
        <w:tabs>
          <w:tab w:val="num" w:pos="720"/>
        </w:tabs>
        <w:ind w:left="720" w:hanging="360"/>
      </w:pPr>
      <w:rPr>
        <w:rFonts w:ascii="Times New Roman" w:hAnsi="Times New Roman" w:hint="default"/>
      </w:rPr>
    </w:lvl>
    <w:lvl w:ilvl="1" w:tplc="472CBE64" w:tentative="1">
      <w:start w:val="1"/>
      <w:numFmt w:val="bullet"/>
      <w:lvlText w:val="•"/>
      <w:lvlJc w:val="left"/>
      <w:pPr>
        <w:tabs>
          <w:tab w:val="num" w:pos="1440"/>
        </w:tabs>
        <w:ind w:left="1440" w:hanging="360"/>
      </w:pPr>
      <w:rPr>
        <w:rFonts w:ascii="Times New Roman" w:hAnsi="Times New Roman" w:hint="default"/>
      </w:rPr>
    </w:lvl>
    <w:lvl w:ilvl="2" w:tplc="94A273AA" w:tentative="1">
      <w:start w:val="1"/>
      <w:numFmt w:val="bullet"/>
      <w:lvlText w:val="•"/>
      <w:lvlJc w:val="left"/>
      <w:pPr>
        <w:tabs>
          <w:tab w:val="num" w:pos="2160"/>
        </w:tabs>
        <w:ind w:left="2160" w:hanging="360"/>
      </w:pPr>
      <w:rPr>
        <w:rFonts w:ascii="Times New Roman" w:hAnsi="Times New Roman" w:hint="default"/>
      </w:rPr>
    </w:lvl>
    <w:lvl w:ilvl="3" w:tplc="A8BE2E6C" w:tentative="1">
      <w:start w:val="1"/>
      <w:numFmt w:val="bullet"/>
      <w:lvlText w:val="•"/>
      <w:lvlJc w:val="left"/>
      <w:pPr>
        <w:tabs>
          <w:tab w:val="num" w:pos="2880"/>
        </w:tabs>
        <w:ind w:left="2880" w:hanging="360"/>
      </w:pPr>
      <w:rPr>
        <w:rFonts w:ascii="Times New Roman" w:hAnsi="Times New Roman" w:hint="default"/>
      </w:rPr>
    </w:lvl>
    <w:lvl w:ilvl="4" w:tplc="4760AAD4" w:tentative="1">
      <w:start w:val="1"/>
      <w:numFmt w:val="bullet"/>
      <w:lvlText w:val="•"/>
      <w:lvlJc w:val="left"/>
      <w:pPr>
        <w:tabs>
          <w:tab w:val="num" w:pos="3600"/>
        </w:tabs>
        <w:ind w:left="3600" w:hanging="360"/>
      </w:pPr>
      <w:rPr>
        <w:rFonts w:ascii="Times New Roman" w:hAnsi="Times New Roman" w:hint="default"/>
      </w:rPr>
    </w:lvl>
    <w:lvl w:ilvl="5" w:tplc="2CFE9282" w:tentative="1">
      <w:start w:val="1"/>
      <w:numFmt w:val="bullet"/>
      <w:lvlText w:val="•"/>
      <w:lvlJc w:val="left"/>
      <w:pPr>
        <w:tabs>
          <w:tab w:val="num" w:pos="4320"/>
        </w:tabs>
        <w:ind w:left="4320" w:hanging="360"/>
      </w:pPr>
      <w:rPr>
        <w:rFonts w:ascii="Times New Roman" w:hAnsi="Times New Roman" w:hint="default"/>
      </w:rPr>
    </w:lvl>
    <w:lvl w:ilvl="6" w:tplc="160656C8" w:tentative="1">
      <w:start w:val="1"/>
      <w:numFmt w:val="bullet"/>
      <w:lvlText w:val="•"/>
      <w:lvlJc w:val="left"/>
      <w:pPr>
        <w:tabs>
          <w:tab w:val="num" w:pos="5040"/>
        </w:tabs>
        <w:ind w:left="5040" w:hanging="360"/>
      </w:pPr>
      <w:rPr>
        <w:rFonts w:ascii="Times New Roman" w:hAnsi="Times New Roman" w:hint="default"/>
      </w:rPr>
    </w:lvl>
    <w:lvl w:ilvl="7" w:tplc="96BC31C6" w:tentative="1">
      <w:start w:val="1"/>
      <w:numFmt w:val="bullet"/>
      <w:lvlText w:val="•"/>
      <w:lvlJc w:val="left"/>
      <w:pPr>
        <w:tabs>
          <w:tab w:val="num" w:pos="5760"/>
        </w:tabs>
        <w:ind w:left="5760" w:hanging="360"/>
      </w:pPr>
      <w:rPr>
        <w:rFonts w:ascii="Times New Roman" w:hAnsi="Times New Roman" w:hint="default"/>
      </w:rPr>
    </w:lvl>
    <w:lvl w:ilvl="8" w:tplc="060EC524"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67E5B38"/>
    <w:multiLevelType w:val="hybridMultilevel"/>
    <w:tmpl w:val="639604E2"/>
    <w:lvl w:ilvl="0" w:tplc="D3C02060">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7285335"/>
    <w:multiLevelType w:val="hybridMultilevel"/>
    <w:tmpl w:val="CDDADF8C"/>
    <w:lvl w:ilvl="0" w:tplc="427C1CCA">
      <w:start w:val="1"/>
      <w:numFmt w:val="bullet"/>
      <w:lvlText w:val=""/>
      <w:lvlJc w:val="left"/>
      <w:pPr>
        <w:tabs>
          <w:tab w:val="num" w:pos="587"/>
        </w:tabs>
        <w:ind w:left="587" w:hanging="227"/>
      </w:pPr>
      <w:rPr>
        <w:rFonts w:ascii="Wingdings" w:hAnsi="Wingdings" w:hint="default"/>
      </w:rPr>
    </w:lvl>
    <w:lvl w:ilvl="1" w:tplc="04050003">
      <w:start w:val="1"/>
      <w:numFmt w:val="bullet"/>
      <w:lvlText w:val=""/>
      <w:lvlJc w:val="left"/>
      <w:pPr>
        <w:tabs>
          <w:tab w:val="num" w:pos="1440"/>
        </w:tabs>
        <w:ind w:left="1440" w:hanging="360"/>
      </w:pPr>
      <w:rPr>
        <w:rFonts w:ascii="Wingdings" w:hAnsi="Wingdings" w:hint="default"/>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57762462"/>
    <w:multiLevelType w:val="hybridMultilevel"/>
    <w:tmpl w:val="B32C2EE2"/>
    <w:lvl w:ilvl="0" w:tplc="D34ED274">
      <w:start w:val="1"/>
      <w:numFmt w:val="bullet"/>
      <w:pStyle w:val="Styl1mmmmm"/>
      <w:lvlText w:val=""/>
      <w:lvlJc w:val="left"/>
      <w:pPr>
        <w:tabs>
          <w:tab w:val="num" w:pos="1560"/>
        </w:tabs>
        <w:ind w:left="1758" w:hanging="197"/>
      </w:pPr>
      <w:rPr>
        <w:rFonts w:ascii="Symbol" w:hAnsi="Symbol" w:hint="default"/>
      </w:rPr>
    </w:lvl>
    <w:lvl w:ilvl="1" w:tplc="0405000B" w:tentative="1">
      <w:start w:val="1"/>
      <w:numFmt w:val="bullet"/>
      <w:lvlText w:val="o"/>
      <w:lvlJc w:val="left"/>
      <w:pPr>
        <w:tabs>
          <w:tab w:val="num" w:pos="1724"/>
        </w:tabs>
        <w:ind w:left="1724" w:hanging="360"/>
      </w:pPr>
      <w:rPr>
        <w:rFonts w:ascii="Courier New" w:hAnsi="Courier New" w:hint="default"/>
      </w:rPr>
    </w:lvl>
    <w:lvl w:ilvl="2" w:tplc="0405001B" w:tentative="1">
      <w:start w:val="1"/>
      <w:numFmt w:val="bullet"/>
      <w:lvlText w:val=""/>
      <w:lvlJc w:val="left"/>
      <w:pPr>
        <w:tabs>
          <w:tab w:val="num" w:pos="2444"/>
        </w:tabs>
        <w:ind w:left="2444" w:hanging="360"/>
      </w:pPr>
      <w:rPr>
        <w:rFonts w:ascii="Wingdings" w:hAnsi="Wingdings" w:hint="default"/>
      </w:rPr>
    </w:lvl>
    <w:lvl w:ilvl="3" w:tplc="0405000F" w:tentative="1">
      <w:start w:val="1"/>
      <w:numFmt w:val="bullet"/>
      <w:lvlText w:val=""/>
      <w:lvlJc w:val="left"/>
      <w:pPr>
        <w:tabs>
          <w:tab w:val="num" w:pos="3164"/>
        </w:tabs>
        <w:ind w:left="3164" w:hanging="360"/>
      </w:pPr>
      <w:rPr>
        <w:rFonts w:ascii="Symbol" w:hAnsi="Symbol" w:hint="default"/>
      </w:rPr>
    </w:lvl>
    <w:lvl w:ilvl="4" w:tplc="04050019" w:tentative="1">
      <w:start w:val="1"/>
      <w:numFmt w:val="bullet"/>
      <w:lvlText w:val="o"/>
      <w:lvlJc w:val="left"/>
      <w:pPr>
        <w:tabs>
          <w:tab w:val="num" w:pos="3884"/>
        </w:tabs>
        <w:ind w:left="3884" w:hanging="360"/>
      </w:pPr>
      <w:rPr>
        <w:rFonts w:ascii="Courier New" w:hAnsi="Courier New" w:hint="default"/>
      </w:rPr>
    </w:lvl>
    <w:lvl w:ilvl="5" w:tplc="0405001B" w:tentative="1">
      <w:start w:val="1"/>
      <w:numFmt w:val="bullet"/>
      <w:lvlText w:val=""/>
      <w:lvlJc w:val="left"/>
      <w:pPr>
        <w:tabs>
          <w:tab w:val="num" w:pos="4604"/>
        </w:tabs>
        <w:ind w:left="4604" w:hanging="360"/>
      </w:pPr>
      <w:rPr>
        <w:rFonts w:ascii="Wingdings" w:hAnsi="Wingdings" w:hint="default"/>
      </w:rPr>
    </w:lvl>
    <w:lvl w:ilvl="6" w:tplc="0405000F" w:tentative="1">
      <w:start w:val="1"/>
      <w:numFmt w:val="bullet"/>
      <w:lvlText w:val=""/>
      <w:lvlJc w:val="left"/>
      <w:pPr>
        <w:tabs>
          <w:tab w:val="num" w:pos="5324"/>
        </w:tabs>
        <w:ind w:left="5324" w:hanging="360"/>
      </w:pPr>
      <w:rPr>
        <w:rFonts w:ascii="Symbol" w:hAnsi="Symbol" w:hint="default"/>
      </w:rPr>
    </w:lvl>
    <w:lvl w:ilvl="7" w:tplc="04050019" w:tentative="1">
      <w:start w:val="1"/>
      <w:numFmt w:val="bullet"/>
      <w:lvlText w:val="o"/>
      <w:lvlJc w:val="left"/>
      <w:pPr>
        <w:tabs>
          <w:tab w:val="num" w:pos="6044"/>
        </w:tabs>
        <w:ind w:left="6044" w:hanging="360"/>
      </w:pPr>
      <w:rPr>
        <w:rFonts w:ascii="Courier New" w:hAnsi="Courier New" w:hint="default"/>
      </w:rPr>
    </w:lvl>
    <w:lvl w:ilvl="8" w:tplc="0405001B" w:tentative="1">
      <w:start w:val="1"/>
      <w:numFmt w:val="bullet"/>
      <w:lvlText w:val=""/>
      <w:lvlJc w:val="left"/>
      <w:pPr>
        <w:tabs>
          <w:tab w:val="num" w:pos="6764"/>
        </w:tabs>
        <w:ind w:left="6764" w:hanging="360"/>
      </w:pPr>
      <w:rPr>
        <w:rFonts w:ascii="Wingdings" w:hAnsi="Wingdings" w:hint="default"/>
      </w:rPr>
    </w:lvl>
  </w:abstractNum>
  <w:abstractNum w:abstractNumId="17">
    <w:nsid w:val="5FB97938"/>
    <w:multiLevelType w:val="hybridMultilevel"/>
    <w:tmpl w:val="77FEEB76"/>
    <w:lvl w:ilvl="0" w:tplc="D34ED274">
      <w:start w:val="1"/>
      <w:numFmt w:val="bullet"/>
      <w:lvlText w:val=""/>
      <w:lvlJc w:val="left"/>
      <w:pPr>
        <w:tabs>
          <w:tab w:val="num" w:pos="340"/>
        </w:tabs>
        <w:ind w:left="340" w:hanging="340"/>
      </w:pPr>
      <w:rPr>
        <w:rFonts w:ascii="Wingdings" w:hAnsi="Wingdings" w:hint="default"/>
      </w:rPr>
    </w:lvl>
    <w:lvl w:ilvl="1" w:tplc="0405000B"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nsid w:val="656A595C"/>
    <w:multiLevelType w:val="hybridMultilevel"/>
    <w:tmpl w:val="E48A0AD8"/>
    <w:lvl w:ilvl="0" w:tplc="93F6BDCA">
      <w:start w:val="1"/>
      <w:numFmt w:val="bullet"/>
      <w:lvlText w:val=""/>
      <w:lvlJc w:val="left"/>
      <w:pPr>
        <w:ind w:left="3133" w:hanging="360"/>
      </w:pPr>
      <w:rPr>
        <w:rFonts w:ascii="Symbol" w:hAnsi="Symbol" w:hint="default"/>
      </w:rPr>
    </w:lvl>
    <w:lvl w:ilvl="1" w:tplc="04050003" w:tentative="1">
      <w:start w:val="1"/>
      <w:numFmt w:val="bullet"/>
      <w:lvlText w:val="o"/>
      <w:lvlJc w:val="left"/>
      <w:pPr>
        <w:ind w:left="3853" w:hanging="360"/>
      </w:pPr>
      <w:rPr>
        <w:rFonts w:ascii="Courier New" w:hAnsi="Courier New" w:hint="default"/>
      </w:rPr>
    </w:lvl>
    <w:lvl w:ilvl="2" w:tplc="04050005" w:tentative="1">
      <w:start w:val="1"/>
      <w:numFmt w:val="bullet"/>
      <w:lvlText w:val=""/>
      <w:lvlJc w:val="left"/>
      <w:pPr>
        <w:ind w:left="4573" w:hanging="360"/>
      </w:pPr>
      <w:rPr>
        <w:rFonts w:ascii="Wingdings" w:hAnsi="Wingdings" w:hint="default"/>
      </w:rPr>
    </w:lvl>
    <w:lvl w:ilvl="3" w:tplc="04050001" w:tentative="1">
      <w:start w:val="1"/>
      <w:numFmt w:val="bullet"/>
      <w:lvlText w:val=""/>
      <w:lvlJc w:val="left"/>
      <w:pPr>
        <w:ind w:left="5293" w:hanging="360"/>
      </w:pPr>
      <w:rPr>
        <w:rFonts w:ascii="Symbol" w:hAnsi="Symbol" w:hint="default"/>
      </w:rPr>
    </w:lvl>
    <w:lvl w:ilvl="4" w:tplc="04050003" w:tentative="1">
      <w:start w:val="1"/>
      <w:numFmt w:val="bullet"/>
      <w:lvlText w:val="o"/>
      <w:lvlJc w:val="left"/>
      <w:pPr>
        <w:ind w:left="6013" w:hanging="360"/>
      </w:pPr>
      <w:rPr>
        <w:rFonts w:ascii="Courier New" w:hAnsi="Courier New" w:hint="default"/>
      </w:rPr>
    </w:lvl>
    <w:lvl w:ilvl="5" w:tplc="04050005" w:tentative="1">
      <w:start w:val="1"/>
      <w:numFmt w:val="bullet"/>
      <w:lvlText w:val=""/>
      <w:lvlJc w:val="left"/>
      <w:pPr>
        <w:ind w:left="6733" w:hanging="360"/>
      </w:pPr>
      <w:rPr>
        <w:rFonts w:ascii="Wingdings" w:hAnsi="Wingdings" w:hint="default"/>
      </w:rPr>
    </w:lvl>
    <w:lvl w:ilvl="6" w:tplc="04050001" w:tentative="1">
      <w:start w:val="1"/>
      <w:numFmt w:val="bullet"/>
      <w:lvlText w:val=""/>
      <w:lvlJc w:val="left"/>
      <w:pPr>
        <w:ind w:left="7453" w:hanging="360"/>
      </w:pPr>
      <w:rPr>
        <w:rFonts w:ascii="Symbol" w:hAnsi="Symbol" w:hint="default"/>
      </w:rPr>
    </w:lvl>
    <w:lvl w:ilvl="7" w:tplc="04050003" w:tentative="1">
      <w:start w:val="1"/>
      <w:numFmt w:val="bullet"/>
      <w:lvlText w:val="o"/>
      <w:lvlJc w:val="left"/>
      <w:pPr>
        <w:ind w:left="8173" w:hanging="360"/>
      </w:pPr>
      <w:rPr>
        <w:rFonts w:ascii="Courier New" w:hAnsi="Courier New" w:hint="default"/>
      </w:rPr>
    </w:lvl>
    <w:lvl w:ilvl="8" w:tplc="04050005" w:tentative="1">
      <w:start w:val="1"/>
      <w:numFmt w:val="bullet"/>
      <w:lvlText w:val=""/>
      <w:lvlJc w:val="left"/>
      <w:pPr>
        <w:ind w:left="8893" w:hanging="360"/>
      </w:pPr>
      <w:rPr>
        <w:rFonts w:ascii="Wingdings" w:hAnsi="Wingdings" w:hint="default"/>
      </w:rPr>
    </w:lvl>
  </w:abstractNum>
  <w:abstractNum w:abstractNumId="19">
    <w:nsid w:val="67D81C19"/>
    <w:multiLevelType w:val="hybridMultilevel"/>
    <w:tmpl w:val="345883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9497580"/>
    <w:multiLevelType w:val="singleLevel"/>
    <w:tmpl w:val="86747D02"/>
    <w:lvl w:ilvl="0">
      <w:start w:val="1"/>
      <w:numFmt w:val="bullet"/>
      <w:lvlText w:val=""/>
      <w:lvlJc w:val="left"/>
      <w:pPr>
        <w:ind w:left="720" w:hanging="360"/>
      </w:pPr>
      <w:rPr>
        <w:rFonts w:ascii="Symbol" w:hAnsi="Symbol" w:hint="default"/>
        <w:sz w:val="20"/>
      </w:rPr>
    </w:lvl>
  </w:abstractNum>
  <w:abstractNum w:abstractNumId="21">
    <w:nsid w:val="6A410DEF"/>
    <w:multiLevelType w:val="hybridMultilevel"/>
    <w:tmpl w:val="944C9E32"/>
    <w:lvl w:ilvl="0" w:tplc="D28A8C10">
      <w:start w:val="1"/>
      <w:numFmt w:val="bullet"/>
      <w:lvlText w:val=""/>
      <w:lvlJc w:val="left"/>
      <w:pPr>
        <w:tabs>
          <w:tab w:val="num" w:pos="720"/>
        </w:tabs>
        <w:ind w:left="720" w:hanging="360"/>
      </w:pPr>
      <w:rPr>
        <w:rFonts w:ascii="Symbol" w:hAnsi="Symbol" w:hint="default"/>
      </w:rPr>
    </w:lvl>
    <w:lvl w:ilvl="1" w:tplc="ADF2C1C2" w:tentative="1">
      <w:start w:val="1"/>
      <w:numFmt w:val="bullet"/>
      <w:lvlText w:val="o"/>
      <w:lvlJc w:val="left"/>
      <w:pPr>
        <w:tabs>
          <w:tab w:val="num" w:pos="1440"/>
        </w:tabs>
        <w:ind w:left="1440" w:hanging="360"/>
      </w:pPr>
      <w:rPr>
        <w:rFonts w:ascii="Courier New" w:hAnsi="Courier New" w:hint="default"/>
      </w:rPr>
    </w:lvl>
    <w:lvl w:ilvl="2" w:tplc="B34A9792" w:tentative="1">
      <w:start w:val="1"/>
      <w:numFmt w:val="bullet"/>
      <w:lvlText w:val=""/>
      <w:lvlJc w:val="left"/>
      <w:pPr>
        <w:tabs>
          <w:tab w:val="num" w:pos="2160"/>
        </w:tabs>
        <w:ind w:left="2160" w:hanging="360"/>
      </w:pPr>
      <w:rPr>
        <w:rFonts w:ascii="Wingdings" w:hAnsi="Wingdings" w:hint="default"/>
      </w:rPr>
    </w:lvl>
    <w:lvl w:ilvl="3" w:tplc="516C02F8" w:tentative="1">
      <w:start w:val="1"/>
      <w:numFmt w:val="bullet"/>
      <w:lvlText w:val=""/>
      <w:lvlJc w:val="left"/>
      <w:pPr>
        <w:tabs>
          <w:tab w:val="num" w:pos="2880"/>
        </w:tabs>
        <w:ind w:left="2880" w:hanging="360"/>
      </w:pPr>
      <w:rPr>
        <w:rFonts w:ascii="Symbol" w:hAnsi="Symbol" w:hint="default"/>
      </w:rPr>
    </w:lvl>
    <w:lvl w:ilvl="4" w:tplc="4C70CD8C" w:tentative="1">
      <w:start w:val="1"/>
      <w:numFmt w:val="bullet"/>
      <w:lvlText w:val="o"/>
      <w:lvlJc w:val="left"/>
      <w:pPr>
        <w:tabs>
          <w:tab w:val="num" w:pos="3600"/>
        </w:tabs>
        <w:ind w:left="3600" w:hanging="360"/>
      </w:pPr>
      <w:rPr>
        <w:rFonts w:ascii="Courier New" w:hAnsi="Courier New" w:hint="default"/>
      </w:rPr>
    </w:lvl>
    <w:lvl w:ilvl="5" w:tplc="2DEAF828" w:tentative="1">
      <w:start w:val="1"/>
      <w:numFmt w:val="bullet"/>
      <w:lvlText w:val=""/>
      <w:lvlJc w:val="left"/>
      <w:pPr>
        <w:tabs>
          <w:tab w:val="num" w:pos="4320"/>
        </w:tabs>
        <w:ind w:left="4320" w:hanging="360"/>
      </w:pPr>
      <w:rPr>
        <w:rFonts w:ascii="Wingdings" w:hAnsi="Wingdings" w:hint="default"/>
      </w:rPr>
    </w:lvl>
    <w:lvl w:ilvl="6" w:tplc="D38AEA08" w:tentative="1">
      <w:start w:val="1"/>
      <w:numFmt w:val="bullet"/>
      <w:lvlText w:val=""/>
      <w:lvlJc w:val="left"/>
      <w:pPr>
        <w:tabs>
          <w:tab w:val="num" w:pos="5040"/>
        </w:tabs>
        <w:ind w:left="5040" w:hanging="360"/>
      </w:pPr>
      <w:rPr>
        <w:rFonts w:ascii="Symbol" w:hAnsi="Symbol" w:hint="default"/>
      </w:rPr>
    </w:lvl>
    <w:lvl w:ilvl="7" w:tplc="F0C0A8AA" w:tentative="1">
      <w:start w:val="1"/>
      <w:numFmt w:val="bullet"/>
      <w:lvlText w:val="o"/>
      <w:lvlJc w:val="left"/>
      <w:pPr>
        <w:tabs>
          <w:tab w:val="num" w:pos="5760"/>
        </w:tabs>
        <w:ind w:left="5760" w:hanging="360"/>
      </w:pPr>
      <w:rPr>
        <w:rFonts w:ascii="Courier New" w:hAnsi="Courier New" w:hint="default"/>
      </w:rPr>
    </w:lvl>
    <w:lvl w:ilvl="8" w:tplc="20ACD670" w:tentative="1">
      <w:start w:val="1"/>
      <w:numFmt w:val="bullet"/>
      <w:lvlText w:val=""/>
      <w:lvlJc w:val="left"/>
      <w:pPr>
        <w:tabs>
          <w:tab w:val="num" w:pos="6480"/>
        </w:tabs>
        <w:ind w:left="6480" w:hanging="360"/>
      </w:pPr>
      <w:rPr>
        <w:rFonts w:ascii="Wingdings" w:hAnsi="Wingdings" w:hint="default"/>
      </w:rPr>
    </w:lvl>
  </w:abstractNum>
  <w:abstractNum w:abstractNumId="22">
    <w:nsid w:val="6C1A7206"/>
    <w:multiLevelType w:val="hybridMultilevel"/>
    <w:tmpl w:val="668466E2"/>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3">
    <w:nsid w:val="6EB6150A"/>
    <w:multiLevelType w:val="hybridMultilevel"/>
    <w:tmpl w:val="CCD21E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90B7947"/>
    <w:multiLevelType w:val="hybridMultilevel"/>
    <w:tmpl w:val="D3DA0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4"/>
  </w:num>
  <w:num w:numId="4">
    <w:abstractNumId w:val="22"/>
  </w:num>
  <w:num w:numId="5">
    <w:abstractNumId w:val="12"/>
  </w:num>
  <w:num w:numId="6">
    <w:abstractNumId w:val="21"/>
  </w:num>
  <w:num w:numId="7">
    <w:abstractNumId w:val="20"/>
  </w:num>
  <w:num w:numId="8">
    <w:abstractNumId w:val="23"/>
  </w:num>
  <w:num w:numId="9">
    <w:abstractNumId w:val="10"/>
  </w:num>
  <w:num w:numId="10">
    <w:abstractNumId w:val="15"/>
  </w:num>
  <w:num w:numId="11">
    <w:abstractNumId w:val="14"/>
  </w:num>
  <w:num w:numId="12">
    <w:abstractNumId w:val="17"/>
  </w:num>
  <w:num w:numId="13">
    <w:abstractNumId w:val="1"/>
  </w:num>
  <w:num w:numId="14">
    <w:abstractNumId w:val="2"/>
  </w:num>
  <w:num w:numId="15">
    <w:abstractNumId w:val="6"/>
  </w:num>
  <w:num w:numId="16">
    <w:abstractNumId w:val="9"/>
  </w:num>
  <w:num w:numId="17">
    <w:abstractNumId w:val="7"/>
  </w:num>
  <w:num w:numId="18">
    <w:abstractNumId w:val="24"/>
  </w:num>
  <w:num w:numId="19">
    <w:abstractNumId w:val="16"/>
  </w:num>
  <w:num w:numId="20">
    <w:abstractNumId w:val="3"/>
  </w:num>
  <w:num w:numId="21">
    <w:abstractNumId w:val="8"/>
  </w:num>
  <w:num w:numId="22">
    <w:abstractNumId w:val="18"/>
  </w:num>
  <w:num w:numId="23">
    <w:abstractNumId w:val="1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001"/>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0091"/>
    <w:rsid w:val="00000BBB"/>
    <w:rsid w:val="000015DF"/>
    <w:rsid w:val="00003CE8"/>
    <w:rsid w:val="00003ECB"/>
    <w:rsid w:val="00004BAB"/>
    <w:rsid w:val="000050D6"/>
    <w:rsid w:val="0000537C"/>
    <w:rsid w:val="000066E9"/>
    <w:rsid w:val="00007035"/>
    <w:rsid w:val="0001074C"/>
    <w:rsid w:val="00012922"/>
    <w:rsid w:val="00012ECA"/>
    <w:rsid w:val="00016C85"/>
    <w:rsid w:val="00017882"/>
    <w:rsid w:val="000205F9"/>
    <w:rsid w:val="0002103D"/>
    <w:rsid w:val="00021230"/>
    <w:rsid w:val="00021CB8"/>
    <w:rsid w:val="0002307B"/>
    <w:rsid w:val="000239AC"/>
    <w:rsid w:val="00024BDF"/>
    <w:rsid w:val="0002580A"/>
    <w:rsid w:val="00025DCF"/>
    <w:rsid w:val="00026677"/>
    <w:rsid w:val="00026F67"/>
    <w:rsid w:val="00027068"/>
    <w:rsid w:val="00027AE1"/>
    <w:rsid w:val="000312C9"/>
    <w:rsid w:val="0003180B"/>
    <w:rsid w:val="00031BE9"/>
    <w:rsid w:val="00032716"/>
    <w:rsid w:val="000348AD"/>
    <w:rsid w:val="00035823"/>
    <w:rsid w:val="00035AA9"/>
    <w:rsid w:val="0003670E"/>
    <w:rsid w:val="000370B7"/>
    <w:rsid w:val="00037457"/>
    <w:rsid w:val="00037477"/>
    <w:rsid w:val="000409BD"/>
    <w:rsid w:val="000410D4"/>
    <w:rsid w:val="00041E99"/>
    <w:rsid w:val="000431BA"/>
    <w:rsid w:val="00043C88"/>
    <w:rsid w:val="000440EF"/>
    <w:rsid w:val="000449D0"/>
    <w:rsid w:val="0004501C"/>
    <w:rsid w:val="00045F0E"/>
    <w:rsid w:val="00046CB7"/>
    <w:rsid w:val="000473C4"/>
    <w:rsid w:val="000476B1"/>
    <w:rsid w:val="00050FA7"/>
    <w:rsid w:val="00051CF4"/>
    <w:rsid w:val="00051F0C"/>
    <w:rsid w:val="00052079"/>
    <w:rsid w:val="00052D9E"/>
    <w:rsid w:val="00053051"/>
    <w:rsid w:val="000540F6"/>
    <w:rsid w:val="00054324"/>
    <w:rsid w:val="0005441D"/>
    <w:rsid w:val="000552D0"/>
    <w:rsid w:val="00055F60"/>
    <w:rsid w:val="000573B4"/>
    <w:rsid w:val="00057893"/>
    <w:rsid w:val="000578CF"/>
    <w:rsid w:val="000579A3"/>
    <w:rsid w:val="000615BB"/>
    <w:rsid w:val="000656A9"/>
    <w:rsid w:val="00066331"/>
    <w:rsid w:val="000678C3"/>
    <w:rsid w:val="0007035D"/>
    <w:rsid w:val="000703A1"/>
    <w:rsid w:val="00071866"/>
    <w:rsid w:val="00071934"/>
    <w:rsid w:val="0007293D"/>
    <w:rsid w:val="0007348F"/>
    <w:rsid w:val="000740E0"/>
    <w:rsid w:val="00074A51"/>
    <w:rsid w:val="00076045"/>
    <w:rsid w:val="000777B9"/>
    <w:rsid w:val="00077847"/>
    <w:rsid w:val="00077E31"/>
    <w:rsid w:val="00077EA4"/>
    <w:rsid w:val="00080059"/>
    <w:rsid w:val="00080404"/>
    <w:rsid w:val="000804EC"/>
    <w:rsid w:val="0008092C"/>
    <w:rsid w:val="00080CC8"/>
    <w:rsid w:val="00080CF0"/>
    <w:rsid w:val="00081957"/>
    <w:rsid w:val="00081DD4"/>
    <w:rsid w:val="000823F0"/>
    <w:rsid w:val="000840CE"/>
    <w:rsid w:val="00084C5A"/>
    <w:rsid w:val="00086618"/>
    <w:rsid w:val="00087D6A"/>
    <w:rsid w:val="000907CE"/>
    <w:rsid w:val="00090B79"/>
    <w:rsid w:val="0009116A"/>
    <w:rsid w:val="000917D0"/>
    <w:rsid w:val="00091B7B"/>
    <w:rsid w:val="00091BCF"/>
    <w:rsid w:val="000927A6"/>
    <w:rsid w:val="00092C12"/>
    <w:rsid w:val="0009352F"/>
    <w:rsid w:val="000936C7"/>
    <w:rsid w:val="00094393"/>
    <w:rsid w:val="0009447E"/>
    <w:rsid w:val="00095C1B"/>
    <w:rsid w:val="0009735C"/>
    <w:rsid w:val="000A0996"/>
    <w:rsid w:val="000A293E"/>
    <w:rsid w:val="000A2D8A"/>
    <w:rsid w:val="000A363F"/>
    <w:rsid w:val="000A37BE"/>
    <w:rsid w:val="000A3E70"/>
    <w:rsid w:val="000A47D4"/>
    <w:rsid w:val="000A48D3"/>
    <w:rsid w:val="000A760E"/>
    <w:rsid w:val="000B5566"/>
    <w:rsid w:val="000B6500"/>
    <w:rsid w:val="000B7196"/>
    <w:rsid w:val="000C125B"/>
    <w:rsid w:val="000C195E"/>
    <w:rsid w:val="000C2DEA"/>
    <w:rsid w:val="000C6229"/>
    <w:rsid w:val="000C6501"/>
    <w:rsid w:val="000D03C2"/>
    <w:rsid w:val="000D0479"/>
    <w:rsid w:val="000D0B9E"/>
    <w:rsid w:val="000D0C35"/>
    <w:rsid w:val="000D0D5F"/>
    <w:rsid w:val="000D134E"/>
    <w:rsid w:val="000D2174"/>
    <w:rsid w:val="000D2BD9"/>
    <w:rsid w:val="000D3C00"/>
    <w:rsid w:val="000D576D"/>
    <w:rsid w:val="000D66C1"/>
    <w:rsid w:val="000D6E05"/>
    <w:rsid w:val="000D7DA1"/>
    <w:rsid w:val="000E1DA5"/>
    <w:rsid w:val="000E2920"/>
    <w:rsid w:val="000E37DB"/>
    <w:rsid w:val="000E4BA1"/>
    <w:rsid w:val="000E50D4"/>
    <w:rsid w:val="000E5433"/>
    <w:rsid w:val="000E709F"/>
    <w:rsid w:val="000E72C8"/>
    <w:rsid w:val="000F1E03"/>
    <w:rsid w:val="000F2216"/>
    <w:rsid w:val="000F3952"/>
    <w:rsid w:val="000F3A61"/>
    <w:rsid w:val="000F70D3"/>
    <w:rsid w:val="00100B94"/>
    <w:rsid w:val="0010158B"/>
    <w:rsid w:val="001035EF"/>
    <w:rsid w:val="00104291"/>
    <w:rsid w:val="00110618"/>
    <w:rsid w:val="00110B58"/>
    <w:rsid w:val="001114C9"/>
    <w:rsid w:val="00113247"/>
    <w:rsid w:val="0011364B"/>
    <w:rsid w:val="00114331"/>
    <w:rsid w:val="001204FF"/>
    <w:rsid w:val="00120ED5"/>
    <w:rsid w:val="0012205D"/>
    <w:rsid w:val="00122C93"/>
    <w:rsid w:val="001250E4"/>
    <w:rsid w:val="00127E7A"/>
    <w:rsid w:val="00130A4E"/>
    <w:rsid w:val="00132E9E"/>
    <w:rsid w:val="0013306D"/>
    <w:rsid w:val="001345E4"/>
    <w:rsid w:val="0013684E"/>
    <w:rsid w:val="001372B6"/>
    <w:rsid w:val="00137C39"/>
    <w:rsid w:val="001408A8"/>
    <w:rsid w:val="001408B4"/>
    <w:rsid w:val="0014094F"/>
    <w:rsid w:val="00142131"/>
    <w:rsid w:val="001422DA"/>
    <w:rsid w:val="00143846"/>
    <w:rsid w:val="00144EEB"/>
    <w:rsid w:val="00144FCE"/>
    <w:rsid w:val="0014602E"/>
    <w:rsid w:val="001474ED"/>
    <w:rsid w:val="00150815"/>
    <w:rsid w:val="001515B3"/>
    <w:rsid w:val="00151AC0"/>
    <w:rsid w:val="0015498D"/>
    <w:rsid w:val="001559D8"/>
    <w:rsid w:val="00157023"/>
    <w:rsid w:val="00160305"/>
    <w:rsid w:val="0016154B"/>
    <w:rsid w:val="00161BD2"/>
    <w:rsid w:val="00162A45"/>
    <w:rsid w:val="00163176"/>
    <w:rsid w:val="001635C0"/>
    <w:rsid w:val="00163E10"/>
    <w:rsid w:val="00164384"/>
    <w:rsid w:val="00164821"/>
    <w:rsid w:val="00165919"/>
    <w:rsid w:val="0016655D"/>
    <w:rsid w:val="0017007E"/>
    <w:rsid w:val="00170467"/>
    <w:rsid w:val="00170CC0"/>
    <w:rsid w:val="00170DA9"/>
    <w:rsid w:val="001715E8"/>
    <w:rsid w:val="0017486E"/>
    <w:rsid w:val="00175105"/>
    <w:rsid w:val="001812EF"/>
    <w:rsid w:val="00182B25"/>
    <w:rsid w:val="00183156"/>
    <w:rsid w:val="00183496"/>
    <w:rsid w:val="00183755"/>
    <w:rsid w:val="001845CA"/>
    <w:rsid w:val="00184C79"/>
    <w:rsid w:val="00185D5A"/>
    <w:rsid w:val="00187611"/>
    <w:rsid w:val="00187BA2"/>
    <w:rsid w:val="00190D12"/>
    <w:rsid w:val="001920A8"/>
    <w:rsid w:val="0019394D"/>
    <w:rsid w:val="0019543C"/>
    <w:rsid w:val="00195A14"/>
    <w:rsid w:val="00195AFC"/>
    <w:rsid w:val="00196407"/>
    <w:rsid w:val="001966AF"/>
    <w:rsid w:val="00197C6D"/>
    <w:rsid w:val="001A06DF"/>
    <w:rsid w:val="001A2079"/>
    <w:rsid w:val="001A276A"/>
    <w:rsid w:val="001A5375"/>
    <w:rsid w:val="001A5B68"/>
    <w:rsid w:val="001A649D"/>
    <w:rsid w:val="001A65A8"/>
    <w:rsid w:val="001A6A90"/>
    <w:rsid w:val="001A7035"/>
    <w:rsid w:val="001A795D"/>
    <w:rsid w:val="001B0653"/>
    <w:rsid w:val="001B191B"/>
    <w:rsid w:val="001B1C5D"/>
    <w:rsid w:val="001B2B88"/>
    <w:rsid w:val="001B3C16"/>
    <w:rsid w:val="001B4986"/>
    <w:rsid w:val="001B5835"/>
    <w:rsid w:val="001B6042"/>
    <w:rsid w:val="001B7317"/>
    <w:rsid w:val="001C0589"/>
    <w:rsid w:val="001C2BAB"/>
    <w:rsid w:val="001C33AA"/>
    <w:rsid w:val="001C4774"/>
    <w:rsid w:val="001C4DE5"/>
    <w:rsid w:val="001C688C"/>
    <w:rsid w:val="001C701B"/>
    <w:rsid w:val="001C7774"/>
    <w:rsid w:val="001D0893"/>
    <w:rsid w:val="001D0999"/>
    <w:rsid w:val="001D15F8"/>
    <w:rsid w:val="001D1803"/>
    <w:rsid w:val="001D30E2"/>
    <w:rsid w:val="001D3CA7"/>
    <w:rsid w:val="001D3DAB"/>
    <w:rsid w:val="001D44A2"/>
    <w:rsid w:val="001D56D9"/>
    <w:rsid w:val="001D6093"/>
    <w:rsid w:val="001D703C"/>
    <w:rsid w:val="001D7C4A"/>
    <w:rsid w:val="001E33C3"/>
    <w:rsid w:val="001E35CD"/>
    <w:rsid w:val="001E370B"/>
    <w:rsid w:val="001E3C31"/>
    <w:rsid w:val="001E51C2"/>
    <w:rsid w:val="001E66C2"/>
    <w:rsid w:val="001E7036"/>
    <w:rsid w:val="001E716F"/>
    <w:rsid w:val="001E74CC"/>
    <w:rsid w:val="001F0483"/>
    <w:rsid w:val="001F226C"/>
    <w:rsid w:val="001F31F8"/>
    <w:rsid w:val="001F4931"/>
    <w:rsid w:val="001F4FCC"/>
    <w:rsid w:val="001F5071"/>
    <w:rsid w:val="001F71DC"/>
    <w:rsid w:val="001F7643"/>
    <w:rsid w:val="001F7ECA"/>
    <w:rsid w:val="00200AAB"/>
    <w:rsid w:val="00200D10"/>
    <w:rsid w:val="00201EAA"/>
    <w:rsid w:val="00201FE2"/>
    <w:rsid w:val="002025F9"/>
    <w:rsid w:val="0020262C"/>
    <w:rsid w:val="00203E2D"/>
    <w:rsid w:val="00204015"/>
    <w:rsid w:val="00204480"/>
    <w:rsid w:val="00205731"/>
    <w:rsid w:val="00205F36"/>
    <w:rsid w:val="00206C49"/>
    <w:rsid w:val="0020729E"/>
    <w:rsid w:val="00207645"/>
    <w:rsid w:val="00210AEF"/>
    <w:rsid w:val="002121DA"/>
    <w:rsid w:val="0021491B"/>
    <w:rsid w:val="00216FDC"/>
    <w:rsid w:val="00217763"/>
    <w:rsid w:val="00217A8C"/>
    <w:rsid w:val="0022008D"/>
    <w:rsid w:val="002210CC"/>
    <w:rsid w:val="0022201D"/>
    <w:rsid w:val="0022352E"/>
    <w:rsid w:val="0022554D"/>
    <w:rsid w:val="0022590A"/>
    <w:rsid w:val="00225ED6"/>
    <w:rsid w:val="0022749A"/>
    <w:rsid w:val="00227CE1"/>
    <w:rsid w:val="00227D92"/>
    <w:rsid w:val="0023052C"/>
    <w:rsid w:val="002319AC"/>
    <w:rsid w:val="00232ABC"/>
    <w:rsid w:val="002344C7"/>
    <w:rsid w:val="00234C54"/>
    <w:rsid w:val="00234F60"/>
    <w:rsid w:val="0024044B"/>
    <w:rsid w:val="00240658"/>
    <w:rsid w:val="00242843"/>
    <w:rsid w:val="00243390"/>
    <w:rsid w:val="00244EAC"/>
    <w:rsid w:val="00245F59"/>
    <w:rsid w:val="002465E6"/>
    <w:rsid w:val="00246FB0"/>
    <w:rsid w:val="00246FD3"/>
    <w:rsid w:val="0025045F"/>
    <w:rsid w:val="00254B62"/>
    <w:rsid w:val="0025506C"/>
    <w:rsid w:val="00256794"/>
    <w:rsid w:val="00256E14"/>
    <w:rsid w:val="00257A76"/>
    <w:rsid w:val="00260D8A"/>
    <w:rsid w:val="00261190"/>
    <w:rsid w:val="002624A6"/>
    <w:rsid w:val="00263323"/>
    <w:rsid w:val="00264DCC"/>
    <w:rsid w:val="00264F63"/>
    <w:rsid w:val="0026628D"/>
    <w:rsid w:val="002665C4"/>
    <w:rsid w:val="00267181"/>
    <w:rsid w:val="002730A5"/>
    <w:rsid w:val="00274438"/>
    <w:rsid w:val="00274689"/>
    <w:rsid w:val="0027578E"/>
    <w:rsid w:val="002762D7"/>
    <w:rsid w:val="002765E3"/>
    <w:rsid w:val="00276646"/>
    <w:rsid w:val="00277B7D"/>
    <w:rsid w:val="00277EAF"/>
    <w:rsid w:val="002808DC"/>
    <w:rsid w:val="00280B88"/>
    <w:rsid w:val="00281136"/>
    <w:rsid w:val="00281715"/>
    <w:rsid w:val="0028458A"/>
    <w:rsid w:val="00285781"/>
    <w:rsid w:val="00287253"/>
    <w:rsid w:val="00287F06"/>
    <w:rsid w:val="00292847"/>
    <w:rsid w:val="00292F6C"/>
    <w:rsid w:val="00294195"/>
    <w:rsid w:val="002943E4"/>
    <w:rsid w:val="0029657C"/>
    <w:rsid w:val="00297CE2"/>
    <w:rsid w:val="002A09C0"/>
    <w:rsid w:val="002A0A63"/>
    <w:rsid w:val="002A0E47"/>
    <w:rsid w:val="002A0FBB"/>
    <w:rsid w:val="002A127F"/>
    <w:rsid w:val="002A1868"/>
    <w:rsid w:val="002A19E4"/>
    <w:rsid w:val="002A1ECA"/>
    <w:rsid w:val="002A3F88"/>
    <w:rsid w:val="002A5C3A"/>
    <w:rsid w:val="002A5D7D"/>
    <w:rsid w:val="002A6754"/>
    <w:rsid w:val="002A711C"/>
    <w:rsid w:val="002A71AF"/>
    <w:rsid w:val="002B04B6"/>
    <w:rsid w:val="002B1B73"/>
    <w:rsid w:val="002B2FBD"/>
    <w:rsid w:val="002B3337"/>
    <w:rsid w:val="002B3343"/>
    <w:rsid w:val="002B3F97"/>
    <w:rsid w:val="002B4559"/>
    <w:rsid w:val="002B4723"/>
    <w:rsid w:val="002B7757"/>
    <w:rsid w:val="002C013E"/>
    <w:rsid w:val="002C12AB"/>
    <w:rsid w:val="002C1735"/>
    <w:rsid w:val="002C29BC"/>
    <w:rsid w:val="002C41F0"/>
    <w:rsid w:val="002C4BD7"/>
    <w:rsid w:val="002C55E8"/>
    <w:rsid w:val="002C7809"/>
    <w:rsid w:val="002D1138"/>
    <w:rsid w:val="002D324B"/>
    <w:rsid w:val="002D4376"/>
    <w:rsid w:val="002D4B44"/>
    <w:rsid w:val="002D5383"/>
    <w:rsid w:val="002D6FFD"/>
    <w:rsid w:val="002E1C03"/>
    <w:rsid w:val="002E3208"/>
    <w:rsid w:val="002E360F"/>
    <w:rsid w:val="002E365B"/>
    <w:rsid w:val="002E4498"/>
    <w:rsid w:val="002E6981"/>
    <w:rsid w:val="002F0428"/>
    <w:rsid w:val="002F1522"/>
    <w:rsid w:val="002F1CCE"/>
    <w:rsid w:val="002F24DB"/>
    <w:rsid w:val="002F378F"/>
    <w:rsid w:val="002F4CCD"/>
    <w:rsid w:val="00300562"/>
    <w:rsid w:val="00301A0E"/>
    <w:rsid w:val="00301D93"/>
    <w:rsid w:val="00302BF0"/>
    <w:rsid w:val="00304576"/>
    <w:rsid w:val="003054C7"/>
    <w:rsid w:val="0030662E"/>
    <w:rsid w:val="003101A9"/>
    <w:rsid w:val="0031022A"/>
    <w:rsid w:val="00311065"/>
    <w:rsid w:val="00311D08"/>
    <w:rsid w:val="00311F36"/>
    <w:rsid w:val="0031213C"/>
    <w:rsid w:val="00312D9A"/>
    <w:rsid w:val="00312DE8"/>
    <w:rsid w:val="003149B3"/>
    <w:rsid w:val="00315FDD"/>
    <w:rsid w:val="00321AE6"/>
    <w:rsid w:val="003226EC"/>
    <w:rsid w:val="00323167"/>
    <w:rsid w:val="003234AD"/>
    <w:rsid w:val="00323EC6"/>
    <w:rsid w:val="00324B7C"/>
    <w:rsid w:val="00326BBA"/>
    <w:rsid w:val="00326C9D"/>
    <w:rsid w:val="00327F26"/>
    <w:rsid w:val="00330C75"/>
    <w:rsid w:val="00334A21"/>
    <w:rsid w:val="00335169"/>
    <w:rsid w:val="00335285"/>
    <w:rsid w:val="003360DE"/>
    <w:rsid w:val="00336B77"/>
    <w:rsid w:val="00341588"/>
    <w:rsid w:val="003417EC"/>
    <w:rsid w:val="00342F5C"/>
    <w:rsid w:val="0034366C"/>
    <w:rsid w:val="003440AF"/>
    <w:rsid w:val="0034510E"/>
    <w:rsid w:val="0034553E"/>
    <w:rsid w:val="00345FF3"/>
    <w:rsid w:val="0035054D"/>
    <w:rsid w:val="00351A09"/>
    <w:rsid w:val="00351A10"/>
    <w:rsid w:val="0035266E"/>
    <w:rsid w:val="003526EA"/>
    <w:rsid w:val="00352834"/>
    <w:rsid w:val="00352896"/>
    <w:rsid w:val="0035304D"/>
    <w:rsid w:val="00353BA0"/>
    <w:rsid w:val="00353D57"/>
    <w:rsid w:val="003548BA"/>
    <w:rsid w:val="00356FF3"/>
    <w:rsid w:val="00363C5B"/>
    <w:rsid w:val="00364F36"/>
    <w:rsid w:val="00365909"/>
    <w:rsid w:val="00365A15"/>
    <w:rsid w:val="003667D4"/>
    <w:rsid w:val="00366E8E"/>
    <w:rsid w:val="00367E23"/>
    <w:rsid w:val="00370A62"/>
    <w:rsid w:val="00370A75"/>
    <w:rsid w:val="00371122"/>
    <w:rsid w:val="00371256"/>
    <w:rsid w:val="00372A7B"/>
    <w:rsid w:val="00373178"/>
    <w:rsid w:val="00373C19"/>
    <w:rsid w:val="00374D26"/>
    <w:rsid w:val="00375686"/>
    <w:rsid w:val="00375BFC"/>
    <w:rsid w:val="00376087"/>
    <w:rsid w:val="00380EEC"/>
    <w:rsid w:val="00381D61"/>
    <w:rsid w:val="0038260B"/>
    <w:rsid w:val="00382BFA"/>
    <w:rsid w:val="003849BE"/>
    <w:rsid w:val="00385396"/>
    <w:rsid w:val="0038599B"/>
    <w:rsid w:val="00387591"/>
    <w:rsid w:val="00392B6B"/>
    <w:rsid w:val="00392E1D"/>
    <w:rsid w:val="003935B7"/>
    <w:rsid w:val="0039455B"/>
    <w:rsid w:val="0039479A"/>
    <w:rsid w:val="003952E2"/>
    <w:rsid w:val="00396892"/>
    <w:rsid w:val="003A05BD"/>
    <w:rsid w:val="003A0A74"/>
    <w:rsid w:val="003A12C7"/>
    <w:rsid w:val="003A18E9"/>
    <w:rsid w:val="003A2721"/>
    <w:rsid w:val="003A2B5E"/>
    <w:rsid w:val="003A2BE0"/>
    <w:rsid w:val="003A39F0"/>
    <w:rsid w:val="003A5432"/>
    <w:rsid w:val="003A6C7E"/>
    <w:rsid w:val="003A6E78"/>
    <w:rsid w:val="003A752F"/>
    <w:rsid w:val="003A7C5D"/>
    <w:rsid w:val="003B225E"/>
    <w:rsid w:val="003B307D"/>
    <w:rsid w:val="003B38F4"/>
    <w:rsid w:val="003B4970"/>
    <w:rsid w:val="003B4AB8"/>
    <w:rsid w:val="003B4B7F"/>
    <w:rsid w:val="003B57F4"/>
    <w:rsid w:val="003B5BB1"/>
    <w:rsid w:val="003B6358"/>
    <w:rsid w:val="003B6AF1"/>
    <w:rsid w:val="003C0392"/>
    <w:rsid w:val="003C1038"/>
    <w:rsid w:val="003C3330"/>
    <w:rsid w:val="003C35FD"/>
    <w:rsid w:val="003C542E"/>
    <w:rsid w:val="003C5619"/>
    <w:rsid w:val="003D10C6"/>
    <w:rsid w:val="003D3248"/>
    <w:rsid w:val="003D3853"/>
    <w:rsid w:val="003D45E3"/>
    <w:rsid w:val="003D5FF7"/>
    <w:rsid w:val="003D6289"/>
    <w:rsid w:val="003D6C6E"/>
    <w:rsid w:val="003D6F3E"/>
    <w:rsid w:val="003E2A75"/>
    <w:rsid w:val="003E39D4"/>
    <w:rsid w:val="003E4563"/>
    <w:rsid w:val="003E483C"/>
    <w:rsid w:val="003E70A5"/>
    <w:rsid w:val="003F0FB1"/>
    <w:rsid w:val="003F16EB"/>
    <w:rsid w:val="003F1BC7"/>
    <w:rsid w:val="003F45DC"/>
    <w:rsid w:val="003F7017"/>
    <w:rsid w:val="00400598"/>
    <w:rsid w:val="004006ED"/>
    <w:rsid w:val="004019C8"/>
    <w:rsid w:val="00401E1D"/>
    <w:rsid w:val="004027E6"/>
    <w:rsid w:val="00403D82"/>
    <w:rsid w:val="00404084"/>
    <w:rsid w:val="004061CE"/>
    <w:rsid w:val="0040658D"/>
    <w:rsid w:val="00406689"/>
    <w:rsid w:val="004066E5"/>
    <w:rsid w:val="00410549"/>
    <w:rsid w:val="00416720"/>
    <w:rsid w:val="00417BC1"/>
    <w:rsid w:val="0042061A"/>
    <w:rsid w:val="00420DD2"/>
    <w:rsid w:val="004210BC"/>
    <w:rsid w:val="004213FB"/>
    <w:rsid w:val="0042186A"/>
    <w:rsid w:val="00421A8B"/>
    <w:rsid w:val="00423232"/>
    <w:rsid w:val="004238FC"/>
    <w:rsid w:val="00424763"/>
    <w:rsid w:val="00425B7E"/>
    <w:rsid w:val="00425FE4"/>
    <w:rsid w:val="00426A79"/>
    <w:rsid w:val="00426F0E"/>
    <w:rsid w:val="004309F6"/>
    <w:rsid w:val="004313E3"/>
    <w:rsid w:val="00434995"/>
    <w:rsid w:val="00435EDA"/>
    <w:rsid w:val="00436058"/>
    <w:rsid w:val="00436461"/>
    <w:rsid w:val="0043725E"/>
    <w:rsid w:val="00437EE0"/>
    <w:rsid w:val="004428D6"/>
    <w:rsid w:val="004432CF"/>
    <w:rsid w:val="00443DEC"/>
    <w:rsid w:val="00444764"/>
    <w:rsid w:val="00446386"/>
    <w:rsid w:val="00446FAD"/>
    <w:rsid w:val="0045064F"/>
    <w:rsid w:val="004506D2"/>
    <w:rsid w:val="00451C69"/>
    <w:rsid w:val="00452C1D"/>
    <w:rsid w:val="004532B9"/>
    <w:rsid w:val="00455945"/>
    <w:rsid w:val="004602B6"/>
    <w:rsid w:val="00460475"/>
    <w:rsid w:val="00461726"/>
    <w:rsid w:val="0046287F"/>
    <w:rsid w:val="004654A3"/>
    <w:rsid w:val="004665A8"/>
    <w:rsid w:val="00467388"/>
    <w:rsid w:val="00470A8E"/>
    <w:rsid w:val="00473FB6"/>
    <w:rsid w:val="00475B9A"/>
    <w:rsid w:val="00476423"/>
    <w:rsid w:val="00477C0E"/>
    <w:rsid w:val="0048025C"/>
    <w:rsid w:val="004806F6"/>
    <w:rsid w:val="00480FCE"/>
    <w:rsid w:val="004814F1"/>
    <w:rsid w:val="004818C5"/>
    <w:rsid w:val="00481B5A"/>
    <w:rsid w:val="00481D78"/>
    <w:rsid w:val="00482068"/>
    <w:rsid w:val="00483046"/>
    <w:rsid w:val="00485B40"/>
    <w:rsid w:val="00485D17"/>
    <w:rsid w:val="00487384"/>
    <w:rsid w:val="0048762E"/>
    <w:rsid w:val="00491239"/>
    <w:rsid w:val="00493E53"/>
    <w:rsid w:val="004954A0"/>
    <w:rsid w:val="00496414"/>
    <w:rsid w:val="004969C5"/>
    <w:rsid w:val="00497508"/>
    <w:rsid w:val="004A0437"/>
    <w:rsid w:val="004A250D"/>
    <w:rsid w:val="004A405B"/>
    <w:rsid w:val="004A428A"/>
    <w:rsid w:val="004A4420"/>
    <w:rsid w:val="004A4AC4"/>
    <w:rsid w:val="004A4D60"/>
    <w:rsid w:val="004A5819"/>
    <w:rsid w:val="004A6236"/>
    <w:rsid w:val="004A67B7"/>
    <w:rsid w:val="004A693A"/>
    <w:rsid w:val="004A7E25"/>
    <w:rsid w:val="004A7E29"/>
    <w:rsid w:val="004B1A14"/>
    <w:rsid w:val="004B2C87"/>
    <w:rsid w:val="004B2E35"/>
    <w:rsid w:val="004B3294"/>
    <w:rsid w:val="004B3FCB"/>
    <w:rsid w:val="004B4B30"/>
    <w:rsid w:val="004B4E58"/>
    <w:rsid w:val="004B56C4"/>
    <w:rsid w:val="004B5851"/>
    <w:rsid w:val="004B5CB9"/>
    <w:rsid w:val="004B6FCA"/>
    <w:rsid w:val="004B75B4"/>
    <w:rsid w:val="004B7899"/>
    <w:rsid w:val="004B7C8D"/>
    <w:rsid w:val="004C131D"/>
    <w:rsid w:val="004C295A"/>
    <w:rsid w:val="004C4DDB"/>
    <w:rsid w:val="004C56CB"/>
    <w:rsid w:val="004C7394"/>
    <w:rsid w:val="004C7F50"/>
    <w:rsid w:val="004D0748"/>
    <w:rsid w:val="004D0B9E"/>
    <w:rsid w:val="004D1061"/>
    <w:rsid w:val="004D10EA"/>
    <w:rsid w:val="004D3458"/>
    <w:rsid w:val="004D3ABE"/>
    <w:rsid w:val="004D3C6E"/>
    <w:rsid w:val="004D4266"/>
    <w:rsid w:val="004D713C"/>
    <w:rsid w:val="004D7341"/>
    <w:rsid w:val="004D77FF"/>
    <w:rsid w:val="004D7AF7"/>
    <w:rsid w:val="004D7D49"/>
    <w:rsid w:val="004E1A81"/>
    <w:rsid w:val="004E2149"/>
    <w:rsid w:val="004E2530"/>
    <w:rsid w:val="004E2AD0"/>
    <w:rsid w:val="004E2D35"/>
    <w:rsid w:val="004E475E"/>
    <w:rsid w:val="004E479B"/>
    <w:rsid w:val="004E4C8B"/>
    <w:rsid w:val="004E52C3"/>
    <w:rsid w:val="004E60ED"/>
    <w:rsid w:val="004E6712"/>
    <w:rsid w:val="004E71E9"/>
    <w:rsid w:val="004E7228"/>
    <w:rsid w:val="004E7F0F"/>
    <w:rsid w:val="004F019E"/>
    <w:rsid w:val="004F0330"/>
    <w:rsid w:val="004F0CEC"/>
    <w:rsid w:val="004F1B23"/>
    <w:rsid w:val="004F1BA0"/>
    <w:rsid w:val="004F208A"/>
    <w:rsid w:val="004F47AF"/>
    <w:rsid w:val="004F5E7E"/>
    <w:rsid w:val="004F647A"/>
    <w:rsid w:val="004F6815"/>
    <w:rsid w:val="004F7251"/>
    <w:rsid w:val="0050174D"/>
    <w:rsid w:val="00501893"/>
    <w:rsid w:val="00501941"/>
    <w:rsid w:val="00501C72"/>
    <w:rsid w:val="00501E21"/>
    <w:rsid w:val="00503774"/>
    <w:rsid w:val="00504A30"/>
    <w:rsid w:val="00504C2E"/>
    <w:rsid w:val="0050696D"/>
    <w:rsid w:val="00510247"/>
    <w:rsid w:val="005114F7"/>
    <w:rsid w:val="005122B1"/>
    <w:rsid w:val="00512E75"/>
    <w:rsid w:val="00513022"/>
    <w:rsid w:val="005156A5"/>
    <w:rsid w:val="00520C12"/>
    <w:rsid w:val="005212E1"/>
    <w:rsid w:val="00521580"/>
    <w:rsid w:val="00521A7A"/>
    <w:rsid w:val="00523417"/>
    <w:rsid w:val="00523721"/>
    <w:rsid w:val="0052438E"/>
    <w:rsid w:val="0052449E"/>
    <w:rsid w:val="00524DB2"/>
    <w:rsid w:val="00526AF4"/>
    <w:rsid w:val="00527871"/>
    <w:rsid w:val="00527E45"/>
    <w:rsid w:val="00532058"/>
    <w:rsid w:val="00533915"/>
    <w:rsid w:val="00533A41"/>
    <w:rsid w:val="00534270"/>
    <w:rsid w:val="005346A2"/>
    <w:rsid w:val="005346D2"/>
    <w:rsid w:val="00534934"/>
    <w:rsid w:val="0053523D"/>
    <w:rsid w:val="00535C45"/>
    <w:rsid w:val="00540666"/>
    <w:rsid w:val="005429CC"/>
    <w:rsid w:val="00543635"/>
    <w:rsid w:val="0054367A"/>
    <w:rsid w:val="00544B94"/>
    <w:rsid w:val="005467F7"/>
    <w:rsid w:val="00546D01"/>
    <w:rsid w:val="0055080D"/>
    <w:rsid w:val="00551206"/>
    <w:rsid w:val="00552321"/>
    <w:rsid w:val="00552791"/>
    <w:rsid w:val="0055390E"/>
    <w:rsid w:val="00553DB2"/>
    <w:rsid w:val="00554420"/>
    <w:rsid w:val="00556C86"/>
    <w:rsid w:val="00556D96"/>
    <w:rsid w:val="005603B9"/>
    <w:rsid w:val="005620AE"/>
    <w:rsid w:val="00562753"/>
    <w:rsid w:val="00564500"/>
    <w:rsid w:val="00564B9B"/>
    <w:rsid w:val="00570938"/>
    <w:rsid w:val="00571168"/>
    <w:rsid w:val="005713EF"/>
    <w:rsid w:val="0057156E"/>
    <w:rsid w:val="0057161A"/>
    <w:rsid w:val="005719E1"/>
    <w:rsid w:val="0057225C"/>
    <w:rsid w:val="00572363"/>
    <w:rsid w:val="0057283D"/>
    <w:rsid w:val="00573FE4"/>
    <w:rsid w:val="00574568"/>
    <w:rsid w:val="00575FA0"/>
    <w:rsid w:val="00576B35"/>
    <w:rsid w:val="0057788B"/>
    <w:rsid w:val="00582C42"/>
    <w:rsid w:val="00583A84"/>
    <w:rsid w:val="00584C8D"/>
    <w:rsid w:val="00584EA1"/>
    <w:rsid w:val="00586717"/>
    <w:rsid w:val="00586AB2"/>
    <w:rsid w:val="00587069"/>
    <w:rsid w:val="0058706B"/>
    <w:rsid w:val="0059063E"/>
    <w:rsid w:val="0059278F"/>
    <w:rsid w:val="00592C21"/>
    <w:rsid w:val="00594E91"/>
    <w:rsid w:val="005977F9"/>
    <w:rsid w:val="005A0388"/>
    <w:rsid w:val="005A055A"/>
    <w:rsid w:val="005A149A"/>
    <w:rsid w:val="005A159F"/>
    <w:rsid w:val="005A184C"/>
    <w:rsid w:val="005A216D"/>
    <w:rsid w:val="005A2CDD"/>
    <w:rsid w:val="005A311F"/>
    <w:rsid w:val="005A405E"/>
    <w:rsid w:val="005A4260"/>
    <w:rsid w:val="005A4F65"/>
    <w:rsid w:val="005A6365"/>
    <w:rsid w:val="005B0CDF"/>
    <w:rsid w:val="005B2957"/>
    <w:rsid w:val="005B42AB"/>
    <w:rsid w:val="005B4B3E"/>
    <w:rsid w:val="005B672E"/>
    <w:rsid w:val="005C05B5"/>
    <w:rsid w:val="005C0D6B"/>
    <w:rsid w:val="005C1AFB"/>
    <w:rsid w:val="005C2AC1"/>
    <w:rsid w:val="005C2E19"/>
    <w:rsid w:val="005C420A"/>
    <w:rsid w:val="005C4315"/>
    <w:rsid w:val="005C4B8F"/>
    <w:rsid w:val="005C6658"/>
    <w:rsid w:val="005C6B22"/>
    <w:rsid w:val="005C7EFB"/>
    <w:rsid w:val="005D18CA"/>
    <w:rsid w:val="005D19D3"/>
    <w:rsid w:val="005D2286"/>
    <w:rsid w:val="005D23E4"/>
    <w:rsid w:val="005D27CB"/>
    <w:rsid w:val="005D2B26"/>
    <w:rsid w:val="005D3188"/>
    <w:rsid w:val="005D56DE"/>
    <w:rsid w:val="005D5986"/>
    <w:rsid w:val="005D6B15"/>
    <w:rsid w:val="005D7040"/>
    <w:rsid w:val="005D710D"/>
    <w:rsid w:val="005D7BC0"/>
    <w:rsid w:val="005E3746"/>
    <w:rsid w:val="005E3EE6"/>
    <w:rsid w:val="005E402B"/>
    <w:rsid w:val="005E41A6"/>
    <w:rsid w:val="005E4AF9"/>
    <w:rsid w:val="005E71DE"/>
    <w:rsid w:val="005F1450"/>
    <w:rsid w:val="005F392A"/>
    <w:rsid w:val="0060107F"/>
    <w:rsid w:val="006010C9"/>
    <w:rsid w:val="006013C6"/>
    <w:rsid w:val="00602A9C"/>
    <w:rsid w:val="00602D8C"/>
    <w:rsid w:val="00603031"/>
    <w:rsid w:val="00604115"/>
    <w:rsid w:val="0060417B"/>
    <w:rsid w:val="00604AC5"/>
    <w:rsid w:val="0060552A"/>
    <w:rsid w:val="00605C58"/>
    <w:rsid w:val="00605E1F"/>
    <w:rsid w:val="00610278"/>
    <w:rsid w:val="0061048C"/>
    <w:rsid w:val="00610B0E"/>
    <w:rsid w:val="00611FB7"/>
    <w:rsid w:val="006120DF"/>
    <w:rsid w:val="0061332D"/>
    <w:rsid w:val="00614505"/>
    <w:rsid w:val="00615196"/>
    <w:rsid w:val="00615FEB"/>
    <w:rsid w:val="00621417"/>
    <w:rsid w:val="00621425"/>
    <w:rsid w:val="006228B5"/>
    <w:rsid w:val="00622BA4"/>
    <w:rsid w:val="00622FEB"/>
    <w:rsid w:val="00623DC8"/>
    <w:rsid w:val="00623F94"/>
    <w:rsid w:val="006249C4"/>
    <w:rsid w:val="00624FC1"/>
    <w:rsid w:val="006254A9"/>
    <w:rsid w:val="00625F26"/>
    <w:rsid w:val="0062601D"/>
    <w:rsid w:val="00626F73"/>
    <w:rsid w:val="00627DEF"/>
    <w:rsid w:val="00631E22"/>
    <w:rsid w:val="0063254F"/>
    <w:rsid w:val="00633FA2"/>
    <w:rsid w:val="006344F1"/>
    <w:rsid w:val="0063503E"/>
    <w:rsid w:val="00635803"/>
    <w:rsid w:val="00635BE3"/>
    <w:rsid w:val="0063693E"/>
    <w:rsid w:val="00637C40"/>
    <w:rsid w:val="00640091"/>
    <w:rsid w:val="0064051F"/>
    <w:rsid w:val="00641C04"/>
    <w:rsid w:val="00642EB0"/>
    <w:rsid w:val="00643F6B"/>
    <w:rsid w:val="006447A6"/>
    <w:rsid w:val="006508B5"/>
    <w:rsid w:val="006508F8"/>
    <w:rsid w:val="00650E50"/>
    <w:rsid w:val="00651E6E"/>
    <w:rsid w:val="006526BA"/>
    <w:rsid w:val="00652E69"/>
    <w:rsid w:val="006548AD"/>
    <w:rsid w:val="00655C71"/>
    <w:rsid w:val="00657CA2"/>
    <w:rsid w:val="00661546"/>
    <w:rsid w:val="006615C4"/>
    <w:rsid w:val="00661887"/>
    <w:rsid w:val="00665359"/>
    <w:rsid w:val="00665A7A"/>
    <w:rsid w:val="00666AB0"/>
    <w:rsid w:val="00667D68"/>
    <w:rsid w:val="00670034"/>
    <w:rsid w:val="00670643"/>
    <w:rsid w:val="00672548"/>
    <w:rsid w:val="0067275D"/>
    <w:rsid w:val="006727F9"/>
    <w:rsid w:val="00672F46"/>
    <w:rsid w:val="00674300"/>
    <w:rsid w:val="00674FE8"/>
    <w:rsid w:val="00676C80"/>
    <w:rsid w:val="00682B48"/>
    <w:rsid w:val="00682F4B"/>
    <w:rsid w:val="006830E1"/>
    <w:rsid w:val="00683149"/>
    <w:rsid w:val="00683908"/>
    <w:rsid w:val="00683B3E"/>
    <w:rsid w:val="00683FFE"/>
    <w:rsid w:val="006862A2"/>
    <w:rsid w:val="006868D3"/>
    <w:rsid w:val="0068708C"/>
    <w:rsid w:val="006871C6"/>
    <w:rsid w:val="006914A6"/>
    <w:rsid w:val="00691DEE"/>
    <w:rsid w:val="0069272F"/>
    <w:rsid w:val="00692B31"/>
    <w:rsid w:val="0069338F"/>
    <w:rsid w:val="00693B22"/>
    <w:rsid w:val="00696C13"/>
    <w:rsid w:val="00696E64"/>
    <w:rsid w:val="00696F7C"/>
    <w:rsid w:val="0069798B"/>
    <w:rsid w:val="006A039E"/>
    <w:rsid w:val="006A065C"/>
    <w:rsid w:val="006A0A7F"/>
    <w:rsid w:val="006A21A3"/>
    <w:rsid w:val="006A263E"/>
    <w:rsid w:val="006A358E"/>
    <w:rsid w:val="006A40C3"/>
    <w:rsid w:val="006A450A"/>
    <w:rsid w:val="006A66A6"/>
    <w:rsid w:val="006B1E55"/>
    <w:rsid w:val="006B2C1A"/>
    <w:rsid w:val="006B3E8F"/>
    <w:rsid w:val="006B4DBA"/>
    <w:rsid w:val="006B5420"/>
    <w:rsid w:val="006B5A1A"/>
    <w:rsid w:val="006B5DAE"/>
    <w:rsid w:val="006B6A92"/>
    <w:rsid w:val="006B6D97"/>
    <w:rsid w:val="006B7212"/>
    <w:rsid w:val="006B7600"/>
    <w:rsid w:val="006B79E6"/>
    <w:rsid w:val="006C16CC"/>
    <w:rsid w:val="006C1A15"/>
    <w:rsid w:val="006C1B1E"/>
    <w:rsid w:val="006C4201"/>
    <w:rsid w:val="006C4D3C"/>
    <w:rsid w:val="006C554F"/>
    <w:rsid w:val="006C55A1"/>
    <w:rsid w:val="006C55C7"/>
    <w:rsid w:val="006C5A8F"/>
    <w:rsid w:val="006C62DB"/>
    <w:rsid w:val="006C69DB"/>
    <w:rsid w:val="006C766F"/>
    <w:rsid w:val="006C773D"/>
    <w:rsid w:val="006C7897"/>
    <w:rsid w:val="006C7A72"/>
    <w:rsid w:val="006D001C"/>
    <w:rsid w:val="006D2308"/>
    <w:rsid w:val="006D252D"/>
    <w:rsid w:val="006D3A73"/>
    <w:rsid w:val="006D4B68"/>
    <w:rsid w:val="006D4EB3"/>
    <w:rsid w:val="006D4ED0"/>
    <w:rsid w:val="006D51FA"/>
    <w:rsid w:val="006D5410"/>
    <w:rsid w:val="006D5435"/>
    <w:rsid w:val="006D6D60"/>
    <w:rsid w:val="006E00B2"/>
    <w:rsid w:val="006E1781"/>
    <w:rsid w:val="006E35BF"/>
    <w:rsid w:val="006E47A6"/>
    <w:rsid w:val="006E569B"/>
    <w:rsid w:val="006E5F2F"/>
    <w:rsid w:val="006E6528"/>
    <w:rsid w:val="006E7180"/>
    <w:rsid w:val="006E7518"/>
    <w:rsid w:val="006F1FB7"/>
    <w:rsid w:val="006F2525"/>
    <w:rsid w:val="006F2AD5"/>
    <w:rsid w:val="006F2FC0"/>
    <w:rsid w:val="006F5053"/>
    <w:rsid w:val="006F5A29"/>
    <w:rsid w:val="006F7369"/>
    <w:rsid w:val="006F73B8"/>
    <w:rsid w:val="0070029D"/>
    <w:rsid w:val="0070049C"/>
    <w:rsid w:val="00700F22"/>
    <w:rsid w:val="0070201D"/>
    <w:rsid w:val="00703EA1"/>
    <w:rsid w:val="0070579F"/>
    <w:rsid w:val="0070593D"/>
    <w:rsid w:val="00705A0A"/>
    <w:rsid w:val="0070608A"/>
    <w:rsid w:val="00707B9B"/>
    <w:rsid w:val="007106B8"/>
    <w:rsid w:val="00711F9D"/>
    <w:rsid w:val="00712854"/>
    <w:rsid w:val="007138CE"/>
    <w:rsid w:val="00713D1B"/>
    <w:rsid w:val="00714042"/>
    <w:rsid w:val="00714FA2"/>
    <w:rsid w:val="00716271"/>
    <w:rsid w:val="00716D75"/>
    <w:rsid w:val="0071748A"/>
    <w:rsid w:val="00717C56"/>
    <w:rsid w:val="007207BB"/>
    <w:rsid w:val="00720877"/>
    <w:rsid w:val="0072224E"/>
    <w:rsid w:val="0072285E"/>
    <w:rsid w:val="0072468A"/>
    <w:rsid w:val="007254C4"/>
    <w:rsid w:val="007259DA"/>
    <w:rsid w:val="00726181"/>
    <w:rsid w:val="007302B3"/>
    <w:rsid w:val="00730BD2"/>
    <w:rsid w:val="00731280"/>
    <w:rsid w:val="0073200A"/>
    <w:rsid w:val="0073381F"/>
    <w:rsid w:val="00733DCF"/>
    <w:rsid w:val="00733E25"/>
    <w:rsid w:val="007346F9"/>
    <w:rsid w:val="007348D4"/>
    <w:rsid w:val="007352AD"/>
    <w:rsid w:val="0073555D"/>
    <w:rsid w:val="00737F7C"/>
    <w:rsid w:val="00740681"/>
    <w:rsid w:val="007406EF"/>
    <w:rsid w:val="00745D54"/>
    <w:rsid w:val="00746648"/>
    <w:rsid w:val="00746F70"/>
    <w:rsid w:val="00746FE7"/>
    <w:rsid w:val="0075034B"/>
    <w:rsid w:val="007504F9"/>
    <w:rsid w:val="00750F4E"/>
    <w:rsid w:val="007513EB"/>
    <w:rsid w:val="0075164B"/>
    <w:rsid w:val="00751902"/>
    <w:rsid w:val="00752081"/>
    <w:rsid w:val="00754062"/>
    <w:rsid w:val="00754C6E"/>
    <w:rsid w:val="00760E76"/>
    <w:rsid w:val="00761AE3"/>
    <w:rsid w:val="0076230F"/>
    <w:rsid w:val="007629FA"/>
    <w:rsid w:val="00762AC7"/>
    <w:rsid w:val="00762EEC"/>
    <w:rsid w:val="00765987"/>
    <w:rsid w:val="00767612"/>
    <w:rsid w:val="007720FD"/>
    <w:rsid w:val="00775106"/>
    <w:rsid w:val="00776268"/>
    <w:rsid w:val="0077685B"/>
    <w:rsid w:val="00777173"/>
    <w:rsid w:val="0077765B"/>
    <w:rsid w:val="00781737"/>
    <w:rsid w:val="00783BE3"/>
    <w:rsid w:val="00784932"/>
    <w:rsid w:val="007856AC"/>
    <w:rsid w:val="00785830"/>
    <w:rsid w:val="00785D66"/>
    <w:rsid w:val="0078640E"/>
    <w:rsid w:val="00790E19"/>
    <w:rsid w:val="00791797"/>
    <w:rsid w:val="007919C5"/>
    <w:rsid w:val="0079226D"/>
    <w:rsid w:val="007924D3"/>
    <w:rsid w:val="00793310"/>
    <w:rsid w:val="007934BE"/>
    <w:rsid w:val="0079372E"/>
    <w:rsid w:val="0079382E"/>
    <w:rsid w:val="00793B53"/>
    <w:rsid w:val="007942DC"/>
    <w:rsid w:val="00796037"/>
    <w:rsid w:val="007969F9"/>
    <w:rsid w:val="007A0636"/>
    <w:rsid w:val="007A09C5"/>
    <w:rsid w:val="007A1511"/>
    <w:rsid w:val="007A280C"/>
    <w:rsid w:val="007A444F"/>
    <w:rsid w:val="007A4D8A"/>
    <w:rsid w:val="007A5227"/>
    <w:rsid w:val="007A539E"/>
    <w:rsid w:val="007B03D5"/>
    <w:rsid w:val="007B1DD7"/>
    <w:rsid w:val="007B351D"/>
    <w:rsid w:val="007B3521"/>
    <w:rsid w:val="007B4309"/>
    <w:rsid w:val="007B4703"/>
    <w:rsid w:val="007B4FA5"/>
    <w:rsid w:val="007B4FE3"/>
    <w:rsid w:val="007B569B"/>
    <w:rsid w:val="007B5E6D"/>
    <w:rsid w:val="007B7FA2"/>
    <w:rsid w:val="007C0165"/>
    <w:rsid w:val="007C1338"/>
    <w:rsid w:val="007C133E"/>
    <w:rsid w:val="007C14C6"/>
    <w:rsid w:val="007C2E7C"/>
    <w:rsid w:val="007C46BF"/>
    <w:rsid w:val="007C4862"/>
    <w:rsid w:val="007C4F64"/>
    <w:rsid w:val="007C52C7"/>
    <w:rsid w:val="007C61A6"/>
    <w:rsid w:val="007D4330"/>
    <w:rsid w:val="007D4521"/>
    <w:rsid w:val="007D4BBB"/>
    <w:rsid w:val="007D5161"/>
    <w:rsid w:val="007E06FB"/>
    <w:rsid w:val="007E1368"/>
    <w:rsid w:val="007E1397"/>
    <w:rsid w:val="007E3877"/>
    <w:rsid w:val="007E3D92"/>
    <w:rsid w:val="007E4103"/>
    <w:rsid w:val="007E5862"/>
    <w:rsid w:val="007E651D"/>
    <w:rsid w:val="007E6A3E"/>
    <w:rsid w:val="007E6E10"/>
    <w:rsid w:val="007F0A74"/>
    <w:rsid w:val="007F11D5"/>
    <w:rsid w:val="007F1227"/>
    <w:rsid w:val="007F1F0C"/>
    <w:rsid w:val="007F1FDD"/>
    <w:rsid w:val="007F20E5"/>
    <w:rsid w:val="007F35AA"/>
    <w:rsid w:val="007F372E"/>
    <w:rsid w:val="007F3B55"/>
    <w:rsid w:val="007F3D03"/>
    <w:rsid w:val="007F480B"/>
    <w:rsid w:val="007F4FC8"/>
    <w:rsid w:val="007F520D"/>
    <w:rsid w:val="007F55B6"/>
    <w:rsid w:val="007F67C9"/>
    <w:rsid w:val="007F74FE"/>
    <w:rsid w:val="007F76F4"/>
    <w:rsid w:val="007F7C0A"/>
    <w:rsid w:val="00800BBE"/>
    <w:rsid w:val="00800F5F"/>
    <w:rsid w:val="008017C5"/>
    <w:rsid w:val="0080212A"/>
    <w:rsid w:val="00802BA9"/>
    <w:rsid w:val="008039C2"/>
    <w:rsid w:val="008042BE"/>
    <w:rsid w:val="00804334"/>
    <w:rsid w:val="00804701"/>
    <w:rsid w:val="00805111"/>
    <w:rsid w:val="00805B6E"/>
    <w:rsid w:val="0080686B"/>
    <w:rsid w:val="00810130"/>
    <w:rsid w:val="008106E0"/>
    <w:rsid w:val="008108D1"/>
    <w:rsid w:val="00810FA4"/>
    <w:rsid w:val="008119D1"/>
    <w:rsid w:val="00811E9A"/>
    <w:rsid w:val="00812017"/>
    <w:rsid w:val="00812358"/>
    <w:rsid w:val="00813A44"/>
    <w:rsid w:val="0081405D"/>
    <w:rsid w:val="0081452E"/>
    <w:rsid w:val="00814591"/>
    <w:rsid w:val="00814E15"/>
    <w:rsid w:val="00817858"/>
    <w:rsid w:val="00820F5C"/>
    <w:rsid w:val="008224BD"/>
    <w:rsid w:val="008225FC"/>
    <w:rsid w:val="00822BDF"/>
    <w:rsid w:val="00822C2B"/>
    <w:rsid w:val="00822EFE"/>
    <w:rsid w:val="00823FEB"/>
    <w:rsid w:val="0082429B"/>
    <w:rsid w:val="008243A9"/>
    <w:rsid w:val="00824641"/>
    <w:rsid w:val="00825E43"/>
    <w:rsid w:val="00826792"/>
    <w:rsid w:val="008279CD"/>
    <w:rsid w:val="00827B6C"/>
    <w:rsid w:val="008342E9"/>
    <w:rsid w:val="008344D6"/>
    <w:rsid w:val="008350CD"/>
    <w:rsid w:val="00835CAC"/>
    <w:rsid w:val="008364D1"/>
    <w:rsid w:val="008365FA"/>
    <w:rsid w:val="00836B32"/>
    <w:rsid w:val="00836D13"/>
    <w:rsid w:val="00837360"/>
    <w:rsid w:val="00840216"/>
    <w:rsid w:val="008423DC"/>
    <w:rsid w:val="0084476D"/>
    <w:rsid w:val="008455E2"/>
    <w:rsid w:val="00845C1B"/>
    <w:rsid w:val="00846756"/>
    <w:rsid w:val="00847210"/>
    <w:rsid w:val="00852289"/>
    <w:rsid w:val="00852BEC"/>
    <w:rsid w:val="0085405F"/>
    <w:rsid w:val="008554E0"/>
    <w:rsid w:val="008557BF"/>
    <w:rsid w:val="0085612E"/>
    <w:rsid w:val="00857734"/>
    <w:rsid w:val="00860AD1"/>
    <w:rsid w:val="00861151"/>
    <w:rsid w:val="008614CE"/>
    <w:rsid w:val="00862EAD"/>
    <w:rsid w:val="00863123"/>
    <w:rsid w:val="008631A0"/>
    <w:rsid w:val="00863E74"/>
    <w:rsid w:val="008674FC"/>
    <w:rsid w:val="008707A8"/>
    <w:rsid w:val="008710AA"/>
    <w:rsid w:val="00871C9E"/>
    <w:rsid w:val="00872C24"/>
    <w:rsid w:val="00874F33"/>
    <w:rsid w:val="00875509"/>
    <w:rsid w:val="008755FC"/>
    <w:rsid w:val="00877012"/>
    <w:rsid w:val="00877DD0"/>
    <w:rsid w:val="00880150"/>
    <w:rsid w:val="00880200"/>
    <w:rsid w:val="00881DD8"/>
    <w:rsid w:val="00881E5C"/>
    <w:rsid w:val="00883700"/>
    <w:rsid w:val="008838D9"/>
    <w:rsid w:val="00883D43"/>
    <w:rsid w:val="0088402A"/>
    <w:rsid w:val="00884429"/>
    <w:rsid w:val="00884869"/>
    <w:rsid w:val="00885E35"/>
    <w:rsid w:val="00886AB4"/>
    <w:rsid w:val="00886EB5"/>
    <w:rsid w:val="00887032"/>
    <w:rsid w:val="00887A13"/>
    <w:rsid w:val="00890094"/>
    <w:rsid w:val="008900A9"/>
    <w:rsid w:val="00891846"/>
    <w:rsid w:val="00891998"/>
    <w:rsid w:val="0089381A"/>
    <w:rsid w:val="0089420D"/>
    <w:rsid w:val="00894DDF"/>
    <w:rsid w:val="00896A16"/>
    <w:rsid w:val="00897034"/>
    <w:rsid w:val="008A0B51"/>
    <w:rsid w:val="008A251F"/>
    <w:rsid w:val="008A3D79"/>
    <w:rsid w:val="008A472C"/>
    <w:rsid w:val="008A6A1D"/>
    <w:rsid w:val="008A76B8"/>
    <w:rsid w:val="008B07E3"/>
    <w:rsid w:val="008B0D16"/>
    <w:rsid w:val="008B16EE"/>
    <w:rsid w:val="008B1734"/>
    <w:rsid w:val="008B182D"/>
    <w:rsid w:val="008B1AD1"/>
    <w:rsid w:val="008B222A"/>
    <w:rsid w:val="008B32B4"/>
    <w:rsid w:val="008B5474"/>
    <w:rsid w:val="008B54BA"/>
    <w:rsid w:val="008B7250"/>
    <w:rsid w:val="008B7505"/>
    <w:rsid w:val="008C10E6"/>
    <w:rsid w:val="008C3FEF"/>
    <w:rsid w:val="008C6C69"/>
    <w:rsid w:val="008C77AD"/>
    <w:rsid w:val="008C788E"/>
    <w:rsid w:val="008D01EE"/>
    <w:rsid w:val="008D1D10"/>
    <w:rsid w:val="008D2B01"/>
    <w:rsid w:val="008D359E"/>
    <w:rsid w:val="008D363F"/>
    <w:rsid w:val="008D3D50"/>
    <w:rsid w:val="008D4000"/>
    <w:rsid w:val="008D5E9E"/>
    <w:rsid w:val="008D60E3"/>
    <w:rsid w:val="008D7A92"/>
    <w:rsid w:val="008D7AA6"/>
    <w:rsid w:val="008E1DBC"/>
    <w:rsid w:val="008E2518"/>
    <w:rsid w:val="008E37C3"/>
    <w:rsid w:val="008E3936"/>
    <w:rsid w:val="008E7352"/>
    <w:rsid w:val="008E78AA"/>
    <w:rsid w:val="008F057F"/>
    <w:rsid w:val="008F08C4"/>
    <w:rsid w:val="008F1063"/>
    <w:rsid w:val="008F109C"/>
    <w:rsid w:val="008F2420"/>
    <w:rsid w:val="008F4880"/>
    <w:rsid w:val="008F54B8"/>
    <w:rsid w:val="008F5763"/>
    <w:rsid w:val="008F6435"/>
    <w:rsid w:val="008F6C63"/>
    <w:rsid w:val="008F7FD6"/>
    <w:rsid w:val="0090213B"/>
    <w:rsid w:val="00905B43"/>
    <w:rsid w:val="00905E18"/>
    <w:rsid w:val="00906D58"/>
    <w:rsid w:val="00907A93"/>
    <w:rsid w:val="00907EA9"/>
    <w:rsid w:val="009100B5"/>
    <w:rsid w:val="009102D4"/>
    <w:rsid w:val="00911D51"/>
    <w:rsid w:val="00914F6C"/>
    <w:rsid w:val="00916132"/>
    <w:rsid w:val="00916EE0"/>
    <w:rsid w:val="0091709B"/>
    <w:rsid w:val="009171F1"/>
    <w:rsid w:val="009177D9"/>
    <w:rsid w:val="00917844"/>
    <w:rsid w:val="00917F8D"/>
    <w:rsid w:val="00917F95"/>
    <w:rsid w:val="00920688"/>
    <w:rsid w:val="00921ADC"/>
    <w:rsid w:val="00921E28"/>
    <w:rsid w:val="009220C9"/>
    <w:rsid w:val="0092364B"/>
    <w:rsid w:val="009241C6"/>
    <w:rsid w:val="0092490D"/>
    <w:rsid w:val="00924E54"/>
    <w:rsid w:val="0092508E"/>
    <w:rsid w:val="009263BE"/>
    <w:rsid w:val="00926A7B"/>
    <w:rsid w:val="00926A8A"/>
    <w:rsid w:val="00931151"/>
    <w:rsid w:val="00931D02"/>
    <w:rsid w:val="00932F6C"/>
    <w:rsid w:val="00933A7E"/>
    <w:rsid w:val="00934E46"/>
    <w:rsid w:val="0093523C"/>
    <w:rsid w:val="0093544D"/>
    <w:rsid w:val="0093587E"/>
    <w:rsid w:val="00935E13"/>
    <w:rsid w:val="00935EFF"/>
    <w:rsid w:val="00936571"/>
    <w:rsid w:val="00937D70"/>
    <w:rsid w:val="009405E3"/>
    <w:rsid w:val="0094083A"/>
    <w:rsid w:val="00940D8C"/>
    <w:rsid w:val="00941CFE"/>
    <w:rsid w:val="00942FA1"/>
    <w:rsid w:val="009439AA"/>
    <w:rsid w:val="00944855"/>
    <w:rsid w:val="00947974"/>
    <w:rsid w:val="009518EA"/>
    <w:rsid w:val="00951947"/>
    <w:rsid w:val="00951E0E"/>
    <w:rsid w:val="00955B8E"/>
    <w:rsid w:val="00956565"/>
    <w:rsid w:val="0095676D"/>
    <w:rsid w:val="00956933"/>
    <w:rsid w:val="00956F93"/>
    <w:rsid w:val="00960BF6"/>
    <w:rsid w:val="009633B2"/>
    <w:rsid w:val="00963C80"/>
    <w:rsid w:val="009653F1"/>
    <w:rsid w:val="00965B76"/>
    <w:rsid w:val="0096630E"/>
    <w:rsid w:val="0096689D"/>
    <w:rsid w:val="009669B8"/>
    <w:rsid w:val="00967698"/>
    <w:rsid w:val="00970287"/>
    <w:rsid w:val="009706AD"/>
    <w:rsid w:val="00971C36"/>
    <w:rsid w:val="0097385B"/>
    <w:rsid w:val="009739B4"/>
    <w:rsid w:val="00973CEB"/>
    <w:rsid w:val="00974DB0"/>
    <w:rsid w:val="00974F76"/>
    <w:rsid w:val="00975959"/>
    <w:rsid w:val="00975C05"/>
    <w:rsid w:val="00976AE3"/>
    <w:rsid w:val="0098018E"/>
    <w:rsid w:val="00982DA1"/>
    <w:rsid w:val="00983CE1"/>
    <w:rsid w:val="009862CE"/>
    <w:rsid w:val="009869B6"/>
    <w:rsid w:val="009875B9"/>
    <w:rsid w:val="00990354"/>
    <w:rsid w:val="009906F1"/>
    <w:rsid w:val="009908C5"/>
    <w:rsid w:val="00992384"/>
    <w:rsid w:val="009925F1"/>
    <w:rsid w:val="00993EC6"/>
    <w:rsid w:val="00995BF7"/>
    <w:rsid w:val="0099632D"/>
    <w:rsid w:val="009963F9"/>
    <w:rsid w:val="00996A3E"/>
    <w:rsid w:val="009A31D6"/>
    <w:rsid w:val="009A7C08"/>
    <w:rsid w:val="009A7D7D"/>
    <w:rsid w:val="009B0B0B"/>
    <w:rsid w:val="009B0B6F"/>
    <w:rsid w:val="009B2647"/>
    <w:rsid w:val="009B3905"/>
    <w:rsid w:val="009B6069"/>
    <w:rsid w:val="009B7239"/>
    <w:rsid w:val="009C4F7F"/>
    <w:rsid w:val="009C5717"/>
    <w:rsid w:val="009C5A40"/>
    <w:rsid w:val="009C63A5"/>
    <w:rsid w:val="009C7E57"/>
    <w:rsid w:val="009D2F5A"/>
    <w:rsid w:val="009D4870"/>
    <w:rsid w:val="009D560E"/>
    <w:rsid w:val="009D56E0"/>
    <w:rsid w:val="009D5B72"/>
    <w:rsid w:val="009D67F9"/>
    <w:rsid w:val="009D6DD0"/>
    <w:rsid w:val="009E0B12"/>
    <w:rsid w:val="009E1296"/>
    <w:rsid w:val="009E19BC"/>
    <w:rsid w:val="009E33AF"/>
    <w:rsid w:val="009E3C28"/>
    <w:rsid w:val="009E4A86"/>
    <w:rsid w:val="009E4E47"/>
    <w:rsid w:val="009E5A08"/>
    <w:rsid w:val="009E5F3C"/>
    <w:rsid w:val="009E611D"/>
    <w:rsid w:val="009E64DD"/>
    <w:rsid w:val="009E759F"/>
    <w:rsid w:val="009E7BFE"/>
    <w:rsid w:val="009E7F0D"/>
    <w:rsid w:val="009F0051"/>
    <w:rsid w:val="009F0377"/>
    <w:rsid w:val="009F1102"/>
    <w:rsid w:val="009F440D"/>
    <w:rsid w:val="009F6876"/>
    <w:rsid w:val="009F7388"/>
    <w:rsid w:val="009F7C9B"/>
    <w:rsid w:val="00A015AD"/>
    <w:rsid w:val="00A02374"/>
    <w:rsid w:val="00A04C32"/>
    <w:rsid w:val="00A04D29"/>
    <w:rsid w:val="00A05F02"/>
    <w:rsid w:val="00A05F55"/>
    <w:rsid w:val="00A06591"/>
    <w:rsid w:val="00A06821"/>
    <w:rsid w:val="00A073A1"/>
    <w:rsid w:val="00A076F8"/>
    <w:rsid w:val="00A07768"/>
    <w:rsid w:val="00A11B0E"/>
    <w:rsid w:val="00A11C09"/>
    <w:rsid w:val="00A11D20"/>
    <w:rsid w:val="00A11E77"/>
    <w:rsid w:val="00A12963"/>
    <w:rsid w:val="00A132A7"/>
    <w:rsid w:val="00A1571B"/>
    <w:rsid w:val="00A165F6"/>
    <w:rsid w:val="00A17D65"/>
    <w:rsid w:val="00A17E60"/>
    <w:rsid w:val="00A2371F"/>
    <w:rsid w:val="00A24A99"/>
    <w:rsid w:val="00A24FF5"/>
    <w:rsid w:val="00A25FA7"/>
    <w:rsid w:val="00A26326"/>
    <w:rsid w:val="00A2652A"/>
    <w:rsid w:val="00A315AA"/>
    <w:rsid w:val="00A33AF1"/>
    <w:rsid w:val="00A34E9A"/>
    <w:rsid w:val="00A363E8"/>
    <w:rsid w:val="00A36D6A"/>
    <w:rsid w:val="00A40B18"/>
    <w:rsid w:val="00A41B36"/>
    <w:rsid w:val="00A4269E"/>
    <w:rsid w:val="00A42736"/>
    <w:rsid w:val="00A42EA0"/>
    <w:rsid w:val="00A43288"/>
    <w:rsid w:val="00A43B0E"/>
    <w:rsid w:val="00A45652"/>
    <w:rsid w:val="00A46D76"/>
    <w:rsid w:val="00A46DF8"/>
    <w:rsid w:val="00A471EB"/>
    <w:rsid w:val="00A4756F"/>
    <w:rsid w:val="00A50096"/>
    <w:rsid w:val="00A51CB6"/>
    <w:rsid w:val="00A52ADB"/>
    <w:rsid w:val="00A534CC"/>
    <w:rsid w:val="00A54CCE"/>
    <w:rsid w:val="00A54E31"/>
    <w:rsid w:val="00A55AC5"/>
    <w:rsid w:val="00A605D6"/>
    <w:rsid w:val="00A606E5"/>
    <w:rsid w:val="00A608B6"/>
    <w:rsid w:val="00A62319"/>
    <w:rsid w:val="00A637E2"/>
    <w:rsid w:val="00A63962"/>
    <w:rsid w:val="00A63AEA"/>
    <w:rsid w:val="00A64A2A"/>
    <w:rsid w:val="00A64DE3"/>
    <w:rsid w:val="00A65A04"/>
    <w:rsid w:val="00A6679C"/>
    <w:rsid w:val="00A66E70"/>
    <w:rsid w:val="00A6700C"/>
    <w:rsid w:val="00A70594"/>
    <w:rsid w:val="00A713BA"/>
    <w:rsid w:val="00A7199E"/>
    <w:rsid w:val="00A71E8A"/>
    <w:rsid w:val="00A735AD"/>
    <w:rsid w:val="00A73B88"/>
    <w:rsid w:val="00A73F68"/>
    <w:rsid w:val="00A74A48"/>
    <w:rsid w:val="00A75E29"/>
    <w:rsid w:val="00A761BB"/>
    <w:rsid w:val="00A76987"/>
    <w:rsid w:val="00A80159"/>
    <w:rsid w:val="00A80A8C"/>
    <w:rsid w:val="00A81759"/>
    <w:rsid w:val="00A82E1F"/>
    <w:rsid w:val="00A82F51"/>
    <w:rsid w:val="00A843F0"/>
    <w:rsid w:val="00A84ACE"/>
    <w:rsid w:val="00A855C5"/>
    <w:rsid w:val="00A859CF"/>
    <w:rsid w:val="00A86994"/>
    <w:rsid w:val="00A86D40"/>
    <w:rsid w:val="00A87FB5"/>
    <w:rsid w:val="00A9058A"/>
    <w:rsid w:val="00A9156E"/>
    <w:rsid w:val="00A91AAD"/>
    <w:rsid w:val="00A924FF"/>
    <w:rsid w:val="00A92F67"/>
    <w:rsid w:val="00A941EC"/>
    <w:rsid w:val="00A95A49"/>
    <w:rsid w:val="00A9673C"/>
    <w:rsid w:val="00A977A5"/>
    <w:rsid w:val="00AA026D"/>
    <w:rsid w:val="00AA162E"/>
    <w:rsid w:val="00AA1B14"/>
    <w:rsid w:val="00AA1BD0"/>
    <w:rsid w:val="00AA21C9"/>
    <w:rsid w:val="00AA23E3"/>
    <w:rsid w:val="00AA2D39"/>
    <w:rsid w:val="00AA49FF"/>
    <w:rsid w:val="00AA4C4B"/>
    <w:rsid w:val="00AA5428"/>
    <w:rsid w:val="00AA54D3"/>
    <w:rsid w:val="00AA700B"/>
    <w:rsid w:val="00AA77D1"/>
    <w:rsid w:val="00AA789B"/>
    <w:rsid w:val="00AB0AFF"/>
    <w:rsid w:val="00AB0B02"/>
    <w:rsid w:val="00AB1046"/>
    <w:rsid w:val="00AB17D8"/>
    <w:rsid w:val="00AB1ABE"/>
    <w:rsid w:val="00AB1BE4"/>
    <w:rsid w:val="00AB471E"/>
    <w:rsid w:val="00AB4E2C"/>
    <w:rsid w:val="00AB508D"/>
    <w:rsid w:val="00AB5317"/>
    <w:rsid w:val="00AB6930"/>
    <w:rsid w:val="00AB6B86"/>
    <w:rsid w:val="00AB6F9B"/>
    <w:rsid w:val="00AB761F"/>
    <w:rsid w:val="00AB7C95"/>
    <w:rsid w:val="00AC120F"/>
    <w:rsid w:val="00AC1DEF"/>
    <w:rsid w:val="00AC3C52"/>
    <w:rsid w:val="00AC67AE"/>
    <w:rsid w:val="00AC79FB"/>
    <w:rsid w:val="00AC7B74"/>
    <w:rsid w:val="00AD0CC9"/>
    <w:rsid w:val="00AD1695"/>
    <w:rsid w:val="00AD1E48"/>
    <w:rsid w:val="00AD2A6D"/>
    <w:rsid w:val="00AD3E98"/>
    <w:rsid w:val="00AD49F6"/>
    <w:rsid w:val="00AD5914"/>
    <w:rsid w:val="00AD5C8D"/>
    <w:rsid w:val="00AD5E8C"/>
    <w:rsid w:val="00AD64D2"/>
    <w:rsid w:val="00AD6594"/>
    <w:rsid w:val="00AD712A"/>
    <w:rsid w:val="00AD79E2"/>
    <w:rsid w:val="00AE1EF4"/>
    <w:rsid w:val="00AE23BB"/>
    <w:rsid w:val="00AE2F60"/>
    <w:rsid w:val="00AE62BF"/>
    <w:rsid w:val="00AE6A55"/>
    <w:rsid w:val="00AE6CDB"/>
    <w:rsid w:val="00AE7AC3"/>
    <w:rsid w:val="00AF0B66"/>
    <w:rsid w:val="00AF23CA"/>
    <w:rsid w:val="00AF31E4"/>
    <w:rsid w:val="00AF3DEE"/>
    <w:rsid w:val="00AF4D82"/>
    <w:rsid w:val="00B00B93"/>
    <w:rsid w:val="00B01945"/>
    <w:rsid w:val="00B02475"/>
    <w:rsid w:val="00B03A64"/>
    <w:rsid w:val="00B03B30"/>
    <w:rsid w:val="00B03E03"/>
    <w:rsid w:val="00B04E26"/>
    <w:rsid w:val="00B05BF9"/>
    <w:rsid w:val="00B06613"/>
    <w:rsid w:val="00B06E10"/>
    <w:rsid w:val="00B072EA"/>
    <w:rsid w:val="00B10273"/>
    <w:rsid w:val="00B10F32"/>
    <w:rsid w:val="00B112FD"/>
    <w:rsid w:val="00B1224A"/>
    <w:rsid w:val="00B128B2"/>
    <w:rsid w:val="00B16A69"/>
    <w:rsid w:val="00B17780"/>
    <w:rsid w:val="00B177B5"/>
    <w:rsid w:val="00B17D08"/>
    <w:rsid w:val="00B20BB0"/>
    <w:rsid w:val="00B2158F"/>
    <w:rsid w:val="00B21D8E"/>
    <w:rsid w:val="00B24F7C"/>
    <w:rsid w:val="00B253A6"/>
    <w:rsid w:val="00B26BF0"/>
    <w:rsid w:val="00B27947"/>
    <w:rsid w:val="00B27B73"/>
    <w:rsid w:val="00B31724"/>
    <w:rsid w:val="00B31BFC"/>
    <w:rsid w:val="00B31F74"/>
    <w:rsid w:val="00B3203C"/>
    <w:rsid w:val="00B3212C"/>
    <w:rsid w:val="00B35B9C"/>
    <w:rsid w:val="00B41177"/>
    <w:rsid w:val="00B415D1"/>
    <w:rsid w:val="00B41717"/>
    <w:rsid w:val="00B4253B"/>
    <w:rsid w:val="00B42EFB"/>
    <w:rsid w:val="00B43ADA"/>
    <w:rsid w:val="00B44F34"/>
    <w:rsid w:val="00B452A1"/>
    <w:rsid w:val="00B45EFE"/>
    <w:rsid w:val="00B47620"/>
    <w:rsid w:val="00B51D91"/>
    <w:rsid w:val="00B52AE3"/>
    <w:rsid w:val="00B539A5"/>
    <w:rsid w:val="00B545A5"/>
    <w:rsid w:val="00B55791"/>
    <w:rsid w:val="00B55B2D"/>
    <w:rsid w:val="00B55BDB"/>
    <w:rsid w:val="00B56C70"/>
    <w:rsid w:val="00B57BEF"/>
    <w:rsid w:val="00B62517"/>
    <w:rsid w:val="00B64C76"/>
    <w:rsid w:val="00B64FD0"/>
    <w:rsid w:val="00B65077"/>
    <w:rsid w:val="00B6593C"/>
    <w:rsid w:val="00B65A75"/>
    <w:rsid w:val="00B6621D"/>
    <w:rsid w:val="00B67091"/>
    <w:rsid w:val="00B672E2"/>
    <w:rsid w:val="00B67787"/>
    <w:rsid w:val="00B67FAE"/>
    <w:rsid w:val="00B70911"/>
    <w:rsid w:val="00B70C07"/>
    <w:rsid w:val="00B714AE"/>
    <w:rsid w:val="00B7162A"/>
    <w:rsid w:val="00B7281E"/>
    <w:rsid w:val="00B73191"/>
    <w:rsid w:val="00B7330F"/>
    <w:rsid w:val="00B73476"/>
    <w:rsid w:val="00B746BD"/>
    <w:rsid w:val="00B74776"/>
    <w:rsid w:val="00B75F55"/>
    <w:rsid w:val="00B760E6"/>
    <w:rsid w:val="00B7617D"/>
    <w:rsid w:val="00B76B04"/>
    <w:rsid w:val="00B8089B"/>
    <w:rsid w:val="00B80CB9"/>
    <w:rsid w:val="00B818CE"/>
    <w:rsid w:val="00B827AD"/>
    <w:rsid w:val="00B842CE"/>
    <w:rsid w:val="00B8574D"/>
    <w:rsid w:val="00B85C8E"/>
    <w:rsid w:val="00B8653E"/>
    <w:rsid w:val="00B87E42"/>
    <w:rsid w:val="00B91368"/>
    <w:rsid w:val="00B94180"/>
    <w:rsid w:val="00B94991"/>
    <w:rsid w:val="00B95A4F"/>
    <w:rsid w:val="00B971F9"/>
    <w:rsid w:val="00B974D0"/>
    <w:rsid w:val="00B97FD0"/>
    <w:rsid w:val="00BA0352"/>
    <w:rsid w:val="00BA0754"/>
    <w:rsid w:val="00BA16F1"/>
    <w:rsid w:val="00BA31C6"/>
    <w:rsid w:val="00BA31CA"/>
    <w:rsid w:val="00BA34E5"/>
    <w:rsid w:val="00BA4871"/>
    <w:rsid w:val="00BA7178"/>
    <w:rsid w:val="00BB0D31"/>
    <w:rsid w:val="00BB355B"/>
    <w:rsid w:val="00BB37C2"/>
    <w:rsid w:val="00BB4A21"/>
    <w:rsid w:val="00BB63E0"/>
    <w:rsid w:val="00BB661A"/>
    <w:rsid w:val="00BB6CDE"/>
    <w:rsid w:val="00BB7073"/>
    <w:rsid w:val="00BC0109"/>
    <w:rsid w:val="00BC0A5C"/>
    <w:rsid w:val="00BC1BE9"/>
    <w:rsid w:val="00BC32C8"/>
    <w:rsid w:val="00BC3918"/>
    <w:rsid w:val="00BC3C12"/>
    <w:rsid w:val="00BC40C2"/>
    <w:rsid w:val="00BC7136"/>
    <w:rsid w:val="00BD0957"/>
    <w:rsid w:val="00BD1213"/>
    <w:rsid w:val="00BD2B97"/>
    <w:rsid w:val="00BD3D1E"/>
    <w:rsid w:val="00BD4261"/>
    <w:rsid w:val="00BD5D8B"/>
    <w:rsid w:val="00BD5E7C"/>
    <w:rsid w:val="00BD724A"/>
    <w:rsid w:val="00BD7C83"/>
    <w:rsid w:val="00BE073E"/>
    <w:rsid w:val="00BE0DA9"/>
    <w:rsid w:val="00BE0E15"/>
    <w:rsid w:val="00BE12BF"/>
    <w:rsid w:val="00BE309C"/>
    <w:rsid w:val="00BE325C"/>
    <w:rsid w:val="00BE375B"/>
    <w:rsid w:val="00BE442B"/>
    <w:rsid w:val="00BE47FF"/>
    <w:rsid w:val="00BE72E0"/>
    <w:rsid w:val="00BF0834"/>
    <w:rsid w:val="00BF2307"/>
    <w:rsid w:val="00BF26F4"/>
    <w:rsid w:val="00BF278F"/>
    <w:rsid w:val="00BF2A8E"/>
    <w:rsid w:val="00BF32DE"/>
    <w:rsid w:val="00BF34BC"/>
    <w:rsid w:val="00BF36BE"/>
    <w:rsid w:val="00BF437B"/>
    <w:rsid w:val="00BF5E3B"/>
    <w:rsid w:val="00BF6A1D"/>
    <w:rsid w:val="00BF6DBF"/>
    <w:rsid w:val="00C00023"/>
    <w:rsid w:val="00C007A4"/>
    <w:rsid w:val="00C018BE"/>
    <w:rsid w:val="00C02341"/>
    <w:rsid w:val="00C02BE4"/>
    <w:rsid w:val="00C03585"/>
    <w:rsid w:val="00C03CDA"/>
    <w:rsid w:val="00C03F31"/>
    <w:rsid w:val="00C04033"/>
    <w:rsid w:val="00C046D8"/>
    <w:rsid w:val="00C04D04"/>
    <w:rsid w:val="00C062BD"/>
    <w:rsid w:val="00C063C9"/>
    <w:rsid w:val="00C104F7"/>
    <w:rsid w:val="00C10BCF"/>
    <w:rsid w:val="00C11890"/>
    <w:rsid w:val="00C11E7B"/>
    <w:rsid w:val="00C12394"/>
    <w:rsid w:val="00C12540"/>
    <w:rsid w:val="00C139A3"/>
    <w:rsid w:val="00C13FF7"/>
    <w:rsid w:val="00C142FB"/>
    <w:rsid w:val="00C14F32"/>
    <w:rsid w:val="00C16515"/>
    <w:rsid w:val="00C16DA4"/>
    <w:rsid w:val="00C171CE"/>
    <w:rsid w:val="00C20644"/>
    <w:rsid w:val="00C20DC2"/>
    <w:rsid w:val="00C21A67"/>
    <w:rsid w:val="00C240A8"/>
    <w:rsid w:val="00C2491B"/>
    <w:rsid w:val="00C24989"/>
    <w:rsid w:val="00C24B18"/>
    <w:rsid w:val="00C25827"/>
    <w:rsid w:val="00C25C37"/>
    <w:rsid w:val="00C26F3E"/>
    <w:rsid w:val="00C32380"/>
    <w:rsid w:val="00C3271F"/>
    <w:rsid w:val="00C3295C"/>
    <w:rsid w:val="00C32969"/>
    <w:rsid w:val="00C33536"/>
    <w:rsid w:val="00C34C53"/>
    <w:rsid w:val="00C35D50"/>
    <w:rsid w:val="00C36646"/>
    <w:rsid w:val="00C36E44"/>
    <w:rsid w:val="00C400E6"/>
    <w:rsid w:val="00C40FDA"/>
    <w:rsid w:val="00C41810"/>
    <w:rsid w:val="00C41BB1"/>
    <w:rsid w:val="00C428F0"/>
    <w:rsid w:val="00C434DF"/>
    <w:rsid w:val="00C439A3"/>
    <w:rsid w:val="00C44787"/>
    <w:rsid w:val="00C45A82"/>
    <w:rsid w:val="00C46BCB"/>
    <w:rsid w:val="00C46D7B"/>
    <w:rsid w:val="00C47AB0"/>
    <w:rsid w:val="00C50660"/>
    <w:rsid w:val="00C513C0"/>
    <w:rsid w:val="00C519B9"/>
    <w:rsid w:val="00C53433"/>
    <w:rsid w:val="00C538F0"/>
    <w:rsid w:val="00C53F22"/>
    <w:rsid w:val="00C5501D"/>
    <w:rsid w:val="00C556D4"/>
    <w:rsid w:val="00C600F7"/>
    <w:rsid w:val="00C600FE"/>
    <w:rsid w:val="00C6041A"/>
    <w:rsid w:val="00C61B22"/>
    <w:rsid w:val="00C62502"/>
    <w:rsid w:val="00C63B5B"/>
    <w:rsid w:val="00C63E7B"/>
    <w:rsid w:val="00C63F73"/>
    <w:rsid w:val="00C64760"/>
    <w:rsid w:val="00C65523"/>
    <w:rsid w:val="00C65B40"/>
    <w:rsid w:val="00C66C01"/>
    <w:rsid w:val="00C67374"/>
    <w:rsid w:val="00C743F6"/>
    <w:rsid w:val="00C745FA"/>
    <w:rsid w:val="00C75CEA"/>
    <w:rsid w:val="00C80896"/>
    <w:rsid w:val="00C83E6C"/>
    <w:rsid w:val="00C844E8"/>
    <w:rsid w:val="00C8764F"/>
    <w:rsid w:val="00C87744"/>
    <w:rsid w:val="00C87A11"/>
    <w:rsid w:val="00C931EA"/>
    <w:rsid w:val="00C949BC"/>
    <w:rsid w:val="00C959E9"/>
    <w:rsid w:val="00CA04D0"/>
    <w:rsid w:val="00CA0D7B"/>
    <w:rsid w:val="00CA2178"/>
    <w:rsid w:val="00CA439A"/>
    <w:rsid w:val="00CA4CEB"/>
    <w:rsid w:val="00CA5612"/>
    <w:rsid w:val="00CA5F65"/>
    <w:rsid w:val="00CA67E8"/>
    <w:rsid w:val="00CA6A4E"/>
    <w:rsid w:val="00CA6D07"/>
    <w:rsid w:val="00CA7FDC"/>
    <w:rsid w:val="00CB03C8"/>
    <w:rsid w:val="00CB0777"/>
    <w:rsid w:val="00CB093F"/>
    <w:rsid w:val="00CB12CB"/>
    <w:rsid w:val="00CB2150"/>
    <w:rsid w:val="00CB332F"/>
    <w:rsid w:val="00CB4490"/>
    <w:rsid w:val="00CB4AC0"/>
    <w:rsid w:val="00CB4C09"/>
    <w:rsid w:val="00CB4F5E"/>
    <w:rsid w:val="00CB54DD"/>
    <w:rsid w:val="00CB67A3"/>
    <w:rsid w:val="00CB6B0B"/>
    <w:rsid w:val="00CB7E71"/>
    <w:rsid w:val="00CB7E94"/>
    <w:rsid w:val="00CC09C9"/>
    <w:rsid w:val="00CC09E4"/>
    <w:rsid w:val="00CC0C8E"/>
    <w:rsid w:val="00CC2A34"/>
    <w:rsid w:val="00CC3006"/>
    <w:rsid w:val="00CC33EA"/>
    <w:rsid w:val="00CC4845"/>
    <w:rsid w:val="00CC4C63"/>
    <w:rsid w:val="00CC5767"/>
    <w:rsid w:val="00CC6373"/>
    <w:rsid w:val="00CC6D02"/>
    <w:rsid w:val="00CD02A0"/>
    <w:rsid w:val="00CD0E61"/>
    <w:rsid w:val="00CD1232"/>
    <w:rsid w:val="00CD163D"/>
    <w:rsid w:val="00CD1B42"/>
    <w:rsid w:val="00CD2E96"/>
    <w:rsid w:val="00CD307A"/>
    <w:rsid w:val="00CD3D75"/>
    <w:rsid w:val="00CD4E4C"/>
    <w:rsid w:val="00CD677E"/>
    <w:rsid w:val="00CD6FEA"/>
    <w:rsid w:val="00CD719C"/>
    <w:rsid w:val="00CD7A4E"/>
    <w:rsid w:val="00CE008D"/>
    <w:rsid w:val="00CE0CA0"/>
    <w:rsid w:val="00CE1EDE"/>
    <w:rsid w:val="00CE562C"/>
    <w:rsid w:val="00CE60EC"/>
    <w:rsid w:val="00CE6961"/>
    <w:rsid w:val="00CF3A13"/>
    <w:rsid w:val="00CF423C"/>
    <w:rsid w:val="00CF63D7"/>
    <w:rsid w:val="00CF6648"/>
    <w:rsid w:val="00D00B23"/>
    <w:rsid w:val="00D04E9C"/>
    <w:rsid w:val="00D05D4C"/>
    <w:rsid w:val="00D0621E"/>
    <w:rsid w:val="00D06344"/>
    <w:rsid w:val="00D063A5"/>
    <w:rsid w:val="00D06424"/>
    <w:rsid w:val="00D069A0"/>
    <w:rsid w:val="00D069EA"/>
    <w:rsid w:val="00D074C5"/>
    <w:rsid w:val="00D07A64"/>
    <w:rsid w:val="00D07A80"/>
    <w:rsid w:val="00D1043A"/>
    <w:rsid w:val="00D14007"/>
    <w:rsid w:val="00D16EFD"/>
    <w:rsid w:val="00D20390"/>
    <w:rsid w:val="00D20A6E"/>
    <w:rsid w:val="00D22CCD"/>
    <w:rsid w:val="00D23C7A"/>
    <w:rsid w:val="00D2461E"/>
    <w:rsid w:val="00D2497C"/>
    <w:rsid w:val="00D25205"/>
    <w:rsid w:val="00D25A4E"/>
    <w:rsid w:val="00D26534"/>
    <w:rsid w:val="00D265AC"/>
    <w:rsid w:val="00D271EB"/>
    <w:rsid w:val="00D27306"/>
    <w:rsid w:val="00D27C55"/>
    <w:rsid w:val="00D31098"/>
    <w:rsid w:val="00D33569"/>
    <w:rsid w:val="00D342B8"/>
    <w:rsid w:val="00D4025D"/>
    <w:rsid w:val="00D41DB6"/>
    <w:rsid w:val="00D43C33"/>
    <w:rsid w:val="00D4551C"/>
    <w:rsid w:val="00D46331"/>
    <w:rsid w:val="00D46577"/>
    <w:rsid w:val="00D4789F"/>
    <w:rsid w:val="00D512A5"/>
    <w:rsid w:val="00D51CCC"/>
    <w:rsid w:val="00D52DB9"/>
    <w:rsid w:val="00D53E1D"/>
    <w:rsid w:val="00D54128"/>
    <w:rsid w:val="00D547DD"/>
    <w:rsid w:val="00D54DBE"/>
    <w:rsid w:val="00D562DC"/>
    <w:rsid w:val="00D56543"/>
    <w:rsid w:val="00D56D74"/>
    <w:rsid w:val="00D60F33"/>
    <w:rsid w:val="00D63103"/>
    <w:rsid w:val="00D63A87"/>
    <w:rsid w:val="00D63E6A"/>
    <w:rsid w:val="00D6464A"/>
    <w:rsid w:val="00D64E58"/>
    <w:rsid w:val="00D663B7"/>
    <w:rsid w:val="00D67E45"/>
    <w:rsid w:val="00D7095D"/>
    <w:rsid w:val="00D713AA"/>
    <w:rsid w:val="00D71BFA"/>
    <w:rsid w:val="00D73259"/>
    <w:rsid w:val="00D74872"/>
    <w:rsid w:val="00D75492"/>
    <w:rsid w:val="00D762AD"/>
    <w:rsid w:val="00D76BB4"/>
    <w:rsid w:val="00D76D16"/>
    <w:rsid w:val="00D76FE5"/>
    <w:rsid w:val="00D77888"/>
    <w:rsid w:val="00D819EA"/>
    <w:rsid w:val="00D81EBB"/>
    <w:rsid w:val="00D82E03"/>
    <w:rsid w:val="00D83106"/>
    <w:rsid w:val="00D847F6"/>
    <w:rsid w:val="00D8487D"/>
    <w:rsid w:val="00D851B5"/>
    <w:rsid w:val="00D9050C"/>
    <w:rsid w:val="00D91C5F"/>
    <w:rsid w:val="00D9223A"/>
    <w:rsid w:val="00D922BC"/>
    <w:rsid w:val="00D9259E"/>
    <w:rsid w:val="00D92FCA"/>
    <w:rsid w:val="00D93579"/>
    <w:rsid w:val="00D9361D"/>
    <w:rsid w:val="00D94915"/>
    <w:rsid w:val="00D94B0F"/>
    <w:rsid w:val="00D95E3B"/>
    <w:rsid w:val="00D96317"/>
    <w:rsid w:val="00D974D0"/>
    <w:rsid w:val="00DA0273"/>
    <w:rsid w:val="00DA02E7"/>
    <w:rsid w:val="00DA0AA0"/>
    <w:rsid w:val="00DA0C67"/>
    <w:rsid w:val="00DA1671"/>
    <w:rsid w:val="00DA1E44"/>
    <w:rsid w:val="00DA1F2C"/>
    <w:rsid w:val="00DA2116"/>
    <w:rsid w:val="00DA236B"/>
    <w:rsid w:val="00DA24E8"/>
    <w:rsid w:val="00DA2E26"/>
    <w:rsid w:val="00DA37AD"/>
    <w:rsid w:val="00DA4C15"/>
    <w:rsid w:val="00DA6E09"/>
    <w:rsid w:val="00DA7602"/>
    <w:rsid w:val="00DA7FD9"/>
    <w:rsid w:val="00DB092D"/>
    <w:rsid w:val="00DB1978"/>
    <w:rsid w:val="00DB1E23"/>
    <w:rsid w:val="00DB27FE"/>
    <w:rsid w:val="00DB2E39"/>
    <w:rsid w:val="00DB3D68"/>
    <w:rsid w:val="00DB50CB"/>
    <w:rsid w:val="00DB540D"/>
    <w:rsid w:val="00DB689E"/>
    <w:rsid w:val="00DB6B85"/>
    <w:rsid w:val="00DC0864"/>
    <w:rsid w:val="00DC0E83"/>
    <w:rsid w:val="00DC144D"/>
    <w:rsid w:val="00DC157A"/>
    <w:rsid w:val="00DC177D"/>
    <w:rsid w:val="00DC1EA9"/>
    <w:rsid w:val="00DC3489"/>
    <w:rsid w:val="00DC39F8"/>
    <w:rsid w:val="00DC3EDD"/>
    <w:rsid w:val="00DC4127"/>
    <w:rsid w:val="00DC4DFD"/>
    <w:rsid w:val="00DC5428"/>
    <w:rsid w:val="00DC670E"/>
    <w:rsid w:val="00DC67CA"/>
    <w:rsid w:val="00DC72E5"/>
    <w:rsid w:val="00DC79D1"/>
    <w:rsid w:val="00DD09F9"/>
    <w:rsid w:val="00DD4121"/>
    <w:rsid w:val="00DD49B3"/>
    <w:rsid w:val="00DD4B0F"/>
    <w:rsid w:val="00DD4C16"/>
    <w:rsid w:val="00DD5A9B"/>
    <w:rsid w:val="00DD5AF6"/>
    <w:rsid w:val="00DD6423"/>
    <w:rsid w:val="00DD67E7"/>
    <w:rsid w:val="00DD6C0C"/>
    <w:rsid w:val="00DE028C"/>
    <w:rsid w:val="00DE044A"/>
    <w:rsid w:val="00DE0452"/>
    <w:rsid w:val="00DE07CC"/>
    <w:rsid w:val="00DE0F8C"/>
    <w:rsid w:val="00DE111B"/>
    <w:rsid w:val="00DE198C"/>
    <w:rsid w:val="00DE1B64"/>
    <w:rsid w:val="00DE5028"/>
    <w:rsid w:val="00DE6837"/>
    <w:rsid w:val="00DE7BF9"/>
    <w:rsid w:val="00DE7EAC"/>
    <w:rsid w:val="00DF0F05"/>
    <w:rsid w:val="00DF1A9A"/>
    <w:rsid w:val="00DF4CA3"/>
    <w:rsid w:val="00DF52BD"/>
    <w:rsid w:val="00DF5968"/>
    <w:rsid w:val="00DF76C5"/>
    <w:rsid w:val="00DF7A46"/>
    <w:rsid w:val="00E00C93"/>
    <w:rsid w:val="00E0124F"/>
    <w:rsid w:val="00E0354E"/>
    <w:rsid w:val="00E0423B"/>
    <w:rsid w:val="00E042BB"/>
    <w:rsid w:val="00E04B8B"/>
    <w:rsid w:val="00E04CB5"/>
    <w:rsid w:val="00E04DAB"/>
    <w:rsid w:val="00E0574E"/>
    <w:rsid w:val="00E05B5E"/>
    <w:rsid w:val="00E05FDB"/>
    <w:rsid w:val="00E06742"/>
    <w:rsid w:val="00E07B67"/>
    <w:rsid w:val="00E13027"/>
    <w:rsid w:val="00E13A21"/>
    <w:rsid w:val="00E13AD4"/>
    <w:rsid w:val="00E15FB6"/>
    <w:rsid w:val="00E16B20"/>
    <w:rsid w:val="00E2081D"/>
    <w:rsid w:val="00E213B2"/>
    <w:rsid w:val="00E21EFB"/>
    <w:rsid w:val="00E22106"/>
    <w:rsid w:val="00E22555"/>
    <w:rsid w:val="00E230F9"/>
    <w:rsid w:val="00E23810"/>
    <w:rsid w:val="00E24B76"/>
    <w:rsid w:val="00E25C13"/>
    <w:rsid w:val="00E27052"/>
    <w:rsid w:val="00E30A1B"/>
    <w:rsid w:val="00E30F49"/>
    <w:rsid w:val="00E30F6C"/>
    <w:rsid w:val="00E32D1E"/>
    <w:rsid w:val="00E33C75"/>
    <w:rsid w:val="00E346B0"/>
    <w:rsid w:val="00E35631"/>
    <w:rsid w:val="00E359DA"/>
    <w:rsid w:val="00E3632E"/>
    <w:rsid w:val="00E366F7"/>
    <w:rsid w:val="00E36EA5"/>
    <w:rsid w:val="00E375B1"/>
    <w:rsid w:val="00E404D2"/>
    <w:rsid w:val="00E41618"/>
    <w:rsid w:val="00E42281"/>
    <w:rsid w:val="00E422D7"/>
    <w:rsid w:val="00E4371F"/>
    <w:rsid w:val="00E43940"/>
    <w:rsid w:val="00E4522C"/>
    <w:rsid w:val="00E46D63"/>
    <w:rsid w:val="00E47F7A"/>
    <w:rsid w:val="00E5194C"/>
    <w:rsid w:val="00E54458"/>
    <w:rsid w:val="00E55A1E"/>
    <w:rsid w:val="00E57724"/>
    <w:rsid w:val="00E6061C"/>
    <w:rsid w:val="00E60F22"/>
    <w:rsid w:val="00E61489"/>
    <w:rsid w:val="00E61B12"/>
    <w:rsid w:val="00E6264C"/>
    <w:rsid w:val="00E629AB"/>
    <w:rsid w:val="00E62EC2"/>
    <w:rsid w:val="00E63077"/>
    <w:rsid w:val="00E63EB7"/>
    <w:rsid w:val="00E64FE8"/>
    <w:rsid w:val="00E65D2A"/>
    <w:rsid w:val="00E6608E"/>
    <w:rsid w:val="00E66298"/>
    <w:rsid w:val="00E66E40"/>
    <w:rsid w:val="00E6768B"/>
    <w:rsid w:val="00E704C6"/>
    <w:rsid w:val="00E72A16"/>
    <w:rsid w:val="00E7356B"/>
    <w:rsid w:val="00E737A2"/>
    <w:rsid w:val="00E73CC7"/>
    <w:rsid w:val="00E73D8F"/>
    <w:rsid w:val="00E76E3C"/>
    <w:rsid w:val="00E77983"/>
    <w:rsid w:val="00E8152C"/>
    <w:rsid w:val="00E81B08"/>
    <w:rsid w:val="00E8315F"/>
    <w:rsid w:val="00E837F4"/>
    <w:rsid w:val="00E8394D"/>
    <w:rsid w:val="00E83ABD"/>
    <w:rsid w:val="00E856CF"/>
    <w:rsid w:val="00E85B23"/>
    <w:rsid w:val="00E85C1A"/>
    <w:rsid w:val="00E863AD"/>
    <w:rsid w:val="00E86A80"/>
    <w:rsid w:val="00E86F9D"/>
    <w:rsid w:val="00E87AD4"/>
    <w:rsid w:val="00E87C01"/>
    <w:rsid w:val="00E87E8C"/>
    <w:rsid w:val="00E909F2"/>
    <w:rsid w:val="00E90FB0"/>
    <w:rsid w:val="00E929E4"/>
    <w:rsid w:val="00E93BBD"/>
    <w:rsid w:val="00E9501A"/>
    <w:rsid w:val="00E97D4F"/>
    <w:rsid w:val="00EA0614"/>
    <w:rsid w:val="00EA0E6D"/>
    <w:rsid w:val="00EA1254"/>
    <w:rsid w:val="00EA1884"/>
    <w:rsid w:val="00EA1C28"/>
    <w:rsid w:val="00EA5CEF"/>
    <w:rsid w:val="00EA6C1F"/>
    <w:rsid w:val="00EB007E"/>
    <w:rsid w:val="00EB114E"/>
    <w:rsid w:val="00EB3021"/>
    <w:rsid w:val="00EB73B7"/>
    <w:rsid w:val="00EB7AFB"/>
    <w:rsid w:val="00EC03A0"/>
    <w:rsid w:val="00EC058A"/>
    <w:rsid w:val="00EC1AA6"/>
    <w:rsid w:val="00EC1C24"/>
    <w:rsid w:val="00EC1FCB"/>
    <w:rsid w:val="00EC29C5"/>
    <w:rsid w:val="00EC3BC0"/>
    <w:rsid w:val="00EC455F"/>
    <w:rsid w:val="00EC5626"/>
    <w:rsid w:val="00EC602A"/>
    <w:rsid w:val="00EC7D11"/>
    <w:rsid w:val="00ED0DFC"/>
    <w:rsid w:val="00ED23A5"/>
    <w:rsid w:val="00ED28B3"/>
    <w:rsid w:val="00ED4763"/>
    <w:rsid w:val="00ED6DCE"/>
    <w:rsid w:val="00ED725F"/>
    <w:rsid w:val="00EE1894"/>
    <w:rsid w:val="00EE1A0B"/>
    <w:rsid w:val="00EE2943"/>
    <w:rsid w:val="00EE52DD"/>
    <w:rsid w:val="00EF0FD8"/>
    <w:rsid w:val="00EF1173"/>
    <w:rsid w:val="00EF1A40"/>
    <w:rsid w:val="00EF240A"/>
    <w:rsid w:val="00EF4288"/>
    <w:rsid w:val="00EF46BF"/>
    <w:rsid w:val="00EF659A"/>
    <w:rsid w:val="00EF7403"/>
    <w:rsid w:val="00EF754A"/>
    <w:rsid w:val="00EF7EA4"/>
    <w:rsid w:val="00F00084"/>
    <w:rsid w:val="00F011A8"/>
    <w:rsid w:val="00F01314"/>
    <w:rsid w:val="00F027F0"/>
    <w:rsid w:val="00F02E9F"/>
    <w:rsid w:val="00F03785"/>
    <w:rsid w:val="00F03F84"/>
    <w:rsid w:val="00F043FC"/>
    <w:rsid w:val="00F05021"/>
    <w:rsid w:val="00F05222"/>
    <w:rsid w:val="00F065BB"/>
    <w:rsid w:val="00F06606"/>
    <w:rsid w:val="00F0666A"/>
    <w:rsid w:val="00F12B9F"/>
    <w:rsid w:val="00F12DD8"/>
    <w:rsid w:val="00F14BAF"/>
    <w:rsid w:val="00F1511B"/>
    <w:rsid w:val="00F15FC3"/>
    <w:rsid w:val="00F17917"/>
    <w:rsid w:val="00F20551"/>
    <w:rsid w:val="00F20C8D"/>
    <w:rsid w:val="00F21227"/>
    <w:rsid w:val="00F218C1"/>
    <w:rsid w:val="00F21F7B"/>
    <w:rsid w:val="00F247ED"/>
    <w:rsid w:val="00F24863"/>
    <w:rsid w:val="00F24B1B"/>
    <w:rsid w:val="00F2728A"/>
    <w:rsid w:val="00F27A09"/>
    <w:rsid w:val="00F303E5"/>
    <w:rsid w:val="00F31304"/>
    <w:rsid w:val="00F31F20"/>
    <w:rsid w:val="00F32EAE"/>
    <w:rsid w:val="00F334DB"/>
    <w:rsid w:val="00F33F39"/>
    <w:rsid w:val="00F34C94"/>
    <w:rsid w:val="00F350FC"/>
    <w:rsid w:val="00F37B9B"/>
    <w:rsid w:val="00F37E9A"/>
    <w:rsid w:val="00F40E04"/>
    <w:rsid w:val="00F42CF5"/>
    <w:rsid w:val="00F434ED"/>
    <w:rsid w:val="00F43885"/>
    <w:rsid w:val="00F43C4E"/>
    <w:rsid w:val="00F43F8E"/>
    <w:rsid w:val="00F44451"/>
    <w:rsid w:val="00F44888"/>
    <w:rsid w:val="00F44EB5"/>
    <w:rsid w:val="00F46752"/>
    <w:rsid w:val="00F47649"/>
    <w:rsid w:val="00F50763"/>
    <w:rsid w:val="00F50B3E"/>
    <w:rsid w:val="00F514FD"/>
    <w:rsid w:val="00F53333"/>
    <w:rsid w:val="00F54622"/>
    <w:rsid w:val="00F54901"/>
    <w:rsid w:val="00F55907"/>
    <w:rsid w:val="00F56166"/>
    <w:rsid w:val="00F56777"/>
    <w:rsid w:val="00F56D81"/>
    <w:rsid w:val="00F60209"/>
    <w:rsid w:val="00F60702"/>
    <w:rsid w:val="00F60B06"/>
    <w:rsid w:val="00F610DD"/>
    <w:rsid w:val="00F62721"/>
    <w:rsid w:val="00F62B7E"/>
    <w:rsid w:val="00F63C60"/>
    <w:rsid w:val="00F63E03"/>
    <w:rsid w:val="00F665DA"/>
    <w:rsid w:val="00F668F7"/>
    <w:rsid w:val="00F67709"/>
    <w:rsid w:val="00F7056E"/>
    <w:rsid w:val="00F74B0C"/>
    <w:rsid w:val="00F74BD5"/>
    <w:rsid w:val="00F74BF6"/>
    <w:rsid w:val="00F74C96"/>
    <w:rsid w:val="00F74E14"/>
    <w:rsid w:val="00F75794"/>
    <w:rsid w:val="00F75D9E"/>
    <w:rsid w:val="00F8152E"/>
    <w:rsid w:val="00F81E2D"/>
    <w:rsid w:val="00F821EE"/>
    <w:rsid w:val="00F8263A"/>
    <w:rsid w:val="00F82AC2"/>
    <w:rsid w:val="00F8308D"/>
    <w:rsid w:val="00F83A99"/>
    <w:rsid w:val="00F848AC"/>
    <w:rsid w:val="00F8648F"/>
    <w:rsid w:val="00F86ED8"/>
    <w:rsid w:val="00F909FB"/>
    <w:rsid w:val="00F92204"/>
    <w:rsid w:val="00F92DEA"/>
    <w:rsid w:val="00F935A1"/>
    <w:rsid w:val="00F94152"/>
    <w:rsid w:val="00F943E1"/>
    <w:rsid w:val="00F96101"/>
    <w:rsid w:val="00F96C4E"/>
    <w:rsid w:val="00F97A49"/>
    <w:rsid w:val="00FA101E"/>
    <w:rsid w:val="00FA2E1C"/>
    <w:rsid w:val="00FA4D27"/>
    <w:rsid w:val="00FA5644"/>
    <w:rsid w:val="00FA5678"/>
    <w:rsid w:val="00FA5BFF"/>
    <w:rsid w:val="00FA71C1"/>
    <w:rsid w:val="00FA72F6"/>
    <w:rsid w:val="00FB0831"/>
    <w:rsid w:val="00FB12BA"/>
    <w:rsid w:val="00FB217B"/>
    <w:rsid w:val="00FB22AE"/>
    <w:rsid w:val="00FB24B7"/>
    <w:rsid w:val="00FB3F18"/>
    <w:rsid w:val="00FB47FE"/>
    <w:rsid w:val="00FB5F0C"/>
    <w:rsid w:val="00FB6908"/>
    <w:rsid w:val="00FB78A3"/>
    <w:rsid w:val="00FC12F5"/>
    <w:rsid w:val="00FC1949"/>
    <w:rsid w:val="00FC1CF1"/>
    <w:rsid w:val="00FC359A"/>
    <w:rsid w:val="00FC3725"/>
    <w:rsid w:val="00FC61BE"/>
    <w:rsid w:val="00FC6A96"/>
    <w:rsid w:val="00FD03C8"/>
    <w:rsid w:val="00FD3B50"/>
    <w:rsid w:val="00FD3EDE"/>
    <w:rsid w:val="00FD4067"/>
    <w:rsid w:val="00FD438B"/>
    <w:rsid w:val="00FD4891"/>
    <w:rsid w:val="00FD54EA"/>
    <w:rsid w:val="00FD583F"/>
    <w:rsid w:val="00FD6794"/>
    <w:rsid w:val="00FD6C87"/>
    <w:rsid w:val="00FD7CB0"/>
    <w:rsid w:val="00FE01A0"/>
    <w:rsid w:val="00FE1080"/>
    <w:rsid w:val="00FE1D1E"/>
    <w:rsid w:val="00FE2396"/>
    <w:rsid w:val="00FE49C1"/>
    <w:rsid w:val="00FE51CA"/>
    <w:rsid w:val="00FE53E9"/>
    <w:rsid w:val="00FE5628"/>
    <w:rsid w:val="00FE6482"/>
    <w:rsid w:val="00FE64F7"/>
    <w:rsid w:val="00FF00CE"/>
    <w:rsid w:val="00FF025B"/>
    <w:rsid w:val="00FF07A7"/>
    <w:rsid w:val="00FF1112"/>
    <w:rsid w:val="00FF1749"/>
    <w:rsid w:val="00FF179B"/>
    <w:rsid w:val="00FF1C29"/>
    <w:rsid w:val="00FF1E01"/>
    <w:rsid w:val="00FF2D01"/>
    <w:rsid w:val="00FF499C"/>
    <w:rsid w:val="00FF4A00"/>
    <w:rsid w:val="00FF6902"/>
    <w:rsid w:val="00FF6F0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A039E"/>
    <w:pPr>
      <w:spacing w:before="120" w:after="120" w:line="360" w:lineRule="auto"/>
      <w:ind w:firstLine="709"/>
      <w:jc w:val="both"/>
    </w:pPr>
    <w:rPr>
      <w:sz w:val="24"/>
      <w:szCs w:val="24"/>
    </w:rPr>
  </w:style>
  <w:style w:type="paragraph" w:styleId="Heading1">
    <w:name w:val="heading 1"/>
    <w:basedOn w:val="Normal"/>
    <w:next w:val="Normal"/>
    <w:link w:val="Heading1Char"/>
    <w:uiPriority w:val="99"/>
    <w:qFormat/>
    <w:rsid w:val="003E483C"/>
    <w:pPr>
      <w:keepNext/>
      <w:numPr>
        <w:numId w:val="16"/>
      </w:numPr>
      <w:spacing w:before="240" w:after="60"/>
      <w:ind w:firstLine="0"/>
      <w:jc w:val="left"/>
      <w:outlineLvl w:val="0"/>
    </w:pPr>
    <w:rPr>
      <w:b/>
      <w:bCs/>
      <w:kern w:val="32"/>
      <w:sz w:val="32"/>
      <w:szCs w:val="32"/>
    </w:rPr>
  </w:style>
  <w:style w:type="paragraph" w:styleId="Heading2">
    <w:name w:val="heading 2"/>
    <w:basedOn w:val="Normal"/>
    <w:next w:val="Normal"/>
    <w:link w:val="Heading2Char"/>
    <w:uiPriority w:val="99"/>
    <w:qFormat/>
    <w:rsid w:val="00074A51"/>
    <w:pPr>
      <w:keepNext/>
      <w:numPr>
        <w:ilvl w:val="1"/>
        <w:numId w:val="16"/>
      </w:numPr>
      <w:spacing w:before="360" w:after="240"/>
      <w:ind w:firstLine="0"/>
      <w:jc w:val="left"/>
      <w:outlineLvl w:val="1"/>
    </w:pPr>
    <w:rPr>
      <w:b/>
      <w:bCs/>
      <w:i/>
      <w:iCs/>
      <w:sz w:val="28"/>
      <w:szCs w:val="28"/>
    </w:rPr>
  </w:style>
  <w:style w:type="paragraph" w:styleId="Heading3">
    <w:name w:val="heading 3"/>
    <w:aliases w:val="tučné 12,Nadpis kapitoly 1. úrovně,tuené 12,Nadpis kapitoly 1. úrovni"/>
    <w:basedOn w:val="Normal"/>
    <w:next w:val="Normal"/>
    <w:link w:val="Heading3Char"/>
    <w:uiPriority w:val="99"/>
    <w:qFormat/>
    <w:rsid w:val="0084476D"/>
    <w:pPr>
      <w:keepNext/>
      <w:numPr>
        <w:ilvl w:val="2"/>
        <w:numId w:val="16"/>
      </w:numPr>
      <w:spacing w:before="360" w:after="60"/>
      <w:ind w:firstLine="0"/>
      <w:outlineLvl w:val="2"/>
    </w:pPr>
    <w:rPr>
      <w:b/>
      <w:bCs/>
      <w:sz w:val="26"/>
      <w:szCs w:val="26"/>
    </w:rPr>
  </w:style>
  <w:style w:type="paragraph" w:styleId="Heading4">
    <w:name w:val="heading 4"/>
    <w:basedOn w:val="Normal"/>
    <w:next w:val="Normal"/>
    <w:link w:val="Heading4Char"/>
    <w:uiPriority w:val="99"/>
    <w:qFormat/>
    <w:rsid w:val="0084476D"/>
    <w:pPr>
      <w:keepNext/>
      <w:numPr>
        <w:ilvl w:val="3"/>
        <w:numId w:val="16"/>
      </w:numPr>
      <w:spacing w:before="240" w:after="60"/>
      <w:ind w:firstLine="0"/>
      <w:outlineLvl w:val="3"/>
    </w:pPr>
    <w:rPr>
      <w:b/>
      <w:bCs/>
      <w:szCs w:val="28"/>
    </w:rPr>
  </w:style>
  <w:style w:type="paragraph" w:styleId="Heading5">
    <w:name w:val="heading 5"/>
    <w:basedOn w:val="Normal"/>
    <w:next w:val="Normal"/>
    <w:link w:val="Heading5Char"/>
    <w:uiPriority w:val="99"/>
    <w:qFormat/>
    <w:rsid w:val="00257A76"/>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6A039E"/>
    <w:pPr>
      <w:tabs>
        <w:tab w:val="num" w:pos="1152"/>
      </w:tabs>
      <w:spacing w:before="240" w:after="60"/>
      <w:ind w:left="1152" w:hanging="1152"/>
      <w:outlineLvl w:val="5"/>
    </w:pPr>
    <w:rPr>
      <w:rFonts w:ascii="Calibri" w:hAnsi="Calibri"/>
      <w:b/>
      <w:bCs/>
      <w:sz w:val="20"/>
      <w:szCs w:val="20"/>
    </w:rPr>
  </w:style>
  <w:style w:type="paragraph" w:styleId="Heading7">
    <w:name w:val="heading 7"/>
    <w:basedOn w:val="Normal"/>
    <w:next w:val="Normal"/>
    <w:link w:val="Heading7Char"/>
    <w:uiPriority w:val="99"/>
    <w:qFormat/>
    <w:rsid w:val="00B70911"/>
    <w:pPr>
      <w:spacing w:before="240" w:after="60"/>
      <w:outlineLvl w:val="6"/>
    </w:pPr>
    <w:rPr>
      <w:rFonts w:ascii="Calibri" w:hAnsi="Calibri"/>
    </w:rPr>
  </w:style>
  <w:style w:type="paragraph" w:styleId="Heading8">
    <w:name w:val="heading 8"/>
    <w:basedOn w:val="Normal"/>
    <w:next w:val="Normal"/>
    <w:link w:val="Heading8Char"/>
    <w:uiPriority w:val="99"/>
    <w:qFormat/>
    <w:rsid w:val="006A039E"/>
    <w:pPr>
      <w:tabs>
        <w:tab w:val="num" w:pos="1440"/>
      </w:tabs>
      <w:spacing w:before="240" w:after="60"/>
      <w:ind w:left="1440" w:hanging="1440"/>
      <w:outlineLvl w:val="7"/>
    </w:pPr>
    <w:rPr>
      <w:rFonts w:ascii="Calibri" w:hAnsi="Calibri"/>
      <w:i/>
      <w:iCs/>
    </w:rPr>
  </w:style>
  <w:style w:type="paragraph" w:styleId="Heading9">
    <w:name w:val="heading 9"/>
    <w:basedOn w:val="Normal"/>
    <w:next w:val="Normal"/>
    <w:link w:val="Heading9Char"/>
    <w:uiPriority w:val="99"/>
    <w:qFormat/>
    <w:rsid w:val="006C69DB"/>
    <w:pPr>
      <w:spacing w:before="240" w:after="60"/>
      <w:outlineLvl w:val="8"/>
    </w:pPr>
    <w:rPr>
      <w:rFonts w:ascii="Cambria" w:hAnsi="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83C"/>
    <w:rPr>
      <w:rFonts w:cs="Times New Roman"/>
      <w:b/>
      <w:kern w:val="32"/>
      <w:sz w:val="32"/>
    </w:rPr>
  </w:style>
  <w:style w:type="character" w:customStyle="1" w:styleId="Heading2Char">
    <w:name w:val="Heading 2 Char"/>
    <w:basedOn w:val="DefaultParagraphFont"/>
    <w:link w:val="Heading2"/>
    <w:uiPriority w:val="99"/>
    <w:locked/>
    <w:rsid w:val="00074A51"/>
    <w:rPr>
      <w:rFonts w:cs="Times New Roman"/>
      <w:b/>
      <w:i/>
      <w:sz w:val="28"/>
    </w:rPr>
  </w:style>
  <w:style w:type="character" w:customStyle="1" w:styleId="Heading3Char">
    <w:name w:val="Heading 3 Char"/>
    <w:aliases w:val="tučné 12 Char,Nadpis kapitoly 1. úrovně Char,tuené 12 Char,Nadpis kapitoly 1. úrovni Char"/>
    <w:basedOn w:val="DefaultParagraphFont"/>
    <w:link w:val="Heading3"/>
    <w:uiPriority w:val="99"/>
    <w:locked/>
    <w:rsid w:val="0084476D"/>
    <w:rPr>
      <w:rFonts w:cs="Times New Roman"/>
      <w:b/>
      <w:bCs/>
      <w:sz w:val="26"/>
      <w:szCs w:val="26"/>
      <w:lang w:val="cs-CZ" w:eastAsia="cs-CZ" w:bidi="ar-SA"/>
    </w:rPr>
  </w:style>
  <w:style w:type="character" w:customStyle="1" w:styleId="Heading4Char">
    <w:name w:val="Heading 4 Char"/>
    <w:basedOn w:val="DefaultParagraphFont"/>
    <w:link w:val="Heading4"/>
    <w:uiPriority w:val="99"/>
    <w:locked/>
    <w:rsid w:val="0084476D"/>
    <w:rPr>
      <w:rFonts w:cs="Times New Roman"/>
      <w:b/>
      <w:sz w:val="28"/>
    </w:rPr>
  </w:style>
  <w:style w:type="character" w:customStyle="1" w:styleId="Heading5Char">
    <w:name w:val="Heading 5 Char"/>
    <w:basedOn w:val="DefaultParagraphFont"/>
    <w:link w:val="Heading5"/>
    <w:uiPriority w:val="99"/>
    <w:semiHidden/>
    <w:locked/>
    <w:rsid w:val="001A5B68"/>
    <w:rPr>
      <w:rFonts w:ascii="Calibri" w:hAnsi="Calibri" w:cs="Times New Roman"/>
      <w:b/>
      <w:i/>
      <w:sz w:val="26"/>
    </w:rPr>
  </w:style>
  <w:style w:type="character" w:customStyle="1" w:styleId="Heading6Char">
    <w:name w:val="Heading 6 Char"/>
    <w:basedOn w:val="DefaultParagraphFont"/>
    <w:link w:val="Heading6"/>
    <w:uiPriority w:val="99"/>
    <w:semiHidden/>
    <w:locked/>
    <w:rsid w:val="001A5B68"/>
    <w:rPr>
      <w:rFonts w:ascii="Calibri" w:hAnsi="Calibri" w:cs="Times New Roman"/>
      <w:b/>
    </w:rPr>
  </w:style>
  <w:style w:type="character" w:customStyle="1" w:styleId="Heading7Char">
    <w:name w:val="Heading 7 Char"/>
    <w:basedOn w:val="DefaultParagraphFont"/>
    <w:link w:val="Heading7"/>
    <w:uiPriority w:val="99"/>
    <w:semiHidden/>
    <w:locked/>
    <w:rsid w:val="001A5B68"/>
    <w:rPr>
      <w:rFonts w:ascii="Calibri" w:hAnsi="Calibri" w:cs="Times New Roman"/>
      <w:sz w:val="24"/>
    </w:rPr>
  </w:style>
  <w:style w:type="character" w:customStyle="1" w:styleId="Heading8Char">
    <w:name w:val="Heading 8 Char"/>
    <w:basedOn w:val="DefaultParagraphFont"/>
    <w:link w:val="Heading8"/>
    <w:uiPriority w:val="99"/>
    <w:semiHidden/>
    <w:locked/>
    <w:rsid w:val="001A5B68"/>
    <w:rPr>
      <w:rFonts w:ascii="Calibri" w:hAnsi="Calibri" w:cs="Times New Roman"/>
      <w:i/>
      <w:sz w:val="24"/>
    </w:rPr>
  </w:style>
  <w:style w:type="character" w:customStyle="1" w:styleId="Heading9Char">
    <w:name w:val="Heading 9 Char"/>
    <w:basedOn w:val="DefaultParagraphFont"/>
    <w:link w:val="Heading9"/>
    <w:uiPriority w:val="99"/>
    <w:semiHidden/>
    <w:locked/>
    <w:rsid w:val="001A5B68"/>
    <w:rPr>
      <w:rFonts w:ascii="Cambria" w:hAnsi="Cambria" w:cs="Times New Roman"/>
    </w:rPr>
  </w:style>
  <w:style w:type="paragraph" w:styleId="BalloonText">
    <w:name w:val="Balloon Text"/>
    <w:basedOn w:val="Normal"/>
    <w:link w:val="BalloonTextChar"/>
    <w:uiPriority w:val="99"/>
    <w:semiHidden/>
    <w:rsid w:val="00D60F33"/>
    <w:rPr>
      <w:sz w:val="2"/>
      <w:szCs w:val="20"/>
    </w:rPr>
  </w:style>
  <w:style w:type="character" w:customStyle="1" w:styleId="BalloonTextChar">
    <w:name w:val="Balloon Text Char"/>
    <w:basedOn w:val="DefaultParagraphFont"/>
    <w:link w:val="BalloonText"/>
    <w:uiPriority w:val="99"/>
    <w:semiHidden/>
    <w:locked/>
    <w:rsid w:val="001A5B68"/>
    <w:rPr>
      <w:rFonts w:cs="Times New Roman"/>
      <w:sz w:val="2"/>
    </w:rPr>
  </w:style>
  <w:style w:type="character" w:customStyle="1" w:styleId="Tuntext">
    <w:name w:val="Tučný text"/>
    <w:uiPriority w:val="99"/>
    <w:rsid w:val="00041E99"/>
    <w:rPr>
      <w:b/>
      <w:sz w:val="24"/>
    </w:rPr>
  </w:style>
  <w:style w:type="paragraph" w:customStyle="1" w:styleId="Nadpishlavnsti">
    <w:name w:val="Nadpis hlavní části"/>
    <w:basedOn w:val="Normal"/>
    <w:next w:val="Heading1"/>
    <w:uiPriority w:val="99"/>
    <w:rsid w:val="00E90FB0"/>
    <w:pPr>
      <w:pageBreakBefore/>
      <w:spacing w:before="240" w:after="240"/>
      <w:ind w:firstLine="0"/>
      <w:jc w:val="left"/>
      <w:outlineLvl w:val="0"/>
    </w:pPr>
    <w:rPr>
      <w:b/>
      <w:sz w:val="32"/>
    </w:rPr>
  </w:style>
  <w:style w:type="paragraph" w:styleId="TOC2">
    <w:name w:val="toc 2"/>
    <w:basedOn w:val="Normal"/>
    <w:next w:val="Normal"/>
    <w:autoRedefine/>
    <w:uiPriority w:val="99"/>
    <w:rsid w:val="00BE073E"/>
    <w:pPr>
      <w:tabs>
        <w:tab w:val="right" w:leader="dot" w:pos="9062"/>
      </w:tabs>
      <w:spacing w:before="80" w:after="40" w:line="240" w:lineRule="auto"/>
      <w:ind w:left="538" w:right="382" w:hanging="357"/>
      <w:outlineLvl w:val="0"/>
    </w:pPr>
    <w:rPr>
      <w:noProof/>
    </w:rPr>
  </w:style>
  <w:style w:type="paragraph" w:styleId="TOC1">
    <w:name w:val="toc 1"/>
    <w:basedOn w:val="Normal"/>
    <w:next w:val="Normal"/>
    <w:autoRedefine/>
    <w:uiPriority w:val="99"/>
    <w:rsid w:val="003E483C"/>
    <w:pPr>
      <w:tabs>
        <w:tab w:val="right" w:leader="dot" w:pos="9062"/>
      </w:tabs>
      <w:ind w:firstLine="0"/>
    </w:pPr>
    <w:rPr>
      <w:b/>
      <w:noProof/>
    </w:rPr>
  </w:style>
  <w:style w:type="paragraph" w:styleId="TOC3">
    <w:name w:val="toc 3"/>
    <w:basedOn w:val="Normal"/>
    <w:next w:val="Normal"/>
    <w:autoRedefine/>
    <w:uiPriority w:val="99"/>
    <w:rsid w:val="00911D51"/>
    <w:pPr>
      <w:tabs>
        <w:tab w:val="right" w:leader="dot" w:pos="9062"/>
      </w:tabs>
      <w:spacing w:before="0" w:after="0" w:line="240" w:lineRule="auto"/>
      <w:ind w:left="900" w:hanging="360"/>
    </w:pPr>
  </w:style>
  <w:style w:type="paragraph" w:styleId="TOC4">
    <w:name w:val="toc 4"/>
    <w:basedOn w:val="Normal"/>
    <w:next w:val="Normal"/>
    <w:autoRedefine/>
    <w:uiPriority w:val="99"/>
    <w:rsid w:val="00BE073E"/>
    <w:pPr>
      <w:tabs>
        <w:tab w:val="right" w:leader="dot" w:pos="9062"/>
      </w:tabs>
      <w:spacing w:before="0" w:after="0" w:line="240" w:lineRule="auto"/>
      <w:ind w:left="1260" w:right="382" w:hanging="720"/>
    </w:pPr>
  </w:style>
  <w:style w:type="character" w:styleId="Hyperlink">
    <w:name w:val="Hyperlink"/>
    <w:basedOn w:val="DefaultParagraphFont"/>
    <w:uiPriority w:val="99"/>
    <w:rsid w:val="002D4376"/>
    <w:rPr>
      <w:rFonts w:cs="Times New Roman"/>
      <w:color w:val="0000FF"/>
      <w:u w:val="single"/>
    </w:rPr>
  </w:style>
  <w:style w:type="paragraph" w:styleId="TOC5">
    <w:name w:val="toc 5"/>
    <w:basedOn w:val="Normal"/>
    <w:next w:val="Normal"/>
    <w:autoRedefine/>
    <w:uiPriority w:val="99"/>
    <w:rsid w:val="008342E9"/>
    <w:pPr>
      <w:ind w:left="958" w:firstLine="0"/>
    </w:pPr>
  </w:style>
  <w:style w:type="paragraph" w:styleId="Caption">
    <w:name w:val="caption"/>
    <w:basedOn w:val="Normal"/>
    <w:next w:val="Normal"/>
    <w:link w:val="CaptionChar"/>
    <w:uiPriority w:val="99"/>
    <w:qFormat/>
    <w:rsid w:val="00D63E6A"/>
    <w:pPr>
      <w:keepNext/>
      <w:spacing w:before="480" w:after="240" w:line="240" w:lineRule="auto"/>
      <w:ind w:firstLine="0"/>
      <w:jc w:val="center"/>
    </w:pPr>
    <w:rPr>
      <w:b/>
      <w:szCs w:val="20"/>
    </w:rPr>
  </w:style>
  <w:style w:type="paragraph" w:styleId="BodyText">
    <w:name w:val="Body Text"/>
    <w:basedOn w:val="Normal"/>
    <w:link w:val="BodyTextChar"/>
    <w:uiPriority w:val="99"/>
    <w:rsid w:val="00605C58"/>
    <w:pPr>
      <w:overflowPunct w:val="0"/>
      <w:autoSpaceDE w:val="0"/>
      <w:autoSpaceDN w:val="0"/>
      <w:adjustRightInd w:val="0"/>
      <w:spacing w:before="0" w:after="0" w:line="240" w:lineRule="auto"/>
      <w:ind w:firstLine="0"/>
      <w:jc w:val="center"/>
      <w:textAlignment w:val="baseline"/>
    </w:pPr>
  </w:style>
  <w:style w:type="character" w:customStyle="1" w:styleId="BodyTextChar">
    <w:name w:val="Body Text Char"/>
    <w:basedOn w:val="DefaultParagraphFont"/>
    <w:link w:val="BodyText"/>
    <w:uiPriority w:val="99"/>
    <w:semiHidden/>
    <w:locked/>
    <w:rsid w:val="001A5B68"/>
    <w:rPr>
      <w:rFonts w:cs="Times New Roman"/>
      <w:sz w:val="24"/>
    </w:rPr>
  </w:style>
  <w:style w:type="paragraph" w:customStyle="1" w:styleId="Zkladntext21">
    <w:name w:val="Základní text 21"/>
    <w:basedOn w:val="Normal"/>
    <w:uiPriority w:val="99"/>
    <w:rsid w:val="00605C58"/>
    <w:pPr>
      <w:overflowPunct w:val="0"/>
      <w:autoSpaceDE w:val="0"/>
      <w:autoSpaceDN w:val="0"/>
      <w:adjustRightInd w:val="0"/>
      <w:spacing w:before="0" w:after="0"/>
      <w:ind w:firstLine="0"/>
      <w:textAlignment w:val="baseline"/>
    </w:pPr>
    <w:rPr>
      <w:szCs w:val="20"/>
    </w:rPr>
  </w:style>
  <w:style w:type="paragraph" w:customStyle="1" w:styleId="Zkladntextodsazen21">
    <w:name w:val="Základní text odsazený 21"/>
    <w:basedOn w:val="Normal"/>
    <w:uiPriority w:val="99"/>
    <w:rsid w:val="00605C58"/>
    <w:pPr>
      <w:overflowPunct w:val="0"/>
      <w:autoSpaceDE w:val="0"/>
      <w:autoSpaceDN w:val="0"/>
      <w:adjustRightInd w:val="0"/>
      <w:spacing w:before="0" w:after="0" w:line="240" w:lineRule="auto"/>
      <w:ind w:firstLine="540"/>
      <w:textAlignment w:val="baseline"/>
    </w:pPr>
    <w:rPr>
      <w:szCs w:val="20"/>
    </w:rPr>
  </w:style>
  <w:style w:type="paragraph" w:styleId="BodyText2">
    <w:name w:val="Body Text 2"/>
    <w:basedOn w:val="Normal"/>
    <w:link w:val="BodyText2Char"/>
    <w:uiPriority w:val="99"/>
    <w:rsid w:val="00605C58"/>
    <w:pPr>
      <w:overflowPunct w:val="0"/>
      <w:autoSpaceDE w:val="0"/>
      <w:autoSpaceDN w:val="0"/>
      <w:adjustRightInd w:val="0"/>
      <w:spacing w:before="0" w:line="480" w:lineRule="auto"/>
      <w:ind w:firstLine="0"/>
      <w:jc w:val="left"/>
      <w:textAlignment w:val="baseline"/>
    </w:pPr>
  </w:style>
  <w:style w:type="character" w:customStyle="1" w:styleId="BodyText2Char">
    <w:name w:val="Body Text 2 Char"/>
    <w:basedOn w:val="DefaultParagraphFont"/>
    <w:link w:val="BodyText2"/>
    <w:uiPriority w:val="99"/>
    <w:semiHidden/>
    <w:locked/>
    <w:rsid w:val="001A5B68"/>
    <w:rPr>
      <w:rFonts w:cs="Times New Roman"/>
      <w:sz w:val="24"/>
    </w:rPr>
  </w:style>
  <w:style w:type="paragraph" w:customStyle="1" w:styleId="Styl1">
    <w:name w:val="Styl1"/>
    <w:basedOn w:val="Normal"/>
    <w:uiPriority w:val="99"/>
    <w:rsid w:val="009F0051"/>
    <w:pPr>
      <w:tabs>
        <w:tab w:val="left" w:pos="7797"/>
        <w:tab w:val="left" w:pos="8080"/>
        <w:tab w:val="left" w:pos="8505"/>
      </w:tabs>
      <w:overflowPunct w:val="0"/>
      <w:autoSpaceDE w:val="0"/>
      <w:autoSpaceDN w:val="0"/>
      <w:adjustRightInd w:val="0"/>
      <w:spacing w:after="0"/>
      <w:ind w:right="-1" w:firstLine="0"/>
      <w:textAlignment w:val="baseline"/>
    </w:pPr>
    <w:rPr>
      <w:szCs w:val="20"/>
    </w:rPr>
  </w:style>
  <w:style w:type="paragraph" w:styleId="BodyTextIndent">
    <w:name w:val="Body Text Indent"/>
    <w:basedOn w:val="Normal"/>
    <w:link w:val="BodyTextIndentChar"/>
    <w:uiPriority w:val="99"/>
    <w:rsid w:val="00F96101"/>
    <w:pPr>
      <w:ind w:left="283"/>
    </w:pPr>
  </w:style>
  <w:style w:type="character" w:customStyle="1" w:styleId="BodyTextIndentChar">
    <w:name w:val="Body Text Indent Char"/>
    <w:basedOn w:val="DefaultParagraphFont"/>
    <w:link w:val="BodyTextIndent"/>
    <w:uiPriority w:val="99"/>
    <w:semiHidden/>
    <w:locked/>
    <w:rsid w:val="001A5B68"/>
    <w:rPr>
      <w:rFonts w:cs="Times New Roman"/>
      <w:sz w:val="24"/>
    </w:rPr>
  </w:style>
  <w:style w:type="paragraph" w:styleId="Header">
    <w:name w:val="header"/>
    <w:basedOn w:val="Normal"/>
    <w:link w:val="HeaderChar"/>
    <w:uiPriority w:val="99"/>
    <w:rsid w:val="00E30F6C"/>
    <w:pPr>
      <w:tabs>
        <w:tab w:val="center" w:pos="4536"/>
        <w:tab w:val="right" w:pos="9072"/>
      </w:tabs>
    </w:pPr>
  </w:style>
  <w:style w:type="character" w:customStyle="1" w:styleId="HeaderChar">
    <w:name w:val="Header Char"/>
    <w:basedOn w:val="DefaultParagraphFont"/>
    <w:link w:val="Header"/>
    <w:uiPriority w:val="99"/>
    <w:semiHidden/>
    <w:locked/>
    <w:rsid w:val="001A5B68"/>
    <w:rPr>
      <w:rFonts w:cs="Times New Roman"/>
      <w:sz w:val="24"/>
    </w:rPr>
  </w:style>
  <w:style w:type="character" w:customStyle="1" w:styleId="Kurzva">
    <w:name w:val="Kurzíva"/>
    <w:uiPriority w:val="99"/>
    <w:rsid w:val="00B8653E"/>
    <w:rPr>
      <w:i/>
    </w:rPr>
  </w:style>
  <w:style w:type="paragraph" w:customStyle="1" w:styleId="Zkladntext31">
    <w:name w:val="Základní text 31"/>
    <w:basedOn w:val="Normal"/>
    <w:uiPriority w:val="99"/>
    <w:rsid w:val="007B03D5"/>
    <w:pPr>
      <w:overflowPunct w:val="0"/>
      <w:autoSpaceDE w:val="0"/>
      <w:autoSpaceDN w:val="0"/>
      <w:adjustRightInd w:val="0"/>
      <w:spacing w:before="0" w:after="0" w:line="240" w:lineRule="auto"/>
      <w:ind w:firstLine="0"/>
      <w:jc w:val="left"/>
      <w:textAlignment w:val="baseline"/>
    </w:pPr>
    <w:rPr>
      <w:b/>
      <w:sz w:val="28"/>
      <w:szCs w:val="20"/>
      <w:u w:val="single"/>
    </w:rPr>
  </w:style>
  <w:style w:type="paragraph" w:styleId="DocumentMap">
    <w:name w:val="Document Map"/>
    <w:basedOn w:val="Normal"/>
    <w:link w:val="DocumentMapChar"/>
    <w:uiPriority w:val="99"/>
    <w:semiHidden/>
    <w:rsid w:val="0045064F"/>
    <w:pPr>
      <w:shd w:val="clear" w:color="auto" w:fill="000080"/>
    </w:pPr>
    <w:rPr>
      <w:sz w:val="2"/>
      <w:szCs w:val="20"/>
    </w:rPr>
  </w:style>
  <w:style w:type="character" w:customStyle="1" w:styleId="DocumentMapChar">
    <w:name w:val="Document Map Char"/>
    <w:basedOn w:val="DefaultParagraphFont"/>
    <w:link w:val="DocumentMap"/>
    <w:uiPriority w:val="99"/>
    <w:semiHidden/>
    <w:locked/>
    <w:rsid w:val="001A5B68"/>
    <w:rPr>
      <w:rFonts w:cs="Times New Roman"/>
      <w:sz w:val="2"/>
    </w:rPr>
  </w:style>
  <w:style w:type="paragraph" w:styleId="FootnoteText">
    <w:name w:val="footnote text"/>
    <w:aliases w:val="Schriftart: 9 pt,Schriftart: 10 pt,Schriftart: 8 pt"/>
    <w:basedOn w:val="Normal"/>
    <w:link w:val="FootnoteTextChar"/>
    <w:uiPriority w:val="99"/>
    <w:rsid w:val="009439AA"/>
    <w:pPr>
      <w:spacing w:before="0" w:line="240" w:lineRule="auto"/>
      <w:ind w:firstLine="0"/>
    </w:pPr>
    <w:rPr>
      <w:sz w:val="20"/>
      <w:szCs w:val="20"/>
    </w:rPr>
  </w:style>
  <w:style w:type="character" w:customStyle="1" w:styleId="FootnoteTextChar">
    <w:name w:val="Footnote Text Char"/>
    <w:aliases w:val="Schriftart: 9 pt Char,Schriftart: 10 pt Char,Schriftart: 8 pt Char"/>
    <w:basedOn w:val="DefaultParagraphFont"/>
    <w:link w:val="FootnoteText"/>
    <w:uiPriority w:val="99"/>
    <w:locked/>
    <w:rsid w:val="003A752F"/>
    <w:rPr>
      <w:rFonts w:cs="Times New Roman"/>
    </w:rPr>
  </w:style>
  <w:style w:type="character" w:styleId="FootnoteReference">
    <w:name w:val="footnote reference"/>
    <w:basedOn w:val="DefaultParagraphFont"/>
    <w:uiPriority w:val="99"/>
    <w:rsid w:val="00264DCC"/>
    <w:rPr>
      <w:rFonts w:cs="Times New Roman"/>
      <w:vertAlign w:val="superscript"/>
    </w:rPr>
  </w:style>
  <w:style w:type="paragraph" w:styleId="Footer">
    <w:name w:val="footer"/>
    <w:basedOn w:val="Normal"/>
    <w:link w:val="FooterChar"/>
    <w:uiPriority w:val="99"/>
    <w:rsid w:val="005E402B"/>
    <w:pPr>
      <w:tabs>
        <w:tab w:val="center" w:pos="4536"/>
        <w:tab w:val="right" w:pos="9072"/>
      </w:tabs>
    </w:pPr>
    <w:rPr>
      <w:szCs w:val="20"/>
    </w:rPr>
  </w:style>
  <w:style w:type="character" w:customStyle="1" w:styleId="FooterChar">
    <w:name w:val="Footer Char"/>
    <w:basedOn w:val="DefaultParagraphFont"/>
    <w:link w:val="Footer"/>
    <w:uiPriority w:val="99"/>
    <w:locked/>
    <w:rsid w:val="00B03A64"/>
    <w:rPr>
      <w:rFonts w:cs="Times New Roman"/>
      <w:sz w:val="24"/>
    </w:rPr>
  </w:style>
  <w:style w:type="character" w:styleId="PageNumber">
    <w:name w:val="page number"/>
    <w:basedOn w:val="DefaultParagraphFont"/>
    <w:uiPriority w:val="99"/>
    <w:rsid w:val="005E402B"/>
    <w:rPr>
      <w:rFonts w:cs="Times New Roman"/>
    </w:rPr>
  </w:style>
  <w:style w:type="paragraph" w:styleId="BodyTextIndent3">
    <w:name w:val="Body Text Indent 3"/>
    <w:basedOn w:val="Normal"/>
    <w:link w:val="BodyTextIndent3Char"/>
    <w:uiPriority w:val="99"/>
    <w:rsid w:val="007F4FC8"/>
    <w:pPr>
      <w:ind w:left="283"/>
    </w:pPr>
    <w:rPr>
      <w:sz w:val="16"/>
      <w:szCs w:val="16"/>
    </w:rPr>
  </w:style>
  <w:style w:type="character" w:customStyle="1" w:styleId="BodyTextIndent3Char">
    <w:name w:val="Body Text Indent 3 Char"/>
    <w:basedOn w:val="DefaultParagraphFont"/>
    <w:link w:val="BodyTextIndent3"/>
    <w:uiPriority w:val="99"/>
    <w:semiHidden/>
    <w:locked/>
    <w:rsid w:val="001A5B68"/>
    <w:rPr>
      <w:rFonts w:cs="Times New Roman"/>
      <w:sz w:val="16"/>
    </w:rPr>
  </w:style>
  <w:style w:type="paragraph" w:customStyle="1" w:styleId="StylTitulekPed6bZa0b">
    <w:name w:val="Styl Titulek + Před:  6 b. Za:  0 b."/>
    <w:basedOn w:val="Caption"/>
    <w:uiPriority w:val="99"/>
    <w:rsid w:val="001F7643"/>
    <w:pPr>
      <w:spacing w:after="0"/>
    </w:pPr>
  </w:style>
  <w:style w:type="table" w:styleId="TableGrid">
    <w:name w:val="Table Grid"/>
    <w:basedOn w:val="TableNormal"/>
    <w:uiPriority w:val="99"/>
    <w:rsid w:val="001114C9"/>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ptionChar">
    <w:name w:val="Caption Char"/>
    <w:link w:val="Caption"/>
    <w:uiPriority w:val="99"/>
    <w:locked/>
    <w:rsid w:val="00D63E6A"/>
    <w:rPr>
      <w:b/>
      <w:sz w:val="24"/>
    </w:rPr>
  </w:style>
  <w:style w:type="paragraph" w:customStyle="1" w:styleId="StylNadpis2nenKurzva1">
    <w:name w:val="Styl Nadpis 2 + není Kurzíva1"/>
    <w:basedOn w:val="Heading2"/>
    <w:link w:val="StylNadpis2nenKurzva1CharChar"/>
    <w:uiPriority w:val="99"/>
    <w:rsid w:val="00C171CE"/>
    <w:pPr>
      <w:numPr>
        <w:ilvl w:val="0"/>
        <w:numId w:val="0"/>
      </w:numPr>
      <w:tabs>
        <w:tab w:val="num" w:pos="709"/>
      </w:tabs>
      <w:spacing w:after="60" w:line="240" w:lineRule="auto"/>
      <w:ind w:left="709" w:hanging="709"/>
    </w:pPr>
    <w:rPr>
      <w:bCs w:val="0"/>
      <w:i w:val="0"/>
      <w:iCs w:val="0"/>
      <w:szCs w:val="20"/>
    </w:rPr>
  </w:style>
  <w:style w:type="character" w:customStyle="1" w:styleId="StylNadpis2nenKurzva1CharChar">
    <w:name w:val="Styl Nadpis 2 + není Kurzíva1 Char Char"/>
    <w:link w:val="StylNadpis2nenKurzva1"/>
    <w:uiPriority w:val="99"/>
    <w:locked/>
    <w:rsid w:val="00C171CE"/>
    <w:rPr>
      <w:b/>
      <w:sz w:val="28"/>
      <w:lang w:val="cs-CZ" w:eastAsia="cs-CZ"/>
    </w:rPr>
  </w:style>
  <w:style w:type="paragraph" w:customStyle="1" w:styleId="StylTitulekZa0b">
    <w:name w:val="Styl Titulek + Za:  0 b."/>
    <w:basedOn w:val="Caption"/>
    <w:uiPriority w:val="99"/>
    <w:rsid w:val="00A46DF8"/>
    <w:pPr>
      <w:spacing w:before="0" w:after="0"/>
    </w:pPr>
  </w:style>
  <w:style w:type="paragraph" w:styleId="NormalWeb">
    <w:name w:val="Normal (Web)"/>
    <w:basedOn w:val="Normal"/>
    <w:uiPriority w:val="99"/>
    <w:rsid w:val="006A450A"/>
    <w:pPr>
      <w:spacing w:after="192" w:line="240" w:lineRule="auto"/>
      <w:ind w:firstLine="0"/>
      <w:jc w:val="left"/>
    </w:pPr>
  </w:style>
  <w:style w:type="paragraph" w:styleId="TableofFigures">
    <w:name w:val="table of figures"/>
    <w:basedOn w:val="Normal"/>
    <w:next w:val="Normal"/>
    <w:uiPriority w:val="99"/>
    <w:semiHidden/>
    <w:rsid w:val="00A015AD"/>
  </w:style>
  <w:style w:type="paragraph" w:customStyle="1" w:styleId="StylNadpishlavnstiZarovnatdoblokuPrvndek095cm">
    <w:name w:val="Styl Nadpis hlavní části + Zarovnat do bloku První řádek:  095 cm"/>
    <w:basedOn w:val="Nadpishlavnsti"/>
    <w:uiPriority w:val="99"/>
    <w:rsid w:val="00D91C5F"/>
    <w:rPr>
      <w:szCs w:val="20"/>
    </w:rPr>
  </w:style>
  <w:style w:type="paragraph" w:styleId="TOCHeading">
    <w:name w:val="TOC Heading"/>
    <w:basedOn w:val="Heading1"/>
    <w:next w:val="Normal"/>
    <w:uiPriority w:val="99"/>
    <w:qFormat/>
    <w:rsid w:val="00D20A6E"/>
    <w:pPr>
      <w:keepLines/>
      <w:numPr>
        <w:numId w:val="0"/>
      </w:numPr>
      <w:spacing w:before="480" w:after="0" w:line="276" w:lineRule="auto"/>
      <w:outlineLvl w:val="9"/>
    </w:pPr>
    <w:rPr>
      <w:rFonts w:ascii="Cambria" w:hAnsi="Cambria"/>
      <w:color w:val="365F91"/>
      <w:kern w:val="0"/>
      <w:sz w:val="28"/>
      <w:szCs w:val="28"/>
    </w:rPr>
  </w:style>
  <w:style w:type="paragraph" w:customStyle="1" w:styleId="odrkynae">
    <w:name w:val="odrážky naše"/>
    <w:basedOn w:val="Normal"/>
    <w:uiPriority w:val="99"/>
    <w:rsid w:val="006A039E"/>
    <w:pPr>
      <w:numPr>
        <w:numId w:val="9"/>
      </w:numPr>
      <w:spacing w:after="0"/>
    </w:pPr>
  </w:style>
  <w:style w:type="paragraph" w:customStyle="1" w:styleId="StylNadpishlavnstiTunNahoebezohranienDole">
    <w:name w:val="Styl Nadpis hlavní části + Tučné Nahoře: (bez ohraničení) Dole: ..."/>
    <w:basedOn w:val="Nadpishlavnsti"/>
    <w:uiPriority w:val="99"/>
    <w:rsid w:val="00DF76C5"/>
    <w:rPr>
      <w:b w:val="0"/>
      <w:bCs/>
      <w:szCs w:val="20"/>
    </w:rPr>
  </w:style>
  <w:style w:type="paragraph" w:customStyle="1" w:styleId="StylNadpishlavnstiTunPrvndek063cmNahoe">
    <w:name w:val="Styl Nadpis hlavní části + Tučné První řádek:  063 cm Nahoře: (..."/>
    <w:basedOn w:val="Nadpishlavnsti"/>
    <w:uiPriority w:val="99"/>
    <w:rsid w:val="00052D9E"/>
    <w:pPr>
      <w:ind w:firstLine="357"/>
    </w:pPr>
    <w:rPr>
      <w:b w:val="0"/>
      <w:bCs/>
      <w:szCs w:val="20"/>
    </w:rPr>
  </w:style>
  <w:style w:type="character" w:customStyle="1" w:styleId="CharChar3">
    <w:name w:val="Char Char3"/>
    <w:uiPriority w:val="99"/>
    <w:rsid w:val="00D82E03"/>
    <w:rPr>
      <w:b/>
      <w:sz w:val="24"/>
      <w:lang w:val="cs-CZ" w:eastAsia="cs-CZ"/>
    </w:rPr>
  </w:style>
  <w:style w:type="character" w:styleId="CommentReference">
    <w:name w:val="annotation reference"/>
    <w:basedOn w:val="DefaultParagraphFont"/>
    <w:uiPriority w:val="99"/>
    <w:rsid w:val="00C6041A"/>
    <w:rPr>
      <w:rFonts w:cs="Times New Roman"/>
      <w:sz w:val="16"/>
    </w:rPr>
  </w:style>
  <w:style w:type="paragraph" w:styleId="CommentText">
    <w:name w:val="annotation text"/>
    <w:basedOn w:val="Normal"/>
    <w:link w:val="CommentTextChar"/>
    <w:uiPriority w:val="99"/>
    <w:rsid w:val="00C6041A"/>
    <w:rPr>
      <w:sz w:val="20"/>
      <w:szCs w:val="20"/>
    </w:rPr>
  </w:style>
  <w:style w:type="character" w:customStyle="1" w:styleId="CommentTextChar">
    <w:name w:val="Comment Text Char"/>
    <w:basedOn w:val="DefaultParagraphFont"/>
    <w:link w:val="CommentText"/>
    <w:uiPriority w:val="99"/>
    <w:locked/>
    <w:rsid w:val="00C6041A"/>
    <w:rPr>
      <w:rFonts w:cs="Times New Roman"/>
    </w:rPr>
  </w:style>
  <w:style w:type="paragraph" w:styleId="CommentSubject">
    <w:name w:val="annotation subject"/>
    <w:basedOn w:val="CommentText"/>
    <w:next w:val="CommentText"/>
    <w:link w:val="CommentSubjectChar"/>
    <w:uiPriority w:val="99"/>
    <w:rsid w:val="00C6041A"/>
    <w:rPr>
      <w:b/>
    </w:rPr>
  </w:style>
  <w:style w:type="character" w:customStyle="1" w:styleId="CommentSubjectChar">
    <w:name w:val="Comment Subject Char"/>
    <w:basedOn w:val="CommentTextChar"/>
    <w:link w:val="CommentSubject"/>
    <w:uiPriority w:val="99"/>
    <w:locked/>
    <w:rsid w:val="00C6041A"/>
    <w:rPr>
      <w:b/>
    </w:rPr>
  </w:style>
  <w:style w:type="paragraph" w:customStyle="1" w:styleId="ZKDvouslopcovpozn">
    <w:name w:val="ZK_Dvouslopcový_pozn."/>
    <w:basedOn w:val="Normal"/>
    <w:link w:val="ZKDvouslopcovpoznChar"/>
    <w:uiPriority w:val="99"/>
    <w:rsid w:val="00E21EFB"/>
    <w:pPr>
      <w:spacing w:before="0" w:after="60" w:line="252" w:lineRule="auto"/>
      <w:ind w:firstLine="0"/>
    </w:pPr>
    <w:rPr>
      <w:rFonts w:ascii="Calibri" w:hAnsi="Calibri"/>
      <w:i/>
      <w:kern w:val="20"/>
      <w:szCs w:val="20"/>
    </w:rPr>
  </w:style>
  <w:style w:type="character" w:customStyle="1" w:styleId="ZKDvouslopcovpoznChar">
    <w:name w:val="ZK_Dvouslopcový_pozn. Char"/>
    <w:link w:val="ZKDvouslopcovpozn"/>
    <w:uiPriority w:val="99"/>
    <w:locked/>
    <w:rsid w:val="00E21EFB"/>
    <w:rPr>
      <w:rFonts w:ascii="Calibri" w:hAnsi="Calibri"/>
      <w:i/>
      <w:kern w:val="20"/>
      <w:sz w:val="24"/>
    </w:rPr>
  </w:style>
  <w:style w:type="paragraph" w:customStyle="1" w:styleId="Styl1mmmmm">
    <w:name w:val="Styl1mmmmm"/>
    <w:basedOn w:val="Normal"/>
    <w:uiPriority w:val="99"/>
    <w:rsid w:val="00094393"/>
    <w:pPr>
      <w:numPr>
        <w:numId w:val="19"/>
      </w:numPr>
      <w:spacing w:before="0" w:after="0"/>
    </w:pPr>
  </w:style>
  <w:style w:type="numbering" w:customStyle="1" w:styleId="Odrky">
    <w:name w:val="Odrážky"/>
    <w:rsid w:val="008C4FDF"/>
    <w:pPr>
      <w:numPr>
        <w:numId w:val="2"/>
      </w:numPr>
    </w:pPr>
  </w:style>
</w:styles>
</file>

<file path=word/webSettings.xml><?xml version="1.0" encoding="utf-8"?>
<w:webSettings xmlns:r="http://schemas.openxmlformats.org/officeDocument/2006/relationships" xmlns:w="http://schemas.openxmlformats.org/wordprocessingml/2006/main">
  <w:divs>
    <w:div w:id="1789472740">
      <w:marLeft w:val="0"/>
      <w:marRight w:val="0"/>
      <w:marTop w:val="0"/>
      <w:marBottom w:val="0"/>
      <w:divBdr>
        <w:top w:val="none" w:sz="0" w:space="0" w:color="auto"/>
        <w:left w:val="none" w:sz="0" w:space="0" w:color="auto"/>
        <w:bottom w:val="none" w:sz="0" w:space="0" w:color="auto"/>
        <w:right w:val="none" w:sz="0" w:space="0" w:color="auto"/>
      </w:divBdr>
    </w:div>
    <w:div w:id="1789472741">
      <w:marLeft w:val="0"/>
      <w:marRight w:val="0"/>
      <w:marTop w:val="0"/>
      <w:marBottom w:val="0"/>
      <w:divBdr>
        <w:top w:val="none" w:sz="0" w:space="0" w:color="auto"/>
        <w:left w:val="none" w:sz="0" w:space="0" w:color="auto"/>
        <w:bottom w:val="none" w:sz="0" w:space="0" w:color="auto"/>
        <w:right w:val="none" w:sz="0" w:space="0" w:color="auto"/>
      </w:divBdr>
    </w:div>
    <w:div w:id="1789472742">
      <w:marLeft w:val="0"/>
      <w:marRight w:val="0"/>
      <w:marTop w:val="0"/>
      <w:marBottom w:val="0"/>
      <w:divBdr>
        <w:top w:val="none" w:sz="0" w:space="0" w:color="auto"/>
        <w:left w:val="none" w:sz="0" w:space="0" w:color="auto"/>
        <w:bottom w:val="none" w:sz="0" w:space="0" w:color="auto"/>
        <w:right w:val="none" w:sz="0" w:space="0" w:color="auto"/>
      </w:divBdr>
    </w:div>
    <w:div w:id="1789472743">
      <w:marLeft w:val="0"/>
      <w:marRight w:val="0"/>
      <w:marTop w:val="0"/>
      <w:marBottom w:val="0"/>
      <w:divBdr>
        <w:top w:val="none" w:sz="0" w:space="0" w:color="auto"/>
        <w:left w:val="none" w:sz="0" w:space="0" w:color="auto"/>
        <w:bottom w:val="none" w:sz="0" w:space="0" w:color="auto"/>
        <w:right w:val="none" w:sz="0" w:space="0" w:color="auto"/>
      </w:divBdr>
    </w:div>
    <w:div w:id="1789472744">
      <w:marLeft w:val="0"/>
      <w:marRight w:val="0"/>
      <w:marTop w:val="0"/>
      <w:marBottom w:val="0"/>
      <w:divBdr>
        <w:top w:val="none" w:sz="0" w:space="0" w:color="auto"/>
        <w:left w:val="none" w:sz="0" w:space="0" w:color="auto"/>
        <w:bottom w:val="none" w:sz="0" w:space="0" w:color="auto"/>
        <w:right w:val="none" w:sz="0" w:space="0" w:color="auto"/>
      </w:divBdr>
    </w:div>
    <w:div w:id="1789472745">
      <w:marLeft w:val="0"/>
      <w:marRight w:val="0"/>
      <w:marTop w:val="0"/>
      <w:marBottom w:val="0"/>
      <w:divBdr>
        <w:top w:val="none" w:sz="0" w:space="0" w:color="auto"/>
        <w:left w:val="none" w:sz="0" w:space="0" w:color="auto"/>
        <w:bottom w:val="none" w:sz="0" w:space="0" w:color="auto"/>
        <w:right w:val="none" w:sz="0" w:space="0" w:color="auto"/>
      </w:divBdr>
    </w:div>
    <w:div w:id="1789472746">
      <w:marLeft w:val="0"/>
      <w:marRight w:val="0"/>
      <w:marTop w:val="0"/>
      <w:marBottom w:val="0"/>
      <w:divBdr>
        <w:top w:val="none" w:sz="0" w:space="0" w:color="auto"/>
        <w:left w:val="none" w:sz="0" w:space="0" w:color="auto"/>
        <w:bottom w:val="none" w:sz="0" w:space="0" w:color="auto"/>
        <w:right w:val="none" w:sz="0" w:space="0" w:color="auto"/>
      </w:divBdr>
    </w:div>
    <w:div w:id="1789472747">
      <w:marLeft w:val="0"/>
      <w:marRight w:val="0"/>
      <w:marTop w:val="0"/>
      <w:marBottom w:val="0"/>
      <w:divBdr>
        <w:top w:val="none" w:sz="0" w:space="0" w:color="auto"/>
        <w:left w:val="none" w:sz="0" w:space="0" w:color="auto"/>
        <w:bottom w:val="none" w:sz="0" w:space="0" w:color="auto"/>
        <w:right w:val="none" w:sz="0" w:space="0" w:color="auto"/>
      </w:divBdr>
    </w:div>
    <w:div w:id="1789472748">
      <w:marLeft w:val="0"/>
      <w:marRight w:val="0"/>
      <w:marTop w:val="0"/>
      <w:marBottom w:val="0"/>
      <w:divBdr>
        <w:top w:val="none" w:sz="0" w:space="0" w:color="auto"/>
        <w:left w:val="none" w:sz="0" w:space="0" w:color="auto"/>
        <w:bottom w:val="none" w:sz="0" w:space="0" w:color="auto"/>
        <w:right w:val="none" w:sz="0" w:space="0" w:color="auto"/>
      </w:divBdr>
    </w:div>
    <w:div w:id="1789472749">
      <w:marLeft w:val="0"/>
      <w:marRight w:val="0"/>
      <w:marTop w:val="0"/>
      <w:marBottom w:val="0"/>
      <w:divBdr>
        <w:top w:val="none" w:sz="0" w:space="0" w:color="auto"/>
        <w:left w:val="none" w:sz="0" w:space="0" w:color="auto"/>
        <w:bottom w:val="none" w:sz="0" w:space="0" w:color="auto"/>
        <w:right w:val="none" w:sz="0" w:space="0" w:color="auto"/>
      </w:divBdr>
    </w:div>
    <w:div w:id="1789472750">
      <w:marLeft w:val="0"/>
      <w:marRight w:val="0"/>
      <w:marTop w:val="0"/>
      <w:marBottom w:val="0"/>
      <w:divBdr>
        <w:top w:val="none" w:sz="0" w:space="0" w:color="auto"/>
        <w:left w:val="none" w:sz="0" w:space="0" w:color="auto"/>
        <w:bottom w:val="none" w:sz="0" w:space="0" w:color="auto"/>
        <w:right w:val="none" w:sz="0" w:space="0" w:color="auto"/>
      </w:divBdr>
    </w:div>
    <w:div w:id="1789472751">
      <w:marLeft w:val="0"/>
      <w:marRight w:val="0"/>
      <w:marTop w:val="0"/>
      <w:marBottom w:val="0"/>
      <w:divBdr>
        <w:top w:val="none" w:sz="0" w:space="0" w:color="auto"/>
        <w:left w:val="none" w:sz="0" w:space="0" w:color="auto"/>
        <w:bottom w:val="none" w:sz="0" w:space="0" w:color="auto"/>
        <w:right w:val="none" w:sz="0" w:space="0" w:color="auto"/>
      </w:divBdr>
    </w:div>
    <w:div w:id="1789472752">
      <w:marLeft w:val="0"/>
      <w:marRight w:val="0"/>
      <w:marTop w:val="0"/>
      <w:marBottom w:val="0"/>
      <w:divBdr>
        <w:top w:val="none" w:sz="0" w:space="0" w:color="auto"/>
        <w:left w:val="none" w:sz="0" w:space="0" w:color="auto"/>
        <w:bottom w:val="none" w:sz="0" w:space="0" w:color="auto"/>
        <w:right w:val="none" w:sz="0" w:space="0" w:color="auto"/>
      </w:divBdr>
    </w:div>
    <w:div w:id="1789472753">
      <w:marLeft w:val="0"/>
      <w:marRight w:val="0"/>
      <w:marTop w:val="0"/>
      <w:marBottom w:val="0"/>
      <w:divBdr>
        <w:top w:val="none" w:sz="0" w:space="0" w:color="auto"/>
        <w:left w:val="none" w:sz="0" w:space="0" w:color="auto"/>
        <w:bottom w:val="none" w:sz="0" w:space="0" w:color="auto"/>
        <w:right w:val="none" w:sz="0" w:space="0" w:color="auto"/>
      </w:divBdr>
    </w:div>
    <w:div w:id="1789472754">
      <w:marLeft w:val="0"/>
      <w:marRight w:val="0"/>
      <w:marTop w:val="0"/>
      <w:marBottom w:val="0"/>
      <w:divBdr>
        <w:top w:val="none" w:sz="0" w:space="0" w:color="auto"/>
        <w:left w:val="none" w:sz="0" w:space="0" w:color="auto"/>
        <w:bottom w:val="none" w:sz="0" w:space="0" w:color="auto"/>
        <w:right w:val="none" w:sz="0" w:space="0" w:color="auto"/>
      </w:divBdr>
    </w:div>
    <w:div w:id="1789472755">
      <w:marLeft w:val="0"/>
      <w:marRight w:val="0"/>
      <w:marTop w:val="0"/>
      <w:marBottom w:val="0"/>
      <w:divBdr>
        <w:top w:val="none" w:sz="0" w:space="0" w:color="auto"/>
        <w:left w:val="none" w:sz="0" w:space="0" w:color="auto"/>
        <w:bottom w:val="none" w:sz="0" w:space="0" w:color="auto"/>
        <w:right w:val="none" w:sz="0" w:space="0" w:color="auto"/>
      </w:divBdr>
    </w:div>
    <w:div w:id="1789472756">
      <w:marLeft w:val="0"/>
      <w:marRight w:val="0"/>
      <w:marTop w:val="0"/>
      <w:marBottom w:val="0"/>
      <w:divBdr>
        <w:top w:val="none" w:sz="0" w:space="0" w:color="auto"/>
        <w:left w:val="none" w:sz="0" w:space="0" w:color="auto"/>
        <w:bottom w:val="none" w:sz="0" w:space="0" w:color="auto"/>
        <w:right w:val="none" w:sz="0" w:space="0" w:color="auto"/>
      </w:divBdr>
    </w:div>
    <w:div w:id="1789472757">
      <w:marLeft w:val="0"/>
      <w:marRight w:val="0"/>
      <w:marTop w:val="0"/>
      <w:marBottom w:val="0"/>
      <w:divBdr>
        <w:top w:val="none" w:sz="0" w:space="0" w:color="auto"/>
        <w:left w:val="none" w:sz="0" w:space="0" w:color="auto"/>
        <w:bottom w:val="none" w:sz="0" w:space="0" w:color="auto"/>
        <w:right w:val="none" w:sz="0" w:space="0" w:color="auto"/>
      </w:divBdr>
    </w:div>
    <w:div w:id="1789472758">
      <w:marLeft w:val="0"/>
      <w:marRight w:val="0"/>
      <w:marTop w:val="0"/>
      <w:marBottom w:val="0"/>
      <w:divBdr>
        <w:top w:val="none" w:sz="0" w:space="0" w:color="auto"/>
        <w:left w:val="none" w:sz="0" w:space="0" w:color="auto"/>
        <w:bottom w:val="none" w:sz="0" w:space="0" w:color="auto"/>
        <w:right w:val="none" w:sz="0" w:space="0" w:color="auto"/>
      </w:divBdr>
    </w:div>
    <w:div w:id="1789472759">
      <w:marLeft w:val="0"/>
      <w:marRight w:val="0"/>
      <w:marTop w:val="0"/>
      <w:marBottom w:val="0"/>
      <w:divBdr>
        <w:top w:val="none" w:sz="0" w:space="0" w:color="auto"/>
        <w:left w:val="none" w:sz="0" w:space="0" w:color="auto"/>
        <w:bottom w:val="none" w:sz="0" w:space="0" w:color="auto"/>
        <w:right w:val="none" w:sz="0" w:space="0" w:color="auto"/>
      </w:divBdr>
    </w:div>
    <w:div w:id="1789472760">
      <w:marLeft w:val="0"/>
      <w:marRight w:val="0"/>
      <w:marTop w:val="0"/>
      <w:marBottom w:val="0"/>
      <w:divBdr>
        <w:top w:val="none" w:sz="0" w:space="0" w:color="auto"/>
        <w:left w:val="none" w:sz="0" w:space="0" w:color="auto"/>
        <w:bottom w:val="none" w:sz="0" w:space="0" w:color="auto"/>
        <w:right w:val="none" w:sz="0" w:space="0" w:color="auto"/>
      </w:divBdr>
    </w:div>
    <w:div w:id="1789472761">
      <w:marLeft w:val="0"/>
      <w:marRight w:val="0"/>
      <w:marTop w:val="0"/>
      <w:marBottom w:val="0"/>
      <w:divBdr>
        <w:top w:val="none" w:sz="0" w:space="0" w:color="auto"/>
        <w:left w:val="none" w:sz="0" w:space="0" w:color="auto"/>
        <w:bottom w:val="none" w:sz="0" w:space="0" w:color="auto"/>
        <w:right w:val="none" w:sz="0" w:space="0" w:color="auto"/>
      </w:divBdr>
    </w:div>
    <w:div w:id="1789472762">
      <w:marLeft w:val="0"/>
      <w:marRight w:val="0"/>
      <w:marTop w:val="0"/>
      <w:marBottom w:val="0"/>
      <w:divBdr>
        <w:top w:val="none" w:sz="0" w:space="0" w:color="auto"/>
        <w:left w:val="none" w:sz="0" w:space="0" w:color="auto"/>
        <w:bottom w:val="none" w:sz="0" w:space="0" w:color="auto"/>
        <w:right w:val="none" w:sz="0" w:space="0" w:color="auto"/>
      </w:divBdr>
    </w:div>
    <w:div w:id="1789472763">
      <w:marLeft w:val="0"/>
      <w:marRight w:val="0"/>
      <w:marTop w:val="0"/>
      <w:marBottom w:val="0"/>
      <w:divBdr>
        <w:top w:val="none" w:sz="0" w:space="0" w:color="auto"/>
        <w:left w:val="none" w:sz="0" w:space="0" w:color="auto"/>
        <w:bottom w:val="none" w:sz="0" w:space="0" w:color="auto"/>
        <w:right w:val="none" w:sz="0" w:space="0" w:color="auto"/>
      </w:divBdr>
    </w:div>
    <w:div w:id="1789472764">
      <w:marLeft w:val="0"/>
      <w:marRight w:val="0"/>
      <w:marTop w:val="0"/>
      <w:marBottom w:val="0"/>
      <w:divBdr>
        <w:top w:val="none" w:sz="0" w:space="0" w:color="auto"/>
        <w:left w:val="none" w:sz="0" w:space="0" w:color="auto"/>
        <w:bottom w:val="none" w:sz="0" w:space="0" w:color="auto"/>
        <w:right w:val="none" w:sz="0" w:space="0" w:color="auto"/>
      </w:divBdr>
    </w:div>
    <w:div w:id="1789472765">
      <w:marLeft w:val="0"/>
      <w:marRight w:val="0"/>
      <w:marTop w:val="0"/>
      <w:marBottom w:val="0"/>
      <w:divBdr>
        <w:top w:val="none" w:sz="0" w:space="0" w:color="auto"/>
        <w:left w:val="none" w:sz="0" w:space="0" w:color="auto"/>
        <w:bottom w:val="none" w:sz="0" w:space="0" w:color="auto"/>
        <w:right w:val="none" w:sz="0" w:space="0" w:color="auto"/>
      </w:divBdr>
    </w:div>
    <w:div w:id="1789472766">
      <w:marLeft w:val="0"/>
      <w:marRight w:val="0"/>
      <w:marTop w:val="0"/>
      <w:marBottom w:val="0"/>
      <w:divBdr>
        <w:top w:val="none" w:sz="0" w:space="0" w:color="auto"/>
        <w:left w:val="none" w:sz="0" w:space="0" w:color="auto"/>
        <w:bottom w:val="none" w:sz="0" w:space="0" w:color="auto"/>
        <w:right w:val="none" w:sz="0" w:space="0" w:color="auto"/>
      </w:divBdr>
    </w:div>
    <w:div w:id="1789472767">
      <w:marLeft w:val="0"/>
      <w:marRight w:val="0"/>
      <w:marTop w:val="0"/>
      <w:marBottom w:val="0"/>
      <w:divBdr>
        <w:top w:val="none" w:sz="0" w:space="0" w:color="auto"/>
        <w:left w:val="none" w:sz="0" w:space="0" w:color="auto"/>
        <w:bottom w:val="none" w:sz="0" w:space="0" w:color="auto"/>
        <w:right w:val="none" w:sz="0" w:space="0" w:color="auto"/>
      </w:divBdr>
    </w:div>
    <w:div w:id="1789472768">
      <w:marLeft w:val="0"/>
      <w:marRight w:val="0"/>
      <w:marTop w:val="0"/>
      <w:marBottom w:val="0"/>
      <w:divBdr>
        <w:top w:val="none" w:sz="0" w:space="0" w:color="auto"/>
        <w:left w:val="none" w:sz="0" w:space="0" w:color="auto"/>
        <w:bottom w:val="none" w:sz="0" w:space="0" w:color="auto"/>
        <w:right w:val="none" w:sz="0" w:space="0" w:color="auto"/>
      </w:divBdr>
    </w:div>
    <w:div w:id="1789472769">
      <w:marLeft w:val="0"/>
      <w:marRight w:val="0"/>
      <w:marTop w:val="0"/>
      <w:marBottom w:val="0"/>
      <w:divBdr>
        <w:top w:val="none" w:sz="0" w:space="0" w:color="auto"/>
        <w:left w:val="none" w:sz="0" w:space="0" w:color="auto"/>
        <w:bottom w:val="none" w:sz="0" w:space="0" w:color="auto"/>
        <w:right w:val="none" w:sz="0" w:space="0" w:color="auto"/>
      </w:divBdr>
    </w:div>
    <w:div w:id="1789472770">
      <w:marLeft w:val="0"/>
      <w:marRight w:val="0"/>
      <w:marTop w:val="0"/>
      <w:marBottom w:val="0"/>
      <w:divBdr>
        <w:top w:val="none" w:sz="0" w:space="0" w:color="auto"/>
        <w:left w:val="none" w:sz="0" w:space="0" w:color="auto"/>
        <w:bottom w:val="none" w:sz="0" w:space="0" w:color="auto"/>
        <w:right w:val="none" w:sz="0" w:space="0" w:color="auto"/>
      </w:divBdr>
    </w:div>
    <w:div w:id="1789472771">
      <w:marLeft w:val="0"/>
      <w:marRight w:val="0"/>
      <w:marTop w:val="0"/>
      <w:marBottom w:val="0"/>
      <w:divBdr>
        <w:top w:val="none" w:sz="0" w:space="0" w:color="auto"/>
        <w:left w:val="none" w:sz="0" w:space="0" w:color="auto"/>
        <w:bottom w:val="none" w:sz="0" w:space="0" w:color="auto"/>
        <w:right w:val="none" w:sz="0" w:space="0" w:color="auto"/>
      </w:divBdr>
    </w:div>
    <w:div w:id="1789472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Excel_Worksheet11.xlsx"/><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7.emf"/><Relationship Id="rId3" Type="http://schemas.openxmlformats.org/officeDocument/2006/relationships/settings" Target="settings.xml"/><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0.emf"/><Relationship Id="rId47" Type="http://schemas.openxmlformats.org/officeDocument/2006/relationships/image" Target="media/image35.emf"/><Relationship Id="rId50" Type="http://schemas.openxmlformats.org/officeDocument/2006/relationships/footer" Target="footer6.xml"/><Relationship Id="rId7" Type="http://schemas.openxmlformats.org/officeDocument/2006/relationships/footer" Target="footer1.xml"/><Relationship Id="rId12" Type="http://schemas.openxmlformats.org/officeDocument/2006/relationships/image" Target="media/image3.emf"/><Relationship Id="rId17" Type="http://schemas.openxmlformats.org/officeDocument/2006/relationships/image" Target="media/image7.emf"/><Relationship Id="rId25" Type="http://schemas.openxmlformats.org/officeDocument/2006/relationships/image" Target="media/image15.png"/><Relationship Id="rId33" Type="http://schemas.openxmlformats.org/officeDocument/2006/relationships/image" Target="media/image23.emf"/><Relationship Id="rId38" Type="http://schemas.openxmlformats.org/officeDocument/2006/relationships/image" Target="media/image26.emf"/><Relationship Id="rId46" Type="http://schemas.openxmlformats.org/officeDocument/2006/relationships/image" Target="media/image34.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9.emf"/><Relationship Id="rId41" Type="http://schemas.openxmlformats.org/officeDocument/2006/relationships/image" Target="media/image2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footer" Target="footer5.xml"/><Relationship Id="rId40" Type="http://schemas.openxmlformats.org/officeDocument/2006/relationships/image" Target="media/image28.emf"/><Relationship Id="rId45" Type="http://schemas.openxmlformats.org/officeDocument/2006/relationships/image" Target="media/image33.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footer" Target="footer4.xml"/><Relationship Id="rId49" Type="http://schemas.openxmlformats.org/officeDocument/2006/relationships/image" Target="media/image37.emf"/><Relationship Id="rId10" Type="http://schemas.openxmlformats.org/officeDocument/2006/relationships/image" Target="media/image1.emf"/><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image" Target="media/image32.e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1.emf"/><Relationship Id="rId48" Type="http://schemas.openxmlformats.org/officeDocument/2006/relationships/image" Target="media/image36.emf"/><Relationship Id="rId8" Type="http://schemas.openxmlformats.org/officeDocument/2006/relationships/footer" Target="footer2.xm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UJOVAL\Application%20Data\Microsoft\Forms\Osnova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Osnova2.dot</Template>
  <TotalTime>11</TotalTime>
  <Pages>59</Pages>
  <Words>14370</Words>
  <Characters>-32766</Characters>
  <Application>Microsoft Office Outlook</Application>
  <DocSecurity>0</DocSecurity>
  <Lines>0</Lines>
  <Paragraphs>0</Paragraphs>
  <ScaleCrop>false</ScaleCrop>
  <Company>Ministerstvo financí</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Lucie Joujová</dc:creator>
  <cp:keywords/>
  <dc:description/>
  <cp:lastModifiedBy>11207</cp:lastModifiedBy>
  <cp:revision>6</cp:revision>
  <cp:lastPrinted>2015-08-30T12:06:00Z</cp:lastPrinted>
  <dcterms:created xsi:type="dcterms:W3CDTF">2015-08-30T11:56:00Z</dcterms:created>
  <dcterms:modified xsi:type="dcterms:W3CDTF">2015-08-30T12:06:00Z</dcterms:modified>
</cp:coreProperties>
</file>