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53B6" w:rsidRDefault="004B65BB" w:rsidP="00765450">
      <w:pPr>
        <w:pStyle w:val="Obsah1"/>
      </w:pPr>
      <w:bookmarkStart w:id="0" w:name="_Toc258997885"/>
      <w:bookmarkStart w:id="1" w:name="_Toc165108040"/>
      <w:bookmarkStart w:id="2" w:name="_Toc258997886"/>
      <w:bookmarkStart w:id="3" w:name="_Toc493637895"/>
      <w:bookmarkStart w:id="4" w:name="_Toc493638573"/>
      <w:bookmarkStart w:id="5" w:name="_Toc493658507"/>
      <w:bookmarkStart w:id="6" w:name="_Toc494090614"/>
      <w:bookmarkStart w:id="7" w:name="_Toc494090998"/>
      <w:bookmarkStart w:id="8" w:name="_Toc494092433"/>
      <w:bookmarkStart w:id="9" w:name="_Toc494092508"/>
      <w:bookmarkStart w:id="10" w:name="_Toc494092749"/>
      <w:bookmarkStart w:id="11" w:name="_Toc495290415"/>
      <w:bookmarkStart w:id="12" w:name="_Toc495291300"/>
      <w:bookmarkStart w:id="13" w:name="_Toc495291792"/>
      <w:bookmarkStart w:id="14" w:name="_Toc2390096"/>
      <w:bookmarkStart w:id="15" w:name="_Toc2732393"/>
      <w:bookmarkStart w:id="16" w:name="_Toc3362268"/>
      <w:bookmarkStart w:id="17" w:name="_Toc3362447"/>
      <w:bookmarkStart w:id="18" w:name="_Toc3691339"/>
      <w:bookmarkStart w:id="19" w:name="_Toc3691408"/>
      <w:bookmarkStart w:id="20" w:name="_Toc3691438"/>
      <w:bookmarkStart w:id="21" w:name="_Toc4291457"/>
      <w:bookmarkStart w:id="22" w:name="_Toc4299299"/>
      <w:bookmarkStart w:id="23" w:name="_Toc4300570"/>
      <w:bookmarkStart w:id="24" w:name="_Toc4478897"/>
      <w:bookmarkStart w:id="25" w:name="_Toc5520197"/>
      <w:bookmarkStart w:id="26" w:name="_Toc5529574"/>
      <w:bookmarkStart w:id="27" w:name="_Toc35939669"/>
      <w:bookmarkStart w:id="28" w:name="_Toc38420071"/>
      <w:bookmarkStart w:id="29" w:name="_Toc69281076"/>
      <w:bookmarkStart w:id="30" w:name="_Toc71015627"/>
      <w:bookmarkStart w:id="31" w:name="_Toc101149466"/>
      <w:bookmarkStart w:id="32" w:name="_Toc102269856"/>
      <w:bookmarkStart w:id="33" w:name="_Toc116354714"/>
      <w:bookmarkStart w:id="34" w:name="_Toc116354803"/>
      <w:bookmarkStart w:id="35" w:name="_Toc116355039"/>
      <w:bookmarkStart w:id="36" w:name="_Toc179787911"/>
      <w:r w:rsidRPr="009431BF">
        <w:t>Analýza vývoje zaměstnanosti a nezaměstnanosti v</w:t>
      </w:r>
      <w:r w:rsidR="00D07FEC">
        <w:t> 1.</w:t>
      </w:r>
      <w:r w:rsidR="00B94148">
        <w:t> </w:t>
      </w:r>
      <w:r w:rsidR="00D07FEC">
        <w:t>pol</w:t>
      </w:r>
      <w:r w:rsidR="00B94148">
        <w:t>oletí</w:t>
      </w:r>
      <w:r w:rsidR="0031340D">
        <w:t xml:space="preserve"> 201</w:t>
      </w:r>
      <w:r w:rsidR="00257B11">
        <w:t>3</w:t>
      </w:r>
    </w:p>
    <w:p w:rsidR="00EE3A6A" w:rsidRDefault="00EE3A6A" w:rsidP="00EE3A6A"/>
    <w:p w:rsidR="00EE3A6A" w:rsidRPr="00EE3A6A" w:rsidRDefault="00EE3A6A" w:rsidP="00EE3A6A"/>
    <w:p w:rsidR="00CD10BB" w:rsidRPr="008801FD" w:rsidRDefault="00CD10BB" w:rsidP="00CD10BB">
      <w:pPr>
        <w:rPr>
          <w:rFonts w:ascii="Arial" w:hAnsi="Arial" w:cs="Arial"/>
        </w:rPr>
      </w:pPr>
    </w:p>
    <w:p w:rsidR="00C05426" w:rsidRDefault="00B2121B">
      <w:pPr>
        <w:pStyle w:val="Obsah1"/>
        <w:rPr>
          <w:rFonts w:asciiTheme="minorHAnsi" w:eastAsiaTheme="minorEastAsia" w:hAnsiTheme="minorHAnsi" w:cstheme="minorBidi"/>
          <w:b w:val="0"/>
          <w:bCs w:val="0"/>
          <w:color w:val="auto"/>
          <w:sz w:val="22"/>
          <w:szCs w:val="22"/>
        </w:rPr>
      </w:pPr>
      <w:r w:rsidRPr="00D07FEC">
        <w:rPr>
          <w:color w:val="00B0F0"/>
          <w:sz w:val="24"/>
          <w:szCs w:val="24"/>
        </w:rPr>
        <w:fldChar w:fldCharType="begin"/>
      </w:r>
      <w:r w:rsidR="0000183B" w:rsidRPr="00D07FEC">
        <w:rPr>
          <w:color w:val="00B0F0"/>
          <w:sz w:val="24"/>
          <w:szCs w:val="24"/>
        </w:rPr>
        <w:instrText xml:space="preserve"> TOC \o "1-2" \u </w:instrText>
      </w:r>
      <w:r w:rsidRPr="00D07FEC">
        <w:rPr>
          <w:color w:val="00B0F0"/>
          <w:sz w:val="24"/>
          <w:szCs w:val="24"/>
        </w:rPr>
        <w:fldChar w:fldCharType="separate"/>
      </w:r>
      <w:r w:rsidR="00C05426" w:rsidRPr="007F2F57">
        <w:rPr>
          <w:iCs/>
        </w:rPr>
        <w:t>I.</w:t>
      </w:r>
      <w:r w:rsidR="00C05426">
        <w:rPr>
          <w:rFonts w:asciiTheme="minorHAnsi" w:eastAsiaTheme="minorEastAsia" w:hAnsiTheme="minorHAnsi" w:cstheme="minorBidi"/>
          <w:b w:val="0"/>
          <w:bCs w:val="0"/>
          <w:color w:val="auto"/>
          <w:sz w:val="22"/>
          <w:szCs w:val="22"/>
        </w:rPr>
        <w:tab/>
      </w:r>
      <w:r w:rsidR="00C05426">
        <w:t>Hlavní tendence ve vývoji zaměstnanosti a nezaměstnanosti</w:t>
      </w:r>
      <w:r w:rsidR="00C05426">
        <w:tab/>
      </w:r>
      <w:r w:rsidR="00C05426">
        <w:fldChar w:fldCharType="begin"/>
      </w:r>
      <w:r w:rsidR="00C05426">
        <w:instrText xml:space="preserve"> PAGEREF _Toc372530184 \h </w:instrText>
      </w:r>
      <w:r w:rsidR="00C05426">
        <w:fldChar w:fldCharType="separate"/>
      </w:r>
      <w:r w:rsidR="00C05426">
        <w:t>2</w:t>
      </w:r>
      <w:r w:rsidR="00C05426">
        <w:fldChar w:fldCharType="end"/>
      </w:r>
    </w:p>
    <w:p w:rsidR="00C05426" w:rsidRDefault="00C05426">
      <w:pPr>
        <w:pStyle w:val="Obsah1"/>
        <w:rPr>
          <w:rFonts w:asciiTheme="minorHAnsi" w:eastAsiaTheme="minorEastAsia" w:hAnsiTheme="minorHAnsi" w:cstheme="minorBidi"/>
          <w:b w:val="0"/>
          <w:bCs w:val="0"/>
          <w:color w:val="auto"/>
          <w:sz w:val="22"/>
          <w:szCs w:val="22"/>
        </w:rPr>
      </w:pPr>
      <w:r>
        <w:t>II.</w:t>
      </w:r>
      <w:r>
        <w:rPr>
          <w:rFonts w:asciiTheme="minorHAnsi" w:eastAsiaTheme="minorEastAsia" w:hAnsiTheme="minorHAnsi" w:cstheme="minorBidi"/>
          <w:b w:val="0"/>
          <w:bCs w:val="0"/>
          <w:color w:val="auto"/>
          <w:sz w:val="22"/>
          <w:szCs w:val="22"/>
        </w:rPr>
        <w:tab/>
      </w:r>
      <w:r>
        <w:t>Zaměstnanost</w:t>
      </w:r>
      <w:r>
        <w:tab/>
      </w:r>
      <w:r>
        <w:fldChar w:fldCharType="begin"/>
      </w:r>
      <w:r>
        <w:instrText xml:space="preserve"> PAGEREF _Toc372530185 \h </w:instrText>
      </w:r>
      <w:r>
        <w:fldChar w:fldCharType="separate"/>
      </w:r>
      <w:r>
        <w:t>7</w:t>
      </w:r>
      <w:r>
        <w:fldChar w:fldCharType="end"/>
      </w:r>
    </w:p>
    <w:p w:rsidR="00C05426" w:rsidRDefault="00C05426">
      <w:pPr>
        <w:pStyle w:val="Obsah2"/>
        <w:rPr>
          <w:rFonts w:asciiTheme="minorHAnsi" w:eastAsiaTheme="minorEastAsia" w:hAnsiTheme="minorHAnsi" w:cstheme="minorBidi"/>
          <w:smallCaps w:val="0"/>
          <w:sz w:val="22"/>
          <w:szCs w:val="22"/>
        </w:rPr>
      </w:pPr>
      <w:r w:rsidRPr="007F2F57">
        <w:t>1.</w:t>
      </w:r>
      <w:r>
        <w:rPr>
          <w:rFonts w:asciiTheme="minorHAnsi" w:eastAsiaTheme="minorEastAsia" w:hAnsiTheme="minorHAnsi" w:cstheme="minorBidi"/>
          <w:smallCaps w:val="0"/>
          <w:sz w:val="22"/>
          <w:szCs w:val="22"/>
        </w:rPr>
        <w:tab/>
      </w:r>
      <w:r w:rsidRPr="007F2F57">
        <w:t>Stav a vývoj zaměstnanosti</w:t>
      </w:r>
      <w:r>
        <w:tab/>
      </w:r>
      <w:r>
        <w:fldChar w:fldCharType="begin"/>
      </w:r>
      <w:r>
        <w:instrText xml:space="preserve"> PAGEREF _Toc372530186 \h </w:instrText>
      </w:r>
      <w:r>
        <w:fldChar w:fldCharType="separate"/>
      </w:r>
      <w:r>
        <w:t>7</w:t>
      </w:r>
      <w:r>
        <w:fldChar w:fldCharType="end"/>
      </w:r>
    </w:p>
    <w:p w:rsidR="00C05426" w:rsidRDefault="00C05426">
      <w:pPr>
        <w:pStyle w:val="Obsah2"/>
        <w:rPr>
          <w:rFonts w:asciiTheme="minorHAnsi" w:eastAsiaTheme="minorEastAsia" w:hAnsiTheme="minorHAnsi" w:cstheme="minorBidi"/>
          <w:smallCaps w:val="0"/>
          <w:sz w:val="22"/>
          <w:szCs w:val="22"/>
        </w:rPr>
      </w:pPr>
      <w:r w:rsidRPr="007F2F57">
        <w:t>2.</w:t>
      </w:r>
      <w:r>
        <w:rPr>
          <w:rFonts w:asciiTheme="minorHAnsi" w:eastAsiaTheme="minorEastAsia" w:hAnsiTheme="minorHAnsi" w:cstheme="minorBidi"/>
          <w:smallCaps w:val="0"/>
          <w:sz w:val="22"/>
          <w:szCs w:val="22"/>
        </w:rPr>
        <w:tab/>
      </w:r>
      <w:r w:rsidRPr="007F2F57">
        <w:t>Struktura zaměstnanosti v sektorech, odvětvích a podle zaměstnání</w:t>
      </w:r>
      <w:r>
        <w:tab/>
      </w:r>
      <w:r>
        <w:fldChar w:fldCharType="begin"/>
      </w:r>
      <w:r>
        <w:instrText xml:space="preserve"> PAGEREF _Toc372530187 \h </w:instrText>
      </w:r>
      <w:r>
        <w:fldChar w:fldCharType="separate"/>
      </w:r>
      <w:r>
        <w:t>17</w:t>
      </w:r>
      <w:r>
        <w:fldChar w:fldCharType="end"/>
      </w:r>
    </w:p>
    <w:p w:rsidR="00C05426" w:rsidRDefault="00C05426">
      <w:pPr>
        <w:pStyle w:val="Obsah2"/>
        <w:rPr>
          <w:rFonts w:asciiTheme="minorHAnsi" w:eastAsiaTheme="minorEastAsia" w:hAnsiTheme="minorHAnsi" w:cstheme="minorBidi"/>
          <w:smallCaps w:val="0"/>
          <w:sz w:val="22"/>
          <w:szCs w:val="22"/>
        </w:rPr>
      </w:pPr>
      <w:r w:rsidRPr="007F2F57">
        <w:t>3.</w:t>
      </w:r>
      <w:r>
        <w:rPr>
          <w:rFonts w:asciiTheme="minorHAnsi" w:eastAsiaTheme="minorEastAsia" w:hAnsiTheme="minorHAnsi" w:cstheme="minorBidi"/>
          <w:smallCaps w:val="0"/>
          <w:sz w:val="22"/>
          <w:szCs w:val="22"/>
        </w:rPr>
        <w:tab/>
      </w:r>
      <w:r w:rsidRPr="007F2F57">
        <w:t>Vzdělanostní struktura zaměstnanosti</w:t>
      </w:r>
      <w:r>
        <w:tab/>
      </w:r>
      <w:r>
        <w:fldChar w:fldCharType="begin"/>
      </w:r>
      <w:r>
        <w:instrText xml:space="preserve"> PAGEREF _Toc372530188 \h </w:instrText>
      </w:r>
      <w:r>
        <w:fldChar w:fldCharType="separate"/>
      </w:r>
      <w:r>
        <w:t>19</w:t>
      </w:r>
      <w:r>
        <w:fldChar w:fldCharType="end"/>
      </w:r>
    </w:p>
    <w:p w:rsidR="00C05426" w:rsidRDefault="00C05426">
      <w:pPr>
        <w:pStyle w:val="Obsah2"/>
        <w:rPr>
          <w:rFonts w:asciiTheme="minorHAnsi" w:eastAsiaTheme="minorEastAsia" w:hAnsiTheme="minorHAnsi" w:cstheme="minorBidi"/>
          <w:smallCaps w:val="0"/>
          <w:sz w:val="22"/>
          <w:szCs w:val="22"/>
        </w:rPr>
      </w:pPr>
      <w:r w:rsidRPr="007F2F57">
        <w:t>4.</w:t>
      </w:r>
      <w:r>
        <w:rPr>
          <w:rFonts w:asciiTheme="minorHAnsi" w:eastAsiaTheme="minorEastAsia" w:hAnsiTheme="minorHAnsi" w:cstheme="minorBidi"/>
          <w:smallCaps w:val="0"/>
          <w:sz w:val="22"/>
          <w:szCs w:val="22"/>
        </w:rPr>
        <w:tab/>
      </w:r>
      <w:r w:rsidRPr="007F2F57">
        <w:t>Insolvence</w:t>
      </w:r>
      <w:r>
        <w:tab/>
      </w:r>
      <w:r>
        <w:fldChar w:fldCharType="begin"/>
      </w:r>
      <w:r>
        <w:instrText xml:space="preserve"> PAGEREF _Toc372530189 \h </w:instrText>
      </w:r>
      <w:r>
        <w:fldChar w:fldCharType="separate"/>
      </w:r>
      <w:r>
        <w:t>21</w:t>
      </w:r>
      <w:r>
        <w:fldChar w:fldCharType="end"/>
      </w:r>
    </w:p>
    <w:p w:rsidR="00C05426" w:rsidRDefault="00C05426">
      <w:pPr>
        <w:pStyle w:val="Obsah1"/>
        <w:rPr>
          <w:rFonts w:asciiTheme="minorHAnsi" w:eastAsiaTheme="minorEastAsia" w:hAnsiTheme="minorHAnsi" w:cstheme="minorBidi"/>
          <w:b w:val="0"/>
          <w:bCs w:val="0"/>
          <w:color w:val="auto"/>
          <w:sz w:val="22"/>
          <w:szCs w:val="22"/>
        </w:rPr>
      </w:pPr>
      <w:r>
        <w:t>III.</w:t>
      </w:r>
      <w:r>
        <w:rPr>
          <w:rFonts w:asciiTheme="minorHAnsi" w:eastAsiaTheme="minorEastAsia" w:hAnsiTheme="minorHAnsi" w:cstheme="minorBidi"/>
          <w:b w:val="0"/>
          <w:bCs w:val="0"/>
          <w:color w:val="auto"/>
          <w:sz w:val="22"/>
          <w:szCs w:val="22"/>
        </w:rPr>
        <w:tab/>
      </w:r>
      <w:r>
        <w:t>Nezaměstnanost</w:t>
      </w:r>
      <w:r>
        <w:tab/>
      </w:r>
      <w:r>
        <w:fldChar w:fldCharType="begin"/>
      </w:r>
      <w:r>
        <w:instrText xml:space="preserve"> PAGEREF _Toc372530190 \h </w:instrText>
      </w:r>
      <w:r>
        <w:fldChar w:fldCharType="separate"/>
      </w:r>
      <w:r>
        <w:t>24</w:t>
      </w:r>
      <w:r>
        <w:fldChar w:fldCharType="end"/>
      </w:r>
    </w:p>
    <w:p w:rsidR="00C05426" w:rsidRDefault="00C05426">
      <w:pPr>
        <w:pStyle w:val="Obsah2"/>
        <w:rPr>
          <w:rFonts w:asciiTheme="minorHAnsi" w:eastAsiaTheme="minorEastAsia" w:hAnsiTheme="minorHAnsi" w:cstheme="minorBidi"/>
          <w:smallCaps w:val="0"/>
          <w:sz w:val="22"/>
          <w:szCs w:val="22"/>
        </w:rPr>
      </w:pPr>
      <w:r w:rsidRPr="007F2F57">
        <w:t>1.</w:t>
      </w:r>
      <w:r>
        <w:rPr>
          <w:rFonts w:asciiTheme="minorHAnsi" w:eastAsiaTheme="minorEastAsia" w:hAnsiTheme="minorHAnsi" w:cstheme="minorBidi"/>
          <w:smallCaps w:val="0"/>
          <w:sz w:val="22"/>
          <w:szCs w:val="22"/>
        </w:rPr>
        <w:tab/>
      </w:r>
      <w:r w:rsidRPr="007F2F57">
        <w:t>Stav a vývoj nezaměstnanosti</w:t>
      </w:r>
      <w:r>
        <w:tab/>
      </w:r>
      <w:r>
        <w:fldChar w:fldCharType="begin"/>
      </w:r>
      <w:r>
        <w:instrText xml:space="preserve"> PAGEREF _Toc372530191 \h </w:instrText>
      </w:r>
      <w:r>
        <w:fldChar w:fldCharType="separate"/>
      </w:r>
      <w:r>
        <w:t>24</w:t>
      </w:r>
      <w:r>
        <w:fldChar w:fldCharType="end"/>
      </w:r>
    </w:p>
    <w:p w:rsidR="00C05426" w:rsidRDefault="00C05426">
      <w:pPr>
        <w:pStyle w:val="Obsah2"/>
        <w:rPr>
          <w:rFonts w:asciiTheme="minorHAnsi" w:eastAsiaTheme="minorEastAsia" w:hAnsiTheme="minorHAnsi" w:cstheme="minorBidi"/>
          <w:smallCaps w:val="0"/>
          <w:sz w:val="22"/>
          <w:szCs w:val="22"/>
        </w:rPr>
      </w:pPr>
      <w:r w:rsidRPr="007F2F57">
        <w:t>2.</w:t>
      </w:r>
      <w:r>
        <w:rPr>
          <w:rFonts w:asciiTheme="minorHAnsi" w:eastAsiaTheme="minorEastAsia" w:hAnsiTheme="minorHAnsi" w:cstheme="minorBidi"/>
          <w:smallCaps w:val="0"/>
          <w:sz w:val="22"/>
          <w:szCs w:val="22"/>
        </w:rPr>
        <w:tab/>
      </w:r>
      <w:r w:rsidRPr="007F2F57">
        <w:t>Toky nezaměstnanosti</w:t>
      </w:r>
      <w:r>
        <w:tab/>
      </w:r>
      <w:r>
        <w:fldChar w:fldCharType="begin"/>
      </w:r>
      <w:r>
        <w:instrText xml:space="preserve"> PAGEREF _Toc372530192 \h </w:instrText>
      </w:r>
      <w:r>
        <w:fldChar w:fldCharType="separate"/>
      </w:r>
      <w:r>
        <w:t>30</w:t>
      </w:r>
      <w:r>
        <w:fldChar w:fldCharType="end"/>
      </w:r>
    </w:p>
    <w:p w:rsidR="00C05426" w:rsidRDefault="00C05426">
      <w:pPr>
        <w:pStyle w:val="Obsah2"/>
        <w:rPr>
          <w:rFonts w:asciiTheme="minorHAnsi" w:eastAsiaTheme="minorEastAsia" w:hAnsiTheme="minorHAnsi" w:cstheme="minorBidi"/>
          <w:smallCaps w:val="0"/>
          <w:sz w:val="22"/>
          <w:szCs w:val="22"/>
        </w:rPr>
      </w:pPr>
      <w:r w:rsidRPr="007F2F57">
        <w:t>3.</w:t>
      </w:r>
      <w:r>
        <w:rPr>
          <w:rFonts w:asciiTheme="minorHAnsi" w:eastAsiaTheme="minorEastAsia" w:hAnsiTheme="minorHAnsi" w:cstheme="minorBidi"/>
          <w:smallCaps w:val="0"/>
          <w:sz w:val="22"/>
          <w:szCs w:val="22"/>
        </w:rPr>
        <w:tab/>
      </w:r>
      <w:r w:rsidRPr="007F2F57">
        <w:t>Struktura uchazečů o zaměstnání</w:t>
      </w:r>
      <w:r>
        <w:tab/>
      </w:r>
      <w:r>
        <w:fldChar w:fldCharType="begin"/>
      </w:r>
      <w:r>
        <w:instrText xml:space="preserve"> PAGEREF _Toc372530193 \h </w:instrText>
      </w:r>
      <w:r>
        <w:fldChar w:fldCharType="separate"/>
      </w:r>
      <w:r>
        <w:t>32</w:t>
      </w:r>
      <w:r>
        <w:fldChar w:fldCharType="end"/>
      </w:r>
    </w:p>
    <w:p w:rsidR="00C05426" w:rsidRDefault="00C05426">
      <w:pPr>
        <w:pStyle w:val="Obsah2"/>
        <w:rPr>
          <w:rFonts w:asciiTheme="minorHAnsi" w:eastAsiaTheme="minorEastAsia" w:hAnsiTheme="minorHAnsi" w:cstheme="minorBidi"/>
          <w:smallCaps w:val="0"/>
          <w:sz w:val="22"/>
          <w:szCs w:val="22"/>
        </w:rPr>
      </w:pPr>
      <w:r w:rsidRPr="007F2F57">
        <w:t>4.</w:t>
      </w:r>
      <w:r>
        <w:rPr>
          <w:rFonts w:asciiTheme="minorHAnsi" w:eastAsiaTheme="minorEastAsia" w:hAnsiTheme="minorHAnsi" w:cstheme="minorBidi"/>
          <w:smallCaps w:val="0"/>
          <w:sz w:val="22"/>
          <w:szCs w:val="22"/>
        </w:rPr>
        <w:tab/>
      </w:r>
      <w:r w:rsidRPr="007F2F57">
        <w:t>Regionální nezaměstnanost</w:t>
      </w:r>
      <w:r>
        <w:tab/>
      </w:r>
      <w:r>
        <w:fldChar w:fldCharType="begin"/>
      </w:r>
      <w:r>
        <w:instrText xml:space="preserve"> PAGEREF _Toc372530194 \h </w:instrText>
      </w:r>
      <w:r>
        <w:fldChar w:fldCharType="separate"/>
      </w:r>
      <w:r>
        <w:t>41</w:t>
      </w:r>
      <w:r>
        <w:fldChar w:fldCharType="end"/>
      </w:r>
    </w:p>
    <w:p w:rsidR="00C05426" w:rsidRDefault="00C05426">
      <w:pPr>
        <w:pStyle w:val="Obsah1"/>
        <w:rPr>
          <w:rFonts w:asciiTheme="minorHAnsi" w:eastAsiaTheme="minorEastAsia" w:hAnsiTheme="minorHAnsi" w:cstheme="minorBidi"/>
          <w:b w:val="0"/>
          <w:bCs w:val="0"/>
          <w:color w:val="auto"/>
          <w:sz w:val="22"/>
          <w:szCs w:val="22"/>
        </w:rPr>
      </w:pPr>
      <w:r>
        <w:t>IV.</w:t>
      </w:r>
      <w:r>
        <w:rPr>
          <w:rFonts w:asciiTheme="minorHAnsi" w:eastAsiaTheme="minorEastAsia" w:hAnsiTheme="minorHAnsi" w:cstheme="minorBidi"/>
          <w:b w:val="0"/>
          <w:bCs w:val="0"/>
          <w:color w:val="auto"/>
          <w:sz w:val="22"/>
          <w:szCs w:val="22"/>
        </w:rPr>
        <w:tab/>
      </w:r>
      <w:r>
        <w:t>Politika zaměstnanosti</w:t>
      </w:r>
      <w:r>
        <w:tab/>
      </w:r>
      <w:r>
        <w:fldChar w:fldCharType="begin"/>
      </w:r>
      <w:r>
        <w:instrText xml:space="preserve"> PAGEREF _Toc372530195 \h </w:instrText>
      </w:r>
      <w:r>
        <w:fldChar w:fldCharType="separate"/>
      </w:r>
      <w:r>
        <w:t>45</w:t>
      </w:r>
      <w:r>
        <w:fldChar w:fldCharType="end"/>
      </w:r>
    </w:p>
    <w:p w:rsidR="00C05426" w:rsidRDefault="00C05426">
      <w:pPr>
        <w:pStyle w:val="Obsah2"/>
        <w:rPr>
          <w:rFonts w:asciiTheme="minorHAnsi" w:eastAsiaTheme="minorEastAsia" w:hAnsiTheme="minorHAnsi" w:cstheme="minorBidi"/>
          <w:smallCaps w:val="0"/>
          <w:sz w:val="22"/>
          <w:szCs w:val="22"/>
        </w:rPr>
      </w:pPr>
      <w:r>
        <w:t>1.</w:t>
      </w:r>
      <w:r>
        <w:rPr>
          <w:rFonts w:asciiTheme="minorHAnsi" w:eastAsiaTheme="minorEastAsia" w:hAnsiTheme="minorHAnsi" w:cstheme="minorBidi"/>
          <w:smallCaps w:val="0"/>
          <w:sz w:val="22"/>
          <w:szCs w:val="22"/>
        </w:rPr>
        <w:tab/>
      </w:r>
      <w:r>
        <w:t>Zaměření politiky zaměstnanosti</w:t>
      </w:r>
      <w:r>
        <w:tab/>
      </w:r>
      <w:r>
        <w:fldChar w:fldCharType="begin"/>
      </w:r>
      <w:r>
        <w:instrText xml:space="preserve"> PAGEREF _Toc372530196 \h </w:instrText>
      </w:r>
      <w:r>
        <w:fldChar w:fldCharType="separate"/>
      </w:r>
      <w:r>
        <w:t>45</w:t>
      </w:r>
      <w:r>
        <w:fldChar w:fldCharType="end"/>
      </w:r>
    </w:p>
    <w:p w:rsidR="00C05426" w:rsidRDefault="00C05426">
      <w:pPr>
        <w:pStyle w:val="Obsah2"/>
        <w:rPr>
          <w:rFonts w:asciiTheme="minorHAnsi" w:eastAsiaTheme="minorEastAsia" w:hAnsiTheme="minorHAnsi" w:cstheme="minorBidi"/>
          <w:smallCaps w:val="0"/>
          <w:sz w:val="22"/>
          <w:szCs w:val="22"/>
        </w:rPr>
      </w:pPr>
      <w:r>
        <w:t>2.</w:t>
      </w:r>
      <w:r>
        <w:rPr>
          <w:rFonts w:asciiTheme="minorHAnsi" w:eastAsiaTheme="minorEastAsia" w:hAnsiTheme="minorHAnsi" w:cstheme="minorBidi"/>
          <w:smallCaps w:val="0"/>
          <w:sz w:val="22"/>
          <w:szCs w:val="22"/>
        </w:rPr>
        <w:tab/>
      </w:r>
      <w:r>
        <w:t>Výdaje na politiku zaměstnanosti</w:t>
      </w:r>
      <w:r>
        <w:tab/>
      </w:r>
      <w:r>
        <w:fldChar w:fldCharType="begin"/>
      </w:r>
      <w:r>
        <w:instrText xml:space="preserve"> PAGEREF _Toc372530197 \h </w:instrText>
      </w:r>
      <w:r>
        <w:fldChar w:fldCharType="separate"/>
      </w:r>
      <w:r>
        <w:t>46</w:t>
      </w:r>
      <w:r>
        <w:fldChar w:fldCharType="end"/>
      </w:r>
    </w:p>
    <w:p w:rsidR="00C05426" w:rsidRDefault="00C05426">
      <w:pPr>
        <w:pStyle w:val="Obsah2"/>
        <w:rPr>
          <w:rFonts w:asciiTheme="minorHAnsi" w:eastAsiaTheme="minorEastAsia" w:hAnsiTheme="minorHAnsi" w:cstheme="minorBidi"/>
          <w:smallCaps w:val="0"/>
          <w:sz w:val="22"/>
          <w:szCs w:val="22"/>
        </w:rPr>
      </w:pPr>
      <w:r>
        <w:t>3.</w:t>
      </w:r>
      <w:r>
        <w:rPr>
          <w:rFonts w:asciiTheme="minorHAnsi" w:eastAsiaTheme="minorEastAsia" w:hAnsiTheme="minorHAnsi" w:cstheme="minorBidi"/>
          <w:smallCaps w:val="0"/>
          <w:sz w:val="22"/>
          <w:szCs w:val="22"/>
        </w:rPr>
        <w:tab/>
      </w:r>
      <w:r>
        <w:t>Aktivní politika zaměstnanosti realizovaná ÚP ČR</w:t>
      </w:r>
      <w:r>
        <w:tab/>
      </w:r>
      <w:r>
        <w:fldChar w:fldCharType="begin"/>
      </w:r>
      <w:r>
        <w:instrText xml:space="preserve"> PAGEREF _Toc372530198 \h </w:instrText>
      </w:r>
      <w:r>
        <w:fldChar w:fldCharType="separate"/>
      </w:r>
      <w:r>
        <w:t>47</w:t>
      </w:r>
      <w:r>
        <w:fldChar w:fldCharType="end"/>
      </w:r>
    </w:p>
    <w:p w:rsidR="00C05426" w:rsidRDefault="00C05426">
      <w:pPr>
        <w:pStyle w:val="Obsah2"/>
        <w:rPr>
          <w:rFonts w:asciiTheme="minorHAnsi" w:eastAsiaTheme="minorEastAsia" w:hAnsiTheme="minorHAnsi" w:cstheme="minorBidi"/>
          <w:smallCaps w:val="0"/>
          <w:sz w:val="22"/>
          <w:szCs w:val="22"/>
        </w:rPr>
      </w:pPr>
      <w:r>
        <w:t>4.</w:t>
      </w:r>
      <w:r>
        <w:rPr>
          <w:rFonts w:asciiTheme="minorHAnsi" w:eastAsiaTheme="minorEastAsia" w:hAnsiTheme="minorHAnsi" w:cstheme="minorBidi"/>
          <w:smallCaps w:val="0"/>
          <w:sz w:val="22"/>
          <w:szCs w:val="22"/>
        </w:rPr>
        <w:tab/>
      </w:r>
      <w:r>
        <w:t>Systém investičních pobídek</w:t>
      </w:r>
      <w:r>
        <w:tab/>
      </w:r>
      <w:r>
        <w:fldChar w:fldCharType="begin"/>
      </w:r>
      <w:r>
        <w:instrText xml:space="preserve"> PAGEREF _Toc372530199 \h </w:instrText>
      </w:r>
      <w:r>
        <w:fldChar w:fldCharType="separate"/>
      </w:r>
      <w:r>
        <w:t>56</w:t>
      </w:r>
      <w:r>
        <w:fldChar w:fldCharType="end"/>
      </w:r>
    </w:p>
    <w:p w:rsidR="00C05426" w:rsidRDefault="00C05426">
      <w:pPr>
        <w:pStyle w:val="Obsah2"/>
        <w:rPr>
          <w:rFonts w:asciiTheme="minorHAnsi" w:eastAsiaTheme="minorEastAsia" w:hAnsiTheme="minorHAnsi" w:cstheme="minorBidi"/>
          <w:smallCaps w:val="0"/>
          <w:sz w:val="22"/>
          <w:szCs w:val="22"/>
        </w:rPr>
      </w:pPr>
      <w:r>
        <w:t>5.</w:t>
      </w:r>
      <w:r>
        <w:rPr>
          <w:rFonts w:asciiTheme="minorHAnsi" w:eastAsiaTheme="minorEastAsia" w:hAnsiTheme="minorHAnsi" w:cstheme="minorBidi"/>
          <w:smallCaps w:val="0"/>
          <w:sz w:val="22"/>
          <w:szCs w:val="22"/>
        </w:rPr>
        <w:tab/>
      </w:r>
      <w:r>
        <w:t>Projekty financované z prostředků Evropského sociálního fondu</w:t>
      </w:r>
      <w:r>
        <w:tab/>
      </w:r>
      <w:r>
        <w:fldChar w:fldCharType="begin"/>
      </w:r>
      <w:r>
        <w:instrText xml:space="preserve"> PAGEREF _Toc372530200 \h </w:instrText>
      </w:r>
      <w:r>
        <w:fldChar w:fldCharType="separate"/>
      </w:r>
      <w:r>
        <w:t>56</w:t>
      </w:r>
      <w:r>
        <w:fldChar w:fldCharType="end"/>
      </w:r>
    </w:p>
    <w:p w:rsidR="00C05426" w:rsidRDefault="00C05426">
      <w:pPr>
        <w:pStyle w:val="Obsah1"/>
        <w:rPr>
          <w:rFonts w:asciiTheme="minorHAnsi" w:eastAsiaTheme="minorEastAsia" w:hAnsiTheme="minorHAnsi" w:cstheme="minorBidi"/>
          <w:b w:val="0"/>
          <w:bCs w:val="0"/>
          <w:color w:val="auto"/>
          <w:sz w:val="22"/>
          <w:szCs w:val="22"/>
        </w:rPr>
      </w:pPr>
      <w:r>
        <w:t>V.</w:t>
      </w:r>
      <w:r>
        <w:rPr>
          <w:rFonts w:asciiTheme="minorHAnsi" w:eastAsiaTheme="minorEastAsia" w:hAnsiTheme="minorHAnsi" w:cstheme="minorBidi"/>
          <w:b w:val="0"/>
          <w:bCs w:val="0"/>
          <w:color w:val="auto"/>
          <w:sz w:val="22"/>
          <w:szCs w:val="22"/>
        </w:rPr>
        <w:tab/>
      </w:r>
      <w:r>
        <w:t>Mezinárodní srovnání zaměstnanosti a nezaměstnanosti</w:t>
      </w:r>
      <w:r>
        <w:tab/>
      </w:r>
      <w:r>
        <w:fldChar w:fldCharType="begin"/>
      </w:r>
      <w:r>
        <w:instrText xml:space="preserve"> PAGEREF _Toc372530201 \h </w:instrText>
      </w:r>
      <w:r>
        <w:fldChar w:fldCharType="separate"/>
      </w:r>
      <w:r>
        <w:t>68</w:t>
      </w:r>
      <w:r>
        <w:fldChar w:fldCharType="end"/>
      </w:r>
    </w:p>
    <w:p w:rsidR="00C05426" w:rsidRDefault="00C05426">
      <w:pPr>
        <w:pStyle w:val="Obsah1"/>
        <w:rPr>
          <w:rFonts w:asciiTheme="minorHAnsi" w:eastAsiaTheme="minorEastAsia" w:hAnsiTheme="minorHAnsi" w:cstheme="minorBidi"/>
          <w:b w:val="0"/>
          <w:bCs w:val="0"/>
          <w:color w:val="auto"/>
          <w:sz w:val="22"/>
          <w:szCs w:val="22"/>
        </w:rPr>
      </w:pPr>
      <w:r>
        <w:t>VI.</w:t>
      </w:r>
      <w:r>
        <w:rPr>
          <w:rFonts w:asciiTheme="minorHAnsi" w:eastAsiaTheme="minorEastAsia" w:hAnsiTheme="minorHAnsi" w:cstheme="minorBidi"/>
          <w:b w:val="0"/>
          <w:bCs w:val="0"/>
          <w:color w:val="auto"/>
          <w:sz w:val="22"/>
          <w:szCs w:val="22"/>
        </w:rPr>
        <w:tab/>
      </w:r>
      <w:r>
        <w:t>Očekávání ve vývoji zaměstnanosti a nezaměstnanosti</w:t>
      </w:r>
      <w:r>
        <w:tab/>
      </w:r>
      <w:r>
        <w:fldChar w:fldCharType="begin"/>
      </w:r>
      <w:r>
        <w:instrText xml:space="preserve"> PAGEREF _Toc372530202 \h </w:instrText>
      </w:r>
      <w:r>
        <w:fldChar w:fldCharType="separate"/>
      </w:r>
      <w:r>
        <w:t>75</w:t>
      </w:r>
      <w:r>
        <w:fldChar w:fldCharType="end"/>
      </w:r>
    </w:p>
    <w:p w:rsidR="0000183B" w:rsidRPr="00145A9B" w:rsidRDefault="00B2121B" w:rsidP="003C3E53">
      <w:pPr>
        <w:rPr>
          <w:rFonts w:ascii="Arial" w:hAnsi="Arial" w:cs="Arial"/>
          <w:color w:val="00B0F0"/>
          <w:sz w:val="20"/>
          <w:szCs w:val="20"/>
        </w:rPr>
      </w:pPr>
      <w:r w:rsidRPr="00D07FEC">
        <w:rPr>
          <w:rFonts w:ascii="Arial" w:hAnsi="Arial" w:cs="Arial"/>
          <w:color w:val="00B0F0"/>
        </w:rPr>
        <w:fldChar w:fldCharType="end"/>
      </w:r>
    </w:p>
    <w:p w:rsidR="00CD10BB" w:rsidRPr="00145A9B" w:rsidRDefault="00CD10BB" w:rsidP="00AC4C74">
      <w:pPr>
        <w:rPr>
          <w:rFonts w:ascii="Arial" w:hAnsi="Arial" w:cs="Arial"/>
          <w:color w:val="00B0F0"/>
          <w:sz w:val="20"/>
          <w:szCs w:val="20"/>
        </w:rPr>
      </w:pPr>
    </w:p>
    <w:p w:rsidR="00CD10BB" w:rsidRPr="00F966CC" w:rsidRDefault="00CD10BB" w:rsidP="00AC4C74">
      <w:pPr>
        <w:rPr>
          <w:rFonts w:ascii="Arial" w:hAnsi="Arial" w:cs="Arial"/>
        </w:rPr>
      </w:pPr>
      <w:r w:rsidRPr="00F966CC">
        <w:rPr>
          <w:rFonts w:ascii="Arial" w:hAnsi="Arial" w:cs="Arial"/>
        </w:rPr>
        <w:t>Metodické poznámky</w:t>
      </w:r>
    </w:p>
    <w:p w:rsidR="00CD10BB" w:rsidRPr="00F966CC" w:rsidRDefault="00CD10BB" w:rsidP="00AC4C74">
      <w:pPr>
        <w:rPr>
          <w:rFonts w:ascii="Arial" w:hAnsi="Arial" w:cs="Arial"/>
        </w:rPr>
      </w:pPr>
      <w:r w:rsidRPr="00F966CC">
        <w:rPr>
          <w:rFonts w:ascii="Arial" w:hAnsi="Arial" w:cs="Arial"/>
        </w:rPr>
        <w:t>Seznam použitých zkratek</w:t>
      </w:r>
    </w:p>
    <w:p w:rsidR="00CD10BB" w:rsidRPr="00F966CC" w:rsidRDefault="00CD10BB" w:rsidP="00AC4C74">
      <w:pPr>
        <w:rPr>
          <w:rFonts w:ascii="Arial" w:hAnsi="Arial" w:cs="Arial"/>
        </w:rPr>
      </w:pPr>
    </w:p>
    <w:p w:rsidR="00AA48F5" w:rsidRPr="00F966CC" w:rsidRDefault="00AA48F5" w:rsidP="00AC4C74">
      <w:pPr>
        <w:rPr>
          <w:rFonts w:ascii="Arial" w:hAnsi="Arial" w:cs="Arial"/>
        </w:rPr>
      </w:pPr>
    </w:p>
    <w:p w:rsidR="00CD10BB" w:rsidRPr="00F966CC" w:rsidRDefault="00CD10BB" w:rsidP="00AC4C74">
      <w:pPr>
        <w:rPr>
          <w:rFonts w:ascii="Arial" w:hAnsi="Arial" w:cs="Arial"/>
        </w:rPr>
      </w:pPr>
      <w:r w:rsidRPr="00F966CC">
        <w:rPr>
          <w:rFonts w:ascii="Arial" w:hAnsi="Arial" w:cs="Arial"/>
        </w:rPr>
        <w:t>Přílohy</w:t>
      </w:r>
    </w:p>
    <w:p w:rsidR="00010E98" w:rsidRPr="00F966CC" w:rsidRDefault="00010E98" w:rsidP="00AC4C74">
      <w:pPr>
        <w:rPr>
          <w:rFonts w:ascii="Arial" w:hAnsi="Arial" w:cs="Arial"/>
        </w:rPr>
      </w:pPr>
    </w:p>
    <w:p w:rsidR="00CD10BB" w:rsidRPr="00F966CC" w:rsidRDefault="00CD10BB" w:rsidP="00AC4C74">
      <w:r w:rsidRPr="00F966CC">
        <w:rPr>
          <w:rFonts w:ascii="Arial" w:hAnsi="Arial" w:cs="Arial"/>
        </w:rPr>
        <w:t>Zdroj dat: MPSV (pokud není uvedeno jinak)</w:t>
      </w:r>
    </w:p>
    <w:p w:rsidR="00D046EC" w:rsidRPr="009A2E50" w:rsidRDefault="00B153F5" w:rsidP="004945EE">
      <w:pPr>
        <w:pStyle w:val="Nadpis1"/>
        <w:rPr>
          <w:iCs/>
        </w:rPr>
      </w:pPr>
      <w:r w:rsidRPr="00145A9B">
        <w:br w:type="column"/>
      </w:r>
      <w:bookmarkStart w:id="37" w:name="_Toc372530184"/>
      <w:r w:rsidR="00D046EC" w:rsidRPr="009A2E50">
        <w:lastRenderedPageBreak/>
        <w:t>Hlavní tendence ve vývoji zaměstnanosti a nezaměstnanosti</w:t>
      </w:r>
      <w:bookmarkEnd w:id="37"/>
      <w:r w:rsidR="00D046EC" w:rsidRPr="009A2E50">
        <w:t xml:space="preserve"> </w:t>
      </w:r>
      <w:bookmarkEnd w:id="0"/>
    </w:p>
    <w:p w:rsidR="00DE49E3" w:rsidRPr="00D92515" w:rsidRDefault="00DE49E3" w:rsidP="004945EE">
      <w:pPr>
        <w:pStyle w:val="Nadpis1"/>
        <w:numPr>
          <w:ilvl w:val="0"/>
          <w:numId w:val="0"/>
        </w:numPr>
        <w:ind w:left="426"/>
      </w:pPr>
    </w:p>
    <w:p w:rsidR="00D046EC" w:rsidRPr="009535E5" w:rsidRDefault="00D046EC" w:rsidP="00D046EC">
      <w:pPr>
        <w:ind w:firstLine="720"/>
        <w:jc w:val="both"/>
        <w:rPr>
          <w:rFonts w:ascii="Arial" w:hAnsi="Arial" w:cs="Arial"/>
        </w:rPr>
      </w:pPr>
    </w:p>
    <w:p w:rsidR="00257B11" w:rsidRPr="00771ABA" w:rsidRDefault="00257B11" w:rsidP="00257B11">
      <w:pPr>
        <w:pStyle w:val="Odstavecseseznamem"/>
        <w:numPr>
          <w:ilvl w:val="0"/>
          <w:numId w:val="37"/>
        </w:numPr>
        <w:tabs>
          <w:tab w:val="center" w:pos="0"/>
        </w:tabs>
        <w:spacing w:after="120" w:line="360" w:lineRule="auto"/>
        <w:ind w:left="426" w:hanging="426"/>
        <w:jc w:val="both"/>
        <w:rPr>
          <w:rFonts w:ascii="Arial" w:hAnsi="Arial" w:cs="Arial"/>
        </w:rPr>
      </w:pPr>
      <w:r w:rsidRPr="00771ABA">
        <w:rPr>
          <w:rFonts w:ascii="Arial" w:hAnsi="Arial" w:cs="Arial"/>
          <w:b/>
          <w:bCs/>
        </w:rPr>
        <w:t>V 1. pololetí 201</w:t>
      </w:r>
      <w:r>
        <w:rPr>
          <w:rFonts w:ascii="Arial" w:hAnsi="Arial" w:cs="Arial"/>
          <w:b/>
          <w:bCs/>
        </w:rPr>
        <w:t>3</w:t>
      </w:r>
      <w:r w:rsidRPr="00771ABA">
        <w:rPr>
          <w:rFonts w:ascii="Arial" w:hAnsi="Arial" w:cs="Arial"/>
          <w:bCs/>
        </w:rPr>
        <w:t xml:space="preserve"> </w:t>
      </w:r>
      <w:r w:rsidRPr="00771ABA">
        <w:rPr>
          <w:rFonts w:ascii="Arial" w:hAnsi="Arial" w:cs="Arial"/>
        </w:rPr>
        <w:t xml:space="preserve">dosáhl podle výsledků Výběrového šetření pracovních sil ČSÚ (VŠPS) průměrný </w:t>
      </w:r>
      <w:r w:rsidRPr="00771ABA">
        <w:rPr>
          <w:rFonts w:ascii="Arial" w:hAnsi="Arial" w:cs="Arial"/>
          <w:b/>
          <w:bCs/>
        </w:rPr>
        <w:t>počet zaměstnaných</w:t>
      </w:r>
      <w:r w:rsidRPr="00771ABA">
        <w:rPr>
          <w:rFonts w:ascii="Arial" w:hAnsi="Arial" w:cs="Arial"/>
        </w:rPr>
        <w:t xml:space="preserve"> ve všech sférách národního hospodářství </w:t>
      </w:r>
      <w:r w:rsidRPr="00251317">
        <w:rPr>
          <w:rFonts w:ascii="Arial" w:hAnsi="Arial" w:cs="Arial"/>
          <w:b/>
          <w:bCs/>
        </w:rPr>
        <w:t>4 918,5 tis. osob</w:t>
      </w:r>
      <w:r w:rsidRPr="00771ABA">
        <w:rPr>
          <w:rFonts w:ascii="Arial" w:hAnsi="Arial" w:cs="Arial"/>
          <w:bCs/>
        </w:rPr>
        <w:t>.</w:t>
      </w:r>
      <w:r w:rsidRPr="00771ABA">
        <w:rPr>
          <w:rFonts w:ascii="Arial" w:hAnsi="Arial" w:cs="Arial"/>
        </w:rPr>
        <w:t xml:space="preserve"> Jejich počet meziročně </w:t>
      </w:r>
      <w:r w:rsidRPr="00771ABA">
        <w:rPr>
          <w:rFonts w:ascii="Arial" w:hAnsi="Arial" w:cs="Arial"/>
          <w:b/>
        </w:rPr>
        <w:t xml:space="preserve">vzrostl </w:t>
      </w:r>
      <w:r w:rsidRPr="00771ABA">
        <w:rPr>
          <w:rFonts w:ascii="Arial" w:hAnsi="Arial" w:cs="Arial"/>
        </w:rPr>
        <w:t>absolutně</w:t>
      </w:r>
      <w:r w:rsidRPr="00771ABA">
        <w:rPr>
          <w:rFonts w:ascii="Arial" w:hAnsi="Arial" w:cs="Arial"/>
          <w:b/>
        </w:rPr>
        <w:t xml:space="preserve"> </w:t>
      </w:r>
      <w:r w:rsidRPr="00251317">
        <w:rPr>
          <w:rFonts w:ascii="Arial" w:hAnsi="Arial" w:cs="Arial"/>
          <w:b/>
          <w:bCs/>
        </w:rPr>
        <w:t>o 57,0 tis.,</w:t>
      </w:r>
      <w:r w:rsidRPr="00251317">
        <w:rPr>
          <w:rFonts w:ascii="Arial" w:hAnsi="Arial" w:cs="Arial"/>
          <w:bCs/>
        </w:rPr>
        <w:t xml:space="preserve"> v relativním vyjádření </w:t>
      </w:r>
      <w:r w:rsidRPr="00251317">
        <w:rPr>
          <w:rFonts w:ascii="Arial" w:hAnsi="Arial" w:cs="Arial"/>
          <w:b/>
          <w:bCs/>
        </w:rPr>
        <w:t>o</w:t>
      </w:r>
      <w:r w:rsidRPr="00251317">
        <w:rPr>
          <w:rFonts w:ascii="Arial" w:hAnsi="Arial" w:cs="Arial"/>
          <w:bCs/>
        </w:rPr>
        <w:t> </w:t>
      </w:r>
      <w:r w:rsidRPr="00251317">
        <w:rPr>
          <w:rFonts w:ascii="Arial" w:hAnsi="Arial" w:cs="Arial"/>
          <w:b/>
          <w:bCs/>
        </w:rPr>
        <w:t>1,2 %</w:t>
      </w:r>
      <w:r w:rsidRPr="00771ABA">
        <w:rPr>
          <w:rFonts w:ascii="Arial" w:hAnsi="Arial" w:cs="Arial"/>
        </w:rPr>
        <w:t xml:space="preserve">. </w:t>
      </w:r>
      <w:r w:rsidRPr="00251317">
        <w:rPr>
          <w:rFonts w:ascii="Arial" w:hAnsi="Arial" w:cs="Arial"/>
        </w:rPr>
        <w:t xml:space="preserve">Podle výsledků za jednotlivá čtvrtletí 2013 představoval meziroční nárůst v 1. čtvrtletí 1,0 %, ve 2. čtvrtletí </w:t>
      </w:r>
      <w:r>
        <w:rPr>
          <w:rFonts w:ascii="Arial" w:hAnsi="Arial" w:cs="Arial"/>
        </w:rPr>
        <w:t xml:space="preserve">zrychlil na </w:t>
      </w:r>
      <w:r w:rsidRPr="00251317">
        <w:rPr>
          <w:rFonts w:ascii="Arial" w:hAnsi="Arial" w:cs="Arial"/>
        </w:rPr>
        <w:t xml:space="preserve">1,3 %. </w:t>
      </w:r>
      <w:r w:rsidRPr="00771ABA">
        <w:rPr>
          <w:rFonts w:ascii="Arial" w:hAnsi="Arial" w:cs="Arial"/>
        </w:rPr>
        <w:t xml:space="preserve"> </w:t>
      </w:r>
      <w:r>
        <w:rPr>
          <w:rFonts w:ascii="Arial" w:hAnsi="Arial" w:cs="Arial"/>
        </w:rPr>
        <w:t>T</w:t>
      </w:r>
      <w:r w:rsidRPr="00251317">
        <w:rPr>
          <w:rFonts w:ascii="Arial" w:hAnsi="Arial" w:cs="Arial"/>
        </w:rPr>
        <w:t xml:space="preserve">ento neobvyklý vývoj </w:t>
      </w:r>
      <w:r>
        <w:rPr>
          <w:rFonts w:ascii="Arial" w:hAnsi="Arial" w:cs="Arial"/>
        </w:rPr>
        <w:t>v</w:t>
      </w:r>
      <w:r w:rsidRPr="00251317">
        <w:rPr>
          <w:rFonts w:ascii="Arial" w:hAnsi="Arial" w:cs="Arial"/>
        </w:rPr>
        <w:t xml:space="preserve"> období poklesu ekonomiky souvisel </w:t>
      </w:r>
      <w:r>
        <w:rPr>
          <w:rFonts w:ascii="Arial" w:hAnsi="Arial" w:cs="Arial"/>
        </w:rPr>
        <w:t xml:space="preserve">především </w:t>
      </w:r>
      <w:r w:rsidRPr="00251317">
        <w:rPr>
          <w:rFonts w:ascii="Arial" w:hAnsi="Arial" w:cs="Arial"/>
        </w:rPr>
        <w:t>s </w:t>
      </w:r>
      <w:r>
        <w:rPr>
          <w:rFonts w:ascii="Arial" w:hAnsi="Arial" w:cs="Arial"/>
        </w:rPr>
        <w:t>nárůstem</w:t>
      </w:r>
      <w:r w:rsidRPr="00251317">
        <w:rPr>
          <w:rFonts w:ascii="Arial" w:hAnsi="Arial" w:cs="Arial"/>
        </w:rPr>
        <w:t xml:space="preserve"> počt</w:t>
      </w:r>
      <w:r>
        <w:rPr>
          <w:rFonts w:ascii="Arial" w:hAnsi="Arial" w:cs="Arial"/>
        </w:rPr>
        <w:t>u</w:t>
      </w:r>
      <w:r w:rsidRPr="00251317">
        <w:rPr>
          <w:rFonts w:ascii="Arial" w:hAnsi="Arial" w:cs="Arial"/>
        </w:rPr>
        <w:t xml:space="preserve"> pracujících na kratší dobu</w:t>
      </w:r>
      <w:r>
        <w:rPr>
          <w:rFonts w:ascii="Arial" w:hAnsi="Arial" w:cs="Arial"/>
        </w:rPr>
        <w:t>.</w:t>
      </w:r>
    </w:p>
    <w:p w:rsidR="00257B11" w:rsidRPr="00771ABA" w:rsidRDefault="00257B11" w:rsidP="00257B11">
      <w:pPr>
        <w:pStyle w:val="Odstavecseseznamem"/>
        <w:numPr>
          <w:ilvl w:val="0"/>
          <w:numId w:val="37"/>
        </w:numPr>
        <w:tabs>
          <w:tab w:val="center" w:pos="0"/>
        </w:tabs>
        <w:spacing w:after="120" w:line="360" w:lineRule="auto"/>
        <w:ind w:left="426" w:hanging="426"/>
        <w:jc w:val="both"/>
        <w:rPr>
          <w:rFonts w:ascii="Arial" w:hAnsi="Arial" w:cs="Arial"/>
        </w:rPr>
      </w:pPr>
      <w:r w:rsidRPr="00251317">
        <w:rPr>
          <w:rFonts w:ascii="Arial" w:hAnsi="Arial" w:cs="Arial"/>
          <w:b/>
          <w:bCs/>
        </w:rPr>
        <w:t>Na zvýšení zaměstnanosti</w:t>
      </w:r>
      <w:r w:rsidRPr="00251317">
        <w:rPr>
          <w:rFonts w:ascii="Arial" w:hAnsi="Arial" w:cs="Arial"/>
          <w:bCs/>
        </w:rPr>
        <w:t xml:space="preserve"> se podílely ze dvou třetin </w:t>
      </w:r>
      <w:r w:rsidRPr="00251317">
        <w:rPr>
          <w:rFonts w:ascii="Arial" w:hAnsi="Arial" w:cs="Arial"/>
          <w:b/>
          <w:bCs/>
        </w:rPr>
        <w:t xml:space="preserve">ženy, </w:t>
      </w:r>
      <w:r w:rsidRPr="00251317">
        <w:rPr>
          <w:rFonts w:ascii="Arial" w:hAnsi="Arial" w:cs="Arial"/>
          <w:bCs/>
        </w:rPr>
        <w:t>jejich počet</w:t>
      </w:r>
      <w:r w:rsidRPr="00251317">
        <w:rPr>
          <w:rFonts w:ascii="Arial" w:hAnsi="Arial" w:cs="Arial"/>
          <w:b/>
          <w:bCs/>
        </w:rPr>
        <w:t xml:space="preserve"> se zvýšil </w:t>
      </w:r>
      <w:r w:rsidRPr="00251317">
        <w:rPr>
          <w:rFonts w:ascii="Arial" w:hAnsi="Arial" w:cs="Arial"/>
        </w:rPr>
        <w:t xml:space="preserve">o 38,1 tis. </w:t>
      </w:r>
      <w:r w:rsidRPr="00251317">
        <w:rPr>
          <w:rFonts w:ascii="Arial" w:hAnsi="Arial" w:cs="Arial"/>
          <w:b/>
        </w:rPr>
        <w:t>na</w:t>
      </w:r>
      <w:r w:rsidRPr="00251317">
        <w:rPr>
          <w:rFonts w:ascii="Arial" w:hAnsi="Arial" w:cs="Arial"/>
          <w:b/>
          <w:bCs/>
        </w:rPr>
        <w:t xml:space="preserve"> 2 136,3 tis.,</w:t>
      </w:r>
      <w:r w:rsidRPr="00251317">
        <w:rPr>
          <w:rFonts w:ascii="Arial" w:hAnsi="Arial" w:cs="Arial"/>
          <w:bCs/>
        </w:rPr>
        <w:t xml:space="preserve"> počet zaměstnaných </w:t>
      </w:r>
      <w:r w:rsidRPr="00251317">
        <w:rPr>
          <w:rFonts w:ascii="Arial" w:hAnsi="Arial" w:cs="Arial"/>
          <w:b/>
          <w:bCs/>
        </w:rPr>
        <w:t xml:space="preserve">mužů se zvýšil </w:t>
      </w:r>
      <w:r w:rsidRPr="00251317">
        <w:rPr>
          <w:rFonts w:ascii="Arial" w:hAnsi="Arial" w:cs="Arial"/>
          <w:bCs/>
        </w:rPr>
        <w:t>o 18,9 tis.</w:t>
      </w:r>
      <w:r w:rsidRPr="00251317">
        <w:rPr>
          <w:rFonts w:ascii="Arial" w:hAnsi="Arial" w:cs="Arial"/>
          <w:b/>
          <w:bCs/>
        </w:rPr>
        <w:t xml:space="preserve"> na </w:t>
      </w:r>
      <w:r w:rsidRPr="00251317">
        <w:rPr>
          <w:rFonts w:ascii="Arial" w:hAnsi="Arial" w:cs="Arial"/>
          <w:b/>
        </w:rPr>
        <w:t>2 782,2</w:t>
      </w:r>
      <w:r w:rsidRPr="00251317">
        <w:rPr>
          <w:rFonts w:ascii="Arial" w:hAnsi="Arial" w:cs="Arial"/>
          <w:b/>
          <w:bCs/>
        </w:rPr>
        <w:t xml:space="preserve"> tis. </w:t>
      </w:r>
      <w:r w:rsidRPr="00AA718D">
        <w:rPr>
          <w:rFonts w:ascii="Arial" w:hAnsi="Arial" w:cs="Arial"/>
          <w:b/>
          <w:bCs/>
        </w:rPr>
        <w:t>Z</w:t>
      </w:r>
      <w:r w:rsidRPr="00251317">
        <w:rPr>
          <w:rFonts w:ascii="Arial" w:hAnsi="Arial" w:cs="Arial"/>
          <w:b/>
        </w:rPr>
        <w:t>astoupení mužů</w:t>
      </w:r>
      <w:r w:rsidRPr="00251317">
        <w:rPr>
          <w:rFonts w:ascii="Arial" w:hAnsi="Arial" w:cs="Arial"/>
        </w:rPr>
        <w:t xml:space="preserve"> mezi zaměstnanými </w:t>
      </w:r>
      <w:r>
        <w:rPr>
          <w:rFonts w:ascii="Arial" w:hAnsi="Arial" w:cs="Arial"/>
        </w:rPr>
        <w:t xml:space="preserve">se </w:t>
      </w:r>
      <w:r w:rsidRPr="00251317">
        <w:rPr>
          <w:rFonts w:ascii="Arial" w:hAnsi="Arial" w:cs="Arial"/>
          <w:b/>
        </w:rPr>
        <w:t xml:space="preserve">snížilo </w:t>
      </w:r>
      <w:r w:rsidRPr="00251317">
        <w:rPr>
          <w:rFonts w:ascii="Arial" w:hAnsi="Arial" w:cs="Arial"/>
        </w:rPr>
        <w:t xml:space="preserve">(z 56,8 %) </w:t>
      </w:r>
      <w:r w:rsidRPr="00251317">
        <w:rPr>
          <w:rFonts w:ascii="Arial" w:hAnsi="Arial" w:cs="Arial"/>
          <w:b/>
        </w:rPr>
        <w:t>na 56,6 % a žen zvýšilo</w:t>
      </w:r>
      <w:r w:rsidRPr="00251317">
        <w:rPr>
          <w:rFonts w:ascii="Arial" w:hAnsi="Arial" w:cs="Arial"/>
        </w:rPr>
        <w:t xml:space="preserve"> (z 43,2 %) </w:t>
      </w:r>
      <w:r w:rsidRPr="00251317">
        <w:rPr>
          <w:rFonts w:ascii="Arial" w:hAnsi="Arial" w:cs="Arial"/>
          <w:b/>
        </w:rPr>
        <w:t>na 43,4 %</w:t>
      </w:r>
      <w:r w:rsidRPr="00771ABA">
        <w:rPr>
          <w:rFonts w:ascii="Arial" w:hAnsi="Arial" w:cs="Arial"/>
        </w:rPr>
        <w:t xml:space="preserve">. </w:t>
      </w:r>
    </w:p>
    <w:p w:rsidR="00257B11" w:rsidRPr="00771ABA" w:rsidRDefault="00257B11" w:rsidP="00257B11">
      <w:pPr>
        <w:pStyle w:val="Odstavecseseznamem"/>
        <w:numPr>
          <w:ilvl w:val="0"/>
          <w:numId w:val="37"/>
        </w:numPr>
        <w:spacing w:after="120" w:line="360" w:lineRule="auto"/>
        <w:ind w:left="426" w:hanging="426"/>
        <w:jc w:val="both"/>
        <w:rPr>
          <w:rFonts w:ascii="Arial" w:hAnsi="Arial" w:cs="Arial"/>
        </w:rPr>
      </w:pPr>
      <w:r w:rsidRPr="00771ABA">
        <w:rPr>
          <w:rFonts w:ascii="Arial" w:hAnsi="Arial" w:cs="Arial"/>
        </w:rPr>
        <w:t xml:space="preserve">Zaměstnanost </w:t>
      </w:r>
      <w:r w:rsidRPr="00771ABA">
        <w:rPr>
          <w:rFonts w:ascii="Arial" w:hAnsi="Arial" w:cs="Arial"/>
          <w:b/>
        </w:rPr>
        <w:t>v primárním sektoru</w:t>
      </w:r>
      <w:r w:rsidRPr="00771ABA">
        <w:rPr>
          <w:rFonts w:ascii="Arial" w:hAnsi="Arial" w:cs="Arial"/>
        </w:rPr>
        <w:t xml:space="preserve"> </w:t>
      </w:r>
      <w:r>
        <w:rPr>
          <w:rFonts w:ascii="Arial" w:hAnsi="Arial" w:cs="Arial"/>
        </w:rPr>
        <w:t xml:space="preserve">po </w:t>
      </w:r>
      <w:r w:rsidRPr="00771ABA">
        <w:rPr>
          <w:rFonts w:ascii="Arial" w:hAnsi="Arial" w:cs="Arial"/>
        </w:rPr>
        <w:t>dlouhodob</w:t>
      </w:r>
      <w:r>
        <w:rPr>
          <w:rFonts w:ascii="Arial" w:hAnsi="Arial" w:cs="Arial"/>
        </w:rPr>
        <w:t>ém</w:t>
      </w:r>
      <w:r w:rsidRPr="00771ABA">
        <w:rPr>
          <w:rFonts w:ascii="Arial" w:hAnsi="Arial" w:cs="Arial"/>
        </w:rPr>
        <w:t xml:space="preserve"> </w:t>
      </w:r>
      <w:r>
        <w:rPr>
          <w:rFonts w:ascii="Arial" w:hAnsi="Arial" w:cs="Arial"/>
        </w:rPr>
        <w:t xml:space="preserve">poklesu </w:t>
      </w:r>
      <w:r w:rsidRPr="00771ABA">
        <w:rPr>
          <w:rFonts w:ascii="Arial" w:hAnsi="Arial" w:cs="Arial"/>
        </w:rPr>
        <w:t xml:space="preserve">meziročně </w:t>
      </w:r>
      <w:r>
        <w:rPr>
          <w:rFonts w:ascii="Arial" w:hAnsi="Arial" w:cs="Arial"/>
          <w:b/>
        </w:rPr>
        <w:t>vzrostla</w:t>
      </w:r>
      <w:r w:rsidRPr="00771ABA">
        <w:rPr>
          <w:rFonts w:ascii="Arial" w:hAnsi="Arial" w:cs="Arial"/>
        </w:rPr>
        <w:t xml:space="preserve"> </w:t>
      </w:r>
      <w:r w:rsidRPr="00251317">
        <w:rPr>
          <w:rFonts w:ascii="Arial" w:hAnsi="Arial" w:cs="Arial"/>
        </w:rPr>
        <w:t xml:space="preserve">(o 9,1 tis.) </w:t>
      </w:r>
      <w:r w:rsidRPr="00251317">
        <w:rPr>
          <w:rFonts w:ascii="Arial" w:hAnsi="Arial" w:cs="Arial"/>
          <w:b/>
        </w:rPr>
        <w:t>na 152,3 tis. osob</w:t>
      </w:r>
      <w:r w:rsidRPr="00251317">
        <w:rPr>
          <w:rFonts w:ascii="Arial" w:hAnsi="Arial" w:cs="Arial"/>
        </w:rPr>
        <w:t xml:space="preserve">. </w:t>
      </w:r>
      <w:r w:rsidRPr="00251317">
        <w:rPr>
          <w:rFonts w:ascii="Arial" w:hAnsi="Arial" w:cs="Arial"/>
          <w:b/>
        </w:rPr>
        <w:t>Podíl</w:t>
      </w:r>
      <w:r w:rsidRPr="00251317">
        <w:rPr>
          <w:rFonts w:ascii="Arial" w:hAnsi="Arial" w:cs="Arial"/>
        </w:rPr>
        <w:t xml:space="preserve"> tohoto sektoru </w:t>
      </w:r>
      <w:r w:rsidR="00AF5F29">
        <w:rPr>
          <w:rFonts w:ascii="Arial" w:hAnsi="Arial" w:cs="Arial"/>
        </w:rPr>
        <w:t xml:space="preserve">na celkové zaměstnanosti </w:t>
      </w:r>
      <w:r w:rsidR="00AF5F29">
        <w:rPr>
          <w:rFonts w:ascii="Arial" w:hAnsi="Arial" w:cs="Arial"/>
          <w:b/>
        </w:rPr>
        <w:t xml:space="preserve">se zvýšil </w:t>
      </w:r>
      <w:r w:rsidRPr="00251317">
        <w:rPr>
          <w:rFonts w:ascii="Arial" w:hAnsi="Arial" w:cs="Arial"/>
          <w:b/>
        </w:rPr>
        <w:t>na 3,1 %.</w:t>
      </w:r>
    </w:p>
    <w:p w:rsidR="00257B11" w:rsidRDefault="00257B11" w:rsidP="00257B11">
      <w:pPr>
        <w:pStyle w:val="Odstavecseseznamem"/>
        <w:numPr>
          <w:ilvl w:val="0"/>
          <w:numId w:val="37"/>
        </w:numPr>
        <w:tabs>
          <w:tab w:val="center" w:pos="720"/>
        </w:tabs>
        <w:spacing w:after="120" w:line="360" w:lineRule="auto"/>
        <w:ind w:left="426" w:hanging="426"/>
        <w:jc w:val="both"/>
        <w:rPr>
          <w:rFonts w:ascii="Arial" w:hAnsi="Arial" w:cs="Arial"/>
        </w:rPr>
      </w:pPr>
      <w:r w:rsidRPr="00AA718D">
        <w:rPr>
          <w:rFonts w:ascii="Arial" w:hAnsi="Arial" w:cs="Arial"/>
          <w:b/>
        </w:rPr>
        <w:t xml:space="preserve">V sekundárním sektoru </w:t>
      </w:r>
      <w:r w:rsidRPr="00AA718D">
        <w:rPr>
          <w:rFonts w:ascii="Arial" w:hAnsi="Arial" w:cs="Arial"/>
        </w:rPr>
        <w:t xml:space="preserve">(průmysl a stavebnictví) </w:t>
      </w:r>
      <w:r w:rsidRPr="00AA718D">
        <w:rPr>
          <w:rFonts w:ascii="Arial" w:hAnsi="Arial" w:cs="Arial"/>
          <w:b/>
          <w:bCs/>
        </w:rPr>
        <w:t xml:space="preserve">zaměstnanost meziročně poklesla </w:t>
      </w:r>
      <w:r w:rsidRPr="00AA718D">
        <w:rPr>
          <w:rFonts w:ascii="Arial" w:hAnsi="Arial" w:cs="Arial"/>
          <w:bCs/>
        </w:rPr>
        <w:t xml:space="preserve">(o 19,4 tis.) </w:t>
      </w:r>
      <w:r w:rsidRPr="00AA718D">
        <w:rPr>
          <w:rFonts w:ascii="Arial" w:hAnsi="Arial" w:cs="Arial"/>
          <w:b/>
          <w:bCs/>
        </w:rPr>
        <w:t>na 1 837,8 tis. osob</w:t>
      </w:r>
      <w:r w:rsidRPr="00AA718D">
        <w:rPr>
          <w:rFonts w:ascii="Arial" w:hAnsi="Arial" w:cs="Arial"/>
          <w:bCs/>
        </w:rPr>
        <w:t xml:space="preserve">. </w:t>
      </w:r>
      <w:r w:rsidRPr="00AA718D">
        <w:rPr>
          <w:rFonts w:ascii="Arial" w:hAnsi="Arial" w:cs="Arial"/>
          <w:b/>
          <w:bCs/>
        </w:rPr>
        <w:t xml:space="preserve">Podíl </w:t>
      </w:r>
      <w:r w:rsidRPr="00AA718D">
        <w:rPr>
          <w:rFonts w:ascii="Arial" w:hAnsi="Arial" w:cs="Arial"/>
        </w:rPr>
        <w:t xml:space="preserve">tohoto sektoru </w:t>
      </w:r>
      <w:r w:rsidRPr="00AA718D">
        <w:rPr>
          <w:rFonts w:ascii="Arial" w:hAnsi="Arial" w:cs="Arial"/>
          <w:b/>
          <w:bCs/>
        </w:rPr>
        <w:t xml:space="preserve">poklesl </w:t>
      </w:r>
      <w:r w:rsidRPr="00AA718D">
        <w:rPr>
          <w:rFonts w:ascii="Arial" w:hAnsi="Arial" w:cs="Arial"/>
          <w:bCs/>
        </w:rPr>
        <w:t>o 0,</w:t>
      </w:r>
      <w:r w:rsidR="00F97704">
        <w:rPr>
          <w:rFonts w:ascii="Arial" w:hAnsi="Arial" w:cs="Arial"/>
          <w:bCs/>
        </w:rPr>
        <w:t>8</w:t>
      </w:r>
      <w:r w:rsidRPr="00AA718D">
        <w:rPr>
          <w:rFonts w:ascii="Arial" w:hAnsi="Arial" w:cs="Arial"/>
          <w:bCs/>
        </w:rPr>
        <w:t> </w:t>
      </w:r>
      <w:r w:rsidRPr="00AA718D">
        <w:rPr>
          <w:rFonts w:ascii="Arial" w:hAnsi="Arial" w:cs="Arial"/>
        </w:rPr>
        <w:t xml:space="preserve">p. b. </w:t>
      </w:r>
      <w:r w:rsidRPr="00AA718D">
        <w:rPr>
          <w:rFonts w:ascii="Arial" w:hAnsi="Arial" w:cs="Arial"/>
          <w:b/>
          <w:bCs/>
        </w:rPr>
        <w:t xml:space="preserve">na 37,4 %. </w:t>
      </w:r>
      <w:r w:rsidRPr="00AA718D">
        <w:rPr>
          <w:rFonts w:ascii="Arial" w:hAnsi="Arial" w:cs="Arial"/>
          <w:b/>
        </w:rPr>
        <w:t xml:space="preserve">Na poklesu </w:t>
      </w:r>
      <w:r w:rsidRPr="00AA718D">
        <w:rPr>
          <w:rFonts w:ascii="Arial" w:hAnsi="Arial" w:cs="Arial"/>
        </w:rPr>
        <w:t xml:space="preserve">se podílel téměř stejně </w:t>
      </w:r>
      <w:r w:rsidRPr="00AA718D">
        <w:rPr>
          <w:rFonts w:ascii="Arial" w:hAnsi="Arial" w:cs="Arial"/>
          <w:b/>
        </w:rPr>
        <w:t>průmysl i</w:t>
      </w:r>
      <w:r w:rsidR="00CC7847">
        <w:rPr>
          <w:rFonts w:ascii="Arial" w:hAnsi="Arial" w:cs="Arial"/>
          <w:b/>
        </w:rPr>
        <w:t> </w:t>
      </w:r>
      <w:r w:rsidRPr="00AA718D">
        <w:rPr>
          <w:rFonts w:ascii="Arial" w:hAnsi="Arial" w:cs="Arial"/>
          <w:b/>
        </w:rPr>
        <w:t>stavebnictví</w:t>
      </w:r>
      <w:r w:rsidRPr="00AA718D">
        <w:rPr>
          <w:rFonts w:ascii="Arial" w:hAnsi="Arial" w:cs="Arial"/>
        </w:rPr>
        <w:t xml:space="preserve">. </w:t>
      </w:r>
      <w:r w:rsidRPr="00251317">
        <w:rPr>
          <w:rFonts w:ascii="Arial" w:hAnsi="Arial" w:cs="Arial"/>
        </w:rPr>
        <w:t xml:space="preserve">V </w:t>
      </w:r>
      <w:r w:rsidRPr="00251317">
        <w:rPr>
          <w:rFonts w:ascii="Arial" w:hAnsi="Arial" w:cs="Arial"/>
          <w:b/>
        </w:rPr>
        <w:t>průmyslu</w:t>
      </w:r>
      <w:r w:rsidRPr="00251317">
        <w:rPr>
          <w:rFonts w:ascii="Arial" w:hAnsi="Arial" w:cs="Arial"/>
        </w:rPr>
        <w:t xml:space="preserve"> </w:t>
      </w:r>
      <w:r w:rsidRPr="00251317">
        <w:rPr>
          <w:rFonts w:ascii="Arial" w:hAnsi="Arial" w:cs="Arial"/>
          <w:bCs/>
        </w:rPr>
        <w:t xml:space="preserve">poklesl počet zaměstnaných osob </w:t>
      </w:r>
      <w:r w:rsidRPr="00251317">
        <w:rPr>
          <w:rFonts w:ascii="Arial" w:hAnsi="Arial" w:cs="Arial"/>
        </w:rPr>
        <w:t xml:space="preserve">(o 9,8 tis.) na </w:t>
      </w:r>
      <w:r w:rsidRPr="00251317">
        <w:rPr>
          <w:rFonts w:ascii="Arial" w:hAnsi="Arial" w:cs="Arial"/>
          <w:b/>
          <w:bCs/>
        </w:rPr>
        <w:t>1 424,4 tis.</w:t>
      </w:r>
      <w:r w:rsidRPr="00251317">
        <w:rPr>
          <w:rFonts w:ascii="Arial" w:hAnsi="Arial" w:cs="Arial"/>
          <w:bCs/>
        </w:rPr>
        <w:t xml:space="preserve">, </w:t>
      </w:r>
      <w:r w:rsidRPr="00251317">
        <w:rPr>
          <w:rFonts w:ascii="Arial" w:hAnsi="Arial" w:cs="Arial"/>
          <w:b/>
          <w:bCs/>
        </w:rPr>
        <w:t>p</w:t>
      </w:r>
      <w:r w:rsidRPr="00251317">
        <w:rPr>
          <w:rFonts w:ascii="Arial" w:hAnsi="Arial" w:cs="Arial"/>
          <w:b/>
        </w:rPr>
        <w:t>odíl průmyslu</w:t>
      </w:r>
      <w:r w:rsidRPr="00251317">
        <w:rPr>
          <w:rFonts w:ascii="Arial" w:hAnsi="Arial" w:cs="Arial"/>
        </w:rPr>
        <w:t xml:space="preserve"> na celkové </w:t>
      </w:r>
      <w:r w:rsidRPr="00AF5F29">
        <w:rPr>
          <w:rFonts w:ascii="Arial" w:hAnsi="Arial" w:cs="Arial"/>
        </w:rPr>
        <w:t xml:space="preserve">zaměstnanosti </w:t>
      </w:r>
      <w:r w:rsidRPr="00AF5F29">
        <w:rPr>
          <w:rFonts w:ascii="Arial" w:hAnsi="Arial" w:cs="Arial"/>
          <w:b/>
        </w:rPr>
        <w:t>se</w:t>
      </w:r>
      <w:r w:rsidRPr="00AF5F29">
        <w:rPr>
          <w:rFonts w:ascii="Arial" w:hAnsi="Arial" w:cs="Arial"/>
        </w:rPr>
        <w:t xml:space="preserve"> </w:t>
      </w:r>
      <w:r w:rsidR="00BC2CBF" w:rsidRPr="00AF5F29">
        <w:rPr>
          <w:rFonts w:ascii="Arial" w:hAnsi="Arial" w:cs="Arial"/>
          <w:b/>
        </w:rPr>
        <w:t xml:space="preserve">snížil </w:t>
      </w:r>
      <w:r w:rsidRPr="00AF5F29">
        <w:rPr>
          <w:rFonts w:ascii="Arial" w:hAnsi="Arial" w:cs="Arial"/>
        </w:rPr>
        <w:t>(o 0,5 p. b.) na</w:t>
      </w:r>
      <w:r w:rsidRPr="00251317">
        <w:rPr>
          <w:rFonts w:ascii="Arial" w:hAnsi="Arial" w:cs="Arial"/>
        </w:rPr>
        <w:t xml:space="preserve"> </w:t>
      </w:r>
      <w:r w:rsidRPr="00251317">
        <w:rPr>
          <w:rFonts w:ascii="Arial" w:hAnsi="Arial" w:cs="Arial"/>
          <w:b/>
        </w:rPr>
        <w:t>29,0 %</w:t>
      </w:r>
      <w:r w:rsidRPr="00251317">
        <w:rPr>
          <w:rFonts w:ascii="Arial" w:hAnsi="Arial" w:cs="Arial"/>
        </w:rPr>
        <w:t xml:space="preserve">. Zaměstnanost ve </w:t>
      </w:r>
      <w:r w:rsidRPr="00251317">
        <w:rPr>
          <w:rFonts w:ascii="Arial" w:hAnsi="Arial" w:cs="Arial"/>
          <w:b/>
        </w:rPr>
        <w:t xml:space="preserve">stavebnictví </w:t>
      </w:r>
      <w:r w:rsidRPr="00251317">
        <w:rPr>
          <w:rFonts w:ascii="Arial" w:hAnsi="Arial" w:cs="Arial"/>
        </w:rPr>
        <w:t xml:space="preserve">klesla (o 9,5 tis.) na </w:t>
      </w:r>
      <w:r w:rsidRPr="00251317">
        <w:rPr>
          <w:rFonts w:ascii="Arial" w:hAnsi="Arial" w:cs="Arial"/>
          <w:b/>
        </w:rPr>
        <w:t>413,4 tis. osob. Podíl</w:t>
      </w:r>
      <w:r w:rsidRPr="00251317">
        <w:rPr>
          <w:rFonts w:ascii="Arial" w:hAnsi="Arial" w:cs="Arial"/>
        </w:rPr>
        <w:t xml:space="preserve"> stavebnictví na celkové zaměstnanosti se snížil </w:t>
      </w:r>
      <w:r w:rsidR="00F97A6F">
        <w:rPr>
          <w:rFonts w:ascii="Arial" w:hAnsi="Arial" w:cs="Arial"/>
        </w:rPr>
        <w:t xml:space="preserve">(o 0,3 p. b.) </w:t>
      </w:r>
      <w:r w:rsidRPr="00251317">
        <w:rPr>
          <w:rFonts w:ascii="Arial" w:hAnsi="Arial" w:cs="Arial"/>
        </w:rPr>
        <w:t xml:space="preserve">na </w:t>
      </w:r>
      <w:r w:rsidRPr="00251317">
        <w:rPr>
          <w:rFonts w:ascii="Arial" w:hAnsi="Arial" w:cs="Arial"/>
          <w:b/>
        </w:rPr>
        <w:t>8,4 %.</w:t>
      </w:r>
    </w:p>
    <w:p w:rsidR="00257B11" w:rsidRDefault="00257B11" w:rsidP="00257B11">
      <w:pPr>
        <w:pStyle w:val="Odstavecseseznamem"/>
        <w:numPr>
          <w:ilvl w:val="0"/>
          <w:numId w:val="37"/>
        </w:numPr>
        <w:tabs>
          <w:tab w:val="left" w:pos="360"/>
          <w:tab w:val="left" w:pos="1440"/>
        </w:tabs>
        <w:spacing w:after="120" w:line="360" w:lineRule="auto"/>
        <w:ind w:left="426" w:hanging="426"/>
        <w:jc w:val="both"/>
        <w:rPr>
          <w:rFonts w:ascii="Arial" w:hAnsi="Arial" w:cs="Arial"/>
        </w:rPr>
      </w:pPr>
      <w:r w:rsidRPr="00251317">
        <w:rPr>
          <w:rFonts w:ascii="Arial" w:hAnsi="Arial" w:cs="Arial"/>
        </w:rPr>
        <w:t xml:space="preserve">Na celkovém nárůstu zaměstnanosti se podílel především </w:t>
      </w:r>
      <w:r w:rsidRPr="00251317">
        <w:rPr>
          <w:rFonts w:ascii="Arial" w:hAnsi="Arial" w:cs="Arial"/>
          <w:b/>
          <w:bCs/>
        </w:rPr>
        <w:t xml:space="preserve">terciární sektor, kde zaměstnanost vzrostla </w:t>
      </w:r>
      <w:r w:rsidRPr="00251317">
        <w:rPr>
          <w:rFonts w:ascii="Arial" w:hAnsi="Arial" w:cs="Arial"/>
          <w:bCs/>
        </w:rPr>
        <w:t>(o 67,3 tis.)</w:t>
      </w:r>
      <w:r w:rsidRPr="00251317">
        <w:rPr>
          <w:rFonts w:ascii="Arial" w:hAnsi="Arial" w:cs="Arial"/>
          <w:b/>
          <w:bCs/>
        </w:rPr>
        <w:t xml:space="preserve"> </w:t>
      </w:r>
      <w:r w:rsidRPr="00251317">
        <w:rPr>
          <w:rFonts w:ascii="Arial" w:hAnsi="Arial" w:cs="Arial"/>
          <w:b/>
        </w:rPr>
        <w:t>na</w:t>
      </w:r>
      <w:r w:rsidRPr="00251317">
        <w:rPr>
          <w:rFonts w:ascii="Arial" w:hAnsi="Arial" w:cs="Arial"/>
          <w:b/>
          <w:bCs/>
        </w:rPr>
        <w:t xml:space="preserve"> 2 928,4 tis. osob</w:t>
      </w:r>
      <w:r w:rsidRPr="00251317">
        <w:rPr>
          <w:rFonts w:ascii="Arial" w:hAnsi="Arial" w:cs="Arial"/>
          <w:bCs/>
        </w:rPr>
        <w:t xml:space="preserve">. </w:t>
      </w:r>
      <w:r w:rsidRPr="00251317">
        <w:rPr>
          <w:rFonts w:ascii="Arial" w:hAnsi="Arial" w:cs="Arial"/>
          <w:b/>
          <w:bCs/>
        </w:rPr>
        <w:t>Podíl</w:t>
      </w:r>
      <w:r w:rsidRPr="00251317">
        <w:rPr>
          <w:rFonts w:ascii="Arial" w:hAnsi="Arial" w:cs="Arial"/>
        </w:rPr>
        <w:t xml:space="preserve"> </w:t>
      </w:r>
      <w:r w:rsidRPr="00251317">
        <w:rPr>
          <w:rFonts w:ascii="Arial" w:hAnsi="Arial" w:cs="Arial"/>
          <w:b/>
          <w:bCs/>
        </w:rPr>
        <w:t>terciárního sektoru</w:t>
      </w:r>
      <w:r w:rsidRPr="00251317">
        <w:rPr>
          <w:rFonts w:ascii="Arial" w:hAnsi="Arial" w:cs="Arial"/>
        </w:rPr>
        <w:t xml:space="preserve"> na celkové zaměstnanosti </w:t>
      </w:r>
      <w:r w:rsidRPr="00251317">
        <w:rPr>
          <w:rFonts w:ascii="Arial" w:hAnsi="Arial" w:cs="Arial"/>
          <w:b/>
        </w:rPr>
        <w:t>se</w:t>
      </w:r>
      <w:r w:rsidRPr="00251317">
        <w:rPr>
          <w:rFonts w:ascii="Arial" w:hAnsi="Arial" w:cs="Arial"/>
        </w:rPr>
        <w:t xml:space="preserve"> tím </w:t>
      </w:r>
      <w:r w:rsidRPr="00251317">
        <w:rPr>
          <w:rFonts w:ascii="Arial" w:hAnsi="Arial" w:cs="Arial"/>
          <w:b/>
        </w:rPr>
        <w:t>zvýšil</w:t>
      </w:r>
      <w:r w:rsidRPr="00251317">
        <w:rPr>
          <w:rFonts w:ascii="Arial" w:hAnsi="Arial" w:cs="Arial"/>
        </w:rPr>
        <w:t xml:space="preserve">  na </w:t>
      </w:r>
      <w:r w:rsidRPr="00251317">
        <w:rPr>
          <w:rFonts w:ascii="Arial" w:hAnsi="Arial" w:cs="Arial"/>
          <w:b/>
          <w:bCs/>
        </w:rPr>
        <w:t>59,5 %.</w:t>
      </w:r>
      <w:r w:rsidRPr="00251317">
        <w:rPr>
          <w:rFonts w:ascii="Arial" w:hAnsi="Arial" w:cs="Arial"/>
        </w:rPr>
        <w:t xml:space="preserve"> </w:t>
      </w:r>
    </w:p>
    <w:p w:rsidR="00257B11" w:rsidRPr="00D738A4" w:rsidRDefault="00257B11" w:rsidP="00257B11">
      <w:pPr>
        <w:pStyle w:val="Odstavecseseznamem"/>
        <w:numPr>
          <w:ilvl w:val="0"/>
          <w:numId w:val="37"/>
        </w:numPr>
        <w:tabs>
          <w:tab w:val="center" w:pos="720"/>
        </w:tabs>
        <w:spacing w:after="120" w:line="360" w:lineRule="auto"/>
        <w:ind w:left="426" w:hanging="426"/>
        <w:jc w:val="both"/>
        <w:rPr>
          <w:rFonts w:ascii="Arial" w:hAnsi="Arial" w:cs="Arial"/>
          <w:bCs/>
          <w:iCs/>
        </w:rPr>
      </w:pPr>
      <w:r w:rsidRPr="00251317">
        <w:rPr>
          <w:rFonts w:ascii="Arial" w:hAnsi="Arial" w:cs="Arial"/>
        </w:rPr>
        <w:t xml:space="preserve">Počet </w:t>
      </w:r>
      <w:r w:rsidRPr="00251317">
        <w:rPr>
          <w:rFonts w:ascii="Arial" w:hAnsi="Arial" w:cs="Arial"/>
          <w:b/>
          <w:bCs/>
        </w:rPr>
        <w:t>zaměstnanců</w:t>
      </w:r>
      <w:r>
        <w:rPr>
          <w:rFonts w:ascii="Arial" w:hAnsi="Arial" w:cs="Arial"/>
          <w:b/>
          <w:bCs/>
        </w:rPr>
        <w:t xml:space="preserve">, </w:t>
      </w:r>
      <w:r w:rsidRPr="0092328A">
        <w:rPr>
          <w:rFonts w:ascii="Arial" w:hAnsi="Arial" w:cs="Arial"/>
          <w:bCs/>
        </w:rPr>
        <w:t>kteří</w:t>
      </w:r>
      <w:r w:rsidRPr="00251317">
        <w:rPr>
          <w:rFonts w:ascii="Arial" w:hAnsi="Arial" w:cs="Arial"/>
          <w:b/>
          <w:bCs/>
        </w:rPr>
        <w:t xml:space="preserve"> </w:t>
      </w:r>
      <w:r w:rsidRPr="00251317">
        <w:rPr>
          <w:rFonts w:ascii="Arial" w:hAnsi="Arial" w:cs="Arial"/>
        </w:rPr>
        <w:t xml:space="preserve">tvoří </w:t>
      </w:r>
      <w:r w:rsidRPr="00251317">
        <w:rPr>
          <w:rFonts w:ascii="Arial" w:hAnsi="Arial" w:cs="Arial"/>
          <w:b/>
          <w:bCs/>
        </w:rPr>
        <w:t>nejpočetnější skupinu zaměstnaných</w:t>
      </w:r>
      <w:r>
        <w:rPr>
          <w:rFonts w:ascii="Arial" w:hAnsi="Arial" w:cs="Arial"/>
          <w:b/>
          <w:bCs/>
        </w:rPr>
        <w:t xml:space="preserve"> (</w:t>
      </w:r>
      <w:r w:rsidRPr="00251317">
        <w:rPr>
          <w:rFonts w:ascii="Arial" w:hAnsi="Arial" w:cs="Arial"/>
          <w:b/>
          <w:bCs/>
        </w:rPr>
        <w:t>82,2 %</w:t>
      </w:r>
      <w:r>
        <w:rPr>
          <w:rFonts w:ascii="Arial" w:hAnsi="Arial" w:cs="Arial"/>
          <w:b/>
          <w:bCs/>
        </w:rPr>
        <w:t>),</w:t>
      </w:r>
      <w:r w:rsidRPr="00251317">
        <w:rPr>
          <w:rFonts w:ascii="Arial" w:hAnsi="Arial" w:cs="Arial"/>
          <w:bCs/>
        </w:rPr>
        <w:t xml:space="preserve"> výrazně vzrostl (o 86,0 tis.)</w:t>
      </w:r>
      <w:r>
        <w:rPr>
          <w:rFonts w:ascii="Arial" w:hAnsi="Arial" w:cs="Arial"/>
          <w:bCs/>
        </w:rPr>
        <w:t xml:space="preserve"> na</w:t>
      </w:r>
      <w:r w:rsidRPr="00251317">
        <w:rPr>
          <w:rFonts w:ascii="Arial" w:hAnsi="Arial" w:cs="Arial"/>
        </w:rPr>
        <w:t xml:space="preserve"> </w:t>
      </w:r>
      <w:r w:rsidRPr="00251317">
        <w:rPr>
          <w:rFonts w:ascii="Arial" w:hAnsi="Arial" w:cs="Arial"/>
          <w:b/>
        </w:rPr>
        <w:t>4</w:t>
      </w:r>
      <w:r w:rsidRPr="00251317">
        <w:rPr>
          <w:rFonts w:ascii="Arial" w:hAnsi="Arial" w:cs="Arial"/>
          <w:b/>
          <w:bCs/>
        </w:rPr>
        <w:t xml:space="preserve"> 044,6 tis., nárůst počtu mužů </w:t>
      </w:r>
      <w:r w:rsidRPr="00251317">
        <w:rPr>
          <w:rFonts w:ascii="Arial" w:hAnsi="Arial" w:cs="Arial"/>
          <w:bCs/>
        </w:rPr>
        <w:t>(</w:t>
      </w:r>
      <w:r w:rsidRPr="00251317">
        <w:rPr>
          <w:rFonts w:ascii="Arial" w:hAnsi="Arial" w:cs="Arial"/>
        </w:rPr>
        <w:t>o 62,3 tis.</w:t>
      </w:r>
      <w:r w:rsidRPr="00251317">
        <w:rPr>
          <w:rFonts w:ascii="Arial" w:hAnsi="Arial" w:cs="Arial"/>
          <w:bCs/>
        </w:rPr>
        <w:t xml:space="preserve">) </w:t>
      </w:r>
      <w:r w:rsidRPr="00251317">
        <w:rPr>
          <w:rFonts w:ascii="Arial" w:hAnsi="Arial" w:cs="Arial"/>
          <w:b/>
          <w:bCs/>
        </w:rPr>
        <w:t>byl výraznější než žen</w:t>
      </w:r>
      <w:r w:rsidRPr="00251317">
        <w:rPr>
          <w:rFonts w:ascii="Arial" w:hAnsi="Arial" w:cs="Arial"/>
          <w:bCs/>
        </w:rPr>
        <w:t xml:space="preserve"> (</w:t>
      </w:r>
      <w:r w:rsidRPr="00251317">
        <w:rPr>
          <w:rFonts w:ascii="Arial" w:hAnsi="Arial" w:cs="Arial"/>
        </w:rPr>
        <w:t>o 23,7 tis.).</w:t>
      </w:r>
    </w:p>
    <w:p w:rsidR="00257B11" w:rsidRPr="00BC2CBF" w:rsidRDefault="00257B11" w:rsidP="00257B11">
      <w:pPr>
        <w:pStyle w:val="Odstavecseseznamem"/>
        <w:numPr>
          <w:ilvl w:val="0"/>
          <w:numId w:val="37"/>
        </w:numPr>
        <w:tabs>
          <w:tab w:val="center" w:pos="720"/>
        </w:tabs>
        <w:spacing w:after="120" w:line="360" w:lineRule="auto"/>
        <w:ind w:left="426" w:hanging="426"/>
        <w:jc w:val="both"/>
        <w:rPr>
          <w:rFonts w:ascii="Arial" w:hAnsi="Arial" w:cs="Arial"/>
          <w:bCs/>
          <w:iCs/>
        </w:rPr>
      </w:pPr>
      <w:r w:rsidRPr="00D738A4">
        <w:rPr>
          <w:rFonts w:ascii="Arial" w:hAnsi="Arial" w:cs="Arial"/>
          <w:b/>
          <w:bCs/>
        </w:rPr>
        <w:t>Celkový počet podnikatelů</w:t>
      </w:r>
      <w:r w:rsidRPr="00D738A4">
        <w:rPr>
          <w:rFonts w:ascii="Arial" w:hAnsi="Arial" w:cs="Arial"/>
          <w:bCs/>
        </w:rPr>
        <w:t xml:space="preserve"> (včetně pomáhajících rodinných příslušníků)</w:t>
      </w:r>
      <w:r w:rsidRPr="00D738A4">
        <w:rPr>
          <w:rFonts w:ascii="Arial" w:hAnsi="Arial" w:cs="Arial"/>
          <w:b/>
          <w:bCs/>
        </w:rPr>
        <w:t xml:space="preserve"> poklesl </w:t>
      </w:r>
      <w:r w:rsidRPr="00D738A4">
        <w:rPr>
          <w:rFonts w:ascii="Arial" w:hAnsi="Arial" w:cs="Arial"/>
          <w:bCs/>
        </w:rPr>
        <w:t>(o 29,0 tis.)</w:t>
      </w:r>
      <w:r w:rsidRPr="00D738A4">
        <w:rPr>
          <w:rFonts w:ascii="Arial" w:hAnsi="Arial" w:cs="Arial"/>
          <w:b/>
          <w:bCs/>
        </w:rPr>
        <w:t xml:space="preserve"> na 873,9 tis. </w:t>
      </w:r>
      <w:r w:rsidRPr="00D738A4">
        <w:rPr>
          <w:rFonts w:ascii="Arial" w:hAnsi="Arial" w:cs="Arial"/>
        </w:rPr>
        <w:t xml:space="preserve"> Kategorie </w:t>
      </w:r>
      <w:r w:rsidRPr="00D738A4">
        <w:rPr>
          <w:rFonts w:ascii="Arial" w:hAnsi="Arial" w:cs="Arial"/>
          <w:b/>
          <w:bCs/>
        </w:rPr>
        <w:t xml:space="preserve">pomáhajících rodinných </w:t>
      </w:r>
      <w:r w:rsidRPr="00D738A4">
        <w:rPr>
          <w:rFonts w:ascii="Arial" w:hAnsi="Arial" w:cs="Arial"/>
          <w:b/>
          <w:bCs/>
        </w:rPr>
        <w:lastRenderedPageBreak/>
        <w:t>příslušníků</w:t>
      </w:r>
      <w:r w:rsidRPr="00D738A4">
        <w:rPr>
          <w:rFonts w:ascii="Arial" w:hAnsi="Arial" w:cs="Arial"/>
          <w:bCs/>
        </w:rPr>
        <w:t xml:space="preserve"> jako jediná </w:t>
      </w:r>
      <w:r w:rsidRPr="00D738A4">
        <w:rPr>
          <w:rFonts w:ascii="Arial" w:hAnsi="Arial" w:cs="Arial"/>
          <w:b/>
          <w:bCs/>
        </w:rPr>
        <w:t>vzrostla</w:t>
      </w:r>
      <w:r w:rsidRPr="00D738A4">
        <w:rPr>
          <w:rFonts w:ascii="Arial" w:hAnsi="Arial" w:cs="Arial"/>
          <w:bCs/>
        </w:rPr>
        <w:t xml:space="preserve"> (o 29,0 tis.) </w:t>
      </w:r>
      <w:r w:rsidRPr="00414182">
        <w:rPr>
          <w:rFonts w:ascii="Arial" w:hAnsi="Arial" w:cs="Arial"/>
          <w:b/>
          <w:bCs/>
        </w:rPr>
        <w:t>na 49,</w:t>
      </w:r>
      <w:r w:rsidR="00BC2CBF" w:rsidRPr="00414182">
        <w:rPr>
          <w:rFonts w:ascii="Arial" w:hAnsi="Arial" w:cs="Arial"/>
          <w:b/>
          <w:bCs/>
        </w:rPr>
        <w:t>2</w:t>
      </w:r>
      <w:r w:rsidRPr="00414182">
        <w:rPr>
          <w:rFonts w:ascii="Arial" w:hAnsi="Arial" w:cs="Arial"/>
          <w:b/>
          <w:bCs/>
        </w:rPr>
        <w:t> tis.</w:t>
      </w:r>
      <w:r w:rsidRPr="00D738A4">
        <w:rPr>
          <w:rFonts w:ascii="Arial" w:hAnsi="Arial" w:cs="Arial"/>
          <w:b/>
          <w:bCs/>
        </w:rPr>
        <w:t xml:space="preserve"> </w:t>
      </w:r>
      <w:r w:rsidRPr="00D738A4">
        <w:rPr>
          <w:rFonts w:ascii="Arial" w:hAnsi="Arial" w:cs="Arial"/>
          <w:bCs/>
        </w:rPr>
        <w:t xml:space="preserve">(počet pomáhajících mužů vzrostl méně, o 9,5 tis.). Kategorie </w:t>
      </w:r>
      <w:r w:rsidRPr="00D738A4">
        <w:rPr>
          <w:rFonts w:ascii="Arial" w:hAnsi="Arial" w:cs="Arial"/>
          <w:b/>
          <w:bCs/>
        </w:rPr>
        <w:t>podnikatelů bez zaměstnanců</w:t>
      </w:r>
      <w:r>
        <w:rPr>
          <w:rFonts w:ascii="Arial" w:hAnsi="Arial" w:cs="Arial"/>
          <w:b/>
          <w:bCs/>
        </w:rPr>
        <w:t xml:space="preserve"> poklesla </w:t>
      </w:r>
      <w:r w:rsidRPr="00D738A4">
        <w:rPr>
          <w:rFonts w:ascii="Arial" w:hAnsi="Arial" w:cs="Arial"/>
          <w:bCs/>
        </w:rPr>
        <w:t>(o 53,0 tis.)</w:t>
      </w:r>
      <w:r w:rsidRPr="00D738A4">
        <w:rPr>
          <w:rFonts w:ascii="Arial" w:hAnsi="Arial" w:cs="Arial"/>
          <w:b/>
          <w:bCs/>
        </w:rPr>
        <w:t xml:space="preserve"> na</w:t>
      </w:r>
      <w:r w:rsidRPr="00D738A4">
        <w:rPr>
          <w:rFonts w:ascii="Arial" w:hAnsi="Arial" w:cs="Arial"/>
          <w:bCs/>
        </w:rPr>
        <w:t xml:space="preserve"> </w:t>
      </w:r>
      <w:r w:rsidRPr="00D738A4">
        <w:rPr>
          <w:rFonts w:ascii="Arial" w:hAnsi="Arial" w:cs="Arial"/>
          <w:b/>
          <w:bCs/>
        </w:rPr>
        <w:t>660,9 tis.</w:t>
      </w:r>
      <w:r w:rsidRPr="00D738A4">
        <w:rPr>
          <w:rFonts w:ascii="Arial" w:hAnsi="Arial" w:cs="Arial"/>
          <w:bCs/>
        </w:rPr>
        <w:t>,</w:t>
      </w:r>
      <w:r w:rsidRPr="00D738A4">
        <w:rPr>
          <w:rFonts w:ascii="Arial" w:hAnsi="Arial" w:cs="Arial"/>
          <w:b/>
          <w:bCs/>
        </w:rPr>
        <w:t xml:space="preserve"> </w:t>
      </w:r>
      <w:r w:rsidRPr="00D738A4">
        <w:rPr>
          <w:rFonts w:ascii="Arial" w:hAnsi="Arial" w:cs="Arial"/>
          <w:bCs/>
        </w:rPr>
        <w:t>kategorie</w:t>
      </w:r>
      <w:r w:rsidRPr="00D738A4">
        <w:rPr>
          <w:rFonts w:ascii="Arial" w:hAnsi="Arial" w:cs="Arial"/>
          <w:b/>
          <w:bCs/>
        </w:rPr>
        <w:t xml:space="preserve"> podnikatelů se zaměstnanci se snížila </w:t>
      </w:r>
      <w:r w:rsidRPr="00D738A4">
        <w:rPr>
          <w:rFonts w:ascii="Arial" w:hAnsi="Arial" w:cs="Arial"/>
          <w:bCs/>
        </w:rPr>
        <w:t xml:space="preserve">(o 5,0 tis.) </w:t>
      </w:r>
      <w:r w:rsidRPr="00D738A4">
        <w:rPr>
          <w:rFonts w:ascii="Arial" w:hAnsi="Arial" w:cs="Arial"/>
          <w:b/>
          <w:bCs/>
        </w:rPr>
        <w:t>na 163,8 tis. osob</w:t>
      </w:r>
      <w:r w:rsidRPr="00D738A4">
        <w:rPr>
          <w:rFonts w:ascii="Arial" w:hAnsi="Arial" w:cs="Arial"/>
          <w:bCs/>
        </w:rPr>
        <w:t>.</w:t>
      </w:r>
      <w:r>
        <w:rPr>
          <w:rFonts w:ascii="Arial" w:hAnsi="Arial" w:cs="Arial"/>
          <w:bCs/>
        </w:rPr>
        <w:t xml:space="preserve"> </w:t>
      </w:r>
      <w:r w:rsidRPr="00251317">
        <w:rPr>
          <w:rFonts w:ascii="Arial" w:hAnsi="Arial" w:cs="Arial"/>
          <w:b/>
          <w:bCs/>
          <w:iCs/>
        </w:rPr>
        <w:t>P</w:t>
      </w:r>
      <w:r w:rsidRPr="00251317">
        <w:rPr>
          <w:rFonts w:ascii="Arial" w:hAnsi="Arial" w:cs="Arial"/>
          <w:b/>
          <w:iCs/>
        </w:rPr>
        <w:t xml:space="preserve">odíl podnikatelů </w:t>
      </w:r>
      <w:r w:rsidRPr="00251317">
        <w:rPr>
          <w:rFonts w:ascii="Arial" w:hAnsi="Arial" w:cs="Arial"/>
          <w:iCs/>
        </w:rPr>
        <w:t>včetně pomáhajících rodinných příslušníků na celkové zaměstnanosti tak meziročně poklesl o 0,9 </w:t>
      </w:r>
      <w:r w:rsidRPr="00251317">
        <w:rPr>
          <w:rFonts w:ascii="Arial" w:hAnsi="Arial" w:cs="Arial"/>
        </w:rPr>
        <w:t xml:space="preserve">p. b. </w:t>
      </w:r>
      <w:r w:rsidRPr="00BC2CBF">
        <w:rPr>
          <w:rFonts w:ascii="Arial" w:hAnsi="Arial" w:cs="Arial"/>
          <w:bCs/>
          <w:iCs/>
        </w:rPr>
        <w:t>na</w:t>
      </w:r>
      <w:r w:rsidRPr="00BC2CBF">
        <w:rPr>
          <w:rFonts w:ascii="Arial" w:hAnsi="Arial" w:cs="Arial"/>
          <w:b/>
          <w:bCs/>
          <w:iCs/>
        </w:rPr>
        <w:t> 17,</w:t>
      </w:r>
      <w:r w:rsidR="00BC2CBF" w:rsidRPr="00BC2CBF">
        <w:rPr>
          <w:rFonts w:ascii="Arial" w:hAnsi="Arial" w:cs="Arial"/>
          <w:b/>
          <w:bCs/>
          <w:iCs/>
        </w:rPr>
        <w:t>7</w:t>
      </w:r>
      <w:r w:rsidRPr="00BC2CBF">
        <w:rPr>
          <w:rFonts w:ascii="Arial" w:hAnsi="Arial" w:cs="Arial"/>
          <w:b/>
          <w:bCs/>
          <w:iCs/>
        </w:rPr>
        <w:t> %.</w:t>
      </w:r>
    </w:p>
    <w:p w:rsidR="00257B11" w:rsidRPr="00A57F0A" w:rsidRDefault="00257B11" w:rsidP="00257B11">
      <w:pPr>
        <w:pStyle w:val="Odstavecseseznamem"/>
        <w:numPr>
          <w:ilvl w:val="0"/>
          <w:numId w:val="37"/>
        </w:numPr>
        <w:tabs>
          <w:tab w:val="left" w:pos="360"/>
        </w:tabs>
        <w:spacing w:after="120" w:line="360" w:lineRule="auto"/>
        <w:ind w:left="426" w:hanging="426"/>
        <w:jc w:val="both"/>
        <w:rPr>
          <w:rFonts w:ascii="Arial" w:hAnsi="Arial" w:cs="Arial"/>
        </w:rPr>
      </w:pPr>
      <w:r w:rsidRPr="00A57F0A">
        <w:rPr>
          <w:rFonts w:ascii="Arial" w:hAnsi="Arial" w:cs="Arial"/>
        </w:rPr>
        <w:t xml:space="preserve">Pokračoval mírný nárůst počtu </w:t>
      </w:r>
      <w:r w:rsidRPr="00A57F0A">
        <w:rPr>
          <w:rFonts w:ascii="Arial" w:hAnsi="Arial" w:cs="Arial"/>
          <w:b/>
        </w:rPr>
        <w:t>zaměstnanců s pracovními úvazky na dobu neurčitou</w:t>
      </w:r>
      <w:r w:rsidRPr="00A57F0A">
        <w:rPr>
          <w:rFonts w:ascii="Arial" w:hAnsi="Arial" w:cs="Arial"/>
        </w:rPr>
        <w:t xml:space="preserve"> nebo jako podnikatel,</w:t>
      </w:r>
      <w:r w:rsidRPr="00A57F0A">
        <w:rPr>
          <w:rFonts w:ascii="Arial" w:hAnsi="Arial" w:cs="Arial"/>
          <w:b/>
        </w:rPr>
        <w:t xml:space="preserve"> </w:t>
      </w:r>
      <w:r w:rsidRPr="00A57F0A">
        <w:rPr>
          <w:rFonts w:ascii="Arial" w:hAnsi="Arial" w:cs="Arial"/>
        </w:rPr>
        <w:t xml:space="preserve">zvýšil se (o 16,1 tis.)  na </w:t>
      </w:r>
      <w:r w:rsidRPr="00A57F0A">
        <w:rPr>
          <w:rFonts w:ascii="Arial" w:hAnsi="Arial" w:cs="Arial"/>
          <w:b/>
        </w:rPr>
        <w:t>4 546,6 tis. osob,</w:t>
      </w:r>
      <w:r w:rsidRPr="00A57F0A">
        <w:rPr>
          <w:rFonts w:ascii="Arial" w:hAnsi="Arial" w:cs="Arial"/>
        </w:rPr>
        <w:t xml:space="preserve"> </w:t>
      </w:r>
      <w:r>
        <w:rPr>
          <w:rFonts w:ascii="Arial" w:hAnsi="Arial" w:cs="Arial"/>
          <w:bCs/>
        </w:rPr>
        <w:t>v</w:t>
      </w:r>
      <w:r w:rsidRPr="00251317">
        <w:rPr>
          <w:rFonts w:ascii="Arial" w:hAnsi="Arial" w:cs="Arial"/>
          <w:bCs/>
        </w:rPr>
        <w:t>ýrazn</w:t>
      </w:r>
      <w:r>
        <w:rPr>
          <w:rFonts w:ascii="Arial" w:hAnsi="Arial" w:cs="Arial"/>
          <w:bCs/>
        </w:rPr>
        <w:t xml:space="preserve">ější byl </w:t>
      </w:r>
      <w:r w:rsidRPr="00251317">
        <w:rPr>
          <w:rFonts w:ascii="Arial" w:hAnsi="Arial" w:cs="Arial"/>
          <w:b/>
          <w:bCs/>
        </w:rPr>
        <w:t xml:space="preserve">nárůst počtu osob pracujících na dobu určitou </w:t>
      </w:r>
      <w:r w:rsidRPr="00251317">
        <w:rPr>
          <w:rFonts w:ascii="Arial" w:hAnsi="Arial" w:cs="Arial"/>
        </w:rPr>
        <w:t>včetně práce dočasné, příležitostní a sezónní a dalších časově omezených smluv, a to (o 40,9</w:t>
      </w:r>
      <w:r w:rsidR="00EC7833">
        <w:rPr>
          <w:rFonts w:ascii="Arial" w:hAnsi="Arial" w:cs="Arial"/>
        </w:rPr>
        <w:t> </w:t>
      </w:r>
      <w:r w:rsidRPr="00251317">
        <w:rPr>
          <w:rFonts w:ascii="Arial" w:hAnsi="Arial" w:cs="Arial"/>
        </w:rPr>
        <w:t xml:space="preserve">tis.) </w:t>
      </w:r>
      <w:r w:rsidRPr="00251317">
        <w:rPr>
          <w:rFonts w:ascii="Arial" w:hAnsi="Arial" w:cs="Arial"/>
          <w:b/>
        </w:rPr>
        <w:t>na</w:t>
      </w:r>
      <w:r w:rsidRPr="00251317">
        <w:rPr>
          <w:rFonts w:ascii="Arial" w:hAnsi="Arial" w:cs="Arial"/>
        </w:rPr>
        <w:t xml:space="preserve"> </w:t>
      </w:r>
      <w:r w:rsidRPr="00251317">
        <w:rPr>
          <w:rFonts w:ascii="Arial" w:hAnsi="Arial" w:cs="Arial"/>
          <w:b/>
          <w:bCs/>
        </w:rPr>
        <w:t>371,0 tis.</w:t>
      </w:r>
    </w:p>
    <w:p w:rsidR="00257B11" w:rsidRPr="00A57F0A" w:rsidRDefault="00257B11" w:rsidP="00257B11">
      <w:pPr>
        <w:pStyle w:val="Odstavecseseznamem"/>
        <w:numPr>
          <w:ilvl w:val="0"/>
          <w:numId w:val="37"/>
        </w:numPr>
        <w:tabs>
          <w:tab w:val="left" w:pos="360"/>
        </w:tabs>
        <w:spacing w:after="120" w:line="360" w:lineRule="auto"/>
        <w:ind w:left="426" w:hanging="426"/>
        <w:jc w:val="both"/>
        <w:rPr>
          <w:rFonts w:ascii="Arial" w:hAnsi="Arial" w:cs="Arial"/>
        </w:rPr>
      </w:pPr>
      <w:r>
        <w:rPr>
          <w:rFonts w:ascii="Arial" w:hAnsi="Arial" w:cs="Arial"/>
        </w:rPr>
        <w:t xml:space="preserve">Výrazně </w:t>
      </w:r>
      <w:r w:rsidRPr="00251317">
        <w:rPr>
          <w:rFonts w:ascii="Arial" w:hAnsi="Arial" w:cs="Arial"/>
          <w:b/>
        </w:rPr>
        <w:t xml:space="preserve">vzrostl </w:t>
      </w:r>
      <w:r w:rsidRPr="00251317">
        <w:rPr>
          <w:rFonts w:ascii="Arial" w:hAnsi="Arial" w:cs="Arial"/>
        </w:rPr>
        <w:t xml:space="preserve">(o 59,5 tis.) </w:t>
      </w:r>
      <w:r w:rsidRPr="00641405">
        <w:rPr>
          <w:rFonts w:ascii="Arial" w:hAnsi="Arial" w:cs="Arial"/>
          <w:b/>
          <w:bCs/>
        </w:rPr>
        <w:t>p</w:t>
      </w:r>
      <w:r w:rsidRPr="00641405">
        <w:rPr>
          <w:rFonts w:ascii="Arial" w:hAnsi="Arial" w:cs="Arial"/>
          <w:b/>
        </w:rPr>
        <w:t>oč</w:t>
      </w:r>
      <w:r>
        <w:rPr>
          <w:rFonts w:ascii="Arial" w:hAnsi="Arial" w:cs="Arial"/>
          <w:b/>
        </w:rPr>
        <w:t>e</w:t>
      </w:r>
      <w:r w:rsidRPr="00641405">
        <w:rPr>
          <w:rFonts w:ascii="Arial" w:hAnsi="Arial" w:cs="Arial"/>
          <w:b/>
        </w:rPr>
        <w:t>t osob pracujících na kratší pracovní dobu</w:t>
      </w:r>
      <w:r>
        <w:rPr>
          <w:rFonts w:ascii="Arial" w:hAnsi="Arial" w:cs="Arial"/>
          <w:b/>
        </w:rPr>
        <w:t xml:space="preserve"> </w:t>
      </w:r>
      <w:r w:rsidRPr="00251317">
        <w:rPr>
          <w:rFonts w:ascii="Arial" w:hAnsi="Arial" w:cs="Arial"/>
          <w:b/>
        </w:rPr>
        <w:t xml:space="preserve">na </w:t>
      </w:r>
      <w:r w:rsidRPr="00251317">
        <w:rPr>
          <w:rFonts w:ascii="Arial" w:hAnsi="Arial" w:cs="Arial"/>
          <w:b/>
          <w:bCs/>
        </w:rPr>
        <w:t xml:space="preserve">326,7 </w:t>
      </w:r>
      <w:r w:rsidR="002F5109">
        <w:rPr>
          <w:rFonts w:ascii="Arial" w:hAnsi="Arial" w:cs="Arial"/>
          <w:b/>
          <w:bCs/>
        </w:rPr>
        <w:t xml:space="preserve">tis. </w:t>
      </w:r>
      <w:r w:rsidRPr="00251317">
        <w:rPr>
          <w:rFonts w:ascii="Arial" w:hAnsi="Arial" w:cs="Arial"/>
          <w:b/>
        </w:rPr>
        <w:t>osob</w:t>
      </w:r>
      <w:r>
        <w:rPr>
          <w:rFonts w:ascii="Arial" w:hAnsi="Arial" w:cs="Arial"/>
          <w:b/>
        </w:rPr>
        <w:t xml:space="preserve">, </w:t>
      </w:r>
      <w:r w:rsidRPr="00A57F0A">
        <w:rPr>
          <w:rFonts w:ascii="Arial" w:hAnsi="Arial" w:cs="Arial"/>
        </w:rPr>
        <w:t>naproti tomu</w:t>
      </w:r>
      <w:r>
        <w:rPr>
          <w:rFonts w:ascii="Arial" w:hAnsi="Arial" w:cs="Arial"/>
          <w:b/>
        </w:rPr>
        <w:t xml:space="preserve"> p</w:t>
      </w:r>
      <w:r w:rsidRPr="00251317">
        <w:rPr>
          <w:rFonts w:ascii="Arial" w:hAnsi="Arial" w:cs="Arial"/>
          <w:b/>
        </w:rPr>
        <w:t xml:space="preserve">očet </w:t>
      </w:r>
      <w:r w:rsidRPr="00251317">
        <w:rPr>
          <w:rFonts w:ascii="Arial" w:hAnsi="Arial" w:cs="Arial"/>
        </w:rPr>
        <w:t xml:space="preserve">pracujících </w:t>
      </w:r>
      <w:r w:rsidRPr="00251317">
        <w:rPr>
          <w:rFonts w:ascii="Arial" w:hAnsi="Arial" w:cs="Arial"/>
          <w:b/>
        </w:rPr>
        <w:t xml:space="preserve">na plnou pracovní dobu </w:t>
      </w:r>
      <w:r w:rsidRPr="00251317">
        <w:rPr>
          <w:rFonts w:ascii="Arial" w:hAnsi="Arial" w:cs="Arial"/>
        </w:rPr>
        <w:t>na rozdíl od předchozích dvou let</w:t>
      </w:r>
      <w:r w:rsidRPr="00251317">
        <w:rPr>
          <w:rFonts w:ascii="Arial" w:hAnsi="Arial" w:cs="Arial"/>
          <w:b/>
        </w:rPr>
        <w:t xml:space="preserve"> </w:t>
      </w:r>
      <w:r w:rsidRPr="0092328A">
        <w:rPr>
          <w:rFonts w:ascii="Arial" w:hAnsi="Arial" w:cs="Arial"/>
        </w:rPr>
        <w:t xml:space="preserve">meziročně </w:t>
      </w:r>
      <w:r w:rsidRPr="00251317">
        <w:rPr>
          <w:rFonts w:ascii="Arial" w:hAnsi="Arial" w:cs="Arial"/>
          <w:b/>
        </w:rPr>
        <w:t>klesl</w:t>
      </w:r>
      <w:r>
        <w:rPr>
          <w:rFonts w:ascii="Arial" w:hAnsi="Arial" w:cs="Arial"/>
          <w:b/>
        </w:rPr>
        <w:t xml:space="preserve"> </w:t>
      </w:r>
      <w:r w:rsidRPr="00A57F0A">
        <w:rPr>
          <w:rFonts w:ascii="Arial" w:hAnsi="Arial" w:cs="Arial"/>
        </w:rPr>
        <w:t>(</w:t>
      </w:r>
      <w:r w:rsidRPr="00251317">
        <w:rPr>
          <w:rFonts w:ascii="Arial" w:hAnsi="Arial" w:cs="Arial"/>
        </w:rPr>
        <w:t>o 2,6 tis.</w:t>
      </w:r>
      <w:r>
        <w:rPr>
          <w:rFonts w:ascii="Arial" w:hAnsi="Arial" w:cs="Arial"/>
        </w:rPr>
        <w:t>)</w:t>
      </w:r>
      <w:r w:rsidRPr="00251317">
        <w:rPr>
          <w:rFonts w:ascii="Arial" w:hAnsi="Arial" w:cs="Arial"/>
        </w:rPr>
        <w:t xml:space="preserve"> </w:t>
      </w:r>
      <w:r w:rsidRPr="00251317">
        <w:rPr>
          <w:rFonts w:ascii="Arial" w:hAnsi="Arial" w:cs="Arial"/>
          <w:b/>
        </w:rPr>
        <w:t>na 4 591,7 tis</w:t>
      </w:r>
      <w:r w:rsidRPr="00251317">
        <w:rPr>
          <w:rFonts w:ascii="Arial" w:hAnsi="Arial" w:cs="Arial"/>
        </w:rPr>
        <w:t>.</w:t>
      </w:r>
      <w:r>
        <w:rPr>
          <w:rFonts w:ascii="Arial" w:hAnsi="Arial" w:cs="Arial"/>
        </w:rPr>
        <w:t xml:space="preserve"> </w:t>
      </w:r>
    </w:p>
    <w:p w:rsidR="00257B11" w:rsidRPr="00A57F0A" w:rsidRDefault="00257B11" w:rsidP="00257B11">
      <w:pPr>
        <w:pStyle w:val="Odstavecseseznamem"/>
        <w:widowControl w:val="0"/>
        <w:numPr>
          <w:ilvl w:val="0"/>
          <w:numId w:val="37"/>
        </w:numPr>
        <w:tabs>
          <w:tab w:val="left" w:pos="360"/>
        </w:tabs>
        <w:spacing w:after="120" w:line="360" w:lineRule="auto"/>
        <w:ind w:left="426" w:hanging="426"/>
        <w:jc w:val="both"/>
        <w:rPr>
          <w:rFonts w:ascii="Arial" w:hAnsi="Arial" w:cs="Arial"/>
          <w:i/>
        </w:rPr>
      </w:pPr>
      <w:r w:rsidRPr="00A57F0A">
        <w:rPr>
          <w:rFonts w:ascii="Arial" w:hAnsi="Arial" w:cs="Arial"/>
          <w:b/>
        </w:rPr>
        <w:t>Největší nárůst zaměstnanosti</w:t>
      </w:r>
      <w:r w:rsidRPr="00A57F0A">
        <w:rPr>
          <w:rFonts w:ascii="Arial" w:hAnsi="Arial" w:cs="Arial"/>
        </w:rPr>
        <w:t xml:space="preserve"> byl </w:t>
      </w:r>
      <w:r w:rsidRPr="00A57F0A">
        <w:rPr>
          <w:rFonts w:ascii="Arial" w:hAnsi="Arial" w:cs="Arial"/>
          <w:b/>
        </w:rPr>
        <w:t>v Jihomoravském kraji</w:t>
      </w:r>
      <w:r w:rsidRPr="00A57F0A">
        <w:rPr>
          <w:rFonts w:ascii="Arial" w:hAnsi="Arial" w:cs="Arial"/>
        </w:rPr>
        <w:t xml:space="preserve"> (o 21,6 tis.), </w:t>
      </w:r>
      <w:r w:rsidRPr="00A57F0A">
        <w:rPr>
          <w:rFonts w:ascii="Arial" w:hAnsi="Arial" w:cs="Arial"/>
          <w:b/>
        </w:rPr>
        <w:t>Hl. m. Praze</w:t>
      </w:r>
      <w:r w:rsidRPr="00A57F0A">
        <w:rPr>
          <w:rFonts w:ascii="Arial" w:hAnsi="Arial" w:cs="Arial"/>
        </w:rPr>
        <w:t xml:space="preserve"> (o 7,9 tis.), Ústeckém (o 7,3 tis.) a Zlínském kraji (o 7,0 tis.</w:t>
      </w:r>
      <w:r w:rsidR="004C36F5">
        <w:rPr>
          <w:rFonts w:ascii="Arial" w:hAnsi="Arial" w:cs="Arial"/>
        </w:rPr>
        <w:t> </w:t>
      </w:r>
      <w:r w:rsidRPr="00A57F0A">
        <w:rPr>
          <w:rFonts w:ascii="Arial" w:hAnsi="Arial" w:cs="Arial"/>
        </w:rPr>
        <w:t xml:space="preserve">osob). </w:t>
      </w:r>
      <w:r w:rsidRPr="00251317">
        <w:rPr>
          <w:rFonts w:ascii="Arial" w:hAnsi="Arial" w:cs="Arial"/>
          <w:b/>
        </w:rPr>
        <w:t>Zaměstnanost meziročně poklesla</w:t>
      </w:r>
      <w:r w:rsidRPr="00251317">
        <w:rPr>
          <w:rFonts w:ascii="Arial" w:hAnsi="Arial" w:cs="Arial"/>
        </w:rPr>
        <w:t xml:space="preserve"> </w:t>
      </w:r>
      <w:r w:rsidRPr="00251317">
        <w:rPr>
          <w:rFonts w:ascii="Arial" w:hAnsi="Arial" w:cs="Arial"/>
          <w:b/>
        </w:rPr>
        <w:t xml:space="preserve">v Olomouckém </w:t>
      </w:r>
      <w:r w:rsidRPr="00251317">
        <w:rPr>
          <w:rFonts w:ascii="Arial" w:hAnsi="Arial" w:cs="Arial"/>
        </w:rPr>
        <w:t xml:space="preserve">(o 9,0 tis.), </w:t>
      </w:r>
      <w:r w:rsidRPr="00251317">
        <w:rPr>
          <w:rFonts w:ascii="Arial" w:hAnsi="Arial" w:cs="Arial"/>
          <w:b/>
        </w:rPr>
        <w:t>Jihočeském</w:t>
      </w:r>
      <w:r w:rsidRPr="00251317">
        <w:rPr>
          <w:rFonts w:ascii="Arial" w:hAnsi="Arial" w:cs="Arial"/>
        </w:rPr>
        <w:t xml:space="preserve"> (o 2,5 tis.) a </w:t>
      </w:r>
      <w:r w:rsidRPr="00251317">
        <w:rPr>
          <w:rFonts w:ascii="Arial" w:hAnsi="Arial" w:cs="Arial"/>
          <w:b/>
        </w:rPr>
        <w:t>Moravskoslezském kraji</w:t>
      </w:r>
      <w:r w:rsidRPr="00251317">
        <w:rPr>
          <w:rFonts w:ascii="Arial" w:hAnsi="Arial" w:cs="Arial"/>
        </w:rPr>
        <w:t xml:space="preserve"> (o 0,3 tis. osob). </w:t>
      </w:r>
    </w:p>
    <w:p w:rsidR="00257B11" w:rsidRPr="00A57F0A" w:rsidRDefault="00257B11" w:rsidP="00257B11">
      <w:pPr>
        <w:pStyle w:val="Odstavecseseznamem"/>
        <w:widowControl w:val="0"/>
        <w:numPr>
          <w:ilvl w:val="0"/>
          <w:numId w:val="37"/>
        </w:numPr>
        <w:tabs>
          <w:tab w:val="left" w:pos="360"/>
        </w:tabs>
        <w:spacing w:after="120" w:line="360" w:lineRule="auto"/>
        <w:ind w:left="426" w:hanging="426"/>
        <w:jc w:val="both"/>
        <w:rPr>
          <w:rFonts w:ascii="Arial" w:hAnsi="Arial" w:cs="Arial"/>
          <w:i/>
        </w:rPr>
      </w:pPr>
      <w:r w:rsidRPr="00A57F0A">
        <w:rPr>
          <w:rFonts w:ascii="Arial" w:hAnsi="Arial" w:cs="Arial"/>
        </w:rPr>
        <w:t xml:space="preserve">S absolutním nárůstem zaměstnanosti </w:t>
      </w:r>
      <w:r w:rsidRPr="00A57F0A">
        <w:rPr>
          <w:rFonts w:ascii="Arial" w:hAnsi="Arial" w:cs="Arial"/>
          <w:b/>
        </w:rPr>
        <w:t>rostla i</w:t>
      </w:r>
      <w:r w:rsidRPr="00A57F0A">
        <w:rPr>
          <w:rFonts w:ascii="Arial" w:hAnsi="Arial" w:cs="Arial"/>
        </w:rPr>
        <w:t> </w:t>
      </w:r>
      <w:r w:rsidRPr="00A57F0A">
        <w:rPr>
          <w:rFonts w:ascii="Arial" w:hAnsi="Arial" w:cs="Arial"/>
          <w:b/>
        </w:rPr>
        <w:t>m</w:t>
      </w:r>
      <w:r w:rsidRPr="00A57F0A">
        <w:rPr>
          <w:rFonts w:ascii="Arial" w:hAnsi="Arial" w:cs="Arial"/>
          <w:b/>
          <w:bCs/>
        </w:rPr>
        <w:t>íra zaměstnanosti (MZ)</w:t>
      </w:r>
      <w:r w:rsidRPr="00A57F0A">
        <w:rPr>
          <w:rFonts w:ascii="Arial" w:hAnsi="Arial" w:cs="Arial"/>
        </w:rPr>
        <w:t xml:space="preserve"> (jeden z klíčových ukazatelů Strategie Evropa 2020)</w:t>
      </w:r>
      <w:r w:rsidRPr="000177EE">
        <w:rPr>
          <w:rFonts w:ascii="Arial" w:hAnsi="Arial" w:cs="Arial"/>
          <w:bCs/>
        </w:rPr>
        <w:t>.</w:t>
      </w:r>
      <w:r w:rsidRPr="00A57F0A">
        <w:rPr>
          <w:rFonts w:ascii="Arial" w:hAnsi="Arial" w:cs="Arial"/>
        </w:rPr>
        <w:t xml:space="preserve"> </w:t>
      </w:r>
      <w:r w:rsidRPr="00251317">
        <w:rPr>
          <w:rFonts w:ascii="Arial" w:hAnsi="Arial" w:cs="Arial"/>
        </w:rPr>
        <w:t xml:space="preserve">Celková </w:t>
      </w:r>
      <w:r w:rsidRPr="00251317">
        <w:rPr>
          <w:rFonts w:ascii="Arial" w:hAnsi="Arial" w:cs="Arial"/>
          <w:b/>
        </w:rPr>
        <w:t>MZ</w:t>
      </w:r>
      <w:r w:rsidRPr="00251317">
        <w:rPr>
          <w:rFonts w:ascii="Arial" w:hAnsi="Arial" w:cs="Arial"/>
        </w:rPr>
        <w:t xml:space="preserve"> osob ve věku </w:t>
      </w:r>
      <w:r w:rsidRPr="00251317">
        <w:rPr>
          <w:rFonts w:ascii="Arial" w:hAnsi="Arial" w:cs="Arial"/>
          <w:b/>
        </w:rPr>
        <w:t>15+ se zvýšila</w:t>
      </w:r>
      <w:r w:rsidRPr="00251317">
        <w:rPr>
          <w:rFonts w:ascii="Arial" w:hAnsi="Arial" w:cs="Arial"/>
        </w:rPr>
        <w:t xml:space="preserve"> (o 0,7 p. b.) </w:t>
      </w:r>
      <w:r w:rsidRPr="00251317">
        <w:rPr>
          <w:rFonts w:ascii="Arial" w:hAnsi="Arial" w:cs="Arial"/>
          <w:b/>
        </w:rPr>
        <w:t>na 54,9 %</w:t>
      </w:r>
      <w:r w:rsidRPr="00251317">
        <w:rPr>
          <w:rFonts w:ascii="Arial" w:hAnsi="Arial" w:cs="Arial"/>
        </w:rPr>
        <w:t xml:space="preserve">, osob ve věku </w:t>
      </w:r>
      <w:r w:rsidRPr="00251317">
        <w:rPr>
          <w:rFonts w:ascii="Arial" w:hAnsi="Arial" w:cs="Arial"/>
          <w:b/>
        </w:rPr>
        <w:t>15 – 64 let</w:t>
      </w:r>
      <w:r w:rsidRPr="00251317">
        <w:rPr>
          <w:rFonts w:ascii="Arial" w:hAnsi="Arial" w:cs="Arial"/>
        </w:rPr>
        <w:t xml:space="preserve"> (o 1,3 p. </w:t>
      </w:r>
      <w:bookmarkStart w:id="38" w:name="_GoBack"/>
      <w:bookmarkEnd w:id="38"/>
      <w:r w:rsidRPr="00251317">
        <w:rPr>
          <w:rFonts w:ascii="Arial" w:hAnsi="Arial" w:cs="Arial"/>
        </w:rPr>
        <w:t xml:space="preserve">b.) </w:t>
      </w:r>
      <w:r w:rsidRPr="00251317">
        <w:rPr>
          <w:rFonts w:ascii="Arial" w:hAnsi="Arial" w:cs="Arial"/>
          <w:b/>
        </w:rPr>
        <w:t>na 67,3 %</w:t>
      </w:r>
      <w:r w:rsidRPr="00251317">
        <w:rPr>
          <w:rFonts w:ascii="Arial" w:hAnsi="Arial" w:cs="Arial"/>
        </w:rPr>
        <w:t>.</w:t>
      </w:r>
      <w:r>
        <w:rPr>
          <w:rFonts w:ascii="Arial" w:hAnsi="Arial" w:cs="Arial"/>
        </w:rPr>
        <w:t xml:space="preserve"> </w:t>
      </w:r>
      <w:r w:rsidRPr="00B47232">
        <w:rPr>
          <w:rFonts w:ascii="Arial" w:hAnsi="Arial" w:cs="Arial"/>
        </w:rPr>
        <w:t xml:space="preserve">MZ obyvatelstva </w:t>
      </w:r>
      <w:r w:rsidRPr="00B47232">
        <w:rPr>
          <w:rFonts w:ascii="Arial" w:hAnsi="Arial" w:cs="Arial"/>
          <w:b/>
          <w:bCs/>
        </w:rPr>
        <w:t>ve věku 20 - 64 let</w:t>
      </w:r>
      <w:r w:rsidRPr="00B47232">
        <w:rPr>
          <w:rFonts w:ascii="Arial" w:hAnsi="Arial" w:cs="Arial"/>
        </w:rPr>
        <w:t xml:space="preserve"> se v 1. pololetí 2013 meziročně zvýšila </w:t>
      </w:r>
      <w:r w:rsidRPr="00B47232">
        <w:rPr>
          <w:rFonts w:ascii="Arial" w:hAnsi="Arial" w:cs="Arial"/>
          <w:bCs/>
        </w:rPr>
        <w:t>o 1</w:t>
      </w:r>
      <w:r w:rsidRPr="00B47232">
        <w:rPr>
          <w:rFonts w:ascii="Arial" w:hAnsi="Arial" w:cs="Arial"/>
        </w:rPr>
        <w:t>,</w:t>
      </w:r>
      <w:r w:rsidR="00AE6437" w:rsidRPr="00B47232">
        <w:rPr>
          <w:rFonts w:ascii="Arial" w:hAnsi="Arial" w:cs="Arial"/>
        </w:rPr>
        <w:t>2</w:t>
      </w:r>
      <w:r w:rsidRPr="00B47232">
        <w:rPr>
          <w:rFonts w:ascii="Arial" w:hAnsi="Arial" w:cs="Arial"/>
        </w:rPr>
        <w:t xml:space="preserve"> p. b. </w:t>
      </w:r>
      <w:r w:rsidRPr="00B47232">
        <w:rPr>
          <w:rFonts w:ascii="Arial" w:hAnsi="Arial" w:cs="Arial"/>
          <w:b/>
          <w:bCs/>
        </w:rPr>
        <w:t>na 72,2 %,</w:t>
      </w:r>
      <w:r w:rsidRPr="00B47232">
        <w:rPr>
          <w:rFonts w:ascii="Arial" w:hAnsi="Arial" w:cs="Arial"/>
        </w:rPr>
        <w:t xml:space="preserve"> m</w:t>
      </w:r>
      <w:r w:rsidRPr="00B47232">
        <w:rPr>
          <w:rFonts w:ascii="Arial" w:hAnsi="Arial" w:cs="Arial"/>
          <w:bCs/>
        </w:rPr>
        <w:t>íra zaměstnanosti</w:t>
      </w:r>
      <w:r w:rsidRPr="00B47232">
        <w:rPr>
          <w:rFonts w:ascii="Arial" w:hAnsi="Arial" w:cs="Arial"/>
          <w:b/>
          <w:bCs/>
        </w:rPr>
        <w:t xml:space="preserve"> žen </w:t>
      </w:r>
      <w:r w:rsidRPr="00B47232">
        <w:rPr>
          <w:rFonts w:ascii="Arial" w:hAnsi="Arial" w:cs="Arial"/>
          <w:bCs/>
        </w:rPr>
        <w:t>ve stejném věku</w:t>
      </w:r>
      <w:r w:rsidRPr="00B47232">
        <w:rPr>
          <w:rFonts w:ascii="Arial" w:hAnsi="Arial" w:cs="Arial"/>
          <w:b/>
          <w:bCs/>
        </w:rPr>
        <w:t xml:space="preserve"> </w:t>
      </w:r>
      <w:r w:rsidRPr="00B47232">
        <w:rPr>
          <w:rFonts w:ascii="Arial" w:hAnsi="Arial" w:cs="Arial"/>
        </w:rPr>
        <w:t xml:space="preserve">o 1,4 p. b. </w:t>
      </w:r>
      <w:r w:rsidRPr="00B47232">
        <w:rPr>
          <w:rFonts w:ascii="Arial" w:hAnsi="Arial" w:cs="Arial"/>
          <w:b/>
          <w:bCs/>
        </w:rPr>
        <w:t>na 63,5 %,</w:t>
      </w:r>
      <w:r w:rsidRPr="00B47232">
        <w:rPr>
          <w:rFonts w:ascii="Arial" w:hAnsi="Arial" w:cs="Arial"/>
          <w:bCs/>
        </w:rPr>
        <w:t xml:space="preserve"> MZ </w:t>
      </w:r>
      <w:r w:rsidRPr="00B47232">
        <w:rPr>
          <w:rFonts w:ascii="Arial" w:hAnsi="Arial" w:cs="Arial"/>
        </w:rPr>
        <w:t>mužů v tomto věku vzrostla o 0,</w:t>
      </w:r>
      <w:r w:rsidR="00AE6437" w:rsidRPr="00B47232">
        <w:rPr>
          <w:rFonts w:ascii="Arial" w:hAnsi="Arial" w:cs="Arial"/>
        </w:rPr>
        <w:t>8</w:t>
      </w:r>
      <w:r w:rsidRPr="00B47232">
        <w:rPr>
          <w:rFonts w:ascii="Arial" w:hAnsi="Arial" w:cs="Arial"/>
        </w:rPr>
        <w:t xml:space="preserve"> p. b.</w:t>
      </w:r>
      <w:r w:rsidRPr="00251317">
        <w:rPr>
          <w:rFonts w:ascii="Arial" w:hAnsi="Arial" w:cs="Arial"/>
        </w:rPr>
        <w:t xml:space="preserve"> na 80,6 %. Na přiblížení se </w:t>
      </w:r>
      <w:r>
        <w:rPr>
          <w:rFonts w:ascii="Arial" w:hAnsi="Arial" w:cs="Arial"/>
        </w:rPr>
        <w:t>národním</w:t>
      </w:r>
      <w:r w:rsidRPr="00251317">
        <w:rPr>
          <w:rFonts w:ascii="Arial" w:hAnsi="Arial" w:cs="Arial"/>
        </w:rPr>
        <w:t xml:space="preserve"> cílům </w:t>
      </w:r>
      <w:r>
        <w:rPr>
          <w:rFonts w:ascii="Arial" w:hAnsi="Arial" w:cs="Arial"/>
        </w:rPr>
        <w:t xml:space="preserve">strategie </w:t>
      </w:r>
      <w:r w:rsidRPr="00251317">
        <w:rPr>
          <w:rFonts w:ascii="Arial" w:hAnsi="Arial" w:cs="Arial"/>
        </w:rPr>
        <w:t>se podí</w:t>
      </w:r>
      <w:r>
        <w:rPr>
          <w:rFonts w:ascii="Arial" w:hAnsi="Arial" w:cs="Arial"/>
        </w:rPr>
        <w:t xml:space="preserve">lela </w:t>
      </w:r>
      <w:r w:rsidRPr="00251317">
        <w:rPr>
          <w:rFonts w:ascii="Arial" w:hAnsi="Arial" w:cs="Arial"/>
        </w:rPr>
        <w:t xml:space="preserve">především věková skupina </w:t>
      </w:r>
      <w:r w:rsidRPr="00251317">
        <w:rPr>
          <w:rFonts w:ascii="Arial" w:hAnsi="Arial" w:cs="Arial"/>
          <w:b/>
        </w:rPr>
        <w:t>55 – 64 let</w:t>
      </w:r>
      <w:r w:rsidRPr="00251317">
        <w:rPr>
          <w:rFonts w:ascii="Arial" w:hAnsi="Arial" w:cs="Arial"/>
        </w:rPr>
        <w:t xml:space="preserve">, jejíž </w:t>
      </w:r>
      <w:r w:rsidRPr="00251317">
        <w:rPr>
          <w:rFonts w:ascii="Arial" w:hAnsi="Arial" w:cs="Arial"/>
          <w:b/>
        </w:rPr>
        <w:t>míra zaměstnanosti vzrostla</w:t>
      </w:r>
      <w:r w:rsidRPr="00251317">
        <w:rPr>
          <w:rFonts w:ascii="Arial" w:hAnsi="Arial" w:cs="Arial"/>
        </w:rPr>
        <w:t xml:space="preserve"> </w:t>
      </w:r>
      <w:r w:rsidRPr="00251317">
        <w:rPr>
          <w:rFonts w:ascii="Arial" w:hAnsi="Arial" w:cs="Arial"/>
          <w:b/>
        </w:rPr>
        <w:t>o 2,5 p. b.  na</w:t>
      </w:r>
      <w:r w:rsidRPr="00251317">
        <w:rPr>
          <w:rFonts w:ascii="Arial" w:hAnsi="Arial" w:cs="Arial"/>
        </w:rPr>
        <w:t xml:space="preserve"> </w:t>
      </w:r>
      <w:r w:rsidRPr="00251317">
        <w:rPr>
          <w:rFonts w:ascii="Arial" w:hAnsi="Arial" w:cs="Arial"/>
          <w:b/>
        </w:rPr>
        <w:t>50,9 %</w:t>
      </w:r>
      <w:r w:rsidRPr="00251317">
        <w:rPr>
          <w:rFonts w:ascii="Arial" w:hAnsi="Arial" w:cs="Arial"/>
        </w:rPr>
        <w:t>.</w:t>
      </w:r>
    </w:p>
    <w:p w:rsidR="00257B11" w:rsidRPr="00771ABA" w:rsidRDefault="00257B11" w:rsidP="00257B11">
      <w:pPr>
        <w:pStyle w:val="Odstavecseseznamem"/>
        <w:numPr>
          <w:ilvl w:val="0"/>
          <w:numId w:val="37"/>
        </w:numPr>
        <w:tabs>
          <w:tab w:val="left" w:pos="360"/>
        </w:tabs>
        <w:spacing w:after="120" w:line="360" w:lineRule="auto"/>
        <w:ind w:left="426" w:hanging="426"/>
        <w:jc w:val="both"/>
        <w:rPr>
          <w:rFonts w:ascii="Arial" w:hAnsi="Arial" w:cs="Arial"/>
          <w:bCs/>
        </w:rPr>
      </w:pPr>
      <w:r w:rsidRPr="00771ABA">
        <w:rPr>
          <w:rFonts w:ascii="Arial" w:hAnsi="Arial" w:cs="Arial"/>
          <w:b/>
          <w:bCs/>
        </w:rPr>
        <w:t>Počet ekonomicky aktivních osob</w:t>
      </w:r>
      <w:r w:rsidRPr="00771ABA">
        <w:rPr>
          <w:rFonts w:ascii="Arial" w:hAnsi="Arial" w:cs="Arial"/>
          <w:bCs/>
        </w:rPr>
        <w:t xml:space="preserve"> (EAO)</w:t>
      </w:r>
      <w:r w:rsidRPr="00771ABA">
        <w:rPr>
          <w:rFonts w:ascii="Arial" w:hAnsi="Arial" w:cs="Arial"/>
          <w:b/>
          <w:bCs/>
        </w:rPr>
        <w:t xml:space="preserve">, </w:t>
      </w:r>
      <w:r w:rsidRPr="00771ABA">
        <w:rPr>
          <w:rFonts w:ascii="Arial" w:hAnsi="Arial" w:cs="Arial"/>
          <w:bCs/>
        </w:rPr>
        <w:t xml:space="preserve">tj. zaměstnaných a nezaměstnaných </w:t>
      </w:r>
      <w:r>
        <w:rPr>
          <w:rFonts w:ascii="Arial" w:hAnsi="Arial" w:cs="Arial"/>
          <w:bCs/>
        </w:rPr>
        <w:t>se zvýšil</w:t>
      </w:r>
      <w:r w:rsidRPr="00251317">
        <w:rPr>
          <w:rFonts w:ascii="Arial" w:hAnsi="Arial" w:cs="Arial"/>
          <w:bCs/>
        </w:rPr>
        <w:t xml:space="preserve"> </w:t>
      </w:r>
      <w:r w:rsidRPr="00251317">
        <w:rPr>
          <w:rFonts w:ascii="Arial" w:hAnsi="Arial" w:cs="Arial"/>
          <w:b/>
        </w:rPr>
        <w:t>o 72,3</w:t>
      </w:r>
      <w:r w:rsidRPr="00251317">
        <w:rPr>
          <w:rFonts w:ascii="Arial" w:hAnsi="Arial" w:cs="Arial"/>
          <w:b/>
          <w:bCs/>
        </w:rPr>
        <w:t xml:space="preserve"> tis. </w:t>
      </w:r>
      <w:r w:rsidRPr="00251317">
        <w:rPr>
          <w:rFonts w:ascii="Arial" w:hAnsi="Arial" w:cs="Arial"/>
        </w:rPr>
        <w:t xml:space="preserve">na </w:t>
      </w:r>
      <w:r w:rsidRPr="00251317">
        <w:rPr>
          <w:rFonts w:ascii="Arial" w:hAnsi="Arial" w:cs="Arial"/>
          <w:b/>
          <w:bCs/>
        </w:rPr>
        <w:t>5 293,9 tis.</w:t>
      </w:r>
      <w:r w:rsidRPr="00771ABA">
        <w:rPr>
          <w:rFonts w:ascii="Arial" w:hAnsi="Arial" w:cs="Arial"/>
          <w:b/>
          <w:bCs/>
        </w:rPr>
        <w:t>,</w:t>
      </w:r>
      <w:r w:rsidRPr="00771ABA">
        <w:rPr>
          <w:rFonts w:ascii="Arial" w:hAnsi="Arial" w:cs="Arial"/>
        </w:rPr>
        <w:t xml:space="preserve"> a to </w:t>
      </w:r>
      <w:r w:rsidRPr="00771ABA">
        <w:rPr>
          <w:rFonts w:ascii="Arial" w:hAnsi="Arial" w:cs="Arial"/>
          <w:b/>
        </w:rPr>
        <w:t>nárůstem</w:t>
      </w:r>
      <w:r w:rsidRPr="00771ABA">
        <w:rPr>
          <w:rFonts w:ascii="Arial" w:hAnsi="Arial" w:cs="Arial"/>
        </w:rPr>
        <w:t xml:space="preserve"> </w:t>
      </w:r>
      <w:r w:rsidRPr="00771ABA">
        <w:rPr>
          <w:rFonts w:ascii="Arial" w:hAnsi="Arial" w:cs="Arial"/>
          <w:bCs/>
        </w:rPr>
        <w:t>počtu</w:t>
      </w:r>
      <w:r w:rsidRPr="00771ABA">
        <w:rPr>
          <w:rFonts w:ascii="Arial" w:hAnsi="Arial" w:cs="Arial"/>
          <w:b/>
          <w:bCs/>
        </w:rPr>
        <w:t xml:space="preserve"> zaměstnaných</w:t>
      </w:r>
      <w:r w:rsidRPr="00771ABA">
        <w:rPr>
          <w:rFonts w:ascii="Arial" w:hAnsi="Arial" w:cs="Arial"/>
          <w:bCs/>
        </w:rPr>
        <w:t xml:space="preserve"> </w:t>
      </w:r>
      <w:r w:rsidRPr="00682138">
        <w:rPr>
          <w:rFonts w:ascii="Arial" w:hAnsi="Arial" w:cs="Arial"/>
          <w:bCs/>
        </w:rPr>
        <w:t>(o 57,0 tis</w:t>
      </w:r>
      <w:r>
        <w:rPr>
          <w:rFonts w:ascii="Arial" w:hAnsi="Arial" w:cs="Arial"/>
          <w:bCs/>
        </w:rPr>
        <w:t>.</w:t>
      </w:r>
      <w:r w:rsidRPr="00682138">
        <w:rPr>
          <w:rFonts w:ascii="Arial" w:hAnsi="Arial" w:cs="Arial"/>
          <w:bCs/>
        </w:rPr>
        <w:t>)</w:t>
      </w:r>
      <w:r>
        <w:rPr>
          <w:rFonts w:ascii="Arial" w:hAnsi="Arial" w:cs="Arial"/>
          <w:bCs/>
        </w:rPr>
        <w:t xml:space="preserve"> i </w:t>
      </w:r>
      <w:r w:rsidRPr="00771ABA">
        <w:rPr>
          <w:rFonts w:ascii="Arial" w:hAnsi="Arial" w:cs="Arial"/>
          <w:b/>
          <w:bCs/>
        </w:rPr>
        <w:t>nezaměstnaných</w:t>
      </w:r>
      <w:r w:rsidRPr="00771ABA">
        <w:rPr>
          <w:rFonts w:ascii="Arial" w:hAnsi="Arial" w:cs="Arial"/>
          <w:bCs/>
        </w:rPr>
        <w:t xml:space="preserve"> </w:t>
      </w:r>
      <w:r w:rsidRPr="00682138">
        <w:rPr>
          <w:rFonts w:ascii="Arial" w:hAnsi="Arial" w:cs="Arial"/>
          <w:bCs/>
        </w:rPr>
        <w:t>(</w:t>
      </w:r>
      <w:r w:rsidRPr="00682138">
        <w:rPr>
          <w:rFonts w:ascii="Arial" w:hAnsi="Arial" w:cs="Arial"/>
        </w:rPr>
        <w:t>o 15,3 tis.</w:t>
      </w:r>
      <w:r w:rsidRPr="00682138">
        <w:rPr>
          <w:rFonts w:ascii="Arial" w:hAnsi="Arial" w:cs="Arial"/>
          <w:bCs/>
        </w:rPr>
        <w:t>).</w:t>
      </w:r>
      <w:r w:rsidRPr="00771ABA">
        <w:rPr>
          <w:rFonts w:ascii="Arial" w:hAnsi="Arial" w:cs="Arial"/>
          <w:bCs/>
        </w:rPr>
        <w:t xml:space="preserve"> </w:t>
      </w:r>
      <w:r w:rsidRPr="00251317">
        <w:rPr>
          <w:rFonts w:ascii="Arial" w:hAnsi="Arial" w:cs="Arial"/>
          <w:bCs/>
        </w:rPr>
        <w:t xml:space="preserve">Zvýšení počtu EAO se na celkové </w:t>
      </w:r>
      <w:r w:rsidRPr="00251317">
        <w:rPr>
          <w:rFonts w:ascii="Arial" w:hAnsi="Arial" w:cs="Arial"/>
          <w:b/>
          <w:bCs/>
        </w:rPr>
        <w:t xml:space="preserve">míře ekonomické aktivity (MEA) obyvatel starších 15 let </w:t>
      </w:r>
      <w:r w:rsidRPr="00251317">
        <w:rPr>
          <w:rFonts w:ascii="Arial" w:hAnsi="Arial" w:cs="Arial"/>
          <w:bCs/>
        </w:rPr>
        <w:t>projevil jejím</w:t>
      </w:r>
      <w:r w:rsidRPr="00251317">
        <w:rPr>
          <w:rFonts w:ascii="Arial" w:hAnsi="Arial" w:cs="Arial"/>
          <w:b/>
          <w:bCs/>
        </w:rPr>
        <w:t xml:space="preserve"> zvýšením o 0,8</w:t>
      </w:r>
      <w:r w:rsidRPr="00251317">
        <w:rPr>
          <w:rFonts w:ascii="Arial" w:hAnsi="Arial" w:cs="Arial"/>
        </w:rPr>
        <w:t> </w:t>
      </w:r>
      <w:r w:rsidRPr="00251317">
        <w:rPr>
          <w:rFonts w:ascii="Arial" w:hAnsi="Arial" w:cs="Arial"/>
          <w:b/>
        </w:rPr>
        <w:t>p. b.</w:t>
      </w:r>
      <w:r w:rsidRPr="00251317">
        <w:rPr>
          <w:rFonts w:ascii="Arial" w:hAnsi="Arial" w:cs="Arial"/>
          <w:b/>
          <w:bCs/>
        </w:rPr>
        <w:t xml:space="preserve"> na</w:t>
      </w:r>
      <w:r w:rsidRPr="00251317">
        <w:rPr>
          <w:rFonts w:ascii="Arial" w:hAnsi="Arial" w:cs="Arial"/>
        </w:rPr>
        <w:t xml:space="preserve"> </w:t>
      </w:r>
      <w:r w:rsidRPr="00251317">
        <w:rPr>
          <w:rFonts w:ascii="Arial" w:hAnsi="Arial" w:cs="Arial"/>
          <w:b/>
        </w:rPr>
        <w:t>59,1 %</w:t>
      </w:r>
      <w:r w:rsidRPr="00251317">
        <w:rPr>
          <w:rFonts w:ascii="Arial" w:hAnsi="Arial" w:cs="Arial"/>
        </w:rPr>
        <w:t xml:space="preserve">. </w:t>
      </w:r>
      <w:r w:rsidR="00BC2CBF" w:rsidRPr="00AE6437">
        <w:rPr>
          <w:rFonts w:ascii="Arial" w:hAnsi="Arial" w:cs="Arial"/>
        </w:rPr>
        <w:t>Míra</w:t>
      </w:r>
      <w:r w:rsidRPr="00AE6437">
        <w:rPr>
          <w:rFonts w:ascii="Arial" w:hAnsi="Arial" w:cs="Arial"/>
        </w:rPr>
        <w:t xml:space="preserve"> EAO</w:t>
      </w:r>
      <w:r w:rsidRPr="00251317">
        <w:rPr>
          <w:rFonts w:ascii="Arial" w:hAnsi="Arial" w:cs="Arial"/>
        </w:rPr>
        <w:t xml:space="preserve"> ve věkové kategorii </w:t>
      </w:r>
      <w:r w:rsidRPr="00251317">
        <w:rPr>
          <w:rFonts w:ascii="Arial" w:hAnsi="Arial" w:cs="Arial"/>
          <w:b/>
        </w:rPr>
        <w:t>15 – 64 let</w:t>
      </w:r>
      <w:r w:rsidRPr="00251317">
        <w:rPr>
          <w:rFonts w:ascii="Arial" w:hAnsi="Arial" w:cs="Arial"/>
        </w:rPr>
        <w:t xml:space="preserve"> </w:t>
      </w:r>
      <w:r w:rsidRPr="00251317">
        <w:rPr>
          <w:rFonts w:ascii="Arial" w:hAnsi="Arial" w:cs="Arial"/>
        </w:rPr>
        <w:lastRenderedPageBreak/>
        <w:t xml:space="preserve">meziročně </w:t>
      </w:r>
      <w:r w:rsidRPr="00251317">
        <w:rPr>
          <w:rFonts w:ascii="Arial" w:hAnsi="Arial" w:cs="Arial"/>
          <w:b/>
          <w:bCs/>
        </w:rPr>
        <w:t>vzrostl</w:t>
      </w:r>
      <w:r w:rsidR="00AE6437">
        <w:rPr>
          <w:rFonts w:ascii="Arial" w:hAnsi="Arial" w:cs="Arial"/>
          <w:b/>
          <w:bCs/>
        </w:rPr>
        <w:t>a</w:t>
      </w:r>
      <w:r w:rsidRPr="00251317">
        <w:rPr>
          <w:rFonts w:ascii="Arial" w:hAnsi="Arial" w:cs="Arial"/>
          <w:b/>
          <w:bCs/>
        </w:rPr>
        <w:t xml:space="preserve"> </w:t>
      </w:r>
      <w:r w:rsidRPr="00251317">
        <w:rPr>
          <w:rFonts w:ascii="Arial" w:hAnsi="Arial" w:cs="Arial"/>
          <w:bCs/>
        </w:rPr>
        <w:t>(o</w:t>
      </w:r>
      <w:r w:rsidRPr="00251317">
        <w:rPr>
          <w:rFonts w:ascii="Arial" w:hAnsi="Arial" w:cs="Arial"/>
          <w:b/>
          <w:bCs/>
        </w:rPr>
        <w:t> </w:t>
      </w:r>
      <w:r w:rsidRPr="00251317">
        <w:rPr>
          <w:rFonts w:ascii="Arial" w:hAnsi="Arial" w:cs="Arial"/>
          <w:bCs/>
        </w:rPr>
        <w:t>1,5</w:t>
      </w:r>
      <w:r w:rsidRPr="00251317">
        <w:rPr>
          <w:rFonts w:ascii="Arial" w:hAnsi="Arial" w:cs="Arial"/>
        </w:rPr>
        <w:t xml:space="preserve">  p. b.</w:t>
      </w:r>
      <w:r w:rsidRPr="00251317">
        <w:rPr>
          <w:rFonts w:ascii="Arial" w:hAnsi="Arial" w:cs="Arial"/>
          <w:bCs/>
        </w:rPr>
        <w:t>)</w:t>
      </w:r>
      <w:r w:rsidRPr="00251317">
        <w:rPr>
          <w:rFonts w:ascii="Arial" w:hAnsi="Arial" w:cs="Arial"/>
        </w:rPr>
        <w:t xml:space="preserve"> </w:t>
      </w:r>
      <w:r w:rsidRPr="00251317">
        <w:rPr>
          <w:rFonts w:ascii="Arial" w:hAnsi="Arial" w:cs="Arial"/>
          <w:b/>
        </w:rPr>
        <w:t>na 72,5 %</w:t>
      </w:r>
      <w:r w:rsidRPr="00251317">
        <w:rPr>
          <w:rFonts w:ascii="Arial" w:hAnsi="Arial" w:cs="Arial"/>
          <w:b/>
          <w:bCs/>
        </w:rPr>
        <w:t>.</w:t>
      </w:r>
      <w:r w:rsidRPr="00251317">
        <w:rPr>
          <w:rFonts w:ascii="Arial" w:hAnsi="Arial" w:cs="Arial"/>
        </w:rPr>
        <w:t xml:space="preserve"> </w:t>
      </w:r>
      <w:r>
        <w:rPr>
          <w:rFonts w:ascii="Arial" w:hAnsi="Arial" w:cs="Arial"/>
        </w:rPr>
        <w:t xml:space="preserve">Na </w:t>
      </w:r>
      <w:r w:rsidRPr="00313205">
        <w:rPr>
          <w:rFonts w:ascii="Arial" w:hAnsi="Arial" w:cs="Arial"/>
          <w:b/>
        </w:rPr>
        <w:t>77,6 %</w:t>
      </w:r>
      <w:r>
        <w:rPr>
          <w:rFonts w:ascii="Arial" w:hAnsi="Arial" w:cs="Arial"/>
        </w:rPr>
        <w:t xml:space="preserve"> (o 1,5 p. b.) se zvýšila MEA u osob ve věku </w:t>
      </w:r>
      <w:r w:rsidRPr="00FC51DA">
        <w:rPr>
          <w:rFonts w:ascii="Arial" w:hAnsi="Arial" w:cs="Arial"/>
          <w:b/>
        </w:rPr>
        <w:t>20 – 64 let</w:t>
      </w:r>
      <w:r>
        <w:rPr>
          <w:rFonts w:ascii="Arial" w:hAnsi="Arial" w:cs="Arial"/>
        </w:rPr>
        <w:t>.</w:t>
      </w:r>
      <w:r w:rsidRPr="00771ABA">
        <w:rPr>
          <w:rFonts w:ascii="Arial" w:hAnsi="Arial" w:cs="Arial"/>
          <w:bCs/>
        </w:rPr>
        <w:t xml:space="preserve"> </w:t>
      </w:r>
    </w:p>
    <w:p w:rsidR="008C2C11" w:rsidRDefault="008C2C11" w:rsidP="008C2C11">
      <w:pPr>
        <w:numPr>
          <w:ilvl w:val="1"/>
          <w:numId w:val="2"/>
        </w:numPr>
        <w:tabs>
          <w:tab w:val="left" w:pos="360"/>
        </w:tabs>
        <w:spacing w:after="120" w:line="360" w:lineRule="auto"/>
        <w:ind w:left="360"/>
        <w:jc w:val="both"/>
        <w:rPr>
          <w:rFonts w:ascii="Arial" w:hAnsi="Arial" w:cs="Arial"/>
        </w:rPr>
      </w:pPr>
      <w:r w:rsidRPr="00D67BE2">
        <w:rPr>
          <w:rFonts w:ascii="Arial" w:hAnsi="Arial" w:cs="Arial"/>
          <w:b/>
        </w:rPr>
        <w:t>Obecná míra nezaměstnanosti</w:t>
      </w:r>
      <w:r w:rsidRPr="00D67BE2">
        <w:rPr>
          <w:rFonts w:ascii="Arial" w:hAnsi="Arial" w:cs="Arial"/>
        </w:rPr>
        <w:t xml:space="preserve"> </w:t>
      </w:r>
      <w:r w:rsidRPr="001A5C5E">
        <w:rPr>
          <w:rFonts w:ascii="Arial" w:hAnsi="Arial" w:cs="Arial"/>
        </w:rPr>
        <w:t xml:space="preserve">(podle výsledků VŠPS – ILO) </w:t>
      </w:r>
      <w:r>
        <w:rPr>
          <w:rFonts w:ascii="Arial" w:hAnsi="Arial" w:cs="Arial"/>
        </w:rPr>
        <w:t xml:space="preserve">v 1. pololetí 2013 </w:t>
      </w:r>
      <w:r w:rsidRPr="001A5C5E">
        <w:rPr>
          <w:rFonts w:ascii="Arial" w:hAnsi="Arial" w:cs="Arial"/>
        </w:rPr>
        <w:t xml:space="preserve">dosáhla </w:t>
      </w:r>
      <w:r>
        <w:rPr>
          <w:rFonts w:ascii="Arial" w:hAnsi="Arial" w:cs="Arial"/>
        </w:rPr>
        <w:t>7</w:t>
      </w:r>
      <w:r w:rsidRPr="001A5C5E">
        <w:rPr>
          <w:rFonts w:ascii="Arial" w:hAnsi="Arial" w:cs="Arial"/>
        </w:rPr>
        <w:t>,</w:t>
      </w:r>
      <w:r>
        <w:rPr>
          <w:rFonts w:ascii="Arial" w:hAnsi="Arial" w:cs="Arial"/>
        </w:rPr>
        <w:t>1</w:t>
      </w:r>
      <w:r w:rsidRPr="001A5C5E">
        <w:rPr>
          <w:rFonts w:ascii="Arial" w:hAnsi="Arial" w:cs="Arial"/>
        </w:rPr>
        <w:t xml:space="preserve"> % a byla </w:t>
      </w:r>
      <w:r>
        <w:rPr>
          <w:rFonts w:ascii="Arial" w:hAnsi="Arial" w:cs="Arial"/>
        </w:rPr>
        <w:t>meziročně vyšší o 0,2 p. b. (</w:t>
      </w:r>
      <w:r w:rsidRPr="001A5C5E">
        <w:rPr>
          <w:rFonts w:ascii="Arial" w:hAnsi="Arial" w:cs="Arial"/>
        </w:rPr>
        <w:t>v 1. pololetí 201</w:t>
      </w:r>
      <w:r>
        <w:rPr>
          <w:rFonts w:ascii="Arial" w:hAnsi="Arial" w:cs="Arial"/>
        </w:rPr>
        <w:t>2 6,9 %).</w:t>
      </w:r>
    </w:p>
    <w:p w:rsidR="008C2C11" w:rsidRPr="005B6842" w:rsidRDefault="008C2C11" w:rsidP="008C2C11">
      <w:pPr>
        <w:numPr>
          <w:ilvl w:val="1"/>
          <w:numId w:val="2"/>
        </w:numPr>
        <w:tabs>
          <w:tab w:val="left" w:pos="360"/>
        </w:tabs>
        <w:spacing w:after="120" w:line="360" w:lineRule="auto"/>
        <w:ind w:left="360"/>
        <w:jc w:val="both"/>
        <w:rPr>
          <w:rFonts w:ascii="Arial" w:hAnsi="Arial" w:cs="Arial"/>
        </w:rPr>
      </w:pPr>
      <w:r w:rsidRPr="001A5C5E">
        <w:rPr>
          <w:rFonts w:ascii="Arial" w:hAnsi="Arial" w:cs="Arial"/>
          <w:b/>
        </w:rPr>
        <w:t>Průměrn</w:t>
      </w:r>
      <w:r>
        <w:rPr>
          <w:rFonts w:ascii="Arial" w:hAnsi="Arial" w:cs="Arial"/>
          <w:b/>
        </w:rPr>
        <w:t>ý podíl nezaměstnaných osob,</w:t>
      </w:r>
      <w:r w:rsidRPr="001E7753">
        <w:rPr>
          <w:rFonts w:ascii="Arial" w:hAnsi="Arial" w:cs="Arial"/>
          <w:i/>
        </w:rPr>
        <w:t xml:space="preserve"> </w:t>
      </w:r>
      <w:r w:rsidRPr="001E7753">
        <w:rPr>
          <w:rFonts w:ascii="Arial" w:hAnsi="Arial" w:cs="Arial"/>
        </w:rPr>
        <w:t>tj. počet dosažitelných uchazečů o zaměstnání ve věku 15 – 64 let k obyvatelstvu stejného věku</w:t>
      </w:r>
      <w:r>
        <w:rPr>
          <w:rFonts w:ascii="Arial" w:hAnsi="Arial" w:cs="Arial"/>
          <w:b/>
        </w:rPr>
        <w:t xml:space="preserve"> </w:t>
      </w:r>
      <w:r w:rsidRPr="001E7753">
        <w:rPr>
          <w:rFonts w:ascii="Arial" w:hAnsi="Arial" w:cs="Arial"/>
        </w:rPr>
        <w:t>(který počínaje lednem 2013 nahradil míru registrované nezaměstnanosti)</w:t>
      </w:r>
      <w:r>
        <w:rPr>
          <w:rFonts w:ascii="Arial" w:hAnsi="Arial" w:cs="Arial"/>
          <w:b/>
        </w:rPr>
        <w:t xml:space="preserve"> </w:t>
      </w:r>
      <w:r w:rsidRPr="001A5C5E">
        <w:rPr>
          <w:rFonts w:ascii="Arial" w:hAnsi="Arial" w:cs="Arial"/>
          <w:b/>
        </w:rPr>
        <w:t xml:space="preserve"> </w:t>
      </w:r>
      <w:r w:rsidRPr="001A5C5E">
        <w:rPr>
          <w:rFonts w:ascii="Arial" w:eastAsiaTheme="minorHAnsi" w:hAnsi="Arial" w:cstheme="minorBidi"/>
          <w:b/>
          <w:bCs/>
          <w:szCs w:val="22"/>
          <w:lang w:eastAsia="en-US"/>
        </w:rPr>
        <w:t>za 1. pololetí 201</w:t>
      </w:r>
      <w:r>
        <w:rPr>
          <w:rFonts w:ascii="Arial" w:eastAsiaTheme="minorHAnsi" w:hAnsi="Arial" w:cstheme="minorBidi"/>
          <w:b/>
          <w:bCs/>
          <w:szCs w:val="22"/>
          <w:lang w:eastAsia="en-US"/>
        </w:rPr>
        <w:t>3</w:t>
      </w:r>
      <w:r w:rsidRPr="001A5C5E">
        <w:rPr>
          <w:rFonts w:ascii="Arial" w:eastAsiaTheme="minorHAnsi" w:hAnsi="Arial" w:cstheme="minorBidi"/>
          <w:b/>
          <w:bCs/>
          <w:szCs w:val="22"/>
          <w:lang w:eastAsia="en-US"/>
        </w:rPr>
        <w:t xml:space="preserve"> </w:t>
      </w:r>
      <w:r w:rsidRPr="00E36971">
        <w:rPr>
          <w:rFonts w:ascii="Arial" w:hAnsi="Arial" w:cs="Arial"/>
          <w:b/>
          <w:bCs/>
        </w:rPr>
        <w:t xml:space="preserve">meziročně vzrostl </w:t>
      </w:r>
      <w:r w:rsidRPr="00E36971">
        <w:rPr>
          <w:rFonts w:ascii="Arial" w:hAnsi="Arial" w:cs="Arial"/>
          <w:bCs/>
        </w:rPr>
        <w:t xml:space="preserve">z 6,8 % </w:t>
      </w:r>
      <w:r w:rsidRPr="00E36971">
        <w:rPr>
          <w:rFonts w:ascii="Arial" w:hAnsi="Arial" w:cs="Arial"/>
          <w:b/>
        </w:rPr>
        <w:t>na 7,8 %</w:t>
      </w:r>
      <w:r w:rsidRPr="00E36971">
        <w:rPr>
          <w:rFonts w:ascii="Arial" w:hAnsi="Arial" w:cs="Arial"/>
        </w:rPr>
        <w:t>.</w:t>
      </w:r>
      <w:r>
        <w:rPr>
          <w:rFonts w:ascii="Arial" w:hAnsi="Arial" w:cs="Arial"/>
        </w:rPr>
        <w:t xml:space="preserve"> </w:t>
      </w:r>
      <w:r w:rsidRPr="005B6842">
        <w:rPr>
          <w:rFonts w:ascii="Arial" w:hAnsi="Arial" w:cs="Arial"/>
          <w:b/>
          <w:bCs/>
        </w:rPr>
        <w:t>K</w:t>
      </w:r>
      <w:r w:rsidRPr="005B6842">
        <w:rPr>
          <w:rFonts w:ascii="Arial" w:hAnsi="Arial" w:cs="Arial"/>
          <w:bCs/>
        </w:rPr>
        <w:t> </w:t>
      </w:r>
      <w:r w:rsidRPr="005B6842">
        <w:rPr>
          <w:rFonts w:ascii="Arial" w:hAnsi="Arial" w:cs="Arial"/>
          <w:b/>
          <w:bCs/>
        </w:rPr>
        <w:t>30. 6. 2013</w:t>
      </w:r>
      <w:r w:rsidRPr="005B6842">
        <w:rPr>
          <w:rFonts w:ascii="Arial" w:hAnsi="Arial" w:cs="Arial"/>
          <w:bCs/>
        </w:rPr>
        <w:t xml:space="preserve"> dosáhl </w:t>
      </w:r>
      <w:r w:rsidRPr="005B6842">
        <w:rPr>
          <w:rFonts w:ascii="Arial" w:hAnsi="Arial" w:cs="Arial"/>
          <w:b/>
          <w:bCs/>
        </w:rPr>
        <w:t xml:space="preserve">hodnoty 7,3 %, </w:t>
      </w:r>
      <w:r w:rsidRPr="005B6842">
        <w:rPr>
          <w:rFonts w:ascii="Arial" w:hAnsi="Arial" w:cs="Arial"/>
          <w:bCs/>
        </w:rPr>
        <w:t>proti červnu 2012 byl</w:t>
      </w:r>
      <w:r w:rsidRPr="005B6842">
        <w:rPr>
          <w:rFonts w:ascii="Arial" w:hAnsi="Arial" w:cs="Arial"/>
          <w:b/>
          <w:bCs/>
        </w:rPr>
        <w:t xml:space="preserve"> vyšší o</w:t>
      </w:r>
      <w:r>
        <w:rPr>
          <w:rFonts w:ascii="Arial" w:hAnsi="Arial" w:cs="Arial"/>
          <w:b/>
          <w:bCs/>
        </w:rPr>
        <w:t> </w:t>
      </w:r>
      <w:r w:rsidRPr="005B6842">
        <w:rPr>
          <w:rFonts w:ascii="Arial" w:hAnsi="Arial" w:cs="Arial"/>
          <w:b/>
          <w:bCs/>
        </w:rPr>
        <w:t>0,9 p. b.</w:t>
      </w:r>
    </w:p>
    <w:p w:rsidR="008C2C11" w:rsidRPr="00571870" w:rsidRDefault="008C2C11" w:rsidP="008C2C11">
      <w:pPr>
        <w:numPr>
          <w:ilvl w:val="1"/>
          <w:numId w:val="2"/>
        </w:numPr>
        <w:tabs>
          <w:tab w:val="left" w:pos="360"/>
        </w:tabs>
        <w:spacing w:after="120" w:line="360" w:lineRule="auto"/>
        <w:ind w:left="360"/>
        <w:jc w:val="both"/>
        <w:rPr>
          <w:rFonts w:ascii="Arial" w:hAnsi="Arial" w:cs="Arial"/>
        </w:rPr>
      </w:pPr>
      <w:r w:rsidRPr="005B6842">
        <w:rPr>
          <w:rFonts w:ascii="Arial" w:hAnsi="Arial" w:cs="Arial"/>
          <w:b/>
        </w:rPr>
        <w:t xml:space="preserve">Průměrný počet </w:t>
      </w:r>
      <w:r w:rsidRPr="005B6842">
        <w:rPr>
          <w:rFonts w:ascii="Arial" w:hAnsi="Arial" w:cs="Arial"/>
        </w:rPr>
        <w:t>uchazečů o zaměstnání</w:t>
      </w:r>
      <w:r w:rsidRPr="005B6842">
        <w:rPr>
          <w:rFonts w:ascii="Arial" w:hAnsi="Arial" w:cs="Arial"/>
          <w:b/>
        </w:rPr>
        <w:t xml:space="preserve"> </w:t>
      </w:r>
      <w:r w:rsidRPr="00571870">
        <w:rPr>
          <w:rFonts w:ascii="Arial" w:hAnsi="Arial" w:cs="Arial"/>
        </w:rPr>
        <w:t>v hodnoceném období</w:t>
      </w:r>
      <w:r>
        <w:rPr>
          <w:rFonts w:ascii="Arial" w:hAnsi="Arial" w:cs="Arial"/>
          <w:b/>
        </w:rPr>
        <w:t xml:space="preserve"> vzrostl</w:t>
      </w:r>
      <w:r w:rsidRPr="005B6842">
        <w:rPr>
          <w:rFonts w:ascii="Arial" w:hAnsi="Arial" w:cs="Arial"/>
        </w:rPr>
        <w:t xml:space="preserve"> </w:t>
      </w:r>
      <w:r w:rsidRPr="00C15F5F">
        <w:rPr>
          <w:rFonts w:ascii="Arial" w:hAnsi="Arial" w:cs="Arial"/>
        </w:rPr>
        <w:t xml:space="preserve">(o 58,5 tis.) </w:t>
      </w:r>
      <w:r w:rsidRPr="00C15F5F">
        <w:rPr>
          <w:rFonts w:ascii="Arial" w:hAnsi="Arial" w:cs="Arial"/>
          <w:b/>
        </w:rPr>
        <w:t xml:space="preserve">na </w:t>
      </w:r>
      <w:r w:rsidRPr="00C15F5F">
        <w:rPr>
          <w:rFonts w:ascii="Arial" w:hAnsi="Arial" w:cs="Arial"/>
          <w:b/>
          <w:bCs/>
        </w:rPr>
        <w:t>570,5</w:t>
      </w:r>
      <w:r w:rsidRPr="00C15F5F">
        <w:rPr>
          <w:rFonts w:ascii="Arial" w:hAnsi="Arial" w:cs="Arial"/>
          <w:b/>
          <w:bCs/>
          <w:sz w:val="18"/>
          <w:szCs w:val="18"/>
        </w:rPr>
        <w:t xml:space="preserve"> </w:t>
      </w:r>
      <w:r w:rsidRPr="00C15F5F">
        <w:rPr>
          <w:rFonts w:ascii="Arial" w:hAnsi="Arial" w:cs="Arial"/>
          <w:b/>
        </w:rPr>
        <w:t>tis.</w:t>
      </w:r>
      <w:r>
        <w:rPr>
          <w:rFonts w:ascii="Arial" w:hAnsi="Arial" w:cs="Arial"/>
          <w:b/>
        </w:rPr>
        <w:t>, na</w:t>
      </w:r>
      <w:r w:rsidRPr="005B6842">
        <w:rPr>
          <w:rFonts w:ascii="Arial" w:hAnsi="Arial" w:cs="Arial"/>
          <w:b/>
        </w:rPr>
        <w:t xml:space="preserve"> konci června 201</w:t>
      </w:r>
      <w:r>
        <w:rPr>
          <w:rFonts w:ascii="Arial" w:hAnsi="Arial" w:cs="Arial"/>
          <w:b/>
        </w:rPr>
        <w:t>3</w:t>
      </w:r>
      <w:r w:rsidRPr="005B6842">
        <w:rPr>
          <w:rFonts w:ascii="Arial" w:hAnsi="Arial" w:cs="Arial"/>
          <w:b/>
        </w:rPr>
        <w:t xml:space="preserve"> </w:t>
      </w:r>
      <w:r w:rsidRPr="005B6842">
        <w:rPr>
          <w:rFonts w:ascii="Arial" w:hAnsi="Arial" w:cs="Arial"/>
        </w:rPr>
        <w:t xml:space="preserve">bylo </w:t>
      </w:r>
      <w:r>
        <w:rPr>
          <w:rFonts w:ascii="Arial" w:hAnsi="Arial" w:cs="Arial"/>
        </w:rPr>
        <w:t>v</w:t>
      </w:r>
      <w:r w:rsidRPr="005B6842">
        <w:rPr>
          <w:rFonts w:ascii="Arial" w:hAnsi="Arial" w:cs="Arial"/>
        </w:rPr>
        <w:t> evidenci ÚP</w:t>
      </w:r>
      <w:r w:rsidR="004F7079">
        <w:rPr>
          <w:rFonts w:ascii="Arial" w:hAnsi="Arial" w:cs="Arial"/>
        </w:rPr>
        <w:t> ČR</w:t>
      </w:r>
      <w:r w:rsidRPr="005B6842">
        <w:rPr>
          <w:rFonts w:ascii="Arial" w:hAnsi="Arial" w:cs="Arial"/>
        </w:rPr>
        <w:t xml:space="preserve"> </w:t>
      </w:r>
      <w:r w:rsidRPr="00571870">
        <w:rPr>
          <w:rFonts w:ascii="Arial" w:hAnsi="Arial" w:cs="Arial"/>
          <w:b/>
          <w:bCs/>
        </w:rPr>
        <w:t xml:space="preserve">540,5 tis. uchazečů o zaměstnání, </w:t>
      </w:r>
      <w:r w:rsidRPr="00571870">
        <w:rPr>
          <w:rFonts w:ascii="Arial" w:hAnsi="Arial" w:cs="Arial"/>
          <w:bCs/>
        </w:rPr>
        <w:t>o </w:t>
      </w:r>
      <w:r w:rsidRPr="00571870">
        <w:rPr>
          <w:rFonts w:ascii="Arial" w:hAnsi="Arial" w:cs="Arial"/>
          <w:b/>
          <w:bCs/>
        </w:rPr>
        <w:t>65,9 tis</w:t>
      </w:r>
      <w:r w:rsidRPr="00571870">
        <w:rPr>
          <w:rFonts w:ascii="Arial" w:hAnsi="Arial" w:cs="Arial"/>
          <w:bCs/>
        </w:rPr>
        <w:t>. více než před rokem.</w:t>
      </w:r>
      <w:r w:rsidRPr="00571870">
        <w:rPr>
          <w:rFonts w:ascii="Arial" w:hAnsi="Arial" w:cs="Arial"/>
        </w:rPr>
        <w:t xml:space="preserve"> </w:t>
      </w:r>
    </w:p>
    <w:p w:rsidR="008C2C11" w:rsidRDefault="008C2C11" w:rsidP="008C2C11">
      <w:pPr>
        <w:numPr>
          <w:ilvl w:val="1"/>
          <w:numId w:val="2"/>
        </w:numPr>
        <w:tabs>
          <w:tab w:val="left" w:pos="360"/>
        </w:tabs>
        <w:spacing w:after="120" w:line="360" w:lineRule="auto"/>
        <w:ind w:left="360"/>
        <w:jc w:val="both"/>
        <w:rPr>
          <w:rFonts w:ascii="Arial" w:hAnsi="Arial" w:cs="Arial"/>
        </w:rPr>
      </w:pPr>
      <w:r w:rsidRPr="00571870">
        <w:rPr>
          <w:rFonts w:ascii="Arial" w:eastAsiaTheme="minorHAnsi" w:hAnsi="Arial" w:cs="Arial"/>
          <w:b/>
          <w:szCs w:val="22"/>
          <w:lang w:eastAsia="en-US"/>
        </w:rPr>
        <w:t xml:space="preserve">Počty nahlášených míst </w:t>
      </w:r>
      <w:r w:rsidR="002F5109">
        <w:rPr>
          <w:rFonts w:ascii="Arial" w:eastAsiaTheme="minorHAnsi" w:hAnsi="Arial" w:cs="Arial"/>
          <w:b/>
          <w:szCs w:val="22"/>
          <w:lang w:eastAsia="en-US"/>
        </w:rPr>
        <w:t xml:space="preserve">se </w:t>
      </w:r>
      <w:r w:rsidRPr="00571870">
        <w:rPr>
          <w:rFonts w:ascii="Arial" w:eastAsiaTheme="minorHAnsi" w:hAnsi="Arial" w:cs="Arial"/>
          <w:b/>
          <w:szCs w:val="22"/>
          <w:lang w:eastAsia="en-US"/>
        </w:rPr>
        <w:t xml:space="preserve">v 1. pololetí 2013 </w:t>
      </w:r>
      <w:r w:rsidRPr="00571870">
        <w:rPr>
          <w:rFonts w:ascii="Arial" w:hAnsi="Arial" w:cs="Arial"/>
          <w:b/>
        </w:rPr>
        <w:t xml:space="preserve">plynule </w:t>
      </w:r>
      <w:r w:rsidRPr="00571870">
        <w:rPr>
          <w:rFonts w:ascii="Arial" w:hAnsi="Arial" w:cs="Arial"/>
        </w:rPr>
        <w:t xml:space="preserve">mírně </w:t>
      </w:r>
      <w:r w:rsidRPr="00571870">
        <w:rPr>
          <w:rFonts w:ascii="Arial" w:hAnsi="Arial" w:cs="Arial"/>
          <w:b/>
        </w:rPr>
        <w:t xml:space="preserve">zvyšovaly, </w:t>
      </w:r>
      <w:r w:rsidRPr="00571870">
        <w:rPr>
          <w:rFonts w:ascii="Arial" w:hAnsi="Arial" w:cs="Arial"/>
        </w:rPr>
        <w:t>dynamika nárůstu byla srovnatelná s 1. pololetím 2012</w:t>
      </w:r>
      <w:r>
        <w:rPr>
          <w:rFonts w:ascii="Arial" w:eastAsiaTheme="minorHAnsi" w:hAnsi="Arial" w:cstheme="minorBidi"/>
          <w:szCs w:val="22"/>
          <w:lang w:eastAsia="en-US"/>
        </w:rPr>
        <w:t xml:space="preserve">. </w:t>
      </w:r>
      <w:r w:rsidRPr="00571870">
        <w:rPr>
          <w:rFonts w:ascii="Arial" w:hAnsi="Arial" w:cs="Arial"/>
        </w:rPr>
        <w:t xml:space="preserve">Ke konci </w:t>
      </w:r>
      <w:r w:rsidRPr="00571870">
        <w:rPr>
          <w:rFonts w:ascii="Arial" w:hAnsi="Arial" w:cs="Arial"/>
          <w:b/>
        </w:rPr>
        <w:t>června 2013</w:t>
      </w:r>
      <w:r w:rsidRPr="00571870">
        <w:rPr>
          <w:rFonts w:ascii="Arial" w:hAnsi="Arial" w:cs="Arial"/>
        </w:rPr>
        <w:t xml:space="preserve"> jich </w:t>
      </w:r>
      <w:r w:rsidR="002F5109">
        <w:rPr>
          <w:rFonts w:ascii="Arial" w:hAnsi="Arial" w:cs="Arial"/>
        </w:rPr>
        <w:t xml:space="preserve">bylo </w:t>
      </w:r>
      <w:r w:rsidRPr="00571870">
        <w:rPr>
          <w:rFonts w:ascii="Arial" w:hAnsi="Arial" w:cs="Arial"/>
        </w:rPr>
        <w:t>na ÚP</w:t>
      </w:r>
      <w:r w:rsidR="004F7079">
        <w:rPr>
          <w:rFonts w:ascii="Arial" w:hAnsi="Arial" w:cs="Arial"/>
        </w:rPr>
        <w:t> ČR</w:t>
      </w:r>
      <w:r w:rsidRPr="00571870">
        <w:rPr>
          <w:rFonts w:ascii="Arial" w:hAnsi="Arial" w:cs="Arial"/>
        </w:rPr>
        <w:t xml:space="preserve"> nahlášeno </w:t>
      </w:r>
      <w:r w:rsidRPr="00571870">
        <w:rPr>
          <w:rFonts w:ascii="Arial" w:hAnsi="Arial" w:cs="Arial"/>
          <w:b/>
        </w:rPr>
        <w:t xml:space="preserve">44,0 tis. </w:t>
      </w:r>
      <w:r w:rsidRPr="00571870">
        <w:rPr>
          <w:rFonts w:ascii="Arial" w:hAnsi="Arial" w:cs="Arial"/>
        </w:rPr>
        <w:t>(o 1,2 tis. více než v červnu 2012).</w:t>
      </w:r>
      <w:r>
        <w:rPr>
          <w:rFonts w:ascii="Arial" w:hAnsi="Arial" w:cs="Arial"/>
        </w:rPr>
        <w:t xml:space="preserve"> </w:t>
      </w:r>
    </w:p>
    <w:p w:rsidR="008C2C11" w:rsidRPr="00571870" w:rsidRDefault="008C2C11" w:rsidP="008C2C11">
      <w:pPr>
        <w:numPr>
          <w:ilvl w:val="1"/>
          <w:numId w:val="2"/>
        </w:numPr>
        <w:tabs>
          <w:tab w:val="left" w:pos="360"/>
        </w:tabs>
        <w:spacing w:after="120" w:line="360" w:lineRule="auto"/>
        <w:ind w:left="360"/>
        <w:jc w:val="both"/>
        <w:rPr>
          <w:rFonts w:ascii="Arial" w:hAnsi="Arial" w:cs="Arial"/>
        </w:rPr>
      </w:pPr>
      <w:r w:rsidRPr="00571870">
        <w:rPr>
          <w:rFonts w:ascii="Arial" w:hAnsi="Arial" w:cs="Arial"/>
        </w:rPr>
        <w:t xml:space="preserve">Meziroční nárůst počtu volných pracovních míst byl proti nárůstu počtu uchazečů o zaměstnání pouze minimální, důsledkem bylo </w:t>
      </w:r>
      <w:r w:rsidRPr="00571870">
        <w:rPr>
          <w:rFonts w:ascii="Arial" w:hAnsi="Arial" w:cs="Arial"/>
          <w:b/>
        </w:rPr>
        <w:t xml:space="preserve">zvýšení počtu uchazečů o zaměstnání </w:t>
      </w:r>
      <w:r w:rsidRPr="00571870">
        <w:rPr>
          <w:rFonts w:ascii="Arial" w:hAnsi="Arial" w:cs="Arial"/>
        </w:rPr>
        <w:t>připadajících</w:t>
      </w:r>
      <w:r w:rsidRPr="00571870">
        <w:rPr>
          <w:rFonts w:ascii="Arial" w:hAnsi="Arial" w:cs="Arial"/>
          <w:b/>
        </w:rPr>
        <w:t xml:space="preserve"> na 1 nahlášené volné pracovní místo. </w:t>
      </w:r>
      <w:r w:rsidRPr="00571870">
        <w:rPr>
          <w:rFonts w:ascii="Arial" w:hAnsi="Arial" w:cs="Arial"/>
        </w:rPr>
        <w:t>V</w:t>
      </w:r>
      <w:r w:rsidRPr="00571870">
        <w:rPr>
          <w:rFonts w:ascii="Arial" w:hAnsi="Arial" w:cs="Arial"/>
          <w:b/>
        </w:rPr>
        <w:t xml:space="preserve"> červnu 2013 se meziročně zvýšil </w:t>
      </w:r>
      <w:r w:rsidRPr="00571870">
        <w:rPr>
          <w:rFonts w:ascii="Arial" w:hAnsi="Arial" w:cs="Arial"/>
        </w:rPr>
        <w:t>z 11,1</w:t>
      </w:r>
      <w:r w:rsidRPr="00571870">
        <w:rPr>
          <w:rFonts w:ascii="Arial" w:hAnsi="Arial" w:cs="Arial"/>
          <w:b/>
        </w:rPr>
        <w:t xml:space="preserve"> na 12,3, průměrná hodnota</w:t>
      </w:r>
      <w:r w:rsidRPr="00571870">
        <w:rPr>
          <w:rFonts w:ascii="Arial" w:hAnsi="Arial" w:cs="Arial"/>
        </w:rPr>
        <w:t xml:space="preserve"> tohoto ukazatele </w:t>
      </w:r>
      <w:r w:rsidRPr="00571870">
        <w:rPr>
          <w:rFonts w:ascii="Arial" w:hAnsi="Arial" w:cs="Arial"/>
          <w:b/>
        </w:rPr>
        <w:t>za 1. pololetí 2013</w:t>
      </w:r>
      <w:r w:rsidRPr="00571870">
        <w:rPr>
          <w:rFonts w:ascii="Arial" w:hAnsi="Arial" w:cs="Arial"/>
        </w:rPr>
        <w:t xml:space="preserve"> meziročně </w:t>
      </w:r>
      <w:r w:rsidRPr="00571870">
        <w:rPr>
          <w:rFonts w:ascii="Arial" w:hAnsi="Arial" w:cs="Arial"/>
          <w:b/>
        </w:rPr>
        <w:t>vzrostla</w:t>
      </w:r>
      <w:r w:rsidRPr="00571870">
        <w:rPr>
          <w:rFonts w:ascii="Arial" w:hAnsi="Arial" w:cs="Arial"/>
        </w:rPr>
        <w:t xml:space="preserve"> z 13,0 </w:t>
      </w:r>
      <w:r w:rsidRPr="00571870">
        <w:rPr>
          <w:rFonts w:ascii="Arial" w:hAnsi="Arial" w:cs="Arial"/>
          <w:b/>
        </w:rPr>
        <w:t>na 14,9</w:t>
      </w:r>
      <w:r w:rsidRPr="00571870">
        <w:rPr>
          <w:rFonts w:ascii="Arial" w:hAnsi="Arial" w:cs="Arial"/>
        </w:rPr>
        <w:t>.</w:t>
      </w:r>
    </w:p>
    <w:p w:rsidR="008C2C11" w:rsidRPr="00571870" w:rsidRDefault="008C2C11" w:rsidP="008C2C11">
      <w:pPr>
        <w:numPr>
          <w:ilvl w:val="1"/>
          <w:numId w:val="2"/>
        </w:numPr>
        <w:tabs>
          <w:tab w:val="left" w:pos="360"/>
        </w:tabs>
        <w:spacing w:after="120" w:line="360" w:lineRule="auto"/>
        <w:ind w:left="360"/>
        <w:jc w:val="both"/>
        <w:rPr>
          <w:rFonts w:ascii="Arial" w:hAnsi="Arial" w:cs="Arial"/>
        </w:rPr>
      </w:pPr>
      <w:r w:rsidRPr="00571870">
        <w:rPr>
          <w:rFonts w:ascii="Arial" w:hAnsi="Arial" w:cs="Arial"/>
          <w:b/>
        </w:rPr>
        <w:t>Podporu v nezaměstnanosti</w:t>
      </w:r>
      <w:r w:rsidRPr="00571870">
        <w:rPr>
          <w:rFonts w:ascii="Arial" w:hAnsi="Arial" w:cs="Arial"/>
        </w:rPr>
        <w:t xml:space="preserve"> (</w:t>
      </w:r>
      <w:proofErr w:type="spellStart"/>
      <w:r w:rsidRPr="00571870">
        <w:rPr>
          <w:rFonts w:ascii="Arial" w:hAnsi="Arial" w:cs="Arial"/>
        </w:rPr>
        <w:t>PvN</w:t>
      </w:r>
      <w:proofErr w:type="spellEnd"/>
      <w:r w:rsidRPr="00571870">
        <w:rPr>
          <w:rFonts w:ascii="Arial" w:hAnsi="Arial" w:cs="Arial"/>
        </w:rPr>
        <w:t xml:space="preserve">) k 30. 6. 2013 pobíralo </w:t>
      </w:r>
      <w:r w:rsidRPr="00571870">
        <w:rPr>
          <w:rFonts w:ascii="Arial" w:hAnsi="Arial" w:cs="Arial"/>
          <w:b/>
        </w:rPr>
        <w:t>108</w:t>
      </w:r>
      <w:r w:rsidRPr="00571870">
        <w:rPr>
          <w:rFonts w:ascii="Arial" w:hAnsi="Arial" w:cs="Arial"/>
          <w:b/>
          <w:bCs/>
        </w:rPr>
        <w:t>,9 </w:t>
      </w:r>
      <w:r w:rsidRPr="00571870">
        <w:rPr>
          <w:rFonts w:ascii="Arial" w:hAnsi="Arial" w:cs="Arial"/>
          <w:b/>
        </w:rPr>
        <w:t>tis. uchazečů</w:t>
      </w:r>
      <w:r w:rsidRPr="00571870">
        <w:rPr>
          <w:rFonts w:ascii="Arial" w:hAnsi="Arial" w:cs="Arial"/>
        </w:rPr>
        <w:t xml:space="preserve"> o zaměstnání, tj. o 19,8 tis. více než před rokem. </w:t>
      </w:r>
      <w:r w:rsidRPr="00571870">
        <w:rPr>
          <w:rFonts w:ascii="Arial" w:hAnsi="Arial" w:cs="Arial"/>
          <w:b/>
        </w:rPr>
        <w:t xml:space="preserve">Průměrný počet nezaměstnaných s nárokem na </w:t>
      </w:r>
      <w:proofErr w:type="spellStart"/>
      <w:r w:rsidRPr="00571870">
        <w:rPr>
          <w:rFonts w:ascii="Arial" w:hAnsi="Arial" w:cs="Arial"/>
          <w:b/>
        </w:rPr>
        <w:t>PvN</w:t>
      </w:r>
      <w:proofErr w:type="spellEnd"/>
      <w:r w:rsidRPr="00571870">
        <w:rPr>
          <w:rFonts w:ascii="Arial" w:hAnsi="Arial" w:cs="Arial"/>
          <w:b/>
        </w:rPr>
        <w:t xml:space="preserve"> v 1. pololetí 2013 </w:t>
      </w:r>
      <w:r w:rsidRPr="00571870">
        <w:rPr>
          <w:rFonts w:ascii="Arial" w:hAnsi="Arial" w:cs="Arial"/>
        </w:rPr>
        <w:t>meziročně</w:t>
      </w:r>
      <w:r w:rsidRPr="00571870">
        <w:rPr>
          <w:rFonts w:ascii="Arial" w:hAnsi="Arial" w:cs="Arial"/>
          <w:b/>
        </w:rPr>
        <w:t xml:space="preserve"> vzrostl </w:t>
      </w:r>
      <w:r w:rsidRPr="00571870">
        <w:rPr>
          <w:rFonts w:ascii="Arial" w:hAnsi="Arial" w:cs="Arial"/>
        </w:rPr>
        <w:t xml:space="preserve">o 11,6 tis. </w:t>
      </w:r>
      <w:r w:rsidRPr="00571870">
        <w:rPr>
          <w:rFonts w:ascii="Arial" w:hAnsi="Arial" w:cs="Arial"/>
          <w:b/>
        </w:rPr>
        <w:t xml:space="preserve">na 127,2 tis. </w:t>
      </w:r>
    </w:p>
    <w:p w:rsidR="008C2C11" w:rsidRDefault="008C2C11" w:rsidP="008C2C11">
      <w:pPr>
        <w:numPr>
          <w:ilvl w:val="1"/>
          <w:numId w:val="2"/>
        </w:numPr>
        <w:tabs>
          <w:tab w:val="left" w:pos="360"/>
        </w:tabs>
        <w:spacing w:after="120" w:line="360" w:lineRule="auto"/>
        <w:ind w:left="360"/>
        <w:jc w:val="both"/>
        <w:rPr>
          <w:rFonts w:ascii="Arial" w:hAnsi="Arial" w:cs="Arial"/>
        </w:rPr>
      </w:pPr>
      <w:r w:rsidRPr="00571870">
        <w:rPr>
          <w:rFonts w:ascii="Arial" w:hAnsi="Arial" w:cs="Arial"/>
          <w:b/>
        </w:rPr>
        <w:t>Podíl uchazečů</w:t>
      </w:r>
      <w:r w:rsidRPr="00571870">
        <w:rPr>
          <w:rFonts w:ascii="Arial" w:hAnsi="Arial" w:cs="Arial"/>
        </w:rPr>
        <w:t xml:space="preserve"> o zaměstnání</w:t>
      </w:r>
      <w:r w:rsidRPr="00571870">
        <w:rPr>
          <w:rFonts w:ascii="Arial" w:hAnsi="Arial" w:cs="Arial"/>
          <w:b/>
        </w:rPr>
        <w:t xml:space="preserve"> s </w:t>
      </w:r>
      <w:proofErr w:type="spellStart"/>
      <w:r w:rsidRPr="00571870">
        <w:rPr>
          <w:rFonts w:ascii="Arial" w:hAnsi="Arial" w:cs="Arial"/>
          <w:b/>
        </w:rPr>
        <w:t>PvN</w:t>
      </w:r>
      <w:proofErr w:type="spellEnd"/>
      <w:r w:rsidRPr="00571870">
        <w:rPr>
          <w:rFonts w:ascii="Arial" w:hAnsi="Arial" w:cs="Arial"/>
        </w:rPr>
        <w:t xml:space="preserve"> k 30. červnu 2013</w:t>
      </w:r>
      <w:r w:rsidRPr="00571870">
        <w:rPr>
          <w:rFonts w:ascii="Arial" w:hAnsi="Arial" w:cs="Arial"/>
          <w:b/>
        </w:rPr>
        <w:t xml:space="preserve"> vzrostl na 20,2 %</w:t>
      </w:r>
      <w:r w:rsidRPr="00571870">
        <w:rPr>
          <w:rFonts w:ascii="Arial" w:hAnsi="Arial" w:cs="Arial"/>
        </w:rPr>
        <w:t xml:space="preserve"> celkového počtu uchazečů o zaměstnání (k 30. červnu 2012 činil 18,8 %). </w:t>
      </w:r>
      <w:r w:rsidRPr="00571870">
        <w:rPr>
          <w:rFonts w:ascii="Arial" w:hAnsi="Arial" w:cs="Arial"/>
          <w:b/>
        </w:rPr>
        <w:t xml:space="preserve">Průměrný podíl </w:t>
      </w:r>
      <w:r w:rsidRPr="00571870">
        <w:rPr>
          <w:rFonts w:ascii="Arial" w:hAnsi="Arial" w:cs="Arial"/>
        </w:rPr>
        <w:t xml:space="preserve">za celé 1. pololetí 2013 </w:t>
      </w:r>
      <w:r w:rsidRPr="00571870">
        <w:rPr>
          <w:rFonts w:ascii="Arial" w:hAnsi="Arial" w:cs="Arial"/>
          <w:b/>
        </w:rPr>
        <w:t xml:space="preserve">byl </w:t>
      </w:r>
      <w:r w:rsidRPr="00571870">
        <w:rPr>
          <w:rFonts w:ascii="Arial" w:hAnsi="Arial" w:cs="Arial"/>
        </w:rPr>
        <w:t>zatím ještě</w:t>
      </w:r>
      <w:r w:rsidRPr="00571870">
        <w:rPr>
          <w:rFonts w:ascii="Arial" w:hAnsi="Arial" w:cs="Arial"/>
          <w:b/>
        </w:rPr>
        <w:t xml:space="preserve"> nižší </w:t>
      </w:r>
      <w:r w:rsidRPr="00571870">
        <w:rPr>
          <w:rFonts w:ascii="Arial" w:hAnsi="Arial" w:cs="Arial"/>
        </w:rPr>
        <w:t>a představoval</w:t>
      </w:r>
      <w:r w:rsidRPr="00571870">
        <w:rPr>
          <w:rFonts w:ascii="Arial" w:hAnsi="Arial" w:cs="Arial"/>
          <w:b/>
        </w:rPr>
        <w:t xml:space="preserve"> 22,3 %</w:t>
      </w:r>
      <w:r w:rsidRPr="00571870">
        <w:rPr>
          <w:rFonts w:ascii="Arial" w:hAnsi="Arial" w:cs="Arial"/>
        </w:rPr>
        <w:t xml:space="preserve"> (v 1. pololetí</w:t>
      </w:r>
      <w:r w:rsidRPr="00571870">
        <w:rPr>
          <w:rFonts w:ascii="Arial" w:hAnsi="Arial" w:cs="Arial"/>
          <w:b/>
        </w:rPr>
        <w:t xml:space="preserve"> </w:t>
      </w:r>
      <w:r w:rsidRPr="00571870">
        <w:rPr>
          <w:rFonts w:ascii="Arial" w:hAnsi="Arial" w:cs="Arial"/>
        </w:rPr>
        <w:t>2012 22,6 %).</w:t>
      </w:r>
    </w:p>
    <w:p w:rsidR="008C2C11" w:rsidRPr="009009DA" w:rsidRDefault="008C2C11" w:rsidP="008C2C11">
      <w:pPr>
        <w:numPr>
          <w:ilvl w:val="1"/>
          <w:numId w:val="2"/>
        </w:numPr>
        <w:tabs>
          <w:tab w:val="left" w:pos="360"/>
        </w:tabs>
        <w:spacing w:after="120" w:line="360" w:lineRule="auto"/>
        <w:ind w:left="360"/>
        <w:jc w:val="both"/>
        <w:rPr>
          <w:rFonts w:ascii="Arial" w:hAnsi="Arial" w:cs="Arial"/>
          <w:bCs/>
        </w:rPr>
      </w:pPr>
      <w:r w:rsidRPr="009009DA">
        <w:rPr>
          <w:rFonts w:ascii="Arial" w:hAnsi="Arial" w:cs="Arial"/>
        </w:rPr>
        <w:t xml:space="preserve">Výdaje </w:t>
      </w:r>
      <w:r w:rsidRPr="009009DA">
        <w:rPr>
          <w:rFonts w:ascii="Arial" w:hAnsi="Arial" w:cs="Arial"/>
          <w:b/>
          <w:bCs/>
        </w:rPr>
        <w:t>ze státního rozpočtu (SR)</w:t>
      </w:r>
      <w:r w:rsidRPr="009009DA">
        <w:rPr>
          <w:rFonts w:ascii="Arial" w:hAnsi="Arial" w:cs="Arial"/>
          <w:bCs/>
        </w:rPr>
        <w:t xml:space="preserve"> </w:t>
      </w:r>
      <w:r w:rsidRPr="009009DA">
        <w:rPr>
          <w:rFonts w:ascii="Arial" w:hAnsi="Arial" w:cs="Arial"/>
          <w:b/>
        </w:rPr>
        <w:t xml:space="preserve">související </w:t>
      </w:r>
      <w:r w:rsidRPr="009009DA">
        <w:rPr>
          <w:rFonts w:ascii="Arial" w:hAnsi="Arial" w:cs="Arial"/>
        </w:rPr>
        <w:t xml:space="preserve">s výplatou podpor v nezaměstnanosti </w:t>
      </w:r>
      <w:r w:rsidRPr="009009DA">
        <w:rPr>
          <w:rFonts w:ascii="Arial" w:hAnsi="Arial" w:cs="Arial"/>
          <w:b/>
          <w:bCs/>
        </w:rPr>
        <w:t>v </w:t>
      </w:r>
      <w:r w:rsidRPr="009009DA">
        <w:rPr>
          <w:rFonts w:ascii="Arial" w:hAnsi="Arial"/>
          <w:b/>
        </w:rPr>
        <w:t>1. pololetí 2013</w:t>
      </w:r>
      <w:r w:rsidRPr="009009DA">
        <w:rPr>
          <w:rFonts w:ascii="Arial" w:hAnsi="Arial"/>
        </w:rPr>
        <w:t xml:space="preserve"> </w:t>
      </w:r>
      <w:r w:rsidRPr="009009DA">
        <w:rPr>
          <w:rFonts w:ascii="Arial" w:hAnsi="Arial" w:cs="Arial"/>
          <w:bCs/>
        </w:rPr>
        <w:t xml:space="preserve">dosáhly </w:t>
      </w:r>
      <w:r w:rsidRPr="009009DA">
        <w:rPr>
          <w:rFonts w:ascii="Arial" w:hAnsi="Arial" w:cs="Arial"/>
          <w:b/>
          <w:bCs/>
        </w:rPr>
        <w:t>5</w:t>
      </w:r>
      <w:r w:rsidRPr="009009DA">
        <w:rPr>
          <w:rFonts w:ascii="Arial" w:hAnsi="Arial" w:cs="Arial"/>
          <w:b/>
        </w:rPr>
        <w:t> 358 348</w:t>
      </w:r>
      <w:r w:rsidRPr="009009DA">
        <w:rPr>
          <w:rFonts w:ascii="Arial" w:hAnsi="Arial" w:cs="Arial"/>
          <w:b/>
          <w:bCs/>
        </w:rPr>
        <w:t> </w:t>
      </w:r>
      <w:r w:rsidRPr="009009DA">
        <w:rPr>
          <w:rFonts w:ascii="Arial" w:hAnsi="Arial" w:cs="Arial"/>
          <w:b/>
        </w:rPr>
        <w:t>tis. Kč</w:t>
      </w:r>
      <w:r w:rsidRPr="009009DA">
        <w:rPr>
          <w:rFonts w:ascii="Arial" w:hAnsi="Arial" w:cs="Arial"/>
        </w:rPr>
        <w:t xml:space="preserve"> a byly ve </w:t>
      </w:r>
      <w:r w:rsidRPr="009009DA">
        <w:rPr>
          <w:rFonts w:ascii="Arial" w:hAnsi="Arial" w:cs="Arial"/>
        </w:rPr>
        <w:lastRenderedPageBreak/>
        <w:t>srovnání s výdaji v </w:t>
      </w:r>
      <w:r w:rsidRPr="009009DA">
        <w:rPr>
          <w:rFonts w:ascii="Arial" w:hAnsi="Arial"/>
        </w:rPr>
        <w:t xml:space="preserve">1. pololetí 2012 </w:t>
      </w:r>
      <w:r w:rsidRPr="009009DA">
        <w:rPr>
          <w:rFonts w:ascii="Arial" w:hAnsi="Arial" w:cs="Arial"/>
        </w:rPr>
        <w:t>(4 840 791</w:t>
      </w:r>
      <w:r w:rsidRPr="009009DA">
        <w:rPr>
          <w:rFonts w:ascii="Arial" w:hAnsi="Arial" w:cs="Arial"/>
          <w:bCs/>
        </w:rPr>
        <w:t> </w:t>
      </w:r>
      <w:r w:rsidRPr="009009DA">
        <w:rPr>
          <w:rFonts w:ascii="Arial" w:hAnsi="Arial" w:cs="Arial"/>
        </w:rPr>
        <w:t xml:space="preserve">tis. Kč) </w:t>
      </w:r>
      <w:r w:rsidRPr="009009DA">
        <w:rPr>
          <w:rFonts w:ascii="Arial" w:hAnsi="Arial" w:cs="Arial"/>
          <w:b/>
        </w:rPr>
        <w:t>o 517 557</w:t>
      </w:r>
      <w:r w:rsidRPr="009009DA">
        <w:rPr>
          <w:rFonts w:ascii="Arial" w:hAnsi="Arial" w:cs="Arial"/>
          <w:b/>
          <w:bCs/>
        </w:rPr>
        <w:t> </w:t>
      </w:r>
      <w:r w:rsidRPr="009009DA">
        <w:rPr>
          <w:rFonts w:ascii="Arial" w:hAnsi="Arial" w:cs="Arial"/>
          <w:b/>
        </w:rPr>
        <w:t>tis. Kč, tj.</w:t>
      </w:r>
      <w:r w:rsidR="00C51F90">
        <w:rPr>
          <w:rFonts w:ascii="Arial" w:hAnsi="Arial" w:cs="Arial"/>
          <w:b/>
        </w:rPr>
        <w:t> </w:t>
      </w:r>
      <w:r w:rsidRPr="009009DA">
        <w:rPr>
          <w:rFonts w:ascii="Arial" w:hAnsi="Arial" w:cs="Arial"/>
          <w:b/>
        </w:rPr>
        <w:t>10,7 % vyšší</w:t>
      </w:r>
      <w:r w:rsidRPr="009009DA">
        <w:rPr>
          <w:rFonts w:ascii="Arial" w:hAnsi="Arial" w:cs="Arial"/>
        </w:rPr>
        <w:t xml:space="preserve">. </w:t>
      </w:r>
    </w:p>
    <w:p w:rsidR="008C2C11" w:rsidRDefault="008C2C11" w:rsidP="008C2C11">
      <w:pPr>
        <w:numPr>
          <w:ilvl w:val="1"/>
          <w:numId w:val="2"/>
        </w:numPr>
        <w:tabs>
          <w:tab w:val="left" w:pos="360"/>
        </w:tabs>
        <w:spacing w:after="120" w:line="360" w:lineRule="auto"/>
        <w:ind w:left="360"/>
        <w:jc w:val="both"/>
        <w:rPr>
          <w:rFonts w:ascii="Arial" w:hAnsi="Arial" w:cs="Arial"/>
          <w:bCs/>
        </w:rPr>
      </w:pPr>
      <w:r w:rsidRPr="009009DA">
        <w:rPr>
          <w:rFonts w:ascii="Arial" w:hAnsi="Arial" w:cs="Arial"/>
          <w:b/>
        </w:rPr>
        <w:t>K 30. 6. 2013</w:t>
      </w:r>
      <w:r w:rsidRPr="009009DA">
        <w:rPr>
          <w:rFonts w:ascii="Arial" w:hAnsi="Arial" w:cs="Arial"/>
        </w:rPr>
        <w:t xml:space="preserve"> bylo </w:t>
      </w:r>
      <w:r w:rsidRPr="009009DA">
        <w:rPr>
          <w:rFonts w:ascii="Arial" w:hAnsi="Arial" w:cs="Arial"/>
          <w:b/>
        </w:rPr>
        <w:t>v evidenci ÚP</w:t>
      </w:r>
      <w:r w:rsidR="004F7079">
        <w:rPr>
          <w:rFonts w:ascii="Arial" w:hAnsi="Arial" w:cs="Arial"/>
          <w:b/>
        </w:rPr>
        <w:t> ČR</w:t>
      </w:r>
      <w:r w:rsidRPr="009009DA">
        <w:rPr>
          <w:rFonts w:ascii="Arial" w:hAnsi="Arial" w:cs="Arial"/>
          <w:b/>
        </w:rPr>
        <w:t xml:space="preserve"> 61,4</w:t>
      </w:r>
      <w:r w:rsidRPr="009009DA">
        <w:rPr>
          <w:rFonts w:ascii="Arial" w:hAnsi="Arial" w:cs="Arial"/>
        </w:rPr>
        <w:t xml:space="preserve"> </w:t>
      </w:r>
      <w:r w:rsidRPr="009009DA">
        <w:rPr>
          <w:rFonts w:ascii="Arial" w:hAnsi="Arial" w:cs="Arial"/>
          <w:b/>
          <w:bCs/>
        </w:rPr>
        <w:t xml:space="preserve">tis. </w:t>
      </w:r>
      <w:r w:rsidRPr="009009DA">
        <w:rPr>
          <w:rFonts w:ascii="Arial" w:hAnsi="Arial" w:cs="Arial"/>
          <w:bCs/>
          <w:iCs/>
        </w:rPr>
        <w:t>uchazečů o zaměstnání</w:t>
      </w:r>
      <w:r w:rsidRPr="009009DA">
        <w:rPr>
          <w:rFonts w:ascii="Arial" w:hAnsi="Arial" w:cs="Arial"/>
          <w:b/>
          <w:bCs/>
          <w:iCs/>
        </w:rPr>
        <w:t xml:space="preserve"> </w:t>
      </w:r>
      <w:r w:rsidRPr="009009DA">
        <w:rPr>
          <w:rFonts w:ascii="Arial" w:hAnsi="Arial" w:cs="Arial"/>
          <w:bCs/>
          <w:iCs/>
        </w:rPr>
        <w:t xml:space="preserve">– </w:t>
      </w:r>
      <w:r w:rsidRPr="009009DA">
        <w:rPr>
          <w:rFonts w:ascii="Arial" w:hAnsi="Arial" w:cs="Arial"/>
          <w:b/>
          <w:bCs/>
          <w:iCs/>
        </w:rPr>
        <w:t>osob se zdravotním postižením (OZP)</w:t>
      </w:r>
      <w:r w:rsidRPr="009009DA">
        <w:rPr>
          <w:rFonts w:ascii="Arial" w:hAnsi="Arial" w:cs="Arial"/>
          <w:b/>
          <w:bCs/>
        </w:rPr>
        <w:t>,</w:t>
      </w:r>
      <w:r w:rsidRPr="009009DA">
        <w:rPr>
          <w:rFonts w:ascii="Arial" w:hAnsi="Arial" w:cs="Arial"/>
        </w:rPr>
        <w:t xml:space="preserve"> tj. o 1,6 tis. </w:t>
      </w:r>
      <w:r w:rsidRPr="009009DA">
        <w:rPr>
          <w:rFonts w:ascii="Arial" w:hAnsi="Arial" w:cs="Arial"/>
          <w:b/>
        </w:rPr>
        <w:t>více</w:t>
      </w:r>
      <w:r w:rsidRPr="009009DA">
        <w:rPr>
          <w:rFonts w:ascii="Arial" w:hAnsi="Arial" w:cs="Arial"/>
        </w:rPr>
        <w:t xml:space="preserve"> než před rokem.</w:t>
      </w:r>
      <w:r w:rsidRPr="009009DA">
        <w:rPr>
          <w:rFonts w:ascii="Arial" w:eastAsiaTheme="minorHAnsi" w:hAnsi="Arial" w:cs="Arial"/>
          <w:b/>
          <w:szCs w:val="22"/>
          <w:lang w:eastAsia="en-US"/>
        </w:rPr>
        <w:t xml:space="preserve"> </w:t>
      </w:r>
      <w:r w:rsidRPr="009009DA">
        <w:rPr>
          <w:rFonts w:ascii="Arial" w:hAnsi="Arial" w:cs="Arial"/>
          <w:b/>
        </w:rPr>
        <w:t>Podíl OZP</w:t>
      </w:r>
      <w:r w:rsidRPr="009009DA">
        <w:rPr>
          <w:rFonts w:ascii="Arial" w:hAnsi="Arial" w:cs="Arial"/>
        </w:rPr>
        <w:t xml:space="preserve"> na celkovém počtu nezaměstnaných se </w:t>
      </w:r>
      <w:r w:rsidRPr="009009DA">
        <w:rPr>
          <w:rFonts w:ascii="Arial" w:hAnsi="Arial" w:cs="Arial"/>
          <w:b/>
        </w:rPr>
        <w:t>snížil</w:t>
      </w:r>
      <w:r w:rsidRPr="009009DA">
        <w:rPr>
          <w:rFonts w:ascii="Arial" w:hAnsi="Arial" w:cs="Arial"/>
        </w:rPr>
        <w:t xml:space="preserve"> z 12,6 % </w:t>
      </w:r>
      <w:r w:rsidRPr="009009DA">
        <w:rPr>
          <w:rFonts w:ascii="Arial" w:hAnsi="Arial" w:cs="Arial"/>
          <w:b/>
        </w:rPr>
        <w:t>na</w:t>
      </w:r>
      <w:r w:rsidRPr="009009DA">
        <w:rPr>
          <w:rFonts w:ascii="Arial" w:hAnsi="Arial" w:cs="Arial"/>
        </w:rPr>
        <w:t xml:space="preserve"> </w:t>
      </w:r>
      <w:r w:rsidRPr="009009DA">
        <w:rPr>
          <w:rFonts w:ascii="Arial" w:hAnsi="Arial" w:cs="Arial"/>
          <w:b/>
        </w:rPr>
        <w:t>11</w:t>
      </w:r>
      <w:r w:rsidRPr="009009DA">
        <w:rPr>
          <w:rFonts w:ascii="Arial" w:hAnsi="Arial" w:cs="Arial"/>
          <w:b/>
          <w:bCs/>
        </w:rPr>
        <w:t>,4 %</w:t>
      </w:r>
      <w:r w:rsidRPr="009009DA">
        <w:rPr>
          <w:rFonts w:ascii="Arial" w:hAnsi="Arial" w:cs="Arial"/>
          <w:bCs/>
        </w:rPr>
        <w:t>.</w:t>
      </w:r>
    </w:p>
    <w:p w:rsidR="008C2C11" w:rsidRPr="00884E47" w:rsidRDefault="008C2C11" w:rsidP="008C2C11">
      <w:pPr>
        <w:numPr>
          <w:ilvl w:val="1"/>
          <w:numId w:val="2"/>
        </w:numPr>
        <w:tabs>
          <w:tab w:val="left" w:pos="360"/>
        </w:tabs>
        <w:spacing w:after="120" w:line="360" w:lineRule="auto"/>
        <w:ind w:left="360"/>
        <w:jc w:val="both"/>
        <w:rPr>
          <w:rFonts w:ascii="Arial" w:hAnsi="Arial" w:cs="Arial"/>
          <w:bCs/>
        </w:rPr>
      </w:pPr>
      <w:r w:rsidRPr="009009DA">
        <w:rPr>
          <w:rFonts w:ascii="Arial" w:hAnsi="Arial" w:cs="Arial"/>
          <w:b/>
        </w:rPr>
        <w:t>Počet</w:t>
      </w:r>
      <w:r w:rsidRPr="009009DA">
        <w:rPr>
          <w:rFonts w:ascii="Arial" w:hAnsi="Arial" w:cs="Arial"/>
        </w:rPr>
        <w:t xml:space="preserve"> uchazečů </w:t>
      </w:r>
      <w:r w:rsidRPr="009009DA">
        <w:rPr>
          <w:rFonts w:ascii="Arial" w:hAnsi="Arial" w:cs="Arial"/>
          <w:b/>
        </w:rPr>
        <w:t>nad 50 let</w:t>
      </w:r>
      <w:r w:rsidRPr="009009DA">
        <w:rPr>
          <w:rFonts w:ascii="Arial" w:hAnsi="Arial" w:cs="Arial"/>
        </w:rPr>
        <w:t xml:space="preserve"> věku meziročně </w:t>
      </w:r>
      <w:r w:rsidRPr="009009DA">
        <w:rPr>
          <w:rFonts w:ascii="Arial" w:hAnsi="Arial" w:cs="Arial"/>
          <w:b/>
        </w:rPr>
        <w:t xml:space="preserve">vzrostl </w:t>
      </w:r>
      <w:r w:rsidRPr="009009DA">
        <w:rPr>
          <w:rFonts w:ascii="Arial" w:hAnsi="Arial" w:cs="Arial"/>
        </w:rPr>
        <w:t xml:space="preserve">celkem </w:t>
      </w:r>
      <w:r w:rsidRPr="009009DA">
        <w:rPr>
          <w:rFonts w:ascii="Arial" w:hAnsi="Arial" w:cs="Arial"/>
          <w:b/>
        </w:rPr>
        <w:t>o 15,3 tis. osob</w:t>
      </w:r>
      <w:r>
        <w:rPr>
          <w:rFonts w:ascii="Arial" w:hAnsi="Arial" w:cs="Arial"/>
          <w:b/>
        </w:rPr>
        <w:t xml:space="preserve">, nejvíce </w:t>
      </w:r>
      <w:r w:rsidRPr="00884E47">
        <w:rPr>
          <w:rFonts w:ascii="Arial" w:hAnsi="Arial" w:cs="Arial"/>
        </w:rPr>
        <w:t>ve věku</w:t>
      </w:r>
      <w:r>
        <w:rPr>
          <w:rFonts w:ascii="Arial" w:hAnsi="Arial" w:cs="Arial"/>
          <w:b/>
        </w:rPr>
        <w:t xml:space="preserve"> </w:t>
      </w:r>
      <w:r w:rsidRPr="009009DA">
        <w:rPr>
          <w:rFonts w:ascii="Arial" w:hAnsi="Arial" w:cs="Arial"/>
          <w:b/>
        </w:rPr>
        <w:t xml:space="preserve">55 - 59 let </w:t>
      </w:r>
      <w:r w:rsidRPr="009009DA">
        <w:rPr>
          <w:rFonts w:ascii="Arial" w:hAnsi="Arial" w:cs="Arial"/>
        </w:rPr>
        <w:t>(o 7,9 tis.</w:t>
      </w:r>
      <w:r>
        <w:rPr>
          <w:rFonts w:ascii="Arial" w:hAnsi="Arial" w:cs="Arial"/>
        </w:rPr>
        <w:t>)</w:t>
      </w:r>
      <w:r w:rsidRPr="009009DA">
        <w:rPr>
          <w:rFonts w:ascii="Arial" w:hAnsi="Arial" w:cs="Arial"/>
        </w:rPr>
        <w:t xml:space="preserve"> </w:t>
      </w:r>
      <w:r w:rsidRPr="009009DA">
        <w:rPr>
          <w:rFonts w:ascii="Arial" w:hAnsi="Arial" w:cs="Arial"/>
          <w:b/>
        </w:rPr>
        <w:t xml:space="preserve">a 60 – 64 let </w:t>
      </w:r>
      <w:r w:rsidRPr="009009DA">
        <w:rPr>
          <w:rFonts w:ascii="Arial" w:hAnsi="Arial" w:cs="Arial"/>
        </w:rPr>
        <w:t>(o 4,3 tis.</w:t>
      </w:r>
      <w:r>
        <w:rPr>
          <w:rFonts w:ascii="Arial" w:hAnsi="Arial" w:cs="Arial"/>
        </w:rPr>
        <w:t xml:space="preserve">). </w:t>
      </w:r>
      <w:r w:rsidRPr="009009DA">
        <w:rPr>
          <w:rFonts w:ascii="Arial" w:hAnsi="Arial" w:cs="Arial"/>
          <w:b/>
        </w:rPr>
        <w:t>Podíl</w:t>
      </w:r>
      <w:r w:rsidRPr="009009DA">
        <w:rPr>
          <w:rFonts w:ascii="Arial" w:hAnsi="Arial" w:cs="Arial"/>
        </w:rPr>
        <w:t xml:space="preserve"> uchazečů </w:t>
      </w:r>
      <w:r w:rsidRPr="009009DA">
        <w:rPr>
          <w:rFonts w:ascii="Arial" w:hAnsi="Arial" w:cs="Arial"/>
          <w:b/>
        </w:rPr>
        <w:t>starších 50 let</w:t>
      </w:r>
      <w:r w:rsidRPr="009009DA">
        <w:rPr>
          <w:rFonts w:ascii="Arial" w:hAnsi="Arial" w:cs="Arial"/>
        </w:rPr>
        <w:t xml:space="preserve"> na celkovém počtu uchazečů se mírně snížil o 0,5</w:t>
      </w:r>
      <w:r w:rsidRPr="009009DA">
        <w:rPr>
          <w:rFonts w:cs="Arial"/>
        </w:rPr>
        <w:t> </w:t>
      </w:r>
      <w:r w:rsidRPr="009009DA">
        <w:rPr>
          <w:rFonts w:ascii="Arial" w:hAnsi="Arial" w:cs="Arial"/>
        </w:rPr>
        <w:t xml:space="preserve">p. b. na </w:t>
      </w:r>
      <w:r w:rsidRPr="009009DA">
        <w:rPr>
          <w:rFonts w:ascii="Arial" w:hAnsi="Arial" w:cs="Arial"/>
          <w:b/>
        </w:rPr>
        <w:t>27,0 %</w:t>
      </w:r>
      <w:r w:rsidRPr="009009DA">
        <w:rPr>
          <w:rFonts w:ascii="Arial" w:hAnsi="Arial" w:cs="Arial"/>
        </w:rPr>
        <w:t>.</w:t>
      </w:r>
    </w:p>
    <w:p w:rsidR="008C2C11" w:rsidRPr="00884E47" w:rsidRDefault="008C2C11" w:rsidP="008C2C11">
      <w:pPr>
        <w:numPr>
          <w:ilvl w:val="0"/>
          <w:numId w:val="35"/>
        </w:numPr>
        <w:tabs>
          <w:tab w:val="left" w:pos="0"/>
          <w:tab w:val="left" w:pos="360"/>
        </w:tabs>
        <w:spacing w:after="120" w:line="360" w:lineRule="auto"/>
        <w:ind w:left="426" w:hanging="426"/>
        <w:jc w:val="both"/>
        <w:rPr>
          <w:rFonts w:ascii="Arial" w:hAnsi="Arial" w:cs="Arial"/>
          <w:bCs/>
        </w:rPr>
      </w:pPr>
      <w:r w:rsidRPr="00884E47">
        <w:rPr>
          <w:rFonts w:ascii="Arial" w:eastAsiaTheme="minorHAnsi" w:hAnsi="Arial" w:cs="Arial"/>
          <w:lang w:eastAsia="en-US"/>
        </w:rPr>
        <w:t xml:space="preserve">Mezinárodně sledovaná věková kategorie uchazečů </w:t>
      </w:r>
      <w:r w:rsidRPr="00884E47">
        <w:rPr>
          <w:rFonts w:ascii="Arial" w:eastAsiaTheme="minorHAnsi" w:hAnsi="Arial" w:cs="Arial"/>
          <w:b/>
          <w:lang w:eastAsia="en-US"/>
        </w:rPr>
        <w:t>do 25 let</w:t>
      </w:r>
      <w:r w:rsidRPr="00884E47">
        <w:rPr>
          <w:rFonts w:ascii="Arial" w:eastAsiaTheme="minorHAnsi" w:hAnsi="Arial" w:cs="Arial"/>
          <w:lang w:eastAsia="en-US"/>
        </w:rPr>
        <w:t xml:space="preserve"> zaznamenala nárůst počtu nezaměstnaných. K 30. 6. 2013 jich bylo evidováno </w:t>
      </w:r>
      <w:r w:rsidRPr="00884E47">
        <w:rPr>
          <w:rFonts w:ascii="Arial" w:hAnsi="Arial" w:cs="Arial"/>
          <w:b/>
        </w:rPr>
        <w:t>91,1 tis</w:t>
      </w:r>
      <w:r w:rsidRPr="00884E47">
        <w:rPr>
          <w:rFonts w:ascii="Arial" w:hAnsi="Arial" w:cs="Arial"/>
        </w:rPr>
        <w:t>., tj.</w:t>
      </w:r>
      <w:r w:rsidR="00C51F90">
        <w:rPr>
          <w:rFonts w:ascii="Arial" w:hAnsi="Arial" w:cs="Arial"/>
        </w:rPr>
        <w:t> </w:t>
      </w:r>
      <w:r w:rsidRPr="00884E47">
        <w:rPr>
          <w:rFonts w:ascii="Arial" w:hAnsi="Arial" w:cs="Arial"/>
        </w:rPr>
        <w:t>o </w:t>
      </w:r>
      <w:r w:rsidRPr="00884E47">
        <w:rPr>
          <w:rFonts w:ascii="Arial" w:hAnsi="Arial" w:cs="Arial"/>
          <w:b/>
        </w:rPr>
        <w:t>12,4 tis. více</w:t>
      </w:r>
      <w:r w:rsidRPr="00884E47">
        <w:rPr>
          <w:rFonts w:ascii="Arial" w:hAnsi="Arial" w:cs="Arial"/>
        </w:rPr>
        <w:t xml:space="preserve"> než před rokem</w:t>
      </w:r>
      <w:r w:rsidRPr="00884E47">
        <w:rPr>
          <w:rFonts w:ascii="Arial" w:eastAsiaTheme="minorHAnsi" w:hAnsi="Arial" w:cs="Arial"/>
          <w:lang w:eastAsia="en-US"/>
        </w:rPr>
        <w:t xml:space="preserve">. </w:t>
      </w:r>
      <w:r>
        <w:rPr>
          <w:rFonts w:ascii="Arial" w:hAnsi="Arial" w:cs="Arial"/>
          <w:b/>
        </w:rPr>
        <w:t xml:space="preserve">Podíl </w:t>
      </w:r>
      <w:r>
        <w:rPr>
          <w:rFonts w:ascii="Arial" w:hAnsi="Arial" w:cs="Arial"/>
        </w:rPr>
        <w:t xml:space="preserve">uchazečů </w:t>
      </w:r>
      <w:r>
        <w:rPr>
          <w:rFonts w:ascii="Arial" w:hAnsi="Arial" w:cs="Arial"/>
          <w:b/>
        </w:rPr>
        <w:t xml:space="preserve">do 25 let </w:t>
      </w:r>
      <w:r>
        <w:rPr>
          <w:rFonts w:ascii="Arial" w:hAnsi="Arial" w:cs="Arial"/>
        </w:rPr>
        <w:t>na celkovém počtu nezaměstnaných k 30. 6. 2013 činil</w:t>
      </w:r>
      <w:r>
        <w:rPr>
          <w:rFonts w:ascii="Arial" w:hAnsi="Arial" w:cs="Arial"/>
          <w:b/>
        </w:rPr>
        <w:t xml:space="preserve"> 16,8 % </w:t>
      </w:r>
      <w:r w:rsidRPr="00C75EB3">
        <w:rPr>
          <w:rFonts w:ascii="Arial" w:hAnsi="Arial" w:cs="Arial"/>
        </w:rPr>
        <w:t xml:space="preserve">a meziročně </w:t>
      </w:r>
      <w:r>
        <w:rPr>
          <w:rFonts w:ascii="Arial" w:hAnsi="Arial" w:cs="Arial"/>
        </w:rPr>
        <w:t>se zvýšil</w:t>
      </w:r>
      <w:r w:rsidRPr="00C75EB3">
        <w:rPr>
          <w:rFonts w:ascii="Arial" w:hAnsi="Arial" w:cs="Arial"/>
        </w:rPr>
        <w:t xml:space="preserve"> o</w:t>
      </w:r>
      <w:r>
        <w:rPr>
          <w:rFonts w:ascii="Arial" w:hAnsi="Arial" w:cs="Arial"/>
        </w:rPr>
        <w:t> </w:t>
      </w:r>
      <w:r w:rsidRPr="00C75EB3">
        <w:rPr>
          <w:rFonts w:ascii="Arial" w:hAnsi="Arial" w:cs="Arial"/>
        </w:rPr>
        <w:t>0,</w:t>
      </w:r>
      <w:r>
        <w:rPr>
          <w:rFonts w:ascii="Arial" w:hAnsi="Arial" w:cs="Arial"/>
        </w:rPr>
        <w:t>3</w:t>
      </w:r>
      <w:r w:rsidRPr="00C75EB3">
        <w:rPr>
          <w:rFonts w:ascii="Arial" w:hAnsi="Arial" w:cs="Arial"/>
        </w:rPr>
        <w:t> </w:t>
      </w:r>
      <w:r>
        <w:rPr>
          <w:rFonts w:ascii="Arial" w:hAnsi="Arial" w:cs="Arial"/>
        </w:rPr>
        <w:t>p. b.</w:t>
      </w:r>
    </w:p>
    <w:p w:rsidR="008C2C11" w:rsidRPr="00884E47" w:rsidRDefault="008C2C11" w:rsidP="008C2C11">
      <w:pPr>
        <w:numPr>
          <w:ilvl w:val="0"/>
          <w:numId w:val="35"/>
        </w:numPr>
        <w:tabs>
          <w:tab w:val="left" w:pos="0"/>
          <w:tab w:val="left" w:pos="360"/>
        </w:tabs>
        <w:spacing w:after="120" w:line="360" w:lineRule="auto"/>
        <w:ind w:left="426" w:hanging="426"/>
        <w:jc w:val="both"/>
        <w:rPr>
          <w:rFonts w:ascii="Arial" w:hAnsi="Arial" w:cs="Arial"/>
          <w:bCs/>
        </w:rPr>
      </w:pPr>
      <w:r>
        <w:rPr>
          <w:rFonts w:ascii="Arial" w:hAnsi="Arial" w:cs="Arial"/>
        </w:rPr>
        <w:t xml:space="preserve">Vývoj počtu uchazečů o zaměstnání v mladších věkových kategoriích ovlivňují především </w:t>
      </w:r>
      <w:r>
        <w:rPr>
          <w:rFonts w:ascii="Arial" w:hAnsi="Arial" w:cs="Arial"/>
          <w:b/>
        </w:rPr>
        <w:t>absolventi škol</w:t>
      </w:r>
      <w:r>
        <w:rPr>
          <w:rFonts w:ascii="Arial" w:hAnsi="Arial" w:cs="Arial"/>
        </w:rPr>
        <w:t xml:space="preserve"> všech stupňů vzdělání </w:t>
      </w:r>
      <w:r>
        <w:rPr>
          <w:rFonts w:ascii="Arial" w:hAnsi="Arial" w:cs="Arial"/>
          <w:b/>
        </w:rPr>
        <w:t>a</w:t>
      </w:r>
      <w:r>
        <w:rPr>
          <w:rFonts w:ascii="Arial" w:hAnsi="Arial" w:cs="Arial"/>
        </w:rPr>
        <w:t> </w:t>
      </w:r>
      <w:r>
        <w:rPr>
          <w:rFonts w:ascii="Arial" w:hAnsi="Arial" w:cs="Arial"/>
          <w:b/>
          <w:bCs/>
        </w:rPr>
        <w:t>mladiství</w:t>
      </w:r>
      <w:r>
        <w:rPr>
          <w:rFonts w:ascii="Arial" w:hAnsi="Arial" w:cs="Arial"/>
        </w:rPr>
        <w:t xml:space="preserve"> po ukončení základní školy. K </w:t>
      </w:r>
      <w:r>
        <w:rPr>
          <w:rFonts w:ascii="Arial" w:hAnsi="Arial" w:cs="Arial"/>
          <w:b/>
          <w:bCs/>
        </w:rPr>
        <w:t>30. 6. 2013</w:t>
      </w:r>
      <w:r>
        <w:rPr>
          <w:rFonts w:ascii="Arial" w:hAnsi="Arial" w:cs="Arial"/>
        </w:rPr>
        <w:t xml:space="preserve"> jich bylo evidováno </w:t>
      </w:r>
      <w:r w:rsidRPr="00CA6920">
        <w:rPr>
          <w:rFonts w:ascii="Arial" w:hAnsi="Arial" w:cs="Arial"/>
          <w:b/>
        </w:rPr>
        <w:t>26,</w:t>
      </w:r>
      <w:r w:rsidRPr="00D867FA">
        <w:rPr>
          <w:rFonts w:ascii="Arial" w:hAnsi="Arial" w:cs="Arial"/>
          <w:b/>
        </w:rPr>
        <w:t>9 </w:t>
      </w:r>
      <w:r>
        <w:rPr>
          <w:rFonts w:ascii="Arial" w:hAnsi="Arial" w:cs="Arial"/>
          <w:b/>
          <w:bCs/>
        </w:rPr>
        <w:t>tis.</w:t>
      </w:r>
      <w:r>
        <w:rPr>
          <w:rFonts w:ascii="Arial" w:hAnsi="Arial" w:cs="Arial"/>
        </w:rPr>
        <w:t xml:space="preserve">, </w:t>
      </w:r>
      <w:r>
        <w:rPr>
          <w:rFonts w:ascii="Arial" w:hAnsi="Arial" w:cs="Arial"/>
          <w:b/>
        </w:rPr>
        <w:t>o 7,0 tis. více</w:t>
      </w:r>
      <w:r>
        <w:rPr>
          <w:rFonts w:ascii="Arial" w:hAnsi="Arial" w:cs="Arial"/>
        </w:rPr>
        <w:t xml:space="preserve"> než před rokem.</w:t>
      </w:r>
      <w:r>
        <w:rPr>
          <w:rFonts w:ascii="Arial" w:hAnsi="Arial" w:cs="Arial"/>
          <w:bCs/>
        </w:rPr>
        <w:t xml:space="preserve"> </w:t>
      </w:r>
      <w:r>
        <w:rPr>
          <w:rFonts w:ascii="Arial" w:hAnsi="Arial" w:cs="Arial"/>
          <w:b/>
          <w:bCs/>
        </w:rPr>
        <w:t xml:space="preserve">Jejich podíl </w:t>
      </w:r>
      <w:r>
        <w:rPr>
          <w:rFonts w:ascii="Arial" w:hAnsi="Arial" w:cs="Arial"/>
        </w:rPr>
        <w:t xml:space="preserve">na celkovém počtu uchazečů o zaměstnání meziročně </w:t>
      </w:r>
      <w:r>
        <w:rPr>
          <w:rFonts w:ascii="Arial" w:hAnsi="Arial" w:cs="Arial"/>
          <w:b/>
        </w:rPr>
        <w:t>vzrostl</w:t>
      </w:r>
      <w:r>
        <w:rPr>
          <w:rFonts w:ascii="Arial" w:hAnsi="Arial" w:cs="Arial"/>
        </w:rPr>
        <w:t xml:space="preserve"> (ze 4,2 %) </w:t>
      </w:r>
      <w:r>
        <w:rPr>
          <w:rFonts w:ascii="Arial" w:hAnsi="Arial" w:cs="Arial"/>
          <w:b/>
        </w:rPr>
        <w:t>na 5,0</w:t>
      </w:r>
      <w:r>
        <w:rPr>
          <w:rFonts w:ascii="Arial" w:hAnsi="Arial" w:cs="Arial"/>
          <w:b/>
          <w:bCs/>
        </w:rPr>
        <w:t> %</w:t>
      </w:r>
      <w:r>
        <w:rPr>
          <w:rFonts w:ascii="Arial" w:hAnsi="Arial" w:cs="Arial"/>
          <w:bCs/>
        </w:rPr>
        <w:t>.</w:t>
      </w:r>
    </w:p>
    <w:p w:rsidR="008C2C11" w:rsidRPr="00884E47" w:rsidRDefault="008C2C11" w:rsidP="008C2C11">
      <w:pPr>
        <w:numPr>
          <w:ilvl w:val="1"/>
          <w:numId w:val="2"/>
        </w:numPr>
        <w:tabs>
          <w:tab w:val="left" w:pos="360"/>
        </w:tabs>
        <w:spacing w:after="120" w:line="360" w:lineRule="auto"/>
        <w:ind w:left="360"/>
        <w:jc w:val="both"/>
        <w:rPr>
          <w:rFonts w:ascii="Arial" w:hAnsi="Arial" w:cs="Arial"/>
        </w:rPr>
      </w:pPr>
      <w:r>
        <w:rPr>
          <w:rFonts w:ascii="Arial" w:hAnsi="Arial"/>
          <w:b/>
          <w:bCs/>
          <w:szCs w:val="23"/>
        </w:rPr>
        <w:t xml:space="preserve">Průměrný počet </w:t>
      </w:r>
      <w:r w:rsidRPr="00884E47">
        <w:rPr>
          <w:rFonts w:ascii="Arial" w:hAnsi="Arial"/>
          <w:bCs/>
          <w:szCs w:val="23"/>
        </w:rPr>
        <w:t xml:space="preserve">evidovaných </w:t>
      </w:r>
      <w:r>
        <w:rPr>
          <w:rFonts w:ascii="Arial" w:hAnsi="Arial"/>
          <w:b/>
          <w:bCs/>
          <w:szCs w:val="23"/>
        </w:rPr>
        <w:t>žen v 1. pololetí 2013</w:t>
      </w:r>
      <w:r>
        <w:rPr>
          <w:rFonts w:ascii="Arial" w:hAnsi="Arial"/>
          <w:bCs/>
          <w:szCs w:val="23"/>
        </w:rPr>
        <w:t xml:space="preserve"> dosáhl </w:t>
      </w:r>
      <w:r>
        <w:rPr>
          <w:rFonts w:ascii="Arial" w:hAnsi="Arial"/>
          <w:b/>
          <w:bCs/>
          <w:szCs w:val="23"/>
        </w:rPr>
        <w:t>272,7 tis.</w:t>
      </w:r>
      <w:r>
        <w:rPr>
          <w:rFonts w:ascii="Arial" w:hAnsi="Arial"/>
          <w:bCs/>
          <w:szCs w:val="23"/>
        </w:rPr>
        <w:t xml:space="preserve">, o 21,0 tis. více než v 1. pololetí 2012. </w:t>
      </w:r>
      <w:r>
        <w:rPr>
          <w:rFonts w:ascii="Arial" w:hAnsi="Arial"/>
          <w:b/>
          <w:bCs/>
          <w:szCs w:val="23"/>
        </w:rPr>
        <w:t xml:space="preserve">Mužů bylo </w:t>
      </w:r>
      <w:r w:rsidRPr="00884E47">
        <w:rPr>
          <w:rFonts w:ascii="Arial" w:hAnsi="Arial"/>
          <w:bCs/>
          <w:szCs w:val="23"/>
        </w:rPr>
        <w:t>evidováno</w:t>
      </w:r>
      <w:r>
        <w:rPr>
          <w:rFonts w:ascii="Arial" w:hAnsi="Arial"/>
          <w:b/>
          <w:bCs/>
          <w:szCs w:val="23"/>
        </w:rPr>
        <w:t xml:space="preserve"> </w:t>
      </w:r>
      <w:r>
        <w:rPr>
          <w:rFonts w:ascii="Arial" w:hAnsi="Arial"/>
          <w:bCs/>
          <w:szCs w:val="23"/>
        </w:rPr>
        <w:t xml:space="preserve">v průměru </w:t>
      </w:r>
      <w:r>
        <w:rPr>
          <w:rFonts w:ascii="Arial" w:hAnsi="Arial" w:cs="Arial"/>
          <w:b/>
          <w:szCs w:val="23"/>
        </w:rPr>
        <w:t>297,8 tis.,</w:t>
      </w:r>
      <w:r>
        <w:rPr>
          <w:rFonts w:ascii="Arial" w:hAnsi="Arial" w:cs="Arial"/>
          <w:szCs w:val="23"/>
        </w:rPr>
        <w:t xml:space="preserve"> tj.</w:t>
      </w:r>
      <w:r w:rsidR="00C51F90">
        <w:rPr>
          <w:rFonts w:ascii="Arial" w:hAnsi="Arial" w:cs="Arial"/>
          <w:szCs w:val="23"/>
        </w:rPr>
        <w:t> </w:t>
      </w:r>
      <w:r>
        <w:rPr>
          <w:rFonts w:ascii="Arial" w:hAnsi="Arial" w:cs="Arial"/>
          <w:szCs w:val="23"/>
        </w:rPr>
        <w:t>o 37,5 tis. více. P</w:t>
      </w:r>
      <w:r>
        <w:rPr>
          <w:rFonts w:ascii="Arial" w:hAnsi="Arial"/>
          <w:bCs/>
          <w:szCs w:val="23"/>
        </w:rPr>
        <w:t xml:space="preserve">růměrný </w:t>
      </w:r>
      <w:r>
        <w:rPr>
          <w:rFonts w:ascii="Arial" w:hAnsi="Arial"/>
          <w:b/>
          <w:szCs w:val="23"/>
        </w:rPr>
        <w:t>podíl</w:t>
      </w:r>
      <w:r>
        <w:rPr>
          <w:rFonts w:ascii="Arial" w:hAnsi="Arial"/>
          <w:bCs/>
          <w:szCs w:val="23"/>
        </w:rPr>
        <w:t xml:space="preserve"> </w:t>
      </w:r>
      <w:r>
        <w:rPr>
          <w:rFonts w:ascii="Arial" w:hAnsi="Arial"/>
          <w:b/>
          <w:bCs/>
          <w:szCs w:val="23"/>
        </w:rPr>
        <w:t>žen</w:t>
      </w:r>
      <w:r>
        <w:rPr>
          <w:rFonts w:ascii="Arial" w:hAnsi="Arial"/>
          <w:bCs/>
          <w:szCs w:val="23"/>
        </w:rPr>
        <w:t xml:space="preserve"> na celkovém počtu registrovaných nezaměstnaných </w:t>
      </w:r>
      <w:r>
        <w:rPr>
          <w:rFonts w:ascii="Arial" w:hAnsi="Arial"/>
          <w:szCs w:val="23"/>
        </w:rPr>
        <w:t>poklesl na</w:t>
      </w:r>
      <w:r>
        <w:rPr>
          <w:rFonts w:ascii="Arial" w:hAnsi="Arial"/>
          <w:bCs/>
          <w:szCs w:val="23"/>
        </w:rPr>
        <w:t xml:space="preserve"> </w:t>
      </w:r>
      <w:r>
        <w:rPr>
          <w:rFonts w:ascii="Arial" w:hAnsi="Arial"/>
          <w:b/>
          <w:szCs w:val="23"/>
        </w:rPr>
        <w:t>47,8 %</w:t>
      </w:r>
      <w:r>
        <w:rPr>
          <w:rFonts w:ascii="Arial" w:hAnsi="Arial"/>
          <w:bCs/>
          <w:szCs w:val="23"/>
        </w:rPr>
        <w:t xml:space="preserve"> (v 1. pololetí 2012 – 49,2 %).</w:t>
      </w:r>
    </w:p>
    <w:p w:rsidR="008C2C11" w:rsidRPr="00DE49E3" w:rsidRDefault="008C2C11" w:rsidP="008C2C11">
      <w:pPr>
        <w:numPr>
          <w:ilvl w:val="1"/>
          <w:numId w:val="2"/>
        </w:numPr>
        <w:tabs>
          <w:tab w:val="left" w:pos="360"/>
        </w:tabs>
        <w:spacing w:after="120" w:line="360" w:lineRule="auto"/>
        <w:ind w:left="360"/>
        <w:jc w:val="both"/>
        <w:rPr>
          <w:rFonts w:ascii="Arial" w:hAnsi="Arial" w:cs="Arial"/>
        </w:rPr>
      </w:pPr>
      <w:r>
        <w:rPr>
          <w:rFonts w:ascii="Arial" w:hAnsi="Arial" w:cs="Arial"/>
          <w:b/>
        </w:rPr>
        <w:t>Počet uchazečů</w:t>
      </w:r>
      <w:r>
        <w:rPr>
          <w:rFonts w:ascii="Arial" w:hAnsi="Arial" w:cs="Arial"/>
        </w:rPr>
        <w:t xml:space="preserve"> o zaměstnání evidovaných </w:t>
      </w:r>
      <w:r>
        <w:rPr>
          <w:rFonts w:ascii="Arial" w:hAnsi="Arial" w:cs="Arial"/>
          <w:b/>
        </w:rPr>
        <w:t xml:space="preserve">déle než 12 měsíců se </w:t>
      </w:r>
      <w:r>
        <w:rPr>
          <w:rFonts w:ascii="Arial" w:hAnsi="Arial" w:cs="Arial"/>
        </w:rPr>
        <w:t>k</w:t>
      </w:r>
      <w:r>
        <w:rPr>
          <w:rFonts w:ascii="Arial" w:hAnsi="Arial" w:cs="Arial"/>
          <w:b/>
        </w:rPr>
        <w:t xml:space="preserve"> 30. 6. 2013 </w:t>
      </w:r>
      <w:r>
        <w:rPr>
          <w:rFonts w:ascii="Arial" w:hAnsi="Arial" w:cs="Arial"/>
        </w:rPr>
        <w:t xml:space="preserve">meziročně </w:t>
      </w:r>
      <w:r>
        <w:rPr>
          <w:rFonts w:ascii="Arial" w:hAnsi="Arial" w:cs="Arial"/>
          <w:b/>
        </w:rPr>
        <w:t xml:space="preserve">zvýšil </w:t>
      </w:r>
      <w:r>
        <w:rPr>
          <w:rFonts w:ascii="Arial" w:hAnsi="Arial" w:cs="Arial"/>
        </w:rPr>
        <w:t xml:space="preserve">o 29,6 tis. </w:t>
      </w:r>
      <w:r>
        <w:rPr>
          <w:rFonts w:ascii="Arial" w:hAnsi="Arial" w:cs="Arial"/>
          <w:b/>
        </w:rPr>
        <w:t>na 210,6 tis.,</w:t>
      </w:r>
      <w:r w:rsidRPr="00732E75">
        <w:rPr>
          <w:rFonts w:ascii="Arial" w:hAnsi="Arial" w:cs="Arial"/>
        </w:rPr>
        <w:t xml:space="preserve"> jejich</w:t>
      </w:r>
      <w:r>
        <w:rPr>
          <w:rFonts w:ascii="Arial" w:hAnsi="Arial" w:cs="Arial"/>
          <w:b/>
        </w:rPr>
        <w:t xml:space="preserve"> podíl </w:t>
      </w:r>
      <w:r w:rsidRPr="00732E75">
        <w:rPr>
          <w:rFonts w:ascii="Arial" w:hAnsi="Arial" w:cs="Arial"/>
        </w:rPr>
        <w:t>na celkovém počtu uchazečů o zaměstnání</w:t>
      </w:r>
      <w:r>
        <w:rPr>
          <w:rFonts w:ascii="Arial" w:hAnsi="Arial" w:cs="Arial"/>
          <w:b/>
        </w:rPr>
        <w:t xml:space="preserve"> vzrostl </w:t>
      </w:r>
      <w:r>
        <w:rPr>
          <w:rFonts w:ascii="Arial" w:hAnsi="Arial" w:cs="Arial"/>
        </w:rPr>
        <w:t>z </w:t>
      </w:r>
      <w:r w:rsidRPr="00732E75">
        <w:rPr>
          <w:rFonts w:ascii="Arial" w:hAnsi="Arial" w:cs="Arial"/>
        </w:rPr>
        <w:t>3</w:t>
      </w:r>
      <w:r>
        <w:rPr>
          <w:rFonts w:ascii="Arial" w:hAnsi="Arial" w:cs="Arial"/>
        </w:rPr>
        <w:t>8</w:t>
      </w:r>
      <w:r w:rsidRPr="00732E75">
        <w:rPr>
          <w:rFonts w:ascii="Arial" w:hAnsi="Arial" w:cs="Arial"/>
        </w:rPr>
        <w:t>,</w:t>
      </w:r>
      <w:r>
        <w:rPr>
          <w:rFonts w:ascii="Arial" w:hAnsi="Arial" w:cs="Arial"/>
        </w:rPr>
        <w:t>1</w:t>
      </w:r>
      <w:r w:rsidRPr="00732E75">
        <w:rPr>
          <w:rFonts w:ascii="Arial" w:hAnsi="Arial" w:cs="Arial"/>
        </w:rPr>
        <w:t> </w:t>
      </w:r>
      <w:r>
        <w:rPr>
          <w:rFonts w:ascii="Arial" w:hAnsi="Arial" w:cs="Arial"/>
        </w:rPr>
        <w:t xml:space="preserve">% </w:t>
      </w:r>
      <w:r>
        <w:rPr>
          <w:rFonts w:ascii="Arial" w:hAnsi="Arial" w:cs="Arial"/>
          <w:b/>
        </w:rPr>
        <w:t>na</w:t>
      </w:r>
      <w:r>
        <w:rPr>
          <w:rFonts w:ascii="Arial" w:hAnsi="Arial" w:cs="Arial"/>
        </w:rPr>
        <w:t xml:space="preserve"> </w:t>
      </w:r>
      <w:r>
        <w:rPr>
          <w:rFonts w:ascii="Arial" w:hAnsi="Arial" w:cs="Arial"/>
          <w:b/>
        </w:rPr>
        <w:t xml:space="preserve">39,0 % </w:t>
      </w:r>
      <w:r>
        <w:rPr>
          <w:rFonts w:ascii="Arial" w:hAnsi="Arial" w:cs="Arial"/>
        </w:rPr>
        <w:t xml:space="preserve">(o 0,9 p. b.). </w:t>
      </w:r>
    </w:p>
    <w:p w:rsidR="008C2C11" w:rsidRPr="00DE49E3" w:rsidRDefault="008C2C11" w:rsidP="008C2C11">
      <w:pPr>
        <w:numPr>
          <w:ilvl w:val="1"/>
          <w:numId w:val="2"/>
        </w:numPr>
        <w:tabs>
          <w:tab w:val="left" w:pos="360"/>
        </w:tabs>
        <w:spacing w:after="120" w:line="360" w:lineRule="auto"/>
        <w:ind w:left="360"/>
        <w:jc w:val="both"/>
        <w:rPr>
          <w:rFonts w:ascii="Arial" w:hAnsi="Arial" w:cs="Arial"/>
        </w:rPr>
      </w:pPr>
      <w:r w:rsidRPr="00737F8F">
        <w:rPr>
          <w:rFonts w:ascii="Arial" w:hAnsi="Arial" w:cs="Arial"/>
        </w:rPr>
        <w:t>K 30. 6. 201</w:t>
      </w:r>
      <w:r>
        <w:rPr>
          <w:rFonts w:ascii="Arial" w:hAnsi="Arial" w:cs="Arial"/>
        </w:rPr>
        <w:t>3</w:t>
      </w:r>
      <w:r w:rsidRPr="00737F8F">
        <w:rPr>
          <w:rFonts w:ascii="Arial" w:hAnsi="Arial" w:cs="Arial"/>
        </w:rPr>
        <w:t xml:space="preserve"> byl zaznamenán </w:t>
      </w:r>
      <w:r>
        <w:rPr>
          <w:rFonts w:ascii="Arial" w:hAnsi="Arial" w:cs="Arial"/>
        </w:rPr>
        <w:t xml:space="preserve">pouze mírný </w:t>
      </w:r>
      <w:r w:rsidRPr="00737F8F">
        <w:rPr>
          <w:rFonts w:ascii="Arial" w:hAnsi="Arial" w:cs="Arial"/>
          <w:b/>
        </w:rPr>
        <w:t xml:space="preserve">meziroční pokles uchazečů </w:t>
      </w:r>
      <w:r w:rsidRPr="00737F8F">
        <w:rPr>
          <w:rFonts w:ascii="Arial" w:hAnsi="Arial" w:cs="Arial"/>
          <w:b/>
          <w:lang w:eastAsia="en-US"/>
        </w:rPr>
        <w:t>se středoškolským vzděláním bez maturity</w:t>
      </w:r>
      <w:r w:rsidRPr="00737F8F">
        <w:rPr>
          <w:rFonts w:ascii="Arial" w:hAnsi="Arial" w:cs="Arial"/>
          <w:lang w:eastAsia="en-US"/>
        </w:rPr>
        <w:t xml:space="preserve"> (o </w:t>
      </w:r>
      <w:r>
        <w:rPr>
          <w:rFonts w:ascii="Arial" w:hAnsi="Arial" w:cs="Arial"/>
          <w:lang w:eastAsia="en-US"/>
        </w:rPr>
        <w:t>0</w:t>
      </w:r>
      <w:r w:rsidRPr="00737F8F">
        <w:rPr>
          <w:rFonts w:ascii="Arial" w:hAnsi="Arial" w:cs="Arial"/>
          <w:lang w:eastAsia="en-US"/>
        </w:rPr>
        <w:t>,</w:t>
      </w:r>
      <w:r>
        <w:rPr>
          <w:rFonts w:ascii="Arial" w:hAnsi="Arial" w:cs="Arial"/>
          <w:lang w:eastAsia="en-US"/>
        </w:rPr>
        <w:t>7</w:t>
      </w:r>
      <w:r w:rsidRPr="00737F8F">
        <w:rPr>
          <w:rFonts w:ascii="Arial" w:hAnsi="Arial" w:cs="Arial"/>
          <w:lang w:eastAsia="en-US"/>
        </w:rPr>
        <w:t> tis.)</w:t>
      </w:r>
      <w:r>
        <w:rPr>
          <w:rFonts w:ascii="Arial" w:hAnsi="Arial" w:cs="Arial"/>
          <w:lang w:eastAsia="en-US"/>
        </w:rPr>
        <w:t xml:space="preserve"> a bez ukončeného základního vzdělání (o 0,2 tis.).  </w:t>
      </w:r>
      <w:r w:rsidRPr="00737F8F">
        <w:rPr>
          <w:rFonts w:ascii="Arial" w:hAnsi="Arial" w:cs="Arial"/>
          <w:lang w:eastAsia="en-US"/>
        </w:rPr>
        <w:t xml:space="preserve">Počty uchazečů o zaměstnání z ostatních kategorií vzdělání </w:t>
      </w:r>
      <w:r w:rsidRPr="00737F8F">
        <w:rPr>
          <w:rFonts w:ascii="Arial" w:hAnsi="Arial" w:cs="Arial"/>
          <w:b/>
          <w:lang w:eastAsia="en-US"/>
        </w:rPr>
        <w:t>vzrostly</w:t>
      </w:r>
      <w:r>
        <w:rPr>
          <w:rFonts w:ascii="Arial" w:hAnsi="Arial" w:cs="Arial"/>
          <w:b/>
          <w:lang w:eastAsia="en-US"/>
        </w:rPr>
        <w:t>,</w:t>
      </w:r>
      <w:r w:rsidRPr="00737F8F">
        <w:rPr>
          <w:rFonts w:ascii="Arial" w:hAnsi="Arial" w:cs="Arial"/>
          <w:b/>
          <w:lang w:eastAsia="en-US"/>
        </w:rPr>
        <w:t xml:space="preserve"> </w:t>
      </w:r>
      <w:r w:rsidRPr="00737F8F">
        <w:rPr>
          <w:rFonts w:ascii="Arial" w:hAnsi="Arial" w:cs="Arial"/>
          <w:lang w:eastAsia="en-US"/>
        </w:rPr>
        <w:t>nejvíce</w:t>
      </w:r>
      <w:r w:rsidRPr="00737F8F">
        <w:rPr>
          <w:rFonts w:ascii="Arial" w:hAnsi="Arial" w:cs="Arial"/>
          <w:b/>
          <w:lang w:eastAsia="en-US"/>
        </w:rPr>
        <w:t xml:space="preserve"> </w:t>
      </w:r>
      <w:r>
        <w:rPr>
          <w:rFonts w:ascii="Arial" w:hAnsi="Arial" w:cs="Arial"/>
          <w:b/>
        </w:rPr>
        <w:t xml:space="preserve">vyučených </w:t>
      </w:r>
      <w:r w:rsidRPr="00787E9F">
        <w:rPr>
          <w:rFonts w:ascii="Arial" w:hAnsi="Arial" w:cs="Arial"/>
        </w:rPr>
        <w:t>(o 25,7 tis.)</w:t>
      </w:r>
      <w:r>
        <w:rPr>
          <w:rFonts w:ascii="Arial" w:hAnsi="Arial" w:cs="Arial"/>
          <w:b/>
        </w:rPr>
        <w:t xml:space="preserve">, se základním vzděláním </w:t>
      </w:r>
      <w:r w:rsidRPr="009D2CF7">
        <w:rPr>
          <w:rFonts w:ascii="Arial" w:hAnsi="Arial" w:cs="Arial"/>
        </w:rPr>
        <w:t>(o 17,2 tis.)</w:t>
      </w:r>
      <w:r>
        <w:rPr>
          <w:rFonts w:ascii="Arial" w:hAnsi="Arial" w:cs="Arial"/>
          <w:b/>
        </w:rPr>
        <w:t xml:space="preserve"> a  </w:t>
      </w:r>
      <w:r>
        <w:rPr>
          <w:rFonts w:ascii="Arial" w:hAnsi="Arial" w:cs="Arial"/>
          <w:b/>
          <w:lang w:eastAsia="en-US"/>
        </w:rPr>
        <w:t>se</w:t>
      </w:r>
      <w:r w:rsidRPr="00737F8F">
        <w:rPr>
          <w:rFonts w:ascii="Arial" w:hAnsi="Arial" w:cs="Arial"/>
          <w:b/>
          <w:lang w:eastAsia="en-US"/>
        </w:rPr>
        <w:t xml:space="preserve"> středoškolsk</w:t>
      </w:r>
      <w:r>
        <w:rPr>
          <w:rFonts w:ascii="Arial" w:hAnsi="Arial" w:cs="Arial"/>
          <w:b/>
          <w:lang w:eastAsia="en-US"/>
        </w:rPr>
        <w:t>ým</w:t>
      </w:r>
      <w:r w:rsidRPr="00737F8F">
        <w:rPr>
          <w:rFonts w:ascii="Arial" w:hAnsi="Arial" w:cs="Arial"/>
          <w:b/>
          <w:lang w:eastAsia="en-US"/>
        </w:rPr>
        <w:t xml:space="preserve"> vzdělání</w:t>
      </w:r>
      <w:r>
        <w:rPr>
          <w:rFonts w:ascii="Arial" w:hAnsi="Arial" w:cs="Arial"/>
          <w:b/>
          <w:lang w:eastAsia="en-US"/>
        </w:rPr>
        <w:t>m</w:t>
      </w:r>
      <w:r w:rsidRPr="00737F8F">
        <w:rPr>
          <w:rFonts w:ascii="Arial" w:hAnsi="Arial" w:cs="Arial"/>
          <w:b/>
          <w:lang w:eastAsia="en-US"/>
        </w:rPr>
        <w:t xml:space="preserve"> s maturitou</w:t>
      </w:r>
      <w:r w:rsidRPr="00737F8F">
        <w:rPr>
          <w:rFonts w:ascii="Arial" w:hAnsi="Arial" w:cs="Arial"/>
          <w:lang w:eastAsia="en-US"/>
        </w:rPr>
        <w:t xml:space="preserve"> </w:t>
      </w:r>
      <w:r w:rsidRPr="00737F8F">
        <w:rPr>
          <w:rFonts w:ascii="Arial" w:hAnsi="Arial" w:cs="Arial"/>
          <w:lang w:eastAsia="en-US"/>
        </w:rPr>
        <w:lastRenderedPageBreak/>
        <w:t>(o</w:t>
      </w:r>
      <w:r w:rsidR="003B2AA3">
        <w:rPr>
          <w:rFonts w:ascii="Arial" w:hAnsi="Arial" w:cs="Arial"/>
          <w:lang w:eastAsia="en-US"/>
        </w:rPr>
        <w:t> </w:t>
      </w:r>
      <w:r>
        <w:rPr>
          <w:rFonts w:ascii="Arial" w:hAnsi="Arial" w:cs="Arial"/>
          <w:lang w:eastAsia="en-US"/>
        </w:rPr>
        <w:t>1</w:t>
      </w:r>
      <w:r w:rsidRPr="00737F8F">
        <w:rPr>
          <w:rFonts w:ascii="Arial" w:hAnsi="Arial" w:cs="Arial"/>
          <w:lang w:eastAsia="en-US"/>
        </w:rPr>
        <w:t>3,</w:t>
      </w:r>
      <w:r>
        <w:rPr>
          <w:rFonts w:ascii="Arial" w:hAnsi="Arial" w:cs="Arial"/>
          <w:lang w:eastAsia="en-US"/>
        </w:rPr>
        <w:t>8</w:t>
      </w:r>
      <w:r w:rsidR="003B2AA3">
        <w:rPr>
          <w:rFonts w:ascii="Arial" w:hAnsi="Arial" w:cs="Arial"/>
          <w:lang w:eastAsia="en-US"/>
        </w:rPr>
        <w:t> </w:t>
      </w:r>
      <w:r w:rsidRPr="00737F8F">
        <w:rPr>
          <w:rFonts w:ascii="Arial" w:hAnsi="Arial" w:cs="Arial"/>
          <w:lang w:eastAsia="en-US"/>
        </w:rPr>
        <w:t xml:space="preserve">tis.).  </w:t>
      </w:r>
      <w:r>
        <w:rPr>
          <w:rFonts w:ascii="Arial" w:hAnsi="Arial" w:cs="Arial"/>
          <w:lang w:eastAsia="en-US"/>
        </w:rPr>
        <w:t xml:space="preserve">Největší </w:t>
      </w:r>
      <w:r w:rsidRPr="005E57CA">
        <w:rPr>
          <w:rFonts w:ascii="Arial" w:hAnsi="Arial" w:cs="Arial"/>
          <w:b/>
          <w:lang w:eastAsia="en-US"/>
        </w:rPr>
        <w:t>relativní nárůst</w:t>
      </w:r>
      <w:r>
        <w:rPr>
          <w:rFonts w:ascii="Arial" w:hAnsi="Arial" w:cs="Arial"/>
          <w:lang w:eastAsia="en-US"/>
        </w:rPr>
        <w:t xml:space="preserve"> byl patrný v početně malých skupinách uchazečů </w:t>
      </w:r>
      <w:r w:rsidRPr="005E57CA">
        <w:rPr>
          <w:rFonts w:ascii="Arial" w:hAnsi="Arial" w:cs="Arial"/>
          <w:b/>
          <w:lang w:eastAsia="en-US"/>
        </w:rPr>
        <w:t>s vyšším a vysokoškolským vzděláním</w:t>
      </w:r>
      <w:r>
        <w:rPr>
          <w:rFonts w:ascii="Arial" w:hAnsi="Arial" w:cs="Arial"/>
          <w:lang w:eastAsia="en-US"/>
        </w:rPr>
        <w:t xml:space="preserve"> (o 20,6 %, resp. 19,6 %).</w:t>
      </w:r>
      <w:r w:rsidRPr="00DE49E3">
        <w:rPr>
          <w:rFonts w:ascii="Arial" w:hAnsi="Arial" w:cs="Arial"/>
        </w:rPr>
        <w:t xml:space="preserve"> </w:t>
      </w:r>
    </w:p>
    <w:p w:rsidR="008C2C11" w:rsidRPr="00DB43BD" w:rsidRDefault="008C2C11" w:rsidP="008C2C11">
      <w:pPr>
        <w:numPr>
          <w:ilvl w:val="1"/>
          <w:numId w:val="2"/>
        </w:numPr>
        <w:tabs>
          <w:tab w:val="left" w:pos="360"/>
        </w:tabs>
        <w:spacing w:after="120" w:line="360" w:lineRule="auto"/>
        <w:ind w:left="360"/>
        <w:jc w:val="both"/>
        <w:rPr>
          <w:rFonts w:ascii="Arial" w:hAnsi="Arial" w:cs="Arial"/>
          <w:iCs/>
        </w:rPr>
      </w:pPr>
      <w:r>
        <w:rPr>
          <w:rFonts w:ascii="Arial" w:hAnsi="Arial" w:cs="Arial"/>
          <w:b/>
        </w:rPr>
        <w:t>Nejpočetnějšími</w:t>
      </w:r>
      <w:r>
        <w:rPr>
          <w:rFonts w:ascii="Arial" w:hAnsi="Arial" w:cs="Arial"/>
        </w:rPr>
        <w:t xml:space="preserve"> skupinami uchazečů o zaměstnání byli stále uchazeči </w:t>
      </w:r>
      <w:r w:rsidRPr="009D2CF7">
        <w:rPr>
          <w:rFonts w:ascii="Arial" w:hAnsi="Arial" w:cs="Arial"/>
          <w:b/>
        </w:rPr>
        <w:t>vyučení (210,2 tis.)</w:t>
      </w:r>
      <w:r>
        <w:rPr>
          <w:rFonts w:ascii="Arial" w:hAnsi="Arial" w:cs="Arial"/>
        </w:rPr>
        <w:t xml:space="preserve"> </w:t>
      </w:r>
      <w:r>
        <w:rPr>
          <w:rFonts w:ascii="Arial" w:hAnsi="Arial" w:cs="Arial"/>
          <w:b/>
        </w:rPr>
        <w:t>a se základním vzděláním</w:t>
      </w:r>
      <w:r>
        <w:rPr>
          <w:rFonts w:ascii="Arial" w:hAnsi="Arial" w:cs="Arial"/>
        </w:rPr>
        <w:t xml:space="preserve"> </w:t>
      </w:r>
      <w:r w:rsidRPr="009D2CF7">
        <w:rPr>
          <w:rFonts w:ascii="Arial" w:hAnsi="Arial" w:cs="Arial"/>
          <w:b/>
        </w:rPr>
        <w:t>vč. neukončeného základního vzdělání (155,9 tis.)</w:t>
      </w:r>
      <w:r>
        <w:rPr>
          <w:rFonts w:ascii="Arial" w:hAnsi="Arial" w:cs="Arial"/>
        </w:rPr>
        <w:t xml:space="preserve">, kteří tvoří 38,9 % resp. 28,8 % na nezaměstnanosti. </w:t>
      </w:r>
    </w:p>
    <w:p w:rsidR="008C2C11" w:rsidRPr="00DB43BD" w:rsidRDefault="008C2C11" w:rsidP="008C2C11">
      <w:pPr>
        <w:pStyle w:val="Zkladntext"/>
        <w:numPr>
          <w:ilvl w:val="0"/>
          <w:numId w:val="38"/>
        </w:numPr>
        <w:spacing w:after="120" w:line="360" w:lineRule="auto"/>
        <w:ind w:left="426" w:hanging="426"/>
        <w:rPr>
          <w:iCs/>
          <w:szCs w:val="23"/>
        </w:rPr>
      </w:pPr>
      <w:r w:rsidRPr="00A16E08">
        <w:rPr>
          <w:rFonts w:cs="Arial"/>
          <w:b/>
          <w:bCs/>
        </w:rPr>
        <w:t xml:space="preserve">Podíl nezaměstnaných osob </w:t>
      </w:r>
      <w:r w:rsidRPr="002936B7">
        <w:rPr>
          <w:szCs w:val="23"/>
        </w:rPr>
        <w:t>vyšší než celorepublikový průměr (</w:t>
      </w:r>
      <w:r>
        <w:rPr>
          <w:szCs w:val="23"/>
          <w:lang w:val="cs-CZ"/>
        </w:rPr>
        <w:t>7</w:t>
      </w:r>
      <w:r w:rsidRPr="002936B7">
        <w:rPr>
          <w:szCs w:val="23"/>
        </w:rPr>
        <w:t>,</w:t>
      </w:r>
      <w:r>
        <w:rPr>
          <w:szCs w:val="23"/>
          <w:lang w:val="cs-CZ"/>
        </w:rPr>
        <w:t>3</w:t>
      </w:r>
      <w:r w:rsidRPr="002936B7">
        <w:rPr>
          <w:szCs w:val="23"/>
        </w:rPr>
        <w:t> %) byl k 3</w:t>
      </w:r>
      <w:r w:rsidRPr="002936B7">
        <w:rPr>
          <w:szCs w:val="23"/>
          <w:lang w:val="cs-CZ"/>
        </w:rPr>
        <w:t>0</w:t>
      </w:r>
      <w:r w:rsidRPr="002936B7">
        <w:rPr>
          <w:szCs w:val="23"/>
        </w:rPr>
        <w:t>. </w:t>
      </w:r>
      <w:r w:rsidRPr="002936B7">
        <w:rPr>
          <w:szCs w:val="23"/>
          <w:lang w:val="cs-CZ"/>
        </w:rPr>
        <w:t>6</w:t>
      </w:r>
      <w:r w:rsidRPr="002936B7">
        <w:rPr>
          <w:szCs w:val="23"/>
        </w:rPr>
        <w:t>. 201</w:t>
      </w:r>
      <w:r>
        <w:rPr>
          <w:szCs w:val="23"/>
          <w:lang w:val="cs-CZ"/>
        </w:rPr>
        <w:t xml:space="preserve">3 </w:t>
      </w:r>
      <w:r w:rsidRPr="002936B7">
        <w:rPr>
          <w:szCs w:val="23"/>
        </w:rPr>
        <w:t>zaznamenán v</w:t>
      </w:r>
      <w:r>
        <w:rPr>
          <w:szCs w:val="23"/>
        </w:rPr>
        <w:t> </w:t>
      </w:r>
      <w:r>
        <w:rPr>
          <w:szCs w:val="23"/>
          <w:lang w:val="cs-CZ"/>
        </w:rPr>
        <w:t xml:space="preserve">polovině </w:t>
      </w:r>
      <w:r w:rsidRPr="002936B7">
        <w:rPr>
          <w:szCs w:val="23"/>
        </w:rPr>
        <w:t>kraj</w:t>
      </w:r>
      <w:r>
        <w:rPr>
          <w:szCs w:val="23"/>
          <w:lang w:val="cs-CZ"/>
        </w:rPr>
        <w:t>ů, n</w:t>
      </w:r>
      <w:proofErr w:type="spellStart"/>
      <w:r w:rsidRPr="002936B7">
        <w:rPr>
          <w:iCs/>
          <w:szCs w:val="23"/>
        </w:rPr>
        <w:t>ejvyšší</w:t>
      </w:r>
      <w:proofErr w:type="spellEnd"/>
      <w:r w:rsidRPr="002936B7">
        <w:rPr>
          <w:iCs/>
          <w:szCs w:val="23"/>
        </w:rPr>
        <w:t xml:space="preserve"> </w:t>
      </w:r>
      <w:r>
        <w:rPr>
          <w:iCs/>
          <w:szCs w:val="23"/>
          <w:lang w:val="cs-CZ"/>
        </w:rPr>
        <w:t xml:space="preserve">byl </w:t>
      </w:r>
      <w:r w:rsidRPr="002936B7">
        <w:rPr>
          <w:iCs/>
          <w:szCs w:val="23"/>
        </w:rPr>
        <w:t>v</w:t>
      </w:r>
      <w:r>
        <w:rPr>
          <w:iCs/>
          <w:szCs w:val="23"/>
          <w:lang w:val="cs-CZ"/>
        </w:rPr>
        <w:t> </w:t>
      </w:r>
      <w:r w:rsidRPr="002936B7">
        <w:rPr>
          <w:b/>
          <w:iCs/>
          <w:szCs w:val="23"/>
        </w:rPr>
        <w:t>Ústeckém kraji, násled</w:t>
      </w:r>
      <w:r>
        <w:rPr>
          <w:b/>
          <w:iCs/>
          <w:szCs w:val="23"/>
          <w:lang w:val="cs-CZ"/>
        </w:rPr>
        <w:t>oval</w:t>
      </w:r>
      <w:r w:rsidRPr="002936B7">
        <w:rPr>
          <w:b/>
          <w:iCs/>
          <w:szCs w:val="23"/>
        </w:rPr>
        <w:t xml:space="preserve"> Moravskoslezský, Olomoucký</w:t>
      </w:r>
      <w:r w:rsidRPr="002936B7">
        <w:rPr>
          <w:b/>
          <w:iCs/>
          <w:szCs w:val="23"/>
          <w:lang w:val="cs-CZ"/>
        </w:rPr>
        <w:t xml:space="preserve">, </w:t>
      </w:r>
      <w:r w:rsidRPr="002936B7">
        <w:rPr>
          <w:b/>
          <w:iCs/>
          <w:szCs w:val="23"/>
        </w:rPr>
        <w:t>Karlovarský a </w:t>
      </w:r>
      <w:r w:rsidRPr="002936B7">
        <w:rPr>
          <w:b/>
          <w:iCs/>
          <w:szCs w:val="23"/>
          <w:lang w:val="cs-CZ"/>
        </w:rPr>
        <w:t>Liberecký</w:t>
      </w:r>
      <w:r w:rsidRPr="002936B7">
        <w:rPr>
          <w:b/>
          <w:iCs/>
          <w:szCs w:val="23"/>
        </w:rPr>
        <w:t xml:space="preserve"> kraj.</w:t>
      </w:r>
    </w:p>
    <w:p w:rsidR="00444AC0" w:rsidRPr="00444AC0" w:rsidRDefault="008C2C11" w:rsidP="00444AC0">
      <w:pPr>
        <w:pStyle w:val="Zkladntext"/>
        <w:numPr>
          <w:ilvl w:val="0"/>
          <w:numId w:val="38"/>
        </w:numPr>
        <w:tabs>
          <w:tab w:val="left" w:pos="360"/>
        </w:tabs>
        <w:spacing w:after="120" w:line="360" w:lineRule="auto"/>
        <w:ind w:left="360" w:hanging="426"/>
        <w:rPr>
          <w:rFonts w:cs="Arial"/>
          <w:color w:val="auto"/>
        </w:rPr>
      </w:pPr>
      <w:r w:rsidRPr="00DB43BD">
        <w:rPr>
          <w:b/>
          <w:szCs w:val="23"/>
          <w:lang w:val="cs-CZ"/>
        </w:rPr>
        <w:t>P</w:t>
      </w:r>
      <w:proofErr w:type="spellStart"/>
      <w:r w:rsidRPr="00DB43BD">
        <w:rPr>
          <w:b/>
          <w:szCs w:val="23"/>
        </w:rPr>
        <w:t>oč</w:t>
      </w:r>
      <w:r w:rsidRPr="00DB43BD">
        <w:rPr>
          <w:b/>
          <w:szCs w:val="23"/>
          <w:lang w:val="cs-CZ"/>
        </w:rPr>
        <w:t>e</w:t>
      </w:r>
      <w:proofErr w:type="spellEnd"/>
      <w:r w:rsidRPr="00DB43BD">
        <w:rPr>
          <w:b/>
          <w:szCs w:val="23"/>
        </w:rPr>
        <w:t xml:space="preserve">t uchazečů </w:t>
      </w:r>
      <w:r w:rsidRPr="00DB43BD">
        <w:rPr>
          <w:szCs w:val="23"/>
        </w:rPr>
        <w:t>o</w:t>
      </w:r>
      <w:r w:rsidRPr="00DB43BD">
        <w:rPr>
          <w:b/>
          <w:szCs w:val="23"/>
        </w:rPr>
        <w:t> </w:t>
      </w:r>
      <w:r w:rsidRPr="00DB43BD">
        <w:rPr>
          <w:szCs w:val="23"/>
        </w:rPr>
        <w:t xml:space="preserve">zaměstnání </w:t>
      </w:r>
      <w:r w:rsidRPr="00DB43BD">
        <w:rPr>
          <w:b/>
          <w:szCs w:val="23"/>
        </w:rPr>
        <w:t xml:space="preserve">nejvíce </w:t>
      </w:r>
      <w:r w:rsidRPr="00DB43BD">
        <w:rPr>
          <w:b/>
          <w:szCs w:val="23"/>
          <w:lang w:val="cs-CZ"/>
        </w:rPr>
        <w:t xml:space="preserve">vzrostl v Moravskoslezském kraji (o 9 997), </w:t>
      </w:r>
      <w:r w:rsidRPr="00DB43BD">
        <w:rPr>
          <w:szCs w:val="23"/>
          <w:lang w:val="cs-CZ"/>
        </w:rPr>
        <w:t>dále v  Hl. m. </w:t>
      </w:r>
      <w:r w:rsidRPr="00DB43BD">
        <w:rPr>
          <w:szCs w:val="23"/>
        </w:rPr>
        <w:t>Praze</w:t>
      </w:r>
      <w:r w:rsidRPr="00DB43BD">
        <w:rPr>
          <w:szCs w:val="23"/>
          <w:lang w:val="cs-CZ"/>
        </w:rPr>
        <w:t xml:space="preserve"> (o 8 191 osob) a </w:t>
      </w:r>
      <w:r w:rsidRPr="00DB43BD">
        <w:rPr>
          <w:b/>
          <w:szCs w:val="23"/>
          <w:lang w:val="cs-CZ"/>
        </w:rPr>
        <w:t>Středočeském kraji</w:t>
      </w:r>
      <w:r w:rsidRPr="00DB43BD">
        <w:rPr>
          <w:szCs w:val="23"/>
          <w:lang w:val="cs-CZ"/>
        </w:rPr>
        <w:t xml:space="preserve"> (o 7 325 osob)</w:t>
      </w:r>
      <w:r>
        <w:rPr>
          <w:szCs w:val="23"/>
          <w:lang w:val="cs-CZ"/>
        </w:rPr>
        <w:t xml:space="preserve">, </w:t>
      </w:r>
      <w:r w:rsidRPr="00DB43BD">
        <w:rPr>
          <w:b/>
          <w:szCs w:val="23"/>
          <w:lang w:val="cs-CZ"/>
        </w:rPr>
        <w:t xml:space="preserve">relativně </w:t>
      </w:r>
      <w:r w:rsidRPr="00DB43BD">
        <w:rPr>
          <w:b/>
          <w:szCs w:val="23"/>
        </w:rPr>
        <w:t xml:space="preserve">nejvíce </w:t>
      </w:r>
      <w:r w:rsidRPr="00DB43BD">
        <w:rPr>
          <w:b/>
          <w:szCs w:val="23"/>
          <w:lang w:val="cs-CZ"/>
        </w:rPr>
        <w:t>v Hl. m. </w:t>
      </w:r>
      <w:r w:rsidRPr="00DB43BD">
        <w:rPr>
          <w:b/>
          <w:szCs w:val="23"/>
        </w:rPr>
        <w:t>Praze</w:t>
      </w:r>
      <w:r w:rsidRPr="00DB43BD">
        <w:rPr>
          <w:szCs w:val="23"/>
          <w:lang w:val="cs-CZ"/>
        </w:rPr>
        <w:t xml:space="preserve"> (o 24,5 %), Královéhradeckém (20,9 %) a</w:t>
      </w:r>
      <w:r w:rsidR="00C51F90">
        <w:rPr>
          <w:szCs w:val="23"/>
          <w:lang w:val="cs-CZ"/>
        </w:rPr>
        <w:t> </w:t>
      </w:r>
      <w:r w:rsidRPr="00DB43BD">
        <w:rPr>
          <w:szCs w:val="23"/>
          <w:lang w:val="cs-CZ"/>
        </w:rPr>
        <w:t xml:space="preserve">Plzeňském kraji (o 17,0 %). </w:t>
      </w:r>
    </w:p>
    <w:p w:rsidR="00793611" w:rsidRPr="00793611" w:rsidRDefault="00FF6669" w:rsidP="009A2E50">
      <w:pPr>
        <w:pStyle w:val="Zkladntext"/>
        <w:numPr>
          <w:ilvl w:val="0"/>
          <w:numId w:val="38"/>
        </w:numPr>
        <w:tabs>
          <w:tab w:val="left" w:pos="360"/>
        </w:tabs>
        <w:spacing w:after="120" w:line="360" w:lineRule="auto"/>
        <w:ind w:left="360" w:hanging="426"/>
      </w:pPr>
      <w:r>
        <w:rPr>
          <w:rFonts w:cs="Arial"/>
          <w:color w:val="auto"/>
          <w:lang w:val="cs-CZ"/>
        </w:rPr>
        <w:t>P</w:t>
      </w:r>
      <w:proofErr w:type="spellStart"/>
      <w:r w:rsidR="00444AC0" w:rsidRPr="002972B0">
        <w:rPr>
          <w:rFonts w:cs="Arial"/>
          <w:color w:val="auto"/>
        </w:rPr>
        <w:t>okles</w:t>
      </w:r>
      <w:proofErr w:type="spellEnd"/>
      <w:r w:rsidR="00444AC0" w:rsidRPr="002972B0">
        <w:rPr>
          <w:rFonts w:cs="Arial"/>
          <w:color w:val="auto"/>
        </w:rPr>
        <w:t xml:space="preserve"> </w:t>
      </w:r>
      <w:r>
        <w:rPr>
          <w:rFonts w:cs="Arial"/>
          <w:color w:val="auto"/>
          <w:lang w:val="cs-CZ"/>
        </w:rPr>
        <w:t xml:space="preserve">ekonomiky </w:t>
      </w:r>
      <w:r w:rsidR="00444AC0" w:rsidRPr="002972B0">
        <w:rPr>
          <w:rFonts w:cs="Arial"/>
          <w:color w:val="auto"/>
        </w:rPr>
        <w:t>v roce 2012 (podle upravených údajů ČSÚ z 1. 10. 2013 o 0,9 %), který pokračoval i v 1. čtvrtletí 2013 (o 1,3 %), se zastavil až ve 2.</w:t>
      </w:r>
      <w:r w:rsidR="00C51F90">
        <w:rPr>
          <w:rFonts w:cs="Arial"/>
          <w:color w:val="auto"/>
          <w:lang w:val="cs-CZ"/>
        </w:rPr>
        <w:t> </w:t>
      </w:r>
      <w:r w:rsidR="00444AC0" w:rsidRPr="002972B0">
        <w:rPr>
          <w:rFonts w:cs="Arial"/>
          <w:color w:val="auto"/>
        </w:rPr>
        <w:t>čtvrtletí (</w:t>
      </w:r>
      <w:r w:rsidR="00793611">
        <w:rPr>
          <w:rFonts w:cs="Arial"/>
          <w:color w:val="auto"/>
          <w:lang w:val="cs-CZ"/>
        </w:rPr>
        <w:t xml:space="preserve">meziroční </w:t>
      </w:r>
      <w:r w:rsidR="00444AC0" w:rsidRPr="002972B0">
        <w:rPr>
          <w:rFonts w:cs="Arial"/>
          <w:color w:val="auto"/>
        </w:rPr>
        <w:t>nárůst o 0,6 %)</w:t>
      </w:r>
      <w:r w:rsidR="00444AC0">
        <w:rPr>
          <w:rFonts w:cs="Arial"/>
          <w:color w:val="auto"/>
          <w:lang w:val="cs-CZ"/>
        </w:rPr>
        <w:t xml:space="preserve">. </w:t>
      </w:r>
      <w:r w:rsidR="00793611">
        <w:rPr>
          <w:rFonts w:cs="Arial"/>
          <w:color w:val="auto"/>
          <w:lang w:val="cs-CZ"/>
        </w:rPr>
        <w:t xml:space="preserve">Byl však provázen nárůstem ekonomicky aktivních obyvatel, a to jak zaměstnaných, tak nezaměstnaných. </w:t>
      </w:r>
    </w:p>
    <w:p w:rsidR="00E37B3F" w:rsidRPr="00D92515" w:rsidRDefault="00444AC0" w:rsidP="004945EE">
      <w:pPr>
        <w:pStyle w:val="Nadpis1"/>
      </w:pPr>
      <w:r>
        <w:br w:type="column"/>
      </w:r>
      <w:bookmarkStart w:id="39" w:name="_Toc372530185"/>
      <w:r w:rsidR="00E37B3F" w:rsidRPr="00D92515">
        <w:lastRenderedPageBreak/>
        <w:t>Zaměstnanost</w:t>
      </w:r>
      <w:bookmarkEnd w:id="1"/>
      <w:bookmarkEnd w:id="2"/>
      <w:bookmarkEnd w:id="39"/>
    </w:p>
    <w:p w:rsidR="00E37B3F" w:rsidRPr="00D92515" w:rsidRDefault="00E37B3F" w:rsidP="00E37B3F">
      <w:pPr>
        <w:pStyle w:val="Hlavikarejstku"/>
        <w:rPr>
          <w:color w:val="FF00FF"/>
          <w:sz w:val="16"/>
        </w:rPr>
      </w:pPr>
    </w:p>
    <w:p w:rsidR="00E37B3F" w:rsidRPr="00D92515" w:rsidRDefault="00E37B3F" w:rsidP="009D6B6C">
      <w:pPr>
        <w:pStyle w:val="Hlavikarejstku"/>
        <w:rPr>
          <w:color w:val="FF00FF"/>
          <w:sz w:val="12"/>
          <w:szCs w:val="12"/>
        </w:rPr>
      </w:pPr>
    </w:p>
    <w:p w:rsidR="007A49EF" w:rsidRPr="00251317" w:rsidRDefault="007A49EF" w:rsidP="007A49EF">
      <w:pPr>
        <w:pStyle w:val="Styl2"/>
        <w:tabs>
          <w:tab w:val="num" w:pos="900"/>
        </w:tabs>
        <w:rPr>
          <w:color w:val="auto"/>
        </w:rPr>
      </w:pPr>
      <w:bookmarkStart w:id="40" w:name="_Toc372530186"/>
      <w:bookmarkStart w:id="41" w:name="_Toc69281066"/>
      <w:bookmarkStart w:id="42" w:name="_Toc71015618"/>
      <w:bookmarkStart w:id="43" w:name="_Toc85008443"/>
      <w:bookmarkStart w:id="44" w:name="_Toc101149457"/>
      <w:bookmarkStart w:id="45" w:name="_Toc102269846"/>
      <w:bookmarkStart w:id="46" w:name="_Toc116354704"/>
      <w:bookmarkStart w:id="47" w:name="_Toc116354793"/>
      <w:bookmarkStart w:id="48" w:name="_Toc116355029"/>
      <w:bookmarkStart w:id="49" w:name="_Toc149033455"/>
      <w:bookmarkStart w:id="50" w:name="_Toc179787901"/>
      <w:bookmarkStart w:id="51" w:name="_Toc211067149"/>
      <w:bookmarkStart w:id="52" w:name="_Toc258997887"/>
      <w:bookmarkStart w:id="53" w:name="_Toc274310689"/>
      <w:bookmarkStart w:id="54" w:name="_Toc25899789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Pr="00251317">
        <w:rPr>
          <w:color w:val="auto"/>
        </w:rPr>
        <w:t>Stav a vývoj zaměstnanosti</w:t>
      </w:r>
      <w:bookmarkEnd w:id="40"/>
      <w:r w:rsidRPr="00251317">
        <w:rPr>
          <w:color w:val="auto"/>
        </w:rPr>
        <w:t xml:space="preserve"> </w:t>
      </w:r>
      <w:bookmarkEnd w:id="41"/>
      <w:bookmarkEnd w:id="42"/>
      <w:bookmarkEnd w:id="43"/>
      <w:bookmarkEnd w:id="44"/>
      <w:bookmarkEnd w:id="45"/>
      <w:bookmarkEnd w:id="46"/>
      <w:bookmarkEnd w:id="47"/>
      <w:bookmarkEnd w:id="48"/>
      <w:bookmarkEnd w:id="49"/>
      <w:bookmarkEnd w:id="50"/>
      <w:bookmarkEnd w:id="51"/>
      <w:bookmarkEnd w:id="52"/>
      <w:bookmarkEnd w:id="53"/>
    </w:p>
    <w:p w:rsidR="007A49EF" w:rsidRPr="00251317" w:rsidRDefault="007A49EF" w:rsidP="007A49EF">
      <w:pPr>
        <w:pStyle w:val="Styl2"/>
        <w:numPr>
          <w:ilvl w:val="0"/>
          <w:numId w:val="0"/>
        </w:numPr>
        <w:ind w:left="357"/>
        <w:rPr>
          <w:color w:val="FF00FF"/>
          <w:sz w:val="12"/>
          <w:szCs w:val="12"/>
        </w:rPr>
      </w:pPr>
    </w:p>
    <w:p w:rsidR="007A49EF" w:rsidRPr="00251317" w:rsidRDefault="007A49EF" w:rsidP="007A49EF">
      <w:pPr>
        <w:pStyle w:val="Textpoznpodarou"/>
        <w:spacing w:line="360" w:lineRule="auto"/>
        <w:ind w:firstLine="567"/>
        <w:jc w:val="both"/>
        <w:rPr>
          <w:rFonts w:ascii="Arial" w:hAnsi="Arial" w:cs="Arial"/>
          <w:sz w:val="24"/>
          <w:szCs w:val="24"/>
        </w:rPr>
      </w:pPr>
      <w:r w:rsidRPr="00251317">
        <w:rPr>
          <w:rFonts w:ascii="Arial" w:hAnsi="Arial" w:cs="Arial"/>
          <w:sz w:val="24"/>
          <w:szCs w:val="24"/>
        </w:rPr>
        <w:t>Část II.1 až II.3 je zpracována na základě údajů z Výběrových šetření pracovních sil (VŠPS - ČSÚ)</w:t>
      </w:r>
      <w:r w:rsidRPr="00251317">
        <w:rPr>
          <w:rStyle w:val="Znakapoznpodarou"/>
        </w:rPr>
        <w:footnoteReference w:id="1"/>
      </w:r>
      <w:r w:rsidRPr="00251317">
        <w:rPr>
          <w:rFonts w:ascii="Arial" w:hAnsi="Arial" w:cs="Arial"/>
          <w:sz w:val="24"/>
          <w:szCs w:val="24"/>
        </w:rPr>
        <w:t>. Hodnoty za 1. pololetí 2012 a 2013 jsou spočteny jako průměry jednotlivých čtvrtletí. V</w:t>
      </w:r>
      <w:r w:rsidRPr="00251317">
        <w:rPr>
          <w:rFonts w:ascii="Arial" w:hAnsi="Arial"/>
          <w:bCs/>
          <w:sz w:val="24"/>
          <w:szCs w:val="24"/>
        </w:rPr>
        <w:t>šechny údaje</w:t>
      </w:r>
      <w:r w:rsidRPr="00251317">
        <w:rPr>
          <w:rFonts w:ascii="Arial" w:hAnsi="Arial"/>
          <w:sz w:val="24"/>
          <w:szCs w:val="24"/>
        </w:rPr>
        <w:t xml:space="preserve"> z výběrového souboru VŠPS jsou převažovány na věkovou strukturu obyvatelstva podle demografické statistiky.</w:t>
      </w:r>
    </w:p>
    <w:p w:rsidR="007A49EF" w:rsidRPr="00251317" w:rsidRDefault="007A49EF" w:rsidP="007A49EF">
      <w:pPr>
        <w:pStyle w:val="Textpoznpodarou"/>
        <w:jc w:val="center"/>
        <w:rPr>
          <w:rFonts w:ascii="Arial" w:hAnsi="Arial" w:cs="Arial"/>
          <w:b/>
          <w:bCs/>
          <w:sz w:val="16"/>
          <w:szCs w:val="16"/>
        </w:rPr>
      </w:pPr>
    </w:p>
    <w:p w:rsidR="007A49EF" w:rsidRPr="00251317" w:rsidRDefault="007A49EF" w:rsidP="007A49EF">
      <w:pPr>
        <w:pStyle w:val="Textpoznpodarou"/>
        <w:ind w:left="709" w:firstLine="709"/>
        <w:rPr>
          <w:rFonts w:ascii="Arial" w:hAnsi="Arial" w:cs="Arial"/>
          <w:b/>
          <w:bCs/>
          <w:sz w:val="24"/>
          <w:szCs w:val="24"/>
        </w:rPr>
      </w:pPr>
      <w:r w:rsidRPr="00251317">
        <w:rPr>
          <w:rFonts w:ascii="Arial" w:hAnsi="Arial" w:cs="Arial"/>
          <w:b/>
          <w:bCs/>
          <w:sz w:val="24"/>
          <w:szCs w:val="24"/>
        </w:rPr>
        <w:t xml:space="preserve">Ekonomická aktivita obyvatel ČR ve věku 15 a více let </w:t>
      </w:r>
      <w:r w:rsidRPr="00251317">
        <w:rPr>
          <w:rFonts w:ascii="Arial" w:hAnsi="Arial" w:cs="Arial"/>
          <w:b/>
          <w:bCs/>
          <w:sz w:val="24"/>
          <w:szCs w:val="24"/>
        </w:rPr>
        <w:tab/>
        <w:t xml:space="preserve">        </w:t>
      </w:r>
      <w:r w:rsidRPr="00251317">
        <w:rPr>
          <w:rFonts w:ascii="Arial" w:hAnsi="Arial" w:cs="Arial"/>
          <w:szCs w:val="24"/>
        </w:rPr>
        <w:t>tab. č. 1</w:t>
      </w:r>
    </w:p>
    <w:tbl>
      <w:tblPr>
        <w:tblW w:w="9902" w:type="dxa"/>
        <w:jc w:val="center"/>
        <w:tblCellMar>
          <w:left w:w="70" w:type="dxa"/>
          <w:right w:w="70" w:type="dxa"/>
        </w:tblCellMar>
        <w:tblLook w:val="0000" w:firstRow="0" w:lastRow="0" w:firstColumn="0" w:lastColumn="0" w:noHBand="0" w:noVBand="0"/>
      </w:tblPr>
      <w:tblGrid>
        <w:gridCol w:w="2334"/>
        <w:gridCol w:w="819"/>
        <w:gridCol w:w="761"/>
        <w:gridCol w:w="752"/>
        <w:gridCol w:w="819"/>
        <w:gridCol w:w="761"/>
        <w:gridCol w:w="752"/>
        <w:gridCol w:w="819"/>
        <w:gridCol w:w="596"/>
        <w:gridCol w:w="641"/>
        <w:gridCol w:w="848"/>
      </w:tblGrid>
      <w:tr w:rsidR="007A49EF" w:rsidRPr="00251317" w:rsidTr="007A49EF">
        <w:trPr>
          <w:trHeight w:val="421"/>
          <w:jc w:val="center"/>
        </w:trPr>
        <w:tc>
          <w:tcPr>
            <w:tcW w:w="2334" w:type="dxa"/>
            <w:vMerge w:val="restart"/>
            <w:tcBorders>
              <w:top w:val="double" w:sz="6" w:space="0" w:color="auto"/>
              <w:left w:val="double" w:sz="6" w:space="0" w:color="auto"/>
              <w:bottom w:val="nil"/>
              <w:right w:val="nil"/>
            </w:tcBorders>
            <w:noWrap/>
            <w:vAlign w:val="bottom"/>
          </w:tcPr>
          <w:p w:rsidR="007A49EF" w:rsidRPr="00251317" w:rsidRDefault="007A49EF" w:rsidP="007A49EF">
            <w:pPr>
              <w:ind w:firstLineChars="200" w:firstLine="321"/>
              <w:rPr>
                <w:rFonts w:ascii="Arial" w:hAnsi="Arial" w:cs="Arial"/>
                <w:b/>
                <w:sz w:val="16"/>
                <w:szCs w:val="16"/>
              </w:rPr>
            </w:pPr>
            <w:r w:rsidRPr="00251317">
              <w:rPr>
                <w:rFonts w:ascii="Arial" w:hAnsi="Arial" w:cs="Arial"/>
                <w:b/>
                <w:sz w:val="16"/>
                <w:szCs w:val="16"/>
              </w:rPr>
              <w:t> </w:t>
            </w:r>
          </w:p>
          <w:p w:rsidR="007A49EF" w:rsidRPr="00251317" w:rsidRDefault="007A49EF" w:rsidP="007A49EF">
            <w:pPr>
              <w:ind w:right="-70"/>
              <w:rPr>
                <w:rFonts w:ascii="Arial" w:hAnsi="Arial" w:cs="Arial"/>
                <w:b/>
                <w:sz w:val="16"/>
                <w:szCs w:val="16"/>
              </w:rPr>
            </w:pPr>
            <w:r w:rsidRPr="00251317">
              <w:rPr>
                <w:rFonts w:ascii="Arial" w:hAnsi="Arial" w:cs="Arial"/>
                <w:b/>
                <w:sz w:val="16"/>
                <w:szCs w:val="16"/>
              </w:rPr>
              <w:t> </w:t>
            </w:r>
          </w:p>
        </w:tc>
        <w:tc>
          <w:tcPr>
            <w:tcW w:w="2332" w:type="dxa"/>
            <w:gridSpan w:val="3"/>
            <w:tcBorders>
              <w:top w:val="double" w:sz="6" w:space="0" w:color="auto"/>
              <w:left w:val="single" w:sz="8" w:space="0" w:color="auto"/>
              <w:bottom w:val="single" w:sz="8" w:space="0" w:color="auto"/>
              <w:right w:val="single" w:sz="8" w:space="0" w:color="000000"/>
            </w:tcBorders>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1. pololetí 2012</w:t>
            </w:r>
          </w:p>
        </w:tc>
        <w:tc>
          <w:tcPr>
            <w:tcW w:w="2332" w:type="dxa"/>
            <w:gridSpan w:val="3"/>
            <w:tcBorders>
              <w:top w:val="double" w:sz="6" w:space="0" w:color="auto"/>
              <w:left w:val="single" w:sz="8" w:space="0" w:color="auto"/>
              <w:bottom w:val="single" w:sz="8" w:space="0" w:color="auto"/>
              <w:right w:val="single" w:sz="8" w:space="0" w:color="000000"/>
            </w:tcBorders>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1. pololetí 2013</w:t>
            </w:r>
          </w:p>
        </w:tc>
        <w:tc>
          <w:tcPr>
            <w:tcW w:w="2056" w:type="dxa"/>
            <w:gridSpan w:val="3"/>
            <w:tcBorders>
              <w:top w:val="double" w:sz="6" w:space="0" w:color="auto"/>
              <w:left w:val="nil"/>
              <w:bottom w:val="single" w:sz="8" w:space="0" w:color="auto"/>
              <w:right w:val="single" w:sz="8" w:space="0" w:color="000000"/>
            </w:tcBorders>
            <w:noWrap/>
            <w:vAlign w:val="center"/>
          </w:tcPr>
          <w:p w:rsidR="007A49EF" w:rsidRPr="00251317" w:rsidRDefault="007A49EF" w:rsidP="007A49EF">
            <w:pPr>
              <w:jc w:val="center"/>
              <w:rPr>
                <w:rFonts w:ascii="Arial" w:hAnsi="Arial" w:cs="Arial"/>
                <w:b/>
                <w:bCs/>
                <w:color w:val="000000"/>
                <w:sz w:val="20"/>
                <w:szCs w:val="20"/>
              </w:rPr>
            </w:pPr>
            <w:r w:rsidRPr="00251317">
              <w:rPr>
                <w:rFonts w:ascii="Arial" w:hAnsi="Arial" w:cs="Arial"/>
                <w:b/>
                <w:bCs/>
                <w:color w:val="000000"/>
                <w:sz w:val="20"/>
                <w:szCs w:val="20"/>
              </w:rPr>
              <w:t>rozdíl 2013 - 2012</w:t>
            </w:r>
          </w:p>
        </w:tc>
        <w:tc>
          <w:tcPr>
            <w:tcW w:w="848" w:type="dxa"/>
            <w:tcBorders>
              <w:top w:val="double" w:sz="6" w:space="0" w:color="auto"/>
              <w:left w:val="nil"/>
              <w:bottom w:val="single" w:sz="8" w:space="0" w:color="auto"/>
              <w:right w:val="double" w:sz="6" w:space="0" w:color="auto"/>
            </w:tcBorders>
            <w:noWrap/>
            <w:vAlign w:val="bottom"/>
          </w:tcPr>
          <w:p w:rsidR="007A49EF" w:rsidRPr="00251317" w:rsidRDefault="007A49EF" w:rsidP="007A49EF">
            <w:pPr>
              <w:jc w:val="center"/>
              <w:rPr>
                <w:rFonts w:ascii="Arial" w:hAnsi="Arial" w:cs="Arial"/>
                <w:b/>
                <w:bCs/>
                <w:color w:val="000000"/>
                <w:sz w:val="20"/>
                <w:szCs w:val="20"/>
              </w:rPr>
            </w:pPr>
            <w:r w:rsidRPr="00251317">
              <w:rPr>
                <w:rFonts w:ascii="Arial" w:hAnsi="Arial" w:cs="Arial"/>
                <w:b/>
                <w:bCs/>
                <w:color w:val="000000"/>
                <w:sz w:val="20"/>
                <w:szCs w:val="20"/>
              </w:rPr>
              <w:t xml:space="preserve">Index 13/12 </w:t>
            </w:r>
          </w:p>
        </w:tc>
      </w:tr>
      <w:tr w:rsidR="007A49EF" w:rsidRPr="00251317" w:rsidTr="007A49EF">
        <w:trPr>
          <w:trHeight w:val="312"/>
          <w:jc w:val="center"/>
        </w:trPr>
        <w:tc>
          <w:tcPr>
            <w:tcW w:w="2334" w:type="dxa"/>
            <w:vMerge/>
            <w:tcBorders>
              <w:left w:val="double" w:sz="6" w:space="0" w:color="auto"/>
              <w:right w:val="single" w:sz="8" w:space="0" w:color="auto"/>
            </w:tcBorders>
            <w:vAlign w:val="center"/>
          </w:tcPr>
          <w:p w:rsidR="007A49EF" w:rsidRPr="00251317" w:rsidRDefault="007A49EF" w:rsidP="007A49EF">
            <w:pPr>
              <w:rPr>
                <w:rFonts w:ascii="Arial" w:hAnsi="Arial" w:cs="Arial"/>
                <w:b/>
                <w:sz w:val="16"/>
                <w:szCs w:val="16"/>
              </w:rPr>
            </w:pPr>
          </w:p>
        </w:tc>
        <w:tc>
          <w:tcPr>
            <w:tcW w:w="819" w:type="dxa"/>
            <w:tcBorders>
              <w:top w:val="nil"/>
              <w:left w:val="nil"/>
              <w:bottom w:val="nil"/>
              <w:right w:val="nil"/>
            </w:tcBorders>
            <w:noWrap/>
            <w:vAlign w:val="center"/>
          </w:tcPr>
          <w:p w:rsidR="007A49EF" w:rsidRPr="00251317" w:rsidRDefault="007A49EF" w:rsidP="007A49EF">
            <w:pPr>
              <w:jc w:val="center"/>
              <w:rPr>
                <w:rFonts w:ascii="Arial" w:hAnsi="Arial" w:cs="Arial"/>
                <w:b/>
                <w:sz w:val="20"/>
                <w:szCs w:val="20"/>
              </w:rPr>
            </w:pPr>
            <w:r w:rsidRPr="00251317">
              <w:rPr>
                <w:rFonts w:ascii="Arial" w:hAnsi="Arial" w:cs="Arial"/>
                <w:b/>
                <w:sz w:val="20"/>
                <w:szCs w:val="20"/>
              </w:rPr>
              <w:t>celkem</w:t>
            </w:r>
          </w:p>
        </w:tc>
        <w:tc>
          <w:tcPr>
            <w:tcW w:w="761" w:type="dxa"/>
            <w:tcBorders>
              <w:top w:val="nil"/>
              <w:left w:val="nil"/>
              <w:bottom w:val="nil"/>
              <w:right w:val="nil"/>
            </w:tcBorders>
            <w:noWrap/>
            <w:vAlign w:val="center"/>
          </w:tcPr>
          <w:p w:rsidR="007A49EF" w:rsidRPr="00251317" w:rsidRDefault="007A49EF" w:rsidP="007A49EF">
            <w:pPr>
              <w:jc w:val="center"/>
              <w:rPr>
                <w:rFonts w:ascii="Arial" w:hAnsi="Arial" w:cs="Arial"/>
                <w:b/>
                <w:sz w:val="20"/>
                <w:szCs w:val="20"/>
              </w:rPr>
            </w:pPr>
            <w:r w:rsidRPr="00251317">
              <w:rPr>
                <w:rFonts w:ascii="Arial" w:hAnsi="Arial" w:cs="Arial"/>
                <w:b/>
                <w:sz w:val="20"/>
                <w:szCs w:val="20"/>
              </w:rPr>
              <w:t>muži</w:t>
            </w:r>
          </w:p>
        </w:tc>
        <w:tc>
          <w:tcPr>
            <w:tcW w:w="752" w:type="dxa"/>
            <w:tcBorders>
              <w:top w:val="nil"/>
              <w:left w:val="nil"/>
              <w:bottom w:val="nil"/>
              <w:right w:val="nil"/>
            </w:tcBorders>
            <w:noWrap/>
            <w:vAlign w:val="center"/>
          </w:tcPr>
          <w:p w:rsidR="007A49EF" w:rsidRPr="00251317" w:rsidRDefault="007A49EF" w:rsidP="007A49EF">
            <w:pPr>
              <w:jc w:val="center"/>
              <w:rPr>
                <w:rFonts w:ascii="Arial" w:hAnsi="Arial" w:cs="Arial"/>
                <w:b/>
                <w:sz w:val="20"/>
                <w:szCs w:val="20"/>
              </w:rPr>
            </w:pPr>
            <w:r w:rsidRPr="00251317">
              <w:rPr>
                <w:rFonts w:ascii="Arial" w:hAnsi="Arial" w:cs="Arial"/>
                <w:b/>
                <w:sz w:val="20"/>
                <w:szCs w:val="20"/>
              </w:rPr>
              <w:t>ženy</w:t>
            </w:r>
          </w:p>
        </w:tc>
        <w:tc>
          <w:tcPr>
            <w:tcW w:w="819" w:type="dxa"/>
            <w:tcBorders>
              <w:top w:val="nil"/>
              <w:left w:val="single" w:sz="8" w:space="0" w:color="auto"/>
              <w:bottom w:val="nil"/>
              <w:right w:val="nil"/>
            </w:tcBorders>
            <w:noWrap/>
            <w:vAlign w:val="center"/>
          </w:tcPr>
          <w:p w:rsidR="007A49EF" w:rsidRPr="00251317" w:rsidRDefault="007A49EF" w:rsidP="007A49EF">
            <w:pPr>
              <w:jc w:val="center"/>
              <w:rPr>
                <w:rFonts w:ascii="Arial" w:hAnsi="Arial" w:cs="Arial"/>
                <w:b/>
                <w:sz w:val="20"/>
                <w:szCs w:val="20"/>
              </w:rPr>
            </w:pPr>
            <w:r w:rsidRPr="00251317">
              <w:rPr>
                <w:rFonts w:ascii="Arial" w:hAnsi="Arial" w:cs="Arial"/>
                <w:b/>
                <w:sz w:val="20"/>
                <w:szCs w:val="20"/>
              </w:rPr>
              <w:t>celkem</w:t>
            </w:r>
          </w:p>
        </w:tc>
        <w:tc>
          <w:tcPr>
            <w:tcW w:w="761" w:type="dxa"/>
            <w:tcBorders>
              <w:top w:val="nil"/>
              <w:left w:val="nil"/>
              <w:bottom w:val="nil"/>
              <w:right w:val="nil"/>
            </w:tcBorders>
            <w:noWrap/>
            <w:vAlign w:val="center"/>
          </w:tcPr>
          <w:p w:rsidR="007A49EF" w:rsidRPr="00251317" w:rsidRDefault="007A49EF" w:rsidP="007A49EF">
            <w:pPr>
              <w:jc w:val="center"/>
              <w:rPr>
                <w:rFonts w:ascii="Arial" w:hAnsi="Arial" w:cs="Arial"/>
                <w:b/>
                <w:sz w:val="20"/>
                <w:szCs w:val="20"/>
              </w:rPr>
            </w:pPr>
            <w:r w:rsidRPr="00251317">
              <w:rPr>
                <w:rFonts w:ascii="Arial" w:hAnsi="Arial" w:cs="Arial"/>
                <w:b/>
                <w:sz w:val="20"/>
                <w:szCs w:val="20"/>
              </w:rPr>
              <w:t>muži</w:t>
            </w:r>
          </w:p>
        </w:tc>
        <w:tc>
          <w:tcPr>
            <w:tcW w:w="752" w:type="dxa"/>
            <w:tcBorders>
              <w:top w:val="nil"/>
              <w:left w:val="nil"/>
              <w:bottom w:val="nil"/>
              <w:right w:val="single" w:sz="8" w:space="0" w:color="auto"/>
            </w:tcBorders>
            <w:noWrap/>
            <w:vAlign w:val="center"/>
          </w:tcPr>
          <w:p w:rsidR="007A49EF" w:rsidRPr="00251317" w:rsidRDefault="007A49EF" w:rsidP="007A49EF">
            <w:pPr>
              <w:jc w:val="center"/>
              <w:rPr>
                <w:rFonts w:ascii="Arial" w:hAnsi="Arial" w:cs="Arial"/>
                <w:b/>
                <w:sz w:val="20"/>
                <w:szCs w:val="20"/>
              </w:rPr>
            </w:pPr>
            <w:r w:rsidRPr="00251317">
              <w:rPr>
                <w:rFonts w:ascii="Arial" w:hAnsi="Arial" w:cs="Arial"/>
                <w:b/>
                <w:sz w:val="20"/>
                <w:szCs w:val="20"/>
              </w:rPr>
              <w:t>ženy</w:t>
            </w:r>
          </w:p>
        </w:tc>
        <w:tc>
          <w:tcPr>
            <w:tcW w:w="819" w:type="dxa"/>
            <w:tcBorders>
              <w:top w:val="nil"/>
              <w:left w:val="nil"/>
              <w:bottom w:val="nil"/>
              <w:right w:val="nil"/>
            </w:tcBorders>
            <w:noWrap/>
            <w:vAlign w:val="center"/>
          </w:tcPr>
          <w:p w:rsidR="007A49EF" w:rsidRPr="00251317" w:rsidRDefault="007A49EF" w:rsidP="007A49EF">
            <w:pPr>
              <w:jc w:val="center"/>
              <w:rPr>
                <w:rFonts w:ascii="Arial" w:hAnsi="Arial" w:cs="Arial"/>
                <w:b/>
                <w:sz w:val="20"/>
                <w:szCs w:val="20"/>
              </w:rPr>
            </w:pPr>
            <w:r w:rsidRPr="00251317">
              <w:rPr>
                <w:rFonts w:ascii="Arial" w:hAnsi="Arial" w:cs="Arial"/>
                <w:b/>
                <w:sz w:val="20"/>
                <w:szCs w:val="20"/>
              </w:rPr>
              <w:t>celkem</w:t>
            </w:r>
          </w:p>
        </w:tc>
        <w:tc>
          <w:tcPr>
            <w:tcW w:w="596" w:type="dxa"/>
            <w:tcBorders>
              <w:top w:val="nil"/>
              <w:left w:val="nil"/>
              <w:bottom w:val="nil"/>
              <w:right w:val="nil"/>
            </w:tcBorders>
            <w:noWrap/>
            <w:vAlign w:val="center"/>
          </w:tcPr>
          <w:p w:rsidR="007A49EF" w:rsidRPr="00251317" w:rsidRDefault="007A49EF" w:rsidP="007A49EF">
            <w:pPr>
              <w:jc w:val="center"/>
              <w:rPr>
                <w:rFonts w:ascii="Arial" w:hAnsi="Arial" w:cs="Arial"/>
                <w:b/>
                <w:sz w:val="20"/>
                <w:szCs w:val="20"/>
              </w:rPr>
            </w:pPr>
            <w:r w:rsidRPr="00251317">
              <w:rPr>
                <w:rFonts w:ascii="Arial" w:hAnsi="Arial" w:cs="Arial"/>
                <w:b/>
                <w:sz w:val="20"/>
                <w:szCs w:val="20"/>
              </w:rPr>
              <w:t>muži</w:t>
            </w:r>
          </w:p>
        </w:tc>
        <w:tc>
          <w:tcPr>
            <w:tcW w:w="641" w:type="dxa"/>
            <w:tcBorders>
              <w:top w:val="nil"/>
              <w:left w:val="nil"/>
              <w:bottom w:val="nil"/>
              <w:right w:val="single" w:sz="8" w:space="0" w:color="auto"/>
            </w:tcBorders>
            <w:noWrap/>
            <w:vAlign w:val="center"/>
          </w:tcPr>
          <w:p w:rsidR="007A49EF" w:rsidRPr="00251317" w:rsidRDefault="007A49EF" w:rsidP="007A49EF">
            <w:pPr>
              <w:jc w:val="center"/>
              <w:rPr>
                <w:rFonts w:ascii="Arial" w:hAnsi="Arial" w:cs="Arial"/>
                <w:b/>
                <w:sz w:val="20"/>
                <w:szCs w:val="20"/>
              </w:rPr>
            </w:pPr>
            <w:r w:rsidRPr="00251317">
              <w:rPr>
                <w:rFonts w:ascii="Arial" w:hAnsi="Arial" w:cs="Arial"/>
                <w:b/>
                <w:sz w:val="20"/>
                <w:szCs w:val="20"/>
              </w:rPr>
              <w:t>ženy</w:t>
            </w:r>
          </w:p>
        </w:tc>
        <w:tc>
          <w:tcPr>
            <w:tcW w:w="848" w:type="dxa"/>
            <w:tcBorders>
              <w:top w:val="nil"/>
              <w:left w:val="nil"/>
              <w:bottom w:val="nil"/>
              <w:right w:val="double" w:sz="6" w:space="0" w:color="auto"/>
            </w:tcBorders>
            <w:noWrap/>
            <w:vAlign w:val="center"/>
          </w:tcPr>
          <w:p w:rsidR="007A49EF" w:rsidRPr="00251317" w:rsidRDefault="007A49EF" w:rsidP="007A49EF">
            <w:pPr>
              <w:jc w:val="center"/>
              <w:rPr>
                <w:rFonts w:ascii="Arial" w:hAnsi="Arial" w:cs="Arial"/>
                <w:b/>
                <w:sz w:val="20"/>
                <w:szCs w:val="20"/>
              </w:rPr>
            </w:pPr>
            <w:r w:rsidRPr="00251317">
              <w:rPr>
                <w:rFonts w:ascii="Arial" w:hAnsi="Arial" w:cs="Arial"/>
                <w:b/>
                <w:sz w:val="20"/>
                <w:szCs w:val="20"/>
              </w:rPr>
              <w:t>celkem</w:t>
            </w:r>
          </w:p>
        </w:tc>
      </w:tr>
      <w:tr w:rsidR="007A49EF" w:rsidRPr="00251317" w:rsidTr="007A49EF">
        <w:trPr>
          <w:trHeight w:val="312"/>
          <w:jc w:val="center"/>
        </w:trPr>
        <w:tc>
          <w:tcPr>
            <w:tcW w:w="2334" w:type="dxa"/>
            <w:vMerge/>
            <w:tcBorders>
              <w:left w:val="double" w:sz="6" w:space="0" w:color="auto"/>
              <w:bottom w:val="single" w:sz="8" w:space="0" w:color="000000"/>
              <w:right w:val="single" w:sz="8" w:space="0" w:color="auto"/>
            </w:tcBorders>
            <w:vAlign w:val="center"/>
          </w:tcPr>
          <w:p w:rsidR="007A49EF" w:rsidRPr="00251317" w:rsidRDefault="007A49EF" w:rsidP="007A49EF">
            <w:pPr>
              <w:rPr>
                <w:rFonts w:ascii="Arial" w:hAnsi="Arial" w:cs="Arial"/>
                <w:b/>
                <w:sz w:val="16"/>
                <w:szCs w:val="16"/>
              </w:rPr>
            </w:pPr>
          </w:p>
        </w:tc>
        <w:tc>
          <w:tcPr>
            <w:tcW w:w="2332" w:type="dxa"/>
            <w:gridSpan w:val="3"/>
            <w:tcBorders>
              <w:top w:val="single" w:sz="8" w:space="0" w:color="auto"/>
              <w:left w:val="nil"/>
              <w:bottom w:val="single" w:sz="8" w:space="0" w:color="auto"/>
              <w:right w:val="single" w:sz="8" w:space="0" w:color="000000"/>
            </w:tcBorders>
            <w:noWrap/>
            <w:vAlign w:val="center"/>
          </w:tcPr>
          <w:p w:rsidR="007A49EF" w:rsidRPr="00251317" w:rsidRDefault="007A49EF" w:rsidP="007A49EF">
            <w:pPr>
              <w:jc w:val="center"/>
              <w:rPr>
                <w:rFonts w:ascii="Arial" w:hAnsi="Arial" w:cs="Arial"/>
                <w:b/>
                <w:sz w:val="20"/>
                <w:szCs w:val="20"/>
              </w:rPr>
            </w:pPr>
            <w:r w:rsidRPr="00251317">
              <w:rPr>
                <w:rFonts w:ascii="Arial" w:hAnsi="Arial" w:cs="Arial"/>
                <w:b/>
                <w:sz w:val="20"/>
                <w:szCs w:val="20"/>
              </w:rPr>
              <w:t>v tis.</w:t>
            </w:r>
          </w:p>
        </w:tc>
        <w:tc>
          <w:tcPr>
            <w:tcW w:w="2332" w:type="dxa"/>
            <w:gridSpan w:val="3"/>
            <w:tcBorders>
              <w:top w:val="single" w:sz="8" w:space="0" w:color="auto"/>
              <w:left w:val="nil"/>
              <w:bottom w:val="single" w:sz="8" w:space="0" w:color="auto"/>
              <w:right w:val="single" w:sz="8" w:space="0" w:color="000000"/>
            </w:tcBorders>
            <w:noWrap/>
            <w:vAlign w:val="center"/>
          </w:tcPr>
          <w:p w:rsidR="007A49EF" w:rsidRPr="00251317" w:rsidRDefault="007A49EF" w:rsidP="007A49EF">
            <w:pPr>
              <w:jc w:val="center"/>
              <w:rPr>
                <w:rFonts w:ascii="Arial" w:hAnsi="Arial" w:cs="Arial"/>
                <w:b/>
                <w:sz w:val="20"/>
                <w:szCs w:val="20"/>
              </w:rPr>
            </w:pPr>
            <w:r w:rsidRPr="00251317">
              <w:rPr>
                <w:rFonts w:ascii="Arial" w:hAnsi="Arial" w:cs="Arial"/>
                <w:b/>
                <w:sz w:val="20"/>
                <w:szCs w:val="20"/>
              </w:rPr>
              <w:t>v tis.</w:t>
            </w:r>
          </w:p>
        </w:tc>
        <w:tc>
          <w:tcPr>
            <w:tcW w:w="2056" w:type="dxa"/>
            <w:gridSpan w:val="3"/>
            <w:tcBorders>
              <w:top w:val="single" w:sz="8" w:space="0" w:color="auto"/>
              <w:left w:val="nil"/>
              <w:bottom w:val="single" w:sz="8" w:space="0" w:color="auto"/>
              <w:right w:val="single" w:sz="8" w:space="0" w:color="000000"/>
            </w:tcBorders>
            <w:noWrap/>
            <w:vAlign w:val="center"/>
          </w:tcPr>
          <w:p w:rsidR="007A49EF" w:rsidRPr="00251317" w:rsidRDefault="007A49EF" w:rsidP="007A49EF">
            <w:pPr>
              <w:jc w:val="center"/>
              <w:rPr>
                <w:rFonts w:ascii="Arial" w:hAnsi="Arial" w:cs="Arial"/>
                <w:b/>
                <w:sz w:val="20"/>
                <w:szCs w:val="20"/>
              </w:rPr>
            </w:pPr>
            <w:r w:rsidRPr="00251317">
              <w:rPr>
                <w:rFonts w:ascii="Arial" w:hAnsi="Arial" w:cs="Arial"/>
                <w:b/>
                <w:sz w:val="20"/>
                <w:szCs w:val="20"/>
              </w:rPr>
              <w:t>v tis.</w:t>
            </w:r>
          </w:p>
        </w:tc>
        <w:tc>
          <w:tcPr>
            <w:tcW w:w="848" w:type="dxa"/>
            <w:tcBorders>
              <w:top w:val="single" w:sz="8" w:space="0" w:color="auto"/>
              <w:left w:val="nil"/>
              <w:bottom w:val="single" w:sz="8" w:space="0" w:color="auto"/>
              <w:right w:val="double" w:sz="6" w:space="0" w:color="auto"/>
            </w:tcBorders>
            <w:noWrap/>
            <w:vAlign w:val="center"/>
          </w:tcPr>
          <w:p w:rsidR="007A49EF" w:rsidRPr="00251317" w:rsidRDefault="007A49EF" w:rsidP="007A49EF">
            <w:pPr>
              <w:jc w:val="center"/>
              <w:rPr>
                <w:rFonts w:ascii="Arial" w:hAnsi="Arial" w:cs="Arial"/>
                <w:b/>
                <w:sz w:val="20"/>
                <w:szCs w:val="20"/>
              </w:rPr>
            </w:pPr>
            <w:r w:rsidRPr="00251317">
              <w:rPr>
                <w:rFonts w:ascii="Arial" w:hAnsi="Arial" w:cs="Arial"/>
                <w:b/>
                <w:bCs/>
                <w:color w:val="000000"/>
                <w:sz w:val="20"/>
                <w:szCs w:val="20"/>
              </w:rPr>
              <w:t>(%)</w:t>
            </w:r>
          </w:p>
        </w:tc>
      </w:tr>
      <w:tr w:rsidR="007A49EF" w:rsidRPr="00251317" w:rsidTr="007A49EF">
        <w:trPr>
          <w:trHeight w:val="312"/>
          <w:jc w:val="center"/>
        </w:trPr>
        <w:tc>
          <w:tcPr>
            <w:tcW w:w="2334" w:type="dxa"/>
            <w:tcBorders>
              <w:top w:val="single" w:sz="8" w:space="0" w:color="000000"/>
              <w:left w:val="double" w:sz="6" w:space="0" w:color="auto"/>
              <w:right w:val="nil"/>
            </w:tcBorders>
            <w:noWrap/>
            <w:vAlign w:val="center"/>
          </w:tcPr>
          <w:p w:rsidR="007A49EF" w:rsidRPr="007A49EF" w:rsidRDefault="007A49EF" w:rsidP="007A49EF">
            <w:pPr>
              <w:rPr>
                <w:rFonts w:ascii="Arial" w:hAnsi="Arial" w:cs="Arial"/>
                <w:b/>
                <w:sz w:val="18"/>
                <w:szCs w:val="18"/>
              </w:rPr>
            </w:pPr>
            <w:r w:rsidRPr="007A49EF">
              <w:rPr>
                <w:rFonts w:ascii="Arial" w:hAnsi="Arial" w:cs="Arial"/>
                <w:b/>
                <w:sz w:val="18"/>
                <w:szCs w:val="18"/>
              </w:rPr>
              <w:t>Populace 15+ celkem </w:t>
            </w:r>
          </w:p>
        </w:tc>
        <w:tc>
          <w:tcPr>
            <w:tcW w:w="819" w:type="dxa"/>
            <w:tcBorders>
              <w:top w:val="nil"/>
              <w:left w:val="single" w:sz="8" w:space="0" w:color="auto"/>
              <w:right w:val="nil"/>
            </w:tcBorders>
            <w:noWrap/>
            <w:vAlign w:val="center"/>
          </w:tcPr>
          <w:p w:rsidR="007A49EF" w:rsidRPr="007A49EF" w:rsidRDefault="007A49EF" w:rsidP="007A49EF">
            <w:pPr>
              <w:jc w:val="right"/>
              <w:rPr>
                <w:rFonts w:ascii="Arial" w:hAnsi="Arial" w:cs="Arial"/>
                <w:b/>
                <w:bCs/>
                <w:sz w:val="16"/>
                <w:szCs w:val="16"/>
              </w:rPr>
            </w:pPr>
            <w:r w:rsidRPr="007A49EF">
              <w:rPr>
                <w:rFonts w:ascii="Arial" w:hAnsi="Arial" w:cs="Arial"/>
                <w:b/>
                <w:bCs/>
                <w:sz w:val="16"/>
                <w:szCs w:val="16"/>
              </w:rPr>
              <w:t xml:space="preserve">8963,6 </w:t>
            </w:r>
          </w:p>
        </w:tc>
        <w:tc>
          <w:tcPr>
            <w:tcW w:w="761" w:type="dxa"/>
            <w:tcBorders>
              <w:top w:val="nil"/>
              <w:left w:val="nil"/>
              <w:right w:val="nil"/>
            </w:tcBorders>
            <w:noWrap/>
            <w:vAlign w:val="center"/>
          </w:tcPr>
          <w:p w:rsidR="007A49EF" w:rsidRPr="007A49EF" w:rsidRDefault="007A49EF" w:rsidP="007A49EF">
            <w:pPr>
              <w:jc w:val="right"/>
              <w:rPr>
                <w:rFonts w:ascii="Arial" w:hAnsi="Arial" w:cs="Arial"/>
                <w:b/>
                <w:bCs/>
                <w:sz w:val="16"/>
                <w:szCs w:val="16"/>
              </w:rPr>
            </w:pPr>
            <w:r w:rsidRPr="007A49EF">
              <w:rPr>
                <w:rFonts w:ascii="Arial" w:hAnsi="Arial" w:cs="Arial"/>
                <w:b/>
                <w:bCs/>
                <w:sz w:val="16"/>
                <w:szCs w:val="16"/>
              </w:rPr>
              <w:t xml:space="preserve">4367,3 </w:t>
            </w:r>
          </w:p>
        </w:tc>
        <w:tc>
          <w:tcPr>
            <w:tcW w:w="752" w:type="dxa"/>
            <w:tcBorders>
              <w:top w:val="nil"/>
              <w:left w:val="nil"/>
              <w:right w:val="nil"/>
            </w:tcBorders>
            <w:noWrap/>
            <w:vAlign w:val="center"/>
          </w:tcPr>
          <w:p w:rsidR="007A49EF" w:rsidRPr="007A49EF" w:rsidRDefault="007A49EF" w:rsidP="007A49EF">
            <w:pPr>
              <w:jc w:val="right"/>
              <w:rPr>
                <w:rFonts w:ascii="Arial" w:hAnsi="Arial" w:cs="Arial"/>
                <w:b/>
                <w:bCs/>
                <w:sz w:val="16"/>
                <w:szCs w:val="16"/>
              </w:rPr>
            </w:pPr>
            <w:r w:rsidRPr="007A49EF">
              <w:rPr>
                <w:rFonts w:ascii="Arial" w:hAnsi="Arial" w:cs="Arial"/>
                <w:b/>
                <w:bCs/>
                <w:sz w:val="16"/>
                <w:szCs w:val="16"/>
              </w:rPr>
              <w:t xml:space="preserve">4596,3 </w:t>
            </w:r>
          </w:p>
        </w:tc>
        <w:tc>
          <w:tcPr>
            <w:tcW w:w="819" w:type="dxa"/>
            <w:tcBorders>
              <w:top w:val="nil"/>
              <w:left w:val="single" w:sz="8" w:space="0" w:color="auto"/>
              <w:right w:val="nil"/>
            </w:tcBorders>
            <w:noWrap/>
            <w:vAlign w:val="center"/>
          </w:tcPr>
          <w:p w:rsidR="007A49EF" w:rsidRPr="007A49EF" w:rsidRDefault="007A49EF" w:rsidP="007A49EF">
            <w:pPr>
              <w:jc w:val="right"/>
              <w:rPr>
                <w:rFonts w:ascii="Arial" w:hAnsi="Arial" w:cs="Arial"/>
                <w:b/>
                <w:bCs/>
                <w:sz w:val="16"/>
                <w:szCs w:val="16"/>
              </w:rPr>
            </w:pPr>
            <w:r w:rsidRPr="007A49EF">
              <w:rPr>
                <w:rFonts w:ascii="Arial" w:hAnsi="Arial" w:cs="Arial"/>
                <w:b/>
                <w:bCs/>
                <w:sz w:val="16"/>
                <w:szCs w:val="16"/>
              </w:rPr>
              <w:t xml:space="preserve">8955,8 </w:t>
            </w:r>
          </w:p>
        </w:tc>
        <w:tc>
          <w:tcPr>
            <w:tcW w:w="761" w:type="dxa"/>
            <w:tcBorders>
              <w:top w:val="nil"/>
              <w:left w:val="nil"/>
              <w:right w:val="nil"/>
            </w:tcBorders>
            <w:noWrap/>
            <w:vAlign w:val="center"/>
          </w:tcPr>
          <w:p w:rsidR="007A49EF" w:rsidRPr="007A49EF" w:rsidRDefault="007A49EF" w:rsidP="007A49EF">
            <w:pPr>
              <w:jc w:val="right"/>
              <w:rPr>
                <w:rFonts w:ascii="Arial" w:hAnsi="Arial" w:cs="Arial"/>
                <w:b/>
                <w:bCs/>
                <w:sz w:val="16"/>
                <w:szCs w:val="16"/>
              </w:rPr>
            </w:pPr>
            <w:r w:rsidRPr="007A49EF">
              <w:rPr>
                <w:rFonts w:ascii="Arial" w:hAnsi="Arial" w:cs="Arial"/>
                <w:b/>
                <w:bCs/>
                <w:sz w:val="16"/>
                <w:szCs w:val="16"/>
              </w:rPr>
              <w:t xml:space="preserve">4364,2 </w:t>
            </w:r>
          </w:p>
        </w:tc>
        <w:tc>
          <w:tcPr>
            <w:tcW w:w="752" w:type="dxa"/>
            <w:tcBorders>
              <w:top w:val="nil"/>
              <w:left w:val="nil"/>
              <w:right w:val="single" w:sz="8" w:space="0" w:color="auto"/>
            </w:tcBorders>
            <w:noWrap/>
            <w:vAlign w:val="center"/>
          </w:tcPr>
          <w:p w:rsidR="007A49EF" w:rsidRPr="007A49EF" w:rsidRDefault="007A49EF" w:rsidP="007A49EF">
            <w:pPr>
              <w:jc w:val="right"/>
              <w:rPr>
                <w:rFonts w:ascii="Arial" w:hAnsi="Arial" w:cs="Arial"/>
                <w:b/>
                <w:bCs/>
                <w:sz w:val="16"/>
                <w:szCs w:val="16"/>
              </w:rPr>
            </w:pPr>
            <w:r w:rsidRPr="007A49EF">
              <w:rPr>
                <w:rFonts w:ascii="Arial" w:hAnsi="Arial" w:cs="Arial"/>
                <w:b/>
                <w:bCs/>
                <w:sz w:val="16"/>
                <w:szCs w:val="16"/>
              </w:rPr>
              <w:t xml:space="preserve">4591,6 </w:t>
            </w:r>
          </w:p>
        </w:tc>
        <w:tc>
          <w:tcPr>
            <w:tcW w:w="819" w:type="dxa"/>
            <w:tcBorders>
              <w:top w:val="nil"/>
              <w:left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-7,8 </w:t>
            </w:r>
          </w:p>
        </w:tc>
        <w:tc>
          <w:tcPr>
            <w:tcW w:w="596" w:type="dxa"/>
            <w:tcBorders>
              <w:top w:val="nil"/>
              <w:left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-3,1 </w:t>
            </w:r>
          </w:p>
        </w:tc>
        <w:tc>
          <w:tcPr>
            <w:tcW w:w="641" w:type="dxa"/>
            <w:tcBorders>
              <w:top w:val="nil"/>
              <w:left w:val="nil"/>
              <w:right w:val="single" w:sz="8"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-4,7 </w:t>
            </w:r>
          </w:p>
        </w:tc>
        <w:tc>
          <w:tcPr>
            <w:tcW w:w="848" w:type="dxa"/>
            <w:tcBorders>
              <w:top w:val="single" w:sz="8" w:space="0" w:color="auto"/>
              <w:left w:val="nil"/>
              <w:right w:val="double" w:sz="6"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99,9 </w:t>
            </w:r>
          </w:p>
        </w:tc>
      </w:tr>
      <w:tr w:rsidR="007A49EF" w:rsidRPr="00251317" w:rsidTr="007A49EF">
        <w:trPr>
          <w:trHeight w:val="312"/>
          <w:jc w:val="center"/>
        </w:trPr>
        <w:tc>
          <w:tcPr>
            <w:tcW w:w="2334" w:type="dxa"/>
            <w:tcBorders>
              <w:top w:val="nil"/>
              <w:left w:val="double" w:sz="6" w:space="0" w:color="auto"/>
              <w:right w:val="nil"/>
            </w:tcBorders>
            <w:noWrap/>
            <w:vAlign w:val="center"/>
          </w:tcPr>
          <w:p w:rsidR="007A49EF" w:rsidRPr="007A49EF" w:rsidRDefault="007A49EF" w:rsidP="007A49EF">
            <w:pPr>
              <w:rPr>
                <w:rFonts w:ascii="Arial" w:hAnsi="Arial" w:cs="Arial"/>
                <w:sz w:val="18"/>
                <w:szCs w:val="18"/>
              </w:rPr>
            </w:pPr>
            <w:r w:rsidRPr="007A49EF">
              <w:rPr>
                <w:rFonts w:ascii="Arial" w:hAnsi="Arial" w:cs="Arial"/>
                <w:sz w:val="18"/>
                <w:szCs w:val="18"/>
              </w:rPr>
              <w:t xml:space="preserve">   z toho: 15 – 64 let</w:t>
            </w:r>
          </w:p>
        </w:tc>
        <w:tc>
          <w:tcPr>
            <w:tcW w:w="819" w:type="dxa"/>
            <w:tcBorders>
              <w:top w:val="nil"/>
              <w:left w:val="single" w:sz="8" w:space="0" w:color="auto"/>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7246,4 </w:t>
            </w:r>
          </w:p>
        </w:tc>
        <w:tc>
          <w:tcPr>
            <w:tcW w:w="761" w:type="dxa"/>
            <w:tcBorders>
              <w:top w:val="nil"/>
              <w:left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3668,2 </w:t>
            </w:r>
          </w:p>
        </w:tc>
        <w:tc>
          <w:tcPr>
            <w:tcW w:w="752" w:type="dxa"/>
            <w:tcBorders>
              <w:top w:val="nil"/>
              <w:left w:val="nil"/>
              <w:right w:val="nil"/>
            </w:tcBorders>
            <w:noWrap/>
            <w:vAlign w:val="center"/>
          </w:tcPr>
          <w:p w:rsidR="007A49EF" w:rsidRPr="007A49EF" w:rsidRDefault="007A49EF" w:rsidP="007A49EF">
            <w:pPr>
              <w:jc w:val="right"/>
              <w:rPr>
                <w:rFonts w:ascii="Arial" w:hAnsi="Arial" w:cs="Arial"/>
                <w:b/>
                <w:bCs/>
                <w:sz w:val="16"/>
                <w:szCs w:val="16"/>
              </w:rPr>
            </w:pPr>
            <w:r w:rsidRPr="007A49EF">
              <w:rPr>
                <w:rFonts w:ascii="Arial" w:hAnsi="Arial" w:cs="Arial"/>
                <w:b/>
                <w:bCs/>
                <w:sz w:val="16"/>
                <w:szCs w:val="16"/>
              </w:rPr>
              <w:t xml:space="preserve">3578,2 </w:t>
            </w:r>
          </w:p>
        </w:tc>
        <w:tc>
          <w:tcPr>
            <w:tcW w:w="819" w:type="dxa"/>
            <w:tcBorders>
              <w:top w:val="nil"/>
              <w:left w:val="single" w:sz="8" w:space="0" w:color="auto"/>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7174,9 </w:t>
            </w:r>
          </w:p>
        </w:tc>
        <w:tc>
          <w:tcPr>
            <w:tcW w:w="761" w:type="dxa"/>
            <w:tcBorders>
              <w:top w:val="nil"/>
              <w:left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3634,0 </w:t>
            </w:r>
          </w:p>
        </w:tc>
        <w:tc>
          <w:tcPr>
            <w:tcW w:w="752" w:type="dxa"/>
            <w:tcBorders>
              <w:top w:val="nil"/>
              <w:left w:val="nil"/>
              <w:right w:val="single" w:sz="8" w:space="0" w:color="auto"/>
            </w:tcBorders>
            <w:noWrap/>
            <w:vAlign w:val="center"/>
          </w:tcPr>
          <w:p w:rsidR="007A49EF" w:rsidRPr="007A49EF" w:rsidRDefault="007A49EF" w:rsidP="007A49EF">
            <w:pPr>
              <w:jc w:val="right"/>
              <w:rPr>
                <w:rFonts w:ascii="Arial" w:hAnsi="Arial" w:cs="Arial"/>
                <w:b/>
                <w:bCs/>
                <w:sz w:val="16"/>
                <w:szCs w:val="16"/>
              </w:rPr>
            </w:pPr>
            <w:r w:rsidRPr="007A49EF">
              <w:rPr>
                <w:rFonts w:ascii="Arial" w:hAnsi="Arial" w:cs="Arial"/>
                <w:b/>
                <w:bCs/>
                <w:sz w:val="16"/>
                <w:szCs w:val="16"/>
              </w:rPr>
              <w:t xml:space="preserve">3540,8 </w:t>
            </w:r>
          </w:p>
        </w:tc>
        <w:tc>
          <w:tcPr>
            <w:tcW w:w="819" w:type="dxa"/>
            <w:tcBorders>
              <w:top w:val="nil"/>
              <w:left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-71,5 </w:t>
            </w:r>
          </w:p>
        </w:tc>
        <w:tc>
          <w:tcPr>
            <w:tcW w:w="596" w:type="dxa"/>
            <w:tcBorders>
              <w:top w:val="nil"/>
              <w:left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-34,2 </w:t>
            </w:r>
          </w:p>
        </w:tc>
        <w:tc>
          <w:tcPr>
            <w:tcW w:w="641" w:type="dxa"/>
            <w:tcBorders>
              <w:top w:val="nil"/>
              <w:left w:val="nil"/>
              <w:right w:val="single" w:sz="8"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-37,4 </w:t>
            </w:r>
          </w:p>
        </w:tc>
        <w:tc>
          <w:tcPr>
            <w:tcW w:w="848" w:type="dxa"/>
            <w:tcBorders>
              <w:top w:val="nil"/>
              <w:left w:val="nil"/>
              <w:right w:val="double" w:sz="6"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99,0 </w:t>
            </w:r>
          </w:p>
        </w:tc>
      </w:tr>
      <w:tr w:rsidR="007A49EF" w:rsidRPr="00251317" w:rsidTr="007A49EF">
        <w:trPr>
          <w:trHeight w:val="312"/>
          <w:jc w:val="center"/>
        </w:trPr>
        <w:tc>
          <w:tcPr>
            <w:tcW w:w="2334" w:type="dxa"/>
            <w:tcBorders>
              <w:top w:val="nil"/>
              <w:left w:val="double" w:sz="6" w:space="0" w:color="auto"/>
              <w:bottom w:val="single" w:sz="8" w:space="0" w:color="auto"/>
              <w:right w:val="nil"/>
            </w:tcBorders>
            <w:noWrap/>
            <w:vAlign w:val="center"/>
          </w:tcPr>
          <w:p w:rsidR="007A49EF" w:rsidRPr="007A49EF" w:rsidRDefault="007A49EF" w:rsidP="007A49EF">
            <w:pPr>
              <w:rPr>
                <w:rFonts w:ascii="Arial" w:hAnsi="Arial" w:cs="Arial"/>
                <w:sz w:val="18"/>
                <w:szCs w:val="18"/>
              </w:rPr>
            </w:pPr>
            <w:r w:rsidRPr="007A49EF">
              <w:rPr>
                <w:rFonts w:ascii="Arial" w:hAnsi="Arial" w:cs="Arial"/>
                <w:sz w:val="18"/>
                <w:szCs w:val="18"/>
              </w:rPr>
              <w:t xml:space="preserve">               20 – 64 let</w:t>
            </w:r>
          </w:p>
        </w:tc>
        <w:tc>
          <w:tcPr>
            <w:tcW w:w="819" w:type="dxa"/>
            <w:tcBorders>
              <w:top w:val="nil"/>
              <w:left w:val="single" w:sz="8" w:space="0" w:color="auto"/>
              <w:bottom w:val="single" w:sz="8" w:space="0" w:color="auto"/>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6712,9 </w:t>
            </w:r>
          </w:p>
        </w:tc>
        <w:tc>
          <w:tcPr>
            <w:tcW w:w="761" w:type="dxa"/>
            <w:tcBorders>
              <w:top w:val="nil"/>
              <w:left w:val="nil"/>
              <w:bottom w:val="single" w:sz="8" w:space="0" w:color="auto"/>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3394,6 </w:t>
            </w:r>
          </w:p>
        </w:tc>
        <w:tc>
          <w:tcPr>
            <w:tcW w:w="752" w:type="dxa"/>
            <w:tcBorders>
              <w:top w:val="nil"/>
              <w:left w:val="nil"/>
              <w:bottom w:val="single" w:sz="8" w:space="0" w:color="auto"/>
              <w:right w:val="nil"/>
            </w:tcBorders>
            <w:noWrap/>
            <w:vAlign w:val="center"/>
          </w:tcPr>
          <w:p w:rsidR="007A49EF" w:rsidRPr="007A49EF" w:rsidRDefault="007A49EF" w:rsidP="007A49EF">
            <w:pPr>
              <w:jc w:val="right"/>
              <w:rPr>
                <w:rFonts w:ascii="Arial" w:hAnsi="Arial" w:cs="Arial"/>
                <w:b/>
                <w:bCs/>
                <w:sz w:val="16"/>
                <w:szCs w:val="16"/>
              </w:rPr>
            </w:pPr>
            <w:r w:rsidRPr="007A49EF">
              <w:rPr>
                <w:rFonts w:ascii="Arial" w:hAnsi="Arial" w:cs="Arial"/>
                <w:b/>
                <w:bCs/>
                <w:sz w:val="16"/>
                <w:szCs w:val="16"/>
              </w:rPr>
              <w:t xml:space="preserve">3318,3 </w:t>
            </w:r>
          </w:p>
        </w:tc>
        <w:tc>
          <w:tcPr>
            <w:tcW w:w="819" w:type="dxa"/>
            <w:tcBorders>
              <w:top w:val="nil"/>
              <w:left w:val="single" w:sz="8" w:space="0" w:color="auto"/>
              <w:bottom w:val="single" w:sz="8" w:space="0" w:color="auto"/>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6672,1 </w:t>
            </w:r>
          </w:p>
        </w:tc>
        <w:tc>
          <w:tcPr>
            <w:tcW w:w="761" w:type="dxa"/>
            <w:tcBorders>
              <w:top w:val="nil"/>
              <w:left w:val="nil"/>
              <w:bottom w:val="single" w:sz="8" w:space="0" w:color="auto"/>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3376,3 </w:t>
            </w:r>
          </w:p>
        </w:tc>
        <w:tc>
          <w:tcPr>
            <w:tcW w:w="752" w:type="dxa"/>
            <w:tcBorders>
              <w:top w:val="nil"/>
              <w:left w:val="nil"/>
              <w:bottom w:val="single" w:sz="8" w:space="0" w:color="auto"/>
              <w:right w:val="single" w:sz="8" w:space="0" w:color="auto"/>
            </w:tcBorders>
            <w:noWrap/>
            <w:vAlign w:val="center"/>
          </w:tcPr>
          <w:p w:rsidR="007A49EF" w:rsidRPr="007A49EF" w:rsidRDefault="007A49EF" w:rsidP="007A49EF">
            <w:pPr>
              <w:jc w:val="right"/>
              <w:rPr>
                <w:rFonts w:ascii="Arial" w:hAnsi="Arial" w:cs="Arial"/>
                <w:b/>
                <w:bCs/>
                <w:sz w:val="16"/>
                <w:szCs w:val="16"/>
              </w:rPr>
            </w:pPr>
            <w:r w:rsidRPr="007A49EF">
              <w:rPr>
                <w:rFonts w:ascii="Arial" w:hAnsi="Arial" w:cs="Arial"/>
                <w:b/>
                <w:bCs/>
                <w:sz w:val="16"/>
                <w:szCs w:val="16"/>
              </w:rPr>
              <w:t xml:space="preserve">3295,8 </w:t>
            </w:r>
          </w:p>
        </w:tc>
        <w:tc>
          <w:tcPr>
            <w:tcW w:w="819" w:type="dxa"/>
            <w:tcBorders>
              <w:top w:val="nil"/>
              <w:left w:val="nil"/>
              <w:bottom w:val="single" w:sz="8" w:space="0" w:color="auto"/>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-40,8 </w:t>
            </w:r>
          </w:p>
        </w:tc>
        <w:tc>
          <w:tcPr>
            <w:tcW w:w="596" w:type="dxa"/>
            <w:tcBorders>
              <w:top w:val="nil"/>
              <w:left w:val="nil"/>
              <w:bottom w:val="single" w:sz="8" w:space="0" w:color="auto"/>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-18,3 </w:t>
            </w:r>
          </w:p>
        </w:tc>
        <w:tc>
          <w:tcPr>
            <w:tcW w:w="641" w:type="dxa"/>
            <w:tcBorders>
              <w:top w:val="nil"/>
              <w:left w:val="nil"/>
              <w:bottom w:val="single" w:sz="8" w:space="0" w:color="auto"/>
              <w:right w:val="single" w:sz="8"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-22,5 </w:t>
            </w:r>
          </w:p>
        </w:tc>
        <w:tc>
          <w:tcPr>
            <w:tcW w:w="848" w:type="dxa"/>
            <w:tcBorders>
              <w:top w:val="nil"/>
              <w:left w:val="nil"/>
              <w:bottom w:val="single" w:sz="8" w:space="0" w:color="auto"/>
              <w:right w:val="double" w:sz="6"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99,4 </w:t>
            </w:r>
          </w:p>
        </w:tc>
      </w:tr>
      <w:tr w:rsidR="007A49EF" w:rsidRPr="00251317" w:rsidTr="007A49EF">
        <w:trPr>
          <w:trHeight w:val="312"/>
          <w:jc w:val="center"/>
        </w:trPr>
        <w:tc>
          <w:tcPr>
            <w:tcW w:w="2334" w:type="dxa"/>
            <w:tcBorders>
              <w:top w:val="single" w:sz="8" w:space="0" w:color="auto"/>
              <w:left w:val="double" w:sz="6" w:space="0" w:color="auto"/>
              <w:bottom w:val="nil"/>
              <w:right w:val="single" w:sz="8" w:space="0" w:color="auto"/>
            </w:tcBorders>
            <w:vAlign w:val="center"/>
          </w:tcPr>
          <w:p w:rsidR="007A49EF" w:rsidRPr="007A49EF" w:rsidRDefault="007A49EF" w:rsidP="007A49EF">
            <w:pPr>
              <w:rPr>
                <w:rFonts w:ascii="Arial" w:hAnsi="Arial" w:cs="Arial"/>
                <w:b/>
                <w:sz w:val="18"/>
                <w:szCs w:val="18"/>
              </w:rPr>
            </w:pPr>
            <w:r w:rsidRPr="007A49EF">
              <w:rPr>
                <w:rFonts w:ascii="Arial" w:hAnsi="Arial" w:cs="Arial"/>
                <w:b/>
                <w:sz w:val="18"/>
                <w:szCs w:val="18"/>
              </w:rPr>
              <w:t xml:space="preserve">Ekonomicky aktivní celkem </w:t>
            </w:r>
            <w:r w:rsidRPr="007A49EF">
              <w:rPr>
                <w:rFonts w:ascii="Arial" w:hAnsi="Arial" w:cs="Arial"/>
                <w:sz w:val="18"/>
                <w:szCs w:val="18"/>
              </w:rPr>
              <w:t>(</w:t>
            </w:r>
            <w:proofErr w:type="spellStart"/>
            <w:r w:rsidRPr="007A49EF">
              <w:rPr>
                <w:rFonts w:ascii="Arial" w:hAnsi="Arial" w:cs="Arial"/>
                <w:sz w:val="18"/>
                <w:szCs w:val="18"/>
              </w:rPr>
              <w:t>zaměst</w:t>
            </w:r>
            <w:proofErr w:type="spellEnd"/>
            <w:r w:rsidRPr="007A49EF">
              <w:rPr>
                <w:rFonts w:ascii="Arial" w:hAnsi="Arial" w:cs="Arial"/>
                <w:sz w:val="18"/>
                <w:szCs w:val="18"/>
              </w:rPr>
              <w:t>.+</w:t>
            </w:r>
            <w:proofErr w:type="spellStart"/>
            <w:r w:rsidRPr="007A49EF">
              <w:rPr>
                <w:rFonts w:ascii="Arial" w:hAnsi="Arial" w:cs="Arial"/>
                <w:sz w:val="18"/>
                <w:szCs w:val="18"/>
              </w:rPr>
              <w:t>nezam</w:t>
            </w:r>
            <w:proofErr w:type="spellEnd"/>
            <w:r w:rsidRPr="007A49EF">
              <w:rPr>
                <w:rFonts w:ascii="Arial" w:hAnsi="Arial" w:cs="Arial"/>
                <w:sz w:val="18"/>
                <w:szCs w:val="18"/>
              </w:rPr>
              <w:t>.)</w:t>
            </w:r>
            <w:r w:rsidRPr="007A49EF">
              <w:rPr>
                <w:rFonts w:ascii="Arial" w:hAnsi="Arial" w:cs="Arial"/>
                <w:b/>
                <w:sz w:val="18"/>
                <w:szCs w:val="18"/>
              </w:rPr>
              <w:t xml:space="preserve"> </w:t>
            </w:r>
          </w:p>
        </w:tc>
        <w:tc>
          <w:tcPr>
            <w:tcW w:w="819" w:type="dxa"/>
            <w:tcBorders>
              <w:top w:val="single" w:sz="8" w:space="0" w:color="auto"/>
              <w:left w:val="single" w:sz="8" w:space="0" w:color="auto"/>
              <w:bottom w:val="nil"/>
            </w:tcBorders>
            <w:noWrap/>
            <w:vAlign w:val="center"/>
          </w:tcPr>
          <w:p w:rsidR="007A49EF" w:rsidRPr="007A49EF" w:rsidRDefault="007A49EF" w:rsidP="007A49EF">
            <w:pPr>
              <w:jc w:val="right"/>
              <w:rPr>
                <w:rFonts w:ascii="Arial" w:hAnsi="Arial" w:cs="Arial"/>
                <w:b/>
                <w:bCs/>
                <w:sz w:val="16"/>
                <w:szCs w:val="16"/>
              </w:rPr>
            </w:pPr>
            <w:r w:rsidRPr="007A49EF">
              <w:rPr>
                <w:rFonts w:ascii="Arial" w:hAnsi="Arial" w:cs="Arial"/>
                <w:b/>
                <w:bCs/>
                <w:sz w:val="16"/>
                <w:szCs w:val="16"/>
              </w:rPr>
              <w:t xml:space="preserve">5221,6 </w:t>
            </w:r>
          </w:p>
        </w:tc>
        <w:tc>
          <w:tcPr>
            <w:tcW w:w="761" w:type="dxa"/>
            <w:tcBorders>
              <w:top w:val="single" w:sz="8" w:space="0" w:color="auto"/>
              <w:bottom w:val="nil"/>
            </w:tcBorders>
            <w:noWrap/>
            <w:vAlign w:val="center"/>
          </w:tcPr>
          <w:p w:rsidR="007A49EF" w:rsidRPr="007A49EF" w:rsidRDefault="007A49EF" w:rsidP="007A49EF">
            <w:pPr>
              <w:jc w:val="right"/>
              <w:rPr>
                <w:rFonts w:ascii="Arial" w:hAnsi="Arial" w:cs="Arial"/>
                <w:b/>
                <w:bCs/>
                <w:sz w:val="16"/>
                <w:szCs w:val="16"/>
              </w:rPr>
            </w:pPr>
            <w:r w:rsidRPr="007A49EF">
              <w:rPr>
                <w:rFonts w:ascii="Arial" w:hAnsi="Arial" w:cs="Arial"/>
                <w:b/>
                <w:bCs/>
                <w:sz w:val="16"/>
                <w:szCs w:val="16"/>
              </w:rPr>
              <w:t xml:space="preserve">2941,3 </w:t>
            </w:r>
          </w:p>
        </w:tc>
        <w:tc>
          <w:tcPr>
            <w:tcW w:w="752" w:type="dxa"/>
            <w:tcBorders>
              <w:top w:val="single" w:sz="8" w:space="0" w:color="auto"/>
              <w:bottom w:val="nil"/>
              <w:right w:val="single" w:sz="8" w:space="0" w:color="auto"/>
            </w:tcBorders>
            <w:noWrap/>
            <w:vAlign w:val="center"/>
          </w:tcPr>
          <w:p w:rsidR="007A49EF" w:rsidRPr="007A49EF" w:rsidRDefault="007A49EF" w:rsidP="007A49EF">
            <w:pPr>
              <w:jc w:val="right"/>
              <w:rPr>
                <w:rFonts w:ascii="Arial" w:hAnsi="Arial" w:cs="Arial"/>
                <w:b/>
                <w:bCs/>
                <w:sz w:val="16"/>
                <w:szCs w:val="16"/>
              </w:rPr>
            </w:pPr>
            <w:r w:rsidRPr="007A49EF">
              <w:rPr>
                <w:rFonts w:ascii="Arial" w:hAnsi="Arial" w:cs="Arial"/>
                <w:b/>
                <w:bCs/>
                <w:sz w:val="16"/>
                <w:szCs w:val="16"/>
              </w:rPr>
              <w:t xml:space="preserve">2280,3 </w:t>
            </w:r>
          </w:p>
        </w:tc>
        <w:tc>
          <w:tcPr>
            <w:tcW w:w="819" w:type="dxa"/>
            <w:tcBorders>
              <w:top w:val="single" w:sz="8" w:space="0" w:color="auto"/>
              <w:left w:val="single" w:sz="8" w:space="0" w:color="auto"/>
              <w:bottom w:val="nil"/>
            </w:tcBorders>
            <w:noWrap/>
            <w:vAlign w:val="center"/>
          </w:tcPr>
          <w:p w:rsidR="007A49EF" w:rsidRPr="007A49EF" w:rsidRDefault="007A49EF" w:rsidP="007A49EF">
            <w:pPr>
              <w:jc w:val="right"/>
              <w:rPr>
                <w:rFonts w:ascii="Arial" w:hAnsi="Arial" w:cs="Arial"/>
                <w:b/>
                <w:bCs/>
                <w:sz w:val="16"/>
                <w:szCs w:val="16"/>
              </w:rPr>
            </w:pPr>
            <w:r w:rsidRPr="007A49EF">
              <w:rPr>
                <w:rFonts w:ascii="Arial" w:hAnsi="Arial" w:cs="Arial"/>
                <w:b/>
                <w:bCs/>
                <w:sz w:val="16"/>
                <w:szCs w:val="16"/>
              </w:rPr>
              <w:t xml:space="preserve">5293,9 </w:t>
            </w:r>
          </w:p>
        </w:tc>
        <w:tc>
          <w:tcPr>
            <w:tcW w:w="761" w:type="dxa"/>
            <w:tcBorders>
              <w:top w:val="single" w:sz="8" w:space="0" w:color="auto"/>
              <w:bottom w:val="nil"/>
            </w:tcBorders>
            <w:noWrap/>
            <w:vAlign w:val="center"/>
          </w:tcPr>
          <w:p w:rsidR="007A49EF" w:rsidRPr="007A49EF" w:rsidRDefault="007A49EF" w:rsidP="007A49EF">
            <w:pPr>
              <w:jc w:val="right"/>
              <w:rPr>
                <w:rFonts w:ascii="Arial" w:hAnsi="Arial" w:cs="Arial"/>
                <w:b/>
                <w:bCs/>
                <w:sz w:val="16"/>
                <w:szCs w:val="16"/>
              </w:rPr>
            </w:pPr>
            <w:r w:rsidRPr="007A49EF">
              <w:rPr>
                <w:rFonts w:ascii="Arial" w:hAnsi="Arial" w:cs="Arial"/>
                <w:b/>
                <w:bCs/>
                <w:sz w:val="16"/>
                <w:szCs w:val="16"/>
              </w:rPr>
              <w:t xml:space="preserve">2963,6 </w:t>
            </w:r>
          </w:p>
        </w:tc>
        <w:tc>
          <w:tcPr>
            <w:tcW w:w="752" w:type="dxa"/>
            <w:tcBorders>
              <w:top w:val="single" w:sz="8" w:space="0" w:color="auto"/>
              <w:bottom w:val="nil"/>
              <w:right w:val="single" w:sz="8" w:space="0" w:color="auto"/>
            </w:tcBorders>
            <w:noWrap/>
            <w:vAlign w:val="center"/>
          </w:tcPr>
          <w:p w:rsidR="007A49EF" w:rsidRPr="007A49EF" w:rsidRDefault="007A49EF" w:rsidP="007A49EF">
            <w:pPr>
              <w:jc w:val="right"/>
              <w:rPr>
                <w:rFonts w:ascii="Arial" w:hAnsi="Arial" w:cs="Arial"/>
                <w:b/>
                <w:bCs/>
                <w:sz w:val="16"/>
                <w:szCs w:val="16"/>
              </w:rPr>
            </w:pPr>
            <w:r w:rsidRPr="007A49EF">
              <w:rPr>
                <w:rFonts w:ascii="Arial" w:hAnsi="Arial" w:cs="Arial"/>
                <w:b/>
                <w:bCs/>
                <w:sz w:val="16"/>
                <w:szCs w:val="16"/>
              </w:rPr>
              <w:t xml:space="preserve">2330,4 </w:t>
            </w:r>
          </w:p>
        </w:tc>
        <w:tc>
          <w:tcPr>
            <w:tcW w:w="819" w:type="dxa"/>
            <w:tcBorders>
              <w:top w:val="single" w:sz="8" w:space="0" w:color="auto"/>
              <w:left w:val="single" w:sz="8" w:space="0" w:color="auto"/>
              <w:bottom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72,3 </w:t>
            </w:r>
          </w:p>
        </w:tc>
        <w:tc>
          <w:tcPr>
            <w:tcW w:w="596" w:type="dxa"/>
            <w:tcBorders>
              <w:top w:val="single" w:sz="8" w:space="0" w:color="auto"/>
              <w:bottom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22,3 </w:t>
            </w:r>
          </w:p>
        </w:tc>
        <w:tc>
          <w:tcPr>
            <w:tcW w:w="641" w:type="dxa"/>
            <w:tcBorders>
              <w:top w:val="single" w:sz="8" w:space="0" w:color="auto"/>
              <w:bottom w:val="nil"/>
              <w:right w:val="single" w:sz="8"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50,1 </w:t>
            </w:r>
          </w:p>
        </w:tc>
        <w:tc>
          <w:tcPr>
            <w:tcW w:w="848" w:type="dxa"/>
            <w:tcBorders>
              <w:top w:val="single" w:sz="8" w:space="0" w:color="auto"/>
              <w:left w:val="single" w:sz="8" w:space="0" w:color="auto"/>
              <w:bottom w:val="nil"/>
              <w:right w:val="double" w:sz="6"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101,4 </w:t>
            </w:r>
          </w:p>
        </w:tc>
      </w:tr>
      <w:tr w:rsidR="007A49EF" w:rsidRPr="00251317" w:rsidTr="007A49EF">
        <w:trPr>
          <w:trHeight w:val="312"/>
          <w:jc w:val="center"/>
        </w:trPr>
        <w:tc>
          <w:tcPr>
            <w:tcW w:w="2334" w:type="dxa"/>
            <w:tcBorders>
              <w:top w:val="nil"/>
              <w:left w:val="double" w:sz="6" w:space="0" w:color="auto"/>
              <w:bottom w:val="nil"/>
              <w:right w:val="nil"/>
            </w:tcBorders>
            <w:noWrap/>
            <w:vAlign w:val="center"/>
          </w:tcPr>
          <w:p w:rsidR="007A49EF" w:rsidRPr="007A49EF" w:rsidRDefault="007A49EF" w:rsidP="007A49EF">
            <w:pPr>
              <w:rPr>
                <w:rFonts w:ascii="Arial" w:hAnsi="Arial" w:cs="Arial"/>
                <w:sz w:val="18"/>
                <w:szCs w:val="18"/>
              </w:rPr>
            </w:pPr>
            <w:r w:rsidRPr="007A49EF">
              <w:rPr>
                <w:rFonts w:ascii="Arial" w:hAnsi="Arial" w:cs="Arial"/>
                <w:sz w:val="18"/>
                <w:szCs w:val="18"/>
              </w:rPr>
              <w:t xml:space="preserve">   z toho: 15 – 64 let</w:t>
            </w:r>
          </w:p>
        </w:tc>
        <w:tc>
          <w:tcPr>
            <w:tcW w:w="819" w:type="dxa"/>
            <w:tcBorders>
              <w:top w:val="nil"/>
              <w:left w:val="single" w:sz="8" w:space="0" w:color="auto"/>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5143,5 </w:t>
            </w:r>
          </w:p>
        </w:tc>
        <w:tc>
          <w:tcPr>
            <w:tcW w:w="761"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2895,9 </w:t>
            </w:r>
          </w:p>
        </w:tc>
        <w:tc>
          <w:tcPr>
            <w:tcW w:w="752" w:type="dxa"/>
            <w:tcBorders>
              <w:top w:val="nil"/>
              <w:left w:val="nil"/>
              <w:bottom w:val="nil"/>
              <w:right w:val="nil"/>
            </w:tcBorders>
            <w:noWrap/>
            <w:vAlign w:val="center"/>
          </w:tcPr>
          <w:p w:rsidR="007A49EF" w:rsidRPr="007A49EF" w:rsidRDefault="007A49EF" w:rsidP="007A49EF">
            <w:pPr>
              <w:jc w:val="right"/>
              <w:rPr>
                <w:rFonts w:ascii="Arial" w:hAnsi="Arial" w:cs="Arial"/>
                <w:b/>
                <w:bCs/>
                <w:sz w:val="16"/>
                <w:szCs w:val="16"/>
              </w:rPr>
            </w:pPr>
            <w:r w:rsidRPr="007A49EF">
              <w:rPr>
                <w:rFonts w:ascii="Arial" w:hAnsi="Arial" w:cs="Arial"/>
                <w:b/>
                <w:bCs/>
                <w:sz w:val="16"/>
                <w:szCs w:val="16"/>
              </w:rPr>
              <w:t xml:space="preserve">2247,6 </w:t>
            </w:r>
          </w:p>
        </w:tc>
        <w:tc>
          <w:tcPr>
            <w:tcW w:w="819" w:type="dxa"/>
            <w:tcBorders>
              <w:top w:val="nil"/>
              <w:left w:val="single" w:sz="8" w:space="0" w:color="auto"/>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5203,6 </w:t>
            </w:r>
          </w:p>
        </w:tc>
        <w:tc>
          <w:tcPr>
            <w:tcW w:w="761"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2913,2 </w:t>
            </w:r>
          </w:p>
        </w:tc>
        <w:tc>
          <w:tcPr>
            <w:tcW w:w="752" w:type="dxa"/>
            <w:tcBorders>
              <w:top w:val="nil"/>
              <w:left w:val="nil"/>
              <w:bottom w:val="nil"/>
              <w:right w:val="single" w:sz="8" w:space="0" w:color="auto"/>
            </w:tcBorders>
            <w:noWrap/>
            <w:vAlign w:val="center"/>
          </w:tcPr>
          <w:p w:rsidR="007A49EF" w:rsidRPr="007A49EF" w:rsidRDefault="007A49EF" w:rsidP="007A49EF">
            <w:pPr>
              <w:jc w:val="right"/>
              <w:rPr>
                <w:rFonts w:ascii="Arial" w:hAnsi="Arial" w:cs="Arial"/>
                <w:b/>
                <w:bCs/>
                <w:sz w:val="16"/>
                <w:szCs w:val="16"/>
              </w:rPr>
            </w:pPr>
            <w:r w:rsidRPr="007A49EF">
              <w:rPr>
                <w:rFonts w:ascii="Arial" w:hAnsi="Arial" w:cs="Arial"/>
                <w:b/>
                <w:bCs/>
                <w:sz w:val="16"/>
                <w:szCs w:val="16"/>
              </w:rPr>
              <w:t xml:space="preserve">2290,4 </w:t>
            </w:r>
          </w:p>
        </w:tc>
        <w:tc>
          <w:tcPr>
            <w:tcW w:w="819"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60,1 </w:t>
            </w:r>
          </w:p>
        </w:tc>
        <w:tc>
          <w:tcPr>
            <w:tcW w:w="596"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17,3 </w:t>
            </w:r>
          </w:p>
        </w:tc>
        <w:tc>
          <w:tcPr>
            <w:tcW w:w="641" w:type="dxa"/>
            <w:tcBorders>
              <w:top w:val="nil"/>
              <w:left w:val="nil"/>
              <w:bottom w:val="nil"/>
              <w:right w:val="single" w:sz="8"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42,8 </w:t>
            </w:r>
          </w:p>
        </w:tc>
        <w:tc>
          <w:tcPr>
            <w:tcW w:w="848" w:type="dxa"/>
            <w:tcBorders>
              <w:top w:val="nil"/>
              <w:left w:val="nil"/>
              <w:bottom w:val="nil"/>
              <w:right w:val="double" w:sz="6"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101,2 </w:t>
            </w:r>
          </w:p>
        </w:tc>
      </w:tr>
      <w:tr w:rsidR="007A49EF" w:rsidRPr="00251317" w:rsidTr="007A49EF">
        <w:trPr>
          <w:trHeight w:val="312"/>
          <w:jc w:val="center"/>
        </w:trPr>
        <w:tc>
          <w:tcPr>
            <w:tcW w:w="2334" w:type="dxa"/>
            <w:tcBorders>
              <w:top w:val="nil"/>
              <w:left w:val="double" w:sz="6" w:space="0" w:color="auto"/>
              <w:bottom w:val="nil"/>
              <w:right w:val="nil"/>
            </w:tcBorders>
            <w:noWrap/>
            <w:vAlign w:val="center"/>
          </w:tcPr>
          <w:p w:rsidR="007A49EF" w:rsidRPr="007A49EF" w:rsidRDefault="007A49EF" w:rsidP="007A49EF">
            <w:pPr>
              <w:rPr>
                <w:rFonts w:ascii="Arial" w:hAnsi="Arial" w:cs="Arial"/>
                <w:sz w:val="18"/>
                <w:szCs w:val="18"/>
              </w:rPr>
            </w:pPr>
            <w:r w:rsidRPr="007A49EF">
              <w:rPr>
                <w:rFonts w:ascii="Arial" w:hAnsi="Arial" w:cs="Arial"/>
                <w:sz w:val="18"/>
                <w:szCs w:val="18"/>
              </w:rPr>
              <w:t xml:space="preserve">               20 – 64 let</w:t>
            </w:r>
          </w:p>
        </w:tc>
        <w:tc>
          <w:tcPr>
            <w:tcW w:w="819" w:type="dxa"/>
            <w:tcBorders>
              <w:top w:val="nil"/>
              <w:left w:val="single" w:sz="8" w:space="0" w:color="auto"/>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5110,5 </w:t>
            </w:r>
          </w:p>
        </w:tc>
        <w:tc>
          <w:tcPr>
            <w:tcW w:w="761"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2874,1 </w:t>
            </w:r>
          </w:p>
        </w:tc>
        <w:tc>
          <w:tcPr>
            <w:tcW w:w="752" w:type="dxa"/>
            <w:tcBorders>
              <w:top w:val="nil"/>
              <w:left w:val="nil"/>
              <w:bottom w:val="nil"/>
              <w:right w:val="nil"/>
            </w:tcBorders>
            <w:noWrap/>
            <w:vAlign w:val="center"/>
          </w:tcPr>
          <w:p w:rsidR="007A49EF" w:rsidRPr="007A49EF" w:rsidRDefault="007A49EF" w:rsidP="007A49EF">
            <w:pPr>
              <w:jc w:val="right"/>
              <w:rPr>
                <w:rFonts w:ascii="Arial" w:hAnsi="Arial" w:cs="Arial"/>
                <w:b/>
                <w:bCs/>
                <w:sz w:val="16"/>
                <w:szCs w:val="16"/>
              </w:rPr>
            </w:pPr>
            <w:r w:rsidRPr="007A49EF">
              <w:rPr>
                <w:rFonts w:ascii="Arial" w:hAnsi="Arial" w:cs="Arial"/>
                <w:b/>
                <w:bCs/>
                <w:sz w:val="16"/>
                <w:szCs w:val="16"/>
              </w:rPr>
              <w:t xml:space="preserve">2236,4 </w:t>
            </w:r>
          </w:p>
        </w:tc>
        <w:tc>
          <w:tcPr>
            <w:tcW w:w="819" w:type="dxa"/>
            <w:tcBorders>
              <w:top w:val="nil"/>
              <w:left w:val="single" w:sz="8" w:space="0" w:color="auto"/>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5176,9 </w:t>
            </w:r>
          </w:p>
        </w:tc>
        <w:tc>
          <w:tcPr>
            <w:tcW w:w="761"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2897,0 </w:t>
            </w:r>
          </w:p>
        </w:tc>
        <w:tc>
          <w:tcPr>
            <w:tcW w:w="752" w:type="dxa"/>
            <w:tcBorders>
              <w:top w:val="nil"/>
              <w:left w:val="nil"/>
              <w:bottom w:val="nil"/>
              <w:right w:val="single" w:sz="8" w:space="0" w:color="auto"/>
            </w:tcBorders>
            <w:noWrap/>
            <w:vAlign w:val="center"/>
          </w:tcPr>
          <w:p w:rsidR="007A49EF" w:rsidRPr="007A49EF" w:rsidRDefault="007A49EF" w:rsidP="007A49EF">
            <w:pPr>
              <w:jc w:val="right"/>
              <w:rPr>
                <w:rFonts w:ascii="Arial" w:hAnsi="Arial" w:cs="Arial"/>
                <w:b/>
                <w:bCs/>
                <w:sz w:val="16"/>
                <w:szCs w:val="16"/>
              </w:rPr>
            </w:pPr>
            <w:r w:rsidRPr="007A49EF">
              <w:rPr>
                <w:rFonts w:ascii="Arial" w:hAnsi="Arial" w:cs="Arial"/>
                <w:b/>
                <w:bCs/>
                <w:sz w:val="16"/>
                <w:szCs w:val="16"/>
              </w:rPr>
              <w:t xml:space="preserve">2279,9 </w:t>
            </w:r>
          </w:p>
        </w:tc>
        <w:tc>
          <w:tcPr>
            <w:tcW w:w="819"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66,4 </w:t>
            </w:r>
          </w:p>
        </w:tc>
        <w:tc>
          <w:tcPr>
            <w:tcW w:w="596"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22,9 </w:t>
            </w:r>
          </w:p>
        </w:tc>
        <w:tc>
          <w:tcPr>
            <w:tcW w:w="641" w:type="dxa"/>
            <w:tcBorders>
              <w:top w:val="nil"/>
              <w:left w:val="nil"/>
              <w:bottom w:val="nil"/>
              <w:right w:val="single" w:sz="8"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43,5 </w:t>
            </w:r>
          </w:p>
        </w:tc>
        <w:tc>
          <w:tcPr>
            <w:tcW w:w="848" w:type="dxa"/>
            <w:tcBorders>
              <w:top w:val="nil"/>
              <w:left w:val="nil"/>
              <w:bottom w:val="nil"/>
              <w:right w:val="double" w:sz="6"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101,3 </w:t>
            </w:r>
          </w:p>
        </w:tc>
      </w:tr>
      <w:tr w:rsidR="007A49EF" w:rsidRPr="00251317" w:rsidTr="007A49EF">
        <w:trPr>
          <w:trHeight w:val="312"/>
          <w:jc w:val="center"/>
        </w:trPr>
        <w:tc>
          <w:tcPr>
            <w:tcW w:w="2334" w:type="dxa"/>
            <w:tcBorders>
              <w:top w:val="nil"/>
              <w:left w:val="double" w:sz="6" w:space="0" w:color="auto"/>
              <w:bottom w:val="nil"/>
              <w:right w:val="nil"/>
            </w:tcBorders>
            <w:noWrap/>
            <w:vAlign w:val="center"/>
          </w:tcPr>
          <w:p w:rsidR="007A49EF" w:rsidRPr="007A49EF" w:rsidRDefault="007A49EF" w:rsidP="007A49EF">
            <w:pPr>
              <w:rPr>
                <w:rFonts w:ascii="Arial" w:hAnsi="Arial" w:cs="Arial"/>
                <w:b/>
                <w:sz w:val="18"/>
                <w:szCs w:val="18"/>
              </w:rPr>
            </w:pPr>
            <w:r w:rsidRPr="007A49EF">
              <w:rPr>
                <w:rFonts w:ascii="Arial" w:hAnsi="Arial" w:cs="Arial"/>
                <w:b/>
                <w:sz w:val="18"/>
                <w:szCs w:val="18"/>
              </w:rPr>
              <w:t>Zaměstnaní v NH</w:t>
            </w:r>
          </w:p>
        </w:tc>
        <w:tc>
          <w:tcPr>
            <w:tcW w:w="819" w:type="dxa"/>
            <w:tcBorders>
              <w:top w:val="nil"/>
              <w:left w:val="single" w:sz="8" w:space="0" w:color="auto"/>
              <w:bottom w:val="nil"/>
              <w:right w:val="nil"/>
            </w:tcBorders>
            <w:noWrap/>
            <w:vAlign w:val="center"/>
          </w:tcPr>
          <w:p w:rsidR="007A49EF" w:rsidRPr="007A49EF" w:rsidRDefault="007A49EF" w:rsidP="007A49EF">
            <w:pPr>
              <w:jc w:val="right"/>
              <w:rPr>
                <w:rFonts w:ascii="Arial" w:hAnsi="Arial" w:cs="Arial"/>
                <w:b/>
                <w:bCs/>
                <w:sz w:val="16"/>
                <w:szCs w:val="16"/>
              </w:rPr>
            </w:pPr>
            <w:r w:rsidRPr="007A49EF">
              <w:rPr>
                <w:rFonts w:ascii="Arial" w:hAnsi="Arial" w:cs="Arial"/>
                <w:b/>
                <w:bCs/>
                <w:sz w:val="16"/>
                <w:szCs w:val="16"/>
              </w:rPr>
              <w:t xml:space="preserve">4861,5 </w:t>
            </w:r>
          </w:p>
        </w:tc>
        <w:tc>
          <w:tcPr>
            <w:tcW w:w="761" w:type="dxa"/>
            <w:tcBorders>
              <w:top w:val="nil"/>
              <w:left w:val="nil"/>
              <w:bottom w:val="nil"/>
              <w:right w:val="nil"/>
            </w:tcBorders>
            <w:noWrap/>
            <w:vAlign w:val="center"/>
          </w:tcPr>
          <w:p w:rsidR="007A49EF" w:rsidRPr="007A49EF" w:rsidRDefault="007A49EF" w:rsidP="007A49EF">
            <w:pPr>
              <w:jc w:val="right"/>
              <w:rPr>
                <w:rFonts w:ascii="Arial" w:hAnsi="Arial" w:cs="Arial"/>
                <w:b/>
                <w:bCs/>
                <w:sz w:val="16"/>
                <w:szCs w:val="16"/>
              </w:rPr>
            </w:pPr>
            <w:r w:rsidRPr="007A49EF">
              <w:rPr>
                <w:rFonts w:ascii="Arial" w:hAnsi="Arial" w:cs="Arial"/>
                <w:b/>
                <w:bCs/>
                <w:sz w:val="16"/>
                <w:szCs w:val="16"/>
              </w:rPr>
              <w:t xml:space="preserve">2763,3 </w:t>
            </w:r>
          </w:p>
        </w:tc>
        <w:tc>
          <w:tcPr>
            <w:tcW w:w="752" w:type="dxa"/>
            <w:tcBorders>
              <w:top w:val="nil"/>
              <w:left w:val="nil"/>
              <w:bottom w:val="nil"/>
              <w:right w:val="nil"/>
            </w:tcBorders>
            <w:noWrap/>
            <w:vAlign w:val="center"/>
          </w:tcPr>
          <w:p w:rsidR="007A49EF" w:rsidRPr="007A49EF" w:rsidRDefault="007A49EF" w:rsidP="007A49EF">
            <w:pPr>
              <w:jc w:val="right"/>
              <w:rPr>
                <w:rFonts w:ascii="Arial" w:hAnsi="Arial" w:cs="Arial"/>
                <w:b/>
                <w:bCs/>
                <w:sz w:val="16"/>
                <w:szCs w:val="16"/>
              </w:rPr>
            </w:pPr>
            <w:r w:rsidRPr="007A49EF">
              <w:rPr>
                <w:rFonts w:ascii="Arial" w:hAnsi="Arial" w:cs="Arial"/>
                <w:b/>
                <w:bCs/>
                <w:sz w:val="16"/>
                <w:szCs w:val="16"/>
              </w:rPr>
              <w:t xml:space="preserve">2098,2 </w:t>
            </w:r>
          </w:p>
        </w:tc>
        <w:tc>
          <w:tcPr>
            <w:tcW w:w="819" w:type="dxa"/>
            <w:tcBorders>
              <w:top w:val="nil"/>
              <w:left w:val="single" w:sz="8" w:space="0" w:color="auto"/>
              <w:bottom w:val="nil"/>
              <w:right w:val="nil"/>
            </w:tcBorders>
            <w:noWrap/>
            <w:vAlign w:val="center"/>
          </w:tcPr>
          <w:p w:rsidR="007A49EF" w:rsidRPr="007A49EF" w:rsidRDefault="007A49EF" w:rsidP="007A49EF">
            <w:pPr>
              <w:jc w:val="right"/>
              <w:rPr>
                <w:rFonts w:ascii="Arial" w:hAnsi="Arial" w:cs="Arial"/>
                <w:b/>
                <w:bCs/>
                <w:sz w:val="16"/>
                <w:szCs w:val="16"/>
              </w:rPr>
            </w:pPr>
            <w:r w:rsidRPr="007A49EF">
              <w:rPr>
                <w:rFonts w:ascii="Arial" w:hAnsi="Arial" w:cs="Arial"/>
                <w:b/>
                <w:bCs/>
                <w:sz w:val="16"/>
                <w:szCs w:val="16"/>
              </w:rPr>
              <w:t xml:space="preserve">4918,5 </w:t>
            </w:r>
          </w:p>
        </w:tc>
        <w:tc>
          <w:tcPr>
            <w:tcW w:w="761" w:type="dxa"/>
            <w:tcBorders>
              <w:top w:val="nil"/>
              <w:left w:val="nil"/>
              <w:bottom w:val="nil"/>
              <w:right w:val="nil"/>
            </w:tcBorders>
            <w:noWrap/>
            <w:vAlign w:val="center"/>
          </w:tcPr>
          <w:p w:rsidR="007A49EF" w:rsidRPr="007A49EF" w:rsidRDefault="007A49EF" w:rsidP="007A49EF">
            <w:pPr>
              <w:jc w:val="right"/>
              <w:rPr>
                <w:rFonts w:ascii="Arial" w:hAnsi="Arial" w:cs="Arial"/>
                <w:b/>
                <w:bCs/>
                <w:sz w:val="16"/>
                <w:szCs w:val="16"/>
              </w:rPr>
            </w:pPr>
            <w:r w:rsidRPr="007A49EF">
              <w:rPr>
                <w:rFonts w:ascii="Arial" w:hAnsi="Arial" w:cs="Arial"/>
                <w:b/>
                <w:bCs/>
                <w:sz w:val="16"/>
                <w:szCs w:val="16"/>
              </w:rPr>
              <w:t xml:space="preserve">2782,2 </w:t>
            </w:r>
          </w:p>
        </w:tc>
        <w:tc>
          <w:tcPr>
            <w:tcW w:w="752" w:type="dxa"/>
            <w:tcBorders>
              <w:top w:val="nil"/>
              <w:left w:val="nil"/>
              <w:bottom w:val="nil"/>
              <w:right w:val="single" w:sz="8" w:space="0" w:color="auto"/>
            </w:tcBorders>
            <w:noWrap/>
            <w:vAlign w:val="center"/>
          </w:tcPr>
          <w:p w:rsidR="007A49EF" w:rsidRPr="007A49EF" w:rsidRDefault="007A49EF" w:rsidP="007A49EF">
            <w:pPr>
              <w:jc w:val="right"/>
              <w:rPr>
                <w:rFonts w:ascii="Arial" w:hAnsi="Arial" w:cs="Arial"/>
                <w:b/>
                <w:bCs/>
                <w:sz w:val="16"/>
                <w:szCs w:val="16"/>
              </w:rPr>
            </w:pPr>
            <w:r w:rsidRPr="007A49EF">
              <w:rPr>
                <w:rFonts w:ascii="Arial" w:hAnsi="Arial" w:cs="Arial"/>
                <w:b/>
                <w:bCs/>
                <w:sz w:val="16"/>
                <w:szCs w:val="16"/>
              </w:rPr>
              <w:t xml:space="preserve">2136,3 </w:t>
            </w:r>
          </w:p>
        </w:tc>
        <w:tc>
          <w:tcPr>
            <w:tcW w:w="819"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57,0 </w:t>
            </w:r>
          </w:p>
        </w:tc>
        <w:tc>
          <w:tcPr>
            <w:tcW w:w="596" w:type="dxa"/>
            <w:tcBorders>
              <w:top w:val="nil"/>
              <w:left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18,9 </w:t>
            </w:r>
          </w:p>
        </w:tc>
        <w:tc>
          <w:tcPr>
            <w:tcW w:w="641" w:type="dxa"/>
            <w:tcBorders>
              <w:top w:val="nil"/>
              <w:left w:val="nil"/>
              <w:right w:val="single" w:sz="8"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38,1 </w:t>
            </w:r>
          </w:p>
        </w:tc>
        <w:tc>
          <w:tcPr>
            <w:tcW w:w="848" w:type="dxa"/>
            <w:tcBorders>
              <w:top w:val="nil"/>
              <w:left w:val="nil"/>
              <w:bottom w:val="nil"/>
              <w:right w:val="double" w:sz="6"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101,2 </w:t>
            </w:r>
          </w:p>
        </w:tc>
      </w:tr>
      <w:tr w:rsidR="007A49EF" w:rsidRPr="00251317" w:rsidTr="007A49EF">
        <w:trPr>
          <w:trHeight w:val="312"/>
          <w:jc w:val="center"/>
        </w:trPr>
        <w:tc>
          <w:tcPr>
            <w:tcW w:w="2334" w:type="dxa"/>
            <w:tcBorders>
              <w:top w:val="nil"/>
              <w:left w:val="double" w:sz="6" w:space="0" w:color="auto"/>
              <w:bottom w:val="nil"/>
              <w:right w:val="nil"/>
            </w:tcBorders>
            <w:noWrap/>
            <w:vAlign w:val="center"/>
          </w:tcPr>
          <w:p w:rsidR="007A49EF" w:rsidRPr="007A49EF" w:rsidRDefault="007A49EF" w:rsidP="007A49EF">
            <w:pPr>
              <w:rPr>
                <w:rFonts w:ascii="Arial" w:hAnsi="Arial" w:cs="Arial"/>
                <w:sz w:val="18"/>
                <w:szCs w:val="18"/>
              </w:rPr>
            </w:pPr>
            <w:r w:rsidRPr="007A49EF">
              <w:rPr>
                <w:rFonts w:ascii="Arial" w:hAnsi="Arial" w:cs="Arial"/>
                <w:sz w:val="18"/>
                <w:szCs w:val="18"/>
              </w:rPr>
              <w:t xml:space="preserve">   z toho: 15 – 64 let</w:t>
            </w:r>
          </w:p>
        </w:tc>
        <w:tc>
          <w:tcPr>
            <w:tcW w:w="819" w:type="dxa"/>
            <w:tcBorders>
              <w:top w:val="nil"/>
              <w:left w:val="single" w:sz="8" w:space="0" w:color="auto"/>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4785,6 </w:t>
            </w:r>
          </w:p>
        </w:tc>
        <w:tc>
          <w:tcPr>
            <w:tcW w:w="761"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2719,0 </w:t>
            </w:r>
          </w:p>
        </w:tc>
        <w:tc>
          <w:tcPr>
            <w:tcW w:w="752"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2066,7 </w:t>
            </w:r>
          </w:p>
        </w:tc>
        <w:tc>
          <w:tcPr>
            <w:tcW w:w="819" w:type="dxa"/>
            <w:tcBorders>
              <w:top w:val="nil"/>
              <w:left w:val="single" w:sz="8" w:space="0" w:color="auto"/>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4829,9 </w:t>
            </w:r>
          </w:p>
        </w:tc>
        <w:tc>
          <w:tcPr>
            <w:tcW w:w="761"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2732,8 </w:t>
            </w:r>
          </w:p>
        </w:tc>
        <w:tc>
          <w:tcPr>
            <w:tcW w:w="752" w:type="dxa"/>
            <w:tcBorders>
              <w:top w:val="nil"/>
              <w:left w:val="nil"/>
              <w:bottom w:val="nil"/>
              <w:right w:val="single" w:sz="8"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2097,1 </w:t>
            </w:r>
          </w:p>
        </w:tc>
        <w:tc>
          <w:tcPr>
            <w:tcW w:w="819"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44,3 </w:t>
            </w:r>
          </w:p>
        </w:tc>
        <w:tc>
          <w:tcPr>
            <w:tcW w:w="596"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13,8 </w:t>
            </w:r>
          </w:p>
        </w:tc>
        <w:tc>
          <w:tcPr>
            <w:tcW w:w="641" w:type="dxa"/>
            <w:tcBorders>
              <w:top w:val="nil"/>
              <w:left w:val="nil"/>
              <w:bottom w:val="nil"/>
              <w:right w:val="single" w:sz="8"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30,4 </w:t>
            </w:r>
          </w:p>
        </w:tc>
        <w:tc>
          <w:tcPr>
            <w:tcW w:w="848" w:type="dxa"/>
            <w:tcBorders>
              <w:top w:val="nil"/>
              <w:left w:val="nil"/>
              <w:bottom w:val="nil"/>
              <w:right w:val="double" w:sz="6"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100,9 </w:t>
            </w:r>
          </w:p>
        </w:tc>
      </w:tr>
      <w:tr w:rsidR="007A49EF" w:rsidRPr="00251317" w:rsidTr="007A49EF">
        <w:trPr>
          <w:trHeight w:val="312"/>
          <w:jc w:val="center"/>
        </w:trPr>
        <w:tc>
          <w:tcPr>
            <w:tcW w:w="2334" w:type="dxa"/>
            <w:tcBorders>
              <w:top w:val="nil"/>
              <w:left w:val="double" w:sz="6" w:space="0" w:color="auto"/>
              <w:bottom w:val="nil"/>
              <w:right w:val="nil"/>
            </w:tcBorders>
            <w:noWrap/>
            <w:vAlign w:val="center"/>
          </w:tcPr>
          <w:p w:rsidR="007A49EF" w:rsidRPr="007A49EF" w:rsidRDefault="007A49EF" w:rsidP="007A49EF">
            <w:pPr>
              <w:rPr>
                <w:rFonts w:ascii="Arial" w:hAnsi="Arial" w:cs="Arial"/>
                <w:sz w:val="18"/>
                <w:szCs w:val="18"/>
              </w:rPr>
            </w:pPr>
            <w:r w:rsidRPr="007A49EF">
              <w:rPr>
                <w:rFonts w:ascii="Arial" w:hAnsi="Arial" w:cs="Arial"/>
                <w:sz w:val="18"/>
                <w:szCs w:val="18"/>
              </w:rPr>
              <w:t xml:space="preserve">               20 – 64 let</w:t>
            </w:r>
          </w:p>
        </w:tc>
        <w:tc>
          <w:tcPr>
            <w:tcW w:w="819" w:type="dxa"/>
            <w:tcBorders>
              <w:top w:val="nil"/>
              <w:left w:val="single" w:sz="8" w:space="0" w:color="auto"/>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4767,8 </w:t>
            </w:r>
          </w:p>
        </w:tc>
        <w:tc>
          <w:tcPr>
            <w:tcW w:w="761"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2707,4 </w:t>
            </w:r>
          </w:p>
        </w:tc>
        <w:tc>
          <w:tcPr>
            <w:tcW w:w="752"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2060,4 </w:t>
            </w:r>
          </w:p>
        </w:tc>
        <w:tc>
          <w:tcPr>
            <w:tcW w:w="819" w:type="dxa"/>
            <w:tcBorders>
              <w:top w:val="nil"/>
              <w:left w:val="single" w:sz="8" w:space="0" w:color="auto"/>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4814,4 </w:t>
            </w:r>
          </w:p>
        </w:tc>
        <w:tc>
          <w:tcPr>
            <w:tcW w:w="761"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2722,7 </w:t>
            </w:r>
          </w:p>
        </w:tc>
        <w:tc>
          <w:tcPr>
            <w:tcW w:w="752" w:type="dxa"/>
            <w:tcBorders>
              <w:top w:val="nil"/>
              <w:left w:val="nil"/>
              <w:bottom w:val="nil"/>
              <w:right w:val="single" w:sz="8"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2091,8 </w:t>
            </w:r>
          </w:p>
        </w:tc>
        <w:tc>
          <w:tcPr>
            <w:tcW w:w="819"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46,6 </w:t>
            </w:r>
          </w:p>
        </w:tc>
        <w:tc>
          <w:tcPr>
            <w:tcW w:w="596"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15,3 </w:t>
            </w:r>
          </w:p>
        </w:tc>
        <w:tc>
          <w:tcPr>
            <w:tcW w:w="641" w:type="dxa"/>
            <w:tcBorders>
              <w:top w:val="nil"/>
              <w:left w:val="nil"/>
              <w:bottom w:val="nil"/>
              <w:right w:val="single" w:sz="8"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31,4 </w:t>
            </w:r>
          </w:p>
        </w:tc>
        <w:tc>
          <w:tcPr>
            <w:tcW w:w="848" w:type="dxa"/>
            <w:tcBorders>
              <w:top w:val="nil"/>
              <w:left w:val="nil"/>
              <w:bottom w:val="nil"/>
              <w:right w:val="double" w:sz="6"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101,0 </w:t>
            </w:r>
          </w:p>
        </w:tc>
      </w:tr>
      <w:tr w:rsidR="007A49EF" w:rsidRPr="00251317" w:rsidTr="007A49EF">
        <w:trPr>
          <w:trHeight w:val="312"/>
          <w:jc w:val="center"/>
        </w:trPr>
        <w:tc>
          <w:tcPr>
            <w:tcW w:w="2334" w:type="dxa"/>
            <w:tcBorders>
              <w:top w:val="nil"/>
              <w:left w:val="double" w:sz="6" w:space="0" w:color="auto"/>
              <w:bottom w:val="nil"/>
              <w:right w:val="nil"/>
            </w:tcBorders>
            <w:noWrap/>
            <w:vAlign w:val="center"/>
          </w:tcPr>
          <w:p w:rsidR="007A49EF" w:rsidRPr="007A49EF" w:rsidRDefault="007A49EF" w:rsidP="007A49EF">
            <w:pPr>
              <w:rPr>
                <w:rFonts w:ascii="Arial" w:hAnsi="Arial" w:cs="Arial"/>
                <w:sz w:val="18"/>
                <w:szCs w:val="18"/>
              </w:rPr>
            </w:pPr>
            <w:r w:rsidRPr="007A49EF">
              <w:rPr>
                <w:rFonts w:ascii="Arial" w:hAnsi="Arial" w:cs="Arial"/>
                <w:sz w:val="18"/>
                <w:szCs w:val="18"/>
              </w:rPr>
              <w:t xml:space="preserve">               55 - 64 let</w:t>
            </w:r>
          </w:p>
        </w:tc>
        <w:tc>
          <w:tcPr>
            <w:tcW w:w="819" w:type="dxa"/>
            <w:tcBorders>
              <w:top w:val="nil"/>
              <w:left w:val="single" w:sz="8" w:space="0" w:color="auto"/>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717,7 </w:t>
            </w:r>
          </w:p>
        </w:tc>
        <w:tc>
          <w:tcPr>
            <w:tcW w:w="761"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423,5 </w:t>
            </w:r>
          </w:p>
        </w:tc>
        <w:tc>
          <w:tcPr>
            <w:tcW w:w="752"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294,1 </w:t>
            </w:r>
          </w:p>
        </w:tc>
        <w:tc>
          <w:tcPr>
            <w:tcW w:w="819" w:type="dxa"/>
            <w:tcBorders>
              <w:top w:val="nil"/>
              <w:left w:val="single" w:sz="8" w:space="0" w:color="auto"/>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742,5 </w:t>
            </w:r>
          </w:p>
        </w:tc>
        <w:tc>
          <w:tcPr>
            <w:tcW w:w="761"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436,2 </w:t>
            </w:r>
          </w:p>
        </w:tc>
        <w:tc>
          <w:tcPr>
            <w:tcW w:w="752" w:type="dxa"/>
            <w:tcBorders>
              <w:top w:val="nil"/>
              <w:left w:val="nil"/>
              <w:bottom w:val="nil"/>
              <w:right w:val="single" w:sz="8"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306,4 </w:t>
            </w:r>
          </w:p>
        </w:tc>
        <w:tc>
          <w:tcPr>
            <w:tcW w:w="819"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24,8 </w:t>
            </w:r>
          </w:p>
        </w:tc>
        <w:tc>
          <w:tcPr>
            <w:tcW w:w="596"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12,7 </w:t>
            </w:r>
          </w:p>
        </w:tc>
        <w:tc>
          <w:tcPr>
            <w:tcW w:w="641" w:type="dxa"/>
            <w:tcBorders>
              <w:top w:val="nil"/>
              <w:left w:val="nil"/>
              <w:bottom w:val="nil"/>
              <w:right w:val="single" w:sz="8"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12,3 </w:t>
            </w:r>
          </w:p>
        </w:tc>
        <w:tc>
          <w:tcPr>
            <w:tcW w:w="848" w:type="dxa"/>
            <w:tcBorders>
              <w:top w:val="nil"/>
              <w:left w:val="nil"/>
              <w:bottom w:val="nil"/>
              <w:right w:val="double" w:sz="6"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103,5 </w:t>
            </w:r>
          </w:p>
        </w:tc>
      </w:tr>
      <w:tr w:rsidR="007A49EF" w:rsidRPr="00251317" w:rsidTr="007A49EF">
        <w:trPr>
          <w:trHeight w:val="312"/>
          <w:jc w:val="center"/>
        </w:trPr>
        <w:tc>
          <w:tcPr>
            <w:tcW w:w="2334" w:type="dxa"/>
            <w:tcBorders>
              <w:top w:val="nil"/>
              <w:left w:val="double" w:sz="6" w:space="0" w:color="auto"/>
              <w:right w:val="nil"/>
            </w:tcBorders>
            <w:noWrap/>
            <w:vAlign w:val="center"/>
          </w:tcPr>
          <w:p w:rsidR="007A49EF" w:rsidRPr="007A49EF" w:rsidRDefault="007A49EF" w:rsidP="007A49EF">
            <w:pPr>
              <w:rPr>
                <w:rFonts w:ascii="Arial" w:hAnsi="Arial" w:cs="Arial"/>
                <w:b/>
                <w:sz w:val="18"/>
                <w:szCs w:val="18"/>
              </w:rPr>
            </w:pPr>
            <w:r w:rsidRPr="007A49EF">
              <w:rPr>
                <w:rFonts w:ascii="Arial" w:hAnsi="Arial" w:cs="Arial"/>
                <w:b/>
                <w:sz w:val="18"/>
                <w:szCs w:val="18"/>
              </w:rPr>
              <w:t>Nezaměstnaní</w:t>
            </w:r>
          </w:p>
        </w:tc>
        <w:tc>
          <w:tcPr>
            <w:tcW w:w="819" w:type="dxa"/>
            <w:tcBorders>
              <w:top w:val="nil"/>
              <w:left w:val="single" w:sz="8" w:space="0" w:color="auto"/>
              <w:right w:val="nil"/>
            </w:tcBorders>
            <w:noWrap/>
            <w:vAlign w:val="center"/>
          </w:tcPr>
          <w:p w:rsidR="007A49EF" w:rsidRPr="007A49EF" w:rsidRDefault="007A49EF" w:rsidP="007A49EF">
            <w:pPr>
              <w:jc w:val="right"/>
              <w:rPr>
                <w:rFonts w:ascii="Arial" w:hAnsi="Arial" w:cs="Arial"/>
                <w:b/>
                <w:bCs/>
                <w:sz w:val="16"/>
                <w:szCs w:val="16"/>
              </w:rPr>
            </w:pPr>
            <w:r w:rsidRPr="007A49EF">
              <w:rPr>
                <w:rFonts w:ascii="Arial" w:hAnsi="Arial" w:cs="Arial"/>
                <w:b/>
                <w:bCs/>
                <w:sz w:val="16"/>
                <w:szCs w:val="16"/>
              </w:rPr>
              <w:t xml:space="preserve">360,1 </w:t>
            </w:r>
          </w:p>
        </w:tc>
        <w:tc>
          <w:tcPr>
            <w:tcW w:w="761" w:type="dxa"/>
            <w:tcBorders>
              <w:top w:val="nil"/>
              <w:left w:val="nil"/>
              <w:right w:val="nil"/>
            </w:tcBorders>
            <w:noWrap/>
            <w:vAlign w:val="center"/>
          </w:tcPr>
          <w:p w:rsidR="007A49EF" w:rsidRPr="007A49EF" w:rsidRDefault="007A49EF" w:rsidP="007A49EF">
            <w:pPr>
              <w:jc w:val="right"/>
              <w:rPr>
                <w:rFonts w:ascii="Arial" w:hAnsi="Arial" w:cs="Arial"/>
                <w:b/>
                <w:bCs/>
                <w:sz w:val="16"/>
                <w:szCs w:val="16"/>
              </w:rPr>
            </w:pPr>
            <w:r w:rsidRPr="007A49EF">
              <w:rPr>
                <w:rFonts w:ascii="Arial" w:hAnsi="Arial" w:cs="Arial"/>
                <w:b/>
                <w:bCs/>
                <w:sz w:val="16"/>
                <w:szCs w:val="16"/>
              </w:rPr>
              <w:t xml:space="preserve">178,0 </w:t>
            </w:r>
          </w:p>
        </w:tc>
        <w:tc>
          <w:tcPr>
            <w:tcW w:w="752" w:type="dxa"/>
            <w:tcBorders>
              <w:top w:val="nil"/>
              <w:left w:val="nil"/>
              <w:right w:val="nil"/>
            </w:tcBorders>
            <w:noWrap/>
            <w:vAlign w:val="center"/>
          </w:tcPr>
          <w:p w:rsidR="007A49EF" w:rsidRPr="007A49EF" w:rsidRDefault="007A49EF" w:rsidP="007A49EF">
            <w:pPr>
              <w:jc w:val="right"/>
              <w:rPr>
                <w:rFonts w:ascii="Arial" w:hAnsi="Arial" w:cs="Arial"/>
                <w:b/>
                <w:bCs/>
                <w:sz w:val="16"/>
                <w:szCs w:val="16"/>
              </w:rPr>
            </w:pPr>
            <w:r w:rsidRPr="007A49EF">
              <w:rPr>
                <w:rFonts w:ascii="Arial" w:hAnsi="Arial" w:cs="Arial"/>
                <w:b/>
                <w:bCs/>
                <w:sz w:val="16"/>
                <w:szCs w:val="16"/>
              </w:rPr>
              <w:t xml:space="preserve">182,1 </w:t>
            </w:r>
          </w:p>
        </w:tc>
        <w:tc>
          <w:tcPr>
            <w:tcW w:w="819" w:type="dxa"/>
            <w:tcBorders>
              <w:top w:val="nil"/>
              <w:left w:val="single" w:sz="8" w:space="0" w:color="auto"/>
              <w:right w:val="nil"/>
            </w:tcBorders>
            <w:noWrap/>
            <w:vAlign w:val="center"/>
          </w:tcPr>
          <w:p w:rsidR="007A49EF" w:rsidRPr="007A49EF" w:rsidRDefault="007A49EF" w:rsidP="007A49EF">
            <w:pPr>
              <w:jc w:val="right"/>
              <w:rPr>
                <w:rFonts w:ascii="Arial" w:hAnsi="Arial" w:cs="Arial"/>
                <w:b/>
                <w:bCs/>
                <w:sz w:val="16"/>
                <w:szCs w:val="16"/>
              </w:rPr>
            </w:pPr>
            <w:r w:rsidRPr="007A49EF">
              <w:rPr>
                <w:rFonts w:ascii="Arial" w:hAnsi="Arial" w:cs="Arial"/>
                <w:b/>
                <w:bCs/>
                <w:sz w:val="16"/>
                <w:szCs w:val="16"/>
              </w:rPr>
              <w:t xml:space="preserve">375,4 </w:t>
            </w:r>
          </w:p>
        </w:tc>
        <w:tc>
          <w:tcPr>
            <w:tcW w:w="761" w:type="dxa"/>
            <w:tcBorders>
              <w:top w:val="nil"/>
              <w:left w:val="nil"/>
              <w:right w:val="nil"/>
            </w:tcBorders>
            <w:noWrap/>
            <w:vAlign w:val="center"/>
          </w:tcPr>
          <w:p w:rsidR="007A49EF" w:rsidRPr="007A49EF" w:rsidRDefault="007A49EF" w:rsidP="007A49EF">
            <w:pPr>
              <w:jc w:val="right"/>
              <w:rPr>
                <w:rFonts w:ascii="Arial" w:hAnsi="Arial" w:cs="Arial"/>
                <w:b/>
                <w:bCs/>
                <w:sz w:val="16"/>
                <w:szCs w:val="16"/>
              </w:rPr>
            </w:pPr>
            <w:r w:rsidRPr="007A49EF">
              <w:rPr>
                <w:rFonts w:ascii="Arial" w:hAnsi="Arial" w:cs="Arial"/>
                <w:b/>
                <w:bCs/>
                <w:sz w:val="16"/>
                <w:szCs w:val="16"/>
              </w:rPr>
              <w:t xml:space="preserve">181,4 </w:t>
            </w:r>
          </w:p>
        </w:tc>
        <w:tc>
          <w:tcPr>
            <w:tcW w:w="752" w:type="dxa"/>
            <w:tcBorders>
              <w:top w:val="nil"/>
              <w:left w:val="nil"/>
              <w:right w:val="single" w:sz="8" w:space="0" w:color="auto"/>
            </w:tcBorders>
            <w:noWrap/>
            <w:vAlign w:val="center"/>
          </w:tcPr>
          <w:p w:rsidR="007A49EF" w:rsidRPr="007A49EF" w:rsidRDefault="007A49EF" w:rsidP="007A49EF">
            <w:pPr>
              <w:jc w:val="right"/>
              <w:rPr>
                <w:rFonts w:ascii="Arial" w:hAnsi="Arial" w:cs="Arial"/>
                <w:b/>
                <w:bCs/>
                <w:sz w:val="16"/>
                <w:szCs w:val="16"/>
              </w:rPr>
            </w:pPr>
            <w:r w:rsidRPr="007A49EF">
              <w:rPr>
                <w:rFonts w:ascii="Arial" w:hAnsi="Arial" w:cs="Arial"/>
                <w:b/>
                <w:bCs/>
                <w:sz w:val="16"/>
                <w:szCs w:val="16"/>
              </w:rPr>
              <w:t xml:space="preserve">194,0 </w:t>
            </w:r>
          </w:p>
        </w:tc>
        <w:tc>
          <w:tcPr>
            <w:tcW w:w="819" w:type="dxa"/>
            <w:tcBorders>
              <w:top w:val="nil"/>
              <w:left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15,3 </w:t>
            </w:r>
          </w:p>
        </w:tc>
        <w:tc>
          <w:tcPr>
            <w:tcW w:w="596" w:type="dxa"/>
            <w:tcBorders>
              <w:top w:val="nil"/>
              <w:left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3,4 </w:t>
            </w:r>
          </w:p>
        </w:tc>
        <w:tc>
          <w:tcPr>
            <w:tcW w:w="641" w:type="dxa"/>
            <w:tcBorders>
              <w:top w:val="nil"/>
              <w:left w:val="nil"/>
              <w:right w:val="single" w:sz="8"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11,9 </w:t>
            </w:r>
          </w:p>
        </w:tc>
        <w:tc>
          <w:tcPr>
            <w:tcW w:w="848" w:type="dxa"/>
            <w:tcBorders>
              <w:top w:val="nil"/>
              <w:left w:val="nil"/>
              <w:right w:val="double" w:sz="6"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104,2 </w:t>
            </w:r>
          </w:p>
        </w:tc>
      </w:tr>
      <w:tr w:rsidR="007A49EF" w:rsidRPr="00251317" w:rsidTr="007A49EF">
        <w:trPr>
          <w:trHeight w:val="312"/>
          <w:jc w:val="center"/>
        </w:trPr>
        <w:tc>
          <w:tcPr>
            <w:tcW w:w="2334" w:type="dxa"/>
            <w:tcBorders>
              <w:top w:val="nil"/>
              <w:left w:val="double" w:sz="6" w:space="0" w:color="auto"/>
              <w:right w:val="nil"/>
            </w:tcBorders>
            <w:noWrap/>
            <w:vAlign w:val="center"/>
          </w:tcPr>
          <w:p w:rsidR="007A49EF" w:rsidRPr="007A49EF" w:rsidRDefault="007A49EF" w:rsidP="007A49EF">
            <w:pPr>
              <w:rPr>
                <w:rFonts w:ascii="Arial" w:hAnsi="Arial" w:cs="Arial"/>
                <w:sz w:val="18"/>
                <w:szCs w:val="18"/>
              </w:rPr>
            </w:pPr>
            <w:r w:rsidRPr="007A49EF">
              <w:rPr>
                <w:rFonts w:ascii="Arial" w:hAnsi="Arial" w:cs="Arial"/>
                <w:sz w:val="18"/>
                <w:szCs w:val="18"/>
              </w:rPr>
              <w:t xml:space="preserve">   z toho: 15 – 64 let</w:t>
            </w:r>
          </w:p>
        </w:tc>
        <w:tc>
          <w:tcPr>
            <w:tcW w:w="819" w:type="dxa"/>
            <w:tcBorders>
              <w:top w:val="nil"/>
              <w:left w:val="single" w:sz="8" w:space="0" w:color="auto"/>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357,9 </w:t>
            </w:r>
          </w:p>
        </w:tc>
        <w:tc>
          <w:tcPr>
            <w:tcW w:w="761" w:type="dxa"/>
            <w:tcBorders>
              <w:top w:val="nil"/>
              <w:left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176,9 </w:t>
            </w:r>
          </w:p>
        </w:tc>
        <w:tc>
          <w:tcPr>
            <w:tcW w:w="752" w:type="dxa"/>
            <w:tcBorders>
              <w:top w:val="nil"/>
              <w:left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181,0 </w:t>
            </w:r>
          </w:p>
        </w:tc>
        <w:tc>
          <w:tcPr>
            <w:tcW w:w="819" w:type="dxa"/>
            <w:tcBorders>
              <w:top w:val="nil"/>
              <w:left w:val="single" w:sz="8" w:space="0" w:color="auto"/>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373,7 </w:t>
            </w:r>
          </w:p>
        </w:tc>
        <w:tc>
          <w:tcPr>
            <w:tcW w:w="761" w:type="dxa"/>
            <w:tcBorders>
              <w:top w:val="nil"/>
              <w:left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180,4 </w:t>
            </w:r>
          </w:p>
        </w:tc>
        <w:tc>
          <w:tcPr>
            <w:tcW w:w="752" w:type="dxa"/>
            <w:tcBorders>
              <w:top w:val="nil"/>
              <w:left w:val="nil"/>
              <w:right w:val="single" w:sz="8"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193,3 </w:t>
            </w:r>
          </w:p>
        </w:tc>
        <w:tc>
          <w:tcPr>
            <w:tcW w:w="819" w:type="dxa"/>
            <w:tcBorders>
              <w:top w:val="nil"/>
              <w:left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15,8 </w:t>
            </w:r>
          </w:p>
        </w:tc>
        <w:tc>
          <w:tcPr>
            <w:tcW w:w="596" w:type="dxa"/>
            <w:tcBorders>
              <w:top w:val="nil"/>
              <w:left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3,5 </w:t>
            </w:r>
          </w:p>
        </w:tc>
        <w:tc>
          <w:tcPr>
            <w:tcW w:w="641" w:type="dxa"/>
            <w:tcBorders>
              <w:top w:val="nil"/>
              <w:left w:val="nil"/>
              <w:right w:val="single" w:sz="8"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12,3 </w:t>
            </w:r>
          </w:p>
        </w:tc>
        <w:tc>
          <w:tcPr>
            <w:tcW w:w="848" w:type="dxa"/>
            <w:tcBorders>
              <w:top w:val="nil"/>
              <w:left w:val="nil"/>
              <w:right w:val="double" w:sz="6"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104,4 </w:t>
            </w:r>
          </w:p>
        </w:tc>
      </w:tr>
      <w:tr w:rsidR="007A49EF" w:rsidRPr="00251317" w:rsidTr="007A49EF">
        <w:trPr>
          <w:trHeight w:val="312"/>
          <w:jc w:val="center"/>
        </w:trPr>
        <w:tc>
          <w:tcPr>
            <w:tcW w:w="2334" w:type="dxa"/>
            <w:tcBorders>
              <w:left w:val="double" w:sz="6" w:space="0" w:color="auto"/>
              <w:right w:val="nil"/>
            </w:tcBorders>
            <w:noWrap/>
            <w:vAlign w:val="center"/>
          </w:tcPr>
          <w:p w:rsidR="007A49EF" w:rsidRPr="007A49EF" w:rsidRDefault="007A49EF" w:rsidP="007A49EF">
            <w:pPr>
              <w:rPr>
                <w:rFonts w:ascii="Arial" w:hAnsi="Arial" w:cs="Arial"/>
                <w:sz w:val="18"/>
                <w:szCs w:val="18"/>
              </w:rPr>
            </w:pPr>
            <w:r w:rsidRPr="007A49EF">
              <w:rPr>
                <w:rFonts w:ascii="Arial" w:hAnsi="Arial" w:cs="Arial"/>
                <w:sz w:val="18"/>
                <w:szCs w:val="18"/>
              </w:rPr>
              <w:t xml:space="preserve">               20 – 64 let</w:t>
            </w:r>
          </w:p>
        </w:tc>
        <w:tc>
          <w:tcPr>
            <w:tcW w:w="819" w:type="dxa"/>
            <w:tcBorders>
              <w:left w:val="single" w:sz="8" w:space="0" w:color="auto"/>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342,7 </w:t>
            </w:r>
          </w:p>
        </w:tc>
        <w:tc>
          <w:tcPr>
            <w:tcW w:w="761" w:type="dxa"/>
            <w:tcBorders>
              <w:left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166,6 </w:t>
            </w:r>
          </w:p>
        </w:tc>
        <w:tc>
          <w:tcPr>
            <w:tcW w:w="752" w:type="dxa"/>
            <w:tcBorders>
              <w:left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176,0 </w:t>
            </w:r>
          </w:p>
        </w:tc>
        <w:tc>
          <w:tcPr>
            <w:tcW w:w="819" w:type="dxa"/>
            <w:tcBorders>
              <w:left w:val="single" w:sz="8" w:space="0" w:color="auto"/>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362,5 </w:t>
            </w:r>
          </w:p>
        </w:tc>
        <w:tc>
          <w:tcPr>
            <w:tcW w:w="761" w:type="dxa"/>
            <w:tcBorders>
              <w:left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174,3 </w:t>
            </w:r>
          </w:p>
        </w:tc>
        <w:tc>
          <w:tcPr>
            <w:tcW w:w="752" w:type="dxa"/>
            <w:tcBorders>
              <w:left w:val="nil"/>
              <w:right w:val="single" w:sz="8"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188,1 </w:t>
            </w:r>
          </w:p>
        </w:tc>
        <w:tc>
          <w:tcPr>
            <w:tcW w:w="819" w:type="dxa"/>
            <w:tcBorders>
              <w:left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19,8 </w:t>
            </w:r>
          </w:p>
        </w:tc>
        <w:tc>
          <w:tcPr>
            <w:tcW w:w="596" w:type="dxa"/>
            <w:tcBorders>
              <w:left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7,7 </w:t>
            </w:r>
          </w:p>
        </w:tc>
        <w:tc>
          <w:tcPr>
            <w:tcW w:w="641" w:type="dxa"/>
            <w:tcBorders>
              <w:left w:val="nil"/>
              <w:right w:val="single" w:sz="8"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12,1 </w:t>
            </w:r>
          </w:p>
        </w:tc>
        <w:tc>
          <w:tcPr>
            <w:tcW w:w="848" w:type="dxa"/>
            <w:tcBorders>
              <w:left w:val="nil"/>
              <w:right w:val="double" w:sz="6"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105,8 </w:t>
            </w:r>
          </w:p>
        </w:tc>
      </w:tr>
      <w:tr w:rsidR="007A49EF" w:rsidRPr="00251317" w:rsidTr="007A49EF">
        <w:trPr>
          <w:trHeight w:val="312"/>
          <w:jc w:val="center"/>
        </w:trPr>
        <w:tc>
          <w:tcPr>
            <w:tcW w:w="2334" w:type="dxa"/>
            <w:tcBorders>
              <w:left w:val="double" w:sz="6" w:space="0" w:color="auto"/>
              <w:bottom w:val="single" w:sz="8" w:space="0" w:color="auto"/>
              <w:right w:val="nil"/>
            </w:tcBorders>
            <w:noWrap/>
            <w:vAlign w:val="center"/>
          </w:tcPr>
          <w:p w:rsidR="007A49EF" w:rsidRPr="007A49EF" w:rsidRDefault="007A49EF" w:rsidP="007A49EF">
            <w:pPr>
              <w:rPr>
                <w:rFonts w:ascii="Arial" w:hAnsi="Arial" w:cs="Arial"/>
                <w:sz w:val="18"/>
                <w:szCs w:val="18"/>
              </w:rPr>
            </w:pPr>
            <w:r w:rsidRPr="007A49EF">
              <w:rPr>
                <w:rFonts w:ascii="Arial" w:hAnsi="Arial" w:cs="Arial"/>
                <w:sz w:val="18"/>
                <w:szCs w:val="18"/>
              </w:rPr>
              <w:t xml:space="preserve">               55 - 64 let</w:t>
            </w:r>
          </w:p>
        </w:tc>
        <w:tc>
          <w:tcPr>
            <w:tcW w:w="819" w:type="dxa"/>
            <w:tcBorders>
              <w:left w:val="single" w:sz="8" w:space="0" w:color="auto"/>
              <w:bottom w:val="single" w:sz="8" w:space="0" w:color="auto"/>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44,0 </w:t>
            </w:r>
          </w:p>
        </w:tc>
        <w:tc>
          <w:tcPr>
            <w:tcW w:w="761" w:type="dxa"/>
            <w:tcBorders>
              <w:left w:val="nil"/>
              <w:bottom w:val="single" w:sz="8" w:space="0" w:color="auto"/>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27,1 </w:t>
            </w:r>
          </w:p>
        </w:tc>
        <w:tc>
          <w:tcPr>
            <w:tcW w:w="752" w:type="dxa"/>
            <w:tcBorders>
              <w:left w:val="nil"/>
              <w:bottom w:val="single" w:sz="8" w:space="0" w:color="auto"/>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16,9 </w:t>
            </w:r>
          </w:p>
        </w:tc>
        <w:tc>
          <w:tcPr>
            <w:tcW w:w="819" w:type="dxa"/>
            <w:tcBorders>
              <w:left w:val="single" w:sz="8" w:space="0" w:color="auto"/>
              <w:bottom w:val="single" w:sz="8" w:space="0" w:color="auto"/>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49,5 </w:t>
            </w:r>
          </w:p>
        </w:tc>
        <w:tc>
          <w:tcPr>
            <w:tcW w:w="761" w:type="dxa"/>
            <w:tcBorders>
              <w:left w:val="nil"/>
              <w:bottom w:val="single" w:sz="8" w:space="0" w:color="auto"/>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28,0 </w:t>
            </w:r>
          </w:p>
        </w:tc>
        <w:tc>
          <w:tcPr>
            <w:tcW w:w="752" w:type="dxa"/>
            <w:tcBorders>
              <w:left w:val="nil"/>
              <w:bottom w:val="single" w:sz="8" w:space="0" w:color="auto"/>
              <w:right w:val="single" w:sz="8"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21,5 </w:t>
            </w:r>
          </w:p>
        </w:tc>
        <w:tc>
          <w:tcPr>
            <w:tcW w:w="819" w:type="dxa"/>
            <w:tcBorders>
              <w:left w:val="nil"/>
              <w:bottom w:val="single" w:sz="8" w:space="0" w:color="auto"/>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5,5 </w:t>
            </w:r>
          </w:p>
        </w:tc>
        <w:tc>
          <w:tcPr>
            <w:tcW w:w="596" w:type="dxa"/>
            <w:tcBorders>
              <w:left w:val="nil"/>
              <w:bottom w:val="single" w:sz="8" w:space="0" w:color="auto"/>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0,9 </w:t>
            </w:r>
          </w:p>
        </w:tc>
        <w:tc>
          <w:tcPr>
            <w:tcW w:w="641" w:type="dxa"/>
            <w:tcBorders>
              <w:left w:val="nil"/>
              <w:bottom w:val="single" w:sz="8" w:space="0" w:color="auto"/>
              <w:right w:val="single" w:sz="8"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4,6 </w:t>
            </w:r>
          </w:p>
        </w:tc>
        <w:tc>
          <w:tcPr>
            <w:tcW w:w="848" w:type="dxa"/>
            <w:tcBorders>
              <w:left w:val="nil"/>
              <w:bottom w:val="single" w:sz="8" w:space="0" w:color="auto"/>
              <w:right w:val="double" w:sz="6"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112,5 </w:t>
            </w:r>
          </w:p>
        </w:tc>
      </w:tr>
      <w:tr w:rsidR="007A49EF" w:rsidRPr="00251317" w:rsidTr="007A49EF">
        <w:trPr>
          <w:trHeight w:val="312"/>
          <w:jc w:val="center"/>
        </w:trPr>
        <w:tc>
          <w:tcPr>
            <w:tcW w:w="2334" w:type="dxa"/>
            <w:tcBorders>
              <w:top w:val="single" w:sz="8" w:space="0" w:color="auto"/>
              <w:left w:val="double" w:sz="6" w:space="0" w:color="auto"/>
              <w:bottom w:val="nil"/>
              <w:right w:val="nil"/>
            </w:tcBorders>
            <w:noWrap/>
            <w:vAlign w:val="center"/>
          </w:tcPr>
          <w:p w:rsidR="007A49EF" w:rsidRPr="007A49EF" w:rsidRDefault="007A49EF" w:rsidP="007A49EF">
            <w:pPr>
              <w:rPr>
                <w:rFonts w:ascii="Arial" w:hAnsi="Arial" w:cs="Arial"/>
                <w:b/>
                <w:sz w:val="18"/>
                <w:szCs w:val="18"/>
              </w:rPr>
            </w:pPr>
            <w:r w:rsidRPr="007A49EF">
              <w:rPr>
                <w:rFonts w:ascii="Arial" w:hAnsi="Arial" w:cs="Arial"/>
                <w:b/>
                <w:sz w:val="18"/>
                <w:szCs w:val="18"/>
              </w:rPr>
              <w:t>Ekonomicky neaktivní</w:t>
            </w:r>
          </w:p>
        </w:tc>
        <w:tc>
          <w:tcPr>
            <w:tcW w:w="819" w:type="dxa"/>
            <w:tcBorders>
              <w:top w:val="single" w:sz="8" w:space="0" w:color="auto"/>
              <w:left w:val="single" w:sz="8" w:space="0" w:color="auto"/>
              <w:bottom w:val="nil"/>
              <w:right w:val="nil"/>
            </w:tcBorders>
            <w:noWrap/>
            <w:vAlign w:val="center"/>
          </w:tcPr>
          <w:p w:rsidR="007A49EF" w:rsidRPr="007A49EF" w:rsidRDefault="007A49EF" w:rsidP="007A49EF">
            <w:pPr>
              <w:jc w:val="right"/>
              <w:rPr>
                <w:rFonts w:ascii="Arial" w:hAnsi="Arial" w:cs="Arial"/>
                <w:b/>
                <w:bCs/>
                <w:sz w:val="16"/>
                <w:szCs w:val="16"/>
              </w:rPr>
            </w:pPr>
            <w:r w:rsidRPr="007A49EF">
              <w:rPr>
                <w:rFonts w:ascii="Arial" w:hAnsi="Arial" w:cs="Arial"/>
                <w:b/>
                <w:bCs/>
                <w:sz w:val="16"/>
                <w:szCs w:val="16"/>
              </w:rPr>
              <w:t xml:space="preserve">3742,0 </w:t>
            </w:r>
          </w:p>
        </w:tc>
        <w:tc>
          <w:tcPr>
            <w:tcW w:w="761" w:type="dxa"/>
            <w:tcBorders>
              <w:top w:val="single" w:sz="8" w:space="0" w:color="auto"/>
              <w:left w:val="nil"/>
              <w:bottom w:val="nil"/>
              <w:right w:val="nil"/>
            </w:tcBorders>
            <w:noWrap/>
            <w:vAlign w:val="center"/>
          </w:tcPr>
          <w:p w:rsidR="007A49EF" w:rsidRPr="007A49EF" w:rsidRDefault="007A49EF" w:rsidP="007A49EF">
            <w:pPr>
              <w:jc w:val="right"/>
              <w:rPr>
                <w:rFonts w:ascii="Arial" w:hAnsi="Arial" w:cs="Arial"/>
                <w:b/>
                <w:bCs/>
                <w:sz w:val="16"/>
                <w:szCs w:val="16"/>
              </w:rPr>
            </w:pPr>
            <w:r w:rsidRPr="007A49EF">
              <w:rPr>
                <w:rFonts w:ascii="Arial" w:hAnsi="Arial" w:cs="Arial"/>
                <w:b/>
                <w:bCs/>
                <w:sz w:val="16"/>
                <w:szCs w:val="16"/>
              </w:rPr>
              <w:t xml:space="preserve">1426,0 </w:t>
            </w:r>
          </w:p>
        </w:tc>
        <w:tc>
          <w:tcPr>
            <w:tcW w:w="752" w:type="dxa"/>
            <w:tcBorders>
              <w:top w:val="single" w:sz="8" w:space="0" w:color="auto"/>
              <w:left w:val="nil"/>
              <w:bottom w:val="nil"/>
              <w:right w:val="nil"/>
            </w:tcBorders>
            <w:noWrap/>
            <w:vAlign w:val="center"/>
          </w:tcPr>
          <w:p w:rsidR="007A49EF" w:rsidRPr="007A49EF" w:rsidRDefault="007A49EF" w:rsidP="007A49EF">
            <w:pPr>
              <w:jc w:val="right"/>
              <w:rPr>
                <w:rFonts w:ascii="Arial" w:hAnsi="Arial" w:cs="Arial"/>
                <w:b/>
                <w:bCs/>
                <w:sz w:val="16"/>
                <w:szCs w:val="16"/>
              </w:rPr>
            </w:pPr>
            <w:r w:rsidRPr="007A49EF">
              <w:rPr>
                <w:rFonts w:ascii="Arial" w:hAnsi="Arial" w:cs="Arial"/>
                <w:b/>
                <w:bCs/>
                <w:sz w:val="16"/>
                <w:szCs w:val="16"/>
              </w:rPr>
              <w:t xml:space="preserve">2316,0 </w:t>
            </w:r>
          </w:p>
        </w:tc>
        <w:tc>
          <w:tcPr>
            <w:tcW w:w="819" w:type="dxa"/>
            <w:tcBorders>
              <w:top w:val="single" w:sz="8" w:space="0" w:color="auto"/>
              <w:left w:val="single" w:sz="8" w:space="0" w:color="auto"/>
              <w:bottom w:val="nil"/>
              <w:right w:val="nil"/>
            </w:tcBorders>
            <w:noWrap/>
            <w:vAlign w:val="center"/>
          </w:tcPr>
          <w:p w:rsidR="007A49EF" w:rsidRPr="007A49EF" w:rsidRDefault="007A49EF" w:rsidP="007A49EF">
            <w:pPr>
              <w:jc w:val="right"/>
              <w:rPr>
                <w:rFonts w:ascii="Arial" w:hAnsi="Arial" w:cs="Arial"/>
                <w:b/>
                <w:bCs/>
                <w:sz w:val="16"/>
                <w:szCs w:val="16"/>
              </w:rPr>
            </w:pPr>
            <w:r w:rsidRPr="007A49EF">
              <w:rPr>
                <w:rFonts w:ascii="Arial" w:hAnsi="Arial" w:cs="Arial"/>
                <w:b/>
                <w:bCs/>
                <w:sz w:val="16"/>
                <w:szCs w:val="16"/>
              </w:rPr>
              <w:t xml:space="preserve">3661,9 </w:t>
            </w:r>
          </w:p>
        </w:tc>
        <w:tc>
          <w:tcPr>
            <w:tcW w:w="761" w:type="dxa"/>
            <w:tcBorders>
              <w:top w:val="single" w:sz="8" w:space="0" w:color="auto"/>
              <w:left w:val="nil"/>
              <w:bottom w:val="nil"/>
              <w:right w:val="nil"/>
            </w:tcBorders>
            <w:noWrap/>
            <w:vAlign w:val="center"/>
          </w:tcPr>
          <w:p w:rsidR="007A49EF" w:rsidRPr="007A49EF" w:rsidRDefault="007A49EF" w:rsidP="007A49EF">
            <w:pPr>
              <w:jc w:val="right"/>
              <w:rPr>
                <w:rFonts w:ascii="Arial" w:hAnsi="Arial" w:cs="Arial"/>
                <w:b/>
                <w:bCs/>
                <w:sz w:val="16"/>
                <w:szCs w:val="16"/>
              </w:rPr>
            </w:pPr>
            <w:r w:rsidRPr="007A49EF">
              <w:rPr>
                <w:rFonts w:ascii="Arial" w:hAnsi="Arial" w:cs="Arial"/>
                <w:b/>
                <w:bCs/>
                <w:sz w:val="16"/>
                <w:szCs w:val="16"/>
              </w:rPr>
              <w:t xml:space="preserve">1400,7 </w:t>
            </w:r>
          </w:p>
        </w:tc>
        <w:tc>
          <w:tcPr>
            <w:tcW w:w="752" w:type="dxa"/>
            <w:tcBorders>
              <w:top w:val="single" w:sz="8" w:space="0" w:color="auto"/>
              <w:left w:val="nil"/>
              <w:bottom w:val="nil"/>
              <w:right w:val="single" w:sz="8" w:space="0" w:color="auto"/>
            </w:tcBorders>
            <w:noWrap/>
            <w:vAlign w:val="center"/>
          </w:tcPr>
          <w:p w:rsidR="007A49EF" w:rsidRPr="007A49EF" w:rsidRDefault="007A49EF" w:rsidP="007A49EF">
            <w:pPr>
              <w:jc w:val="right"/>
              <w:rPr>
                <w:rFonts w:ascii="Arial" w:hAnsi="Arial" w:cs="Arial"/>
                <w:b/>
                <w:bCs/>
                <w:sz w:val="16"/>
                <w:szCs w:val="16"/>
              </w:rPr>
            </w:pPr>
            <w:r w:rsidRPr="007A49EF">
              <w:rPr>
                <w:rFonts w:ascii="Arial" w:hAnsi="Arial" w:cs="Arial"/>
                <w:b/>
                <w:bCs/>
                <w:sz w:val="16"/>
                <w:szCs w:val="16"/>
              </w:rPr>
              <w:t xml:space="preserve">2261,3 </w:t>
            </w:r>
          </w:p>
        </w:tc>
        <w:tc>
          <w:tcPr>
            <w:tcW w:w="819" w:type="dxa"/>
            <w:tcBorders>
              <w:top w:val="single" w:sz="8" w:space="0" w:color="auto"/>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-80,1 </w:t>
            </w:r>
          </w:p>
        </w:tc>
        <w:tc>
          <w:tcPr>
            <w:tcW w:w="596" w:type="dxa"/>
            <w:tcBorders>
              <w:top w:val="single" w:sz="8" w:space="0" w:color="auto"/>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-25,3 </w:t>
            </w:r>
          </w:p>
        </w:tc>
        <w:tc>
          <w:tcPr>
            <w:tcW w:w="641" w:type="dxa"/>
            <w:tcBorders>
              <w:top w:val="single" w:sz="8" w:space="0" w:color="auto"/>
              <w:left w:val="nil"/>
              <w:bottom w:val="nil"/>
              <w:right w:val="single" w:sz="8"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-54,7 </w:t>
            </w:r>
          </w:p>
        </w:tc>
        <w:tc>
          <w:tcPr>
            <w:tcW w:w="848" w:type="dxa"/>
            <w:tcBorders>
              <w:top w:val="single" w:sz="8" w:space="0" w:color="auto"/>
              <w:left w:val="nil"/>
              <w:bottom w:val="nil"/>
              <w:right w:val="double" w:sz="6"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97,9 </w:t>
            </w:r>
          </w:p>
        </w:tc>
      </w:tr>
      <w:tr w:rsidR="007A49EF" w:rsidRPr="00251317" w:rsidTr="007A49EF">
        <w:trPr>
          <w:trHeight w:val="312"/>
          <w:jc w:val="center"/>
        </w:trPr>
        <w:tc>
          <w:tcPr>
            <w:tcW w:w="2334" w:type="dxa"/>
            <w:tcBorders>
              <w:top w:val="nil"/>
              <w:left w:val="double" w:sz="6" w:space="0" w:color="auto"/>
              <w:bottom w:val="nil"/>
              <w:right w:val="nil"/>
            </w:tcBorders>
            <w:noWrap/>
            <w:vAlign w:val="center"/>
          </w:tcPr>
          <w:p w:rsidR="007A49EF" w:rsidRPr="007A49EF" w:rsidRDefault="007A49EF" w:rsidP="007A49EF">
            <w:pPr>
              <w:rPr>
                <w:rFonts w:ascii="Arial" w:hAnsi="Arial" w:cs="Arial"/>
                <w:sz w:val="16"/>
                <w:szCs w:val="16"/>
              </w:rPr>
            </w:pPr>
            <w:r w:rsidRPr="007A49EF">
              <w:rPr>
                <w:rFonts w:ascii="Arial" w:hAnsi="Arial" w:cs="Arial"/>
                <w:sz w:val="16"/>
                <w:szCs w:val="16"/>
              </w:rPr>
              <w:t xml:space="preserve">   z toho: 15 – 64 let</w:t>
            </w:r>
          </w:p>
        </w:tc>
        <w:tc>
          <w:tcPr>
            <w:tcW w:w="819" w:type="dxa"/>
            <w:tcBorders>
              <w:top w:val="nil"/>
              <w:left w:val="single" w:sz="8" w:space="0" w:color="auto"/>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2102,8 </w:t>
            </w:r>
          </w:p>
        </w:tc>
        <w:tc>
          <w:tcPr>
            <w:tcW w:w="761"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772,3 </w:t>
            </w:r>
          </w:p>
        </w:tc>
        <w:tc>
          <w:tcPr>
            <w:tcW w:w="752"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1330,5 </w:t>
            </w:r>
          </w:p>
        </w:tc>
        <w:tc>
          <w:tcPr>
            <w:tcW w:w="819" w:type="dxa"/>
            <w:tcBorders>
              <w:top w:val="nil"/>
              <w:left w:val="single" w:sz="8" w:space="0" w:color="auto"/>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1971,3 </w:t>
            </w:r>
          </w:p>
        </w:tc>
        <w:tc>
          <w:tcPr>
            <w:tcW w:w="761"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720,9 </w:t>
            </w:r>
          </w:p>
        </w:tc>
        <w:tc>
          <w:tcPr>
            <w:tcW w:w="752" w:type="dxa"/>
            <w:tcBorders>
              <w:top w:val="nil"/>
              <w:left w:val="nil"/>
              <w:bottom w:val="nil"/>
              <w:right w:val="single" w:sz="8"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1250,4 </w:t>
            </w:r>
          </w:p>
        </w:tc>
        <w:tc>
          <w:tcPr>
            <w:tcW w:w="819"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-131,5 </w:t>
            </w:r>
          </w:p>
        </w:tc>
        <w:tc>
          <w:tcPr>
            <w:tcW w:w="596"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-51,4 </w:t>
            </w:r>
          </w:p>
        </w:tc>
        <w:tc>
          <w:tcPr>
            <w:tcW w:w="641" w:type="dxa"/>
            <w:tcBorders>
              <w:top w:val="nil"/>
              <w:left w:val="nil"/>
              <w:bottom w:val="nil"/>
              <w:right w:val="single" w:sz="8"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-80,1 </w:t>
            </w:r>
          </w:p>
        </w:tc>
        <w:tc>
          <w:tcPr>
            <w:tcW w:w="848" w:type="dxa"/>
            <w:tcBorders>
              <w:top w:val="nil"/>
              <w:left w:val="nil"/>
              <w:bottom w:val="nil"/>
              <w:right w:val="double" w:sz="6"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93,7 </w:t>
            </w:r>
          </w:p>
        </w:tc>
      </w:tr>
      <w:tr w:rsidR="007A49EF" w:rsidRPr="00251317" w:rsidTr="007A49EF">
        <w:trPr>
          <w:trHeight w:val="312"/>
          <w:jc w:val="center"/>
        </w:trPr>
        <w:tc>
          <w:tcPr>
            <w:tcW w:w="2334" w:type="dxa"/>
            <w:tcBorders>
              <w:top w:val="nil"/>
              <w:left w:val="double" w:sz="6" w:space="0" w:color="auto"/>
              <w:bottom w:val="nil"/>
              <w:right w:val="nil"/>
            </w:tcBorders>
            <w:noWrap/>
            <w:vAlign w:val="center"/>
          </w:tcPr>
          <w:p w:rsidR="007A49EF" w:rsidRPr="007A49EF" w:rsidRDefault="007A49EF" w:rsidP="007A49EF">
            <w:pPr>
              <w:rPr>
                <w:rFonts w:ascii="Arial" w:hAnsi="Arial" w:cs="Arial"/>
                <w:sz w:val="16"/>
                <w:szCs w:val="16"/>
              </w:rPr>
            </w:pPr>
            <w:r w:rsidRPr="007A49EF">
              <w:rPr>
                <w:rFonts w:ascii="Arial" w:hAnsi="Arial" w:cs="Arial"/>
                <w:sz w:val="16"/>
                <w:szCs w:val="16"/>
              </w:rPr>
              <w:t xml:space="preserve">               20 – 64 let</w:t>
            </w:r>
          </w:p>
        </w:tc>
        <w:tc>
          <w:tcPr>
            <w:tcW w:w="819" w:type="dxa"/>
            <w:tcBorders>
              <w:top w:val="nil"/>
              <w:left w:val="single" w:sz="8" w:space="0" w:color="auto"/>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1602,5 </w:t>
            </w:r>
          </w:p>
        </w:tc>
        <w:tc>
          <w:tcPr>
            <w:tcW w:w="761"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520,5 </w:t>
            </w:r>
          </w:p>
        </w:tc>
        <w:tc>
          <w:tcPr>
            <w:tcW w:w="752"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1081,9 </w:t>
            </w:r>
          </w:p>
        </w:tc>
        <w:tc>
          <w:tcPr>
            <w:tcW w:w="819" w:type="dxa"/>
            <w:tcBorders>
              <w:top w:val="nil"/>
              <w:left w:val="single" w:sz="8" w:space="0" w:color="auto"/>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1495,3 </w:t>
            </w:r>
          </w:p>
        </w:tc>
        <w:tc>
          <w:tcPr>
            <w:tcW w:w="761"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479,3 </w:t>
            </w:r>
          </w:p>
        </w:tc>
        <w:tc>
          <w:tcPr>
            <w:tcW w:w="752" w:type="dxa"/>
            <w:tcBorders>
              <w:top w:val="nil"/>
              <w:left w:val="nil"/>
              <w:bottom w:val="nil"/>
              <w:right w:val="single" w:sz="8"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1015,9 </w:t>
            </w:r>
          </w:p>
        </w:tc>
        <w:tc>
          <w:tcPr>
            <w:tcW w:w="819"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-107,2 </w:t>
            </w:r>
          </w:p>
        </w:tc>
        <w:tc>
          <w:tcPr>
            <w:tcW w:w="596"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-41,2 </w:t>
            </w:r>
          </w:p>
        </w:tc>
        <w:tc>
          <w:tcPr>
            <w:tcW w:w="641" w:type="dxa"/>
            <w:tcBorders>
              <w:top w:val="nil"/>
              <w:left w:val="nil"/>
              <w:bottom w:val="nil"/>
              <w:right w:val="single" w:sz="8"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-66,0 </w:t>
            </w:r>
          </w:p>
        </w:tc>
        <w:tc>
          <w:tcPr>
            <w:tcW w:w="848" w:type="dxa"/>
            <w:tcBorders>
              <w:top w:val="nil"/>
              <w:left w:val="nil"/>
              <w:bottom w:val="nil"/>
              <w:right w:val="double" w:sz="6"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93,3 </w:t>
            </w:r>
          </w:p>
        </w:tc>
      </w:tr>
      <w:tr w:rsidR="007A49EF" w:rsidRPr="00251317" w:rsidTr="007A49EF">
        <w:trPr>
          <w:trHeight w:val="312"/>
          <w:jc w:val="center"/>
        </w:trPr>
        <w:tc>
          <w:tcPr>
            <w:tcW w:w="2334" w:type="dxa"/>
            <w:tcBorders>
              <w:top w:val="nil"/>
              <w:left w:val="double" w:sz="6" w:space="0" w:color="auto"/>
              <w:right w:val="nil"/>
            </w:tcBorders>
            <w:noWrap/>
            <w:vAlign w:val="center"/>
          </w:tcPr>
          <w:p w:rsidR="007A49EF" w:rsidRPr="007A49EF" w:rsidRDefault="007A49EF" w:rsidP="007A49EF">
            <w:pPr>
              <w:rPr>
                <w:rFonts w:ascii="Arial" w:hAnsi="Arial" w:cs="Arial"/>
                <w:sz w:val="16"/>
                <w:szCs w:val="16"/>
              </w:rPr>
            </w:pPr>
            <w:r w:rsidRPr="007A49EF">
              <w:rPr>
                <w:rFonts w:ascii="Arial" w:hAnsi="Arial" w:cs="Arial"/>
                <w:sz w:val="16"/>
                <w:szCs w:val="16"/>
              </w:rPr>
              <w:t xml:space="preserve">               55 - 64 let</w:t>
            </w:r>
          </w:p>
        </w:tc>
        <w:tc>
          <w:tcPr>
            <w:tcW w:w="819" w:type="dxa"/>
            <w:tcBorders>
              <w:top w:val="nil"/>
              <w:left w:val="single" w:sz="8" w:space="0" w:color="auto"/>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721,9 </w:t>
            </w:r>
          </w:p>
        </w:tc>
        <w:tc>
          <w:tcPr>
            <w:tcW w:w="761" w:type="dxa"/>
            <w:tcBorders>
              <w:top w:val="nil"/>
              <w:left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266,4 </w:t>
            </w:r>
          </w:p>
        </w:tc>
        <w:tc>
          <w:tcPr>
            <w:tcW w:w="752" w:type="dxa"/>
            <w:tcBorders>
              <w:top w:val="nil"/>
              <w:left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455,6 </w:t>
            </w:r>
          </w:p>
        </w:tc>
        <w:tc>
          <w:tcPr>
            <w:tcW w:w="819" w:type="dxa"/>
            <w:tcBorders>
              <w:top w:val="nil"/>
              <w:left w:val="single" w:sz="8" w:space="0" w:color="auto"/>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667,4 </w:t>
            </w:r>
          </w:p>
        </w:tc>
        <w:tc>
          <w:tcPr>
            <w:tcW w:w="761" w:type="dxa"/>
            <w:tcBorders>
              <w:top w:val="nil"/>
              <w:left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242,5 </w:t>
            </w:r>
          </w:p>
        </w:tc>
        <w:tc>
          <w:tcPr>
            <w:tcW w:w="752" w:type="dxa"/>
            <w:tcBorders>
              <w:top w:val="nil"/>
              <w:left w:val="nil"/>
              <w:right w:val="single" w:sz="8"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424,9 </w:t>
            </w:r>
          </w:p>
        </w:tc>
        <w:tc>
          <w:tcPr>
            <w:tcW w:w="819" w:type="dxa"/>
            <w:tcBorders>
              <w:top w:val="nil"/>
              <w:left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-54,5 </w:t>
            </w:r>
          </w:p>
        </w:tc>
        <w:tc>
          <w:tcPr>
            <w:tcW w:w="596" w:type="dxa"/>
            <w:tcBorders>
              <w:top w:val="nil"/>
              <w:left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-23,9 </w:t>
            </w:r>
          </w:p>
        </w:tc>
        <w:tc>
          <w:tcPr>
            <w:tcW w:w="641" w:type="dxa"/>
            <w:tcBorders>
              <w:top w:val="nil"/>
              <w:left w:val="nil"/>
              <w:right w:val="single" w:sz="8"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-30,7 </w:t>
            </w:r>
          </w:p>
        </w:tc>
        <w:tc>
          <w:tcPr>
            <w:tcW w:w="848" w:type="dxa"/>
            <w:tcBorders>
              <w:top w:val="nil"/>
              <w:left w:val="nil"/>
              <w:right w:val="double" w:sz="6"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92,5 </w:t>
            </w:r>
          </w:p>
        </w:tc>
      </w:tr>
      <w:tr w:rsidR="007A49EF" w:rsidRPr="00251317" w:rsidTr="007A49EF">
        <w:trPr>
          <w:trHeight w:val="284"/>
          <w:jc w:val="center"/>
        </w:trPr>
        <w:tc>
          <w:tcPr>
            <w:tcW w:w="2334" w:type="dxa"/>
            <w:tcBorders>
              <w:top w:val="nil"/>
              <w:left w:val="double" w:sz="6" w:space="0" w:color="auto"/>
              <w:bottom w:val="nil"/>
              <w:right w:val="nil"/>
            </w:tcBorders>
            <w:noWrap/>
            <w:vAlign w:val="center"/>
          </w:tcPr>
          <w:p w:rsidR="007A49EF" w:rsidRPr="007A49EF" w:rsidRDefault="007A49EF" w:rsidP="007A49EF">
            <w:pPr>
              <w:rPr>
                <w:rFonts w:ascii="Arial" w:hAnsi="Arial" w:cs="Arial"/>
                <w:sz w:val="16"/>
                <w:szCs w:val="16"/>
              </w:rPr>
            </w:pPr>
            <w:r w:rsidRPr="007A49EF">
              <w:rPr>
                <w:rFonts w:ascii="Arial" w:hAnsi="Arial" w:cs="Arial"/>
                <w:sz w:val="16"/>
                <w:szCs w:val="16"/>
              </w:rPr>
              <w:t>důchodci v předčasném důchodu</w:t>
            </w:r>
          </w:p>
        </w:tc>
        <w:tc>
          <w:tcPr>
            <w:tcW w:w="819" w:type="dxa"/>
            <w:tcBorders>
              <w:top w:val="nil"/>
              <w:left w:val="single" w:sz="8" w:space="0" w:color="auto"/>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55,0 </w:t>
            </w:r>
          </w:p>
        </w:tc>
        <w:tc>
          <w:tcPr>
            <w:tcW w:w="761"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29,6 </w:t>
            </w:r>
          </w:p>
        </w:tc>
        <w:tc>
          <w:tcPr>
            <w:tcW w:w="752"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25,5 </w:t>
            </w:r>
          </w:p>
        </w:tc>
        <w:tc>
          <w:tcPr>
            <w:tcW w:w="819" w:type="dxa"/>
            <w:tcBorders>
              <w:top w:val="nil"/>
              <w:left w:val="single" w:sz="8" w:space="0" w:color="auto"/>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41,9 </w:t>
            </w:r>
          </w:p>
        </w:tc>
        <w:tc>
          <w:tcPr>
            <w:tcW w:w="761"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22,3 </w:t>
            </w:r>
          </w:p>
        </w:tc>
        <w:tc>
          <w:tcPr>
            <w:tcW w:w="752" w:type="dxa"/>
            <w:tcBorders>
              <w:top w:val="nil"/>
              <w:left w:val="nil"/>
              <w:bottom w:val="nil"/>
              <w:right w:val="single" w:sz="8"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19,6 </w:t>
            </w:r>
          </w:p>
        </w:tc>
        <w:tc>
          <w:tcPr>
            <w:tcW w:w="819"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-13,1 </w:t>
            </w:r>
          </w:p>
        </w:tc>
        <w:tc>
          <w:tcPr>
            <w:tcW w:w="596"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-7,3 </w:t>
            </w:r>
          </w:p>
        </w:tc>
        <w:tc>
          <w:tcPr>
            <w:tcW w:w="641" w:type="dxa"/>
            <w:tcBorders>
              <w:top w:val="nil"/>
              <w:left w:val="nil"/>
              <w:bottom w:val="nil"/>
              <w:right w:val="single" w:sz="8"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-5,9 </w:t>
            </w:r>
          </w:p>
        </w:tc>
        <w:tc>
          <w:tcPr>
            <w:tcW w:w="848" w:type="dxa"/>
            <w:tcBorders>
              <w:top w:val="nil"/>
              <w:left w:val="nil"/>
              <w:bottom w:val="nil"/>
              <w:right w:val="double" w:sz="6"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76,2 </w:t>
            </w:r>
          </w:p>
        </w:tc>
      </w:tr>
      <w:tr w:rsidR="007A49EF" w:rsidRPr="00251317" w:rsidTr="007A49EF">
        <w:trPr>
          <w:trHeight w:val="284"/>
          <w:jc w:val="center"/>
        </w:trPr>
        <w:tc>
          <w:tcPr>
            <w:tcW w:w="2334" w:type="dxa"/>
            <w:tcBorders>
              <w:top w:val="nil"/>
              <w:left w:val="double" w:sz="6" w:space="0" w:color="auto"/>
              <w:bottom w:val="nil"/>
              <w:right w:val="nil"/>
            </w:tcBorders>
            <w:noWrap/>
            <w:vAlign w:val="center"/>
          </w:tcPr>
          <w:p w:rsidR="007A49EF" w:rsidRPr="007A49EF" w:rsidRDefault="007A49EF" w:rsidP="007A49EF">
            <w:pPr>
              <w:rPr>
                <w:rFonts w:ascii="Arial" w:hAnsi="Arial" w:cs="Arial"/>
                <w:sz w:val="16"/>
                <w:szCs w:val="16"/>
              </w:rPr>
            </w:pPr>
            <w:r w:rsidRPr="007A49EF">
              <w:rPr>
                <w:rFonts w:ascii="Arial" w:hAnsi="Arial" w:cs="Arial"/>
                <w:sz w:val="16"/>
                <w:szCs w:val="16"/>
              </w:rPr>
              <w:t>důchodci v řádném důchodu</w:t>
            </w:r>
          </w:p>
        </w:tc>
        <w:tc>
          <w:tcPr>
            <w:tcW w:w="819" w:type="dxa"/>
            <w:tcBorders>
              <w:top w:val="nil"/>
              <w:left w:val="single" w:sz="8" w:space="0" w:color="auto"/>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2175,4 </w:t>
            </w:r>
          </w:p>
        </w:tc>
        <w:tc>
          <w:tcPr>
            <w:tcW w:w="761"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823,6 </w:t>
            </w:r>
          </w:p>
        </w:tc>
        <w:tc>
          <w:tcPr>
            <w:tcW w:w="752"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1351,8 </w:t>
            </w:r>
          </w:p>
        </w:tc>
        <w:tc>
          <w:tcPr>
            <w:tcW w:w="819" w:type="dxa"/>
            <w:tcBorders>
              <w:top w:val="nil"/>
              <w:left w:val="single" w:sz="8" w:space="0" w:color="auto"/>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2193,8 </w:t>
            </w:r>
          </w:p>
        </w:tc>
        <w:tc>
          <w:tcPr>
            <w:tcW w:w="761"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836,2 </w:t>
            </w:r>
          </w:p>
        </w:tc>
        <w:tc>
          <w:tcPr>
            <w:tcW w:w="752" w:type="dxa"/>
            <w:tcBorders>
              <w:top w:val="nil"/>
              <w:left w:val="nil"/>
              <w:bottom w:val="nil"/>
              <w:right w:val="single" w:sz="8"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1357,7 </w:t>
            </w:r>
          </w:p>
        </w:tc>
        <w:tc>
          <w:tcPr>
            <w:tcW w:w="819"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18,4 </w:t>
            </w:r>
          </w:p>
        </w:tc>
        <w:tc>
          <w:tcPr>
            <w:tcW w:w="596"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12,6 </w:t>
            </w:r>
          </w:p>
        </w:tc>
        <w:tc>
          <w:tcPr>
            <w:tcW w:w="641" w:type="dxa"/>
            <w:tcBorders>
              <w:top w:val="nil"/>
              <w:left w:val="nil"/>
              <w:bottom w:val="nil"/>
              <w:right w:val="single" w:sz="8"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5,9 </w:t>
            </w:r>
          </w:p>
        </w:tc>
        <w:tc>
          <w:tcPr>
            <w:tcW w:w="848" w:type="dxa"/>
            <w:tcBorders>
              <w:top w:val="nil"/>
              <w:left w:val="nil"/>
              <w:bottom w:val="nil"/>
              <w:right w:val="double" w:sz="6"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100,8 </w:t>
            </w:r>
          </w:p>
        </w:tc>
      </w:tr>
      <w:tr w:rsidR="007A49EF" w:rsidRPr="00251317" w:rsidTr="007A49EF">
        <w:trPr>
          <w:trHeight w:val="284"/>
          <w:jc w:val="center"/>
        </w:trPr>
        <w:tc>
          <w:tcPr>
            <w:tcW w:w="2334" w:type="dxa"/>
            <w:tcBorders>
              <w:top w:val="nil"/>
              <w:left w:val="double" w:sz="6" w:space="0" w:color="auto"/>
              <w:bottom w:val="nil"/>
              <w:right w:val="nil"/>
            </w:tcBorders>
            <w:noWrap/>
            <w:vAlign w:val="center"/>
          </w:tcPr>
          <w:p w:rsidR="007A49EF" w:rsidRPr="007A49EF" w:rsidRDefault="007A49EF" w:rsidP="007A49EF">
            <w:pPr>
              <w:rPr>
                <w:rFonts w:ascii="Arial" w:hAnsi="Arial" w:cs="Arial"/>
                <w:sz w:val="16"/>
                <w:szCs w:val="16"/>
              </w:rPr>
            </w:pPr>
            <w:r w:rsidRPr="007A49EF">
              <w:rPr>
                <w:rFonts w:ascii="Arial" w:hAnsi="Arial" w:cs="Arial"/>
                <w:sz w:val="16"/>
                <w:szCs w:val="16"/>
              </w:rPr>
              <w:t>invalidní důchodci</w:t>
            </w:r>
          </w:p>
        </w:tc>
        <w:tc>
          <w:tcPr>
            <w:tcW w:w="819" w:type="dxa"/>
            <w:tcBorders>
              <w:top w:val="nil"/>
              <w:left w:val="single" w:sz="8" w:space="0" w:color="auto"/>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238,5 </w:t>
            </w:r>
          </w:p>
        </w:tc>
        <w:tc>
          <w:tcPr>
            <w:tcW w:w="761"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124,9 </w:t>
            </w:r>
          </w:p>
        </w:tc>
        <w:tc>
          <w:tcPr>
            <w:tcW w:w="752"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113,7 </w:t>
            </w:r>
          </w:p>
        </w:tc>
        <w:tc>
          <w:tcPr>
            <w:tcW w:w="819" w:type="dxa"/>
            <w:tcBorders>
              <w:top w:val="nil"/>
              <w:left w:val="single" w:sz="8" w:space="0" w:color="auto"/>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220,3 </w:t>
            </w:r>
          </w:p>
        </w:tc>
        <w:tc>
          <w:tcPr>
            <w:tcW w:w="761"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114,9 </w:t>
            </w:r>
          </w:p>
        </w:tc>
        <w:tc>
          <w:tcPr>
            <w:tcW w:w="752" w:type="dxa"/>
            <w:tcBorders>
              <w:top w:val="nil"/>
              <w:left w:val="nil"/>
              <w:bottom w:val="nil"/>
              <w:right w:val="single" w:sz="8"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105,3 </w:t>
            </w:r>
          </w:p>
        </w:tc>
        <w:tc>
          <w:tcPr>
            <w:tcW w:w="819"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-18,2 </w:t>
            </w:r>
          </w:p>
        </w:tc>
        <w:tc>
          <w:tcPr>
            <w:tcW w:w="596"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-10,0 </w:t>
            </w:r>
          </w:p>
        </w:tc>
        <w:tc>
          <w:tcPr>
            <w:tcW w:w="641" w:type="dxa"/>
            <w:tcBorders>
              <w:top w:val="nil"/>
              <w:left w:val="nil"/>
              <w:bottom w:val="nil"/>
              <w:right w:val="single" w:sz="8"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-8,4 </w:t>
            </w:r>
          </w:p>
        </w:tc>
        <w:tc>
          <w:tcPr>
            <w:tcW w:w="848" w:type="dxa"/>
            <w:tcBorders>
              <w:top w:val="nil"/>
              <w:left w:val="nil"/>
              <w:bottom w:val="nil"/>
              <w:right w:val="double" w:sz="6"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92,4 </w:t>
            </w:r>
          </w:p>
        </w:tc>
      </w:tr>
      <w:tr w:rsidR="007A49EF" w:rsidRPr="00251317" w:rsidTr="007A49EF">
        <w:trPr>
          <w:trHeight w:val="284"/>
          <w:jc w:val="center"/>
        </w:trPr>
        <w:tc>
          <w:tcPr>
            <w:tcW w:w="2334" w:type="dxa"/>
            <w:tcBorders>
              <w:top w:val="nil"/>
              <w:left w:val="double" w:sz="6" w:space="0" w:color="auto"/>
              <w:bottom w:val="nil"/>
              <w:right w:val="nil"/>
            </w:tcBorders>
            <w:noWrap/>
            <w:vAlign w:val="center"/>
          </w:tcPr>
          <w:p w:rsidR="007A49EF" w:rsidRPr="007A49EF" w:rsidRDefault="007A49EF" w:rsidP="007A49EF">
            <w:pPr>
              <w:rPr>
                <w:rFonts w:ascii="Arial" w:hAnsi="Arial" w:cs="Arial"/>
                <w:sz w:val="16"/>
                <w:szCs w:val="16"/>
              </w:rPr>
            </w:pPr>
            <w:r w:rsidRPr="007A49EF">
              <w:rPr>
                <w:rFonts w:ascii="Arial" w:hAnsi="Arial" w:cs="Arial"/>
                <w:sz w:val="16"/>
                <w:szCs w:val="16"/>
              </w:rPr>
              <w:t>připravují se v učilišti</w:t>
            </w:r>
          </w:p>
        </w:tc>
        <w:tc>
          <w:tcPr>
            <w:tcW w:w="819" w:type="dxa"/>
            <w:tcBorders>
              <w:top w:val="nil"/>
              <w:left w:val="single" w:sz="8" w:space="0" w:color="auto"/>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110,0 </w:t>
            </w:r>
          </w:p>
        </w:tc>
        <w:tc>
          <w:tcPr>
            <w:tcW w:w="761"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74,3 </w:t>
            </w:r>
          </w:p>
        </w:tc>
        <w:tc>
          <w:tcPr>
            <w:tcW w:w="752"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35,7 </w:t>
            </w:r>
          </w:p>
        </w:tc>
        <w:tc>
          <w:tcPr>
            <w:tcW w:w="819" w:type="dxa"/>
            <w:tcBorders>
              <w:top w:val="nil"/>
              <w:left w:val="single" w:sz="8" w:space="0" w:color="auto"/>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99,5 </w:t>
            </w:r>
          </w:p>
        </w:tc>
        <w:tc>
          <w:tcPr>
            <w:tcW w:w="761"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65,1 </w:t>
            </w:r>
          </w:p>
        </w:tc>
        <w:tc>
          <w:tcPr>
            <w:tcW w:w="752" w:type="dxa"/>
            <w:tcBorders>
              <w:top w:val="nil"/>
              <w:left w:val="nil"/>
              <w:bottom w:val="nil"/>
              <w:right w:val="single" w:sz="8"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34,4 </w:t>
            </w:r>
          </w:p>
        </w:tc>
        <w:tc>
          <w:tcPr>
            <w:tcW w:w="819"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-10,5 </w:t>
            </w:r>
          </w:p>
        </w:tc>
        <w:tc>
          <w:tcPr>
            <w:tcW w:w="596" w:type="dxa"/>
            <w:tcBorders>
              <w:top w:val="nil"/>
              <w:left w:val="nil"/>
              <w:bottom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-9,2 </w:t>
            </w:r>
          </w:p>
        </w:tc>
        <w:tc>
          <w:tcPr>
            <w:tcW w:w="641" w:type="dxa"/>
            <w:tcBorders>
              <w:top w:val="nil"/>
              <w:left w:val="nil"/>
              <w:bottom w:val="nil"/>
              <w:right w:val="single" w:sz="8"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-1,3 </w:t>
            </w:r>
          </w:p>
        </w:tc>
        <w:tc>
          <w:tcPr>
            <w:tcW w:w="848" w:type="dxa"/>
            <w:tcBorders>
              <w:top w:val="nil"/>
              <w:left w:val="nil"/>
              <w:bottom w:val="nil"/>
              <w:right w:val="double" w:sz="6"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90,5 </w:t>
            </w:r>
          </w:p>
        </w:tc>
      </w:tr>
      <w:tr w:rsidR="007A49EF" w:rsidRPr="00251317" w:rsidTr="007A49EF">
        <w:trPr>
          <w:trHeight w:val="284"/>
          <w:jc w:val="center"/>
        </w:trPr>
        <w:tc>
          <w:tcPr>
            <w:tcW w:w="2334" w:type="dxa"/>
            <w:tcBorders>
              <w:top w:val="nil"/>
              <w:left w:val="double" w:sz="6" w:space="0" w:color="auto"/>
              <w:right w:val="nil"/>
            </w:tcBorders>
            <w:noWrap/>
            <w:vAlign w:val="center"/>
          </w:tcPr>
          <w:p w:rsidR="007A49EF" w:rsidRPr="007A49EF" w:rsidRDefault="007A49EF" w:rsidP="007A49EF">
            <w:pPr>
              <w:rPr>
                <w:rFonts w:ascii="Arial" w:hAnsi="Arial" w:cs="Arial"/>
                <w:sz w:val="16"/>
                <w:szCs w:val="16"/>
              </w:rPr>
            </w:pPr>
            <w:r w:rsidRPr="007A49EF">
              <w:rPr>
                <w:rFonts w:ascii="Arial" w:hAnsi="Arial" w:cs="Arial"/>
                <w:sz w:val="16"/>
                <w:szCs w:val="16"/>
              </w:rPr>
              <w:t>studují střední školu</w:t>
            </w:r>
          </w:p>
        </w:tc>
        <w:tc>
          <w:tcPr>
            <w:tcW w:w="819" w:type="dxa"/>
            <w:tcBorders>
              <w:top w:val="nil"/>
              <w:left w:val="single" w:sz="8" w:space="0" w:color="auto"/>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346,2 </w:t>
            </w:r>
          </w:p>
        </w:tc>
        <w:tc>
          <w:tcPr>
            <w:tcW w:w="761" w:type="dxa"/>
            <w:tcBorders>
              <w:top w:val="nil"/>
              <w:left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158,4 </w:t>
            </w:r>
          </w:p>
        </w:tc>
        <w:tc>
          <w:tcPr>
            <w:tcW w:w="752" w:type="dxa"/>
            <w:tcBorders>
              <w:top w:val="nil"/>
              <w:left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187,8 </w:t>
            </w:r>
          </w:p>
        </w:tc>
        <w:tc>
          <w:tcPr>
            <w:tcW w:w="819" w:type="dxa"/>
            <w:tcBorders>
              <w:top w:val="nil"/>
              <w:left w:val="single" w:sz="8" w:space="0" w:color="auto"/>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328,7 </w:t>
            </w:r>
          </w:p>
        </w:tc>
        <w:tc>
          <w:tcPr>
            <w:tcW w:w="761" w:type="dxa"/>
            <w:tcBorders>
              <w:top w:val="nil"/>
              <w:left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154,6 </w:t>
            </w:r>
          </w:p>
        </w:tc>
        <w:tc>
          <w:tcPr>
            <w:tcW w:w="752" w:type="dxa"/>
            <w:tcBorders>
              <w:top w:val="nil"/>
              <w:left w:val="nil"/>
              <w:right w:val="single" w:sz="8"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174,1 </w:t>
            </w:r>
          </w:p>
        </w:tc>
        <w:tc>
          <w:tcPr>
            <w:tcW w:w="819" w:type="dxa"/>
            <w:tcBorders>
              <w:top w:val="nil"/>
              <w:left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-17,5 </w:t>
            </w:r>
          </w:p>
        </w:tc>
        <w:tc>
          <w:tcPr>
            <w:tcW w:w="596" w:type="dxa"/>
            <w:tcBorders>
              <w:top w:val="nil"/>
              <w:left w:val="nil"/>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-3,8 </w:t>
            </w:r>
          </w:p>
        </w:tc>
        <w:tc>
          <w:tcPr>
            <w:tcW w:w="641" w:type="dxa"/>
            <w:tcBorders>
              <w:top w:val="nil"/>
              <w:left w:val="nil"/>
              <w:right w:val="single" w:sz="8"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-13,7 </w:t>
            </w:r>
          </w:p>
        </w:tc>
        <w:tc>
          <w:tcPr>
            <w:tcW w:w="848" w:type="dxa"/>
            <w:tcBorders>
              <w:top w:val="nil"/>
              <w:left w:val="nil"/>
              <w:right w:val="double" w:sz="6"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94,9 </w:t>
            </w:r>
          </w:p>
        </w:tc>
      </w:tr>
      <w:tr w:rsidR="007A49EF" w:rsidRPr="00251317" w:rsidTr="007A49EF">
        <w:trPr>
          <w:trHeight w:val="284"/>
          <w:jc w:val="center"/>
        </w:trPr>
        <w:tc>
          <w:tcPr>
            <w:tcW w:w="2334" w:type="dxa"/>
            <w:tcBorders>
              <w:top w:val="nil"/>
              <w:left w:val="double" w:sz="6" w:space="0" w:color="auto"/>
              <w:bottom w:val="double" w:sz="6" w:space="0" w:color="auto"/>
              <w:right w:val="nil"/>
            </w:tcBorders>
            <w:noWrap/>
            <w:vAlign w:val="center"/>
          </w:tcPr>
          <w:p w:rsidR="007A49EF" w:rsidRPr="007A49EF" w:rsidRDefault="007A49EF" w:rsidP="007A49EF">
            <w:pPr>
              <w:rPr>
                <w:rFonts w:ascii="Arial" w:hAnsi="Arial" w:cs="Arial"/>
                <w:sz w:val="16"/>
                <w:szCs w:val="16"/>
              </w:rPr>
            </w:pPr>
            <w:r w:rsidRPr="007A49EF">
              <w:rPr>
                <w:rFonts w:ascii="Arial" w:hAnsi="Arial" w:cs="Arial"/>
                <w:sz w:val="16"/>
                <w:szCs w:val="16"/>
              </w:rPr>
              <w:t>studují vysokou školu, VOŠ</w:t>
            </w:r>
          </w:p>
        </w:tc>
        <w:tc>
          <w:tcPr>
            <w:tcW w:w="819" w:type="dxa"/>
            <w:tcBorders>
              <w:top w:val="nil"/>
              <w:left w:val="single" w:sz="8" w:space="0" w:color="auto"/>
              <w:bottom w:val="double" w:sz="6" w:space="0" w:color="auto"/>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313,4 </w:t>
            </w:r>
          </w:p>
        </w:tc>
        <w:tc>
          <w:tcPr>
            <w:tcW w:w="761" w:type="dxa"/>
            <w:tcBorders>
              <w:top w:val="nil"/>
              <w:left w:val="nil"/>
              <w:bottom w:val="double" w:sz="6" w:space="0" w:color="auto"/>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142,6 </w:t>
            </w:r>
          </w:p>
        </w:tc>
        <w:tc>
          <w:tcPr>
            <w:tcW w:w="752" w:type="dxa"/>
            <w:tcBorders>
              <w:top w:val="nil"/>
              <w:left w:val="nil"/>
              <w:bottom w:val="double" w:sz="6" w:space="0" w:color="auto"/>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170,8 </w:t>
            </w:r>
          </w:p>
        </w:tc>
        <w:tc>
          <w:tcPr>
            <w:tcW w:w="819" w:type="dxa"/>
            <w:tcBorders>
              <w:top w:val="nil"/>
              <w:left w:val="single" w:sz="8" w:space="0" w:color="auto"/>
              <w:bottom w:val="double" w:sz="6" w:space="0" w:color="auto"/>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291,2 </w:t>
            </w:r>
          </w:p>
        </w:tc>
        <w:tc>
          <w:tcPr>
            <w:tcW w:w="761" w:type="dxa"/>
            <w:tcBorders>
              <w:top w:val="nil"/>
              <w:left w:val="nil"/>
              <w:bottom w:val="double" w:sz="6" w:space="0" w:color="auto"/>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131,6 </w:t>
            </w:r>
          </w:p>
        </w:tc>
        <w:tc>
          <w:tcPr>
            <w:tcW w:w="752" w:type="dxa"/>
            <w:tcBorders>
              <w:top w:val="nil"/>
              <w:left w:val="nil"/>
              <w:bottom w:val="double" w:sz="6" w:space="0" w:color="auto"/>
              <w:right w:val="single" w:sz="8"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159,6 </w:t>
            </w:r>
          </w:p>
        </w:tc>
        <w:tc>
          <w:tcPr>
            <w:tcW w:w="819" w:type="dxa"/>
            <w:tcBorders>
              <w:top w:val="nil"/>
              <w:left w:val="nil"/>
              <w:bottom w:val="double" w:sz="6" w:space="0" w:color="auto"/>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-22,2 </w:t>
            </w:r>
          </w:p>
        </w:tc>
        <w:tc>
          <w:tcPr>
            <w:tcW w:w="596" w:type="dxa"/>
            <w:tcBorders>
              <w:top w:val="nil"/>
              <w:left w:val="nil"/>
              <w:bottom w:val="double" w:sz="6" w:space="0" w:color="auto"/>
              <w:right w:val="nil"/>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-11,0 </w:t>
            </w:r>
          </w:p>
        </w:tc>
        <w:tc>
          <w:tcPr>
            <w:tcW w:w="641" w:type="dxa"/>
            <w:tcBorders>
              <w:top w:val="nil"/>
              <w:left w:val="nil"/>
              <w:bottom w:val="double" w:sz="6" w:space="0" w:color="auto"/>
              <w:right w:val="single" w:sz="8"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-11,2 </w:t>
            </w:r>
          </w:p>
        </w:tc>
        <w:tc>
          <w:tcPr>
            <w:tcW w:w="848" w:type="dxa"/>
            <w:tcBorders>
              <w:top w:val="nil"/>
              <w:left w:val="nil"/>
              <w:bottom w:val="double" w:sz="6" w:space="0" w:color="auto"/>
              <w:right w:val="double" w:sz="6" w:space="0" w:color="auto"/>
            </w:tcBorders>
            <w:noWrap/>
            <w:vAlign w:val="center"/>
          </w:tcPr>
          <w:p w:rsidR="007A49EF" w:rsidRPr="007A49EF" w:rsidRDefault="007A49EF" w:rsidP="007A49EF">
            <w:pPr>
              <w:jc w:val="right"/>
              <w:rPr>
                <w:rFonts w:ascii="Arial" w:hAnsi="Arial" w:cs="Arial"/>
                <w:sz w:val="16"/>
                <w:szCs w:val="16"/>
              </w:rPr>
            </w:pPr>
            <w:r w:rsidRPr="007A49EF">
              <w:rPr>
                <w:rFonts w:ascii="Arial" w:hAnsi="Arial" w:cs="Arial"/>
                <w:sz w:val="16"/>
                <w:szCs w:val="16"/>
              </w:rPr>
              <w:t xml:space="preserve">92,9 </w:t>
            </w:r>
          </w:p>
        </w:tc>
      </w:tr>
    </w:tbl>
    <w:p w:rsidR="007A49EF" w:rsidRPr="00251317" w:rsidRDefault="007A49EF" w:rsidP="007A49EF">
      <w:pPr>
        <w:tabs>
          <w:tab w:val="center" w:pos="720"/>
        </w:tabs>
        <w:jc w:val="both"/>
        <w:rPr>
          <w:rFonts w:ascii="Arial" w:hAnsi="Arial" w:cs="Arial"/>
          <w:i/>
          <w:iCs/>
          <w:sz w:val="16"/>
          <w:szCs w:val="16"/>
        </w:rPr>
      </w:pPr>
      <w:r w:rsidRPr="00251317">
        <w:rPr>
          <w:rFonts w:ascii="Arial" w:hAnsi="Arial" w:cs="Arial"/>
          <w:i/>
          <w:iCs/>
          <w:sz w:val="16"/>
          <w:szCs w:val="16"/>
        </w:rPr>
        <w:t>Zdroj: ČSÚ – VŠPS</w:t>
      </w:r>
    </w:p>
    <w:p w:rsidR="007A49EF" w:rsidRPr="00251317" w:rsidRDefault="007A49EF" w:rsidP="00D76175">
      <w:pPr>
        <w:tabs>
          <w:tab w:val="center" w:pos="720"/>
        </w:tabs>
        <w:spacing w:line="360" w:lineRule="auto"/>
        <w:ind w:firstLine="567"/>
        <w:jc w:val="both"/>
        <w:rPr>
          <w:rFonts w:ascii="Arial" w:hAnsi="Arial" w:cs="Arial"/>
        </w:rPr>
      </w:pPr>
      <w:r w:rsidRPr="00251317">
        <w:rPr>
          <w:rFonts w:ascii="Arial" w:hAnsi="Arial" w:cs="Arial"/>
        </w:rPr>
        <w:lastRenderedPageBreak/>
        <w:t xml:space="preserve">V 1. pololetí 2013 </w:t>
      </w:r>
      <w:r w:rsidRPr="00251317">
        <w:rPr>
          <w:rFonts w:ascii="Arial" w:hAnsi="Arial" w:cs="Arial"/>
          <w:b/>
        </w:rPr>
        <w:t xml:space="preserve">počet obyvatel starších 15 let meziročně </w:t>
      </w:r>
      <w:r w:rsidRPr="00251317">
        <w:rPr>
          <w:rFonts w:ascii="Arial" w:hAnsi="Arial" w:cs="Arial"/>
        </w:rPr>
        <w:t xml:space="preserve">sice </w:t>
      </w:r>
      <w:r w:rsidRPr="00251317">
        <w:rPr>
          <w:rFonts w:ascii="Arial" w:hAnsi="Arial" w:cs="Arial"/>
          <w:b/>
        </w:rPr>
        <w:t xml:space="preserve">poklesl </w:t>
      </w:r>
      <w:r w:rsidRPr="00251317">
        <w:rPr>
          <w:rFonts w:ascii="Arial" w:hAnsi="Arial" w:cs="Arial"/>
        </w:rPr>
        <w:t xml:space="preserve">pouze </w:t>
      </w:r>
      <w:r w:rsidRPr="00251317">
        <w:rPr>
          <w:rFonts w:ascii="Arial" w:hAnsi="Arial" w:cs="Arial"/>
          <w:b/>
        </w:rPr>
        <w:t xml:space="preserve">mírně, </w:t>
      </w:r>
      <w:r w:rsidRPr="00251317">
        <w:rPr>
          <w:rFonts w:ascii="Arial" w:hAnsi="Arial" w:cs="Arial"/>
        </w:rPr>
        <w:t>a to</w:t>
      </w:r>
      <w:r w:rsidRPr="00251317">
        <w:rPr>
          <w:rFonts w:ascii="Arial" w:hAnsi="Arial" w:cs="Arial"/>
          <w:b/>
        </w:rPr>
        <w:t xml:space="preserve"> o 7,8 tis. </w:t>
      </w:r>
      <w:r w:rsidRPr="00251317">
        <w:rPr>
          <w:rFonts w:ascii="Arial" w:hAnsi="Arial" w:cs="Arial"/>
        </w:rPr>
        <w:t>(o 0,1 %)</w:t>
      </w:r>
      <w:r w:rsidRPr="00251317">
        <w:rPr>
          <w:rFonts w:ascii="Arial" w:hAnsi="Arial" w:cs="Arial"/>
          <w:b/>
        </w:rPr>
        <w:t xml:space="preserve"> na </w:t>
      </w:r>
      <w:r w:rsidRPr="00251317">
        <w:rPr>
          <w:rFonts w:ascii="Arial" w:hAnsi="Arial" w:cs="Arial"/>
          <w:b/>
          <w:bCs/>
          <w:color w:val="000000"/>
        </w:rPr>
        <w:t>8 955,8</w:t>
      </w:r>
      <w:r w:rsidRPr="00251317">
        <w:rPr>
          <w:rFonts w:ascii="Arial" w:hAnsi="Arial" w:cs="Arial"/>
          <w:b/>
        </w:rPr>
        <w:t> tis.</w:t>
      </w:r>
      <w:r w:rsidRPr="004C36F5">
        <w:rPr>
          <w:rFonts w:ascii="Arial" w:hAnsi="Arial" w:cs="Arial"/>
        </w:rPr>
        <w:t xml:space="preserve">, </w:t>
      </w:r>
      <w:r w:rsidRPr="00251317">
        <w:rPr>
          <w:rFonts w:ascii="Arial" w:hAnsi="Arial" w:cs="Arial"/>
        </w:rPr>
        <w:t>ale</w:t>
      </w:r>
      <w:r w:rsidRPr="00251317">
        <w:rPr>
          <w:rFonts w:ascii="Arial" w:hAnsi="Arial" w:cs="Arial"/>
          <w:b/>
        </w:rPr>
        <w:t xml:space="preserve"> ve věkové skupině </w:t>
      </w:r>
      <w:r w:rsidR="004C36F5">
        <w:rPr>
          <w:rFonts w:ascii="Arial" w:hAnsi="Arial" w:cs="Arial"/>
          <w:b/>
        </w:rPr>
        <w:t xml:space="preserve">     </w:t>
      </w:r>
      <w:r w:rsidRPr="00251317">
        <w:rPr>
          <w:rFonts w:ascii="Arial" w:hAnsi="Arial" w:cs="Arial"/>
          <w:b/>
        </w:rPr>
        <w:t xml:space="preserve">15 – 64 let, </w:t>
      </w:r>
      <w:r w:rsidRPr="00251317">
        <w:rPr>
          <w:rFonts w:ascii="Arial" w:hAnsi="Arial" w:cs="Arial"/>
        </w:rPr>
        <w:t xml:space="preserve">rozhodující pro zaměstnanost, </w:t>
      </w:r>
      <w:r w:rsidRPr="00251317">
        <w:rPr>
          <w:rFonts w:ascii="Arial" w:hAnsi="Arial" w:cs="Arial"/>
          <w:b/>
        </w:rPr>
        <w:t>poklesl</w:t>
      </w:r>
      <w:r w:rsidRPr="00251317">
        <w:rPr>
          <w:rFonts w:ascii="Arial" w:hAnsi="Arial" w:cs="Arial"/>
        </w:rPr>
        <w:t xml:space="preserve"> </w:t>
      </w:r>
      <w:r w:rsidRPr="00251317">
        <w:rPr>
          <w:rFonts w:ascii="Arial" w:hAnsi="Arial" w:cs="Arial"/>
          <w:b/>
        </w:rPr>
        <w:t>o 71,5 tis.</w:t>
      </w:r>
      <w:r w:rsidRPr="00251317">
        <w:rPr>
          <w:rFonts w:ascii="Arial" w:hAnsi="Arial" w:cs="Arial"/>
        </w:rPr>
        <w:t xml:space="preserve"> </w:t>
      </w:r>
      <w:r w:rsidRPr="00251317">
        <w:rPr>
          <w:rFonts w:ascii="Arial" w:hAnsi="Arial" w:cs="Arial"/>
          <w:b/>
        </w:rPr>
        <w:t xml:space="preserve">na </w:t>
      </w:r>
      <w:r w:rsidRPr="00251317">
        <w:rPr>
          <w:rFonts w:ascii="Arial" w:hAnsi="Arial" w:cs="Arial"/>
          <w:b/>
          <w:color w:val="000000"/>
        </w:rPr>
        <w:t>7 174,9</w:t>
      </w:r>
      <w:r w:rsidR="00832630">
        <w:rPr>
          <w:rFonts w:ascii="Arial" w:hAnsi="Arial" w:cs="Arial"/>
          <w:b/>
          <w:color w:val="000000"/>
        </w:rPr>
        <w:t> </w:t>
      </w:r>
      <w:r w:rsidRPr="00251317">
        <w:rPr>
          <w:rFonts w:ascii="Arial" w:hAnsi="Arial" w:cs="Arial"/>
          <w:b/>
          <w:color w:val="000000"/>
        </w:rPr>
        <w:t>tis.</w:t>
      </w:r>
      <w:r w:rsidRPr="00251317">
        <w:rPr>
          <w:rFonts w:ascii="Arial" w:hAnsi="Arial" w:cs="Arial"/>
          <w:color w:val="000000"/>
          <w:sz w:val="18"/>
          <w:szCs w:val="18"/>
        </w:rPr>
        <w:t xml:space="preserve"> </w:t>
      </w:r>
      <w:r w:rsidRPr="00251317">
        <w:rPr>
          <w:rFonts w:ascii="Arial" w:hAnsi="Arial" w:cs="Arial"/>
        </w:rPr>
        <w:t xml:space="preserve">Z podrobnějšího rozboru jednotlivých věkových skupin vyplývá, že </w:t>
      </w:r>
      <w:r w:rsidRPr="00251317">
        <w:rPr>
          <w:rFonts w:ascii="Arial" w:hAnsi="Arial" w:cs="Arial"/>
          <w:b/>
        </w:rPr>
        <w:t>pokles</w:t>
      </w:r>
      <w:r w:rsidRPr="00251317">
        <w:rPr>
          <w:rFonts w:ascii="Arial" w:hAnsi="Arial" w:cs="Arial"/>
        </w:rPr>
        <w:t xml:space="preserve"> byl zaznamenán především v mladších věkových skupinách </w:t>
      </w:r>
      <w:r w:rsidRPr="00251317">
        <w:rPr>
          <w:rFonts w:ascii="Arial" w:hAnsi="Arial" w:cs="Arial"/>
          <w:b/>
        </w:rPr>
        <w:t>15 až 39 let</w:t>
      </w:r>
      <w:r w:rsidRPr="00251317">
        <w:rPr>
          <w:rFonts w:ascii="Arial" w:hAnsi="Arial" w:cs="Arial"/>
        </w:rPr>
        <w:t xml:space="preserve"> - celkem o 71,9 tis. (především ve věku 15 – 19 let a 30 – 34 let pokles o 30,7 tis., resp. 34,2 tis., ale počet obyvatel ve věku 35 až 39 let zahrnující </w:t>
      </w:r>
      <w:r>
        <w:rPr>
          <w:rFonts w:ascii="Arial" w:hAnsi="Arial" w:cs="Arial"/>
        </w:rPr>
        <w:t xml:space="preserve">část </w:t>
      </w:r>
      <w:r w:rsidRPr="00251317">
        <w:rPr>
          <w:rFonts w:ascii="Arial" w:hAnsi="Arial" w:cs="Arial"/>
        </w:rPr>
        <w:t>siln</w:t>
      </w:r>
      <w:r>
        <w:rPr>
          <w:rFonts w:ascii="Arial" w:hAnsi="Arial" w:cs="Arial"/>
        </w:rPr>
        <w:t>é</w:t>
      </w:r>
      <w:r w:rsidRPr="00251317">
        <w:rPr>
          <w:rFonts w:ascii="Arial" w:hAnsi="Arial" w:cs="Arial"/>
          <w:b/>
        </w:rPr>
        <w:t xml:space="preserve"> </w:t>
      </w:r>
      <w:r w:rsidRPr="00251317">
        <w:rPr>
          <w:rFonts w:ascii="Arial" w:hAnsi="Arial" w:cs="Arial"/>
        </w:rPr>
        <w:t>populační vln</w:t>
      </w:r>
      <w:r>
        <w:rPr>
          <w:rFonts w:ascii="Arial" w:hAnsi="Arial" w:cs="Arial"/>
        </w:rPr>
        <w:t>y</w:t>
      </w:r>
      <w:r w:rsidRPr="00251317">
        <w:rPr>
          <w:rFonts w:ascii="Arial" w:hAnsi="Arial" w:cs="Arial"/>
        </w:rPr>
        <w:t xml:space="preserve"> ze 70. let minulého století vzrostl </w:t>
      </w:r>
      <w:r w:rsidRPr="00092117">
        <w:rPr>
          <w:rFonts w:ascii="Arial" w:hAnsi="Arial" w:cs="Arial"/>
        </w:rPr>
        <w:t>o 13,8 tis.).</w:t>
      </w:r>
      <w:r w:rsidRPr="00251317">
        <w:rPr>
          <w:rFonts w:ascii="Arial" w:hAnsi="Arial" w:cs="Arial"/>
        </w:rPr>
        <w:t xml:space="preserve"> Počet obyvatel </w:t>
      </w:r>
      <w:r w:rsidRPr="00251317">
        <w:rPr>
          <w:rFonts w:ascii="Arial" w:hAnsi="Arial" w:cs="Arial"/>
          <w:b/>
        </w:rPr>
        <w:t>poklesl</w:t>
      </w:r>
      <w:r w:rsidRPr="00251317">
        <w:rPr>
          <w:rFonts w:ascii="Arial" w:hAnsi="Arial" w:cs="Arial"/>
        </w:rPr>
        <w:t xml:space="preserve"> i ve skupině </w:t>
      </w:r>
      <w:r w:rsidRPr="00251317">
        <w:rPr>
          <w:rFonts w:ascii="Arial" w:hAnsi="Arial" w:cs="Arial"/>
          <w:b/>
        </w:rPr>
        <w:t>55 až 64 let</w:t>
      </w:r>
      <w:r w:rsidRPr="00251317">
        <w:rPr>
          <w:rFonts w:ascii="Arial" w:hAnsi="Arial" w:cs="Arial"/>
        </w:rPr>
        <w:t xml:space="preserve"> - celkem o 24,2 tis. </w:t>
      </w:r>
      <w:r>
        <w:rPr>
          <w:rFonts w:ascii="Arial" w:hAnsi="Arial" w:cs="Arial"/>
        </w:rPr>
        <w:t>N</w:t>
      </w:r>
      <w:r w:rsidRPr="00251317">
        <w:rPr>
          <w:rFonts w:ascii="Arial" w:hAnsi="Arial" w:cs="Arial"/>
        </w:rPr>
        <w:t xml:space="preserve">árůst počtu obyvatel ve věku </w:t>
      </w:r>
      <w:r w:rsidRPr="00251317">
        <w:rPr>
          <w:rFonts w:ascii="Arial" w:hAnsi="Arial" w:cs="Arial"/>
          <w:b/>
        </w:rPr>
        <w:t>65+ let</w:t>
      </w:r>
      <w:r w:rsidRPr="00251317">
        <w:rPr>
          <w:rFonts w:ascii="Arial" w:hAnsi="Arial" w:cs="Arial"/>
        </w:rPr>
        <w:t xml:space="preserve"> (o 63,8 tis.) </w:t>
      </w:r>
      <w:r>
        <w:rPr>
          <w:rFonts w:ascii="Arial" w:hAnsi="Arial" w:cs="Arial"/>
        </w:rPr>
        <w:t xml:space="preserve">je důsledkem </w:t>
      </w:r>
      <w:r w:rsidRPr="00251317">
        <w:rPr>
          <w:rFonts w:ascii="Arial" w:hAnsi="Arial" w:cs="Arial"/>
        </w:rPr>
        <w:t>postupn</w:t>
      </w:r>
      <w:r>
        <w:rPr>
          <w:rFonts w:ascii="Arial" w:hAnsi="Arial" w:cs="Arial"/>
        </w:rPr>
        <w:t>ého</w:t>
      </w:r>
      <w:r w:rsidRPr="00251317">
        <w:rPr>
          <w:rFonts w:ascii="Arial" w:hAnsi="Arial" w:cs="Arial"/>
        </w:rPr>
        <w:t xml:space="preserve"> přesun</w:t>
      </w:r>
      <w:r>
        <w:rPr>
          <w:rFonts w:ascii="Arial" w:hAnsi="Arial" w:cs="Arial"/>
        </w:rPr>
        <w:t>u</w:t>
      </w:r>
      <w:r w:rsidRPr="00251317">
        <w:rPr>
          <w:rFonts w:ascii="Arial" w:hAnsi="Arial" w:cs="Arial"/>
        </w:rPr>
        <w:t xml:space="preserve"> silné poválečné vlny do této kategorie</w:t>
      </w:r>
      <w:r>
        <w:rPr>
          <w:rFonts w:ascii="Arial" w:hAnsi="Arial" w:cs="Arial"/>
        </w:rPr>
        <w:t>,</w:t>
      </w:r>
      <w:r w:rsidRPr="00251317">
        <w:rPr>
          <w:rFonts w:ascii="Arial" w:hAnsi="Arial" w:cs="Arial"/>
        </w:rPr>
        <w:t xml:space="preserve"> a také prodlužující se délk</w:t>
      </w:r>
      <w:r w:rsidR="00886CA5">
        <w:rPr>
          <w:rFonts w:ascii="Arial" w:hAnsi="Arial" w:cs="Arial"/>
        </w:rPr>
        <w:t>y</w:t>
      </w:r>
      <w:r w:rsidRPr="00251317">
        <w:rPr>
          <w:rFonts w:ascii="Arial" w:hAnsi="Arial" w:cs="Arial"/>
        </w:rPr>
        <w:t xml:space="preserve"> života. </w:t>
      </w:r>
    </w:p>
    <w:p w:rsidR="007A49EF" w:rsidRPr="00251317" w:rsidRDefault="007A49EF" w:rsidP="007A49EF">
      <w:pPr>
        <w:tabs>
          <w:tab w:val="center" w:pos="720"/>
        </w:tabs>
        <w:ind w:firstLine="720"/>
        <w:jc w:val="both"/>
        <w:rPr>
          <w:rFonts w:ascii="Arial" w:hAnsi="Arial" w:cs="Arial"/>
          <w:sz w:val="16"/>
          <w:szCs w:val="16"/>
        </w:rPr>
      </w:pPr>
    </w:p>
    <w:p w:rsidR="007A49EF" w:rsidRPr="00251317" w:rsidRDefault="007A49EF" w:rsidP="007A49EF">
      <w:pPr>
        <w:tabs>
          <w:tab w:val="center" w:pos="720"/>
        </w:tabs>
        <w:jc w:val="center"/>
        <w:rPr>
          <w:rFonts w:ascii="Arial" w:hAnsi="Arial" w:cs="Arial"/>
          <w:b/>
        </w:rPr>
      </w:pPr>
      <w:r w:rsidRPr="00251317">
        <w:rPr>
          <w:rFonts w:ascii="Arial" w:hAnsi="Arial" w:cs="Arial"/>
          <w:b/>
        </w:rPr>
        <w:t>Věková struktura obyvatelstva 15+ (v tis.)</w:t>
      </w:r>
    </w:p>
    <w:p w:rsidR="007A49EF" w:rsidRPr="00251317" w:rsidRDefault="007A49EF" w:rsidP="007A49EF">
      <w:pPr>
        <w:pStyle w:val="Textpoznpodarou"/>
        <w:ind w:right="-108"/>
        <w:jc w:val="right"/>
      </w:pPr>
      <w:r w:rsidRPr="00251317">
        <w:rPr>
          <w:rFonts w:ascii="Arial" w:hAnsi="Arial" w:cs="Arial"/>
        </w:rPr>
        <w:t>tab. č. 2</w:t>
      </w:r>
    </w:p>
    <w:tbl>
      <w:tblPr>
        <w:tblW w:w="9255" w:type="dxa"/>
        <w:tblInd w:w="47" w:type="dxa"/>
        <w:tblCellMar>
          <w:left w:w="70" w:type="dxa"/>
          <w:right w:w="70" w:type="dxa"/>
        </w:tblCellMar>
        <w:tblLook w:val="0000" w:firstRow="0" w:lastRow="0" w:firstColumn="0" w:lastColumn="0" w:noHBand="0" w:noVBand="0"/>
      </w:tblPr>
      <w:tblGrid>
        <w:gridCol w:w="896"/>
        <w:gridCol w:w="970"/>
        <w:gridCol w:w="851"/>
        <w:gridCol w:w="850"/>
        <w:gridCol w:w="992"/>
        <w:gridCol w:w="851"/>
        <w:gridCol w:w="850"/>
        <w:gridCol w:w="851"/>
        <w:gridCol w:w="709"/>
        <w:gridCol w:w="726"/>
        <w:gridCol w:w="709"/>
      </w:tblGrid>
      <w:tr w:rsidR="007A49EF" w:rsidRPr="00251317" w:rsidTr="007A49EF">
        <w:trPr>
          <w:trHeight w:val="284"/>
        </w:trPr>
        <w:tc>
          <w:tcPr>
            <w:tcW w:w="896" w:type="dxa"/>
            <w:vMerge w:val="restart"/>
            <w:tcBorders>
              <w:top w:val="double" w:sz="6" w:space="0" w:color="auto"/>
              <w:left w:val="double" w:sz="6" w:space="0" w:color="auto"/>
              <w:bottom w:val="single" w:sz="4" w:space="0" w:color="000000"/>
              <w:right w:val="single" w:sz="4" w:space="0" w:color="auto"/>
            </w:tcBorders>
            <w:shd w:val="clear" w:color="auto" w:fill="auto"/>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věkové skupiny</w:t>
            </w:r>
          </w:p>
        </w:tc>
        <w:tc>
          <w:tcPr>
            <w:tcW w:w="2671" w:type="dxa"/>
            <w:gridSpan w:val="3"/>
            <w:tcBorders>
              <w:top w:val="double" w:sz="6" w:space="0" w:color="auto"/>
              <w:left w:val="nil"/>
              <w:bottom w:val="single" w:sz="4" w:space="0" w:color="auto"/>
              <w:right w:val="single" w:sz="4" w:space="0" w:color="auto"/>
            </w:tcBorders>
            <w:shd w:val="clear" w:color="auto" w:fill="auto"/>
            <w:noWrap/>
            <w:vAlign w:val="bottom"/>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1. pololetí 2012</w:t>
            </w:r>
          </w:p>
        </w:tc>
        <w:tc>
          <w:tcPr>
            <w:tcW w:w="2693" w:type="dxa"/>
            <w:gridSpan w:val="3"/>
            <w:tcBorders>
              <w:top w:val="double" w:sz="6" w:space="0" w:color="auto"/>
              <w:left w:val="nil"/>
              <w:bottom w:val="single" w:sz="4" w:space="0" w:color="auto"/>
              <w:right w:val="single" w:sz="4" w:space="0" w:color="auto"/>
            </w:tcBorders>
            <w:shd w:val="clear" w:color="auto" w:fill="auto"/>
            <w:noWrap/>
            <w:vAlign w:val="bottom"/>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1. pololetí 2013</w:t>
            </w:r>
          </w:p>
        </w:tc>
        <w:tc>
          <w:tcPr>
            <w:tcW w:w="2286" w:type="dxa"/>
            <w:gridSpan w:val="3"/>
            <w:tcBorders>
              <w:top w:val="double" w:sz="6" w:space="0" w:color="auto"/>
              <w:left w:val="single" w:sz="4" w:space="0" w:color="auto"/>
              <w:bottom w:val="single" w:sz="4" w:space="0" w:color="auto"/>
              <w:right w:val="single" w:sz="4" w:space="0" w:color="auto"/>
            </w:tcBorders>
            <w:shd w:val="clear" w:color="auto" w:fill="auto"/>
            <w:noWrap/>
            <w:vAlign w:val="bottom"/>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 xml:space="preserve">rozdíl </w:t>
            </w:r>
            <w:r w:rsidR="00172725">
              <w:rPr>
                <w:rFonts w:ascii="Arial" w:hAnsi="Arial" w:cs="Arial"/>
                <w:b/>
                <w:bCs/>
                <w:sz w:val="20"/>
                <w:szCs w:val="20"/>
              </w:rPr>
              <w:t>20</w:t>
            </w:r>
            <w:r w:rsidRPr="00251317">
              <w:rPr>
                <w:rFonts w:ascii="Arial" w:hAnsi="Arial" w:cs="Arial"/>
                <w:b/>
                <w:bCs/>
                <w:sz w:val="20"/>
                <w:szCs w:val="20"/>
              </w:rPr>
              <w:t xml:space="preserve">13 – </w:t>
            </w:r>
            <w:r w:rsidR="00172725">
              <w:rPr>
                <w:rFonts w:ascii="Arial" w:hAnsi="Arial" w:cs="Arial"/>
                <w:b/>
                <w:bCs/>
                <w:sz w:val="20"/>
                <w:szCs w:val="20"/>
              </w:rPr>
              <w:t>20</w:t>
            </w:r>
            <w:r w:rsidRPr="00251317">
              <w:rPr>
                <w:rFonts w:ascii="Arial" w:hAnsi="Arial" w:cs="Arial"/>
                <w:b/>
                <w:bCs/>
                <w:sz w:val="20"/>
                <w:szCs w:val="20"/>
              </w:rPr>
              <w:t>12</w:t>
            </w:r>
          </w:p>
        </w:tc>
        <w:tc>
          <w:tcPr>
            <w:tcW w:w="709" w:type="dxa"/>
            <w:vMerge w:val="restart"/>
            <w:tcBorders>
              <w:top w:val="double" w:sz="6" w:space="0" w:color="auto"/>
              <w:left w:val="single" w:sz="4" w:space="0" w:color="auto"/>
              <w:bottom w:val="single" w:sz="4" w:space="0" w:color="000000"/>
              <w:right w:val="double" w:sz="6" w:space="0" w:color="auto"/>
            </w:tcBorders>
            <w:shd w:val="clear" w:color="auto" w:fill="auto"/>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Index 13/12</w:t>
            </w:r>
          </w:p>
          <w:p w:rsidR="007A49EF" w:rsidRPr="00251317" w:rsidRDefault="007A49EF" w:rsidP="007A49EF">
            <w:pPr>
              <w:jc w:val="center"/>
              <w:rPr>
                <w:rFonts w:ascii="Arial" w:hAnsi="Arial" w:cs="Arial"/>
                <w:bCs/>
                <w:sz w:val="20"/>
                <w:szCs w:val="20"/>
              </w:rPr>
            </w:pPr>
            <w:r w:rsidRPr="00251317">
              <w:rPr>
                <w:rFonts w:ascii="Arial" w:hAnsi="Arial" w:cs="Arial"/>
                <w:b/>
                <w:bCs/>
                <w:sz w:val="20"/>
                <w:szCs w:val="20"/>
              </w:rPr>
              <w:t xml:space="preserve"> </w:t>
            </w:r>
            <w:r w:rsidRPr="00251317">
              <w:rPr>
                <w:rFonts w:ascii="Arial" w:hAnsi="Arial" w:cs="Arial"/>
                <w:b/>
                <w:sz w:val="20"/>
                <w:szCs w:val="20"/>
              </w:rPr>
              <w:t>(%)</w:t>
            </w:r>
          </w:p>
        </w:tc>
      </w:tr>
      <w:tr w:rsidR="007A49EF" w:rsidRPr="00251317" w:rsidTr="007A49EF">
        <w:trPr>
          <w:trHeight w:val="284"/>
        </w:trPr>
        <w:tc>
          <w:tcPr>
            <w:tcW w:w="896" w:type="dxa"/>
            <w:vMerge/>
            <w:tcBorders>
              <w:top w:val="double" w:sz="6" w:space="0" w:color="auto"/>
              <w:left w:val="double" w:sz="6" w:space="0" w:color="auto"/>
              <w:bottom w:val="single" w:sz="4" w:space="0" w:color="000000"/>
              <w:right w:val="single" w:sz="4" w:space="0" w:color="auto"/>
            </w:tcBorders>
            <w:vAlign w:val="center"/>
          </w:tcPr>
          <w:p w:rsidR="007A49EF" w:rsidRPr="00251317" w:rsidRDefault="007A49EF" w:rsidP="007A49EF">
            <w:pPr>
              <w:rPr>
                <w:rFonts w:ascii="Arial" w:hAnsi="Arial" w:cs="Arial"/>
                <w:b/>
                <w:bCs/>
                <w:sz w:val="20"/>
                <w:szCs w:val="20"/>
              </w:rPr>
            </w:pPr>
          </w:p>
        </w:tc>
        <w:tc>
          <w:tcPr>
            <w:tcW w:w="970" w:type="dxa"/>
            <w:tcBorders>
              <w:top w:val="nil"/>
              <w:left w:val="nil"/>
              <w:bottom w:val="single" w:sz="4" w:space="0" w:color="auto"/>
              <w:right w:val="single" w:sz="4" w:space="0" w:color="auto"/>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celkem</w:t>
            </w:r>
          </w:p>
        </w:tc>
        <w:tc>
          <w:tcPr>
            <w:tcW w:w="851" w:type="dxa"/>
            <w:tcBorders>
              <w:top w:val="nil"/>
              <w:left w:val="nil"/>
              <w:bottom w:val="single" w:sz="4" w:space="0" w:color="auto"/>
              <w:right w:val="single" w:sz="4" w:space="0" w:color="auto"/>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muži</w:t>
            </w:r>
          </w:p>
        </w:tc>
        <w:tc>
          <w:tcPr>
            <w:tcW w:w="850" w:type="dxa"/>
            <w:tcBorders>
              <w:top w:val="nil"/>
              <w:left w:val="nil"/>
              <w:bottom w:val="single" w:sz="4" w:space="0" w:color="auto"/>
              <w:right w:val="single" w:sz="4" w:space="0" w:color="auto"/>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ženy</w:t>
            </w:r>
          </w:p>
        </w:tc>
        <w:tc>
          <w:tcPr>
            <w:tcW w:w="992" w:type="dxa"/>
            <w:tcBorders>
              <w:top w:val="nil"/>
              <w:left w:val="nil"/>
              <w:bottom w:val="single" w:sz="4" w:space="0" w:color="auto"/>
              <w:right w:val="single" w:sz="4" w:space="0" w:color="auto"/>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celkem</w:t>
            </w:r>
          </w:p>
        </w:tc>
        <w:tc>
          <w:tcPr>
            <w:tcW w:w="851" w:type="dxa"/>
            <w:tcBorders>
              <w:top w:val="nil"/>
              <w:left w:val="nil"/>
              <w:bottom w:val="single" w:sz="4" w:space="0" w:color="auto"/>
              <w:right w:val="single" w:sz="4" w:space="0" w:color="auto"/>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muži</w:t>
            </w:r>
          </w:p>
        </w:tc>
        <w:tc>
          <w:tcPr>
            <w:tcW w:w="850" w:type="dxa"/>
            <w:tcBorders>
              <w:top w:val="nil"/>
              <w:left w:val="nil"/>
              <w:bottom w:val="single" w:sz="4" w:space="0" w:color="auto"/>
              <w:right w:val="nil"/>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ženy</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celkem</w:t>
            </w:r>
          </w:p>
        </w:tc>
        <w:tc>
          <w:tcPr>
            <w:tcW w:w="709" w:type="dxa"/>
            <w:tcBorders>
              <w:top w:val="nil"/>
              <w:left w:val="nil"/>
              <w:bottom w:val="single" w:sz="4" w:space="0" w:color="auto"/>
              <w:right w:val="single" w:sz="4" w:space="0" w:color="auto"/>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muži</w:t>
            </w:r>
          </w:p>
        </w:tc>
        <w:tc>
          <w:tcPr>
            <w:tcW w:w="726" w:type="dxa"/>
            <w:tcBorders>
              <w:top w:val="nil"/>
              <w:left w:val="nil"/>
              <w:bottom w:val="single" w:sz="4" w:space="0" w:color="auto"/>
              <w:right w:val="nil"/>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ženy</w:t>
            </w:r>
          </w:p>
        </w:tc>
        <w:tc>
          <w:tcPr>
            <w:tcW w:w="709" w:type="dxa"/>
            <w:vMerge/>
            <w:tcBorders>
              <w:top w:val="double" w:sz="6" w:space="0" w:color="auto"/>
              <w:left w:val="single" w:sz="4" w:space="0" w:color="auto"/>
              <w:bottom w:val="single" w:sz="4" w:space="0" w:color="000000"/>
              <w:right w:val="double" w:sz="6" w:space="0" w:color="auto"/>
            </w:tcBorders>
            <w:vAlign w:val="center"/>
          </w:tcPr>
          <w:p w:rsidR="007A49EF" w:rsidRPr="00251317" w:rsidRDefault="007A49EF" w:rsidP="007A49EF">
            <w:pPr>
              <w:rPr>
                <w:rFonts w:ascii="Arial" w:hAnsi="Arial" w:cs="Arial"/>
                <w:b/>
                <w:bCs/>
                <w:sz w:val="20"/>
                <w:szCs w:val="20"/>
              </w:rPr>
            </w:pPr>
          </w:p>
        </w:tc>
      </w:tr>
      <w:tr w:rsidR="007A49EF" w:rsidRPr="00251317" w:rsidTr="007A49EF">
        <w:trPr>
          <w:trHeight w:val="340"/>
        </w:trPr>
        <w:tc>
          <w:tcPr>
            <w:tcW w:w="896" w:type="dxa"/>
            <w:tcBorders>
              <w:top w:val="nil"/>
              <w:left w:val="double" w:sz="6" w:space="0" w:color="auto"/>
              <w:bottom w:val="nil"/>
              <w:right w:val="nil"/>
            </w:tcBorders>
            <w:shd w:val="clear" w:color="auto" w:fill="auto"/>
            <w:noWrap/>
            <w:vAlign w:val="center"/>
          </w:tcPr>
          <w:p w:rsidR="007A49EF" w:rsidRPr="00251317" w:rsidRDefault="007A49EF" w:rsidP="007A49EF">
            <w:pPr>
              <w:jc w:val="center"/>
              <w:rPr>
                <w:rFonts w:ascii="Arial" w:hAnsi="Arial" w:cs="Arial"/>
                <w:bCs/>
                <w:sz w:val="18"/>
                <w:szCs w:val="18"/>
              </w:rPr>
            </w:pPr>
            <w:r w:rsidRPr="00251317">
              <w:rPr>
                <w:rFonts w:ascii="Arial" w:hAnsi="Arial" w:cs="Arial"/>
                <w:sz w:val="18"/>
                <w:szCs w:val="18"/>
              </w:rPr>
              <w:t>15 - 24</w:t>
            </w:r>
          </w:p>
        </w:tc>
        <w:tc>
          <w:tcPr>
            <w:tcW w:w="970" w:type="dxa"/>
            <w:tcBorders>
              <w:top w:val="nil"/>
              <w:left w:val="single" w:sz="4" w:space="0" w:color="auto"/>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18"/>
                <w:szCs w:val="18"/>
              </w:rPr>
            </w:pPr>
            <w:r w:rsidRPr="00251317">
              <w:rPr>
                <w:rFonts w:ascii="Arial" w:hAnsi="Arial" w:cs="Arial"/>
                <w:sz w:val="18"/>
                <w:szCs w:val="18"/>
              </w:rPr>
              <w:t>1202,7</w:t>
            </w:r>
          </w:p>
        </w:tc>
        <w:tc>
          <w:tcPr>
            <w:tcW w:w="851"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18"/>
                <w:szCs w:val="18"/>
              </w:rPr>
            </w:pPr>
            <w:r w:rsidRPr="00251317">
              <w:rPr>
                <w:rFonts w:ascii="Arial" w:hAnsi="Arial" w:cs="Arial"/>
                <w:sz w:val="18"/>
                <w:szCs w:val="18"/>
              </w:rPr>
              <w:t>615,6</w:t>
            </w:r>
          </w:p>
        </w:tc>
        <w:tc>
          <w:tcPr>
            <w:tcW w:w="850"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18"/>
                <w:szCs w:val="18"/>
              </w:rPr>
            </w:pPr>
            <w:r w:rsidRPr="00251317">
              <w:rPr>
                <w:rFonts w:ascii="Arial" w:hAnsi="Arial" w:cs="Arial"/>
                <w:sz w:val="18"/>
                <w:szCs w:val="18"/>
              </w:rPr>
              <w:t>587,1</w:t>
            </w:r>
          </w:p>
        </w:tc>
        <w:tc>
          <w:tcPr>
            <w:tcW w:w="992" w:type="dxa"/>
            <w:tcBorders>
              <w:top w:val="nil"/>
              <w:left w:val="nil"/>
              <w:bottom w:val="nil"/>
              <w:right w:val="single" w:sz="4" w:space="0" w:color="auto"/>
            </w:tcBorders>
            <w:shd w:val="clear" w:color="auto" w:fill="auto"/>
            <w:noWrap/>
            <w:vAlign w:val="center"/>
          </w:tcPr>
          <w:p w:rsidR="007A49EF" w:rsidRPr="00251317" w:rsidRDefault="007A49EF" w:rsidP="007A49EF">
            <w:pPr>
              <w:jc w:val="center"/>
              <w:rPr>
                <w:rFonts w:ascii="Arial" w:hAnsi="Arial" w:cs="Arial"/>
                <w:sz w:val="18"/>
                <w:szCs w:val="18"/>
              </w:rPr>
            </w:pPr>
            <w:r w:rsidRPr="00251317">
              <w:rPr>
                <w:rFonts w:ascii="Arial" w:hAnsi="Arial" w:cs="Arial"/>
                <w:sz w:val="18"/>
                <w:szCs w:val="18"/>
              </w:rPr>
              <w:t>1160,0</w:t>
            </w:r>
          </w:p>
        </w:tc>
        <w:tc>
          <w:tcPr>
            <w:tcW w:w="851" w:type="dxa"/>
            <w:tcBorders>
              <w:top w:val="nil"/>
              <w:left w:val="nil"/>
              <w:bottom w:val="nil"/>
              <w:right w:val="single" w:sz="4" w:space="0" w:color="auto"/>
            </w:tcBorders>
            <w:shd w:val="clear" w:color="auto" w:fill="auto"/>
            <w:noWrap/>
            <w:vAlign w:val="center"/>
          </w:tcPr>
          <w:p w:rsidR="007A49EF" w:rsidRPr="00251317" w:rsidRDefault="007A49EF" w:rsidP="007A49EF">
            <w:pPr>
              <w:jc w:val="center"/>
              <w:rPr>
                <w:rFonts w:ascii="Arial" w:hAnsi="Arial" w:cs="Arial"/>
                <w:sz w:val="18"/>
                <w:szCs w:val="18"/>
              </w:rPr>
            </w:pPr>
            <w:r w:rsidRPr="00251317">
              <w:rPr>
                <w:rFonts w:ascii="Arial" w:hAnsi="Arial" w:cs="Arial"/>
                <w:sz w:val="18"/>
                <w:szCs w:val="18"/>
              </w:rPr>
              <w:t>593,4</w:t>
            </w:r>
          </w:p>
        </w:tc>
        <w:tc>
          <w:tcPr>
            <w:tcW w:w="850" w:type="dxa"/>
            <w:tcBorders>
              <w:top w:val="nil"/>
              <w:left w:val="nil"/>
              <w:bottom w:val="nil"/>
              <w:right w:val="nil"/>
            </w:tcBorders>
            <w:shd w:val="clear" w:color="auto" w:fill="auto"/>
            <w:noWrap/>
            <w:vAlign w:val="center"/>
          </w:tcPr>
          <w:p w:rsidR="007A49EF" w:rsidRPr="00251317" w:rsidRDefault="007A49EF" w:rsidP="007A49EF">
            <w:pPr>
              <w:jc w:val="center"/>
              <w:rPr>
                <w:rFonts w:ascii="Arial" w:hAnsi="Arial" w:cs="Arial"/>
                <w:sz w:val="18"/>
                <w:szCs w:val="18"/>
              </w:rPr>
            </w:pPr>
            <w:r w:rsidRPr="00251317">
              <w:rPr>
                <w:rFonts w:ascii="Arial" w:hAnsi="Arial" w:cs="Arial"/>
                <w:sz w:val="18"/>
                <w:szCs w:val="18"/>
              </w:rPr>
              <w:t>566,7</w:t>
            </w:r>
          </w:p>
        </w:tc>
        <w:tc>
          <w:tcPr>
            <w:tcW w:w="851" w:type="dxa"/>
            <w:tcBorders>
              <w:top w:val="nil"/>
              <w:left w:val="single" w:sz="4" w:space="0" w:color="auto"/>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18"/>
                <w:szCs w:val="18"/>
              </w:rPr>
            </w:pPr>
            <w:r w:rsidRPr="007A49EF">
              <w:rPr>
                <w:rFonts w:ascii="Arial" w:hAnsi="Arial" w:cs="Arial"/>
                <w:sz w:val="18"/>
                <w:szCs w:val="18"/>
              </w:rPr>
              <w:t xml:space="preserve">-42,7 </w:t>
            </w:r>
          </w:p>
        </w:tc>
        <w:tc>
          <w:tcPr>
            <w:tcW w:w="709"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18"/>
                <w:szCs w:val="18"/>
              </w:rPr>
            </w:pPr>
            <w:r w:rsidRPr="007A49EF">
              <w:rPr>
                <w:rFonts w:ascii="Arial" w:hAnsi="Arial" w:cs="Arial"/>
                <w:sz w:val="18"/>
                <w:szCs w:val="18"/>
              </w:rPr>
              <w:t xml:space="preserve">-22,2 </w:t>
            </w:r>
          </w:p>
        </w:tc>
        <w:tc>
          <w:tcPr>
            <w:tcW w:w="726" w:type="dxa"/>
            <w:tcBorders>
              <w:top w:val="nil"/>
              <w:left w:val="nil"/>
              <w:bottom w:val="nil"/>
              <w:right w:val="nil"/>
            </w:tcBorders>
            <w:shd w:val="clear" w:color="auto" w:fill="auto"/>
            <w:noWrap/>
            <w:vAlign w:val="center"/>
          </w:tcPr>
          <w:p w:rsidR="007A49EF" w:rsidRPr="007A49EF" w:rsidRDefault="007A49EF" w:rsidP="007A49EF">
            <w:pPr>
              <w:jc w:val="right"/>
              <w:rPr>
                <w:rFonts w:ascii="Arial" w:hAnsi="Arial" w:cs="Arial"/>
                <w:sz w:val="18"/>
                <w:szCs w:val="18"/>
              </w:rPr>
            </w:pPr>
            <w:r w:rsidRPr="007A49EF">
              <w:rPr>
                <w:rFonts w:ascii="Arial" w:hAnsi="Arial" w:cs="Arial"/>
                <w:sz w:val="18"/>
                <w:szCs w:val="18"/>
              </w:rPr>
              <w:t xml:space="preserve">-20,4 </w:t>
            </w:r>
          </w:p>
        </w:tc>
        <w:tc>
          <w:tcPr>
            <w:tcW w:w="709" w:type="dxa"/>
            <w:tcBorders>
              <w:top w:val="nil"/>
              <w:left w:val="single" w:sz="4" w:space="0" w:color="auto"/>
              <w:bottom w:val="nil"/>
              <w:right w:val="double" w:sz="6" w:space="0" w:color="auto"/>
            </w:tcBorders>
            <w:shd w:val="clear" w:color="auto" w:fill="auto"/>
            <w:noWrap/>
            <w:vAlign w:val="center"/>
          </w:tcPr>
          <w:p w:rsidR="007A49EF" w:rsidRPr="00251317" w:rsidRDefault="007A49EF" w:rsidP="007A49EF">
            <w:pPr>
              <w:jc w:val="right"/>
              <w:rPr>
                <w:rFonts w:ascii="Arial" w:hAnsi="Arial" w:cs="Arial"/>
                <w:sz w:val="18"/>
                <w:szCs w:val="18"/>
              </w:rPr>
            </w:pPr>
            <w:r w:rsidRPr="00251317">
              <w:rPr>
                <w:rFonts w:ascii="Arial" w:hAnsi="Arial" w:cs="Arial"/>
                <w:sz w:val="18"/>
                <w:szCs w:val="18"/>
              </w:rPr>
              <w:t xml:space="preserve">96,4 </w:t>
            </w:r>
          </w:p>
        </w:tc>
      </w:tr>
      <w:tr w:rsidR="007A49EF" w:rsidRPr="00251317" w:rsidTr="007A49EF">
        <w:trPr>
          <w:trHeight w:val="340"/>
        </w:trPr>
        <w:tc>
          <w:tcPr>
            <w:tcW w:w="896" w:type="dxa"/>
            <w:tcBorders>
              <w:top w:val="nil"/>
              <w:left w:val="double" w:sz="6" w:space="0" w:color="auto"/>
              <w:bottom w:val="nil"/>
              <w:right w:val="nil"/>
            </w:tcBorders>
            <w:shd w:val="clear" w:color="auto" w:fill="auto"/>
            <w:noWrap/>
            <w:vAlign w:val="center"/>
          </w:tcPr>
          <w:p w:rsidR="007A49EF" w:rsidRPr="00251317" w:rsidRDefault="007A49EF" w:rsidP="007A49EF">
            <w:pPr>
              <w:jc w:val="center"/>
              <w:rPr>
                <w:rFonts w:ascii="Arial" w:hAnsi="Arial" w:cs="Arial"/>
                <w:sz w:val="18"/>
                <w:szCs w:val="18"/>
              </w:rPr>
            </w:pPr>
            <w:r w:rsidRPr="00251317">
              <w:rPr>
                <w:rFonts w:ascii="Arial" w:hAnsi="Arial" w:cs="Arial"/>
                <w:sz w:val="18"/>
                <w:szCs w:val="18"/>
              </w:rPr>
              <w:t>25 - 39</w:t>
            </w:r>
          </w:p>
        </w:tc>
        <w:tc>
          <w:tcPr>
            <w:tcW w:w="970" w:type="dxa"/>
            <w:tcBorders>
              <w:top w:val="nil"/>
              <w:left w:val="single" w:sz="4" w:space="0" w:color="auto"/>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18"/>
                <w:szCs w:val="18"/>
              </w:rPr>
            </w:pPr>
            <w:r w:rsidRPr="00251317">
              <w:rPr>
                <w:rFonts w:ascii="Arial" w:hAnsi="Arial" w:cs="Arial"/>
                <w:sz w:val="18"/>
                <w:szCs w:val="18"/>
              </w:rPr>
              <w:t>2481,5</w:t>
            </w:r>
          </w:p>
        </w:tc>
        <w:tc>
          <w:tcPr>
            <w:tcW w:w="851"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18"/>
                <w:szCs w:val="18"/>
              </w:rPr>
            </w:pPr>
            <w:r w:rsidRPr="00251317">
              <w:rPr>
                <w:rFonts w:ascii="Arial" w:hAnsi="Arial" w:cs="Arial"/>
                <w:sz w:val="18"/>
                <w:szCs w:val="18"/>
              </w:rPr>
              <w:t>1277,0</w:t>
            </w:r>
          </w:p>
        </w:tc>
        <w:tc>
          <w:tcPr>
            <w:tcW w:w="850"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18"/>
                <w:szCs w:val="18"/>
              </w:rPr>
            </w:pPr>
            <w:r w:rsidRPr="00251317">
              <w:rPr>
                <w:rFonts w:ascii="Arial" w:hAnsi="Arial" w:cs="Arial"/>
                <w:sz w:val="18"/>
                <w:szCs w:val="18"/>
              </w:rPr>
              <w:t>1204,5</w:t>
            </w:r>
          </w:p>
        </w:tc>
        <w:tc>
          <w:tcPr>
            <w:tcW w:w="992" w:type="dxa"/>
            <w:tcBorders>
              <w:top w:val="nil"/>
              <w:left w:val="nil"/>
              <w:bottom w:val="nil"/>
              <w:right w:val="single" w:sz="4" w:space="0" w:color="auto"/>
            </w:tcBorders>
            <w:shd w:val="clear" w:color="auto" w:fill="auto"/>
            <w:noWrap/>
            <w:vAlign w:val="center"/>
          </w:tcPr>
          <w:p w:rsidR="007A49EF" w:rsidRPr="00251317" w:rsidRDefault="007A49EF" w:rsidP="007A49EF">
            <w:pPr>
              <w:jc w:val="center"/>
              <w:rPr>
                <w:rFonts w:ascii="Arial" w:hAnsi="Arial" w:cs="Arial"/>
                <w:sz w:val="18"/>
                <w:szCs w:val="18"/>
              </w:rPr>
            </w:pPr>
            <w:r w:rsidRPr="00251317">
              <w:rPr>
                <w:rFonts w:ascii="Arial" w:hAnsi="Arial" w:cs="Arial"/>
                <w:sz w:val="18"/>
                <w:szCs w:val="18"/>
              </w:rPr>
              <w:t>2452,3</w:t>
            </w:r>
          </w:p>
        </w:tc>
        <w:tc>
          <w:tcPr>
            <w:tcW w:w="851" w:type="dxa"/>
            <w:tcBorders>
              <w:top w:val="nil"/>
              <w:left w:val="nil"/>
              <w:bottom w:val="nil"/>
              <w:right w:val="single" w:sz="4" w:space="0" w:color="auto"/>
            </w:tcBorders>
            <w:shd w:val="clear" w:color="auto" w:fill="auto"/>
            <w:noWrap/>
            <w:vAlign w:val="center"/>
          </w:tcPr>
          <w:p w:rsidR="007A49EF" w:rsidRPr="00251317" w:rsidRDefault="007A49EF" w:rsidP="007A49EF">
            <w:pPr>
              <w:jc w:val="center"/>
              <w:rPr>
                <w:rFonts w:ascii="Arial" w:hAnsi="Arial" w:cs="Arial"/>
                <w:sz w:val="18"/>
                <w:szCs w:val="18"/>
              </w:rPr>
            </w:pPr>
            <w:r w:rsidRPr="00251317">
              <w:rPr>
                <w:rFonts w:ascii="Arial" w:hAnsi="Arial" w:cs="Arial"/>
                <w:sz w:val="18"/>
                <w:szCs w:val="18"/>
              </w:rPr>
              <w:t>1261,3</w:t>
            </w:r>
          </w:p>
        </w:tc>
        <w:tc>
          <w:tcPr>
            <w:tcW w:w="850" w:type="dxa"/>
            <w:tcBorders>
              <w:top w:val="nil"/>
              <w:left w:val="nil"/>
              <w:bottom w:val="nil"/>
              <w:right w:val="nil"/>
            </w:tcBorders>
            <w:shd w:val="clear" w:color="auto" w:fill="auto"/>
            <w:noWrap/>
            <w:vAlign w:val="center"/>
          </w:tcPr>
          <w:p w:rsidR="007A49EF" w:rsidRPr="00251317" w:rsidRDefault="007A49EF" w:rsidP="007A49EF">
            <w:pPr>
              <w:jc w:val="center"/>
              <w:rPr>
                <w:rFonts w:ascii="Arial" w:hAnsi="Arial" w:cs="Arial"/>
                <w:sz w:val="18"/>
                <w:szCs w:val="18"/>
              </w:rPr>
            </w:pPr>
            <w:r w:rsidRPr="00251317">
              <w:rPr>
                <w:rFonts w:ascii="Arial" w:hAnsi="Arial" w:cs="Arial"/>
                <w:sz w:val="18"/>
                <w:szCs w:val="18"/>
              </w:rPr>
              <w:t>1191,1</w:t>
            </w:r>
          </w:p>
        </w:tc>
        <w:tc>
          <w:tcPr>
            <w:tcW w:w="851" w:type="dxa"/>
            <w:tcBorders>
              <w:top w:val="nil"/>
              <w:left w:val="single" w:sz="4" w:space="0" w:color="auto"/>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18"/>
                <w:szCs w:val="18"/>
              </w:rPr>
            </w:pPr>
            <w:r w:rsidRPr="007A49EF">
              <w:rPr>
                <w:rFonts w:ascii="Arial" w:hAnsi="Arial" w:cs="Arial"/>
                <w:sz w:val="18"/>
                <w:szCs w:val="18"/>
              </w:rPr>
              <w:t xml:space="preserve">-29,2 </w:t>
            </w:r>
          </w:p>
        </w:tc>
        <w:tc>
          <w:tcPr>
            <w:tcW w:w="709"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18"/>
                <w:szCs w:val="18"/>
              </w:rPr>
            </w:pPr>
            <w:r w:rsidRPr="007A49EF">
              <w:rPr>
                <w:rFonts w:ascii="Arial" w:hAnsi="Arial" w:cs="Arial"/>
                <w:sz w:val="18"/>
                <w:szCs w:val="18"/>
              </w:rPr>
              <w:t xml:space="preserve">-15,7 </w:t>
            </w:r>
          </w:p>
        </w:tc>
        <w:tc>
          <w:tcPr>
            <w:tcW w:w="726" w:type="dxa"/>
            <w:tcBorders>
              <w:top w:val="nil"/>
              <w:left w:val="nil"/>
              <w:bottom w:val="nil"/>
              <w:right w:val="nil"/>
            </w:tcBorders>
            <w:shd w:val="clear" w:color="auto" w:fill="auto"/>
            <w:noWrap/>
            <w:vAlign w:val="center"/>
          </w:tcPr>
          <w:p w:rsidR="007A49EF" w:rsidRPr="007A49EF" w:rsidRDefault="007A49EF" w:rsidP="007A49EF">
            <w:pPr>
              <w:jc w:val="right"/>
              <w:rPr>
                <w:rFonts w:ascii="Arial" w:hAnsi="Arial" w:cs="Arial"/>
                <w:sz w:val="18"/>
                <w:szCs w:val="18"/>
              </w:rPr>
            </w:pPr>
            <w:r w:rsidRPr="007A49EF">
              <w:rPr>
                <w:rFonts w:ascii="Arial" w:hAnsi="Arial" w:cs="Arial"/>
                <w:sz w:val="18"/>
                <w:szCs w:val="18"/>
              </w:rPr>
              <w:t xml:space="preserve">-13,4 </w:t>
            </w:r>
          </w:p>
        </w:tc>
        <w:tc>
          <w:tcPr>
            <w:tcW w:w="709" w:type="dxa"/>
            <w:tcBorders>
              <w:top w:val="nil"/>
              <w:left w:val="single" w:sz="4" w:space="0" w:color="auto"/>
              <w:bottom w:val="nil"/>
              <w:right w:val="double" w:sz="6" w:space="0" w:color="auto"/>
            </w:tcBorders>
            <w:shd w:val="clear" w:color="auto" w:fill="auto"/>
            <w:noWrap/>
            <w:vAlign w:val="center"/>
          </w:tcPr>
          <w:p w:rsidR="007A49EF" w:rsidRPr="00251317" w:rsidRDefault="007A49EF" w:rsidP="007A49EF">
            <w:pPr>
              <w:jc w:val="right"/>
              <w:rPr>
                <w:rFonts w:ascii="Arial" w:hAnsi="Arial" w:cs="Arial"/>
                <w:sz w:val="18"/>
                <w:szCs w:val="18"/>
              </w:rPr>
            </w:pPr>
            <w:r w:rsidRPr="00251317">
              <w:rPr>
                <w:rFonts w:ascii="Arial" w:hAnsi="Arial" w:cs="Arial"/>
                <w:sz w:val="18"/>
                <w:szCs w:val="18"/>
              </w:rPr>
              <w:t xml:space="preserve">98,8 </w:t>
            </w:r>
          </w:p>
        </w:tc>
      </w:tr>
      <w:tr w:rsidR="007A49EF" w:rsidRPr="00251317" w:rsidTr="007A49EF">
        <w:trPr>
          <w:trHeight w:val="340"/>
        </w:trPr>
        <w:tc>
          <w:tcPr>
            <w:tcW w:w="896" w:type="dxa"/>
            <w:tcBorders>
              <w:top w:val="nil"/>
              <w:left w:val="double" w:sz="6" w:space="0" w:color="auto"/>
              <w:right w:val="nil"/>
            </w:tcBorders>
            <w:shd w:val="clear" w:color="auto" w:fill="auto"/>
            <w:noWrap/>
            <w:vAlign w:val="center"/>
          </w:tcPr>
          <w:p w:rsidR="007A49EF" w:rsidRPr="00251317" w:rsidRDefault="007A49EF" w:rsidP="007A49EF">
            <w:pPr>
              <w:jc w:val="center"/>
              <w:rPr>
                <w:rFonts w:ascii="Arial" w:hAnsi="Arial" w:cs="Arial"/>
                <w:sz w:val="18"/>
                <w:szCs w:val="18"/>
              </w:rPr>
            </w:pPr>
            <w:r w:rsidRPr="00251317">
              <w:rPr>
                <w:rFonts w:ascii="Arial" w:hAnsi="Arial" w:cs="Arial"/>
                <w:sz w:val="18"/>
                <w:szCs w:val="18"/>
              </w:rPr>
              <w:t>40 - 54</w:t>
            </w:r>
          </w:p>
        </w:tc>
        <w:tc>
          <w:tcPr>
            <w:tcW w:w="970" w:type="dxa"/>
            <w:tcBorders>
              <w:top w:val="nil"/>
              <w:left w:val="single" w:sz="4" w:space="0" w:color="auto"/>
              <w:right w:val="single" w:sz="4" w:space="0" w:color="auto"/>
            </w:tcBorders>
            <w:shd w:val="clear" w:color="auto" w:fill="auto"/>
            <w:noWrap/>
            <w:vAlign w:val="center"/>
          </w:tcPr>
          <w:p w:rsidR="007A49EF" w:rsidRPr="00251317" w:rsidRDefault="007A49EF" w:rsidP="007A49EF">
            <w:pPr>
              <w:jc w:val="right"/>
              <w:rPr>
                <w:rFonts w:ascii="Arial" w:hAnsi="Arial" w:cs="Arial"/>
                <w:sz w:val="18"/>
                <w:szCs w:val="18"/>
              </w:rPr>
            </w:pPr>
            <w:r w:rsidRPr="00251317">
              <w:rPr>
                <w:rFonts w:ascii="Arial" w:hAnsi="Arial" w:cs="Arial"/>
                <w:sz w:val="18"/>
                <w:szCs w:val="18"/>
              </w:rPr>
              <w:t>2078,5</w:t>
            </w:r>
          </w:p>
        </w:tc>
        <w:tc>
          <w:tcPr>
            <w:tcW w:w="851" w:type="dxa"/>
            <w:tcBorders>
              <w:top w:val="nil"/>
              <w:left w:val="nil"/>
              <w:right w:val="single" w:sz="4" w:space="0" w:color="auto"/>
            </w:tcBorders>
            <w:shd w:val="clear" w:color="auto" w:fill="auto"/>
            <w:noWrap/>
            <w:vAlign w:val="center"/>
          </w:tcPr>
          <w:p w:rsidR="007A49EF" w:rsidRPr="00251317" w:rsidRDefault="007A49EF" w:rsidP="007A49EF">
            <w:pPr>
              <w:jc w:val="right"/>
              <w:rPr>
                <w:rFonts w:ascii="Arial" w:hAnsi="Arial" w:cs="Arial"/>
                <w:sz w:val="18"/>
                <w:szCs w:val="18"/>
              </w:rPr>
            </w:pPr>
            <w:r w:rsidRPr="00251317">
              <w:rPr>
                <w:rFonts w:ascii="Arial" w:hAnsi="Arial" w:cs="Arial"/>
                <w:sz w:val="18"/>
                <w:szCs w:val="18"/>
              </w:rPr>
              <w:t>1058,6</w:t>
            </w:r>
          </w:p>
        </w:tc>
        <w:tc>
          <w:tcPr>
            <w:tcW w:w="850" w:type="dxa"/>
            <w:tcBorders>
              <w:top w:val="nil"/>
              <w:left w:val="nil"/>
              <w:right w:val="single" w:sz="4" w:space="0" w:color="auto"/>
            </w:tcBorders>
            <w:shd w:val="clear" w:color="auto" w:fill="auto"/>
            <w:noWrap/>
            <w:vAlign w:val="center"/>
          </w:tcPr>
          <w:p w:rsidR="007A49EF" w:rsidRPr="00251317" w:rsidRDefault="007A49EF" w:rsidP="007A49EF">
            <w:pPr>
              <w:jc w:val="right"/>
              <w:rPr>
                <w:rFonts w:ascii="Arial" w:hAnsi="Arial" w:cs="Arial"/>
                <w:sz w:val="18"/>
                <w:szCs w:val="18"/>
              </w:rPr>
            </w:pPr>
            <w:r w:rsidRPr="00251317">
              <w:rPr>
                <w:rFonts w:ascii="Arial" w:hAnsi="Arial" w:cs="Arial"/>
                <w:sz w:val="18"/>
                <w:szCs w:val="18"/>
              </w:rPr>
              <w:t>1019,9</w:t>
            </w:r>
          </w:p>
        </w:tc>
        <w:tc>
          <w:tcPr>
            <w:tcW w:w="992" w:type="dxa"/>
            <w:tcBorders>
              <w:top w:val="nil"/>
              <w:left w:val="nil"/>
              <w:right w:val="single" w:sz="4" w:space="0" w:color="auto"/>
            </w:tcBorders>
            <w:shd w:val="clear" w:color="auto" w:fill="auto"/>
            <w:noWrap/>
            <w:vAlign w:val="center"/>
          </w:tcPr>
          <w:p w:rsidR="007A49EF" w:rsidRPr="00251317" w:rsidRDefault="007A49EF" w:rsidP="007A49EF">
            <w:pPr>
              <w:jc w:val="center"/>
              <w:rPr>
                <w:rFonts w:ascii="Arial" w:hAnsi="Arial" w:cs="Arial"/>
                <w:sz w:val="18"/>
                <w:szCs w:val="18"/>
              </w:rPr>
            </w:pPr>
            <w:r w:rsidRPr="00251317">
              <w:rPr>
                <w:rFonts w:ascii="Arial" w:hAnsi="Arial" w:cs="Arial"/>
                <w:sz w:val="18"/>
                <w:szCs w:val="18"/>
              </w:rPr>
              <w:t>2103,1</w:t>
            </w:r>
          </w:p>
        </w:tc>
        <w:tc>
          <w:tcPr>
            <w:tcW w:w="851" w:type="dxa"/>
            <w:tcBorders>
              <w:top w:val="nil"/>
              <w:left w:val="nil"/>
              <w:right w:val="single" w:sz="4" w:space="0" w:color="auto"/>
            </w:tcBorders>
            <w:shd w:val="clear" w:color="auto" w:fill="auto"/>
            <w:noWrap/>
            <w:vAlign w:val="center"/>
          </w:tcPr>
          <w:p w:rsidR="007A49EF" w:rsidRPr="00251317" w:rsidRDefault="007A49EF" w:rsidP="007A49EF">
            <w:pPr>
              <w:jc w:val="center"/>
              <w:rPr>
                <w:rFonts w:ascii="Arial" w:hAnsi="Arial" w:cs="Arial"/>
                <w:sz w:val="18"/>
                <w:szCs w:val="18"/>
              </w:rPr>
            </w:pPr>
            <w:r w:rsidRPr="00251317">
              <w:rPr>
                <w:rFonts w:ascii="Arial" w:hAnsi="Arial" w:cs="Arial"/>
                <w:sz w:val="18"/>
                <w:szCs w:val="18"/>
              </w:rPr>
              <w:t>1072,8</w:t>
            </w:r>
          </w:p>
        </w:tc>
        <w:tc>
          <w:tcPr>
            <w:tcW w:w="850" w:type="dxa"/>
            <w:tcBorders>
              <w:top w:val="nil"/>
              <w:left w:val="nil"/>
              <w:right w:val="nil"/>
            </w:tcBorders>
            <w:shd w:val="clear" w:color="auto" w:fill="auto"/>
            <w:noWrap/>
            <w:vAlign w:val="center"/>
          </w:tcPr>
          <w:p w:rsidR="007A49EF" w:rsidRPr="00251317" w:rsidRDefault="007A49EF" w:rsidP="007A49EF">
            <w:pPr>
              <w:jc w:val="center"/>
              <w:rPr>
                <w:rFonts w:ascii="Arial" w:hAnsi="Arial" w:cs="Arial"/>
                <w:sz w:val="18"/>
                <w:szCs w:val="18"/>
              </w:rPr>
            </w:pPr>
            <w:r w:rsidRPr="00251317">
              <w:rPr>
                <w:rFonts w:ascii="Arial" w:hAnsi="Arial" w:cs="Arial"/>
                <w:sz w:val="18"/>
                <w:szCs w:val="18"/>
              </w:rPr>
              <w:t>1030,3</w:t>
            </w:r>
          </w:p>
        </w:tc>
        <w:tc>
          <w:tcPr>
            <w:tcW w:w="851" w:type="dxa"/>
            <w:tcBorders>
              <w:top w:val="nil"/>
              <w:left w:val="single" w:sz="4" w:space="0" w:color="auto"/>
              <w:right w:val="single" w:sz="4" w:space="0" w:color="auto"/>
            </w:tcBorders>
            <w:shd w:val="clear" w:color="auto" w:fill="auto"/>
            <w:noWrap/>
            <w:vAlign w:val="center"/>
          </w:tcPr>
          <w:p w:rsidR="007A49EF" w:rsidRPr="007A49EF" w:rsidRDefault="007A49EF" w:rsidP="007A49EF">
            <w:pPr>
              <w:jc w:val="right"/>
              <w:rPr>
                <w:rFonts w:ascii="Arial" w:hAnsi="Arial" w:cs="Arial"/>
                <w:sz w:val="18"/>
                <w:szCs w:val="18"/>
              </w:rPr>
            </w:pPr>
            <w:r w:rsidRPr="007A49EF">
              <w:rPr>
                <w:rFonts w:ascii="Arial" w:hAnsi="Arial" w:cs="Arial"/>
                <w:sz w:val="18"/>
                <w:szCs w:val="18"/>
              </w:rPr>
              <w:t xml:space="preserve">24,6 </w:t>
            </w:r>
          </w:p>
        </w:tc>
        <w:tc>
          <w:tcPr>
            <w:tcW w:w="709" w:type="dxa"/>
            <w:tcBorders>
              <w:top w:val="nil"/>
              <w:left w:val="nil"/>
              <w:right w:val="single" w:sz="4" w:space="0" w:color="auto"/>
            </w:tcBorders>
            <w:shd w:val="clear" w:color="auto" w:fill="auto"/>
            <w:noWrap/>
            <w:vAlign w:val="center"/>
          </w:tcPr>
          <w:p w:rsidR="007A49EF" w:rsidRPr="007A49EF" w:rsidRDefault="007A49EF" w:rsidP="007A49EF">
            <w:pPr>
              <w:jc w:val="right"/>
              <w:rPr>
                <w:rFonts w:ascii="Arial" w:hAnsi="Arial" w:cs="Arial"/>
                <w:sz w:val="18"/>
                <w:szCs w:val="18"/>
              </w:rPr>
            </w:pPr>
            <w:r w:rsidRPr="007A49EF">
              <w:rPr>
                <w:rFonts w:ascii="Arial" w:hAnsi="Arial" w:cs="Arial"/>
                <w:sz w:val="18"/>
                <w:szCs w:val="18"/>
              </w:rPr>
              <w:t xml:space="preserve">14,2 </w:t>
            </w:r>
          </w:p>
        </w:tc>
        <w:tc>
          <w:tcPr>
            <w:tcW w:w="726" w:type="dxa"/>
            <w:tcBorders>
              <w:top w:val="nil"/>
              <w:left w:val="nil"/>
              <w:right w:val="nil"/>
            </w:tcBorders>
            <w:shd w:val="clear" w:color="auto" w:fill="auto"/>
            <w:noWrap/>
            <w:vAlign w:val="center"/>
          </w:tcPr>
          <w:p w:rsidR="007A49EF" w:rsidRPr="007A49EF" w:rsidRDefault="007A49EF" w:rsidP="007A49EF">
            <w:pPr>
              <w:jc w:val="right"/>
              <w:rPr>
                <w:rFonts w:ascii="Arial" w:hAnsi="Arial" w:cs="Arial"/>
                <w:sz w:val="18"/>
                <w:szCs w:val="18"/>
              </w:rPr>
            </w:pPr>
            <w:r w:rsidRPr="007A49EF">
              <w:rPr>
                <w:rFonts w:ascii="Arial" w:hAnsi="Arial" w:cs="Arial"/>
                <w:sz w:val="18"/>
                <w:szCs w:val="18"/>
              </w:rPr>
              <w:t xml:space="preserve">10,4 </w:t>
            </w:r>
          </w:p>
        </w:tc>
        <w:tc>
          <w:tcPr>
            <w:tcW w:w="709" w:type="dxa"/>
            <w:tcBorders>
              <w:top w:val="nil"/>
              <w:left w:val="single" w:sz="4" w:space="0" w:color="auto"/>
              <w:right w:val="double" w:sz="6" w:space="0" w:color="auto"/>
            </w:tcBorders>
            <w:shd w:val="clear" w:color="auto" w:fill="auto"/>
            <w:noWrap/>
            <w:vAlign w:val="center"/>
          </w:tcPr>
          <w:p w:rsidR="007A49EF" w:rsidRPr="00251317" w:rsidRDefault="007A49EF" w:rsidP="007A49EF">
            <w:pPr>
              <w:jc w:val="right"/>
              <w:rPr>
                <w:rFonts w:ascii="Arial" w:hAnsi="Arial" w:cs="Arial"/>
                <w:sz w:val="18"/>
                <w:szCs w:val="18"/>
              </w:rPr>
            </w:pPr>
            <w:r w:rsidRPr="00251317">
              <w:rPr>
                <w:rFonts w:ascii="Arial" w:hAnsi="Arial" w:cs="Arial"/>
                <w:sz w:val="18"/>
                <w:szCs w:val="18"/>
              </w:rPr>
              <w:t xml:space="preserve">101,2 </w:t>
            </w:r>
          </w:p>
        </w:tc>
      </w:tr>
      <w:tr w:rsidR="007A49EF" w:rsidRPr="00251317" w:rsidTr="007A49EF">
        <w:trPr>
          <w:trHeight w:val="340"/>
        </w:trPr>
        <w:tc>
          <w:tcPr>
            <w:tcW w:w="896" w:type="dxa"/>
            <w:tcBorders>
              <w:top w:val="nil"/>
              <w:left w:val="double" w:sz="6" w:space="0" w:color="auto"/>
              <w:bottom w:val="nil"/>
              <w:right w:val="nil"/>
            </w:tcBorders>
            <w:shd w:val="clear" w:color="auto" w:fill="auto"/>
            <w:noWrap/>
            <w:vAlign w:val="center"/>
          </w:tcPr>
          <w:p w:rsidR="007A49EF" w:rsidRPr="00251317" w:rsidRDefault="007A49EF" w:rsidP="007A49EF">
            <w:pPr>
              <w:jc w:val="center"/>
              <w:rPr>
                <w:rFonts w:ascii="Arial" w:hAnsi="Arial" w:cs="Arial"/>
                <w:sz w:val="18"/>
                <w:szCs w:val="18"/>
              </w:rPr>
            </w:pPr>
            <w:r w:rsidRPr="00251317">
              <w:rPr>
                <w:rFonts w:ascii="Arial" w:hAnsi="Arial" w:cs="Arial"/>
                <w:sz w:val="18"/>
                <w:szCs w:val="18"/>
              </w:rPr>
              <w:t>55 - 64</w:t>
            </w:r>
          </w:p>
        </w:tc>
        <w:tc>
          <w:tcPr>
            <w:tcW w:w="970" w:type="dxa"/>
            <w:tcBorders>
              <w:top w:val="nil"/>
              <w:left w:val="single" w:sz="4" w:space="0" w:color="auto"/>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18"/>
                <w:szCs w:val="18"/>
              </w:rPr>
            </w:pPr>
            <w:r w:rsidRPr="00251317">
              <w:rPr>
                <w:rFonts w:ascii="Arial" w:hAnsi="Arial" w:cs="Arial"/>
                <w:sz w:val="18"/>
                <w:szCs w:val="18"/>
              </w:rPr>
              <w:t>1483,6</w:t>
            </w:r>
          </w:p>
        </w:tc>
        <w:tc>
          <w:tcPr>
            <w:tcW w:w="851"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18"/>
                <w:szCs w:val="18"/>
              </w:rPr>
            </w:pPr>
            <w:r w:rsidRPr="00251317">
              <w:rPr>
                <w:rFonts w:ascii="Arial" w:hAnsi="Arial" w:cs="Arial"/>
                <w:sz w:val="18"/>
                <w:szCs w:val="18"/>
              </w:rPr>
              <w:t>717,0</w:t>
            </w:r>
          </w:p>
        </w:tc>
        <w:tc>
          <w:tcPr>
            <w:tcW w:w="850"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18"/>
                <w:szCs w:val="18"/>
              </w:rPr>
            </w:pPr>
            <w:r w:rsidRPr="00251317">
              <w:rPr>
                <w:rFonts w:ascii="Arial" w:hAnsi="Arial" w:cs="Arial"/>
                <w:sz w:val="18"/>
                <w:szCs w:val="18"/>
              </w:rPr>
              <w:t>766,6</w:t>
            </w:r>
          </w:p>
        </w:tc>
        <w:tc>
          <w:tcPr>
            <w:tcW w:w="992" w:type="dxa"/>
            <w:tcBorders>
              <w:top w:val="nil"/>
              <w:left w:val="nil"/>
              <w:bottom w:val="nil"/>
              <w:right w:val="single" w:sz="4" w:space="0" w:color="auto"/>
            </w:tcBorders>
            <w:shd w:val="clear" w:color="auto" w:fill="auto"/>
            <w:noWrap/>
            <w:vAlign w:val="center"/>
          </w:tcPr>
          <w:p w:rsidR="007A49EF" w:rsidRPr="00251317" w:rsidRDefault="007A49EF" w:rsidP="007A49EF">
            <w:pPr>
              <w:jc w:val="center"/>
              <w:rPr>
                <w:rFonts w:ascii="Arial" w:hAnsi="Arial" w:cs="Arial"/>
                <w:sz w:val="18"/>
                <w:szCs w:val="18"/>
              </w:rPr>
            </w:pPr>
            <w:r w:rsidRPr="00251317">
              <w:rPr>
                <w:rFonts w:ascii="Arial" w:hAnsi="Arial" w:cs="Arial"/>
                <w:sz w:val="18"/>
                <w:szCs w:val="18"/>
              </w:rPr>
              <w:t>1459,4</w:t>
            </w:r>
          </w:p>
        </w:tc>
        <w:tc>
          <w:tcPr>
            <w:tcW w:w="851" w:type="dxa"/>
            <w:tcBorders>
              <w:top w:val="nil"/>
              <w:left w:val="nil"/>
              <w:bottom w:val="nil"/>
              <w:right w:val="single" w:sz="4" w:space="0" w:color="auto"/>
            </w:tcBorders>
            <w:shd w:val="clear" w:color="auto" w:fill="auto"/>
            <w:noWrap/>
            <w:vAlign w:val="center"/>
          </w:tcPr>
          <w:p w:rsidR="007A49EF" w:rsidRPr="00251317" w:rsidRDefault="007A49EF" w:rsidP="007A49EF">
            <w:pPr>
              <w:jc w:val="center"/>
              <w:rPr>
                <w:rFonts w:ascii="Arial" w:hAnsi="Arial" w:cs="Arial"/>
                <w:sz w:val="18"/>
                <w:szCs w:val="18"/>
              </w:rPr>
            </w:pPr>
            <w:r w:rsidRPr="00251317">
              <w:rPr>
                <w:rFonts w:ascii="Arial" w:hAnsi="Arial" w:cs="Arial"/>
                <w:sz w:val="18"/>
                <w:szCs w:val="18"/>
              </w:rPr>
              <w:t>706,6</w:t>
            </w:r>
          </w:p>
        </w:tc>
        <w:tc>
          <w:tcPr>
            <w:tcW w:w="850" w:type="dxa"/>
            <w:tcBorders>
              <w:top w:val="nil"/>
              <w:left w:val="nil"/>
              <w:bottom w:val="nil"/>
              <w:right w:val="nil"/>
            </w:tcBorders>
            <w:shd w:val="clear" w:color="auto" w:fill="auto"/>
            <w:noWrap/>
            <w:vAlign w:val="center"/>
          </w:tcPr>
          <w:p w:rsidR="007A49EF" w:rsidRPr="00251317" w:rsidRDefault="007A49EF" w:rsidP="007A49EF">
            <w:pPr>
              <w:jc w:val="center"/>
              <w:rPr>
                <w:rFonts w:ascii="Arial" w:hAnsi="Arial" w:cs="Arial"/>
                <w:sz w:val="18"/>
                <w:szCs w:val="18"/>
              </w:rPr>
            </w:pPr>
            <w:r w:rsidRPr="00251317">
              <w:rPr>
                <w:rFonts w:ascii="Arial" w:hAnsi="Arial" w:cs="Arial"/>
                <w:sz w:val="18"/>
                <w:szCs w:val="18"/>
              </w:rPr>
              <w:t>752,8</w:t>
            </w:r>
          </w:p>
        </w:tc>
        <w:tc>
          <w:tcPr>
            <w:tcW w:w="851" w:type="dxa"/>
            <w:tcBorders>
              <w:top w:val="nil"/>
              <w:left w:val="single" w:sz="4" w:space="0" w:color="auto"/>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18"/>
                <w:szCs w:val="18"/>
              </w:rPr>
            </w:pPr>
            <w:r w:rsidRPr="007A49EF">
              <w:rPr>
                <w:rFonts w:ascii="Arial" w:hAnsi="Arial" w:cs="Arial"/>
                <w:sz w:val="18"/>
                <w:szCs w:val="18"/>
              </w:rPr>
              <w:t xml:space="preserve">-24,2 </w:t>
            </w:r>
          </w:p>
        </w:tc>
        <w:tc>
          <w:tcPr>
            <w:tcW w:w="709"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18"/>
                <w:szCs w:val="18"/>
              </w:rPr>
            </w:pPr>
            <w:r w:rsidRPr="007A49EF">
              <w:rPr>
                <w:rFonts w:ascii="Arial" w:hAnsi="Arial" w:cs="Arial"/>
                <w:sz w:val="18"/>
                <w:szCs w:val="18"/>
              </w:rPr>
              <w:t xml:space="preserve">-10,4 </w:t>
            </w:r>
          </w:p>
        </w:tc>
        <w:tc>
          <w:tcPr>
            <w:tcW w:w="726" w:type="dxa"/>
            <w:tcBorders>
              <w:top w:val="nil"/>
              <w:left w:val="nil"/>
              <w:bottom w:val="nil"/>
              <w:right w:val="nil"/>
            </w:tcBorders>
            <w:shd w:val="clear" w:color="auto" w:fill="auto"/>
            <w:noWrap/>
            <w:vAlign w:val="center"/>
          </w:tcPr>
          <w:p w:rsidR="007A49EF" w:rsidRPr="007A49EF" w:rsidRDefault="007A49EF" w:rsidP="007A49EF">
            <w:pPr>
              <w:jc w:val="right"/>
              <w:rPr>
                <w:rFonts w:ascii="Arial" w:hAnsi="Arial" w:cs="Arial"/>
                <w:sz w:val="18"/>
                <w:szCs w:val="18"/>
              </w:rPr>
            </w:pPr>
            <w:r w:rsidRPr="007A49EF">
              <w:rPr>
                <w:rFonts w:ascii="Arial" w:hAnsi="Arial" w:cs="Arial"/>
                <w:sz w:val="18"/>
                <w:szCs w:val="18"/>
              </w:rPr>
              <w:t xml:space="preserve">-13,8 </w:t>
            </w:r>
          </w:p>
        </w:tc>
        <w:tc>
          <w:tcPr>
            <w:tcW w:w="709" w:type="dxa"/>
            <w:tcBorders>
              <w:top w:val="nil"/>
              <w:left w:val="single" w:sz="4" w:space="0" w:color="auto"/>
              <w:bottom w:val="nil"/>
              <w:right w:val="double" w:sz="6" w:space="0" w:color="auto"/>
            </w:tcBorders>
            <w:shd w:val="clear" w:color="auto" w:fill="auto"/>
            <w:noWrap/>
            <w:vAlign w:val="center"/>
          </w:tcPr>
          <w:p w:rsidR="007A49EF" w:rsidRPr="00251317" w:rsidRDefault="007A49EF" w:rsidP="007A49EF">
            <w:pPr>
              <w:jc w:val="right"/>
              <w:rPr>
                <w:rFonts w:ascii="Arial" w:hAnsi="Arial" w:cs="Arial"/>
                <w:sz w:val="18"/>
                <w:szCs w:val="18"/>
              </w:rPr>
            </w:pPr>
            <w:r w:rsidRPr="00251317">
              <w:rPr>
                <w:rFonts w:ascii="Arial" w:hAnsi="Arial" w:cs="Arial"/>
                <w:sz w:val="18"/>
                <w:szCs w:val="18"/>
              </w:rPr>
              <w:t xml:space="preserve">98,4 </w:t>
            </w:r>
          </w:p>
        </w:tc>
      </w:tr>
      <w:tr w:rsidR="007A49EF" w:rsidRPr="00251317" w:rsidTr="007A49EF">
        <w:trPr>
          <w:trHeight w:val="340"/>
        </w:trPr>
        <w:tc>
          <w:tcPr>
            <w:tcW w:w="896" w:type="dxa"/>
            <w:tcBorders>
              <w:top w:val="nil"/>
              <w:left w:val="double" w:sz="6" w:space="0" w:color="auto"/>
              <w:bottom w:val="single" w:sz="4" w:space="0" w:color="auto"/>
              <w:right w:val="nil"/>
            </w:tcBorders>
            <w:shd w:val="clear" w:color="auto" w:fill="auto"/>
            <w:noWrap/>
            <w:vAlign w:val="center"/>
          </w:tcPr>
          <w:p w:rsidR="007A49EF" w:rsidRPr="00251317" w:rsidRDefault="007A49EF" w:rsidP="007A49EF">
            <w:pPr>
              <w:jc w:val="center"/>
              <w:rPr>
                <w:rFonts w:ascii="Arial" w:hAnsi="Arial" w:cs="Arial"/>
                <w:sz w:val="18"/>
                <w:szCs w:val="18"/>
              </w:rPr>
            </w:pPr>
            <w:r w:rsidRPr="00251317">
              <w:rPr>
                <w:rFonts w:ascii="Arial" w:hAnsi="Arial" w:cs="Arial"/>
                <w:sz w:val="18"/>
                <w:szCs w:val="18"/>
              </w:rPr>
              <w:t>65+</w:t>
            </w:r>
          </w:p>
        </w:tc>
        <w:tc>
          <w:tcPr>
            <w:tcW w:w="970" w:type="dxa"/>
            <w:tcBorders>
              <w:top w:val="nil"/>
              <w:left w:val="single" w:sz="4" w:space="0" w:color="auto"/>
              <w:bottom w:val="single" w:sz="4" w:space="0" w:color="auto"/>
              <w:right w:val="single" w:sz="4" w:space="0" w:color="auto"/>
            </w:tcBorders>
            <w:shd w:val="clear" w:color="auto" w:fill="auto"/>
            <w:noWrap/>
            <w:vAlign w:val="center"/>
          </w:tcPr>
          <w:p w:rsidR="007A49EF" w:rsidRPr="00251317" w:rsidRDefault="007A49EF" w:rsidP="007A49EF">
            <w:pPr>
              <w:jc w:val="right"/>
              <w:rPr>
                <w:rFonts w:ascii="Arial" w:hAnsi="Arial" w:cs="Arial"/>
                <w:sz w:val="18"/>
                <w:szCs w:val="18"/>
              </w:rPr>
            </w:pPr>
            <w:r w:rsidRPr="00251317">
              <w:rPr>
                <w:rFonts w:ascii="Arial" w:hAnsi="Arial" w:cs="Arial"/>
                <w:sz w:val="18"/>
                <w:szCs w:val="18"/>
              </w:rPr>
              <w:t>1717,2</w:t>
            </w:r>
          </w:p>
        </w:tc>
        <w:tc>
          <w:tcPr>
            <w:tcW w:w="851" w:type="dxa"/>
            <w:tcBorders>
              <w:top w:val="nil"/>
              <w:left w:val="nil"/>
              <w:bottom w:val="single" w:sz="4" w:space="0" w:color="auto"/>
              <w:right w:val="single" w:sz="4" w:space="0" w:color="auto"/>
            </w:tcBorders>
            <w:shd w:val="clear" w:color="auto" w:fill="auto"/>
            <w:noWrap/>
            <w:vAlign w:val="center"/>
          </w:tcPr>
          <w:p w:rsidR="007A49EF" w:rsidRPr="00251317" w:rsidRDefault="007A49EF" w:rsidP="007A49EF">
            <w:pPr>
              <w:jc w:val="right"/>
              <w:rPr>
                <w:rFonts w:ascii="Arial" w:hAnsi="Arial" w:cs="Arial"/>
                <w:sz w:val="18"/>
                <w:szCs w:val="18"/>
              </w:rPr>
            </w:pPr>
            <w:r w:rsidRPr="00251317">
              <w:rPr>
                <w:rFonts w:ascii="Arial" w:hAnsi="Arial" w:cs="Arial"/>
                <w:sz w:val="18"/>
                <w:szCs w:val="18"/>
              </w:rPr>
              <w:t>699,1</w:t>
            </w:r>
          </w:p>
        </w:tc>
        <w:tc>
          <w:tcPr>
            <w:tcW w:w="850" w:type="dxa"/>
            <w:tcBorders>
              <w:top w:val="nil"/>
              <w:left w:val="nil"/>
              <w:bottom w:val="single" w:sz="4" w:space="0" w:color="auto"/>
              <w:right w:val="single" w:sz="4" w:space="0" w:color="auto"/>
            </w:tcBorders>
            <w:shd w:val="clear" w:color="auto" w:fill="auto"/>
            <w:noWrap/>
            <w:vAlign w:val="center"/>
          </w:tcPr>
          <w:p w:rsidR="007A49EF" w:rsidRPr="00251317" w:rsidRDefault="007A49EF" w:rsidP="007A49EF">
            <w:pPr>
              <w:jc w:val="right"/>
              <w:rPr>
                <w:rFonts w:ascii="Arial" w:hAnsi="Arial" w:cs="Arial"/>
                <w:sz w:val="18"/>
                <w:szCs w:val="18"/>
              </w:rPr>
            </w:pPr>
            <w:r w:rsidRPr="00251317">
              <w:rPr>
                <w:rFonts w:ascii="Arial" w:hAnsi="Arial" w:cs="Arial"/>
                <w:sz w:val="18"/>
                <w:szCs w:val="18"/>
              </w:rPr>
              <w:t>1018,2</w:t>
            </w:r>
          </w:p>
        </w:tc>
        <w:tc>
          <w:tcPr>
            <w:tcW w:w="992" w:type="dxa"/>
            <w:tcBorders>
              <w:top w:val="nil"/>
              <w:left w:val="nil"/>
              <w:bottom w:val="single" w:sz="4" w:space="0" w:color="auto"/>
              <w:right w:val="single" w:sz="4" w:space="0" w:color="auto"/>
            </w:tcBorders>
            <w:shd w:val="clear" w:color="auto" w:fill="auto"/>
            <w:noWrap/>
            <w:vAlign w:val="center"/>
          </w:tcPr>
          <w:p w:rsidR="007A49EF" w:rsidRPr="00251317" w:rsidRDefault="007A49EF" w:rsidP="007A49EF">
            <w:pPr>
              <w:jc w:val="center"/>
              <w:rPr>
                <w:rFonts w:ascii="Arial" w:hAnsi="Arial" w:cs="Arial"/>
                <w:sz w:val="18"/>
                <w:szCs w:val="18"/>
              </w:rPr>
            </w:pPr>
            <w:r w:rsidRPr="00251317">
              <w:rPr>
                <w:rFonts w:ascii="Arial" w:hAnsi="Arial" w:cs="Arial"/>
                <w:sz w:val="18"/>
                <w:szCs w:val="18"/>
              </w:rPr>
              <w:t>1781,0</w:t>
            </w:r>
          </w:p>
        </w:tc>
        <w:tc>
          <w:tcPr>
            <w:tcW w:w="851" w:type="dxa"/>
            <w:tcBorders>
              <w:top w:val="nil"/>
              <w:left w:val="nil"/>
              <w:bottom w:val="single" w:sz="4" w:space="0" w:color="auto"/>
              <w:right w:val="single" w:sz="4" w:space="0" w:color="auto"/>
            </w:tcBorders>
            <w:shd w:val="clear" w:color="auto" w:fill="auto"/>
            <w:noWrap/>
            <w:vAlign w:val="center"/>
          </w:tcPr>
          <w:p w:rsidR="007A49EF" w:rsidRPr="00251317" w:rsidRDefault="007A49EF" w:rsidP="007A49EF">
            <w:pPr>
              <w:jc w:val="center"/>
              <w:rPr>
                <w:rFonts w:ascii="Arial" w:hAnsi="Arial" w:cs="Arial"/>
                <w:sz w:val="18"/>
                <w:szCs w:val="18"/>
              </w:rPr>
            </w:pPr>
            <w:r w:rsidRPr="00251317">
              <w:rPr>
                <w:rFonts w:ascii="Arial" w:hAnsi="Arial" w:cs="Arial"/>
                <w:sz w:val="18"/>
                <w:szCs w:val="18"/>
              </w:rPr>
              <w:t>730,2</w:t>
            </w:r>
          </w:p>
        </w:tc>
        <w:tc>
          <w:tcPr>
            <w:tcW w:w="850" w:type="dxa"/>
            <w:tcBorders>
              <w:top w:val="nil"/>
              <w:left w:val="nil"/>
              <w:bottom w:val="single" w:sz="4" w:space="0" w:color="auto"/>
              <w:right w:val="nil"/>
            </w:tcBorders>
            <w:shd w:val="clear" w:color="auto" w:fill="auto"/>
            <w:noWrap/>
            <w:vAlign w:val="center"/>
          </w:tcPr>
          <w:p w:rsidR="007A49EF" w:rsidRPr="00251317" w:rsidRDefault="007A49EF" w:rsidP="007A49EF">
            <w:pPr>
              <w:jc w:val="center"/>
              <w:rPr>
                <w:rFonts w:ascii="Arial" w:hAnsi="Arial" w:cs="Arial"/>
                <w:sz w:val="18"/>
                <w:szCs w:val="18"/>
              </w:rPr>
            </w:pPr>
            <w:r w:rsidRPr="00251317">
              <w:rPr>
                <w:rFonts w:ascii="Arial" w:hAnsi="Arial" w:cs="Arial"/>
                <w:sz w:val="18"/>
                <w:szCs w:val="18"/>
              </w:rPr>
              <w:t>1050,8</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7A49EF" w:rsidRPr="007A49EF" w:rsidRDefault="007A49EF" w:rsidP="007A49EF">
            <w:pPr>
              <w:jc w:val="right"/>
              <w:rPr>
                <w:rFonts w:ascii="Arial" w:hAnsi="Arial" w:cs="Arial"/>
                <w:sz w:val="18"/>
                <w:szCs w:val="18"/>
              </w:rPr>
            </w:pPr>
            <w:r w:rsidRPr="007A49EF">
              <w:rPr>
                <w:rFonts w:ascii="Arial" w:hAnsi="Arial" w:cs="Arial"/>
                <w:sz w:val="18"/>
                <w:szCs w:val="18"/>
              </w:rPr>
              <w:t xml:space="preserve">63,8 </w:t>
            </w:r>
          </w:p>
        </w:tc>
        <w:tc>
          <w:tcPr>
            <w:tcW w:w="709" w:type="dxa"/>
            <w:tcBorders>
              <w:top w:val="nil"/>
              <w:left w:val="nil"/>
              <w:bottom w:val="single" w:sz="4" w:space="0" w:color="auto"/>
              <w:right w:val="single" w:sz="4" w:space="0" w:color="auto"/>
            </w:tcBorders>
            <w:shd w:val="clear" w:color="auto" w:fill="auto"/>
            <w:noWrap/>
            <w:vAlign w:val="center"/>
          </w:tcPr>
          <w:p w:rsidR="007A49EF" w:rsidRPr="007A49EF" w:rsidRDefault="007A49EF" w:rsidP="007A49EF">
            <w:pPr>
              <w:jc w:val="right"/>
              <w:rPr>
                <w:rFonts w:ascii="Arial" w:hAnsi="Arial" w:cs="Arial"/>
                <w:sz w:val="18"/>
                <w:szCs w:val="18"/>
              </w:rPr>
            </w:pPr>
            <w:r w:rsidRPr="007A49EF">
              <w:rPr>
                <w:rFonts w:ascii="Arial" w:hAnsi="Arial" w:cs="Arial"/>
                <w:sz w:val="18"/>
                <w:szCs w:val="18"/>
              </w:rPr>
              <w:t xml:space="preserve">31,1 </w:t>
            </w:r>
          </w:p>
        </w:tc>
        <w:tc>
          <w:tcPr>
            <w:tcW w:w="726" w:type="dxa"/>
            <w:tcBorders>
              <w:top w:val="nil"/>
              <w:left w:val="nil"/>
              <w:bottom w:val="single" w:sz="4" w:space="0" w:color="auto"/>
              <w:right w:val="nil"/>
            </w:tcBorders>
            <w:shd w:val="clear" w:color="auto" w:fill="auto"/>
            <w:noWrap/>
            <w:vAlign w:val="center"/>
          </w:tcPr>
          <w:p w:rsidR="007A49EF" w:rsidRPr="007A49EF" w:rsidRDefault="007A49EF" w:rsidP="007A49EF">
            <w:pPr>
              <w:jc w:val="right"/>
              <w:rPr>
                <w:rFonts w:ascii="Arial" w:hAnsi="Arial" w:cs="Arial"/>
                <w:sz w:val="18"/>
                <w:szCs w:val="18"/>
              </w:rPr>
            </w:pPr>
            <w:r w:rsidRPr="007A49EF">
              <w:rPr>
                <w:rFonts w:ascii="Arial" w:hAnsi="Arial" w:cs="Arial"/>
                <w:sz w:val="18"/>
                <w:szCs w:val="18"/>
              </w:rPr>
              <w:t xml:space="preserve">32,6 </w:t>
            </w:r>
          </w:p>
        </w:tc>
        <w:tc>
          <w:tcPr>
            <w:tcW w:w="709" w:type="dxa"/>
            <w:tcBorders>
              <w:top w:val="nil"/>
              <w:left w:val="single" w:sz="4" w:space="0" w:color="auto"/>
              <w:bottom w:val="single" w:sz="4" w:space="0" w:color="auto"/>
              <w:right w:val="double" w:sz="6" w:space="0" w:color="auto"/>
            </w:tcBorders>
            <w:shd w:val="clear" w:color="auto" w:fill="auto"/>
            <w:noWrap/>
            <w:vAlign w:val="center"/>
          </w:tcPr>
          <w:p w:rsidR="007A49EF" w:rsidRPr="00251317" w:rsidRDefault="007A49EF" w:rsidP="007A49EF">
            <w:pPr>
              <w:jc w:val="right"/>
              <w:rPr>
                <w:rFonts w:ascii="Arial" w:hAnsi="Arial" w:cs="Arial"/>
                <w:sz w:val="18"/>
                <w:szCs w:val="18"/>
              </w:rPr>
            </w:pPr>
            <w:r w:rsidRPr="00251317">
              <w:rPr>
                <w:rFonts w:ascii="Arial" w:hAnsi="Arial" w:cs="Arial"/>
                <w:sz w:val="18"/>
                <w:szCs w:val="18"/>
              </w:rPr>
              <w:t xml:space="preserve">103,7 </w:t>
            </w:r>
          </w:p>
        </w:tc>
      </w:tr>
      <w:tr w:rsidR="007A49EF" w:rsidRPr="00251317" w:rsidTr="007A49EF">
        <w:trPr>
          <w:trHeight w:val="340"/>
        </w:trPr>
        <w:tc>
          <w:tcPr>
            <w:tcW w:w="896" w:type="dxa"/>
            <w:tcBorders>
              <w:top w:val="single" w:sz="4" w:space="0" w:color="auto"/>
              <w:left w:val="double" w:sz="6" w:space="0" w:color="auto"/>
              <w:bottom w:val="nil"/>
              <w:right w:val="nil"/>
            </w:tcBorders>
            <w:shd w:val="clear" w:color="auto" w:fill="auto"/>
            <w:noWrap/>
            <w:vAlign w:val="center"/>
          </w:tcPr>
          <w:p w:rsidR="007A49EF" w:rsidRPr="00251317" w:rsidRDefault="007A49EF" w:rsidP="007A49EF">
            <w:pPr>
              <w:jc w:val="center"/>
              <w:rPr>
                <w:rFonts w:ascii="Arial" w:hAnsi="Arial" w:cs="Arial"/>
                <w:b/>
                <w:sz w:val="18"/>
                <w:szCs w:val="18"/>
              </w:rPr>
            </w:pPr>
            <w:r w:rsidRPr="00251317">
              <w:rPr>
                <w:rFonts w:ascii="Arial" w:hAnsi="Arial" w:cs="Arial"/>
                <w:b/>
                <w:sz w:val="18"/>
                <w:szCs w:val="18"/>
              </w:rPr>
              <w:t>15+</w:t>
            </w:r>
          </w:p>
        </w:tc>
        <w:tc>
          <w:tcPr>
            <w:tcW w:w="970" w:type="dxa"/>
            <w:tcBorders>
              <w:top w:val="single" w:sz="4" w:space="0" w:color="auto"/>
              <w:left w:val="single" w:sz="4" w:space="0" w:color="auto"/>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18"/>
                <w:szCs w:val="18"/>
              </w:rPr>
            </w:pPr>
            <w:r w:rsidRPr="00251317">
              <w:rPr>
                <w:rFonts w:ascii="Arial" w:hAnsi="Arial" w:cs="Arial"/>
                <w:sz w:val="18"/>
                <w:szCs w:val="18"/>
              </w:rPr>
              <w:t>8963,6</w:t>
            </w:r>
          </w:p>
        </w:tc>
        <w:tc>
          <w:tcPr>
            <w:tcW w:w="851" w:type="dxa"/>
            <w:tcBorders>
              <w:top w:val="single" w:sz="4" w:space="0" w:color="auto"/>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18"/>
                <w:szCs w:val="18"/>
              </w:rPr>
            </w:pPr>
            <w:r w:rsidRPr="00251317">
              <w:rPr>
                <w:rFonts w:ascii="Arial" w:hAnsi="Arial" w:cs="Arial"/>
                <w:sz w:val="18"/>
                <w:szCs w:val="18"/>
              </w:rPr>
              <w:t>4367,3</w:t>
            </w:r>
          </w:p>
        </w:tc>
        <w:tc>
          <w:tcPr>
            <w:tcW w:w="850" w:type="dxa"/>
            <w:tcBorders>
              <w:top w:val="single" w:sz="4" w:space="0" w:color="auto"/>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18"/>
                <w:szCs w:val="18"/>
              </w:rPr>
            </w:pPr>
            <w:r w:rsidRPr="00251317">
              <w:rPr>
                <w:rFonts w:ascii="Arial" w:hAnsi="Arial" w:cs="Arial"/>
                <w:sz w:val="18"/>
                <w:szCs w:val="18"/>
              </w:rPr>
              <w:t>4596,3</w:t>
            </w:r>
          </w:p>
        </w:tc>
        <w:tc>
          <w:tcPr>
            <w:tcW w:w="992" w:type="dxa"/>
            <w:tcBorders>
              <w:top w:val="single" w:sz="4" w:space="0" w:color="auto"/>
              <w:left w:val="nil"/>
              <w:bottom w:val="nil"/>
              <w:right w:val="single" w:sz="4" w:space="0" w:color="auto"/>
            </w:tcBorders>
            <w:shd w:val="clear" w:color="auto" w:fill="auto"/>
            <w:noWrap/>
            <w:vAlign w:val="center"/>
          </w:tcPr>
          <w:p w:rsidR="007A49EF" w:rsidRPr="00251317" w:rsidRDefault="007A49EF" w:rsidP="007A49EF">
            <w:pPr>
              <w:jc w:val="center"/>
              <w:rPr>
                <w:rFonts w:ascii="Arial" w:hAnsi="Arial" w:cs="Arial"/>
                <w:sz w:val="18"/>
                <w:szCs w:val="18"/>
              </w:rPr>
            </w:pPr>
            <w:r w:rsidRPr="00251317">
              <w:rPr>
                <w:rFonts w:ascii="Arial" w:hAnsi="Arial" w:cs="Arial"/>
                <w:sz w:val="18"/>
                <w:szCs w:val="18"/>
              </w:rPr>
              <w:t>8955,8</w:t>
            </w:r>
          </w:p>
        </w:tc>
        <w:tc>
          <w:tcPr>
            <w:tcW w:w="851" w:type="dxa"/>
            <w:tcBorders>
              <w:top w:val="single" w:sz="4" w:space="0" w:color="auto"/>
              <w:left w:val="nil"/>
              <w:bottom w:val="nil"/>
              <w:right w:val="single" w:sz="4" w:space="0" w:color="auto"/>
            </w:tcBorders>
            <w:shd w:val="clear" w:color="auto" w:fill="auto"/>
            <w:noWrap/>
            <w:vAlign w:val="center"/>
          </w:tcPr>
          <w:p w:rsidR="007A49EF" w:rsidRPr="00251317" w:rsidRDefault="007A49EF" w:rsidP="007A49EF">
            <w:pPr>
              <w:jc w:val="center"/>
              <w:rPr>
                <w:rFonts w:ascii="Arial" w:hAnsi="Arial" w:cs="Arial"/>
                <w:sz w:val="18"/>
                <w:szCs w:val="18"/>
              </w:rPr>
            </w:pPr>
            <w:r w:rsidRPr="00251317">
              <w:rPr>
                <w:rFonts w:ascii="Arial" w:hAnsi="Arial" w:cs="Arial"/>
                <w:sz w:val="18"/>
                <w:szCs w:val="18"/>
              </w:rPr>
              <w:t>4364,2</w:t>
            </w:r>
          </w:p>
        </w:tc>
        <w:tc>
          <w:tcPr>
            <w:tcW w:w="850" w:type="dxa"/>
            <w:tcBorders>
              <w:top w:val="single" w:sz="4" w:space="0" w:color="auto"/>
              <w:left w:val="nil"/>
              <w:bottom w:val="nil"/>
              <w:right w:val="nil"/>
            </w:tcBorders>
            <w:shd w:val="clear" w:color="auto" w:fill="auto"/>
            <w:noWrap/>
            <w:vAlign w:val="center"/>
          </w:tcPr>
          <w:p w:rsidR="007A49EF" w:rsidRPr="00251317" w:rsidRDefault="007A49EF" w:rsidP="007A49EF">
            <w:pPr>
              <w:jc w:val="center"/>
              <w:rPr>
                <w:rFonts w:ascii="Arial" w:hAnsi="Arial" w:cs="Arial"/>
                <w:sz w:val="18"/>
                <w:szCs w:val="18"/>
              </w:rPr>
            </w:pPr>
            <w:r w:rsidRPr="00251317">
              <w:rPr>
                <w:rFonts w:ascii="Arial" w:hAnsi="Arial" w:cs="Arial"/>
                <w:sz w:val="18"/>
                <w:szCs w:val="18"/>
              </w:rPr>
              <w:t>4591,6</w:t>
            </w:r>
          </w:p>
        </w:tc>
        <w:tc>
          <w:tcPr>
            <w:tcW w:w="851" w:type="dxa"/>
            <w:tcBorders>
              <w:top w:val="single" w:sz="4" w:space="0" w:color="auto"/>
              <w:left w:val="single" w:sz="4" w:space="0" w:color="auto"/>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18"/>
                <w:szCs w:val="18"/>
              </w:rPr>
            </w:pPr>
            <w:r w:rsidRPr="007A49EF">
              <w:rPr>
                <w:rFonts w:ascii="Arial" w:hAnsi="Arial" w:cs="Arial"/>
                <w:sz w:val="18"/>
                <w:szCs w:val="18"/>
              </w:rPr>
              <w:t xml:space="preserve">-7,8 </w:t>
            </w:r>
          </w:p>
        </w:tc>
        <w:tc>
          <w:tcPr>
            <w:tcW w:w="709" w:type="dxa"/>
            <w:tcBorders>
              <w:top w:val="single" w:sz="4" w:space="0" w:color="auto"/>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18"/>
                <w:szCs w:val="18"/>
              </w:rPr>
            </w:pPr>
            <w:r w:rsidRPr="007A49EF">
              <w:rPr>
                <w:rFonts w:ascii="Arial" w:hAnsi="Arial" w:cs="Arial"/>
                <w:sz w:val="18"/>
                <w:szCs w:val="18"/>
              </w:rPr>
              <w:t xml:space="preserve">-3,1 </w:t>
            </w:r>
          </w:p>
        </w:tc>
        <w:tc>
          <w:tcPr>
            <w:tcW w:w="726" w:type="dxa"/>
            <w:tcBorders>
              <w:top w:val="single" w:sz="4" w:space="0" w:color="auto"/>
              <w:left w:val="nil"/>
              <w:bottom w:val="nil"/>
              <w:right w:val="nil"/>
            </w:tcBorders>
            <w:shd w:val="clear" w:color="auto" w:fill="auto"/>
            <w:noWrap/>
            <w:vAlign w:val="center"/>
          </w:tcPr>
          <w:p w:rsidR="007A49EF" w:rsidRPr="007A49EF" w:rsidRDefault="007A49EF" w:rsidP="007A49EF">
            <w:pPr>
              <w:jc w:val="right"/>
              <w:rPr>
                <w:rFonts w:ascii="Arial" w:hAnsi="Arial" w:cs="Arial"/>
                <w:sz w:val="18"/>
                <w:szCs w:val="18"/>
              </w:rPr>
            </w:pPr>
            <w:r w:rsidRPr="007A49EF">
              <w:rPr>
                <w:rFonts w:ascii="Arial" w:hAnsi="Arial" w:cs="Arial"/>
                <w:sz w:val="18"/>
                <w:szCs w:val="18"/>
              </w:rPr>
              <w:t xml:space="preserve">-4,7 </w:t>
            </w:r>
          </w:p>
        </w:tc>
        <w:tc>
          <w:tcPr>
            <w:tcW w:w="709" w:type="dxa"/>
            <w:tcBorders>
              <w:top w:val="single" w:sz="4" w:space="0" w:color="auto"/>
              <w:left w:val="single" w:sz="4" w:space="0" w:color="auto"/>
              <w:bottom w:val="nil"/>
              <w:right w:val="double" w:sz="6" w:space="0" w:color="auto"/>
            </w:tcBorders>
            <w:shd w:val="clear" w:color="auto" w:fill="auto"/>
            <w:noWrap/>
            <w:vAlign w:val="center"/>
          </w:tcPr>
          <w:p w:rsidR="007A49EF" w:rsidRPr="00251317" w:rsidRDefault="007A49EF" w:rsidP="007A49EF">
            <w:pPr>
              <w:jc w:val="right"/>
              <w:rPr>
                <w:rFonts w:ascii="Arial" w:hAnsi="Arial" w:cs="Arial"/>
                <w:sz w:val="18"/>
                <w:szCs w:val="18"/>
              </w:rPr>
            </w:pPr>
            <w:r w:rsidRPr="00251317">
              <w:rPr>
                <w:rFonts w:ascii="Arial" w:hAnsi="Arial" w:cs="Arial"/>
                <w:sz w:val="18"/>
                <w:szCs w:val="18"/>
              </w:rPr>
              <w:t xml:space="preserve">99,9 </w:t>
            </w:r>
          </w:p>
        </w:tc>
      </w:tr>
      <w:tr w:rsidR="007A49EF" w:rsidRPr="00251317" w:rsidTr="007A49EF">
        <w:trPr>
          <w:trHeight w:val="340"/>
        </w:trPr>
        <w:tc>
          <w:tcPr>
            <w:tcW w:w="896" w:type="dxa"/>
            <w:tcBorders>
              <w:top w:val="nil"/>
              <w:left w:val="double" w:sz="6" w:space="0" w:color="auto"/>
              <w:bottom w:val="nil"/>
              <w:right w:val="nil"/>
            </w:tcBorders>
            <w:shd w:val="clear" w:color="auto" w:fill="auto"/>
            <w:noWrap/>
            <w:vAlign w:val="center"/>
          </w:tcPr>
          <w:p w:rsidR="007A49EF" w:rsidRPr="00251317" w:rsidRDefault="007A49EF" w:rsidP="007A49EF">
            <w:pPr>
              <w:jc w:val="center"/>
              <w:rPr>
                <w:rFonts w:ascii="Arial" w:hAnsi="Arial" w:cs="Arial"/>
                <w:b/>
                <w:bCs/>
                <w:sz w:val="18"/>
                <w:szCs w:val="18"/>
              </w:rPr>
            </w:pPr>
            <w:r w:rsidRPr="00251317">
              <w:rPr>
                <w:rFonts w:ascii="Arial" w:hAnsi="Arial" w:cs="Arial"/>
                <w:b/>
                <w:bCs/>
                <w:sz w:val="18"/>
                <w:szCs w:val="18"/>
              </w:rPr>
              <w:t>15 - 64</w:t>
            </w:r>
          </w:p>
        </w:tc>
        <w:tc>
          <w:tcPr>
            <w:tcW w:w="970" w:type="dxa"/>
            <w:tcBorders>
              <w:top w:val="nil"/>
              <w:left w:val="single" w:sz="4" w:space="0" w:color="auto"/>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18"/>
                <w:szCs w:val="18"/>
              </w:rPr>
            </w:pPr>
            <w:r w:rsidRPr="00251317">
              <w:rPr>
                <w:rFonts w:ascii="Arial" w:hAnsi="Arial" w:cs="Arial"/>
                <w:sz w:val="18"/>
                <w:szCs w:val="18"/>
              </w:rPr>
              <w:t>7246,4</w:t>
            </w:r>
          </w:p>
        </w:tc>
        <w:tc>
          <w:tcPr>
            <w:tcW w:w="851"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18"/>
                <w:szCs w:val="18"/>
              </w:rPr>
            </w:pPr>
            <w:r w:rsidRPr="00251317">
              <w:rPr>
                <w:rFonts w:ascii="Arial" w:hAnsi="Arial" w:cs="Arial"/>
                <w:sz w:val="18"/>
                <w:szCs w:val="18"/>
              </w:rPr>
              <w:t>3668,2</w:t>
            </w:r>
          </w:p>
        </w:tc>
        <w:tc>
          <w:tcPr>
            <w:tcW w:w="850"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18"/>
                <w:szCs w:val="18"/>
              </w:rPr>
            </w:pPr>
            <w:r w:rsidRPr="00251317">
              <w:rPr>
                <w:rFonts w:ascii="Arial" w:hAnsi="Arial" w:cs="Arial"/>
                <w:sz w:val="18"/>
                <w:szCs w:val="18"/>
              </w:rPr>
              <w:t>3578,2</w:t>
            </w:r>
          </w:p>
        </w:tc>
        <w:tc>
          <w:tcPr>
            <w:tcW w:w="992" w:type="dxa"/>
            <w:tcBorders>
              <w:top w:val="nil"/>
              <w:left w:val="nil"/>
              <w:bottom w:val="nil"/>
              <w:right w:val="single" w:sz="4" w:space="0" w:color="auto"/>
            </w:tcBorders>
            <w:shd w:val="clear" w:color="auto" w:fill="auto"/>
            <w:noWrap/>
            <w:vAlign w:val="center"/>
          </w:tcPr>
          <w:p w:rsidR="007A49EF" w:rsidRPr="00251317" w:rsidRDefault="007A49EF" w:rsidP="007A49EF">
            <w:pPr>
              <w:jc w:val="center"/>
              <w:rPr>
                <w:rFonts w:ascii="Arial" w:hAnsi="Arial" w:cs="Arial"/>
                <w:sz w:val="18"/>
                <w:szCs w:val="18"/>
              </w:rPr>
            </w:pPr>
            <w:r w:rsidRPr="00251317">
              <w:rPr>
                <w:rFonts w:ascii="Arial" w:hAnsi="Arial" w:cs="Arial"/>
                <w:sz w:val="18"/>
                <w:szCs w:val="18"/>
              </w:rPr>
              <w:t>7174,9</w:t>
            </w:r>
          </w:p>
        </w:tc>
        <w:tc>
          <w:tcPr>
            <w:tcW w:w="851" w:type="dxa"/>
            <w:tcBorders>
              <w:top w:val="nil"/>
              <w:left w:val="nil"/>
              <w:bottom w:val="nil"/>
              <w:right w:val="single" w:sz="4" w:space="0" w:color="auto"/>
            </w:tcBorders>
            <w:shd w:val="clear" w:color="auto" w:fill="auto"/>
            <w:noWrap/>
            <w:vAlign w:val="center"/>
          </w:tcPr>
          <w:p w:rsidR="007A49EF" w:rsidRPr="00251317" w:rsidRDefault="007A49EF" w:rsidP="007A49EF">
            <w:pPr>
              <w:jc w:val="center"/>
              <w:rPr>
                <w:rFonts w:ascii="Arial" w:hAnsi="Arial" w:cs="Arial"/>
                <w:sz w:val="18"/>
                <w:szCs w:val="18"/>
              </w:rPr>
            </w:pPr>
            <w:r w:rsidRPr="00251317">
              <w:rPr>
                <w:rFonts w:ascii="Arial" w:hAnsi="Arial" w:cs="Arial"/>
                <w:sz w:val="18"/>
                <w:szCs w:val="18"/>
              </w:rPr>
              <w:t>3634,0</w:t>
            </w:r>
          </w:p>
        </w:tc>
        <w:tc>
          <w:tcPr>
            <w:tcW w:w="850" w:type="dxa"/>
            <w:tcBorders>
              <w:top w:val="nil"/>
              <w:left w:val="nil"/>
              <w:bottom w:val="nil"/>
              <w:right w:val="nil"/>
            </w:tcBorders>
            <w:shd w:val="clear" w:color="auto" w:fill="auto"/>
            <w:noWrap/>
            <w:vAlign w:val="center"/>
          </w:tcPr>
          <w:p w:rsidR="007A49EF" w:rsidRPr="00251317" w:rsidRDefault="007A49EF" w:rsidP="007A49EF">
            <w:pPr>
              <w:jc w:val="center"/>
              <w:rPr>
                <w:rFonts w:ascii="Arial" w:hAnsi="Arial" w:cs="Arial"/>
                <w:sz w:val="18"/>
                <w:szCs w:val="18"/>
              </w:rPr>
            </w:pPr>
            <w:r w:rsidRPr="00251317">
              <w:rPr>
                <w:rFonts w:ascii="Arial" w:hAnsi="Arial" w:cs="Arial"/>
                <w:sz w:val="18"/>
                <w:szCs w:val="18"/>
              </w:rPr>
              <w:t>3540,8</w:t>
            </w:r>
          </w:p>
        </w:tc>
        <w:tc>
          <w:tcPr>
            <w:tcW w:w="851" w:type="dxa"/>
            <w:tcBorders>
              <w:top w:val="nil"/>
              <w:left w:val="single" w:sz="4" w:space="0" w:color="auto"/>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18"/>
                <w:szCs w:val="18"/>
              </w:rPr>
            </w:pPr>
            <w:r w:rsidRPr="007A49EF">
              <w:rPr>
                <w:rFonts w:ascii="Arial" w:hAnsi="Arial" w:cs="Arial"/>
                <w:sz w:val="18"/>
                <w:szCs w:val="18"/>
              </w:rPr>
              <w:t xml:space="preserve">-71,5 </w:t>
            </w:r>
          </w:p>
        </w:tc>
        <w:tc>
          <w:tcPr>
            <w:tcW w:w="709"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18"/>
                <w:szCs w:val="18"/>
              </w:rPr>
            </w:pPr>
            <w:r w:rsidRPr="007A49EF">
              <w:rPr>
                <w:rFonts w:ascii="Arial" w:hAnsi="Arial" w:cs="Arial"/>
                <w:sz w:val="18"/>
                <w:szCs w:val="18"/>
              </w:rPr>
              <w:t xml:space="preserve">-34,2 </w:t>
            </w:r>
          </w:p>
        </w:tc>
        <w:tc>
          <w:tcPr>
            <w:tcW w:w="726" w:type="dxa"/>
            <w:tcBorders>
              <w:top w:val="nil"/>
              <w:left w:val="nil"/>
              <w:bottom w:val="nil"/>
              <w:right w:val="nil"/>
            </w:tcBorders>
            <w:shd w:val="clear" w:color="auto" w:fill="auto"/>
            <w:noWrap/>
            <w:vAlign w:val="center"/>
          </w:tcPr>
          <w:p w:rsidR="007A49EF" w:rsidRPr="007A49EF" w:rsidRDefault="007A49EF" w:rsidP="007A49EF">
            <w:pPr>
              <w:jc w:val="right"/>
              <w:rPr>
                <w:rFonts w:ascii="Arial" w:hAnsi="Arial" w:cs="Arial"/>
                <w:sz w:val="18"/>
                <w:szCs w:val="18"/>
              </w:rPr>
            </w:pPr>
            <w:r w:rsidRPr="007A49EF">
              <w:rPr>
                <w:rFonts w:ascii="Arial" w:hAnsi="Arial" w:cs="Arial"/>
                <w:sz w:val="18"/>
                <w:szCs w:val="18"/>
              </w:rPr>
              <w:t xml:space="preserve">-37,4 </w:t>
            </w:r>
          </w:p>
        </w:tc>
        <w:tc>
          <w:tcPr>
            <w:tcW w:w="709" w:type="dxa"/>
            <w:tcBorders>
              <w:top w:val="nil"/>
              <w:left w:val="single" w:sz="4" w:space="0" w:color="auto"/>
              <w:bottom w:val="nil"/>
              <w:right w:val="double" w:sz="6" w:space="0" w:color="auto"/>
            </w:tcBorders>
            <w:shd w:val="clear" w:color="auto" w:fill="auto"/>
            <w:noWrap/>
            <w:vAlign w:val="center"/>
          </w:tcPr>
          <w:p w:rsidR="007A49EF" w:rsidRPr="00251317" w:rsidRDefault="007A49EF" w:rsidP="007A49EF">
            <w:pPr>
              <w:jc w:val="right"/>
              <w:rPr>
                <w:rFonts w:ascii="Arial" w:hAnsi="Arial" w:cs="Arial"/>
                <w:sz w:val="18"/>
                <w:szCs w:val="18"/>
              </w:rPr>
            </w:pPr>
            <w:r w:rsidRPr="00251317">
              <w:rPr>
                <w:rFonts w:ascii="Arial" w:hAnsi="Arial" w:cs="Arial"/>
                <w:sz w:val="18"/>
                <w:szCs w:val="18"/>
              </w:rPr>
              <w:t xml:space="preserve">99,0 </w:t>
            </w:r>
          </w:p>
        </w:tc>
      </w:tr>
      <w:tr w:rsidR="007A49EF" w:rsidRPr="00251317" w:rsidTr="007A49EF">
        <w:trPr>
          <w:trHeight w:val="340"/>
        </w:trPr>
        <w:tc>
          <w:tcPr>
            <w:tcW w:w="896" w:type="dxa"/>
            <w:tcBorders>
              <w:top w:val="nil"/>
              <w:left w:val="double" w:sz="6" w:space="0" w:color="auto"/>
              <w:bottom w:val="double" w:sz="6" w:space="0" w:color="auto"/>
              <w:right w:val="nil"/>
            </w:tcBorders>
            <w:shd w:val="clear" w:color="auto" w:fill="auto"/>
            <w:noWrap/>
            <w:vAlign w:val="center"/>
          </w:tcPr>
          <w:p w:rsidR="007A49EF" w:rsidRPr="00251317" w:rsidRDefault="007A49EF" w:rsidP="007A49EF">
            <w:pPr>
              <w:jc w:val="center"/>
              <w:rPr>
                <w:b/>
              </w:rPr>
            </w:pPr>
            <w:r w:rsidRPr="00251317">
              <w:rPr>
                <w:rFonts w:ascii="Arial" w:hAnsi="Arial" w:cs="Arial"/>
                <w:b/>
                <w:sz w:val="18"/>
                <w:szCs w:val="18"/>
              </w:rPr>
              <w:t>20 - 64</w:t>
            </w:r>
          </w:p>
        </w:tc>
        <w:tc>
          <w:tcPr>
            <w:tcW w:w="970" w:type="dxa"/>
            <w:tcBorders>
              <w:top w:val="nil"/>
              <w:left w:val="single" w:sz="4" w:space="0" w:color="auto"/>
              <w:bottom w:val="double" w:sz="6" w:space="0" w:color="auto"/>
              <w:right w:val="single" w:sz="4" w:space="0" w:color="auto"/>
            </w:tcBorders>
            <w:shd w:val="clear" w:color="auto" w:fill="auto"/>
            <w:noWrap/>
            <w:vAlign w:val="center"/>
          </w:tcPr>
          <w:p w:rsidR="007A49EF" w:rsidRPr="00251317" w:rsidRDefault="007A49EF" w:rsidP="007A49EF">
            <w:pPr>
              <w:jc w:val="right"/>
              <w:rPr>
                <w:rFonts w:ascii="Arial" w:hAnsi="Arial" w:cs="Arial"/>
                <w:sz w:val="18"/>
                <w:szCs w:val="18"/>
              </w:rPr>
            </w:pPr>
            <w:r w:rsidRPr="00251317">
              <w:rPr>
                <w:rFonts w:ascii="Arial" w:hAnsi="Arial" w:cs="Arial"/>
                <w:sz w:val="18"/>
                <w:szCs w:val="18"/>
              </w:rPr>
              <w:t>6712,9</w:t>
            </w:r>
          </w:p>
        </w:tc>
        <w:tc>
          <w:tcPr>
            <w:tcW w:w="851" w:type="dxa"/>
            <w:tcBorders>
              <w:top w:val="nil"/>
              <w:left w:val="nil"/>
              <w:bottom w:val="double" w:sz="6" w:space="0" w:color="auto"/>
              <w:right w:val="single" w:sz="4" w:space="0" w:color="auto"/>
            </w:tcBorders>
            <w:shd w:val="clear" w:color="auto" w:fill="auto"/>
            <w:noWrap/>
            <w:vAlign w:val="center"/>
          </w:tcPr>
          <w:p w:rsidR="007A49EF" w:rsidRPr="00251317" w:rsidRDefault="007A49EF" w:rsidP="007A49EF">
            <w:pPr>
              <w:jc w:val="right"/>
              <w:rPr>
                <w:rFonts w:ascii="Arial" w:hAnsi="Arial" w:cs="Arial"/>
                <w:sz w:val="18"/>
                <w:szCs w:val="18"/>
              </w:rPr>
            </w:pPr>
            <w:r w:rsidRPr="00251317">
              <w:rPr>
                <w:rFonts w:ascii="Arial" w:hAnsi="Arial" w:cs="Arial"/>
                <w:sz w:val="18"/>
                <w:szCs w:val="18"/>
              </w:rPr>
              <w:t>3394,6</w:t>
            </w:r>
          </w:p>
        </w:tc>
        <w:tc>
          <w:tcPr>
            <w:tcW w:w="850" w:type="dxa"/>
            <w:tcBorders>
              <w:top w:val="nil"/>
              <w:left w:val="nil"/>
              <w:bottom w:val="double" w:sz="6" w:space="0" w:color="auto"/>
              <w:right w:val="single" w:sz="4" w:space="0" w:color="auto"/>
            </w:tcBorders>
            <w:shd w:val="clear" w:color="auto" w:fill="auto"/>
            <w:noWrap/>
            <w:vAlign w:val="center"/>
          </w:tcPr>
          <w:p w:rsidR="007A49EF" w:rsidRPr="00251317" w:rsidRDefault="007A49EF" w:rsidP="007A49EF">
            <w:pPr>
              <w:jc w:val="right"/>
              <w:rPr>
                <w:rFonts w:ascii="Arial" w:hAnsi="Arial" w:cs="Arial"/>
                <w:sz w:val="18"/>
                <w:szCs w:val="18"/>
              </w:rPr>
            </w:pPr>
            <w:r w:rsidRPr="00251317">
              <w:rPr>
                <w:rFonts w:ascii="Arial" w:hAnsi="Arial" w:cs="Arial"/>
                <w:sz w:val="18"/>
                <w:szCs w:val="18"/>
              </w:rPr>
              <w:t>3318,3</w:t>
            </w:r>
          </w:p>
        </w:tc>
        <w:tc>
          <w:tcPr>
            <w:tcW w:w="992" w:type="dxa"/>
            <w:tcBorders>
              <w:top w:val="nil"/>
              <w:left w:val="nil"/>
              <w:bottom w:val="double" w:sz="6" w:space="0" w:color="auto"/>
              <w:right w:val="single" w:sz="4" w:space="0" w:color="auto"/>
            </w:tcBorders>
            <w:shd w:val="clear" w:color="auto" w:fill="auto"/>
            <w:noWrap/>
            <w:vAlign w:val="center"/>
          </w:tcPr>
          <w:p w:rsidR="007A49EF" w:rsidRPr="00251317" w:rsidRDefault="007A49EF" w:rsidP="007A49EF">
            <w:pPr>
              <w:jc w:val="center"/>
              <w:rPr>
                <w:rFonts w:ascii="Arial" w:hAnsi="Arial" w:cs="Arial"/>
                <w:sz w:val="18"/>
                <w:szCs w:val="18"/>
              </w:rPr>
            </w:pPr>
            <w:r w:rsidRPr="00251317">
              <w:rPr>
                <w:rFonts w:ascii="Arial" w:hAnsi="Arial" w:cs="Arial"/>
                <w:sz w:val="18"/>
                <w:szCs w:val="18"/>
              </w:rPr>
              <w:t>6672,1</w:t>
            </w:r>
          </w:p>
        </w:tc>
        <w:tc>
          <w:tcPr>
            <w:tcW w:w="851" w:type="dxa"/>
            <w:tcBorders>
              <w:top w:val="nil"/>
              <w:left w:val="nil"/>
              <w:bottom w:val="double" w:sz="6" w:space="0" w:color="auto"/>
              <w:right w:val="single" w:sz="4" w:space="0" w:color="auto"/>
            </w:tcBorders>
            <w:shd w:val="clear" w:color="auto" w:fill="auto"/>
            <w:noWrap/>
            <w:vAlign w:val="center"/>
          </w:tcPr>
          <w:p w:rsidR="007A49EF" w:rsidRPr="00251317" w:rsidRDefault="007A49EF" w:rsidP="007A49EF">
            <w:pPr>
              <w:jc w:val="center"/>
              <w:rPr>
                <w:rFonts w:ascii="Arial" w:hAnsi="Arial" w:cs="Arial"/>
                <w:sz w:val="18"/>
                <w:szCs w:val="18"/>
              </w:rPr>
            </w:pPr>
            <w:r w:rsidRPr="00251317">
              <w:rPr>
                <w:rFonts w:ascii="Arial" w:hAnsi="Arial" w:cs="Arial"/>
                <w:sz w:val="18"/>
                <w:szCs w:val="18"/>
              </w:rPr>
              <w:t>3376,3</w:t>
            </w:r>
          </w:p>
        </w:tc>
        <w:tc>
          <w:tcPr>
            <w:tcW w:w="850" w:type="dxa"/>
            <w:tcBorders>
              <w:top w:val="nil"/>
              <w:left w:val="nil"/>
              <w:bottom w:val="double" w:sz="6" w:space="0" w:color="auto"/>
              <w:right w:val="nil"/>
            </w:tcBorders>
            <w:shd w:val="clear" w:color="auto" w:fill="auto"/>
            <w:noWrap/>
            <w:vAlign w:val="center"/>
          </w:tcPr>
          <w:p w:rsidR="007A49EF" w:rsidRPr="00251317" w:rsidRDefault="007A49EF" w:rsidP="007A49EF">
            <w:pPr>
              <w:jc w:val="center"/>
              <w:rPr>
                <w:rFonts w:ascii="Arial" w:hAnsi="Arial" w:cs="Arial"/>
                <w:sz w:val="18"/>
                <w:szCs w:val="18"/>
              </w:rPr>
            </w:pPr>
            <w:r w:rsidRPr="00251317">
              <w:rPr>
                <w:rFonts w:ascii="Arial" w:hAnsi="Arial" w:cs="Arial"/>
                <w:sz w:val="18"/>
                <w:szCs w:val="18"/>
              </w:rPr>
              <w:t>3295,8</w:t>
            </w:r>
          </w:p>
        </w:tc>
        <w:tc>
          <w:tcPr>
            <w:tcW w:w="851" w:type="dxa"/>
            <w:tcBorders>
              <w:top w:val="nil"/>
              <w:left w:val="single" w:sz="4" w:space="0" w:color="auto"/>
              <w:bottom w:val="double" w:sz="6" w:space="0" w:color="auto"/>
              <w:right w:val="single" w:sz="4" w:space="0" w:color="auto"/>
            </w:tcBorders>
            <w:shd w:val="clear" w:color="auto" w:fill="auto"/>
            <w:noWrap/>
            <w:vAlign w:val="center"/>
          </w:tcPr>
          <w:p w:rsidR="007A49EF" w:rsidRPr="007A49EF" w:rsidRDefault="007A49EF" w:rsidP="007A49EF">
            <w:pPr>
              <w:jc w:val="right"/>
              <w:rPr>
                <w:rFonts w:ascii="Arial" w:hAnsi="Arial" w:cs="Arial"/>
                <w:sz w:val="18"/>
                <w:szCs w:val="18"/>
              </w:rPr>
            </w:pPr>
            <w:r w:rsidRPr="007A49EF">
              <w:rPr>
                <w:rFonts w:ascii="Arial" w:hAnsi="Arial" w:cs="Arial"/>
                <w:sz w:val="18"/>
                <w:szCs w:val="18"/>
              </w:rPr>
              <w:t xml:space="preserve">-40,8 </w:t>
            </w:r>
          </w:p>
        </w:tc>
        <w:tc>
          <w:tcPr>
            <w:tcW w:w="709" w:type="dxa"/>
            <w:tcBorders>
              <w:top w:val="nil"/>
              <w:left w:val="nil"/>
              <w:bottom w:val="double" w:sz="6" w:space="0" w:color="auto"/>
              <w:right w:val="single" w:sz="4" w:space="0" w:color="auto"/>
            </w:tcBorders>
            <w:shd w:val="clear" w:color="auto" w:fill="auto"/>
            <w:noWrap/>
            <w:vAlign w:val="center"/>
          </w:tcPr>
          <w:p w:rsidR="007A49EF" w:rsidRPr="007A49EF" w:rsidRDefault="007A49EF" w:rsidP="007A49EF">
            <w:pPr>
              <w:jc w:val="right"/>
              <w:rPr>
                <w:rFonts w:ascii="Arial" w:hAnsi="Arial" w:cs="Arial"/>
                <w:sz w:val="18"/>
                <w:szCs w:val="18"/>
              </w:rPr>
            </w:pPr>
            <w:r w:rsidRPr="007A49EF">
              <w:rPr>
                <w:rFonts w:ascii="Arial" w:hAnsi="Arial" w:cs="Arial"/>
                <w:sz w:val="18"/>
                <w:szCs w:val="18"/>
              </w:rPr>
              <w:t xml:space="preserve">-18,3 </w:t>
            </w:r>
          </w:p>
        </w:tc>
        <w:tc>
          <w:tcPr>
            <w:tcW w:w="726" w:type="dxa"/>
            <w:tcBorders>
              <w:top w:val="nil"/>
              <w:left w:val="nil"/>
              <w:bottom w:val="double" w:sz="6" w:space="0" w:color="auto"/>
              <w:right w:val="nil"/>
            </w:tcBorders>
            <w:shd w:val="clear" w:color="auto" w:fill="auto"/>
            <w:noWrap/>
            <w:vAlign w:val="center"/>
          </w:tcPr>
          <w:p w:rsidR="007A49EF" w:rsidRPr="007A49EF" w:rsidRDefault="007A49EF" w:rsidP="007A49EF">
            <w:pPr>
              <w:jc w:val="right"/>
              <w:rPr>
                <w:rFonts w:ascii="Arial" w:hAnsi="Arial" w:cs="Arial"/>
                <w:sz w:val="18"/>
                <w:szCs w:val="18"/>
              </w:rPr>
            </w:pPr>
            <w:r w:rsidRPr="007A49EF">
              <w:rPr>
                <w:rFonts w:ascii="Arial" w:hAnsi="Arial" w:cs="Arial"/>
                <w:sz w:val="18"/>
                <w:szCs w:val="18"/>
              </w:rPr>
              <w:t xml:space="preserve">-22,5 </w:t>
            </w:r>
          </w:p>
        </w:tc>
        <w:tc>
          <w:tcPr>
            <w:tcW w:w="709" w:type="dxa"/>
            <w:tcBorders>
              <w:top w:val="nil"/>
              <w:left w:val="single" w:sz="4" w:space="0" w:color="auto"/>
              <w:bottom w:val="double" w:sz="6" w:space="0" w:color="auto"/>
              <w:right w:val="double" w:sz="6" w:space="0" w:color="auto"/>
            </w:tcBorders>
            <w:shd w:val="clear" w:color="auto" w:fill="auto"/>
            <w:noWrap/>
            <w:vAlign w:val="center"/>
          </w:tcPr>
          <w:p w:rsidR="007A49EF" w:rsidRPr="00251317" w:rsidRDefault="007A49EF" w:rsidP="007A49EF">
            <w:pPr>
              <w:jc w:val="right"/>
              <w:rPr>
                <w:rFonts w:ascii="Arial" w:hAnsi="Arial" w:cs="Arial"/>
                <w:sz w:val="18"/>
                <w:szCs w:val="18"/>
              </w:rPr>
            </w:pPr>
            <w:r w:rsidRPr="00251317">
              <w:rPr>
                <w:rFonts w:ascii="Arial" w:hAnsi="Arial" w:cs="Arial"/>
                <w:sz w:val="18"/>
                <w:szCs w:val="18"/>
              </w:rPr>
              <w:t xml:space="preserve">99,4 </w:t>
            </w:r>
          </w:p>
        </w:tc>
      </w:tr>
    </w:tbl>
    <w:p w:rsidR="007A49EF" w:rsidRPr="00251317" w:rsidRDefault="007A49EF" w:rsidP="007A49EF">
      <w:pPr>
        <w:tabs>
          <w:tab w:val="center" w:pos="720"/>
        </w:tabs>
        <w:spacing w:line="480" w:lineRule="auto"/>
        <w:jc w:val="both"/>
        <w:rPr>
          <w:rFonts w:ascii="Arial" w:hAnsi="Arial" w:cs="Arial"/>
          <w:i/>
          <w:iCs/>
          <w:sz w:val="18"/>
          <w:szCs w:val="18"/>
        </w:rPr>
      </w:pPr>
      <w:r w:rsidRPr="00251317">
        <w:rPr>
          <w:rFonts w:ascii="Arial" w:hAnsi="Arial" w:cs="Arial"/>
          <w:i/>
          <w:iCs/>
          <w:sz w:val="18"/>
          <w:szCs w:val="18"/>
        </w:rPr>
        <w:t xml:space="preserve">Zdroj: ČSÚ – VŠPS </w:t>
      </w:r>
    </w:p>
    <w:p w:rsidR="007A49EF" w:rsidRPr="00251317" w:rsidRDefault="007A49EF" w:rsidP="007A49EF">
      <w:pPr>
        <w:tabs>
          <w:tab w:val="center" w:pos="720"/>
        </w:tabs>
        <w:ind w:firstLine="720"/>
        <w:jc w:val="both"/>
        <w:rPr>
          <w:rFonts w:ascii="Arial" w:hAnsi="Arial" w:cs="Arial"/>
          <w:b/>
          <w:bCs/>
          <w:sz w:val="16"/>
          <w:szCs w:val="16"/>
        </w:rPr>
      </w:pPr>
    </w:p>
    <w:p w:rsidR="007A49EF" w:rsidRPr="00251317" w:rsidRDefault="007A49EF" w:rsidP="007A49EF">
      <w:pPr>
        <w:tabs>
          <w:tab w:val="center" w:pos="720"/>
        </w:tabs>
        <w:spacing w:line="360" w:lineRule="auto"/>
        <w:ind w:firstLine="720"/>
        <w:jc w:val="both"/>
        <w:rPr>
          <w:rFonts w:ascii="Arial" w:hAnsi="Arial" w:cs="Arial"/>
        </w:rPr>
      </w:pPr>
      <w:r w:rsidRPr="00251317">
        <w:rPr>
          <w:rFonts w:ascii="Arial" w:hAnsi="Arial" w:cs="Arial"/>
          <w:b/>
          <w:bCs/>
        </w:rPr>
        <w:t>Výrazn</w:t>
      </w:r>
      <w:r>
        <w:rPr>
          <w:rFonts w:ascii="Arial" w:hAnsi="Arial" w:cs="Arial"/>
          <w:b/>
          <w:bCs/>
        </w:rPr>
        <w:t>ě</w:t>
      </w:r>
      <w:r w:rsidRPr="00251317">
        <w:rPr>
          <w:rFonts w:ascii="Arial" w:hAnsi="Arial" w:cs="Arial"/>
          <w:b/>
          <w:bCs/>
        </w:rPr>
        <w:t xml:space="preserve"> </w:t>
      </w:r>
      <w:r>
        <w:rPr>
          <w:rFonts w:ascii="Arial" w:hAnsi="Arial" w:cs="Arial"/>
          <w:b/>
          <w:bCs/>
        </w:rPr>
        <w:t>vzrostl</w:t>
      </w:r>
      <w:r w:rsidRPr="00251317">
        <w:rPr>
          <w:rFonts w:ascii="Arial" w:hAnsi="Arial" w:cs="Arial"/>
          <w:b/>
          <w:bCs/>
        </w:rPr>
        <w:t xml:space="preserve"> poč</w:t>
      </w:r>
      <w:r>
        <w:rPr>
          <w:rFonts w:ascii="Arial" w:hAnsi="Arial" w:cs="Arial"/>
          <w:b/>
          <w:bCs/>
        </w:rPr>
        <w:t>e</w:t>
      </w:r>
      <w:r w:rsidRPr="00251317">
        <w:rPr>
          <w:rFonts w:ascii="Arial" w:hAnsi="Arial" w:cs="Arial"/>
          <w:b/>
          <w:bCs/>
        </w:rPr>
        <w:t>t ekonomicky aktivních osob</w:t>
      </w:r>
      <w:r w:rsidRPr="00251317">
        <w:rPr>
          <w:rFonts w:ascii="Arial" w:hAnsi="Arial" w:cs="Arial"/>
          <w:bCs/>
        </w:rPr>
        <w:t xml:space="preserve"> (EAO)</w:t>
      </w:r>
      <w:r w:rsidRPr="00251317">
        <w:rPr>
          <w:rFonts w:ascii="Arial" w:hAnsi="Arial" w:cs="Arial"/>
          <w:b/>
          <w:bCs/>
        </w:rPr>
        <w:t xml:space="preserve">, </w:t>
      </w:r>
      <w:r w:rsidRPr="00251317">
        <w:rPr>
          <w:rFonts w:ascii="Arial" w:hAnsi="Arial" w:cs="Arial"/>
          <w:bCs/>
        </w:rPr>
        <w:t xml:space="preserve">tj. souhrnu zaměstnaných a nezaměstnaných. Jejich počet </w:t>
      </w:r>
      <w:r>
        <w:rPr>
          <w:rFonts w:ascii="Arial" w:hAnsi="Arial" w:cs="Arial"/>
          <w:bCs/>
        </w:rPr>
        <w:t>se zvýšil</w:t>
      </w:r>
      <w:r w:rsidRPr="00251317">
        <w:rPr>
          <w:rFonts w:ascii="Arial" w:hAnsi="Arial" w:cs="Arial"/>
          <w:bCs/>
        </w:rPr>
        <w:t xml:space="preserve"> </w:t>
      </w:r>
      <w:r w:rsidRPr="00251317">
        <w:rPr>
          <w:rFonts w:ascii="Arial" w:hAnsi="Arial" w:cs="Arial"/>
          <w:b/>
        </w:rPr>
        <w:t>o 72,3</w:t>
      </w:r>
      <w:r w:rsidRPr="00251317">
        <w:rPr>
          <w:rFonts w:ascii="Arial" w:hAnsi="Arial" w:cs="Arial"/>
          <w:b/>
          <w:bCs/>
        </w:rPr>
        <w:t xml:space="preserve"> tis. </w:t>
      </w:r>
      <w:r w:rsidRPr="00251317">
        <w:rPr>
          <w:rFonts w:ascii="Arial" w:hAnsi="Arial" w:cs="Arial"/>
        </w:rPr>
        <w:t xml:space="preserve">na </w:t>
      </w:r>
      <w:r w:rsidRPr="00251317">
        <w:rPr>
          <w:rFonts w:ascii="Arial" w:hAnsi="Arial" w:cs="Arial"/>
          <w:b/>
          <w:bCs/>
        </w:rPr>
        <w:t>5 293,9 tis.</w:t>
      </w:r>
      <w:r w:rsidRPr="00251317">
        <w:rPr>
          <w:rFonts w:ascii="Arial" w:hAnsi="Arial" w:cs="Arial"/>
        </w:rPr>
        <w:t>, n</w:t>
      </w:r>
      <w:r w:rsidRPr="00251317">
        <w:rPr>
          <w:rFonts w:ascii="Arial" w:hAnsi="Arial" w:cs="Arial"/>
          <w:bCs/>
        </w:rPr>
        <w:t xml:space="preserve">a jejich nárůstu </w:t>
      </w:r>
      <w:r w:rsidRPr="00251317">
        <w:rPr>
          <w:rFonts w:ascii="Arial" w:hAnsi="Arial" w:cs="Arial"/>
        </w:rPr>
        <w:t xml:space="preserve">se podílely především ženy (nárůst o 50,1 tis., počet ekonomicky aktivních mužů se zvýšil o 22,3 tis.). Nepříznivý vývoj ekonomiky se na trhu práce projevil </w:t>
      </w:r>
      <w:r w:rsidRPr="00251317">
        <w:rPr>
          <w:rFonts w:ascii="Arial" w:hAnsi="Arial" w:cs="Arial"/>
          <w:b/>
        </w:rPr>
        <w:t>nárůstem nezaměstnaných o 15,3 tis.</w:t>
      </w:r>
      <w:r w:rsidRPr="00251317">
        <w:rPr>
          <w:rFonts w:ascii="Arial" w:hAnsi="Arial" w:cs="Arial"/>
        </w:rPr>
        <w:t xml:space="preserve">, ale </w:t>
      </w:r>
      <w:r w:rsidRPr="00251317">
        <w:rPr>
          <w:rFonts w:ascii="Arial" w:hAnsi="Arial" w:cs="Arial"/>
          <w:b/>
        </w:rPr>
        <w:t xml:space="preserve">zaměstnanost </w:t>
      </w:r>
      <w:r w:rsidRPr="00251317">
        <w:rPr>
          <w:rFonts w:ascii="Arial" w:hAnsi="Arial" w:cs="Arial"/>
        </w:rPr>
        <w:t xml:space="preserve">také </w:t>
      </w:r>
      <w:r w:rsidRPr="00251317">
        <w:rPr>
          <w:rFonts w:ascii="Arial" w:hAnsi="Arial" w:cs="Arial"/>
          <w:b/>
        </w:rPr>
        <w:t>rostla</w:t>
      </w:r>
      <w:r w:rsidRPr="00251317">
        <w:rPr>
          <w:rFonts w:ascii="Arial" w:hAnsi="Arial" w:cs="Arial"/>
        </w:rPr>
        <w:t xml:space="preserve">, </w:t>
      </w:r>
      <w:r w:rsidRPr="00251317">
        <w:rPr>
          <w:rFonts w:ascii="Arial" w:hAnsi="Arial" w:cs="Arial"/>
          <w:b/>
          <w:bCs/>
        </w:rPr>
        <w:t>počet zaměstnaných se zvýšil o 57,0 tis.</w:t>
      </w:r>
      <w:r w:rsidRPr="00251317">
        <w:rPr>
          <w:rFonts w:ascii="Arial" w:hAnsi="Arial" w:cs="Arial"/>
          <w:bCs/>
        </w:rPr>
        <w:t xml:space="preserve"> </w:t>
      </w:r>
      <w:r w:rsidRPr="00251317">
        <w:rPr>
          <w:rFonts w:ascii="Arial" w:hAnsi="Arial" w:cs="Arial"/>
        </w:rPr>
        <w:t xml:space="preserve">K nárůstu </w:t>
      </w:r>
      <w:r>
        <w:rPr>
          <w:rFonts w:ascii="Arial" w:hAnsi="Arial" w:cs="Arial"/>
        </w:rPr>
        <w:t>ne</w:t>
      </w:r>
      <w:r w:rsidRPr="00251317">
        <w:rPr>
          <w:rFonts w:ascii="Arial" w:hAnsi="Arial" w:cs="Arial"/>
        </w:rPr>
        <w:t xml:space="preserve">zaměstnanosti i zaměstnanosti přispěly především ženy. </w:t>
      </w:r>
    </w:p>
    <w:p w:rsidR="007A49EF" w:rsidRPr="00251317" w:rsidRDefault="007A49EF" w:rsidP="007A49EF">
      <w:pPr>
        <w:tabs>
          <w:tab w:val="center" w:pos="720"/>
        </w:tabs>
        <w:spacing w:line="360" w:lineRule="auto"/>
        <w:ind w:firstLine="720"/>
        <w:jc w:val="both"/>
        <w:rPr>
          <w:rFonts w:ascii="Arial" w:hAnsi="Arial" w:cs="Arial"/>
          <w:bCs/>
        </w:rPr>
      </w:pPr>
      <w:r w:rsidRPr="00251317">
        <w:rPr>
          <w:rFonts w:ascii="Arial" w:hAnsi="Arial" w:cs="Arial"/>
        </w:rPr>
        <w:t xml:space="preserve">Celkový </w:t>
      </w:r>
      <w:r w:rsidRPr="00251317">
        <w:rPr>
          <w:rFonts w:ascii="Arial" w:hAnsi="Arial" w:cs="Arial"/>
          <w:b/>
        </w:rPr>
        <w:t>p</w:t>
      </w:r>
      <w:r w:rsidRPr="00251317">
        <w:rPr>
          <w:rFonts w:ascii="Arial" w:hAnsi="Arial" w:cs="Arial"/>
          <w:b/>
          <w:bCs/>
        </w:rPr>
        <w:t xml:space="preserve">očet ekonomicky neaktivních poklesl o 80,1 tis. na 3 661,9 tis. </w:t>
      </w:r>
      <w:r w:rsidRPr="00251317">
        <w:rPr>
          <w:rFonts w:ascii="Arial" w:hAnsi="Arial" w:cs="Arial"/>
          <w:bCs/>
        </w:rPr>
        <w:t xml:space="preserve">(počet mužů </w:t>
      </w:r>
      <w:r>
        <w:rPr>
          <w:rFonts w:ascii="Arial" w:hAnsi="Arial" w:cs="Arial"/>
          <w:bCs/>
        </w:rPr>
        <w:t>se snížil</w:t>
      </w:r>
      <w:r w:rsidRPr="00251317">
        <w:rPr>
          <w:rFonts w:ascii="Arial" w:hAnsi="Arial" w:cs="Arial"/>
          <w:bCs/>
        </w:rPr>
        <w:t xml:space="preserve"> o 25,3 tis., </w:t>
      </w:r>
      <w:r>
        <w:rPr>
          <w:rFonts w:ascii="Arial" w:hAnsi="Arial" w:cs="Arial"/>
          <w:bCs/>
        </w:rPr>
        <w:t xml:space="preserve">počet </w:t>
      </w:r>
      <w:r w:rsidRPr="00251317">
        <w:rPr>
          <w:rFonts w:ascii="Arial" w:hAnsi="Arial" w:cs="Arial"/>
          <w:bCs/>
        </w:rPr>
        <w:t xml:space="preserve">žen o 54,7 tis.), ve věkové kategorii 65+ jejich počet vzrostl (o 51,4 tis.). Vývoj počtu ekonomicky neaktivních v produktivním věku odpovídal vývoji obyvatelstva, </w:t>
      </w:r>
      <w:r w:rsidRPr="00251317">
        <w:rPr>
          <w:rFonts w:ascii="Arial" w:hAnsi="Arial" w:cs="Arial"/>
        </w:rPr>
        <w:t xml:space="preserve">počty v jednotlivých věkových kategoriích </w:t>
      </w:r>
      <w:r w:rsidRPr="00251317">
        <w:rPr>
          <w:rFonts w:ascii="Arial" w:hAnsi="Arial" w:cs="Arial"/>
          <w:bCs/>
        </w:rPr>
        <w:t xml:space="preserve">(s výjimkou </w:t>
      </w:r>
      <w:r w:rsidRPr="00251317">
        <w:rPr>
          <w:rFonts w:ascii="Arial" w:hAnsi="Arial" w:cs="Arial"/>
          <w:bCs/>
        </w:rPr>
        <w:lastRenderedPageBreak/>
        <w:t>mírného nárůstu ve věku 35 – 44 let o 4,5 </w:t>
      </w:r>
      <w:r w:rsidRPr="00251317">
        <w:rPr>
          <w:rFonts w:ascii="Arial" w:hAnsi="Arial" w:cs="Arial"/>
        </w:rPr>
        <w:t xml:space="preserve">tis.) poklesly. V uvedené skupině vzrostl </w:t>
      </w:r>
      <w:r>
        <w:rPr>
          <w:rFonts w:ascii="Arial" w:hAnsi="Arial" w:cs="Arial"/>
        </w:rPr>
        <w:t>(</w:t>
      </w:r>
      <w:r w:rsidRPr="00251317">
        <w:rPr>
          <w:rFonts w:ascii="Arial" w:hAnsi="Arial" w:cs="Arial"/>
        </w:rPr>
        <w:t>především v souvislosti s péčí o děti</w:t>
      </w:r>
      <w:r>
        <w:rPr>
          <w:rFonts w:ascii="Arial" w:hAnsi="Arial" w:cs="Arial"/>
        </w:rPr>
        <w:t>)</w:t>
      </w:r>
      <w:r w:rsidRPr="00251317">
        <w:rPr>
          <w:rFonts w:ascii="Arial" w:hAnsi="Arial" w:cs="Arial"/>
        </w:rPr>
        <w:t xml:space="preserve"> poč</w:t>
      </w:r>
      <w:r>
        <w:rPr>
          <w:rFonts w:ascii="Arial" w:hAnsi="Arial" w:cs="Arial"/>
        </w:rPr>
        <w:t>e</w:t>
      </w:r>
      <w:r w:rsidRPr="00251317">
        <w:rPr>
          <w:rFonts w:ascii="Arial" w:hAnsi="Arial" w:cs="Arial"/>
        </w:rPr>
        <w:t>t ekonomicky neaktivních žen (o 6,7 tis.).</w:t>
      </w:r>
      <w:r w:rsidRPr="00251317">
        <w:t xml:space="preserve"> </w:t>
      </w:r>
      <w:r w:rsidRPr="00251317">
        <w:rPr>
          <w:rFonts w:ascii="Arial" w:hAnsi="Arial" w:cs="Arial"/>
        </w:rPr>
        <w:t>P</w:t>
      </w:r>
      <w:r w:rsidRPr="00251317">
        <w:rPr>
          <w:rFonts w:ascii="Arial" w:hAnsi="Arial" w:cs="Arial"/>
          <w:bCs/>
        </w:rPr>
        <w:t xml:space="preserve">okles v nejnižších věkových skupinách se projevil v kategorii osob </w:t>
      </w:r>
      <w:r w:rsidRPr="00251317">
        <w:rPr>
          <w:rFonts w:ascii="Arial" w:hAnsi="Arial" w:cs="Arial"/>
          <w:b/>
          <w:bCs/>
        </w:rPr>
        <w:t>připravujících se na povolání</w:t>
      </w:r>
      <w:r w:rsidR="000B3A19">
        <w:rPr>
          <w:rFonts w:ascii="Arial" w:hAnsi="Arial" w:cs="Arial"/>
          <w:bCs/>
        </w:rPr>
        <w:t xml:space="preserve"> (pokles o </w:t>
      </w:r>
      <w:r w:rsidRPr="00251317">
        <w:rPr>
          <w:rFonts w:ascii="Arial" w:hAnsi="Arial" w:cs="Arial"/>
          <w:bCs/>
        </w:rPr>
        <w:t xml:space="preserve">50,2 tis.), pokles ekonomicky neaktivních ve věkové skupině 55 – 64 let  souvisí s prodlužující se věkovou hranicí odchodu do důchodu. </w:t>
      </w:r>
      <w:r w:rsidRPr="00251317">
        <w:rPr>
          <w:rFonts w:ascii="Arial" w:hAnsi="Arial" w:cs="Arial"/>
          <w:b/>
          <w:bCs/>
        </w:rPr>
        <w:t>V kategorii připravujících se na povolání</w:t>
      </w:r>
      <w:r w:rsidRPr="00251317">
        <w:rPr>
          <w:rFonts w:ascii="Arial" w:hAnsi="Arial" w:cs="Arial"/>
          <w:bCs/>
        </w:rPr>
        <w:t xml:space="preserve"> se nejvíce snížily počty studujících vysokou školu (o 22,2 tis.). </w:t>
      </w:r>
      <w:r w:rsidRPr="00251317">
        <w:rPr>
          <w:rFonts w:ascii="Arial" w:hAnsi="Arial" w:cs="Arial"/>
        </w:rPr>
        <w:t>Mezi studujícími na středních a vysokých školách stále převažují dívky</w:t>
      </w:r>
      <w:r w:rsidRPr="00251317">
        <w:rPr>
          <w:rFonts w:ascii="Arial" w:hAnsi="Arial" w:cs="Arial"/>
          <w:b/>
        </w:rPr>
        <w:t xml:space="preserve"> </w:t>
      </w:r>
      <w:r w:rsidRPr="00251317">
        <w:rPr>
          <w:rFonts w:ascii="Arial" w:hAnsi="Arial" w:cs="Arial"/>
        </w:rPr>
        <w:t>(53,0 %, resp. 54,8 %), v učilištích je více chlapců (65,4 %). V </w:t>
      </w:r>
      <w:r w:rsidRPr="00251317">
        <w:rPr>
          <w:rFonts w:ascii="Arial" w:hAnsi="Arial" w:cs="Arial"/>
          <w:bCs/>
        </w:rPr>
        <w:t xml:space="preserve">kategorii </w:t>
      </w:r>
      <w:r w:rsidRPr="00251317">
        <w:rPr>
          <w:rFonts w:ascii="Arial" w:hAnsi="Arial" w:cs="Arial"/>
          <w:b/>
          <w:bCs/>
        </w:rPr>
        <w:t>důchodců</w:t>
      </w:r>
      <w:r w:rsidRPr="00251317">
        <w:rPr>
          <w:rFonts w:ascii="Arial" w:hAnsi="Arial" w:cs="Arial"/>
          <w:bCs/>
        </w:rPr>
        <w:t xml:space="preserve"> vzrostl počet řádných starobních důchodců o 18,4 tis., počet předčasných důchodců poklesl o 13,1 </w:t>
      </w:r>
      <w:r>
        <w:rPr>
          <w:rFonts w:ascii="Arial" w:hAnsi="Arial" w:cs="Arial"/>
          <w:bCs/>
        </w:rPr>
        <w:t>tis.</w:t>
      </w:r>
      <w:r w:rsidRPr="00251317">
        <w:rPr>
          <w:rFonts w:ascii="Arial" w:hAnsi="Arial" w:cs="Arial"/>
          <w:bCs/>
        </w:rPr>
        <w:t xml:space="preserve"> a invalidních důchodců o 18,2 </w:t>
      </w:r>
      <w:r>
        <w:rPr>
          <w:rFonts w:ascii="Arial" w:hAnsi="Arial" w:cs="Arial"/>
          <w:bCs/>
        </w:rPr>
        <w:t>tis.</w:t>
      </w:r>
    </w:p>
    <w:p w:rsidR="007A49EF" w:rsidRPr="00251317" w:rsidRDefault="007A49EF" w:rsidP="007A49EF">
      <w:pPr>
        <w:tabs>
          <w:tab w:val="center" w:pos="720"/>
        </w:tabs>
        <w:spacing w:line="360" w:lineRule="auto"/>
        <w:ind w:firstLine="720"/>
        <w:jc w:val="both"/>
        <w:rPr>
          <w:rFonts w:ascii="Arial" w:hAnsi="Arial" w:cs="Arial"/>
        </w:rPr>
      </w:pPr>
      <w:r w:rsidRPr="00251317">
        <w:rPr>
          <w:rFonts w:ascii="Arial" w:hAnsi="Arial" w:cs="Arial"/>
          <w:bCs/>
        </w:rPr>
        <w:t xml:space="preserve">Zvýšení počtu EAO se na celkové </w:t>
      </w:r>
      <w:r w:rsidRPr="00251317">
        <w:rPr>
          <w:rFonts w:ascii="Arial" w:hAnsi="Arial" w:cs="Arial"/>
          <w:b/>
          <w:bCs/>
        </w:rPr>
        <w:t xml:space="preserve">míře ekonomické aktivity (MEA) obyvatel starších 15 let </w:t>
      </w:r>
      <w:r w:rsidRPr="00251317">
        <w:rPr>
          <w:rFonts w:ascii="Arial" w:hAnsi="Arial" w:cs="Arial"/>
          <w:bCs/>
        </w:rPr>
        <w:t>projevil jejím</w:t>
      </w:r>
      <w:r w:rsidRPr="00251317">
        <w:rPr>
          <w:rFonts w:ascii="Arial" w:hAnsi="Arial" w:cs="Arial"/>
          <w:b/>
          <w:bCs/>
        </w:rPr>
        <w:t xml:space="preserve"> zvýšením o 0,8</w:t>
      </w:r>
      <w:r w:rsidRPr="00251317">
        <w:rPr>
          <w:rFonts w:ascii="Arial" w:hAnsi="Arial" w:cs="Arial"/>
        </w:rPr>
        <w:t> </w:t>
      </w:r>
      <w:r w:rsidRPr="00251317">
        <w:rPr>
          <w:rFonts w:ascii="Arial" w:hAnsi="Arial" w:cs="Arial"/>
          <w:b/>
        </w:rPr>
        <w:t>p. b.</w:t>
      </w:r>
      <w:r w:rsidRPr="00251317">
        <w:rPr>
          <w:rFonts w:ascii="Arial" w:hAnsi="Arial" w:cs="Arial"/>
          <w:b/>
          <w:bCs/>
        </w:rPr>
        <w:t xml:space="preserve"> na</w:t>
      </w:r>
      <w:r w:rsidRPr="00251317">
        <w:rPr>
          <w:rFonts w:ascii="Arial" w:hAnsi="Arial" w:cs="Arial"/>
        </w:rPr>
        <w:t xml:space="preserve"> </w:t>
      </w:r>
      <w:r w:rsidRPr="00251317">
        <w:rPr>
          <w:rFonts w:ascii="Arial" w:hAnsi="Arial" w:cs="Arial"/>
          <w:b/>
        </w:rPr>
        <w:t>59,1 %</w:t>
      </w:r>
      <w:r w:rsidRPr="00251317">
        <w:rPr>
          <w:rFonts w:ascii="Arial" w:hAnsi="Arial" w:cs="Arial"/>
        </w:rPr>
        <w:t xml:space="preserve">. </w:t>
      </w:r>
      <w:r w:rsidR="00AE6437">
        <w:rPr>
          <w:rFonts w:ascii="Arial" w:hAnsi="Arial" w:cs="Arial"/>
        </w:rPr>
        <w:t>Míra</w:t>
      </w:r>
      <w:r w:rsidRPr="00251317">
        <w:rPr>
          <w:rFonts w:ascii="Arial" w:hAnsi="Arial" w:cs="Arial"/>
        </w:rPr>
        <w:t xml:space="preserve"> EAO ve věkové kategorii </w:t>
      </w:r>
      <w:r w:rsidRPr="00251317">
        <w:rPr>
          <w:rFonts w:ascii="Arial" w:hAnsi="Arial" w:cs="Arial"/>
          <w:b/>
        </w:rPr>
        <w:t>15 – 64 let</w:t>
      </w:r>
      <w:r w:rsidRPr="00251317">
        <w:rPr>
          <w:rFonts w:ascii="Arial" w:hAnsi="Arial" w:cs="Arial"/>
        </w:rPr>
        <w:t xml:space="preserve"> meziročně </w:t>
      </w:r>
      <w:r w:rsidRPr="00251317">
        <w:rPr>
          <w:rFonts w:ascii="Arial" w:hAnsi="Arial" w:cs="Arial"/>
          <w:b/>
          <w:bCs/>
        </w:rPr>
        <w:t>vzrostl</w:t>
      </w:r>
      <w:r w:rsidR="00287DDC">
        <w:rPr>
          <w:rFonts w:ascii="Arial" w:hAnsi="Arial" w:cs="Arial"/>
          <w:b/>
          <w:bCs/>
        </w:rPr>
        <w:t xml:space="preserve">a </w:t>
      </w:r>
      <w:r w:rsidRPr="00251317">
        <w:rPr>
          <w:rFonts w:ascii="Arial" w:hAnsi="Arial" w:cs="Arial"/>
          <w:bCs/>
        </w:rPr>
        <w:t>(o</w:t>
      </w:r>
      <w:r w:rsidRPr="00251317">
        <w:rPr>
          <w:rFonts w:ascii="Arial" w:hAnsi="Arial" w:cs="Arial"/>
          <w:b/>
          <w:bCs/>
        </w:rPr>
        <w:t> </w:t>
      </w:r>
      <w:r w:rsidRPr="00251317">
        <w:rPr>
          <w:rFonts w:ascii="Arial" w:hAnsi="Arial" w:cs="Arial"/>
          <w:bCs/>
        </w:rPr>
        <w:t>1,5</w:t>
      </w:r>
      <w:r w:rsidRPr="00251317">
        <w:rPr>
          <w:rFonts w:ascii="Arial" w:hAnsi="Arial" w:cs="Arial"/>
        </w:rPr>
        <w:t xml:space="preserve">  p. b.</w:t>
      </w:r>
      <w:r w:rsidRPr="00251317">
        <w:rPr>
          <w:rFonts w:ascii="Arial" w:hAnsi="Arial" w:cs="Arial"/>
          <w:bCs/>
        </w:rPr>
        <w:t>)</w:t>
      </w:r>
      <w:r w:rsidRPr="00251317">
        <w:rPr>
          <w:rFonts w:ascii="Arial" w:hAnsi="Arial" w:cs="Arial"/>
        </w:rPr>
        <w:t xml:space="preserve"> </w:t>
      </w:r>
      <w:r w:rsidRPr="00251317">
        <w:rPr>
          <w:rFonts w:ascii="Arial" w:hAnsi="Arial" w:cs="Arial"/>
          <w:b/>
        </w:rPr>
        <w:t>na 72,5 %</w:t>
      </w:r>
      <w:r w:rsidRPr="00251317">
        <w:rPr>
          <w:rFonts w:ascii="Arial" w:hAnsi="Arial" w:cs="Arial"/>
          <w:b/>
          <w:bCs/>
        </w:rPr>
        <w:t>.</w:t>
      </w:r>
      <w:r w:rsidRPr="00251317">
        <w:rPr>
          <w:rFonts w:ascii="Arial" w:hAnsi="Arial" w:cs="Arial"/>
        </w:rPr>
        <w:t xml:space="preserve"> </w:t>
      </w:r>
      <w:r>
        <w:rPr>
          <w:rFonts w:ascii="Arial" w:hAnsi="Arial" w:cs="Arial"/>
        </w:rPr>
        <w:t xml:space="preserve">Na </w:t>
      </w:r>
      <w:r w:rsidRPr="00313205">
        <w:rPr>
          <w:rFonts w:ascii="Arial" w:hAnsi="Arial" w:cs="Arial"/>
          <w:b/>
        </w:rPr>
        <w:t>77,6 %</w:t>
      </w:r>
      <w:r>
        <w:rPr>
          <w:rFonts w:ascii="Arial" w:hAnsi="Arial" w:cs="Arial"/>
        </w:rPr>
        <w:t xml:space="preserve"> (o</w:t>
      </w:r>
      <w:r w:rsidR="000B3A19">
        <w:rPr>
          <w:rFonts w:ascii="Arial" w:hAnsi="Arial" w:cs="Arial"/>
        </w:rPr>
        <w:t> </w:t>
      </w:r>
      <w:r>
        <w:rPr>
          <w:rFonts w:ascii="Arial" w:hAnsi="Arial" w:cs="Arial"/>
        </w:rPr>
        <w:t xml:space="preserve">1,5 p. b.) se zvýšila MEA u osob ve věku </w:t>
      </w:r>
      <w:r w:rsidRPr="00FC51DA">
        <w:rPr>
          <w:rFonts w:ascii="Arial" w:hAnsi="Arial" w:cs="Arial"/>
          <w:b/>
        </w:rPr>
        <w:t>20 – 64 let</w:t>
      </w:r>
      <w:r>
        <w:rPr>
          <w:rFonts w:ascii="Arial" w:hAnsi="Arial" w:cs="Arial"/>
        </w:rPr>
        <w:t>.</w:t>
      </w:r>
    </w:p>
    <w:p w:rsidR="007A49EF" w:rsidRPr="00251317" w:rsidRDefault="007A49EF" w:rsidP="007A49EF">
      <w:pPr>
        <w:tabs>
          <w:tab w:val="center" w:pos="720"/>
        </w:tabs>
        <w:ind w:firstLine="720"/>
        <w:jc w:val="both"/>
        <w:rPr>
          <w:rFonts w:ascii="Arial" w:hAnsi="Arial" w:cs="Arial"/>
          <w:sz w:val="16"/>
          <w:szCs w:val="16"/>
        </w:rPr>
      </w:pPr>
    </w:p>
    <w:p w:rsidR="007A49EF" w:rsidRPr="00251317" w:rsidRDefault="007A49EF" w:rsidP="007A49EF">
      <w:pPr>
        <w:pStyle w:val="xl24"/>
        <w:pBdr>
          <w:left w:val="none" w:sz="0" w:space="0" w:color="auto"/>
        </w:pBdr>
        <w:tabs>
          <w:tab w:val="center" w:pos="720"/>
        </w:tabs>
        <w:spacing w:before="0" w:beforeAutospacing="0" w:after="0" w:afterAutospacing="0"/>
        <w:rPr>
          <w:rFonts w:ascii="Arial" w:eastAsia="Times New Roman" w:hAnsi="Arial" w:cs="Arial"/>
          <w:color w:val="auto"/>
        </w:rPr>
      </w:pPr>
      <w:r w:rsidRPr="00251317">
        <w:rPr>
          <w:rFonts w:ascii="Arial" w:eastAsia="Times New Roman" w:hAnsi="Arial" w:cs="Arial"/>
          <w:color w:val="auto"/>
        </w:rPr>
        <w:t>Míra ekonomické aktivity podle věku (v %)</w:t>
      </w:r>
    </w:p>
    <w:p w:rsidR="007A49EF" w:rsidRPr="00251317" w:rsidRDefault="007A49EF" w:rsidP="007A49EF">
      <w:pPr>
        <w:tabs>
          <w:tab w:val="center" w:pos="720"/>
        </w:tabs>
        <w:ind w:left="708" w:firstLine="372"/>
        <w:jc w:val="right"/>
        <w:rPr>
          <w:rFonts w:ascii="Arial" w:hAnsi="Arial" w:cs="Arial"/>
          <w:sz w:val="20"/>
          <w:szCs w:val="20"/>
        </w:rPr>
      </w:pPr>
      <w:r w:rsidRPr="00251317">
        <w:rPr>
          <w:rFonts w:ascii="Arial" w:hAnsi="Arial" w:cs="Arial"/>
          <w:sz w:val="20"/>
          <w:szCs w:val="20"/>
        </w:rPr>
        <w:t>tab. č. 3</w:t>
      </w:r>
    </w:p>
    <w:tbl>
      <w:tblPr>
        <w:tblW w:w="9220" w:type="dxa"/>
        <w:tblInd w:w="47" w:type="dxa"/>
        <w:tblCellMar>
          <w:left w:w="70" w:type="dxa"/>
          <w:right w:w="70" w:type="dxa"/>
        </w:tblCellMar>
        <w:tblLook w:val="0000" w:firstRow="0" w:lastRow="0" w:firstColumn="0" w:lastColumn="0" w:noHBand="0" w:noVBand="0"/>
      </w:tblPr>
      <w:tblGrid>
        <w:gridCol w:w="1780"/>
        <w:gridCol w:w="1592"/>
        <w:gridCol w:w="1077"/>
        <w:gridCol w:w="1051"/>
        <w:gridCol w:w="1574"/>
        <w:gridCol w:w="1065"/>
        <w:gridCol w:w="1081"/>
      </w:tblGrid>
      <w:tr w:rsidR="007A49EF" w:rsidRPr="00251317" w:rsidTr="007A49EF">
        <w:trPr>
          <w:cantSplit/>
          <w:trHeight w:val="284"/>
        </w:trPr>
        <w:tc>
          <w:tcPr>
            <w:tcW w:w="1780" w:type="dxa"/>
            <w:vMerge w:val="restart"/>
            <w:tcBorders>
              <w:top w:val="double" w:sz="6" w:space="0" w:color="auto"/>
              <w:left w:val="double" w:sz="6" w:space="0" w:color="auto"/>
              <w:bottom w:val="single" w:sz="4" w:space="0" w:color="000000"/>
              <w:right w:val="single" w:sz="4" w:space="0" w:color="auto"/>
            </w:tcBorders>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věkové skupiny</w:t>
            </w:r>
          </w:p>
        </w:tc>
        <w:tc>
          <w:tcPr>
            <w:tcW w:w="3720" w:type="dxa"/>
            <w:gridSpan w:val="3"/>
            <w:tcBorders>
              <w:top w:val="double" w:sz="6" w:space="0" w:color="auto"/>
              <w:left w:val="nil"/>
              <w:right w:val="single" w:sz="4" w:space="0" w:color="auto"/>
            </w:tcBorders>
            <w:noWrap/>
            <w:vAlign w:val="bottom"/>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1. pololetí 2012</w:t>
            </w:r>
          </w:p>
        </w:tc>
        <w:tc>
          <w:tcPr>
            <w:tcW w:w="3720" w:type="dxa"/>
            <w:gridSpan w:val="3"/>
            <w:tcBorders>
              <w:top w:val="double" w:sz="6" w:space="0" w:color="auto"/>
              <w:left w:val="nil"/>
              <w:right w:val="double" w:sz="6" w:space="0" w:color="000000"/>
            </w:tcBorders>
            <w:noWrap/>
            <w:vAlign w:val="bottom"/>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1. pololetí 2013</w:t>
            </w:r>
          </w:p>
        </w:tc>
      </w:tr>
      <w:tr w:rsidR="007A49EF" w:rsidRPr="00251317" w:rsidTr="007A49EF">
        <w:trPr>
          <w:cantSplit/>
          <w:trHeight w:val="284"/>
        </w:trPr>
        <w:tc>
          <w:tcPr>
            <w:tcW w:w="1780" w:type="dxa"/>
            <w:vMerge/>
            <w:tcBorders>
              <w:top w:val="double" w:sz="6" w:space="0" w:color="auto"/>
              <w:left w:val="double" w:sz="6" w:space="0" w:color="auto"/>
              <w:bottom w:val="single" w:sz="4" w:space="0" w:color="000000"/>
              <w:right w:val="single" w:sz="4" w:space="0" w:color="auto"/>
            </w:tcBorders>
            <w:vAlign w:val="center"/>
          </w:tcPr>
          <w:p w:rsidR="007A49EF" w:rsidRPr="00251317" w:rsidRDefault="007A49EF" w:rsidP="007A49EF">
            <w:pPr>
              <w:rPr>
                <w:rFonts w:ascii="Arial" w:hAnsi="Arial" w:cs="Arial"/>
                <w:b/>
                <w:bCs/>
                <w:sz w:val="20"/>
                <w:szCs w:val="20"/>
              </w:rPr>
            </w:pPr>
          </w:p>
        </w:tc>
        <w:tc>
          <w:tcPr>
            <w:tcW w:w="1592" w:type="dxa"/>
            <w:tcBorders>
              <w:top w:val="single" w:sz="4" w:space="0" w:color="auto"/>
              <w:left w:val="nil"/>
              <w:bottom w:val="single" w:sz="4" w:space="0" w:color="auto"/>
              <w:right w:val="single" w:sz="4" w:space="0" w:color="auto"/>
            </w:tcBorders>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celkem</w:t>
            </w:r>
          </w:p>
        </w:tc>
        <w:tc>
          <w:tcPr>
            <w:tcW w:w="1077" w:type="dxa"/>
            <w:tcBorders>
              <w:top w:val="single" w:sz="4" w:space="0" w:color="auto"/>
              <w:left w:val="nil"/>
              <w:bottom w:val="single" w:sz="4" w:space="0" w:color="auto"/>
              <w:right w:val="single" w:sz="4" w:space="0" w:color="auto"/>
            </w:tcBorders>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muži</w:t>
            </w:r>
          </w:p>
        </w:tc>
        <w:tc>
          <w:tcPr>
            <w:tcW w:w="1051" w:type="dxa"/>
            <w:tcBorders>
              <w:top w:val="single" w:sz="4" w:space="0" w:color="auto"/>
              <w:left w:val="nil"/>
              <w:bottom w:val="single" w:sz="4" w:space="0" w:color="auto"/>
              <w:right w:val="single" w:sz="4" w:space="0" w:color="auto"/>
            </w:tcBorders>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ženy</w:t>
            </w:r>
          </w:p>
        </w:tc>
        <w:tc>
          <w:tcPr>
            <w:tcW w:w="1574" w:type="dxa"/>
            <w:tcBorders>
              <w:top w:val="single" w:sz="4" w:space="0" w:color="auto"/>
              <w:left w:val="nil"/>
              <w:bottom w:val="single" w:sz="4" w:space="0" w:color="auto"/>
              <w:right w:val="single" w:sz="4" w:space="0" w:color="auto"/>
            </w:tcBorders>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celkem</w:t>
            </w:r>
          </w:p>
        </w:tc>
        <w:tc>
          <w:tcPr>
            <w:tcW w:w="1065" w:type="dxa"/>
            <w:tcBorders>
              <w:top w:val="single" w:sz="4" w:space="0" w:color="auto"/>
              <w:left w:val="nil"/>
              <w:bottom w:val="single" w:sz="4" w:space="0" w:color="auto"/>
              <w:right w:val="single" w:sz="4" w:space="0" w:color="auto"/>
            </w:tcBorders>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muži</w:t>
            </w:r>
          </w:p>
        </w:tc>
        <w:tc>
          <w:tcPr>
            <w:tcW w:w="1081" w:type="dxa"/>
            <w:tcBorders>
              <w:top w:val="single" w:sz="4" w:space="0" w:color="auto"/>
              <w:left w:val="nil"/>
              <w:bottom w:val="single" w:sz="4" w:space="0" w:color="auto"/>
              <w:right w:val="double" w:sz="6" w:space="0" w:color="auto"/>
            </w:tcBorders>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ženy</w:t>
            </w:r>
          </w:p>
        </w:tc>
      </w:tr>
      <w:tr w:rsidR="007A49EF" w:rsidRPr="00251317" w:rsidTr="007A49EF">
        <w:trPr>
          <w:trHeight w:val="340"/>
        </w:trPr>
        <w:tc>
          <w:tcPr>
            <w:tcW w:w="1780" w:type="dxa"/>
            <w:tcBorders>
              <w:top w:val="nil"/>
              <w:left w:val="double" w:sz="6" w:space="0" w:color="auto"/>
              <w:bottom w:val="nil"/>
              <w:right w:val="nil"/>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15-24</w:t>
            </w:r>
          </w:p>
        </w:tc>
        <w:tc>
          <w:tcPr>
            <w:tcW w:w="1592" w:type="dxa"/>
            <w:tcBorders>
              <w:top w:val="nil"/>
              <w:left w:val="single" w:sz="4" w:space="0" w:color="auto"/>
              <w:bottom w:val="nil"/>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30,5</w:t>
            </w:r>
          </w:p>
        </w:tc>
        <w:tc>
          <w:tcPr>
            <w:tcW w:w="1077" w:type="dxa"/>
            <w:tcBorders>
              <w:top w:val="nil"/>
              <w:left w:val="nil"/>
              <w:bottom w:val="nil"/>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35,7</w:t>
            </w:r>
          </w:p>
        </w:tc>
        <w:tc>
          <w:tcPr>
            <w:tcW w:w="1051" w:type="dxa"/>
            <w:tcBorders>
              <w:top w:val="nil"/>
              <w:left w:val="nil"/>
              <w:bottom w:val="nil"/>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25,0</w:t>
            </w:r>
          </w:p>
        </w:tc>
        <w:tc>
          <w:tcPr>
            <w:tcW w:w="1574" w:type="dxa"/>
            <w:tcBorders>
              <w:top w:val="nil"/>
              <w:left w:val="nil"/>
              <w:bottom w:val="nil"/>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30,9</w:t>
            </w:r>
          </w:p>
        </w:tc>
        <w:tc>
          <w:tcPr>
            <w:tcW w:w="1065" w:type="dxa"/>
            <w:tcBorders>
              <w:top w:val="nil"/>
              <w:left w:val="nil"/>
              <w:bottom w:val="nil"/>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35,8</w:t>
            </w:r>
          </w:p>
        </w:tc>
        <w:tc>
          <w:tcPr>
            <w:tcW w:w="1081" w:type="dxa"/>
            <w:tcBorders>
              <w:top w:val="nil"/>
              <w:left w:val="nil"/>
              <w:bottom w:val="nil"/>
              <w:right w:val="double" w:sz="6"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25,7</w:t>
            </w:r>
          </w:p>
        </w:tc>
      </w:tr>
      <w:tr w:rsidR="007A49EF" w:rsidRPr="00251317" w:rsidTr="007A49EF">
        <w:trPr>
          <w:trHeight w:val="340"/>
        </w:trPr>
        <w:tc>
          <w:tcPr>
            <w:tcW w:w="1780" w:type="dxa"/>
            <w:tcBorders>
              <w:top w:val="nil"/>
              <w:left w:val="double" w:sz="6" w:space="0" w:color="auto"/>
              <w:bottom w:val="nil"/>
              <w:right w:val="nil"/>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25-39</w:t>
            </w:r>
          </w:p>
        </w:tc>
        <w:tc>
          <w:tcPr>
            <w:tcW w:w="1592" w:type="dxa"/>
            <w:tcBorders>
              <w:top w:val="nil"/>
              <w:left w:val="single" w:sz="4" w:space="0" w:color="auto"/>
              <w:bottom w:val="nil"/>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83,5</w:t>
            </w:r>
          </w:p>
        </w:tc>
        <w:tc>
          <w:tcPr>
            <w:tcW w:w="1077" w:type="dxa"/>
            <w:tcBorders>
              <w:top w:val="nil"/>
              <w:left w:val="nil"/>
              <w:bottom w:val="nil"/>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95,2</w:t>
            </w:r>
          </w:p>
        </w:tc>
        <w:tc>
          <w:tcPr>
            <w:tcW w:w="1051" w:type="dxa"/>
            <w:tcBorders>
              <w:top w:val="nil"/>
              <w:left w:val="nil"/>
              <w:bottom w:val="nil"/>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71,0</w:t>
            </w:r>
          </w:p>
        </w:tc>
        <w:tc>
          <w:tcPr>
            <w:tcW w:w="1574" w:type="dxa"/>
            <w:tcBorders>
              <w:top w:val="nil"/>
              <w:left w:val="nil"/>
              <w:bottom w:val="nil"/>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84,7</w:t>
            </w:r>
          </w:p>
        </w:tc>
        <w:tc>
          <w:tcPr>
            <w:tcW w:w="1065" w:type="dxa"/>
            <w:tcBorders>
              <w:top w:val="nil"/>
              <w:left w:val="nil"/>
              <w:bottom w:val="nil"/>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95,7</w:t>
            </w:r>
          </w:p>
        </w:tc>
        <w:tc>
          <w:tcPr>
            <w:tcW w:w="1081" w:type="dxa"/>
            <w:tcBorders>
              <w:top w:val="nil"/>
              <w:left w:val="nil"/>
              <w:bottom w:val="nil"/>
              <w:right w:val="double" w:sz="6"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73,1</w:t>
            </w:r>
          </w:p>
        </w:tc>
      </w:tr>
      <w:tr w:rsidR="007A49EF" w:rsidRPr="00251317" w:rsidTr="007A49EF">
        <w:trPr>
          <w:trHeight w:val="340"/>
        </w:trPr>
        <w:tc>
          <w:tcPr>
            <w:tcW w:w="1780" w:type="dxa"/>
            <w:tcBorders>
              <w:top w:val="nil"/>
              <w:left w:val="double" w:sz="6" w:space="0" w:color="auto"/>
              <w:bottom w:val="nil"/>
              <w:right w:val="nil"/>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40-54</w:t>
            </w:r>
          </w:p>
        </w:tc>
        <w:tc>
          <w:tcPr>
            <w:tcW w:w="1592" w:type="dxa"/>
            <w:tcBorders>
              <w:top w:val="nil"/>
              <w:left w:val="single" w:sz="4" w:space="0" w:color="auto"/>
              <w:bottom w:val="nil"/>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93,5</w:t>
            </w:r>
          </w:p>
        </w:tc>
        <w:tc>
          <w:tcPr>
            <w:tcW w:w="1077" w:type="dxa"/>
            <w:tcBorders>
              <w:top w:val="nil"/>
              <w:left w:val="nil"/>
              <w:bottom w:val="nil"/>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95,4</w:t>
            </w:r>
          </w:p>
        </w:tc>
        <w:tc>
          <w:tcPr>
            <w:tcW w:w="1051" w:type="dxa"/>
            <w:tcBorders>
              <w:top w:val="nil"/>
              <w:left w:val="nil"/>
              <w:bottom w:val="nil"/>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91,6</w:t>
            </w:r>
          </w:p>
        </w:tc>
        <w:tc>
          <w:tcPr>
            <w:tcW w:w="1574" w:type="dxa"/>
            <w:tcBorders>
              <w:top w:val="nil"/>
              <w:left w:val="nil"/>
              <w:bottom w:val="nil"/>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93,9</w:t>
            </w:r>
          </w:p>
        </w:tc>
        <w:tc>
          <w:tcPr>
            <w:tcW w:w="1065" w:type="dxa"/>
            <w:tcBorders>
              <w:top w:val="nil"/>
              <w:left w:val="nil"/>
              <w:bottom w:val="nil"/>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96,0</w:t>
            </w:r>
          </w:p>
        </w:tc>
        <w:tc>
          <w:tcPr>
            <w:tcW w:w="1081" w:type="dxa"/>
            <w:tcBorders>
              <w:top w:val="nil"/>
              <w:left w:val="nil"/>
              <w:bottom w:val="nil"/>
              <w:right w:val="double" w:sz="6"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91,8</w:t>
            </w:r>
          </w:p>
        </w:tc>
      </w:tr>
      <w:tr w:rsidR="007A49EF" w:rsidRPr="00251317" w:rsidTr="007A49EF">
        <w:trPr>
          <w:trHeight w:val="340"/>
        </w:trPr>
        <w:tc>
          <w:tcPr>
            <w:tcW w:w="1780" w:type="dxa"/>
            <w:tcBorders>
              <w:top w:val="nil"/>
              <w:left w:val="double" w:sz="6" w:space="0" w:color="auto"/>
              <w:right w:val="nil"/>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55-64</w:t>
            </w:r>
          </w:p>
        </w:tc>
        <w:tc>
          <w:tcPr>
            <w:tcW w:w="1592" w:type="dxa"/>
            <w:tcBorders>
              <w:top w:val="nil"/>
              <w:left w:val="single" w:sz="4" w:space="0" w:color="auto"/>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51,3</w:t>
            </w:r>
          </w:p>
        </w:tc>
        <w:tc>
          <w:tcPr>
            <w:tcW w:w="1077" w:type="dxa"/>
            <w:tcBorders>
              <w:top w:val="nil"/>
              <w:left w:val="nil"/>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62,9</w:t>
            </w:r>
          </w:p>
        </w:tc>
        <w:tc>
          <w:tcPr>
            <w:tcW w:w="1051" w:type="dxa"/>
            <w:tcBorders>
              <w:top w:val="nil"/>
              <w:left w:val="nil"/>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40,6</w:t>
            </w:r>
          </w:p>
        </w:tc>
        <w:tc>
          <w:tcPr>
            <w:tcW w:w="1574" w:type="dxa"/>
            <w:tcBorders>
              <w:top w:val="nil"/>
              <w:left w:val="nil"/>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54,3</w:t>
            </w:r>
          </w:p>
        </w:tc>
        <w:tc>
          <w:tcPr>
            <w:tcW w:w="1065" w:type="dxa"/>
            <w:tcBorders>
              <w:top w:val="nil"/>
              <w:left w:val="nil"/>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65,7</w:t>
            </w:r>
          </w:p>
        </w:tc>
        <w:tc>
          <w:tcPr>
            <w:tcW w:w="1081" w:type="dxa"/>
            <w:tcBorders>
              <w:top w:val="nil"/>
              <w:left w:val="nil"/>
              <w:right w:val="double" w:sz="6"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43,5</w:t>
            </w:r>
          </w:p>
        </w:tc>
      </w:tr>
      <w:tr w:rsidR="007A49EF" w:rsidRPr="00251317" w:rsidTr="007A49EF">
        <w:trPr>
          <w:trHeight w:val="340"/>
        </w:trPr>
        <w:tc>
          <w:tcPr>
            <w:tcW w:w="1780" w:type="dxa"/>
            <w:tcBorders>
              <w:top w:val="single" w:sz="4" w:space="0" w:color="auto"/>
              <w:left w:val="double" w:sz="6" w:space="0" w:color="auto"/>
              <w:bottom w:val="nil"/>
              <w:right w:val="nil"/>
            </w:tcBorders>
            <w:noWrap/>
            <w:vAlign w:val="center"/>
          </w:tcPr>
          <w:p w:rsidR="007A49EF" w:rsidRPr="00251317" w:rsidRDefault="007A49EF" w:rsidP="007A49EF">
            <w:pPr>
              <w:jc w:val="center"/>
              <w:rPr>
                <w:rFonts w:ascii="Arial" w:hAnsi="Arial" w:cs="Arial"/>
                <w:b/>
                <w:sz w:val="20"/>
                <w:szCs w:val="20"/>
              </w:rPr>
            </w:pPr>
            <w:r w:rsidRPr="00251317">
              <w:rPr>
                <w:rFonts w:ascii="Arial" w:hAnsi="Arial" w:cs="Arial"/>
                <w:b/>
                <w:sz w:val="20"/>
                <w:szCs w:val="20"/>
              </w:rPr>
              <w:t>15+</w:t>
            </w:r>
          </w:p>
        </w:tc>
        <w:tc>
          <w:tcPr>
            <w:tcW w:w="1592" w:type="dxa"/>
            <w:tcBorders>
              <w:top w:val="single" w:sz="4" w:space="0" w:color="auto"/>
              <w:left w:val="single" w:sz="4" w:space="0" w:color="auto"/>
              <w:bottom w:val="nil"/>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58,3</w:t>
            </w:r>
          </w:p>
        </w:tc>
        <w:tc>
          <w:tcPr>
            <w:tcW w:w="1077" w:type="dxa"/>
            <w:tcBorders>
              <w:top w:val="single" w:sz="4" w:space="0" w:color="auto"/>
              <w:left w:val="nil"/>
              <w:bottom w:val="nil"/>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67,3</w:t>
            </w:r>
          </w:p>
        </w:tc>
        <w:tc>
          <w:tcPr>
            <w:tcW w:w="1051" w:type="dxa"/>
            <w:tcBorders>
              <w:top w:val="single" w:sz="4" w:space="0" w:color="auto"/>
              <w:left w:val="nil"/>
              <w:bottom w:val="nil"/>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49,6</w:t>
            </w:r>
          </w:p>
        </w:tc>
        <w:tc>
          <w:tcPr>
            <w:tcW w:w="1574" w:type="dxa"/>
            <w:tcBorders>
              <w:top w:val="single" w:sz="4" w:space="0" w:color="auto"/>
              <w:left w:val="nil"/>
              <w:bottom w:val="nil"/>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59,1</w:t>
            </w:r>
          </w:p>
        </w:tc>
        <w:tc>
          <w:tcPr>
            <w:tcW w:w="1065" w:type="dxa"/>
            <w:tcBorders>
              <w:top w:val="single" w:sz="4" w:space="0" w:color="auto"/>
              <w:left w:val="nil"/>
              <w:bottom w:val="nil"/>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67,9</w:t>
            </w:r>
          </w:p>
        </w:tc>
        <w:tc>
          <w:tcPr>
            <w:tcW w:w="1081" w:type="dxa"/>
            <w:tcBorders>
              <w:top w:val="single" w:sz="4" w:space="0" w:color="auto"/>
              <w:left w:val="nil"/>
              <w:bottom w:val="nil"/>
              <w:right w:val="double" w:sz="6"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50,8</w:t>
            </w:r>
          </w:p>
        </w:tc>
      </w:tr>
      <w:tr w:rsidR="007A49EF" w:rsidRPr="00251317" w:rsidTr="007A49EF">
        <w:trPr>
          <w:trHeight w:val="340"/>
        </w:trPr>
        <w:tc>
          <w:tcPr>
            <w:tcW w:w="1780" w:type="dxa"/>
            <w:tcBorders>
              <w:top w:val="nil"/>
              <w:left w:val="double" w:sz="6" w:space="0" w:color="auto"/>
              <w:bottom w:val="nil"/>
              <w:right w:val="nil"/>
            </w:tcBorders>
            <w:noWrap/>
            <w:vAlign w:val="center"/>
          </w:tcPr>
          <w:p w:rsidR="007A49EF" w:rsidRPr="00251317" w:rsidRDefault="007A49EF" w:rsidP="007A49EF">
            <w:pPr>
              <w:jc w:val="center"/>
              <w:rPr>
                <w:rFonts w:ascii="Arial" w:hAnsi="Arial" w:cs="Arial"/>
                <w:b/>
                <w:sz w:val="20"/>
                <w:szCs w:val="20"/>
              </w:rPr>
            </w:pPr>
            <w:r w:rsidRPr="00251317">
              <w:rPr>
                <w:rFonts w:ascii="Arial" w:hAnsi="Arial" w:cs="Arial"/>
                <w:b/>
                <w:sz w:val="20"/>
                <w:szCs w:val="20"/>
              </w:rPr>
              <w:t>15 - 64</w:t>
            </w:r>
          </w:p>
        </w:tc>
        <w:tc>
          <w:tcPr>
            <w:tcW w:w="1592" w:type="dxa"/>
            <w:tcBorders>
              <w:top w:val="nil"/>
              <w:left w:val="single" w:sz="4" w:space="0" w:color="auto"/>
              <w:bottom w:val="nil"/>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71,0</w:t>
            </w:r>
          </w:p>
        </w:tc>
        <w:tc>
          <w:tcPr>
            <w:tcW w:w="1077" w:type="dxa"/>
            <w:tcBorders>
              <w:top w:val="nil"/>
              <w:left w:val="nil"/>
              <w:bottom w:val="nil"/>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78,9</w:t>
            </w:r>
          </w:p>
        </w:tc>
        <w:tc>
          <w:tcPr>
            <w:tcW w:w="1051" w:type="dxa"/>
            <w:tcBorders>
              <w:top w:val="nil"/>
              <w:left w:val="nil"/>
              <w:bottom w:val="nil"/>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62,8</w:t>
            </w:r>
          </w:p>
        </w:tc>
        <w:tc>
          <w:tcPr>
            <w:tcW w:w="1574" w:type="dxa"/>
            <w:tcBorders>
              <w:top w:val="nil"/>
              <w:left w:val="nil"/>
              <w:bottom w:val="nil"/>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72,5</w:t>
            </w:r>
          </w:p>
        </w:tc>
        <w:tc>
          <w:tcPr>
            <w:tcW w:w="1065" w:type="dxa"/>
            <w:tcBorders>
              <w:top w:val="nil"/>
              <w:left w:val="nil"/>
              <w:bottom w:val="nil"/>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80,2</w:t>
            </w:r>
          </w:p>
        </w:tc>
        <w:tc>
          <w:tcPr>
            <w:tcW w:w="1081" w:type="dxa"/>
            <w:tcBorders>
              <w:top w:val="nil"/>
              <w:left w:val="nil"/>
              <w:bottom w:val="nil"/>
              <w:right w:val="double" w:sz="6"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64,7</w:t>
            </w:r>
          </w:p>
        </w:tc>
      </w:tr>
      <w:tr w:rsidR="007A49EF" w:rsidRPr="00251317" w:rsidTr="007A49EF">
        <w:trPr>
          <w:trHeight w:val="340"/>
        </w:trPr>
        <w:tc>
          <w:tcPr>
            <w:tcW w:w="1780" w:type="dxa"/>
            <w:tcBorders>
              <w:top w:val="nil"/>
              <w:left w:val="double" w:sz="6" w:space="0" w:color="auto"/>
              <w:bottom w:val="double" w:sz="6" w:space="0" w:color="auto"/>
              <w:right w:val="nil"/>
            </w:tcBorders>
            <w:noWrap/>
            <w:vAlign w:val="center"/>
          </w:tcPr>
          <w:p w:rsidR="007A49EF" w:rsidRPr="00251317" w:rsidRDefault="007A49EF" w:rsidP="007A49EF">
            <w:pPr>
              <w:jc w:val="center"/>
              <w:rPr>
                <w:rFonts w:ascii="Arial" w:hAnsi="Arial" w:cs="Arial"/>
                <w:b/>
                <w:sz w:val="20"/>
                <w:szCs w:val="20"/>
              </w:rPr>
            </w:pPr>
            <w:r w:rsidRPr="00251317">
              <w:rPr>
                <w:rFonts w:ascii="Arial" w:hAnsi="Arial" w:cs="Arial"/>
                <w:b/>
                <w:sz w:val="20"/>
                <w:szCs w:val="20"/>
              </w:rPr>
              <w:t>20 - 64</w:t>
            </w:r>
          </w:p>
        </w:tc>
        <w:tc>
          <w:tcPr>
            <w:tcW w:w="1592" w:type="dxa"/>
            <w:tcBorders>
              <w:top w:val="nil"/>
              <w:left w:val="single" w:sz="4" w:space="0" w:color="auto"/>
              <w:bottom w:val="double" w:sz="6" w:space="0" w:color="auto"/>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76,1</w:t>
            </w:r>
          </w:p>
        </w:tc>
        <w:tc>
          <w:tcPr>
            <w:tcW w:w="1077" w:type="dxa"/>
            <w:tcBorders>
              <w:top w:val="nil"/>
              <w:left w:val="nil"/>
              <w:bottom w:val="double" w:sz="6" w:space="0" w:color="auto"/>
              <w:right w:val="single" w:sz="4" w:space="0" w:color="auto"/>
            </w:tcBorders>
            <w:noWrap/>
            <w:vAlign w:val="center"/>
          </w:tcPr>
          <w:p w:rsidR="007A49EF" w:rsidRPr="00251317" w:rsidRDefault="007A49EF" w:rsidP="00172725">
            <w:pPr>
              <w:jc w:val="center"/>
              <w:rPr>
                <w:rFonts w:ascii="Arial" w:hAnsi="Arial" w:cs="Arial"/>
                <w:sz w:val="20"/>
                <w:szCs w:val="20"/>
              </w:rPr>
            </w:pPr>
            <w:r w:rsidRPr="00251317">
              <w:rPr>
                <w:rFonts w:ascii="Arial" w:hAnsi="Arial" w:cs="Arial"/>
                <w:sz w:val="20"/>
                <w:szCs w:val="20"/>
              </w:rPr>
              <w:t>8</w:t>
            </w:r>
            <w:r w:rsidR="00172725">
              <w:rPr>
                <w:rFonts w:ascii="Arial" w:hAnsi="Arial" w:cs="Arial"/>
                <w:sz w:val="20"/>
                <w:szCs w:val="20"/>
              </w:rPr>
              <w:t>4</w:t>
            </w:r>
            <w:r w:rsidRPr="00251317">
              <w:rPr>
                <w:rFonts w:ascii="Arial" w:hAnsi="Arial" w:cs="Arial"/>
                <w:sz w:val="20"/>
                <w:szCs w:val="20"/>
              </w:rPr>
              <w:t>,7</w:t>
            </w:r>
          </w:p>
        </w:tc>
        <w:tc>
          <w:tcPr>
            <w:tcW w:w="1051" w:type="dxa"/>
            <w:tcBorders>
              <w:top w:val="nil"/>
              <w:left w:val="nil"/>
              <w:bottom w:val="double" w:sz="6" w:space="0" w:color="auto"/>
              <w:right w:val="single" w:sz="4" w:space="0" w:color="auto"/>
            </w:tcBorders>
            <w:noWrap/>
            <w:vAlign w:val="center"/>
          </w:tcPr>
          <w:p w:rsidR="007A49EF" w:rsidRPr="00251317" w:rsidRDefault="007A49EF" w:rsidP="00172725">
            <w:pPr>
              <w:jc w:val="center"/>
              <w:rPr>
                <w:rFonts w:ascii="Arial" w:hAnsi="Arial" w:cs="Arial"/>
                <w:sz w:val="20"/>
                <w:szCs w:val="20"/>
              </w:rPr>
            </w:pPr>
            <w:r w:rsidRPr="00251317">
              <w:rPr>
                <w:rFonts w:ascii="Arial" w:hAnsi="Arial" w:cs="Arial"/>
                <w:sz w:val="20"/>
                <w:szCs w:val="20"/>
              </w:rPr>
              <w:t>6</w:t>
            </w:r>
            <w:r w:rsidR="00172725">
              <w:rPr>
                <w:rFonts w:ascii="Arial" w:hAnsi="Arial" w:cs="Arial"/>
                <w:sz w:val="20"/>
                <w:szCs w:val="20"/>
              </w:rPr>
              <w:t>7</w:t>
            </w:r>
            <w:r w:rsidRPr="00251317">
              <w:rPr>
                <w:rFonts w:ascii="Arial" w:hAnsi="Arial" w:cs="Arial"/>
                <w:sz w:val="20"/>
                <w:szCs w:val="20"/>
              </w:rPr>
              <w:t>,4</w:t>
            </w:r>
          </w:p>
        </w:tc>
        <w:tc>
          <w:tcPr>
            <w:tcW w:w="1574" w:type="dxa"/>
            <w:tcBorders>
              <w:top w:val="nil"/>
              <w:left w:val="nil"/>
              <w:bottom w:val="double" w:sz="6" w:space="0" w:color="auto"/>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77,6</w:t>
            </w:r>
          </w:p>
        </w:tc>
        <w:tc>
          <w:tcPr>
            <w:tcW w:w="1065" w:type="dxa"/>
            <w:tcBorders>
              <w:top w:val="nil"/>
              <w:left w:val="nil"/>
              <w:bottom w:val="double" w:sz="6" w:space="0" w:color="auto"/>
              <w:right w:val="single" w:sz="4" w:space="0" w:color="auto"/>
            </w:tcBorders>
            <w:noWrap/>
            <w:vAlign w:val="center"/>
          </w:tcPr>
          <w:p w:rsidR="007A49EF" w:rsidRPr="00251317" w:rsidRDefault="007A49EF" w:rsidP="00172725">
            <w:pPr>
              <w:jc w:val="center"/>
              <w:rPr>
                <w:rFonts w:ascii="Arial" w:hAnsi="Arial" w:cs="Arial"/>
                <w:sz w:val="20"/>
                <w:szCs w:val="20"/>
              </w:rPr>
            </w:pPr>
            <w:r w:rsidRPr="00251317">
              <w:rPr>
                <w:rFonts w:ascii="Arial" w:hAnsi="Arial" w:cs="Arial"/>
                <w:sz w:val="20"/>
                <w:szCs w:val="20"/>
              </w:rPr>
              <w:t>8</w:t>
            </w:r>
            <w:r w:rsidR="00172725">
              <w:rPr>
                <w:rFonts w:ascii="Arial" w:hAnsi="Arial" w:cs="Arial"/>
                <w:sz w:val="20"/>
                <w:szCs w:val="20"/>
              </w:rPr>
              <w:t>5</w:t>
            </w:r>
            <w:r w:rsidRPr="00251317">
              <w:rPr>
                <w:rFonts w:ascii="Arial" w:hAnsi="Arial" w:cs="Arial"/>
                <w:sz w:val="20"/>
                <w:szCs w:val="20"/>
              </w:rPr>
              <w:t>,</w:t>
            </w:r>
            <w:r w:rsidR="00172725">
              <w:rPr>
                <w:rFonts w:ascii="Arial" w:hAnsi="Arial" w:cs="Arial"/>
                <w:sz w:val="20"/>
                <w:szCs w:val="20"/>
              </w:rPr>
              <w:t>8</w:t>
            </w:r>
          </w:p>
        </w:tc>
        <w:tc>
          <w:tcPr>
            <w:tcW w:w="1081" w:type="dxa"/>
            <w:tcBorders>
              <w:top w:val="nil"/>
              <w:left w:val="nil"/>
              <w:bottom w:val="double" w:sz="6" w:space="0" w:color="auto"/>
              <w:right w:val="double" w:sz="6" w:space="0" w:color="auto"/>
            </w:tcBorders>
            <w:noWrap/>
            <w:vAlign w:val="center"/>
          </w:tcPr>
          <w:p w:rsidR="007A49EF" w:rsidRPr="00251317" w:rsidRDefault="007A49EF" w:rsidP="00172725">
            <w:pPr>
              <w:jc w:val="center"/>
              <w:rPr>
                <w:rFonts w:ascii="Arial" w:hAnsi="Arial" w:cs="Arial"/>
                <w:sz w:val="20"/>
                <w:szCs w:val="20"/>
              </w:rPr>
            </w:pPr>
            <w:r w:rsidRPr="00251317">
              <w:rPr>
                <w:rFonts w:ascii="Arial" w:hAnsi="Arial" w:cs="Arial"/>
                <w:sz w:val="20"/>
                <w:szCs w:val="20"/>
              </w:rPr>
              <w:t>6</w:t>
            </w:r>
            <w:r w:rsidR="00172725">
              <w:rPr>
                <w:rFonts w:ascii="Arial" w:hAnsi="Arial" w:cs="Arial"/>
                <w:sz w:val="20"/>
                <w:szCs w:val="20"/>
              </w:rPr>
              <w:t>9</w:t>
            </w:r>
            <w:r w:rsidRPr="00251317">
              <w:rPr>
                <w:rFonts w:ascii="Arial" w:hAnsi="Arial" w:cs="Arial"/>
                <w:sz w:val="20"/>
                <w:szCs w:val="20"/>
              </w:rPr>
              <w:t>,</w:t>
            </w:r>
            <w:r w:rsidR="00172725">
              <w:rPr>
                <w:rFonts w:ascii="Arial" w:hAnsi="Arial" w:cs="Arial"/>
                <w:sz w:val="20"/>
                <w:szCs w:val="20"/>
              </w:rPr>
              <w:t>2</w:t>
            </w:r>
          </w:p>
        </w:tc>
      </w:tr>
    </w:tbl>
    <w:p w:rsidR="007A49EF" w:rsidRPr="00251317" w:rsidRDefault="007A49EF" w:rsidP="007A49EF">
      <w:pPr>
        <w:tabs>
          <w:tab w:val="center" w:pos="720"/>
        </w:tabs>
        <w:spacing w:line="480" w:lineRule="auto"/>
        <w:jc w:val="both"/>
        <w:rPr>
          <w:rFonts w:ascii="Arial" w:hAnsi="Arial" w:cs="Arial"/>
          <w:i/>
          <w:iCs/>
          <w:sz w:val="18"/>
          <w:szCs w:val="18"/>
        </w:rPr>
      </w:pPr>
      <w:r w:rsidRPr="00251317">
        <w:rPr>
          <w:rFonts w:ascii="Arial" w:hAnsi="Arial" w:cs="Arial"/>
          <w:i/>
          <w:iCs/>
          <w:sz w:val="18"/>
          <w:szCs w:val="18"/>
        </w:rPr>
        <w:t>Zdroj: ČSÚ – VŠPS</w:t>
      </w:r>
    </w:p>
    <w:p w:rsidR="007A49EF" w:rsidRDefault="007A49EF" w:rsidP="007A49EF">
      <w:pPr>
        <w:tabs>
          <w:tab w:val="center" w:pos="720"/>
        </w:tabs>
        <w:spacing w:line="360" w:lineRule="auto"/>
        <w:ind w:firstLine="720"/>
        <w:jc w:val="both"/>
        <w:rPr>
          <w:rFonts w:ascii="Arial" w:hAnsi="Arial" w:cs="Arial"/>
        </w:rPr>
      </w:pPr>
      <w:r w:rsidRPr="00251317">
        <w:rPr>
          <w:rFonts w:ascii="Arial" w:hAnsi="Arial" w:cs="Arial"/>
          <w:b/>
        </w:rPr>
        <w:t>MEA vzrostla ve všech</w:t>
      </w:r>
      <w:r w:rsidRPr="00251317">
        <w:rPr>
          <w:rFonts w:ascii="Arial" w:hAnsi="Arial" w:cs="Arial"/>
        </w:rPr>
        <w:t xml:space="preserve"> v tabulce uvedených </w:t>
      </w:r>
      <w:r w:rsidRPr="00251317">
        <w:rPr>
          <w:rFonts w:ascii="Arial" w:hAnsi="Arial" w:cs="Arial"/>
          <w:b/>
        </w:rPr>
        <w:t>věkových skupinách a u obou pohlaví</w:t>
      </w:r>
      <w:r w:rsidRPr="00251317">
        <w:rPr>
          <w:rFonts w:ascii="Arial" w:hAnsi="Arial" w:cs="Arial"/>
        </w:rPr>
        <w:t xml:space="preserve">, </w:t>
      </w:r>
      <w:r w:rsidRPr="00251317">
        <w:rPr>
          <w:rFonts w:ascii="Arial" w:hAnsi="Arial" w:cs="Arial"/>
          <w:b/>
        </w:rPr>
        <w:t>nejvíce</w:t>
      </w:r>
      <w:r w:rsidRPr="00251317">
        <w:rPr>
          <w:rFonts w:ascii="Arial" w:hAnsi="Arial" w:cs="Arial"/>
        </w:rPr>
        <w:t xml:space="preserve"> (o 3,0 p. b.) ve věku </w:t>
      </w:r>
      <w:r w:rsidRPr="00251317">
        <w:rPr>
          <w:rFonts w:ascii="Arial" w:hAnsi="Arial" w:cs="Arial"/>
          <w:b/>
        </w:rPr>
        <w:t>55 - 64 let</w:t>
      </w:r>
      <w:r w:rsidRPr="00251317">
        <w:rPr>
          <w:rFonts w:ascii="Arial" w:hAnsi="Arial" w:cs="Arial"/>
        </w:rPr>
        <w:t xml:space="preserve">. Z podrobnějšího rozboru věkové struktury je patrný pokles pouze u mužů v kategorii 15 – 19 let (o 1,7 p. b.) </w:t>
      </w:r>
      <w:r w:rsidR="00886CA5">
        <w:rPr>
          <w:rFonts w:ascii="Arial" w:hAnsi="Arial" w:cs="Arial"/>
        </w:rPr>
        <w:t xml:space="preserve">               </w:t>
      </w:r>
      <w:r w:rsidRPr="00251317">
        <w:rPr>
          <w:rFonts w:ascii="Arial" w:hAnsi="Arial" w:cs="Arial"/>
        </w:rPr>
        <w:t>a 30 – 34 let (o 0,1 p. b.) a u žen v kategorii 35 – 39 let a 40</w:t>
      </w:r>
      <w:r w:rsidR="00553EC3">
        <w:rPr>
          <w:rFonts w:ascii="Arial" w:hAnsi="Arial" w:cs="Arial"/>
        </w:rPr>
        <w:t> </w:t>
      </w:r>
      <w:r w:rsidRPr="00251317">
        <w:rPr>
          <w:rFonts w:ascii="Arial" w:hAnsi="Arial" w:cs="Arial"/>
        </w:rPr>
        <w:t>- 44 let (o</w:t>
      </w:r>
      <w:r w:rsidR="00886CA5">
        <w:rPr>
          <w:rFonts w:ascii="Arial" w:hAnsi="Arial" w:cs="Arial"/>
        </w:rPr>
        <w:t> </w:t>
      </w:r>
      <w:r w:rsidRPr="00251317">
        <w:rPr>
          <w:rFonts w:ascii="Arial" w:hAnsi="Arial" w:cs="Arial"/>
        </w:rPr>
        <w:t>0,1 a</w:t>
      </w:r>
      <w:r w:rsidR="00886CA5">
        <w:rPr>
          <w:rFonts w:ascii="Arial" w:hAnsi="Arial" w:cs="Arial"/>
        </w:rPr>
        <w:t> </w:t>
      </w:r>
      <w:r w:rsidRPr="00251317">
        <w:rPr>
          <w:rFonts w:ascii="Arial" w:hAnsi="Arial" w:cs="Arial"/>
        </w:rPr>
        <w:t xml:space="preserve">1,0 p. b.). V souvislosti s prodlužující se věkovou hranicí pro odchod do důchodu </w:t>
      </w:r>
      <w:r w:rsidR="00172725">
        <w:rPr>
          <w:rFonts w:ascii="Arial" w:hAnsi="Arial" w:cs="Arial"/>
        </w:rPr>
        <w:t xml:space="preserve">a přísnějšími podmínkami pro předčasný důchod </w:t>
      </w:r>
      <w:r w:rsidRPr="00251317">
        <w:rPr>
          <w:rFonts w:ascii="Arial" w:hAnsi="Arial" w:cs="Arial"/>
        </w:rPr>
        <w:t>byl ve  věkové kategorii 55 - 64 let patrný nárůst zejména u mužů v kategorii 60 – 64 let (o 5,2 </w:t>
      </w:r>
      <w:r w:rsidR="00E3619C">
        <w:rPr>
          <w:rFonts w:ascii="Arial" w:hAnsi="Arial" w:cs="Arial"/>
        </w:rPr>
        <w:t>p. b</w:t>
      </w:r>
      <w:r w:rsidRPr="00251317">
        <w:rPr>
          <w:rFonts w:ascii="Arial" w:hAnsi="Arial" w:cs="Arial"/>
        </w:rPr>
        <w:t>.) a u žen v</w:t>
      </w:r>
      <w:r>
        <w:rPr>
          <w:rFonts w:ascii="Arial" w:hAnsi="Arial" w:cs="Arial"/>
        </w:rPr>
        <w:t> </w:t>
      </w:r>
      <w:r w:rsidRPr="00251317">
        <w:rPr>
          <w:rFonts w:ascii="Arial" w:hAnsi="Arial" w:cs="Arial"/>
        </w:rPr>
        <w:t>kategorii 60 – 64 let</w:t>
      </w:r>
      <w:r>
        <w:rPr>
          <w:rFonts w:ascii="Arial" w:hAnsi="Arial" w:cs="Arial"/>
        </w:rPr>
        <w:t>,</w:t>
      </w:r>
      <w:r w:rsidRPr="00251317">
        <w:rPr>
          <w:rFonts w:ascii="Arial" w:hAnsi="Arial" w:cs="Arial"/>
        </w:rPr>
        <w:t xml:space="preserve"> </w:t>
      </w:r>
      <w:r>
        <w:rPr>
          <w:rFonts w:ascii="Arial" w:hAnsi="Arial" w:cs="Arial"/>
        </w:rPr>
        <w:t xml:space="preserve">ale také (v souvislosti s dřívějším odchodem do důchodu nebo péčí o sobu blízkou) v kategorii </w:t>
      </w:r>
      <w:r w:rsidRPr="00251317">
        <w:rPr>
          <w:rFonts w:ascii="Arial" w:hAnsi="Arial" w:cs="Arial"/>
        </w:rPr>
        <w:t>55 – 59 let (o 3,</w:t>
      </w:r>
      <w:r>
        <w:rPr>
          <w:rFonts w:ascii="Arial" w:hAnsi="Arial" w:cs="Arial"/>
        </w:rPr>
        <w:t>0</w:t>
      </w:r>
      <w:r w:rsidRPr="00251317">
        <w:rPr>
          <w:rFonts w:ascii="Arial" w:hAnsi="Arial" w:cs="Arial"/>
        </w:rPr>
        <w:t> a 3,</w:t>
      </w:r>
      <w:r>
        <w:rPr>
          <w:rFonts w:ascii="Arial" w:hAnsi="Arial" w:cs="Arial"/>
        </w:rPr>
        <w:t>2</w:t>
      </w:r>
      <w:r w:rsidRPr="00251317">
        <w:rPr>
          <w:rFonts w:ascii="Arial" w:hAnsi="Arial" w:cs="Arial"/>
        </w:rPr>
        <w:t xml:space="preserve"> p. b.). </w:t>
      </w:r>
    </w:p>
    <w:p w:rsidR="007A49EF" w:rsidRPr="00251317" w:rsidRDefault="007A49EF" w:rsidP="007A49EF">
      <w:pPr>
        <w:tabs>
          <w:tab w:val="center" w:pos="720"/>
        </w:tabs>
        <w:spacing w:line="360" w:lineRule="auto"/>
        <w:ind w:firstLine="720"/>
        <w:jc w:val="both"/>
        <w:rPr>
          <w:rFonts w:ascii="Arial" w:hAnsi="Arial" w:cs="Arial"/>
        </w:rPr>
      </w:pPr>
      <w:r w:rsidRPr="00251317">
        <w:rPr>
          <w:rFonts w:ascii="Arial" w:hAnsi="Arial" w:cs="Arial"/>
          <w:b/>
        </w:rPr>
        <w:lastRenderedPageBreak/>
        <w:t>MEA vyšší než 90 %</w:t>
      </w:r>
      <w:r w:rsidRPr="00251317">
        <w:rPr>
          <w:rFonts w:ascii="Arial" w:hAnsi="Arial" w:cs="Arial"/>
        </w:rPr>
        <w:t xml:space="preserve"> dosáhli </w:t>
      </w:r>
      <w:r w:rsidRPr="00251317">
        <w:rPr>
          <w:rFonts w:ascii="Arial" w:hAnsi="Arial" w:cs="Arial"/>
          <w:b/>
        </w:rPr>
        <w:t>muži</w:t>
      </w:r>
      <w:r w:rsidRPr="00251317">
        <w:rPr>
          <w:rFonts w:ascii="Arial" w:hAnsi="Arial" w:cs="Arial"/>
        </w:rPr>
        <w:t xml:space="preserve"> ve věkov</w:t>
      </w:r>
      <w:r w:rsidR="00553EC3">
        <w:rPr>
          <w:rFonts w:ascii="Arial" w:hAnsi="Arial" w:cs="Arial"/>
        </w:rPr>
        <w:t>é</w:t>
      </w:r>
      <w:r w:rsidRPr="00251317">
        <w:rPr>
          <w:rFonts w:ascii="Arial" w:hAnsi="Arial" w:cs="Arial"/>
        </w:rPr>
        <w:t xml:space="preserve"> kategori</w:t>
      </w:r>
      <w:r w:rsidR="00553EC3">
        <w:rPr>
          <w:rFonts w:ascii="Arial" w:hAnsi="Arial" w:cs="Arial"/>
        </w:rPr>
        <w:t>i</w:t>
      </w:r>
      <w:r w:rsidRPr="00251317">
        <w:rPr>
          <w:rFonts w:ascii="Arial" w:hAnsi="Arial" w:cs="Arial"/>
        </w:rPr>
        <w:t xml:space="preserve"> </w:t>
      </w:r>
      <w:r w:rsidRPr="00251317">
        <w:rPr>
          <w:rFonts w:ascii="Arial" w:hAnsi="Arial" w:cs="Arial"/>
          <w:b/>
        </w:rPr>
        <w:t>25 - 54 let</w:t>
      </w:r>
      <w:r w:rsidRPr="00251317">
        <w:rPr>
          <w:rFonts w:ascii="Arial" w:hAnsi="Arial" w:cs="Arial"/>
        </w:rPr>
        <w:t xml:space="preserve"> a </w:t>
      </w:r>
      <w:r w:rsidRPr="00251317">
        <w:rPr>
          <w:rFonts w:ascii="Arial" w:hAnsi="Arial" w:cs="Arial"/>
          <w:b/>
        </w:rPr>
        <w:t>ženy</w:t>
      </w:r>
      <w:r w:rsidR="00553EC3">
        <w:rPr>
          <w:rFonts w:ascii="Arial" w:hAnsi="Arial" w:cs="Arial"/>
          <w:b/>
        </w:rPr>
        <w:t xml:space="preserve"> </w:t>
      </w:r>
      <w:r w:rsidR="00553EC3">
        <w:rPr>
          <w:rFonts w:ascii="Arial" w:hAnsi="Arial" w:cs="Arial"/>
        </w:rPr>
        <w:t xml:space="preserve">ve věkové kategorii </w:t>
      </w:r>
      <w:r w:rsidRPr="00251317">
        <w:rPr>
          <w:rFonts w:ascii="Arial" w:hAnsi="Arial" w:cs="Arial"/>
          <w:b/>
        </w:rPr>
        <w:t>40 - 54 let</w:t>
      </w:r>
      <w:r w:rsidRPr="00251317">
        <w:rPr>
          <w:rFonts w:ascii="Arial" w:hAnsi="Arial" w:cs="Arial"/>
        </w:rPr>
        <w:t xml:space="preserve">. </w:t>
      </w:r>
      <w:r w:rsidRPr="00251317">
        <w:rPr>
          <w:rFonts w:ascii="Arial" w:hAnsi="Arial" w:cs="Arial"/>
          <w:b/>
        </w:rPr>
        <w:t>Rozdíl mezi</w:t>
      </w:r>
      <w:r w:rsidRPr="00251317">
        <w:rPr>
          <w:rFonts w:ascii="Arial" w:hAnsi="Arial" w:cs="Arial"/>
        </w:rPr>
        <w:t xml:space="preserve"> celkovou </w:t>
      </w:r>
      <w:r w:rsidRPr="00251317">
        <w:rPr>
          <w:rFonts w:ascii="Arial" w:hAnsi="Arial" w:cs="Arial"/>
          <w:b/>
        </w:rPr>
        <w:t>mírou ekonomické aktivity mužů</w:t>
      </w:r>
      <w:r w:rsidRPr="00251317">
        <w:rPr>
          <w:rFonts w:ascii="Arial" w:hAnsi="Arial" w:cs="Arial"/>
        </w:rPr>
        <w:t xml:space="preserve"> (67,9 %) </w:t>
      </w:r>
      <w:r w:rsidRPr="00251317">
        <w:rPr>
          <w:rFonts w:ascii="Arial" w:hAnsi="Arial" w:cs="Arial"/>
          <w:b/>
        </w:rPr>
        <w:t>a žen</w:t>
      </w:r>
      <w:r w:rsidRPr="00251317">
        <w:rPr>
          <w:rFonts w:ascii="Arial" w:hAnsi="Arial" w:cs="Arial"/>
        </w:rPr>
        <w:t xml:space="preserve"> (50,8 %) </w:t>
      </w:r>
      <w:r w:rsidRPr="00251317">
        <w:rPr>
          <w:rFonts w:ascii="Arial" w:hAnsi="Arial" w:cs="Arial"/>
          <w:b/>
        </w:rPr>
        <w:t>se</w:t>
      </w:r>
      <w:r w:rsidRPr="00251317">
        <w:rPr>
          <w:rFonts w:ascii="Arial" w:hAnsi="Arial" w:cs="Arial"/>
        </w:rPr>
        <w:t xml:space="preserve"> meziročně </w:t>
      </w:r>
      <w:r w:rsidRPr="00251317">
        <w:rPr>
          <w:rFonts w:ascii="Arial" w:hAnsi="Arial" w:cs="Arial"/>
          <w:b/>
        </w:rPr>
        <w:t>snížil</w:t>
      </w:r>
      <w:r w:rsidRPr="00251317">
        <w:rPr>
          <w:rFonts w:ascii="Arial" w:hAnsi="Arial" w:cs="Arial"/>
        </w:rPr>
        <w:t xml:space="preserve"> (z</w:t>
      </w:r>
      <w:r>
        <w:rPr>
          <w:rFonts w:ascii="Arial" w:hAnsi="Arial" w:cs="Arial"/>
        </w:rPr>
        <w:t>e</w:t>
      </w:r>
      <w:r w:rsidRPr="00251317">
        <w:rPr>
          <w:rFonts w:ascii="Arial" w:hAnsi="Arial" w:cs="Arial"/>
        </w:rPr>
        <w:t xml:space="preserve"> 17,7  p. b. na 17,1  p. b.). </w:t>
      </w:r>
    </w:p>
    <w:p w:rsidR="007A49EF" w:rsidRPr="00251317" w:rsidRDefault="007A49EF" w:rsidP="007A49EF">
      <w:pPr>
        <w:spacing w:line="360" w:lineRule="auto"/>
        <w:ind w:firstLine="708"/>
        <w:jc w:val="both"/>
        <w:rPr>
          <w:rFonts w:ascii="Arial" w:hAnsi="Arial" w:cs="Arial"/>
        </w:rPr>
      </w:pPr>
      <w:r w:rsidRPr="00251317">
        <w:rPr>
          <w:rFonts w:ascii="Arial" w:hAnsi="Arial" w:cs="Arial"/>
        </w:rPr>
        <w:t xml:space="preserve">Míra ekonomické aktivity </w:t>
      </w:r>
      <w:r>
        <w:rPr>
          <w:rFonts w:ascii="Arial" w:hAnsi="Arial" w:cs="Arial"/>
        </w:rPr>
        <w:t>souvisí také s </w:t>
      </w:r>
      <w:r w:rsidRPr="00251317">
        <w:rPr>
          <w:rFonts w:ascii="Arial" w:hAnsi="Arial" w:cs="Arial"/>
        </w:rPr>
        <w:t xml:space="preserve">úrovni dosaženého vzdělání. Nejnižší měly osoby ve věku 15  - 64 let se základním vzděláním a bez vzdělání, nejvyšší naopak osoby s vysokoškolským vzděláním. MEA meziročně vzrostla ve všech kategoriích vzdělání a u obou pohlaví, nejvíce u vysokoškolského vzdělání (celkem o 2,0 p. b., u mužů o 1,7 p. b., u žen o 2,5 p. b), nejméně v kategorii základního vzdělání a bez vzdělání (celkem o 0,3 p. b., u mužů o 0,3 p. b., u žen o 0,2  p. b). </w:t>
      </w:r>
    </w:p>
    <w:p w:rsidR="007A49EF" w:rsidRPr="00251317" w:rsidRDefault="007A49EF" w:rsidP="007A49EF">
      <w:pPr>
        <w:jc w:val="both"/>
        <w:rPr>
          <w:rFonts w:ascii="Arial" w:hAnsi="Arial" w:cs="Arial"/>
          <w:sz w:val="16"/>
          <w:szCs w:val="16"/>
        </w:rPr>
      </w:pPr>
    </w:p>
    <w:p w:rsidR="007A49EF" w:rsidRPr="00251317" w:rsidRDefault="007A49EF" w:rsidP="007A49EF">
      <w:pPr>
        <w:pStyle w:val="xl53"/>
        <w:pBdr>
          <w:bottom w:val="none" w:sz="0" w:space="0" w:color="auto"/>
          <w:right w:val="none" w:sz="0" w:space="0" w:color="auto"/>
        </w:pBdr>
        <w:tabs>
          <w:tab w:val="center" w:pos="720"/>
        </w:tabs>
        <w:spacing w:before="0" w:beforeAutospacing="0" w:after="0" w:afterAutospacing="0"/>
        <w:rPr>
          <w:rFonts w:ascii="Arial" w:hAnsi="Arial" w:cs="Arial"/>
          <w:b/>
          <w:bCs/>
        </w:rPr>
      </w:pPr>
      <w:r w:rsidRPr="00251317">
        <w:rPr>
          <w:rFonts w:ascii="Arial" w:hAnsi="Arial" w:cs="Arial"/>
          <w:b/>
          <w:bCs/>
        </w:rPr>
        <w:t>Míra ekonomické aktivity obyvatel 15- 64 let podle dosaženého vzdělání (v %)</w:t>
      </w:r>
    </w:p>
    <w:p w:rsidR="007A49EF" w:rsidRPr="00251317" w:rsidRDefault="007A49EF" w:rsidP="007A49EF">
      <w:pPr>
        <w:tabs>
          <w:tab w:val="center" w:pos="720"/>
        </w:tabs>
        <w:ind w:left="708" w:firstLine="372"/>
        <w:jc w:val="right"/>
        <w:rPr>
          <w:rFonts w:ascii="Arial" w:hAnsi="Arial" w:cs="Arial"/>
          <w:sz w:val="20"/>
          <w:szCs w:val="20"/>
        </w:rPr>
      </w:pPr>
      <w:r w:rsidRPr="00251317">
        <w:rPr>
          <w:rFonts w:ascii="Arial" w:hAnsi="Arial" w:cs="Arial"/>
          <w:sz w:val="20"/>
          <w:szCs w:val="20"/>
        </w:rPr>
        <w:t>tab. č. 4</w:t>
      </w:r>
    </w:p>
    <w:tbl>
      <w:tblPr>
        <w:tblW w:w="9206" w:type="dxa"/>
        <w:tblInd w:w="47" w:type="dxa"/>
        <w:tblCellMar>
          <w:left w:w="70" w:type="dxa"/>
          <w:right w:w="70" w:type="dxa"/>
        </w:tblCellMar>
        <w:tblLook w:val="0000" w:firstRow="0" w:lastRow="0" w:firstColumn="0" w:lastColumn="0" w:noHBand="0" w:noVBand="0"/>
      </w:tblPr>
      <w:tblGrid>
        <w:gridCol w:w="3263"/>
        <w:gridCol w:w="1080"/>
        <w:gridCol w:w="1080"/>
        <w:gridCol w:w="900"/>
        <w:gridCol w:w="903"/>
        <w:gridCol w:w="1009"/>
        <w:gridCol w:w="971"/>
      </w:tblGrid>
      <w:tr w:rsidR="007A49EF" w:rsidRPr="00251317" w:rsidTr="007A49EF">
        <w:trPr>
          <w:trHeight w:val="284"/>
        </w:trPr>
        <w:tc>
          <w:tcPr>
            <w:tcW w:w="3263" w:type="dxa"/>
            <w:vMerge w:val="restart"/>
            <w:tcBorders>
              <w:top w:val="double" w:sz="6" w:space="0" w:color="auto"/>
              <w:left w:val="double" w:sz="6" w:space="0" w:color="auto"/>
              <w:bottom w:val="single" w:sz="4" w:space="0" w:color="000000"/>
              <w:right w:val="single" w:sz="4" w:space="0" w:color="auto"/>
            </w:tcBorders>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dosažené vzdělání</w:t>
            </w:r>
          </w:p>
        </w:tc>
        <w:tc>
          <w:tcPr>
            <w:tcW w:w="3060" w:type="dxa"/>
            <w:gridSpan w:val="3"/>
            <w:tcBorders>
              <w:top w:val="double" w:sz="6" w:space="0" w:color="auto"/>
              <w:left w:val="nil"/>
              <w:bottom w:val="single" w:sz="4" w:space="0" w:color="000000"/>
              <w:right w:val="single" w:sz="4" w:space="0" w:color="000000"/>
            </w:tcBorders>
            <w:noWrap/>
            <w:vAlign w:val="bottom"/>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1. pololetí 2012</w:t>
            </w:r>
          </w:p>
        </w:tc>
        <w:tc>
          <w:tcPr>
            <w:tcW w:w="2883" w:type="dxa"/>
            <w:gridSpan w:val="3"/>
            <w:tcBorders>
              <w:top w:val="double" w:sz="6" w:space="0" w:color="auto"/>
              <w:left w:val="nil"/>
              <w:bottom w:val="single" w:sz="4" w:space="0" w:color="000000"/>
              <w:right w:val="double" w:sz="6" w:space="0" w:color="000000"/>
            </w:tcBorders>
            <w:noWrap/>
            <w:vAlign w:val="bottom"/>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1. pololetí 2013</w:t>
            </w:r>
          </w:p>
        </w:tc>
      </w:tr>
      <w:tr w:rsidR="007A49EF" w:rsidRPr="00251317" w:rsidTr="007A49EF">
        <w:trPr>
          <w:trHeight w:val="284"/>
        </w:trPr>
        <w:tc>
          <w:tcPr>
            <w:tcW w:w="3263" w:type="dxa"/>
            <w:vMerge/>
            <w:tcBorders>
              <w:top w:val="double" w:sz="6" w:space="0" w:color="auto"/>
              <w:left w:val="double" w:sz="6" w:space="0" w:color="auto"/>
              <w:bottom w:val="single" w:sz="4" w:space="0" w:color="000000"/>
              <w:right w:val="single" w:sz="4" w:space="0" w:color="auto"/>
            </w:tcBorders>
            <w:vAlign w:val="center"/>
          </w:tcPr>
          <w:p w:rsidR="007A49EF" w:rsidRPr="00251317" w:rsidRDefault="007A49EF" w:rsidP="007A49EF">
            <w:pPr>
              <w:rPr>
                <w:rFonts w:ascii="Arial" w:hAnsi="Arial" w:cs="Arial"/>
                <w:b/>
                <w:bCs/>
                <w:sz w:val="20"/>
                <w:szCs w:val="20"/>
              </w:rPr>
            </w:pPr>
          </w:p>
        </w:tc>
        <w:tc>
          <w:tcPr>
            <w:tcW w:w="1080" w:type="dxa"/>
            <w:tcBorders>
              <w:top w:val="single" w:sz="4" w:space="0" w:color="auto"/>
              <w:left w:val="nil"/>
              <w:bottom w:val="single" w:sz="4" w:space="0" w:color="auto"/>
              <w:right w:val="single" w:sz="4" w:space="0" w:color="auto"/>
            </w:tcBorders>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celkem</w:t>
            </w:r>
          </w:p>
        </w:tc>
        <w:tc>
          <w:tcPr>
            <w:tcW w:w="1080" w:type="dxa"/>
            <w:tcBorders>
              <w:top w:val="single" w:sz="4" w:space="0" w:color="auto"/>
              <w:left w:val="nil"/>
              <w:bottom w:val="single" w:sz="4" w:space="0" w:color="auto"/>
              <w:right w:val="single" w:sz="4" w:space="0" w:color="auto"/>
            </w:tcBorders>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muži</w:t>
            </w:r>
          </w:p>
        </w:tc>
        <w:tc>
          <w:tcPr>
            <w:tcW w:w="900" w:type="dxa"/>
            <w:tcBorders>
              <w:top w:val="single" w:sz="4" w:space="0" w:color="auto"/>
              <w:left w:val="nil"/>
              <w:bottom w:val="single" w:sz="4" w:space="0" w:color="auto"/>
              <w:right w:val="single" w:sz="4" w:space="0" w:color="auto"/>
            </w:tcBorders>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ženy</w:t>
            </w:r>
          </w:p>
        </w:tc>
        <w:tc>
          <w:tcPr>
            <w:tcW w:w="903" w:type="dxa"/>
            <w:tcBorders>
              <w:top w:val="single" w:sz="4" w:space="0" w:color="auto"/>
              <w:left w:val="nil"/>
              <w:bottom w:val="single" w:sz="4" w:space="0" w:color="auto"/>
              <w:right w:val="single" w:sz="4" w:space="0" w:color="auto"/>
            </w:tcBorders>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celkem</w:t>
            </w:r>
          </w:p>
        </w:tc>
        <w:tc>
          <w:tcPr>
            <w:tcW w:w="1009" w:type="dxa"/>
            <w:tcBorders>
              <w:top w:val="single" w:sz="4" w:space="0" w:color="auto"/>
              <w:left w:val="nil"/>
              <w:bottom w:val="single" w:sz="4" w:space="0" w:color="auto"/>
              <w:right w:val="single" w:sz="4" w:space="0" w:color="auto"/>
            </w:tcBorders>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muži</w:t>
            </w:r>
          </w:p>
        </w:tc>
        <w:tc>
          <w:tcPr>
            <w:tcW w:w="971" w:type="dxa"/>
            <w:tcBorders>
              <w:top w:val="single" w:sz="4" w:space="0" w:color="auto"/>
              <w:left w:val="nil"/>
              <w:bottom w:val="single" w:sz="4" w:space="0" w:color="auto"/>
              <w:right w:val="double" w:sz="6" w:space="0" w:color="auto"/>
            </w:tcBorders>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ženy</w:t>
            </w:r>
          </w:p>
        </w:tc>
      </w:tr>
      <w:tr w:rsidR="007A49EF" w:rsidRPr="00251317" w:rsidTr="007A49EF">
        <w:trPr>
          <w:trHeight w:val="340"/>
        </w:trPr>
        <w:tc>
          <w:tcPr>
            <w:tcW w:w="3263" w:type="dxa"/>
            <w:tcBorders>
              <w:top w:val="nil"/>
              <w:left w:val="double" w:sz="6" w:space="0" w:color="auto"/>
              <w:bottom w:val="nil"/>
              <w:right w:val="nil"/>
            </w:tcBorders>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základní vzdělání a bez vzdělání</w:t>
            </w:r>
          </w:p>
        </w:tc>
        <w:tc>
          <w:tcPr>
            <w:tcW w:w="1080" w:type="dxa"/>
            <w:tcBorders>
              <w:top w:val="single" w:sz="4" w:space="0" w:color="auto"/>
              <w:left w:val="single" w:sz="4" w:space="0" w:color="auto"/>
              <w:bottom w:val="nil"/>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28,9</w:t>
            </w:r>
          </w:p>
        </w:tc>
        <w:tc>
          <w:tcPr>
            <w:tcW w:w="1080" w:type="dxa"/>
            <w:tcBorders>
              <w:top w:val="single" w:sz="4" w:space="0" w:color="auto"/>
              <w:left w:val="nil"/>
              <w:bottom w:val="nil"/>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30,4</w:t>
            </w:r>
          </w:p>
        </w:tc>
        <w:tc>
          <w:tcPr>
            <w:tcW w:w="900" w:type="dxa"/>
            <w:tcBorders>
              <w:top w:val="single" w:sz="4" w:space="0" w:color="auto"/>
              <w:left w:val="nil"/>
              <w:bottom w:val="nil"/>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27,8</w:t>
            </w:r>
          </w:p>
        </w:tc>
        <w:tc>
          <w:tcPr>
            <w:tcW w:w="903" w:type="dxa"/>
            <w:tcBorders>
              <w:top w:val="single" w:sz="4" w:space="0" w:color="auto"/>
              <w:left w:val="nil"/>
              <w:bottom w:val="nil"/>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29,2</w:t>
            </w:r>
          </w:p>
        </w:tc>
        <w:tc>
          <w:tcPr>
            <w:tcW w:w="1009" w:type="dxa"/>
            <w:tcBorders>
              <w:top w:val="single" w:sz="4" w:space="0" w:color="auto"/>
              <w:left w:val="nil"/>
              <w:bottom w:val="nil"/>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30,7</w:t>
            </w:r>
          </w:p>
        </w:tc>
        <w:tc>
          <w:tcPr>
            <w:tcW w:w="971" w:type="dxa"/>
            <w:tcBorders>
              <w:top w:val="single" w:sz="4" w:space="0" w:color="auto"/>
              <w:left w:val="nil"/>
              <w:bottom w:val="nil"/>
              <w:right w:val="double" w:sz="6"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28,0</w:t>
            </w:r>
          </w:p>
        </w:tc>
      </w:tr>
      <w:tr w:rsidR="007A49EF" w:rsidRPr="00251317" w:rsidTr="007A49EF">
        <w:trPr>
          <w:trHeight w:val="340"/>
        </w:trPr>
        <w:tc>
          <w:tcPr>
            <w:tcW w:w="3263" w:type="dxa"/>
            <w:tcBorders>
              <w:top w:val="nil"/>
              <w:left w:val="double" w:sz="6" w:space="0" w:color="auto"/>
              <w:bottom w:val="nil"/>
              <w:right w:val="nil"/>
            </w:tcBorders>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střední bez maturity</w:t>
            </w:r>
          </w:p>
        </w:tc>
        <w:tc>
          <w:tcPr>
            <w:tcW w:w="1080" w:type="dxa"/>
            <w:tcBorders>
              <w:top w:val="nil"/>
              <w:left w:val="single" w:sz="4" w:space="0" w:color="auto"/>
              <w:bottom w:val="nil"/>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78,7</w:t>
            </w:r>
          </w:p>
        </w:tc>
        <w:tc>
          <w:tcPr>
            <w:tcW w:w="1080" w:type="dxa"/>
            <w:tcBorders>
              <w:top w:val="nil"/>
              <w:left w:val="nil"/>
              <w:bottom w:val="nil"/>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85,5</w:t>
            </w:r>
          </w:p>
        </w:tc>
        <w:tc>
          <w:tcPr>
            <w:tcW w:w="900" w:type="dxa"/>
            <w:tcBorders>
              <w:top w:val="nil"/>
              <w:left w:val="nil"/>
              <w:bottom w:val="nil"/>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68,4</w:t>
            </w:r>
          </w:p>
        </w:tc>
        <w:tc>
          <w:tcPr>
            <w:tcW w:w="903" w:type="dxa"/>
            <w:tcBorders>
              <w:top w:val="nil"/>
              <w:left w:val="nil"/>
              <w:bottom w:val="nil"/>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79,9</w:t>
            </w:r>
          </w:p>
        </w:tc>
        <w:tc>
          <w:tcPr>
            <w:tcW w:w="1009" w:type="dxa"/>
            <w:tcBorders>
              <w:top w:val="nil"/>
              <w:left w:val="nil"/>
              <w:bottom w:val="nil"/>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86,6</w:t>
            </w:r>
          </w:p>
        </w:tc>
        <w:tc>
          <w:tcPr>
            <w:tcW w:w="971" w:type="dxa"/>
            <w:tcBorders>
              <w:top w:val="nil"/>
              <w:left w:val="nil"/>
              <w:bottom w:val="nil"/>
              <w:right w:val="double" w:sz="6"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69,6</w:t>
            </w:r>
          </w:p>
        </w:tc>
      </w:tr>
      <w:tr w:rsidR="007A49EF" w:rsidRPr="00251317" w:rsidTr="007A49EF">
        <w:trPr>
          <w:trHeight w:val="340"/>
        </w:trPr>
        <w:tc>
          <w:tcPr>
            <w:tcW w:w="3263" w:type="dxa"/>
            <w:tcBorders>
              <w:top w:val="nil"/>
              <w:left w:val="double" w:sz="6" w:space="0" w:color="auto"/>
              <w:bottom w:val="nil"/>
              <w:right w:val="nil"/>
            </w:tcBorders>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střední s maturitou</w:t>
            </w:r>
          </w:p>
        </w:tc>
        <w:tc>
          <w:tcPr>
            <w:tcW w:w="1080" w:type="dxa"/>
            <w:tcBorders>
              <w:top w:val="nil"/>
              <w:left w:val="single" w:sz="4" w:space="0" w:color="auto"/>
              <w:bottom w:val="nil"/>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74,4</w:t>
            </w:r>
          </w:p>
        </w:tc>
        <w:tc>
          <w:tcPr>
            <w:tcW w:w="1080" w:type="dxa"/>
            <w:tcBorders>
              <w:top w:val="nil"/>
              <w:left w:val="nil"/>
              <w:bottom w:val="nil"/>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82,8</w:t>
            </w:r>
          </w:p>
        </w:tc>
        <w:tc>
          <w:tcPr>
            <w:tcW w:w="900" w:type="dxa"/>
            <w:tcBorders>
              <w:top w:val="nil"/>
              <w:left w:val="nil"/>
              <w:bottom w:val="nil"/>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67,6</w:t>
            </w:r>
          </w:p>
        </w:tc>
        <w:tc>
          <w:tcPr>
            <w:tcW w:w="903" w:type="dxa"/>
            <w:tcBorders>
              <w:top w:val="nil"/>
              <w:left w:val="nil"/>
              <w:bottom w:val="nil"/>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75,5</w:t>
            </w:r>
          </w:p>
        </w:tc>
        <w:tc>
          <w:tcPr>
            <w:tcW w:w="1009" w:type="dxa"/>
            <w:tcBorders>
              <w:top w:val="nil"/>
              <w:left w:val="nil"/>
              <w:bottom w:val="nil"/>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83,6</w:t>
            </w:r>
          </w:p>
        </w:tc>
        <w:tc>
          <w:tcPr>
            <w:tcW w:w="971" w:type="dxa"/>
            <w:tcBorders>
              <w:top w:val="nil"/>
              <w:left w:val="nil"/>
              <w:bottom w:val="nil"/>
              <w:right w:val="double" w:sz="6"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69,0</w:t>
            </w:r>
          </w:p>
        </w:tc>
      </w:tr>
      <w:tr w:rsidR="007A49EF" w:rsidRPr="00251317" w:rsidTr="007A49EF">
        <w:trPr>
          <w:trHeight w:val="340"/>
        </w:trPr>
        <w:tc>
          <w:tcPr>
            <w:tcW w:w="3263" w:type="dxa"/>
            <w:tcBorders>
              <w:top w:val="nil"/>
              <w:left w:val="double" w:sz="6" w:space="0" w:color="auto"/>
              <w:bottom w:val="double" w:sz="6" w:space="0" w:color="auto"/>
              <w:right w:val="nil"/>
            </w:tcBorders>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vysokoškolské</w:t>
            </w:r>
          </w:p>
        </w:tc>
        <w:tc>
          <w:tcPr>
            <w:tcW w:w="1080" w:type="dxa"/>
            <w:tcBorders>
              <w:top w:val="nil"/>
              <w:left w:val="single" w:sz="4" w:space="0" w:color="auto"/>
              <w:bottom w:val="double" w:sz="6" w:space="0" w:color="auto"/>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82,9</w:t>
            </w:r>
          </w:p>
        </w:tc>
        <w:tc>
          <w:tcPr>
            <w:tcW w:w="1080" w:type="dxa"/>
            <w:tcBorders>
              <w:top w:val="nil"/>
              <w:left w:val="nil"/>
              <w:bottom w:val="double" w:sz="6" w:space="0" w:color="auto"/>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90,9</w:t>
            </w:r>
          </w:p>
        </w:tc>
        <w:tc>
          <w:tcPr>
            <w:tcW w:w="900" w:type="dxa"/>
            <w:tcBorders>
              <w:top w:val="nil"/>
              <w:left w:val="nil"/>
              <w:bottom w:val="double" w:sz="6" w:space="0" w:color="auto"/>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75,2</w:t>
            </w:r>
          </w:p>
        </w:tc>
        <w:tc>
          <w:tcPr>
            <w:tcW w:w="903" w:type="dxa"/>
            <w:tcBorders>
              <w:top w:val="nil"/>
              <w:left w:val="nil"/>
              <w:bottom w:val="double" w:sz="6" w:space="0" w:color="auto"/>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84,9</w:t>
            </w:r>
          </w:p>
        </w:tc>
        <w:tc>
          <w:tcPr>
            <w:tcW w:w="1009" w:type="dxa"/>
            <w:tcBorders>
              <w:top w:val="nil"/>
              <w:left w:val="nil"/>
              <w:bottom w:val="double" w:sz="6" w:space="0" w:color="auto"/>
              <w:right w:val="single" w:sz="4"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92,6</w:t>
            </w:r>
          </w:p>
        </w:tc>
        <w:tc>
          <w:tcPr>
            <w:tcW w:w="971" w:type="dxa"/>
            <w:tcBorders>
              <w:top w:val="nil"/>
              <w:left w:val="nil"/>
              <w:bottom w:val="double" w:sz="6" w:space="0" w:color="auto"/>
              <w:right w:val="double" w:sz="6" w:space="0" w:color="auto"/>
            </w:tcBorders>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77,7</w:t>
            </w:r>
          </w:p>
        </w:tc>
      </w:tr>
    </w:tbl>
    <w:p w:rsidR="007A49EF" w:rsidRPr="00251317" w:rsidRDefault="007A49EF" w:rsidP="007A49EF">
      <w:pPr>
        <w:tabs>
          <w:tab w:val="center" w:pos="720"/>
        </w:tabs>
        <w:spacing w:line="480" w:lineRule="auto"/>
        <w:jc w:val="both"/>
        <w:rPr>
          <w:rFonts w:ascii="Arial" w:hAnsi="Arial" w:cs="Arial"/>
          <w:i/>
          <w:iCs/>
          <w:sz w:val="18"/>
          <w:szCs w:val="18"/>
        </w:rPr>
      </w:pPr>
      <w:r w:rsidRPr="00251317">
        <w:rPr>
          <w:rFonts w:ascii="Arial" w:hAnsi="Arial" w:cs="Arial"/>
          <w:i/>
          <w:iCs/>
          <w:sz w:val="18"/>
          <w:szCs w:val="18"/>
        </w:rPr>
        <w:t>Zdroj: ČSÚ - VŠPS</w:t>
      </w:r>
    </w:p>
    <w:p w:rsidR="007A49EF" w:rsidRPr="00251317" w:rsidRDefault="007A49EF" w:rsidP="007A49EF">
      <w:pPr>
        <w:tabs>
          <w:tab w:val="center" w:pos="0"/>
        </w:tabs>
        <w:spacing w:line="360" w:lineRule="auto"/>
        <w:ind w:firstLine="720"/>
        <w:jc w:val="both"/>
        <w:rPr>
          <w:rFonts w:ascii="Arial" w:hAnsi="Arial" w:cs="Arial"/>
        </w:rPr>
      </w:pPr>
      <w:r w:rsidRPr="00251317">
        <w:rPr>
          <w:rFonts w:ascii="Arial" w:hAnsi="Arial" w:cs="Arial"/>
        </w:rPr>
        <w:t xml:space="preserve">Průměrný </w:t>
      </w:r>
      <w:r w:rsidRPr="00251317">
        <w:rPr>
          <w:rFonts w:ascii="Arial" w:hAnsi="Arial" w:cs="Arial"/>
          <w:b/>
          <w:bCs/>
        </w:rPr>
        <w:t>počet zaměstnaných</w:t>
      </w:r>
      <w:r w:rsidRPr="00251317">
        <w:rPr>
          <w:rFonts w:ascii="Arial" w:hAnsi="Arial" w:cs="Arial"/>
        </w:rPr>
        <w:t xml:space="preserve"> ve všech sférách národního hospodářství</w:t>
      </w:r>
      <w:r w:rsidRPr="00251317">
        <w:rPr>
          <w:rFonts w:ascii="Arial" w:hAnsi="Arial" w:cs="Arial"/>
          <w:b/>
          <w:bCs/>
        </w:rPr>
        <w:t xml:space="preserve"> v 1. pololetí 2013</w:t>
      </w:r>
      <w:r w:rsidRPr="00251317">
        <w:rPr>
          <w:rFonts w:ascii="Arial" w:hAnsi="Arial" w:cs="Arial"/>
          <w:bCs/>
        </w:rPr>
        <w:t xml:space="preserve"> </w:t>
      </w:r>
      <w:r w:rsidRPr="00251317">
        <w:rPr>
          <w:rFonts w:ascii="Arial" w:hAnsi="Arial" w:cs="Arial"/>
        </w:rPr>
        <w:t xml:space="preserve">dosáhl </w:t>
      </w:r>
      <w:r w:rsidRPr="00251317">
        <w:rPr>
          <w:rFonts w:ascii="Arial" w:hAnsi="Arial" w:cs="Arial"/>
          <w:b/>
          <w:bCs/>
        </w:rPr>
        <w:t>4 918,5 tis. osob</w:t>
      </w:r>
      <w:r w:rsidRPr="00251317">
        <w:rPr>
          <w:rFonts w:ascii="Arial" w:hAnsi="Arial" w:cs="Arial"/>
          <w:bCs/>
        </w:rPr>
        <w:t>.</w:t>
      </w:r>
      <w:r w:rsidRPr="00251317">
        <w:rPr>
          <w:rFonts w:ascii="Arial" w:hAnsi="Arial" w:cs="Arial"/>
        </w:rPr>
        <w:t xml:space="preserve"> Jejich počet meziročně </w:t>
      </w:r>
      <w:r w:rsidRPr="00251317">
        <w:rPr>
          <w:rFonts w:ascii="Arial" w:hAnsi="Arial" w:cs="Arial"/>
          <w:b/>
        </w:rPr>
        <w:t xml:space="preserve">vzrostl </w:t>
      </w:r>
      <w:r w:rsidRPr="00251317">
        <w:rPr>
          <w:rFonts w:ascii="Arial" w:hAnsi="Arial" w:cs="Arial"/>
        </w:rPr>
        <w:t>absolutně</w:t>
      </w:r>
      <w:r w:rsidRPr="00251317">
        <w:rPr>
          <w:rFonts w:ascii="Arial" w:hAnsi="Arial" w:cs="Arial"/>
          <w:b/>
        </w:rPr>
        <w:t xml:space="preserve"> </w:t>
      </w:r>
      <w:r w:rsidRPr="00251317">
        <w:rPr>
          <w:rFonts w:ascii="Arial" w:hAnsi="Arial" w:cs="Arial"/>
          <w:b/>
          <w:bCs/>
        </w:rPr>
        <w:t>o 57,0 tis.,</w:t>
      </w:r>
      <w:r w:rsidRPr="00251317">
        <w:rPr>
          <w:rFonts w:ascii="Arial" w:hAnsi="Arial" w:cs="Arial"/>
          <w:bCs/>
        </w:rPr>
        <w:t xml:space="preserve"> v relativním vyjádření </w:t>
      </w:r>
      <w:r w:rsidRPr="00251317">
        <w:rPr>
          <w:rFonts w:ascii="Arial" w:hAnsi="Arial" w:cs="Arial"/>
          <w:b/>
          <w:bCs/>
        </w:rPr>
        <w:t>o</w:t>
      </w:r>
      <w:r w:rsidRPr="00251317">
        <w:rPr>
          <w:rFonts w:ascii="Arial" w:hAnsi="Arial" w:cs="Arial"/>
          <w:bCs/>
        </w:rPr>
        <w:t> </w:t>
      </w:r>
      <w:r w:rsidRPr="00251317">
        <w:rPr>
          <w:rFonts w:ascii="Arial" w:hAnsi="Arial" w:cs="Arial"/>
          <w:b/>
          <w:bCs/>
        </w:rPr>
        <w:t>1,2 %</w:t>
      </w:r>
      <w:r w:rsidRPr="00251317">
        <w:rPr>
          <w:rFonts w:ascii="Arial" w:hAnsi="Arial" w:cs="Arial"/>
        </w:rPr>
        <w:t xml:space="preserve">.  </w:t>
      </w:r>
    </w:p>
    <w:p w:rsidR="007A49EF" w:rsidRPr="00251317" w:rsidRDefault="007A49EF" w:rsidP="007A49EF">
      <w:pPr>
        <w:tabs>
          <w:tab w:val="center" w:pos="0"/>
        </w:tabs>
        <w:spacing w:line="360" w:lineRule="auto"/>
        <w:ind w:firstLine="720"/>
        <w:jc w:val="right"/>
        <w:rPr>
          <w:rFonts w:ascii="Arial" w:hAnsi="Arial" w:cs="Arial"/>
          <w:sz w:val="20"/>
          <w:szCs w:val="20"/>
        </w:rPr>
      </w:pPr>
      <w:r w:rsidRPr="00251317">
        <w:rPr>
          <w:rFonts w:ascii="Arial" w:hAnsi="Arial" w:cs="Arial"/>
          <w:sz w:val="20"/>
          <w:szCs w:val="20"/>
        </w:rPr>
        <w:t>graf č. 1</w:t>
      </w:r>
    </w:p>
    <w:p w:rsidR="007A49EF" w:rsidRPr="00251317" w:rsidRDefault="007A49EF" w:rsidP="007A49EF">
      <w:pPr>
        <w:jc w:val="center"/>
        <w:rPr>
          <w:rFonts w:ascii="Arial" w:hAnsi="Arial" w:cs="Arial"/>
          <w:sz w:val="20"/>
          <w:szCs w:val="20"/>
        </w:rPr>
      </w:pPr>
      <w:r w:rsidRPr="00251317">
        <w:rPr>
          <w:noProof/>
        </w:rPr>
        <w:drawing>
          <wp:inline distT="0" distB="0" distL="0" distR="0" wp14:anchorId="54873D88" wp14:editId="635078C6">
            <wp:extent cx="5581650" cy="2867025"/>
            <wp:effectExtent l="0" t="0" r="19050" b="9525"/>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E0C20" w:rsidRDefault="002E0C20" w:rsidP="007A49EF">
      <w:pPr>
        <w:tabs>
          <w:tab w:val="center" w:pos="0"/>
        </w:tabs>
        <w:spacing w:line="360" w:lineRule="auto"/>
        <w:ind w:firstLine="720"/>
        <w:jc w:val="both"/>
        <w:rPr>
          <w:rFonts w:ascii="Arial" w:hAnsi="Arial" w:cs="Arial"/>
        </w:rPr>
      </w:pPr>
    </w:p>
    <w:p w:rsidR="007A49EF" w:rsidRPr="00251317" w:rsidRDefault="007A49EF" w:rsidP="007A49EF">
      <w:pPr>
        <w:tabs>
          <w:tab w:val="center" w:pos="0"/>
        </w:tabs>
        <w:spacing w:line="360" w:lineRule="auto"/>
        <w:ind w:firstLine="720"/>
        <w:jc w:val="both"/>
        <w:rPr>
          <w:rFonts w:ascii="Arial" w:hAnsi="Arial" w:cs="Arial"/>
        </w:rPr>
      </w:pPr>
      <w:r w:rsidRPr="00251317">
        <w:rPr>
          <w:rFonts w:ascii="Arial" w:hAnsi="Arial" w:cs="Arial"/>
        </w:rPr>
        <w:lastRenderedPageBreak/>
        <w:t xml:space="preserve">Podle výsledků za jednotlivá čtvrtletí 2013 představoval meziroční nárůst v 1. čtvrtletí 1,0 %, ve 2. čtvrtletí </w:t>
      </w:r>
      <w:r>
        <w:rPr>
          <w:rFonts w:ascii="Arial" w:hAnsi="Arial" w:cs="Arial"/>
        </w:rPr>
        <w:t xml:space="preserve">zrychlil na </w:t>
      </w:r>
      <w:r w:rsidRPr="00251317">
        <w:rPr>
          <w:rFonts w:ascii="Arial" w:hAnsi="Arial" w:cs="Arial"/>
        </w:rPr>
        <w:t>1,3 %. V období poklesu ekonomiky tento neobvyklý vývoj souvisel s menším počtem odpracovaných hodin, resp. větším počtem pracujících na kratší dobu</w:t>
      </w:r>
      <w:r>
        <w:rPr>
          <w:rFonts w:ascii="Arial" w:hAnsi="Arial" w:cs="Arial"/>
        </w:rPr>
        <w:t xml:space="preserve"> </w:t>
      </w:r>
      <w:r w:rsidRPr="00251317">
        <w:rPr>
          <w:rFonts w:ascii="Arial" w:hAnsi="Arial" w:cs="Arial"/>
        </w:rPr>
        <w:t>(viz dále).</w:t>
      </w:r>
      <w:r>
        <w:rPr>
          <w:rFonts w:ascii="Arial" w:hAnsi="Arial" w:cs="Arial"/>
        </w:rPr>
        <w:t xml:space="preserve">  </w:t>
      </w:r>
    </w:p>
    <w:p w:rsidR="007A49EF" w:rsidRPr="00251317" w:rsidRDefault="007A49EF" w:rsidP="007A49EF">
      <w:pPr>
        <w:spacing w:line="360" w:lineRule="auto"/>
        <w:ind w:firstLine="708"/>
        <w:jc w:val="both"/>
        <w:rPr>
          <w:rFonts w:ascii="Arial" w:hAnsi="Arial" w:cs="Arial"/>
        </w:rPr>
      </w:pPr>
      <w:r w:rsidRPr="00251317">
        <w:rPr>
          <w:rFonts w:ascii="Arial" w:hAnsi="Arial" w:cs="Arial"/>
          <w:b/>
        </w:rPr>
        <w:t>Vývoj zaměstnanosti</w:t>
      </w:r>
      <w:r w:rsidRPr="00251317">
        <w:rPr>
          <w:rFonts w:ascii="Arial" w:hAnsi="Arial" w:cs="Arial"/>
        </w:rPr>
        <w:t xml:space="preserve"> z hlediska její věkové struktury byl na jedné straně </w:t>
      </w:r>
      <w:r w:rsidRPr="00251317">
        <w:rPr>
          <w:rFonts w:ascii="Arial" w:hAnsi="Arial" w:cs="Arial"/>
          <w:b/>
        </w:rPr>
        <w:t>ovlivněn vývojem obyvatelstva</w:t>
      </w:r>
      <w:r w:rsidRPr="00251317">
        <w:rPr>
          <w:rFonts w:ascii="Arial" w:hAnsi="Arial" w:cs="Arial"/>
        </w:rPr>
        <w:t xml:space="preserve">, což je patrné na </w:t>
      </w:r>
      <w:r w:rsidRPr="00251317">
        <w:rPr>
          <w:rFonts w:ascii="Arial" w:hAnsi="Arial" w:cs="Arial"/>
          <w:b/>
        </w:rPr>
        <w:t>poklesu</w:t>
      </w:r>
      <w:r w:rsidRPr="00251317">
        <w:rPr>
          <w:rFonts w:ascii="Arial" w:hAnsi="Arial" w:cs="Arial"/>
        </w:rPr>
        <w:t xml:space="preserve"> zaměstnanosti zejména ve věkové skupině </w:t>
      </w:r>
      <w:r w:rsidRPr="00251317">
        <w:rPr>
          <w:rFonts w:ascii="Arial" w:hAnsi="Arial" w:cs="Arial"/>
          <w:b/>
        </w:rPr>
        <w:t xml:space="preserve">15 – 39 let </w:t>
      </w:r>
      <w:r w:rsidRPr="00251317">
        <w:rPr>
          <w:rFonts w:ascii="Arial" w:hAnsi="Arial" w:cs="Arial"/>
        </w:rPr>
        <w:t xml:space="preserve">(poklesem ve skupině 15 – 24 let o 3,6 tis. </w:t>
      </w:r>
      <w:r w:rsidR="00553EC3">
        <w:rPr>
          <w:rFonts w:ascii="Arial" w:hAnsi="Arial" w:cs="Arial"/>
        </w:rPr>
        <w:t xml:space="preserve">                  </w:t>
      </w:r>
      <w:r w:rsidRPr="00251317">
        <w:rPr>
          <w:rFonts w:ascii="Arial" w:hAnsi="Arial" w:cs="Arial"/>
        </w:rPr>
        <w:t xml:space="preserve">a 30 - 34 let o 25,0 tis.). Nárůst </w:t>
      </w:r>
      <w:r w:rsidRPr="00251317">
        <w:rPr>
          <w:rFonts w:ascii="Arial" w:hAnsi="Arial" w:cs="Arial"/>
          <w:b/>
        </w:rPr>
        <w:t xml:space="preserve"> ve věkové skupině 55 – 64 souvisí s delším setrváním v zaměstnání </w:t>
      </w:r>
      <w:r w:rsidRPr="00251317">
        <w:rPr>
          <w:rFonts w:ascii="Arial" w:hAnsi="Arial" w:cs="Arial"/>
        </w:rPr>
        <w:t>v souvislosti s prodlužující se věkovou hranicí pro odchod do důchodu</w:t>
      </w:r>
      <w:r w:rsidRPr="00251317">
        <w:rPr>
          <w:rFonts w:ascii="Arial" w:hAnsi="Arial" w:cs="Arial"/>
          <w:b/>
        </w:rPr>
        <w:t xml:space="preserve"> </w:t>
      </w:r>
      <w:r w:rsidRPr="00251317">
        <w:rPr>
          <w:rFonts w:ascii="Arial" w:hAnsi="Arial" w:cs="Arial"/>
        </w:rPr>
        <w:t>(u mužů byl patrný nárůst zaměstnanosti především ve věku 60 – 64 let o 15,4 tis., u žen ve věku 55 – 59 let o  </w:t>
      </w:r>
      <w:r w:rsidR="00172725">
        <w:rPr>
          <w:rFonts w:ascii="Arial" w:hAnsi="Arial" w:cs="Arial"/>
        </w:rPr>
        <w:t>3</w:t>
      </w:r>
      <w:r w:rsidRPr="00251317">
        <w:rPr>
          <w:rFonts w:ascii="Arial" w:hAnsi="Arial" w:cs="Arial"/>
        </w:rPr>
        <w:t>,</w:t>
      </w:r>
      <w:r w:rsidR="00172725">
        <w:rPr>
          <w:rFonts w:ascii="Arial" w:hAnsi="Arial" w:cs="Arial"/>
        </w:rPr>
        <w:t>3</w:t>
      </w:r>
      <w:r w:rsidRPr="00251317">
        <w:rPr>
          <w:rFonts w:ascii="Arial" w:hAnsi="Arial" w:cs="Arial"/>
        </w:rPr>
        <w:t xml:space="preserve"> tis., ale také 60 – 64 let o </w:t>
      </w:r>
      <w:r w:rsidR="00172725">
        <w:rPr>
          <w:rFonts w:ascii="Arial" w:hAnsi="Arial" w:cs="Arial"/>
        </w:rPr>
        <w:t>9</w:t>
      </w:r>
      <w:r w:rsidRPr="00251317">
        <w:rPr>
          <w:rFonts w:ascii="Arial" w:hAnsi="Arial" w:cs="Arial"/>
        </w:rPr>
        <w:t>,</w:t>
      </w:r>
      <w:r w:rsidR="00172725">
        <w:rPr>
          <w:rFonts w:ascii="Arial" w:hAnsi="Arial" w:cs="Arial"/>
        </w:rPr>
        <w:t>0</w:t>
      </w:r>
      <w:r w:rsidRPr="00251317">
        <w:rPr>
          <w:rFonts w:ascii="Arial" w:hAnsi="Arial" w:cs="Arial"/>
        </w:rPr>
        <w:t xml:space="preserve"> tis.). </w:t>
      </w:r>
    </w:p>
    <w:p w:rsidR="007A49EF" w:rsidRPr="00251317" w:rsidRDefault="007A49EF" w:rsidP="007A49EF">
      <w:pPr>
        <w:ind w:firstLine="708"/>
        <w:jc w:val="both"/>
        <w:rPr>
          <w:rFonts w:ascii="Arial" w:hAnsi="Arial" w:cs="Arial"/>
          <w:sz w:val="12"/>
          <w:szCs w:val="12"/>
        </w:rPr>
      </w:pPr>
    </w:p>
    <w:p w:rsidR="007A49EF" w:rsidRPr="00251317" w:rsidRDefault="007A49EF" w:rsidP="007A49EF">
      <w:pPr>
        <w:tabs>
          <w:tab w:val="center" w:pos="720"/>
        </w:tabs>
        <w:jc w:val="center"/>
        <w:rPr>
          <w:rFonts w:ascii="Arial" w:hAnsi="Arial" w:cs="Arial"/>
          <w:b/>
        </w:rPr>
      </w:pPr>
      <w:r w:rsidRPr="00251317">
        <w:rPr>
          <w:rFonts w:ascii="Arial" w:hAnsi="Arial" w:cs="Arial"/>
          <w:b/>
        </w:rPr>
        <w:t>Věková struktura zaměstnaných (v tis.)</w:t>
      </w:r>
    </w:p>
    <w:p w:rsidR="007A49EF" w:rsidRPr="00251317" w:rsidRDefault="007A49EF" w:rsidP="007A49EF">
      <w:pPr>
        <w:pStyle w:val="Textpoznpodarou"/>
        <w:ind w:right="-108"/>
        <w:jc w:val="right"/>
      </w:pPr>
      <w:r w:rsidRPr="00251317">
        <w:rPr>
          <w:rFonts w:ascii="Arial" w:hAnsi="Arial" w:cs="Arial"/>
        </w:rPr>
        <w:t>tab. č. 5</w:t>
      </w:r>
    </w:p>
    <w:tbl>
      <w:tblPr>
        <w:tblW w:w="9255" w:type="dxa"/>
        <w:tblInd w:w="47" w:type="dxa"/>
        <w:tblCellMar>
          <w:left w:w="70" w:type="dxa"/>
          <w:right w:w="70" w:type="dxa"/>
        </w:tblCellMar>
        <w:tblLook w:val="0000" w:firstRow="0" w:lastRow="0" w:firstColumn="0" w:lastColumn="0" w:noHBand="0" w:noVBand="0"/>
      </w:tblPr>
      <w:tblGrid>
        <w:gridCol w:w="896"/>
        <w:gridCol w:w="970"/>
        <w:gridCol w:w="851"/>
        <w:gridCol w:w="850"/>
        <w:gridCol w:w="992"/>
        <w:gridCol w:w="851"/>
        <w:gridCol w:w="850"/>
        <w:gridCol w:w="851"/>
        <w:gridCol w:w="709"/>
        <w:gridCol w:w="726"/>
        <w:gridCol w:w="709"/>
      </w:tblGrid>
      <w:tr w:rsidR="007A49EF" w:rsidRPr="00251317" w:rsidTr="007A49EF">
        <w:trPr>
          <w:trHeight w:val="284"/>
        </w:trPr>
        <w:tc>
          <w:tcPr>
            <w:tcW w:w="896" w:type="dxa"/>
            <w:vMerge w:val="restart"/>
            <w:tcBorders>
              <w:top w:val="double" w:sz="6" w:space="0" w:color="auto"/>
              <w:left w:val="double" w:sz="6" w:space="0" w:color="auto"/>
              <w:bottom w:val="single" w:sz="4" w:space="0" w:color="000000"/>
              <w:right w:val="single" w:sz="4" w:space="0" w:color="auto"/>
            </w:tcBorders>
            <w:shd w:val="clear" w:color="auto" w:fill="auto"/>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věkové skupiny</w:t>
            </w:r>
          </w:p>
        </w:tc>
        <w:tc>
          <w:tcPr>
            <w:tcW w:w="2671" w:type="dxa"/>
            <w:gridSpan w:val="3"/>
            <w:tcBorders>
              <w:top w:val="double" w:sz="6" w:space="0" w:color="auto"/>
              <w:left w:val="nil"/>
              <w:bottom w:val="single" w:sz="4" w:space="0" w:color="auto"/>
              <w:right w:val="single" w:sz="4" w:space="0" w:color="auto"/>
            </w:tcBorders>
            <w:shd w:val="clear" w:color="auto" w:fill="auto"/>
            <w:noWrap/>
            <w:vAlign w:val="bottom"/>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1. pololetí 2012</w:t>
            </w:r>
          </w:p>
        </w:tc>
        <w:tc>
          <w:tcPr>
            <w:tcW w:w="2693" w:type="dxa"/>
            <w:gridSpan w:val="3"/>
            <w:tcBorders>
              <w:top w:val="double" w:sz="6" w:space="0" w:color="auto"/>
              <w:left w:val="nil"/>
              <w:bottom w:val="single" w:sz="4" w:space="0" w:color="auto"/>
              <w:right w:val="single" w:sz="4" w:space="0" w:color="auto"/>
            </w:tcBorders>
            <w:shd w:val="clear" w:color="auto" w:fill="auto"/>
            <w:noWrap/>
            <w:vAlign w:val="bottom"/>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1. pololetí 2013</w:t>
            </w:r>
          </w:p>
        </w:tc>
        <w:tc>
          <w:tcPr>
            <w:tcW w:w="2286" w:type="dxa"/>
            <w:gridSpan w:val="3"/>
            <w:tcBorders>
              <w:top w:val="double" w:sz="6" w:space="0" w:color="auto"/>
              <w:left w:val="single" w:sz="4" w:space="0" w:color="auto"/>
              <w:bottom w:val="single" w:sz="4" w:space="0" w:color="auto"/>
              <w:right w:val="single" w:sz="4" w:space="0" w:color="auto"/>
            </w:tcBorders>
            <w:shd w:val="clear" w:color="auto" w:fill="auto"/>
            <w:noWrap/>
            <w:vAlign w:val="bottom"/>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rozdíl 13 – 12</w:t>
            </w:r>
          </w:p>
        </w:tc>
        <w:tc>
          <w:tcPr>
            <w:tcW w:w="709" w:type="dxa"/>
            <w:vMerge w:val="restart"/>
            <w:tcBorders>
              <w:top w:val="double" w:sz="6" w:space="0" w:color="auto"/>
              <w:left w:val="single" w:sz="4" w:space="0" w:color="auto"/>
              <w:bottom w:val="single" w:sz="4" w:space="0" w:color="000000"/>
              <w:right w:val="double" w:sz="6" w:space="0" w:color="auto"/>
            </w:tcBorders>
            <w:shd w:val="clear" w:color="auto" w:fill="auto"/>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Index 13/12</w:t>
            </w:r>
          </w:p>
          <w:p w:rsidR="007A49EF" w:rsidRPr="00251317" w:rsidRDefault="007A49EF" w:rsidP="007A49EF">
            <w:pPr>
              <w:jc w:val="center"/>
              <w:rPr>
                <w:rFonts w:ascii="Arial" w:hAnsi="Arial" w:cs="Arial"/>
                <w:bCs/>
                <w:sz w:val="20"/>
                <w:szCs w:val="20"/>
              </w:rPr>
            </w:pPr>
            <w:r w:rsidRPr="00251317">
              <w:rPr>
                <w:rFonts w:ascii="Arial" w:hAnsi="Arial" w:cs="Arial"/>
                <w:b/>
                <w:bCs/>
                <w:sz w:val="20"/>
                <w:szCs w:val="20"/>
              </w:rPr>
              <w:t xml:space="preserve"> </w:t>
            </w:r>
            <w:r w:rsidRPr="00251317">
              <w:rPr>
                <w:rFonts w:ascii="Arial" w:hAnsi="Arial" w:cs="Arial"/>
                <w:b/>
                <w:sz w:val="20"/>
                <w:szCs w:val="20"/>
              </w:rPr>
              <w:t>(%)</w:t>
            </w:r>
          </w:p>
        </w:tc>
      </w:tr>
      <w:tr w:rsidR="007A49EF" w:rsidRPr="00251317" w:rsidTr="007A49EF">
        <w:trPr>
          <w:trHeight w:val="284"/>
        </w:trPr>
        <w:tc>
          <w:tcPr>
            <w:tcW w:w="896" w:type="dxa"/>
            <w:vMerge/>
            <w:tcBorders>
              <w:top w:val="double" w:sz="6" w:space="0" w:color="auto"/>
              <w:left w:val="double" w:sz="6" w:space="0" w:color="auto"/>
              <w:bottom w:val="single" w:sz="4" w:space="0" w:color="000000"/>
              <w:right w:val="single" w:sz="4" w:space="0" w:color="auto"/>
            </w:tcBorders>
            <w:vAlign w:val="center"/>
          </w:tcPr>
          <w:p w:rsidR="007A49EF" w:rsidRPr="00251317" w:rsidRDefault="007A49EF" w:rsidP="007A49EF">
            <w:pPr>
              <w:rPr>
                <w:rFonts w:ascii="Arial" w:hAnsi="Arial" w:cs="Arial"/>
                <w:b/>
                <w:bCs/>
                <w:sz w:val="20"/>
                <w:szCs w:val="20"/>
              </w:rPr>
            </w:pPr>
          </w:p>
        </w:tc>
        <w:tc>
          <w:tcPr>
            <w:tcW w:w="970" w:type="dxa"/>
            <w:tcBorders>
              <w:top w:val="nil"/>
              <w:left w:val="nil"/>
              <w:bottom w:val="single" w:sz="4" w:space="0" w:color="auto"/>
              <w:right w:val="single" w:sz="4" w:space="0" w:color="auto"/>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celkem</w:t>
            </w:r>
          </w:p>
        </w:tc>
        <w:tc>
          <w:tcPr>
            <w:tcW w:w="851" w:type="dxa"/>
            <w:tcBorders>
              <w:top w:val="nil"/>
              <w:left w:val="nil"/>
              <w:bottom w:val="single" w:sz="4" w:space="0" w:color="auto"/>
              <w:right w:val="single" w:sz="4" w:space="0" w:color="auto"/>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muži</w:t>
            </w:r>
          </w:p>
        </w:tc>
        <w:tc>
          <w:tcPr>
            <w:tcW w:w="850" w:type="dxa"/>
            <w:tcBorders>
              <w:top w:val="nil"/>
              <w:left w:val="nil"/>
              <w:bottom w:val="single" w:sz="4" w:space="0" w:color="auto"/>
              <w:right w:val="single" w:sz="4" w:space="0" w:color="auto"/>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ženy</w:t>
            </w:r>
          </w:p>
        </w:tc>
        <w:tc>
          <w:tcPr>
            <w:tcW w:w="992" w:type="dxa"/>
            <w:tcBorders>
              <w:top w:val="nil"/>
              <w:left w:val="nil"/>
              <w:bottom w:val="single" w:sz="4" w:space="0" w:color="auto"/>
              <w:right w:val="single" w:sz="4" w:space="0" w:color="auto"/>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celkem</w:t>
            </w:r>
          </w:p>
        </w:tc>
        <w:tc>
          <w:tcPr>
            <w:tcW w:w="851" w:type="dxa"/>
            <w:tcBorders>
              <w:top w:val="nil"/>
              <w:left w:val="nil"/>
              <w:bottom w:val="single" w:sz="4" w:space="0" w:color="auto"/>
              <w:right w:val="single" w:sz="4" w:space="0" w:color="auto"/>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muži</w:t>
            </w:r>
          </w:p>
        </w:tc>
        <w:tc>
          <w:tcPr>
            <w:tcW w:w="850" w:type="dxa"/>
            <w:tcBorders>
              <w:top w:val="nil"/>
              <w:left w:val="nil"/>
              <w:bottom w:val="single" w:sz="4" w:space="0" w:color="auto"/>
              <w:right w:val="nil"/>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ženy</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celkem</w:t>
            </w:r>
          </w:p>
        </w:tc>
        <w:tc>
          <w:tcPr>
            <w:tcW w:w="709" w:type="dxa"/>
            <w:tcBorders>
              <w:top w:val="nil"/>
              <w:left w:val="nil"/>
              <w:bottom w:val="single" w:sz="4" w:space="0" w:color="auto"/>
              <w:right w:val="single" w:sz="4" w:space="0" w:color="auto"/>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muži</w:t>
            </w:r>
          </w:p>
        </w:tc>
        <w:tc>
          <w:tcPr>
            <w:tcW w:w="726" w:type="dxa"/>
            <w:tcBorders>
              <w:top w:val="nil"/>
              <w:left w:val="nil"/>
              <w:bottom w:val="single" w:sz="4" w:space="0" w:color="auto"/>
              <w:right w:val="nil"/>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ženy</w:t>
            </w:r>
          </w:p>
        </w:tc>
        <w:tc>
          <w:tcPr>
            <w:tcW w:w="709" w:type="dxa"/>
            <w:vMerge/>
            <w:tcBorders>
              <w:top w:val="double" w:sz="6" w:space="0" w:color="auto"/>
              <w:left w:val="single" w:sz="4" w:space="0" w:color="auto"/>
              <w:bottom w:val="single" w:sz="4" w:space="0" w:color="000000"/>
              <w:right w:val="double" w:sz="6" w:space="0" w:color="auto"/>
            </w:tcBorders>
            <w:vAlign w:val="center"/>
          </w:tcPr>
          <w:p w:rsidR="007A49EF" w:rsidRPr="00251317" w:rsidRDefault="007A49EF" w:rsidP="007A49EF">
            <w:pPr>
              <w:rPr>
                <w:rFonts w:ascii="Arial" w:hAnsi="Arial" w:cs="Arial"/>
                <w:b/>
                <w:bCs/>
                <w:sz w:val="20"/>
                <w:szCs w:val="20"/>
              </w:rPr>
            </w:pPr>
          </w:p>
        </w:tc>
      </w:tr>
      <w:tr w:rsidR="007A49EF" w:rsidRPr="00251317" w:rsidTr="007A49EF">
        <w:trPr>
          <w:trHeight w:val="340"/>
        </w:trPr>
        <w:tc>
          <w:tcPr>
            <w:tcW w:w="896" w:type="dxa"/>
            <w:tcBorders>
              <w:top w:val="nil"/>
              <w:left w:val="double" w:sz="6" w:space="0" w:color="auto"/>
              <w:bottom w:val="single" w:sz="4" w:space="0" w:color="auto"/>
              <w:right w:val="nil"/>
            </w:tcBorders>
            <w:shd w:val="clear" w:color="auto" w:fill="auto"/>
            <w:noWrap/>
            <w:vAlign w:val="center"/>
          </w:tcPr>
          <w:p w:rsidR="007A49EF" w:rsidRPr="00251317" w:rsidRDefault="007A49EF" w:rsidP="007A49EF">
            <w:pPr>
              <w:jc w:val="center"/>
              <w:rPr>
                <w:rFonts w:ascii="Arial" w:hAnsi="Arial" w:cs="Arial"/>
                <w:b/>
                <w:bCs/>
                <w:sz w:val="18"/>
                <w:szCs w:val="18"/>
              </w:rPr>
            </w:pPr>
            <w:r w:rsidRPr="00251317">
              <w:rPr>
                <w:rFonts w:ascii="Arial" w:hAnsi="Arial" w:cs="Arial"/>
                <w:b/>
                <w:bCs/>
                <w:sz w:val="18"/>
                <w:szCs w:val="18"/>
              </w:rPr>
              <w:t>celkem</w:t>
            </w:r>
          </w:p>
        </w:tc>
        <w:tc>
          <w:tcPr>
            <w:tcW w:w="970" w:type="dxa"/>
            <w:tcBorders>
              <w:top w:val="nil"/>
              <w:left w:val="single" w:sz="4" w:space="0" w:color="auto"/>
              <w:bottom w:val="single" w:sz="4" w:space="0" w:color="auto"/>
              <w:right w:val="single" w:sz="4" w:space="0" w:color="auto"/>
            </w:tcBorders>
            <w:shd w:val="clear" w:color="auto" w:fill="auto"/>
            <w:noWrap/>
            <w:vAlign w:val="center"/>
          </w:tcPr>
          <w:p w:rsidR="007A49EF" w:rsidRPr="0003143E" w:rsidRDefault="007A49EF" w:rsidP="00534747">
            <w:pPr>
              <w:jc w:val="right"/>
              <w:rPr>
                <w:rFonts w:ascii="Arial" w:hAnsi="Arial" w:cs="Arial"/>
                <w:b/>
                <w:sz w:val="18"/>
                <w:szCs w:val="18"/>
              </w:rPr>
            </w:pPr>
            <w:r w:rsidRPr="0003143E">
              <w:rPr>
                <w:rFonts w:ascii="Arial" w:hAnsi="Arial" w:cs="Arial"/>
                <w:b/>
                <w:sz w:val="18"/>
                <w:szCs w:val="18"/>
              </w:rPr>
              <w:t>4861,5</w:t>
            </w:r>
          </w:p>
        </w:tc>
        <w:tc>
          <w:tcPr>
            <w:tcW w:w="851" w:type="dxa"/>
            <w:tcBorders>
              <w:top w:val="nil"/>
              <w:left w:val="nil"/>
              <w:bottom w:val="single" w:sz="4" w:space="0" w:color="auto"/>
              <w:right w:val="single" w:sz="4" w:space="0" w:color="auto"/>
            </w:tcBorders>
            <w:shd w:val="clear" w:color="auto" w:fill="auto"/>
            <w:noWrap/>
            <w:vAlign w:val="center"/>
          </w:tcPr>
          <w:p w:rsidR="007A49EF" w:rsidRPr="0003143E" w:rsidRDefault="007A49EF" w:rsidP="00534747">
            <w:pPr>
              <w:jc w:val="right"/>
              <w:rPr>
                <w:rFonts w:ascii="Arial" w:hAnsi="Arial" w:cs="Arial"/>
                <w:b/>
                <w:sz w:val="18"/>
                <w:szCs w:val="18"/>
              </w:rPr>
            </w:pPr>
            <w:r w:rsidRPr="0003143E">
              <w:rPr>
                <w:rFonts w:ascii="Arial" w:hAnsi="Arial" w:cs="Arial"/>
                <w:b/>
                <w:sz w:val="18"/>
                <w:szCs w:val="18"/>
              </w:rPr>
              <w:t>2763,3</w:t>
            </w:r>
          </w:p>
        </w:tc>
        <w:tc>
          <w:tcPr>
            <w:tcW w:w="850" w:type="dxa"/>
            <w:tcBorders>
              <w:top w:val="nil"/>
              <w:left w:val="nil"/>
              <w:bottom w:val="single" w:sz="4" w:space="0" w:color="auto"/>
              <w:right w:val="single" w:sz="4" w:space="0" w:color="auto"/>
            </w:tcBorders>
            <w:shd w:val="clear" w:color="auto" w:fill="auto"/>
            <w:noWrap/>
            <w:vAlign w:val="center"/>
          </w:tcPr>
          <w:p w:rsidR="007A49EF" w:rsidRPr="0003143E" w:rsidRDefault="007A49EF" w:rsidP="00534747">
            <w:pPr>
              <w:jc w:val="right"/>
              <w:rPr>
                <w:rFonts w:ascii="Arial" w:hAnsi="Arial" w:cs="Arial"/>
                <w:b/>
                <w:sz w:val="18"/>
                <w:szCs w:val="18"/>
              </w:rPr>
            </w:pPr>
            <w:r w:rsidRPr="0003143E">
              <w:rPr>
                <w:rFonts w:ascii="Arial" w:hAnsi="Arial" w:cs="Arial"/>
                <w:b/>
                <w:sz w:val="18"/>
                <w:szCs w:val="18"/>
              </w:rPr>
              <w:t>2098,2</w:t>
            </w:r>
          </w:p>
        </w:tc>
        <w:tc>
          <w:tcPr>
            <w:tcW w:w="992" w:type="dxa"/>
            <w:tcBorders>
              <w:top w:val="nil"/>
              <w:left w:val="nil"/>
              <w:bottom w:val="single" w:sz="4" w:space="0" w:color="auto"/>
              <w:right w:val="single" w:sz="4" w:space="0" w:color="auto"/>
            </w:tcBorders>
            <w:shd w:val="clear" w:color="auto" w:fill="auto"/>
            <w:noWrap/>
            <w:vAlign w:val="center"/>
          </w:tcPr>
          <w:p w:rsidR="007A49EF" w:rsidRPr="0003143E" w:rsidRDefault="007A49EF" w:rsidP="00534747">
            <w:pPr>
              <w:jc w:val="right"/>
              <w:rPr>
                <w:rFonts w:ascii="Arial" w:hAnsi="Arial" w:cs="Arial"/>
                <w:b/>
                <w:sz w:val="18"/>
                <w:szCs w:val="18"/>
              </w:rPr>
            </w:pPr>
            <w:r w:rsidRPr="0003143E">
              <w:rPr>
                <w:rFonts w:ascii="Arial" w:hAnsi="Arial" w:cs="Arial"/>
                <w:b/>
                <w:sz w:val="18"/>
                <w:szCs w:val="18"/>
              </w:rPr>
              <w:t>4918,5</w:t>
            </w:r>
          </w:p>
        </w:tc>
        <w:tc>
          <w:tcPr>
            <w:tcW w:w="851" w:type="dxa"/>
            <w:tcBorders>
              <w:top w:val="nil"/>
              <w:left w:val="nil"/>
              <w:bottom w:val="single" w:sz="4" w:space="0" w:color="auto"/>
              <w:right w:val="single" w:sz="4" w:space="0" w:color="auto"/>
            </w:tcBorders>
            <w:shd w:val="clear" w:color="auto" w:fill="auto"/>
            <w:noWrap/>
            <w:vAlign w:val="center"/>
          </w:tcPr>
          <w:p w:rsidR="007A49EF" w:rsidRPr="0003143E" w:rsidRDefault="007A49EF" w:rsidP="00534747">
            <w:pPr>
              <w:jc w:val="right"/>
              <w:rPr>
                <w:rFonts w:ascii="Arial" w:hAnsi="Arial" w:cs="Arial"/>
                <w:b/>
                <w:sz w:val="18"/>
                <w:szCs w:val="18"/>
              </w:rPr>
            </w:pPr>
            <w:r w:rsidRPr="0003143E">
              <w:rPr>
                <w:rFonts w:ascii="Arial" w:hAnsi="Arial" w:cs="Arial"/>
                <w:b/>
                <w:sz w:val="18"/>
                <w:szCs w:val="18"/>
              </w:rPr>
              <w:t>2782,2</w:t>
            </w:r>
          </w:p>
        </w:tc>
        <w:tc>
          <w:tcPr>
            <w:tcW w:w="850" w:type="dxa"/>
            <w:tcBorders>
              <w:top w:val="nil"/>
              <w:left w:val="nil"/>
              <w:bottom w:val="single" w:sz="4" w:space="0" w:color="auto"/>
              <w:right w:val="nil"/>
            </w:tcBorders>
            <w:shd w:val="clear" w:color="auto" w:fill="auto"/>
            <w:noWrap/>
            <w:vAlign w:val="center"/>
          </w:tcPr>
          <w:p w:rsidR="007A49EF" w:rsidRPr="0003143E" w:rsidRDefault="007A49EF" w:rsidP="00534747">
            <w:pPr>
              <w:jc w:val="right"/>
              <w:rPr>
                <w:rFonts w:ascii="Arial" w:hAnsi="Arial" w:cs="Arial"/>
                <w:b/>
                <w:sz w:val="18"/>
                <w:szCs w:val="18"/>
              </w:rPr>
            </w:pPr>
            <w:r w:rsidRPr="0003143E">
              <w:rPr>
                <w:rFonts w:ascii="Arial" w:hAnsi="Arial" w:cs="Arial"/>
                <w:b/>
                <w:sz w:val="18"/>
                <w:szCs w:val="18"/>
              </w:rPr>
              <w:t>2136,3</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7A49EF" w:rsidRPr="0003143E" w:rsidRDefault="007A49EF" w:rsidP="007A49EF">
            <w:pPr>
              <w:jc w:val="right"/>
              <w:rPr>
                <w:rFonts w:ascii="Arial" w:hAnsi="Arial" w:cs="Arial"/>
                <w:b/>
                <w:sz w:val="18"/>
                <w:szCs w:val="18"/>
              </w:rPr>
            </w:pPr>
            <w:r w:rsidRPr="0003143E">
              <w:rPr>
                <w:rFonts w:ascii="Arial" w:hAnsi="Arial" w:cs="Arial"/>
                <w:b/>
                <w:sz w:val="18"/>
                <w:szCs w:val="18"/>
              </w:rPr>
              <w:t xml:space="preserve">57,0 </w:t>
            </w:r>
          </w:p>
        </w:tc>
        <w:tc>
          <w:tcPr>
            <w:tcW w:w="709" w:type="dxa"/>
            <w:tcBorders>
              <w:top w:val="nil"/>
              <w:left w:val="nil"/>
              <w:bottom w:val="single" w:sz="4" w:space="0" w:color="auto"/>
              <w:right w:val="single" w:sz="4" w:space="0" w:color="auto"/>
            </w:tcBorders>
            <w:shd w:val="clear" w:color="auto" w:fill="auto"/>
            <w:noWrap/>
            <w:vAlign w:val="center"/>
          </w:tcPr>
          <w:p w:rsidR="007A49EF" w:rsidRPr="0003143E" w:rsidRDefault="007A49EF" w:rsidP="007A49EF">
            <w:pPr>
              <w:jc w:val="right"/>
              <w:rPr>
                <w:rFonts w:ascii="Arial" w:hAnsi="Arial" w:cs="Arial"/>
                <w:b/>
                <w:sz w:val="18"/>
                <w:szCs w:val="18"/>
              </w:rPr>
            </w:pPr>
            <w:r w:rsidRPr="0003143E">
              <w:rPr>
                <w:rFonts w:ascii="Arial" w:hAnsi="Arial" w:cs="Arial"/>
                <w:b/>
                <w:sz w:val="18"/>
                <w:szCs w:val="18"/>
              </w:rPr>
              <w:t xml:space="preserve">18,9 </w:t>
            </w:r>
          </w:p>
        </w:tc>
        <w:tc>
          <w:tcPr>
            <w:tcW w:w="726" w:type="dxa"/>
            <w:tcBorders>
              <w:top w:val="nil"/>
              <w:left w:val="nil"/>
              <w:bottom w:val="single" w:sz="4" w:space="0" w:color="auto"/>
              <w:right w:val="nil"/>
            </w:tcBorders>
            <w:shd w:val="clear" w:color="auto" w:fill="auto"/>
            <w:noWrap/>
            <w:vAlign w:val="center"/>
          </w:tcPr>
          <w:p w:rsidR="007A49EF" w:rsidRPr="0003143E" w:rsidRDefault="007A49EF" w:rsidP="007A49EF">
            <w:pPr>
              <w:jc w:val="right"/>
              <w:rPr>
                <w:rFonts w:ascii="Arial" w:hAnsi="Arial" w:cs="Arial"/>
                <w:b/>
                <w:sz w:val="18"/>
                <w:szCs w:val="18"/>
              </w:rPr>
            </w:pPr>
            <w:r w:rsidRPr="0003143E">
              <w:rPr>
                <w:rFonts w:ascii="Arial" w:hAnsi="Arial" w:cs="Arial"/>
                <w:b/>
                <w:sz w:val="18"/>
                <w:szCs w:val="18"/>
              </w:rPr>
              <w:t xml:space="preserve">38,1 </w:t>
            </w:r>
          </w:p>
        </w:tc>
        <w:tc>
          <w:tcPr>
            <w:tcW w:w="709" w:type="dxa"/>
            <w:tcBorders>
              <w:top w:val="nil"/>
              <w:left w:val="single" w:sz="4" w:space="0" w:color="auto"/>
              <w:bottom w:val="single" w:sz="4" w:space="0" w:color="auto"/>
              <w:right w:val="double" w:sz="6" w:space="0" w:color="auto"/>
            </w:tcBorders>
            <w:shd w:val="clear" w:color="auto" w:fill="auto"/>
            <w:noWrap/>
            <w:vAlign w:val="center"/>
          </w:tcPr>
          <w:p w:rsidR="007A49EF" w:rsidRPr="0003143E" w:rsidRDefault="007A49EF" w:rsidP="007A49EF">
            <w:pPr>
              <w:jc w:val="right"/>
              <w:rPr>
                <w:rFonts w:ascii="Arial" w:hAnsi="Arial" w:cs="Arial"/>
                <w:b/>
                <w:sz w:val="18"/>
                <w:szCs w:val="18"/>
              </w:rPr>
            </w:pPr>
            <w:r w:rsidRPr="0003143E">
              <w:rPr>
                <w:rFonts w:ascii="Arial" w:hAnsi="Arial" w:cs="Arial"/>
                <w:b/>
                <w:sz w:val="18"/>
                <w:szCs w:val="18"/>
              </w:rPr>
              <w:t xml:space="preserve">101,2 </w:t>
            </w:r>
          </w:p>
        </w:tc>
      </w:tr>
      <w:tr w:rsidR="007A49EF" w:rsidRPr="00251317" w:rsidTr="007A49EF">
        <w:trPr>
          <w:trHeight w:val="312"/>
        </w:trPr>
        <w:tc>
          <w:tcPr>
            <w:tcW w:w="896" w:type="dxa"/>
            <w:tcBorders>
              <w:top w:val="nil"/>
              <w:left w:val="double" w:sz="6" w:space="0" w:color="auto"/>
              <w:bottom w:val="nil"/>
              <w:right w:val="nil"/>
            </w:tcBorders>
            <w:shd w:val="clear" w:color="auto" w:fill="auto"/>
            <w:noWrap/>
            <w:vAlign w:val="center"/>
          </w:tcPr>
          <w:p w:rsidR="007A49EF" w:rsidRPr="00251317" w:rsidRDefault="007A49EF" w:rsidP="007A49EF">
            <w:pPr>
              <w:jc w:val="center"/>
              <w:rPr>
                <w:rFonts w:ascii="Arial" w:hAnsi="Arial" w:cs="Arial"/>
                <w:b/>
                <w:bCs/>
                <w:sz w:val="18"/>
                <w:szCs w:val="18"/>
              </w:rPr>
            </w:pPr>
            <w:r w:rsidRPr="00251317">
              <w:rPr>
                <w:rFonts w:ascii="Arial" w:hAnsi="Arial" w:cs="Arial"/>
                <w:sz w:val="18"/>
                <w:szCs w:val="18"/>
              </w:rPr>
              <w:t>15 - 24</w:t>
            </w:r>
          </w:p>
        </w:tc>
        <w:tc>
          <w:tcPr>
            <w:tcW w:w="970" w:type="dxa"/>
            <w:tcBorders>
              <w:top w:val="nil"/>
              <w:left w:val="single" w:sz="4" w:space="0" w:color="auto"/>
              <w:bottom w:val="nil"/>
              <w:right w:val="single" w:sz="4" w:space="0" w:color="auto"/>
            </w:tcBorders>
            <w:shd w:val="clear" w:color="auto" w:fill="auto"/>
            <w:noWrap/>
            <w:vAlign w:val="center"/>
          </w:tcPr>
          <w:p w:rsidR="007A49EF" w:rsidRPr="00251317" w:rsidRDefault="007A49EF" w:rsidP="0003143E">
            <w:pPr>
              <w:jc w:val="right"/>
              <w:rPr>
                <w:rFonts w:ascii="Arial" w:hAnsi="Arial" w:cs="Arial"/>
                <w:sz w:val="18"/>
                <w:szCs w:val="18"/>
              </w:rPr>
            </w:pPr>
            <w:r w:rsidRPr="00251317">
              <w:rPr>
                <w:rFonts w:ascii="Arial" w:hAnsi="Arial" w:cs="Arial"/>
                <w:sz w:val="18"/>
                <w:szCs w:val="18"/>
              </w:rPr>
              <w:t>296,0</w:t>
            </w:r>
          </w:p>
        </w:tc>
        <w:tc>
          <w:tcPr>
            <w:tcW w:w="851" w:type="dxa"/>
            <w:tcBorders>
              <w:top w:val="nil"/>
              <w:left w:val="nil"/>
              <w:bottom w:val="nil"/>
              <w:right w:val="single" w:sz="4" w:space="0" w:color="auto"/>
            </w:tcBorders>
            <w:shd w:val="clear" w:color="auto" w:fill="auto"/>
            <w:noWrap/>
            <w:vAlign w:val="center"/>
          </w:tcPr>
          <w:p w:rsidR="007A49EF" w:rsidRPr="00251317" w:rsidRDefault="007A49EF" w:rsidP="0003143E">
            <w:pPr>
              <w:jc w:val="right"/>
              <w:rPr>
                <w:rFonts w:ascii="Arial" w:hAnsi="Arial" w:cs="Arial"/>
                <w:sz w:val="18"/>
                <w:szCs w:val="18"/>
              </w:rPr>
            </w:pPr>
            <w:r w:rsidRPr="00251317">
              <w:rPr>
                <w:rFonts w:ascii="Arial" w:hAnsi="Arial" w:cs="Arial"/>
                <w:sz w:val="18"/>
                <w:szCs w:val="18"/>
              </w:rPr>
              <w:t>176,2</w:t>
            </w:r>
          </w:p>
        </w:tc>
        <w:tc>
          <w:tcPr>
            <w:tcW w:w="850" w:type="dxa"/>
            <w:tcBorders>
              <w:top w:val="nil"/>
              <w:left w:val="nil"/>
              <w:bottom w:val="nil"/>
              <w:right w:val="single" w:sz="4" w:space="0" w:color="auto"/>
            </w:tcBorders>
            <w:shd w:val="clear" w:color="auto" w:fill="auto"/>
            <w:noWrap/>
            <w:vAlign w:val="center"/>
          </w:tcPr>
          <w:p w:rsidR="007A49EF" w:rsidRPr="00251317" w:rsidRDefault="007A49EF" w:rsidP="0003143E">
            <w:pPr>
              <w:jc w:val="right"/>
              <w:rPr>
                <w:rFonts w:ascii="Arial" w:hAnsi="Arial" w:cs="Arial"/>
                <w:sz w:val="18"/>
                <w:szCs w:val="18"/>
              </w:rPr>
            </w:pPr>
            <w:r w:rsidRPr="00251317">
              <w:rPr>
                <w:rFonts w:ascii="Arial" w:hAnsi="Arial" w:cs="Arial"/>
                <w:sz w:val="18"/>
                <w:szCs w:val="18"/>
              </w:rPr>
              <w:t>119,9</w:t>
            </w:r>
          </w:p>
        </w:tc>
        <w:tc>
          <w:tcPr>
            <w:tcW w:w="992" w:type="dxa"/>
            <w:tcBorders>
              <w:top w:val="nil"/>
              <w:left w:val="nil"/>
              <w:bottom w:val="nil"/>
              <w:right w:val="single" w:sz="4" w:space="0" w:color="auto"/>
            </w:tcBorders>
            <w:shd w:val="clear" w:color="auto" w:fill="auto"/>
            <w:noWrap/>
            <w:vAlign w:val="center"/>
          </w:tcPr>
          <w:p w:rsidR="007A49EF" w:rsidRPr="00251317" w:rsidRDefault="007A49EF" w:rsidP="0003143E">
            <w:pPr>
              <w:jc w:val="right"/>
              <w:rPr>
                <w:rFonts w:ascii="Arial" w:hAnsi="Arial" w:cs="Arial"/>
                <w:sz w:val="18"/>
                <w:szCs w:val="18"/>
              </w:rPr>
            </w:pPr>
            <w:r w:rsidRPr="00251317">
              <w:rPr>
                <w:rFonts w:ascii="Arial" w:hAnsi="Arial" w:cs="Arial"/>
                <w:sz w:val="18"/>
                <w:szCs w:val="18"/>
              </w:rPr>
              <w:t>292,4</w:t>
            </w:r>
          </w:p>
        </w:tc>
        <w:tc>
          <w:tcPr>
            <w:tcW w:w="851" w:type="dxa"/>
            <w:tcBorders>
              <w:top w:val="nil"/>
              <w:left w:val="nil"/>
              <w:bottom w:val="nil"/>
              <w:right w:val="single" w:sz="4" w:space="0" w:color="auto"/>
            </w:tcBorders>
            <w:shd w:val="clear" w:color="auto" w:fill="auto"/>
            <w:noWrap/>
            <w:vAlign w:val="center"/>
          </w:tcPr>
          <w:p w:rsidR="007A49EF" w:rsidRPr="00251317" w:rsidRDefault="007A49EF" w:rsidP="0003143E">
            <w:pPr>
              <w:jc w:val="right"/>
              <w:rPr>
                <w:rFonts w:ascii="Arial" w:hAnsi="Arial" w:cs="Arial"/>
                <w:sz w:val="18"/>
                <w:szCs w:val="18"/>
              </w:rPr>
            </w:pPr>
            <w:r w:rsidRPr="00251317">
              <w:rPr>
                <w:rFonts w:ascii="Arial" w:hAnsi="Arial" w:cs="Arial"/>
                <w:sz w:val="18"/>
                <w:szCs w:val="18"/>
              </w:rPr>
              <w:t>173,6</w:t>
            </w:r>
          </w:p>
        </w:tc>
        <w:tc>
          <w:tcPr>
            <w:tcW w:w="850" w:type="dxa"/>
            <w:tcBorders>
              <w:top w:val="nil"/>
              <w:left w:val="nil"/>
              <w:bottom w:val="nil"/>
              <w:right w:val="nil"/>
            </w:tcBorders>
            <w:shd w:val="clear" w:color="auto" w:fill="auto"/>
            <w:noWrap/>
            <w:vAlign w:val="center"/>
          </w:tcPr>
          <w:p w:rsidR="007A49EF" w:rsidRPr="00251317" w:rsidRDefault="007A49EF" w:rsidP="0003143E">
            <w:pPr>
              <w:jc w:val="right"/>
              <w:rPr>
                <w:rFonts w:ascii="Arial" w:hAnsi="Arial" w:cs="Arial"/>
                <w:sz w:val="18"/>
                <w:szCs w:val="18"/>
              </w:rPr>
            </w:pPr>
            <w:r w:rsidRPr="00251317">
              <w:rPr>
                <w:rFonts w:ascii="Arial" w:hAnsi="Arial" w:cs="Arial"/>
                <w:sz w:val="18"/>
                <w:szCs w:val="18"/>
              </w:rPr>
              <w:t>118,7</w:t>
            </w:r>
          </w:p>
        </w:tc>
        <w:tc>
          <w:tcPr>
            <w:tcW w:w="851" w:type="dxa"/>
            <w:tcBorders>
              <w:top w:val="nil"/>
              <w:left w:val="single" w:sz="4" w:space="0" w:color="auto"/>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18"/>
                <w:szCs w:val="18"/>
              </w:rPr>
            </w:pPr>
            <w:r w:rsidRPr="007A49EF">
              <w:rPr>
                <w:rFonts w:ascii="Arial" w:hAnsi="Arial" w:cs="Arial"/>
                <w:sz w:val="18"/>
                <w:szCs w:val="18"/>
              </w:rPr>
              <w:t xml:space="preserve">-3,6 </w:t>
            </w:r>
          </w:p>
        </w:tc>
        <w:tc>
          <w:tcPr>
            <w:tcW w:w="709"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18"/>
                <w:szCs w:val="18"/>
              </w:rPr>
            </w:pPr>
            <w:r w:rsidRPr="007A49EF">
              <w:rPr>
                <w:rFonts w:ascii="Arial" w:hAnsi="Arial" w:cs="Arial"/>
                <w:sz w:val="18"/>
                <w:szCs w:val="18"/>
              </w:rPr>
              <w:t xml:space="preserve">-2,6 </w:t>
            </w:r>
          </w:p>
        </w:tc>
        <w:tc>
          <w:tcPr>
            <w:tcW w:w="726" w:type="dxa"/>
            <w:tcBorders>
              <w:top w:val="nil"/>
              <w:left w:val="nil"/>
              <w:bottom w:val="nil"/>
              <w:right w:val="nil"/>
            </w:tcBorders>
            <w:shd w:val="clear" w:color="auto" w:fill="auto"/>
            <w:noWrap/>
            <w:vAlign w:val="center"/>
          </w:tcPr>
          <w:p w:rsidR="007A49EF" w:rsidRPr="007A49EF" w:rsidRDefault="007A49EF" w:rsidP="007A49EF">
            <w:pPr>
              <w:jc w:val="right"/>
              <w:rPr>
                <w:rFonts w:ascii="Arial" w:hAnsi="Arial" w:cs="Arial"/>
                <w:sz w:val="18"/>
                <w:szCs w:val="18"/>
              </w:rPr>
            </w:pPr>
            <w:r w:rsidRPr="007A49EF">
              <w:rPr>
                <w:rFonts w:ascii="Arial" w:hAnsi="Arial" w:cs="Arial"/>
                <w:sz w:val="18"/>
                <w:szCs w:val="18"/>
              </w:rPr>
              <w:t xml:space="preserve">-1,2 </w:t>
            </w:r>
          </w:p>
        </w:tc>
        <w:tc>
          <w:tcPr>
            <w:tcW w:w="709" w:type="dxa"/>
            <w:tcBorders>
              <w:top w:val="nil"/>
              <w:left w:val="single" w:sz="4" w:space="0" w:color="auto"/>
              <w:bottom w:val="nil"/>
              <w:right w:val="double" w:sz="6" w:space="0" w:color="auto"/>
            </w:tcBorders>
            <w:shd w:val="clear" w:color="auto" w:fill="auto"/>
            <w:noWrap/>
            <w:vAlign w:val="center"/>
          </w:tcPr>
          <w:p w:rsidR="007A49EF" w:rsidRPr="00251317" w:rsidRDefault="007A49EF" w:rsidP="007A49EF">
            <w:pPr>
              <w:jc w:val="right"/>
              <w:rPr>
                <w:rFonts w:ascii="Arial" w:hAnsi="Arial" w:cs="Arial"/>
                <w:sz w:val="18"/>
                <w:szCs w:val="18"/>
              </w:rPr>
            </w:pPr>
            <w:r w:rsidRPr="00251317">
              <w:rPr>
                <w:rFonts w:ascii="Arial" w:hAnsi="Arial" w:cs="Arial"/>
                <w:sz w:val="18"/>
                <w:szCs w:val="18"/>
              </w:rPr>
              <w:t xml:space="preserve">98,8 </w:t>
            </w:r>
          </w:p>
        </w:tc>
      </w:tr>
      <w:tr w:rsidR="007A49EF" w:rsidRPr="00251317" w:rsidTr="007A49EF">
        <w:trPr>
          <w:trHeight w:val="312"/>
        </w:trPr>
        <w:tc>
          <w:tcPr>
            <w:tcW w:w="896" w:type="dxa"/>
            <w:tcBorders>
              <w:top w:val="nil"/>
              <w:left w:val="double" w:sz="6" w:space="0" w:color="auto"/>
              <w:bottom w:val="nil"/>
              <w:right w:val="nil"/>
            </w:tcBorders>
            <w:shd w:val="clear" w:color="auto" w:fill="auto"/>
            <w:noWrap/>
            <w:vAlign w:val="center"/>
          </w:tcPr>
          <w:p w:rsidR="007A49EF" w:rsidRPr="00251317" w:rsidRDefault="007A49EF" w:rsidP="007A49EF">
            <w:pPr>
              <w:jc w:val="center"/>
              <w:rPr>
                <w:rFonts w:ascii="Arial" w:hAnsi="Arial" w:cs="Arial"/>
                <w:sz w:val="18"/>
                <w:szCs w:val="18"/>
              </w:rPr>
            </w:pPr>
            <w:r w:rsidRPr="00251317">
              <w:rPr>
                <w:rFonts w:ascii="Arial" w:hAnsi="Arial" w:cs="Arial"/>
                <w:sz w:val="18"/>
                <w:szCs w:val="18"/>
              </w:rPr>
              <w:t>25 - 39</w:t>
            </w:r>
          </w:p>
        </w:tc>
        <w:tc>
          <w:tcPr>
            <w:tcW w:w="970" w:type="dxa"/>
            <w:tcBorders>
              <w:top w:val="nil"/>
              <w:left w:val="single" w:sz="4" w:space="0" w:color="auto"/>
              <w:bottom w:val="nil"/>
              <w:right w:val="single" w:sz="4" w:space="0" w:color="auto"/>
            </w:tcBorders>
            <w:shd w:val="clear" w:color="auto" w:fill="auto"/>
            <w:noWrap/>
            <w:vAlign w:val="center"/>
          </w:tcPr>
          <w:p w:rsidR="007A49EF" w:rsidRPr="00251317" w:rsidRDefault="007A49EF" w:rsidP="0003143E">
            <w:pPr>
              <w:jc w:val="right"/>
              <w:rPr>
                <w:rFonts w:ascii="Arial" w:hAnsi="Arial" w:cs="Arial"/>
                <w:sz w:val="18"/>
                <w:szCs w:val="18"/>
              </w:rPr>
            </w:pPr>
            <w:r w:rsidRPr="00251317">
              <w:rPr>
                <w:rFonts w:ascii="Arial" w:hAnsi="Arial" w:cs="Arial"/>
                <w:sz w:val="18"/>
                <w:szCs w:val="18"/>
              </w:rPr>
              <w:t>1935,4</w:t>
            </w:r>
          </w:p>
        </w:tc>
        <w:tc>
          <w:tcPr>
            <w:tcW w:w="851" w:type="dxa"/>
            <w:tcBorders>
              <w:top w:val="nil"/>
              <w:left w:val="nil"/>
              <w:bottom w:val="nil"/>
              <w:right w:val="single" w:sz="4" w:space="0" w:color="auto"/>
            </w:tcBorders>
            <w:shd w:val="clear" w:color="auto" w:fill="auto"/>
            <w:noWrap/>
            <w:vAlign w:val="center"/>
          </w:tcPr>
          <w:p w:rsidR="007A49EF" w:rsidRPr="00251317" w:rsidRDefault="007A49EF" w:rsidP="0003143E">
            <w:pPr>
              <w:jc w:val="right"/>
              <w:rPr>
                <w:rFonts w:ascii="Arial" w:hAnsi="Arial" w:cs="Arial"/>
                <w:sz w:val="18"/>
                <w:szCs w:val="18"/>
              </w:rPr>
            </w:pPr>
            <w:r w:rsidRPr="00251317">
              <w:rPr>
                <w:rFonts w:ascii="Arial" w:hAnsi="Arial" w:cs="Arial"/>
                <w:sz w:val="18"/>
                <w:szCs w:val="18"/>
              </w:rPr>
              <w:t>1153,4</w:t>
            </w:r>
          </w:p>
        </w:tc>
        <w:tc>
          <w:tcPr>
            <w:tcW w:w="850" w:type="dxa"/>
            <w:tcBorders>
              <w:top w:val="nil"/>
              <w:left w:val="nil"/>
              <w:bottom w:val="nil"/>
              <w:right w:val="single" w:sz="4" w:space="0" w:color="auto"/>
            </w:tcBorders>
            <w:shd w:val="clear" w:color="auto" w:fill="auto"/>
            <w:noWrap/>
            <w:vAlign w:val="center"/>
          </w:tcPr>
          <w:p w:rsidR="007A49EF" w:rsidRPr="00251317" w:rsidRDefault="007A49EF" w:rsidP="0003143E">
            <w:pPr>
              <w:jc w:val="right"/>
              <w:rPr>
                <w:rFonts w:ascii="Arial" w:hAnsi="Arial" w:cs="Arial"/>
                <w:sz w:val="18"/>
                <w:szCs w:val="18"/>
              </w:rPr>
            </w:pPr>
            <w:r w:rsidRPr="00251317">
              <w:rPr>
                <w:rFonts w:ascii="Arial" w:hAnsi="Arial" w:cs="Arial"/>
                <w:sz w:val="18"/>
                <w:szCs w:val="18"/>
              </w:rPr>
              <w:t>782,0</w:t>
            </w:r>
          </w:p>
        </w:tc>
        <w:tc>
          <w:tcPr>
            <w:tcW w:w="992" w:type="dxa"/>
            <w:tcBorders>
              <w:top w:val="nil"/>
              <w:left w:val="nil"/>
              <w:bottom w:val="nil"/>
              <w:right w:val="single" w:sz="4" w:space="0" w:color="auto"/>
            </w:tcBorders>
            <w:shd w:val="clear" w:color="auto" w:fill="auto"/>
            <w:noWrap/>
            <w:vAlign w:val="center"/>
          </w:tcPr>
          <w:p w:rsidR="007A49EF" w:rsidRPr="00251317" w:rsidRDefault="007A49EF" w:rsidP="0003143E">
            <w:pPr>
              <w:jc w:val="right"/>
              <w:rPr>
                <w:rFonts w:ascii="Arial" w:hAnsi="Arial" w:cs="Arial"/>
                <w:sz w:val="18"/>
                <w:szCs w:val="18"/>
              </w:rPr>
            </w:pPr>
            <w:r w:rsidRPr="00251317">
              <w:rPr>
                <w:rFonts w:ascii="Arial" w:hAnsi="Arial" w:cs="Arial"/>
                <w:sz w:val="18"/>
                <w:szCs w:val="18"/>
              </w:rPr>
              <w:t>1927,6</w:t>
            </w:r>
          </w:p>
        </w:tc>
        <w:tc>
          <w:tcPr>
            <w:tcW w:w="851" w:type="dxa"/>
            <w:tcBorders>
              <w:top w:val="nil"/>
              <w:left w:val="nil"/>
              <w:bottom w:val="nil"/>
              <w:right w:val="single" w:sz="4" w:space="0" w:color="auto"/>
            </w:tcBorders>
            <w:shd w:val="clear" w:color="auto" w:fill="auto"/>
            <w:noWrap/>
            <w:vAlign w:val="center"/>
          </w:tcPr>
          <w:p w:rsidR="007A49EF" w:rsidRPr="00251317" w:rsidRDefault="007A49EF" w:rsidP="0003143E">
            <w:pPr>
              <w:jc w:val="right"/>
              <w:rPr>
                <w:rFonts w:ascii="Arial" w:hAnsi="Arial" w:cs="Arial"/>
                <w:sz w:val="18"/>
                <w:szCs w:val="18"/>
              </w:rPr>
            </w:pPr>
            <w:r w:rsidRPr="00251317">
              <w:rPr>
                <w:rFonts w:ascii="Arial" w:hAnsi="Arial" w:cs="Arial"/>
                <w:sz w:val="18"/>
                <w:szCs w:val="18"/>
              </w:rPr>
              <w:t>1140,0</w:t>
            </w:r>
          </w:p>
        </w:tc>
        <w:tc>
          <w:tcPr>
            <w:tcW w:w="850" w:type="dxa"/>
            <w:tcBorders>
              <w:top w:val="nil"/>
              <w:left w:val="nil"/>
              <w:bottom w:val="nil"/>
              <w:right w:val="nil"/>
            </w:tcBorders>
            <w:shd w:val="clear" w:color="auto" w:fill="auto"/>
            <w:noWrap/>
            <w:vAlign w:val="center"/>
          </w:tcPr>
          <w:p w:rsidR="007A49EF" w:rsidRPr="00251317" w:rsidRDefault="007A49EF" w:rsidP="0003143E">
            <w:pPr>
              <w:jc w:val="right"/>
              <w:rPr>
                <w:rFonts w:ascii="Arial" w:hAnsi="Arial" w:cs="Arial"/>
                <w:sz w:val="18"/>
                <w:szCs w:val="18"/>
              </w:rPr>
            </w:pPr>
            <w:r w:rsidRPr="00251317">
              <w:rPr>
                <w:rFonts w:ascii="Arial" w:hAnsi="Arial" w:cs="Arial"/>
                <w:sz w:val="18"/>
                <w:szCs w:val="18"/>
              </w:rPr>
              <w:t>787,7</w:t>
            </w:r>
          </w:p>
        </w:tc>
        <w:tc>
          <w:tcPr>
            <w:tcW w:w="851" w:type="dxa"/>
            <w:tcBorders>
              <w:top w:val="nil"/>
              <w:left w:val="single" w:sz="4" w:space="0" w:color="auto"/>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18"/>
                <w:szCs w:val="18"/>
              </w:rPr>
            </w:pPr>
            <w:r w:rsidRPr="007A49EF">
              <w:rPr>
                <w:rFonts w:ascii="Arial" w:hAnsi="Arial" w:cs="Arial"/>
                <w:sz w:val="18"/>
                <w:szCs w:val="18"/>
              </w:rPr>
              <w:t xml:space="preserve">-7,8 </w:t>
            </w:r>
          </w:p>
        </w:tc>
        <w:tc>
          <w:tcPr>
            <w:tcW w:w="709"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18"/>
                <w:szCs w:val="18"/>
              </w:rPr>
            </w:pPr>
            <w:r w:rsidRPr="007A49EF">
              <w:rPr>
                <w:rFonts w:ascii="Arial" w:hAnsi="Arial" w:cs="Arial"/>
                <w:sz w:val="18"/>
                <w:szCs w:val="18"/>
              </w:rPr>
              <w:t xml:space="preserve">-13,4 </w:t>
            </w:r>
          </w:p>
        </w:tc>
        <w:tc>
          <w:tcPr>
            <w:tcW w:w="726" w:type="dxa"/>
            <w:tcBorders>
              <w:top w:val="nil"/>
              <w:left w:val="nil"/>
              <w:bottom w:val="nil"/>
              <w:right w:val="nil"/>
            </w:tcBorders>
            <w:shd w:val="clear" w:color="auto" w:fill="auto"/>
            <w:noWrap/>
            <w:vAlign w:val="center"/>
          </w:tcPr>
          <w:p w:rsidR="007A49EF" w:rsidRPr="007A49EF" w:rsidRDefault="007A49EF" w:rsidP="007A49EF">
            <w:pPr>
              <w:jc w:val="right"/>
              <w:rPr>
                <w:rFonts w:ascii="Arial" w:hAnsi="Arial" w:cs="Arial"/>
                <w:sz w:val="18"/>
                <w:szCs w:val="18"/>
              </w:rPr>
            </w:pPr>
            <w:r w:rsidRPr="007A49EF">
              <w:rPr>
                <w:rFonts w:ascii="Arial" w:hAnsi="Arial" w:cs="Arial"/>
                <w:sz w:val="18"/>
                <w:szCs w:val="18"/>
              </w:rPr>
              <w:t xml:space="preserve">5,7 </w:t>
            </w:r>
          </w:p>
        </w:tc>
        <w:tc>
          <w:tcPr>
            <w:tcW w:w="709" w:type="dxa"/>
            <w:tcBorders>
              <w:top w:val="nil"/>
              <w:left w:val="single" w:sz="4" w:space="0" w:color="auto"/>
              <w:bottom w:val="nil"/>
              <w:right w:val="double" w:sz="6" w:space="0" w:color="auto"/>
            </w:tcBorders>
            <w:shd w:val="clear" w:color="auto" w:fill="auto"/>
            <w:noWrap/>
            <w:vAlign w:val="center"/>
          </w:tcPr>
          <w:p w:rsidR="007A49EF" w:rsidRPr="00251317" w:rsidRDefault="007A49EF" w:rsidP="007A49EF">
            <w:pPr>
              <w:jc w:val="right"/>
              <w:rPr>
                <w:rFonts w:ascii="Arial" w:hAnsi="Arial" w:cs="Arial"/>
                <w:sz w:val="18"/>
                <w:szCs w:val="18"/>
              </w:rPr>
            </w:pPr>
            <w:r w:rsidRPr="00251317">
              <w:rPr>
                <w:rFonts w:ascii="Arial" w:hAnsi="Arial" w:cs="Arial"/>
                <w:sz w:val="18"/>
                <w:szCs w:val="18"/>
              </w:rPr>
              <w:t xml:space="preserve">99,6 </w:t>
            </w:r>
          </w:p>
        </w:tc>
      </w:tr>
      <w:tr w:rsidR="007A49EF" w:rsidRPr="00251317" w:rsidTr="007A49EF">
        <w:trPr>
          <w:trHeight w:val="312"/>
        </w:trPr>
        <w:tc>
          <w:tcPr>
            <w:tcW w:w="896" w:type="dxa"/>
            <w:tcBorders>
              <w:top w:val="nil"/>
              <w:left w:val="double" w:sz="6" w:space="0" w:color="auto"/>
              <w:bottom w:val="nil"/>
              <w:right w:val="nil"/>
            </w:tcBorders>
            <w:shd w:val="clear" w:color="auto" w:fill="auto"/>
            <w:noWrap/>
            <w:vAlign w:val="center"/>
          </w:tcPr>
          <w:p w:rsidR="007A49EF" w:rsidRPr="00251317" w:rsidRDefault="007A49EF" w:rsidP="007A49EF">
            <w:pPr>
              <w:jc w:val="center"/>
              <w:rPr>
                <w:rFonts w:ascii="Arial" w:hAnsi="Arial" w:cs="Arial"/>
                <w:sz w:val="18"/>
                <w:szCs w:val="18"/>
              </w:rPr>
            </w:pPr>
            <w:r w:rsidRPr="00251317">
              <w:rPr>
                <w:rFonts w:ascii="Arial" w:hAnsi="Arial" w:cs="Arial"/>
                <w:sz w:val="18"/>
                <w:szCs w:val="18"/>
              </w:rPr>
              <w:t>40 - 54</w:t>
            </w:r>
          </w:p>
        </w:tc>
        <w:tc>
          <w:tcPr>
            <w:tcW w:w="970" w:type="dxa"/>
            <w:tcBorders>
              <w:top w:val="nil"/>
              <w:left w:val="single" w:sz="4" w:space="0" w:color="auto"/>
              <w:bottom w:val="nil"/>
              <w:right w:val="single" w:sz="4" w:space="0" w:color="auto"/>
            </w:tcBorders>
            <w:shd w:val="clear" w:color="auto" w:fill="auto"/>
            <w:noWrap/>
            <w:vAlign w:val="center"/>
          </w:tcPr>
          <w:p w:rsidR="007A49EF" w:rsidRPr="00251317" w:rsidRDefault="007A49EF" w:rsidP="0003143E">
            <w:pPr>
              <w:jc w:val="right"/>
              <w:rPr>
                <w:rFonts w:ascii="Arial" w:hAnsi="Arial" w:cs="Arial"/>
                <w:sz w:val="18"/>
                <w:szCs w:val="18"/>
              </w:rPr>
            </w:pPr>
            <w:r w:rsidRPr="00251317">
              <w:rPr>
                <w:rFonts w:ascii="Arial" w:hAnsi="Arial" w:cs="Arial"/>
                <w:sz w:val="18"/>
                <w:szCs w:val="18"/>
              </w:rPr>
              <w:t>1836,6</w:t>
            </w:r>
          </w:p>
        </w:tc>
        <w:tc>
          <w:tcPr>
            <w:tcW w:w="851" w:type="dxa"/>
            <w:tcBorders>
              <w:top w:val="nil"/>
              <w:left w:val="nil"/>
              <w:bottom w:val="nil"/>
              <w:right w:val="single" w:sz="4" w:space="0" w:color="auto"/>
            </w:tcBorders>
            <w:shd w:val="clear" w:color="auto" w:fill="auto"/>
            <w:noWrap/>
            <w:vAlign w:val="center"/>
          </w:tcPr>
          <w:p w:rsidR="007A49EF" w:rsidRPr="00251317" w:rsidRDefault="007A49EF" w:rsidP="0003143E">
            <w:pPr>
              <w:jc w:val="right"/>
              <w:rPr>
                <w:rFonts w:ascii="Arial" w:hAnsi="Arial" w:cs="Arial"/>
                <w:sz w:val="18"/>
                <w:szCs w:val="18"/>
              </w:rPr>
            </w:pPr>
            <w:r w:rsidRPr="00251317">
              <w:rPr>
                <w:rFonts w:ascii="Arial" w:hAnsi="Arial" w:cs="Arial"/>
                <w:sz w:val="18"/>
                <w:szCs w:val="18"/>
              </w:rPr>
              <w:t>965,9</w:t>
            </w:r>
          </w:p>
        </w:tc>
        <w:tc>
          <w:tcPr>
            <w:tcW w:w="850" w:type="dxa"/>
            <w:tcBorders>
              <w:top w:val="nil"/>
              <w:left w:val="nil"/>
              <w:bottom w:val="nil"/>
              <w:right w:val="single" w:sz="4" w:space="0" w:color="auto"/>
            </w:tcBorders>
            <w:shd w:val="clear" w:color="auto" w:fill="auto"/>
            <w:noWrap/>
            <w:vAlign w:val="center"/>
          </w:tcPr>
          <w:p w:rsidR="007A49EF" w:rsidRPr="00251317" w:rsidRDefault="007A49EF" w:rsidP="0003143E">
            <w:pPr>
              <w:jc w:val="right"/>
              <w:rPr>
                <w:rFonts w:ascii="Arial" w:hAnsi="Arial" w:cs="Arial"/>
                <w:sz w:val="18"/>
                <w:szCs w:val="18"/>
              </w:rPr>
            </w:pPr>
            <w:r w:rsidRPr="00251317">
              <w:rPr>
                <w:rFonts w:ascii="Arial" w:hAnsi="Arial" w:cs="Arial"/>
                <w:sz w:val="18"/>
                <w:szCs w:val="18"/>
              </w:rPr>
              <w:t>870,7</w:t>
            </w:r>
          </w:p>
        </w:tc>
        <w:tc>
          <w:tcPr>
            <w:tcW w:w="992" w:type="dxa"/>
            <w:tcBorders>
              <w:top w:val="nil"/>
              <w:left w:val="nil"/>
              <w:bottom w:val="nil"/>
              <w:right w:val="single" w:sz="4" w:space="0" w:color="auto"/>
            </w:tcBorders>
            <w:shd w:val="clear" w:color="auto" w:fill="auto"/>
            <w:noWrap/>
            <w:vAlign w:val="center"/>
          </w:tcPr>
          <w:p w:rsidR="007A49EF" w:rsidRPr="00251317" w:rsidRDefault="007A49EF" w:rsidP="0003143E">
            <w:pPr>
              <w:jc w:val="right"/>
              <w:rPr>
                <w:rFonts w:ascii="Arial" w:hAnsi="Arial" w:cs="Arial"/>
                <w:sz w:val="18"/>
                <w:szCs w:val="18"/>
              </w:rPr>
            </w:pPr>
            <w:r w:rsidRPr="00251317">
              <w:rPr>
                <w:rFonts w:ascii="Arial" w:hAnsi="Arial" w:cs="Arial"/>
                <w:sz w:val="18"/>
                <w:szCs w:val="18"/>
              </w:rPr>
              <w:t>1867,4</w:t>
            </w:r>
          </w:p>
        </w:tc>
        <w:tc>
          <w:tcPr>
            <w:tcW w:w="851" w:type="dxa"/>
            <w:tcBorders>
              <w:top w:val="nil"/>
              <w:left w:val="nil"/>
              <w:bottom w:val="nil"/>
              <w:right w:val="single" w:sz="4" w:space="0" w:color="auto"/>
            </w:tcBorders>
            <w:shd w:val="clear" w:color="auto" w:fill="auto"/>
            <w:noWrap/>
            <w:vAlign w:val="center"/>
          </w:tcPr>
          <w:p w:rsidR="007A49EF" w:rsidRPr="00251317" w:rsidRDefault="007A49EF" w:rsidP="0003143E">
            <w:pPr>
              <w:jc w:val="right"/>
              <w:rPr>
                <w:rFonts w:ascii="Arial" w:hAnsi="Arial" w:cs="Arial"/>
                <w:sz w:val="18"/>
                <w:szCs w:val="18"/>
              </w:rPr>
            </w:pPr>
            <w:r w:rsidRPr="00251317">
              <w:rPr>
                <w:rFonts w:ascii="Arial" w:hAnsi="Arial" w:cs="Arial"/>
                <w:sz w:val="18"/>
                <w:szCs w:val="18"/>
              </w:rPr>
              <w:t>983,1</w:t>
            </w:r>
          </w:p>
        </w:tc>
        <w:tc>
          <w:tcPr>
            <w:tcW w:w="850" w:type="dxa"/>
            <w:tcBorders>
              <w:top w:val="nil"/>
              <w:left w:val="nil"/>
              <w:bottom w:val="nil"/>
              <w:right w:val="nil"/>
            </w:tcBorders>
            <w:shd w:val="clear" w:color="auto" w:fill="auto"/>
            <w:noWrap/>
            <w:vAlign w:val="center"/>
          </w:tcPr>
          <w:p w:rsidR="007A49EF" w:rsidRPr="00251317" w:rsidRDefault="007A49EF" w:rsidP="0003143E">
            <w:pPr>
              <w:jc w:val="right"/>
              <w:rPr>
                <w:rFonts w:ascii="Arial" w:hAnsi="Arial" w:cs="Arial"/>
                <w:sz w:val="18"/>
                <w:szCs w:val="18"/>
              </w:rPr>
            </w:pPr>
            <w:r w:rsidRPr="00251317">
              <w:rPr>
                <w:rFonts w:ascii="Arial" w:hAnsi="Arial" w:cs="Arial"/>
                <w:sz w:val="18"/>
                <w:szCs w:val="18"/>
              </w:rPr>
              <w:t>884,3</w:t>
            </w:r>
          </w:p>
        </w:tc>
        <w:tc>
          <w:tcPr>
            <w:tcW w:w="851" w:type="dxa"/>
            <w:tcBorders>
              <w:top w:val="nil"/>
              <w:left w:val="single" w:sz="4" w:space="0" w:color="auto"/>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18"/>
                <w:szCs w:val="18"/>
              </w:rPr>
            </w:pPr>
            <w:r w:rsidRPr="007A49EF">
              <w:rPr>
                <w:rFonts w:ascii="Arial" w:hAnsi="Arial" w:cs="Arial"/>
                <w:sz w:val="18"/>
                <w:szCs w:val="18"/>
              </w:rPr>
              <w:t xml:space="preserve">30,8 </w:t>
            </w:r>
          </w:p>
        </w:tc>
        <w:tc>
          <w:tcPr>
            <w:tcW w:w="709"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18"/>
                <w:szCs w:val="18"/>
              </w:rPr>
            </w:pPr>
            <w:r w:rsidRPr="007A49EF">
              <w:rPr>
                <w:rFonts w:ascii="Arial" w:hAnsi="Arial" w:cs="Arial"/>
                <w:sz w:val="18"/>
                <w:szCs w:val="18"/>
              </w:rPr>
              <w:t xml:space="preserve">17,2 </w:t>
            </w:r>
          </w:p>
        </w:tc>
        <w:tc>
          <w:tcPr>
            <w:tcW w:w="726" w:type="dxa"/>
            <w:tcBorders>
              <w:top w:val="nil"/>
              <w:left w:val="nil"/>
              <w:bottom w:val="nil"/>
              <w:right w:val="nil"/>
            </w:tcBorders>
            <w:shd w:val="clear" w:color="auto" w:fill="auto"/>
            <w:noWrap/>
            <w:vAlign w:val="center"/>
          </w:tcPr>
          <w:p w:rsidR="007A49EF" w:rsidRPr="007A49EF" w:rsidRDefault="007A49EF" w:rsidP="007A49EF">
            <w:pPr>
              <w:jc w:val="right"/>
              <w:rPr>
                <w:rFonts w:ascii="Arial" w:hAnsi="Arial" w:cs="Arial"/>
                <w:sz w:val="18"/>
                <w:szCs w:val="18"/>
              </w:rPr>
            </w:pPr>
            <w:r w:rsidRPr="007A49EF">
              <w:rPr>
                <w:rFonts w:ascii="Arial" w:hAnsi="Arial" w:cs="Arial"/>
                <w:sz w:val="18"/>
                <w:szCs w:val="18"/>
              </w:rPr>
              <w:t xml:space="preserve">13,6 </w:t>
            </w:r>
          </w:p>
        </w:tc>
        <w:tc>
          <w:tcPr>
            <w:tcW w:w="709" w:type="dxa"/>
            <w:tcBorders>
              <w:top w:val="nil"/>
              <w:left w:val="single" w:sz="4" w:space="0" w:color="auto"/>
              <w:bottom w:val="nil"/>
              <w:right w:val="double" w:sz="6" w:space="0" w:color="auto"/>
            </w:tcBorders>
            <w:shd w:val="clear" w:color="auto" w:fill="auto"/>
            <w:noWrap/>
            <w:vAlign w:val="center"/>
          </w:tcPr>
          <w:p w:rsidR="007A49EF" w:rsidRPr="00251317" w:rsidRDefault="007A49EF" w:rsidP="007A49EF">
            <w:pPr>
              <w:jc w:val="right"/>
              <w:rPr>
                <w:rFonts w:ascii="Arial" w:hAnsi="Arial" w:cs="Arial"/>
                <w:sz w:val="18"/>
                <w:szCs w:val="18"/>
              </w:rPr>
            </w:pPr>
            <w:r w:rsidRPr="00251317">
              <w:rPr>
                <w:rFonts w:ascii="Arial" w:hAnsi="Arial" w:cs="Arial"/>
                <w:sz w:val="18"/>
                <w:szCs w:val="18"/>
              </w:rPr>
              <w:t xml:space="preserve">101,7 </w:t>
            </w:r>
          </w:p>
        </w:tc>
      </w:tr>
      <w:tr w:rsidR="007A49EF" w:rsidRPr="00251317" w:rsidTr="007A49EF">
        <w:trPr>
          <w:trHeight w:val="312"/>
        </w:trPr>
        <w:tc>
          <w:tcPr>
            <w:tcW w:w="896" w:type="dxa"/>
            <w:tcBorders>
              <w:top w:val="nil"/>
              <w:left w:val="double" w:sz="6" w:space="0" w:color="auto"/>
              <w:bottom w:val="nil"/>
              <w:right w:val="nil"/>
            </w:tcBorders>
            <w:shd w:val="clear" w:color="auto" w:fill="auto"/>
            <w:noWrap/>
            <w:vAlign w:val="center"/>
          </w:tcPr>
          <w:p w:rsidR="007A49EF" w:rsidRPr="00251317" w:rsidRDefault="007A49EF" w:rsidP="007A49EF">
            <w:pPr>
              <w:jc w:val="center"/>
              <w:rPr>
                <w:rFonts w:ascii="Arial" w:hAnsi="Arial" w:cs="Arial"/>
                <w:sz w:val="18"/>
                <w:szCs w:val="18"/>
              </w:rPr>
            </w:pPr>
            <w:r w:rsidRPr="00251317">
              <w:rPr>
                <w:rFonts w:ascii="Arial" w:hAnsi="Arial" w:cs="Arial"/>
                <w:sz w:val="18"/>
                <w:szCs w:val="18"/>
              </w:rPr>
              <w:t>55 - 64</w:t>
            </w:r>
          </w:p>
        </w:tc>
        <w:tc>
          <w:tcPr>
            <w:tcW w:w="970" w:type="dxa"/>
            <w:tcBorders>
              <w:top w:val="nil"/>
              <w:left w:val="single" w:sz="4" w:space="0" w:color="auto"/>
              <w:bottom w:val="nil"/>
              <w:right w:val="single" w:sz="4" w:space="0" w:color="auto"/>
            </w:tcBorders>
            <w:shd w:val="clear" w:color="auto" w:fill="auto"/>
            <w:noWrap/>
            <w:vAlign w:val="center"/>
          </w:tcPr>
          <w:p w:rsidR="007A49EF" w:rsidRPr="00251317" w:rsidRDefault="007A49EF" w:rsidP="0003143E">
            <w:pPr>
              <w:jc w:val="right"/>
              <w:rPr>
                <w:rFonts w:ascii="Arial" w:hAnsi="Arial" w:cs="Arial"/>
                <w:sz w:val="18"/>
                <w:szCs w:val="18"/>
              </w:rPr>
            </w:pPr>
            <w:r w:rsidRPr="00251317">
              <w:rPr>
                <w:rFonts w:ascii="Arial" w:hAnsi="Arial" w:cs="Arial"/>
                <w:sz w:val="18"/>
                <w:szCs w:val="18"/>
              </w:rPr>
              <w:t>717,7</w:t>
            </w:r>
          </w:p>
        </w:tc>
        <w:tc>
          <w:tcPr>
            <w:tcW w:w="851" w:type="dxa"/>
            <w:tcBorders>
              <w:top w:val="nil"/>
              <w:left w:val="nil"/>
              <w:bottom w:val="nil"/>
              <w:right w:val="single" w:sz="4" w:space="0" w:color="auto"/>
            </w:tcBorders>
            <w:shd w:val="clear" w:color="auto" w:fill="auto"/>
            <w:noWrap/>
            <w:vAlign w:val="center"/>
          </w:tcPr>
          <w:p w:rsidR="007A49EF" w:rsidRPr="00251317" w:rsidRDefault="007A49EF" w:rsidP="0003143E">
            <w:pPr>
              <w:jc w:val="right"/>
              <w:rPr>
                <w:rFonts w:ascii="Arial" w:hAnsi="Arial" w:cs="Arial"/>
                <w:sz w:val="18"/>
                <w:szCs w:val="18"/>
              </w:rPr>
            </w:pPr>
            <w:r w:rsidRPr="00251317">
              <w:rPr>
                <w:rFonts w:ascii="Arial" w:hAnsi="Arial" w:cs="Arial"/>
                <w:sz w:val="18"/>
                <w:szCs w:val="18"/>
              </w:rPr>
              <w:t>423,5</w:t>
            </w:r>
          </w:p>
        </w:tc>
        <w:tc>
          <w:tcPr>
            <w:tcW w:w="850" w:type="dxa"/>
            <w:tcBorders>
              <w:top w:val="nil"/>
              <w:left w:val="nil"/>
              <w:bottom w:val="nil"/>
              <w:right w:val="single" w:sz="4" w:space="0" w:color="auto"/>
            </w:tcBorders>
            <w:shd w:val="clear" w:color="auto" w:fill="auto"/>
            <w:noWrap/>
            <w:vAlign w:val="center"/>
          </w:tcPr>
          <w:p w:rsidR="007A49EF" w:rsidRPr="00251317" w:rsidRDefault="007A49EF" w:rsidP="0003143E">
            <w:pPr>
              <w:jc w:val="right"/>
              <w:rPr>
                <w:rFonts w:ascii="Arial" w:hAnsi="Arial" w:cs="Arial"/>
                <w:sz w:val="18"/>
                <w:szCs w:val="18"/>
              </w:rPr>
            </w:pPr>
            <w:r w:rsidRPr="00251317">
              <w:rPr>
                <w:rFonts w:ascii="Arial" w:hAnsi="Arial" w:cs="Arial"/>
                <w:sz w:val="18"/>
                <w:szCs w:val="18"/>
              </w:rPr>
              <w:t>294,1</w:t>
            </w:r>
          </w:p>
        </w:tc>
        <w:tc>
          <w:tcPr>
            <w:tcW w:w="992" w:type="dxa"/>
            <w:tcBorders>
              <w:top w:val="nil"/>
              <w:left w:val="nil"/>
              <w:bottom w:val="nil"/>
              <w:right w:val="single" w:sz="4" w:space="0" w:color="auto"/>
            </w:tcBorders>
            <w:shd w:val="clear" w:color="auto" w:fill="auto"/>
            <w:noWrap/>
            <w:vAlign w:val="center"/>
          </w:tcPr>
          <w:p w:rsidR="007A49EF" w:rsidRPr="00251317" w:rsidRDefault="007A49EF" w:rsidP="0003143E">
            <w:pPr>
              <w:jc w:val="right"/>
              <w:rPr>
                <w:rFonts w:ascii="Arial" w:hAnsi="Arial" w:cs="Arial"/>
                <w:sz w:val="18"/>
                <w:szCs w:val="18"/>
              </w:rPr>
            </w:pPr>
            <w:r w:rsidRPr="00251317">
              <w:rPr>
                <w:rFonts w:ascii="Arial" w:hAnsi="Arial" w:cs="Arial"/>
                <w:sz w:val="18"/>
                <w:szCs w:val="18"/>
              </w:rPr>
              <w:t>742,5</w:t>
            </w:r>
          </w:p>
        </w:tc>
        <w:tc>
          <w:tcPr>
            <w:tcW w:w="851" w:type="dxa"/>
            <w:tcBorders>
              <w:top w:val="nil"/>
              <w:left w:val="nil"/>
              <w:bottom w:val="nil"/>
              <w:right w:val="single" w:sz="4" w:space="0" w:color="auto"/>
            </w:tcBorders>
            <w:shd w:val="clear" w:color="auto" w:fill="auto"/>
            <w:noWrap/>
            <w:vAlign w:val="center"/>
          </w:tcPr>
          <w:p w:rsidR="007A49EF" w:rsidRPr="00251317" w:rsidRDefault="007A49EF" w:rsidP="0003143E">
            <w:pPr>
              <w:jc w:val="right"/>
              <w:rPr>
                <w:rFonts w:ascii="Arial" w:hAnsi="Arial" w:cs="Arial"/>
                <w:sz w:val="18"/>
                <w:szCs w:val="18"/>
              </w:rPr>
            </w:pPr>
            <w:r w:rsidRPr="00251317">
              <w:rPr>
                <w:rFonts w:ascii="Arial" w:hAnsi="Arial" w:cs="Arial"/>
                <w:sz w:val="18"/>
                <w:szCs w:val="18"/>
              </w:rPr>
              <w:t>436,2</w:t>
            </w:r>
          </w:p>
        </w:tc>
        <w:tc>
          <w:tcPr>
            <w:tcW w:w="850" w:type="dxa"/>
            <w:tcBorders>
              <w:top w:val="nil"/>
              <w:left w:val="nil"/>
              <w:bottom w:val="nil"/>
              <w:right w:val="nil"/>
            </w:tcBorders>
            <w:shd w:val="clear" w:color="auto" w:fill="auto"/>
            <w:noWrap/>
            <w:vAlign w:val="center"/>
          </w:tcPr>
          <w:p w:rsidR="007A49EF" w:rsidRPr="00251317" w:rsidRDefault="007A49EF" w:rsidP="0003143E">
            <w:pPr>
              <w:jc w:val="right"/>
              <w:rPr>
                <w:rFonts w:ascii="Arial" w:hAnsi="Arial" w:cs="Arial"/>
                <w:sz w:val="18"/>
                <w:szCs w:val="18"/>
              </w:rPr>
            </w:pPr>
            <w:r w:rsidRPr="00251317">
              <w:rPr>
                <w:rFonts w:ascii="Arial" w:hAnsi="Arial" w:cs="Arial"/>
                <w:sz w:val="18"/>
                <w:szCs w:val="18"/>
              </w:rPr>
              <w:t>306,4</w:t>
            </w:r>
          </w:p>
        </w:tc>
        <w:tc>
          <w:tcPr>
            <w:tcW w:w="851" w:type="dxa"/>
            <w:tcBorders>
              <w:top w:val="nil"/>
              <w:left w:val="single" w:sz="4" w:space="0" w:color="auto"/>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18"/>
                <w:szCs w:val="18"/>
              </w:rPr>
            </w:pPr>
            <w:r w:rsidRPr="007A49EF">
              <w:rPr>
                <w:rFonts w:ascii="Arial" w:hAnsi="Arial" w:cs="Arial"/>
                <w:sz w:val="18"/>
                <w:szCs w:val="18"/>
              </w:rPr>
              <w:t xml:space="preserve">24,8 </w:t>
            </w:r>
          </w:p>
        </w:tc>
        <w:tc>
          <w:tcPr>
            <w:tcW w:w="709"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18"/>
                <w:szCs w:val="18"/>
              </w:rPr>
            </w:pPr>
            <w:r w:rsidRPr="007A49EF">
              <w:rPr>
                <w:rFonts w:ascii="Arial" w:hAnsi="Arial" w:cs="Arial"/>
                <w:sz w:val="18"/>
                <w:szCs w:val="18"/>
              </w:rPr>
              <w:t xml:space="preserve">12,7 </w:t>
            </w:r>
          </w:p>
        </w:tc>
        <w:tc>
          <w:tcPr>
            <w:tcW w:w="726" w:type="dxa"/>
            <w:tcBorders>
              <w:top w:val="nil"/>
              <w:left w:val="nil"/>
              <w:bottom w:val="nil"/>
              <w:right w:val="nil"/>
            </w:tcBorders>
            <w:shd w:val="clear" w:color="auto" w:fill="auto"/>
            <w:noWrap/>
            <w:vAlign w:val="center"/>
          </w:tcPr>
          <w:p w:rsidR="007A49EF" w:rsidRPr="007A49EF" w:rsidRDefault="007A49EF" w:rsidP="007A49EF">
            <w:pPr>
              <w:jc w:val="right"/>
              <w:rPr>
                <w:rFonts w:ascii="Arial" w:hAnsi="Arial" w:cs="Arial"/>
                <w:sz w:val="18"/>
                <w:szCs w:val="18"/>
              </w:rPr>
            </w:pPr>
            <w:r w:rsidRPr="007A49EF">
              <w:rPr>
                <w:rFonts w:ascii="Arial" w:hAnsi="Arial" w:cs="Arial"/>
                <w:sz w:val="18"/>
                <w:szCs w:val="18"/>
              </w:rPr>
              <w:t xml:space="preserve">12,3 </w:t>
            </w:r>
          </w:p>
        </w:tc>
        <w:tc>
          <w:tcPr>
            <w:tcW w:w="709" w:type="dxa"/>
            <w:tcBorders>
              <w:top w:val="nil"/>
              <w:left w:val="single" w:sz="4" w:space="0" w:color="auto"/>
              <w:bottom w:val="nil"/>
              <w:right w:val="double" w:sz="6" w:space="0" w:color="auto"/>
            </w:tcBorders>
            <w:shd w:val="clear" w:color="auto" w:fill="auto"/>
            <w:noWrap/>
            <w:vAlign w:val="center"/>
          </w:tcPr>
          <w:p w:rsidR="007A49EF" w:rsidRPr="00251317" w:rsidRDefault="007A49EF" w:rsidP="007A49EF">
            <w:pPr>
              <w:jc w:val="right"/>
              <w:rPr>
                <w:rFonts w:ascii="Arial" w:hAnsi="Arial" w:cs="Arial"/>
                <w:sz w:val="18"/>
                <w:szCs w:val="18"/>
              </w:rPr>
            </w:pPr>
            <w:r w:rsidRPr="00251317">
              <w:rPr>
                <w:rFonts w:ascii="Arial" w:hAnsi="Arial" w:cs="Arial"/>
                <w:sz w:val="18"/>
                <w:szCs w:val="18"/>
              </w:rPr>
              <w:t xml:space="preserve">103,5 </w:t>
            </w:r>
          </w:p>
        </w:tc>
      </w:tr>
      <w:tr w:rsidR="007A49EF" w:rsidRPr="00251317" w:rsidTr="007A49EF">
        <w:trPr>
          <w:trHeight w:val="312"/>
        </w:trPr>
        <w:tc>
          <w:tcPr>
            <w:tcW w:w="896" w:type="dxa"/>
            <w:tcBorders>
              <w:top w:val="nil"/>
              <w:left w:val="double" w:sz="6" w:space="0" w:color="auto"/>
              <w:bottom w:val="single" w:sz="4" w:space="0" w:color="auto"/>
              <w:right w:val="nil"/>
            </w:tcBorders>
            <w:shd w:val="clear" w:color="auto" w:fill="auto"/>
            <w:noWrap/>
            <w:vAlign w:val="center"/>
          </w:tcPr>
          <w:p w:rsidR="007A49EF" w:rsidRPr="00251317" w:rsidRDefault="007A49EF" w:rsidP="007A49EF">
            <w:pPr>
              <w:jc w:val="center"/>
              <w:rPr>
                <w:rFonts w:ascii="Arial" w:hAnsi="Arial" w:cs="Arial"/>
                <w:sz w:val="18"/>
                <w:szCs w:val="18"/>
              </w:rPr>
            </w:pPr>
            <w:r w:rsidRPr="00251317">
              <w:rPr>
                <w:rFonts w:ascii="Arial" w:hAnsi="Arial" w:cs="Arial"/>
                <w:sz w:val="18"/>
                <w:szCs w:val="18"/>
              </w:rPr>
              <w:t>65+</w:t>
            </w:r>
          </w:p>
        </w:tc>
        <w:tc>
          <w:tcPr>
            <w:tcW w:w="970" w:type="dxa"/>
            <w:tcBorders>
              <w:top w:val="nil"/>
              <w:left w:val="single" w:sz="4" w:space="0" w:color="auto"/>
              <w:bottom w:val="single" w:sz="4" w:space="0" w:color="auto"/>
              <w:right w:val="single" w:sz="4" w:space="0" w:color="auto"/>
            </w:tcBorders>
            <w:shd w:val="clear" w:color="auto" w:fill="auto"/>
            <w:noWrap/>
            <w:vAlign w:val="center"/>
          </w:tcPr>
          <w:p w:rsidR="007A49EF" w:rsidRPr="00251317" w:rsidRDefault="007A49EF" w:rsidP="0003143E">
            <w:pPr>
              <w:jc w:val="right"/>
              <w:rPr>
                <w:rFonts w:ascii="Arial" w:hAnsi="Arial" w:cs="Arial"/>
                <w:sz w:val="18"/>
                <w:szCs w:val="18"/>
              </w:rPr>
            </w:pPr>
            <w:r w:rsidRPr="00251317">
              <w:rPr>
                <w:rFonts w:ascii="Arial" w:hAnsi="Arial" w:cs="Arial"/>
                <w:sz w:val="18"/>
                <w:szCs w:val="18"/>
              </w:rPr>
              <w:t>75,9</w:t>
            </w:r>
          </w:p>
        </w:tc>
        <w:tc>
          <w:tcPr>
            <w:tcW w:w="851" w:type="dxa"/>
            <w:tcBorders>
              <w:top w:val="nil"/>
              <w:left w:val="nil"/>
              <w:bottom w:val="single" w:sz="4" w:space="0" w:color="auto"/>
              <w:right w:val="single" w:sz="4" w:space="0" w:color="auto"/>
            </w:tcBorders>
            <w:shd w:val="clear" w:color="auto" w:fill="auto"/>
            <w:noWrap/>
            <w:vAlign w:val="center"/>
          </w:tcPr>
          <w:p w:rsidR="007A49EF" w:rsidRPr="00251317" w:rsidRDefault="007A49EF" w:rsidP="0003143E">
            <w:pPr>
              <w:jc w:val="right"/>
              <w:rPr>
                <w:rFonts w:ascii="Arial" w:hAnsi="Arial" w:cs="Arial"/>
                <w:sz w:val="18"/>
                <w:szCs w:val="18"/>
              </w:rPr>
            </w:pPr>
            <w:r w:rsidRPr="00251317">
              <w:rPr>
                <w:rFonts w:ascii="Arial" w:hAnsi="Arial" w:cs="Arial"/>
                <w:sz w:val="18"/>
                <w:szCs w:val="18"/>
              </w:rPr>
              <w:t>44,3</w:t>
            </w:r>
          </w:p>
        </w:tc>
        <w:tc>
          <w:tcPr>
            <w:tcW w:w="850" w:type="dxa"/>
            <w:tcBorders>
              <w:top w:val="nil"/>
              <w:left w:val="nil"/>
              <w:bottom w:val="single" w:sz="4" w:space="0" w:color="auto"/>
              <w:right w:val="single" w:sz="4" w:space="0" w:color="auto"/>
            </w:tcBorders>
            <w:shd w:val="clear" w:color="auto" w:fill="auto"/>
            <w:noWrap/>
            <w:vAlign w:val="center"/>
          </w:tcPr>
          <w:p w:rsidR="007A49EF" w:rsidRPr="00251317" w:rsidRDefault="007A49EF" w:rsidP="0003143E">
            <w:pPr>
              <w:jc w:val="right"/>
              <w:rPr>
                <w:rFonts w:ascii="Arial" w:hAnsi="Arial" w:cs="Arial"/>
                <w:sz w:val="18"/>
                <w:szCs w:val="18"/>
              </w:rPr>
            </w:pPr>
            <w:r w:rsidRPr="00251317">
              <w:rPr>
                <w:rFonts w:ascii="Arial" w:hAnsi="Arial" w:cs="Arial"/>
                <w:sz w:val="18"/>
                <w:szCs w:val="18"/>
              </w:rPr>
              <w:t>31,5</w:t>
            </w:r>
          </w:p>
        </w:tc>
        <w:tc>
          <w:tcPr>
            <w:tcW w:w="992" w:type="dxa"/>
            <w:tcBorders>
              <w:top w:val="nil"/>
              <w:left w:val="nil"/>
              <w:bottom w:val="single" w:sz="4" w:space="0" w:color="auto"/>
              <w:right w:val="single" w:sz="4" w:space="0" w:color="auto"/>
            </w:tcBorders>
            <w:shd w:val="clear" w:color="auto" w:fill="auto"/>
            <w:noWrap/>
            <w:vAlign w:val="center"/>
          </w:tcPr>
          <w:p w:rsidR="007A49EF" w:rsidRPr="00251317" w:rsidRDefault="007A49EF" w:rsidP="0003143E">
            <w:pPr>
              <w:jc w:val="right"/>
              <w:rPr>
                <w:rFonts w:ascii="Arial" w:hAnsi="Arial" w:cs="Arial"/>
                <w:sz w:val="18"/>
                <w:szCs w:val="18"/>
              </w:rPr>
            </w:pPr>
            <w:r w:rsidRPr="00251317">
              <w:rPr>
                <w:rFonts w:ascii="Arial" w:hAnsi="Arial" w:cs="Arial"/>
                <w:sz w:val="18"/>
                <w:szCs w:val="18"/>
              </w:rPr>
              <w:t>88,6</w:t>
            </w:r>
          </w:p>
        </w:tc>
        <w:tc>
          <w:tcPr>
            <w:tcW w:w="851" w:type="dxa"/>
            <w:tcBorders>
              <w:top w:val="nil"/>
              <w:left w:val="nil"/>
              <w:bottom w:val="single" w:sz="4" w:space="0" w:color="auto"/>
              <w:right w:val="single" w:sz="4" w:space="0" w:color="auto"/>
            </w:tcBorders>
            <w:shd w:val="clear" w:color="auto" w:fill="auto"/>
            <w:noWrap/>
            <w:vAlign w:val="center"/>
          </w:tcPr>
          <w:p w:rsidR="007A49EF" w:rsidRPr="00251317" w:rsidRDefault="007A49EF" w:rsidP="0003143E">
            <w:pPr>
              <w:jc w:val="right"/>
              <w:rPr>
                <w:rFonts w:ascii="Arial" w:hAnsi="Arial" w:cs="Arial"/>
                <w:sz w:val="18"/>
                <w:szCs w:val="18"/>
              </w:rPr>
            </w:pPr>
            <w:r w:rsidRPr="00251317">
              <w:rPr>
                <w:rFonts w:ascii="Arial" w:hAnsi="Arial" w:cs="Arial"/>
                <w:sz w:val="18"/>
                <w:szCs w:val="18"/>
              </w:rPr>
              <w:t>49,4</w:t>
            </w:r>
          </w:p>
        </w:tc>
        <w:tc>
          <w:tcPr>
            <w:tcW w:w="850" w:type="dxa"/>
            <w:tcBorders>
              <w:top w:val="nil"/>
              <w:left w:val="nil"/>
              <w:bottom w:val="single" w:sz="4" w:space="0" w:color="auto"/>
              <w:right w:val="nil"/>
            </w:tcBorders>
            <w:shd w:val="clear" w:color="auto" w:fill="auto"/>
            <w:noWrap/>
            <w:vAlign w:val="center"/>
          </w:tcPr>
          <w:p w:rsidR="007A49EF" w:rsidRPr="00251317" w:rsidRDefault="007A49EF" w:rsidP="0003143E">
            <w:pPr>
              <w:jc w:val="right"/>
              <w:rPr>
                <w:rFonts w:ascii="Arial" w:hAnsi="Arial" w:cs="Arial"/>
                <w:sz w:val="18"/>
                <w:szCs w:val="18"/>
              </w:rPr>
            </w:pPr>
            <w:r w:rsidRPr="00251317">
              <w:rPr>
                <w:rFonts w:ascii="Arial" w:hAnsi="Arial" w:cs="Arial"/>
                <w:sz w:val="18"/>
                <w:szCs w:val="18"/>
              </w:rPr>
              <w:t>39,2</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7A49EF" w:rsidRPr="007A49EF" w:rsidRDefault="007A49EF" w:rsidP="007A49EF">
            <w:pPr>
              <w:jc w:val="right"/>
              <w:rPr>
                <w:rFonts w:ascii="Arial" w:hAnsi="Arial" w:cs="Arial"/>
                <w:sz w:val="18"/>
                <w:szCs w:val="18"/>
              </w:rPr>
            </w:pPr>
            <w:r w:rsidRPr="007A49EF">
              <w:rPr>
                <w:rFonts w:ascii="Arial" w:hAnsi="Arial" w:cs="Arial"/>
                <w:sz w:val="18"/>
                <w:szCs w:val="18"/>
              </w:rPr>
              <w:t xml:space="preserve">12,7 </w:t>
            </w:r>
          </w:p>
        </w:tc>
        <w:tc>
          <w:tcPr>
            <w:tcW w:w="709" w:type="dxa"/>
            <w:tcBorders>
              <w:top w:val="nil"/>
              <w:left w:val="nil"/>
              <w:bottom w:val="single" w:sz="4" w:space="0" w:color="auto"/>
              <w:right w:val="single" w:sz="4" w:space="0" w:color="auto"/>
            </w:tcBorders>
            <w:shd w:val="clear" w:color="auto" w:fill="auto"/>
            <w:noWrap/>
            <w:vAlign w:val="center"/>
          </w:tcPr>
          <w:p w:rsidR="007A49EF" w:rsidRPr="007A49EF" w:rsidRDefault="007A49EF" w:rsidP="007A49EF">
            <w:pPr>
              <w:jc w:val="right"/>
              <w:rPr>
                <w:rFonts w:ascii="Arial" w:hAnsi="Arial" w:cs="Arial"/>
                <w:sz w:val="18"/>
                <w:szCs w:val="18"/>
              </w:rPr>
            </w:pPr>
            <w:r w:rsidRPr="007A49EF">
              <w:rPr>
                <w:rFonts w:ascii="Arial" w:hAnsi="Arial" w:cs="Arial"/>
                <w:sz w:val="18"/>
                <w:szCs w:val="18"/>
              </w:rPr>
              <w:t xml:space="preserve">5,1 </w:t>
            </w:r>
          </w:p>
        </w:tc>
        <w:tc>
          <w:tcPr>
            <w:tcW w:w="726" w:type="dxa"/>
            <w:tcBorders>
              <w:top w:val="nil"/>
              <w:left w:val="nil"/>
              <w:bottom w:val="single" w:sz="4" w:space="0" w:color="auto"/>
              <w:right w:val="nil"/>
            </w:tcBorders>
            <w:shd w:val="clear" w:color="auto" w:fill="auto"/>
            <w:noWrap/>
            <w:vAlign w:val="center"/>
          </w:tcPr>
          <w:p w:rsidR="007A49EF" w:rsidRPr="007A49EF" w:rsidRDefault="007A49EF" w:rsidP="007A49EF">
            <w:pPr>
              <w:jc w:val="right"/>
              <w:rPr>
                <w:rFonts w:ascii="Arial" w:hAnsi="Arial" w:cs="Arial"/>
                <w:sz w:val="18"/>
                <w:szCs w:val="18"/>
              </w:rPr>
            </w:pPr>
            <w:r w:rsidRPr="007A49EF">
              <w:rPr>
                <w:rFonts w:ascii="Arial" w:hAnsi="Arial" w:cs="Arial"/>
                <w:sz w:val="18"/>
                <w:szCs w:val="18"/>
              </w:rPr>
              <w:t xml:space="preserve">7,7 </w:t>
            </w:r>
          </w:p>
        </w:tc>
        <w:tc>
          <w:tcPr>
            <w:tcW w:w="709" w:type="dxa"/>
            <w:tcBorders>
              <w:top w:val="nil"/>
              <w:left w:val="single" w:sz="4" w:space="0" w:color="auto"/>
              <w:bottom w:val="single" w:sz="4" w:space="0" w:color="auto"/>
              <w:right w:val="double" w:sz="6" w:space="0" w:color="auto"/>
            </w:tcBorders>
            <w:shd w:val="clear" w:color="auto" w:fill="auto"/>
            <w:noWrap/>
            <w:vAlign w:val="center"/>
          </w:tcPr>
          <w:p w:rsidR="007A49EF" w:rsidRPr="00251317" w:rsidRDefault="007A49EF" w:rsidP="007A49EF">
            <w:pPr>
              <w:jc w:val="right"/>
              <w:rPr>
                <w:rFonts w:ascii="Arial" w:hAnsi="Arial" w:cs="Arial"/>
                <w:sz w:val="18"/>
                <w:szCs w:val="18"/>
              </w:rPr>
            </w:pPr>
            <w:r w:rsidRPr="00251317">
              <w:rPr>
                <w:rFonts w:ascii="Arial" w:hAnsi="Arial" w:cs="Arial"/>
                <w:sz w:val="18"/>
                <w:szCs w:val="18"/>
              </w:rPr>
              <w:t xml:space="preserve">116,7 </w:t>
            </w:r>
          </w:p>
        </w:tc>
      </w:tr>
      <w:tr w:rsidR="007A49EF" w:rsidRPr="00251317" w:rsidTr="007A49EF">
        <w:trPr>
          <w:trHeight w:val="312"/>
        </w:trPr>
        <w:tc>
          <w:tcPr>
            <w:tcW w:w="896" w:type="dxa"/>
            <w:tcBorders>
              <w:top w:val="single" w:sz="4" w:space="0" w:color="auto"/>
              <w:left w:val="double" w:sz="6" w:space="0" w:color="auto"/>
              <w:right w:val="nil"/>
            </w:tcBorders>
            <w:shd w:val="clear" w:color="auto" w:fill="auto"/>
            <w:noWrap/>
            <w:vAlign w:val="center"/>
          </w:tcPr>
          <w:p w:rsidR="007A49EF" w:rsidRPr="0003143E" w:rsidRDefault="007A49EF" w:rsidP="007A49EF">
            <w:pPr>
              <w:jc w:val="center"/>
              <w:rPr>
                <w:rFonts w:ascii="Arial" w:hAnsi="Arial" w:cs="Arial"/>
                <w:b/>
                <w:sz w:val="18"/>
                <w:szCs w:val="18"/>
              </w:rPr>
            </w:pPr>
            <w:r w:rsidRPr="0003143E">
              <w:rPr>
                <w:rFonts w:ascii="Arial" w:hAnsi="Arial" w:cs="Arial"/>
                <w:b/>
                <w:sz w:val="18"/>
                <w:szCs w:val="18"/>
              </w:rPr>
              <w:t>15 - 64</w:t>
            </w:r>
          </w:p>
        </w:tc>
        <w:tc>
          <w:tcPr>
            <w:tcW w:w="970" w:type="dxa"/>
            <w:tcBorders>
              <w:top w:val="single" w:sz="4" w:space="0" w:color="auto"/>
              <w:left w:val="single" w:sz="4" w:space="0" w:color="auto"/>
              <w:right w:val="single" w:sz="4" w:space="0" w:color="auto"/>
            </w:tcBorders>
            <w:shd w:val="clear" w:color="auto" w:fill="auto"/>
            <w:noWrap/>
            <w:vAlign w:val="center"/>
          </w:tcPr>
          <w:p w:rsidR="007A49EF" w:rsidRPr="0003143E" w:rsidRDefault="007A49EF" w:rsidP="0003143E">
            <w:pPr>
              <w:jc w:val="right"/>
              <w:rPr>
                <w:rFonts w:ascii="Arial" w:hAnsi="Arial" w:cs="Arial"/>
                <w:b/>
                <w:sz w:val="18"/>
                <w:szCs w:val="18"/>
              </w:rPr>
            </w:pPr>
            <w:r w:rsidRPr="0003143E">
              <w:rPr>
                <w:rFonts w:ascii="Arial" w:hAnsi="Arial" w:cs="Arial"/>
                <w:b/>
                <w:sz w:val="18"/>
                <w:szCs w:val="18"/>
              </w:rPr>
              <w:t>4785,6</w:t>
            </w:r>
          </w:p>
        </w:tc>
        <w:tc>
          <w:tcPr>
            <w:tcW w:w="851" w:type="dxa"/>
            <w:tcBorders>
              <w:top w:val="single" w:sz="4" w:space="0" w:color="auto"/>
              <w:left w:val="nil"/>
              <w:right w:val="single" w:sz="4" w:space="0" w:color="auto"/>
            </w:tcBorders>
            <w:shd w:val="clear" w:color="auto" w:fill="auto"/>
            <w:noWrap/>
            <w:vAlign w:val="center"/>
          </w:tcPr>
          <w:p w:rsidR="007A49EF" w:rsidRPr="0003143E" w:rsidRDefault="007A49EF" w:rsidP="0003143E">
            <w:pPr>
              <w:jc w:val="right"/>
              <w:rPr>
                <w:rFonts w:ascii="Arial" w:hAnsi="Arial" w:cs="Arial"/>
                <w:b/>
                <w:sz w:val="18"/>
                <w:szCs w:val="18"/>
              </w:rPr>
            </w:pPr>
            <w:r w:rsidRPr="0003143E">
              <w:rPr>
                <w:rFonts w:ascii="Arial" w:hAnsi="Arial" w:cs="Arial"/>
                <w:b/>
                <w:sz w:val="18"/>
                <w:szCs w:val="18"/>
              </w:rPr>
              <w:t>2719,0</w:t>
            </w:r>
          </w:p>
        </w:tc>
        <w:tc>
          <w:tcPr>
            <w:tcW w:w="850" w:type="dxa"/>
            <w:tcBorders>
              <w:top w:val="single" w:sz="4" w:space="0" w:color="auto"/>
              <w:left w:val="nil"/>
              <w:right w:val="single" w:sz="4" w:space="0" w:color="auto"/>
            </w:tcBorders>
            <w:shd w:val="clear" w:color="auto" w:fill="auto"/>
            <w:noWrap/>
            <w:vAlign w:val="center"/>
          </w:tcPr>
          <w:p w:rsidR="007A49EF" w:rsidRPr="0003143E" w:rsidRDefault="007A49EF" w:rsidP="0003143E">
            <w:pPr>
              <w:jc w:val="right"/>
              <w:rPr>
                <w:rFonts w:ascii="Arial" w:hAnsi="Arial" w:cs="Arial"/>
                <w:b/>
                <w:sz w:val="18"/>
                <w:szCs w:val="18"/>
              </w:rPr>
            </w:pPr>
            <w:r w:rsidRPr="0003143E">
              <w:rPr>
                <w:rFonts w:ascii="Arial" w:hAnsi="Arial" w:cs="Arial"/>
                <w:b/>
                <w:sz w:val="18"/>
                <w:szCs w:val="18"/>
              </w:rPr>
              <w:t>2066,7</w:t>
            </w:r>
          </w:p>
        </w:tc>
        <w:tc>
          <w:tcPr>
            <w:tcW w:w="992" w:type="dxa"/>
            <w:tcBorders>
              <w:top w:val="single" w:sz="4" w:space="0" w:color="auto"/>
              <w:left w:val="nil"/>
              <w:right w:val="single" w:sz="4" w:space="0" w:color="auto"/>
            </w:tcBorders>
            <w:shd w:val="clear" w:color="auto" w:fill="auto"/>
            <w:noWrap/>
            <w:vAlign w:val="center"/>
          </w:tcPr>
          <w:p w:rsidR="007A49EF" w:rsidRPr="0003143E" w:rsidRDefault="007A49EF" w:rsidP="0003143E">
            <w:pPr>
              <w:jc w:val="right"/>
              <w:rPr>
                <w:rFonts w:ascii="Arial" w:hAnsi="Arial" w:cs="Arial"/>
                <w:b/>
                <w:sz w:val="18"/>
                <w:szCs w:val="18"/>
              </w:rPr>
            </w:pPr>
            <w:r w:rsidRPr="0003143E">
              <w:rPr>
                <w:rFonts w:ascii="Arial" w:hAnsi="Arial" w:cs="Arial"/>
                <w:b/>
                <w:sz w:val="18"/>
                <w:szCs w:val="18"/>
              </w:rPr>
              <w:t>4829,9</w:t>
            </w:r>
          </w:p>
        </w:tc>
        <w:tc>
          <w:tcPr>
            <w:tcW w:w="851" w:type="dxa"/>
            <w:tcBorders>
              <w:top w:val="single" w:sz="4" w:space="0" w:color="auto"/>
              <w:left w:val="nil"/>
              <w:right w:val="single" w:sz="4" w:space="0" w:color="auto"/>
            </w:tcBorders>
            <w:shd w:val="clear" w:color="auto" w:fill="auto"/>
            <w:noWrap/>
            <w:vAlign w:val="center"/>
          </w:tcPr>
          <w:p w:rsidR="007A49EF" w:rsidRPr="0003143E" w:rsidRDefault="007A49EF" w:rsidP="0003143E">
            <w:pPr>
              <w:jc w:val="right"/>
              <w:rPr>
                <w:rFonts w:ascii="Arial" w:hAnsi="Arial" w:cs="Arial"/>
                <w:b/>
                <w:sz w:val="18"/>
                <w:szCs w:val="18"/>
              </w:rPr>
            </w:pPr>
            <w:r w:rsidRPr="0003143E">
              <w:rPr>
                <w:rFonts w:ascii="Arial" w:hAnsi="Arial" w:cs="Arial"/>
                <w:b/>
                <w:sz w:val="18"/>
                <w:szCs w:val="18"/>
              </w:rPr>
              <w:t>2732,8</w:t>
            </w:r>
          </w:p>
        </w:tc>
        <w:tc>
          <w:tcPr>
            <w:tcW w:w="850" w:type="dxa"/>
            <w:tcBorders>
              <w:top w:val="single" w:sz="4" w:space="0" w:color="auto"/>
              <w:left w:val="nil"/>
              <w:right w:val="nil"/>
            </w:tcBorders>
            <w:shd w:val="clear" w:color="auto" w:fill="auto"/>
            <w:noWrap/>
            <w:vAlign w:val="center"/>
          </w:tcPr>
          <w:p w:rsidR="007A49EF" w:rsidRPr="0003143E" w:rsidRDefault="007A49EF" w:rsidP="0003143E">
            <w:pPr>
              <w:jc w:val="right"/>
              <w:rPr>
                <w:rFonts w:ascii="Arial" w:hAnsi="Arial" w:cs="Arial"/>
                <w:b/>
                <w:sz w:val="18"/>
                <w:szCs w:val="18"/>
              </w:rPr>
            </w:pPr>
            <w:r w:rsidRPr="0003143E">
              <w:rPr>
                <w:rFonts w:ascii="Arial" w:hAnsi="Arial" w:cs="Arial"/>
                <w:b/>
                <w:sz w:val="18"/>
                <w:szCs w:val="18"/>
              </w:rPr>
              <w:t>2097,1</w:t>
            </w:r>
          </w:p>
        </w:tc>
        <w:tc>
          <w:tcPr>
            <w:tcW w:w="851" w:type="dxa"/>
            <w:tcBorders>
              <w:top w:val="single" w:sz="4" w:space="0" w:color="auto"/>
              <w:left w:val="single" w:sz="4" w:space="0" w:color="auto"/>
              <w:right w:val="single" w:sz="4" w:space="0" w:color="auto"/>
            </w:tcBorders>
            <w:shd w:val="clear" w:color="auto" w:fill="auto"/>
            <w:noWrap/>
            <w:vAlign w:val="center"/>
          </w:tcPr>
          <w:p w:rsidR="007A49EF" w:rsidRPr="0003143E" w:rsidRDefault="007A49EF" w:rsidP="007A49EF">
            <w:pPr>
              <w:jc w:val="right"/>
              <w:rPr>
                <w:rFonts w:ascii="Arial" w:hAnsi="Arial" w:cs="Arial"/>
                <w:b/>
                <w:sz w:val="18"/>
                <w:szCs w:val="18"/>
              </w:rPr>
            </w:pPr>
            <w:r w:rsidRPr="0003143E">
              <w:rPr>
                <w:rFonts w:ascii="Arial" w:hAnsi="Arial" w:cs="Arial"/>
                <w:b/>
                <w:sz w:val="18"/>
                <w:szCs w:val="18"/>
              </w:rPr>
              <w:t xml:space="preserve">44,3 </w:t>
            </w:r>
          </w:p>
        </w:tc>
        <w:tc>
          <w:tcPr>
            <w:tcW w:w="709" w:type="dxa"/>
            <w:tcBorders>
              <w:top w:val="single" w:sz="4" w:space="0" w:color="auto"/>
              <w:left w:val="nil"/>
              <w:right w:val="single" w:sz="4" w:space="0" w:color="auto"/>
            </w:tcBorders>
            <w:shd w:val="clear" w:color="auto" w:fill="auto"/>
            <w:noWrap/>
            <w:vAlign w:val="center"/>
          </w:tcPr>
          <w:p w:rsidR="007A49EF" w:rsidRPr="0003143E" w:rsidRDefault="007A49EF" w:rsidP="007A49EF">
            <w:pPr>
              <w:jc w:val="right"/>
              <w:rPr>
                <w:rFonts w:ascii="Arial" w:hAnsi="Arial" w:cs="Arial"/>
                <w:b/>
                <w:sz w:val="18"/>
                <w:szCs w:val="18"/>
              </w:rPr>
            </w:pPr>
            <w:r w:rsidRPr="0003143E">
              <w:rPr>
                <w:rFonts w:ascii="Arial" w:hAnsi="Arial" w:cs="Arial"/>
                <w:b/>
                <w:sz w:val="18"/>
                <w:szCs w:val="18"/>
              </w:rPr>
              <w:t xml:space="preserve">13,8 </w:t>
            </w:r>
          </w:p>
        </w:tc>
        <w:tc>
          <w:tcPr>
            <w:tcW w:w="726" w:type="dxa"/>
            <w:tcBorders>
              <w:top w:val="single" w:sz="4" w:space="0" w:color="auto"/>
              <w:left w:val="nil"/>
              <w:right w:val="nil"/>
            </w:tcBorders>
            <w:shd w:val="clear" w:color="auto" w:fill="auto"/>
            <w:noWrap/>
            <w:vAlign w:val="center"/>
          </w:tcPr>
          <w:p w:rsidR="007A49EF" w:rsidRPr="0003143E" w:rsidRDefault="007A49EF" w:rsidP="007A49EF">
            <w:pPr>
              <w:jc w:val="right"/>
              <w:rPr>
                <w:rFonts w:ascii="Arial" w:hAnsi="Arial" w:cs="Arial"/>
                <w:b/>
                <w:sz w:val="18"/>
                <w:szCs w:val="18"/>
              </w:rPr>
            </w:pPr>
            <w:r w:rsidRPr="0003143E">
              <w:rPr>
                <w:rFonts w:ascii="Arial" w:hAnsi="Arial" w:cs="Arial"/>
                <w:b/>
                <w:sz w:val="18"/>
                <w:szCs w:val="18"/>
              </w:rPr>
              <w:t xml:space="preserve">30,4 </w:t>
            </w:r>
          </w:p>
        </w:tc>
        <w:tc>
          <w:tcPr>
            <w:tcW w:w="709" w:type="dxa"/>
            <w:tcBorders>
              <w:top w:val="single" w:sz="4" w:space="0" w:color="auto"/>
              <w:left w:val="single" w:sz="4" w:space="0" w:color="auto"/>
              <w:right w:val="double" w:sz="6" w:space="0" w:color="auto"/>
            </w:tcBorders>
            <w:shd w:val="clear" w:color="auto" w:fill="auto"/>
            <w:noWrap/>
            <w:vAlign w:val="center"/>
          </w:tcPr>
          <w:p w:rsidR="007A49EF" w:rsidRPr="0003143E" w:rsidRDefault="007A49EF" w:rsidP="007A49EF">
            <w:pPr>
              <w:jc w:val="right"/>
              <w:rPr>
                <w:rFonts w:ascii="Arial" w:hAnsi="Arial" w:cs="Arial"/>
                <w:b/>
                <w:sz w:val="18"/>
                <w:szCs w:val="18"/>
              </w:rPr>
            </w:pPr>
            <w:r w:rsidRPr="0003143E">
              <w:rPr>
                <w:rFonts w:ascii="Arial" w:hAnsi="Arial" w:cs="Arial"/>
                <w:b/>
                <w:sz w:val="18"/>
                <w:szCs w:val="18"/>
              </w:rPr>
              <w:t xml:space="preserve">100,9 </w:t>
            </w:r>
          </w:p>
        </w:tc>
      </w:tr>
      <w:tr w:rsidR="007A49EF" w:rsidRPr="00251317" w:rsidTr="007A49EF">
        <w:trPr>
          <w:trHeight w:val="312"/>
        </w:trPr>
        <w:tc>
          <w:tcPr>
            <w:tcW w:w="896" w:type="dxa"/>
            <w:tcBorders>
              <w:left w:val="double" w:sz="6" w:space="0" w:color="auto"/>
              <w:bottom w:val="double" w:sz="6" w:space="0" w:color="auto"/>
              <w:right w:val="nil"/>
            </w:tcBorders>
            <w:shd w:val="clear" w:color="auto" w:fill="auto"/>
            <w:noWrap/>
            <w:vAlign w:val="center"/>
          </w:tcPr>
          <w:p w:rsidR="007A49EF" w:rsidRPr="0003143E" w:rsidRDefault="007A49EF" w:rsidP="007A49EF">
            <w:pPr>
              <w:jc w:val="center"/>
              <w:rPr>
                <w:rFonts w:ascii="Arial" w:hAnsi="Arial" w:cs="Arial"/>
                <w:b/>
                <w:sz w:val="18"/>
                <w:szCs w:val="18"/>
              </w:rPr>
            </w:pPr>
            <w:r w:rsidRPr="0003143E">
              <w:rPr>
                <w:rFonts w:ascii="Arial" w:hAnsi="Arial" w:cs="Arial"/>
                <w:b/>
                <w:sz w:val="18"/>
                <w:szCs w:val="18"/>
              </w:rPr>
              <w:t>20 - 64</w:t>
            </w:r>
          </w:p>
        </w:tc>
        <w:tc>
          <w:tcPr>
            <w:tcW w:w="970" w:type="dxa"/>
            <w:tcBorders>
              <w:left w:val="single" w:sz="4" w:space="0" w:color="auto"/>
              <w:bottom w:val="double" w:sz="6" w:space="0" w:color="auto"/>
              <w:right w:val="single" w:sz="4" w:space="0" w:color="auto"/>
            </w:tcBorders>
            <w:shd w:val="clear" w:color="auto" w:fill="auto"/>
            <w:noWrap/>
            <w:vAlign w:val="center"/>
          </w:tcPr>
          <w:p w:rsidR="007A49EF" w:rsidRPr="0003143E" w:rsidRDefault="007A49EF" w:rsidP="0003143E">
            <w:pPr>
              <w:jc w:val="right"/>
              <w:rPr>
                <w:rFonts w:ascii="Arial" w:hAnsi="Arial" w:cs="Arial"/>
                <w:b/>
                <w:sz w:val="18"/>
                <w:szCs w:val="18"/>
              </w:rPr>
            </w:pPr>
            <w:r w:rsidRPr="0003143E">
              <w:rPr>
                <w:rFonts w:ascii="Arial" w:hAnsi="Arial" w:cs="Arial"/>
                <w:b/>
                <w:sz w:val="18"/>
                <w:szCs w:val="18"/>
              </w:rPr>
              <w:t>4767,8</w:t>
            </w:r>
          </w:p>
        </w:tc>
        <w:tc>
          <w:tcPr>
            <w:tcW w:w="851" w:type="dxa"/>
            <w:tcBorders>
              <w:left w:val="nil"/>
              <w:bottom w:val="double" w:sz="6" w:space="0" w:color="auto"/>
              <w:right w:val="single" w:sz="4" w:space="0" w:color="auto"/>
            </w:tcBorders>
            <w:shd w:val="clear" w:color="auto" w:fill="auto"/>
            <w:noWrap/>
            <w:vAlign w:val="center"/>
          </w:tcPr>
          <w:p w:rsidR="007A49EF" w:rsidRPr="0003143E" w:rsidRDefault="007A49EF" w:rsidP="0003143E">
            <w:pPr>
              <w:jc w:val="right"/>
              <w:rPr>
                <w:rFonts w:ascii="Arial" w:hAnsi="Arial" w:cs="Arial"/>
                <w:b/>
                <w:sz w:val="18"/>
                <w:szCs w:val="18"/>
              </w:rPr>
            </w:pPr>
            <w:r w:rsidRPr="0003143E">
              <w:rPr>
                <w:rFonts w:ascii="Arial" w:hAnsi="Arial" w:cs="Arial"/>
                <w:b/>
                <w:sz w:val="18"/>
                <w:szCs w:val="18"/>
              </w:rPr>
              <w:t>2707,4</w:t>
            </w:r>
          </w:p>
        </w:tc>
        <w:tc>
          <w:tcPr>
            <w:tcW w:w="850" w:type="dxa"/>
            <w:tcBorders>
              <w:left w:val="nil"/>
              <w:bottom w:val="double" w:sz="6" w:space="0" w:color="auto"/>
              <w:right w:val="single" w:sz="4" w:space="0" w:color="auto"/>
            </w:tcBorders>
            <w:shd w:val="clear" w:color="auto" w:fill="auto"/>
            <w:noWrap/>
            <w:vAlign w:val="center"/>
          </w:tcPr>
          <w:p w:rsidR="007A49EF" w:rsidRPr="0003143E" w:rsidRDefault="007A49EF" w:rsidP="0003143E">
            <w:pPr>
              <w:jc w:val="right"/>
              <w:rPr>
                <w:rFonts w:ascii="Arial" w:hAnsi="Arial" w:cs="Arial"/>
                <w:b/>
                <w:sz w:val="18"/>
                <w:szCs w:val="18"/>
              </w:rPr>
            </w:pPr>
            <w:r w:rsidRPr="0003143E">
              <w:rPr>
                <w:rFonts w:ascii="Arial" w:hAnsi="Arial" w:cs="Arial"/>
                <w:b/>
                <w:sz w:val="18"/>
                <w:szCs w:val="18"/>
              </w:rPr>
              <w:t>2060,4</w:t>
            </w:r>
          </w:p>
        </w:tc>
        <w:tc>
          <w:tcPr>
            <w:tcW w:w="992" w:type="dxa"/>
            <w:tcBorders>
              <w:left w:val="nil"/>
              <w:bottom w:val="double" w:sz="6" w:space="0" w:color="auto"/>
              <w:right w:val="single" w:sz="4" w:space="0" w:color="auto"/>
            </w:tcBorders>
            <w:shd w:val="clear" w:color="auto" w:fill="auto"/>
            <w:noWrap/>
            <w:vAlign w:val="center"/>
          </w:tcPr>
          <w:p w:rsidR="007A49EF" w:rsidRPr="0003143E" w:rsidRDefault="007A49EF" w:rsidP="0003143E">
            <w:pPr>
              <w:jc w:val="right"/>
              <w:rPr>
                <w:rFonts w:ascii="Arial" w:hAnsi="Arial" w:cs="Arial"/>
                <w:b/>
                <w:sz w:val="18"/>
                <w:szCs w:val="18"/>
              </w:rPr>
            </w:pPr>
            <w:r w:rsidRPr="0003143E">
              <w:rPr>
                <w:rFonts w:ascii="Arial" w:hAnsi="Arial" w:cs="Arial"/>
                <w:b/>
                <w:sz w:val="18"/>
                <w:szCs w:val="18"/>
              </w:rPr>
              <w:t>4814,4</w:t>
            </w:r>
          </w:p>
        </w:tc>
        <w:tc>
          <w:tcPr>
            <w:tcW w:w="851" w:type="dxa"/>
            <w:tcBorders>
              <w:left w:val="nil"/>
              <w:bottom w:val="double" w:sz="6" w:space="0" w:color="auto"/>
              <w:right w:val="single" w:sz="4" w:space="0" w:color="auto"/>
            </w:tcBorders>
            <w:shd w:val="clear" w:color="auto" w:fill="auto"/>
            <w:noWrap/>
            <w:vAlign w:val="center"/>
          </w:tcPr>
          <w:p w:rsidR="007A49EF" w:rsidRPr="0003143E" w:rsidRDefault="007A49EF" w:rsidP="0003143E">
            <w:pPr>
              <w:jc w:val="right"/>
              <w:rPr>
                <w:rFonts w:ascii="Arial" w:hAnsi="Arial" w:cs="Arial"/>
                <w:b/>
                <w:sz w:val="18"/>
                <w:szCs w:val="18"/>
              </w:rPr>
            </w:pPr>
            <w:r w:rsidRPr="0003143E">
              <w:rPr>
                <w:rFonts w:ascii="Arial" w:hAnsi="Arial" w:cs="Arial"/>
                <w:b/>
                <w:sz w:val="18"/>
                <w:szCs w:val="18"/>
              </w:rPr>
              <w:t>2722,7</w:t>
            </w:r>
          </w:p>
        </w:tc>
        <w:tc>
          <w:tcPr>
            <w:tcW w:w="850" w:type="dxa"/>
            <w:tcBorders>
              <w:left w:val="nil"/>
              <w:bottom w:val="double" w:sz="6" w:space="0" w:color="auto"/>
              <w:right w:val="nil"/>
            </w:tcBorders>
            <w:shd w:val="clear" w:color="auto" w:fill="auto"/>
            <w:noWrap/>
            <w:vAlign w:val="center"/>
          </w:tcPr>
          <w:p w:rsidR="007A49EF" w:rsidRPr="0003143E" w:rsidRDefault="007A49EF" w:rsidP="0003143E">
            <w:pPr>
              <w:jc w:val="right"/>
              <w:rPr>
                <w:rFonts w:ascii="Arial" w:hAnsi="Arial" w:cs="Arial"/>
                <w:b/>
                <w:sz w:val="18"/>
                <w:szCs w:val="18"/>
              </w:rPr>
            </w:pPr>
            <w:r w:rsidRPr="0003143E">
              <w:rPr>
                <w:rFonts w:ascii="Arial" w:hAnsi="Arial" w:cs="Arial"/>
                <w:b/>
                <w:sz w:val="18"/>
                <w:szCs w:val="18"/>
              </w:rPr>
              <w:t>2091,8</w:t>
            </w:r>
          </w:p>
        </w:tc>
        <w:tc>
          <w:tcPr>
            <w:tcW w:w="851" w:type="dxa"/>
            <w:tcBorders>
              <w:left w:val="single" w:sz="4" w:space="0" w:color="auto"/>
              <w:bottom w:val="double" w:sz="6" w:space="0" w:color="auto"/>
              <w:right w:val="single" w:sz="4" w:space="0" w:color="auto"/>
            </w:tcBorders>
            <w:shd w:val="clear" w:color="auto" w:fill="auto"/>
            <w:noWrap/>
            <w:vAlign w:val="center"/>
          </w:tcPr>
          <w:p w:rsidR="007A49EF" w:rsidRPr="0003143E" w:rsidRDefault="007A49EF" w:rsidP="007A49EF">
            <w:pPr>
              <w:jc w:val="right"/>
              <w:rPr>
                <w:rFonts w:ascii="Arial" w:hAnsi="Arial" w:cs="Arial"/>
                <w:b/>
                <w:sz w:val="18"/>
                <w:szCs w:val="18"/>
              </w:rPr>
            </w:pPr>
            <w:r w:rsidRPr="0003143E">
              <w:rPr>
                <w:rFonts w:ascii="Arial" w:hAnsi="Arial" w:cs="Arial"/>
                <w:b/>
                <w:sz w:val="18"/>
                <w:szCs w:val="18"/>
              </w:rPr>
              <w:t xml:space="preserve">46,6 </w:t>
            </w:r>
          </w:p>
        </w:tc>
        <w:tc>
          <w:tcPr>
            <w:tcW w:w="709" w:type="dxa"/>
            <w:tcBorders>
              <w:left w:val="nil"/>
              <w:bottom w:val="double" w:sz="6" w:space="0" w:color="auto"/>
              <w:right w:val="single" w:sz="4" w:space="0" w:color="auto"/>
            </w:tcBorders>
            <w:shd w:val="clear" w:color="auto" w:fill="auto"/>
            <w:noWrap/>
            <w:vAlign w:val="center"/>
          </w:tcPr>
          <w:p w:rsidR="007A49EF" w:rsidRPr="0003143E" w:rsidRDefault="007A49EF" w:rsidP="007A49EF">
            <w:pPr>
              <w:jc w:val="right"/>
              <w:rPr>
                <w:rFonts w:ascii="Arial" w:hAnsi="Arial" w:cs="Arial"/>
                <w:b/>
                <w:sz w:val="18"/>
                <w:szCs w:val="18"/>
              </w:rPr>
            </w:pPr>
            <w:r w:rsidRPr="0003143E">
              <w:rPr>
                <w:rFonts w:ascii="Arial" w:hAnsi="Arial" w:cs="Arial"/>
                <w:b/>
                <w:sz w:val="18"/>
                <w:szCs w:val="18"/>
              </w:rPr>
              <w:t xml:space="preserve">15,3 </w:t>
            </w:r>
          </w:p>
        </w:tc>
        <w:tc>
          <w:tcPr>
            <w:tcW w:w="726" w:type="dxa"/>
            <w:tcBorders>
              <w:left w:val="nil"/>
              <w:bottom w:val="double" w:sz="6" w:space="0" w:color="auto"/>
              <w:right w:val="nil"/>
            </w:tcBorders>
            <w:shd w:val="clear" w:color="auto" w:fill="auto"/>
            <w:noWrap/>
            <w:vAlign w:val="center"/>
          </w:tcPr>
          <w:p w:rsidR="007A49EF" w:rsidRPr="0003143E" w:rsidRDefault="007A49EF" w:rsidP="007A49EF">
            <w:pPr>
              <w:jc w:val="right"/>
              <w:rPr>
                <w:rFonts w:ascii="Arial" w:hAnsi="Arial" w:cs="Arial"/>
                <w:b/>
                <w:sz w:val="18"/>
                <w:szCs w:val="18"/>
              </w:rPr>
            </w:pPr>
            <w:r w:rsidRPr="0003143E">
              <w:rPr>
                <w:rFonts w:ascii="Arial" w:hAnsi="Arial" w:cs="Arial"/>
                <w:b/>
                <w:sz w:val="18"/>
                <w:szCs w:val="18"/>
              </w:rPr>
              <w:t xml:space="preserve">31,4 </w:t>
            </w:r>
          </w:p>
        </w:tc>
        <w:tc>
          <w:tcPr>
            <w:tcW w:w="709" w:type="dxa"/>
            <w:tcBorders>
              <w:left w:val="single" w:sz="4" w:space="0" w:color="auto"/>
              <w:bottom w:val="double" w:sz="6" w:space="0" w:color="auto"/>
              <w:right w:val="double" w:sz="6" w:space="0" w:color="auto"/>
            </w:tcBorders>
            <w:shd w:val="clear" w:color="auto" w:fill="auto"/>
            <w:noWrap/>
            <w:vAlign w:val="center"/>
          </w:tcPr>
          <w:p w:rsidR="007A49EF" w:rsidRPr="0003143E" w:rsidRDefault="007A49EF" w:rsidP="007A49EF">
            <w:pPr>
              <w:jc w:val="right"/>
              <w:rPr>
                <w:rFonts w:ascii="Arial" w:hAnsi="Arial" w:cs="Arial"/>
                <w:b/>
                <w:sz w:val="18"/>
                <w:szCs w:val="18"/>
              </w:rPr>
            </w:pPr>
            <w:r w:rsidRPr="0003143E">
              <w:rPr>
                <w:rFonts w:ascii="Arial" w:hAnsi="Arial" w:cs="Arial"/>
                <w:b/>
                <w:sz w:val="18"/>
                <w:szCs w:val="18"/>
              </w:rPr>
              <w:t xml:space="preserve">101,0 </w:t>
            </w:r>
          </w:p>
        </w:tc>
      </w:tr>
    </w:tbl>
    <w:p w:rsidR="007A49EF" w:rsidRPr="00251317" w:rsidRDefault="007A49EF" w:rsidP="007A49EF">
      <w:pPr>
        <w:tabs>
          <w:tab w:val="center" w:pos="720"/>
        </w:tabs>
        <w:spacing w:line="480" w:lineRule="auto"/>
        <w:jc w:val="both"/>
        <w:rPr>
          <w:rFonts w:ascii="Arial" w:hAnsi="Arial" w:cs="Arial"/>
          <w:i/>
          <w:iCs/>
          <w:sz w:val="18"/>
          <w:szCs w:val="18"/>
        </w:rPr>
      </w:pPr>
      <w:r w:rsidRPr="00251317">
        <w:rPr>
          <w:rFonts w:ascii="Arial" w:hAnsi="Arial" w:cs="Arial"/>
          <w:i/>
          <w:iCs/>
          <w:sz w:val="18"/>
          <w:szCs w:val="18"/>
        </w:rPr>
        <w:t>Zdroj: ČSÚ – VŠPS</w:t>
      </w:r>
    </w:p>
    <w:p w:rsidR="007A49EF" w:rsidRPr="00251317" w:rsidRDefault="007A49EF" w:rsidP="007A49EF">
      <w:pPr>
        <w:tabs>
          <w:tab w:val="center" w:pos="0"/>
        </w:tabs>
        <w:spacing w:line="360" w:lineRule="auto"/>
        <w:ind w:firstLine="720"/>
        <w:jc w:val="both"/>
        <w:rPr>
          <w:rFonts w:ascii="Arial" w:hAnsi="Arial" w:cs="Arial"/>
        </w:rPr>
      </w:pPr>
      <w:r w:rsidRPr="00251317">
        <w:rPr>
          <w:rFonts w:ascii="Arial" w:hAnsi="Arial" w:cs="Arial"/>
          <w:b/>
          <w:bCs/>
        </w:rPr>
        <w:t>Na zvýšení zaměstnanosti</w:t>
      </w:r>
      <w:r w:rsidRPr="00251317">
        <w:rPr>
          <w:rFonts w:ascii="Arial" w:hAnsi="Arial" w:cs="Arial"/>
          <w:bCs/>
        </w:rPr>
        <w:t xml:space="preserve"> se v hodnoceném období podílely ze dvou třetin </w:t>
      </w:r>
      <w:r w:rsidRPr="00251317">
        <w:rPr>
          <w:rFonts w:ascii="Arial" w:hAnsi="Arial" w:cs="Arial"/>
          <w:b/>
          <w:bCs/>
        </w:rPr>
        <w:t xml:space="preserve">ženy, </w:t>
      </w:r>
      <w:r w:rsidRPr="00251317">
        <w:rPr>
          <w:rFonts w:ascii="Arial" w:hAnsi="Arial" w:cs="Arial"/>
          <w:bCs/>
        </w:rPr>
        <w:t>jejich počet</w:t>
      </w:r>
      <w:r w:rsidRPr="00251317">
        <w:rPr>
          <w:rFonts w:ascii="Arial" w:hAnsi="Arial" w:cs="Arial"/>
          <w:b/>
          <w:bCs/>
        </w:rPr>
        <w:t xml:space="preserve"> se zvýšil </w:t>
      </w:r>
      <w:r w:rsidRPr="00251317">
        <w:rPr>
          <w:rFonts w:ascii="Arial" w:hAnsi="Arial" w:cs="Arial"/>
        </w:rPr>
        <w:t xml:space="preserve">o 38,1 tis. </w:t>
      </w:r>
      <w:r w:rsidRPr="00251317">
        <w:rPr>
          <w:rFonts w:ascii="Arial" w:hAnsi="Arial" w:cs="Arial"/>
          <w:b/>
        </w:rPr>
        <w:t>na</w:t>
      </w:r>
      <w:r w:rsidRPr="00251317">
        <w:rPr>
          <w:rFonts w:ascii="Arial" w:hAnsi="Arial" w:cs="Arial"/>
          <w:b/>
          <w:bCs/>
        </w:rPr>
        <w:t xml:space="preserve"> 2 136,3 tis.,</w:t>
      </w:r>
      <w:r w:rsidRPr="00251317">
        <w:rPr>
          <w:rFonts w:ascii="Arial" w:hAnsi="Arial" w:cs="Arial"/>
          <w:bCs/>
        </w:rPr>
        <w:t xml:space="preserve"> počet zaměstnaných </w:t>
      </w:r>
      <w:r w:rsidRPr="00251317">
        <w:rPr>
          <w:rFonts w:ascii="Arial" w:hAnsi="Arial" w:cs="Arial"/>
          <w:b/>
          <w:bCs/>
        </w:rPr>
        <w:t xml:space="preserve">mužů se zvýšil </w:t>
      </w:r>
      <w:r w:rsidRPr="00251317">
        <w:rPr>
          <w:rFonts w:ascii="Arial" w:hAnsi="Arial" w:cs="Arial"/>
          <w:bCs/>
        </w:rPr>
        <w:t>o 18,9 tis.</w:t>
      </w:r>
      <w:r w:rsidRPr="00251317">
        <w:rPr>
          <w:rFonts w:ascii="Arial" w:hAnsi="Arial" w:cs="Arial"/>
          <w:b/>
          <w:bCs/>
        </w:rPr>
        <w:t xml:space="preserve"> na </w:t>
      </w:r>
      <w:r w:rsidRPr="00251317">
        <w:rPr>
          <w:rFonts w:ascii="Arial" w:hAnsi="Arial" w:cs="Arial"/>
          <w:b/>
        </w:rPr>
        <w:t>2 782,2</w:t>
      </w:r>
      <w:r w:rsidRPr="00251317">
        <w:rPr>
          <w:rFonts w:ascii="Arial" w:hAnsi="Arial" w:cs="Arial"/>
          <w:b/>
          <w:bCs/>
        </w:rPr>
        <w:t xml:space="preserve"> tis. </w:t>
      </w:r>
      <w:r w:rsidRPr="00251317">
        <w:rPr>
          <w:rFonts w:ascii="Arial" w:hAnsi="Arial" w:cs="Arial"/>
          <w:bCs/>
        </w:rPr>
        <w:t xml:space="preserve">V důsledku toho </w:t>
      </w:r>
      <w:r w:rsidRPr="00251317">
        <w:rPr>
          <w:rFonts w:ascii="Arial" w:hAnsi="Arial" w:cs="Arial"/>
          <w:b/>
          <w:bCs/>
        </w:rPr>
        <w:t>se z</w:t>
      </w:r>
      <w:r w:rsidRPr="00251317">
        <w:rPr>
          <w:rFonts w:ascii="Arial" w:hAnsi="Arial" w:cs="Arial"/>
          <w:b/>
        </w:rPr>
        <w:t>astoupení mužů</w:t>
      </w:r>
      <w:r w:rsidRPr="00251317">
        <w:rPr>
          <w:rFonts w:ascii="Arial" w:hAnsi="Arial" w:cs="Arial"/>
        </w:rPr>
        <w:t xml:space="preserve"> mezi zaměstnanými </w:t>
      </w:r>
      <w:r w:rsidRPr="00251317">
        <w:rPr>
          <w:rFonts w:ascii="Arial" w:hAnsi="Arial" w:cs="Arial"/>
          <w:b/>
        </w:rPr>
        <w:t xml:space="preserve">snížilo </w:t>
      </w:r>
      <w:r w:rsidRPr="00251317">
        <w:rPr>
          <w:rFonts w:ascii="Arial" w:hAnsi="Arial" w:cs="Arial"/>
        </w:rPr>
        <w:t xml:space="preserve">(z 56,8 %) </w:t>
      </w:r>
      <w:r w:rsidRPr="00251317">
        <w:rPr>
          <w:rFonts w:ascii="Arial" w:hAnsi="Arial" w:cs="Arial"/>
          <w:b/>
        </w:rPr>
        <w:t>na 56,6 % a žen zvýšilo</w:t>
      </w:r>
      <w:r w:rsidRPr="00251317">
        <w:rPr>
          <w:rFonts w:ascii="Arial" w:hAnsi="Arial" w:cs="Arial"/>
        </w:rPr>
        <w:t xml:space="preserve"> (z 43,2 %) </w:t>
      </w:r>
      <w:r w:rsidRPr="00251317">
        <w:rPr>
          <w:rFonts w:ascii="Arial" w:hAnsi="Arial" w:cs="Arial"/>
          <w:b/>
        </w:rPr>
        <w:t>na 43,4 %</w:t>
      </w:r>
      <w:r w:rsidRPr="00251317">
        <w:rPr>
          <w:rStyle w:val="Znakapoznpodarou"/>
        </w:rPr>
        <w:footnoteReference w:id="2"/>
      </w:r>
      <w:r w:rsidRPr="00251317">
        <w:rPr>
          <w:rFonts w:ascii="Arial" w:hAnsi="Arial" w:cs="Arial"/>
        </w:rPr>
        <w:t xml:space="preserve">. </w:t>
      </w:r>
    </w:p>
    <w:p w:rsidR="007A49EF" w:rsidRPr="00251317" w:rsidRDefault="007A49EF" w:rsidP="007A49EF">
      <w:pPr>
        <w:tabs>
          <w:tab w:val="center" w:pos="0"/>
        </w:tabs>
        <w:spacing w:line="360" w:lineRule="auto"/>
        <w:ind w:firstLine="720"/>
        <w:jc w:val="both"/>
        <w:rPr>
          <w:rFonts w:ascii="Arial" w:hAnsi="Arial" w:cs="Arial"/>
        </w:rPr>
      </w:pPr>
      <w:r w:rsidRPr="00251317">
        <w:rPr>
          <w:rFonts w:ascii="Arial" w:hAnsi="Arial" w:cs="Arial"/>
          <w:b/>
        </w:rPr>
        <w:t>Zaměstnaní</w:t>
      </w:r>
      <w:r w:rsidRPr="00251317">
        <w:rPr>
          <w:rFonts w:ascii="Arial" w:hAnsi="Arial" w:cs="Arial"/>
        </w:rPr>
        <w:t xml:space="preserve"> představovali </w:t>
      </w:r>
      <w:r w:rsidRPr="00251317">
        <w:rPr>
          <w:rFonts w:ascii="Arial" w:hAnsi="Arial" w:cs="Arial"/>
          <w:b/>
          <w:bCs/>
        </w:rPr>
        <w:t>54,9 % obyvatel</w:t>
      </w:r>
      <w:r w:rsidRPr="00251317">
        <w:rPr>
          <w:rFonts w:ascii="Arial" w:hAnsi="Arial" w:cs="Arial"/>
        </w:rPr>
        <w:t xml:space="preserve"> ČR starších 15 let, což znamená meziroční </w:t>
      </w:r>
      <w:r w:rsidRPr="00251317">
        <w:rPr>
          <w:rFonts w:ascii="Arial" w:hAnsi="Arial" w:cs="Arial"/>
          <w:b/>
        </w:rPr>
        <w:t>nárůst podílu o 0,7 p. b.</w:t>
      </w:r>
      <w:r w:rsidRPr="00251317">
        <w:rPr>
          <w:rFonts w:ascii="Arial" w:hAnsi="Arial" w:cs="Arial"/>
        </w:rPr>
        <w:t xml:space="preserve"> Podíl zaměstnaných mužů se zvýšil (o 0,5 p. b.) na 63,8 % a podíl zaměstnaných žen se zvýšil (o 0,9 p. b.) na 46,5 %.</w:t>
      </w:r>
    </w:p>
    <w:p w:rsidR="007A49EF" w:rsidRPr="00251317" w:rsidRDefault="007A49EF" w:rsidP="007A49EF">
      <w:pPr>
        <w:widowControl w:val="0"/>
        <w:tabs>
          <w:tab w:val="center" w:pos="0"/>
        </w:tabs>
        <w:spacing w:line="360" w:lineRule="auto"/>
        <w:ind w:firstLine="720"/>
        <w:jc w:val="both"/>
        <w:rPr>
          <w:rFonts w:ascii="Arial" w:hAnsi="Arial" w:cs="Arial"/>
        </w:rPr>
      </w:pPr>
      <w:r w:rsidRPr="00251317">
        <w:rPr>
          <w:rFonts w:ascii="Arial" w:hAnsi="Arial" w:cs="Arial"/>
          <w:b/>
        </w:rPr>
        <w:t>Největší nárůst zaměstnanosti</w:t>
      </w:r>
      <w:r w:rsidRPr="00251317">
        <w:rPr>
          <w:rFonts w:ascii="Arial" w:hAnsi="Arial" w:cs="Arial"/>
        </w:rPr>
        <w:t xml:space="preserve"> byl </w:t>
      </w:r>
      <w:r w:rsidRPr="00251317">
        <w:rPr>
          <w:rFonts w:ascii="Arial" w:hAnsi="Arial" w:cs="Arial"/>
          <w:b/>
        </w:rPr>
        <w:t>v Jihomoravském kraji</w:t>
      </w:r>
      <w:r w:rsidRPr="00251317">
        <w:rPr>
          <w:rFonts w:ascii="Arial" w:hAnsi="Arial" w:cs="Arial"/>
        </w:rPr>
        <w:t xml:space="preserve"> (o 21,6 tis.), </w:t>
      </w:r>
      <w:r w:rsidRPr="00251317">
        <w:rPr>
          <w:rFonts w:ascii="Arial" w:hAnsi="Arial" w:cs="Arial"/>
          <w:b/>
        </w:rPr>
        <w:t>Hl. m. Praze</w:t>
      </w:r>
      <w:r w:rsidRPr="00251317">
        <w:rPr>
          <w:rFonts w:ascii="Arial" w:hAnsi="Arial" w:cs="Arial"/>
        </w:rPr>
        <w:t xml:space="preserve"> (o 7,9 tis.), Ústeckém (o 7,3 tis.) a Z</w:t>
      </w:r>
      <w:r>
        <w:rPr>
          <w:rFonts w:ascii="Arial" w:hAnsi="Arial" w:cs="Arial"/>
        </w:rPr>
        <w:t>línském kraji (o 7,0 tis. osob)</w:t>
      </w:r>
      <w:r w:rsidRPr="00251317">
        <w:rPr>
          <w:rFonts w:ascii="Arial" w:hAnsi="Arial" w:cs="Arial"/>
        </w:rPr>
        <w:t xml:space="preserve">. V Jihomoravském kraji se na nárůstu podílela především sekce informačních technologií, v Hl. m. Praze stavebnictví a činnosti v oblasti nemovitostí, v Ústeckém </w:t>
      </w:r>
      <w:r w:rsidRPr="00251317">
        <w:rPr>
          <w:rFonts w:ascii="Arial" w:hAnsi="Arial" w:cs="Arial"/>
        </w:rPr>
        <w:lastRenderedPageBreak/>
        <w:t xml:space="preserve">kraji zemědělství a sekce veřejné správy a obrany a ve Zlínském kraji zpracovatelský průmysl a sekce peněžnictví a pojišťovnictví. </w:t>
      </w:r>
    </w:p>
    <w:p w:rsidR="007A49EF" w:rsidRPr="00251317" w:rsidRDefault="007A49EF" w:rsidP="007A49EF">
      <w:pPr>
        <w:widowControl w:val="0"/>
        <w:tabs>
          <w:tab w:val="center" w:pos="0"/>
        </w:tabs>
        <w:spacing w:line="360" w:lineRule="auto"/>
        <w:ind w:firstLine="720"/>
        <w:jc w:val="both"/>
        <w:rPr>
          <w:sz w:val="12"/>
          <w:szCs w:val="12"/>
        </w:rPr>
      </w:pPr>
    </w:p>
    <w:p w:rsidR="007A49EF" w:rsidRPr="00251317" w:rsidRDefault="007A49EF" w:rsidP="007A49EF">
      <w:pPr>
        <w:tabs>
          <w:tab w:val="left" w:pos="567"/>
          <w:tab w:val="center" w:pos="720"/>
        </w:tabs>
        <w:jc w:val="center"/>
        <w:rPr>
          <w:rFonts w:ascii="Arial" w:hAnsi="Arial" w:cs="Arial"/>
          <w:b/>
          <w:bCs/>
        </w:rPr>
      </w:pPr>
      <w:r w:rsidRPr="00251317">
        <w:rPr>
          <w:rFonts w:ascii="Arial" w:hAnsi="Arial" w:cs="Arial"/>
          <w:b/>
          <w:bCs/>
        </w:rPr>
        <w:t>Zaměstnanost a míra zaměstnanosti v jednotlivých krajích ČR</w:t>
      </w:r>
    </w:p>
    <w:p w:rsidR="007A49EF" w:rsidRPr="00251317" w:rsidRDefault="007A49EF" w:rsidP="007A49EF">
      <w:pPr>
        <w:widowControl w:val="0"/>
        <w:tabs>
          <w:tab w:val="left" w:pos="567"/>
        </w:tabs>
        <w:autoSpaceDE w:val="0"/>
        <w:autoSpaceDN w:val="0"/>
        <w:adjustRightInd w:val="0"/>
        <w:ind w:firstLine="709"/>
        <w:jc w:val="right"/>
        <w:rPr>
          <w:rFonts w:ascii="Arial" w:hAnsi="Arial" w:cs="Arial"/>
          <w:sz w:val="20"/>
        </w:rPr>
      </w:pPr>
      <w:r w:rsidRPr="00251317">
        <w:rPr>
          <w:rFonts w:ascii="Arial" w:hAnsi="Arial" w:cs="Arial"/>
          <w:sz w:val="20"/>
        </w:rPr>
        <w:t>tab. č. 6</w:t>
      </w:r>
    </w:p>
    <w:tbl>
      <w:tblPr>
        <w:tblW w:w="9222" w:type="dxa"/>
        <w:tblInd w:w="47" w:type="dxa"/>
        <w:tblCellMar>
          <w:left w:w="70" w:type="dxa"/>
          <w:right w:w="70" w:type="dxa"/>
        </w:tblCellMar>
        <w:tblLook w:val="0000" w:firstRow="0" w:lastRow="0" w:firstColumn="0" w:lastColumn="0" w:noHBand="0" w:noVBand="0"/>
      </w:tblPr>
      <w:tblGrid>
        <w:gridCol w:w="2088"/>
        <w:gridCol w:w="1074"/>
        <w:gridCol w:w="1074"/>
        <w:gridCol w:w="1316"/>
        <w:gridCol w:w="1169"/>
        <w:gridCol w:w="1231"/>
        <w:gridCol w:w="1270"/>
      </w:tblGrid>
      <w:tr w:rsidR="007A49EF" w:rsidRPr="00251317" w:rsidTr="007A49EF">
        <w:trPr>
          <w:trHeight w:val="465"/>
        </w:trPr>
        <w:tc>
          <w:tcPr>
            <w:tcW w:w="2088" w:type="dxa"/>
            <w:tcBorders>
              <w:top w:val="double" w:sz="6" w:space="0" w:color="auto"/>
              <w:left w:val="double" w:sz="6" w:space="0" w:color="auto"/>
              <w:bottom w:val="nil"/>
              <w:right w:val="nil"/>
            </w:tcBorders>
            <w:shd w:val="clear" w:color="auto" w:fill="auto"/>
            <w:noWrap/>
            <w:vAlign w:val="bottom"/>
          </w:tcPr>
          <w:p w:rsidR="007A49EF" w:rsidRPr="00251317" w:rsidRDefault="007A49EF" w:rsidP="007A49EF">
            <w:pPr>
              <w:rPr>
                <w:rFonts w:ascii="Arial" w:hAnsi="Arial" w:cs="Arial"/>
                <w:sz w:val="20"/>
                <w:szCs w:val="20"/>
              </w:rPr>
            </w:pPr>
            <w:r w:rsidRPr="00251317">
              <w:rPr>
                <w:rFonts w:ascii="Arial" w:hAnsi="Arial" w:cs="Arial"/>
                <w:sz w:val="20"/>
                <w:szCs w:val="20"/>
              </w:rPr>
              <w:t> </w:t>
            </w:r>
          </w:p>
        </w:tc>
        <w:tc>
          <w:tcPr>
            <w:tcW w:w="3464" w:type="dxa"/>
            <w:gridSpan w:val="3"/>
            <w:tcBorders>
              <w:top w:val="double" w:sz="6" w:space="0" w:color="auto"/>
              <w:left w:val="single" w:sz="4" w:space="0" w:color="auto"/>
              <w:bottom w:val="single" w:sz="4" w:space="0" w:color="auto"/>
              <w:right w:val="single" w:sz="4" w:space="0" w:color="000000"/>
            </w:tcBorders>
            <w:shd w:val="clear" w:color="auto" w:fill="auto"/>
            <w:noWrap/>
            <w:vAlign w:val="center"/>
          </w:tcPr>
          <w:p w:rsidR="007A49EF" w:rsidRPr="00251317" w:rsidRDefault="007A49EF" w:rsidP="007A49EF">
            <w:pPr>
              <w:jc w:val="center"/>
              <w:rPr>
                <w:rFonts w:ascii="Arial" w:hAnsi="Arial" w:cs="Arial"/>
                <w:b/>
                <w:sz w:val="20"/>
                <w:szCs w:val="20"/>
              </w:rPr>
            </w:pPr>
            <w:r w:rsidRPr="00251317">
              <w:rPr>
                <w:rFonts w:ascii="Arial" w:hAnsi="Arial" w:cs="Arial"/>
                <w:b/>
                <w:sz w:val="20"/>
                <w:szCs w:val="20"/>
              </w:rPr>
              <w:t>Zaměstnanost 15+ (v tis.)</w:t>
            </w:r>
          </w:p>
        </w:tc>
        <w:tc>
          <w:tcPr>
            <w:tcW w:w="3670" w:type="dxa"/>
            <w:gridSpan w:val="3"/>
            <w:tcBorders>
              <w:top w:val="double" w:sz="6" w:space="0" w:color="auto"/>
              <w:left w:val="nil"/>
              <w:bottom w:val="single" w:sz="4" w:space="0" w:color="auto"/>
              <w:right w:val="double" w:sz="6" w:space="0" w:color="auto"/>
            </w:tcBorders>
            <w:shd w:val="clear" w:color="auto" w:fill="auto"/>
            <w:noWrap/>
            <w:vAlign w:val="center"/>
          </w:tcPr>
          <w:p w:rsidR="007A49EF" w:rsidRPr="00251317" w:rsidRDefault="007A49EF" w:rsidP="007A49EF">
            <w:pPr>
              <w:jc w:val="center"/>
              <w:rPr>
                <w:rFonts w:ascii="Arial" w:hAnsi="Arial" w:cs="Arial"/>
                <w:b/>
                <w:sz w:val="20"/>
                <w:szCs w:val="20"/>
              </w:rPr>
            </w:pPr>
            <w:r w:rsidRPr="00251317">
              <w:rPr>
                <w:rFonts w:ascii="Arial" w:hAnsi="Arial" w:cs="Arial"/>
                <w:b/>
                <w:sz w:val="20"/>
                <w:szCs w:val="20"/>
              </w:rPr>
              <w:t>Míra zaměstnanosti 20 - 64 (v %)</w:t>
            </w:r>
          </w:p>
        </w:tc>
      </w:tr>
      <w:tr w:rsidR="007A49EF" w:rsidRPr="00251317" w:rsidTr="007A49EF">
        <w:trPr>
          <w:trHeight w:val="570"/>
        </w:trPr>
        <w:tc>
          <w:tcPr>
            <w:tcW w:w="2088" w:type="dxa"/>
            <w:tcBorders>
              <w:top w:val="nil"/>
              <w:left w:val="double" w:sz="6" w:space="0" w:color="auto"/>
              <w:bottom w:val="nil"/>
              <w:right w:val="nil"/>
            </w:tcBorders>
            <w:shd w:val="clear" w:color="auto" w:fill="auto"/>
            <w:noWrap/>
            <w:vAlign w:val="bottom"/>
          </w:tcPr>
          <w:p w:rsidR="007A49EF" w:rsidRPr="00251317" w:rsidRDefault="007A49EF" w:rsidP="007A49EF">
            <w:pPr>
              <w:jc w:val="center"/>
              <w:rPr>
                <w:rFonts w:ascii="Arial" w:hAnsi="Arial" w:cs="Arial"/>
                <w:sz w:val="20"/>
                <w:szCs w:val="20"/>
              </w:rPr>
            </w:pPr>
            <w:r w:rsidRPr="00251317">
              <w:rPr>
                <w:rFonts w:ascii="Arial" w:hAnsi="Arial" w:cs="Arial"/>
                <w:sz w:val="20"/>
                <w:szCs w:val="20"/>
              </w:rPr>
              <w:t> </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1.pololetí 2012</w:t>
            </w:r>
          </w:p>
        </w:tc>
        <w:tc>
          <w:tcPr>
            <w:tcW w:w="1074" w:type="dxa"/>
            <w:tcBorders>
              <w:top w:val="single" w:sz="4" w:space="0" w:color="auto"/>
              <w:left w:val="nil"/>
              <w:bottom w:val="single" w:sz="4" w:space="0" w:color="auto"/>
              <w:right w:val="single" w:sz="4" w:space="0" w:color="auto"/>
            </w:tcBorders>
            <w:shd w:val="clear" w:color="auto" w:fill="auto"/>
            <w:noWrap/>
            <w:vAlign w:val="bottom"/>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1.pololetí 2013</w:t>
            </w:r>
          </w:p>
        </w:tc>
        <w:tc>
          <w:tcPr>
            <w:tcW w:w="1316" w:type="dxa"/>
            <w:tcBorders>
              <w:top w:val="single" w:sz="4" w:space="0" w:color="auto"/>
              <w:left w:val="nil"/>
              <w:bottom w:val="single" w:sz="4" w:space="0" w:color="auto"/>
              <w:right w:val="single" w:sz="4" w:space="0" w:color="auto"/>
            </w:tcBorders>
            <w:shd w:val="clear" w:color="auto" w:fill="auto"/>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rozdíl 13-12</w:t>
            </w:r>
          </w:p>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(tis.)</w:t>
            </w:r>
          </w:p>
        </w:tc>
        <w:tc>
          <w:tcPr>
            <w:tcW w:w="1169" w:type="dxa"/>
            <w:tcBorders>
              <w:top w:val="single" w:sz="4" w:space="0" w:color="auto"/>
              <w:left w:val="nil"/>
              <w:bottom w:val="single" w:sz="4" w:space="0" w:color="auto"/>
              <w:right w:val="single" w:sz="4" w:space="0" w:color="auto"/>
            </w:tcBorders>
            <w:shd w:val="clear" w:color="auto" w:fill="auto"/>
            <w:noWrap/>
            <w:vAlign w:val="bottom"/>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1.pololetí 2012</w:t>
            </w:r>
          </w:p>
        </w:tc>
        <w:tc>
          <w:tcPr>
            <w:tcW w:w="1231" w:type="dxa"/>
            <w:tcBorders>
              <w:top w:val="single" w:sz="4" w:space="0" w:color="auto"/>
              <w:left w:val="nil"/>
              <w:bottom w:val="single" w:sz="4" w:space="0" w:color="auto"/>
              <w:right w:val="single" w:sz="4" w:space="0" w:color="auto"/>
            </w:tcBorders>
            <w:shd w:val="clear" w:color="auto" w:fill="auto"/>
            <w:noWrap/>
            <w:vAlign w:val="bottom"/>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1.pololetí 2013</w:t>
            </w:r>
          </w:p>
        </w:tc>
        <w:tc>
          <w:tcPr>
            <w:tcW w:w="1270" w:type="dxa"/>
            <w:tcBorders>
              <w:top w:val="single" w:sz="4" w:space="0" w:color="auto"/>
              <w:left w:val="nil"/>
              <w:bottom w:val="single" w:sz="4" w:space="0" w:color="auto"/>
              <w:right w:val="double" w:sz="6" w:space="0" w:color="auto"/>
            </w:tcBorders>
            <w:shd w:val="clear" w:color="auto" w:fill="auto"/>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rozdíl 13-12</w:t>
            </w:r>
          </w:p>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w:t>
            </w:r>
            <w:r w:rsidRPr="00251317">
              <w:rPr>
                <w:rFonts w:ascii="Arial" w:hAnsi="Arial" w:cs="Arial"/>
                <w:b/>
                <w:sz w:val="18"/>
                <w:szCs w:val="18"/>
              </w:rPr>
              <w:t>p. b.</w:t>
            </w:r>
            <w:r w:rsidRPr="00251317">
              <w:rPr>
                <w:rFonts w:ascii="Arial" w:hAnsi="Arial" w:cs="Arial"/>
                <w:b/>
                <w:bCs/>
                <w:sz w:val="20"/>
                <w:szCs w:val="20"/>
              </w:rPr>
              <w:t>)</w:t>
            </w:r>
          </w:p>
        </w:tc>
      </w:tr>
      <w:tr w:rsidR="007A49EF" w:rsidRPr="00251317" w:rsidTr="007A49EF">
        <w:trPr>
          <w:trHeight w:val="300"/>
        </w:trPr>
        <w:tc>
          <w:tcPr>
            <w:tcW w:w="2088" w:type="dxa"/>
            <w:tcBorders>
              <w:top w:val="single" w:sz="4" w:space="0" w:color="auto"/>
              <w:left w:val="double" w:sz="6" w:space="0" w:color="auto"/>
              <w:bottom w:val="single" w:sz="4" w:space="0" w:color="auto"/>
              <w:right w:val="nil"/>
            </w:tcBorders>
            <w:shd w:val="clear" w:color="auto" w:fill="auto"/>
            <w:noWrap/>
            <w:vAlign w:val="bottom"/>
          </w:tcPr>
          <w:p w:rsidR="007A49EF" w:rsidRPr="00251317" w:rsidRDefault="007A49EF" w:rsidP="007A49EF">
            <w:pPr>
              <w:rPr>
                <w:rFonts w:ascii="Arial" w:hAnsi="Arial" w:cs="Arial"/>
                <w:sz w:val="20"/>
                <w:szCs w:val="20"/>
              </w:rPr>
            </w:pPr>
            <w:r w:rsidRPr="00251317">
              <w:rPr>
                <w:rFonts w:ascii="Arial" w:hAnsi="Arial" w:cs="Arial"/>
                <w:sz w:val="20"/>
                <w:szCs w:val="20"/>
              </w:rPr>
              <w:t>Celkem</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49EF" w:rsidRPr="0003143E" w:rsidRDefault="007A49EF" w:rsidP="007A49EF">
            <w:pPr>
              <w:jc w:val="right"/>
              <w:rPr>
                <w:rFonts w:ascii="Arial" w:hAnsi="Arial" w:cs="Arial"/>
                <w:b/>
                <w:sz w:val="20"/>
                <w:szCs w:val="20"/>
              </w:rPr>
            </w:pPr>
            <w:r w:rsidRPr="0003143E">
              <w:rPr>
                <w:rFonts w:ascii="Arial" w:hAnsi="Arial" w:cs="Arial"/>
                <w:b/>
                <w:sz w:val="20"/>
                <w:szCs w:val="20"/>
              </w:rPr>
              <w:t>4 861,5</w:t>
            </w:r>
          </w:p>
        </w:tc>
        <w:tc>
          <w:tcPr>
            <w:tcW w:w="1074" w:type="dxa"/>
            <w:tcBorders>
              <w:top w:val="single" w:sz="4" w:space="0" w:color="auto"/>
              <w:left w:val="nil"/>
              <w:bottom w:val="single" w:sz="4" w:space="0" w:color="auto"/>
              <w:right w:val="single" w:sz="4" w:space="0" w:color="auto"/>
            </w:tcBorders>
            <w:shd w:val="clear" w:color="auto" w:fill="auto"/>
            <w:noWrap/>
            <w:vAlign w:val="center"/>
          </w:tcPr>
          <w:p w:rsidR="007A49EF" w:rsidRPr="0003143E" w:rsidRDefault="007A49EF" w:rsidP="007A49EF">
            <w:pPr>
              <w:jc w:val="right"/>
              <w:rPr>
                <w:rFonts w:ascii="Arial" w:hAnsi="Arial" w:cs="Arial"/>
                <w:b/>
                <w:sz w:val="20"/>
                <w:szCs w:val="20"/>
              </w:rPr>
            </w:pPr>
            <w:r w:rsidRPr="0003143E">
              <w:rPr>
                <w:rFonts w:ascii="Arial" w:hAnsi="Arial" w:cs="Arial"/>
                <w:b/>
                <w:sz w:val="20"/>
                <w:szCs w:val="20"/>
              </w:rPr>
              <w:t>4918,5</w:t>
            </w:r>
          </w:p>
        </w:tc>
        <w:tc>
          <w:tcPr>
            <w:tcW w:w="1316" w:type="dxa"/>
            <w:tcBorders>
              <w:top w:val="single" w:sz="4" w:space="0" w:color="auto"/>
              <w:left w:val="nil"/>
              <w:bottom w:val="single" w:sz="4" w:space="0" w:color="auto"/>
              <w:right w:val="single" w:sz="4" w:space="0" w:color="auto"/>
            </w:tcBorders>
            <w:shd w:val="clear" w:color="auto" w:fill="auto"/>
            <w:noWrap/>
            <w:vAlign w:val="center"/>
          </w:tcPr>
          <w:p w:rsidR="007A49EF" w:rsidRPr="0003143E" w:rsidRDefault="007A49EF" w:rsidP="007A49EF">
            <w:pPr>
              <w:jc w:val="right"/>
              <w:rPr>
                <w:rFonts w:ascii="Arial" w:hAnsi="Arial" w:cs="Arial"/>
                <w:b/>
                <w:bCs/>
                <w:sz w:val="20"/>
                <w:szCs w:val="20"/>
              </w:rPr>
            </w:pPr>
            <w:r w:rsidRPr="0003143E">
              <w:rPr>
                <w:rFonts w:ascii="Arial" w:hAnsi="Arial" w:cs="Arial"/>
                <w:b/>
                <w:bCs/>
                <w:sz w:val="20"/>
                <w:szCs w:val="20"/>
              </w:rPr>
              <w:t xml:space="preserve">57,0 </w:t>
            </w:r>
          </w:p>
        </w:tc>
        <w:tc>
          <w:tcPr>
            <w:tcW w:w="1169" w:type="dxa"/>
            <w:tcBorders>
              <w:top w:val="single" w:sz="4" w:space="0" w:color="auto"/>
              <w:left w:val="nil"/>
              <w:bottom w:val="single" w:sz="4" w:space="0" w:color="auto"/>
              <w:right w:val="single" w:sz="4" w:space="0" w:color="auto"/>
            </w:tcBorders>
            <w:shd w:val="clear" w:color="auto" w:fill="auto"/>
            <w:noWrap/>
            <w:vAlign w:val="center"/>
          </w:tcPr>
          <w:p w:rsidR="007A49EF" w:rsidRPr="0003143E" w:rsidRDefault="007A49EF" w:rsidP="007A49EF">
            <w:pPr>
              <w:jc w:val="right"/>
              <w:rPr>
                <w:rFonts w:ascii="Arial" w:hAnsi="Arial" w:cs="Arial"/>
                <w:b/>
                <w:sz w:val="20"/>
                <w:szCs w:val="20"/>
              </w:rPr>
            </w:pPr>
            <w:r w:rsidRPr="0003143E">
              <w:rPr>
                <w:rFonts w:ascii="Arial" w:hAnsi="Arial" w:cs="Arial"/>
                <w:b/>
                <w:sz w:val="20"/>
                <w:szCs w:val="20"/>
              </w:rPr>
              <w:t>71,0</w:t>
            </w:r>
          </w:p>
        </w:tc>
        <w:tc>
          <w:tcPr>
            <w:tcW w:w="1231" w:type="dxa"/>
            <w:tcBorders>
              <w:top w:val="single" w:sz="4" w:space="0" w:color="auto"/>
              <w:left w:val="nil"/>
              <w:bottom w:val="single" w:sz="4" w:space="0" w:color="auto"/>
              <w:right w:val="single" w:sz="4" w:space="0" w:color="auto"/>
            </w:tcBorders>
            <w:shd w:val="clear" w:color="auto" w:fill="auto"/>
            <w:noWrap/>
            <w:vAlign w:val="center"/>
          </w:tcPr>
          <w:p w:rsidR="007A49EF" w:rsidRPr="0003143E" w:rsidRDefault="007A49EF" w:rsidP="007A49EF">
            <w:pPr>
              <w:jc w:val="right"/>
              <w:rPr>
                <w:rFonts w:ascii="Arial" w:hAnsi="Arial" w:cs="Arial"/>
                <w:b/>
                <w:bCs/>
                <w:sz w:val="20"/>
                <w:szCs w:val="20"/>
              </w:rPr>
            </w:pPr>
            <w:r w:rsidRPr="0003143E">
              <w:rPr>
                <w:rFonts w:ascii="Arial" w:hAnsi="Arial" w:cs="Arial"/>
                <w:b/>
                <w:bCs/>
                <w:sz w:val="20"/>
                <w:szCs w:val="20"/>
              </w:rPr>
              <w:t xml:space="preserve">72,2 </w:t>
            </w:r>
          </w:p>
        </w:tc>
        <w:tc>
          <w:tcPr>
            <w:tcW w:w="1270" w:type="dxa"/>
            <w:tcBorders>
              <w:top w:val="single" w:sz="4" w:space="0" w:color="auto"/>
              <w:left w:val="nil"/>
              <w:bottom w:val="single" w:sz="4" w:space="0" w:color="auto"/>
              <w:right w:val="double" w:sz="6" w:space="0" w:color="auto"/>
            </w:tcBorders>
            <w:shd w:val="clear" w:color="auto" w:fill="auto"/>
            <w:noWrap/>
            <w:vAlign w:val="center"/>
          </w:tcPr>
          <w:p w:rsidR="007A49EF" w:rsidRPr="0003143E" w:rsidRDefault="007A49EF" w:rsidP="007A49EF">
            <w:pPr>
              <w:jc w:val="right"/>
              <w:rPr>
                <w:rFonts w:ascii="Arial" w:hAnsi="Arial" w:cs="Arial"/>
                <w:b/>
                <w:bCs/>
                <w:sz w:val="20"/>
                <w:szCs w:val="20"/>
              </w:rPr>
            </w:pPr>
            <w:r w:rsidRPr="0003143E">
              <w:rPr>
                <w:rFonts w:ascii="Arial" w:hAnsi="Arial" w:cs="Arial"/>
                <w:b/>
                <w:bCs/>
                <w:sz w:val="20"/>
                <w:szCs w:val="20"/>
              </w:rPr>
              <w:t xml:space="preserve">1,2 </w:t>
            </w:r>
          </w:p>
        </w:tc>
      </w:tr>
      <w:tr w:rsidR="007A49EF" w:rsidRPr="00251317" w:rsidTr="00FF0509">
        <w:trPr>
          <w:trHeight w:val="300"/>
        </w:trPr>
        <w:tc>
          <w:tcPr>
            <w:tcW w:w="2088" w:type="dxa"/>
            <w:tcBorders>
              <w:top w:val="nil"/>
              <w:left w:val="double" w:sz="6" w:space="0" w:color="auto"/>
              <w:bottom w:val="nil"/>
              <w:right w:val="nil"/>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Hl. m. Praha</w:t>
            </w:r>
          </w:p>
        </w:tc>
        <w:tc>
          <w:tcPr>
            <w:tcW w:w="1074" w:type="dxa"/>
            <w:tcBorders>
              <w:top w:val="nil"/>
              <w:left w:val="single" w:sz="4" w:space="0" w:color="auto"/>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643,5</w:t>
            </w:r>
          </w:p>
        </w:tc>
        <w:tc>
          <w:tcPr>
            <w:tcW w:w="1074"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651,4</w:t>
            </w:r>
          </w:p>
        </w:tc>
        <w:tc>
          <w:tcPr>
            <w:tcW w:w="1316"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7,9 </w:t>
            </w:r>
          </w:p>
        </w:tc>
        <w:tc>
          <w:tcPr>
            <w:tcW w:w="1169"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76,6</w:t>
            </w:r>
          </w:p>
        </w:tc>
        <w:tc>
          <w:tcPr>
            <w:tcW w:w="1231"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77,9 </w:t>
            </w:r>
          </w:p>
        </w:tc>
        <w:tc>
          <w:tcPr>
            <w:tcW w:w="1270" w:type="dxa"/>
            <w:tcBorders>
              <w:top w:val="nil"/>
              <w:left w:val="nil"/>
              <w:bottom w:val="nil"/>
              <w:right w:val="double" w:sz="6"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1,3 </w:t>
            </w:r>
          </w:p>
        </w:tc>
      </w:tr>
      <w:tr w:rsidR="007A49EF" w:rsidRPr="00251317" w:rsidTr="00FF0509">
        <w:trPr>
          <w:trHeight w:val="300"/>
        </w:trPr>
        <w:tc>
          <w:tcPr>
            <w:tcW w:w="2088" w:type="dxa"/>
            <w:tcBorders>
              <w:top w:val="nil"/>
              <w:left w:val="double" w:sz="6" w:space="0" w:color="auto"/>
              <w:bottom w:val="nil"/>
              <w:right w:val="nil"/>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Středočeský kraj</w:t>
            </w:r>
          </w:p>
        </w:tc>
        <w:tc>
          <w:tcPr>
            <w:tcW w:w="1074" w:type="dxa"/>
            <w:tcBorders>
              <w:top w:val="nil"/>
              <w:left w:val="single" w:sz="4" w:space="0" w:color="auto"/>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619,9</w:t>
            </w:r>
          </w:p>
        </w:tc>
        <w:tc>
          <w:tcPr>
            <w:tcW w:w="1074"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622,0</w:t>
            </w:r>
          </w:p>
        </w:tc>
        <w:tc>
          <w:tcPr>
            <w:tcW w:w="1316"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2,1 </w:t>
            </w:r>
          </w:p>
        </w:tc>
        <w:tc>
          <w:tcPr>
            <w:tcW w:w="1169"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74,1</w:t>
            </w:r>
          </w:p>
        </w:tc>
        <w:tc>
          <w:tcPr>
            <w:tcW w:w="1231"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74,4 </w:t>
            </w:r>
          </w:p>
        </w:tc>
        <w:tc>
          <w:tcPr>
            <w:tcW w:w="1270" w:type="dxa"/>
            <w:tcBorders>
              <w:top w:val="nil"/>
              <w:left w:val="nil"/>
              <w:bottom w:val="nil"/>
              <w:right w:val="double" w:sz="6"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0,3 </w:t>
            </w:r>
          </w:p>
        </w:tc>
      </w:tr>
      <w:tr w:rsidR="007A49EF" w:rsidRPr="00251317" w:rsidTr="00FF0509">
        <w:trPr>
          <w:trHeight w:val="300"/>
        </w:trPr>
        <w:tc>
          <w:tcPr>
            <w:tcW w:w="2088" w:type="dxa"/>
            <w:tcBorders>
              <w:top w:val="nil"/>
              <w:left w:val="double" w:sz="6" w:space="0" w:color="auto"/>
              <w:bottom w:val="nil"/>
              <w:right w:val="nil"/>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Jihočeský kraj</w:t>
            </w:r>
          </w:p>
        </w:tc>
        <w:tc>
          <w:tcPr>
            <w:tcW w:w="1074" w:type="dxa"/>
            <w:tcBorders>
              <w:top w:val="nil"/>
              <w:left w:val="single" w:sz="4" w:space="0" w:color="auto"/>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295,6</w:t>
            </w:r>
          </w:p>
        </w:tc>
        <w:tc>
          <w:tcPr>
            <w:tcW w:w="1074"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293,1</w:t>
            </w:r>
          </w:p>
        </w:tc>
        <w:tc>
          <w:tcPr>
            <w:tcW w:w="1316"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-2,5 </w:t>
            </w:r>
          </w:p>
        </w:tc>
        <w:tc>
          <w:tcPr>
            <w:tcW w:w="1169"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72,0</w:t>
            </w:r>
          </w:p>
        </w:tc>
        <w:tc>
          <w:tcPr>
            <w:tcW w:w="1231"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71,4 </w:t>
            </w:r>
          </w:p>
        </w:tc>
        <w:tc>
          <w:tcPr>
            <w:tcW w:w="1270" w:type="dxa"/>
            <w:tcBorders>
              <w:top w:val="nil"/>
              <w:left w:val="nil"/>
              <w:bottom w:val="nil"/>
              <w:right w:val="double" w:sz="6"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-0,6 </w:t>
            </w:r>
          </w:p>
        </w:tc>
      </w:tr>
      <w:tr w:rsidR="007A49EF" w:rsidRPr="00251317" w:rsidTr="00FF0509">
        <w:trPr>
          <w:trHeight w:val="300"/>
        </w:trPr>
        <w:tc>
          <w:tcPr>
            <w:tcW w:w="2088" w:type="dxa"/>
            <w:tcBorders>
              <w:top w:val="nil"/>
              <w:left w:val="double" w:sz="6" w:space="0" w:color="auto"/>
              <w:bottom w:val="nil"/>
              <w:right w:val="nil"/>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Plzeňský kraj</w:t>
            </w:r>
          </w:p>
        </w:tc>
        <w:tc>
          <w:tcPr>
            <w:tcW w:w="1074" w:type="dxa"/>
            <w:tcBorders>
              <w:top w:val="nil"/>
              <w:left w:val="single" w:sz="4" w:space="0" w:color="auto"/>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274,7</w:t>
            </w:r>
          </w:p>
        </w:tc>
        <w:tc>
          <w:tcPr>
            <w:tcW w:w="1074"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280,2</w:t>
            </w:r>
          </w:p>
        </w:tc>
        <w:tc>
          <w:tcPr>
            <w:tcW w:w="1316"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5,5 </w:t>
            </w:r>
          </w:p>
        </w:tc>
        <w:tc>
          <w:tcPr>
            <w:tcW w:w="1169"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73,7</w:t>
            </w:r>
          </w:p>
        </w:tc>
        <w:tc>
          <w:tcPr>
            <w:tcW w:w="1231"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75,5 </w:t>
            </w:r>
          </w:p>
        </w:tc>
        <w:tc>
          <w:tcPr>
            <w:tcW w:w="1270" w:type="dxa"/>
            <w:tcBorders>
              <w:top w:val="nil"/>
              <w:left w:val="nil"/>
              <w:bottom w:val="nil"/>
              <w:right w:val="double" w:sz="6"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1,8 </w:t>
            </w:r>
          </w:p>
        </w:tc>
      </w:tr>
      <w:tr w:rsidR="007A49EF" w:rsidRPr="00251317" w:rsidTr="00FF0509">
        <w:trPr>
          <w:trHeight w:val="300"/>
        </w:trPr>
        <w:tc>
          <w:tcPr>
            <w:tcW w:w="2088" w:type="dxa"/>
            <w:tcBorders>
              <w:top w:val="nil"/>
              <w:left w:val="double" w:sz="6" w:space="0" w:color="auto"/>
              <w:bottom w:val="nil"/>
              <w:right w:val="nil"/>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Karlovarský kraj</w:t>
            </w:r>
          </w:p>
        </w:tc>
        <w:tc>
          <w:tcPr>
            <w:tcW w:w="1074" w:type="dxa"/>
            <w:tcBorders>
              <w:top w:val="nil"/>
              <w:left w:val="single" w:sz="4" w:space="0" w:color="auto"/>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136,8</w:t>
            </w:r>
          </w:p>
        </w:tc>
        <w:tc>
          <w:tcPr>
            <w:tcW w:w="1074"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140,2</w:t>
            </w:r>
          </w:p>
        </w:tc>
        <w:tc>
          <w:tcPr>
            <w:tcW w:w="1316"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3,4 </w:t>
            </w:r>
          </w:p>
        </w:tc>
        <w:tc>
          <w:tcPr>
            <w:tcW w:w="1169"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68,2</w:t>
            </w:r>
          </w:p>
        </w:tc>
        <w:tc>
          <w:tcPr>
            <w:tcW w:w="1231"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70,6 </w:t>
            </w:r>
          </w:p>
        </w:tc>
        <w:tc>
          <w:tcPr>
            <w:tcW w:w="1270" w:type="dxa"/>
            <w:tcBorders>
              <w:top w:val="nil"/>
              <w:left w:val="nil"/>
              <w:bottom w:val="nil"/>
              <w:right w:val="double" w:sz="6"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2,4 </w:t>
            </w:r>
          </w:p>
        </w:tc>
      </w:tr>
      <w:tr w:rsidR="007A49EF" w:rsidRPr="00251317" w:rsidTr="00FF0509">
        <w:trPr>
          <w:trHeight w:val="300"/>
        </w:trPr>
        <w:tc>
          <w:tcPr>
            <w:tcW w:w="2088" w:type="dxa"/>
            <w:tcBorders>
              <w:top w:val="nil"/>
              <w:left w:val="double" w:sz="6" w:space="0" w:color="auto"/>
              <w:bottom w:val="nil"/>
              <w:right w:val="nil"/>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Ústecký kraj</w:t>
            </w:r>
          </w:p>
        </w:tc>
        <w:tc>
          <w:tcPr>
            <w:tcW w:w="1074" w:type="dxa"/>
            <w:tcBorders>
              <w:top w:val="nil"/>
              <w:left w:val="single" w:sz="4" w:space="0" w:color="auto"/>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352,7</w:t>
            </w:r>
          </w:p>
        </w:tc>
        <w:tc>
          <w:tcPr>
            <w:tcW w:w="1074"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360,0</w:t>
            </w:r>
          </w:p>
        </w:tc>
        <w:tc>
          <w:tcPr>
            <w:tcW w:w="1316"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7,3 </w:t>
            </w:r>
          </w:p>
        </w:tc>
        <w:tc>
          <w:tcPr>
            <w:tcW w:w="1169"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65,5</w:t>
            </w:r>
          </w:p>
        </w:tc>
        <w:tc>
          <w:tcPr>
            <w:tcW w:w="1231"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67,6 </w:t>
            </w:r>
          </w:p>
        </w:tc>
        <w:tc>
          <w:tcPr>
            <w:tcW w:w="1270" w:type="dxa"/>
            <w:tcBorders>
              <w:top w:val="nil"/>
              <w:left w:val="nil"/>
              <w:bottom w:val="nil"/>
              <w:right w:val="double" w:sz="6"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2,1 </w:t>
            </w:r>
          </w:p>
        </w:tc>
      </w:tr>
      <w:tr w:rsidR="007A49EF" w:rsidRPr="00251317" w:rsidTr="00FF0509">
        <w:trPr>
          <w:trHeight w:val="300"/>
        </w:trPr>
        <w:tc>
          <w:tcPr>
            <w:tcW w:w="2088" w:type="dxa"/>
            <w:tcBorders>
              <w:top w:val="nil"/>
              <w:left w:val="double" w:sz="6" w:space="0" w:color="auto"/>
              <w:bottom w:val="nil"/>
              <w:right w:val="nil"/>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Liberecký kraj</w:t>
            </w:r>
          </w:p>
        </w:tc>
        <w:tc>
          <w:tcPr>
            <w:tcW w:w="1074" w:type="dxa"/>
            <w:tcBorders>
              <w:top w:val="nil"/>
              <w:left w:val="single" w:sz="4" w:space="0" w:color="auto"/>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191,8</w:t>
            </w:r>
          </w:p>
        </w:tc>
        <w:tc>
          <w:tcPr>
            <w:tcW w:w="1074"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196,1</w:t>
            </w:r>
          </w:p>
        </w:tc>
        <w:tc>
          <w:tcPr>
            <w:tcW w:w="1316"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4,3 </w:t>
            </w:r>
          </w:p>
        </w:tc>
        <w:tc>
          <w:tcPr>
            <w:tcW w:w="1169"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67,3</w:t>
            </w:r>
          </w:p>
        </w:tc>
        <w:tc>
          <w:tcPr>
            <w:tcW w:w="1231"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69,3 </w:t>
            </w:r>
          </w:p>
        </w:tc>
        <w:tc>
          <w:tcPr>
            <w:tcW w:w="1270" w:type="dxa"/>
            <w:tcBorders>
              <w:top w:val="nil"/>
              <w:left w:val="nil"/>
              <w:bottom w:val="nil"/>
              <w:right w:val="double" w:sz="6"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2,0 </w:t>
            </w:r>
          </w:p>
        </w:tc>
      </w:tr>
      <w:tr w:rsidR="007A49EF" w:rsidRPr="00251317" w:rsidTr="00FF0509">
        <w:trPr>
          <w:trHeight w:val="300"/>
        </w:trPr>
        <w:tc>
          <w:tcPr>
            <w:tcW w:w="2088" w:type="dxa"/>
            <w:tcBorders>
              <w:top w:val="nil"/>
              <w:left w:val="double" w:sz="6" w:space="0" w:color="auto"/>
              <w:bottom w:val="nil"/>
              <w:right w:val="nil"/>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Královéhradecký kraj</w:t>
            </w:r>
          </w:p>
        </w:tc>
        <w:tc>
          <w:tcPr>
            <w:tcW w:w="1074" w:type="dxa"/>
            <w:tcBorders>
              <w:top w:val="nil"/>
              <w:left w:val="single" w:sz="4" w:space="0" w:color="auto"/>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251,8</w:t>
            </w:r>
          </w:p>
        </w:tc>
        <w:tc>
          <w:tcPr>
            <w:tcW w:w="1074"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252,6</w:t>
            </w:r>
          </w:p>
        </w:tc>
        <w:tc>
          <w:tcPr>
            <w:tcW w:w="1316"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0,8 </w:t>
            </w:r>
          </w:p>
        </w:tc>
        <w:tc>
          <w:tcPr>
            <w:tcW w:w="1169"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71,1</w:t>
            </w:r>
          </w:p>
        </w:tc>
        <w:tc>
          <w:tcPr>
            <w:tcW w:w="1231"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72,0 </w:t>
            </w:r>
          </w:p>
        </w:tc>
        <w:tc>
          <w:tcPr>
            <w:tcW w:w="1270" w:type="dxa"/>
            <w:tcBorders>
              <w:top w:val="nil"/>
              <w:left w:val="nil"/>
              <w:bottom w:val="nil"/>
              <w:right w:val="double" w:sz="6"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0,9 </w:t>
            </w:r>
          </w:p>
        </w:tc>
      </w:tr>
      <w:tr w:rsidR="007A49EF" w:rsidRPr="00251317" w:rsidTr="00FF0509">
        <w:trPr>
          <w:trHeight w:val="300"/>
        </w:trPr>
        <w:tc>
          <w:tcPr>
            <w:tcW w:w="2088" w:type="dxa"/>
            <w:tcBorders>
              <w:top w:val="nil"/>
              <w:left w:val="double" w:sz="6" w:space="0" w:color="auto"/>
              <w:bottom w:val="nil"/>
              <w:right w:val="nil"/>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Pardubický kraj</w:t>
            </w:r>
          </w:p>
        </w:tc>
        <w:tc>
          <w:tcPr>
            <w:tcW w:w="1074" w:type="dxa"/>
            <w:tcBorders>
              <w:top w:val="nil"/>
              <w:left w:val="single" w:sz="4" w:space="0" w:color="auto"/>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235,7</w:t>
            </w:r>
          </w:p>
        </w:tc>
        <w:tc>
          <w:tcPr>
            <w:tcW w:w="1074"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239,5</w:t>
            </w:r>
          </w:p>
        </w:tc>
        <w:tc>
          <w:tcPr>
            <w:tcW w:w="1316"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3,8 </w:t>
            </w:r>
          </w:p>
        </w:tc>
        <w:tc>
          <w:tcPr>
            <w:tcW w:w="1169"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71,4</w:t>
            </w:r>
          </w:p>
        </w:tc>
        <w:tc>
          <w:tcPr>
            <w:tcW w:w="1231"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72,8 </w:t>
            </w:r>
          </w:p>
        </w:tc>
        <w:tc>
          <w:tcPr>
            <w:tcW w:w="1270" w:type="dxa"/>
            <w:tcBorders>
              <w:top w:val="nil"/>
              <w:left w:val="nil"/>
              <w:bottom w:val="nil"/>
              <w:right w:val="double" w:sz="6"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1,4 </w:t>
            </w:r>
          </w:p>
        </w:tc>
      </w:tr>
      <w:tr w:rsidR="007A49EF" w:rsidRPr="00251317" w:rsidTr="00FF0509">
        <w:trPr>
          <w:trHeight w:val="300"/>
        </w:trPr>
        <w:tc>
          <w:tcPr>
            <w:tcW w:w="2088" w:type="dxa"/>
            <w:tcBorders>
              <w:top w:val="nil"/>
              <w:left w:val="double" w:sz="6" w:space="0" w:color="auto"/>
              <w:bottom w:val="nil"/>
              <w:right w:val="nil"/>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Kraj Vysočina</w:t>
            </w:r>
          </w:p>
        </w:tc>
        <w:tc>
          <w:tcPr>
            <w:tcW w:w="1074" w:type="dxa"/>
            <w:tcBorders>
              <w:top w:val="nil"/>
              <w:left w:val="single" w:sz="4" w:space="0" w:color="auto"/>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229,2</w:t>
            </w:r>
          </w:p>
        </w:tc>
        <w:tc>
          <w:tcPr>
            <w:tcW w:w="1074"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234,1</w:t>
            </w:r>
          </w:p>
        </w:tc>
        <w:tc>
          <w:tcPr>
            <w:tcW w:w="1316"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4,9 </w:t>
            </w:r>
          </w:p>
        </w:tc>
        <w:tc>
          <w:tcPr>
            <w:tcW w:w="1169"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69,9</w:t>
            </w:r>
          </w:p>
        </w:tc>
        <w:tc>
          <w:tcPr>
            <w:tcW w:w="1231"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71,3 </w:t>
            </w:r>
          </w:p>
        </w:tc>
        <w:tc>
          <w:tcPr>
            <w:tcW w:w="1270" w:type="dxa"/>
            <w:tcBorders>
              <w:top w:val="nil"/>
              <w:left w:val="nil"/>
              <w:bottom w:val="nil"/>
              <w:right w:val="double" w:sz="6"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1,4 </w:t>
            </w:r>
          </w:p>
        </w:tc>
      </w:tr>
      <w:tr w:rsidR="007A49EF" w:rsidRPr="00251317" w:rsidTr="00FF0509">
        <w:trPr>
          <w:trHeight w:val="300"/>
        </w:trPr>
        <w:tc>
          <w:tcPr>
            <w:tcW w:w="2088" w:type="dxa"/>
            <w:tcBorders>
              <w:top w:val="nil"/>
              <w:left w:val="double" w:sz="6" w:space="0" w:color="auto"/>
              <w:bottom w:val="nil"/>
              <w:right w:val="nil"/>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Jihomoravský kraj</w:t>
            </w:r>
          </w:p>
        </w:tc>
        <w:tc>
          <w:tcPr>
            <w:tcW w:w="1074" w:type="dxa"/>
            <w:tcBorders>
              <w:top w:val="nil"/>
              <w:left w:val="single" w:sz="4" w:space="0" w:color="auto"/>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532,9</w:t>
            </w:r>
          </w:p>
        </w:tc>
        <w:tc>
          <w:tcPr>
            <w:tcW w:w="1074"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554,5</w:t>
            </w:r>
          </w:p>
        </w:tc>
        <w:tc>
          <w:tcPr>
            <w:tcW w:w="1316"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21,6 </w:t>
            </w:r>
          </w:p>
        </w:tc>
        <w:tc>
          <w:tcPr>
            <w:tcW w:w="1169"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70,2</w:t>
            </w:r>
          </w:p>
        </w:tc>
        <w:tc>
          <w:tcPr>
            <w:tcW w:w="1231"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73,2 </w:t>
            </w:r>
          </w:p>
        </w:tc>
        <w:tc>
          <w:tcPr>
            <w:tcW w:w="1270" w:type="dxa"/>
            <w:tcBorders>
              <w:top w:val="nil"/>
              <w:left w:val="nil"/>
              <w:bottom w:val="nil"/>
              <w:right w:val="double" w:sz="6"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3,0 </w:t>
            </w:r>
          </w:p>
        </w:tc>
      </w:tr>
      <w:tr w:rsidR="007A49EF" w:rsidRPr="00251317" w:rsidTr="00FF0509">
        <w:trPr>
          <w:trHeight w:val="300"/>
        </w:trPr>
        <w:tc>
          <w:tcPr>
            <w:tcW w:w="2088" w:type="dxa"/>
            <w:tcBorders>
              <w:top w:val="nil"/>
              <w:left w:val="double" w:sz="6" w:space="0" w:color="auto"/>
              <w:bottom w:val="nil"/>
              <w:right w:val="nil"/>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Olomoucký kraj</w:t>
            </w:r>
          </w:p>
        </w:tc>
        <w:tc>
          <w:tcPr>
            <w:tcW w:w="1074" w:type="dxa"/>
            <w:tcBorders>
              <w:top w:val="nil"/>
              <w:left w:val="single" w:sz="4" w:space="0" w:color="auto"/>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288,4</w:t>
            </w:r>
          </w:p>
        </w:tc>
        <w:tc>
          <w:tcPr>
            <w:tcW w:w="1074"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279,4</w:t>
            </w:r>
          </w:p>
        </w:tc>
        <w:tc>
          <w:tcPr>
            <w:tcW w:w="1316"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-9,0 </w:t>
            </w:r>
          </w:p>
        </w:tc>
        <w:tc>
          <w:tcPr>
            <w:tcW w:w="1169"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70,3</w:t>
            </w:r>
          </w:p>
        </w:tc>
        <w:tc>
          <w:tcPr>
            <w:tcW w:w="1231"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68,3 </w:t>
            </w:r>
          </w:p>
        </w:tc>
        <w:tc>
          <w:tcPr>
            <w:tcW w:w="1270" w:type="dxa"/>
            <w:tcBorders>
              <w:top w:val="nil"/>
              <w:left w:val="nil"/>
              <w:bottom w:val="nil"/>
              <w:right w:val="double" w:sz="6"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-2,0 </w:t>
            </w:r>
          </w:p>
        </w:tc>
      </w:tr>
      <w:tr w:rsidR="007A49EF" w:rsidRPr="00251317" w:rsidTr="00FF0509">
        <w:trPr>
          <w:trHeight w:val="300"/>
        </w:trPr>
        <w:tc>
          <w:tcPr>
            <w:tcW w:w="2088" w:type="dxa"/>
            <w:tcBorders>
              <w:top w:val="nil"/>
              <w:left w:val="double" w:sz="6" w:space="0" w:color="auto"/>
              <w:bottom w:val="nil"/>
              <w:right w:val="nil"/>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Zlínský kraj</w:t>
            </w:r>
          </w:p>
        </w:tc>
        <w:tc>
          <w:tcPr>
            <w:tcW w:w="1074" w:type="dxa"/>
            <w:tcBorders>
              <w:top w:val="nil"/>
              <w:left w:val="single" w:sz="4" w:space="0" w:color="auto"/>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267,3</w:t>
            </w:r>
          </w:p>
        </w:tc>
        <w:tc>
          <w:tcPr>
            <w:tcW w:w="1074"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274,3</w:t>
            </w:r>
          </w:p>
        </w:tc>
        <w:tc>
          <w:tcPr>
            <w:tcW w:w="1316"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7,0 </w:t>
            </w:r>
          </w:p>
        </w:tc>
        <w:tc>
          <w:tcPr>
            <w:tcW w:w="1169"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70,4</w:t>
            </w:r>
          </w:p>
        </w:tc>
        <w:tc>
          <w:tcPr>
            <w:tcW w:w="1231"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72,5 </w:t>
            </w:r>
          </w:p>
        </w:tc>
        <w:tc>
          <w:tcPr>
            <w:tcW w:w="1270" w:type="dxa"/>
            <w:tcBorders>
              <w:top w:val="nil"/>
              <w:left w:val="nil"/>
              <w:bottom w:val="nil"/>
              <w:right w:val="double" w:sz="6"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2,1 </w:t>
            </w:r>
          </w:p>
        </w:tc>
      </w:tr>
      <w:tr w:rsidR="007A49EF" w:rsidRPr="00251317" w:rsidTr="00FF0509">
        <w:trPr>
          <w:trHeight w:val="300"/>
        </w:trPr>
        <w:tc>
          <w:tcPr>
            <w:tcW w:w="2088" w:type="dxa"/>
            <w:tcBorders>
              <w:top w:val="nil"/>
              <w:left w:val="double" w:sz="6" w:space="0" w:color="auto"/>
              <w:bottom w:val="double" w:sz="6" w:space="0" w:color="auto"/>
              <w:right w:val="nil"/>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Moravskoslezský kraj</w:t>
            </w:r>
          </w:p>
        </w:tc>
        <w:tc>
          <w:tcPr>
            <w:tcW w:w="1074" w:type="dxa"/>
            <w:tcBorders>
              <w:top w:val="nil"/>
              <w:left w:val="single" w:sz="4" w:space="0" w:color="auto"/>
              <w:bottom w:val="double" w:sz="6" w:space="0" w:color="auto"/>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541,3</w:t>
            </w:r>
          </w:p>
        </w:tc>
        <w:tc>
          <w:tcPr>
            <w:tcW w:w="1074" w:type="dxa"/>
            <w:tcBorders>
              <w:top w:val="nil"/>
              <w:left w:val="nil"/>
              <w:bottom w:val="double" w:sz="6" w:space="0" w:color="auto"/>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541,0</w:t>
            </w:r>
          </w:p>
        </w:tc>
        <w:tc>
          <w:tcPr>
            <w:tcW w:w="1316" w:type="dxa"/>
            <w:tcBorders>
              <w:top w:val="nil"/>
              <w:left w:val="nil"/>
              <w:bottom w:val="double" w:sz="6" w:space="0" w:color="auto"/>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-0,3 </w:t>
            </w:r>
          </w:p>
        </w:tc>
        <w:tc>
          <w:tcPr>
            <w:tcW w:w="1169" w:type="dxa"/>
            <w:tcBorders>
              <w:top w:val="nil"/>
              <w:left w:val="nil"/>
              <w:bottom w:val="double" w:sz="6" w:space="0" w:color="auto"/>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67,9</w:t>
            </w:r>
          </w:p>
        </w:tc>
        <w:tc>
          <w:tcPr>
            <w:tcW w:w="1231" w:type="dxa"/>
            <w:tcBorders>
              <w:top w:val="nil"/>
              <w:left w:val="nil"/>
              <w:bottom w:val="double" w:sz="6" w:space="0" w:color="auto"/>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68,1 </w:t>
            </w:r>
          </w:p>
        </w:tc>
        <w:tc>
          <w:tcPr>
            <w:tcW w:w="1270" w:type="dxa"/>
            <w:tcBorders>
              <w:top w:val="nil"/>
              <w:left w:val="nil"/>
              <w:bottom w:val="double" w:sz="6" w:space="0" w:color="auto"/>
              <w:right w:val="double" w:sz="6"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0,2 </w:t>
            </w:r>
          </w:p>
        </w:tc>
      </w:tr>
    </w:tbl>
    <w:p w:rsidR="007A49EF" w:rsidRPr="00251317" w:rsidRDefault="007A49EF" w:rsidP="007A49EF">
      <w:pPr>
        <w:tabs>
          <w:tab w:val="center" w:pos="720"/>
        </w:tabs>
        <w:spacing w:line="480" w:lineRule="auto"/>
        <w:jc w:val="both"/>
        <w:rPr>
          <w:rFonts w:ascii="Arial" w:hAnsi="Arial" w:cs="Arial"/>
          <w:i/>
          <w:iCs/>
          <w:sz w:val="18"/>
          <w:szCs w:val="18"/>
        </w:rPr>
      </w:pPr>
      <w:r w:rsidRPr="00251317">
        <w:rPr>
          <w:rFonts w:ascii="Arial" w:hAnsi="Arial" w:cs="Arial"/>
          <w:i/>
          <w:iCs/>
          <w:sz w:val="18"/>
          <w:szCs w:val="18"/>
        </w:rPr>
        <w:t>Zdroj: ČSÚ - VŠPS</w:t>
      </w:r>
    </w:p>
    <w:p w:rsidR="007A49EF" w:rsidRPr="00251317" w:rsidRDefault="007A49EF" w:rsidP="007A49EF">
      <w:pPr>
        <w:widowControl w:val="0"/>
        <w:tabs>
          <w:tab w:val="center" w:pos="0"/>
        </w:tabs>
        <w:spacing w:line="360" w:lineRule="auto"/>
        <w:ind w:firstLine="720"/>
        <w:jc w:val="both"/>
        <w:rPr>
          <w:rFonts w:ascii="Arial" w:hAnsi="Arial" w:cs="Arial"/>
        </w:rPr>
      </w:pPr>
      <w:r w:rsidRPr="00251317">
        <w:rPr>
          <w:rFonts w:ascii="Arial" w:hAnsi="Arial" w:cs="Arial"/>
          <w:b/>
        </w:rPr>
        <w:t>Zaměstnanost meziročně poklesla</w:t>
      </w:r>
      <w:r w:rsidRPr="00251317">
        <w:rPr>
          <w:rFonts w:ascii="Arial" w:hAnsi="Arial" w:cs="Arial"/>
        </w:rPr>
        <w:t xml:space="preserve"> </w:t>
      </w:r>
      <w:r w:rsidRPr="00251317">
        <w:rPr>
          <w:rFonts w:ascii="Arial" w:hAnsi="Arial" w:cs="Arial"/>
          <w:b/>
        </w:rPr>
        <w:t xml:space="preserve">v Olomouckém </w:t>
      </w:r>
      <w:r w:rsidRPr="00251317">
        <w:rPr>
          <w:rFonts w:ascii="Arial" w:hAnsi="Arial" w:cs="Arial"/>
        </w:rPr>
        <w:t xml:space="preserve">(o 9,0 tis.), </w:t>
      </w:r>
      <w:r w:rsidRPr="00251317">
        <w:rPr>
          <w:rFonts w:ascii="Arial" w:hAnsi="Arial" w:cs="Arial"/>
          <w:b/>
        </w:rPr>
        <w:t>Jihočeském</w:t>
      </w:r>
      <w:r w:rsidRPr="00251317">
        <w:rPr>
          <w:rFonts w:ascii="Arial" w:hAnsi="Arial" w:cs="Arial"/>
        </w:rPr>
        <w:t xml:space="preserve"> (o 2,5 tis.) a </w:t>
      </w:r>
      <w:r w:rsidRPr="00251317">
        <w:rPr>
          <w:rFonts w:ascii="Arial" w:hAnsi="Arial" w:cs="Arial"/>
          <w:b/>
        </w:rPr>
        <w:t>Moravskoslezském kraji</w:t>
      </w:r>
      <w:r w:rsidRPr="00251317">
        <w:rPr>
          <w:rFonts w:ascii="Arial" w:hAnsi="Arial" w:cs="Arial"/>
        </w:rPr>
        <w:t xml:space="preserve"> (o 0,3 tis. osob). V Olomouckém kraji</w:t>
      </w:r>
      <w:r w:rsidRPr="00251317">
        <w:rPr>
          <w:rFonts w:ascii="Arial" w:hAnsi="Arial" w:cs="Arial"/>
          <w:b/>
        </w:rPr>
        <w:t xml:space="preserve"> </w:t>
      </w:r>
      <w:r w:rsidRPr="00251317">
        <w:rPr>
          <w:rFonts w:ascii="Arial" w:hAnsi="Arial" w:cs="Arial"/>
        </w:rPr>
        <w:t xml:space="preserve">byl zaznamenán </w:t>
      </w:r>
      <w:r w:rsidRPr="00251317">
        <w:rPr>
          <w:rFonts w:ascii="Arial" w:hAnsi="Arial" w:cs="Arial"/>
          <w:b/>
        </w:rPr>
        <w:t xml:space="preserve">pokles </w:t>
      </w:r>
      <w:r w:rsidRPr="00251317">
        <w:rPr>
          <w:rFonts w:ascii="Arial" w:hAnsi="Arial" w:cs="Arial"/>
        </w:rPr>
        <w:t>především ve zpracovatelském průmyslu, v Jihočeském kraji zejména v sekci velkoobchod a maloobchod a zpracovatelském průmyslu, v Moravskoslezském kraji ve zpracovatelském průmyslu a sekci zdravotní a sociální péče.</w:t>
      </w:r>
    </w:p>
    <w:p w:rsidR="007A49EF" w:rsidRPr="00251317" w:rsidRDefault="007A49EF" w:rsidP="007A49EF">
      <w:pPr>
        <w:spacing w:line="360" w:lineRule="auto"/>
        <w:ind w:firstLine="708"/>
        <w:jc w:val="both"/>
        <w:rPr>
          <w:rFonts w:ascii="Arial" w:hAnsi="Arial" w:cs="Arial"/>
        </w:rPr>
      </w:pPr>
      <w:r w:rsidRPr="00251317">
        <w:rPr>
          <w:rFonts w:ascii="Arial" w:hAnsi="Arial" w:cs="Arial"/>
        </w:rPr>
        <w:t xml:space="preserve">Souběžně s absolutním nárůstem zaměstnanosti rostla i </w:t>
      </w:r>
      <w:r w:rsidRPr="00251317">
        <w:rPr>
          <w:rFonts w:ascii="Arial" w:hAnsi="Arial" w:cs="Arial"/>
          <w:b/>
        </w:rPr>
        <w:t>míra zaměstnanosti</w:t>
      </w:r>
      <w:r w:rsidRPr="00251317">
        <w:rPr>
          <w:rFonts w:ascii="Arial" w:hAnsi="Arial" w:cs="Arial"/>
        </w:rPr>
        <w:t xml:space="preserve"> (MZ). Celková </w:t>
      </w:r>
      <w:r w:rsidRPr="00251317">
        <w:rPr>
          <w:rFonts w:ascii="Arial" w:hAnsi="Arial" w:cs="Arial"/>
          <w:b/>
        </w:rPr>
        <w:t>MZ</w:t>
      </w:r>
      <w:r w:rsidRPr="00251317">
        <w:rPr>
          <w:rFonts w:ascii="Arial" w:hAnsi="Arial" w:cs="Arial"/>
        </w:rPr>
        <w:t xml:space="preserve"> osob ve věku </w:t>
      </w:r>
      <w:r w:rsidRPr="00251317">
        <w:rPr>
          <w:rFonts w:ascii="Arial" w:hAnsi="Arial" w:cs="Arial"/>
          <w:b/>
        </w:rPr>
        <w:t>15+ se zvýšila</w:t>
      </w:r>
      <w:r w:rsidRPr="00251317">
        <w:rPr>
          <w:rFonts w:ascii="Arial" w:hAnsi="Arial" w:cs="Arial"/>
        </w:rPr>
        <w:t xml:space="preserve"> (o 0,7 p. b.) </w:t>
      </w:r>
      <w:r w:rsidRPr="00251317">
        <w:rPr>
          <w:rFonts w:ascii="Arial" w:hAnsi="Arial" w:cs="Arial"/>
          <w:b/>
        </w:rPr>
        <w:t>na 54,9 %</w:t>
      </w:r>
      <w:r w:rsidRPr="00251317">
        <w:rPr>
          <w:rFonts w:ascii="Arial" w:hAnsi="Arial" w:cs="Arial"/>
        </w:rPr>
        <w:t xml:space="preserve">, osob ve věku </w:t>
      </w:r>
      <w:r w:rsidRPr="00251317">
        <w:rPr>
          <w:rFonts w:ascii="Arial" w:hAnsi="Arial" w:cs="Arial"/>
          <w:b/>
        </w:rPr>
        <w:t>15 – 64 let</w:t>
      </w:r>
      <w:r w:rsidRPr="00251317">
        <w:rPr>
          <w:rFonts w:ascii="Arial" w:hAnsi="Arial" w:cs="Arial"/>
        </w:rPr>
        <w:t xml:space="preserve"> (o 1,3 p. b.) </w:t>
      </w:r>
      <w:r w:rsidRPr="00251317">
        <w:rPr>
          <w:rFonts w:ascii="Arial" w:hAnsi="Arial" w:cs="Arial"/>
          <w:b/>
        </w:rPr>
        <w:t>na 67,3 %</w:t>
      </w:r>
      <w:r w:rsidRPr="00251317">
        <w:rPr>
          <w:rFonts w:ascii="Arial" w:hAnsi="Arial" w:cs="Arial"/>
        </w:rPr>
        <w:t xml:space="preserve">. </w:t>
      </w:r>
    </w:p>
    <w:p w:rsidR="007A49EF" w:rsidRPr="00251317" w:rsidRDefault="007A49EF" w:rsidP="007A49EF">
      <w:pPr>
        <w:widowControl w:val="0"/>
        <w:tabs>
          <w:tab w:val="center" w:pos="0"/>
        </w:tabs>
        <w:spacing w:line="360" w:lineRule="auto"/>
        <w:ind w:firstLine="720"/>
        <w:jc w:val="both"/>
        <w:rPr>
          <w:rFonts w:ascii="Arial" w:hAnsi="Arial" w:cs="Arial"/>
        </w:rPr>
      </w:pPr>
      <w:r w:rsidRPr="00251317">
        <w:rPr>
          <w:rFonts w:ascii="Arial" w:hAnsi="Arial" w:cs="Arial"/>
        </w:rPr>
        <w:t xml:space="preserve">V návaznosti na hlavní cíle Strategie Evropa 2020 (která nahradila Lisabonskou strategii) </w:t>
      </w:r>
      <w:r>
        <w:rPr>
          <w:rFonts w:ascii="Arial" w:hAnsi="Arial" w:cs="Arial"/>
        </w:rPr>
        <w:t xml:space="preserve">si ČR stanovila </w:t>
      </w:r>
      <w:r w:rsidRPr="00C80A3E">
        <w:rPr>
          <w:rFonts w:ascii="Arial" w:hAnsi="Arial" w:cs="Arial"/>
          <w:b/>
        </w:rPr>
        <w:t>dosažení následujících národních cílů do roku 2020</w:t>
      </w:r>
      <w:r w:rsidRPr="00251317">
        <w:rPr>
          <w:rFonts w:ascii="Arial" w:hAnsi="Arial" w:cs="Arial"/>
        </w:rPr>
        <w:t xml:space="preserve">: zvýšení celkové míry zaměstnanosti ve věkové skupině 20 – 64 let na 75 %, zvýšení MZ žen v této věkové skupině na 65 % a MZ starších pracovníků </w:t>
      </w:r>
      <w:r w:rsidR="00553EC3">
        <w:rPr>
          <w:rFonts w:ascii="Arial" w:hAnsi="Arial" w:cs="Arial"/>
        </w:rPr>
        <w:t xml:space="preserve">  </w:t>
      </w:r>
      <w:r w:rsidRPr="00251317">
        <w:rPr>
          <w:rFonts w:ascii="Arial" w:hAnsi="Arial" w:cs="Arial"/>
        </w:rPr>
        <w:t xml:space="preserve">(55 – 64 let) na 55 %. </w:t>
      </w:r>
    </w:p>
    <w:p w:rsidR="007A49EF" w:rsidRPr="00251317" w:rsidRDefault="007A49EF" w:rsidP="007A49EF">
      <w:pPr>
        <w:widowControl w:val="0"/>
        <w:tabs>
          <w:tab w:val="center" w:pos="0"/>
        </w:tabs>
        <w:spacing w:line="360" w:lineRule="auto"/>
        <w:ind w:firstLine="720"/>
        <w:jc w:val="both"/>
        <w:rPr>
          <w:rFonts w:ascii="Arial" w:hAnsi="Arial" w:cs="Arial"/>
          <w:i/>
        </w:rPr>
      </w:pPr>
      <w:r w:rsidRPr="00251317">
        <w:rPr>
          <w:rFonts w:ascii="Arial" w:hAnsi="Arial" w:cs="Arial"/>
        </w:rPr>
        <w:t xml:space="preserve">MZ obyvatelstva </w:t>
      </w:r>
      <w:r w:rsidRPr="00251317">
        <w:rPr>
          <w:rFonts w:ascii="Arial" w:hAnsi="Arial" w:cs="Arial"/>
          <w:b/>
          <w:bCs/>
        </w:rPr>
        <w:t>ve věku 20 - 64 let</w:t>
      </w:r>
      <w:r w:rsidRPr="00251317">
        <w:rPr>
          <w:rFonts w:ascii="Arial" w:hAnsi="Arial" w:cs="Arial"/>
        </w:rPr>
        <w:t xml:space="preserve"> se v 1. pololetí 2013 meziročně zvýšila </w:t>
      </w:r>
      <w:r w:rsidRPr="00251317">
        <w:rPr>
          <w:rFonts w:ascii="Arial" w:hAnsi="Arial" w:cs="Arial"/>
          <w:bCs/>
        </w:rPr>
        <w:lastRenderedPageBreak/>
        <w:t>o 1</w:t>
      </w:r>
      <w:r w:rsidRPr="00251317">
        <w:rPr>
          <w:rFonts w:ascii="Arial" w:hAnsi="Arial" w:cs="Arial"/>
        </w:rPr>
        <w:t xml:space="preserve">,2 p. b. </w:t>
      </w:r>
      <w:r w:rsidRPr="00251317">
        <w:rPr>
          <w:rFonts w:ascii="Arial" w:hAnsi="Arial" w:cs="Arial"/>
          <w:b/>
          <w:bCs/>
        </w:rPr>
        <w:t>na 72,2 %,</w:t>
      </w:r>
      <w:r w:rsidRPr="00251317">
        <w:rPr>
          <w:rFonts w:ascii="Arial" w:hAnsi="Arial" w:cs="Arial"/>
        </w:rPr>
        <w:t xml:space="preserve"> m</w:t>
      </w:r>
      <w:r w:rsidRPr="00251317">
        <w:rPr>
          <w:rFonts w:ascii="Arial" w:hAnsi="Arial" w:cs="Arial"/>
          <w:bCs/>
        </w:rPr>
        <w:t>íra zaměstnanosti</w:t>
      </w:r>
      <w:r w:rsidRPr="00251317">
        <w:rPr>
          <w:rFonts w:ascii="Arial" w:hAnsi="Arial" w:cs="Arial"/>
          <w:b/>
          <w:bCs/>
        </w:rPr>
        <w:t xml:space="preserve"> žen </w:t>
      </w:r>
      <w:r w:rsidRPr="00251317">
        <w:rPr>
          <w:rFonts w:ascii="Arial" w:hAnsi="Arial" w:cs="Arial"/>
          <w:bCs/>
        </w:rPr>
        <w:t>ve stejném věku</w:t>
      </w:r>
      <w:r w:rsidRPr="00251317">
        <w:rPr>
          <w:rFonts w:ascii="Arial" w:hAnsi="Arial" w:cs="Arial"/>
          <w:b/>
          <w:bCs/>
        </w:rPr>
        <w:t xml:space="preserve"> </w:t>
      </w:r>
      <w:r w:rsidRPr="00251317">
        <w:rPr>
          <w:rFonts w:ascii="Arial" w:hAnsi="Arial" w:cs="Arial"/>
        </w:rPr>
        <w:t xml:space="preserve">o 1,4 p. b. </w:t>
      </w:r>
      <w:r w:rsidRPr="00251317">
        <w:rPr>
          <w:rFonts w:ascii="Arial" w:hAnsi="Arial" w:cs="Arial"/>
          <w:b/>
          <w:bCs/>
        </w:rPr>
        <w:t>na 63,5 %</w:t>
      </w:r>
      <w:r w:rsidRPr="00251317">
        <w:rPr>
          <w:rFonts w:ascii="Arial" w:hAnsi="Arial" w:cs="Arial"/>
          <w:bCs/>
        </w:rPr>
        <w:t xml:space="preserve"> </w:t>
      </w:r>
      <w:r>
        <w:rPr>
          <w:rFonts w:ascii="Arial" w:hAnsi="Arial" w:cs="Arial"/>
          <w:bCs/>
        </w:rPr>
        <w:t xml:space="preserve">(MZ </w:t>
      </w:r>
      <w:r w:rsidRPr="00251317">
        <w:rPr>
          <w:rFonts w:ascii="Arial" w:hAnsi="Arial" w:cs="Arial"/>
        </w:rPr>
        <w:t xml:space="preserve">mužů v tomto věku </w:t>
      </w:r>
      <w:r>
        <w:rPr>
          <w:rFonts w:ascii="Arial" w:hAnsi="Arial" w:cs="Arial"/>
        </w:rPr>
        <w:t xml:space="preserve">vzrostla </w:t>
      </w:r>
      <w:r w:rsidRPr="00251317">
        <w:rPr>
          <w:rFonts w:ascii="Arial" w:hAnsi="Arial" w:cs="Arial"/>
        </w:rPr>
        <w:t>o 0,8 p. b. na 80,6 %</w:t>
      </w:r>
      <w:r>
        <w:rPr>
          <w:rFonts w:ascii="Arial" w:hAnsi="Arial" w:cs="Arial"/>
        </w:rPr>
        <w:t>)</w:t>
      </w:r>
      <w:r w:rsidRPr="00251317">
        <w:rPr>
          <w:rFonts w:ascii="Arial" w:hAnsi="Arial" w:cs="Arial"/>
        </w:rPr>
        <w:t>. Na přiblížení se stanoveným cílům se podíl</w:t>
      </w:r>
      <w:r>
        <w:rPr>
          <w:rFonts w:ascii="Arial" w:hAnsi="Arial" w:cs="Arial"/>
        </w:rPr>
        <w:t>ela</w:t>
      </w:r>
      <w:r w:rsidRPr="00251317">
        <w:rPr>
          <w:rFonts w:ascii="Arial" w:hAnsi="Arial" w:cs="Arial"/>
        </w:rPr>
        <w:t xml:space="preserve"> především věková skupina </w:t>
      </w:r>
      <w:r w:rsidRPr="00251317">
        <w:rPr>
          <w:rFonts w:ascii="Arial" w:hAnsi="Arial" w:cs="Arial"/>
          <w:b/>
        </w:rPr>
        <w:t>55 – 64 let</w:t>
      </w:r>
      <w:r w:rsidRPr="00251317">
        <w:rPr>
          <w:rFonts w:ascii="Arial" w:hAnsi="Arial" w:cs="Arial"/>
        </w:rPr>
        <w:t xml:space="preserve">, jejíž </w:t>
      </w:r>
      <w:r w:rsidRPr="00251317">
        <w:rPr>
          <w:rFonts w:ascii="Arial" w:hAnsi="Arial" w:cs="Arial"/>
          <w:b/>
        </w:rPr>
        <w:t>míra zaměstnanosti vzrostla</w:t>
      </w:r>
      <w:r w:rsidRPr="00251317">
        <w:rPr>
          <w:rFonts w:ascii="Arial" w:hAnsi="Arial" w:cs="Arial"/>
        </w:rPr>
        <w:t xml:space="preserve"> </w:t>
      </w:r>
      <w:r w:rsidRPr="00251317">
        <w:rPr>
          <w:rFonts w:ascii="Arial" w:hAnsi="Arial" w:cs="Arial"/>
          <w:b/>
        </w:rPr>
        <w:t>o 2,5 p. b.  na</w:t>
      </w:r>
      <w:r w:rsidRPr="00251317">
        <w:rPr>
          <w:rFonts w:ascii="Arial" w:hAnsi="Arial" w:cs="Arial"/>
        </w:rPr>
        <w:t xml:space="preserve"> </w:t>
      </w:r>
      <w:r w:rsidRPr="00251317">
        <w:rPr>
          <w:rFonts w:ascii="Arial" w:hAnsi="Arial" w:cs="Arial"/>
          <w:b/>
        </w:rPr>
        <w:t>50,9 %</w:t>
      </w:r>
      <w:r w:rsidRPr="00251317">
        <w:rPr>
          <w:rFonts w:ascii="Arial" w:hAnsi="Arial" w:cs="Arial"/>
        </w:rPr>
        <w:t>. V rámci této skupiny v souvislosti s prodlužující se hranicí pro odchod do důchodu nejrychleji rostla MZ u osob ve věku 60 – 64 let (celkem o 3,6 p. b., u mužů o 4,7 p. b. a žen o 2,5 p. b.)</w:t>
      </w:r>
      <w:r>
        <w:rPr>
          <w:rFonts w:ascii="Arial" w:hAnsi="Arial" w:cs="Arial"/>
        </w:rPr>
        <w:t>, u žen byl vysoký nárůst MZ i ve věku 55 – 59 let (2,4 p. b.)</w:t>
      </w:r>
      <w:r w:rsidRPr="00251317">
        <w:rPr>
          <w:rFonts w:ascii="Arial" w:hAnsi="Arial" w:cs="Arial"/>
        </w:rPr>
        <w:t>.</w:t>
      </w:r>
    </w:p>
    <w:p w:rsidR="007A49EF" w:rsidRPr="002E1378" w:rsidRDefault="007A49EF" w:rsidP="007A49EF">
      <w:pPr>
        <w:spacing w:line="360" w:lineRule="auto"/>
        <w:ind w:firstLine="708"/>
        <w:jc w:val="both"/>
        <w:rPr>
          <w:rFonts w:ascii="Arial" w:hAnsi="Arial" w:cs="Arial"/>
        </w:rPr>
      </w:pPr>
      <w:r w:rsidRPr="002E1378">
        <w:rPr>
          <w:rFonts w:ascii="Arial" w:hAnsi="Arial" w:cs="Arial"/>
        </w:rPr>
        <w:t xml:space="preserve">Poslední dostupné údaje o míře zaměstnanosti za členské státy EU podle údajů </w:t>
      </w:r>
      <w:proofErr w:type="spellStart"/>
      <w:r w:rsidRPr="002E1378">
        <w:rPr>
          <w:rFonts w:ascii="Arial" w:hAnsi="Arial" w:cs="Arial"/>
        </w:rPr>
        <w:t>EUROSTATu</w:t>
      </w:r>
      <w:proofErr w:type="spellEnd"/>
      <w:r w:rsidRPr="002E1378">
        <w:rPr>
          <w:rFonts w:ascii="Arial" w:hAnsi="Arial" w:cs="Arial"/>
        </w:rPr>
        <w:t xml:space="preserve"> jsou uvedeny v části V. Mezinárodní srovnání.</w:t>
      </w:r>
    </w:p>
    <w:p w:rsidR="007A49EF" w:rsidRPr="00251317" w:rsidRDefault="007A49EF" w:rsidP="007A49EF">
      <w:pPr>
        <w:widowControl w:val="0"/>
        <w:autoSpaceDE w:val="0"/>
        <w:autoSpaceDN w:val="0"/>
        <w:adjustRightInd w:val="0"/>
        <w:ind w:firstLine="709"/>
        <w:jc w:val="both"/>
        <w:rPr>
          <w:rFonts w:ascii="Arial" w:hAnsi="Arial" w:cs="Arial"/>
          <w:sz w:val="16"/>
          <w:szCs w:val="16"/>
        </w:rPr>
      </w:pPr>
    </w:p>
    <w:p w:rsidR="007A49EF" w:rsidRPr="00251317" w:rsidRDefault="007A49EF" w:rsidP="007A49EF">
      <w:pPr>
        <w:pStyle w:val="xl24"/>
        <w:pBdr>
          <w:left w:val="none" w:sz="0" w:space="0" w:color="auto"/>
        </w:pBdr>
        <w:tabs>
          <w:tab w:val="center" w:pos="720"/>
        </w:tabs>
        <w:spacing w:before="0" w:beforeAutospacing="0" w:after="0" w:afterAutospacing="0"/>
        <w:rPr>
          <w:rFonts w:ascii="Arial" w:eastAsia="Times New Roman" w:hAnsi="Arial" w:cs="Arial"/>
          <w:color w:val="auto"/>
        </w:rPr>
      </w:pPr>
      <w:r w:rsidRPr="00251317">
        <w:rPr>
          <w:rFonts w:ascii="Arial" w:eastAsia="Times New Roman" w:hAnsi="Arial" w:cs="Arial"/>
          <w:color w:val="auto"/>
        </w:rPr>
        <w:t>Míra zaměstnanosti podle věku (v %)</w:t>
      </w:r>
    </w:p>
    <w:p w:rsidR="007A49EF" w:rsidRPr="00251317" w:rsidRDefault="007A49EF" w:rsidP="007A49EF">
      <w:pPr>
        <w:tabs>
          <w:tab w:val="center" w:pos="720"/>
        </w:tabs>
        <w:ind w:left="708" w:firstLine="372"/>
        <w:jc w:val="right"/>
        <w:rPr>
          <w:rFonts w:ascii="Arial" w:hAnsi="Arial" w:cs="Arial"/>
          <w:sz w:val="20"/>
          <w:szCs w:val="20"/>
        </w:rPr>
      </w:pPr>
      <w:r w:rsidRPr="00251317">
        <w:rPr>
          <w:rFonts w:ascii="Arial" w:hAnsi="Arial" w:cs="Arial"/>
          <w:sz w:val="20"/>
          <w:szCs w:val="20"/>
        </w:rPr>
        <w:t>tab. č. 7</w:t>
      </w:r>
    </w:p>
    <w:tbl>
      <w:tblPr>
        <w:tblW w:w="9023" w:type="dxa"/>
        <w:tblInd w:w="47" w:type="dxa"/>
        <w:tblCellMar>
          <w:left w:w="70" w:type="dxa"/>
          <w:right w:w="70" w:type="dxa"/>
        </w:tblCellMar>
        <w:tblLook w:val="0000" w:firstRow="0" w:lastRow="0" w:firstColumn="0" w:lastColumn="0" w:noHBand="0" w:noVBand="0"/>
      </w:tblPr>
      <w:tblGrid>
        <w:gridCol w:w="2206"/>
        <w:gridCol w:w="1137"/>
        <w:gridCol w:w="1136"/>
        <w:gridCol w:w="1136"/>
        <w:gridCol w:w="1136"/>
        <w:gridCol w:w="1136"/>
        <w:gridCol w:w="1136"/>
      </w:tblGrid>
      <w:tr w:rsidR="007A49EF" w:rsidRPr="00251317" w:rsidTr="007A49EF">
        <w:trPr>
          <w:trHeight w:val="285"/>
        </w:trPr>
        <w:tc>
          <w:tcPr>
            <w:tcW w:w="2206" w:type="dxa"/>
            <w:vMerge w:val="restart"/>
            <w:tcBorders>
              <w:top w:val="double" w:sz="6" w:space="0" w:color="auto"/>
              <w:left w:val="double" w:sz="6" w:space="0" w:color="auto"/>
              <w:bottom w:val="single" w:sz="8" w:space="0" w:color="000000"/>
              <w:right w:val="single" w:sz="4" w:space="0" w:color="auto"/>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věkové skupiny</w:t>
            </w:r>
          </w:p>
        </w:tc>
        <w:tc>
          <w:tcPr>
            <w:tcW w:w="3409" w:type="dxa"/>
            <w:gridSpan w:val="3"/>
            <w:tcBorders>
              <w:top w:val="double" w:sz="6" w:space="0" w:color="auto"/>
              <w:left w:val="single" w:sz="4" w:space="0" w:color="auto"/>
              <w:bottom w:val="nil"/>
              <w:right w:val="single" w:sz="4" w:space="0" w:color="auto"/>
            </w:tcBorders>
            <w:shd w:val="clear" w:color="auto" w:fill="auto"/>
            <w:noWrap/>
            <w:vAlign w:val="bottom"/>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1.pololetí 2012</w:t>
            </w:r>
          </w:p>
        </w:tc>
        <w:tc>
          <w:tcPr>
            <w:tcW w:w="3408" w:type="dxa"/>
            <w:gridSpan w:val="3"/>
            <w:tcBorders>
              <w:top w:val="double" w:sz="6" w:space="0" w:color="auto"/>
              <w:left w:val="single" w:sz="4" w:space="0" w:color="auto"/>
              <w:bottom w:val="nil"/>
              <w:right w:val="double" w:sz="6" w:space="0" w:color="000000"/>
            </w:tcBorders>
            <w:shd w:val="clear" w:color="auto" w:fill="auto"/>
            <w:noWrap/>
            <w:vAlign w:val="bottom"/>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1.pololetí 2013</w:t>
            </w:r>
          </w:p>
        </w:tc>
      </w:tr>
      <w:tr w:rsidR="007A49EF" w:rsidRPr="00251317" w:rsidTr="007A49EF">
        <w:trPr>
          <w:trHeight w:val="270"/>
        </w:trPr>
        <w:tc>
          <w:tcPr>
            <w:tcW w:w="2206" w:type="dxa"/>
            <w:vMerge/>
            <w:tcBorders>
              <w:top w:val="double" w:sz="6" w:space="0" w:color="auto"/>
              <w:left w:val="double" w:sz="6" w:space="0" w:color="auto"/>
              <w:bottom w:val="single" w:sz="8" w:space="0" w:color="000000"/>
              <w:right w:val="single" w:sz="4" w:space="0" w:color="auto"/>
            </w:tcBorders>
            <w:vAlign w:val="center"/>
          </w:tcPr>
          <w:p w:rsidR="007A49EF" w:rsidRPr="00251317" w:rsidRDefault="007A49EF" w:rsidP="007A49EF">
            <w:pPr>
              <w:rPr>
                <w:rFonts w:ascii="Arial" w:hAnsi="Arial" w:cs="Arial"/>
                <w:b/>
                <w:bCs/>
                <w:sz w:val="20"/>
                <w:szCs w:val="20"/>
              </w:rPr>
            </w:pPr>
          </w:p>
        </w:tc>
        <w:tc>
          <w:tcPr>
            <w:tcW w:w="1137" w:type="dxa"/>
            <w:tcBorders>
              <w:top w:val="single" w:sz="8" w:space="0" w:color="auto"/>
              <w:left w:val="single" w:sz="4" w:space="0" w:color="auto"/>
              <w:bottom w:val="single" w:sz="8" w:space="0" w:color="auto"/>
              <w:right w:val="single" w:sz="8" w:space="0" w:color="auto"/>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celkem</w:t>
            </w:r>
          </w:p>
        </w:tc>
        <w:tc>
          <w:tcPr>
            <w:tcW w:w="1136" w:type="dxa"/>
            <w:tcBorders>
              <w:top w:val="single" w:sz="8" w:space="0" w:color="auto"/>
              <w:left w:val="nil"/>
              <w:bottom w:val="single" w:sz="8" w:space="0" w:color="auto"/>
              <w:right w:val="single" w:sz="8" w:space="0" w:color="auto"/>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muži</w:t>
            </w:r>
          </w:p>
        </w:tc>
        <w:tc>
          <w:tcPr>
            <w:tcW w:w="1136" w:type="dxa"/>
            <w:tcBorders>
              <w:top w:val="single" w:sz="8" w:space="0" w:color="auto"/>
              <w:left w:val="nil"/>
              <w:bottom w:val="single" w:sz="8" w:space="0" w:color="auto"/>
              <w:right w:val="single" w:sz="4" w:space="0" w:color="auto"/>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ženy</w:t>
            </w:r>
          </w:p>
        </w:tc>
        <w:tc>
          <w:tcPr>
            <w:tcW w:w="1136" w:type="dxa"/>
            <w:tcBorders>
              <w:top w:val="single" w:sz="8" w:space="0" w:color="auto"/>
              <w:left w:val="single" w:sz="4" w:space="0" w:color="auto"/>
              <w:bottom w:val="single" w:sz="8" w:space="0" w:color="auto"/>
              <w:right w:val="single" w:sz="8" w:space="0" w:color="auto"/>
            </w:tcBorders>
            <w:shd w:val="clear" w:color="auto" w:fill="auto"/>
            <w:noWrap/>
            <w:vAlign w:val="center"/>
          </w:tcPr>
          <w:p w:rsidR="007A49EF" w:rsidRPr="00251317" w:rsidRDefault="0003143E" w:rsidP="007A49EF">
            <w:pPr>
              <w:jc w:val="center"/>
              <w:rPr>
                <w:rFonts w:ascii="Arial" w:hAnsi="Arial" w:cs="Arial"/>
                <w:b/>
                <w:bCs/>
                <w:sz w:val="20"/>
                <w:szCs w:val="20"/>
              </w:rPr>
            </w:pPr>
            <w:r>
              <w:rPr>
                <w:rFonts w:ascii="Arial" w:hAnsi="Arial" w:cs="Arial"/>
                <w:b/>
                <w:bCs/>
                <w:sz w:val="20"/>
                <w:szCs w:val="20"/>
              </w:rPr>
              <w:t>c</w:t>
            </w:r>
            <w:r w:rsidR="007A49EF" w:rsidRPr="00251317">
              <w:rPr>
                <w:rFonts w:ascii="Arial" w:hAnsi="Arial" w:cs="Arial"/>
                <w:b/>
                <w:bCs/>
                <w:sz w:val="20"/>
                <w:szCs w:val="20"/>
              </w:rPr>
              <w:t>elkem</w:t>
            </w:r>
          </w:p>
        </w:tc>
        <w:tc>
          <w:tcPr>
            <w:tcW w:w="1136" w:type="dxa"/>
            <w:tcBorders>
              <w:top w:val="single" w:sz="8" w:space="0" w:color="auto"/>
              <w:left w:val="nil"/>
              <w:bottom w:val="single" w:sz="8" w:space="0" w:color="auto"/>
              <w:right w:val="single" w:sz="8" w:space="0" w:color="auto"/>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muži</w:t>
            </w:r>
          </w:p>
        </w:tc>
        <w:tc>
          <w:tcPr>
            <w:tcW w:w="1136" w:type="dxa"/>
            <w:tcBorders>
              <w:top w:val="single" w:sz="8" w:space="0" w:color="auto"/>
              <w:left w:val="nil"/>
              <w:bottom w:val="single" w:sz="8" w:space="0" w:color="auto"/>
              <w:right w:val="double" w:sz="6" w:space="0" w:color="auto"/>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ženy</w:t>
            </w:r>
          </w:p>
        </w:tc>
      </w:tr>
      <w:tr w:rsidR="007A49EF" w:rsidRPr="00251317" w:rsidTr="007A49EF">
        <w:trPr>
          <w:trHeight w:val="284"/>
        </w:trPr>
        <w:tc>
          <w:tcPr>
            <w:tcW w:w="2206" w:type="dxa"/>
            <w:tcBorders>
              <w:top w:val="nil"/>
              <w:left w:val="double" w:sz="6" w:space="0" w:color="auto"/>
              <w:bottom w:val="nil"/>
              <w:right w:val="single" w:sz="4" w:space="0" w:color="auto"/>
            </w:tcBorders>
            <w:shd w:val="clear" w:color="auto" w:fill="auto"/>
            <w:noWrap/>
            <w:vAlign w:val="bottom"/>
          </w:tcPr>
          <w:p w:rsidR="007A49EF" w:rsidRPr="00251317" w:rsidRDefault="007A49EF" w:rsidP="007A49EF">
            <w:pPr>
              <w:jc w:val="center"/>
              <w:rPr>
                <w:rFonts w:ascii="Arial" w:hAnsi="Arial" w:cs="Arial"/>
                <w:sz w:val="20"/>
                <w:szCs w:val="20"/>
              </w:rPr>
            </w:pPr>
            <w:r w:rsidRPr="00251317">
              <w:rPr>
                <w:rFonts w:ascii="Arial" w:hAnsi="Arial" w:cs="Arial"/>
                <w:sz w:val="20"/>
                <w:szCs w:val="20"/>
              </w:rPr>
              <w:t>15 - 24</w:t>
            </w:r>
          </w:p>
        </w:tc>
        <w:tc>
          <w:tcPr>
            <w:tcW w:w="1137" w:type="dxa"/>
            <w:tcBorders>
              <w:top w:val="nil"/>
              <w:left w:val="single" w:sz="4" w:space="0" w:color="auto"/>
              <w:bottom w:val="nil"/>
              <w:right w:val="single" w:sz="8" w:space="0" w:color="auto"/>
            </w:tcBorders>
            <w:shd w:val="clear" w:color="auto" w:fill="auto"/>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24,6</w:t>
            </w:r>
          </w:p>
        </w:tc>
        <w:tc>
          <w:tcPr>
            <w:tcW w:w="1136" w:type="dxa"/>
            <w:tcBorders>
              <w:top w:val="nil"/>
              <w:left w:val="nil"/>
              <w:bottom w:val="nil"/>
              <w:right w:val="single" w:sz="8" w:space="0" w:color="auto"/>
            </w:tcBorders>
            <w:shd w:val="clear" w:color="auto" w:fill="auto"/>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28,6</w:t>
            </w:r>
          </w:p>
        </w:tc>
        <w:tc>
          <w:tcPr>
            <w:tcW w:w="1136" w:type="dxa"/>
            <w:tcBorders>
              <w:top w:val="nil"/>
              <w:left w:val="nil"/>
              <w:bottom w:val="nil"/>
              <w:right w:val="single" w:sz="4" w:space="0" w:color="auto"/>
            </w:tcBorders>
            <w:shd w:val="clear" w:color="auto" w:fill="auto"/>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20,4</w:t>
            </w:r>
          </w:p>
        </w:tc>
        <w:tc>
          <w:tcPr>
            <w:tcW w:w="1136" w:type="dxa"/>
            <w:tcBorders>
              <w:top w:val="nil"/>
              <w:left w:val="single" w:sz="4" w:space="0" w:color="auto"/>
              <w:bottom w:val="nil"/>
              <w:right w:val="single" w:sz="8" w:space="0" w:color="auto"/>
            </w:tcBorders>
            <w:shd w:val="clear" w:color="auto" w:fill="auto"/>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25,2</w:t>
            </w:r>
          </w:p>
        </w:tc>
        <w:tc>
          <w:tcPr>
            <w:tcW w:w="1136" w:type="dxa"/>
            <w:tcBorders>
              <w:top w:val="nil"/>
              <w:left w:val="nil"/>
              <w:bottom w:val="nil"/>
              <w:right w:val="single" w:sz="8" w:space="0" w:color="auto"/>
            </w:tcBorders>
            <w:shd w:val="clear" w:color="auto" w:fill="auto"/>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29,3</w:t>
            </w:r>
          </w:p>
        </w:tc>
        <w:tc>
          <w:tcPr>
            <w:tcW w:w="1136" w:type="dxa"/>
            <w:tcBorders>
              <w:top w:val="nil"/>
              <w:left w:val="nil"/>
              <w:bottom w:val="nil"/>
              <w:right w:val="double" w:sz="6" w:space="0" w:color="auto"/>
            </w:tcBorders>
            <w:shd w:val="clear" w:color="auto" w:fill="auto"/>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21,0</w:t>
            </w:r>
          </w:p>
        </w:tc>
      </w:tr>
      <w:tr w:rsidR="007A49EF" w:rsidRPr="00251317" w:rsidTr="007A49EF">
        <w:trPr>
          <w:trHeight w:val="284"/>
        </w:trPr>
        <w:tc>
          <w:tcPr>
            <w:tcW w:w="2206" w:type="dxa"/>
            <w:tcBorders>
              <w:top w:val="nil"/>
              <w:left w:val="double" w:sz="6" w:space="0" w:color="auto"/>
              <w:bottom w:val="nil"/>
              <w:right w:val="single" w:sz="4" w:space="0" w:color="auto"/>
            </w:tcBorders>
            <w:shd w:val="clear" w:color="auto" w:fill="auto"/>
            <w:noWrap/>
            <w:vAlign w:val="bottom"/>
          </w:tcPr>
          <w:p w:rsidR="007A49EF" w:rsidRPr="00251317" w:rsidRDefault="007A49EF" w:rsidP="007A49EF">
            <w:pPr>
              <w:jc w:val="center"/>
              <w:rPr>
                <w:rFonts w:ascii="Arial" w:hAnsi="Arial" w:cs="Arial"/>
                <w:sz w:val="20"/>
                <w:szCs w:val="20"/>
              </w:rPr>
            </w:pPr>
            <w:r w:rsidRPr="00251317">
              <w:rPr>
                <w:rFonts w:ascii="Arial" w:hAnsi="Arial" w:cs="Arial"/>
                <w:sz w:val="20"/>
                <w:szCs w:val="20"/>
              </w:rPr>
              <w:t>25 - 39</w:t>
            </w:r>
          </w:p>
        </w:tc>
        <w:tc>
          <w:tcPr>
            <w:tcW w:w="1137" w:type="dxa"/>
            <w:tcBorders>
              <w:top w:val="nil"/>
              <w:left w:val="single" w:sz="4" w:space="0" w:color="auto"/>
              <w:bottom w:val="nil"/>
              <w:right w:val="single" w:sz="8" w:space="0" w:color="auto"/>
            </w:tcBorders>
            <w:shd w:val="clear" w:color="auto" w:fill="auto"/>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78,0</w:t>
            </w:r>
          </w:p>
        </w:tc>
        <w:tc>
          <w:tcPr>
            <w:tcW w:w="1136" w:type="dxa"/>
            <w:tcBorders>
              <w:top w:val="nil"/>
              <w:left w:val="nil"/>
              <w:bottom w:val="nil"/>
              <w:right w:val="single" w:sz="8" w:space="0" w:color="auto"/>
            </w:tcBorders>
            <w:shd w:val="clear" w:color="auto" w:fill="auto"/>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90,3</w:t>
            </w:r>
          </w:p>
        </w:tc>
        <w:tc>
          <w:tcPr>
            <w:tcW w:w="1136" w:type="dxa"/>
            <w:tcBorders>
              <w:top w:val="nil"/>
              <w:left w:val="nil"/>
              <w:bottom w:val="nil"/>
              <w:right w:val="single" w:sz="4" w:space="0" w:color="auto"/>
            </w:tcBorders>
            <w:shd w:val="clear" w:color="auto" w:fill="auto"/>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 xml:space="preserve">64,9 </w:t>
            </w:r>
          </w:p>
        </w:tc>
        <w:tc>
          <w:tcPr>
            <w:tcW w:w="1136" w:type="dxa"/>
            <w:tcBorders>
              <w:top w:val="nil"/>
              <w:left w:val="single" w:sz="4" w:space="0" w:color="auto"/>
              <w:bottom w:val="nil"/>
              <w:right w:val="single" w:sz="8" w:space="0" w:color="auto"/>
            </w:tcBorders>
            <w:shd w:val="clear" w:color="auto" w:fill="auto"/>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78,6</w:t>
            </w:r>
          </w:p>
        </w:tc>
        <w:tc>
          <w:tcPr>
            <w:tcW w:w="1136" w:type="dxa"/>
            <w:tcBorders>
              <w:top w:val="nil"/>
              <w:left w:val="nil"/>
              <w:bottom w:val="nil"/>
              <w:right w:val="single" w:sz="8" w:space="0" w:color="auto"/>
            </w:tcBorders>
            <w:shd w:val="clear" w:color="auto" w:fill="auto"/>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90,4</w:t>
            </w:r>
          </w:p>
        </w:tc>
        <w:tc>
          <w:tcPr>
            <w:tcW w:w="1136" w:type="dxa"/>
            <w:tcBorders>
              <w:top w:val="nil"/>
              <w:left w:val="nil"/>
              <w:bottom w:val="nil"/>
              <w:right w:val="double" w:sz="6" w:space="0" w:color="auto"/>
            </w:tcBorders>
            <w:shd w:val="clear" w:color="auto" w:fill="auto"/>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 xml:space="preserve">66,1 </w:t>
            </w:r>
          </w:p>
        </w:tc>
      </w:tr>
      <w:tr w:rsidR="007A49EF" w:rsidRPr="00251317" w:rsidTr="007A49EF">
        <w:trPr>
          <w:trHeight w:val="284"/>
        </w:trPr>
        <w:tc>
          <w:tcPr>
            <w:tcW w:w="2206" w:type="dxa"/>
            <w:tcBorders>
              <w:top w:val="nil"/>
              <w:left w:val="double" w:sz="6" w:space="0" w:color="auto"/>
              <w:bottom w:val="nil"/>
              <w:right w:val="single" w:sz="4" w:space="0" w:color="auto"/>
            </w:tcBorders>
            <w:shd w:val="clear" w:color="auto" w:fill="auto"/>
            <w:noWrap/>
            <w:vAlign w:val="bottom"/>
          </w:tcPr>
          <w:p w:rsidR="007A49EF" w:rsidRPr="00251317" w:rsidRDefault="007A49EF" w:rsidP="007A49EF">
            <w:pPr>
              <w:jc w:val="center"/>
              <w:rPr>
                <w:rFonts w:ascii="Arial" w:hAnsi="Arial" w:cs="Arial"/>
                <w:sz w:val="20"/>
                <w:szCs w:val="20"/>
              </w:rPr>
            </w:pPr>
            <w:r w:rsidRPr="00251317">
              <w:rPr>
                <w:rFonts w:ascii="Arial" w:hAnsi="Arial" w:cs="Arial"/>
                <w:sz w:val="20"/>
                <w:szCs w:val="20"/>
              </w:rPr>
              <w:t>40 - 54</w:t>
            </w:r>
          </w:p>
        </w:tc>
        <w:tc>
          <w:tcPr>
            <w:tcW w:w="1137" w:type="dxa"/>
            <w:tcBorders>
              <w:top w:val="nil"/>
              <w:left w:val="single" w:sz="4" w:space="0" w:color="auto"/>
              <w:bottom w:val="nil"/>
              <w:right w:val="single" w:sz="8" w:space="0" w:color="auto"/>
            </w:tcBorders>
            <w:shd w:val="clear" w:color="auto" w:fill="auto"/>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88,4</w:t>
            </w:r>
          </w:p>
        </w:tc>
        <w:tc>
          <w:tcPr>
            <w:tcW w:w="1136" w:type="dxa"/>
            <w:tcBorders>
              <w:top w:val="nil"/>
              <w:left w:val="nil"/>
              <w:bottom w:val="nil"/>
              <w:right w:val="single" w:sz="8" w:space="0" w:color="auto"/>
            </w:tcBorders>
            <w:shd w:val="clear" w:color="auto" w:fill="auto"/>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91,2</w:t>
            </w:r>
          </w:p>
        </w:tc>
        <w:tc>
          <w:tcPr>
            <w:tcW w:w="1136" w:type="dxa"/>
            <w:tcBorders>
              <w:top w:val="nil"/>
              <w:left w:val="nil"/>
              <w:bottom w:val="nil"/>
              <w:right w:val="single" w:sz="4" w:space="0" w:color="auto"/>
            </w:tcBorders>
            <w:shd w:val="clear" w:color="auto" w:fill="auto"/>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 xml:space="preserve">85,4 </w:t>
            </w:r>
          </w:p>
        </w:tc>
        <w:tc>
          <w:tcPr>
            <w:tcW w:w="1136" w:type="dxa"/>
            <w:tcBorders>
              <w:top w:val="nil"/>
              <w:left w:val="single" w:sz="4" w:space="0" w:color="auto"/>
              <w:bottom w:val="nil"/>
              <w:right w:val="single" w:sz="8" w:space="0" w:color="auto"/>
            </w:tcBorders>
            <w:shd w:val="clear" w:color="auto" w:fill="auto"/>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88,8</w:t>
            </w:r>
          </w:p>
        </w:tc>
        <w:tc>
          <w:tcPr>
            <w:tcW w:w="1136" w:type="dxa"/>
            <w:tcBorders>
              <w:top w:val="nil"/>
              <w:left w:val="nil"/>
              <w:bottom w:val="nil"/>
              <w:right w:val="single" w:sz="8" w:space="0" w:color="auto"/>
            </w:tcBorders>
            <w:shd w:val="clear" w:color="auto" w:fill="auto"/>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91,6</w:t>
            </w:r>
          </w:p>
        </w:tc>
        <w:tc>
          <w:tcPr>
            <w:tcW w:w="1136" w:type="dxa"/>
            <w:tcBorders>
              <w:top w:val="nil"/>
              <w:left w:val="nil"/>
              <w:bottom w:val="nil"/>
              <w:right w:val="double" w:sz="6" w:space="0" w:color="auto"/>
            </w:tcBorders>
            <w:shd w:val="clear" w:color="auto" w:fill="auto"/>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 xml:space="preserve">85,8 </w:t>
            </w:r>
          </w:p>
        </w:tc>
      </w:tr>
      <w:tr w:rsidR="007A49EF" w:rsidRPr="00251317" w:rsidTr="007A49EF">
        <w:trPr>
          <w:trHeight w:val="284"/>
        </w:trPr>
        <w:tc>
          <w:tcPr>
            <w:tcW w:w="2206" w:type="dxa"/>
            <w:tcBorders>
              <w:top w:val="nil"/>
              <w:left w:val="double" w:sz="6" w:space="0" w:color="auto"/>
              <w:bottom w:val="single" w:sz="4" w:space="0" w:color="auto"/>
              <w:right w:val="single" w:sz="4" w:space="0" w:color="auto"/>
            </w:tcBorders>
            <w:shd w:val="clear" w:color="auto" w:fill="auto"/>
            <w:noWrap/>
            <w:vAlign w:val="bottom"/>
          </w:tcPr>
          <w:p w:rsidR="007A49EF" w:rsidRPr="00251317" w:rsidRDefault="007A49EF" w:rsidP="007A49EF">
            <w:pPr>
              <w:jc w:val="center"/>
              <w:rPr>
                <w:rFonts w:ascii="Arial" w:hAnsi="Arial" w:cs="Arial"/>
                <w:sz w:val="20"/>
                <w:szCs w:val="20"/>
              </w:rPr>
            </w:pPr>
            <w:r w:rsidRPr="00251317">
              <w:rPr>
                <w:rFonts w:ascii="Arial" w:hAnsi="Arial" w:cs="Arial"/>
                <w:sz w:val="20"/>
                <w:szCs w:val="20"/>
              </w:rPr>
              <w:t>55 - 64</w:t>
            </w:r>
          </w:p>
        </w:tc>
        <w:tc>
          <w:tcPr>
            <w:tcW w:w="1137" w:type="dxa"/>
            <w:tcBorders>
              <w:top w:val="nil"/>
              <w:left w:val="single" w:sz="4" w:space="0" w:color="auto"/>
              <w:bottom w:val="single" w:sz="4" w:space="0" w:color="auto"/>
              <w:right w:val="single" w:sz="8" w:space="0" w:color="auto"/>
            </w:tcBorders>
            <w:shd w:val="clear" w:color="auto" w:fill="auto"/>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48,4</w:t>
            </w:r>
          </w:p>
        </w:tc>
        <w:tc>
          <w:tcPr>
            <w:tcW w:w="1136" w:type="dxa"/>
            <w:tcBorders>
              <w:top w:val="nil"/>
              <w:left w:val="nil"/>
              <w:bottom w:val="single" w:sz="4" w:space="0" w:color="auto"/>
              <w:right w:val="single" w:sz="8" w:space="0" w:color="auto"/>
            </w:tcBorders>
            <w:shd w:val="clear" w:color="auto" w:fill="auto"/>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59,1</w:t>
            </w:r>
          </w:p>
        </w:tc>
        <w:tc>
          <w:tcPr>
            <w:tcW w:w="1136" w:type="dxa"/>
            <w:tcBorders>
              <w:top w:val="nil"/>
              <w:left w:val="nil"/>
              <w:bottom w:val="single" w:sz="4" w:space="0" w:color="auto"/>
              <w:right w:val="single" w:sz="4" w:space="0" w:color="auto"/>
            </w:tcBorders>
            <w:shd w:val="clear" w:color="auto" w:fill="auto"/>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 xml:space="preserve">38,4 </w:t>
            </w:r>
          </w:p>
        </w:tc>
        <w:tc>
          <w:tcPr>
            <w:tcW w:w="1136" w:type="dxa"/>
            <w:tcBorders>
              <w:top w:val="nil"/>
              <w:left w:val="single" w:sz="4" w:space="0" w:color="auto"/>
              <w:bottom w:val="single" w:sz="4" w:space="0" w:color="auto"/>
              <w:right w:val="single" w:sz="8" w:space="0" w:color="auto"/>
            </w:tcBorders>
            <w:shd w:val="clear" w:color="auto" w:fill="auto"/>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50,9</w:t>
            </w:r>
          </w:p>
        </w:tc>
        <w:tc>
          <w:tcPr>
            <w:tcW w:w="1136" w:type="dxa"/>
            <w:tcBorders>
              <w:top w:val="nil"/>
              <w:left w:val="nil"/>
              <w:bottom w:val="single" w:sz="4" w:space="0" w:color="auto"/>
              <w:right w:val="single" w:sz="8" w:space="0" w:color="auto"/>
            </w:tcBorders>
            <w:shd w:val="clear" w:color="auto" w:fill="auto"/>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61,7</w:t>
            </w:r>
          </w:p>
        </w:tc>
        <w:tc>
          <w:tcPr>
            <w:tcW w:w="1136" w:type="dxa"/>
            <w:tcBorders>
              <w:top w:val="nil"/>
              <w:left w:val="nil"/>
              <w:bottom w:val="single" w:sz="4" w:space="0" w:color="auto"/>
              <w:right w:val="double" w:sz="6" w:space="0" w:color="auto"/>
            </w:tcBorders>
            <w:shd w:val="clear" w:color="auto" w:fill="auto"/>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 xml:space="preserve">40,7 </w:t>
            </w:r>
          </w:p>
        </w:tc>
      </w:tr>
      <w:tr w:rsidR="007A49EF" w:rsidRPr="00251317" w:rsidTr="007A49EF">
        <w:trPr>
          <w:trHeight w:val="284"/>
        </w:trPr>
        <w:tc>
          <w:tcPr>
            <w:tcW w:w="2206" w:type="dxa"/>
            <w:tcBorders>
              <w:top w:val="single" w:sz="4" w:space="0" w:color="auto"/>
              <w:left w:val="double" w:sz="6" w:space="0" w:color="auto"/>
              <w:bottom w:val="nil"/>
              <w:right w:val="single" w:sz="4" w:space="0" w:color="auto"/>
            </w:tcBorders>
            <w:shd w:val="clear" w:color="auto" w:fill="auto"/>
            <w:noWrap/>
            <w:vAlign w:val="bottom"/>
          </w:tcPr>
          <w:p w:rsidR="007A49EF" w:rsidRPr="00251317" w:rsidRDefault="007A49EF" w:rsidP="007A49EF">
            <w:pPr>
              <w:jc w:val="center"/>
              <w:rPr>
                <w:rFonts w:ascii="Arial" w:hAnsi="Arial" w:cs="Arial"/>
                <w:b/>
                <w:sz w:val="20"/>
                <w:szCs w:val="20"/>
              </w:rPr>
            </w:pPr>
            <w:r w:rsidRPr="00251317">
              <w:rPr>
                <w:rFonts w:ascii="Arial" w:hAnsi="Arial" w:cs="Arial"/>
                <w:b/>
                <w:sz w:val="20"/>
                <w:szCs w:val="20"/>
              </w:rPr>
              <w:t>15+</w:t>
            </w:r>
          </w:p>
        </w:tc>
        <w:tc>
          <w:tcPr>
            <w:tcW w:w="1137" w:type="dxa"/>
            <w:tcBorders>
              <w:top w:val="single" w:sz="4" w:space="0" w:color="auto"/>
              <w:left w:val="single" w:sz="4" w:space="0" w:color="auto"/>
              <w:bottom w:val="nil"/>
              <w:right w:val="single" w:sz="8" w:space="0" w:color="auto"/>
            </w:tcBorders>
            <w:shd w:val="clear" w:color="auto" w:fill="auto"/>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54,2</w:t>
            </w:r>
          </w:p>
        </w:tc>
        <w:tc>
          <w:tcPr>
            <w:tcW w:w="1136" w:type="dxa"/>
            <w:tcBorders>
              <w:top w:val="single" w:sz="4" w:space="0" w:color="auto"/>
              <w:left w:val="nil"/>
              <w:bottom w:val="nil"/>
              <w:right w:val="single" w:sz="8" w:space="0" w:color="auto"/>
            </w:tcBorders>
            <w:shd w:val="clear" w:color="auto" w:fill="auto"/>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63,3</w:t>
            </w:r>
          </w:p>
        </w:tc>
        <w:tc>
          <w:tcPr>
            <w:tcW w:w="1136" w:type="dxa"/>
            <w:tcBorders>
              <w:top w:val="single" w:sz="4" w:space="0" w:color="auto"/>
              <w:left w:val="nil"/>
              <w:bottom w:val="nil"/>
              <w:right w:val="single" w:sz="4" w:space="0" w:color="auto"/>
            </w:tcBorders>
            <w:shd w:val="clear" w:color="auto" w:fill="auto"/>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 xml:space="preserve">45,6 </w:t>
            </w:r>
          </w:p>
        </w:tc>
        <w:tc>
          <w:tcPr>
            <w:tcW w:w="1136" w:type="dxa"/>
            <w:tcBorders>
              <w:top w:val="single" w:sz="4" w:space="0" w:color="auto"/>
              <w:left w:val="single" w:sz="4" w:space="0" w:color="auto"/>
              <w:bottom w:val="nil"/>
              <w:right w:val="single" w:sz="8" w:space="0" w:color="auto"/>
            </w:tcBorders>
            <w:shd w:val="clear" w:color="auto" w:fill="auto"/>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54,9</w:t>
            </w:r>
          </w:p>
        </w:tc>
        <w:tc>
          <w:tcPr>
            <w:tcW w:w="1136" w:type="dxa"/>
            <w:tcBorders>
              <w:top w:val="single" w:sz="4" w:space="0" w:color="auto"/>
              <w:left w:val="nil"/>
              <w:bottom w:val="nil"/>
              <w:right w:val="single" w:sz="8" w:space="0" w:color="auto"/>
            </w:tcBorders>
            <w:shd w:val="clear" w:color="auto" w:fill="auto"/>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63,8</w:t>
            </w:r>
          </w:p>
        </w:tc>
        <w:tc>
          <w:tcPr>
            <w:tcW w:w="1136" w:type="dxa"/>
            <w:tcBorders>
              <w:top w:val="single" w:sz="4" w:space="0" w:color="auto"/>
              <w:left w:val="nil"/>
              <w:bottom w:val="nil"/>
              <w:right w:val="double" w:sz="6" w:space="0" w:color="auto"/>
            </w:tcBorders>
            <w:shd w:val="clear" w:color="auto" w:fill="auto"/>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 xml:space="preserve">46,5 </w:t>
            </w:r>
          </w:p>
        </w:tc>
      </w:tr>
      <w:tr w:rsidR="007A49EF" w:rsidRPr="00251317" w:rsidTr="007A49EF">
        <w:trPr>
          <w:trHeight w:val="284"/>
        </w:trPr>
        <w:tc>
          <w:tcPr>
            <w:tcW w:w="2206" w:type="dxa"/>
            <w:tcBorders>
              <w:top w:val="nil"/>
              <w:left w:val="double" w:sz="6" w:space="0" w:color="auto"/>
              <w:bottom w:val="nil"/>
              <w:right w:val="single" w:sz="4" w:space="0" w:color="auto"/>
            </w:tcBorders>
            <w:shd w:val="clear" w:color="auto" w:fill="auto"/>
            <w:noWrap/>
            <w:vAlign w:val="bottom"/>
          </w:tcPr>
          <w:p w:rsidR="007A49EF" w:rsidRPr="00251317" w:rsidRDefault="007A49EF" w:rsidP="007A49EF">
            <w:pPr>
              <w:jc w:val="center"/>
              <w:rPr>
                <w:rFonts w:ascii="Arial" w:hAnsi="Arial" w:cs="Arial"/>
                <w:b/>
                <w:sz w:val="20"/>
                <w:szCs w:val="20"/>
              </w:rPr>
            </w:pPr>
            <w:r w:rsidRPr="00251317">
              <w:rPr>
                <w:rFonts w:ascii="Arial" w:hAnsi="Arial" w:cs="Arial"/>
                <w:b/>
                <w:sz w:val="20"/>
                <w:szCs w:val="20"/>
              </w:rPr>
              <w:t>15 - 64</w:t>
            </w:r>
          </w:p>
        </w:tc>
        <w:tc>
          <w:tcPr>
            <w:tcW w:w="1137" w:type="dxa"/>
            <w:tcBorders>
              <w:top w:val="nil"/>
              <w:left w:val="single" w:sz="4" w:space="0" w:color="auto"/>
              <w:bottom w:val="nil"/>
              <w:right w:val="single" w:sz="8" w:space="0" w:color="auto"/>
            </w:tcBorders>
            <w:shd w:val="clear" w:color="auto" w:fill="auto"/>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66,0</w:t>
            </w:r>
          </w:p>
        </w:tc>
        <w:tc>
          <w:tcPr>
            <w:tcW w:w="1136" w:type="dxa"/>
            <w:tcBorders>
              <w:top w:val="nil"/>
              <w:left w:val="nil"/>
              <w:bottom w:val="nil"/>
              <w:right w:val="single" w:sz="8" w:space="0" w:color="auto"/>
            </w:tcBorders>
            <w:shd w:val="clear" w:color="auto" w:fill="auto"/>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74,1</w:t>
            </w:r>
          </w:p>
        </w:tc>
        <w:tc>
          <w:tcPr>
            <w:tcW w:w="1136" w:type="dxa"/>
            <w:tcBorders>
              <w:top w:val="nil"/>
              <w:left w:val="nil"/>
              <w:bottom w:val="nil"/>
              <w:right w:val="single" w:sz="4" w:space="0" w:color="auto"/>
            </w:tcBorders>
            <w:shd w:val="clear" w:color="auto" w:fill="auto"/>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 xml:space="preserve">57,8 </w:t>
            </w:r>
          </w:p>
        </w:tc>
        <w:tc>
          <w:tcPr>
            <w:tcW w:w="1136" w:type="dxa"/>
            <w:tcBorders>
              <w:top w:val="nil"/>
              <w:left w:val="single" w:sz="4" w:space="0" w:color="auto"/>
              <w:bottom w:val="nil"/>
              <w:right w:val="single" w:sz="8" w:space="0" w:color="auto"/>
            </w:tcBorders>
            <w:shd w:val="clear" w:color="auto" w:fill="auto"/>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67,3</w:t>
            </w:r>
          </w:p>
        </w:tc>
        <w:tc>
          <w:tcPr>
            <w:tcW w:w="1136" w:type="dxa"/>
            <w:tcBorders>
              <w:top w:val="nil"/>
              <w:left w:val="nil"/>
              <w:bottom w:val="nil"/>
              <w:right w:val="single" w:sz="8" w:space="0" w:color="auto"/>
            </w:tcBorders>
            <w:shd w:val="clear" w:color="auto" w:fill="auto"/>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75,2</w:t>
            </w:r>
          </w:p>
        </w:tc>
        <w:tc>
          <w:tcPr>
            <w:tcW w:w="1136" w:type="dxa"/>
            <w:tcBorders>
              <w:top w:val="nil"/>
              <w:left w:val="nil"/>
              <w:bottom w:val="nil"/>
              <w:right w:val="double" w:sz="6" w:space="0" w:color="auto"/>
            </w:tcBorders>
            <w:shd w:val="clear" w:color="auto" w:fill="auto"/>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 xml:space="preserve">59,2 </w:t>
            </w:r>
          </w:p>
        </w:tc>
      </w:tr>
      <w:tr w:rsidR="007A49EF" w:rsidRPr="00251317" w:rsidTr="007A49EF">
        <w:trPr>
          <w:trHeight w:val="284"/>
        </w:trPr>
        <w:tc>
          <w:tcPr>
            <w:tcW w:w="2206" w:type="dxa"/>
            <w:tcBorders>
              <w:top w:val="nil"/>
              <w:left w:val="double" w:sz="6" w:space="0" w:color="auto"/>
              <w:bottom w:val="double" w:sz="6" w:space="0" w:color="auto"/>
              <w:right w:val="single" w:sz="4" w:space="0" w:color="auto"/>
            </w:tcBorders>
            <w:shd w:val="clear" w:color="auto" w:fill="auto"/>
            <w:noWrap/>
            <w:vAlign w:val="bottom"/>
          </w:tcPr>
          <w:p w:rsidR="007A49EF" w:rsidRPr="00251317" w:rsidRDefault="007A49EF" w:rsidP="007A49EF">
            <w:pPr>
              <w:jc w:val="center"/>
              <w:rPr>
                <w:rFonts w:ascii="Arial" w:hAnsi="Arial" w:cs="Arial"/>
                <w:b/>
                <w:sz w:val="20"/>
                <w:szCs w:val="20"/>
              </w:rPr>
            </w:pPr>
            <w:r w:rsidRPr="00251317">
              <w:rPr>
                <w:rFonts w:ascii="Arial" w:hAnsi="Arial" w:cs="Arial"/>
                <w:b/>
                <w:sz w:val="20"/>
                <w:szCs w:val="20"/>
              </w:rPr>
              <w:t>20 - 64</w:t>
            </w:r>
          </w:p>
        </w:tc>
        <w:tc>
          <w:tcPr>
            <w:tcW w:w="1137" w:type="dxa"/>
            <w:tcBorders>
              <w:top w:val="nil"/>
              <w:left w:val="single" w:sz="4" w:space="0" w:color="auto"/>
              <w:bottom w:val="double" w:sz="6" w:space="0" w:color="auto"/>
              <w:right w:val="single" w:sz="8" w:space="0" w:color="auto"/>
            </w:tcBorders>
            <w:shd w:val="clear" w:color="auto" w:fill="auto"/>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71,0</w:t>
            </w:r>
          </w:p>
        </w:tc>
        <w:tc>
          <w:tcPr>
            <w:tcW w:w="1136" w:type="dxa"/>
            <w:tcBorders>
              <w:top w:val="nil"/>
              <w:left w:val="nil"/>
              <w:bottom w:val="double" w:sz="6" w:space="0" w:color="auto"/>
              <w:right w:val="single" w:sz="8" w:space="0" w:color="auto"/>
            </w:tcBorders>
            <w:shd w:val="clear" w:color="auto" w:fill="auto"/>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79,8</w:t>
            </w:r>
          </w:p>
        </w:tc>
        <w:tc>
          <w:tcPr>
            <w:tcW w:w="1136" w:type="dxa"/>
            <w:tcBorders>
              <w:top w:val="nil"/>
              <w:left w:val="nil"/>
              <w:bottom w:val="double" w:sz="6" w:space="0" w:color="auto"/>
              <w:right w:val="single" w:sz="4" w:space="0" w:color="auto"/>
            </w:tcBorders>
            <w:shd w:val="clear" w:color="auto" w:fill="auto"/>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 xml:space="preserve">62,1 </w:t>
            </w:r>
          </w:p>
        </w:tc>
        <w:tc>
          <w:tcPr>
            <w:tcW w:w="1136" w:type="dxa"/>
            <w:tcBorders>
              <w:top w:val="nil"/>
              <w:left w:val="single" w:sz="4" w:space="0" w:color="auto"/>
              <w:bottom w:val="double" w:sz="6" w:space="0" w:color="auto"/>
              <w:right w:val="single" w:sz="8" w:space="0" w:color="auto"/>
            </w:tcBorders>
            <w:shd w:val="clear" w:color="auto" w:fill="auto"/>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72,2</w:t>
            </w:r>
          </w:p>
        </w:tc>
        <w:tc>
          <w:tcPr>
            <w:tcW w:w="1136" w:type="dxa"/>
            <w:tcBorders>
              <w:top w:val="nil"/>
              <w:left w:val="nil"/>
              <w:bottom w:val="double" w:sz="6" w:space="0" w:color="auto"/>
              <w:right w:val="single" w:sz="8" w:space="0" w:color="auto"/>
            </w:tcBorders>
            <w:shd w:val="clear" w:color="auto" w:fill="auto"/>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80,6</w:t>
            </w:r>
          </w:p>
        </w:tc>
        <w:tc>
          <w:tcPr>
            <w:tcW w:w="1136" w:type="dxa"/>
            <w:tcBorders>
              <w:top w:val="nil"/>
              <w:left w:val="nil"/>
              <w:bottom w:val="double" w:sz="6" w:space="0" w:color="auto"/>
              <w:right w:val="double" w:sz="6" w:space="0" w:color="auto"/>
            </w:tcBorders>
            <w:shd w:val="clear" w:color="auto" w:fill="auto"/>
            <w:noWrap/>
            <w:vAlign w:val="center"/>
          </w:tcPr>
          <w:p w:rsidR="007A49EF" w:rsidRPr="00251317" w:rsidRDefault="007A49EF" w:rsidP="007A49EF">
            <w:pPr>
              <w:jc w:val="center"/>
              <w:rPr>
                <w:rFonts w:ascii="Arial" w:hAnsi="Arial" w:cs="Arial"/>
                <w:sz w:val="20"/>
                <w:szCs w:val="20"/>
              </w:rPr>
            </w:pPr>
            <w:r w:rsidRPr="00251317">
              <w:rPr>
                <w:rFonts w:ascii="Arial" w:hAnsi="Arial" w:cs="Arial"/>
                <w:sz w:val="20"/>
                <w:szCs w:val="20"/>
              </w:rPr>
              <w:t xml:space="preserve">63,5 </w:t>
            </w:r>
          </w:p>
        </w:tc>
      </w:tr>
    </w:tbl>
    <w:p w:rsidR="007A49EF" w:rsidRPr="00251317" w:rsidRDefault="007A49EF" w:rsidP="007A49EF">
      <w:pPr>
        <w:tabs>
          <w:tab w:val="center" w:pos="720"/>
        </w:tabs>
        <w:spacing w:line="480" w:lineRule="auto"/>
        <w:jc w:val="both"/>
        <w:rPr>
          <w:rFonts w:ascii="Arial" w:hAnsi="Arial" w:cs="Arial"/>
          <w:i/>
          <w:iCs/>
          <w:sz w:val="18"/>
          <w:szCs w:val="18"/>
        </w:rPr>
      </w:pPr>
      <w:r w:rsidRPr="00251317">
        <w:rPr>
          <w:rFonts w:ascii="Arial" w:hAnsi="Arial" w:cs="Arial"/>
          <w:i/>
          <w:iCs/>
          <w:sz w:val="18"/>
          <w:szCs w:val="18"/>
        </w:rPr>
        <w:t>Zdroj: ČSÚ – VŠPS</w:t>
      </w:r>
    </w:p>
    <w:p w:rsidR="007A49EF" w:rsidRPr="00251317" w:rsidRDefault="007A49EF" w:rsidP="007A49EF">
      <w:pPr>
        <w:spacing w:line="360" w:lineRule="auto"/>
        <w:ind w:firstLine="708"/>
        <w:jc w:val="both"/>
        <w:rPr>
          <w:rFonts w:ascii="Arial" w:hAnsi="Arial" w:cs="Arial"/>
        </w:rPr>
      </w:pPr>
      <w:r w:rsidRPr="00251317">
        <w:rPr>
          <w:rFonts w:ascii="Arial" w:hAnsi="Arial" w:cs="Arial"/>
        </w:rPr>
        <w:t xml:space="preserve">Míra zaměstnanosti vzrostla ve všech v tabulce uvedených věkových skupinách a u obou pohlaví, kromě nejvyšší věkové kategorie 55 – 64 let nejvíce u žen ve věku 25 – 39 let (o 1,2 p. b.) a u mužů 15 – 24 let (o 0,7 p. b.). </w:t>
      </w:r>
    </w:p>
    <w:p w:rsidR="007A49EF" w:rsidRPr="00C80A3E" w:rsidRDefault="007A49EF" w:rsidP="007A49EF">
      <w:pPr>
        <w:ind w:firstLine="708"/>
        <w:jc w:val="both"/>
        <w:rPr>
          <w:rFonts w:ascii="Arial" w:hAnsi="Arial" w:cs="Arial"/>
          <w:sz w:val="16"/>
          <w:szCs w:val="16"/>
        </w:rPr>
      </w:pPr>
    </w:p>
    <w:p w:rsidR="007A49EF" w:rsidRPr="00251317" w:rsidRDefault="007A49EF" w:rsidP="007A49EF">
      <w:pPr>
        <w:spacing w:line="360" w:lineRule="auto"/>
        <w:ind w:firstLine="708"/>
        <w:jc w:val="both"/>
        <w:rPr>
          <w:rFonts w:ascii="Arial" w:hAnsi="Arial" w:cs="Arial"/>
        </w:rPr>
      </w:pPr>
      <w:r w:rsidRPr="00C80A3E">
        <w:rPr>
          <w:rFonts w:ascii="Arial" w:hAnsi="Arial" w:cs="Arial"/>
          <w:b/>
        </w:rPr>
        <w:t>Míru zaměstnanosti</w:t>
      </w:r>
      <w:r w:rsidRPr="00251317">
        <w:rPr>
          <w:rFonts w:ascii="Arial" w:hAnsi="Arial" w:cs="Arial"/>
        </w:rPr>
        <w:t xml:space="preserve"> (vypočtenou jako podíl zaměstnaných ve věku 20 - 64 k bydlícím obyvatelům ve věku 20 - 64 let) </w:t>
      </w:r>
      <w:r w:rsidRPr="00251317">
        <w:rPr>
          <w:rFonts w:ascii="Arial" w:hAnsi="Arial" w:cs="Arial"/>
          <w:b/>
        </w:rPr>
        <w:t>vyšší než je průměrná míra zaměstnanosti</w:t>
      </w:r>
      <w:r w:rsidRPr="00251317">
        <w:rPr>
          <w:rFonts w:ascii="Arial" w:hAnsi="Arial" w:cs="Arial"/>
        </w:rPr>
        <w:t xml:space="preserve"> za ČR, mělo </w:t>
      </w:r>
      <w:r w:rsidRPr="00251317">
        <w:rPr>
          <w:rFonts w:ascii="Arial" w:hAnsi="Arial" w:cs="Arial"/>
          <w:b/>
        </w:rPr>
        <w:t>šest krajů.</w:t>
      </w:r>
      <w:r w:rsidRPr="00251317">
        <w:rPr>
          <w:rFonts w:ascii="Arial" w:hAnsi="Arial" w:cs="Arial"/>
        </w:rPr>
        <w:t xml:space="preserve"> Nejvyšší byla v Hl. m. Praze (77,9 %), Plzeňském (75,5 %) a Středočeském kraji (74,4 %), nejnižší v Ústeckém (67,6 %), Moravskoslezském (68,1 %) a Olomo</w:t>
      </w:r>
      <w:r w:rsidR="002A1610">
        <w:rPr>
          <w:rFonts w:ascii="Arial" w:hAnsi="Arial" w:cs="Arial"/>
        </w:rPr>
        <w:t>uckém  kraji (68,3 %), viz tab. </w:t>
      </w:r>
      <w:r w:rsidRPr="00251317">
        <w:rPr>
          <w:rFonts w:ascii="Arial" w:hAnsi="Arial" w:cs="Arial"/>
        </w:rPr>
        <w:t>č.</w:t>
      </w:r>
      <w:r w:rsidR="002A1610">
        <w:rPr>
          <w:rFonts w:ascii="Arial" w:hAnsi="Arial" w:cs="Arial"/>
        </w:rPr>
        <w:t> </w:t>
      </w:r>
      <w:r w:rsidRPr="00251317">
        <w:rPr>
          <w:rFonts w:ascii="Arial" w:hAnsi="Arial" w:cs="Arial"/>
        </w:rPr>
        <w:t xml:space="preserve">6. </w:t>
      </w:r>
      <w:r w:rsidRPr="00A775B5">
        <w:rPr>
          <w:rFonts w:ascii="Arial" w:hAnsi="Arial" w:cs="Arial"/>
          <w:b/>
        </w:rPr>
        <w:t>V Olomouckém kraji</w:t>
      </w:r>
      <w:r w:rsidRPr="00251317">
        <w:rPr>
          <w:rFonts w:ascii="Arial" w:hAnsi="Arial" w:cs="Arial"/>
        </w:rPr>
        <w:t xml:space="preserve"> také </w:t>
      </w:r>
      <w:r w:rsidRPr="00A775B5">
        <w:rPr>
          <w:rFonts w:ascii="Arial" w:hAnsi="Arial" w:cs="Arial"/>
          <w:b/>
        </w:rPr>
        <w:t xml:space="preserve">MZ nejvíce </w:t>
      </w:r>
      <w:r w:rsidRPr="00251317">
        <w:rPr>
          <w:rFonts w:ascii="Arial" w:hAnsi="Arial" w:cs="Arial"/>
        </w:rPr>
        <w:t xml:space="preserve">meziročně </w:t>
      </w:r>
      <w:r w:rsidRPr="00A775B5">
        <w:rPr>
          <w:rFonts w:ascii="Arial" w:hAnsi="Arial" w:cs="Arial"/>
          <w:b/>
        </w:rPr>
        <w:t>poklesla</w:t>
      </w:r>
      <w:r w:rsidRPr="00251317">
        <w:rPr>
          <w:rFonts w:ascii="Arial" w:hAnsi="Arial" w:cs="Arial"/>
        </w:rPr>
        <w:t xml:space="preserve"> (o 2,0 p. b.), naopak </w:t>
      </w:r>
      <w:r w:rsidRPr="00A775B5">
        <w:rPr>
          <w:rFonts w:ascii="Arial" w:hAnsi="Arial" w:cs="Arial"/>
          <w:b/>
        </w:rPr>
        <w:t>v Jihomoravském kraji</w:t>
      </w:r>
      <w:r w:rsidRPr="00251317">
        <w:rPr>
          <w:rFonts w:ascii="Arial" w:hAnsi="Arial" w:cs="Arial"/>
        </w:rPr>
        <w:t xml:space="preserve"> byl zaznamenán </w:t>
      </w:r>
      <w:r w:rsidRPr="00A775B5">
        <w:rPr>
          <w:rFonts w:ascii="Arial" w:hAnsi="Arial" w:cs="Arial"/>
          <w:b/>
        </w:rPr>
        <w:t>nejvyšší nárůst</w:t>
      </w:r>
      <w:r w:rsidRPr="00251317">
        <w:rPr>
          <w:rFonts w:ascii="Arial" w:hAnsi="Arial" w:cs="Arial"/>
        </w:rPr>
        <w:t xml:space="preserve"> (o 3,0 p. b.) </w:t>
      </w:r>
    </w:p>
    <w:p w:rsidR="007A49EF" w:rsidRPr="00251317" w:rsidRDefault="007A49EF" w:rsidP="007A49EF">
      <w:pPr>
        <w:widowControl w:val="0"/>
        <w:autoSpaceDE w:val="0"/>
        <w:autoSpaceDN w:val="0"/>
        <w:adjustRightInd w:val="0"/>
        <w:spacing w:line="360" w:lineRule="auto"/>
        <w:ind w:firstLine="709"/>
        <w:jc w:val="both"/>
        <w:rPr>
          <w:rFonts w:ascii="Arial" w:hAnsi="Arial" w:cs="Arial"/>
        </w:rPr>
      </w:pPr>
      <w:r w:rsidRPr="00251317">
        <w:rPr>
          <w:rFonts w:ascii="Arial" w:hAnsi="Arial" w:cs="Arial"/>
          <w:b/>
        </w:rPr>
        <w:t>Regionální rozdíly</w:t>
      </w:r>
      <w:r w:rsidRPr="00251317">
        <w:rPr>
          <w:rFonts w:ascii="Arial" w:hAnsi="Arial" w:cs="Arial"/>
        </w:rPr>
        <w:t xml:space="preserve"> souvisejí s různou odvětvovou strukturou zaměstnanosti a počtem a strukturou pracovních příležitostí. Rozptýlení regionální míry zaměstnanosti (variační koeficient) regionů NUTS2 se ve sledovaném období snížilo na 3,8 % (z 4,0 %); na úrovni krajů (NUTS3) se snížilo na 3,9 % (z 4,4 % v 1. pololetí 2012).</w:t>
      </w:r>
    </w:p>
    <w:p w:rsidR="007A49EF" w:rsidRPr="007A49EF" w:rsidRDefault="007A49EF" w:rsidP="007A49EF">
      <w:pPr>
        <w:widowControl w:val="0"/>
        <w:autoSpaceDE w:val="0"/>
        <w:autoSpaceDN w:val="0"/>
        <w:adjustRightInd w:val="0"/>
        <w:spacing w:line="360" w:lineRule="auto"/>
        <w:ind w:firstLine="708"/>
        <w:jc w:val="both"/>
        <w:rPr>
          <w:rFonts w:ascii="Arial" w:hAnsi="Arial" w:cs="Arial"/>
        </w:rPr>
      </w:pPr>
      <w:r w:rsidRPr="00251317">
        <w:rPr>
          <w:rFonts w:ascii="Arial" w:hAnsi="Arial" w:cs="Arial"/>
        </w:rPr>
        <w:lastRenderedPageBreak/>
        <w:t>Podobně jako v letech 2011</w:t>
      </w:r>
      <w:r>
        <w:rPr>
          <w:rFonts w:ascii="Arial" w:hAnsi="Arial" w:cs="Arial"/>
        </w:rPr>
        <w:t xml:space="preserve"> </w:t>
      </w:r>
      <w:r w:rsidRPr="00251317">
        <w:rPr>
          <w:rFonts w:ascii="Arial" w:hAnsi="Arial" w:cs="Arial"/>
        </w:rPr>
        <w:t xml:space="preserve">a 2012 pokračoval mírný nárůst počtu </w:t>
      </w:r>
      <w:r w:rsidRPr="00251317">
        <w:rPr>
          <w:rFonts w:ascii="Arial" w:hAnsi="Arial" w:cs="Arial"/>
          <w:b/>
        </w:rPr>
        <w:t>zaměstnanců s pracovními úvazky na dobu neurčitou</w:t>
      </w:r>
      <w:r w:rsidRPr="00251317">
        <w:rPr>
          <w:rFonts w:ascii="Arial" w:hAnsi="Arial" w:cs="Arial"/>
        </w:rPr>
        <w:t xml:space="preserve"> nebo jako podnikatel</w:t>
      </w:r>
      <w:r w:rsidRPr="00251317">
        <w:rPr>
          <w:rFonts w:ascii="Arial" w:hAnsi="Arial" w:cs="Arial"/>
          <w:b/>
        </w:rPr>
        <w:t xml:space="preserve">, </w:t>
      </w:r>
      <w:r w:rsidRPr="00251317">
        <w:rPr>
          <w:rFonts w:ascii="Arial" w:hAnsi="Arial" w:cs="Arial"/>
        </w:rPr>
        <w:t xml:space="preserve">který v 1. pololetí 2013 představoval 16,1 tis. a zvýšil se na </w:t>
      </w:r>
      <w:r w:rsidRPr="00251317">
        <w:rPr>
          <w:rFonts w:ascii="Arial" w:hAnsi="Arial" w:cs="Arial"/>
          <w:b/>
        </w:rPr>
        <w:t xml:space="preserve">4 546,6 tis. osob </w:t>
      </w:r>
      <w:r w:rsidRPr="00251317">
        <w:rPr>
          <w:rFonts w:ascii="Arial" w:hAnsi="Arial" w:cs="Arial"/>
        </w:rPr>
        <w:t>(počet mužů se zvýšil o 7,3 tis., počet žen o 8,8 tis.)</w:t>
      </w:r>
      <w:r w:rsidRPr="00251317">
        <w:rPr>
          <w:rFonts w:ascii="Arial" w:hAnsi="Arial" w:cs="Arial"/>
          <w:b/>
        </w:rPr>
        <w:t xml:space="preserve">. Počet </w:t>
      </w:r>
      <w:r w:rsidRPr="00251317">
        <w:rPr>
          <w:rFonts w:ascii="Arial" w:hAnsi="Arial" w:cs="Arial"/>
        </w:rPr>
        <w:t xml:space="preserve">pracujících </w:t>
      </w:r>
      <w:r w:rsidRPr="00251317">
        <w:rPr>
          <w:rFonts w:ascii="Arial" w:hAnsi="Arial" w:cs="Arial"/>
          <w:b/>
        </w:rPr>
        <w:t xml:space="preserve">na plnou pracovní dobu </w:t>
      </w:r>
      <w:r w:rsidRPr="00251317">
        <w:rPr>
          <w:rFonts w:ascii="Arial" w:hAnsi="Arial" w:cs="Arial"/>
        </w:rPr>
        <w:t>však na rozdíl od předchozích dvou let</w:t>
      </w:r>
      <w:r w:rsidRPr="00251317">
        <w:rPr>
          <w:rFonts w:ascii="Arial" w:hAnsi="Arial" w:cs="Arial"/>
          <w:b/>
        </w:rPr>
        <w:t xml:space="preserve"> </w:t>
      </w:r>
      <w:r w:rsidRPr="0092328A">
        <w:rPr>
          <w:rFonts w:ascii="Arial" w:hAnsi="Arial" w:cs="Arial"/>
        </w:rPr>
        <w:t xml:space="preserve">meziročně </w:t>
      </w:r>
      <w:r w:rsidRPr="00251317">
        <w:rPr>
          <w:rFonts w:ascii="Arial" w:hAnsi="Arial" w:cs="Arial"/>
          <w:b/>
        </w:rPr>
        <w:t xml:space="preserve">klesl, </w:t>
      </w:r>
      <w:r w:rsidRPr="00251317">
        <w:rPr>
          <w:rFonts w:ascii="Arial" w:hAnsi="Arial" w:cs="Arial"/>
        </w:rPr>
        <w:t>a to</w:t>
      </w:r>
      <w:r w:rsidRPr="00251317">
        <w:rPr>
          <w:rFonts w:ascii="Arial" w:hAnsi="Arial" w:cs="Arial"/>
          <w:b/>
        </w:rPr>
        <w:t xml:space="preserve"> </w:t>
      </w:r>
      <w:r w:rsidRPr="00251317">
        <w:rPr>
          <w:rFonts w:ascii="Arial" w:hAnsi="Arial" w:cs="Arial"/>
        </w:rPr>
        <w:t xml:space="preserve">o 2,6 tis. </w:t>
      </w:r>
      <w:r w:rsidRPr="00251317">
        <w:rPr>
          <w:rFonts w:ascii="Arial" w:hAnsi="Arial" w:cs="Arial"/>
          <w:b/>
        </w:rPr>
        <w:t>na 4 591,7 tis</w:t>
      </w:r>
      <w:r w:rsidRPr="00251317">
        <w:rPr>
          <w:rFonts w:ascii="Arial" w:hAnsi="Arial" w:cs="Arial"/>
        </w:rPr>
        <w:t>. osob (zatímco počet mužů vzrostl o 5,1 tis., počet žen se snížil o 7,6 tis.).</w:t>
      </w:r>
      <w:r w:rsidRPr="00251317">
        <w:rPr>
          <w:rFonts w:ascii="Arial" w:hAnsi="Arial" w:cs="Arial"/>
          <w:b/>
          <w:bCs/>
          <w:color w:val="FF0000"/>
        </w:rPr>
        <w:t xml:space="preserve"> </w:t>
      </w:r>
      <w:r w:rsidRPr="00251317">
        <w:rPr>
          <w:rFonts w:ascii="Arial" w:hAnsi="Arial" w:cs="Arial"/>
          <w:bCs/>
        </w:rPr>
        <w:t>Výrazný byl</w:t>
      </w:r>
      <w:r w:rsidRPr="00251317">
        <w:rPr>
          <w:rFonts w:ascii="Arial" w:hAnsi="Arial" w:cs="Arial"/>
          <w:b/>
          <w:bCs/>
        </w:rPr>
        <w:t xml:space="preserve"> nárůst počtu osob pracujících na dobu určitou </w:t>
      </w:r>
      <w:r w:rsidRPr="00251317">
        <w:rPr>
          <w:rFonts w:ascii="Arial" w:hAnsi="Arial" w:cs="Arial"/>
        </w:rPr>
        <w:t xml:space="preserve">včetně práce dočasné, příležitostní a sezónní a dalších časově omezených smluv, a to (o 40,9 tis.) </w:t>
      </w:r>
      <w:r w:rsidRPr="00251317">
        <w:rPr>
          <w:rFonts w:ascii="Arial" w:hAnsi="Arial" w:cs="Arial"/>
          <w:b/>
        </w:rPr>
        <w:t>na</w:t>
      </w:r>
      <w:r w:rsidRPr="00251317">
        <w:rPr>
          <w:rFonts w:ascii="Arial" w:hAnsi="Arial" w:cs="Arial"/>
        </w:rPr>
        <w:t xml:space="preserve"> </w:t>
      </w:r>
      <w:r w:rsidRPr="00251317">
        <w:rPr>
          <w:rFonts w:ascii="Arial" w:hAnsi="Arial" w:cs="Arial"/>
          <w:b/>
          <w:bCs/>
        </w:rPr>
        <w:t>371,0</w:t>
      </w:r>
      <w:r w:rsidR="00BD0B3A">
        <w:rPr>
          <w:rFonts w:ascii="Arial" w:hAnsi="Arial" w:cs="Arial"/>
          <w:b/>
          <w:bCs/>
        </w:rPr>
        <w:t> </w:t>
      </w:r>
      <w:r w:rsidRPr="00251317">
        <w:rPr>
          <w:rFonts w:ascii="Arial" w:hAnsi="Arial" w:cs="Arial"/>
          <w:b/>
          <w:bCs/>
        </w:rPr>
        <w:t xml:space="preserve">tis. </w:t>
      </w:r>
      <w:r w:rsidRPr="00251317">
        <w:rPr>
          <w:rFonts w:ascii="Arial" w:hAnsi="Arial" w:cs="Arial"/>
          <w:bCs/>
        </w:rPr>
        <w:t>(především u žen - o 29,0 tis., u mužů o 12,0 tis.)</w:t>
      </w:r>
      <w:r>
        <w:rPr>
          <w:rFonts w:ascii="Arial" w:hAnsi="Arial" w:cs="Arial"/>
          <w:bCs/>
        </w:rPr>
        <w:t xml:space="preserve">. Vývoj zaměstnanosti nejvýrazněji ovlivnil </w:t>
      </w:r>
      <w:r w:rsidRPr="00641405">
        <w:rPr>
          <w:rFonts w:ascii="Arial" w:hAnsi="Arial" w:cs="Arial"/>
          <w:b/>
          <w:bCs/>
        </w:rPr>
        <w:t>nárůst p</w:t>
      </w:r>
      <w:r w:rsidRPr="00641405">
        <w:rPr>
          <w:rFonts w:ascii="Arial" w:hAnsi="Arial" w:cs="Arial"/>
          <w:b/>
        </w:rPr>
        <w:t>očtu osob pracujících na kratší pracovní dobu</w:t>
      </w:r>
      <w:r w:rsidRPr="00251317">
        <w:rPr>
          <w:rFonts w:ascii="Arial" w:hAnsi="Arial" w:cs="Arial"/>
          <w:b/>
        </w:rPr>
        <w:t xml:space="preserve">, </w:t>
      </w:r>
      <w:r w:rsidRPr="00641405">
        <w:rPr>
          <w:rFonts w:ascii="Arial" w:hAnsi="Arial" w:cs="Arial"/>
        </w:rPr>
        <w:t xml:space="preserve">který </w:t>
      </w:r>
      <w:r w:rsidRPr="00251317">
        <w:rPr>
          <w:rFonts w:ascii="Arial" w:hAnsi="Arial" w:cs="Arial"/>
          <w:b/>
        </w:rPr>
        <w:t xml:space="preserve">vzrostl </w:t>
      </w:r>
      <w:r w:rsidRPr="00251317">
        <w:rPr>
          <w:rFonts w:ascii="Arial" w:hAnsi="Arial" w:cs="Arial"/>
        </w:rPr>
        <w:t xml:space="preserve">(o 59,5 tis.) </w:t>
      </w:r>
      <w:r w:rsidRPr="00251317">
        <w:rPr>
          <w:rFonts w:ascii="Arial" w:hAnsi="Arial" w:cs="Arial"/>
          <w:b/>
        </w:rPr>
        <w:t xml:space="preserve">na </w:t>
      </w:r>
      <w:r w:rsidRPr="00251317">
        <w:rPr>
          <w:rFonts w:ascii="Arial" w:hAnsi="Arial" w:cs="Arial"/>
          <w:b/>
          <w:bCs/>
        </w:rPr>
        <w:t>326,7</w:t>
      </w:r>
      <w:r w:rsidR="002F5109">
        <w:rPr>
          <w:rFonts w:ascii="Arial" w:hAnsi="Arial" w:cs="Arial"/>
          <w:b/>
          <w:bCs/>
        </w:rPr>
        <w:t> tis.</w:t>
      </w:r>
      <w:r w:rsidRPr="00251317">
        <w:rPr>
          <w:rFonts w:ascii="Arial" w:hAnsi="Arial" w:cs="Arial"/>
          <w:b/>
          <w:bCs/>
        </w:rPr>
        <w:t xml:space="preserve"> </w:t>
      </w:r>
      <w:r w:rsidRPr="00251317">
        <w:rPr>
          <w:rFonts w:ascii="Arial" w:hAnsi="Arial" w:cs="Arial"/>
          <w:b/>
        </w:rPr>
        <w:t xml:space="preserve">osob </w:t>
      </w:r>
      <w:r w:rsidRPr="00251317">
        <w:rPr>
          <w:rFonts w:ascii="Arial" w:hAnsi="Arial" w:cs="Arial"/>
        </w:rPr>
        <w:t>(u</w:t>
      </w:r>
      <w:r>
        <w:rPr>
          <w:rFonts w:ascii="Arial" w:hAnsi="Arial" w:cs="Arial"/>
        </w:rPr>
        <w:t> </w:t>
      </w:r>
      <w:r w:rsidRPr="00251317">
        <w:rPr>
          <w:rFonts w:ascii="Arial" w:hAnsi="Arial" w:cs="Arial"/>
        </w:rPr>
        <w:t xml:space="preserve">žen o 45,7 tis., u mužů o 13,7 tis.). </w:t>
      </w:r>
      <w:r w:rsidR="00172725">
        <w:rPr>
          <w:rFonts w:ascii="Arial" w:hAnsi="Arial" w:cs="Arial"/>
        </w:rPr>
        <w:t>Podle propočtu ČSÚ došlo k meziročnímu nárůstu pracujících důchodců o 5 tis., i když celkový počet neaktivních důchodců poklesl o </w:t>
      </w:r>
      <w:r w:rsidR="003C52A4">
        <w:rPr>
          <w:rFonts w:ascii="Arial" w:hAnsi="Arial" w:cs="Arial"/>
        </w:rPr>
        <w:t xml:space="preserve">13,0 tis. </w:t>
      </w:r>
      <w:r w:rsidRPr="007A49EF">
        <w:rPr>
          <w:rFonts w:ascii="Arial" w:hAnsi="Arial" w:cs="Arial"/>
        </w:rPr>
        <w:t xml:space="preserve">(viz tab. č. 1 a str. </w:t>
      </w:r>
      <w:r>
        <w:rPr>
          <w:rFonts w:ascii="Arial" w:hAnsi="Arial" w:cs="Arial"/>
        </w:rPr>
        <w:t>7</w:t>
      </w:r>
      <w:r w:rsidRPr="007A49EF">
        <w:rPr>
          <w:rFonts w:ascii="Arial" w:hAnsi="Arial" w:cs="Arial"/>
        </w:rPr>
        <w:t>)</w:t>
      </w:r>
      <w:r w:rsidR="003C52A4">
        <w:rPr>
          <w:rFonts w:ascii="Arial" w:hAnsi="Arial" w:cs="Arial"/>
        </w:rPr>
        <w:t xml:space="preserve">. </w:t>
      </w:r>
    </w:p>
    <w:p w:rsidR="007A49EF" w:rsidRPr="00251317" w:rsidRDefault="007A49EF" w:rsidP="007A49EF">
      <w:pPr>
        <w:widowControl w:val="0"/>
        <w:autoSpaceDE w:val="0"/>
        <w:autoSpaceDN w:val="0"/>
        <w:adjustRightInd w:val="0"/>
        <w:ind w:firstLine="708"/>
        <w:jc w:val="both"/>
        <w:rPr>
          <w:rFonts w:ascii="Arial" w:hAnsi="Arial" w:cs="Arial"/>
          <w:sz w:val="16"/>
          <w:szCs w:val="16"/>
        </w:rPr>
      </w:pPr>
      <w:r w:rsidRPr="00251317">
        <w:rPr>
          <w:rFonts w:ascii="Arial" w:hAnsi="Arial" w:cs="Arial"/>
          <w:sz w:val="16"/>
          <w:szCs w:val="16"/>
        </w:rPr>
        <w:t xml:space="preserve">                                                                                                                                                                                                                                                                                                                                                                                                                                                                                                                                                                                                                                                                                                                                                                                                                                                                                                                                                                                                                                                                                                                                                                                                                                                                                                                                                                                                                                                                                                                                                                                                                                                                                                                                                                                                                                                                                                                                                                                                                                                                                                                                                                                                                                                                                                                                                                                                                                                                                                                                                                                                                                                                                                                                                                                                                                                                                                                                                                                                                                                                                                                                                                                                                                                                                                                                                                                                                                                                                                                                                                                                                                                                                                                                                                                                                                                                                                                                                                                                                                                                                                                                                                                                                                                                                                                                                                                                                                                                                                                                                                                                                                                                                                                                                                                                                                                   </w:t>
      </w:r>
    </w:p>
    <w:p w:rsidR="007A49EF" w:rsidRPr="00251317" w:rsidRDefault="007A49EF" w:rsidP="007A49EF">
      <w:pPr>
        <w:jc w:val="center"/>
        <w:rPr>
          <w:rFonts w:ascii="Arial" w:hAnsi="Arial" w:cs="Arial"/>
          <w:b/>
          <w:bCs/>
        </w:rPr>
      </w:pPr>
      <w:r w:rsidRPr="00251317">
        <w:rPr>
          <w:rFonts w:ascii="Arial" w:hAnsi="Arial" w:cs="Arial"/>
          <w:b/>
          <w:bCs/>
        </w:rPr>
        <w:t>Počty zaměstnaných ve vybraných skupinách</w:t>
      </w:r>
    </w:p>
    <w:p w:rsidR="007A49EF" w:rsidRPr="00251317" w:rsidRDefault="007A49EF" w:rsidP="007A49EF">
      <w:pPr>
        <w:jc w:val="right"/>
        <w:rPr>
          <w:rFonts w:ascii="Arial" w:hAnsi="Arial" w:cs="Arial"/>
          <w:sz w:val="20"/>
          <w:szCs w:val="20"/>
        </w:rPr>
      </w:pPr>
      <w:r w:rsidRPr="00251317">
        <w:rPr>
          <w:rFonts w:ascii="Arial" w:hAnsi="Arial" w:cs="Arial"/>
          <w:sz w:val="20"/>
          <w:szCs w:val="20"/>
        </w:rPr>
        <w:t>tab. č. 8</w:t>
      </w:r>
    </w:p>
    <w:tbl>
      <w:tblPr>
        <w:tblW w:w="9072" w:type="dxa"/>
        <w:jc w:val="center"/>
        <w:tblCellMar>
          <w:left w:w="70" w:type="dxa"/>
          <w:right w:w="70" w:type="dxa"/>
        </w:tblCellMar>
        <w:tblLook w:val="0000" w:firstRow="0" w:lastRow="0" w:firstColumn="0" w:lastColumn="0" w:noHBand="0" w:noVBand="0"/>
      </w:tblPr>
      <w:tblGrid>
        <w:gridCol w:w="3119"/>
        <w:gridCol w:w="992"/>
        <w:gridCol w:w="851"/>
        <w:gridCol w:w="992"/>
        <w:gridCol w:w="932"/>
        <w:gridCol w:w="986"/>
        <w:gridCol w:w="1200"/>
      </w:tblGrid>
      <w:tr w:rsidR="007A49EF" w:rsidRPr="00251317" w:rsidTr="007A49EF">
        <w:trPr>
          <w:trHeight w:val="285"/>
          <w:jc w:val="center"/>
        </w:trPr>
        <w:tc>
          <w:tcPr>
            <w:tcW w:w="3119" w:type="dxa"/>
            <w:tcBorders>
              <w:top w:val="double" w:sz="6" w:space="0" w:color="auto"/>
              <w:left w:val="double" w:sz="6" w:space="0" w:color="auto"/>
              <w:bottom w:val="nil"/>
              <w:right w:val="nil"/>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 </w:t>
            </w:r>
          </w:p>
        </w:tc>
        <w:tc>
          <w:tcPr>
            <w:tcW w:w="1843" w:type="dxa"/>
            <w:gridSpan w:val="2"/>
            <w:tcBorders>
              <w:top w:val="double" w:sz="6" w:space="0" w:color="auto"/>
              <w:left w:val="single" w:sz="4" w:space="0" w:color="auto"/>
              <w:bottom w:val="single" w:sz="8" w:space="0" w:color="auto"/>
              <w:right w:val="single" w:sz="8" w:space="0" w:color="000000"/>
            </w:tcBorders>
            <w:shd w:val="clear" w:color="auto" w:fill="auto"/>
            <w:noWrap/>
            <w:vAlign w:val="bottom"/>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1.pololetí 2012</w:t>
            </w:r>
          </w:p>
        </w:tc>
        <w:tc>
          <w:tcPr>
            <w:tcW w:w="1924" w:type="dxa"/>
            <w:gridSpan w:val="2"/>
            <w:tcBorders>
              <w:top w:val="double" w:sz="6" w:space="0" w:color="auto"/>
              <w:left w:val="nil"/>
              <w:bottom w:val="single" w:sz="8" w:space="0" w:color="auto"/>
              <w:right w:val="single" w:sz="8" w:space="0" w:color="000000"/>
            </w:tcBorders>
            <w:shd w:val="clear" w:color="auto" w:fill="auto"/>
            <w:noWrap/>
            <w:vAlign w:val="bottom"/>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1.pololetí 2013</w:t>
            </w:r>
          </w:p>
        </w:tc>
        <w:tc>
          <w:tcPr>
            <w:tcW w:w="986" w:type="dxa"/>
            <w:vMerge w:val="restart"/>
            <w:tcBorders>
              <w:top w:val="double" w:sz="6" w:space="0" w:color="auto"/>
              <w:left w:val="nil"/>
              <w:bottom w:val="single" w:sz="8" w:space="0" w:color="000000"/>
              <w:right w:val="single" w:sz="8" w:space="0" w:color="auto"/>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rozdíl</w:t>
            </w:r>
          </w:p>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1</w:t>
            </w:r>
            <w:r w:rsidR="00BD1315">
              <w:rPr>
                <w:rFonts w:ascii="Arial" w:hAnsi="Arial" w:cs="Arial"/>
                <w:b/>
                <w:bCs/>
                <w:sz w:val="20"/>
                <w:szCs w:val="20"/>
              </w:rPr>
              <w:t>3</w:t>
            </w:r>
            <w:r w:rsidRPr="00251317">
              <w:rPr>
                <w:rFonts w:ascii="Arial" w:hAnsi="Arial" w:cs="Arial"/>
                <w:b/>
                <w:bCs/>
                <w:sz w:val="20"/>
                <w:szCs w:val="20"/>
              </w:rPr>
              <w:t>-1</w:t>
            </w:r>
            <w:r w:rsidR="00BD1315">
              <w:rPr>
                <w:rFonts w:ascii="Arial" w:hAnsi="Arial" w:cs="Arial"/>
                <w:b/>
                <w:bCs/>
                <w:sz w:val="20"/>
                <w:szCs w:val="20"/>
              </w:rPr>
              <w:t>2</w:t>
            </w:r>
          </w:p>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(tis.)</w:t>
            </w:r>
          </w:p>
        </w:tc>
        <w:tc>
          <w:tcPr>
            <w:tcW w:w="1200" w:type="dxa"/>
            <w:vMerge w:val="restart"/>
            <w:tcBorders>
              <w:top w:val="double" w:sz="6" w:space="0" w:color="auto"/>
              <w:left w:val="nil"/>
              <w:right w:val="double" w:sz="6" w:space="0" w:color="auto"/>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index</w:t>
            </w:r>
          </w:p>
          <w:p w:rsidR="007A49EF" w:rsidRPr="00251317" w:rsidRDefault="007A49EF" w:rsidP="00BD1315">
            <w:pPr>
              <w:jc w:val="center"/>
              <w:rPr>
                <w:rFonts w:ascii="Arial" w:hAnsi="Arial" w:cs="Arial"/>
                <w:b/>
                <w:bCs/>
                <w:sz w:val="20"/>
                <w:szCs w:val="20"/>
              </w:rPr>
            </w:pPr>
            <w:r w:rsidRPr="00251317">
              <w:rPr>
                <w:rFonts w:ascii="Arial" w:hAnsi="Arial" w:cs="Arial"/>
                <w:b/>
                <w:bCs/>
                <w:sz w:val="20"/>
                <w:szCs w:val="20"/>
              </w:rPr>
              <w:t>1</w:t>
            </w:r>
            <w:r w:rsidR="00BD1315">
              <w:rPr>
                <w:rFonts w:ascii="Arial" w:hAnsi="Arial" w:cs="Arial"/>
                <w:b/>
                <w:bCs/>
                <w:sz w:val="20"/>
                <w:szCs w:val="20"/>
              </w:rPr>
              <w:t>3</w:t>
            </w:r>
            <w:r w:rsidRPr="00251317">
              <w:rPr>
                <w:rFonts w:ascii="Arial" w:hAnsi="Arial" w:cs="Arial"/>
                <w:b/>
                <w:bCs/>
                <w:sz w:val="20"/>
                <w:szCs w:val="20"/>
              </w:rPr>
              <w:t>/1</w:t>
            </w:r>
            <w:r w:rsidR="00BD1315">
              <w:rPr>
                <w:rFonts w:ascii="Arial" w:hAnsi="Arial" w:cs="Arial"/>
                <w:b/>
                <w:bCs/>
                <w:sz w:val="20"/>
                <w:szCs w:val="20"/>
              </w:rPr>
              <w:t>2</w:t>
            </w:r>
            <w:r w:rsidRPr="00251317">
              <w:rPr>
                <w:rFonts w:ascii="Arial" w:hAnsi="Arial" w:cs="Arial"/>
                <w:b/>
                <w:bCs/>
                <w:sz w:val="20"/>
                <w:szCs w:val="20"/>
              </w:rPr>
              <w:t xml:space="preserve"> </w:t>
            </w:r>
            <w:r w:rsidRPr="00251317">
              <w:rPr>
                <w:rFonts w:ascii="Arial" w:hAnsi="Arial" w:cs="Arial"/>
                <w:b/>
                <w:sz w:val="20"/>
                <w:szCs w:val="20"/>
              </w:rPr>
              <w:t>(%)</w:t>
            </w:r>
          </w:p>
        </w:tc>
      </w:tr>
      <w:tr w:rsidR="007A49EF" w:rsidRPr="00251317" w:rsidTr="007A49EF">
        <w:trPr>
          <w:trHeight w:val="270"/>
          <w:jc w:val="center"/>
        </w:trPr>
        <w:tc>
          <w:tcPr>
            <w:tcW w:w="3119" w:type="dxa"/>
            <w:tcBorders>
              <w:top w:val="nil"/>
              <w:left w:val="double" w:sz="6" w:space="0" w:color="auto"/>
              <w:bottom w:val="single" w:sz="8" w:space="0" w:color="auto"/>
              <w:right w:val="nil"/>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 </w:t>
            </w:r>
          </w:p>
        </w:tc>
        <w:tc>
          <w:tcPr>
            <w:tcW w:w="992" w:type="dxa"/>
            <w:tcBorders>
              <w:top w:val="nil"/>
              <w:left w:val="single" w:sz="4" w:space="0" w:color="auto"/>
              <w:bottom w:val="single" w:sz="8" w:space="0" w:color="auto"/>
              <w:right w:val="single" w:sz="8" w:space="0" w:color="auto"/>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v tis.</w:t>
            </w:r>
          </w:p>
        </w:tc>
        <w:tc>
          <w:tcPr>
            <w:tcW w:w="851" w:type="dxa"/>
            <w:tcBorders>
              <w:top w:val="nil"/>
              <w:left w:val="nil"/>
              <w:bottom w:val="single" w:sz="8" w:space="0" w:color="auto"/>
              <w:right w:val="single" w:sz="8" w:space="0" w:color="auto"/>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w:t>
            </w:r>
          </w:p>
        </w:tc>
        <w:tc>
          <w:tcPr>
            <w:tcW w:w="992" w:type="dxa"/>
            <w:tcBorders>
              <w:top w:val="nil"/>
              <w:left w:val="nil"/>
              <w:bottom w:val="single" w:sz="8" w:space="0" w:color="auto"/>
              <w:right w:val="single" w:sz="8" w:space="0" w:color="auto"/>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v tis.</w:t>
            </w:r>
          </w:p>
        </w:tc>
        <w:tc>
          <w:tcPr>
            <w:tcW w:w="932" w:type="dxa"/>
            <w:tcBorders>
              <w:top w:val="nil"/>
              <w:left w:val="nil"/>
              <w:bottom w:val="single" w:sz="8" w:space="0" w:color="auto"/>
              <w:right w:val="single" w:sz="8" w:space="0" w:color="auto"/>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w:t>
            </w:r>
          </w:p>
        </w:tc>
        <w:tc>
          <w:tcPr>
            <w:tcW w:w="986" w:type="dxa"/>
            <w:vMerge/>
            <w:tcBorders>
              <w:top w:val="double" w:sz="6" w:space="0" w:color="auto"/>
              <w:left w:val="nil"/>
              <w:bottom w:val="single" w:sz="8" w:space="0" w:color="000000"/>
              <w:right w:val="single" w:sz="8" w:space="0" w:color="auto"/>
            </w:tcBorders>
            <w:vAlign w:val="center"/>
          </w:tcPr>
          <w:p w:rsidR="007A49EF" w:rsidRPr="00251317" w:rsidRDefault="007A49EF" w:rsidP="007A49EF">
            <w:pPr>
              <w:rPr>
                <w:rFonts w:ascii="Arial" w:hAnsi="Arial" w:cs="Arial"/>
                <w:b/>
                <w:bCs/>
                <w:sz w:val="20"/>
                <w:szCs w:val="20"/>
              </w:rPr>
            </w:pPr>
          </w:p>
        </w:tc>
        <w:tc>
          <w:tcPr>
            <w:tcW w:w="1200" w:type="dxa"/>
            <w:vMerge/>
            <w:tcBorders>
              <w:left w:val="nil"/>
              <w:bottom w:val="single" w:sz="8" w:space="0" w:color="000000"/>
              <w:right w:val="double" w:sz="6" w:space="0" w:color="auto"/>
            </w:tcBorders>
            <w:shd w:val="clear" w:color="auto" w:fill="auto"/>
            <w:noWrap/>
            <w:vAlign w:val="center"/>
          </w:tcPr>
          <w:p w:rsidR="007A49EF" w:rsidRPr="00251317" w:rsidRDefault="007A49EF" w:rsidP="007A49EF">
            <w:pPr>
              <w:jc w:val="center"/>
              <w:rPr>
                <w:rFonts w:ascii="Arial" w:hAnsi="Arial" w:cs="Arial"/>
                <w:b/>
                <w:bCs/>
                <w:sz w:val="20"/>
                <w:szCs w:val="20"/>
              </w:rPr>
            </w:pPr>
          </w:p>
        </w:tc>
      </w:tr>
      <w:tr w:rsidR="007A49EF" w:rsidRPr="00251317" w:rsidTr="007A49EF">
        <w:trPr>
          <w:trHeight w:val="270"/>
          <w:jc w:val="center"/>
        </w:trPr>
        <w:tc>
          <w:tcPr>
            <w:tcW w:w="3119" w:type="dxa"/>
            <w:tcBorders>
              <w:top w:val="nil"/>
              <w:left w:val="double" w:sz="6" w:space="0" w:color="auto"/>
              <w:bottom w:val="single" w:sz="8" w:space="0" w:color="auto"/>
              <w:right w:val="nil"/>
            </w:tcBorders>
            <w:shd w:val="clear" w:color="auto" w:fill="auto"/>
            <w:noWrap/>
            <w:vAlign w:val="center"/>
          </w:tcPr>
          <w:p w:rsidR="007A49EF" w:rsidRPr="00251317" w:rsidRDefault="007A49EF" w:rsidP="007A49EF">
            <w:pPr>
              <w:rPr>
                <w:rFonts w:ascii="Arial" w:hAnsi="Arial" w:cs="Arial"/>
                <w:b/>
                <w:bCs/>
                <w:sz w:val="20"/>
                <w:szCs w:val="20"/>
              </w:rPr>
            </w:pPr>
            <w:r w:rsidRPr="00251317">
              <w:rPr>
                <w:rFonts w:ascii="Arial" w:hAnsi="Arial" w:cs="Arial"/>
                <w:b/>
                <w:bCs/>
                <w:sz w:val="20"/>
                <w:szCs w:val="20"/>
              </w:rPr>
              <w:t>Zaměstnaní – celkem</w:t>
            </w:r>
          </w:p>
        </w:tc>
        <w:tc>
          <w:tcPr>
            <w:tcW w:w="992" w:type="dxa"/>
            <w:tcBorders>
              <w:top w:val="nil"/>
              <w:left w:val="single" w:sz="4" w:space="0" w:color="auto"/>
              <w:bottom w:val="single" w:sz="8" w:space="0" w:color="auto"/>
              <w:right w:val="single" w:sz="8" w:space="0" w:color="auto"/>
            </w:tcBorders>
            <w:shd w:val="clear" w:color="auto" w:fill="auto"/>
            <w:noWrap/>
            <w:vAlign w:val="center"/>
          </w:tcPr>
          <w:p w:rsidR="007A49EF" w:rsidRPr="00251317" w:rsidRDefault="007A49EF" w:rsidP="007A49EF">
            <w:pPr>
              <w:jc w:val="right"/>
              <w:rPr>
                <w:rFonts w:ascii="Arial" w:hAnsi="Arial" w:cs="Arial"/>
                <w:b/>
                <w:bCs/>
                <w:sz w:val="20"/>
                <w:szCs w:val="20"/>
              </w:rPr>
            </w:pPr>
            <w:r w:rsidRPr="00251317">
              <w:rPr>
                <w:rFonts w:ascii="Arial" w:hAnsi="Arial" w:cs="Arial"/>
                <w:b/>
                <w:bCs/>
                <w:sz w:val="20"/>
                <w:szCs w:val="20"/>
              </w:rPr>
              <w:t>4 861,5</w:t>
            </w:r>
          </w:p>
        </w:tc>
        <w:tc>
          <w:tcPr>
            <w:tcW w:w="851" w:type="dxa"/>
            <w:tcBorders>
              <w:top w:val="nil"/>
              <w:left w:val="nil"/>
              <w:bottom w:val="single" w:sz="8" w:space="0" w:color="auto"/>
              <w:right w:val="single" w:sz="8" w:space="0" w:color="auto"/>
            </w:tcBorders>
            <w:shd w:val="clear" w:color="auto" w:fill="auto"/>
            <w:noWrap/>
            <w:vAlign w:val="center"/>
          </w:tcPr>
          <w:p w:rsidR="007A49EF" w:rsidRPr="00251317" w:rsidRDefault="007A49EF" w:rsidP="007A49EF">
            <w:pPr>
              <w:jc w:val="right"/>
              <w:rPr>
                <w:rFonts w:ascii="Arial" w:hAnsi="Arial" w:cs="Arial"/>
                <w:b/>
                <w:bCs/>
                <w:sz w:val="20"/>
                <w:szCs w:val="20"/>
              </w:rPr>
            </w:pPr>
            <w:r w:rsidRPr="00251317">
              <w:rPr>
                <w:rFonts w:ascii="Arial" w:hAnsi="Arial" w:cs="Arial"/>
                <w:b/>
                <w:bCs/>
                <w:sz w:val="20"/>
                <w:szCs w:val="20"/>
              </w:rPr>
              <w:t>100,0</w:t>
            </w:r>
          </w:p>
        </w:tc>
        <w:tc>
          <w:tcPr>
            <w:tcW w:w="992" w:type="dxa"/>
            <w:tcBorders>
              <w:top w:val="nil"/>
              <w:left w:val="nil"/>
              <w:bottom w:val="single" w:sz="8" w:space="0" w:color="auto"/>
              <w:right w:val="single" w:sz="8" w:space="0" w:color="auto"/>
            </w:tcBorders>
            <w:shd w:val="clear" w:color="auto" w:fill="auto"/>
            <w:noWrap/>
            <w:vAlign w:val="center"/>
          </w:tcPr>
          <w:p w:rsidR="007A49EF" w:rsidRPr="00251317" w:rsidRDefault="007A49EF" w:rsidP="007A49EF">
            <w:pPr>
              <w:jc w:val="right"/>
              <w:rPr>
                <w:rFonts w:ascii="Arial" w:hAnsi="Arial" w:cs="Arial"/>
                <w:b/>
                <w:bCs/>
                <w:sz w:val="20"/>
                <w:szCs w:val="20"/>
              </w:rPr>
            </w:pPr>
            <w:r w:rsidRPr="00251317">
              <w:rPr>
                <w:rFonts w:ascii="Arial" w:hAnsi="Arial" w:cs="Arial"/>
                <w:b/>
                <w:bCs/>
                <w:sz w:val="20"/>
                <w:szCs w:val="20"/>
              </w:rPr>
              <w:t>4 918,5</w:t>
            </w:r>
          </w:p>
        </w:tc>
        <w:tc>
          <w:tcPr>
            <w:tcW w:w="932" w:type="dxa"/>
            <w:tcBorders>
              <w:top w:val="nil"/>
              <w:left w:val="nil"/>
              <w:bottom w:val="single" w:sz="8" w:space="0" w:color="auto"/>
              <w:right w:val="single" w:sz="8" w:space="0" w:color="auto"/>
            </w:tcBorders>
            <w:shd w:val="clear" w:color="auto" w:fill="auto"/>
            <w:noWrap/>
            <w:vAlign w:val="center"/>
          </w:tcPr>
          <w:p w:rsidR="007A49EF" w:rsidRPr="00251317" w:rsidRDefault="007A49EF" w:rsidP="007A49EF">
            <w:pPr>
              <w:jc w:val="right"/>
              <w:rPr>
                <w:rFonts w:ascii="Arial" w:hAnsi="Arial" w:cs="Arial"/>
                <w:b/>
                <w:bCs/>
                <w:sz w:val="20"/>
                <w:szCs w:val="20"/>
              </w:rPr>
            </w:pPr>
            <w:r w:rsidRPr="00251317">
              <w:rPr>
                <w:rFonts w:ascii="Arial" w:hAnsi="Arial" w:cs="Arial"/>
                <w:b/>
                <w:bCs/>
                <w:sz w:val="20"/>
                <w:szCs w:val="20"/>
              </w:rPr>
              <w:t>100,0</w:t>
            </w:r>
          </w:p>
        </w:tc>
        <w:tc>
          <w:tcPr>
            <w:tcW w:w="986" w:type="dxa"/>
            <w:tcBorders>
              <w:top w:val="nil"/>
              <w:left w:val="nil"/>
              <w:bottom w:val="single" w:sz="8" w:space="0" w:color="auto"/>
              <w:right w:val="single" w:sz="8" w:space="0" w:color="auto"/>
            </w:tcBorders>
            <w:shd w:val="clear" w:color="auto" w:fill="auto"/>
            <w:noWrap/>
            <w:vAlign w:val="center"/>
          </w:tcPr>
          <w:p w:rsidR="007A49EF" w:rsidRPr="00251317" w:rsidRDefault="007A49EF" w:rsidP="007A49EF">
            <w:pPr>
              <w:jc w:val="right"/>
              <w:rPr>
                <w:rFonts w:ascii="Arial" w:hAnsi="Arial" w:cs="Arial"/>
                <w:b/>
                <w:bCs/>
                <w:sz w:val="20"/>
                <w:szCs w:val="20"/>
              </w:rPr>
            </w:pPr>
            <w:r w:rsidRPr="00251317">
              <w:rPr>
                <w:rFonts w:ascii="Arial" w:hAnsi="Arial" w:cs="Arial"/>
                <w:b/>
                <w:bCs/>
                <w:sz w:val="20"/>
                <w:szCs w:val="20"/>
              </w:rPr>
              <w:t xml:space="preserve">57,0 </w:t>
            </w:r>
          </w:p>
        </w:tc>
        <w:tc>
          <w:tcPr>
            <w:tcW w:w="1200" w:type="dxa"/>
            <w:tcBorders>
              <w:top w:val="nil"/>
              <w:left w:val="nil"/>
              <w:bottom w:val="single" w:sz="8" w:space="0" w:color="auto"/>
              <w:right w:val="double" w:sz="6" w:space="0" w:color="auto"/>
            </w:tcBorders>
            <w:shd w:val="clear" w:color="auto" w:fill="auto"/>
            <w:noWrap/>
            <w:vAlign w:val="center"/>
          </w:tcPr>
          <w:p w:rsidR="007A49EF" w:rsidRPr="00251317" w:rsidRDefault="007A49EF" w:rsidP="007A49EF">
            <w:pPr>
              <w:jc w:val="right"/>
              <w:rPr>
                <w:rFonts w:ascii="Arial" w:hAnsi="Arial" w:cs="Arial"/>
                <w:b/>
                <w:bCs/>
                <w:sz w:val="20"/>
                <w:szCs w:val="20"/>
              </w:rPr>
            </w:pPr>
            <w:r w:rsidRPr="00251317">
              <w:rPr>
                <w:rFonts w:ascii="Arial" w:hAnsi="Arial" w:cs="Arial"/>
                <w:b/>
                <w:bCs/>
                <w:sz w:val="20"/>
                <w:szCs w:val="20"/>
              </w:rPr>
              <w:t>101,2</w:t>
            </w:r>
          </w:p>
        </w:tc>
      </w:tr>
      <w:tr w:rsidR="007A49EF" w:rsidRPr="00251317" w:rsidTr="007A49EF">
        <w:trPr>
          <w:trHeight w:val="284"/>
          <w:jc w:val="center"/>
        </w:trPr>
        <w:tc>
          <w:tcPr>
            <w:tcW w:w="3119" w:type="dxa"/>
            <w:tcBorders>
              <w:top w:val="nil"/>
              <w:left w:val="double" w:sz="6" w:space="0" w:color="auto"/>
              <w:bottom w:val="nil"/>
              <w:right w:val="nil"/>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z toho:</w:t>
            </w:r>
          </w:p>
        </w:tc>
        <w:tc>
          <w:tcPr>
            <w:tcW w:w="992" w:type="dxa"/>
            <w:tcBorders>
              <w:top w:val="nil"/>
              <w:left w:val="single" w:sz="4" w:space="0" w:color="auto"/>
              <w:bottom w:val="nil"/>
              <w:right w:val="single" w:sz="8"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w:t>
            </w:r>
          </w:p>
        </w:tc>
        <w:tc>
          <w:tcPr>
            <w:tcW w:w="851" w:type="dxa"/>
            <w:tcBorders>
              <w:top w:val="nil"/>
              <w:left w:val="nil"/>
              <w:bottom w:val="nil"/>
              <w:right w:val="single" w:sz="8"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w:t>
            </w:r>
          </w:p>
        </w:tc>
        <w:tc>
          <w:tcPr>
            <w:tcW w:w="992" w:type="dxa"/>
            <w:tcBorders>
              <w:top w:val="nil"/>
              <w:left w:val="nil"/>
              <w:bottom w:val="nil"/>
              <w:right w:val="single" w:sz="8"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w:t>
            </w:r>
          </w:p>
        </w:tc>
        <w:tc>
          <w:tcPr>
            <w:tcW w:w="932" w:type="dxa"/>
            <w:tcBorders>
              <w:top w:val="nil"/>
              <w:left w:val="nil"/>
              <w:bottom w:val="nil"/>
              <w:right w:val="single" w:sz="8"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w:t>
            </w:r>
          </w:p>
        </w:tc>
        <w:tc>
          <w:tcPr>
            <w:tcW w:w="986" w:type="dxa"/>
            <w:tcBorders>
              <w:top w:val="nil"/>
              <w:left w:val="nil"/>
              <w:bottom w:val="nil"/>
              <w:right w:val="single" w:sz="8"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w:t>
            </w:r>
          </w:p>
        </w:tc>
        <w:tc>
          <w:tcPr>
            <w:tcW w:w="1200" w:type="dxa"/>
            <w:tcBorders>
              <w:top w:val="nil"/>
              <w:left w:val="nil"/>
              <w:bottom w:val="nil"/>
              <w:right w:val="double" w:sz="6"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w:t>
            </w:r>
          </w:p>
        </w:tc>
      </w:tr>
      <w:tr w:rsidR="007A49EF" w:rsidRPr="00251317" w:rsidTr="007A49EF">
        <w:trPr>
          <w:trHeight w:val="284"/>
          <w:jc w:val="center"/>
        </w:trPr>
        <w:tc>
          <w:tcPr>
            <w:tcW w:w="3119" w:type="dxa"/>
            <w:tcBorders>
              <w:top w:val="nil"/>
              <w:left w:val="double" w:sz="6" w:space="0" w:color="auto"/>
              <w:bottom w:val="nil"/>
              <w:right w:val="nil"/>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 xml:space="preserve"> - mající druhé (další) zaměstnání</w:t>
            </w:r>
          </w:p>
        </w:tc>
        <w:tc>
          <w:tcPr>
            <w:tcW w:w="992" w:type="dxa"/>
            <w:tcBorders>
              <w:top w:val="nil"/>
              <w:left w:val="single" w:sz="4" w:space="0" w:color="auto"/>
              <w:bottom w:val="nil"/>
              <w:right w:val="single" w:sz="8"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101,6</w:t>
            </w:r>
          </w:p>
        </w:tc>
        <w:tc>
          <w:tcPr>
            <w:tcW w:w="851" w:type="dxa"/>
            <w:tcBorders>
              <w:top w:val="nil"/>
              <w:left w:val="nil"/>
              <w:bottom w:val="nil"/>
              <w:right w:val="single" w:sz="8"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2,1</w:t>
            </w:r>
          </w:p>
        </w:tc>
        <w:tc>
          <w:tcPr>
            <w:tcW w:w="992" w:type="dxa"/>
            <w:tcBorders>
              <w:top w:val="nil"/>
              <w:left w:val="nil"/>
              <w:bottom w:val="nil"/>
              <w:right w:val="single" w:sz="8"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113,9</w:t>
            </w:r>
          </w:p>
        </w:tc>
        <w:tc>
          <w:tcPr>
            <w:tcW w:w="932" w:type="dxa"/>
            <w:tcBorders>
              <w:top w:val="nil"/>
              <w:left w:val="nil"/>
              <w:bottom w:val="nil"/>
              <w:right w:val="single" w:sz="8"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2,3</w:t>
            </w:r>
          </w:p>
        </w:tc>
        <w:tc>
          <w:tcPr>
            <w:tcW w:w="986" w:type="dxa"/>
            <w:tcBorders>
              <w:top w:val="nil"/>
              <w:left w:val="nil"/>
              <w:bottom w:val="single" w:sz="8" w:space="0" w:color="auto"/>
              <w:right w:val="single" w:sz="8"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12,3 </w:t>
            </w:r>
          </w:p>
        </w:tc>
        <w:tc>
          <w:tcPr>
            <w:tcW w:w="1200" w:type="dxa"/>
            <w:tcBorders>
              <w:top w:val="nil"/>
              <w:left w:val="nil"/>
              <w:bottom w:val="single" w:sz="8" w:space="0" w:color="auto"/>
              <w:right w:val="double" w:sz="6"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112,1</w:t>
            </w:r>
          </w:p>
        </w:tc>
      </w:tr>
      <w:tr w:rsidR="007A49EF" w:rsidRPr="00251317" w:rsidTr="007A49EF">
        <w:trPr>
          <w:trHeight w:val="284"/>
          <w:jc w:val="center"/>
        </w:trPr>
        <w:tc>
          <w:tcPr>
            <w:tcW w:w="3119" w:type="dxa"/>
            <w:tcBorders>
              <w:top w:val="single" w:sz="8" w:space="0" w:color="auto"/>
              <w:left w:val="double" w:sz="6" w:space="0" w:color="auto"/>
              <w:bottom w:val="nil"/>
              <w:right w:val="nil"/>
            </w:tcBorders>
            <w:shd w:val="clear" w:color="auto" w:fill="auto"/>
            <w:vAlign w:val="center"/>
          </w:tcPr>
          <w:p w:rsidR="007A49EF" w:rsidRPr="00251317" w:rsidRDefault="007A49EF" w:rsidP="007A49EF">
            <w:pPr>
              <w:ind w:left="237" w:hanging="237"/>
              <w:rPr>
                <w:rFonts w:ascii="Arial" w:hAnsi="Arial" w:cs="Arial"/>
                <w:sz w:val="20"/>
                <w:szCs w:val="20"/>
              </w:rPr>
            </w:pPr>
            <w:r w:rsidRPr="00251317">
              <w:rPr>
                <w:rFonts w:ascii="Arial" w:hAnsi="Arial" w:cs="Arial"/>
                <w:sz w:val="20"/>
                <w:szCs w:val="20"/>
              </w:rPr>
              <w:t xml:space="preserve"> - úvazek na dobu neurčitou nebo jako podnikatel</w:t>
            </w:r>
          </w:p>
        </w:tc>
        <w:tc>
          <w:tcPr>
            <w:tcW w:w="992" w:type="dxa"/>
            <w:tcBorders>
              <w:top w:val="single" w:sz="8" w:space="0" w:color="auto"/>
              <w:left w:val="single" w:sz="4" w:space="0" w:color="auto"/>
              <w:bottom w:val="nil"/>
              <w:right w:val="single" w:sz="8"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4 530,5</w:t>
            </w:r>
          </w:p>
        </w:tc>
        <w:tc>
          <w:tcPr>
            <w:tcW w:w="851" w:type="dxa"/>
            <w:tcBorders>
              <w:top w:val="single" w:sz="8" w:space="0" w:color="auto"/>
              <w:left w:val="nil"/>
              <w:bottom w:val="nil"/>
              <w:right w:val="single" w:sz="8"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93,2</w:t>
            </w:r>
          </w:p>
        </w:tc>
        <w:tc>
          <w:tcPr>
            <w:tcW w:w="992" w:type="dxa"/>
            <w:tcBorders>
              <w:top w:val="single" w:sz="8" w:space="0" w:color="auto"/>
              <w:left w:val="nil"/>
              <w:bottom w:val="nil"/>
              <w:right w:val="single" w:sz="8"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4 546,6</w:t>
            </w:r>
          </w:p>
        </w:tc>
        <w:tc>
          <w:tcPr>
            <w:tcW w:w="932" w:type="dxa"/>
            <w:tcBorders>
              <w:top w:val="single" w:sz="8" w:space="0" w:color="auto"/>
              <w:left w:val="nil"/>
              <w:bottom w:val="nil"/>
              <w:right w:val="single" w:sz="8"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92,4</w:t>
            </w:r>
          </w:p>
        </w:tc>
        <w:tc>
          <w:tcPr>
            <w:tcW w:w="986" w:type="dxa"/>
            <w:tcBorders>
              <w:top w:val="nil"/>
              <w:left w:val="nil"/>
              <w:bottom w:val="nil"/>
              <w:right w:val="single" w:sz="8"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16,1 </w:t>
            </w:r>
          </w:p>
        </w:tc>
        <w:tc>
          <w:tcPr>
            <w:tcW w:w="1200" w:type="dxa"/>
            <w:tcBorders>
              <w:top w:val="nil"/>
              <w:left w:val="nil"/>
              <w:bottom w:val="nil"/>
              <w:right w:val="double" w:sz="6"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100,4</w:t>
            </w:r>
          </w:p>
        </w:tc>
      </w:tr>
      <w:tr w:rsidR="007A49EF" w:rsidRPr="00251317" w:rsidTr="007A49EF">
        <w:trPr>
          <w:trHeight w:val="284"/>
          <w:jc w:val="center"/>
        </w:trPr>
        <w:tc>
          <w:tcPr>
            <w:tcW w:w="3119" w:type="dxa"/>
            <w:tcBorders>
              <w:top w:val="nil"/>
              <w:left w:val="double" w:sz="6" w:space="0" w:color="auto"/>
              <w:bottom w:val="single" w:sz="8" w:space="0" w:color="auto"/>
              <w:right w:val="nil"/>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 xml:space="preserve"> - úvazek na dobu určitou </w:t>
            </w:r>
          </w:p>
        </w:tc>
        <w:tc>
          <w:tcPr>
            <w:tcW w:w="992" w:type="dxa"/>
            <w:tcBorders>
              <w:top w:val="nil"/>
              <w:left w:val="single" w:sz="4" w:space="0" w:color="auto"/>
              <w:bottom w:val="single" w:sz="8" w:space="0" w:color="auto"/>
              <w:right w:val="single" w:sz="8"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330,1</w:t>
            </w:r>
          </w:p>
        </w:tc>
        <w:tc>
          <w:tcPr>
            <w:tcW w:w="851" w:type="dxa"/>
            <w:tcBorders>
              <w:top w:val="nil"/>
              <w:left w:val="nil"/>
              <w:bottom w:val="single" w:sz="8" w:space="0" w:color="auto"/>
              <w:right w:val="single" w:sz="8"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6,8</w:t>
            </w:r>
          </w:p>
        </w:tc>
        <w:tc>
          <w:tcPr>
            <w:tcW w:w="992" w:type="dxa"/>
            <w:tcBorders>
              <w:top w:val="nil"/>
              <w:left w:val="nil"/>
              <w:bottom w:val="single" w:sz="8" w:space="0" w:color="auto"/>
              <w:right w:val="single" w:sz="8"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371,0</w:t>
            </w:r>
          </w:p>
        </w:tc>
        <w:tc>
          <w:tcPr>
            <w:tcW w:w="932" w:type="dxa"/>
            <w:tcBorders>
              <w:top w:val="nil"/>
              <w:left w:val="nil"/>
              <w:bottom w:val="single" w:sz="8" w:space="0" w:color="auto"/>
              <w:right w:val="single" w:sz="8"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7,5</w:t>
            </w:r>
          </w:p>
        </w:tc>
        <w:tc>
          <w:tcPr>
            <w:tcW w:w="986" w:type="dxa"/>
            <w:tcBorders>
              <w:top w:val="nil"/>
              <w:left w:val="nil"/>
              <w:bottom w:val="single" w:sz="8" w:space="0" w:color="auto"/>
              <w:right w:val="single" w:sz="8"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40,9 </w:t>
            </w:r>
          </w:p>
        </w:tc>
        <w:tc>
          <w:tcPr>
            <w:tcW w:w="1200" w:type="dxa"/>
            <w:tcBorders>
              <w:top w:val="nil"/>
              <w:left w:val="nil"/>
              <w:bottom w:val="single" w:sz="8" w:space="0" w:color="auto"/>
              <w:right w:val="double" w:sz="6"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112,4</w:t>
            </w:r>
          </w:p>
        </w:tc>
      </w:tr>
      <w:tr w:rsidR="007A49EF" w:rsidRPr="00251317" w:rsidTr="007A49EF">
        <w:trPr>
          <w:trHeight w:val="284"/>
          <w:jc w:val="center"/>
        </w:trPr>
        <w:tc>
          <w:tcPr>
            <w:tcW w:w="3119" w:type="dxa"/>
            <w:tcBorders>
              <w:top w:val="nil"/>
              <w:left w:val="double" w:sz="6" w:space="0" w:color="auto"/>
              <w:bottom w:val="nil"/>
              <w:right w:val="nil"/>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 xml:space="preserve"> - na plnou pracovní dobu</w:t>
            </w:r>
          </w:p>
        </w:tc>
        <w:tc>
          <w:tcPr>
            <w:tcW w:w="992" w:type="dxa"/>
            <w:tcBorders>
              <w:top w:val="nil"/>
              <w:left w:val="single" w:sz="4" w:space="0" w:color="auto"/>
              <w:bottom w:val="nil"/>
              <w:right w:val="single" w:sz="8"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4 594,3</w:t>
            </w:r>
          </w:p>
        </w:tc>
        <w:tc>
          <w:tcPr>
            <w:tcW w:w="851" w:type="dxa"/>
            <w:tcBorders>
              <w:top w:val="nil"/>
              <w:left w:val="nil"/>
              <w:bottom w:val="nil"/>
              <w:right w:val="single" w:sz="8"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94,5</w:t>
            </w:r>
          </w:p>
        </w:tc>
        <w:tc>
          <w:tcPr>
            <w:tcW w:w="992" w:type="dxa"/>
            <w:tcBorders>
              <w:top w:val="nil"/>
              <w:left w:val="nil"/>
              <w:bottom w:val="nil"/>
              <w:right w:val="single" w:sz="8"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4 591,7</w:t>
            </w:r>
          </w:p>
        </w:tc>
        <w:tc>
          <w:tcPr>
            <w:tcW w:w="932" w:type="dxa"/>
            <w:tcBorders>
              <w:top w:val="nil"/>
              <w:left w:val="nil"/>
              <w:bottom w:val="nil"/>
              <w:right w:val="single" w:sz="8"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93,4</w:t>
            </w:r>
          </w:p>
        </w:tc>
        <w:tc>
          <w:tcPr>
            <w:tcW w:w="986" w:type="dxa"/>
            <w:tcBorders>
              <w:top w:val="nil"/>
              <w:left w:val="nil"/>
              <w:bottom w:val="nil"/>
              <w:right w:val="single" w:sz="8" w:space="0" w:color="auto"/>
            </w:tcBorders>
            <w:shd w:val="clear" w:color="auto" w:fill="auto"/>
            <w:noWrap/>
            <w:vAlign w:val="center"/>
          </w:tcPr>
          <w:p w:rsidR="007A49EF" w:rsidRPr="00BD1315" w:rsidRDefault="007A49EF" w:rsidP="007A49EF">
            <w:pPr>
              <w:jc w:val="right"/>
              <w:rPr>
                <w:rFonts w:ascii="Arial" w:hAnsi="Arial" w:cs="Arial"/>
                <w:sz w:val="20"/>
                <w:szCs w:val="20"/>
              </w:rPr>
            </w:pPr>
            <w:r w:rsidRPr="00127262">
              <w:rPr>
                <w:rFonts w:ascii="Arial" w:hAnsi="Arial" w:cs="Arial"/>
                <w:sz w:val="20"/>
                <w:szCs w:val="20"/>
              </w:rPr>
              <w:t xml:space="preserve">-2,6 </w:t>
            </w:r>
          </w:p>
        </w:tc>
        <w:tc>
          <w:tcPr>
            <w:tcW w:w="1200" w:type="dxa"/>
            <w:tcBorders>
              <w:top w:val="nil"/>
              <w:left w:val="nil"/>
              <w:bottom w:val="nil"/>
              <w:right w:val="double" w:sz="6" w:space="0" w:color="auto"/>
            </w:tcBorders>
            <w:shd w:val="clear" w:color="auto" w:fill="auto"/>
            <w:noWrap/>
            <w:vAlign w:val="center"/>
          </w:tcPr>
          <w:p w:rsidR="007A49EF" w:rsidRPr="00BD1315" w:rsidRDefault="007A49EF" w:rsidP="007A49EF">
            <w:pPr>
              <w:jc w:val="right"/>
              <w:rPr>
                <w:rFonts w:ascii="Arial" w:hAnsi="Arial" w:cs="Arial"/>
                <w:sz w:val="20"/>
                <w:szCs w:val="20"/>
              </w:rPr>
            </w:pPr>
            <w:r w:rsidRPr="00BD1315">
              <w:rPr>
                <w:rFonts w:ascii="Arial" w:hAnsi="Arial" w:cs="Arial"/>
                <w:sz w:val="20"/>
                <w:szCs w:val="20"/>
              </w:rPr>
              <w:t>99,9</w:t>
            </w:r>
          </w:p>
        </w:tc>
      </w:tr>
      <w:tr w:rsidR="007A49EF" w:rsidRPr="00251317" w:rsidTr="007A49EF">
        <w:trPr>
          <w:trHeight w:val="284"/>
          <w:jc w:val="center"/>
        </w:trPr>
        <w:tc>
          <w:tcPr>
            <w:tcW w:w="3119" w:type="dxa"/>
            <w:tcBorders>
              <w:top w:val="nil"/>
              <w:left w:val="double" w:sz="6" w:space="0" w:color="auto"/>
              <w:bottom w:val="double" w:sz="6" w:space="0" w:color="auto"/>
              <w:right w:val="nil"/>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 xml:space="preserve"> - na kratší pracovní dobu</w:t>
            </w:r>
          </w:p>
        </w:tc>
        <w:tc>
          <w:tcPr>
            <w:tcW w:w="992" w:type="dxa"/>
            <w:tcBorders>
              <w:top w:val="nil"/>
              <w:left w:val="single" w:sz="4" w:space="0" w:color="auto"/>
              <w:bottom w:val="double" w:sz="6" w:space="0" w:color="auto"/>
              <w:right w:val="single" w:sz="8"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267,2</w:t>
            </w:r>
          </w:p>
        </w:tc>
        <w:tc>
          <w:tcPr>
            <w:tcW w:w="851" w:type="dxa"/>
            <w:tcBorders>
              <w:top w:val="nil"/>
              <w:left w:val="nil"/>
              <w:bottom w:val="double" w:sz="6" w:space="0" w:color="auto"/>
              <w:right w:val="single" w:sz="8"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5,5</w:t>
            </w:r>
          </w:p>
        </w:tc>
        <w:tc>
          <w:tcPr>
            <w:tcW w:w="992" w:type="dxa"/>
            <w:tcBorders>
              <w:top w:val="nil"/>
              <w:left w:val="nil"/>
              <w:bottom w:val="double" w:sz="6" w:space="0" w:color="auto"/>
              <w:right w:val="single" w:sz="8"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326,7</w:t>
            </w:r>
          </w:p>
        </w:tc>
        <w:tc>
          <w:tcPr>
            <w:tcW w:w="932" w:type="dxa"/>
            <w:tcBorders>
              <w:top w:val="nil"/>
              <w:left w:val="nil"/>
              <w:bottom w:val="double" w:sz="6" w:space="0" w:color="auto"/>
              <w:right w:val="single" w:sz="8"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6,6</w:t>
            </w:r>
          </w:p>
        </w:tc>
        <w:tc>
          <w:tcPr>
            <w:tcW w:w="986" w:type="dxa"/>
            <w:tcBorders>
              <w:top w:val="nil"/>
              <w:left w:val="nil"/>
              <w:bottom w:val="double" w:sz="6" w:space="0" w:color="auto"/>
              <w:right w:val="single" w:sz="8"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59,5 </w:t>
            </w:r>
          </w:p>
        </w:tc>
        <w:tc>
          <w:tcPr>
            <w:tcW w:w="1200" w:type="dxa"/>
            <w:tcBorders>
              <w:top w:val="nil"/>
              <w:left w:val="nil"/>
              <w:bottom w:val="double" w:sz="6" w:space="0" w:color="auto"/>
              <w:right w:val="double" w:sz="6"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122,3</w:t>
            </w:r>
          </w:p>
        </w:tc>
      </w:tr>
    </w:tbl>
    <w:p w:rsidR="007A49EF" w:rsidRPr="00251317" w:rsidRDefault="007A49EF" w:rsidP="007A49EF">
      <w:pPr>
        <w:tabs>
          <w:tab w:val="center" w:pos="720"/>
        </w:tabs>
        <w:spacing w:line="480" w:lineRule="auto"/>
        <w:jc w:val="both"/>
        <w:rPr>
          <w:rFonts w:ascii="Arial" w:hAnsi="Arial" w:cs="Arial"/>
          <w:i/>
          <w:iCs/>
          <w:sz w:val="20"/>
          <w:szCs w:val="20"/>
        </w:rPr>
      </w:pPr>
      <w:r w:rsidRPr="00251317">
        <w:rPr>
          <w:rFonts w:ascii="Arial" w:hAnsi="Arial" w:cs="Arial"/>
          <w:i/>
          <w:iCs/>
          <w:sz w:val="20"/>
          <w:szCs w:val="20"/>
        </w:rPr>
        <w:t>Zdroj: ČSÚ - VŠPS</w:t>
      </w:r>
    </w:p>
    <w:p w:rsidR="007A49EF" w:rsidRPr="00251317" w:rsidRDefault="007A49EF" w:rsidP="007A49EF">
      <w:pPr>
        <w:tabs>
          <w:tab w:val="center" w:pos="720"/>
        </w:tabs>
        <w:spacing w:line="360" w:lineRule="auto"/>
        <w:ind w:firstLine="720"/>
        <w:jc w:val="both"/>
        <w:rPr>
          <w:rFonts w:ascii="Arial" w:hAnsi="Arial" w:cs="Arial"/>
        </w:rPr>
      </w:pPr>
      <w:r w:rsidRPr="00251317">
        <w:rPr>
          <w:rFonts w:ascii="Arial" w:hAnsi="Arial" w:cs="Arial"/>
        </w:rPr>
        <w:t xml:space="preserve">Jako </w:t>
      </w:r>
      <w:proofErr w:type="spellStart"/>
      <w:r w:rsidRPr="00251317">
        <w:rPr>
          <w:rFonts w:ascii="Arial" w:hAnsi="Arial" w:cs="Arial"/>
          <w:b/>
          <w:bCs/>
        </w:rPr>
        <w:t>podzaměstnaní</w:t>
      </w:r>
      <w:proofErr w:type="spellEnd"/>
      <w:r w:rsidRPr="00251317">
        <w:rPr>
          <w:rFonts w:ascii="Arial" w:hAnsi="Arial" w:cs="Arial"/>
        </w:rPr>
        <w:t xml:space="preserve"> (jimiž jsou </w:t>
      </w:r>
      <w:r w:rsidRPr="00251317">
        <w:rPr>
          <w:rFonts w:ascii="Arial" w:hAnsi="Arial" w:cs="Arial"/>
          <w:szCs w:val="18"/>
        </w:rPr>
        <w:t xml:space="preserve">podle metodiky ILO všechny osoby, které pracují ve svém hlavním zaměstnání na částečný úvazek nebo méně než 40 hodin týdně, přejí si pracovat vyšší počet hodin než ve stávajících zaměstnáních a jsou schopny vykonávat větší počet hodin) </w:t>
      </w:r>
      <w:r w:rsidRPr="00251317">
        <w:rPr>
          <w:rFonts w:ascii="Arial" w:hAnsi="Arial" w:cs="Arial"/>
        </w:rPr>
        <w:t xml:space="preserve">bylo klasifikováno </w:t>
      </w:r>
      <w:r w:rsidRPr="00251317">
        <w:rPr>
          <w:rFonts w:ascii="Arial" w:hAnsi="Arial" w:cs="Arial"/>
          <w:b/>
        </w:rPr>
        <w:t>73</w:t>
      </w:r>
      <w:r w:rsidRPr="00251317">
        <w:rPr>
          <w:rFonts w:ascii="Arial" w:hAnsi="Arial" w:cs="Arial"/>
          <w:b/>
          <w:bCs/>
        </w:rPr>
        <w:t xml:space="preserve">,3 tis. osob, </w:t>
      </w:r>
      <w:r w:rsidRPr="00251317">
        <w:rPr>
          <w:rFonts w:ascii="Arial" w:hAnsi="Arial" w:cs="Arial"/>
        </w:rPr>
        <w:t>tj</w:t>
      </w:r>
      <w:r w:rsidRPr="00251317">
        <w:rPr>
          <w:rFonts w:ascii="Arial" w:hAnsi="Arial" w:cs="Arial"/>
          <w:b/>
          <w:bCs/>
        </w:rPr>
        <w:t>. o 18</w:t>
      </w:r>
      <w:r w:rsidRPr="00251317">
        <w:rPr>
          <w:rFonts w:ascii="Arial" w:hAnsi="Arial" w:cs="Arial"/>
          <w:b/>
        </w:rPr>
        <w:t>,6 tis. více</w:t>
      </w:r>
      <w:r w:rsidRPr="00251317">
        <w:rPr>
          <w:rFonts w:ascii="Arial" w:hAnsi="Arial" w:cs="Arial"/>
        </w:rPr>
        <w:t xml:space="preserve"> než v 1. pololetí 2012. P</w:t>
      </w:r>
      <w:r w:rsidRPr="00251317">
        <w:rPr>
          <w:rFonts w:ascii="Arial" w:hAnsi="Arial" w:cs="Arial"/>
          <w:bCs/>
        </w:rPr>
        <w:t xml:space="preserve">očet </w:t>
      </w:r>
      <w:proofErr w:type="spellStart"/>
      <w:r w:rsidRPr="00251317">
        <w:rPr>
          <w:rFonts w:ascii="Arial" w:hAnsi="Arial" w:cs="Arial"/>
          <w:bCs/>
        </w:rPr>
        <w:t>podzaměstnaných</w:t>
      </w:r>
      <w:proofErr w:type="spellEnd"/>
      <w:r w:rsidRPr="00251317">
        <w:rPr>
          <w:rFonts w:ascii="Arial" w:hAnsi="Arial" w:cs="Arial"/>
        </w:rPr>
        <w:t xml:space="preserve"> </w:t>
      </w:r>
      <w:r w:rsidRPr="00251317">
        <w:rPr>
          <w:rFonts w:ascii="Arial" w:hAnsi="Arial" w:cs="Arial"/>
          <w:b/>
        </w:rPr>
        <w:t>mužů</w:t>
      </w:r>
      <w:r w:rsidRPr="00251317">
        <w:rPr>
          <w:rFonts w:ascii="Arial" w:hAnsi="Arial" w:cs="Arial"/>
        </w:rPr>
        <w:t xml:space="preserve"> vzrost o 2,2 tis., počet </w:t>
      </w:r>
      <w:proofErr w:type="spellStart"/>
      <w:r w:rsidRPr="00251317">
        <w:rPr>
          <w:rFonts w:ascii="Arial" w:hAnsi="Arial" w:cs="Arial"/>
        </w:rPr>
        <w:t>podzaměstnaných</w:t>
      </w:r>
      <w:proofErr w:type="spellEnd"/>
      <w:r w:rsidRPr="00251317">
        <w:rPr>
          <w:rFonts w:ascii="Arial" w:hAnsi="Arial" w:cs="Arial"/>
        </w:rPr>
        <w:t xml:space="preserve"> </w:t>
      </w:r>
      <w:r w:rsidRPr="00251317">
        <w:rPr>
          <w:rFonts w:ascii="Arial" w:hAnsi="Arial" w:cs="Arial"/>
          <w:b/>
        </w:rPr>
        <w:t>žen</w:t>
      </w:r>
      <w:r w:rsidRPr="00251317">
        <w:rPr>
          <w:rFonts w:ascii="Arial" w:hAnsi="Arial" w:cs="Arial"/>
        </w:rPr>
        <w:t xml:space="preserve"> o 16,3 tis. </w:t>
      </w:r>
    </w:p>
    <w:p w:rsidR="007A49EF" w:rsidRPr="00251317" w:rsidRDefault="007A49EF" w:rsidP="007A49EF">
      <w:pPr>
        <w:tabs>
          <w:tab w:val="center" w:pos="720"/>
        </w:tabs>
        <w:spacing w:line="360" w:lineRule="auto"/>
        <w:ind w:firstLine="720"/>
        <w:jc w:val="both"/>
        <w:rPr>
          <w:rFonts w:ascii="Arial" w:hAnsi="Arial" w:cs="Arial"/>
        </w:rPr>
      </w:pPr>
      <w:r w:rsidRPr="00251317">
        <w:rPr>
          <w:rFonts w:ascii="Arial" w:hAnsi="Arial" w:cs="Arial"/>
        </w:rPr>
        <w:t xml:space="preserve">Počet </w:t>
      </w:r>
      <w:r w:rsidRPr="00251317">
        <w:rPr>
          <w:rFonts w:ascii="Arial" w:hAnsi="Arial" w:cs="Arial"/>
          <w:b/>
          <w:bCs/>
        </w:rPr>
        <w:t>zaměstnanců</w:t>
      </w:r>
      <w:r>
        <w:rPr>
          <w:rFonts w:ascii="Arial" w:hAnsi="Arial" w:cs="Arial"/>
          <w:b/>
          <w:bCs/>
        </w:rPr>
        <w:t xml:space="preserve">, </w:t>
      </w:r>
      <w:r w:rsidRPr="0092328A">
        <w:rPr>
          <w:rFonts w:ascii="Arial" w:hAnsi="Arial" w:cs="Arial"/>
          <w:bCs/>
        </w:rPr>
        <w:t>kteří</w:t>
      </w:r>
      <w:r w:rsidRPr="00251317">
        <w:rPr>
          <w:rFonts w:ascii="Arial" w:hAnsi="Arial" w:cs="Arial"/>
          <w:b/>
          <w:bCs/>
        </w:rPr>
        <w:t xml:space="preserve"> </w:t>
      </w:r>
      <w:r w:rsidRPr="00251317">
        <w:rPr>
          <w:rFonts w:ascii="Arial" w:hAnsi="Arial" w:cs="Arial"/>
        </w:rPr>
        <w:t xml:space="preserve">tvoří </w:t>
      </w:r>
      <w:r w:rsidRPr="00251317">
        <w:rPr>
          <w:rFonts w:ascii="Arial" w:hAnsi="Arial" w:cs="Arial"/>
          <w:b/>
          <w:bCs/>
        </w:rPr>
        <w:t xml:space="preserve">nejpočetnější skupinu zaměstnaných, </w:t>
      </w:r>
      <w:r w:rsidRPr="00251317">
        <w:rPr>
          <w:rFonts w:ascii="Arial" w:hAnsi="Arial" w:cs="Arial"/>
          <w:bCs/>
        </w:rPr>
        <w:t>a to</w:t>
      </w:r>
      <w:r w:rsidRPr="00251317">
        <w:rPr>
          <w:rFonts w:ascii="Arial" w:hAnsi="Arial" w:cs="Arial"/>
          <w:b/>
          <w:bCs/>
        </w:rPr>
        <w:t xml:space="preserve"> 82,2 %</w:t>
      </w:r>
      <w:r>
        <w:rPr>
          <w:rFonts w:ascii="Arial" w:hAnsi="Arial" w:cs="Arial"/>
          <w:b/>
          <w:bCs/>
        </w:rPr>
        <w:t>,</w:t>
      </w:r>
      <w:r w:rsidRPr="00251317">
        <w:rPr>
          <w:rFonts w:ascii="Arial" w:hAnsi="Arial" w:cs="Arial"/>
          <w:bCs/>
        </w:rPr>
        <w:t xml:space="preserve"> na rozdíl od 1. pololetí 2012 (pokles o 25,1 tis.) výrazně vzrostl (o 86,0 tis.), j</w:t>
      </w:r>
      <w:r w:rsidRPr="00251317">
        <w:rPr>
          <w:rFonts w:ascii="Arial" w:hAnsi="Arial" w:cs="Arial"/>
        </w:rPr>
        <w:t xml:space="preserve">ejich počet dosáhl </w:t>
      </w:r>
      <w:r w:rsidRPr="00251317">
        <w:rPr>
          <w:rFonts w:ascii="Arial" w:hAnsi="Arial" w:cs="Arial"/>
          <w:b/>
        </w:rPr>
        <w:t>4</w:t>
      </w:r>
      <w:r w:rsidRPr="00251317">
        <w:rPr>
          <w:rFonts w:ascii="Arial" w:hAnsi="Arial" w:cs="Arial"/>
          <w:b/>
          <w:bCs/>
        </w:rPr>
        <w:t xml:space="preserve"> 044,6 tis., nárůst počtu mužů </w:t>
      </w:r>
      <w:r w:rsidRPr="00251317">
        <w:rPr>
          <w:rFonts w:ascii="Arial" w:hAnsi="Arial" w:cs="Arial"/>
          <w:bCs/>
        </w:rPr>
        <w:t>(</w:t>
      </w:r>
      <w:r w:rsidRPr="00251317">
        <w:rPr>
          <w:rFonts w:ascii="Arial" w:hAnsi="Arial" w:cs="Arial"/>
        </w:rPr>
        <w:t xml:space="preserve">o 62,3 tis. </w:t>
      </w:r>
      <w:r w:rsidRPr="00251317">
        <w:rPr>
          <w:rFonts w:ascii="Arial" w:hAnsi="Arial" w:cs="Arial"/>
          <w:bCs/>
        </w:rPr>
        <w:t xml:space="preserve">na 2 200,3 tis.) </w:t>
      </w:r>
      <w:r w:rsidRPr="00251317">
        <w:rPr>
          <w:rFonts w:ascii="Arial" w:hAnsi="Arial" w:cs="Arial"/>
          <w:b/>
          <w:bCs/>
        </w:rPr>
        <w:t>byl výraznější než žen</w:t>
      </w:r>
      <w:r w:rsidRPr="00251317">
        <w:rPr>
          <w:rFonts w:ascii="Arial" w:hAnsi="Arial" w:cs="Arial"/>
          <w:bCs/>
        </w:rPr>
        <w:t xml:space="preserve"> (</w:t>
      </w:r>
      <w:r w:rsidRPr="00251317">
        <w:rPr>
          <w:rFonts w:ascii="Arial" w:hAnsi="Arial" w:cs="Arial"/>
        </w:rPr>
        <w:t xml:space="preserve">o 23,7 tis. </w:t>
      </w:r>
      <w:r w:rsidRPr="00251317">
        <w:rPr>
          <w:rFonts w:ascii="Arial" w:hAnsi="Arial" w:cs="Arial"/>
          <w:bCs/>
        </w:rPr>
        <w:t>na</w:t>
      </w:r>
      <w:r w:rsidRPr="00251317">
        <w:rPr>
          <w:rFonts w:ascii="Arial" w:hAnsi="Arial" w:cs="Arial"/>
          <w:b/>
          <w:bCs/>
        </w:rPr>
        <w:t xml:space="preserve"> </w:t>
      </w:r>
      <w:r w:rsidRPr="00251317">
        <w:rPr>
          <w:rFonts w:ascii="Arial" w:hAnsi="Arial" w:cs="Arial"/>
          <w:bCs/>
        </w:rPr>
        <w:t>1 844,3 tis.</w:t>
      </w:r>
      <w:r w:rsidRPr="00251317">
        <w:rPr>
          <w:rFonts w:ascii="Arial" w:hAnsi="Arial" w:cs="Arial"/>
        </w:rPr>
        <w:t xml:space="preserve">). </w:t>
      </w:r>
    </w:p>
    <w:p w:rsidR="007A49EF" w:rsidRPr="00251317" w:rsidRDefault="007A49EF" w:rsidP="007A49EF">
      <w:pPr>
        <w:tabs>
          <w:tab w:val="center" w:pos="720"/>
        </w:tabs>
        <w:jc w:val="both"/>
        <w:rPr>
          <w:rFonts w:ascii="Arial" w:hAnsi="Arial" w:cs="Arial"/>
          <w:sz w:val="16"/>
          <w:szCs w:val="16"/>
        </w:rPr>
      </w:pPr>
    </w:p>
    <w:p w:rsidR="007A49EF" w:rsidRPr="00251317" w:rsidRDefault="007A49EF" w:rsidP="007A49EF">
      <w:pPr>
        <w:pStyle w:val="xl24"/>
        <w:pBdr>
          <w:left w:val="none" w:sz="0" w:space="0" w:color="auto"/>
        </w:pBdr>
        <w:tabs>
          <w:tab w:val="center" w:pos="720"/>
        </w:tabs>
        <w:spacing w:before="0" w:beforeAutospacing="0" w:after="0" w:afterAutospacing="0"/>
        <w:rPr>
          <w:rFonts w:ascii="Arial" w:eastAsia="Times New Roman" w:hAnsi="Arial" w:cs="Arial"/>
          <w:color w:val="auto"/>
          <w:szCs w:val="26"/>
        </w:rPr>
      </w:pPr>
      <w:r w:rsidRPr="00251317">
        <w:rPr>
          <w:rFonts w:ascii="Arial" w:eastAsia="Times New Roman" w:hAnsi="Arial" w:cs="Arial"/>
          <w:color w:val="auto"/>
          <w:szCs w:val="26"/>
        </w:rPr>
        <w:lastRenderedPageBreak/>
        <w:t>Počty zaměstnaných podle postavení v hlavním zaměstnání</w:t>
      </w:r>
    </w:p>
    <w:p w:rsidR="007A49EF" w:rsidRPr="00251317" w:rsidRDefault="007A49EF" w:rsidP="007A49EF">
      <w:pPr>
        <w:tabs>
          <w:tab w:val="center" w:pos="720"/>
        </w:tabs>
        <w:ind w:left="708" w:firstLine="372"/>
        <w:jc w:val="right"/>
        <w:rPr>
          <w:rFonts w:ascii="Arial" w:hAnsi="Arial" w:cs="Arial"/>
          <w:sz w:val="20"/>
          <w:szCs w:val="20"/>
        </w:rPr>
      </w:pPr>
      <w:r w:rsidRPr="00251317">
        <w:rPr>
          <w:rFonts w:ascii="Arial" w:hAnsi="Arial" w:cs="Arial"/>
          <w:sz w:val="20"/>
          <w:szCs w:val="20"/>
        </w:rPr>
        <w:t>tab. č. 9</w:t>
      </w:r>
    </w:p>
    <w:tbl>
      <w:tblPr>
        <w:tblW w:w="9108" w:type="dxa"/>
        <w:tblInd w:w="47" w:type="dxa"/>
        <w:tblCellMar>
          <w:left w:w="70" w:type="dxa"/>
          <w:right w:w="70" w:type="dxa"/>
        </w:tblCellMar>
        <w:tblLook w:val="0000" w:firstRow="0" w:lastRow="0" w:firstColumn="0" w:lastColumn="0" w:noHBand="0" w:noVBand="0"/>
      </w:tblPr>
      <w:tblGrid>
        <w:gridCol w:w="3000"/>
        <w:gridCol w:w="1133"/>
        <w:gridCol w:w="987"/>
        <w:gridCol w:w="986"/>
        <w:gridCol w:w="986"/>
        <w:gridCol w:w="986"/>
        <w:gridCol w:w="1030"/>
      </w:tblGrid>
      <w:tr w:rsidR="007A49EF" w:rsidRPr="00251317" w:rsidTr="007A49EF">
        <w:trPr>
          <w:trHeight w:val="285"/>
        </w:trPr>
        <w:tc>
          <w:tcPr>
            <w:tcW w:w="3000" w:type="dxa"/>
            <w:tcBorders>
              <w:top w:val="double" w:sz="6" w:space="0" w:color="auto"/>
              <w:left w:val="double" w:sz="6" w:space="0" w:color="auto"/>
              <w:bottom w:val="nil"/>
              <w:right w:val="single" w:sz="8" w:space="0" w:color="auto"/>
            </w:tcBorders>
            <w:shd w:val="clear" w:color="auto" w:fill="auto"/>
            <w:noWrap/>
            <w:vAlign w:val="center"/>
          </w:tcPr>
          <w:p w:rsidR="007A49EF" w:rsidRPr="00251317" w:rsidRDefault="007A49EF" w:rsidP="007A49EF">
            <w:pPr>
              <w:rPr>
                <w:rFonts w:ascii="Arial" w:hAnsi="Arial" w:cs="Arial"/>
                <w:b/>
                <w:bCs/>
                <w:sz w:val="20"/>
                <w:szCs w:val="20"/>
              </w:rPr>
            </w:pPr>
            <w:r w:rsidRPr="00251317">
              <w:rPr>
                <w:rFonts w:ascii="Arial" w:hAnsi="Arial" w:cs="Arial"/>
                <w:b/>
                <w:bCs/>
                <w:sz w:val="20"/>
                <w:szCs w:val="20"/>
              </w:rPr>
              <w:t> </w:t>
            </w:r>
          </w:p>
        </w:tc>
        <w:tc>
          <w:tcPr>
            <w:tcW w:w="2120" w:type="dxa"/>
            <w:gridSpan w:val="2"/>
            <w:tcBorders>
              <w:top w:val="double" w:sz="6" w:space="0" w:color="auto"/>
              <w:left w:val="single" w:sz="8" w:space="0" w:color="000000"/>
              <w:bottom w:val="single" w:sz="8" w:space="0" w:color="000000"/>
              <w:right w:val="single" w:sz="8" w:space="0" w:color="000000"/>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1.pololetí 2012</w:t>
            </w:r>
          </w:p>
        </w:tc>
        <w:tc>
          <w:tcPr>
            <w:tcW w:w="1972" w:type="dxa"/>
            <w:gridSpan w:val="2"/>
            <w:tcBorders>
              <w:top w:val="double" w:sz="6" w:space="0" w:color="auto"/>
              <w:left w:val="nil"/>
              <w:bottom w:val="single" w:sz="8" w:space="0" w:color="000000"/>
              <w:right w:val="single" w:sz="8" w:space="0" w:color="000000"/>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1.pololetí 2013</w:t>
            </w:r>
          </w:p>
        </w:tc>
        <w:tc>
          <w:tcPr>
            <w:tcW w:w="986" w:type="dxa"/>
            <w:vMerge w:val="restart"/>
            <w:tcBorders>
              <w:top w:val="double" w:sz="6" w:space="0" w:color="auto"/>
              <w:left w:val="nil"/>
              <w:bottom w:val="single" w:sz="8" w:space="0" w:color="000000"/>
              <w:right w:val="single" w:sz="8" w:space="0" w:color="auto"/>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rozdíl</w:t>
            </w:r>
          </w:p>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13-12</w:t>
            </w:r>
          </w:p>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(tis.)</w:t>
            </w:r>
          </w:p>
        </w:tc>
        <w:tc>
          <w:tcPr>
            <w:tcW w:w="1030" w:type="dxa"/>
            <w:vMerge w:val="restart"/>
            <w:tcBorders>
              <w:top w:val="double" w:sz="6" w:space="0" w:color="auto"/>
              <w:left w:val="nil"/>
              <w:right w:val="double" w:sz="6" w:space="0" w:color="auto"/>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index</w:t>
            </w:r>
          </w:p>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 xml:space="preserve">13/12 </w:t>
            </w:r>
            <w:r w:rsidRPr="00251317">
              <w:rPr>
                <w:rFonts w:ascii="Arial" w:hAnsi="Arial" w:cs="Arial"/>
                <w:b/>
                <w:sz w:val="20"/>
                <w:szCs w:val="20"/>
              </w:rPr>
              <w:t>(%)</w:t>
            </w:r>
          </w:p>
        </w:tc>
      </w:tr>
      <w:tr w:rsidR="007A49EF" w:rsidRPr="00251317" w:rsidTr="007A49EF">
        <w:trPr>
          <w:trHeight w:val="270"/>
        </w:trPr>
        <w:tc>
          <w:tcPr>
            <w:tcW w:w="3000" w:type="dxa"/>
            <w:tcBorders>
              <w:top w:val="nil"/>
              <w:left w:val="double" w:sz="6" w:space="0" w:color="auto"/>
              <w:bottom w:val="single" w:sz="8" w:space="0" w:color="auto"/>
              <w:right w:val="single" w:sz="8" w:space="0" w:color="auto"/>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 </w:t>
            </w:r>
          </w:p>
        </w:tc>
        <w:tc>
          <w:tcPr>
            <w:tcW w:w="1133" w:type="dxa"/>
            <w:tcBorders>
              <w:top w:val="nil"/>
              <w:left w:val="nil"/>
              <w:bottom w:val="single" w:sz="8" w:space="0" w:color="auto"/>
              <w:right w:val="nil"/>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v tis.</w:t>
            </w:r>
          </w:p>
        </w:tc>
        <w:tc>
          <w:tcPr>
            <w:tcW w:w="987" w:type="dxa"/>
            <w:tcBorders>
              <w:top w:val="nil"/>
              <w:left w:val="single" w:sz="4" w:space="0" w:color="000000"/>
              <w:bottom w:val="single" w:sz="8" w:space="0" w:color="auto"/>
              <w:right w:val="single" w:sz="8" w:space="0" w:color="auto"/>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w:t>
            </w:r>
          </w:p>
        </w:tc>
        <w:tc>
          <w:tcPr>
            <w:tcW w:w="986" w:type="dxa"/>
            <w:tcBorders>
              <w:top w:val="nil"/>
              <w:left w:val="nil"/>
              <w:bottom w:val="single" w:sz="8" w:space="0" w:color="auto"/>
              <w:right w:val="nil"/>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v tis.</w:t>
            </w:r>
          </w:p>
        </w:tc>
        <w:tc>
          <w:tcPr>
            <w:tcW w:w="986" w:type="dxa"/>
            <w:tcBorders>
              <w:top w:val="nil"/>
              <w:left w:val="single" w:sz="8" w:space="0" w:color="000000"/>
              <w:bottom w:val="single" w:sz="8" w:space="0" w:color="auto"/>
              <w:right w:val="single" w:sz="8" w:space="0" w:color="auto"/>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 </w:t>
            </w:r>
          </w:p>
        </w:tc>
        <w:tc>
          <w:tcPr>
            <w:tcW w:w="986" w:type="dxa"/>
            <w:vMerge/>
            <w:tcBorders>
              <w:top w:val="double" w:sz="6" w:space="0" w:color="auto"/>
              <w:left w:val="nil"/>
              <w:bottom w:val="single" w:sz="8" w:space="0" w:color="000000"/>
              <w:right w:val="single" w:sz="8" w:space="0" w:color="auto"/>
            </w:tcBorders>
            <w:vAlign w:val="center"/>
          </w:tcPr>
          <w:p w:rsidR="007A49EF" w:rsidRPr="00251317" w:rsidRDefault="007A49EF" w:rsidP="007A49EF">
            <w:pPr>
              <w:rPr>
                <w:rFonts w:ascii="Arial" w:hAnsi="Arial" w:cs="Arial"/>
                <w:b/>
                <w:bCs/>
                <w:sz w:val="20"/>
                <w:szCs w:val="20"/>
              </w:rPr>
            </w:pPr>
          </w:p>
        </w:tc>
        <w:tc>
          <w:tcPr>
            <w:tcW w:w="1030" w:type="dxa"/>
            <w:vMerge/>
            <w:tcBorders>
              <w:left w:val="nil"/>
              <w:bottom w:val="single" w:sz="8" w:space="0" w:color="auto"/>
              <w:right w:val="double" w:sz="6" w:space="0" w:color="auto"/>
            </w:tcBorders>
            <w:shd w:val="clear" w:color="auto" w:fill="auto"/>
            <w:noWrap/>
            <w:vAlign w:val="center"/>
          </w:tcPr>
          <w:p w:rsidR="007A49EF" w:rsidRPr="00251317" w:rsidRDefault="007A49EF" w:rsidP="007A49EF">
            <w:pPr>
              <w:jc w:val="center"/>
              <w:rPr>
                <w:rFonts w:ascii="Arial" w:hAnsi="Arial" w:cs="Arial"/>
                <w:b/>
                <w:bCs/>
                <w:sz w:val="20"/>
                <w:szCs w:val="20"/>
              </w:rPr>
            </w:pPr>
          </w:p>
        </w:tc>
      </w:tr>
      <w:tr w:rsidR="007A49EF" w:rsidRPr="00251317" w:rsidTr="007A49EF">
        <w:trPr>
          <w:trHeight w:val="270"/>
        </w:trPr>
        <w:tc>
          <w:tcPr>
            <w:tcW w:w="3000" w:type="dxa"/>
            <w:tcBorders>
              <w:top w:val="nil"/>
              <w:left w:val="double" w:sz="6" w:space="0" w:color="auto"/>
              <w:bottom w:val="single" w:sz="8" w:space="0" w:color="auto"/>
              <w:right w:val="single" w:sz="8" w:space="0" w:color="auto"/>
            </w:tcBorders>
            <w:shd w:val="clear" w:color="auto" w:fill="auto"/>
            <w:noWrap/>
            <w:vAlign w:val="center"/>
          </w:tcPr>
          <w:p w:rsidR="007A49EF" w:rsidRPr="00251317" w:rsidRDefault="007A49EF" w:rsidP="007A49EF">
            <w:pPr>
              <w:rPr>
                <w:rFonts w:ascii="Arial" w:hAnsi="Arial" w:cs="Arial"/>
                <w:b/>
                <w:bCs/>
                <w:sz w:val="20"/>
                <w:szCs w:val="20"/>
              </w:rPr>
            </w:pPr>
            <w:r w:rsidRPr="00251317">
              <w:rPr>
                <w:rFonts w:ascii="Arial" w:hAnsi="Arial" w:cs="Arial"/>
                <w:b/>
                <w:bCs/>
                <w:sz w:val="20"/>
                <w:szCs w:val="20"/>
              </w:rPr>
              <w:t xml:space="preserve"> C e l k e m</w:t>
            </w:r>
          </w:p>
        </w:tc>
        <w:tc>
          <w:tcPr>
            <w:tcW w:w="1133" w:type="dxa"/>
            <w:tcBorders>
              <w:top w:val="nil"/>
              <w:left w:val="nil"/>
              <w:bottom w:val="nil"/>
              <w:right w:val="nil"/>
            </w:tcBorders>
            <w:shd w:val="clear" w:color="auto" w:fill="auto"/>
            <w:noWrap/>
            <w:vAlign w:val="center"/>
          </w:tcPr>
          <w:p w:rsidR="007A49EF" w:rsidRPr="00251317" w:rsidRDefault="007A49EF" w:rsidP="007A49EF">
            <w:pPr>
              <w:jc w:val="right"/>
              <w:rPr>
                <w:rFonts w:ascii="Arial" w:hAnsi="Arial" w:cs="Arial"/>
                <w:b/>
                <w:bCs/>
                <w:sz w:val="20"/>
                <w:szCs w:val="20"/>
              </w:rPr>
            </w:pPr>
            <w:r w:rsidRPr="00251317">
              <w:rPr>
                <w:rFonts w:ascii="Arial" w:hAnsi="Arial" w:cs="Arial"/>
                <w:b/>
                <w:bCs/>
                <w:sz w:val="20"/>
                <w:szCs w:val="20"/>
              </w:rPr>
              <w:t xml:space="preserve">4 861,5 </w:t>
            </w:r>
          </w:p>
        </w:tc>
        <w:tc>
          <w:tcPr>
            <w:tcW w:w="987" w:type="dxa"/>
            <w:tcBorders>
              <w:top w:val="nil"/>
              <w:left w:val="single" w:sz="4" w:space="0" w:color="000000"/>
              <w:bottom w:val="nil"/>
              <w:right w:val="single" w:sz="8" w:space="0" w:color="auto"/>
            </w:tcBorders>
            <w:shd w:val="clear" w:color="auto" w:fill="auto"/>
            <w:noWrap/>
            <w:vAlign w:val="center"/>
          </w:tcPr>
          <w:p w:rsidR="007A49EF" w:rsidRPr="00251317" w:rsidRDefault="007A49EF" w:rsidP="007A49EF">
            <w:pPr>
              <w:jc w:val="right"/>
              <w:rPr>
                <w:rFonts w:ascii="Arial" w:hAnsi="Arial" w:cs="Arial"/>
                <w:b/>
                <w:bCs/>
                <w:sz w:val="20"/>
                <w:szCs w:val="20"/>
              </w:rPr>
            </w:pPr>
            <w:r w:rsidRPr="00251317">
              <w:rPr>
                <w:rFonts w:ascii="Arial" w:hAnsi="Arial" w:cs="Arial"/>
                <w:b/>
                <w:bCs/>
                <w:sz w:val="20"/>
                <w:szCs w:val="20"/>
              </w:rPr>
              <w:t>100,0</w:t>
            </w:r>
          </w:p>
        </w:tc>
        <w:tc>
          <w:tcPr>
            <w:tcW w:w="986" w:type="dxa"/>
            <w:tcBorders>
              <w:top w:val="nil"/>
              <w:left w:val="nil"/>
              <w:bottom w:val="nil"/>
              <w:right w:val="nil"/>
            </w:tcBorders>
            <w:shd w:val="clear" w:color="auto" w:fill="auto"/>
            <w:noWrap/>
            <w:vAlign w:val="center"/>
          </w:tcPr>
          <w:p w:rsidR="007A49EF" w:rsidRPr="00251317" w:rsidRDefault="007A49EF" w:rsidP="007A49EF">
            <w:pPr>
              <w:jc w:val="right"/>
              <w:rPr>
                <w:rFonts w:ascii="Arial" w:hAnsi="Arial" w:cs="Arial"/>
                <w:b/>
                <w:bCs/>
                <w:sz w:val="20"/>
                <w:szCs w:val="20"/>
              </w:rPr>
            </w:pPr>
            <w:r w:rsidRPr="00251317">
              <w:rPr>
                <w:rFonts w:ascii="Arial" w:hAnsi="Arial" w:cs="Arial"/>
                <w:b/>
                <w:bCs/>
                <w:sz w:val="20"/>
                <w:szCs w:val="20"/>
              </w:rPr>
              <w:t xml:space="preserve">4 918,5 </w:t>
            </w:r>
          </w:p>
        </w:tc>
        <w:tc>
          <w:tcPr>
            <w:tcW w:w="986" w:type="dxa"/>
            <w:tcBorders>
              <w:top w:val="nil"/>
              <w:left w:val="single" w:sz="8" w:space="0" w:color="000000"/>
              <w:bottom w:val="nil"/>
              <w:right w:val="single" w:sz="8" w:space="0" w:color="auto"/>
            </w:tcBorders>
            <w:shd w:val="clear" w:color="auto" w:fill="auto"/>
            <w:noWrap/>
            <w:vAlign w:val="center"/>
          </w:tcPr>
          <w:p w:rsidR="007A49EF" w:rsidRPr="00251317" w:rsidRDefault="007A49EF" w:rsidP="007A49EF">
            <w:pPr>
              <w:jc w:val="right"/>
              <w:rPr>
                <w:rFonts w:ascii="Arial" w:hAnsi="Arial" w:cs="Arial"/>
                <w:b/>
                <w:bCs/>
                <w:sz w:val="20"/>
                <w:szCs w:val="20"/>
              </w:rPr>
            </w:pPr>
            <w:r w:rsidRPr="00251317">
              <w:rPr>
                <w:rFonts w:ascii="Arial" w:hAnsi="Arial" w:cs="Arial"/>
                <w:b/>
                <w:bCs/>
                <w:sz w:val="20"/>
                <w:szCs w:val="20"/>
              </w:rPr>
              <w:t>100,0</w:t>
            </w:r>
          </w:p>
        </w:tc>
        <w:tc>
          <w:tcPr>
            <w:tcW w:w="986" w:type="dxa"/>
            <w:tcBorders>
              <w:top w:val="nil"/>
              <w:left w:val="nil"/>
              <w:bottom w:val="nil"/>
              <w:right w:val="single" w:sz="8" w:space="0" w:color="auto"/>
            </w:tcBorders>
            <w:shd w:val="clear" w:color="auto" w:fill="auto"/>
            <w:noWrap/>
            <w:vAlign w:val="center"/>
          </w:tcPr>
          <w:p w:rsidR="007A49EF" w:rsidRPr="00251317" w:rsidRDefault="007A49EF" w:rsidP="007A49EF">
            <w:pPr>
              <w:jc w:val="right"/>
              <w:rPr>
                <w:rFonts w:ascii="Arial" w:hAnsi="Arial" w:cs="Arial"/>
                <w:b/>
                <w:bCs/>
                <w:sz w:val="20"/>
                <w:szCs w:val="20"/>
              </w:rPr>
            </w:pPr>
            <w:r w:rsidRPr="00251317">
              <w:rPr>
                <w:rFonts w:ascii="Arial" w:hAnsi="Arial" w:cs="Arial"/>
                <w:b/>
                <w:bCs/>
                <w:sz w:val="20"/>
                <w:szCs w:val="20"/>
              </w:rPr>
              <w:t xml:space="preserve">57,0 </w:t>
            </w:r>
          </w:p>
        </w:tc>
        <w:tc>
          <w:tcPr>
            <w:tcW w:w="1030" w:type="dxa"/>
            <w:tcBorders>
              <w:top w:val="nil"/>
              <w:left w:val="nil"/>
              <w:bottom w:val="single" w:sz="8" w:space="0" w:color="auto"/>
              <w:right w:val="double" w:sz="6" w:space="0" w:color="auto"/>
            </w:tcBorders>
            <w:shd w:val="clear" w:color="auto" w:fill="auto"/>
            <w:noWrap/>
            <w:vAlign w:val="center"/>
          </w:tcPr>
          <w:p w:rsidR="007A49EF" w:rsidRPr="00251317" w:rsidRDefault="007A49EF" w:rsidP="007A49EF">
            <w:pPr>
              <w:jc w:val="right"/>
              <w:rPr>
                <w:rFonts w:ascii="Arial" w:hAnsi="Arial" w:cs="Arial"/>
                <w:b/>
                <w:bCs/>
                <w:sz w:val="20"/>
                <w:szCs w:val="20"/>
              </w:rPr>
            </w:pPr>
            <w:r w:rsidRPr="00251317">
              <w:rPr>
                <w:rFonts w:ascii="Arial" w:hAnsi="Arial" w:cs="Arial"/>
                <w:b/>
                <w:bCs/>
                <w:sz w:val="20"/>
                <w:szCs w:val="20"/>
              </w:rPr>
              <w:t>101,2</w:t>
            </w:r>
          </w:p>
        </w:tc>
      </w:tr>
      <w:tr w:rsidR="007A49EF" w:rsidRPr="00251317" w:rsidTr="007A49EF">
        <w:trPr>
          <w:trHeight w:val="312"/>
        </w:trPr>
        <w:tc>
          <w:tcPr>
            <w:tcW w:w="3000" w:type="dxa"/>
            <w:tcBorders>
              <w:top w:val="nil"/>
              <w:left w:val="double" w:sz="6" w:space="0" w:color="auto"/>
              <w:bottom w:val="nil"/>
              <w:right w:val="single" w:sz="8" w:space="0" w:color="auto"/>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z toho:</w:t>
            </w:r>
          </w:p>
        </w:tc>
        <w:tc>
          <w:tcPr>
            <w:tcW w:w="1133" w:type="dxa"/>
            <w:tcBorders>
              <w:top w:val="single" w:sz="8" w:space="0" w:color="auto"/>
              <w:left w:val="nil"/>
              <w:bottom w:val="nil"/>
              <w:right w:val="nil"/>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w:t>
            </w:r>
          </w:p>
        </w:tc>
        <w:tc>
          <w:tcPr>
            <w:tcW w:w="987" w:type="dxa"/>
            <w:tcBorders>
              <w:top w:val="single" w:sz="8" w:space="0" w:color="auto"/>
              <w:left w:val="single" w:sz="4" w:space="0" w:color="000000"/>
              <w:bottom w:val="nil"/>
              <w:right w:val="single" w:sz="8"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w:t>
            </w:r>
          </w:p>
        </w:tc>
        <w:tc>
          <w:tcPr>
            <w:tcW w:w="986" w:type="dxa"/>
            <w:tcBorders>
              <w:top w:val="single" w:sz="8" w:space="0" w:color="auto"/>
              <w:left w:val="nil"/>
              <w:bottom w:val="nil"/>
              <w:right w:val="nil"/>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w:t>
            </w:r>
          </w:p>
        </w:tc>
        <w:tc>
          <w:tcPr>
            <w:tcW w:w="986" w:type="dxa"/>
            <w:tcBorders>
              <w:top w:val="single" w:sz="8" w:space="0" w:color="auto"/>
              <w:left w:val="single" w:sz="8" w:space="0" w:color="000000"/>
              <w:bottom w:val="nil"/>
              <w:right w:val="single" w:sz="8"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w:t>
            </w:r>
          </w:p>
        </w:tc>
        <w:tc>
          <w:tcPr>
            <w:tcW w:w="986" w:type="dxa"/>
            <w:tcBorders>
              <w:top w:val="single" w:sz="8" w:space="0" w:color="auto"/>
              <w:left w:val="nil"/>
              <w:bottom w:val="nil"/>
              <w:right w:val="single" w:sz="8"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w:t>
            </w:r>
          </w:p>
        </w:tc>
        <w:tc>
          <w:tcPr>
            <w:tcW w:w="1030" w:type="dxa"/>
            <w:tcBorders>
              <w:top w:val="nil"/>
              <w:left w:val="nil"/>
              <w:bottom w:val="nil"/>
              <w:right w:val="double" w:sz="6"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w:t>
            </w:r>
          </w:p>
        </w:tc>
      </w:tr>
      <w:tr w:rsidR="007A49EF" w:rsidRPr="00251317" w:rsidTr="007A49EF">
        <w:trPr>
          <w:trHeight w:val="312"/>
        </w:trPr>
        <w:tc>
          <w:tcPr>
            <w:tcW w:w="3000" w:type="dxa"/>
            <w:tcBorders>
              <w:top w:val="nil"/>
              <w:left w:val="double" w:sz="6" w:space="0" w:color="auto"/>
              <w:bottom w:val="nil"/>
              <w:right w:val="single" w:sz="8" w:space="0" w:color="auto"/>
            </w:tcBorders>
            <w:shd w:val="clear" w:color="auto" w:fill="auto"/>
            <w:noWrap/>
            <w:vAlign w:val="center"/>
          </w:tcPr>
          <w:p w:rsidR="007A49EF" w:rsidRPr="00251317" w:rsidRDefault="007A49EF" w:rsidP="007A49EF">
            <w:pPr>
              <w:ind w:left="237" w:hanging="237"/>
              <w:rPr>
                <w:rFonts w:ascii="Arial" w:hAnsi="Arial" w:cs="Arial"/>
                <w:sz w:val="20"/>
                <w:szCs w:val="20"/>
              </w:rPr>
            </w:pPr>
            <w:r w:rsidRPr="00251317">
              <w:rPr>
                <w:rFonts w:ascii="Arial" w:hAnsi="Arial" w:cs="Arial"/>
                <w:sz w:val="20"/>
                <w:szCs w:val="20"/>
              </w:rPr>
              <w:t xml:space="preserve">   zaměstnanci </w:t>
            </w:r>
          </w:p>
        </w:tc>
        <w:tc>
          <w:tcPr>
            <w:tcW w:w="1133" w:type="dxa"/>
            <w:tcBorders>
              <w:top w:val="nil"/>
              <w:left w:val="nil"/>
              <w:bottom w:val="nil"/>
              <w:right w:val="nil"/>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3 958,6 </w:t>
            </w:r>
          </w:p>
        </w:tc>
        <w:tc>
          <w:tcPr>
            <w:tcW w:w="987" w:type="dxa"/>
            <w:tcBorders>
              <w:top w:val="nil"/>
              <w:left w:val="single" w:sz="4" w:space="0" w:color="000000"/>
              <w:bottom w:val="nil"/>
              <w:right w:val="single" w:sz="8"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81,4</w:t>
            </w:r>
          </w:p>
        </w:tc>
        <w:tc>
          <w:tcPr>
            <w:tcW w:w="986" w:type="dxa"/>
            <w:tcBorders>
              <w:top w:val="nil"/>
              <w:left w:val="nil"/>
              <w:bottom w:val="nil"/>
              <w:right w:val="nil"/>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4 044,6 </w:t>
            </w:r>
          </w:p>
        </w:tc>
        <w:tc>
          <w:tcPr>
            <w:tcW w:w="986" w:type="dxa"/>
            <w:tcBorders>
              <w:top w:val="nil"/>
              <w:left w:val="single" w:sz="8" w:space="0" w:color="000000"/>
              <w:bottom w:val="nil"/>
              <w:right w:val="single" w:sz="8"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82,2</w:t>
            </w:r>
          </w:p>
        </w:tc>
        <w:tc>
          <w:tcPr>
            <w:tcW w:w="986"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86,0 </w:t>
            </w:r>
          </w:p>
        </w:tc>
        <w:tc>
          <w:tcPr>
            <w:tcW w:w="1030" w:type="dxa"/>
            <w:tcBorders>
              <w:top w:val="nil"/>
              <w:left w:val="nil"/>
              <w:bottom w:val="nil"/>
              <w:right w:val="double" w:sz="6"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102,2</w:t>
            </w:r>
          </w:p>
        </w:tc>
      </w:tr>
      <w:tr w:rsidR="007A49EF" w:rsidRPr="00251317" w:rsidTr="007A49EF">
        <w:trPr>
          <w:trHeight w:val="312"/>
        </w:trPr>
        <w:tc>
          <w:tcPr>
            <w:tcW w:w="3000" w:type="dxa"/>
            <w:tcBorders>
              <w:top w:val="nil"/>
              <w:left w:val="double" w:sz="6" w:space="0" w:color="auto"/>
              <w:bottom w:val="nil"/>
              <w:right w:val="single" w:sz="8" w:space="0" w:color="auto"/>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 xml:space="preserve">   podnikatelé bez zaměstnanců</w:t>
            </w:r>
          </w:p>
        </w:tc>
        <w:tc>
          <w:tcPr>
            <w:tcW w:w="1133" w:type="dxa"/>
            <w:tcBorders>
              <w:top w:val="nil"/>
              <w:left w:val="nil"/>
              <w:bottom w:val="nil"/>
              <w:right w:val="nil"/>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713,9 </w:t>
            </w:r>
          </w:p>
        </w:tc>
        <w:tc>
          <w:tcPr>
            <w:tcW w:w="987" w:type="dxa"/>
            <w:tcBorders>
              <w:top w:val="nil"/>
              <w:left w:val="single" w:sz="4" w:space="0" w:color="000000"/>
              <w:bottom w:val="nil"/>
              <w:right w:val="single" w:sz="8"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14,7</w:t>
            </w:r>
          </w:p>
        </w:tc>
        <w:tc>
          <w:tcPr>
            <w:tcW w:w="986" w:type="dxa"/>
            <w:tcBorders>
              <w:top w:val="nil"/>
              <w:left w:val="nil"/>
              <w:bottom w:val="nil"/>
              <w:right w:val="nil"/>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660,9 </w:t>
            </w:r>
          </w:p>
        </w:tc>
        <w:tc>
          <w:tcPr>
            <w:tcW w:w="986" w:type="dxa"/>
            <w:tcBorders>
              <w:top w:val="nil"/>
              <w:left w:val="single" w:sz="8" w:space="0" w:color="000000"/>
              <w:bottom w:val="nil"/>
              <w:right w:val="single" w:sz="8"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13,4</w:t>
            </w:r>
          </w:p>
        </w:tc>
        <w:tc>
          <w:tcPr>
            <w:tcW w:w="986"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-53,0 </w:t>
            </w:r>
          </w:p>
        </w:tc>
        <w:tc>
          <w:tcPr>
            <w:tcW w:w="1030" w:type="dxa"/>
            <w:tcBorders>
              <w:top w:val="nil"/>
              <w:left w:val="nil"/>
              <w:bottom w:val="nil"/>
              <w:right w:val="double" w:sz="6"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92,6</w:t>
            </w:r>
          </w:p>
        </w:tc>
      </w:tr>
      <w:tr w:rsidR="007A49EF" w:rsidRPr="00251317" w:rsidTr="007A49EF">
        <w:trPr>
          <w:trHeight w:val="312"/>
        </w:trPr>
        <w:tc>
          <w:tcPr>
            <w:tcW w:w="3000" w:type="dxa"/>
            <w:tcBorders>
              <w:top w:val="nil"/>
              <w:left w:val="double" w:sz="6" w:space="0" w:color="auto"/>
              <w:bottom w:val="nil"/>
              <w:right w:val="single" w:sz="8" w:space="0" w:color="auto"/>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 xml:space="preserve">   podnikatelé se zaměstnanci</w:t>
            </w:r>
          </w:p>
        </w:tc>
        <w:tc>
          <w:tcPr>
            <w:tcW w:w="1133" w:type="dxa"/>
            <w:tcBorders>
              <w:top w:val="nil"/>
              <w:left w:val="nil"/>
              <w:bottom w:val="nil"/>
              <w:right w:val="nil"/>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168,8 </w:t>
            </w:r>
          </w:p>
        </w:tc>
        <w:tc>
          <w:tcPr>
            <w:tcW w:w="987" w:type="dxa"/>
            <w:tcBorders>
              <w:top w:val="nil"/>
              <w:left w:val="single" w:sz="4" w:space="0" w:color="000000"/>
              <w:bottom w:val="nil"/>
              <w:right w:val="single" w:sz="8"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3,5</w:t>
            </w:r>
          </w:p>
        </w:tc>
        <w:tc>
          <w:tcPr>
            <w:tcW w:w="986" w:type="dxa"/>
            <w:tcBorders>
              <w:top w:val="nil"/>
              <w:left w:val="nil"/>
              <w:bottom w:val="nil"/>
              <w:right w:val="nil"/>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163,8 </w:t>
            </w:r>
          </w:p>
        </w:tc>
        <w:tc>
          <w:tcPr>
            <w:tcW w:w="986" w:type="dxa"/>
            <w:tcBorders>
              <w:top w:val="nil"/>
              <w:left w:val="single" w:sz="8" w:space="0" w:color="000000"/>
              <w:bottom w:val="nil"/>
              <w:right w:val="single" w:sz="8"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3,3</w:t>
            </w:r>
          </w:p>
        </w:tc>
        <w:tc>
          <w:tcPr>
            <w:tcW w:w="986"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-5,0 </w:t>
            </w:r>
          </w:p>
        </w:tc>
        <w:tc>
          <w:tcPr>
            <w:tcW w:w="1030" w:type="dxa"/>
            <w:tcBorders>
              <w:top w:val="nil"/>
              <w:left w:val="nil"/>
              <w:bottom w:val="nil"/>
              <w:right w:val="double" w:sz="6"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97,0</w:t>
            </w:r>
          </w:p>
        </w:tc>
      </w:tr>
      <w:tr w:rsidR="007A49EF" w:rsidRPr="00251317" w:rsidTr="007A49EF">
        <w:trPr>
          <w:trHeight w:val="312"/>
        </w:trPr>
        <w:tc>
          <w:tcPr>
            <w:tcW w:w="3000" w:type="dxa"/>
            <w:tcBorders>
              <w:top w:val="nil"/>
              <w:left w:val="double" w:sz="6" w:space="0" w:color="auto"/>
              <w:bottom w:val="double" w:sz="6" w:space="0" w:color="auto"/>
              <w:right w:val="single" w:sz="8" w:space="0" w:color="auto"/>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 xml:space="preserve">   pomáhající rodinní příslušníci</w:t>
            </w:r>
          </w:p>
        </w:tc>
        <w:tc>
          <w:tcPr>
            <w:tcW w:w="1133" w:type="dxa"/>
            <w:tcBorders>
              <w:top w:val="nil"/>
              <w:left w:val="nil"/>
              <w:bottom w:val="double" w:sz="6" w:space="0" w:color="auto"/>
              <w:right w:val="nil"/>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20,2 </w:t>
            </w:r>
          </w:p>
        </w:tc>
        <w:tc>
          <w:tcPr>
            <w:tcW w:w="987" w:type="dxa"/>
            <w:tcBorders>
              <w:top w:val="nil"/>
              <w:left w:val="single" w:sz="4" w:space="0" w:color="000000"/>
              <w:bottom w:val="double" w:sz="6" w:space="0" w:color="auto"/>
              <w:right w:val="single" w:sz="8"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0,4</w:t>
            </w:r>
          </w:p>
        </w:tc>
        <w:tc>
          <w:tcPr>
            <w:tcW w:w="986" w:type="dxa"/>
            <w:tcBorders>
              <w:top w:val="nil"/>
              <w:left w:val="nil"/>
              <w:bottom w:val="double" w:sz="6" w:space="0" w:color="auto"/>
              <w:right w:val="nil"/>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49,2 </w:t>
            </w:r>
          </w:p>
        </w:tc>
        <w:tc>
          <w:tcPr>
            <w:tcW w:w="986" w:type="dxa"/>
            <w:tcBorders>
              <w:top w:val="nil"/>
              <w:left w:val="single" w:sz="8" w:space="0" w:color="000000"/>
              <w:bottom w:val="double" w:sz="6" w:space="0" w:color="auto"/>
              <w:right w:val="single" w:sz="8"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1,0</w:t>
            </w:r>
          </w:p>
        </w:tc>
        <w:tc>
          <w:tcPr>
            <w:tcW w:w="986" w:type="dxa"/>
            <w:tcBorders>
              <w:top w:val="nil"/>
              <w:left w:val="nil"/>
              <w:bottom w:val="double" w:sz="6" w:space="0" w:color="auto"/>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29,0 </w:t>
            </w:r>
          </w:p>
        </w:tc>
        <w:tc>
          <w:tcPr>
            <w:tcW w:w="1030" w:type="dxa"/>
            <w:tcBorders>
              <w:top w:val="nil"/>
              <w:left w:val="nil"/>
              <w:bottom w:val="double" w:sz="6" w:space="0" w:color="auto"/>
              <w:right w:val="double" w:sz="6"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243,6</w:t>
            </w:r>
          </w:p>
        </w:tc>
      </w:tr>
    </w:tbl>
    <w:p w:rsidR="007A49EF" w:rsidRPr="00251317" w:rsidRDefault="007A49EF" w:rsidP="007A49EF">
      <w:pPr>
        <w:tabs>
          <w:tab w:val="center" w:pos="720"/>
        </w:tabs>
        <w:spacing w:line="480" w:lineRule="auto"/>
        <w:rPr>
          <w:rFonts w:ascii="Arial" w:hAnsi="Arial" w:cs="Arial"/>
          <w:i/>
          <w:iCs/>
          <w:sz w:val="18"/>
          <w:szCs w:val="18"/>
        </w:rPr>
      </w:pPr>
      <w:r w:rsidRPr="00251317">
        <w:rPr>
          <w:rFonts w:ascii="Arial" w:hAnsi="Arial" w:cs="Arial"/>
          <w:i/>
          <w:iCs/>
          <w:sz w:val="18"/>
          <w:szCs w:val="18"/>
        </w:rPr>
        <w:t>Zdroj: ČSÚ – VŠPS</w:t>
      </w:r>
    </w:p>
    <w:p w:rsidR="007A49EF" w:rsidRPr="00251317" w:rsidRDefault="007A49EF" w:rsidP="007A49EF">
      <w:pPr>
        <w:tabs>
          <w:tab w:val="center" w:pos="720"/>
        </w:tabs>
        <w:spacing w:line="360" w:lineRule="auto"/>
        <w:ind w:firstLine="720"/>
        <w:jc w:val="both"/>
        <w:rPr>
          <w:rFonts w:ascii="Arial" w:hAnsi="Arial" w:cs="Arial"/>
          <w:bCs/>
          <w:color w:val="FF0000"/>
        </w:rPr>
      </w:pPr>
      <w:r w:rsidRPr="00251317">
        <w:rPr>
          <w:rFonts w:ascii="Arial" w:hAnsi="Arial" w:cs="Arial"/>
          <w:bCs/>
        </w:rPr>
        <w:t xml:space="preserve">Zatímco v 1. pololetí 2012 díky podnikatelům bez zaměstnanců </w:t>
      </w:r>
      <w:r w:rsidRPr="00251317">
        <w:rPr>
          <w:rFonts w:ascii="Arial" w:hAnsi="Arial" w:cs="Arial"/>
          <w:b/>
          <w:bCs/>
        </w:rPr>
        <w:t>celkový počet podnikatelů</w:t>
      </w:r>
      <w:r w:rsidRPr="00251317">
        <w:rPr>
          <w:rFonts w:ascii="Arial" w:hAnsi="Arial" w:cs="Arial"/>
          <w:bCs/>
        </w:rPr>
        <w:t xml:space="preserve"> (včetně pomáhajících rodinných příslušníků)</w:t>
      </w:r>
      <w:r w:rsidRPr="00251317">
        <w:rPr>
          <w:rFonts w:ascii="Arial" w:hAnsi="Arial" w:cs="Arial"/>
          <w:b/>
          <w:bCs/>
        </w:rPr>
        <w:t xml:space="preserve"> </w:t>
      </w:r>
      <w:r w:rsidRPr="00251317">
        <w:rPr>
          <w:rFonts w:ascii="Arial" w:hAnsi="Arial" w:cs="Arial"/>
          <w:bCs/>
        </w:rPr>
        <w:t>vzrostl, v 1. pololetí 2013</w:t>
      </w:r>
      <w:r w:rsidRPr="00251317">
        <w:rPr>
          <w:rFonts w:ascii="Arial" w:hAnsi="Arial" w:cs="Arial"/>
          <w:b/>
          <w:bCs/>
        </w:rPr>
        <w:t xml:space="preserve"> poklesl </w:t>
      </w:r>
      <w:r w:rsidRPr="00251317">
        <w:rPr>
          <w:rFonts w:ascii="Arial" w:hAnsi="Arial" w:cs="Arial"/>
          <w:bCs/>
        </w:rPr>
        <w:t>(o 29,0 tis.)</w:t>
      </w:r>
      <w:r w:rsidRPr="00251317">
        <w:rPr>
          <w:rFonts w:ascii="Arial" w:hAnsi="Arial" w:cs="Arial"/>
          <w:b/>
          <w:bCs/>
        </w:rPr>
        <w:t xml:space="preserve"> na 873,9 tis. </w:t>
      </w:r>
      <w:r w:rsidRPr="00251317">
        <w:rPr>
          <w:rFonts w:ascii="Arial" w:hAnsi="Arial" w:cs="Arial"/>
        </w:rPr>
        <w:t xml:space="preserve"> </w:t>
      </w:r>
      <w:r w:rsidRPr="00251317">
        <w:rPr>
          <w:rFonts w:ascii="Arial" w:hAnsi="Arial" w:cs="Arial"/>
          <w:bCs/>
        </w:rPr>
        <w:t xml:space="preserve">Na tomto poklesu se podíleli především muži (pokles o 43,5 tis.), počet podnikajících žen vzrostl o 14,5 tis., a to díky nárůstu počtu </w:t>
      </w:r>
      <w:r w:rsidRPr="003C52A4">
        <w:rPr>
          <w:rFonts w:ascii="Arial" w:hAnsi="Arial" w:cs="Arial"/>
          <w:bCs/>
        </w:rPr>
        <w:t>pomáhajících rodinných příslušníků</w:t>
      </w:r>
      <w:r w:rsidRPr="00251317">
        <w:rPr>
          <w:rFonts w:ascii="Arial" w:hAnsi="Arial" w:cs="Arial"/>
          <w:bCs/>
        </w:rPr>
        <w:t xml:space="preserve"> (o 19,</w:t>
      </w:r>
      <w:r w:rsidR="003C52A4">
        <w:rPr>
          <w:rFonts w:ascii="Arial" w:hAnsi="Arial" w:cs="Arial"/>
          <w:bCs/>
        </w:rPr>
        <w:t>5</w:t>
      </w:r>
      <w:r w:rsidRPr="00251317">
        <w:rPr>
          <w:rFonts w:ascii="Arial" w:hAnsi="Arial" w:cs="Arial"/>
          <w:bCs/>
        </w:rPr>
        <w:t xml:space="preserve"> tis.). Tato kategorie jako jediná z kategorií spadajících do kategorie podnikatelů </w:t>
      </w:r>
      <w:r w:rsidRPr="00251317">
        <w:rPr>
          <w:rFonts w:ascii="Arial" w:hAnsi="Arial" w:cs="Arial"/>
          <w:b/>
          <w:bCs/>
        </w:rPr>
        <w:t>vzrostla</w:t>
      </w:r>
      <w:r w:rsidRPr="00251317">
        <w:rPr>
          <w:rFonts w:ascii="Arial" w:hAnsi="Arial" w:cs="Arial"/>
          <w:bCs/>
        </w:rPr>
        <w:t xml:space="preserve"> i celkově (o 29,0 tis.) </w:t>
      </w:r>
      <w:r w:rsidRPr="00251317">
        <w:rPr>
          <w:rFonts w:ascii="Arial" w:hAnsi="Arial" w:cs="Arial"/>
          <w:b/>
          <w:bCs/>
        </w:rPr>
        <w:t>na 49,</w:t>
      </w:r>
      <w:r w:rsidR="00414182">
        <w:rPr>
          <w:rFonts w:ascii="Arial" w:hAnsi="Arial" w:cs="Arial"/>
          <w:b/>
          <w:bCs/>
        </w:rPr>
        <w:t>2</w:t>
      </w:r>
      <w:r w:rsidRPr="00251317">
        <w:rPr>
          <w:rFonts w:ascii="Arial" w:hAnsi="Arial" w:cs="Arial"/>
          <w:b/>
          <w:bCs/>
        </w:rPr>
        <w:t xml:space="preserve"> tis. </w:t>
      </w:r>
      <w:r w:rsidRPr="00251317">
        <w:rPr>
          <w:rFonts w:ascii="Arial" w:hAnsi="Arial" w:cs="Arial"/>
          <w:bCs/>
        </w:rPr>
        <w:t xml:space="preserve">(počet pomáhajících mužů vzrostl méně, o 9,5 tis.). </w:t>
      </w:r>
    </w:p>
    <w:p w:rsidR="007A49EF" w:rsidRPr="00251317" w:rsidRDefault="007A49EF" w:rsidP="007A49EF">
      <w:pPr>
        <w:tabs>
          <w:tab w:val="center" w:pos="720"/>
        </w:tabs>
        <w:spacing w:line="360" w:lineRule="auto"/>
        <w:ind w:firstLine="720"/>
        <w:jc w:val="both"/>
        <w:rPr>
          <w:rFonts w:ascii="Arial" w:hAnsi="Arial" w:cs="Arial"/>
          <w:bCs/>
        </w:rPr>
      </w:pPr>
      <w:r w:rsidRPr="00251317">
        <w:rPr>
          <w:rFonts w:ascii="Arial" w:hAnsi="Arial" w:cs="Arial"/>
          <w:b/>
          <w:bCs/>
        </w:rPr>
        <w:t xml:space="preserve">Nejvýznamněji poklesla kategorie podnikatelů bez zaměstnanců, </w:t>
      </w:r>
      <w:r w:rsidRPr="00251317">
        <w:rPr>
          <w:rFonts w:ascii="Arial" w:hAnsi="Arial" w:cs="Arial"/>
          <w:bCs/>
        </w:rPr>
        <w:t>a to</w:t>
      </w:r>
      <w:r w:rsidRPr="00251317">
        <w:rPr>
          <w:rFonts w:ascii="Arial" w:hAnsi="Arial" w:cs="Arial"/>
          <w:b/>
          <w:bCs/>
        </w:rPr>
        <w:t xml:space="preserve"> na</w:t>
      </w:r>
      <w:r w:rsidRPr="00251317">
        <w:rPr>
          <w:rFonts w:ascii="Arial" w:hAnsi="Arial" w:cs="Arial"/>
          <w:bCs/>
        </w:rPr>
        <w:t xml:space="preserve"> </w:t>
      </w:r>
      <w:r w:rsidRPr="00251317">
        <w:rPr>
          <w:rFonts w:ascii="Arial" w:hAnsi="Arial" w:cs="Arial"/>
          <w:b/>
          <w:bCs/>
        </w:rPr>
        <w:t>660,9 tis.</w:t>
      </w:r>
      <w:r w:rsidRPr="00251317">
        <w:rPr>
          <w:rFonts w:ascii="Arial" w:hAnsi="Arial" w:cs="Arial"/>
          <w:bCs/>
        </w:rPr>
        <w:t xml:space="preserve"> (o 53,0 tis.),</w:t>
      </w:r>
      <w:r w:rsidRPr="00251317">
        <w:rPr>
          <w:rFonts w:ascii="Arial" w:hAnsi="Arial" w:cs="Arial"/>
          <w:b/>
          <w:bCs/>
        </w:rPr>
        <w:t xml:space="preserve"> </w:t>
      </w:r>
      <w:r w:rsidRPr="00251317">
        <w:rPr>
          <w:rFonts w:ascii="Arial" w:hAnsi="Arial" w:cs="Arial"/>
          <w:bCs/>
        </w:rPr>
        <w:t>výrazně poklesl počet mužů (o 43,7 tis.), pokles počtu žen byl mírnější (o 9,3 tis. osob).</w:t>
      </w:r>
      <w:r w:rsidRPr="00251317">
        <w:rPr>
          <w:rFonts w:ascii="Arial" w:hAnsi="Arial" w:cs="Arial"/>
          <w:bCs/>
          <w:color w:val="FF0000"/>
        </w:rPr>
        <w:t xml:space="preserve"> </w:t>
      </w:r>
      <w:r w:rsidRPr="00251317">
        <w:rPr>
          <w:rFonts w:ascii="Arial" w:hAnsi="Arial" w:cs="Arial"/>
          <w:b/>
          <w:bCs/>
        </w:rPr>
        <w:t xml:space="preserve">Kategorie podnikatelů se zaměstnanci se snížila </w:t>
      </w:r>
      <w:r w:rsidRPr="00251317">
        <w:rPr>
          <w:rFonts w:ascii="Arial" w:hAnsi="Arial" w:cs="Arial"/>
          <w:bCs/>
        </w:rPr>
        <w:t xml:space="preserve">(o 5,0 tis.) </w:t>
      </w:r>
      <w:r w:rsidRPr="00251317">
        <w:rPr>
          <w:rFonts w:ascii="Arial" w:hAnsi="Arial" w:cs="Arial"/>
          <w:b/>
          <w:bCs/>
        </w:rPr>
        <w:t xml:space="preserve">na 163,8 tis. osob </w:t>
      </w:r>
      <w:r w:rsidRPr="00251317">
        <w:rPr>
          <w:rFonts w:ascii="Arial" w:hAnsi="Arial" w:cs="Arial"/>
          <w:bCs/>
        </w:rPr>
        <w:t>zejména poklesem počtu mužů</w:t>
      </w:r>
      <w:r w:rsidRPr="00251317">
        <w:rPr>
          <w:rFonts w:ascii="Arial" w:hAnsi="Arial" w:cs="Arial"/>
          <w:b/>
          <w:bCs/>
        </w:rPr>
        <w:t xml:space="preserve"> </w:t>
      </w:r>
      <w:r w:rsidRPr="00251317">
        <w:rPr>
          <w:rFonts w:ascii="Arial" w:hAnsi="Arial" w:cs="Arial"/>
          <w:bCs/>
        </w:rPr>
        <w:t xml:space="preserve">(o 9,3 tis.), počet žen vzrostl (o 4,3 tis.). </w:t>
      </w:r>
    </w:p>
    <w:p w:rsidR="007A49EF" w:rsidRPr="002E1378" w:rsidRDefault="007A49EF" w:rsidP="007A49EF">
      <w:pPr>
        <w:tabs>
          <w:tab w:val="center" w:pos="720"/>
        </w:tabs>
        <w:spacing w:line="360" w:lineRule="auto"/>
        <w:ind w:firstLine="720"/>
        <w:jc w:val="both"/>
        <w:rPr>
          <w:rFonts w:ascii="Arial" w:hAnsi="Arial" w:cs="Arial"/>
          <w:bCs/>
          <w:iCs/>
        </w:rPr>
      </w:pPr>
      <w:r w:rsidRPr="00251317">
        <w:rPr>
          <w:rFonts w:ascii="Arial" w:hAnsi="Arial" w:cs="Arial"/>
          <w:b/>
          <w:bCs/>
          <w:iCs/>
        </w:rPr>
        <w:t>P</w:t>
      </w:r>
      <w:r w:rsidRPr="00251317">
        <w:rPr>
          <w:rFonts w:ascii="Arial" w:hAnsi="Arial" w:cs="Arial"/>
          <w:b/>
          <w:iCs/>
        </w:rPr>
        <w:t xml:space="preserve">odíl podnikatelů </w:t>
      </w:r>
      <w:r w:rsidRPr="00251317">
        <w:rPr>
          <w:rFonts w:ascii="Arial" w:hAnsi="Arial" w:cs="Arial"/>
          <w:iCs/>
        </w:rPr>
        <w:t>včetně pomáhajících rodinných příslušníků na celkové zaměstnanosti tak meziročně poklesl o 0,9 </w:t>
      </w:r>
      <w:r w:rsidRPr="00251317">
        <w:rPr>
          <w:rFonts w:ascii="Arial" w:hAnsi="Arial" w:cs="Arial"/>
        </w:rPr>
        <w:t xml:space="preserve">p. b. </w:t>
      </w:r>
      <w:r w:rsidRPr="00251317">
        <w:rPr>
          <w:rFonts w:ascii="Arial" w:hAnsi="Arial" w:cs="Arial"/>
          <w:bCs/>
          <w:iCs/>
        </w:rPr>
        <w:t>na</w:t>
      </w:r>
      <w:r w:rsidRPr="00251317">
        <w:rPr>
          <w:rFonts w:ascii="Arial" w:hAnsi="Arial" w:cs="Arial"/>
          <w:b/>
          <w:bCs/>
          <w:iCs/>
        </w:rPr>
        <w:t> 17,</w:t>
      </w:r>
      <w:r w:rsidRPr="002E1378">
        <w:rPr>
          <w:rFonts w:ascii="Arial" w:hAnsi="Arial" w:cs="Arial"/>
          <w:b/>
          <w:bCs/>
          <w:iCs/>
        </w:rPr>
        <w:t xml:space="preserve">7 %, </w:t>
      </w:r>
      <w:r w:rsidRPr="002E1378">
        <w:rPr>
          <w:rFonts w:ascii="Arial" w:hAnsi="Arial" w:cs="Arial"/>
          <w:bCs/>
          <w:iCs/>
        </w:rPr>
        <w:t xml:space="preserve">přesto zůstává ve srovnání s jinými zeměmi vysoký (viz </w:t>
      </w:r>
      <w:r w:rsidRPr="002E1378">
        <w:rPr>
          <w:rFonts w:ascii="Arial" w:hAnsi="Arial" w:cs="Arial"/>
        </w:rPr>
        <w:t>část V. Mezinárodní srovnání)</w:t>
      </w:r>
      <w:r w:rsidRPr="002E1378">
        <w:rPr>
          <w:rFonts w:ascii="Arial" w:hAnsi="Arial" w:cs="Arial"/>
          <w:bCs/>
          <w:iCs/>
        </w:rPr>
        <w:t>.</w:t>
      </w:r>
    </w:p>
    <w:p w:rsidR="007A49EF" w:rsidRPr="00251317" w:rsidRDefault="007A49EF" w:rsidP="007A49EF">
      <w:pPr>
        <w:tabs>
          <w:tab w:val="center" w:pos="720"/>
        </w:tabs>
        <w:spacing w:line="360" w:lineRule="auto"/>
        <w:ind w:firstLine="720"/>
        <w:jc w:val="both"/>
        <w:rPr>
          <w:rFonts w:ascii="Arial" w:hAnsi="Arial" w:cs="Arial"/>
          <w:b/>
        </w:rPr>
      </w:pPr>
      <w:r w:rsidRPr="00251317">
        <w:rPr>
          <w:rFonts w:ascii="Arial" w:hAnsi="Arial" w:cs="Arial"/>
          <w:b/>
        </w:rPr>
        <w:t>Poč</w:t>
      </w:r>
      <w:r>
        <w:rPr>
          <w:rFonts w:ascii="Arial" w:hAnsi="Arial" w:cs="Arial"/>
          <w:b/>
        </w:rPr>
        <w:t>e</w:t>
      </w:r>
      <w:r w:rsidRPr="00251317">
        <w:rPr>
          <w:rFonts w:ascii="Arial" w:hAnsi="Arial" w:cs="Arial"/>
          <w:b/>
        </w:rPr>
        <w:t>t</w:t>
      </w:r>
      <w:r w:rsidRPr="00251317">
        <w:rPr>
          <w:rFonts w:ascii="Arial" w:hAnsi="Arial" w:cs="Arial"/>
        </w:rPr>
        <w:t xml:space="preserve"> </w:t>
      </w:r>
      <w:r w:rsidRPr="00251317">
        <w:rPr>
          <w:rFonts w:ascii="Arial" w:hAnsi="Arial" w:cs="Arial"/>
          <w:b/>
        </w:rPr>
        <w:t>zaměstnanců se zvýšil v deseti krajích</w:t>
      </w:r>
      <w:r w:rsidRPr="00251317">
        <w:rPr>
          <w:rFonts w:ascii="Arial" w:hAnsi="Arial" w:cs="Arial"/>
        </w:rPr>
        <w:t xml:space="preserve">, </w:t>
      </w:r>
      <w:r w:rsidRPr="00251317">
        <w:rPr>
          <w:rFonts w:ascii="Arial" w:hAnsi="Arial" w:cs="Arial"/>
          <w:b/>
        </w:rPr>
        <w:t>nejvíce v Hl. m. Praze,  Jihomoravském a Plzeňském kraji</w:t>
      </w:r>
      <w:r w:rsidRPr="00251317">
        <w:rPr>
          <w:rFonts w:ascii="Arial" w:hAnsi="Arial" w:cs="Arial"/>
        </w:rPr>
        <w:t xml:space="preserve">. Jejich počet se </w:t>
      </w:r>
      <w:r w:rsidRPr="00251317">
        <w:rPr>
          <w:rFonts w:ascii="Arial" w:hAnsi="Arial" w:cs="Arial"/>
          <w:b/>
        </w:rPr>
        <w:t>snížil</w:t>
      </w:r>
      <w:r w:rsidRPr="00251317">
        <w:rPr>
          <w:rFonts w:ascii="Arial" w:hAnsi="Arial" w:cs="Arial"/>
        </w:rPr>
        <w:t xml:space="preserve">  </w:t>
      </w:r>
      <w:r>
        <w:rPr>
          <w:rFonts w:ascii="Arial" w:hAnsi="Arial" w:cs="Arial"/>
        </w:rPr>
        <w:t xml:space="preserve">(kromě krajů, v nichž došlo k poklesu celkové zaměstnanosti - </w:t>
      </w:r>
      <w:r w:rsidRPr="006F4828">
        <w:rPr>
          <w:rFonts w:ascii="Arial" w:hAnsi="Arial" w:cs="Arial"/>
        </w:rPr>
        <w:t>Jihočeském, Moravskoslezském a Olomouckém kraji)</w:t>
      </w:r>
      <w:r>
        <w:rPr>
          <w:rFonts w:ascii="Arial" w:hAnsi="Arial" w:cs="Arial"/>
          <w:b/>
        </w:rPr>
        <w:t xml:space="preserve"> také ve Středočeském kraji</w:t>
      </w:r>
      <w:r w:rsidRPr="00251317">
        <w:rPr>
          <w:rFonts w:ascii="Arial" w:hAnsi="Arial" w:cs="Arial"/>
          <w:b/>
        </w:rPr>
        <w:t xml:space="preserve">. </w:t>
      </w:r>
    </w:p>
    <w:p w:rsidR="007A49EF" w:rsidRPr="00251317" w:rsidRDefault="007A49EF" w:rsidP="007A49EF">
      <w:pPr>
        <w:tabs>
          <w:tab w:val="center" w:pos="720"/>
        </w:tabs>
        <w:spacing w:line="360" w:lineRule="auto"/>
        <w:ind w:firstLine="720"/>
        <w:jc w:val="both"/>
        <w:rPr>
          <w:rFonts w:ascii="Arial" w:hAnsi="Arial" w:cs="Arial"/>
          <w:b/>
        </w:rPr>
      </w:pPr>
      <w:r w:rsidRPr="00251317">
        <w:rPr>
          <w:rFonts w:ascii="Arial" w:hAnsi="Arial" w:cs="Arial"/>
          <w:b/>
        </w:rPr>
        <w:t>Počet</w:t>
      </w:r>
      <w:r w:rsidRPr="00251317">
        <w:rPr>
          <w:rFonts w:ascii="Arial" w:hAnsi="Arial" w:cs="Arial"/>
        </w:rPr>
        <w:t xml:space="preserve"> </w:t>
      </w:r>
      <w:r w:rsidRPr="00251317">
        <w:rPr>
          <w:rFonts w:ascii="Arial" w:hAnsi="Arial" w:cs="Arial"/>
          <w:b/>
        </w:rPr>
        <w:t>podnikatelů</w:t>
      </w:r>
      <w:r w:rsidRPr="00251317">
        <w:rPr>
          <w:rFonts w:ascii="Arial" w:hAnsi="Arial" w:cs="Arial"/>
        </w:rPr>
        <w:t xml:space="preserve"> (včetně pomáhajících rodinných příslušníků) </w:t>
      </w:r>
      <w:r w:rsidRPr="00251317">
        <w:rPr>
          <w:rFonts w:ascii="Arial" w:hAnsi="Arial" w:cs="Arial"/>
          <w:b/>
        </w:rPr>
        <w:t>vzrostl v polovině krajů, zejména v Ústeckém, Středočeském a Moravskoslezském kraji</w:t>
      </w:r>
      <w:r w:rsidRPr="00251317">
        <w:rPr>
          <w:rFonts w:ascii="Arial" w:hAnsi="Arial" w:cs="Arial"/>
          <w:b/>
          <w:bCs/>
        </w:rPr>
        <w:t xml:space="preserve">, </w:t>
      </w:r>
      <w:r w:rsidRPr="00251317">
        <w:rPr>
          <w:rFonts w:ascii="Arial" w:hAnsi="Arial" w:cs="Arial"/>
          <w:bCs/>
        </w:rPr>
        <w:t xml:space="preserve">nejvíce </w:t>
      </w:r>
      <w:r w:rsidRPr="00251317">
        <w:rPr>
          <w:rFonts w:ascii="Arial" w:hAnsi="Arial" w:cs="Arial"/>
          <w:b/>
          <w:bCs/>
        </w:rPr>
        <w:t xml:space="preserve">poklesl </w:t>
      </w:r>
      <w:r w:rsidRPr="00251317">
        <w:rPr>
          <w:rFonts w:ascii="Arial" w:hAnsi="Arial" w:cs="Arial"/>
          <w:bCs/>
        </w:rPr>
        <w:t xml:space="preserve">především </w:t>
      </w:r>
      <w:r w:rsidRPr="00251317">
        <w:rPr>
          <w:rFonts w:ascii="Arial" w:hAnsi="Arial" w:cs="Arial"/>
          <w:b/>
        </w:rPr>
        <w:t>v Hl. m. Praze</w:t>
      </w:r>
      <w:r w:rsidRPr="00251317">
        <w:rPr>
          <w:rFonts w:ascii="Arial" w:hAnsi="Arial" w:cs="Arial"/>
          <w:b/>
          <w:bCs/>
        </w:rPr>
        <w:t xml:space="preserve">, </w:t>
      </w:r>
      <w:r w:rsidRPr="00251317">
        <w:rPr>
          <w:rFonts w:ascii="Arial" w:hAnsi="Arial" w:cs="Arial"/>
          <w:bCs/>
        </w:rPr>
        <w:t>dále</w:t>
      </w:r>
      <w:r w:rsidRPr="00251317">
        <w:rPr>
          <w:rFonts w:ascii="Arial" w:hAnsi="Arial" w:cs="Arial"/>
          <w:b/>
          <w:bCs/>
        </w:rPr>
        <w:t xml:space="preserve"> Plzeňském a Olomouckém kraji.</w:t>
      </w:r>
    </w:p>
    <w:p w:rsidR="007A49EF" w:rsidRPr="00251317" w:rsidRDefault="007A49EF" w:rsidP="007A49EF">
      <w:pPr>
        <w:tabs>
          <w:tab w:val="center" w:pos="720"/>
        </w:tabs>
        <w:spacing w:line="360" w:lineRule="auto"/>
        <w:ind w:firstLine="720"/>
        <w:jc w:val="both"/>
        <w:rPr>
          <w:rFonts w:ascii="Arial" w:hAnsi="Arial" w:cs="Arial"/>
        </w:rPr>
      </w:pPr>
      <w:r w:rsidRPr="00251317">
        <w:rPr>
          <w:rFonts w:ascii="Arial" w:hAnsi="Arial" w:cs="Arial"/>
        </w:rPr>
        <w:lastRenderedPageBreak/>
        <w:t xml:space="preserve">Nárůst obou kategorií z hlediska postavení v zaměstnání byl zaznamenán v Jihomoravském, Zlínském, Pardubickém a Ústeckém kraji, naopak pokles obou kategorií byl patrný pouze v Olomouckém kraji. </w:t>
      </w:r>
    </w:p>
    <w:p w:rsidR="007A49EF" w:rsidRPr="00251317" w:rsidRDefault="007A49EF" w:rsidP="007A49EF">
      <w:pPr>
        <w:tabs>
          <w:tab w:val="center" w:pos="720"/>
        </w:tabs>
        <w:spacing w:line="360" w:lineRule="auto"/>
        <w:ind w:firstLine="720"/>
        <w:jc w:val="both"/>
        <w:rPr>
          <w:rFonts w:ascii="Arial" w:hAnsi="Arial" w:cs="Arial"/>
          <w:b/>
          <w:bCs/>
        </w:rPr>
      </w:pPr>
      <w:r w:rsidRPr="00251317">
        <w:rPr>
          <w:rFonts w:ascii="Arial" w:hAnsi="Arial" w:cs="Arial"/>
          <w:b/>
          <w:bCs/>
        </w:rPr>
        <w:t xml:space="preserve">Nejvyšší podíl podnikatelů </w:t>
      </w:r>
      <w:r w:rsidRPr="00251317">
        <w:rPr>
          <w:rFonts w:ascii="Arial" w:hAnsi="Arial" w:cs="Arial"/>
          <w:bCs/>
        </w:rPr>
        <w:t xml:space="preserve">stále zůstal </w:t>
      </w:r>
      <w:r w:rsidRPr="00251317">
        <w:rPr>
          <w:rFonts w:ascii="Arial" w:hAnsi="Arial" w:cs="Arial"/>
          <w:b/>
          <w:bCs/>
        </w:rPr>
        <w:t>v Hl. m. Praze</w:t>
      </w:r>
      <w:r w:rsidRPr="00251317">
        <w:rPr>
          <w:rFonts w:ascii="Arial" w:hAnsi="Arial" w:cs="Arial"/>
          <w:bCs/>
        </w:rPr>
        <w:t xml:space="preserve"> (22,7 %), zatímco </w:t>
      </w:r>
      <w:r w:rsidRPr="00251317">
        <w:rPr>
          <w:rFonts w:ascii="Arial" w:hAnsi="Arial" w:cs="Arial"/>
          <w:b/>
          <w:bCs/>
        </w:rPr>
        <w:t xml:space="preserve">nejvyšší podíl zaměstnanců </w:t>
      </w:r>
      <w:r w:rsidRPr="00251317">
        <w:rPr>
          <w:rFonts w:ascii="Arial" w:hAnsi="Arial" w:cs="Arial"/>
          <w:bCs/>
        </w:rPr>
        <w:t xml:space="preserve">je </w:t>
      </w:r>
      <w:r w:rsidRPr="00251317">
        <w:rPr>
          <w:rFonts w:ascii="Arial" w:hAnsi="Arial" w:cs="Arial"/>
          <w:b/>
          <w:bCs/>
        </w:rPr>
        <w:t>v Olomouckém kraji</w:t>
      </w:r>
      <w:r w:rsidRPr="00251317">
        <w:rPr>
          <w:rFonts w:ascii="Arial" w:hAnsi="Arial" w:cs="Arial"/>
          <w:bCs/>
        </w:rPr>
        <w:t xml:space="preserve"> (85,6 %), který po dlouhé době (</w:t>
      </w:r>
      <w:r>
        <w:rPr>
          <w:rFonts w:ascii="Arial" w:hAnsi="Arial" w:cs="Arial"/>
          <w:bCs/>
        </w:rPr>
        <w:t>i</w:t>
      </w:r>
      <w:r w:rsidRPr="00251317">
        <w:rPr>
          <w:rFonts w:ascii="Arial" w:hAnsi="Arial" w:cs="Arial"/>
          <w:bCs/>
        </w:rPr>
        <w:t xml:space="preserve"> přes mírný pokles zaměstnanců) na této příčce nahradil</w:t>
      </w:r>
      <w:r w:rsidRPr="00251317">
        <w:rPr>
          <w:rFonts w:ascii="Arial" w:hAnsi="Arial" w:cs="Arial"/>
          <w:b/>
          <w:bCs/>
        </w:rPr>
        <w:t> </w:t>
      </w:r>
      <w:r w:rsidRPr="00251317">
        <w:rPr>
          <w:rFonts w:ascii="Arial" w:hAnsi="Arial" w:cs="Arial"/>
          <w:bCs/>
        </w:rPr>
        <w:t>Moravskoslezský kraj</w:t>
      </w:r>
      <w:r w:rsidRPr="00251317">
        <w:rPr>
          <w:rFonts w:ascii="Arial" w:hAnsi="Arial" w:cs="Arial"/>
          <w:b/>
          <w:bCs/>
        </w:rPr>
        <w:t xml:space="preserve"> </w:t>
      </w:r>
      <w:r w:rsidRPr="00251317">
        <w:rPr>
          <w:rFonts w:ascii="Arial" w:hAnsi="Arial" w:cs="Arial"/>
          <w:bCs/>
        </w:rPr>
        <w:t>(85,2 %).</w:t>
      </w:r>
    </w:p>
    <w:p w:rsidR="007A49EF" w:rsidRPr="00251317" w:rsidRDefault="007A49EF" w:rsidP="007A49EF">
      <w:pPr>
        <w:autoSpaceDE w:val="0"/>
        <w:autoSpaceDN w:val="0"/>
        <w:adjustRightInd w:val="0"/>
        <w:ind w:firstLine="720"/>
        <w:jc w:val="both"/>
        <w:rPr>
          <w:rFonts w:ascii="Arial" w:hAnsi="Arial" w:cs="Arial"/>
          <w:b/>
          <w:bCs/>
          <w:sz w:val="16"/>
          <w:szCs w:val="16"/>
        </w:rPr>
      </w:pPr>
    </w:p>
    <w:p w:rsidR="007A49EF" w:rsidRPr="00251317" w:rsidRDefault="007A49EF" w:rsidP="007A49EF">
      <w:pPr>
        <w:tabs>
          <w:tab w:val="center" w:pos="720"/>
        </w:tabs>
        <w:jc w:val="center"/>
        <w:rPr>
          <w:rFonts w:ascii="Arial" w:hAnsi="Arial" w:cs="Arial"/>
          <w:b/>
          <w:bCs/>
        </w:rPr>
      </w:pPr>
      <w:r w:rsidRPr="00251317">
        <w:rPr>
          <w:rFonts w:ascii="Arial" w:hAnsi="Arial" w:cs="Arial"/>
          <w:b/>
          <w:bCs/>
        </w:rPr>
        <w:t xml:space="preserve">Přírůstek (úbytek) počtu osob v hlavním zaměstnání </w:t>
      </w:r>
    </w:p>
    <w:p w:rsidR="007A49EF" w:rsidRPr="00251317" w:rsidRDefault="007A49EF" w:rsidP="007A49EF">
      <w:pPr>
        <w:tabs>
          <w:tab w:val="center" w:pos="720"/>
        </w:tabs>
        <w:jc w:val="center"/>
        <w:rPr>
          <w:rFonts w:ascii="Arial" w:hAnsi="Arial" w:cs="Arial"/>
          <w:b/>
          <w:bCs/>
        </w:rPr>
      </w:pPr>
      <w:r w:rsidRPr="00251317">
        <w:rPr>
          <w:rFonts w:ascii="Arial" w:hAnsi="Arial" w:cs="Arial"/>
          <w:b/>
          <w:bCs/>
        </w:rPr>
        <w:t>podle postavení v zaměstnání v krajském členění (v tis.)</w:t>
      </w:r>
    </w:p>
    <w:p w:rsidR="007A49EF" w:rsidRPr="00251317" w:rsidRDefault="007A49EF" w:rsidP="007A49EF">
      <w:pPr>
        <w:tabs>
          <w:tab w:val="center" w:pos="720"/>
        </w:tabs>
        <w:ind w:left="708" w:firstLine="372"/>
        <w:jc w:val="right"/>
        <w:rPr>
          <w:rFonts w:ascii="Arial" w:hAnsi="Arial" w:cs="Arial"/>
          <w:sz w:val="20"/>
          <w:szCs w:val="20"/>
        </w:rPr>
      </w:pPr>
      <w:r w:rsidRPr="00251317">
        <w:rPr>
          <w:rFonts w:ascii="Arial" w:hAnsi="Arial" w:cs="Arial"/>
          <w:sz w:val="20"/>
          <w:szCs w:val="20"/>
        </w:rPr>
        <w:t>tab. č. 10</w:t>
      </w:r>
    </w:p>
    <w:tbl>
      <w:tblPr>
        <w:tblW w:w="9640" w:type="dxa"/>
        <w:tblInd w:w="-214" w:type="dxa"/>
        <w:tblCellMar>
          <w:left w:w="70" w:type="dxa"/>
          <w:right w:w="70" w:type="dxa"/>
        </w:tblCellMar>
        <w:tblLook w:val="0000" w:firstRow="0" w:lastRow="0" w:firstColumn="0" w:lastColumn="0" w:noHBand="0" w:noVBand="0"/>
      </w:tblPr>
      <w:tblGrid>
        <w:gridCol w:w="1663"/>
        <w:gridCol w:w="1031"/>
        <w:gridCol w:w="1134"/>
        <w:gridCol w:w="709"/>
        <w:gridCol w:w="1134"/>
        <w:gridCol w:w="1018"/>
        <w:gridCol w:w="1134"/>
        <w:gridCol w:w="683"/>
        <w:gridCol w:w="1134"/>
      </w:tblGrid>
      <w:tr w:rsidR="007A49EF" w:rsidRPr="00251317" w:rsidTr="007A49EF">
        <w:trPr>
          <w:trHeight w:val="285"/>
        </w:trPr>
        <w:tc>
          <w:tcPr>
            <w:tcW w:w="1663" w:type="dxa"/>
            <w:vMerge w:val="restart"/>
            <w:tcBorders>
              <w:top w:val="double" w:sz="6" w:space="0" w:color="auto"/>
              <w:left w:val="double" w:sz="6" w:space="0" w:color="auto"/>
              <w:bottom w:val="single" w:sz="8" w:space="0" w:color="000000"/>
              <w:right w:val="nil"/>
            </w:tcBorders>
            <w:shd w:val="clear" w:color="auto" w:fill="auto"/>
            <w:vAlign w:val="bottom"/>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kraj</w:t>
            </w:r>
          </w:p>
        </w:tc>
        <w:tc>
          <w:tcPr>
            <w:tcW w:w="4008" w:type="dxa"/>
            <w:gridSpan w:val="4"/>
            <w:tcBorders>
              <w:top w:val="double" w:sz="6" w:space="0" w:color="auto"/>
              <w:left w:val="single" w:sz="8" w:space="0" w:color="auto"/>
              <w:bottom w:val="single" w:sz="8" w:space="0" w:color="auto"/>
              <w:right w:val="single" w:sz="8" w:space="0" w:color="000000"/>
            </w:tcBorders>
            <w:shd w:val="clear" w:color="auto" w:fill="auto"/>
            <w:noWrap/>
            <w:vAlign w:val="bottom"/>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 xml:space="preserve">zaměstnanci </w:t>
            </w:r>
            <w:r w:rsidRPr="00251317">
              <w:rPr>
                <w:rFonts w:ascii="Arial" w:hAnsi="Arial" w:cs="Arial"/>
                <w:bCs/>
                <w:sz w:val="20"/>
                <w:szCs w:val="20"/>
              </w:rPr>
              <w:t>(</w:t>
            </w:r>
            <w:r w:rsidRPr="00251317">
              <w:rPr>
                <w:rFonts w:ascii="Arial" w:hAnsi="Arial" w:cs="Arial"/>
                <w:sz w:val="20"/>
                <w:szCs w:val="20"/>
              </w:rPr>
              <w:t xml:space="preserve">vč. členů </w:t>
            </w:r>
            <w:proofErr w:type="spellStart"/>
            <w:r w:rsidRPr="00251317">
              <w:rPr>
                <w:rFonts w:ascii="Arial" w:hAnsi="Arial" w:cs="Arial"/>
                <w:sz w:val="20"/>
                <w:szCs w:val="20"/>
              </w:rPr>
              <w:t>prod</w:t>
            </w:r>
            <w:proofErr w:type="spellEnd"/>
            <w:r w:rsidRPr="00251317">
              <w:rPr>
                <w:rFonts w:ascii="Arial" w:hAnsi="Arial" w:cs="Arial"/>
                <w:sz w:val="20"/>
                <w:szCs w:val="20"/>
              </w:rPr>
              <w:t>. družstev)</w:t>
            </w:r>
          </w:p>
        </w:tc>
        <w:tc>
          <w:tcPr>
            <w:tcW w:w="3969" w:type="dxa"/>
            <w:gridSpan w:val="4"/>
            <w:tcBorders>
              <w:top w:val="double" w:sz="6" w:space="0" w:color="auto"/>
              <w:left w:val="nil"/>
              <w:bottom w:val="single" w:sz="8" w:space="0" w:color="auto"/>
              <w:right w:val="double" w:sz="6" w:space="0" w:color="auto"/>
            </w:tcBorders>
            <w:shd w:val="clear" w:color="auto" w:fill="auto"/>
            <w:noWrap/>
            <w:vAlign w:val="bottom"/>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 xml:space="preserve">podnikatelé </w:t>
            </w:r>
            <w:r w:rsidRPr="00251317">
              <w:rPr>
                <w:rFonts w:ascii="Arial" w:hAnsi="Arial" w:cs="Arial"/>
                <w:sz w:val="20"/>
                <w:szCs w:val="20"/>
              </w:rPr>
              <w:t>(vč. pom. rod. příslušníků</w:t>
            </w:r>
            <w:r w:rsidRPr="00251317">
              <w:rPr>
                <w:rFonts w:ascii="Arial" w:hAnsi="Arial" w:cs="Arial"/>
                <w:b/>
                <w:bCs/>
                <w:sz w:val="20"/>
                <w:szCs w:val="20"/>
              </w:rPr>
              <w:t>)</w:t>
            </w:r>
          </w:p>
        </w:tc>
      </w:tr>
      <w:tr w:rsidR="007A49EF" w:rsidRPr="00251317" w:rsidTr="007A49EF">
        <w:trPr>
          <w:trHeight w:val="270"/>
        </w:trPr>
        <w:tc>
          <w:tcPr>
            <w:tcW w:w="1663" w:type="dxa"/>
            <w:vMerge/>
            <w:tcBorders>
              <w:top w:val="double" w:sz="6" w:space="0" w:color="auto"/>
              <w:left w:val="double" w:sz="6" w:space="0" w:color="auto"/>
              <w:bottom w:val="single" w:sz="8" w:space="0" w:color="000000"/>
              <w:right w:val="nil"/>
            </w:tcBorders>
            <w:vAlign w:val="center"/>
          </w:tcPr>
          <w:p w:rsidR="007A49EF" w:rsidRPr="00251317" w:rsidRDefault="007A49EF" w:rsidP="007A49EF">
            <w:pPr>
              <w:rPr>
                <w:rFonts w:ascii="Arial" w:hAnsi="Arial" w:cs="Arial"/>
                <w:b/>
                <w:bCs/>
                <w:sz w:val="20"/>
                <w:szCs w:val="20"/>
              </w:rPr>
            </w:pPr>
          </w:p>
        </w:tc>
        <w:tc>
          <w:tcPr>
            <w:tcW w:w="1031" w:type="dxa"/>
            <w:tcBorders>
              <w:top w:val="nil"/>
              <w:left w:val="single" w:sz="8" w:space="0" w:color="auto"/>
              <w:bottom w:val="single" w:sz="8" w:space="0" w:color="000000"/>
              <w:right w:val="single" w:sz="8" w:space="0" w:color="auto"/>
            </w:tcBorders>
            <w:shd w:val="clear" w:color="auto" w:fill="auto"/>
            <w:noWrap/>
            <w:vAlign w:val="bottom"/>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1.pololetí 2012</w:t>
            </w:r>
          </w:p>
        </w:tc>
        <w:tc>
          <w:tcPr>
            <w:tcW w:w="1134" w:type="dxa"/>
            <w:tcBorders>
              <w:top w:val="nil"/>
              <w:left w:val="nil"/>
              <w:bottom w:val="single" w:sz="8" w:space="0" w:color="000000"/>
              <w:right w:val="single" w:sz="8" w:space="0" w:color="auto"/>
            </w:tcBorders>
            <w:shd w:val="clear" w:color="auto" w:fill="auto"/>
            <w:noWrap/>
            <w:vAlign w:val="bottom"/>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1.pololetí 2013</w:t>
            </w:r>
          </w:p>
        </w:tc>
        <w:tc>
          <w:tcPr>
            <w:tcW w:w="709" w:type="dxa"/>
            <w:tcBorders>
              <w:top w:val="nil"/>
              <w:left w:val="nil"/>
              <w:bottom w:val="single" w:sz="8" w:space="0" w:color="000000"/>
              <w:right w:val="single" w:sz="8" w:space="0" w:color="auto"/>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rozdíl</w:t>
            </w:r>
          </w:p>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13-12</w:t>
            </w:r>
          </w:p>
        </w:tc>
        <w:tc>
          <w:tcPr>
            <w:tcW w:w="1134" w:type="dxa"/>
            <w:tcBorders>
              <w:top w:val="nil"/>
              <w:left w:val="nil"/>
              <w:bottom w:val="single" w:sz="8" w:space="0" w:color="000000"/>
              <w:right w:val="single" w:sz="8" w:space="0" w:color="auto"/>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index</w:t>
            </w:r>
          </w:p>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 xml:space="preserve">13/12 </w:t>
            </w:r>
            <w:r w:rsidRPr="00251317">
              <w:rPr>
                <w:rFonts w:ascii="Arial" w:hAnsi="Arial" w:cs="Arial"/>
                <w:b/>
                <w:sz w:val="20"/>
                <w:szCs w:val="20"/>
              </w:rPr>
              <w:t>(%)</w:t>
            </w:r>
          </w:p>
        </w:tc>
        <w:tc>
          <w:tcPr>
            <w:tcW w:w="1018" w:type="dxa"/>
            <w:tcBorders>
              <w:top w:val="nil"/>
              <w:left w:val="nil"/>
              <w:bottom w:val="single" w:sz="8" w:space="0" w:color="000000"/>
              <w:right w:val="single" w:sz="8" w:space="0" w:color="auto"/>
            </w:tcBorders>
            <w:shd w:val="clear" w:color="auto" w:fill="auto"/>
            <w:noWrap/>
            <w:vAlign w:val="bottom"/>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1.pololetí 2012</w:t>
            </w:r>
          </w:p>
        </w:tc>
        <w:tc>
          <w:tcPr>
            <w:tcW w:w="1134" w:type="dxa"/>
            <w:tcBorders>
              <w:top w:val="nil"/>
              <w:left w:val="nil"/>
              <w:bottom w:val="single" w:sz="8" w:space="0" w:color="000000"/>
              <w:right w:val="single" w:sz="8" w:space="0" w:color="auto"/>
            </w:tcBorders>
            <w:shd w:val="clear" w:color="auto" w:fill="auto"/>
            <w:noWrap/>
            <w:vAlign w:val="bottom"/>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1.pololetí 2013</w:t>
            </w:r>
          </w:p>
        </w:tc>
        <w:tc>
          <w:tcPr>
            <w:tcW w:w="683" w:type="dxa"/>
            <w:tcBorders>
              <w:top w:val="nil"/>
              <w:left w:val="nil"/>
              <w:bottom w:val="single" w:sz="8" w:space="0" w:color="000000"/>
              <w:right w:val="single" w:sz="8" w:space="0" w:color="auto"/>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rozdíl</w:t>
            </w:r>
          </w:p>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13-12</w:t>
            </w:r>
          </w:p>
        </w:tc>
        <w:tc>
          <w:tcPr>
            <w:tcW w:w="1134" w:type="dxa"/>
            <w:tcBorders>
              <w:top w:val="nil"/>
              <w:left w:val="nil"/>
              <w:bottom w:val="single" w:sz="8" w:space="0" w:color="000000"/>
              <w:right w:val="double" w:sz="6" w:space="0" w:color="auto"/>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index</w:t>
            </w:r>
          </w:p>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 xml:space="preserve">13/12 </w:t>
            </w:r>
            <w:r w:rsidRPr="00251317">
              <w:rPr>
                <w:rFonts w:ascii="Arial" w:hAnsi="Arial" w:cs="Arial"/>
                <w:b/>
                <w:sz w:val="20"/>
                <w:szCs w:val="20"/>
              </w:rPr>
              <w:t>(%)</w:t>
            </w:r>
          </w:p>
        </w:tc>
      </w:tr>
      <w:tr w:rsidR="007A49EF" w:rsidRPr="00251317" w:rsidTr="00FF0509">
        <w:trPr>
          <w:trHeight w:val="284"/>
        </w:trPr>
        <w:tc>
          <w:tcPr>
            <w:tcW w:w="1663" w:type="dxa"/>
            <w:tcBorders>
              <w:top w:val="nil"/>
              <w:left w:val="double" w:sz="6" w:space="0" w:color="auto"/>
              <w:bottom w:val="single" w:sz="8" w:space="0" w:color="auto"/>
              <w:right w:val="nil"/>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Celkem</w:t>
            </w:r>
          </w:p>
        </w:tc>
        <w:tc>
          <w:tcPr>
            <w:tcW w:w="1031" w:type="dxa"/>
            <w:tcBorders>
              <w:top w:val="nil"/>
              <w:left w:val="single" w:sz="8" w:space="0" w:color="auto"/>
              <w:bottom w:val="single" w:sz="8" w:space="0" w:color="auto"/>
              <w:right w:val="single" w:sz="8" w:space="0" w:color="auto"/>
            </w:tcBorders>
            <w:shd w:val="clear" w:color="auto" w:fill="auto"/>
            <w:noWrap/>
            <w:vAlign w:val="center"/>
          </w:tcPr>
          <w:p w:rsidR="007A49EF" w:rsidRPr="007A49EF" w:rsidRDefault="007A49EF" w:rsidP="007A49EF">
            <w:pPr>
              <w:jc w:val="right"/>
              <w:rPr>
                <w:rFonts w:ascii="Arial" w:hAnsi="Arial" w:cs="Arial"/>
                <w:b/>
                <w:bCs/>
                <w:sz w:val="20"/>
                <w:szCs w:val="20"/>
              </w:rPr>
            </w:pPr>
            <w:r w:rsidRPr="007A49EF">
              <w:rPr>
                <w:rFonts w:ascii="Arial" w:hAnsi="Arial" w:cs="Arial"/>
                <w:b/>
                <w:bCs/>
                <w:sz w:val="20"/>
                <w:szCs w:val="20"/>
              </w:rPr>
              <w:t xml:space="preserve">3958,6 </w:t>
            </w:r>
          </w:p>
        </w:tc>
        <w:tc>
          <w:tcPr>
            <w:tcW w:w="1134" w:type="dxa"/>
            <w:tcBorders>
              <w:top w:val="nil"/>
              <w:left w:val="nil"/>
              <w:bottom w:val="single" w:sz="8" w:space="0" w:color="auto"/>
              <w:right w:val="single" w:sz="8" w:space="0" w:color="auto"/>
            </w:tcBorders>
            <w:shd w:val="clear" w:color="auto" w:fill="auto"/>
            <w:noWrap/>
            <w:vAlign w:val="center"/>
          </w:tcPr>
          <w:p w:rsidR="007A49EF" w:rsidRPr="007A49EF" w:rsidRDefault="007A49EF" w:rsidP="007A49EF">
            <w:pPr>
              <w:jc w:val="right"/>
              <w:rPr>
                <w:rFonts w:ascii="Arial" w:hAnsi="Arial" w:cs="Arial"/>
                <w:b/>
                <w:sz w:val="20"/>
                <w:szCs w:val="20"/>
              </w:rPr>
            </w:pPr>
            <w:r w:rsidRPr="007A49EF">
              <w:rPr>
                <w:rFonts w:ascii="Arial" w:hAnsi="Arial" w:cs="Arial"/>
                <w:b/>
                <w:sz w:val="20"/>
                <w:szCs w:val="20"/>
              </w:rPr>
              <w:t>4044,6</w:t>
            </w:r>
          </w:p>
        </w:tc>
        <w:tc>
          <w:tcPr>
            <w:tcW w:w="709" w:type="dxa"/>
            <w:tcBorders>
              <w:top w:val="nil"/>
              <w:left w:val="nil"/>
              <w:bottom w:val="single" w:sz="8" w:space="0" w:color="auto"/>
              <w:right w:val="single" w:sz="8" w:space="0" w:color="auto"/>
            </w:tcBorders>
            <w:shd w:val="clear" w:color="auto" w:fill="auto"/>
            <w:noWrap/>
            <w:vAlign w:val="center"/>
          </w:tcPr>
          <w:p w:rsidR="007A49EF" w:rsidRPr="007A49EF" w:rsidRDefault="007A49EF" w:rsidP="007A49EF">
            <w:pPr>
              <w:jc w:val="right"/>
              <w:rPr>
                <w:rFonts w:ascii="Arial" w:hAnsi="Arial" w:cs="Arial"/>
                <w:b/>
                <w:bCs/>
                <w:sz w:val="20"/>
                <w:szCs w:val="20"/>
              </w:rPr>
            </w:pPr>
            <w:r w:rsidRPr="007A49EF">
              <w:rPr>
                <w:rFonts w:ascii="Arial" w:hAnsi="Arial" w:cs="Arial"/>
                <w:b/>
                <w:bCs/>
                <w:sz w:val="20"/>
                <w:szCs w:val="20"/>
              </w:rPr>
              <w:t xml:space="preserve">86,0 </w:t>
            </w:r>
          </w:p>
        </w:tc>
        <w:tc>
          <w:tcPr>
            <w:tcW w:w="1134" w:type="dxa"/>
            <w:tcBorders>
              <w:top w:val="nil"/>
              <w:left w:val="nil"/>
              <w:bottom w:val="single" w:sz="8" w:space="0" w:color="auto"/>
              <w:right w:val="single" w:sz="8" w:space="0" w:color="auto"/>
            </w:tcBorders>
            <w:shd w:val="clear" w:color="auto" w:fill="auto"/>
            <w:noWrap/>
            <w:vAlign w:val="center"/>
          </w:tcPr>
          <w:p w:rsidR="007A49EF" w:rsidRPr="007A49EF" w:rsidRDefault="007A49EF" w:rsidP="007A49EF">
            <w:pPr>
              <w:jc w:val="right"/>
              <w:rPr>
                <w:rFonts w:ascii="Arial" w:hAnsi="Arial" w:cs="Arial"/>
                <w:b/>
                <w:bCs/>
                <w:sz w:val="20"/>
                <w:szCs w:val="20"/>
              </w:rPr>
            </w:pPr>
            <w:r w:rsidRPr="007A49EF">
              <w:rPr>
                <w:rFonts w:ascii="Arial" w:hAnsi="Arial" w:cs="Arial"/>
                <w:b/>
                <w:bCs/>
                <w:sz w:val="20"/>
                <w:szCs w:val="20"/>
              </w:rPr>
              <w:t xml:space="preserve">102,2 </w:t>
            </w:r>
          </w:p>
        </w:tc>
        <w:tc>
          <w:tcPr>
            <w:tcW w:w="1018" w:type="dxa"/>
            <w:tcBorders>
              <w:top w:val="nil"/>
              <w:left w:val="nil"/>
              <w:bottom w:val="single" w:sz="8" w:space="0" w:color="auto"/>
              <w:right w:val="single" w:sz="8" w:space="0" w:color="auto"/>
            </w:tcBorders>
            <w:shd w:val="clear" w:color="auto" w:fill="auto"/>
            <w:noWrap/>
            <w:vAlign w:val="center"/>
          </w:tcPr>
          <w:p w:rsidR="007A49EF" w:rsidRPr="007A49EF" w:rsidRDefault="007A49EF" w:rsidP="007A49EF">
            <w:pPr>
              <w:jc w:val="right"/>
              <w:rPr>
                <w:rFonts w:ascii="Arial" w:hAnsi="Arial" w:cs="Arial"/>
                <w:b/>
                <w:bCs/>
                <w:sz w:val="20"/>
                <w:szCs w:val="20"/>
              </w:rPr>
            </w:pPr>
            <w:r w:rsidRPr="007A49EF">
              <w:rPr>
                <w:rFonts w:ascii="Arial" w:hAnsi="Arial" w:cs="Arial"/>
                <w:b/>
                <w:bCs/>
                <w:sz w:val="20"/>
                <w:szCs w:val="20"/>
              </w:rPr>
              <w:t xml:space="preserve">902,9 </w:t>
            </w:r>
          </w:p>
        </w:tc>
        <w:tc>
          <w:tcPr>
            <w:tcW w:w="1134" w:type="dxa"/>
            <w:tcBorders>
              <w:top w:val="nil"/>
              <w:left w:val="nil"/>
              <w:bottom w:val="single" w:sz="8" w:space="0" w:color="auto"/>
              <w:right w:val="single" w:sz="8" w:space="0" w:color="auto"/>
            </w:tcBorders>
            <w:shd w:val="clear" w:color="auto" w:fill="auto"/>
            <w:noWrap/>
            <w:vAlign w:val="center"/>
          </w:tcPr>
          <w:p w:rsidR="007A49EF" w:rsidRPr="007A49EF" w:rsidRDefault="007A49EF" w:rsidP="007A49EF">
            <w:pPr>
              <w:jc w:val="right"/>
              <w:rPr>
                <w:rFonts w:ascii="Arial" w:hAnsi="Arial" w:cs="Arial"/>
                <w:b/>
                <w:bCs/>
                <w:sz w:val="20"/>
                <w:szCs w:val="20"/>
              </w:rPr>
            </w:pPr>
            <w:r w:rsidRPr="007A49EF">
              <w:rPr>
                <w:rFonts w:ascii="Arial" w:hAnsi="Arial" w:cs="Arial"/>
                <w:b/>
                <w:bCs/>
                <w:sz w:val="20"/>
                <w:szCs w:val="20"/>
              </w:rPr>
              <w:t xml:space="preserve">873,9 </w:t>
            </w:r>
          </w:p>
        </w:tc>
        <w:tc>
          <w:tcPr>
            <w:tcW w:w="683" w:type="dxa"/>
            <w:tcBorders>
              <w:top w:val="nil"/>
              <w:left w:val="nil"/>
              <w:bottom w:val="single" w:sz="8" w:space="0" w:color="auto"/>
              <w:right w:val="single" w:sz="8" w:space="0" w:color="auto"/>
            </w:tcBorders>
            <w:shd w:val="clear" w:color="auto" w:fill="auto"/>
            <w:noWrap/>
            <w:vAlign w:val="center"/>
          </w:tcPr>
          <w:p w:rsidR="007A49EF" w:rsidRPr="007A49EF" w:rsidRDefault="007A49EF" w:rsidP="007A49EF">
            <w:pPr>
              <w:jc w:val="right"/>
              <w:rPr>
                <w:rFonts w:ascii="Arial" w:hAnsi="Arial" w:cs="Arial"/>
                <w:b/>
                <w:bCs/>
                <w:sz w:val="20"/>
                <w:szCs w:val="20"/>
              </w:rPr>
            </w:pPr>
            <w:r w:rsidRPr="007A49EF">
              <w:rPr>
                <w:rFonts w:ascii="Arial" w:hAnsi="Arial" w:cs="Arial"/>
                <w:b/>
                <w:bCs/>
                <w:sz w:val="20"/>
                <w:szCs w:val="20"/>
              </w:rPr>
              <w:t xml:space="preserve">-29,0 </w:t>
            </w:r>
          </w:p>
        </w:tc>
        <w:tc>
          <w:tcPr>
            <w:tcW w:w="1134" w:type="dxa"/>
            <w:tcBorders>
              <w:top w:val="nil"/>
              <w:left w:val="nil"/>
              <w:bottom w:val="single" w:sz="8" w:space="0" w:color="auto"/>
              <w:right w:val="double" w:sz="6" w:space="0" w:color="auto"/>
            </w:tcBorders>
            <w:shd w:val="clear" w:color="auto" w:fill="auto"/>
            <w:noWrap/>
            <w:vAlign w:val="center"/>
          </w:tcPr>
          <w:p w:rsidR="007A49EF" w:rsidRPr="007A49EF" w:rsidRDefault="007A49EF" w:rsidP="007A49EF">
            <w:pPr>
              <w:jc w:val="right"/>
              <w:rPr>
                <w:rFonts w:ascii="Arial" w:hAnsi="Arial" w:cs="Arial"/>
                <w:b/>
                <w:bCs/>
                <w:sz w:val="20"/>
                <w:szCs w:val="20"/>
              </w:rPr>
            </w:pPr>
            <w:r w:rsidRPr="007A49EF">
              <w:rPr>
                <w:rFonts w:ascii="Arial" w:hAnsi="Arial" w:cs="Arial"/>
                <w:b/>
                <w:bCs/>
                <w:sz w:val="20"/>
                <w:szCs w:val="20"/>
              </w:rPr>
              <w:t xml:space="preserve">96,8 </w:t>
            </w:r>
          </w:p>
        </w:tc>
      </w:tr>
      <w:tr w:rsidR="007A49EF" w:rsidRPr="00251317" w:rsidTr="00FF0509">
        <w:trPr>
          <w:trHeight w:val="284"/>
        </w:trPr>
        <w:tc>
          <w:tcPr>
            <w:tcW w:w="1663" w:type="dxa"/>
            <w:tcBorders>
              <w:top w:val="nil"/>
              <w:left w:val="double" w:sz="6" w:space="0" w:color="auto"/>
              <w:bottom w:val="nil"/>
              <w:right w:val="nil"/>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Hl. m. Praha</w:t>
            </w:r>
          </w:p>
        </w:tc>
        <w:tc>
          <w:tcPr>
            <w:tcW w:w="1031" w:type="dxa"/>
            <w:tcBorders>
              <w:top w:val="nil"/>
              <w:left w:val="single" w:sz="8" w:space="0" w:color="auto"/>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474,5 </w:t>
            </w:r>
          </w:p>
        </w:tc>
        <w:tc>
          <w:tcPr>
            <w:tcW w:w="1134"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b/>
                <w:sz w:val="20"/>
                <w:szCs w:val="20"/>
              </w:rPr>
            </w:pPr>
            <w:r w:rsidRPr="007A49EF">
              <w:rPr>
                <w:rFonts w:ascii="Arial" w:hAnsi="Arial" w:cs="Arial"/>
                <w:b/>
                <w:sz w:val="20"/>
                <w:szCs w:val="20"/>
              </w:rPr>
              <w:t>503,6</w:t>
            </w:r>
          </w:p>
        </w:tc>
        <w:tc>
          <w:tcPr>
            <w:tcW w:w="709"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29,1 </w:t>
            </w:r>
          </w:p>
        </w:tc>
        <w:tc>
          <w:tcPr>
            <w:tcW w:w="1134"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106,1 </w:t>
            </w:r>
          </w:p>
        </w:tc>
        <w:tc>
          <w:tcPr>
            <w:tcW w:w="1018"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169,0 </w:t>
            </w:r>
          </w:p>
        </w:tc>
        <w:tc>
          <w:tcPr>
            <w:tcW w:w="1134"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b/>
                <w:sz w:val="20"/>
                <w:szCs w:val="20"/>
              </w:rPr>
            </w:pPr>
            <w:r w:rsidRPr="007A49EF">
              <w:rPr>
                <w:rFonts w:ascii="Arial" w:hAnsi="Arial" w:cs="Arial"/>
                <w:b/>
                <w:sz w:val="20"/>
                <w:szCs w:val="20"/>
              </w:rPr>
              <w:t xml:space="preserve">147,8 </w:t>
            </w:r>
          </w:p>
        </w:tc>
        <w:tc>
          <w:tcPr>
            <w:tcW w:w="683"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-21,1 </w:t>
            </w:r>
          </w:p>
        </w:tc>
        <w:tc>
          <w:tcPr>
            <w:tcW w:w="1134" w:type="dxa"/>
            <w:tcBorders>
              <w:top w:val="nil"/>
              <w:left w:val="nil"/>
              <w:bottom w:val="nil"/>
              <w:right w:val="double" w:sz="6"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87,5 </w:t>
            </w:r>
          </w:p>
        </w:tc>
      </w:tr>
      <w:tr w:rsidR="007A49EF" w:rsidRPr="00251317" w:rsidTr="00FF0509">
        <w:trPr>
          <w:trHeight w:val="284"/>
        </w:trPr>
        <w:tc>
          <w:tcPr>
            <w:tcW w:w="1663" w:type="dxa"/>
            <w:tcBorders>
              <w:top w:val="nil"/>
              <w:left w:val="double" w:sz="6" w:space="0" w:color="auto"/>
              <w:bottom w:val="nil"/>
              <w:right w:val="nil"/>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Středočeský</w:t>
            </w:r>
          </w:p>
        </w:tc>
        <w:tc>
          <w:tcPr>
            <w:tcW w:w="1031" w:type="dxa"/>
            <w:tcBorders>
              <w:top w:val="nil"/>
              <w:left w:val="single" w:sz="8" w:space="0" w:color="auto"/>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494,6 </w:t>
            </w:r>
          </w:p>
        </w:tc>
        <w:tc>
          <w:tcPr>
            <w:tcW w:w="1134"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b/>
                <w:sz w:val="20"/>
                <w:szCs w:val="20"/>
              </w:rPr>
            </w:pPr>
            <w:r w:rsidRPr="007A49EF">
              <w:rPr>
                <w:rFonts w:ascii="Arial" w:hAnsi="Arial" w:cs="Arial"/>
                <w:b/>
                <w:sz w:val="20"/>
                <w:szCs w:val="20"/>
              </w:rPr>
              <w:t>491,6</w:t>
            </w:r>
          </w:p>
        </w:tc>
        <w:tc>
          <w:tcPr>
            <w:tcW w:w="709"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-2,9 </w:t>
            </w:r>
          </w:p>
        </w:tc>
        <w:tc>
          <w:tcPr>
            <w:tcW w:w="1134"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99,4 </w:t>
            </w:r>
          </w:p>
        </w:tc>
        <w:tc>
          <w:tcPr>
            <w:tcW w:w="1018"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125,4 </w:t>
            </w:r>
          </w:p>
        </w:tc>
        <w:tc>
          <w:tcPr>
            <w:tcW w:w="1134"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b/>
                <w:sz w:val="20"/>
                <w:szCs w:val="20"/>
              </w:rPr>
            </w:pPr>
            <w:r w:rsidRPr="007A49EF">
              <w:rPr>
                <w:rFonts w:ascii="Arial" w:hAnsi="Arial" w:cs="Arial"/>
                <w:b/>
                <w:sz w:val="20"/>
                <w:szCs w:val="20"/>
              </w:rPr>
              <w:t xml:space="preserve">130,4 </w:t>
            </w:r>
          </w:p>
        </w:tc>
        <w:tc>
          <w:tcPr>
            <w:tcW w:w="683"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5,0 </w:t>
            </w:r>
          </w:p>
        </w:tc>
        <w:tc>
          <w:tcPr>
            <w:tcW w:w="1134" w:type="dxa"/>
            <w:tcBorders>
              <w:top w:val="nil"/>
              <w:left w:val="nil"/>
              <w:bottom w:val="nil"/>
              <w:right w:val="double" w:sz="6"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104,0 </w:t>
            </w:r>
          </w:p>
        </w:tc>
      </w:tr>
      <w:tr w:rsidR="007A49EF" w:rsidRPr="00251317" w:rsidTr="00FF0509">
        <w:trPr>
          <w:trHeight w:val="284"/>
        </w:trPr>
        <w:tc>
          <w:tcPr>
            <w:tcW w:w="1663" w:type="dxa"/>
            <w:tcBorders>
              <w:top w:val="nil"/>
              <w:left w:val="double" w:sz="6" w:space="0" w:color="auto"/>
              <w:bottom w:val="nil"/>
              <w:right w:val="nil"/>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Jihočeský</w:t>
            </w:r>
          </w:p>
        </w:tc>
        <w:tc>
          <w:tcPr>
            <w:tcW w:w="1031" w:type="dxa"/>
            <w:tcBorders>
              <w:top w:val="nil"/>
              <w:left w:val="single" w:sz="8" w:space="0" w:color="auto"/>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244,1 </w:t>
            </w:r>
          </w:p>
        </w:tc>
        <w:tc>
          <w:tcPr>
            <w:tcW w:w="1134"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b/>
                <w:sz w:val="20"/>
                <w:szCs w:val="20"/>
              </w:rPr>
            </w:pPr>
            <w:r w:rsidRPr="007A49EF">
              <w:rPr>
                <w:rFonts w:ascii="Arial" w:hAnsi="Arial" w:cs="Arial"/>
                <w:b/>
                <w:sz w:val="20"/>
                <w:szCs w:val="20"/>
              </w:rPr>
              <w:t>238,9</w:t>
            </w:r>
          </w:p>
        </w:tc>
        <w:tc>
          <w:tcPr>
            <w:tcW w:w="709"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-5,2 </w:t>
            </w:r>
          </w:p>
        </w:tc>
        <w:tc>
          <w:tcPr>
            <w:tcW w:w="1134"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97,9 </w:t>
            </w:r>
          </w:p>
        </w:tc>
        <w:tc>
          <w:tcPr>
            <w:tcW w:w="1018"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51,5 </w:t>
            </w:r>
          </w:p>
        </w:tc>
        <w:tc>
          <w:tcPr>
            <w:tcW w:w="1134"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b/>
                <w:sz w:val="20"/>
                <w:szCs w:val="20"/>
              </w:rPr>
            </w:pPr>
            <w:r w:rsidRPr="007A49EF">
              <w:rPr>
                <w:rFonts w:ascii="Arial" w:hAnsi="Arial" w:cs="Arial"/>
                <w:b/>
                <w:sz w:val="20"/>
                <w:szCs w:val="20"/>
              </w:rPr>
              <w:t xml:space="preserve">54,2 </w:t>
            </w:r>
          </w:p>
        </w:tc>
        <w:tc>
          <w:tcPr>
            <w:tcW w:w="683"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2,7 </w:t>
            </w:r>
          </w:p>
        </w:tc>
        <w:tc>
          <w:tcPr>
            <w:tcW w:w="1134" w:type="dxa"/>
            <w:tcBorders>
              <w:top w:val="nil"/>
              <w:left w:val="nil"/>
              <w:bottom w:val="nil"/>
              <w:right w:val="double" w:sz="6"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105,3 </w:t>
            </w:r>
          </w:p>
        </w:tc>
      </w:tr>
      <w:tr w:rsidR="007A49EF" w:rsidRPr="00251317" w:rsidTr="00FF0509">
        <w:trPr>
          <w:trHeight w:val="284"/>
        </w:trPr>
        <w:tc>
          <w:tcPr>
            <w:tcW w:w="1663" w:type="dxa"/>
            <w:tcBorders>
              <w:top w:val="nil"/>
              <w:left w:val="double" w:sz="6" w:space="0" w:color="auto"/>
              <w:bottom w:val="nil"/>
              <w:right w:val="nil"/>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Plzeňský</w:t>
            </w:r>
          </w:p>
        </w:tc>
        <w:tc>
          <w:tcPr>
            <w:tcW w:w="1031" w:type="dxa"/>
            <w:tcBorders>
              <w:top w:val="nil"/>
              <w:left w:val="single" w:sz="8" w:space="0" w:color="auto"/>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223,8 </w:t>
            </w:r>
          </w:p>
        </w:tc>
        <w:tc>
          <w:tcPr>
            <w:tcW w:w="1134"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b/>
                <w:sz w:val="20"/>
                <w:szCs w:val="20"/>
              </w:rPr>
            </w:pPr>
            <w:r w:rsidRPr="007A49EF">
              <w:rPr>
                <w:rFonts w:ascii="Arial" w:hAnsi="Arial" w:cs="Arial"/>
                <w:b/>
                <w:sz w:val="20"/>
                <w:szCs w:val="20"/>
              </w:rPr>
              <w:t>238,9</w:t>
            </w:r>
          </w:p>
        </w:tc>
        <w:tc>
          <w:tcPr>
            <w:tcW w:w="709"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15,1 </w:t>
            </w:r>
          </w:p>
        </w:tc>
        <w:tc>
          <w:tcPr>
            <w:tcW w:w="1134"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106,8 </w:t>
            </w:r>
          </w:p>
        </w:tc>
        <w:tc>
          <w:tcPr>
            <w:tcW w:w="1018"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50,9 </w:t>
            </w:r>
          </w:p>
        </w:tc>
        <w:tc>
          <w:tcPr>
            <w:tcW w:w="1134"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b/>
                <w:sz w:val="20"/>
                <w:szCs w:val="20"/>
              </w:rPr>
            </w:pPr>
            <w:r w:rsidRPr="007A49EF">
              <w:rPr>
                <w:rFonts w:ascii="Arial" w:hAnsi="Arial" w:cs="Arial"/>
                <w:b/>
                <w:sz w:val="20"/>
                <w:szCs w:val="20"/>
              </w:rPr>
              <w:t xml:space="preserve">41,3 </w:t>
            </w:r>
          </w:p>
        </w:tc>
        <w:tc>
          <w:tcPr>
            <w:tcW w:w="683"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-9,7 </w:t>
            </w:r>
          </w:p>
        </w:tc>
        <w:tc>
          <w:tcPr>
            <w:tcW w:w="1134" w:type="dxa"/>
            <w:tcBorders>
              <w:top w:val="nil"/>
              <w:left w:val="nil"/>
              <w:bottom w:val="nil"/>
              <w:right w:val="double" w:sz="6"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81,0 </w:t>
            </w:r>
          </w:p>
        </w:tc>
      </w:tr>
      <w:tr w:rsidR="007A49EF" w:rsidRPr="00251317" w:rsidTr="00FF0509">
        <w:trPr>
          <w:trHeight w:val="284"/>
        </w:trPr>
        <w:tc>
          <w:tcPr>
            <w:tcW w:w="1663" w:type="dxa"/>
            <w:tcBorders>
              <w:top w:val="nil"/>
              <w:left w:val="double" w:sz="6" w:space="0" w:color="auto"/>
              <w:bottom w:val="nil"/>
              <w:right w:val="nil"/>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Karlovarský</w:t>
            </w:r>
          </w:p>
        </w:tc>
        <w:tc>
          <w:tcPr>
            <w:tcW w:w="1031" w:type="dxa"/>
            <w:tcBorders>
              <w:top w:val="nil"/>
              <w:left w:val="single" w:sz="8" w:space="0" w:color="auto"/>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111,6 </w:t>
            </w:r>
          </w:p>
        </w:tc>
        <w:tc>
          <w:tcPr>
            <w:tcW w:w="1134"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b/>
                <w:sz w:val="20"/>
                <w:szCs w:val="20"/>
              </w:rPr>
            </w:pPr>
            <w:r w:rsidRPr="007A49EF">
              <w:rPr>
                <w:rFonts w:ascii="Arial" w:hAnsi="Arial" w:cs="Arial"/>
                <w:b/>
                <w:sz w:val="20"/>
                <w:szCs w:val="20"/>
              </w:rPr>
              <w:t>117,2</w:t>
            </w:r>
          </w:p>
        </w:tc>
        <w:tc>
          <w:tcPr>
            <w:tcW w:w="709"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5,6 </w:t>
            </w:r>
          </w:p>
        </w:tc>
        <w:tc>
          <w:tcPr>
            <w:tcW w:w="1134"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105,0 </w:t>
            </w:r>
          </w:p>
        </w:tc>
        <w:tc>
          <w:tcPr>
            <w:tcW w:w="1018"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25,2 </w:t>
            </w:r>
          </w:p>
        </w:tc>
        <w:tc>
          <w:tcPr>
            <w:tcW w:w="1134"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b/>
                <w:sz w:val="20"/>
                <w:szCs w:val="20"/>
              </w:rPr>
            </w:pPr>
            <w:r w:rsidRPr="007A49EF">
              <w:rPr>
                <w:rFonts w:ascii="Arial" w:hAnsi="Arial" w:cs="Arial"/>
                <w:b/>
                <w:sz w:val="20"/>
                <w:szCs w:val="20"/>
              </w:rPr>
              <w:t xml:space="preserve">23,0 </w:t>
            </w:r>
          </w:p>
        </w:tc>
        <w:tc>
          <w:tcPr>
            <w:tcW w:w="683"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-2,2 </w:t>
            </w:r>
          </w:p>
        </w:tc>
        <w:tc>
          <w:tcPr>
            <w:tcW w:w="1134" w:type="dxa"/>
            <w:tcBorders>
              <w:top w:val="nil"/>
              <w:left w:val="nil"/>
              <w:bottom w:val="nil"/>
              <w:right w:val="double" w:sz="6"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91,1 </w:t>
            </w:r>
          </w:p>
        </w:tc>
      </w:tr>
      <w:tr w:rsidR="007A49EF" w:rsidRPr="00251317" w:rsidTr="00FF0509">
        <w:trPr>
          <w:trHeight w:val="284"/>
        </w:trPr>
        <w:tc>
          <w:tcPr>
            <w:tcW w:w="1663" w:type="dxa"/>
            <w:tcBorders>
              <w:top w:val="nil"/>
              <w:left w:val="double" w:sz="6" w:space="0" w:color="auto"/>
              <w:bottom w:val="nil"/>
              <w:right w:val="nil"/>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Ústecký</w:t>
            </w:r>
          </w:p>
        </w:tc>
        <w:tc>
          <w:tcPr>
            <w:tcW w:w="1031" w:type="dxa"/>
            <w:tcBorders>
              <w:top w:val="nil"/>
              <w:left w:val="single" w:sz="8" w:space="0" w:color="auto"/>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294,7 </w:t>
            </w:r>
          </w:p>
        </w:tc>
        <w:tc>
          <w:tcPr>
            <w:tcW w:w="1134"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b/>
                <w:sz w:val="20"/>
                <w:szCs w:val="20"/>
              </w:rPr>
            </w:pPr>
            <w:r w:rsidRPr="007A49EF">
              <w:rPr>
                <w:rFonts w:ascii="Arial" w:hAnsi="Arial" w:cs="Arial"/>
                <w:b/>
                <w:sz w:val="20"/>
                <w:szCs w:val="20"/>
              </w:rPr>
              <w:t>295,4</w:t>
            </w:r>
          </w:p>
        </w:tc>
        <w:tc>
          <w:tcPr>
            <w:tcW w:w="709"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0,8 </w:t>
            </w:r>
          </w:p>
        </w:tc>
        <w:tc>
          <w:tcPr>
            <w:tcW w:w="1134"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100,3 </w:t>
            </w:r>
          </w:p>
        </w:tc>
        <w:tc>
          <w:tcPr>
            <w:tcW w:w="1018"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58,0 </w:t>
            </w:r>
          </w:p>
        </w:tc>
        <w:tc>
          <w:tcPr>
            <w:tcW w:w="1134"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b/>
                <w:sz w:val="20"/>
                <w:szCs w:val="20"/>
              </w:rPr>
            </w:pPr>
            <w:r w:rsidRPr="007A49EF">
              <w:rPr>
                <w:rFonts w:ascii="Arial" w:hAnsi="Arial" w:cs="Arial"/>
                <w:b/>
                <w:sz w:val="20"/>
                <w:szCs w:val="20"/>
              </w:rPr>
              <w:t xml:space="preserve">64,6 </w:t>
            </w:r>
          </w:p>
        </w:tc>
        <w:tc>
          <w:tcPr>
            <w:tcW w:w="683"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6,6 </w:t>
            </w:r>
          </w:p>
        </w:tc>
        <w:tc>
          <w:tcPr>
            <w:tcW w:w="1134" w:type="dxa"/>
            <w:tcBorders>
              <w:top w:val="nil"/>
              <w:left w:val="nil"/>
              <w:bottom w:val="nil"/>
              <w:right w:val="double" w:sz="6"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111,3 </w:t>
            </w:r>
          </w:p>
        </w:tc>
      </w:tr>
      <w:tr w:rsidR="007A49EF" w:rsidRPr="00251317" w:rsidTr="00FF0509">
        <w:trPr>
          <w:trHeight w:val="284"/>
        </w:trPr>
        <w:tc>
          <w:tcPr>
            <w:tcW w:w="1663" w:type="dxa"/>
            <w:tcBorders>
              <w:top w:val="nil"/>
              <w:left w:val="double" w:sz="6" w:space="0" w:color="auto"/>
              <w:bottom w:val="nil"/>
              <w:right w:val="nil"/>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Liberecký</w:t>
            </w:r>
          </w:p>
        </w:tc>
        <w:tc>
          <w:tcPr>
            <w:tcW w:w="1031" w:type="dxa"/>
            <w:tcBorders>
              <w:top w:val="nil"/>
              <w:left w:val="single" w:sz="8" w:space="0" w:color="auto"/>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153,0 </w:t>
            </w:r>
          </w:p>
        </w:tc>
        <w:tc>
          <w:tcPr>
            <w:tcW w:w="1134"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b/>
                <w:sz w:val="20"/>
                <w:szCs w:val="20"/>
              </w:rPr>
            </w:pPr>
            <w:r w:rsidRPr="007A49EF">
              <w:rPr>
                <w:rFonts w:ascii="Arial" w:hAnsi="Arial" w:cs="Arial"/>
                <w:b/>
                <w:sz w:val="20"/>
                <w:szCs w:val="20"/>
              </w:rPr>
              <w:t>163,4</w:t>
            </w:r>
          </w:p>
        </w:tc>
        <w:tc>
          <w:tcPr>
            <w:tcW w:w="709"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10,4 </w:t>
            </w:r>
          </w:p>
        </w:tc>
        <w:tc>
          <w:tcPr>
            <w:tcW w:w="1134"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106,8 </w:t>
            </w:r>
          </w:p>
        </w:tc>
        <w:tc>
          <w:tcPr>
            <w:tcW w:w="1018"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38,8 </w:t>
            </w:r>
          </w:p>
        </w:tc>
        <w:tc>
          <w:tcPr>
            <w:tcW w:w="1134"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b/>
                <w:sz w:val="20"/>
                <w:szCs w:val="20"/>
              </w:rPr>
            </w:pPr>
            <w:r w:rsidRPr="007A49EF">
              <w:rPr>
                <w:rFonts w:ascii="Arial" w:hAnsi="Arial" w:cs="Arial"/>
                <w:b/>
                <w:sz w:val="20"/>
                <w:szCs w:val="20"/>
              </w:rPr>
              <w:t xml:space="preserve">32,7 </w:t>
            </w:r>
          </w:p>
        </w:tc>
        <w:tc>
          <w:tcPr>
            <w:tcW w:w="683"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-6,1 </w:t>
            </w:r>
          </w:p>
        </w:tc>
        <w:tc>
          <w:tcPr>
            <w:tcW w:w="1134" w:type="dxa"/>
            <w:tcBorders>
              <w:top w:val="nil"/>
              <w:left w:val="nil"/>
              <w:bottom w:val="nil"/>
              <w:right w:val="double" w:sz="6"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84,3 </w:t>
            </w:r>
          </w:p>
        </w:tc>
      </w:tr>
      <w:tr w:rsidR="007A49EF" w:rsidRPr="00251317" w:rsidTr="00FF0509">
        <w:trPr>
          <w:trHeight w:val="284"/>
        </w:trPr>
        <w:tc>
          <w:tcPr>
            <w:tcW w:w="1663" w:type="dxa"/>
            <w:tcBorders>
              <w:top w:val="nil"/>
              <w:left w:val="double" w:sz="6" w:space="0" w:color="auto"/>
              <w:bottom w:val="nil"/>
              <w:right w:val="nil"/>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Královehradecký</w:t>
            </w:r>
          </w:p>
        </w:tc>
        <w:tc>
          <w:tcPr>
            <w:tcW w:w="1031" w:type="dxa"/>
            <w:tcBorders>
              <w:top w:val="nil"/>
              <w:left w:val="single" w:sz="8" w:space="0" w:color="auto"/>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199,6 </w:t>
            </w:r>
          </w:p>
        </w:tc>
        <w:tc>
          <w:tcPr>
            <w:tcW w:w="1134"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b/>
                <w:sz w:val="20"/>
                <w:szCs w:val="20"/>
              </w:rPr>
            </w:pPr>
            <w:r w:rsidRPr="007A49EF">
              <w:rPr>
                <w:rFonts w:ascii="Arial" w:hAnsi="Arial" w:cs="Arial"/>
                <w:b/>
                <w:sz w:val="20"/>
                <w:szCs w:val="20"/>
              </w:rPr>
              <w:t>204,5</w:t>
            </w:r>
          </w:p>
        </w:tc>
        <w:tc>
          <w:tcPr>
            <w:tcW w:w="709"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4,9 </w:t>
            </w:r>
          </w:p>
        </w:tc>
        <w:tc>
          <w:tcPr>
            <w:tcW w:w="1134"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102,4 </w:t>
            </w:r>
          </w:p>
        </w:tc>
        <w:tc>
          <w:tcPr>
            <w:tcW w:w="1018"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52,1 </w:t>
            </w:r>
          </w:p>
        </w:tc>
        <w:tc>
          <w:tcPr>
            <w:tcW w:w="1134"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b/>
                <w:sz w:val="20"/>
                <w:szCs w:val="20"/>
              </w:rPr>
            </w:pPr>
            <w:r w:rsidRPr="007A49EF">
              <w:rPr>
                <w:rFonts w:ascii="Arial" w:hAnsi="Arial" w:cs="Arial"/>
                <w:b/>
                <w:sz w:val="20"/>
                <w:szCs w:val="20"/>
              </w:rPr>
              <w:t xml:space="preserve">48,1 </w:t>
            </w:r>
          </w:p>
        </w:tc>
        <w:tc>
          <w:tcPr>
            <w:tcW w:w="683"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-4,0 </w:t>
            </w:r>
          </w:p>
        </w:tc>
        <w:tc>
          <w:tcPr>
            <w:tcW w:w="1134" w:type="dxa"/>
            <w:tcBorders>
              <w:top w:val="nil"/>
              <w:left w:val="nil"/>
              <w:bottom w:val="nil"/>
              <w:right w:val="double" w:sz="6"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92,3 </w:t>
            </w:r>
          </w:p>
        </w:tc>
      </w:tr>
      <w:tr w:rsidR="007A49EF" w:rsidRPr="00251317" w:rsidTr="00FF0509">
        <w:trPr>
          <w:trHeight w:val="284"/>
        </w:trPr>
        <w:tc>
          <w:tcPr>
            <w:tcW w:w="1663" w:type="dxa"/>
            <w:tcBorders>
              <w:top w:val="nil"/>
              <w:left w:val="double" w:sz="6" w:space="0" w:color="auto"/>
              <w:bottom w:val="nil"/>
              <w:right w:val="nil"/>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Pardubický</w:t>
            </w:r>
          </w:p>
        </w:tc>
        <w:tc>
          <w:tcPr>
            <w:tcW w:w="1031" w:type="dxa"/>
            <w:tcBorders>
              <w:top w:val="nil"/>
              <w:left w:val="single" w:sz="8" w:space="0" w:color="auto"/>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201,9 </w:t>
            </w:r>
          </w:p>
        </w:tc>
        <w:tc>
          <w:tcPr>
            <w:tcW w:w="1134"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b/>
                <w:sz w:val="20"/>
                <w:szCs w:val="20"/>
              </w:rPr>
            </w:pPr>
            <w:r w:rsidRPr="007A49EF">
              <w:rPr>
                <w:rFonts w:ascii="Arial" w:hAnsi="Arial" w:cs="Arial"/>
                <w:b/>
                <w:sz w:val="20"/>
                <w:szCs w:val="20"/>
              </w:rPr>
              <w:t>203,2</w:t>
            </w:r>
          </w:p>
        </w:tc>
        <w:tc>
          <w:tcPr>
            <w:tcW w:w="709"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1,3 </w:t>
            </w:r>
          </w:p>
        </w:tc>
        <w:tc>
          <w:tcPr>
            <w:tcW w:w="1134"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100,7 </w:t>
            </w:r>
          </w:p>
        </w:tc>
        <w:tc>
          <w:tcPr>
            <w:tcW w:w="1018"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33,8 </w:t>
            </w:r>
          </w:p>
        </w:tc>
        <w:tc>
          <w:tcPr>
            <w:tcW w:w="1134"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b/>
                <w:sz w:val="20"/>
                <w:szCs w:val="20"/>
              </w:rPr>
            </w:pPr>
            <w:r w:rsidRPr="007A49EF">
              <w:rPr>
                <w:rFonts w:ascii="Arial" w:hAnsi="Arial" w:cs="Arial"/>
                <w:b/>
                <w:sz w:val="20"/>
                <w:szCs w:val="20"/>
              </w:rPr>
              <w:t xml:space="preserve">36,3 </w:t>
            </w:r>
          </w:p>
        </w:tc>
        <w:tc>
          <w:tcPr>
            <w:tcW w:w="683"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2,5 </w:t>
            </w:r>
          </w:p>
        </w:tc>
        <w:tc>
          <w:tcPr>
            <w:tcW w:w="1134" w:type="dxa"/>
            <w:tcBorders>
              <w:top w:val="nil"/>
              <w:left w:val="nil"/>
              <w:bottom w:val="nil"/>
              <w:right w:val="double" w:sz="6"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107,5 </w:t>
            </w:r>
          </w:p>
        </w:tc>
      </w:tr>
      <w:tr w:rsidR="007A49EF" w:rsidRPr="00251317" w:rsidTr="00FF0509">
        <w:trPr>
          <w:trHeight w:val="284"/>
        </w:trPr>
        <w:tc>
          <w:tcPr>
            <w:tcW w:w="1663" w:type="dxa"/>
            <w:tcBorders>
              <w:top w:val="nil"/>
              <w:left w:val="double" w:sz="6" w:space="0" w:color="auto"/>
              <w:bottom w:val="nil"/>
              <w:right w:val="nil"/>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Kraj Vysočina</w:t>
            </w:r>
          </w:p>
        </w:tc>
        <w:tc>
          <w:tcPr>
            <w:tcW w:w="1031" w:type="dxa"/>
            <w:tcBorders>
              <w:top w:val="nil"/>
              <w:left w:val="single" w:sz="8" w:space="0" w:color="auto"/>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193,8 </w:t>
            </w:r>
          </w:p>
        </w:tc>
        <w:tc>
          <w:tcPr>
            <w:tcW w:w="1134"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b/>
                <w:sz w:val="20"/>
                <w:szCs w:val="20"/>
              </w:rPr>
            </w:pPr>
            <w:r w:rsidRPr="007A49EF">
              <w:rPr>
                <w:rFonts w:ascii="Arial" w:hAnsi="Arial" w:cs="Arial"/>
                <w:b/>
                <w:sz w:val="20"/>
                <w:szCs w:val="20"/>
              </w:rPr>
              <w:t>199,9</w:t>
            </w:r>
          </w:p>
        </w:tc>
        <w:tc>
          <w:tcPr>
            <w:tcW w:w="709"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6,1 </w:t>
            </w:r>
          </w:p>
        </w:tc>
        <w:tc>
          <w:tcPr>
            <w:tcW w:w="1134"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103,2 </w:t>
            </w:r>
          </w:p>
        </w:tc>
        <w:tc>
          <w:tcPr>
            <w:tcW w:w="1018"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35,5 </w:t>
            </w:r>
          </w:p>
        </w:tc>
        <w:tc>
          <w:tcPr>
            <w:tcW w:w="1134"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b/>
                <w:sz w:val="20"/>
                <w:szCs w:val="20"/>
              </w:rPr>
            </w:pPr>
            <w:r w:rsidRPr="007A49EF">
              <w:rPr>
                <w:rFonts w:ascii="Arial" w:hAnsi="Arial" w:cs="Arial"/>
                <w:b/>
                <w:sz w:val="20"/>
                <w:szCs w:val="20"/>
              </w:rPr>
              <w:t xml:space="preserve">34,2 </w:t>
            </w:r>
          </w:p>
        </w:tc>
        <w:tc>
          <w:tcPr>
            <w:tcW w:w="683"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-1,2 </w:t>
            </w:r>
          </w:p>
        </w:tc>
        <w:tc>
          <w:tcPr>
            <w:tcW w:w="1134" w:type="dxa"/>
            <w:tcBorders>
              <w:top w:val="nil"/>
              <w:left w:val="nil"/>
              <w:bottom w:val="nil"/>
              <w:right w:val="double" w:sz="6"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96,5 </w:t>
            </w:r>
          </w:p>
        </w:tc>
      </w:tr>
      <w:tr w:rsidR="007A49EF" w:rsidRPr="00251317" w:rsidTr="00FF0509">
        <w:trPr>
          <w:trHeight w:val="284"/>
        </w:trPr>
        <w:tc>
          <w:tcPr>
            <w:tcW w:w="1663" w:type="dxa"/>
            <w:tcBorders>
              <w:top w:val="nil"/>
              <w:left w:val="double" w:sz="6" w:space="0" w:color="auto"/>
              <w:bottom w:val="nil"/>
              <w:right w:val="nil"/>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Jihomoravský</w:t>
            </w:r>
          </w:p>
        </w:tc>
        <w:tc>
          <w:tcPr>
            <w:tcW w:w="1031" w:type="dxa"/>
            <w:tcBorders>
              <w:top w:val="nil"/>
              <w:left w:val="single" w:sz="8" w:space="0" w:color="auto"/>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436,3 </w:t>
            </w:r>
          </w:p>
        </w:tc>
        <w:tc>
          <w:tcPr>
            <w:tcW w:w="1134"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b/>
                <w:sz w:val="20"/>
                <w:szCs w:val="20"/>
              </w:rPr>
            </w:pPr>
            <w:r w:rsidRPr="007A49EF">
              <w:rPr>
                <w:rFonts w:ascii="Arial" w:hAnsi="Arial" w:cs="Arial"/>
                <w:b/>
                <w:sz w:val="20"/>
                <w:szCs w:val="20"/>
              </w:rPr>
              <w:t>457,7</w:t>
            </w:r>
          </w:p>
        </w:tc>
        <w:tc>
          <w:tcPr>
            <w:tcW w:w="709"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21,4 </w:t>
            </w:r>
          </w:p>
        </w:tc>
        <w:tc>
          <w:tcPr>
            <w:tcW w:w="1134"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104,9 </w:t>
            </w:r>
          </w:p>
        </w:tc>
        <w:tc>
          <w:tcPr>
            <w:tcW w:w="1018"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96,6 </w:t>
            </w:r>
          </w:p>
        </w:tc>
        <w:tc>
          <w:tcPr>
            <w:tcW w:w="1134"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b/>
                <w:sz w:val="20"/>
                <w:szCs w:val="20"/>
              </w:rPr>
            </w:pPr>
            <w:r w:rsidRPr="007A49EF">
              <w:rPr>
                <w:rFonts w:ascii="Arial" w:hAnsi="Arial" w:cs="Arial"/>
                <w:b/>
                <w:sz w:val="20"/>
                <w:szCs w:val="20"/>
              </w:rPr>
              <w:t xml:space="preserve">96,8 </w:t>
            </w:r>
          </w:p>
        </w:tc>
        <w:tc>
          <w:tcPr>
            <w:tcW w:w="683"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0,2 </w:t>
            </w:r>
          </w:p>
        </w:tc>
        <w:tc>
          <w:tcPr>
            <w:tcW w:w="1134" w:type="dxa"/>
            <w:tcBorders>
              <w:top w:val="nil"/>
              <w:left w:val="nil"/>
              <w:bottom w:val="nil"/>
              <w:right w:val="double" w:sz="6"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100,2 </w:t>
            </w:r>
          </w:p>
        </w:tc>
      </w:tr>
      <w:tr w:rsidR="007A49EF" w:rsidRPr="00251317" w:rsidTr="00FF0509">
        <w:trPr>
          <w:trHeight w:val="284"/>
        </w:trPr>
        <w:tc>
          <w:tcPr>
            <w:tcW w:w="1663" w:type="dxa"/>
            <w:tcBorders>
              <w:top w:val="nil"/>
              <w:left w:val="double" w:sz="6" w:space="0" w:color="auto"/>
              <w:bottom w:val="nil"/>
              <w:right w:val="nil"/>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Olomoucký</w:t>
            </w:r>
          </w:p>
        </w:tc>
        <w:tc>
          <w:tcPr>
            <w:tcW w:w="1031" w:type="dxa"/>
            <w:tcBorders>
              <w:top w:val="nil"/>
              <w:left w:val="single" w:sz="8" w:space="0" w:color="auto"/>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240,5 </w:t>
            </w:r>
          </w:p>
        </w:tc>
        <w:tc>
          <w:tcPr>
            <w:tcW w:w="1134"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b/>
                <w:sz w:val="20"/>
                <w:szCs w:val="20"/>
              </w:rPr>
            </w:pPr>
            <w:r w:rsidRPr="007A49EF">
              <w:rPr>
                <w:rFonts w:ascii="Arial" w:hAnsi="Arial" w:cs="Arial"/>
                <w:b/>
                <w:sz w:val="20"/>
                <w:szCs w:val="20"/>
              </w:rPr>
              <w:t>239,2</w:t>
            </w:r>
          </w:p>
        </w:tc>
        <w:tc>
          <w:tcPr>
            <w:tcW w:w="709"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-1,3 </w:t>
            </w:r>
          </w:p>
        </w:tc>
        <w:tc>
          <w:tcPr>
            <w:tcW w:w="1134"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99,5 </w:t>
            </w:r>
          </w:p>
        </w:tc>
        <w:tc>
          <w:tcPr>
            <w:tcW w:w="1018"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47,9 </w:t>
            </w:r>
          </w:p>
        </w:tc>
        <w:tc>
          <w:tcPr>
            <w:tcW w:w="1134"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b/>
                <w:sz w:val="20"/>
                <w:szCs w:val="20"/>
              </w:rPr>
            </w:pPr>
            <w:r w:rsidRPr="007A49EF">
              <w:rPr>
                <w:rFonts w:ascii="Arial" w:hAnsi="Arial" w:cs="Arial"/>
                <w:b/>
                <w:sz w:val="20"/>
                <w:szCs w:val="20"/>
              </w:rPr>
              <w:t xml:space="preserve">40,2 </w:t>
            </w:r>
          </w:p>
        </w:tc>
        <w:tc>
          <w:tcPr>
            <w:tcW w:w="683"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-7,7 </w:t>
            </w:r>
          </w:p>
        </w:tc>
        <w:tc>
          <w:tcPr>
            <w:tcW w:w="1134" w:type="dxa"/>
            <w:tcBorders>
              <w:top w:val="nil"/>
              <w:left w:val="nil"/>
              <w:bottom w:val="nil"/>
              <w:right w:val="double" w:sz="6"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83,9 </w:t>
            </w:r>
          </w:p>
        </w:tc>
      </w:tr>
      <w:tr w:rsidR="007A49EF" w:rsidRPr="00251317" w:rsidTr="00FF0509">
        <w:trPr>
          <w:trHeight w:val="284"/>
        </w:trPr>
        <w:tc>
          <w:tcPr>
            <w:tcW w:w="1663" w:type="dxa"/>
            <w:tcBorders>
              <w:top w:val="nil"/>
              <w:left w:val="double" w:sz="6" w:space="0" w:color="auto"/>
              <w:bottom w:val="nil"/>
              <w:right w:val="nil"/>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Zlínský</w:t>
            </w:r>
          </w:p>
        </w:tc>
        <w:tc>
          <w:tcPr>
            <w:tcW w:w="1031" w:type="dxa"/>
            <w:tcBorders>
              <w:top w:val="nil"/>
              <w:left w:val="single" w:sz="8" w:space="0" w:color="auto"/>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225,4 </w:t>
            </w:r>
          </w:p>
        </w:tc>
        <w:tc>
          <w:tcPr>
            <w:tcW w:w="1134"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b/>
                <w:sz w:val="20"/>
                <w:szCs w:val="20"/>
              </w:rPr>
            </w:pPr>
            <w:r w:rsidRPr="007A49EF">
              <w:rPr>
                <w:rFonts w:ascii="Arial" w:hAnsi="Arial" w:cs="Arial"/>
                <w:b/>
                <w:sz w:val="20"/>
                <w:szCs w:val="20"/>
              </w:rPr>
              <w:t>230,2</w:t>
            </w:r>
          </w:p>
        </w:tc>
        <w:tc>
          <w:tcPr>
            <w:tcW w:w="709"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4,8 </w:t>
            </w:r>
          </w:p>
        </w:tc>
        <w:tc>
          <w:tcPr>
            <w:tcW w:w="1134"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102,1 </w:t>
            </w:r>
          </w:p>
        </w:tc>
        <w:tc>
          <w:tcPr>
            <w:tcW w:w="1018"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42,0 </w:t>
            </w:r>
          </w:p>
        </w:tc>
        <w:tc>
          <w:tcPr>
            <w:tcW w:w="1134"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b/>
                <w:sz w:val="20"/>
                <w:szCs w:val="20"/>
              </w:rPr>
            </w:pPr>
            <w:r w:rsidRPr="007A49EF">
              <w:rPr>
                <w:rFonts w:ascii="Arial" w:hAnsi="Arial" w:cs="Arial"/>
                <w:b/>
                <w:sz w:val="20"/>
                <w:szCs w:val="20"/>
              </w:rPr>
              <w:t xml:space="preserve">44,2 </w:t>
            </w:r>
          </w:p>
        </w:tc>
        <w:tc>
          <w:tcPr>
            <w:tcW w:w="683" w:type="dxa"/>
            <w:tcBorders>
              <w:top w:val="nil"/>
              <w:left w:val="nil"/>
              <w:bottom w:val="nil"/>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2,2 </w:t>
            </w:r>
          </w:p>
        </w:tc>
        <w:tc>
          <w:tcPr>
            <w:tcW w:w="1134" w:type="dxa"/>
            <w:tcBorders>
              <w:top w:val="nil"/>
              <w:left w:val="nil"/>
              <w:bottom w:val="nil"/>
              <w:right w:val="double" w:sz="6"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105,2 </w:t>
            </w:r>
          </w:p>
        </w:tc>
      </w:tr>
      <w:tr w:rsidR="007A49EF" w:rsidRPr="00251317" w:rsidTr="00FF0509">
        <w:trPr>
          <w:trHeight w:val="284"/>
        </w:trPr>
        <w:tc>
          <w:tcPr>
            <w:tcW w:w="1663" w:type="dxa"/>
            <w:tcBorders>
              <w:top w:val="nil"/>
              <w:left w:val="double" w:sz="6" w:space="0" w:color="auto"/>
              <w:bottom w:val="double" w:sz="6" w:space="0" w:color="auto"/>
              <w:right w:val="nil"/>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Moravskoslezský</w:t>
            </w:r>
          </w:p>
        </w:tc>
        <w:tc>
          <w:tcPr>
            <w:tcW w:w="1031" w:type="dxa"/>
            <w:tcBorders>
              <w:top w:val="nil"/>
              <w:left w:val="single" w:sz="8" w:space="0" w:color="auto"/>
              <w:bottom w:val="double" w:sz="6" w:space="0" w:color="auto"/>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465,1 </w:t>
            </w:r>
          </w:p>
        </w:tc>
        <w:tc>
          <w:tcPr>
            <w:tcW w:w="1134" w:type="dxa"/>
            <w:tcBorders>
              <w:top w:val="nil"/>
              <w:left w:val="nil"/>
              <w:bottom w:val="double" w:sz="6" w:space="0" w:color="auto"/>
              <w:right w:val="single" w:sz="8" w:space="0" w:color="auto"/>
            </w:tcBorders>
            <w:shd w:val="clear" w:color="auto" w:fill="auto"/>
            <w:noWrap/>
            <w:vAlign w:val="center"/>
          </w:tcPr>
          <w:p w:rsidR="007A49EF" w:rsidRPr="007A49EF" w:rsidRDefault="007A49EF" w:rsidP="007A49EF">
            <w:pPr>
              <w:jc w:val="right"/>
              <w:rPr>
                <w:rFonts w:ascii="Arial" w:hAnsi="Arial" w:cs="Arial"/>
                <w:b/>
                <w:sz w:val="20"/>
                <w:szCs w:val="20"/>
              </w:rPr>
            </w:pPr>
            <w:r w:rsidRPr="007A49EF">
              <w:rPr>
                <w:rFonts w:ascii="Arial" w:hAnsi="Arial" w:cs="Arial"/>
                <w:b/>
                <w:sz w:val="20"/>
                <w:szCs w:val="20"/>
              </w:rPr>
              <w:t>460,8</w:t>
            </w:r>
          </w:p>
        </w:tc>
        <w:tc>
          <w:tcPr>
            <w:tcW w:w="709" w:type="dxa"/>
            <w:tcBorders>
              <w:top w:val="nil"/>
              <w:left w:val="nil"/>
              <w:bottom w:val="double" w:sz="6" w:space="0" w:color="auto"/>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-4,2 </w:t>
            </w:r>
          </w:p>
        </w:tc>
        <w:tc>
          <w:tcPr>
            <w:tcW w:w="1134" w:type="dxa"/>
            <w:tcBorders>
              <w:top w:val="nil"/>
              <w:left w:val="nil"/>
              <w:bottom w:val="double" w:sz="6" w:space="0" w:color="auto"/>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99,1 </w:t>
            </w:r>
          </w:p>
        </w:tc>
        <w:tc>
          <w:tcPr>
            <w:tcW w:w="1018" w:type="dxa"/>
            <w:tcBorders>
              <w:top w:val="nil"/>
              <w:left w:val="nil"/>
              <w:bottom w:val="double" w:sz="6" w:space="0" w:color="auto"/>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76,2 </w:t>
            </w:r>
          </w:p>
        </w:tc>
        <w:tc>
          <w:tcPr>
            <w:tcW w:w="1134" w:type="dxa"/>
            <w:tcBorders>
              <w:top w:val="nil"/>
              <w:left w:val="nil"/>
              <w:bottom w:val="double" w:sz="6" w:space="0" w:color="auto"/>
              <w:right w:val="single" w:sz="8" w:space="0" w:color="auto"/>
            </w:tcBorders>
            <w:shd w:val="clear" w:color="auto" w:fill="auto"/>
            <w:noWrap/>
            <w:vAlign w:val="center"/>
          </w:tcPr>
          <w:p w:rsidR="007A49EF" w:rsidRPr="007A49EF" w:rsidRDefault="007A49EF" w:rsidP="007A49EF">
            <w:pPr>
              <w:jc w:val="right"/>
              <w:rPr>
                <w:rFonts w:ascii="Arial" w:hAnsi="Arial" w:cs="Arial"/>
                <w:b/>
                <w:sz w:val="20"/>
                <w:szCs w:val="20"/>
              </w:rPr>
            </w:pPr>
            <w:r w:rsidRPr="007A49EF">
              <w:rPr>
                <w:rFonts w:ascii="Arial" w:hAnsi="Arial" w:cs="Arial"/>
                <w:b/>
                <w:sz w:val="20"/>
                <w:szCs w:val="20"/>
              </w:rPr>
              <w:t xml:space="preserve">80,1 </w:t>
            </w:r>
          </w:p>
        </w:tc>
        <w:tc>
          <w:tcPr>
            <w:tcW w:w="683" w:type="dxa"/>
            <w:tcBorders>
              <w:top w:val="nil"/>
              <w:left w:val="nil"/>
              <w:bottom w:val="double" w:sz="6" w:space="0" w:color="auto"/>
              <w:right w:val="single" w:sz="8"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3,9 </w:t>
            </w:r>
          </w:p>
        </w:tc>
        <w:tc>
          <w:tcPr>
            <w:tcW w:w="1134" w:type="dxa"/>
            <w:tcBorders>
              <w:top w:val="nil"/>
              <w:left w:val="nil"/>
              <w:bottom w:val="double" w:sz="6" w:space="0" w:color="auto"/>
              <w:right w:val="double" w:sz="6"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105,2 </w:t>
            </w:r>
          </w:p>
        </w:tc>
      </w:tr>
    </w:tbl>
    <w:p w:rsidR="007A49EF" w:rsidRPr="00251317" w:rsidRDefault="007A49EF" w:rsidP="007A49EF">
      <w:pPr>
        <w:tabs>
          <w:tab w:val="center" w:pos="720"/>
        </w:tabs>
        <w:spacing w:line="360" w:lineRule="auto"/>
        <w:jc w:val="both"/>
        <w:rPr>
          <w:rFonts w:ascii="Arial" w:hAnsi="Arial" w:cs="Arial"/>
          <w:i/>
          <w:iCs/>
          <w:sz w:val="18"/>
          <w:szCs w:val="18"/>
        </w:rPr>
      </w:pPr>
      <w:r w:rsidRPr="00251317">
        <w:rPr>
          <w:rFonts w:ascii="Arial" w:hAnsi="Arial" w:cs="Arial"/>
          <w:sz w:val="18"/>
          <w:szCs w:val="18"/>
        </w:rPr>
        <w:t xml:space="preserve"> </w:t>
      </w:r>
      <w:r w:rsidRPr="00251317">
        <w:rPr>
          <w:rFonts w:ascii="Arial" w:hAnsi="Arial" w:cs="Arial"/>
          <w:i/>
          <w:iCs/>
          <w:sz w:val="18"/>
          <w:szCs w:val="18"/>
        </w:rPr>
        <w:t>Zdroj: ČSÚ – VŠPS</w:t>
      </w:r>
    </w:p>
    <w:p w:rsidR="007A49EF" w:rsidRPr="00251317" w:rsidRDefault="007A49EF" w:rsidP="007A49EF">
      <w:pPr>
        <w:tabs>
          <w:tab w:val="center" w:pos="720"/>
        </w:tabs>
        <w:ind w:firstLine="720"/>
        <w:jc w:val="both"/>
        <w:rPr>
          <w:rFonts w:ascii="Arial" w:hAnsi="Arial" w:cs="Arial"/>
        </w:rPr>
      </w:pPr>
    </w:p>
    <w:p w:rsidR="007A49EF" w:rsidRPr="00251317" w:rsidRDefault="007A49EF" w:rsidP="007A49EF">
      <w:pPr>
        <w:tabs>
          <w:tab w:val="center" w:pos="720"/>
        </w:tabs>
        <w:spacing w:line="360" w:lineRule="auto"/>
        <w:ind w:firstLine="720"/>
        <w:jc w:val="both"/>
        <w:rPr>
          <w:rFonts w:ascii="Arial" w:hAnsi="Arial" w:cs="Arial"/>
        </w:rPr>
      </w:pPr>
      <w:r w:rsidRPr="00251317">
        <w:rPr>
          <w:rFonts w:ascii="Arial" w:hAnsi="Arial" w:cs="Arial"/>
        </w:rPr>
        <w:t xml:space="preserve">Souběžně s hlavním zaměstnáním pracovalo </w:t>
      </w:r>
      <w:r w:rsidRPr="00251317">
        <w:rPr>
          <w:rFonts w:ascii="Arial" w:hAnsi="Arial" w:cs="Arial"/>
          <w:b/>
          <w:bCs/>
        </w:rPr>
        <w:t xml:space="preserve">ve druhém </w:t>
      </w:r>
      <w:r w:rsidRPr="00251317">
        <w:rPr>
          <w:rFonts w:ascii="Arial" w:hAnsi="Arial" w:cs="Arial"/>
          <w:bCs/>
        </w:rPr>
        <w:t>(dalším)</w:t>
      </w:r>
      <w:r w:rsidRPr="00251317">
        <w:rPr>
          <w:rFonts w:ascii="Arial" w:hAnsi="Arial" w:cs="Arial"/>
          <w:b/>
          <w:bCs/>
        </w:rPr>
        <w:t xml:space="preserve"> zaměstnání</w:t>
      </w:r>
      <w:r w:rsidRPr="00251317">
        <w:rPr>
          <w:rFonts w:ascii="Arial" w:hAnsi="Arial" w:cs="Arial"/>
        </w:rPr>
        <w:t xml:space="preserve"> </w:t>
      </w:r>
      <w:r w:rsidRPr="00251317">
        <w:rPr>
          <w:rFonts w:ascii="Arial" w:hAnsi="Arial" w:cs="Arial"/>
          <w:b/>
          <w:bCs/>
        </w:rPr>
        <w:t>11</w:t>
      </w:r>
      <w:r>
        <w:rPr>
          <w:rFonts w:ascii="Arial" w:hAnsi="Arial" w:cs="Arial"/>
          <w:b/>
          <w:bCs/>
        </w:rPr>
        <w:t>3</w:t>
      </w:r>
      <w:r w:rsidRPr="00251317">
        <w:rPr>
          <w:rFonts w:ascii="Arial" w:hAnsi="Arial" w:cs="Arial"/>
          <w:b/>
          <w:bCs/>
        </w:rPr>
        <w:t xml:space="preserve">,9 tis. osob, </w:t>
      </w:r>
      <w:r w:rsidRPr="006F4828">
        <w:rPr>
          <w:rFonts w:ascii="Arial" w:hAnsi="Arial" w:cs="Arial"/>
          <w:b/>
          <w:bCs/>
        </w:rPr>
        <w:t>58,3 %</w:t>
      </w:r>
      <w:r>
        <w:rPr>
          <w:rFonts w:ascii="Arial" w:hAnsi="Arial" w:cs="Arial"/>
          <w:b/>
          <w:bCs/>
        </w:rPr>
        <w:t xml:space="preserve"> </w:t>
      </w:r>
      <w:r w:rsidRPr="00FB0080">
        <w:rPr>
          <w:rFonts w:ascii="Arial" w:hAnsi="Arial" w:cs="Arial"/>
          <w:bCs/>
        </w:rPr>
        <w:t>z nich</w:t>
      </w:r>
      <w:r>
        <w:rPr>
          <w:rFonts w:ascii="Arial" w:hAnsi="Arial" w:cs="Arial"/>
          <w:b/>
          <w:bCs/>
        </w:rPr>
        <w:t xml:space="preserve"> tvoří</w:t>
      </w:r>
      <w:r w:rsidRPr="00251317">
        <w:rPr>
          <w:rFonts w:ascii="Arial" w:hAnsi="Arial" w:cs="Arial"/>
          <w:b/>
          <w:bCs/>
        </w:rPr>
        <w:t xml:space="preserve"> muži </w:t>
      </w:r>
      <w:r w:rsidRPr="00251317">
        <w:rPr>
          <w:rFonts w:ascii="Arial" w:hAnsi="Arial" w:cs="Arial"/>
          <w:bCs/>
        </w:rPr>
        <w:t>(</w:t>
      </w:r>
      <w:r>
        <w:rPr>
          <w:rFonts w:ascii="Arial" w:hAnsi="Arial" w:cs="Arial"/>
          <w:bCs/>
        </w:rPr>
        <w:t xml:space="preserve">pokles </w:t>
      </w:r>
      <w:r w:rsidRPr="00251317">
        <w:rPr>
          <w:rFonts w:ascii="Arial" w:hAnsi="Arial" w:cs="Arial"/>
          <w:bCs/>
        </w:rPr>
        <w:t>o 1,</w:t>
      </w:r>
      <w:r>
        <w:rPr>
          <w:rFonts w:ascii="Arial" w:hAnsi="Arial" w:cs="Arial"/>
          <w:bCs/>
        </w:rPr>
        <w:t>7</w:t>
      </w:r>
      <w:r w:rsidRPr="00251317">
        <w:rPr>
          <w:rFonts w:ascii="Arial" w:hAnsi="Arial" w:cs="Arial"/>
          <w:bCs/>
        </w:rPr>
        <w:t> p. b.).</w:t>
      </w:r>
      <w:r w:rsidRPr="00251317">
        <w:rPr>
          <w:rFonts w:ascii="Arial" w:hAnsi="Arial" w:cs="Arial"/>
        </w:rPr>
        <w:t xml:space="preserve"> Četnost této kategorie </w:t>
      </w:r>
      <w:r w:rsidRPr="00251317">
        <w:rPr>
          <w:rFonts w:ascii="Arial" w:hAnsi="Arial" w:cs="Arial"/>
          <w:b/>
        </w:rPr>
        <w:t xml:space="preserve">se </w:t>
      </w:r>
      <w:r w:rsidRPr="00251317">
        <w:rPr>
          <w:rFonts w:ascii="Arial" w:hAnsi="Arial" w:cs="Arial"/>
        </w:rPr>
        <w:t>(na rozdíl od 1. pololetí 2012, kdy poklesla o</w:t>
      </w:r>
      <w:r>
        <w:rPr>
          <w:rFonts w:ascii="Arial" w:hAnsi="Arial" w:cs="Arial"/>
        </w:rPr>
        <w:t> </w:t>
      </w:r>
      <w:r w:rsidRPr="00251317">
        <w:rPr>
          <w:rFonts w:ascii="Arial" w:hAnsi="Arial" w:cs="Arial"/>
        </w:rPr>
        <w:t>5,5 tis.)</w:t>
      </w:r>
      <w:r w:rsidRPr="00251317">
        <w:rPr>
          <w:rFonts w:ascii="Arial" w:hAnsi="Arial" w:cs="Arial"/>
          <w:b/>
        </w:rPr>
        <w:t xml:space="preserve"> zvýšila o 12,3 tis. osob </w:t>
      </w:r>
      <w:r w:rsidRPr="00251317">
        <w:rPr>
          <w:rFonts w:ascii="Arial" w:hAnsi="Arial" w:cs="Arial"/>
        </w:rPr>
        <w:t xml:space="preserve">(počet mužů vzrostl o 5,4 tis., počet žen o 6,9 tis.). </w:t>
      </w:r>
    </w:p>
    <w:p w:rsidR="007A49EF" w:rsidRDefault="007A49EF" w:rsidP="007A49EF">
      <w:pPr>
        <w:autoSpaceDE w:val="0"/>
        <w:autoSpaceDN w:val="0"/>
        <w:adjustRightInd w:val="0"/>
        <w:spacing w:line="360" w:lineRule="auto"/>
        <w:ind w:firstLine="720"/>
        <w:jc w:val="both"/>
        <w:rPr>
          <w:rFonts w:ascii="Arial" w:hAnsi="Arial" w:cs="Arial"/>
          <w:b/>
          <w:bCs/>
        </w:rPr>
      </w:pPr>
      <w:r w:rsidRPr="00251317">
        <w:rPr>
          <w:rFonts w:ascii="Arial" w:hAnsi="Arial" w:cs="Arial"/>
          <w:b/>
          <w:bCs/>
        </w:rPr>
        <w:t>Ekonomické postavení</w:t>
      </w:r>
      <w:r w:rsidRPr="00251317">
        <w:rPr>
          <w:rFonts w:ascii="Arial" w:hAnsi="Arial" w:cs="Arial"/>
        </w:rPr>
        <w:t xml:space="preserve"> osob v druhém zaměstnání </w:t>
      </w:r>
      <w:r w:rsidRPr="00251317">
        <w:rPr>
          <w:rFonts w:ascii="Arial" w:hAnsi="Arial" w:cs="Arial"/>
          <w:b/>
          <w:bCs/>
        </w:rPr>
        <w:t>je odlišné</w:t>
      </w:r>
      <w:r w:rsidRPr="00251317">
        <w:rPr>
          <w:rFonts w:ascii="Arial" w:hAnsi="Arial" w:cs="Arial"/>
        </w:rPr>
        <w:t xml:space="preserve"> od struktury v hlavním zaměstnání. </w:t>
      </w:r>
      <w:r w:rsidRPr="00251317">
        <w:rPr>
          <w:rFonts w:ascii="Arial" w:hAnsi="Arial" w:cs="Arial"/>
          <w:b/>
        </w:rPr>
        <w:t>Převažovali podnikatelé</w:t>
      </w:r>
      <w:r w:rsidRPr="00251317">
        <w:rPr>
          <w:rFonts w:ascii="Arial" w:hAnsi="Arial" w:cs="Arial"/>
        </w:rPr>
        <w:t xml:space="preserve"> (včetně pomáhajících rodinných příslušníků), jejich </w:t>
      </w:r>
      <w:r w:rsidRPr="00251317">
        <w:rPr>
          <w:rFonts w:ascii="Arial" w:hAnsi="Arial" w:cs="Arial"/>
          <w:b/>
        </w:rPr>
        <w:t xml:space="preserve">počet </w:t>
      </w:r>
      <w:r w:rsidRPr="00251317">
        <w:rPr>
          <w:rFonts w:ascii="Arial" w:hAnsi="Arial" w:cs="Arial"/>
        </w:rPr>
        <w:t xml:space="preserve">meziročně </w:t>
      </w:r>
      <w:r w:rsidRPr="00251317">
        <w:rPr>
          <w:rFonts w:ascii="Arial" w:hAnsi="Arial" w:cs="Arial"/>
          <w:b/>
        </w:rPr>
        <w:t xml:space="preserve">vzrostl </w:t>
      </w:r>
      <w:r w:rsidRPr="00251317">
        <w:rPr>
          <w:rFonts w:ascii="Arial" w:hAnsi="Arial" w:cs="Arial"/>
        </w:rPr>
        <w:t>(z 57,9 tis.)</w:t>
      </w:r>
      <w:r w:rsidRPr="00251317">
        <w:rPr>
          <w:rFonts w:ascii="Arial" w:hAnsi="Arial" w:cs="Arial"/>
          <w:b/>
        </w:rPr>
        <w:t xml:space="preserve"> na 67,1 tis. a podíl </w:t>
      </w:r>
      <w:r w:rsidRPr="00251317">
        <w:rPr>
          <w:rFonts w:ascii="Arial" w:hAnsi="Arial" w:cs="Arial"/>
        </w:rPr>
        <w:t>(z 56,9 %)</w:t>
      </w:r>
      <w:r w:rsidRPr="00251317">
        <w:rPr>
          <w:rFonts w:ascii="Arial" w:hAnsi="Arial" w:cs="Arial"/>
          <w:b/>
        </w:rPr>
        <w:t xml:space="preserve"> na </w:t>
      </w:r>
      <w:r w:rsidRPr="00251317">
        <w:rPr>
          <w:rFonts w:ascii="Arial" w:hAnsi="Arial" w:cs="Arial"/>
          <w:b/>
          <w:bCs/>
        </w:rPr>
        <w:t>58,9 %</w:t>
      </w:r>
      <w:r w:rsidRPr="00251317">
        <w:rPr>
          <w:rFonts w:ascii="Arial" w:hAnsi="Arial" w:cs="Arial"/>
          <w:bCs/>
        </w:rPr>
        <w:t>.</w:t>
      </w:r>
      <w:r w:rsidRPr="00251317">
        <w:rPr>
          <w:rFonts w:ascii="Arial" w:hAnsi="Arial" w:cs="Arial"/>
        </w:rPr>
        <w:t xml:space="preserve"> </w:t>
      </w:r>
      <w:r w:rsidRPr="00251317">
        <w:rPr>
          <w:rFonts w:ascii="Arial" w:hAnsi="Arial" w:cs="Arial"/>
          <w:b/>
          <w:bCs/>
        </w:rPr>
        <w:t>Počet zaměstnanců</w:t>
      </w:r>
      <w:r w:rsidRPr="00251317">
        <w:rPr>
          <w:rFonts w:ascii="Arial" w:hAnsi="Arial" w:cs="Arial"/>
        </w:rPr>
        <w:t xml:space="preserve"> </w:t>
      </w:r>
      <w:r w:rsidRPr="00251317">
        <w:rPr>
          <w:rFonts w:ascii="Arial" w:hAnsi="Arial" w:cs="Arial"/>
          <w:b/>
        </w:rPr>
        <w:t xml:space="preserve">poklesl </w:t>
      </w:r>
      <w:r w:rsidRPr="00251317">
        <w:rPr>
          <w:rFonts w:ascii="Arial" w:hAnsi="Arial" w:cs="Arial"/>
        </w:rPr>
        <w:t xml:space="preserve">(ze 43,7 tis.) </w:t>
      </w:r>
      <w:r w:rsidRPr="00251317">
        <w:rPr>
          <w:rFonts w:ascii="Arial" w:hAnsi="Arial" w:cs="Arial"/>
          <w:b/>
        </w:rPr>
        <w:t xml:space="preserve">na 46,8 tis. </w:t>
      </w:r>
      <w:r w:rsidRPr="00251317">
        <w:rPr>
          <w:rFonts w:ascii="Arial" w:hAnsi="Arial" w:cs="Arial"/>
        </w:rPr>
        <w:t xml:space="preserve">a jejich </w:t>
      </w:r>
      <w:r w:rsidRPr="00251317">
        <w:rPr>
          <w:rFonts w:ascii="Arial" w:hAnsi="Arial" w:cs="Arial"/>
          <w:b/>
        </w:rPr>
        <w:t xml:space="preserve">podíl </w:t>
      </w:r>
      <w:r w:rsidRPr="00251317">
        <w:rPr>
          <w:rFonts w:ascii="Arial" w:hAnsi="Arial" w:cs="Arial"/>
        </w:rPr>
        <w:t xml:space="preserve">(z 43,1 %) </w:t>
      </w:r>
      <w:r w:rsidRPr="00251317">
        <w:rPr>
          <w:rFonts w:ascii="Arial" w:hAnsi="Arial" w:cs="Arial"/>
          <w:b/>
        </w:rPr>
        <w:t xml:space="preserve">na </w:t>
      </w:r>
      <w:r w:rsidRPr="00251317">
        <w:rPr>
          <w:rFonts w:ascii="Arial" w:hAnsi="Arial" w:cs="Arial"/>
          <w:b/>
          <w:bCs/>
        </w:rPr>
        <w:t xml:space="preserve">41,1 %. </w:t>
      </w:r>
    </w:p>
    <w:p w:rsidR="007A49EF" w:rsidRPr="00251317" w:rsidRDefault="007A49EF" w:rsidP="007A49EF">
      <w:pPr>
        <w:autoSpaceDE w:val="0"/>
        <w:autoSpaceDN w:val="0"/>
        <w:adjustRightInd w:val="0"/>
        <w:spacing w:line="360" w:lineRule="auto"/>
        <w:ind w:firstLine="720"/>
        <w:jc w:val="both"/>
        <w:rPr>
          <w:rFonts w:ascii="Arial" w:hAnsi="Arial" w:cs="Arial"/>
          <w:b/>
          <w:bCs/>
        </w:rPr>
      </w:pPr>
    </w:p>
    <w:p w:rsidR="007A49EF" w:rsidRPr="00251317" w:rsidRDefault="007A49EF" w:rsidP="007A49EF">
      <w:pPr>
        <w:pStyle w:val="Styl2"/>
        <w:tabs>
          <w:tab w:val="num" w:pos="900"/>
        </w:tabs>
        <w:rPr>
          <w:color w:val="auto"/>
        </w:rPr>
      </w:pPr>
      <w:bookmarkStart w:id="55" w:name="_Toc53888301"/>
      <w:bookmarkStart w:id="56" w:name="_Toc53888564"/>
      <w:bookmarkStart w:id="57" w:name="_Toc69281067"/>
      <w:bookmarkStart w:id="58" w:name="_Toc71015619"/>
      <w:bookmarkStart w:id="59" w:name="_Toc85008444"/>
      <w:bookmarkStart w:id="60" w:name="_Toc101149458"/>
      <w:bookmarkStart w:id="61" w:name="_Toc102269847"/>
      <w:bookmarkStart w:id="62" w:name="_Toc116354705"/>
      <w:bookmarkStart w:id="63" w:name="_Toc116354794"/>
      <w:bookmarkStart w:id="64" w:name="_Toc116355030"/>
      <w:bookmarkStart w:id="65" w:name="_Toc149033456"/>
      <w:bookmarkStart w:id="66" w:name="_Toc179787902"/>
      <w:bookmarkStart w:id="67" w:name="_Toc211067150"/>
      <w:bookmarkStart w:id="68" w:name="_Toc258997888"/>
      <w:bookmarkStart w:id="69" w:name="_Toc274310690"/>
      <w:bookmarkStart w:id="70" w:name="_Toc372530187"/>
      <w:r w:rsidRPr="00251317">
        <w:rPr>
          <w:color w:val="auto"/>
        </w:rPr>
        <w:lastRenderedPageBreak/>
        <w:t>Struktura zaměstnanosti</w:t>
      </w:r>
      <w:bookmarkEnd w:id="55"/>
      <w:bookmarkEnd w:id="56"/>
      <w:bookmarkEnd w:id="57"/>
      <w:bookmarkEnd w:id="58"/>
      <w:bookmarkEnd w:id="59"/>
      <w:bookmarkEnd w:id="60"/>
      <w:bookmarkEnd w:id="61"/>
      <w:bookmarkEnd w:id="62"/>
      <w:bookmarkEnd w:id="63"/>
      <w:bookmarkEnd w:id="64"/>
      <w:bookmarkEnd w:id="65"/>
      <w:bookmarkEnd w:id="66"/>
      <w:r w:rsidRPr="00251317">
        <w:rPr>
          <w:color w:val="auto"/>
        </w:rPr>
        <w:t xml:space="preserve"> v sektorech, odvětvích a podle zaměstnání</w:t>
      </w:r>
      <w:bookmarkEnd w:id="67"/>
      <w:bookmarkEnd w:id="68"/>
      <w:bookmarkEnd w:id="69"/>
      <w:bookmarkEnd w:id="70"/>
    </w:p>
    <w:p w:rsidR="007A49EF" w:rsidRPr="00251317" w:rsidRDefault="007A49EF" w:rsidP="007A49EF">
      <w:pPr>
        <w:tabs>
          <w:tab w:val="center" w:pos="720"/>
        </w:tabs>
        <w:ind w:left="1080"/>
        <w:rPr>
          <w:rFonts w:ascii="Arial" w:hAnsi="Arial" w:cs="Arial"/>
        </w:rPr>
      </w:pPr>
    </w:p>
    <w:p w:rsidR="007A49EF" w:rsidRPr="00414182" w:rsidRDefault="007A49EF" w:rsidP="007A49EF">
      <w:pPr>
        <w:spacing w:line="360" w:lineRule="auto"/>
        <w:ind w:firstLine="720"/>
        <w:jc w:val="both"/>
        <w:rPr>
          <w:rFonts w:ascii="Arial" w:hAnsi="Arial" w:cs="Arial"/>
        </w:rPr>
      </w:pPr>
      <w:r w:rsidRPr="00251317">
        <w:rPr>
          <w:rFonts w:ascii="Arial" w:hAnsi="Arial" w:cs="Arial"/>
        </w:rPr>
        <w:t xml:space="preserve">Pokles zaměstnanosti </w:t>
      </w:r>
      <w:r w:rsidRPr="00251317">
        <w:rPr>
          <w:rFonts w:ascii="Arial" w:hAnsi="Arial" w:cs="Arial"/>
          <w:b/>
        </w:rPr>
        <w:t>v primárním sektoru</w:t>
      </w:r>
      <w:r w:rsidRPr="00251317">
        <w:rPr>
          <w:rFonts w:ascii="Arial" w:hAnsi="Arial" w:cs="Arial"/>
        </w:rPr>
        <w:t xml:space="preserve"> byl ve 2. pololetí 2012 vystřídán růstem, který pokračoval i v 1. pololetí 2013. Zaměstnanost meziročně </w:t>
      </w:r>
      <w:r w:rsidRPr="00251317">
        <w:rPr>
          <w:rFonts w:ascii="Arial" w:hAnsi="Arial" w:cs="Arial"/>
          <w:b/>
        </w:rPr>
        <w:t>vzrostla</w:t>
      </w:r>
      <w:r w:rsidRPr="00251317">
        <w:rPr>
          <w:rFonts w:ascii="Arial" w:hAnsi="Arial" w:cs="Arial"/>
        </w:rPr>
        <w:t xml:space="preserve"> (o 9,1 tis.) </w:t>
      </w:r>
      <w:r w:rsidRPr="00251317">
        <w:rPr>
          <w:rFonts w:ascii="Arial" w:hAnsi="Arial" w:cs="Arial"/>
          <w:b/>
        </w:rPr>
        <w:t>na 152,3 tis. osob</w:t>
      </w:r>
      <w:r>
        <w:rPr>
          <w:rFonts w:ascii="Arial" w:hAnsi="Arial" w:cs="Arial"/>
          <w:b/>
        </w:rPr>
        <w:t xml:space="preserve">, </w:t>
      </w:r>
      <w:r w:rsidRPr="00F65F3E">
        <w:rPr>
          <w:rFonts w:ascii="Arial" w:hAnsi="Arial" w:cs="Arial"/>
        </w:rPr>
        <w:t xml:space="preserve">nejvíce v Ústeckém kraji </w:t>
      </w:r>
      <w:r>
        <w:rPr>
          <w:rFonts w:ascii="Arial" w:hAnsi="Arial" w:cs="Arial"/>
        </w:rPr>
        <w:t xml:space="preserve">(o 4,2 tis.) </w:t>
      </w:r>
      <w:r w:rsidRPr="00F65F3E">
        <w:rPr>
          <w:rFonts w:ascii="Arial" w:hAnsi="Arial" w:cs="Arial"/>
        </w:rPr>
        <w:t>a v Kraji Vysočina</w:t>
      </w:r>
      <w:r>
        <w:rPr>
          <w:rFonts w:ascii="Arial" w:hAnsi="Arial" w:cs="Arial"/>
        </w:rPr>
        <w:t xml:space="preserve"> (o 4,1 tis.)</w:t>
      </w:r>
      <w:r w:rsidRPr="00251317">
        <w:rPr>
          <w:rFonts w:ascii="Arial" w:hAnsi="Arial" w:cs="Arial"/>
        </w:rPr>
        <w:t xml:space="preserve">. </w:t>
      </w:r>
      <w:r w:rsidRPr="00251317">
        <w:rPr>
          <w:rFonts w:ascii="Arial" w:hAnsi="Arial" w:cs="Arial"/>
          <w:b/>
        </w:rPr>
        <w:t>Podíl</w:t>
      </w:r>
      <w:r w:rsidRPr="00251317">
        <w:rPr>
          <w:rFonts w:ascii="Arial" w:hAnsi="Arial" w:cs="Arial"/>
        </w:rPr>
        <w:t xml:space="preserve"> tohoto sektoru </w:t>
      </w:r>
      <w:r w:rsidR="00AF5F29" w:rsidRPr="00414182">
        <w:rPr>
          <w:rFonts w:ascii="Arial" w:hAnsi="Arial" w:cs="Arial"/>
        </w:rPr>
        <w:t>vzrostl</w:t>
      </w:r>
      <w:r w:rsidRPr="00414182">
        <w:rPr>
          <w:rFonts w:ascii="Arial" w:hAnsi="Arial" w:cs="Arial"/>
        </w:rPr>
        <w:t xml:space="preserve"> </w:t>
      </w:r>
      <w:r w:rsidR="00AF5F29" w:rsidRPr="00414182">
        <w:rPr>
          <w:rFonts w:ascii="Arial" w:hAnsi="Arial" w:cs="Arial"/>
        </w:rPr>
        <w:t xml:space="preserve">o 0,2 p. b. </w:t>
      </w:r>
      <w:r w:rsidRPr="00414182">
        <w:rPr>
          <w:rFonts w:ascii="Arial" w:hAnsi="Arial" w:cs="Arial"/>
          <w:b/>
        </w:rPr>
        <w:t>na 3,1 %.</w:t>
      </w:r>
      <w:r w:rsidRPr="00414182">
        <w:rPr>
          <w:rFonts w:ascii="Arial" w:hAnsi="Arial" w:cs="Arial"/>
        </w:rPr>
        <w:t xml:space="preserve"> </w:t>
      </w:r>
    </w:p>
    <w:p w:rsidR="007A49EF" w:rsidRPr="00414182" w:rsidRDefault="007A49EF" w:rsidP="007A49EF">
      <w:pPr>
        <w:tabs>
          <w:tab w:val="center" w:pos="720"/>
        </w:tabs>
        <w:spacing w:line="360" w:lineRule="auto"/>
        <w:ind w:firstLine="720"/>
        <w:jc w:val="both"/>
        <w:rPr>
          <w:rFonts w:ascii="Arial" w:hAnsi="Arial" w:cs="Arial"/>
        </w:rPr>
      </w:pPr>
      <w:r w:rsidRPr="00414182">
        <w:rPr>
          <w:rFonts w:ascii="Arial" w:hAnsi="Arial" w:cs="Arial"/>
          <w:b/>
        </w:rPr>
        <w:t xml:space="preserve">V sekundárním sektoru </w:t>
      </w:r>
      <w:r w:rsidRPr="00414182">
        <w:rPr>
          <w:rFonts w:ascii="Arial" w:hAnsi="Arial" w:cs="Arial"/>
        </w:rPr>
        <w:t xml:space="preserve">(průmysl a stavebnictví) </w:t>
      </w:r>
      <w:r w:rsidRPr="00414182">
        <w:rPr>
          <w:rFonts w:ascii="Arial" w:hAnsi="Arial" w:cs="Arial"/>
          <w:b/>
          <w:bCs/>
        </w:rPr>
        <w:t xml:space="preserve">zaměstnanost meziročně poklesla </w:t>
      </w:r>
      <w:r w:rsidRPr="00414182">
        <w:rPr>
          <w:rFonts w:ascii="Arial" w:hAnsi="Arial" w:cs="Arial"/>
          <w:bCs/>
        </w:rPr>
        <w:t xml:space="preserve">(o 19,4 tis.) </w:t>
      </w:r>
      <w:r w:rsidRPr="00414182">
        <w:rPr>
          <w:rFonts w:ascii="Arial" w:hAnsi="Arial" w:cs="Arial"/>
          <w:b/>
          <w:bCs/>
        </w:rPr>
        <w:t>na 1 837,8 tis. osob</w:t>
      </w:r>
      <w:r w:rsidRPr="00414182">
        <w:rPr>
          <w:rFonts w:ascii="Arial" w:hAnsi="Arial" w:cs="Arial"/>
          <w:bCs/>
        </w:rPr>
        <w:t xml:space="preserve">. </w:t>
      </w:r>
      <w:r w:rsidRPr="00414182">
        <w:rPr>
          <w:rFonts w:ascii="Arial" w:hAnsi="Arial" w:cs="Arial"/>
          <w:b/>
          <w:bCs/>
        </w:rPr>
        <w:t xml:space="preserve">Podíl </w:t>
      </w:r>
      <w:r w:rsidRPr="00414182">
        <w:rPr>
          <w:rFonts w:ascii="Arial" w:hAnsi="Arial" w:cs="Arial"/>
        </w:rPr>
        <w:t xml:space="preserve">tohoto sektoru </w:t>
      </w:r>
      <w:r w:rsidRPr="00414182">
        <w:rPr>
          <w:rFonts w:ascii="Arial" w:hAnsi="Arial" w:cs="Arial"/>
          <w:b/>
          <w:bCs/>
        </w:rPr>
        <w:t xml:space="preserve">poklesl </w:t>
      </w:r>
      <w:r w:rsidRPr="00414182">
        <w:rPr>
          <w:rFonts w:ascii="Arial" w:hAnsi="Arial" w:cs="Arial"/>
          <w:bCs/>
        </w:rPr>
        <w:t>o 0,</w:t>
      </w:r>
      <w:r w:rsidR="00F97704">
        <w:rPr>
          <w:rFonts w:ascii="Arial" w:hAnsi="Arial" w:cs="Arial"/>
          <w:bCs/>
        </w:rPr>
        <w:t>8</w:t>
      </w:r>
      <w:r w:rsidRPr="00414182">
        <w:rPr>
          <w:rFonts w:ascii="Arial" w:hAnsi="Arial" w:cs="Arial"/>
          <w:bCs/>
        </w:rPr>
        <w:t> </w:t>
      </w:r>
      <w:r w:rsidRPr="00414182">
        <w:rPr>
          <w:rFonts w:ascii="Arial" w:hAnsi="Arial" w:cs="Arial"/>
        </w:rPr>
        <w:t xml:space="preserve">p. b. </w:t>
      </w:r>
      <w:r w:rsidRPr="00414182">
        <w:rPr>
          <w:rFonts w:ascii="Arial" w:hAnsi="Arial" w:cs="Arial"/>
          <w:b/>
          <w:bCs/>
        </w:rPr>
        <w:t xml:space="preserve">na 37,4 %. </w:t>
      </w:r>
      <w:r w:rsidRPr="00414182">
        <w:rPr>
          <w:rFonts w:ascii="Arial" w:hAnsi="Arial" w:cs="Arial"/>
          <w:b/>
        </w:rPr>
        <w:t xml:space="preserve">Na poklesu </w:t>
      </w:r>
      <w:r w:rsidRPr="00414182">
        <w:rPr>
          <w:rFonts w:ascii="Arial" w:hAnsi="Arial" w:cs="Arial"/>
        </w:rPr>
        <w:t xml:space="preserve">se podílel téměř stejně </w:t>
      </w:r>
      <w:r w:rsidRPr="00414182">
        <w:rPr>
          <w:rFonts w:ascii="Arial" w:hAnsi="Arial" w:cs="Arial"/>
          <w:b/>
        </w:rPr>
        <w:t>průmysl i</w:t>
      </w:r>
      <w:r w:rsidRPr="00414182">
        <w:rPr>
          <w:rFonts w:ascii="Arial" w:hAnsi="Arial" w:cs="Arial"/>
        </w:rPr>
        <w:t xml:space="preserve"> </w:t>
      </w:r>
      <w:r w:rsidRPr="00414182">
        <w:rPr>
          <w:rFonts w:ascii="Arial" w:hAnsi="Arial" w:cs="Arial"/>
          <w:b/>
        </w:rPr>
        <w:t xml:space="preserve"> stavebnictví</w:t>
      </w:r>
      <w:r w:rsidRPr="00414182">
        <w:rPr>
          <w:rFonts w:ascii="Arial" w:hAnsi="Arial" w:cs="Arial"/>
        </w:rPr>
        <w:t>.</w:t>
      </w:r>
    </w:p>
    <w:p w:rsidR="007A49EF" w:rsidRPr="00414182" w:rsidRDefault="007A49EF" w:rsidP="007A49EF">
      <w:pPr>
        <w:ind w:firstLine="720"/>
        <w:jc w:val="both"/>
        <w:rPr>
          <w:rFonts w:ascii="Arial" w:hAnsi="Arial" w:cs="Arial"/>
        </w:rPr>
      </w:pPr>
    </w:p>
    <w:p w:rsidR="007A49EF" w:rsidRPr="00414182" w:rsidRDefault="007A49EF" w:rsidP="007A49EF">
      <w:pPr>
        <w:tabs>
          <w:tab w:val="center" w:pos="720"/>
        </w:tabs>
        <w:jc w:val="center"/>
        <w:rPr>
          <w:rFonts w:ascii="Arial" w:hAnsi="Arial" w:cs="Arial"/>
          <w:b/>
          <w:bCs/>
        </w:rPr>
      </w:pPr>
      <w:r w:rsidRPr="00414182">
        <w:rPr>
          <w:rFonts w:ascii="Arial" w:hAnsi="Arial" w:cs="Arial"/>
          <w:b/>
          <w:bCs/>
        </w:rPr>
        <w:t>Sektorová struktura zaměstnanosti</w:t>
      </w:r>
    </w:p>
    <w:p w:rsidR="007A49EF" w:rsidRPr="00414182" w:rsidRDefault="007A49EF" w:rsidP="007A49EF">
      <w:pPr>
        <w:tabs>
          <w:tab w:val="center" w:pos="720"/>
        </w:tabs>
        <w:ind w:left="708" w:firstLine="372"/>
        <w:jc w:val="right"/>
        <w:rPr>
          <w:rFonts w:ascii="Arial" w:hAnsi="Arial" w:cs="Arial"/>
          <w:sz w:val="20"/>
          <w:szCs w:val="20"/>
        </w:rPr>
      </w:pPr>
      <w:r w:rsidRPr="00414182">
        <w:rPr>
          <w:rFonts w:ascii="Arial" w:hAnsi="Arial" w:cs="Arial"/>
          <w:sz w:val="20"/>
          <w:szCs w:val="20"/>
        </w:rPr>
        <w:t>tab. č. 11</w:t>
      </w:r>
    </w:p>
    <w:tbl>
      <w:tblPr>
        <w:tblW w:w="8600" w:type="dxa"/>
        <w:jc w:val="center"/>
        <w:tblCellMar>
          <w:left w:w="70" w:type="dxa"/>
          <w:right w:w="70" w:type="dxa"/>
        </w:tblCellMar>
        <w:tblLook w:val="0000" w:firstRow="0" w:lastRow="0" w:firstColumn="0" w:lastColumn="0" w:noHBand="0" w:noVBand="0"/>
      </w:tblPr>
      <w:tblGrid>
        <w:gridCol w:w="2000"/>
        <w:gridCol w:w="1095"/>
        <w:gridCol w:w="825"/>
        <w:gridCol w:w="1277"/>
        <w:gridCol w:w="963"/>
        <w:gridCol w:w="1120"/>
        <w:gridCol w:w="1320"/>
      </w:tblGrid>
      <w:tr w:rsidR="007A49EF" w:rsidRPr="00414182" w:rsidTr="00FF0509">
        <w:trPr>
          <w:trHeight w:val="330"/>
          <w:jc w:val="center"/>
        </w:trPr>
        <w:tc>
          <w:tcPr>
            <w:tcW w:w="2000" w:type="dxa"/>
            <w:tcBorders>
              <w:top w:val="double" w:sz="6" w:space="0" w:color="auto"/>
              <w:left w:val="double" w:sz="6" w:space="0" w:color="auto"/>
              <w:bottom w:val="nil"/>
              <w:right w:val="nil"/>
            </w:tcBorders>
            <w:shd w:val="clear" w:color="auto" w:fill="auto"/>
            <w:noWrap/>
            <w:vAlign w:val="bottom"/>
          </w:tcPr>
          <w:p w:rsidR="007A49EF" w:rsidRPr="00414182" w:rsidRDefault="007A49EF" w:rsidP="007A49EF">
            <w:pPr>
              <w:rPr>
                <w:rFonts w:ascii="Arial" w:hAnsi="Arial" w:cs="Arial"/>
                <w:sz w:val="20"/>
                <w:szCs w:val="20"/>
              </w:rPr>
            </w:pPr>
            <w:r w:rsidRPr="00414182">
              <w:rPr>
                <w:rFonts w:ascii="Arial" w:hAnsi="Arial" w:cs="Arial"/>
                <w:sz w:val="20"/>
                <w:szCs w:val="20"/>
              </w:rPr>
              <w:t> </w:t>
            </w:r>
          </w:p>
        </w:tc>
        <w:tc>
          <w:tcPr>
            <w:tcW w:w="1920" w:type="dxa"/>
            <w:gridSpan w:val="2"/>
            <w:tcBorders>
              <w:top w:val="double" w:sz="6" w:space="0" w:color="auto"/>
              <w:left w:val="single" w:sz="4" w:space="0" w:color="auto"/>
              <w:bottom w:val="single" w:sz="4" w:space="0" w:color="auto"/>
              <w:right w:val="single" w:sz="4" w:space="0" w:color="000000"/>
            </w:tcBorders>
            <w:shd w:val="clear" w:color="auto" w:fill="auto"/>
            <w:noWrap/>
            <w:vAlign w:val="center"/>
          </w:tcPr>
          <w:p w:rsidR="007A49EF" w:rsidRPr="00414182" w:rsidRDefault="007A49EF" w:rsidP="007A49EF">
            <w:pPr>
              <w:jc w:val="center"/>
              <w:rPr>
                <w:rFonts w:ascii="Arial" w:hAnsi="Arial" w:cs="Arial"/>
                <w:b/>
                <w:bCs/>
                <w:sz w:val="20"/>
                <w:szCs w:val="20"/>
              </w:rPr>
            </w:pPr>
            <w:r w:rsidRPr="00414182">
              <w:rPr>
                <w:rFonts w:ascii="Arial" w:hAnsi="Arial" w:cs="Arial"/>
                <w:b/>
                <w:bCs/>
                <w:sz w:val="20"/>
                <w:szCs w:val="20"/>
              </w:rPr>
              <w:t>1.pololetí 2012</w:t>
            </w:r>
          </w:p>
        </w:tc>
        <w:tc>
          <w:tcPr>
            <w:tcW w:w="2240" w:type="dxa"/>
            <w:gridSpan w:val="2"/>
            <w:tcBorders>
              <w:top w:val="double" w:sz="6" w:space="0" w:color="auto"/>
              <w:left w:val="nil"/>
              <w:bottom w:val="single" w:sz="4" w:space="0" w:color="auto"/>
              <w:right w:val="single" w:sz="4" w:space="0" w:color="000000"/>
            </w:tcBorders>
            <w:shd w:val="clear" w:color="auto" w:fill="auto"/>
            <w:noWrap/>
            <w:vAlign w:val="center"/>
          </w:tcPr>
          <w:p w:rsidR="007A49EF" w:rsidRPr="00414182" w:rsidRDefault="007A49EF" w:rsidP="007A49EF">
            <w:pPr>
              <w:jc w:val="center"/>
              <w:rPr>
                <w:rFonts w:ascii="Arial" w:hAnsi="Arial" w:cs="Arial"/>
                <w:b/>
                <w:bCs/>
                <w:sz w:val="20"/>
                <w:szCs w:val="20"/>
              </w:rPr>
            </w:pPr>
            <w:r w:rsidRPr="00414182">
              <w:rPr>
                <w:rFonts w:ascii="Arial" w:hAnsi="Arial" w:cs="Arial"/>
                <w:b/>
                <w:bCs/>
                <w:sz w:val="20"/>
                <w:szCs w:val="20"/>
              </w:rPr>
              <w:t>1.pololetí 2013</w:t>
            </w:r>
          </w:p>
        </w:tc>
        <w:tc>
          <w:tcPr>
            <w:tcW w:w="1120" w:type="dxa"/>
            <w:vMerge w:val="restart"/>
            <w:tcBorders>
              <w:top w:val="double" w:sz="6" w:space="0" w:color="auto"/>
              <w:left w:val="nil"/>
              <w:right w:val="single" w:sz="4" w:space="0" w:color="auto"/>
            </w:tcBorders>
            <w:shd w:val="clear" w:color="auto" w:fill="auto"/>
            <w:noWrap/>
            <w:vAlign w:val="center"/>
          </w:tcPr>
          <w:p w:rsidR="007A49EF" w:rsidRPr="00414182" w:rsidRDefault="007A49EF" w:rsidP="007A49EF">
            <w:pPr>
              <w:jc w:val="center"/>
              <w:rPr>
                <w:rFonts w:ascii="Arial" w:hAnsi="Arial" w:cs="Arial"/>
                <w:b/>
                <w:bCs/>
                <w:sz w:val="20"/>
                <w:szCs w:val="20"/>
              </w:rPr>
            </w:pPr>
            <w:r w:rsidRPr="00414182">
              <w:rPr>
                <w:rFonts w:ascii="Arial" w:hAnsi="Arial" w:cs="Arial"/>
                <w:b/>
                <w:bCs/>
                <w:sz w:val="20"/>
                <w:szCs w:val="20"/>
              </w:rPr>
              <w:t>rozdíl</w:t>
            </w:r>
          </w:p>
          <w:p w:rsidR="007A49EF" w:rsidRPr="00414182" w:rsidRDefault="007A49EF" w:rsidP="007A49EF">
            <w:pPr>
              <w:jc w:val="center"/>
              <w:rPr>
                <w:rFonts w:ascii="Arial" w:hAnsi="Arial" w:cs="Arial"/>
                <w:b/>
                <w:bCs/>
                <w:sz w:val="20"/>
                <w:szCs w:val="20"/>
              </w:rPr>
            </w:pPr>
            <w:r w:rsidRPr="00414182">
              <w:rPr>
                <w:rFonts w:ascii="Arial" w:hAnsi="Arial" w:cs="Arial"/>
                <w:b/>
                <w:bCs/>
                <w:sz w:val="20"/>
                <w:szCs w:val="20"/>
              </w:rPr>
              <w:t>13-12</w:t>
            </w:r>
          </w:p>
          <w:p w:rsidR="007A49EF" w:rsidRPr="00414182" w:rsidRDefault="007A49EF" w:rsidP="007A49EF">
            <w:pPr>
              <w:jc w:val="center"/>
              <w:rPr>
                <w:rFonts w:ascii="Arial" w:hAnsi="Arial" w:cs="Arial"/>
                <w:b/>
                <w:bCs/>
                <w:sz w:val="20"/>
                <w:szCs w:val="20"/>
              </w:rPr>
            </w:pPr>
            <w:r w:rsidRPr="00414182">
              <w:rPr>
                <w:rFonts w:ascii="Arial" w:hAnsi="Arial" w:cs="Arial"/>
                <w:b/>
                <w:bCs/>
                <w:sz w:val="20"/>
                <w:szCs w:val="20"/>
              </w:rPr>
              <w:t>(v tis.)</w:t>
            </w:r>
          </w:p>
        </w:tc>
        <w:tc>
          <w:tcPr>
            <w:tcW w:w="1320" w:type="dxa"/>
            <w:vMerge w:val="restart"/>
            <w:tcBorders>
              <w:top w:val="double" w:sz="6" w:space="0" w:color="auto"/>
              <w:left w:val="nil"/>
              <w:right w:val="double" w:sz="6" w:space="0" w:color="auto"/>
            </w:tcBorders>
            <w:shd w:val="clear" w:color="auto" w:fill="auto"/>
            <w:noWrap/>
            <w:vAlign w:val="center"/>
          </w:tcPr>
          <w:p w:rsidR="007A49EF" w:rsidRPr="00414182" w:rsidRDefault="007A49EF" w:rsidP="007A49EF">
            <w:pPr>
              <w:jc w:val="center"/>
              <w:rPr>
                <w:rFonts w:ascii="Arial" w:hAnsi="Arial" w:cs="Arial"/>
                <w:b/>
                <w:bCs/>
                <w:sz w:val="20"/>
                <w:szCs w:val="20"/>
              </w:rPr>
            </w:pPr>
            <w:r w:rsidRPr="00414182">
              <w:rPr>
                <w:rFonts w:ascii="Arial" w:hAnsi="Arial" w:cs="Arial"/>
                <w:b/>
                <w:bCs/>
                <w:sz w:val="20"/>
                <w:szCs w:val="20"/>
              </w:rPr>
              <w:t>index</w:t>
            </w:r>
          </w:p>
          <w:p w:rsidR="007A49EF" w:rsidRPr="00414182" w:rsidRDefault="007A49EF" w:rsidP="007A49EF">
            <w:pPr>
              <w:jc w:val="center"/>
              <w:rPr>
                <w:rFonts w:ascii="Arial" w:hAnsi="Arial" w:cs="Arial"/>
                <w:b/>
                <w:bCs/>
                <w:sz w:val="20"/>
                <w:szCs w:val="20"/>
              </w:rPr>
            </w:pPr>
            <w:r w:rsidRPr="00414182">
              <w:rPr>
                <w:rFonts w:ascii="Arial" w:hAnsi="Arial" w:cs="Arial"/>
                <w:b/>
                <w:bCs/>
                <w:sz w:val="20"/>
                <w:szCs w:val="20"/>
              </w:rPr>
              <w:t xml:space="preserve">13/12 </w:t>
            </w:r>
            <w:r w:rsidRPr="00414182">
              <w:rPr>
                <w:rFonts w:ascii="Arial" w:hAnsi="Arial" w:cs="Arial"/>
                <w:b/>
                <w:sz w:val="20"/>
                <w:szCs w:val="20"/>
              </w:rPr>
              <w:t>(%)</w:t>
            </w:r>
          </w:p>
        </w:tc>
      </w:tr>
      <w:tr w:rsidR="007A49EF" w:rsidRPr="00414182" w:rsidTr="00FF0509">
        <w:trPr>
          <w:trHeight w:val="429"/>
          <w:jc w:val="center"/>
        </w:trPr>
        <w:tc>
          <w:tcPr>
            <w:tcW w:w="2000" w:type="dxa"/>
            <w:tcBorders>
              <w:top w:val="nil"/>
              <w:left w:val="double" w:sz="6" w:space="0" w:color="auto"/>
              <w:bottom w:val="single" w:sz="4" w:space="0" w:color="auto"/>
              <w:right w:val="nil"/>
            </w:tcBorders>
            <w:shd w:val="clear" w:color="auto" w:fill="auto"/>
            <w:noWrap/>
            <w:vAlign w:val="bottom"/>
          </w:tcPr>
          <w:p w:rsidR="007A49EF" w:rsidRPr="00414182" w:rsidRDefault="007A49EF" w:rsidP="007A49EF">
            <w:pPr>
              <w:rPr>
                <w:rFonts w:ascii="Arial" w:hAnsi="Arial" w:cs="Arial"/>
                <w:sz w:val="20"/>
                <w:szCs w:val="20"/>
              </w:rPr>
            </w:pPr>
            <w:r w:rsidRPr="00414182">
              <w:rPr>
                <w:rFonts w:ascii="Arial" w:hAnsi="Arial" w:cs="Arial"/>
                <w:sz w:val="20"/>
                <w:szCs w:val="20"/>
              </w:rPr>
              <w:t> </w:t>
            </w:r>
          </w:p>
        </w:tc>
        <w:tc>
          <w:tcPr>
            <w:tcW w:w="1095" w:type="dxa"/>
            <w:tcBorders>
              <w:top w:val="nil"/>
              <w:left w:val="single" w:sz="4" w:space="0" w:color="auto"/>
              <w:bottom w:val="single" w:sz="4" w:space="0" w:color="auto"/>
              <w:right w:val="single" w:sz="4" w:space="0" w:color="auto"/>
            </w:tcBorders>
            <w:shd w:val="clear" w:color="auto" w:fill="auto"/>
            <w:noWrap/>
            <w:vAlign w:val="center"/>
          </w:tcPr>
          <w:p w:rsidR="007A49EF" w:rsidRPr="00414182" w:rsidRDefault="007A49EF" w:rsidP="007A49EF">
            <w:pPr>
              <w:jc w:val="center"/>
              <w:rPr>
                <w:rFonts w:ascii="Arial" w:hAnsi="Arial" w:cs="Arial"/>
                <w:b/>
                <w:bCs/>
                <w:sz w:val="20"/>
                <w:szCs w:val="20"/>
              </w:rPr>
            </w:pPr>
            <w:r w:rsidRPr="00414182">
              <w:rPr>
                <w:rFonts w:ascii="Arial" w:hAnsi="Arial" w:cs="Arial"/>
                <w:b/>
                <w:bCs/>
                <w:sz w:val="20"/>
                <w:szCs w:val="20"/>
              </w:rPr>
              <w:t>v tis.</w:t>
            </w:r>
          </w:p>
        </w:tc>
        <w:tc>
          <w:tcPr>
            <w:tcW w:w="825" w:type="dxa"/>
            <w:tcBorders>
              <w:top w:val="nil"/>
              <w:left w:val="nil"/>
              <w:bottom w:val="single" w:sz="4" w:space="0" w:color="auto"/>
              <w:right w:val="nil"/>
            </w:tcBorders>
            <w:shd w:val="clear" w:color="auto" w:fill="auto"/>
            <w:noWrap/>
            <w:vAlign w:val="center"/>
          </w:tcPr>
          <w:p w:rsidR="007A49EF" w:rsidRPr="00414182" w:rsidRDefault="007A49EF" w:rsidP="007A49EF">
            <w:pPr>
              <w:jc w:val="center"/>
              <w:rPr>
                <w:rFonts w:ascii="Arial" w:hAnsi="Arial" w:cs="Arial"/>
                <w:b/>
                <w:bCs/>
                <w:sz w:val="20"/>
                <w:szCs w:val="20"/>
              </w:rPr>
            </w:pPr>
            <w:r w:rsidRPr="00414182">
              <w:rPr>
                <w:rFonts w:ascii="Arial" w:hAnsi="Arial" w:cs="Arial"/>
                <w:b/>
                <w:bCs/>
                <w:sz w:val="20"/>
                <w:szCs w:val="20"/>
              </w:rPr>
              <w:t>%</w:t>
            </w:r>
          </w:p>
        </w:tc>
        <w:tc>
          <w:tcPr>
            <w:tcW w:w="1277" w:type="dxa"/>
            <w:tcBorders>
              <w:top w:val="nil"/>
              <w:left w:val="single" w:sz="4" w:space="0" w:color="auto"/>
              <w:bottom w:val="single" w:sz="4" w:space="0" w:color="auto"/>
              <w:right w:val="single" w:sz="4" w:space="0" w:color="auto"/>
            </w:tcBorders>
            <w:shd w:val="clear" w:color="auto" w:fill="auto"/>
            <w:noWrap/>
            <w:vAlign w:val="center"/>
          </w:tcPr>
          <w:p w:rsidR="007A49EF" w:rsidRPr="00414182" w:rsidRDefault="007A49EF" w:rsidP="007A49EF">
            <w:pPr>
              <w:jc w:val="center"/>
              <w:rPr>
                <w:rFonts w:ascii="Arial" w:hAnsi="Arial" w:cs="Arial"/>
                <w:b/>
                <w:bCs/>
                <w:sz w:val="20"/>
                <w:szCs w:val="20"/>
              </w:rPr>
            </w:pPr>
            <w:r w:rsidRPr="00414182">
              <w:rPr>
                <w:rFonts w:ascii="Arial" w:hAnsi="Arial" w:cs="Arial"/>
                <w:b/>
                <w:bCs/>
                <w:sz w:val="20"/>
                <w:szCs w:val="20"/>
              </w:rPr>
              <w:t>v tis.</w:t>
            </w:r>
          </w:p>
        </w:tc>
        <w:tc>
          <w:tcPr>
            <w:tcW w:w="963" w:type="dxa"/>
            <w:tcBorders>
              <w:top w:val="nil"/>
              <w:left w:val="nil"/>
              <w:bottom w:val="single" w:sz="4" w:space="0" w:color="auto"/>
              <w:right w:val="single" w:sz="4" w:space="0" w:color="auto"/>
            </w:tcBorders>
            <w:shd w:val="clear" w:color="auto" w:fill="auto"/>
            <w:noWrap/>
            <w:vAlign w:val="center"/>
          </w:tcPr>
          <w:p w:rsidR="007A49EF" w:rsidRPr="00414182" w:rsidRDefault="007A49EF" w:rsidP="007A49EF">
            <w:pPr>
              <w:jc w:val="center"/>
              <w:rPr>
                <w:rFonts w:ascii="Arial" w:hAnsi="Arial" w:cs="Arial"/>
                <w:b/>
                <w:bCs/>
                <w:sz w:val="20"/>
                <w:szCs w:val="20"/>
              </w:rPr>
            </w:pPr>
            <w:r w:rsidRPr="00414182">
              <w:rPr>
                <w:rFonts w:ascii="Arial" w:hAnsi="Arial" w:cs="Arial"/>
                <w:b/>
                <w:bCs/>
                <w:sz w:val="20"/>
                <w:szCs w:val="20"/>
              </w:rPr>
              <w:t>%</w:t>
            </w:r>
          </w:p>
        </w:tc>
        <w:tc>
          <w:tcPr>
            <w:tcW w:w="1120" w:type="dxa"/>
            <w:vMerge/>
            <w:tcBorders>
              <w:left w:val="nil"/>
              <w:bottom w:val="single" w:sz="4" w:space="0" w:color="auto"/>
              <w:right w:val="single" w:sz="4" w:space="0" w:color="auto"/>
            </w:tcBorders>
            <w:shd w:val="clear" w:color="auto" w:fill="auto"/>
            <w:noWrap/>
            <w:vAlign w:val="bottom"/>
          </w:tcPr>
          <w:p w:rsidR="007A49EF" w:rsidRPr="00414182" w:rsidRDefault="007A49EF" w:rsidP="007A49EF">
            <w:pPr>
              <w:jc w:val="center"/>
              <w:rPr>
                <w:rFonts w:ascii="Arial" w:hAnsi="Arial" w:cs="Arial"/>
                <w:b/>
                <w:bCs/>
                <w:sz w:val="20"/>
                <w:szCs w:val="20"/>
              </w:rPr>
            </w:pPr>
          </w:p>
        </w:tc>
        <w:tc>
          <w:tcPr>
            <w:tcW w:w="1320" w:type="dxa"/>
            <w:vMerge/>
            <w:tcBorders>
              <w:left w:val="nil"/>
              <w:bottom w:val="single" w:sz="4" w:space="0" w:color="auto"/>
              <w:right w:val="double" w:sz="6" w:space="0" w:color="auto"/>
            </w:tcBorders>
            <w:shd w:val="clear" w:color="auto" w:fill="auto"/>
            <w:noWrap/>
            <w:vAlign w:val="bottom"/>
          </w:tcPr>
          <w:p w:rsidR="007A49EF" w:rsidRPr="00414182" w:rsidRDefault="007A49EF" w:rsidP="007A49EF">
            <w:pPr>
              <w:jc w:val="center"/>
              <w:rPr>
                <w:rFonts w:ascii="Arial" w:hAnsi="Arial" w:cs="Arial"/>
                <w:b/>
                <w:bCs/>
                <w:sz w:val="20"/>
                <w:szCs w:val="20"/>
              </w:rPr>
            </w:pPr>
          </w:p>
        </w:tc>
      </w:tr>
      <w:tr w:rsidR="007A49EF" w:rsidRPr="00414182" w:rsidTr="007A49EF">
        <w:trPr>
          <w:trHeight w:val="330"/>
          <w:jc w:val="center"/>
        </w:trPr>
        <w:tc>
          <w:tcPr>
            <w:tcW w:w="2000" w:type="dxa"/>
            <w:tcBorders>
              <w:top w:val="nil"/>
              <w:left w:val="double" w:sz="6" w:space="0" w:color="auto"/>
              <w:bottom w:val="single" w:sz="4" w:space="0" w:color="auto"/>
              <w:right w:val="nil"/>
            </w:tcBorders>
            <w:shd w:val="clear" w:color="auto" w:fill="auto"/>
            <w:noWrap/>
            <w:vAlign w:val="bottom"/>
          </w:tcPr>
          <w:p w:rsidR="007A49EF" w:rsidRPr="00414182" w:rsidRDefault="007A49EF" w:rsidP="007A49EF">
            <w:pPr>
              <w:rPr>
                <w:rFonts w:ascii="Arial" w:hAnsi="Arial" w:cs="Arial"/>
                <w:sz w:val="20"/>
                <w:szCs w:val="20"/>
              </w:rPr>
            </w:pPr>
            <w:r w:rsidRPr="00414182">
              <w:rPr>
                <w:rFonts w:ascii="Arial" w:hAnsi="Arial" w:cs="Arial"/>
                <w:sz w:val="20"/>
                <w:szCs w:val="20"/>
              </w:rPr>
              <w:t>CELKEM</w:t>
            </w:r>
          </w:p>
        </w:tc>
        <w:tc>
          <w:tcPr>
            <w:tcW w:w="1095" w:type="dxa"/>
            <w:tcBorders>
              <w:top w:val="nil"/>
              <w:left w:val="single" w:sz="4" w:space="0" w:color="auto"/>
              <w:bottom w:val="single" w:sz="4" w:space="0" w:color="auto"/>
              <w:right w:val="single" w:sz="4" w:space="0" w:color="auto"/>
            </w:tcBorders>
            <w:shd w:val="clear" w:color="auto" w:fill="auto"/>
            <w:noWrap/>
            <w:vAlign w:val="center"/>
          </w:tcPr>
          <w:p w:rsidR="007A49EF" w:rsidRPr="00414182" w:rsidRDefault="007A49EF" w:rsidP="007A49EF">
            <w:pPr>
              <w:jc w:val="right"/>
              <w:rPr>
                <w:rFonts w:ascii="Arial" w:hAnsi="Arial" w:cs="Arial"/>
                <w:sz w:val="20"/>
                <w:szCs w:val="20"/>
              </w:rPr>
            </w:pPr>
            <w:r w:rsidRPr="00414182">
              <w:rPr>
                <w:rFonts w:ascii="Arial" w:hAnsi="Arial" w:cs="Arial"/>
                <w:sz w:val="20"/>
                <w:szCs w:val="20"/>
              </w:rPr>
              <w:t>4 861,5</w:t>
            </w:r>
          </w:p>
        </w:tc>
        <w:tc>
          <w:tcPr>
            <w:tcW w:w="825" w:type="dxa"/>
            <w:tcBorders>
              <w:top w:val="nil"/>
              <w:left w:val="nil"/>
              <w:bottom w:val="single" w:sz="4" w:space="0" w:color="auto"/>
              <w:right w:val="single" w:sz="4" w:space="0" w:color="auto"/>
            </w:tcBorders>
            <w:shd w:val="clear" w:color="auto" w:fill="auto"/>
            <w:noWrap/>
            <w:vAlign w:val="center"/>
          </w:tcPr>
          <w:p w:rsidR="007A49EF" w:rsidRPr="00414182" w:rsidRDefault="007A49EF" w:rsidP="007A49EF">
            <w:pPr>
              <w:jc w:val="right"/>
              <w:rPr>
                <w:rFonts w:ascii="Arial" w:hAnsi="Arial" w:cs="Arial"/>
                <w:sz w:val="20"/>
                <w:szCs w:val="20"/>
              </w:rPr>
            </w:pPr>
            <w:r w:rsidRPr="00414182">
              <w:rPr>
                <w:rFonts w:ascii="Arial" w:hAnsi="Arial" w:cs="Arial"/>
                <w:sz w:val="20"/>
                <w:szCs w:val="20"/>
              </w:rPr>
              <w:t>100,0</w:t>
            </w:r>
          </w:p>
        </w:tc>
        <w:tc>
          <w:tcPr>
            <w:tcW w:w="1277" w:type="dxa"/>
            <w:tcBorders>
              <w:top w:val="nil"/>
              <w:left w:val="nil"/>
              <w:bottom w:val="single" w:sz="4" w:space="0" w:color="auto"/>
              <w:right w:val="single" w:sz="4" w:space="0" w:color="auto"/>
            </w:tcBorders>
            <w:shd w:val="clear" w:color="auto" w:fill="auto"/>
            <w:noWrap/>
            <w:vAlign w:val="center"/>
          </w:tcPr>
          <w:p w:rsidR="007A49EF" w:rsidRPr="00414182" w:rsidRDefault="007A49EF" w:rsidP="007A49EF">
            <w:pPr>
              <w:jc w:val="right"/>
              <w:rPr>
                <w:rFonts w:ascii="Arial" w:hAnsi="Arial" w:cs="Arial"/>
                <w:sz w:val="20"/>
                <w:szCs w:val="20"/>
              </w:rPr>
            </w:pPr>
            <w:r w:rsidRPr="00414182">
              <w:rPr>
                <w:rFonts w:ascii="Arial" w:hAnsi="Arial" w:cs="Arial"/>
                <w:sz w:val="20"/>
                <w:szCs w:val="20"/>
              </w:rPr>
              <w:t>4 918,5</w:t>
            </w:r>
          </w:p>
        </w:tc>
        <w:tc>
          <w:tcPr>
            <w:tcW w:w="963" w:type="dxa"/>
            <w:tcBorders>
              <w:top w:val="nil"/>
              <w:left w:val="nil"/>
              <w:bottom w:val="single" w:sz="4" w:space="0" w:color="auto"/>
              <w:right w:val="single" w:sz="4" w:space="0" w:color="auto"/>
            </w:tcBorders>
            <w:shd w:val="clear" w:color="auto" w:fill="auto"/>
            <w:noWrap/>
            <w:vAlign w:val="center"/>
          </w:tcPr>
          <w:p w:rsidR="007A49EF" w:rsidRPr="00414182" w:rsidRDefault="007A49EF" w:rsidP="007A49EF">
            <w:pPr>
              <w:jc w:val="right"/>
              <w:rPr>
                <w:rFonts w:ascii="Arial" w:hAnsi="Arial" w:cs="Arial"/>
                <w:sz w:val="20"/>
                <w:szCs w:val="20"/>
              </w:rPr>
            </w:pPr>
            <w:r w:rsidRPr="00414182">
              <w:rPr>
                <w:rFonts w:ascii="Arial" w:hAnsi="Arial" w:cs="Arial"/>
                <w:sz w:val="20"/>
                <w:szCs w:val="20"/>
              </w:rPr>
              <w:t>100,0</w:t>
            </w:r>
          </w:p>
        </w:tc>
        <w:tc>
          <w:tcPr>
            <w:tcW w:w="1120" w:type="dxa"/>
            <w:tcBorders>
              <w:top w:val="nil"/>
              <w:left w:val="nil"/>
              <w:bottom w:val="single" w:sz="4" w:space="0" w:color="auto"/>
              <w:right w:val="single" w:sz="4" w:space="0" w:color="auto"/>
            </w:tcBorders>
            <w:shd w:val="clear" w:color="auto" w:fill="auto"/>
            <w:noWrap/>
            <w:vAlign w:val="center"/>
          </w:tcPr>
          <w:p w:rsidR="007A49EF" w:rsidRPr="00414182" w:rsidRDefault="007A49EF" w:rsidP="007A49EF">
            <w:pPr>
              <w:jc w:val="right"/>
              <w:rPr>
                <w:rFonts w:ascii="Arial" w:hAnsi="Arial" w:cs="Arial"/>
                <w:sz w:val="20"/>
                <w:szCs w:val="20"/>
              </w:rPr>
            </w:pPr>
            <w:r w:rsidRPr="00414182">
              <w:rPr>
                <w:rFonts w:ascii="Arial" w:hAnsi="Arial" w:cs="Arial"/>
                <w:sz w:val="20"/>
                <w:szCs w:val="20"/>
              </w:rPr>
              <w:t>57,0</w:t>
            </w:r>
          </w:p>
        </w:tc>
        <w:tc>
          <w:tcPr>
            <w:tcW w:w="1320" w:type="dxa"/>
            <w:tcBorders>
              <w:top w:val="nil"/>
              <w:left w:val="nil"/>
              <w:bottom w:val="single" w:sz="4" w:space="0" w:color="auto"/>
              <w:right w:val="double" w:sz="6" w:space="0" w:color="auto"/>
            </w:tcBorders>
            <w:shd w:val="clear" w:color="auto" w:fill="auto"/>
            <w:noWrap/>
            <w:vAlign w:val="center"/>
          </w:tcPr>
          <w:p w:rsidR="007A49EF" w:rsidRPr="00414182" w:rsidRDefault="007A49EF" w:rsidP="007A49EF">
            <w:pPr>
              <w:jc w:val="right"/>
              <w:rPr>
                <w:rFonts w:ascii="Arial" w:hAnsi="Arial" w:cs="Arial"/>
                <w:sz w:val="20"/>
                <w:szCs w:val="20"/>
              </w:rPr>
            </w:pPr>
            <w:r w:rsidRPr="00414182">
              <w:rPr>
                <w:rFonts w:ascii="Arial" w:hAnsi="Arial" w:cs="Arial"/>
                <w:sz w:val="20"/>
                <w:szCs w:val="20"/>
              </w:rPr>
              <w:t>101,2</w:t>
            </w:r>
          </w:p>
        </w:tc>
      </w:tr>
      <w:tr w:rsidR="00AF5F29" w:rsidRPr="00414182" w:rsidTr="00F97A6F">
        <w:trPr>
          <w:trHeight w:val="330"/>
          <w:jc w:val="center"/>
        </w:trPr>
        <w:tc>
          <w:tcPr>
            <w:tcW w:w="2000" w:type="dxa"/>
            <w:tcBorders>
              <w:top w:val="nil"/>
              <w:left w:val="double" w:sz="6" w:space="0" w:color="auto"/>
              <w:bottom w:val="nil"/>
              <w:right w:val="nil"/>
            </w:tcBorders>
            <w:shd w:val="clear" w:color="auto" w:fill="auto"/>
            <w:noWrap/>
            <w:vAlign w:val="center"/>
          </w:tcPr>
          <w:p w:rsidR="00AF5F29" w:rsidRPr="00414182" w:rsidRDefault="00AF5F29" w:rsidP="007A49EF">
            <w:pPr>
              <w:rPr>
                <w:rFonts w:ascii="Arial" w:hAnsi="Arial" w:cs="Arial"/>
                <w:sz w:val="20"/>
                <w:szCs w:val="20"/>
              </w:rPr>
            </w:pPr>
            <w:r w:rsidRPr="00414182">
              <w:rPr>
                <w:rFonts w:ascii="Arial" w:hAnsi="Arial" w:cs="Arial"/>
                <w:sz w:val="20"/>
                <w:szCs w:val="20"/>
              </w:rPr>
              <w:t>I. sektor</w:t>
            </w:r>
          </w:p>
        </w:tc>
        <w:tc>
          <w:tcPr>
            <w:tcW w:w="1095" w:type="dxa"/>
            <w:tcBorders>
              <w:top w:val="nil"/>
              <w:left w:val="single" w:sz="4" w:space="0" w:color="auto"/>
              <w:bottom w:val="nil"/>
              <w:right w:val="single" w:sz="4" w:space="0" w:color="auto"/>
            </w:tcBorders>
            <w:shd w:val="clear" w:color="auto" w:fill="auto"/>
            <w:noWrap/>
            <w:vAlign w:val="center"/>
          </w:tcPr>
          <w:p w:rsidR="00AF5F29" w:rsidRPr="00414182" w:rsidRDefault="00AF5F29" w:rsidP="007A49EF">
            <w:pPr>
              <w:jc w:val="right"/>
              <w:rPr>
                <w:rFonts w:ascii="Arial" w:hAnsi="Arial" w:cs="Arial"/>
                <w:sz w:val="20"/>
                <w:szCs w:val="20"/>
              </w:rPr>
            </w:pPr>
            <w:r w:rsidRPr="00414182">
              <w:rPr>
                <w:rFonts w:ascii="Arial" w:hAnsi="Arial" w:cs="Arial"/>
                <w:sz w:val="20"/>
                <w:szCs w:val="20"/>
              </w:rPr>
              <w:t>143,2</w:t>
            </w:r>
          </w:p>
        </w:tc>
        <w:tc>
          <w:tcPr>
            <w:tcW w:w="825" w:type="dxa"/>
            <w:tcBorders>
              <w:top w:val="nil"/>
              <w:left w:val="nil"/>
              <w:bottom w:val="nil"/>
              <w:right w:val="single" w:sz="4" w:space="0" w:color="auto"/>
            </w:tcBorders>
            <w:shd w:val="clear" w:color="auto" w:fill="auto"/>
            <w:noWrap/>
            <w:vAlign w:val="center"/>
          </w:tcPr>
          <w:p w:rsidR="00AF5F29" w:rsidRPr="00414182" w:rsidRDefault="00AF5F29">
            <w:pPr>
              <w:jc w:val="right"/>
              <w:rPr>
                <w:rFonts w:ascii="Arial" w:hAnsi="Arial" w:cs="Arial"/>
                <w:sz w:val="20"/>
                <w:szCs w:val="20"/>
              </w:rPr>
            </w:pPr>
            <w:r w:rsidRPr="00414182">
              <w:rPr>
                <w:rFonts w:ascii="Arial" w:hAnsi="Arial" w:cs="Arial"/>
                <w:sz w:val="20"/>
                <w:szCs w:val="20"/>
              </w:rPr>
              <w:t>2,9</w:t>
            </w:r>
          </w:p>
        </w:tc>
        <w:tc>
          <w:tcPr>
            <w:tcW w:w="1277" w:type="dxa"/>
            <w:tcBorders>
              <w:top w:val="nil"/>
              <w:left w:val="nil"/>
              <w:bottom w:val="nil"/>
              <w:right w:val="single" w:sz="4" w:space="0" w:color="auto"/>
            </w:tcBorders>
            <w:shd w:val="clear" w:color="auto" w:fill="auto"/>
            <w:noWrap/>
            <w:vAlign w:val="center"/>
          </w:tcPr>
          <w:p w:rsidR="00AF5F29" w:rsidRPr="00414182" w:rsidRDefault="00AF5F29" w:rsidP="007A49EF">
            <w:pPr>
              <w:jc w:val="right"/>
              <w:rPr>
                <w:rFonts w:ascii="Arial" w:hAnsi="Arial" w:cs="Arial"/>
                <w:sz w:val="20"/>
                <w:szCs w:val="20"/>
              </w:rPr>
            </w:pPr>
            <w:r w:rsidRPr="00414182">
              <w:rPr>
                <w:rFonts w:ascii="Arial" w:hAnsi="Arial" w:cs="Arial"/>
                <w:sz w:val="20"/>
                <w:szCs w:val="20"/>
              </w:rPr>
              <w:t>152,3</w:t>
            </w:r>
          </w:p>
        </w:tc>
        <w:tc>
          <w:tcPr>
            <w:tcW w:w="963" w:type="dxa"/>
            <w:tcBorders>
              <w:top w:val="nil"/>
              <w:left w:val="nil"/>
              <w:bottom w:val="nil"/>
              <w:right w:val="single" w:sz="4" w:space="0" w:color="auto"/>
            </w:tcBorders>
            <w:shd w:val="clear" w:color="auto" w:fill="auto"/>
            <w:noWrap/>
            <w:vAlign w:val="center"/>
          </w:tcPr>
          <w:p w:rsidR="00AF5F29" w:rsidRPr="00414182" w:rsidRDefault="00AF5F29" w:rsidP="007A49EF">
            <w:pPr>
              <w:jc w:val="right"/>
              <w:rPr>
                <w:rFonts w:ascii="Arial" w:hAnsi="Arial" w:cs="Arial"/>
                <w:sz w:val="20"/>
                <w:szCs w:val="20"/>
              </w:rPr>
            </w:pPr>
            <w:r w:rsidRPr="00414182">
              <w:rPr>
                <w:rFonts w:ascii="Arial" w:hAnsi="Arial" w:cs="Arial"/>
                <w:sz w:val="20"/>
                <w:szCs w:val="20"/>
              </w:rPr>
              <w:t>3,1</w:t>
            </w:r>
          </w:p>
        </w:tc>
        <w:tc>
          <w:tcPr>
            <w:tcW w:w="1120" w:type="dxa"/>
            <w:tcBorders>
              <w:top w:val="nil"/>
              <w:left w:val="nil"/>
              <w:bottom w:val="nil"/>
              <w:right w:val="single" w:sz="4" w:space="0" w:color="auto"/>
            </w:tcBorders>
            <w:shd w:val="clear" w:color="auto" w:fill="auto"/>
            <w:noWrap/>
            <w:vAlign w:val="center"/>
          </w:tcPr>
          <w:p w:rsidR="00AF5F29" w:rsidRPr="00414182" w:rsidRDefault="00AF5F29" w:rsidP="007A49EF">
            <w:pPr>
              <w:jc w:val="right"/>
              <w:rPr>
                <w:rFonts w:ascii="Arial" w:hAnsi="Arial" w:cs="Arial"/>
                <w:sz w:val="20"/>
                <w:szCs w:val="20"/>
              </w:rPr>
            </w:pPr>
            <w:r w:rsidRPr="00414182">
              <w:rPr>
                <w:rFonts w:ascii="Arial" w:hAnsi="Arial" w:cs="Arial"/>
                <w:sz w:val="20"/>
                <w:szCs w:val="20"/>
              </w:rPr>
              <w:t>9,1</w:t>
            </w:r>
          </w:p>
        </w:tc>
        <w:tc>
          <w:tcPr>
            <w:tcW w:w="1320" w:type="dxa"/>
            <w:tcBorders>
              <w:top w:val="nil"/>
              <w:left w:val="nil"/>
              <w:bottom w:val="nil"/>
              <w:right w:val="double" w:sz="6" w:space="0" w:color="auto"/>
            </w:tcBorders>
            <w:shd w:val="clear" w:color="auto" w:fill="auto"/>
            <w:noWrap/>
            <w:vAlign w:val="center"/>
          </w:tcPr>
          <w:p w:rsidR="00AF5F29" w:rsidRPr="00414182" w:rsidRDefault="00AF5F29" w:rsidP="007A49EF">
            <w:pPr>
              <w:jc w:val="right"/>
              <w:rPr>
                <w:rFonts w:ascii="Arial" w:hAnsi="Arial" w:cs="Arial"/>
                <w:sz w:val="20"/>
                <w:szCs w:val="20"/>
              </w:rPr>
            </w:pPr>
            <w:r w:rsidRPr="00414182">
              <w:rPr>
                <w:rFonts w:ascii="Arial" w:hAnsi="Arial" w:cs="Arial"/>
                <w:sz w:val="20"/>
                <w:szCs w:val="20"/>
              </w:rPr>
              <w:t>106,3</w:t>
            </w:r>
          </w:p>
        </w:tc>
      </w:tr>
      <w:tr w:rsidR="00AF5F29" w:rsidRPr="00414182" w:rsidTr="00F97A6F">
        <w:trPr>
          <w:trHeight w:val="330"/>
          <w:jc w:val="center"/>
        </w:trPr>
        <w:tc>
          <w:tcPr>
            <w:tcW w:w="2000" w:type="dxa"/>
            <w:tcBorders>
              <w:top w:val="nil"/>
              <w:left w:val="double" w:sz="6" w:space="0" w:color="auto"/>
              <w:bottom w:val="nil"/>
              <w:right w:val="nil"/>
            </w:tcBorders>
            <w:shd w:val="clear" w:color="auto" w:fill="auto"/>
            <w:noWrap/>
            <w:vAlign w:val="center"/>
          </w:tcPr>
          <w:p w:rsidR="00AF5F29" w:rsidRPr="00414182" w:rsidRDefault="00AF5F29" w:rsidP="007A49EF">
            <w:pPr>
              <w:rPr>
                <w:rFonts w:ascii="Arial" w:hAnsi="Arial" w:cs="Arial"/>
                <w:sz w:val="20"/>
                <w:szCs w:val="20"/>
              </w:rPr>
            </w:pPr>
            <w:r w:rsidRPr="00414182">
              <w:rPr>
                <w:rFonts w:ascii="Arial" w:hAnsi="Arial" w:cs="Arial"/>
                <w:sz w:val="20"/>
                <w:szCs w:val="20"/>
              </w:rPr>
              <w:t>II. sektor</w:t>
            </w:r>
          </w:p>
        </w:tc>
        <w:tc>
          <w:tcPr>
            <w:tcW w:w="1095" w:type="dxa"/>
            <w:tcBorders>
              <w:top w:val="nil"/>
              <w:left w:val="single" w:sz="4" w:space="0" w:color="auto"/>
              <w:bottom w:val="nil"/>
              <w:right w:val="single" w:sz="4" w:space="0" w:color="auto"/>
            </w:tcBorders>
            <w:shd w:val="clear" w:color="auto" w:fill="auto"/>
            <w:noWrap/>
            <w:vAlign w:val="center"/>
          </w:tcPr>
          <w:p w:rsidR="00AF5F29" w:rsidRPr="00414182" w:rsidRDefault="00AF5F29" w:rsidP="007A49EF">
            <w:pPr>
              <w:jc w:val="right"/>
              <w:rPr>
                <w:rFonts w:ascii="Arial" w:hAnsi="Arial" w:cs="Arial"/>
                <w:sz w:val="20"/>
                <w:szCs w:val="20"/>
              </w:rPr>
            </w:pPr>
            <w:r w:rsidRPr="00414182">
              <w:rPr>
                <w:rFonts w:ascii="Arial" w:hAnsi="Arial" w:cs="Arial"/>
                <w:sz w:val="20"/>
                <w:szCs w:val="20"/>
              </w:rPr>
              <w:t>1 857,2</w:t>
            </w:r>
          </w:p>
        </w:tc>
        <w:tc>
          <w:tcPr>
            <w:tcW w:w="825" w:type="dxa"/>
            <w:tcBorders>
              <w:top w:val="nil"/>
              <w:left w:val="nil"/>
              <w:bottom w:val="nil"/>
              <w:right w:val="single" w:sz="4" w:space="0" w:color="auto"/>
            </w:tcBorders>
            <w:shd w:val="clear" w:color="auto" w:fill="auto"/>
            <w:noWrap/>
            <w:vAlign w:val="center"/>
          </w:tcPr>
          <w:p w:rsidR="00AF5F29" w:rsidRPr="00414182" w:rsidRDefault="00AF5F29">
            <w:pPr>
              <w:jc w:val="right"/>
              <w:rPr>
                <w:rFonts w:ascii="Arial" w:hAnsi="Arial" w:cs="Arial"/>
                <w:sz w:val="20"/>
                <w:szCs w:val="20"/>
              </w:rPr>
            </w:pPr>
            <w:r w:rsidRPr="00414182">
              <w:rPr>
                <w:rFonts w:ascii="Arial" w:hAnsi="Arial" w:cs="Arial"/>
                <w:sz w:val="20"/>
                <w:szCs w:val="20"/>
              </w:rPr>
              <w:t>38,2</w:t>
            </w:r>
          </w:p>
        </w:tc>
        <w:tc>
          <w:tcPr>
            <w:tcW w:w="1277" w:type="dxa"/>
            <w:tcBorders>
              <w:top w:val="nil"/>
              <w:left w:val="nil"/>
              <w:bottom w:val="nil"/>
              <w:right w:val="single" w:sz="4" w:space="0" w:color="auto"/>
            </w:tcBorders>
            <w:shd w:val="clear" w:color="auto" w:fill="auto"/>
            <w:noWrap/>
            <w:vAlign w:val="center"/>
          </w:tcPr>
          <w:p w:rsidR="00AF5F29" w:rsidRPr="00414182" w:rsidRDefault="00AF5F29" w:rsidP="007A49EF">
            <w:pPr>
              <w:jc w:val="right"/>
              <w:rPr>
                <w:rFonts w:ascii="Arial" w:hAnsi="Arial" w:cs="Arial"/>
                <w:sz w:val="20"/>
                <w:szCs w:val="20"/>
              </w:rPr>
            </w:pPr>
            <w:r w:rsidRPr="00414182">
              <w:rPr>
                <w:rFonts w:ascii="Arial" w:hAnsi="Arial" w:cs="Arial"/>
                <w:sz w:val="20"/>
                <w:szCs w:val="20"/>
              </w:rPr>
              <w:t>1 837,8</w:t>
            </w:r>
          </w:p>
        </w:tc>
        <w:tc>
          <w:tcPr>
            <w:tcW w:w="963" w:type="dxa"/>
            <w:tcBorders>
              <w:top w:val="nil"/>
              <w:left w:val="nil"/>
              <w:bottom w:val="nil"/>
              <w:right w:val="single" w:sz="4" w:space="0" w:color="auto"/>
            </w:tcBorders>
            <w:shd w:val="clear" w:color="auto" w:fill="auto"/>
            <w:noWrap/>
            <w:vAlign w:val="center"/>
          </w:tcPr>
          <w:p w:rsidR="00AF5F29" w:rsidRPr="00414182" w:rsidRDefault="00AF5F29" w:rsidP="007A49EF">
            <w:pPr>
              <w:jc w:val="right"/>
              <w:rPr>
                <w:rFonts w:ascii="Arial" w:hAnsi="Arial" w:cs="Arial"/>
                <w:sz w:val="20"/>
                <w:szCs w:val="20"/>
              </w:rPr>
            </w:pPr>
            <w:r w:rsidRPr="00414182">
              <w:rPr>
                <w:rFonts w:ascii="Arial" w:hAnsi="Arial" w:cs="Arial"/>
                <w:sz w:val="20"/>
                <w:szCs w:val="20"/>
              </w:rPr>
              <w:t>37,4</w:t>
            </w:r>
          </w:p>
        </w:tc>
        <w:tc>
          <w:tcPr>
            <w:tcW w:w="1120" w:type="dxa"/>
            <w:tcBorders>
              <w:top w:val="nil"/>
              <w:left w:val="nil"/>
              <w:bottom w:val="nil"/>
              <w:right w:val="single" w:sz="4" w:space="0" w:color="auto"/>
            </w:tcBorders>
            <w:shd w:val="clear" w:color="auto" w:fill="auto"/>
            <w:noWrap/>
            <w:vAlign w:val="center"/>
          </w:tcPr>
          <w:p w:rsidR="00AF5F29" w:rsidRPr="00414182" w:rsidRDefault="00AF5F29" w:rsidP="007A49EF">
            <w:pPr>
              <w:jc w:val="right"/>
              <w:rPr>
                <w:rFonts w:ascii="Arial" w:hAnsi="Arial" w:cs="Arial"/>
                <w:sz w:val="20"/>
                <w:szCs w:val="20"/>
              </w:rPr>
            </w:pPr>
            <w:r w:rsidRPr="00414182">
              <w:rPr>
                <w:rFonts w:ascii="Arial" w:hAnsi="Arial" w:cs="Arial"/>
                <w:sz w:val="20"/>
                <w:szCs w:val="20"/>
              </w:rPr>
              <w:t>-19,4</w:t>
            </w:r>
          </w:p>
        </w:tc>
        <w:tc>
          <w:tcPr>
            <w:tcW w:w="1320" w:type="dxa"/>
            <w:tcBorders>
              <w:top w:val="nil"/>
              <w:left w:val="nil"/>
              <w:bottom w:val="nil"/>
              <w:right w:val="double" w:sz="6" w:space="0" w:color="auto"/>
            </w:tcBorders>
            <w:shd w:val="clear" w:color="auto" w:fill="auto"/>
            <w:noWrap/>
            <w:vAlign w:val="center"/>
          </w:tcPr>
          <w:p w:rsidR="00AF5F29" w:rsidRPr="00414182" w:rsidRDefault="00AF5F29" w:rsidP="007A49EF">
            <w:pPr>
              <w:jc w:val="right"/>
              <w:rPr>
                <w:rFonts w:ascii="Arial" w:hAnsi="Arial" w:cs="Arial"/>
                <w:sz w:val="20"/>
                <w:szCs w:val="20"/>
              </w:rPr>
            </w:pPr>
            <w:r w:rsidRPr="00414182">
              <w:rPr>
                <w:rFonts w:ascii="Arial" w:hAnsi="Arial" w:cs="Arial"/>
                <w:sz w:val="20"/>
                <w:szCs w:val="20"/>
              </w:rPr>
              <w:t>99,0</w:t>
            </w:r>
          </w:p>
        </w:tc>
      </w:tr>
      <w:tr w:rsidR="00AF5F29" w:rsidRPr="00414182" w:rsidTr="00F97A6F">
        <w:trPr>
          <w:trHeight w:val="330"/>
          <w:jc w:val="center"/>
        </w:trPr>
        <w:tc>
          <w:tcPr>
            <w:tcW w:w="2000" w:type="dxa"/>
            <w:tcBorders>
              <w:top w:val="nil"/>
              <w:left w:val="double" w:sz="6" w:space="0" w:color="auto"/>
              <w:bottom w:val="nil"/>
              <w:right w:val="nil"/>
            </w:tcBorders>
            <w:shd w:val="clear" w:color="auto" w:fill="auto"/>
            <w:noWrap/>
            <w:vAlign w:val="center"/>
          </w:tcPr>
          <w:p w:rsidR="00AF5F29" w:rsidRPr="00414182" w:rsidRDefault="00AF5F29" w:rsidP="007A49EF">
            <w:pPr>
              <w:rPr>
                <w:rFonts w:ascii="Arial" w:hAnsi="Arial" w:cs="Arial"/>
                <w:i/>
                <w:iCs/>
                <w:sz w:val="20"/>
                <w:szCs w:val="20"/>
              </w:rPr>
            </w:pPr>
            <w:r w:rsidRPr="00414182">
              <w:rPr>
                <w:rFonts w:ascii="Arial" w:hAnsi="Arial" w:cs="Arial"/>
                <w:i/>
                <w:iCs/>
                <w:sz w:val="20"/>
                <w:szCs w:val="20"/>
              </w:rPr>
              <w:t xml:space="preserve">    v tom: průmysl</w:t>
            </w:r>
          </w:p>
        </w:tc>
        <w:tc>
          <w:tcPr>
            <w:tcW w:w="1095" w:type="dxa"/>
            <w:tcBorders>
              <w:top w:val="nil"/>
              <w:left w:val="single" w:sz="4" w:space="0" w:color="auto"/>
              <w:bottom w:val="nil"/>
              <w:right w:val="single" w:sz="4" w:space="0" w:color="auto"/>
            </w:tcBorders>
            <w:shd w:val="clear" w:color="auto" w:fill="auto"/>
            <w:noWrap/>
            <w:vAlign w:val="center"/>
          </w:tcPr>
          <w:p w:rsidR="00AF5F29" w:rsidRPr="00414182" w:rsidRDefault="00AF5F29" w:rsidP="007A49EF">
            <w:pPr>
              <w:jc w:val="right"/>
              <w:rPr>
                <w:rFonts w:ascii="Arial" w:hAnsi="Arial" w:cs="Arial"/>
                <w:sz w:val="20"/>
                <w:szCs w:val="20"/>
              </w:rPr>
            </w:pPr>
            <w:r w:rsidRPr="00414182">
              <w:rPr>
                <w:rFonts w:ascii="Arial" w:hAnsi="Arial" w:cs="Arial"/>
                <w:sz w:val="20"/>
                <w:szCs w:val="20"/>
              </w:rPr>
              <w:t>1 434,3</w:t>
            </w:r>
          </w:p>
        </w:tc>
        <w:tc>
          <w:tcPr>
            <w:tcW w:w="825" w:type="dxa"/>
            <w:tcBorders>
              <w:top w:val="nil"/>
              <w:left w:val="nil"/>
              <w:bottom w:val="nil"/>
              <w:right w:val="single" w:sz="4" w:space="0" w:color="auto"/>
            </w:tcBorders>
            <w:shd w:val="clear" w:color="auto" w:fill="auto"/>
            <w:noWrap/>
            <w:vAlign w:val="center"/>
          </w:tcPr>
          <w:p w:rsidR="00AF5F29" w:rsidRPr="00414182" w:rsidRDefault="00AF5F29">
            <w:pPr>
              <w:jc w:val="right"/>
              <w:rPr>
                <w:rFonts w:ascii="Arial" w:hAnsi="Arial" w:cs="Arial"/>
                <w:sz w:val="20"/>
                <w:szCs w:val="20"/>
              </w:rPr>
            </w:pPr>
            <w:r w:rsidRPr="00414182">
              <w:rPr>
                <w:rFonts w:ascii="Arial" w:hAnsi="Arial" w:cs="Arial"/>
                <w:sz w:val="20"/>
                <w:szCs w:val="20"/>
              </w:rPr>
              <w:t>29,5</w:t>
            </w:r>
          </w:p>
        </w:tc>
        <w:tc>
          <w:tcPr>
            <w:tcW w:w="1277" w:type="dxa"/>
            <w:tcBorders>
              <w:top w:val="nil"/>
              <w:left w:val="nil"/>
              <w:bottom w:val="nil"/>
              <w:right w:val="single" w:sz="4" w:space="0" w:color="auto"/>
            </w:tcBorders>
            <w:shd w:val="clear" w:color="auto" w:fill="auto"/>
            <w:noWrap/>
            <w:vAlign w:val="center"/>
          </w:tcPr>
          <w:p w:rsidR="00AF5F29" w:rsidRPr="00414182" w:rsidRDefault="00AF5F29" w:rsidP="007A49EF">
            <w:pPr>
              <w:jc w:val="right"/>
              <w:rPr>
                <w:rFonts w:ascii="Arial" w:hAnsi="Arial" w:cs="Arial"/>
                <w:sz w:val="20"/>
                <w:szCs w:val="20"/>
              </w:rPr>
            </w:pPr>
            <w:r w:rsidRPr="00414182">
              <w:rPr>
                <w:rFonts w:ascii="Arial" w:hAnsi="Arial" w:cs="Arial"/>
                <w:sz w:val="20"/>
                <w:szCs w:val="20"/>
              </w:rPr>
              <w:t>1 424,4</w:t>
            </w:r>
          </w:p>
        </w:tc>
        <w:tc>
          <w:tcPr>
            <w:tcW w:w="963" w:type="dxa"/>
            <w:tcBorders>
              <w:top w:val="nil"/>
              <w:left w:val="nil"/>
              <w:bottom w:val="nil"/>
              <w:right w:val="single" w:sz="4" w:space="0" w:color="auto"/>
            </w:tcBorders>
            <w:shd w:val="clear" w:color="auto" w:fill="auto"/>
            <w:noWrap/>
            <w:vAlign w:val="center"/>
          </w:tcPr>
          <w:p w:rsidR="00AF5F29" w:rsidRPr="00414182" w:rsidRDefault="00AF5F29" w:rsidP="007A49EF">
            <w:pPr>
              <w:jc w:val="right"/>
              <w:rPr>
                <w:rFonts w:ascii="Arial" w:hAnsi="Arial" w:cs="Arial"/>
                <w:sz w:val="20"/>
                <w:szCs w:val="20"/>
              </w:rPr>
            </w:pPr>
            <w:r w:rsidRPr="00414182">
              <w:rPr>
                <w:rFonts w:ascii="Arial" w:hAnsi="Arial" w:cs="Arial"/>
                <w:sz w:val="20"/>
                <w:szCs w:val="20"/>
              </w:rPr>
              <w:t>29,0</w:t>
            </w:r>
          </w:p>
        </w:tc>
        <w:tc>
          <w:tcPr>
            <w:tcW w:w="1120" w:type="dxa"/>
            <w:tcBorders>
              <w:top w:val="nil"/>
              <w:left w:val="nil"/>
              <w:bottom w:val="nil"/>
              <w:right w:val="single" w:sz="4" w:space="0" w:color="auto"/>
            </w:tcBorders>
            <w:shd w:val="clear" w:color="auto" w:fill="auto"/>
            <w:noWrap/>
            <w:vAlign w:val="center"/>
          </w:tcPr>
          <w:p w:rsidR="00AF5F29" w:rsidRPr="00414182" w:rsidRDefault="00AF5F29" w:rsidP="007A49EF">
            <w:pPr>
              <w:jc w:val="right"/>
              <w:rPr>
                <w:rFonts w:ascii="Arial" w:hAnsi="Arial" w:cs="Arial"/>
                <w:sz w:val="20"/>
                <w:szCs w:val="20"/>
              </w:rPr>
            </w:pPr>
            <w:r w:rsidRPr="00414182">
              <w:rPr>
                <w:rFonts w:ascii="Arial" w:hAnsi="Arial" w:cs="Arial"/>
                <w:sz w:val="20"/>
                <w:szCs w:val="20"/>
              </w:rPr>
              <w:t>-9,8</w:t>
            </w:r>
          </w:p>
        </w:tc>
        <w:tc>
          <w:tcPr>
            <w:tcW w:w="1320" w:type="dxa"/>
            <w:tcBorders>
              <w:top w:val="nil"/>
              <w:left w:val="nil"/>
              <w:bottom w:val="nil"/>
              <w:right w:val="double" w:sz="6" w:space="0" w:color="auto"/>
            </w:tcBorders>
            <w:shd w:val="clear" w:color="auto" w:fill="auto"/>
            <w:noWrap/>
            <w:vAlign w:val="center"/>
          </w:tcPr>
          <w:p w:rsidR="00AF5F29" w:rsidRPr="00414182" w:rsidRDefault="00AF5F29" w:rsidP="007A49EF">
            <w:pPr>
              <w:jc w:val="right"/>
              <w:rPr>
                <w:rFonts w:ascii="Arial" w:hAnsi="Arial" w:cs="Arial"/>
                <w:sz w:val="20"/>
                <w:szCs w:val="20"/>
              </w:rPr>
            </w:pPr>
            <w:r w:rsidRPr="00414182">
              <w:rPr>
                <w:rFonts w:ascii="Arial" w:hAnsi="Arial" w:cs="Arial"/>
                <w:sz w:val="20"/>
                <w:szCs w:val="20"/>
              </w:rPr>
              <w:t>99,3</w:t>
            </w:r>
          </w:p>
        </w:tc>
      </w:tr>
      <w:tr w:rsidR="00AF5F29" w:rsidRPr="00414182" w:rsidTr="00F97A6F">
        <w:trPr>
          <w:trHeight w:val="330"/>
          <w:jc w:val="center"/>
        </w:trPr>
        <w:tc>
          <w:tcPr>
            <w:tcW w:w="2000" w:type="dxa"/>
            <w:tcBorders>
              <w:top w:val="nil"/>
              <w:left w:val="double" w:sz="6" w:space="0" w:color="auto"/>
              <w:bottom w:val="nil"/>
              <w:right w:val="nil"/>
            </w:tcBorders>
            <w:shd w:val="clear" w:color="auto" w:fill="auto"/>
            <w:noWrap/>
            <w:vAlign w:val="center"/>
          </w:tcPr>
          <w:p w:rsidR="00AF5F29" w:rsidRPr="00414182" w:rsidRDefault="00AF5F29" w:rsidP="007A49EF">
            <w:pPr>
              <w:rPr>
                <w:rFonts w:ascii="Arial" w:hAnsi="Arial" w:cs="Arial"/>
                <w:i/>
                <w:iCs/>
                <w:sz w:val="20"/>
                <w:szCs w:val="20"/>
              </w:rPr>
            </w:pPr>
            <w:r w:rsidRPr="00414182">
              <w:rPr>
                <w:rFonts w:ascii="Arial" w:hAnsi="Arial" w:cs="Arial"/>
                <w:i/>
                <w:iCs/>
                <w:sz w:val="20"/>
                <w:szCs w:val="20"/>
              </w:rPr>
              <w:t xml:space="preserve">              stavebnictví</w:t>
            </w:r>
          </w:p>
        </w:tc>
        <w:tc>
          <w:tcPr>
            <w:tcW w:w="1095" w:type="dxa"/>
            <w:tcBorders>
              <w:top w:val="nil"/>
              <w:left w:val="single" w:sz="4" w:space="0" w:color="auto"/>
              <w:bottom w:val="nil"/>
              <w:right w:val="single" w:sz="4" w:space="0" w:color="auto"/>
            </w:tcBorders>
            <w:shd w:val="clear" w:color="auto" w:fill="auto"/>
            <w:noWrap/>
            <w:vAlign w:val="center"/>
          </w:tcPr>
          <w:p w:rsidR="00AF5F29" w:rsidRPr="00414182" w:rsidRDefault="00AF5F29" w:rsidP="007A49EF">
            <w:pPr>
              <w:jc w:val="right"/>
              <w:rPr>
                <w:rFonts w:ascii="Arial" w:hAnsi="Arial" w:cs="Arial"/>
                <w:sz w:val="20"/>
                <w:szCs w:val="20"/>
              </w:rPr>
            </w:pPr>
            <w:r w:rsidRPr="00414182">
              <w:rPr>
                <w:rFonts w:ascii="Arial" w:hAnsi="Arial" w:cs="Arial"/>
                <w:sz w:val="20"/>
                <w:szCs w:val="20"/>
              </w:rPr>
              <w:t>422,9</w:t>
            </w:r>
          </w:p>
        </w:tc>
        <w:tc>
          <w:tcPr>
            <w:tcW w:w="825" w:type="dxa"/>
            <w:tcBorders>
              <w:top w:val="nil"/>
              <w:left w:val="nil"/>
              <w:bottom w:val="nil"/>
              <w:right w:val="single" w:sz="4" w:space="0" w:color="auto"/>
            </w:tcBorders>
            <w:shd w:val="clear" w:color="auto" w:fill="auto"/>
            <w:noWrap/>
            <w:vAlign w:val="center"/>
          </w:tcPr>
          <w:p w:rsidR="00AF5F29" w:rsidRPr="00414182" w:rsidRDefault="00AF5F29">
            <w:pPr>
              <w:jc w:val="right"/>
              <w:rPr>
                <w:rFonts w:ascii="Arial" w:hAnsi="Arial" w:cs="Arial"/>
                <w:sz w:val="20"/>
                <w:szCs w:val="20"/>
              </w:rPr>
            </w:pPr>
            <w:r w:rsidRPr="00414182">
              <w:rPr>
                <w:rFonts w:ascii="Arial" w:hAnsi="Arial" w:cs="Arial"/>
                <w:sz w:val="20"/>
                <w:szCs w:val="20"/>
              </w:rPr>
              <w:t>8,7</w:t>
            </w:r>
          </w:p>
        </w:tc>
        <w:tc>
          <w:tcPr>
            <w:tcW w:w="1277" w:type="dxa"/>
            <w:tcBorders>
              <w:top w:val="nil"/>
              <w:left w:val="nil"/>
              <w:bottom w:val="nil"/>
              <w:right w:val="single" w:sz="4" w:space="0" w:color="auto"/>
            </w:tcBorders>
            <w:shd w:val="clear" w:color="auto" w:fill="auto"/>
            <w:noWrap/>
            <w:vAlign w:val="center"/>
          </w:tcPr>
          <w:p w:rsidR="00AF5F29" w:rsidRPr="00414182" w:rsidRDefault="00AF5F29" w:rsidP="007A49EF">
            <w:pPr>
              <w:jc w:val="right"/>
              <w:rPr>
                <w:rFonts w:ascii="Arial" w:hAnsi="Arial" w:cs="Arial"/>
                <w:sz w:val="20"/>
                <w:szCs w:val="20"/>
              </w:rPr>
            </w:pPr>
            <w:r w:rsidRPr="00414182">
              <w:rPr>
                <w:rFonts w:ascii="Arial" w:hAnsi="Arial" w:cs="Arial"/>
                <w:sz w:val="20"/>
                <w:szCs w:val="20"/>
              </w:rPr>
              <w:t>413,4</w:t>
            </w:r>
          </w:p>
        </w:tc>
        <w:tc>
          <w:tcPr>
            <w:tcW w:w="963" w:type="dxa"/>
            <w:tcBorders>
              <w:top w:val="nil"/>
              <w:left w:val="nil"/>
              <w:bottom w:val="nil"/>
              <w:right w:val="single" w:sz="4" w:space="0" w:color="auto"/>
            </w:tcBorders>
            <w:shd w:val="clear" w:color="auto" w:fill="auto"/>
            <w:noWrap/>
            <w:vAlign w:val="center"/>
          </w:tcPr>
          <w:p w:rsidR="00AF5F29" w:rsidRPr="00414182" w:rsidRDefault="00AF5F29" w:rsidP="007A49EF">
            <w:pPr>
              <w:jc w:val="right"/>
              <w:rPr>
                <w:rFonts w:ascii="Arial" w:hAnsi="Arial" w:cs="Arial"/>
                <w:sz w:val="20"/>
                <w:szCs w:val="20"/>
              </w:rPr>
            </w:pPr>
            <w:r w:rsidRPr="00414182">
              <w:rPr>
                <w:rFonts w:ascii="Arial" w:hAnsi="Arial" w:cs="Arial"/>
                <w:sz w:val="20"/>
                <w:szCs w:val="20"/>
              </w:rPr>
              <w:t>8,4</w:t>
            </w:r>
          </w:p>
        </w:tc>
        <w:tc>
          <w:tcPr>
            <w:tcW w:w="1120" w:type="dxa"/>
            <w:tcBorders>
              <w:top w:val="nil"/>
              <w:left w:val="nil"/>
              <w:bottom w:val="nil"/>
              <w:right w:val="single" w:sz="4" w:space="0" w:color="auto"/>
            </w:tcBorders>
            <w:shd w:val="clear" w:color="auto" w:fill="auto"/>
            <w:noWrap/>
            <w:vAlign w:val="center"/>
          </w:tcPr>
          <w:p w:rsidR="00AF5F29" w:rsidRPr="00414182" w:rsidRDefault="00AF5F29" w:rsidP="007A49EF">
            <w:pPr>
              <w:jc w:val="right"/>
              <w:rPr>
                <w:rFonts w:ascii="Arial" w:hAnsi="Arial" w:cs="Arial"/>
                <w:sz w:val="20"/>
                <w:szCs w:val="20"/>
              </w:rPr>
            </w:pPr>
            <w:r w:rsidRPr="00414182">
              <w:rPr>
                <w:rFonts w:ascii="Arial" w:hAnsi="Arial" w:cs="Arial"/>
                <w:sz w:val="20"/>
                <w:szCs w:val="20"/>
              </w:rPr>
              <w:t>-9,5</w:t>
            </w:r>
          </w:p>
        </w:tc>
        <w:tc>
          <w:tcPr>
            <w:tcW w:w="1320" w:type="dxa"/>
            <w:tcBorders>
              <w:top w:val="nil"/>
              <w:left w:val="nil"/>
              <w:bottom w:val="nil"/>
              <w:right w:val="double" w:sz="6" w:space="0" w:color="auto"/>
            </w:tcBorders>
            <w:shd w:val="clear" w:color="auto" w:fill="auto"/>
            <w:noWrap/>
            <w:vAlign w:val="center"/>
          </w:tcPr>
          <w:p w:rsidR="00AF5F29" w:rsidRPr="00414182" w:rsidRDefault="00AF5F29" w:rsidP="007A49EF">
            <w:pPr>
              <w:jc w:val="right"/>
              <w:rPr>
                <w:rFonts w:ascii="Arial" w:hAnsi="Arial" w:cs="Arial"/>
                <w:sz w:val="20"/>
                <w:szCs w:val="20"/>
              </w:rPr>
            </w:pPr>
            <w:r w:rsidRPr="00414182">
              <w:rPr>
                <w:rFonts w:ascii="Arial" w:hAnsi="Arial" w:cs="Arial"/>
                <w:sz w:val="20"/>
                <w:szCs w:val="20"/>
              </w:rPr>
              <w:t>97,8</w:t>
            </w:r>
          </w:p>
        </w:tc>
      </w:tr>
      <w:tr w:rsidR="00AF5F29" w:rsidRPr="00414182" w:rsidTr="00F97A6F">
        <w:trPr>
          <w:trHeight w:val="330"/>
          <w:jc w:val="center"/>
        </w:trPr>
        <w:tc>
          <w:tcPr>
            <w:tcW w:w="2000" w:type="dxa"/>
            <w:tcBorders>
              <w:top w:val="nil"/>
              <w:left w:val="double" w:sz="6" w:space="0" w:color="auto"/>
              <w:bottom w:val="double" w:sz="6" w:space="0" w:color="auto"/>
              <w:right w:val="nil"/>
            </w:tcBorders>
            <w:shd w:val="clear" w:color="auto" w:fill="auto"/>
            <w:noWrap/>
            <w:vAlign w:val="center"/>
          </w:tcPr>
          <w:p w:rsidR="00AF5F29" w:rsidRPr="00414182" w:rsidRDefault="00AF5F29" w:rsidP="007A49EF">
            <w:pPr>
              <w:rPr>
                <w:rFonts w:ascii="Arial" w:hAnsi="Arial" w:cs="Arial"/>
                <w:sz w:val="20"/>
                <w:szCs w:val="20"/>
              </w:rPr>
            </w:pPr>
            <w:r w:rsidRPr="00414182">
              <w:rPr>
                <w:rFonts w:ascii="Arial" w:hAnsi="Arial" w:cs="Arial"/>
                <w:sz w:val="20"/>
                <w:szCs w:val="20"/>
              </w:rPr>
              <w:t>III. sektor *)</w:t>
            </w:r>
          </w:p>
        </w:tc>
        <w:tc>
          <w:tcPr>
            <w:tcW w:w="1095" w:type="dxa"/>
            <w:tcBorders>
              <w:top w:val="nil"/>
              <w:left w:val="single" w:sz="4" w:space="0" w:color="auto"/>
              <w:bottom w:val="double" w:sz="6" w:space="0" w:color="auto"/>
              <w:right w:val="single" w:sz="4" w:space="0" w:color="auto"/>
            </w:tcBorders>
            <w:shd w:val="clear" w:color="auto" w:fill="auto"/>
            <w:noWrap/>
            <w:vAlign w:val="center"/>
          </w:tcPr>
          <w:p w:rsidR="00AF5F29" w:rsidRPr="00414182" w:rsidRDefault="00AF5F29" w:rsidP="007A49EF">
            <w:pPr>
              <w:jc w:val="right"/>
              <w:rPr>
                <w:rFonts w:ascii="Arial" w:hAnsi="Arial" w:cs="Arial"/>
                <w:sz w:val="20"/>
                <w:szCs w:val="20"/>
              </w:rPr>
            </w:pPr>
            <w:r w:rsidRPr="00414182">
              <w:rPr>
                <w:rFonts w:ascii="Arial" w:hAnsi="Arial" w:cs="Arial"/>
                <w:sz w:val="20"/>
                <w:szCs w:val="20"/>
              </w:rPr>
              <w:t>2 861,1</w:t>
            </w:r>
          </w:p>
        </w:tc>
        <w:tc>
          <w:tcPr>
            <w:tcW w:w="825" w:type="dxa"/>
            <w:tcBorders>
              <w:top w:val="nil"/>
              <w:left w:val="nil"/>
              <w:bottom w:val="double" w:sz="6" w:space="0" w:color="auto"/>
              <w:right w:val="single" w:sz="4" w:space="0" w:color="auto"/>
            </w:tcBorders>
            <w:shd w:val="clear" w:color="auto" w:fill="auto"/>
            <w:noWrap/>
            <w:vAlign w:val="center"/>
          </w:tcPr>
          <w:p w:rsidR="00AF5F29" w:rsidRPr="00414182" w:rsidRDefault="00AF5F29">
            <w:pPr>
              <w:jc w:val="right"/>
              <w:rPr>
                <w:rFonts w:ascii="Arial" w:hAnsi="Arial" w:cs="Arial"/>
                <w:sz w:val="20"/>
                <w:szCs w:val="20"/>
              </w:rPr>
            </w:pPr>
            <w:r w:rsidRPr="00414182">
              <w:rPr>
                <w:rFonts w:ascii="Arial" w:hAnsi="Arial" w:cs="Arial"/>
                <w:sz w:val="20"/>
                <w:szCs w:val="20"/>
              </w:rPr>
              <w:t>58,9</w:t>
            </w:r>
          </w:p>
        </w:tc>
        <w:tc>
          <w:tcPr>
            <w:tcW w:w="1277" w:type="dxa"/>
            <w:tcBorders>
              <w:top w:val="nil"/>
              <w:left w:val="nil"/>
              <w:bottom w:val="double" w:sz="6" w:space="0" w:color="auto"/>
              <w:right w:val="single" w:sz="4" w:space="0" w:color="auto"/>
            </w:tcBorders>
            <w:shd w:val="clear" w:color="auto" w:fill="auto"/>
            <w:noWrap/>
            <w:vAlign w:val="center"/>
          </w:tcPr>
          <w:p w:rsidR="00AF5F29" w:rsidRPr="00414182" w:rsidRDefault="00AF5F29" w:rsidP="007A49EF">
            <w:pPr>
              <w:jc w:val="right"/>
              <w:rPr>
                <w:rFonts w:ascii="Arial" w:hAnsi="Arial" w:cs="Arial"/>
                <w:sz w:val="20"/>
                <w:szCs w:val="20"/>
              </w:rPr>
            </w:pPr>
            <w:r w:rsidRPr="00414182">
              <w:rPr>
                <w:rFonts w:ascii="Arial" w:hAnsi="Arial" w:cs="Arial"/>
                <w:sz w:val="20"/>
                <w:szCs w:val="20"/>
              </w:rPr>
              <w:t>2 928,4</w:t>
            </w:r>
          </w:p>
        </w:tc>
        <w:tc>
          <w:tcPr>
            <w:tcW w:w="963" w:type="dxa"/>
            <w:tcBorders>
              <w:top w:val="nil"/>
              <w:left w:val="nil"/>
              <w:bottom w:val="double" w:sz="6" w:space="0" w:color="auto"/>
              <w:right w:val="single" w:sz="4" w:space="0" w:color="auto"/>
            </w:tcBorders>
            <w:shd w:val="clear" w:color="auto" w:fill="auto"/>
            <w:noWrap/>
            <w:vAlign w:val="center"/>
          </w:tcPr>
          <w:p w:rsidR="00AF5F29" w:rsidRPr="00414182" w:rsidRDefault="00AF5F29" w:rsidP="007A49EF">
            <w:pPr>
              <w:jc w:val="right"/>
              <w:rPr>
                <w:rFonts w:ascii="Arial" w:hAnsi="Arial" w:cs="Arial"/>
                <w:sz w:val="20"/>
                <w:szCs w:val="20"/>
              </w:rPr>
            </w:pPr>
            <w:r w:rsidRPr="00414182">
              <w:rPr>
                <w:rFonts w:ascii="Arial" w:hAnsi="Arial" w:cs="Arial"/>
                <w:sz w:val="20"/>
                <w:szCs w:val="20"/>
              </w:rPr>
              <w:t>59,5</w:t>
            </w:r>
          </w:p>
        </w:tc>
        <w:tc>
          <w:tcPr>
            <w:tcW w:w="1120" w:type="dxa"/>
            <w:tcBorders>
              <w:top w:val="nil"/>
              <w:left w:val="nil"/>
              <w:bottom w:val="double" w:sz="6" w:space="0" w:color="auto"/>
              <w:right w:val="single" w:sz="4" w:space="0" w:color="auto"/>
            </w:tcBorders>
            <w:shd w:val="clear" w:color="auto" w:fill="auto"/>
            <w:noWrap/>
            <w:vAlign w:val="center"/>
          </w:tcPr>
          <w:p w:rsidR="00AF5F29" w:rsidRPr="00414182" w:rsidRDefault="00AF5F29" w:rsidP="007A49EF">
            <w:pPr>
              <w:jc w:val="right"/>
              <w:rPr>
                <w:rFonts w:ascii="Arial" w:hAnsi="Arial" w:cs="Arial"/>
                <w:sz w:val="20"/>
                <w:szCs w:val="20"/>
              </w:rPr>
            </w:pPr>
            <w:r w:rsidRPr="00414182">
              <w:rPr>
                <w:rFonts w:ascii="Arial" w:hAnsi="Arial" w:cs="Arial"/>
                <w:sz w:val="20"/>
                <w:szCs w:val="20"/>
              </w:rPr>
              <w:t>67,3</w:t>
            </w:r>
          </w:p>
        </w:tc>
        <w:tc>
          <w:tcPr>
            <w:tcW w:w="1320" w:type="dxa"/>
            <w:tcBorders>
              <w:top w:val="nil"/>
              <w:left w:val="nil"/>
              <w:bottom w:val="double" w:sz="6" w:space="0" w:color="auto"/>
              <w:right w:val="double" w:sz="6" w:space="0" w:color="auto"/>
            </w:tcBorders>
            <w:shd w:val="clear" w:color="auto" w:fill="auto"/>
            <w:noWrap/>
            <w:vAlign w:val="center"/>
          </w:tcPr>
          <w:p w:rsidR="00AF5F29" w:rsidRPr="00414182" w:rsidRDefault="00AF5F29" w:rsidP="007A49EF">
            <w:pPr>
              <w:jc w:val="right"/>
              <w:rPr>
                <w:rFonts w:ascii="Arial" w:hAnsi="Arial" w:cs="Arial"/>
                <w:sz w:val="20"/>
                <w:szCs w:val="20"/>
              </w:rPr>
            </w:pPr>
            <w:r w:rsidRPr="00414182">
              <w:rPr>
                <w:rFonts w:ascii="Arial" w:hAnsi="Arial" w:cs="Arial"/>
                <w:sz w:val="20"/>
                <w:szCs w:val="20"/>
              </w:rPr>
              <w:t>102,4</w:t>
            </w:r>
          </w:p>
        </w:tc>
      </w:tr>
    </w:tbl>
    <w:p w:rsidR="007A49EF" w:rsidRPr="00414182" w:rsidRDefault="007A49EF" w:rsidP="007A49EF">
      <w:pPr>
        <w:tabs>
          <w:tab w:val="center" w:pos="720"/>
        </w:tabs>
        <w:jc w:val="both"/>
        <w:rPr>
          <w:rFonts w:ascii="Arial" w:hAnsi="Arial" w:cs="Arial"/>
          <w:i/>
          <w:iCs/>
          <w:sz w:val="18"/>
          <w:szCs w:val="18"/>
        </w:rPr>
      </w:pPr>
      <w:r w:rsidRPr="00414182">
        <w:rPr>
          <w:rFonts w:ascii="Arial" w:hAnsi="Arial" w:cs="Arial"/>
          <w:i/>
          <w:iCs/>
          <w:sz w:val="18"/>
          <w:szCs w:val="18"/>
        </w:rPr>
        <w:tab/>
        <w:t xml:space="preserve">    Zdroj: ČSÚ – VŠPS</w:t>
      </w:r>
    </w:p>
    <w:p w:rsidR="007A49EF" w:rsidRPr="00414182" w:rsidRDefault="007A49EF" w:rsidP="007A49EF">
      <w:pPr>
        <w:tabs>
          <w:tab w:val="center" w:pos="720"/>
        </w:tabs>
        <w:jc w:val="both"/>
        <w:rPr>
          <w:rFonts w:ascii="Arial" w:hAnsi="Arial" w:cs="Arial"/>
          <w:i/>
          <w:iCs/>
          <w:sz w:val="18"/>
          <w:szCs w:val="18"/>
        </w:rPr>
      </w:pPr>
      <w:r w:rsidRPr="00414182">
        <w:rPr>
          <w:rFonts w:ascii="Arial" w:hAnsi="Arial" w:cs="Arial"/>
          <w:i/>
          <w:iCs/>
          <w:sz w:val="18"/>
          <w:szCs w:val="18"/>
        </w:rPr>
        <w:t xml:space="preserve">  </w:t>
      </w:r>
      <w:r w:rsidRPr="00414182">
        <w:rPr>
          <w:rFonts w:ascii="Arial" w:hAnsi="Arial" w:cs="Arial"/>
          <w:i/>
          <w:iCs/>
          <w:sz w:val="18"/>
          <w:szCs w:val="18"/>
        </w:rPr>
        <w:tab/>
        <w:t xml:space="preserve">  *) vč. nezjištěné sektorové příslušnosti</w:t>
      </w:r>
    </w:p>
    <w:p w:rsidR="007A49EF" w:rsidRPr="00414182" w:rsidRDefault="007A49EF" w:rsidP="007A49EF">
      <w:pPr>
        <w:tabs>
          <w:tab w:val="center" w:pos="720"/>
        </w:tabs>
        <w:jc w:val="both"/>
        <w:rPr>
          <w:rFonts w:ascii="Arial" w:hAnsi="Arial" w:cs="Arial"/>
          <w:i/>
          <w:iCs/>
          <w:sz w:val="18"/>
          <w:szCs w:val="18"/>
        </w:rPr>
      </w:pPr>
    </w:p>
    <w:p w:rsidR="007A49EF" w:rsidRPr="00414182" w:rsidRDefault="007A49EF" w:rsidP="007A49EF">
      <w:pPr>
        <w:tabs>
          <w:tab w:val="center" w:pos="720"/>
        </w:tabs>
        <w:jc w:val="both"/>
        <w:rPr>
          <w:rFonts w:ascii="Arial" w:hAnsi="Arial" w:cs="Arial"/>
          <w:i/>
          <w:iCs/>
          <w:sz w:val="18"/>
          <w:szCs w:val="18"/>
        </w:rPr>
      </w:pPr>
    </w:p>
    <w:p w:rsidR="007A49EF" w:rsidRPr="00251317" w:rsidRDefault="007A49EF" w:rsidP="007A49EF">
      <w:pPr>
        <w:spacing w:line="360" w:lineRule="auto"/>
        <w:ind w:firstLine="720"/>
        <w:jc w:val="both"/>
        <w:rPr>
          <w:rFonts w:ascii="Arial" w:hAnsi="Arial" w:cs="Arial"/>
          <w:b/>
          <w:szCs w:val="20"/>
        </w:rPr>
      </w:pPr>
      <w:r w:rsidRPr="00414182">
        <w:rPr>
          <w:rFonts w:ascii="Arial" w:hAnsi="Arial" w:cs="Arial"/>
        </w:rPr>
        <w:t xml:space="preserve">V </w:t>
      </w:r>
      <w:r w:rsidRPr="00414182">
        <w:rPr>
          <w:rFonts w:ascii="Arial" w:hAnsi="Arial" w:cs="Arial"/>
          <w:b/>
        </w:rPr>
        <w:t>průmyslu</w:t>
      </w:r>
      <w:r w:rsidRPr="00414182">
        <w:rPr>
          <w:rFonts w:ascii="Arial" w:hAnsi="Arial" w:cs="Arial"/>
        </w:rPr>
        <w:t xml:space="preserve"> </w:t>
      </w:r>
      <w:r w:rsidRPr="00414182">
        <w:rPr>
          <w:rFonts w:ascii="Arial" w:hAnsi="Arial" w:cs="Arial"/>
          <w:bCs/>
        </w:rPr>
        <w:t xml:space="preserve">poklesl počet zaměstnaných osob </w:t>
      </w:r>
      <w:r w:rsidRPr="00414182">
        <w:rPr>
          <w:rFonts w:ascii="Arial" w:hAnsi="Arial" w:cs="Arial"/>
        </w:rPr>
        <w:t xml:space="preserve">(o 9,8 tis.) na </w:t>
      </w:r>
      <w:r w:rsidRPr="00414182">
        <w:rPr>
          <w:rFonts w:ascii="Arial" w:hAnsi="Arial" w:cs="Arial"/>
          <w:b/>
          <w:bCs/>
        </w:rPr>
        <w:t>1 424,4 tis.</w:t>
      </w:r>
      <w:r w:rsidRPr="00414182">
        <w:rPr>
          <w:rFonts w:ascii="Arial" w:hAnsi="Arial" w:cs="Arial"/>
          <w:bCs/>
        </w:rPr>
        <w:t xml:space="preserve">, </w:t>
      </w:r>
      <w:r w:rsidRPr="00414182">
        <w:rPr>
          <w:rFonts w:ascii="Arial" w:hAnsi="Arial" w:cs="Arial"/>
          <w:b/>
          <w:bCs/>
        </w:rPr>
        <w:t>p</w:t>
      </w:r>
      <w:r w:rsidRPr="00414182">
        <w:rPr>
          <w:rFonts w:ascii="Arial" w:hAnsi="Arial" w:cs="Arial"/>
          <w:b/>
        </w:rPr>
        <w:t>odíl průmyslu</w:t>
      </w:r>
      <w:r w:rsidRPr="00414182">
        <w:rPr>
          <w:rFonts w:ascii="Arial" w:hAnsi="Arial" w:cs="Arial"/>
        </w:rPr>
        <w:t xml:space="preserve"> na celkové zaměstnanosti </w:t>
      </w:r>
      <w:r w:rsidRPr="00414182">
        <w:rPr>
          <w:rFonts w:ascii="Arial" w:hAnsi="Arial" w:cs="Arial"/>
          <w:b/>
        </w:rPr>
        <w:t>se</w:t>
      </w:r>
      <w:r w:rsidRPr="00414182">
        <w:rPr>
          <w:rFonts w:ascii="Arial" w:hAnsi="Arial" w:cs="Arial"/>
        </w:rPr>
        <w:t xml:space="preserve"> </w:t>
      </w:r>
      <w:r w:rsidR="00AF5F29" w:rsidRPr="00414182">
        <w:rPr>
          <w:rFonts w:ascii="Arial" w:hAnsi="Arial" w:cs="Arial"/>
          <w:b/>
        </w:rPr>
        <w:t>snížil</w:t>
      </w:r>
      <w:r w:rsidRPr="00414182">
        <w:rPr>
          <w:rFonts w:ascii="Arial" w:hAnsi="Arial" w:cs="Arial"/>
        </w:rPr>
        <w:t xml:space="preserve"> (o 0,5 p. b.)</w:t>
      </w:r>
      <w:r w:rsidRPr="00251317">
        <w:rPr>
          <w:rFonts w:ascii="Arial" w:hAnsi="Arial" w:cs="Arial"/>
        </w:rPr>
        <w:t xml:space="preserve"> na </w:t>
      </w:r>
      <w:r w:rsidRPr="00251317">
        <w:rPr>
          <w:rFonts w:ascii="Arial" w:hAnsi="Arial" w:cs="Arial"/>
          <w:b/>
        </w:rPr>
        <w:t>29,0 %</w:t>
      </w:r>
      <w:r w:rsidRPr="00251317">
        <w:rPr>
          <w:rFonts w:ascii="Arial" w:hAnsi="Arial" w:cs="Arial"/>
        </w:rPr>
        <w:t xml:space="preserve">. </w:t>
      </w:r>
      <w:r w:rsidRPr="00251317">
        <w:rPr>
          <w:rFonts w:ascii="Arial" w:hAnsi="Arial" w:cs="Arial"/>
          <w:b/>
          <w:bCs/>
        </w:rPr>
        <w:t>K poklesu přispěl z</w:t>
      </w:r>
      <w:r w:rsidRPr="00251317">
        <w:rPr>
          <w:rFonts w:ascii="Arial" w:hAnsi="Arial" w:cs="Arial"/>
          <w:b/>
        </w:rPr>
        <w:t xml:space="preserve">pracovatelský </w:t>
      </w:r>
      <w:r w:rsidRPr="00251317">
        <w:rPr>
          <w:rFonts w:ascii="Arial" w:hAnsi="Arial" w:cs="Arial"/>
        </w:rPr>
        <w:t xml:space="preserve">průmysl (pokles o 12,7 tis. na 1 280,5 tis. osob) </w:t>
      </w:r>
      <w:r w:rsidRPr="00251317">
        <w:rPr>
          <w:rFonts w:ascii="Arial" w:hAnsi="Arial" w:cs="Arial"/>
          <w:szCs w:val="20"/>
        </w:rPr>
        <w:t xml:space="preserve">a těžba a dobývání (o 3,3 tis. na 41,5 tis.). </w:t>
      </w:r>
      <w:r w:rsidRPr="00643F7D">
        <w:rPr>
          <w:rFonts w:ascii="Arial" w:hAnsi="Arial" w:cs="Arial"/>
          <w:b/>
          <w:szCs w:val="20"/>
        </w:rPr>
        <w:t xml:space="preserve">Největší pokles </w:t>
      </w:r>
      <w:r w:rsidRPr="00643F7D">
        <w:rPr>
          <w:rFonts w:ascii="Arial" w:hAnsi="Arial" w:cs="Arial"/>
          <w:b/>
          <w:bCs/>
          <w:szCs w:val="20"/>
        </w:rPr>
        <w:t>ve zpracovatelském průmyslu</w:t>
      </w:r>
      <w:r w:rsidRPr="00251317">
        <w:rPr>
          <w:rFonts w:ascii="Arial" w:hAnsi="Arial" w:cs="Arial"/>
          <w:b/>
          <w:bCs/>
          <w:szCs w:val="20"/>
        </w:rPr>
        <w:t xml:space="preserve"> </w:t>
      </w:r>
      <w:r>
        <w:rPr>
          <w:rFonts w:ascii="Arial" w:hAnsi="Arial" w:cs="Arial"/>
          <w:szCs w:val="20"/>
        </w:rPr>
        <w:t>byl zaznamenán v odvětvích z</w:t>
      </w:r>
      <w:r w:rsidRPr="00643F7D">
        <w:rPr>
          <w:rFonts w:ascii="Arial" w:hAnsi="Arial" w:cs="Arial"/>
          <w:szCs w:val="20"/>
        </w:rPr>
        <w:t>prac</w:t>
      </w:r>
      <w:r>
        <w:rPr>
          <w:rFonts w:ascii="Arial" w:hAnsi="Arial" w:cs="Arial"/>
          <w:szCs w:val="20"/>
        </w:rPr>
        <w:t xml:space="preserve">ování </w:t>
      </w:r>
      <w:r w:rsidRPr="00643F7D">
        <w:rPr>
          <w:rFonts w:ascii="Arial" w:hAnsi="Arial" w:cs="Arial"/>
          <w:szCs w:val="20"/>
        </w:rPr>
        <w:t>d</w:t>
      </w:r>
      <w:r>
        <w:rPr>
          <w:rFonts w:ascii="Arial" w:hAnsi="Arial" w:cs="Arial"/>
          <w:szCs w:val="20"/>
        </w:rPr>
        <w:t>ř</w:t>
      </w:r>
      <w:r w:rsidRPr="00643F7D">
        <w:rPr>
          <w:rFonts w:ascii="Arial" w:hAnsi="Arial" w:cs="Arial"/>
          <w:szCs w:val="20"/>
        </w:rPr>
        <w:t xml:space="preserve">eva </w:t>
      </w:r>
      <w:r>
        <w:rPr>
          <w:rFonts w:ascii="Arial" w:hAnsi="Arial" w:cs="Arial"/>
          <w:szCs w:val="20"/>
        </w:rPr>
        <w:t>a výroby vlákniny, papíru a výrobků z papíru, naopak nárůst v odvětvích vý</w:t>
      </w:r>
      <w:r w:rsidRPr="00643F7D">
        <w:rPr>
          <w:rFonts w:ascii="Arial" w:hAnsi="Arial" w:cs="Arial"/>
          <w:szCs w:val="20"/>
        </w:rPr>
        <w:t>rob</w:t>
      </w:r>
      <w:r>
        <w:rPr>
          <w:rFonts w:ascii="Arial" w:hAnsi="Arial" w:cs="Arial"/>
          <w:szCs w:val="20"/>
        </w:rPr>
        <w:t>y</w:t>
      </w:r>
      <w:r w:rsidRPr="00643F7D">
        <w:rPr>
          <w:rFonts w:ascii="Arial" w:hAnsi="Arial" w:cs="Arial"/>
          <w:szCs w:val="20"/>
        </w:rPr>
        <w:t xml:space="preserve"> elektrick</w:t>
      </w:r>
      <w:r>
        <w:rPr>
          <w:rFonts w:ascii="Arial" w:hAnsi="Arial" w:cs="Arial"/>
          <w:szCs w:val="20"/>
        </w:rPr>
        <w:t>ý</w:t>
      </w:r>
      <w:r w:rsidRPr="00643F7D">
        <w:rPr>
          <w:rFonts w:ascii="Arial" w:hAnsi="Arial" w:cs="Arial"/>
          <w:szCs w:val="20"/>
        </w:rPr>
        <w:t>ch za</w:t>
      </w:r>
      <w:r>
        <w:rPr>
          <w:rFonts w:ascii="Arial" w:hAnsi="Arial" w:cs="Arial"/>
          <w:szCs w:val="20"/>
        </w:rPr>
        <w:t>ří</w:t>
      </w:r>
      <w:r w:rsidRPr="00643F7D">
        <w:rPr>
          <w:rFonts w:ascii="Arial" w:hAnsi="Arial" w:cs="Arial"/>
          <w:szCs w:val="20"/>
        </w:rPr>
        <w:t>zen</w:t>
      </w:r>
      <w:r>
        <w:rPr>
          <w:rFonts w:ascii="Arial" w:hAnsi="Arial" w:cs="Arial"/>
          <w:szCs w:val="20"/>
        </w:rPr>
        <w:t>í,</w:t>
      </w:r>
      <w:r w:rsidRPr="00643F7D">
        <w:rPr>
          <w:rFonts w:ascii="Arial" w:hAnsi="Arial" w:cs="Arial"/>
          <w:szCs w:val="20"/>
        </w:rPr>
        <w:t xml:space="preserve"> </w:t>
      </w:r>
      <w:r>
        <w:rPr>
          <w:rFonts w:ascii="Arial" w:hAnsi="Arial" w:cs="Arial"/>
          <w:szCs w:val="20"/>
        </w:rPr>
        <w:t xml:space="preserve">výroby </w:t>
      </w:r>
      <w:r w:rsidRPr="00643F7D">
        <w:rPr>
          <w:rFonts w:ascii="Arial" w:hAnsi="Arial" w:cs="Arial"/>
          <w:szCs w:val="20"/>
        </w:rPr>
        <w:t>potravin</w:t>
      </w:r>
      <w:r>
        <w:rPr>
          <w:rFonts w:ascii="Arial" w:hAnsi="Arial" w:cs="Arial"/>
          <w:szCs w:val="20"/>
        </w:rPr>
        <w:t>ář</w:t>
      </w:r>
      <w:r w:rsidRPr="00643F7D">
        <w:rPr>
          <w:rFonts w:ascii="Arial" w:hAnsi="Arial" w:cs="Arial"/>
          <w:szCs w:val="20"/>
        </w:rPr>
        <w:t>sk</w:t>
      </w:r>
      <w:r>
        <w:rPr>
          <w:rFonts w:ascii="Arial" w:hAnsi="Arial" w:cs="Arial"/>
          <w:szCs w:val="20"/>
        </w:rPr>
        <w:t>ých</w:t>
      </w:r>
      <w:r w:rsidRPr="00643F7D">
        <w:rPr>
          <w:rFonts w:ascii="Arial" w:hAnsi="Arial" w:cs="Arial"/>
          <w:szCs w:val="20"/>
        </w:rPr>
        <w:t xml:space="preserve"> v</w:t>
      </w:r>
      <w:r>
        <w:rPr>
          <w:rFonts w:ascii="Arial" w:hAnsi="Arial" w:cs="Arial"/>
          <w:szCs w:val="20"/>
        </w:rPr>
        <w:t>ý</w:t>
      </w:r>
      <w:r w:rsidRPr="00643F7D">
        <w:rPr>
          <w:rFonts w:ascii="Arial" w:hAnsi="Arial" w:cs="Arial"/>
          <w:szCs w:val="20"/>
        </w:rPr>
        <w:t>robk</w:t>
      </w:r>
      <w:r>
        <w:rPr>
          <w:rFonts w:ascii="Arial" w:hAnsi="Arial" w:cs="Arial"/>
          <w:szCs w:val="20"/>
        </w:rPr>
        <w:t>ů a výroby počítačů</w:t>
      </w:r>
      <w:r w:rsidRPr="00643F7D">
        <w:rPr>
          <w:rFonts w:ascii="Arial" w:hAnsi="Arial" w:cs="Arial"/>
          <w:szCs w:val="20"/>
        </w:rPr>
        <w:t>.</w:t>
      </w:r>
      <w:r>
        <w:rPr>
          <w:rFonts w:ascii="Arial" w:hAnsi="Arial" w:cs="Arial"/>
          <w:szCs w:val="20"/>
        </w:rPr>
        <w:t xml:space="preserve"> </w:t>
      </w:r>
      <w:r w:rsidRPr="00643F7D">
        <w:rPr>
          <w:rFonts w:ascii="Arial" w:hAnsi="Arial" w:cs="Arial"/>
          <w:b/>
          <w:szCs w:val="20"/>
        </w:rPr>
        <w:t>Z regionálního hlediska</w:t>
      </w:r>
      <w:r w:rsidRPr="00251317">
        <w:rPr>
          <w:rFonts w:ascii="Arial" w:hAnsi="Arial" w:cs="Arial"/>
          <w:szCs w:val="20"/>
        </w:rPr>
        <w:t xml:space="preserve"> </w:t>
      </w:r>
      <w:r>
        <w:rPr>
          <w:rFonts w:ascii="Arial" w:hAnsi="Arial" w:cs="Arial"/>
          <w:szCs w:val="20"/>
        </w:rPr>
        <w:t xml:space="preserve">se zaměstnanost </w:t>
      </w:r>
      <w:r w:rsidRPr="00643F7D">
        <w:rPr>
          <w:rFonts w:ascii="Arial" w:hAnsi="Arial" w:cs="Arial"/>
          <w:b/>
          <w:szCs w:val="20"/>
        </w:rPr>
        <w:t xml:space="preserve">snížila </w:t>
      </w:r>
      <w:r w:rsidRPr="00251317">
        <w:rPr>
          <w:rFonts w:ascii="Arial" w:hAnsi="Arial" w:cs="Arial"/>
          <w:bCs/>
          <w:szCs w:val="20"/>
        </w:rPr>
        <w:t xml:space="preserve"> </w:t>
      </w:r>
      <w:r w:rsidRPr="00643F7D">
        <w:rPr>
          <w:rFonts w:ascii="Arial" w:hAnsi="Arial" w:cs="Arial"/>
          <w:bCs/>
          <w:szCs w:val="20"/>
        </w:rPr>
        <w:t>především</w:t>
      </w:r>
      <w:r w:rsidRPr="00251317">
        <w:rPr>
          <w:rFonts w:ascii="Arial" w:hAnsi="Arial" w:cs="Arial"/>
          <w:b/>
          <w:szCs w:val="20"/>
        </w:rPr>
        <w:t xml:space="preserve"> v Moravskoslezském </w:t>
      </w:r>
      <w:r w:rsidRPr="00251317">
        <w:rPr>
          <w:rFonts w:ascii="Arial" w:hAnsi="Arial" w:cs="Arial"/>
          <w:szCs w:val="20"/>
        </w:rPr>
        <w:t>(o 15,</w:t>
      </w:r>
      <w:r w:rsidRPr="00251317">
        <w:rPr>
          <w:rFonts w:ascii="Arial" w:hAnsi="Arial" w:cs="Arial"/>
        </w:rPr>
        <w:t xml:space="preserve">3 tis.) </w:t>
      </w:r>
      <w:r w:rsidRPr="00F65F3E">
        <w:rPr>
          <w:rFonts w:ascii="Arial" w:hAnsi="Arial" w:cs="Arial"/>
          <w:b/>
        </w:rPr>
        <w:t>a Olomouckém</w:t>
      </w:r>
      <w:r w:rsidRPr="00251317">
        <w:rPr>
          <w:rFonts w:ascii="Arial" w:hAnsi="Arial" w:cs="Arial"/>
          <w:b/>
          <w:szCs w:val="20"/>
        </w:rPr>
        <w:t xml:space="preserve"> kraji </w:t>
      </w:r>
      <w:r w:rsidRPr="00251317">
        <w:rPr>
          <w:rFonts w:ascii="Arial" w:hAnsi="Arial" w:cs="Arial"/>
          <w:szCs w:val="20"/>
        </w:rPr>
        <w:t>(o 12,8 tis.)</w:t>
      </w:r>
      <w:r w:rsidRPr="00251317">
        <w:rPr>
          <w:rFonts w:ascii="Arial" w:hAnsi="Arial" w:cs="Arial"/>
          <w:b/>
          <w:szCs w:val="20"/>
        </w:rPr>
        <w:t xml:space="preserve">, </w:t>
      </w:r>
      <w:r w:rsidRPr="00251317">
        <w:rPr>
          <w:rFonts w:ascii="Arial" w:hAnsi="Arial" w:cs="Arial"/>
          <w:szCs w:val="20"/>
        </w:rPr>
        <w:t>pokles zmírnil</w:t>
      </w:r>
      <w:r w:rsidRPr="00251317">
        <w:rPr>
          <w:rFonts w:ascii="Arial" w:hAnsi="Arial" w:cs="Arial"/>
          <w:b/>
          <w:szCs w:val="20"/>
        </w:rPr>
        <w:t xml:space="preserve"> </w:t>
      </w:r>
      <w:r w:rsidRPr="00F65F3E">
        <w:rPr>
          <w:rFonts w:ascii="Arial" w:hAnsi="Arial" w:cs="Arial"/>
          <w:szCs w:val="20"/>
        </w:rPr>
        <w:t xml:space="preserve">zejména </w:t>
      </w:r>
      <w:r w:rsidRPr="00643F7D">
        <w:rPr>
          <w:rFonts w:ascii="Arial" w:hAnsi="Arial" w:cs="Arial"/>
          <w:szCs w:val="20"/>
        </w:rPr>
        <w:t xml:space="preserve">nárůst zaměstnanosti ve zpracovatelském průmyslu </w:t>
      </w:r>
      <w:r w:rsidRPr="00251317">
        <w:rPr>
          <w:rFonts w:ascii="Arial" w:hAnsi="Arial" w:cs="Arial"/>
          <w:b/>
          <w:szCs w:val="20"/>
        </w:rPr>
        <w:t xml:space="preserve">v Plzeňském kraji </w:t>
      </w:r>
      <w:r w:rsidRPr="00251317">
        <w:rPr>
          <w:rFonts w:ascii="Arial" w:hAnsi="Arial" w:cs="Arial"/>
          <w:szCs w:val="20"/>
        </w:rPr>
        <w:t>(o 11,2 tis.)</w:t>
      </w:r>
      <w:r>
        <w:rPr>
          <w:rFonts w:ascii="Arial" w:hAnsi="Arial" w:cs="Arial"/>
          <w:szCs w:val="20"/>
        </w:rPr>
        <w:t xml:space="preserve"> </w:t>
      </w:r>
      <w:r w:rsidRPr="00643F7D">
        <w:rPr>
          <w:rFonts w:ascii="Arial" w:hAnsi="Arial" w:cs="Arial"/>
          <w:b/>
          <w:szCs w:val="20"/>
        </w:rPr>
        <w:t>a Kraji Vysočina</w:t>
      </w:r>
      <w:r>
        <w:rPr>
          <w:rFonts w:ascii="Arial" w:hAnsi="Arial" w:cs="Arial"/>
          <w:szCs w:val="20"/>
        </w:rPr>
        <w:t xml:space="preserve"> (o 8,7 tis.)</w:t>
      </w:r>
      <w:r w:rsidRPr="00251317">
        <w:rPr>
          <w:rFonts w:ascii="Arial" w:hAnsi="Arial" w:cs="Arial"/>
          <w:b/>
          <w:szCs w:val="20"/>
        </w:rPr>
        <w:t xml:space="preserve">. </w:t>
      </w:r>
    </w:p>
    <w:p w:rsidR="007A49EF" w:rsidRPr="00251317" w:rsidRDefault="007A49EF" w:rsidP="007A49EF">
      <w:pPr>
        <w:spacing w:line="360" w:lineRule="auto"/>
        <w:ind w:firstLine="720"/>
        <w:jc w:val="both"/>
        <w:rPr>
          <w:rFonts w:ascii="Arial" w:hAnsi="Arial" w:cs="Arial"/>
          <w:bCs/>
        </w:rPr>
      </w:pPr>
      <w:r w:rsidRPr="00251317">
        <w:rPr>
          <w:rFonts w:ascii="Arial" w:hAnsi="Arial" w:cs="Arial"/>
        </w:rPr>
        <w:t xml:space="preserve">Zaměstnanost ve </w:t>
      </w:r>
      <w:r w:rsidRPr="00251317">
        <w:rPr>
          <w:rFonts w:ascii="Arial" w:hAnsi="Arial" w:cs="Arial"/>
          <w:b/>
        </w:rPr>
        <w:t xml:space="preserve">stavebnictví </w:t>
      </w:r>
      <w:r w:rsidRPr="00251317">
        <w:rPr>
          <w:rFonts w:ascii="Arial" w:hAnsi="Arial" w:cs="Arial"/>
        </w:rPr>
        <w:t xml:space="preserve">klesla (o 9,5 tis.) na </w:t>
      </w:r>
      <w:r w:rsidRPr="00251317">
        <w:rPr>
          <w:rFonts w:ascii="Arial" w:hAnsi="Arial" w:cs="Arial"/>
          <w:b/>
        </w:rPr>
        <w:t>413,4 tis. osob. Podíl</w:t>
      </w:r>
      <w:r w:rsidRPr="00251317">
        <w:rPr>
          <w:rFonts w:ascii="Arial" w:hAnsi="Arial" w:cs="Arial"/>
        </w:rPr>
        <w:t xml:space="preserve"> stavebnictví na celkové zaměstnanosti se snížil </w:t>
      </w:r>
      <w:r w:rsidR="00AF5F29">
        <w:rPr>
          <w:rFonts w:ascii="Arial" w:hAnsi="Arial" w:cs="Arial"/>
        </w:rPr>
        <w:t xml:space="preserve">(o 0,3 p. b.) </w:t>
      </w:r>
      <w:r w:rsidRPr="00251317">
        <w:rPr>
          <w:rFonts w:ascii="Arial" w:hAnsi="Arial" w:cs="Arial"/>
        </w:rPr>
        <w:t xml:space="preserve">na </w:t>
      </w:r>
      <w:r w:rsidRPr="00251317">
        <w:rPr>
          <w:rFonts w:ascii="Arial" w:hAnsi="Arial" w:cs="Arial"/>
          <w:b/>
        </w:rPr>
        <w:t>8,4 %.</w:t>
      </w:r>
      <w:r w:rsidRPr="00251317">
        <w:rPr>
          <w:rFonts w:ascii="Arial" w:hAnsi="Arial" w:cs="Arial"/>
        </w:rPr>
        <w:t xml:space="preserve"> </w:t>
      </w:r>
      <w:r w:rsidRPr="00251317">
        <w:rPr>
          <w:rFonts w:ascii="Arial" w:hAnsi="Arial" w:cs="Arial"/>
          <w:b/>
        </w:rPr>
        <w:t>K poklesu</w:t>
      </w:r>
      <w:r w:rsidRPr="00251317">
        <w:rPr>
          <w:rFonts w:ascii="Arial" w:hAnsi="Arial" w:cs="Arial"/>
        </w:rPr>
        <w:t xml:space="preserve"> došlo v osmi krajích, nejvíce</w:t>
      </w:r>
      <w:r w:rsidRPr="00251317">
        <w:rPr>
          <w:rFonts w:ascii="Arial" w:hAnsi="Arial" w:cs="Arial"/>
          <w:b/>
        </w:rPr>
        <w:t xml:space="preserve"> v Královéhradeckém </w:t>
      </w:r>
      <w:r w:rsidRPr="00251317">
        <w:rPr>
          <w:rFonts w:ascii="Arial" w:hAnsi="Arial" w:cs="Arial"/>
        </w:rPr>
        <w:t xml:space="preserve">(o 6,0 tis.), </w:t>
      </w:r>
      <w:r w:rsidRPr="00F65F3E">
        <w:rPr>
          <w:rFonts w:ascii="Arial" w:hAnsi="Arial" w:cs="Arial"/>
        </w:rPr>
        <w:t>Ústeckém a</w:t>
      </w:r>
      <w:r w:rsidR="00AF5F29">
        <w:rPr>
          <w:rFonts w:ascii="Arial" w:hAnsi="Arial" w:cs="Arial"/>
        </w:rPr>
        <w:t> </w:t>
      </w:r>
      <w:r w:rsidRPr="00F65F3E">
        <w:rPr>
          <w:rFonts w:ascii="Arial" w:hAnsi="Arial" w:cs="Arial"/>
        </w:rPr>
        <w:t xml:space="preserve">Středočeském kraji </w:t>
      </w:r>
      <w:r w:rsidRPr="00251317">
        <w:rPr>
          <w:rFonts w:ascii="Arial" w:hAnsi="Arial" w:cs="Arial"/>
        </w:rPr>
        <w:t xml:space="preserve">(o 4,0 tis.), naopak </w:t>
      </w:r>
      <w:r w:rsidRPr="00251317">
        <w:rPr>
          <w:rFonts w:ascii="Arial" w:hAnsi="Arial" w:cs="Arial"/>
          <w:b/>
        </w:rPr>
        <w:t>nárůst</w:t>
      </w:r>
      <w:r w:rsidRPr="00251317">
        <w:rPr>
          <w:rFonts w:ascii="Arial" w:hAnsi="Arial" w:cs="Arial"/>
        </w:rPr>
        <w:t xml:space="preserve"> byl zaznamenán především </w:t>
      </w:r>
      <w:r w:rsidRPr="00251317">
        <w:rPr>
          <w:rFonts w:ascii="Arial" w:hAnsi="Arial" w:cs="Arial"/>
          <w:b/>
        </w:rPr>
        <w:lastRenderedPageBreak/>
        <w:t>v</w:t>
      </w:r>
      <w:r>
        <w:rPr>
          <w:rFonts w:ascii="Arial" w:hAnsi="Arial" w:cs="Arial"/>
          <w:b/>
        </w:rPr>
        <w:t xml:space="preserve"> Hl. m. Praze (o 4,6 tis.), </w:t>
      </w:r>
      <w:r w:rsidRPr="00F65F3E">
        <w:rPr>
          <w:rFonts w:ascii="Arial" w:hAnsi="Arial" w:cs="Arial"/>
        </w:rPr>
        <w:t>v Moravskoslezském (o 3,9 tis.) a Olomouckém kraji (2,6 tis.).</w:t>
      </w:r>
      <w:r w:rsidRPr="00251317">
        <w:rPr>
          <w:rFonts w:ascii="Arial" w:hAnsi="Arial" w:cs="Arial"/>
        </w:rPr>
        <w:t xml:space="preserve"> </w:t>
      </w:r>
    </w:p>
    <w:p w:rsidR="007A49EF" w:rsidRPr="002E1378" w:rsidRDefault="007A49EF" w:rsidP="007A49EF">
      <w:pPr>
        <w:tabs>
          <w:tab w:val="center" w:pos="720"/>
        </w:tabs>
        <w:spacing w:line="360" w:lineRule="auto"/>
        <w:ind w:firstLine="720"/>
        <w:jc w:val="both"/>
        <w:rPr>
          <w:rFonts w:ascii="Arial" w:hAnsi="Arial" w:cs="Arial"/>
        </w:rPr>
      </w:pPr>
      <w:r w:rsidRPr="002E1378">
        <w:rPr>
          <w:rFonts w:ascii="Arial" w:hAnsi="Arial" w:cs="Arial"/>
          <w:b/>
          <w:bCs/>
        </w:rPr>
        <w:t>Podíl sekundárního sektoru</w:t>
      </w:r>
      <w:r w:rsidRPr="002E1378">
        <w:rPr>
          <w:rFonts w:ascii="Arial" w:hAnsi="Arial" w:cs="Arial"/>
          <w:bCs/>
        </w:rPr>
        <w:t xml:space="preserve"> </w:t>
      </w:r>
      <w:r w:rsidRPr="002E1378">
        <w:rPr>
          <w:rFonts w:ascii="Arial" w:hAnsi="Arial" w:cs="Arial"/>
          <w:b/>
          <w:bCs/>
        </w:rPr>
        <w:t>v ČR</w:t>
      </w:r>
      <w:r w:rsidRPr="002E1378">
        <w:rPr>
          <w:rFonts w:ascii="Arial" w:hAnsi="Arial" w:cs="Arial"/>
          <w:bCs/>
        </w:rPr>
        <w:t xml:space="preserve"> je i vzhledem k tomuto vývoji vysoký a nadále </w:t>
      </w:r>
      <w:r w:rsidRPr="002E1378">
        <w:rPr>
          <w:rFonts w:ascii="Arial" w:hAnsi="Arial" w:cs="Arial"/>
          <w:b/>
          <w:bCs/>
        </w:rPr>
        <w:t>dosahuje</w:t>
      </w:r>
      <w:r w:rsidRPr="002E1378">
        <w:rPr>
          <w:rFonts w:ascii="Arial" w:hAnsi="Arial" w:cs="Arial"/>
          <w:bCs/>
        </w:rPr>
        <w:t xml:space="preserve"> </w:t>
      </w:r>
      <w:r w:rsidRPr="002E1378">
        <w:rPr>
          <w:rFonts w:ascii="Arial" w:hAnsi="Arial" w:cs="Arial"/>
          <w:b/>
          <w:bCs/>
        </w:rPr>
        <w:t xml:space="preserve">nejvyšší hodnoty </w:t>
      </w:r>
      <w:r w:rsidRPr="002E1378">
        <w:rPr>
          <w:rFonts w:ascii="Arial" w:hAnsi="Arial" w:cs="Arial"/>
          <w:b/>
        </w:rPr>
        <w:t>ze všech států EU</w:t>
      </w:r>
      <w:r w:rsidRPr="002E1378">
        <w:rPr>
          <w:rFonts w:ascii="Arial" w:hAnsi="Arial" w:cs="Arial"/>
        </w:rPr>
        <w:t xml:space="preserve"> (viz část V. Mezinárodní srovnání). </w:t>
      </w:r>
    </w:p>
    <w:p w:rsidR="007A49EF" w:rsidRPr="00251317" w:rsidRDefault="007A49EF" w:rsidP="007A49EF">
      <w:pPr>
        <w:tabs>
          <w:tab w:val="center" w:pos="720"/>
        </w:tabs>
        <w:spacing w:line="360" w:lineRule="auto"/>
        <w:ind w:firstLine="720"/>
        <w:jc w:val="both"/>
        <w:rPr>
          <w:rFonts w:ascii="Arial" w:hAnsi="Arial" w:cs="Arial"/>
          <w:b/>
        </w:rPr>
      </w:pPr>
      <w:r w:rsidRPr="00251317">
        <w:rPr>
          <w:rFonts w:ascii="Arial" w:hAnsi="Arial" w:cs="Arial"/>
        </w:rPr>
        <w:t xml:space="preserve">Na celkovém nárůstu zaměstnanosti se podílel především </w:t>
      </w:r>
      <w:r w:rsidRPr="00251317">
        <w:rPr>
          <w:rFonts w:ascii="Arial" w:hAnsi="Arial" w:cs="Arial"/>
          <w:b/>
          <w:bCs/>
        </w:rPr>
        <w:t xml:space="preserve">terciární sektor, kde zaměstnanost vzrostla </w:t>
      </w:r>
      <w:r w:rsidRPr="00251317">
        <w:rPr>
          <w:rFonts w:ascii="Arial" w:hAnsi="Arial" w:cs="Arial"/>
          <w:bCs/>
        </w:rPr>
        <w:t>(o 67,3 tis.)</w:t>
      </w:r>
      <w:r w:rsidRPr="00251317">
        <w:rPr>
          <w:rFonts w:ascii="Arial" w:hAnsi="Arial" w:cs="Arial"/>
          <w:b/>
          <w:bCs/>
        </w:rPr>
        <w:t xml:space="preserve"> </w:t>
      </w:r>
      <w:r w:rsidRPr="00251317">
        <w:rPr>
          <w:rFonts w:ascii="Arial" w:hAnsi="Arial" w:cs="Arial"/>
          <w:b/>
        </w:rPr>
        <w:t>na</w:t>
      </w:r>
      <w:r w:rsidRPr="00251317">
        <w:rPr>
          <w:rFonts w:ascii="Arial" w:hAnsi="Arial" w:cs="Arial"/>
          <w:b/>
          <w:bCs/>
        </w:rPr>
        <w:t xml:space="preserve"> 2 928,4 tis. osob</w:t>
      </w:r>
      <w:r w:rsidRPr="00251317">
        <w:rPr>
          <w:rFonts w:ascii="Arial" w:hAnsi="Arial" w:cs="Arial"/>
          <w:bCs/>
        </w:rPr>
        <w:t xml:space="preserve">. </w:t>
      </w:r>
      <w:r w:rsidRPr="00251317">
        <w:rPr>
          <w:rFonts w:ascii="Arial" w:hAnsi="Arial" w:cs="Arial"/>
          <w:b/>
          <w:bCs/>
        </w:rPr>
        <w:t>Podíl</w:t>
      </w:r>
      <w:r w:rsidRPr="00251317">
        <w:rPr>
          <w:rFonts w:ascii="Arial" w:hAnsi="Arial" w:cs="Arial"/>
        </w:rPr>
        <w:t xml:space="preserve"> </w:t>
      </w:r>
      <w:r w:rsidRPr="00251317">
        <w:rPr>
          <w:rFonts w:ascii="Arial" w:hAnsi="Arial" w:cs="Arial"/>
          <w:b/>
          <w:bCs/>
        </w:rPr>
        <w:t>terciárního sektoru</w:t>
      </w:r>
      <w:r w:rsidRPr="00251317">
        <w:rPr>
          <w:rFonts w:ascii="Arial" w:hAnsi="Arial" w:cs="Arial"/>
        </w:rPr>
        <w:t xml:space="preserve"> na celkové zaměstnanosti </w:t>
      </w:r>
      <w:r w:rsidRPr="00251317">
        <w:rPr>
          <w:rFonts w:ascii="Arial" w:hAnsi="Arial" w:cs="Arial"/>
          <w:b/>
        </w:rPr>
        <w:t>se</w:t>
      </w:r>
      <w:r w:rsidRPr="00251317">
        <w:rPr>
          <w:rFonts w:ascii="Arial" w:hAnsi="Arial" w:cs="Arial"/>
        </w:rPr>
        <w:t xml:space="preserve"> tím </w:t>
      </w:r>
      <w:r w:rsidRPr="00251317">
        <w:rPr>
          <w:rFonts w:ascii="Arial" w:hAnsi="Arial" w:cs="Arial"/>
          <w:b/>
        </w:rPr>
        <w:t>zvýšil</w:t>
      </w:r>
      <w:r w:rsidRPr="00251317">
        <w:rPr>
          <w:rFonts w:ascii="Arial" w:hAnsi="Arial" w:cs="Arial"/>
        </w:rPr>
        <w:t xml:space="preserve">  na </w:t>
      </w:r>
      <w:r w:rsidRPr="00251317">
        <w:rPr>
          <w:rFonts w:ascii="Arial" w:hAnsi="Arial" w:cs="Arial"/>
          <w:b/>
          <w:bCs/>
        </w:rPr>
        <w:t>59,5 %.</w:t>
      </w:r>
      <w:r w:rsidRPr="00251317">
        <w:rPr>
          <w:rFonts w:ascii="Arial" w:hAnsi="Arial" w:cs="Arial"/>
        </w:rPr>
        <w:t xml:space="preserve"> Největší </w:t>
      </w:r>
      <w:r w:rsidRPr="00251317">
        <w:rPr>
          <w:rFonts w:ascii="Arial" w:hAnsi="Arial" w:cs="Arial"/>
          <w:b/>
        </w:rPr>
        <w:t xml:space="preserve">nárůst </w:t>
      </w:r>
      <w:r w:rsidRPr="00251317">
        <w:rPr>
          <w:rFonts w:ascii="Arial" w:hAnsi="Arial" w:cs="Arial"/>
        </w:rPr>
        <w:t xml:space="preserve">byl v sekci </w:t>
      </w:r>
      <w:r w:rsidRPr="00251317">
        <w:rPr>
          <w:rFonts w:ascii="Arial" w:hAnsi="Arial" w:cs="Arial"/>
          <w:b/>
        </w:rPr>
        <w:t>veřejná správa a obrana</w:t>
      </w:r>
      <w:r w:rsidRPr="00251317">
        <w:rPr>
          <w:rFonts w:ascii="Arial" w:hAnsi="Arial" w:cs="Arial"/>
        </w:rPr>
        <w:t xml:space="preserve"> (14,9 tis.), </w:t>
      </w:r>
      <w:r w:rsidRPr="00251317">
        <w:rPr>
          <w:rFonts w:ascii="Arial" w:hAnsi="Arial" w:cs="Arial"/>
          <w:b/>
        </w:rPr>
        <w:t xml:space="preserve">administrativní a podpůrné činnosti </w:t>
      </w:r>
      <w:r w:rsidRPr="00251317">
        <w:rPr>
          <w:rFonts w:ascii="Arial" w:hAnsi="Arial" w:cs="Arial"/>
        </w:rPr>
        <w:t xml:space="preserve">(13,2 tis.), </w:t>
      </w:r>
      <w:r w:rsidRPr="00251317">
        <w:rPr>
          <w:rFonts w:ascii="Arial" w:hAnsi="Arial" w:cs="Arial"/>
          <w:b/>
        </w:rPr>
        <w:t>informační a komunikační činnosti</w:t>
      </w:r>
      <w:r w:rsidRPr="00251317">
        <w:rPr>
          <w:rFonts w:ascii="Arial" w:hAnsi="Arial" w:cs="Arial"/>
        </w:rPr>
        <w:t xml:space="preserve"> (11,5 tis.) a </w:t>
      </w:r>
      <w:r w:rsidRPr="00251317">
        <w:rPr>
          <w:rFonts w:ascii="Arial" w:hAnsi="Arial" w:cs="Arial"/>
          <w:b/>
        </w:rPr>
        <w:t>vzdělávání</w:t>
      </w:r>
      <w:r w:rsidRPr="00251317">
        <w:rPr>
          <w:rFonts w:ascii="Arial" w:hAnsi="Arial" w:cs="Arial"/>
        </w:rPr>
        <w:t xml:space="preserve"> (o 10,0 tis.), naopak zaměstnanost </w:t>
      </w:r>
      <w:r w:rsidRPr="00251317">
        <w:rPr>
          <w:rFonts w:ascii="Arial" w:hAnsi="Arial" w:cs="Arial"/>
          <w:b/>
        </w:rPr>
        <w:t>poklesla</w:t>
      </w:r>
      <w:r w:rsidRPr="00251317">
        <w:rPr>
          <w:rFonts w:ascii="Arial" w:hAnsi="Arial" w:cs="Arial"/>
        </w:rPr>
        <w:t xml:space="preserve"> především v sekci </w:t>
      </w:r>
      <w:r w:rsidRPr="00251317">
        <w:rPr>
          <w:rFonts w:ascii="Arial" w:hAnsi="Arial" w:cs="Arial"/>
          <w:b/>
        </w:rPr>
        <w:t>dopravy a skladování</w:t>
      </w:r>
      <w:r w:rsidRPr="00251317">
        <w:rPr>
          <w:rFonts w:ascii="Arial" w:hAnsi="Arial" w:cs="Arial"/>
        </w:rPr>
        <w:t xml:space="preserve"> (o 10,4 tis. osob).</w:t>
      </w:r>
      <w:r w:rsidRPr="00251317">
        <w:rPr>
          <w:rFonts w:ascii="Arial" w:hAnsi="Arial" w:cs="Arial"/>
          <w:b/>
        </w:rPr>
        <w:t xml:space="preserve"> </w:t>
      </w:r>
    </w:p>
    <w:p w:rsidR="007A49EF" w:rsidRPr="00251317" w:rsidRDefault="007A49EF" w:rsidP="007A49EF">
      <w:pPr>
        <w:tabs>
          <w:tab w:val="center" w:pos="720"/>
        </w:tabs>
        <w:spacing w:line="360" w:lineRule="auto"/>
        <w:ind w:firstLine="720"/>
        <w:jc w:val="both"/>
        <w:rPr>
          <w:rFonts w:ascii="Arial" w:hAnsi="Arial" w:cs="Arial"/>
          <w:b/>
        </w:rPr>
      </w:pPr>
      <w:r w:rsidRPr="00251317">
        <w:rPr>
          <w:rFonts w:ascii="Arial" w:hAnsi="Arial" w:cs="Arial"/>
          <w:b/>
        </w:rPr>
        <w:t xml:space="preserve">Z regionálního hlediska </w:t>
      </w:r>
      <w:r w:rsidRPr="00251317">
        <w:rPr>
          <w:rFonts w:ascii="Arial" w:hAnsi="Arial" w:cs="Arial"/>
        </w:rPr>
        <w:t>se na</w:t>
      </w:r>
      <w:r w:rsidRPr="00251317">
        <w:rPr>
          <w:rFonts w:ascii="Arial" w:hAnsi="Arial" w:cs="Arial"/>
          <w:b/>
        </w:rPr>
        <w:t xml:space="preserve"> nárůstu </w:t>
      </w:r>
      <w:r w:rsidRPr="00251317">
        <w:rPr>
          <w:rFonts w:ascii="Arial" w:hAnsi="Arial" w:cs="Arial"/>
        </w:rPr>
        <w:t xml:space="preserve">zaměstnanosti v terciárním sektoru </w:t>
      </w:r>
      <w:r w:rsidRPr="00251317">
        <w:rPr>
          <w:rFonts w:ascii="Arial" w:hAnsi="Arial" w:cs="Arial"/>
          <w:b/>
        </w:rPr>
        <w:t xml:space="preserve">podílel </w:t>
      </w:r>
      <w:r w:rsidRPr="00251317">
        <w:rPr>
          <w:rFonts w:ascii="Arial" w:hAnsi="Arial" w:cs="Arial"/>
        </w:rPr>
        <w:t xml:space="preserve">především </w:t>
      </w:r>
      <w:r w:rsidRPr="00251317">
        <w:rPr>
          <w:rFonts w:ascii="Arial" w:hAnsi="Arial" w:cs="Arial"/>
          <w:b/>
        </w:rPr>
        <w:t xml:space="preserve">Jihomoravský kraj </w:t>
      </w:r>
      <w:r w:rsidRPr="00251317">
        <w:rPr>
          <w:rFonts w:ascii="Arial" w:hAnsi="Arial" w:cs="Arial"/>
        </w:rPr>
        <w:t>(o 17,2 tis., zejména nárůstem v sekci informační a komunikační činnosti</w:t>
      </w:r>
      <w:r>
        <w:rPr>
          <w:rFonts w:ascii="Arial" w:hAnsi="Arial" w:cs="Arial"/>
        </w:rPr>
        <w:t xml:space="preserve"> o 6,1 tis.</w:t>
      </w:r>
      <w:r w:rsidRPr="00251317">
        <w:rPr>
          <w:rFonts w:ascii="Arial" w:hAnsi="Arial" w:cs="Arial"/>
        </w:rPr>
        <w:t>)</w:t>
      </w:r>
      <w:r w:rsidRPr="00251317">
        <w:rPr>
          <w:rFonts w:ascii="Arial" w:hAnsi="Arial" w:cs="Arial"/>
          <w:b/>
        </w:rPr>
        <w:t xml:space="preserve">, </w:t>
      </w:r>
      <w:r w:rsidRPr="00251317">
        <w:rPr>
          <w:rFonts w:ascii="Arial" w:hAnsi="Arial" w:cs="Arial"/>
        </w:rPr>
        <w:t xml:space="preserve">nejvýznamnější </w:t>
      </w:r>
      <w:r w:rsidRPr="00251317">
        <w:rPr>
          <w:rFonts w:ascii="Arial" w:hAnsi="Arial" w:cs="Arial"/>
          <w:b/>
        </w:rPr>
        <w:t xml:space="preserve">pokles </w:t>
      </w:r>
      <w:r w:rsidRPr="00251317">
        <w:rPr>
          <w:rFonts w:ascii="Arial" w:hAnsi="Arial" w:cs="Arial"/>
        </w:rPr>
        <w:t xml:space="preserve">byl </w:t>
      </w:r>
      <w:r w:rsidRPr="00251317">
        <w:rPr>
          <w:rFonts w:ascii="Arial" w:hAnsi="Arial" w:cs="Arial"/>
          <w:b/>
        </w:rPr>
        <w:t xml:space="preserve">v Kraji Vysočina </w:t>
      </w:r>
      <w:r w:rsidRPr="00251317">
        <w:rPr>
          <w:rFonts w:ascii="Arial" w:hAnsi="Arial" w:cs="Arial"/>
        </w:rPr>
        <w:t>(o 5,6 tis., především v důsledku poklesu v sekci doprava a skladování</w:t>
      </w:r>
      <w:r>
        <w:rPr>
          <w:rFonts w:ascii="Arial" w:hAnsi="Arial" w:cs="Arial"/>
        </w:rPr>
        <w:t xml:space="preserve"> o </w:t>
      </w:r>
      <w:r w:rsidR="003C52A4">
        <w:rPr>
          <w:rFonts w:ascii="Arial" w:hAnsi="Arial" w:cs="Arial"/>
        </w:rPr>
        <w:t>4</w:t>
      </w:r>
      <w:r>
        <w:rPr>
          <w:rFonts w:ascii="Arial" w:hAnsi="Arial" w:cs="Arial"/>
        </w:rPr>
        <w:t>,8 tis.</w:t>
      </w:r>
      <w:r w:rsidRPr="00251317">
        <w:rPr>
          <w:rFonts w:ascii="Arial" w:hAnsi="Arial" w:cs="Arial"/>
        </w:rPr>
        <w:t>)</w:t>
      </w:r>
      <w:r w:rsidRPr="000015BD">
        <w:rPr>
          <w:rFonts w:ascii="Arial" w:hAnsi="Arial" w:cs="Arial"/>
        </w:rPr>
        <w:t xml:space="preserve">. </w:t>
      </w:r>
    </w:p>
    <w:p w:rsidR="007A49EF" w:rsidRPr="000015BD" w:rsidRDefault="007A49EF" w:rsidP="007A49EF">
      <w:pPr>
        <w:tabs>
          <w:tab w:val="center" w:pos="720"/>
        </w:tabs>
        <w:spacing w:line="360" w:lineRule="auto"/>
        <w:ind w:firstLine="720"/>
        <w:jc w:val="both"/>
        <w:rPr>
          <w:rFonts w:ascii="Arial" w:hAnsi="Arial" w:cs="Arial"/>
          <w:bCs/>
        </w:rPr>
      </w:pPr>
      <w:r w:rsidRPr="000015BD">
        <w:rPr>
          <w:rFonts w:ascii="Arial" w:hAnsi="Arial" w:cs="Arial"/>
          <w:b/>
          <w:bCs/>
        </w:rPr>
        <w:t>ČR patří stále ke státům s nejnižším podílem tohoto sektoru na celkové zaměstnanosti v rámci EU</w:t>
      </w:r>
      <w:r w:rsidRPr="000015BD">
        <w:rPr>
          <w:rFonts w:ascii="Arial" w:hAnsi="Arial" w:cs="Arial"/>
          <w:bCs/>
        </w:rPr>
        <w:t xml:space="preserve"> </w:t>
      </w:r>
      <w:r w:rsidRPr="000015BD">
        <w:rPr>
          <w:rFonts w:ascii="Arial" w:hAnsi="Arial" w:cs="Arial"/>
        </w:rPr>
        <w:t xml:space="preserve">(viz část V. Mezinárodní srovnání). </w:t>
      </w:r>
    </w:p>
    <w:p w:rsidR="007A49EF" w:rsidRPr="00251317" w:rsidRDefault="007A49EF" w:rsidP="007A49EF">
      <w:pPr>
        <w:tabs>
          <w:tab w:val="center" w:pos="720"/>
        </w:tabs>
        <w:spacing w:line="360" w:lineRule="auto"/>
        <w:ind w:firstLine="720"/>
        <w:jc w:val="both"/>
        <w:rPr>
          <w:rFonts w:ascii="Arial" w:hAnsi="Arial" w:cs="Arial"/>
        </w:rPr>
      </w:pPr>
      <w:r w:rsidRPr="00251317">
        <w:rPr>
          <w:rFonts w:ascii="Arial" w:hAnsi="Arial" w:cs="Arial"/>
          <w:b/>
        </w:rPr>
        <w:t>Sektorová struktura v krajích je odlišná</w:t>
      </w:r>
      <w:r w:rsidRPr="00251317">
        <w:rPr>
          <w:rFonts w:ascii="Arial" w:hAnsi="Arial" w:cs="Arial"/>
        </w:rPr>
        <w:t xml:space="preserve"> (viz příloha č. 2). Nejvyšší podíl primárního sektoru byl v kraji Vysočina (7,6 %), naopak zanedbatelný byl v Hl. m. Praze (0,3 %). V Hl. m. Praze byl nejnižší také podíl sekundárního sektoru (19,8 %), ale nejvyšší podíl sektoru terciárního (79,9 %). Sekundární sektor byl nejvíce zastoupen v Libereckém kraji (47,7 %), ve kterém byl naopak nízký podíl terciárního sektoru (50,9 %), nižší byl pouze ve Zlínském kraji (50,6 %) a Kraji Vysočina (46,6 %).</w:t>
      </w:r>
    </w:p>
    <w:p w:rsidR="007A49EF" w:rsidRPr="00405C22" w:rsidRDefault="007A49EF" w:rsidP="007A49EF">
      <w:pPr>
        <w:tabs>
          <w:tab w:val="center" w:pos="720"/>
        </w:tabs>
        <w:ind w:firstLine="720"/>
        <w:jc w:val="both"/>
        <w:rPr>
          <w:rFonts w:ascii="Arial" w:hAnsi="Arial" w:cs="Arial"/>
          <w:sz w:val="16"/>
          <w:szCs w:val="16"/>
        </w:rPr>
      </w:pPr>
    </w:p>
    <w:p w:rsidR="007A49EF" w:rsidRPr="00251317" w:rsidRDefault="007A49EF" w:rsidP="007A49EF">
      <w:pPr>
        <w:tabs>
          <w:tab w:val="center" w:pos="720"/>
        </w:tabs>
        <w:spacing w:line="360" w:lineRule="auto"/>
        <w:ind w:firstLine="720"/>
        <w:jc w:val="both"/>
        <w:rPr>
          <w:rFonts w:ascii="Arial" w:hAnsi="Arial" w:cs="Arial"/>
        </w:rPr>
      </w:pPr>
      <w:r w:rsidRPr="00251317">
        <w:rPr>
          <w:rFonts w:ascii="Arial" w:hAnsi="Arial" w:cs="Arial"/>
        </w:rPr>
        <w:t xml:space="preserve">Podle </w:t>
      </w:r>
      <w:r w:rsidRPr="00251317">
        <w:rPr>
          <w:rFonts w:ascii="Arial" w:hAnsi="Arial" w:cs="Arial"/>
          <w:b/>
        </w:rPr>
        <w:t>vykonávaného zaměstnání</w:t>
      </w:r>
      <w:r w:rsidRPr="00251317">
        <w:rPr>
          <w:rFonts w:ascii="Arial" w:hAnsi="Arial" w:cs="Arial"/>
        </w:rPr>
        <w:t xml:space="preserve"> (klasifikace zaměstnání CZ-ISCO) </w:t>
      </w:r>
      <w:r w:rsidRPr="00251317">
        <w:rPr>
          <w:rFonts w:ascii="Arial" w:hAnsi="Arial" w:cs="Arial"/>
          <w:b/>
        </w:rPr>
        <w:t>nejvyšší meziroční pokles</w:t>
      </w:r>
      <w:r w:rsidRPr="00251317">
        <w:rPr>
          <w:rFonts w:ascii="Arial" w:hAnsi="Arial" w:cs="Arial"/>
        </w:rPr>
        <w:t xml:space="preserve"> zaměstnanosti </w:t>
      </w:r>
      <w:r w:rsidRPr="00251317">
        <w:rPr>
          <w:rFonts w:ascii="Arial" w:hAnsi="Arial" w:cs="Arial"/>
          <w:b/>
        </w:rPr>
        <w:t>(o 31,1 tis.)</w:t>
      </w:r>
      <w:r w:rsidRPr="00251317">
        <w:rPr>
          <w:rFonts w:ascii="Arial" w:hAnsi="Arial" w:cs="Arial"/>
        </w:rPr>
        <w:t xml:space="preserve"> byl </w:t>
      </w:r>
      <w:r w:rsidRPr="00251317">
        <w:rPr>
          <w:rFonts w:ascii="Arial" w:hAnsi="Arial" w:cs="Arial"/>
          <w:b/>
        </w:rPr>
        <w:t xml:space="preserve">ve třídě 8 </w:t>
      </w:r>
      <w:r w:rsidRPr="00251317">
        <w:rPr>
          <w:rFonts w:ascii="Arial" w:hAnsi="Arial" w:cs="Arial"/>
        </w:rPr>
        <w:t xml:space="preserve">– obsluha strojů a zařízení a  </w:t>
      </w:r>
      <w:r w:rsidRPr="00251317">
        <w:rPr>
          <w:rFonts w:ascii="Arial" w:hAnsi="Arial" w:cs="Arial"/>
          <w:b/>
        </w:rPr>
        <w:t xml:space="preserve">ve třídě 7 - </w:t>
      </w:r>
      <w:r w:rsidRPr="00251317">
        <w:rPr>
          <w:rFonts w:ascii="Arial" w:hAnsi="Arial" w:cs="Arial"/>
        </w:rPr>
        <w:t>řemeslníci a opraváři</w:t>
      </w:r>
      <w:r w:rsidRPr="00251317">
        <w:rPr>
          <w:rFonts w:ascii="Arial" w:hAnsi="Arial" w:cs="Arial"/>
          <w:sz w:val="20"/>
          <w:szCs w:val="20"/>
        </w:rPr>
        <w:t xml:space="preserve"> </w:t>
      </w:r>
      <w:r w:rsidRPr="00251317">
        <w:rPr>
          <w:rFonts w:ascii="Arial" w:hAnsi="Arial" w:cs="Arial"/>
        </w:rPr>
        <w:t xml:space="preserve">(o 15,8 tis.). Naopak </w:t>
      </w:r>
      <w:r w:rsidRPr="00251317">
        <w:rPr>
          <w:rFonts w:ascii="Arial" w:hAnsi="Arial" w:cs="Arial"/>
          <w:b/>
        </w:rPr>
        <w:t>ve třídě 2</w:t>
      </w:r>
      <w:r w:rsidRPr="00251317">
        <w:rPr>
          <w:rFonts w:ascii="Arial" w:hAnsi="Arial" w:cs="Arial"/>
        </w:rPr>
        <w:t xml:space="preserve"> – specialisté počet zaměstnaných </w:t>
      </w:r>
      <w:r w:rsidRPr="00251317">
        <w:rPr>
          <w:rFonts w:ascii="Arial" w:hAnsi="Arial" w:cs="Arial"/>
          <w:b/>
        </w:rPr>
        <w:t xml:space="preserve">vzrostl o 45,5 tis., </w:t>
      </w:r>
      <w:r w:rsidRPr="00251317">
        <w:rPr>
          <w:rFonts w:ascii="Arial" w:hAnsi="Arial" w:cs="Arial"/>
        </w:rPr>
        <w:t>výraznější</w:t>
      </w:r>
      <w:r w:rsidRPr="00251317">
        <w:rPr>
          <w:rFonts w:ascii="Arial" w:hAnsi="Arial" w:cs="Arial"/>
          <w:b/>
        </w:rPr>
        <w:t xml:space="preserve"> nárůst </w:t>
      </w:r>
      <w:r w:rsidRPr="00251317">
        <w:rPr>
          <w:rFonts w:ascii="Arial" w:hAnsi="Arial" w:cs="Arial"/>
        </w:rPr>
        <w:t xml:space="preserve">je patrný i </w:t>
      </w:r>
      <w:r w:rsidRPr="00251317">
        <w:rPr>
          <w:rFonts w:ascii="Arial" w:hAnsi="Arial" w:cs="Arial"/>
          <w:b/>
        </w:rPr>
        <w:t>ve třídě 1</w:t>
      </w:r>
      <w:r w:rsidRPr="00251317">
        <w:rPr>
          <w:rFonts w:ascii="Arial" w:hAnsi="Arial" w:cs="Arial"/>
        </w:rPr>
        <w:t xml:space="preserve"> – zákonodárci a řídící pracovníci (o 33,5 tis.) a ve třídě 4 – úředníci (o 28,2 tis.). </w:t>
      </w:r>
    </w:p>
    <w:p w:rsidR="007A49EF" w:rsidRPr="00251317" w:rsidRDefault="007A49EF" w:rsidP="007A49EF">
      <w:pPr>
        <w:tabs>
          <w:tab w:val="center" w:pos="720"/>
        </w:tabs>
        <w:spacing w:line="360" w:lineRule="auto"/>
        <w:ind w:firstLine="720"/>
        <w:jc w:val="both"/>
        <w:rPr>
          <w:rFonts w:ascii="Arial" w:hAnsi="Arial" w:cs="Arial"/>
        </w:rPr>
      </w:pPr>
      <w:r w:rsidRPr="00251317">
        <w:rPr>
          <w:rFonts w:ascii="Arial" w:hAnsi="Arial" w:cs="Arial"/>
        </w:rPr>
        <w:lastRenderedPageBreak/>
        <w:t>Nejvíce osob pracovalo</w:t>
      </w:r>
      <w:r w:rsidRPr="00251317">
        <w:rPr>
          <w:rFonts w:ascii="Arial" w:hAnsi="Arial" w:cs="Arial"/>
          <w:b/>
        </w:rPr>
        <w:t xml:space="preserve"> ve třídě 3 </w:t>
      </w:r>
      <w:r w:rsidRPr="00251317">
        <w:rPr>
          <w:rFonts w:ascii="Arial" w:hAnsi="Arial" w:cs="Arial"/>
        </w:rPr>
        <w:t xml:space="preserve">– techničtí a odborní pracovníci – </w:t>
      </w:r>
      <w:r w:rsidRPr="00251317">
        <w:rPr>
          <w:rFonts w:ascii="Arial" w:hAnsi="Arial" w:cs="Arial"/>
          <w:b/>
        </w:rPr>
        <w:t>18,0 %</w:t>
      </w:r>
      <w:r w:rsidRPr="001C3565">
        <w:rPr>
          <w:rFonts w:ascii="Arial" w:hAnsi="Arial" w:cs="Arial"/>
        </w:rPr>
        <w:t>.</w:t>
      </w:r>
      <w:r w:rsidRPr="00251317">
        <w:rPr>
          <w:rFonts w:ascii="Arial" w:hAnsi="Arial" w:cs="Arial"/>
          <w:b/>
        </w:rPr>
        <w:t xml:space="preserve"> Nejvíce mužů </w:t>
      </w:r>
      <w:r w:rsidRPr="00251317">
        <w:rPr>
          <w:rFonts w:ascii="Arial" w:hAnsi="Arial" w:cs="Arial"/>
        </w:rPr>
        <w:t>(27,1 % z celkového počtu zaměstnaných mužů) bylo zařazeno</w:t>
      </w:r>
      <w:r w:rsidRPr="00251317">
        <w:rPr>
          <w:rFonts w:ascii="Arial" w:hAnsi="Arial" w:cs="Arial"/>
          <w:b/>
        </w:rPr>
        <w:t xml:space="preserve"> </w:t>
      </w:r>
      <w:r w:rsidRPr="00251317">
        <w:rPr>
          <w:rFonts w:ascii="Arial" w:hAnsi="Arial" w:cs="Arial"/>
        </w:rPr>
        <w:t>ve druhé nejpočetnější</w:t>
      </w:r>
      <w:r w:rsidRPr="00251317">
        <w:rPr>
          <w:rFonts w:ascii="Arial" w:hAnsi="Arial" w:cs="Arial"/>
          <w:b/>
        </w:rPr>
        <w:t xml:space="preserve"> třídě 7 </w:t>
      </w:r>
      <w:r w:rsidRPr="00251317">
        <w:rPr>
          <w:rFonts w:ascii="Arial" w:hAnsi="Arial" w:cs="Arial"/>
        </w:rPr>
        <w:t>- řemeslníci a  opraváři, její</w:t>
      </w:r>
      <w:r>
        <w:rPr>
          <w:rFonts w:ascii="Arial" w:hAnsi="Arial" w:cs="Arial"/>
        </w:rPr>
        <w:t>ž</w:t>
      </w:r>
      <w:r w:rsidRPr="00251317">
        <w:rPr>
          <w:rFonts w:ascii="Arial" w:hAnsi="Arial" w:cs="Arial"/>
        </w:rPr>
        <w:t xml:space="preserve"> celkový podíl na zaměstnanosti představoval </w:t>
      </w:r>
      <w:r w:rsidRPr="00251317">
        <w:rPr>
          <w:rFonts w:ascii="Arial" w:hAnsi="Arial" w:cs="Arial"/>
          <w:b/>
        </w:rPr>
        <w:t>17,1 %</w:t>
      </w:r>
      <w:r>
        <w:rPr>
          <w:rFonts w:ascii="Arial" w:hAnsi="Arial" w:cs="Arial"/>
        </w:rPr>
        <w:t xml:space="preserve">. </w:t>
      </w:r>
      <w:r w:rsidRPr="00995B12">
        <w:rPr>
          <w:rFonts w:ascii="Arial" w:hAnsi="Arial" w:cs="Arial"/>
          <w:b/>
        </w:rPr>
        <w:t>N</w:t>
      </w:r>
      <w:r w:rsidRPr="00251317">
        <w:rPr>
          <w:rFonts w:ascii="Arial" w:hAnsi="Arial" w:cs="Arial"/>
          <w:b/>
        </w:rPr>
        <w:t>ejvíce žen</w:t>
      </w:r>
      <w:r w:rsidRPr="00251317">
        <w:rPr>
          <w:rFonts w:ascii="Arial" w:hAnsi="Arial" w:cs="Arial"/>
        </w:rPr>
        <w:t xml:space="preserve"> (22,9 % z celkového počtu zaměstnaných žen) bylo zařazeno</w:t>
      </w:r>
      <w:r w:rsidRPr="00251317">
        <w:rPr>
          <w:rFonts w:ascii="Arial" w:hAnsi="Arial" w:cs="Arial"/>
          <w:b/>
        </w:rPr>
        <w:t xml:space="preserve"> </w:t>
      </w:r>
      <w:r w:rsidRPr="00251317">
        <w:rPr>
          <w:rFonts w:ascii="Arial" w:hAnsi="Arial" w:cs="Arial"/>
        </w:rPr>
        <w:t>v</w:t>
      </w:r>
      <w:r w:rsidRPr="00251317">
        <w:rPr>
          <w:rFonts w:ascii="Arial" w:hAnsi="Arial" w:cs="Arial"/>
          <w:b/>
        </w:rPr>
        <w:t xml:space="preserve"> třídě 5 </w:t>
      </w:r>
      <w:r w:rsidRPr="00251317">
        <w:rPr>
          <w:rFonts w:ascii="Arial" w:hAnsi="Arial" w:cs="Arial"/>
        </w:rPr>
        <w:t xml:space="preserve">- pracovníci ve službách a prodeji, její celkový podíl na zaměstnanosti představoval </w:t>
      </w:r>
      <w:r w:rsidRPr="00251317">
        <w:rPr>
          <w:rFonts w:ascii="Arial" w:hAnsi="Arial" w:cs="Arial"/>
          <w:b/>
        </w:rPr>
        <w:t>15,1 %</w:t>
      </w:r>
      <w:r w:rsidRPr="00251317">
        <w:rPr>
          <w:rFonts w:ascii="Arial" w:hAnsi="Arial" w:cs="Arial"/>
        </w:rPr>
        <w:t xml:space="preserve"> (třetí nejpočetnější skupina klasifikace). </w:t>
      </w:r>
    </w:p>
    <w:p w:rsidR="007A49EF" w:rsidRPr="00251317" w:rsidRDefault="007A49EF" w:rsidP="007A49EF">
      <w:pPr>
        <w:tabs>
          <w:tab w:val="center" w:pos="720"/>
        </w:tabs>
        <w:ind w:firstLine="720"/>
        <w:jc w:val="both"/>
        <w:rPr>
          <w:rFonts w:ascii="Arial" w:hAnsi="Arial" w:cs="Arial"/>
          <w:sz w:val="16"/>
          <w:szCs w:val="16"/>
        </w:rPr>
      </w:pPr>
    </w:p>
    <w:p w:rsidR="007A49EF" w:rsidRPr="00251317" w:rsidRDefault="007A49EF" w:rsidP="007A49EF">
      <w:pPr>
        <w:tabs>
          <w:tab w:val="center" w:pos="720"/>
        </w:tabs>
        <w:jc w:val="center"/>
        <w:rPr>
          <w:rFonts w:ascii="Arial" w:hAnsi="Arial" w:cs="Arial"/>
          <w:b/>
        </w:rPr>
      </w:pPr>
      <w:r w:rsidRPr="00251317">
        <w:rPr>
          <w:rFonts w:ascii="Arial" w:hAnsi="Arial" w:cs="Arial"/>
          <w:b/>
        </w:rPr>
        <w:t>Struktura zaměstnanosti podle klasifikace zaměstnání (CZ-ISCO)</w:t>
      </w:r>
    </w:p>
    <w:p w:rsidR="007A49EF" w:rsidRPr="00251317" w:rsidRDefault="007A49EF" w:rsidP="007A49EF">
      <w:pPr>
        <w:tabs>
          <w:tab w:val="center" w:pos="720"/>
        </w:tabs>
        <w:ind w:firstLine="720"/>
        <w:jc w:val="right"/>
        <w:rPr>
          <w:rFonts w:ascii="Arial" w:hAnsi="Arial" w:cs="Arial"/>
          <w:sz w:val="20"/>
          <w:szCs w:val="20"/>
        </w:rPr>
      </w:pPr>
      <w:r w:rsidRPr="00251317">
        <w:rPr>
          <w:rFonts w:ascii="Arial" w:hAnsi="Arial" w:cs="Arial"/>
          <w:sz w:val="20"/>
          <w:szCs w:val="20"/>
        </w:rPr>
        <w:t>tab. č. 12</w:t>
      </w:r>
    </w:p>
    <w:tbl>
      <w:tblPr>
        <w:tblW w:w="9200" w:type="dxa"/>
        <w:tblInd w:w="65" w:type="dxa"/>
        <w:tblCellMar>
          <w:left w:w="70" w:type="dxa"/>
          <w:right w:w="70" w:type="dxa"/>
        </w:tblCellMar>
        <w:tblLook w:val="0000" w:firstRow="0" w:lastRow="0" w:firstColumn="0" w:lastColumn="0" w:noHBand="0" w:noVBand="0"/>
      </w:tblPr>
      <w:tblGrid>
        <w:gridCol w:w="290"/>
        <w:gridCol w:w="3826"/>
        <w:gridCol w:w="992"/>
        <w:gridCol w:w="851"/>
        <w:gridCol w:w="850"/>
        <w:gridCol w:w="747"/>
        <w:gridCol w:w="824"/>
        <w:gridCol w:w="820"/>
      </w:tblGrid>
      <w:tr w:rsidR="007A49EF" w:rsidRPr="00251317" w:rsidTr="007A49EF">
        <w:trPr>
          <w:trHeight w:val="345"/>
        </w:trPr>
        <w:tc>
          <w:tcPr>
            <w:tcW w:w="4116" w:type="dxa"/>
            <w:gridSpan w:val="2"/>
            <w:vMerge w:val="restart"/>
            <w:tcBorders>
              <w:top w:val="double" w:sz="6" w:space="0" w:color="auto"/>
              <w:left w:val="double" w:sz="6" w:space="0" w:color="auto"/>
              <w:right w:val="single" w:sz="4" w:space="0" w:color="auto"/>
            </w:tcBorders>
            <w:shd w:val="clear" w:color="auto" w:fill="auto"/>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Celkem</w:t>
            </w:r>
          </w:p>
        </w:tc>
        <w:tc>
          <w:tcPr>
            <w:tcW w:w="1843" w:type="dxa"/>
            <w:gridSpan w:val="2"/>
            <w:tcBorders>
              <w:top w:val="double" w:sz="6" w:space="0" w:color="auto"/>
              <w:left w:val="nil"/>
              <w:bottom w:val="single" w:sz="4" w:space="0" w:color="auto"/>
              <w:right w:val="single" w:sz="4" w:space="0" w:color="auto"/>
            </w:tcBorders>
            <w:shd w:val="clear" w:color="auto" w:fill="auto"/>
            <w:noWrap/>
            <w:vAlign w:val="bottom"/>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1.pololetí 2012</w:t>
            </w:r>
          </w:p>
        </w:tc>
        <w:tc>
          <w:tcPr>
            <w:tcW w:w="1597" w:type="dxa"/>
            <w:gridSpan w:val="2"/>
            <w:tcBorders>
              <w:top w:val="double" w:sz="6" w:space="0" w:color="auto"/>
              <w:left w:val="nil"/>
              <w:bottom w:val="single" w:sz="4" w:space="0" w:color="auto"/>
              <w:right w:val="single" w:sz="4" w:space="0" w:color="auto"/>
            </w:tcBorders>
            <w:shd w:val="clear" w:color="auto" w:fill="auto"/>
            <w:noWrap/>
            <w:vAlign w:val="bottom"/>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1.pololetí 2013</w:t>
            </w:r>
          </w:p>
        </w:tc>
        <w:tc>
          <w:tcPr>
            <w:tcW w:w="824" w:type="dxa"/>
            <w:vMerge w:val="restart"/>
            <w:tcBorders>
              <w:top w:val="double" w:sz="6" w:space="0" w:color="auto"/>
              <w:left w:val="nil"/>
              <w:right w:val="single" w:sz="4" w:space="0" w:color="auto"/>
            </w:tcBorders>
            <w:shd w:val="clear" w:color="auto" w:fill="auto"/>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rozdíl</w:t>
            </w:r>
          </w:p>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13-12</w:t>
            </w:r>
          </w:p>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(v tis.)</w:t>
            </w:r>
          </w:p>
        </w:tc>
        <w:tc>
          <w:tcPr>
            <w:tcW w:w="820" w:type="dxa"/>
            <w:vMerge w:val="restart"/>
            <w:tcBorders>
              <w:top w:val="double" w:sz="6" w:space="0" w:color="auto"/>
              <w:left w:val="nil"/>
              <w:right w:val="double" w:sz="6" w:space="0" w:color="auto"/>
            </w:tcBorders>
            <w:shd w:val="clear" w:color="auto" w:fill="auto"/>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index</w:t>
            </w:r>
          </w:p>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 xml:space="preserve">13/12 </w:t>
            </w:r>
            <w:r w:rsidRPr="00251317">
              <w:rPr>
                <w:rFonts w:ascii="Arial" w:hAnsi="Arial" w:cs="Arial"/>
                <w:b/>
                <w:sz w:val="20"/>
                <w:szCs w:val="20"/>
              </w:rPr>
              <w:t>(%)</w:t>
            </w:r>
          </w:p>
        </w:tc>
      </w:tr>
      <w:tr w:rsidR="007A49EF" w:rsidRPr="00251317" w:rsidTr="007A49EF">
        <w:trPr>
          <w:trHeight w:val="345"/>
        </w:trPr>
        <w:tc>
          <w:tcPr>
            <w:tcW w:w="4116" w:type="dxa"/>
            <w:gridSpan w:val="2"/>
            <w:vMerge/>
            <w:tcBorders>
              <w:left w:val="double" w:sz="6" w:space="0" w:color="auto"/>
              <w:right w:val="single" w:sz="4" w:space="0" w:color="auto"/>
            </w:tcBorders>
            <w:vAlign w:val="center"/>
          </w:tcPr>
          <w:p w:rsidR="007A49EF" w:rsidRPr="00251317" w:rsidRDefault="007A49EF" w:rsidP="007A49EF">
            <w:pPr>
              <w:jc w:val="center"/>
              <w:rPr>
                <w:rFonts w:ascii="Arial" w:hAnsi="Arial" w:cs="Arial"/>
                <w:b/>
                <w:bCs/>
                <w:sz w:val="20"/>
                <w:szCs w:val="20"/>
              </w:rPr>
            </w:pPr>
          </w:p>
        </w:tc>
        <w:tc>
          <w:tcPr>
            <w:tcW w:w="992" w:type="dxa"/>
            <w:tcBorders>
              <w:top w:val="nil"/>
              <w:left w:val="nil"/>
              <w:bottom w:val="single" w:sz="4" w:space="0" w:color="auto"/>
              <w:right w:val="single" w:sz="4" w:space="0" w:color="auto"/>
            </w:tcBorders>
            <w:shd w:val="clear" w:color="auto" w:fill="auto"/>
            <w:noWrap/>
            <w:vAlign w:val="bottom"/>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v tis.</w:t>
            </w:r>
          </w:p>
        </w:tc>
        <w:tc>
          <w:tcPr>
            <w:tcW w:w="851" w:type="dxa"/>
            <w:tcBorders>
              <w:top w:val="nil"/>
              <w:left w:val="nil"/>
              <w:bottom w:val="single" w:sz="4" w:space="0" w:color="auto"/>
              <w:right w:val="single" w:sz="4" w:space="0" w:color="auto"/>
            </w:tcBorders>
            <w:shd w:val="clear" w:color="auto" w:fill="auto"/>
            <w:noWrap/>
            <w:vAlign w:val="bottom"/>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w:t>
            </w:r>
          </w:p>
        </w:tc>
        <w:tc>
          <w:tcPr>
            <w:tcW w:w="850" w:type="dxa"/>
            <w:tcBorders>
              <w:top w:val="nil"/>
              <w:left w:val="nil"/>
              <w:bottom w:val="single" w:sz="4" w:space="0" w:color="auto"/>
              <w:right w:val="single" w:sz="4" w:space="0" w:color="auto"/>
            </w:tcBorders>
            <w:shd w:val="clear" w:color="auto" w:fill="auto"/>
            <w:noWrap/>
            <w:vAlign w:val="bottom"/>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v tis.</w:t>
            </w:r>
          </w:p>
        </w:tc>
        <w:tc>
          <w:tcPr>
            <w:tcW w:w="747" w:type="dxa"/>
            <w:tcBorders>
              <w:top w:val="nil"/>
              <w:left w:val="nil"/>
              <w:bottom w:val="single" w:sz="4" w:space="0" w:color="auto"/>
              <w:right w:val="single" w:sz="4" w:space="0" w:color="auto"/>
            </w:tcBorders>
            <w:shd w:val="clear" w:color="auto" w:fill="auto"/>
            <w:noWrap/>
            <w:vAlign w:val="bottom"/>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w:t>
            </w:r>
          </w:p>
        </w:tc>
        <w:tc>
          <w:tcPr>
            <w:tcW w:w="824" w:type="dxa"/>
            <w:vMerge/>
            <w:tcBorders>
              <w:left w:val="nil"/>
              <w:bottom w:val="single" w:sz="4" w:space="0" w:color="auto"/>
              <w:right w:val="single" w:sz="4" w:space="0" w:color="auto"/>
            </w:tcBorders>
            <w:shd w:val="clear" w:color="auto" w:fill="auto"/>
            <w:vAlign w:val="bottom"/>
          </w:tcPr>
          <w:p w:rsidR="007A49EF" w:rsidRPr="00251317" w:rsidRDefault="007A49EF" w:rsidP="007A49EF">
            <w:pPr>
              <w:jc w:val="center"/>
              <w:rPr>
                <w:rFonts w:ascii="Arial" w:hAnsi="Arial" w:cs="Arial"/>
                <w:b/>
                <w:bCs/>
                <w:sz w:val="20"/>
                <w:szCs w:val="20"/>
              </w:rPr>
            </w:pPr>
          </w:p>
        </w:tc>
        <w:tc>
          <w:tcPr>
            <w:tcW w:w="820" w:type="dxa"/>
            <w:vMerge/>
            <w:tcBorders>
              <w:left w:val="nil"/>
              <w:bottom w:val="single" w:sz="4" w:space="0" w:color="auto"/>
              <w:right w:val="double" w:sz="6" w:space="0" w:color="auto"/>
            </w:tcBorders>
            <w:shd w:val="clear" w:color="auto" w:fill="auto"/>
            <w:vAlign w:val="bottom"/>
          </w:tcPr>
          <w:p w:rsidR="007A49EF" w:rsidRPr="00251317" w:rsidRDefault="007A49EF" w:rsidP="007A49EF">
            <w:pPr>
              <w:jc w:val="center"/>
              <w:rPr>
                <w:rFonts w:ascii="Arial" w:hAnsi="Arial" w:cs="Arial"/>
                <w:b/>
                <w:bCs/>
                <w:sz w:val="20"/>
                <w:szCs w:val="20"/>
              </w:rPr>
            </w:pPr>
          </w:p>
        </w:tc>
      </w:tr>
      <w:tr w:rsidR="007A49EF" w:rsidRPr="00251317" w:rsidTr="007A49EF">
        <w:trPr>
          <w:trHeight w:val="345"/>
        </w:trPr>
        <w:tc>
          <w:tcPr>
            <w:tcW w:w="4116" w:type="dxa"/>
            <w:gridSpan w:val="2"/>
            <w:vMerge/>
            <w:tcBorders>
              <w:left w:val="double" w:sz="6" w:space="0" w:color="auto"/>
              <w:bottom w:val="single" w:sz="4" w:space="0" w:color="auto"/>
              <w:right w:val="single" w:sz="4" w:space="0" w:color="auto"/>
            </w:tcBorders>
            <w:shd w:val="clear" w:color="auto" w:fill="auto"/>
            <w:vAlign w:val="center"/>
          </w:tcPr>
          <w:p w:rsidR="007A49EF" w:rsidRPr="00251317" w:rsidRDefault="007A49EF" w:rsidP="007A49EF">
            <w:pPr>
              <w:jc w:val="center"/>
              <w:rPr>
                <w:rFonts w:ascii="Arial" w:hAnsi="Arial" w:cs="Arial"/>
                <w:b/>
                <w:bCs/>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7A49EF" w:rsidRPr="00251317" w:rsidRDefault="007A49EF" w:rsidP="007A49EF">
            <w:pPr>
              <w:jc w:val="right"/>
              <w:rPr>
                <w:rFonts w:ascii="Arial" w:hAnsi="Arial" w:cs="Arial"/>
                <w:b/>
                <w:bCs/>
                <w:sz w:val="20"/>
                <w:szCs w:val="20"/>
              </w:rPr>
            </w:pPr>
            <w:r w:rsidRPr="00251317">
              <w:rPr>
                <w:rFonts w:ascii="Arial" w:hAnsi="Arial" w:cs="Arial"/>
                <w:b/>
                <w:bCs/>
                <w:sz w:val="20"/>
                <w:szCs w:val="20"/>
              </w:rPr>
              <w:t xml:space="preserve">4861,5 </w:t>
            </w:r>
          </w:p>
        </w:tc>
        <w:tc>
          <w:tcPr>
            <w:tcW w:w="851" w:type="dxa"/>
            <w:tcBorders>
              <w:top w:val="nil"/>
              <w:left w:val="nil"/>
              <w:bottom w:val="single" w:sz="4" w:space="0" w:color="auto"/>
              <w:right w:val="single" w:sz="4" w:space="0" w:color="auto"/>
            </w:tcBorders>
            <w:shd w:val="clear" w:color="auto" w:fill="auto"/>
            <w:noWrap/>
            <w:vAlign w:val="center"/>
          </w:tcPr>
          <w:p w:rsidR="007A49EF" w:rsidRPr="00251317" w:rsidRDefault="007A49EF" w:rsidP="007A49EF">
            <w:pPr>
              <w:jc w:val="right"/>
              <w:rPr>
                <w:rFonts w:ascii="Arial" w:hAnsi="Arial" w:cs="Arial"/>
                <w:b/>
                <w:bCs/>
                <w:sz w:val="20"/>
                <w:szCs w:val="20"/>
              </w:rPr>
            </w:pPr>
            <w:r w:rsidRPr="00251317">
              <w:rPr>
                <w:rFonts w:ascii="Arial" w:hAnsi="Arial" w:cs="Arial"/>
                <w:b/>
                <w:bCs/>
                <w:sz w:val="20"/>
                <w:szCs w:val="20"/>
              </w:rPr>
              <w:t>100,0</w:t>
            </w:r>
          </w:p>
        </w:tc>
        <w:tc>
          <w:tcPr>
            <w:tcW w:w="850" w:type="dxa"/>
            <w:tcBorders>
              <w:top w:val="nil"/>
              <w:left w:val="nil"/>
              <w:bottom w:val="single" w:sz="4" w:space="0" w:color="auto"/>
              <w:right w:val="single" w:sz="4" w:space="0" w:color="auto"/>
            </w:tcBorders>
            <w:shd w:val="clear" w:color="auto" w:fill="auto"/>
            <w:noWrap/>
            <w:vAlign w:val="center"/>
          </w:tcPr>
          <w:p w:rsidR="007A49EF" w:rsidRPr="00251317" w:rsidRDefault="007A49EF" w:rsidP="007A49EF">
            <w:pPr>
              <w:jc w:val="right"/>
              <w:rPr>
                <w:rFonts w:ascii="Arial" w:hAnsi="Arial" w:cs="Arial"/>
                <w:b/>
                <w:bCs/>
                <w:sz w:val="20"/>
                <w:szCs w:val="20"/>
              </w:rPr>
            </w:pPr>
            <w:r w:rsidRPr="00251317">
              <w:rPr>
                <w:rFonts w:ascii="Arial" w:hAnsi="Arial" w:cs="Arial"/>
                <w:b/>
                <w:bCs/>
                <w:sz w:val="20"/>
                <w:szCs w:val="20"/>
              </w:rPr>
              <w:t xml:space="preserve">4918,5 </w:t>
            </w:r>
          </w:p>
        </w:tc>
        <w:tc>
          <w:tcPr>
            <w:tcW w:w="747" w:type="dxa"/>
            <w:tcBorders>
              <w:top w:val="nil"/>
              <w:left w:val="nil"/>
              <w:bottom w:val="single" w:sz="4" w:space="0" w:color="auto"/>
              <w:right w:val="single" w:sz="4" w:space="0" w:color="auto"/>
            </w:tcBorders>
            <w:shd w:val="clear" w:color="auto" w:fill="auto"/>
            <w:noWrap/>
            <w:vAlign w:val="center"/>
          </w:tcPr>
          <w:p w:rsidR="007A49EF" w:rsidRPr="00BD1315" w:rsidRDefault="007A49EF" w:rsidP="007A49EF">
            <w:pPr>
              <w:jc w:val="right"/>
              <w:rPr>
                <w:rFonts w:ascii="Arial" w:hAnsi="Arial" w:cs="Arial"/>
                <w:b/>
                <w:sz w:val="20"/>
                <w:szCs w:val="20"/>
              </w:rPr>
            </w:pPr>
            <w:r w:rsidRPr="00BD1315">
              <w:rPr>
                <w:rFonts w:ascii="Arial" w:hAnsi="Arial" w:cs="Arial"/>
                <w:b/>
                <w:sz w:val="20"/>
                <w:szCs w:val="20"/>
              </w:rPr>
              <w:t xml:space="preserve">100,0 </w:t>
            </w:r>
          </w:p>
        </w:tc>
        <w:tc>
          <w:tcPr>
            <w:tcW w:w="824" w:type="dxa"/>
            <w:tcBorders>
              <w:top w:val="nil"/>
              <w:left w:val="nil"/>
              <w:bottom w:val="single" w:sz="4" w:space="0" w:color="auto"/>
              <w:right w:val="single" w:sz="4" w:space="0" w:color="auto"/>
            </w:tcBorders>
            <w:shd w:val="clear" w:color="auto" w:fill="auto"/>
            <w:noWrap/>
            <w:vAlign w:val="center"/>
          </w:tcPr>
          <w:p w:rsidR="007A49EF" w:rsidRPr="00251317" w:rsidRDefault="007A49EF" w:rsidP="007A49EF">
            <w:pPr>
              <w:jc w:val="right"/>
              <w:rPr>
                <w:rFonts w:ascii="Arial" w:hAnsi="Arial" w:cs="Arial"/>
                <w:b/>
                <w:bCs/>
                <w:sz w:val="20"/>
                <w:szCs w:val="20"/>
              </w:rPr>
            </w:pPr>
            <w:r w:rsidRPr="00251317">
              <w:rPr>
                <w:rFonts w:ascii="Arial" w:hAnsi="Arial" w:cs="Arial"/>
                <w:b/>
                <w:bCs/>
                <w:sz w:val="20"/>
                <w:szCs w:val="20"/>
              </w:rPr>
              <w:t xml:space="preserve">57,0 </w:t>
            </w:r>
          </w:p>
        </w:tc>
        <w:tc>
          <w:tcPr>
            <w:tcW w:w="820" w:type="dxa"/>
            <w:tcBorders>
              <w:top w:val="nil"/>
              <w:left w:val="nil"/>
              <w:bottom w:val="single" w:sz="4" w:space="0" w:color="auto"/>
              <w:right w:val="double" w:sz="6" w:space="0" w:color="auto"/>
            </w:tcBorders>
            <w:shd w:val="clear" w:color="auto" w:fill="auto"/>
            <w:noWrap/>
            <w:vAlign w:val="center"/>
          </w:tcPr>
          <w:p w:rsidR="007A49EF" w:rsidRPr="00251317" w:rsidRDefault="007A49EF" w:rsidP="007A49EF">
            <w:pPr>
              <w:jc w:val="right"/>
              <w:rPr>
                <w:rFonts w:ascii="Arial" w:hAnsi="Arial" w:cs="Arial"/>
                <w:b/>
                <w:bCs/>
                <w:sz w:val="20"/>
                <w:szCs w:val="20"/>
              </w:rPr>
            </w:pPr>
            <w:r w:rsidRPr="00251317">
              <w:rPr>
                <w:rFonts w:ascii="Arial" w:hAnsi="Arial" w:cs="Arial"/>
                <w:b/>
                <w:bCs/>
                <w:sz w:val="20"/>
                <w:szCs w:val="20"/>
              </w:rPr>
              <w:t>101,2</w:t>
            </w:r>
          </w:p>
        </w:tc>
      </w:tr>
      <w:tr w:rsidR="007A49EF" w:rsidRPr="00251317" w:rsidTr="007A49EF">
        <w:trPr>
          <w:trHeight w:val="397"/>
        </w:trPr>
        <w:tc>
          <w:tcPr>
            <w:tcW w:w="4116" w:type="dxa"/>
            <w:gridSpan w:val="2"/>
            <w:tcBorders>
              <w:top w:val="single" w:sz="4" w:space="0" w:color="auto"/>
              <w:left w:val="double" w:sz="6" w:space="0" w:color="auto"/>
              <w:bottom w:val="nil"/>
              <w:right w:val="single" w:sz="4" w:space="0" w:color="auto"/>
            </w:tcBorders>
            <w:shd w:val="clear" w:color="auto" w:fill="auto"/>
            <w:vAlign w:val="center"/>
          </w:tcPr>
          <w:p w:rsidR="007A49EF" w:rsidRPr="00251317" w:rsidRDefault="007A49EF" w:rsidP="007A49EF">
            <w:pPr>
              <w:spacing w:line="360" w:lineRule="auto"/>
              <w:rPr>
                <w:rFonts w:ascii="Arial" w:hAnsi="Arial" w:cs="Arial"/>
                <w:sz w:val="20"/>
                <w:szCs w:val="20"/>
              </w:rPr>
            </w:pPr>
            <w:r w:rsidRPr="00251317">
              <w:rPr>
                <w:rFonts w:ascii="Arial" w:hAnsi="Arial" w:cs="Arial"/>
                <w:sz w:val="20"/>
                <w:szCs w:val="20"/>
              </w:rPr>
              <w:t>v tom: </w:t>
            </w:r>
          </w:p>
        </w:tc>
        <w:tc>
          <w:tcPr>
            <w:tcW w:w="992"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w:t>
            </w:r>
          </w:p>
        </w:tc>
        <w:tc>
          <w:tcPr>
            <w:tcW w:w="851"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w:t>
            </w:r>
          </w:p>
        </w:tc>
        <w:tc>
          <w:tcPr>
            <w:tcW w:w="850"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w:t>
            </w:r>
          </w:p>
        </w:tc>
        <w:tc>
          <w:tcPr>
            <w:tcW w:w="747"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w:t>
            </w:r>
          </w:p>
        </w:tc>
        <w:tc>
          <w:tcPr>
            <w:tcW w:w="824"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w:t>
            </w:r>
          </w:p>
        </w:tc>
        <w:tc>
          <w:tcPr>
            <w:tcW w:w="820" w:type="dxa"/>
            <w:tcBorders>
              <w:top w:val="nil"/>
              <w:left w:val="nil"/>
              <w:bottom w:val="nil"/>
              <w:right w:val="double" w:sz="6"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w:t>
            </w:r>
          </w:p>
        </w:tc>
      </w:tr>
      <w:tr w:rsidR="007A49EF" w:rsidRPr="00251317" w:rsidTr="007A49EF">
        <w:trPr>
          <w:trHeight w:val="284"/>
        </w:trPr>
        <w:tc>
          <w:tcPr>
            <w:tcW w:w="290" w:type="dxa"/>
            <w:tcBorders>
              <w:top w:val="nil"/>
              <w:left w:val="double" w:sz="6" w:space="0" w:color="auto"/>
              <w:bottom w:val="nil"/>
              <w:right w:val="single" w:sz="4" w:space="0" w:color="auto"/>
            </w:tcBorders>
            <w:shd w:val="clear" w:color="auto" w:fill="auto"/>
            <w:vAlign w:val="center"/>
          </w:tcPr>
          <w:p w:rsidR="007A49EF" w:rsidRPr="00251317" w:rsidRDefault="007A49EF" w:rsidP="007A49EF">
            <w:pPr>
              <w:spacing w:line="320" w:lineRule="exact"/>
              <w:jc w:val="center"/>
              <w:rPr>
                <w:rFonts w:ascii="Arial" w:hAnsi="Arial" w:cs="Arial"/>
                <w:sz w:val="20"/>
                <w:szCs w:val="20"/>
              </w:rPr>
            </w:pPr>
            <w:r w:rsidRPr="00251317">
              <w:rPr>
                <w:rFonts w:ascii="Arial" w:hAnsi="Arial" w:cs="Arial"/>
                <w:sz w:val="20"/>
                <w:szCs w:val="20"/>
              </w:rPr>
              <w:t>0</w:t>
            </w:r>
          </w:p>
        </w:tc>
        <w:tc>
          <w:tcPr>
            <w:tcW w:w="3826" w:type="dxa"/>
            <w:tcBorders>
              <w:top w:val="nil"/>
              <w:left w:val="nil"/>
              <w:bottom w:val="nil"/>
              <w:right w:val="single" w:sz="4" w:space="0" w:color="auto"/>
            </w:tcBorders>
            <w:shd w:val="clear" w:color="auto" w:fill="auto"/>
            <w:noWrap/>
            <w:vAlign w:val="center"/>
          </w:tcPr>
          <w:p w:rsidR="007A49EF" w:rsidRPr="00251317" w:rsidRDefault="007A49EF" w:rsidP="007A49EF">
            <w:pPr>
              <w:spacing w:line="320" w:lineRule="exact"/>
              <w:rPr>
                <w:rFonts w:ascii="Arial" w:hAnsi="Arial" w:cs="Arial"/>
                <w:sz w:val="20"/>
                <w:szCs w:val="20"/>
              </w:rPr>
            </w:pPr>
            <w:r w:rsidRPr="00251317">
              <w:rPr>
                <w:rFonts w:ascii="Arial" w:hAnsi="Arial" w:cs="Arial"/>
                <w:sz w:val="20"/>
                <w:szCs w:val="20"/>
              </w:rPr>
              <w:t>Zaměstnanci v ozbrojených silách</w:t>
            </w:r>
          </w:p>
        </w:tc>
        <w:tc>
          <w:tcPr>
            <w:tcW w:w="992"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17,9 </w:t>
            </w:r>
          </w:p>
        </w:tc>
        <w:tc>
          <w:tcPr>
            <w:tcW w:w="851"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0,4 </w:t>
            </w:r>
          </w:p>
        </w:tc>
        <w:tc>
          <w:tcPr>
            <w:tcW w:w="850"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17,5 </w:t>
            </w:r>
          </w:p>
        </w:tc>
        <w:tc>
          <w:tcPr>
            <w:tcW w:w="747"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0,4 </w:t>
            </w:r>
          </w:p>
        </w:tc>
        <w:tc>
          <w:tcPr>
            <w:tcW w:w="824"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-0,4 </w:t>
            </w:r>
          </w:p>
        </w:tc>
        <w:tc>
          <w:tcPr>
            <w:tcW w:w="820" w:type="dxa"/>
            <w:tcBorders>
              <w:top w:val="nil"/>
              <w:left w:val="nil"/>
              <w:bottom w:val="nil"/>
              <w:right w:val="double" w:sz="6"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97,8 </w:t>
            </w:r>
          </w:p>
        </w:tc>
      </w:tr>
      <w:tr w:rsidR="007A49EF" w:rsidRPr="00251317" w:rsidTr="007A49EF">
        <w:trPr>
          <w:trHeight w:val="284"/>
        </w:trPr>
        <w:tc>
          <w:tcPr>
            <w:tcW w:w="290" w:type="dxa"/>
            <w:tcBorders>
              <w:top w:val="nil"/>
              <w:left w:val="double" w:sz="6" w:space="0" w:color="auto"/>
              <w:bottom w:val="nil"/>
              <w:right w:val="single" w:sz="4" w:space="0" w:color="auto"/>
            </w:tcBorders>
            <w:shd w:val="clear" w:color="auto" w:fill="auto"/>
            <w:vAlign w:val="center"/>
          </w:tcPr>
          <w:p w:rsidR="007A49EF" w:rsidRPr="00251317" w:rsidRDefault="007A49EF" w:rsidP="007A49EF">
            <w:pPr>
              <w:spacing w:line="320" w:lineRule="exact"/>
              <w:jc w:val="center"/>
              <w:rPr>
                <w:rFonts w:ascii="Arial" w:hAnsi="Arial" w:cs="Arial"/>
                <w:sz w:val="20"/>
                <w:szCs w:val="20"/>
              </w:rPr>
            </w:pPr>
            <w:r w:rsidRPr="00251317">
              <w:rPr>
                <w:rFonts w:ascii="Arial" w:hAnsi="Arial" w:cs="Arial"/>
                <w:sz w:val="20"/>
                <w:szCs w:val="20"/>
              </w:rPr>
              <w:t>1</w:t>
            </w:r>
          </w:p>
        </w:tc>
        <w:tc>
          <w:tcPr>
            <w:tcW w:w="3826" w:type="dxa"/>
            <w:tcBorders>
              <w:top w:val="nil"/>
              <w:left w:val="nil"/>
              <w:bottom w:val="nil"/>
              <w:right w:val="single" w:sz="4" w:space="0" w:color="auto"/>
            </w:tcBorders>
            <w:shd w:val="clear" w:color="auto" w:fill="auto"/>
            <w:vAlign w:val="center"/>
          </w:tcPr>
          <w:p w:rsidR="007A49EF" w:rsidRPr="00251317" w:rsidRDefault="007A49EF" w:rsidP="007A49EF">
            <w:pPr>
              <w:spacing w:line="320" w:lineRule="exact"/>
              <w:rPr>
                <w:rFonts w:ascii="Arial" w:hAnsi="Arial" w:cs="Arial"/>
                <w:sz w:val="20"/>
                <w:szCs w:val="20"/>
              </w:rPr>
            </w:pPr>
            <w:r w:rsidRPr="00251317">
              <w:rPr>
                <w:rFonts w:ascii="Arial" w:hAnsi="Arial" w:cs="Arial"/>
                <w:sz w:val="20"/>
                <w:szCs w:val="20"/>
              </w:rPr>
              <w:t>Zákonodárci a řídící pracovníci</w:t>
            </w:r>
          </w:p>
        </w:tc>
        <w:tc>
          <w:tcPr>
            <w:tcW w:w="992"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240,6 </w:t>
            </w:r>
          </w:p>
        </w:tc>
        <w:tc>
          <w:tcPr>
            <w:tcW w:w="851"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4,9 </w:t>
            </w:r>
          </w:p>
        </w:tc>
        <w:tc>
          <w:tcPr>
            <w:tcW w:w="850"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274,1 </w:t>
            </w:r>
          </w:p>
        </w:tc>
        <w:tc>
          <w:tcPr>
            <w:tcW w:w="747"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5,6 </w:t>
            </w:r>
          </w:p>
        </w:tc>
        <w:tc>
          <w:tcPr>
            <w:tcW w:w="824"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33,5 </w:t>
            </w:r>
          </w:p>
        </w:tc>
        <w:tc>
          <w:tcPr>
            <w:tcW w:w="820" w:type="dxa"/>
            <w:tcBorders>
              <w:top w:val="nil"/>
              <w:left w:val="nil"/>
              <w:bottom w:val="nil"/>
              <w:right w:val="double" w:sz="6"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113,9 </w:t>
            </w:r>
          </w:p>
        </w:tc>
      </w:tr>
      <w:tr w:rsidR="007A49EF" w:rsidRPr="00251317" w:rsidTr="007A49EF">
        <w:trPr>
          <w:trHeight w:val="284"/>
        </w:trPr>
        <w:tc>
          <w:tcPr>
            <w:tcW w:w="290" w:type="dxa"/>
            <w:tcBorders>
              <w:top w:val="nil"/>
              <w:left w:val="double" w:sz="6" w:space="0" w:color="auto"/>
              <w:bottom w:val="nil"/>
              <w:right w:val="single" w:sz="4" w:space="0" w:color="auto"/>
            </w:tcBorders>
            <w:shd w:val="clear" w:color="auto" w:fill="auto"/>
            <w:vAlign w:val="center"/>
          </w:tcPr>
          <w:p w:rsidR="007A49EF" w:rsidRPr="00251317" w:rsidRDefault="007A49EF" w:rsidP="007A49EF">
            <w:pPr>
              <w:spacing w:line="320" w:lineRule="exact"/>
              <w:jc w:val="center"/>
              <w:rPr>
                <w:rFonts w:ascii="Arial" w:hAnsi="Arial" w:cs="Arial"/>
                <w:sz w:val="20"/>
                <w:szCs w:val="20"/>
              </w:rPr>
            </w:pPr>
            <w:r w:rsidRPr="00251317">
              <w:rPr>
                <w:rFonts w:ascii="Arial" w:hAnsi="Arial" w:cs="Arial"/>
                <w:sz w:val="20"/>
                <w:szCs w:val="20"/>
              </w:rPr>
              <w:t>2</w:t>
            </w:r>
          </w:p>
        </w:tc>
        <w:tc>
          <w:tcPr>
            <w:tcW w:w="3826" w:type="dxa"/>
            <w:tcBorders>
              <w:top w:val="nil"/>
              <w:left w:val="nil"/>
              <w:bottom w:val="nil"/>
              <w:right w:val="single" w:sz="4" w:space="0" w:color="auto"/>
            </w:tcBorders>
            <w:shd w:val="clear" w:color="auto" w:fill="auto"/>
            <w:noWrap/>
            <w:vAlign w:val="center"/>
          </w:tcPr>
          <w:p w:rsidR="007A49EF" w:rsidRPr="00251317" w:rsidRDefault="007A49EF" w:rsidP="007A49EF">
            <w:pPr>
              <w:spacing w:line="320" w:lineRule="exact"/>
              <w:rPr>
                <w:rFonts w:ascii="Arial" w:hAnsi="Arial" w:cs="Arial"/>
                <w:sz w:val="20"/>
                <w:szCs w:val="20"/>
              </w:rPr>
            </w:pPr>
            <w:r w:rsidRPr="00251317">
              <w:rPr>
                <w:rFonts w:ascii="Arial" w:hAnsi="Arial" w:cs="Arial"/>
                <w:sz w:val="20"/>
                <w:szCs w:val="20"/>
              </w:rPr>
              <w:t>Specialisté</w:t>
            </w:r>
          </w:p>
        </w:tc>
        <w:tc>
          <w:tcPr>
            <w:tcW w:w="992"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663,3 </w:t>
            </w:r>
          </w:p>
        </w:tc>
        <w:tc>
          <w:tcPr>
            <w:tcW w:w="851"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13,6 </w:t>
            </w:r>
          </w:p>
        </w:tc>
        <w:tc>
          <w:tcPr>
            <w:tcW w:w="850"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708,8 </w:t>
            </w:r>
          </w:p>
        </w:tc>
        <w:tc>
          <w:tcPr>
            <w:tcW w:w="747"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14,4 </w:t>
            </w:r>
          </w:p>
        </w:tc>
        <w:tc>
          <w:tcPr>
            <w:tcW w:w="824"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45,5 </w:t>
            </w:r>
          </w:p>
        </w:tc>
        <w:tc>
          <w:tcPr>
            <w:tcW w:w="820" w:type="dxa"/>
            <w:tcBorders>
              <w:top w:val="nil"/>
              <w:left w:val="nil"/>
              <w:bottom w:val="nil"/>
              <w:right w:val="double" w:sz="6"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106,9 </w:t>
            </w:r>
          </w:p>
        </w:tc>
      </w:tr>
      <w:tr w:rsidR="007A49EF" w:rsidRPr="00251317" w:rsidTr="007A49EF">
        <w:trPr>
          <w:trHeight w:val="284"/>
        </w:trPr>
        <w:tc>
          <w:tcPr>
            <w:tcW w:w="290" w:type="dxa"/>
            <w:tcBorders>
              <w:top w:val="nil"/>
              <w:left w:val="double" w:sz="6" w:space="0" w:color="auto"/>
              <w:bottom w:val="nil"/>
              <w:right w:val="single" w:sz="4" w:space="0" w:color="auto"/>
            </w:tcBorders>
            <w:shd w:val="clear" w:color="auto" w:fill="auto"/>
            <w:vAlign w:val="center"/>
          </w:tcPr>
          <w:p w:rsidR="007A49EF" w:rsidRPr="00251317" w:rsidRDefault="007A49EF" w:rsidP="007A49EF">
            <w:pPr>
              <w:spacing w:line="320" w:lineRule="exact"/>
              <w:jc w:val="center"/>
              <w:rPr>
                <w:rFonts w:ascii="Arial" w:hAnsi="Arial" w:cs="Arial"/>
                <w:sz w:val="20"/>
                <w:szCs w:val="20"/>
              </w:rPr>
            </w:pPr>
            <w:r w:rsidRPr="00251317">
              <w:rPr>
                <w:rFonts w:ascii="Arial" w:hAnsi="Arial" w:cs="Arial"/>
                <w:sz w:val="20"/>
                <w:szCs w:val="20"/>
              </w:rPr>
              <w:t>3</w:t>
            </w:r>
          </w:p>
        </w:tc>
        <w:tc>
          <w:tcPr>
            <w:tcW w:w="3826" w:type="dxa"/>
            <w:tcBorders>
              <w:top w:val="nil"/>
              <w:left w:val="nil"/>
              <w:bottom w:val="nil"/>
              <w:right w:val="single" w:sz="4" w:space="0" w:color="auto"/>
            </w:tcBorders>
            <w:shd w:val="clear" w:color="auto" w:fill="auto"/>
            <w:vAlign w:val="center"/>
          </w:tcPr>
          <w:p w:rsidR="007A49EF" w:rsidRPr="00251317" w:rsidRDefault="007A49EF" w:rsidP="007A49EF">
            <w:pPr>
              <w:spacing w:line="320" w:lineRule="exact"/>
              <w:rPr>
                <w:rFonts w:ascii="Arial" w:hAnsi="Arial" w:cs="Arial"/>
                <w:sz w:val="20"/>
                <w:szCs w:val="20"/>
              </w:rPr>
            </w:pPr>
            <w:r w:rsidRPr="00251317">
              <w:rPr>
                <w:rFonts w:ascii="Arial" w:hAnsi="Arial" w:cs="Arial"/>
                <w:sz w:val="20"/>
                <w:szCs w:val="20"/>
              </w:rPr>
              <w:t xml:space="preserve">Techničtí a odborní pracovníci </w:t>
            </w:r>
          </w:p>
        </w:tc>
        <w:tc>
          <w:tcPr>
            <w:tcW w:w="992"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890,1 </w:t>
            </w:r>
          </w:p>
        </w:tc>
        <w:tc>
          <w:tcPr>
            <w:tcW w:w="851"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18,3 </w:t>
            </w:r>
          </w:p>
        </w:tc>
        <w:tc>
          <w:tcPr>
            <w:tcW w:w="850"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884,5 </w:t>
            </w:r>
          </w:p>
        </w:tc>
        <w:tc>
          <w:tcPr>
            <w:tcW w:w="747"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18,0 </w:t>
            </w:r>
          </w:p>
        </w:tc>
        <w:tc>
          <w:tcPr>
            <w:tcW w:w="824"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-5,6 </w:t>
            </w:r>
          </w:p>
        </w:tc>
        <w:tc>
          <w:tcPr>
            <w:tcW w:w="820" w:type="dxa"/>
            <w:tcBorders>
              <w:top w:val="nil"/>
              <w:left w:val="nil"/>
              <w:bottom w:val="nil"/>
              <w:right w:val="double" w:sz="6"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99,4 </w:t>
            </w:r>
          </w:p>
        </w:tc>
      </w:tr>
      <w:tr w:rsidR="007A49EF" w:rsidRPr="00251317" w:rsidTr="007A49EF">
        <w:trPr>
          <w:trHeight w:val="284"/>
        </w:trPr>
        <w:tc>
          <w:tcPr>
            <w:tcW w:w="290" w:type="dxa"/>
            <w:tcBorders>
              <w:top w:val="nil"/>
              <w:left w:val="double" w:sz="6" w:space="0" w:color="auto"/>
              <w:bottom w:val="nil"/>
              <w:right w:val="single" w:sz="4" w:space="0" w:color="auto"/>
            </w:tcBorders>
            <w:shd w:val="clear" w:color="auto" w:fill="auto"/>
            <w:vAlign w:val="center"/>
          </w:tcPr>
          <w:p w:rsidR="007A49EF" w:rsidRPr="00251317" w:rsidRDefault="007A49EF" w:rsidP="007A49EF">
            <w:pPr>
              <w:spacing w:line="320" w:lineRule="exact"/>
              <w:jc w:val="center"/>
              <w:rPr>
                <w:rFonts w:ascii="Arial" w:hAnsi="Arial" w:cs="Arial"/>
                <w:sz w:val="20"/>
                <w:szCs w:val="20"/>
              </w:rPr>
            </w:pPr>
            <w:r w:rsidRPr="00251317">
              <w:rPr>
                <w:rFonts w:ascii="Arial" w:hAnsi="Arial" w:cs="Arial"/>
                <w:sz w:val="20"/>
                <w:szCs w:val="20"/>
              </w:rPr>
              <w:t>4</w:t>
            </w:r>
          </w:p>
        </w:tc>
        <w:tc>
          <w:tcPr>
            <w:tcW w:w="3826" w:type="dxa"/>
            <w:tcBorders>
              <w:top w:val="nil"/>
              <w:left w:val="nil"/>
              <w:bottom w:val="nil"/>
              <w:right w:val="single" w:sz="4" w:space="0" w:color="auto"/>
            </w:tcBorders>
            <w:shd w:val="clear" w:color="auto" w:fill="auto"/>
            <w:vAlign w:val="center"/>
          </w:tcPr>
          <w:p w:rsidR="007A49EF" w:rsidRPr="00251317" w:rsidRDefault="007A49EF" w:rsidP="007A49EF">
            <w:pPr>
              <w:spacing w:line="320" w:lineRule="exact"/>
              <w:rPr>
                <w:rFonts w:ascii="Arial" w:hAnsi="Arial" w:cs="Arial"/>
                <w:sz w:val="20"/>
                <w:szCs w:val="20"/>
              </w:rPr>
            </w:pPr>
            <w:r w:rsidRPr="00251317">
              <w:rPr>
                <w:rFonts w:ascii="Arial" w:hAnsi="Arial" w:cs="Arial"/>
                <w:sz w:val="20"/>
                <w:szCs w:val="20"/>
              </w:rPr>
              <w:t xml:space="preserve">Úředníci </w:t>
            </w:r>
          </w:p>
        </w:tc>
        <w:tc>
          <w:tcPr>
            <w:tcW w:w="992"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446,8 </w:t>
            </w:r>
          </w:p>
        </w:tc>
        <w:tc>
          <w:tcPr>
            <w:tcW w:w="851"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9,2 </w:t>
            </w:r>
          </w:p>
        </w:tc>
        <w:tc>
          <w:tcPr>
            <w:tcW w:w="850"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475,0 </w:t>
            </w:r>
          </w:p>
        </w:tc>
        <w:tc>
          <w:tcPr>
            <w:tcW w:w="747"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9,7 </w:t>
            </w:r>
          </w:p>
        </w:tc>
        <w:tc>
          <w:tcPr>
            <w:tcW w:w="824"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28,2 </w:t>
            </w:r>
          </w:p>
        </w:tc>
        <w:tc>
          <w:tcPr>
            <w:tcW w:w="820" w:type="dxa"/>
            <w:tcBorders>
              <w:top w:val="nil"/>
              <w:left w:val="nil"/>
              <w:bottom w:val="nil"/>
              <w:right w:val="double" w:sz="6"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106,3 </w:t>
            </w:r>
          </w:p>
        </w:tc>
      </w:tr>
      <w:tr w:rsidR="007A49EF" w:rsidRPr="00251317" w:rsidTr="007A49EF">
        <w:trPr>
          <w:trHeight w:val="284"/>
        </w:trPr>
        <w:tc>
          <w:tcPr>
            <w:tcW w:w="290" w:type="dxa"/>
            <w:tcBorders>
              <w:top w:val="nil"/>
              <w:left w:val="double" w:sz="6" w:space="0" w:color="auto"/>
              <w:bottom w:val="nil"/>
              <w:right w:val="single" w:sz="4" w:space="0" w:color="auto"/>
            </w:tcBorders>
            <w:shd w:val="clear" w:color="auto" w:fill="auto"/>
            <w:vAlign w:val="center"/>
          </w:tcPr>
          <w:p w:rsidR="007A49EF" w:rsidRPr="00251317" w:rsidRDefault="007A49EF" w:rsidP="007A49EF">
            <w:pPr>
              <w:spacing w:line="320" w:lineRule="exact"/>
              <w:jc w:val="center"/>
              <w:rPr>
                <w:rFonts w:ascii="Arial" w:hAnsi="Arial" w:cs="Arial"/>
                <w:sz w:val="20"/>
                <w:szCs w:val="20"/>
              </w:rPr>
            </w:pPr>
            <w:r w:rsidRPr="00251317">
              <w:rPr>
                <w:rFonts w:ascii="Arial" w:hAnsi="Arial" w:cs="Arial"/>
                <w:sz w:val="20"/>
                <w:szCs w:val="20"/>
              </w:rPr>
              <w:t>5</w:t>
            </w:r>
          </w:p>
        </w:tc>
        <w:tc>
          <w:tcPr>
            <w:tcW w:w="3826" w:type="dxa"/>
            <w:tcBorders>
              <w:top w:val="nil"/>
              <w:left w:val="nil"/>
              <w:bottom w:val="nil"/>
              <w:right w:val="single" w:sz="4" w:space="0" w:color="auto"/>
            </w:tcBorders>
            <w:shd w:val="clear" w:color="auto" w:fill="auto"/>
            <w:vAlign w:val="center"/>
          </w:tcPr>
          <w:p w:rsidR="007A49EF" w:rsidRPr="00251317" w:rsidRDefault="007A49EF" w:rsidP="007A49EF">
            <w:pPr>
              <w:spacing w:line="320" w:lineRule="exact"/>
              <w:rPr>
                <w:rFonts w:ascii="Arial" w:hAnsi="Arial" w:cs="Arial"/>
                <w:sz w:val="20"/>
                <w:szCs w:val="20"/>
              </w:rPr>
            </w:pPr>
            <w:r w:rsidRPr="00251317">
              <w:rPr>
                <w:rFonts w:ascii="Arial" w:hAnsi="Arial" w:cs="Arial"/>
                <w:sz w:val="20"/>
                <w:szCs w:val="20"/>
              </w:rPr>
              <w:t xml:space="preserve">Pracovníci ve službách a prodeji </w:t>
            </w:r>
          </w:p>
        </w:tc>
        <w:tc>
          <w:tcPr>
            <w:tcW w:w="992"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744,9 </w:t>
            </w:r>
          </w:p>
        </w:tc>
        <w:tc>
          <w:tcPr>
            <w:tcW w:w="851"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15,3 </w:t>
            </w:r>
          </w:p>
        </w:tc>
        <w:tc>
          <w:tcPr>
            <w:tcW w:w="850"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740,5 </w:t>
            </w:r>
          </w:p>
        </w:tc>
        <w:tc>
          <w:tcPr>
            <w:tcW w:w="747"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15,1 </w:t>
            </w:r>
          </w:p>
        </w:tc>
        <w:tc>
          <w:tcPr>
            <w:tcW w:w="824"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-4,4 </w:t>
            </w:r>
          </w:p>
        </w:tc>
        <w:tc>
          <w:tcPr>
            <w:tcW w:w="820" w:type="dxa"/>
            <w:tcBorders>
              <w:top w:val="nil"/>
              <w:left w:val="nil"/>
              <w:bottom w:val="nil"/>
              <w:right w:val="double" w:sz="6"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99,4 </w:t>
            </w:r>
          </w:p>
        </w:tc>
      </w:tr>
      <w:tr w:rsidR="007A49EF" w:rsidRPr="00251317" w:rsidTr="007A49EF">
        <w:trPr>
          <w:trHeight w:val="284"/>
        </w:trPr>
        <w:tc>
          <w:tcPr>
            <w:tcW w:w="290" w:type="dxa"/>
            <w:tcBorders>
              <w:top w:val="nil"/>
              <w:left w:val="double" w:sz="6" w:space="0" w:color="auto"/>
              <w:bottom w:val="nil"/>
              <w:right w:val="single" w:sz="4" w:space="0" w:color="auto"/>
            </w:tcBorders>
            <w:shd w:val="clear" w:color="auto" w:fill="auto"/>
            <w:vAlign w:val="center"/>
          </w:tcPr>
          <w:p w:rsidR="007A49EF" w:rsidRPr="00251317" w:rsidRDefault="007A49EF" w:rsidP="007A49EF">
            <w:pPr>
              <w:spacing w:line="320" w:lineRule="exact"/>
              <w:jc w:val="center"/>
              <w:rPr>
                <w:rFonts w:ascii="Arial" w:hAnsi="Arial" w:cs="Arial"/>
                <w:sz w:val="20"/>
                <w:szCs w:val="20"/>
              </w:rPr>
            </w:pPr>
            <w:r w:rsidRPr="00251317">
              <w:rPr>
                <w:rFonts w:ascii="Arial" w:hAnsi="Arial" w:cs="Arial"/>
                <w:sz w:val="20"/>
                <w:szCs w:val="20"/>
              </w:rPr>
              <w:t>6</w:t>
            </w:r>
          </w:p>
        </w:tc>
        <w:tc>
          <w:tcPr>
            <w:tcW w:w="3826" w:type="dxa"/>
            <w:tcBorders>
              <w:top w:val="nil"/>
              <w:left w:val="nil"/>
              <w:bottom w:val="nil"/>
              <w:right w:val="single" w:sz="4" w:space="0" w:color="auto"/>
            </w:tcBorders>
            <w:shd w:val="clear" w:color="auto" w:fill="auto"/>
            <w:vAlign w:val="center"/>
          </w:tcPr>
          <w:p w:rsidR="007A49EF" w:rsidRPr="00251317" w:rsidRDefault="007A49EF" w:rsidP="007A49EF">
            <w:pPr>
              <w:spacing w:line="320" w:lineRule="exact"/>
              <w:rPr>
                <w:rFonts w:ascii="Arial" w:hAnsi="Arial" w:cs="Arial"/>
                <w:sz w:val="20"/>
                <w:szCs w:val="20"/>
              </w:rPr>
            </w:pPr>
            <w:r w:rsidRPr="00251317">
              <w:rPr>
                <w:rFonts w:ascii="Arial" w:hAnsi="Arial" w:cs="Arial"/>
                <w:sz w:val="20"/>
                <w:szCs w:val="20"/>
              </w:rPr>
              <w:t>Kvalifikovaní dělníci v zemědělství</w:t>
            </w:r>
          </w:p>
        </w:tc>
        <w:tc>
          <w:tcPr>
            <w:tcW w:w="992"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65,3 </w:t>
            </w:r>
          </w:p>
        </w:tc>
        <w:tc>
          <w:tcPr>
            <w:tcW w:w="851"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1,3 </w:t>
            </w:r>
          </w:p>
        </w:tc>
        <w:tc>
          <w:tcPr>
            <w:tcW w:w="850"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64,9 </w:t>
            </w:r>
          </w:p>
        </w:tc>
        <w:tc>
          <w:tcPr>
            <w:tcW w:w="747"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1,3 </w:t>
            </w:r>
          </w:p>
        </w:tc>
        <w:tc>
          <w:tcPr>
            <w:tcW w:w="824"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-0,4 </w:t>
            </w:r>
          </w:p>
        </w:tc>
        <w:tc>
          <w:tcPr>
            <w:tcW w:w="820" w:type="dxa"/>
            <w:tcBorders>
              <w:top w:val="nil"/>
              <w:left w:val="nil"/>
              <w:bottom w:val="nil"/>
              <w:right w:val="double" w:sz="6"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99,4 </w:t>
            </w:r>
          </w:p>
        </w:tc>
      </w:tr>
      <w:tr w:rsidR="007A49EF" w:rsidRPr="00251317" w:rsidTr="007A49EF">
        <w:trPr>
          <w:trHeight w:val="284"/>
        </w:trPr>
        <w:tc>
          <w:tcPr>
            <w:tcW w:w="290" w:type="dxa"/>
            <w:tcBorders>
              <w:top w:val="nil"/>
              <w:left w:val="double" w:sz="6" w:space="0" w:color="auto"/>
              <w:bottom w:val="nil"/>
              <w:right w:val="single" w:sz="4" w:space="0" w:color="auto"/>
            </w:tcBorders>
            <w:shd w:val="clear" w:color="auto" w:fill="auto"/>
            <w:vAlign w:val="center"/>
          </w:tcPr>
          <w:p w:rsidR="007A49EF" w:rsidRPr="00251317" w:rsidRDefault="007A49EF" w:rsidP="007A49EF">
            <w:pPr>
              <w:spacing w:line="320" w:lineRule="exact"/>
              <w:jc w:val="center"/>
              <w:rPr>
                <w:rFonts w:ascii="Arial" w:hAnsi="Arial" w:cs="Arial"/>
                <w:sz w:val="20"/>
                <w:szCs w:val="20"/>
              </w:rPr>
            </w:pPr>
            <w:r w:rsidRPr="00251317">
              <w:rPr>
                <w:rFonts w:ascii="Arial" w:hAnsi="Arial" w:cs="Arial"/>
                <w:sz w:val="20"/>
                <w:szCs w:val="20"/>
              </w:rPr>
              <w:t>7</w:t>
            </w:r>
          </w:p>
        </w:tc>
        <w:tc>
          <w:tcPr>
            <w:tcW w:w="3826" w:type="dxa"/>
            <w:tcBorders>
              <w:top w:val="nil"/>
              <w:left w:val="nil"/>
              <w:bottom w:val="nil"/>
              <w:right w:val="single" w:sz="4" w:space="0" w:color="auto"/>
            </w:tcBorders>
            <w:shd w:val="clear" w:color="auto" w:fill="auto"/>
            <w:vAlign w:val="center"/>
          </w:tcPr>
          <w:p w:rsidR="007A49EF" w:rsidRPr="00251317" w:rsidRDefault="007A49EF" w:rsidP="007A49EF">
            <w:pPr>
              <w:spacing w:line="320" w:lineRule="exact"/>
              <w:rPr>
                <w:rFonts w:ascii="Arial" w:hAnsi="Arial" w:cs="Arial"/>
                <w:sz w:val="20"/>
                <w:szCs w:val="20"/>
              </w:rPr>
            </w:pPr>
            <w:r w:rsidRPr="00251317">
              <w:rPr>
                <w:rFonts w:ascii="Arial" w:hAnsi="Arial" w:cs="Arial"/>
                <w:sz w:val="20"/>
                <w:szCs w:val="20"/>
              </w:rPr>
              <w:t xml:space="preserve">Řemeslníci a opraváři </w:t>
            </w:r>
          </w:p>
        </w:tc>
        <w:tc>
          <w:tcPr>
            <w:tcW w:w="992"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859,2 </w:t>
            </w:r>
          </w:p>
        </w:tc>
        <w:tc>
          <w:tcPr>
            <w:tcW w:w="851"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17,7 </w:t>
            </w:r>
          </w:p>
        </w:tc>
        <w:tc>
          <w:tcPr>
            <w:tcW w:w="850"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843,4 </w:t>
            </w:r>
          </w:p>
        </w:tc>
        <w:tc>
          <w:tcPr>
            <w:tcW w:w="747"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17,1 </w:t>
            </w:r>
          </w:p>
        </w:tc>
        <w:tc>
          <w:tcPr>
            <w:tcW w:w="824"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-15,8 </w:t>
            </w:r>
          </w:p>
        </w:tc>
        <w:tc>
          <w:tcPr>
            <w:tcW w:w="820" w:type="dxa"/>
            <w:tcBorders>
              <w:top w:val="nil"/>
              <w:left w:val="nil"/>
              <w:bottom w:val="nil"/>
              <w:right w:val="double" w:sz="6"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98,2 </w:t>
            </w:r>
          </w:p>
        </w:tc>
      </w:tr>
      <w:tr w:rsidR="007A49EF" w:rsidRPr="00251317" w:rsidTr="007A49EF">
        <w:trPr>
          <w:trHeight w:val="284"/>
        </w:trPr>
        <w:tc>
          <w:tcPr>
            <w:tcW w:w="290" w:type="dxa"/>
            <w:tcBorders>
              <w:top w:val="nil"/>
              <w:left w:val="double" w:sz="6" w:space="0" w:color="auto"/>
              <w:bottom w:val="nil"/>
              <w:right w:val="single" w:sz="4" w:space="0" w:color="auto"/>
            </w:tcBorders>
            <w:shd w:val="clear" w:color="auto" w:fill="auto"/>
            <w:vAlign w:val="center"/>
          </w:tcPr>
          <w:p w:rsidR="007A49EF" w:rsidRPr="00251317" w:rsidRDefault="007A49EF" w:rsidP="007A49EF">
            <w:pPr>
              <w:spacing w:line="320" w:lineRule="exact"/>
              <w:jc w:val="center"/>
              <w:rPr>
                <w:rFonts w:ascii="Arial" w:hAnsi="Arial" w:cs="Arial"/>
                <w:sz w:val="20"/>
                <w:szCs w:val="20"/>
              </w:rPr>
            </w:pPr>
            <w:r w:rsidRPr="00251317">
              <w:rPr>
                <w:rFonts w:ascii="Arial" w:hAnsi="Arial" w:cs="Arial"/>
                <w:sz w:val="20"/>
                <w:szCs w:val="20"/>
              </w:rPr>
              <w:t>8</w:t>
            </w:r>
          </w:p>
        </w:tc>
        <w:tc>
          <w:tcPr>
            <w:tcW w:w="3826" w:type="dxa"/>
            <w:tcBorders>
              <w:top w:val="nil"/>
              <w:left w:val="nil"/>
              <w:bottom w:val="nil"/>
              <w:right w:val="single" w:sz="4" w:space="0" w:color="auto"/>
            </w:tcBorders>
            <w:shd w:val="clear" w:color="auto" w:fill="auto"/>
            <w:noWrap/>
            <w:vAlign w:val="center"/>
          </w:tcPr>
          <w:p w:rsidR="007A49EF" w:rsidRPr="00251317" w:rsidRDefault="007A49EF" w:rsidP="007A49EF">
            <w:pPr>
              <w:spacing w:line="320" w:lineRule="exact"/>
              <w:rPr>
                <w:rFonts w:ascii="Arial" w:hAnsi="Arial" w:cs="Arial"/>
                <w:sz w:val="20"/>
                <w:szCs w:val="20"/>
              </w:rPr>
            </w:pPr>
            <w:r w:rsidRPr="00251317">
              <w:rPr>
                <w:rFonts w:ascii="Arial" w:hAnsi="Arial" w:cs="Arial"/>
                <w:sz w:val="20"/>
                <w:szCs w:val="20"/>
              </w:rPr>
              <w:t xml:space="preserve">Obsluha strojů a zařízení </w:t>
            </w:r>
          </w:p>
        </w:tc>
        <w:tc>
          <w:tcPr>
            <w:tcW w:w="992"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675,8 </w:t>
            </w:r>
          </w:p>
        </w:tc>
        <w:tc>
          <w:tcPr>
            <w:tcW w:w="851"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13,9 </w:t>
            </w:r>
          </w:p>
        </w:tc>
        <w:tc>
          <w:tcPr>
            <w:tcW w:w="850"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644,7 </w:t>
            </w:r>
          </w:p>
        </w:tc>
        <w:tc>
          <w:tcPr>
            <w:tcW w:w="747"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13,1 </w:t>
            </w:r>
          </w:p>
        </w:tc>
        <w:tc>
          <w:tcPr>
            <w:tcW w:w="824"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-31,1 </w:t>
            </w:r>
          </w:p>
        </w:tc>
        <w:tc>
          <w:tcPr>
            <w:tcW w:w="820" w:type="dxa"/>
            <w:tcBorders>
              <w:top w:val="nil"/>
              <w:left w:val="nil"/>
              <w:bottom w:val="nil"/>
              <w:right w:val="double" w:sz="6"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95,4 </w:t>
            </w:r>
          </w:p>
        </w:tc>
      </w:tr>
      <w:tr w:rsidR="007A49EF" w:rsidRPr="00251317" w:rsidTr="007A49EF">
        <w:trPr>
          <w:trHeight w:val="284"/>
        </w:trPr>
        <w:tc>
          <w:tcPr>
            <w:tcW w:w="290" w:type="dxa"/>
            <w:tcBorders>
              <w:top w:val="nil"/>
              <w:left w:val="double" w:sz="6" w:space="0" w:color="auto"/>
              <w:bottom w:val="double" w:sz="6" w:space="0" w:color="auto"/>
              <w:right w:val="single" w:sz="4" w:space="0" w:color="auto"/>
            </w:tcBorders>
            <w:shd w:val="clear" w:color="auto" w:fill="auto"/>
            <w:vAlign w:val="center"/>
          </w:tcPr>
          <w:p w:rsidR="007A49EF" w:rsidRPr="00251317" w:rsidRDefault="007A49EF" w:rsidP="007A49EF">
            <w:pPr>
              <w:spacing w:line="320" w:lineRule="exact"/>
              <w:jc w:val="center"/>
              <w:rPr>
                <w:rFonts w:ascii="Arial" w:hAnsi="Arial" w:cs="Arial"/>
                <w:sz w:val="20"/>
                <w:szCs w:val="20"/>
              </w:rPr>
            </w:pPr>
            <w:r w:rsidRPr="00251317">
              <w:rPr>
                <w:rFonts w:ascii="Arial" w:hAnsi="Arial" w:cs="Arial"/>
                <w:sz w:val="20"/>
                <w:szCs w:val="20"/>
              </w:rPr>
              <w:t>9</w:t>
            </w:r>
          </w:p>
        </w:tc>
        <w:tc>
          <w:tcPr>
            <w:tcW w:w="3826" w:type="dxa"/>
            <w:tcBorders>
              <w:top w:val="nil"/>
              <w:left w:val="nil"/>
              <w:bottom w:val="double" w:sz="6" w:space="0" w:color="auto"/>
              <w:right w:val="single" w:sz="4" w:space="0" w:color="auto"/>
            </w:tcBorders>
            <w:shd w:val="clear" w:color="auto" w:fill="auto"/>
            <w:vAlign w:val="center"/>
          </w:tcPr>
          <w:p w:rsidR="007A49EF" w:rsidRPr="00251317" w:rsidRDefault="007A49EF" w:rsidP="007A49EF">
            <w:pPr>
              <w:spacing w:line="320" w:lineRule="exact"/>
              <w:rPr>
                <w:rFonts w:ascii="Arial" w:hAnsi="Arial" w:cs="Arial"/>
                <w:sz w:val="20"/>
                <w:szCs w:val="20"/>
              </w:rPr>
            </w:pPr>
            <w:r w:rsidRPr="00251317">
              <w:rPr>
                <w:rFonts w:ascii="Arial" w:hAnsi="Arial" w:cs="Arial"/>
                <w:sz w:val="20"/>
                <w:szCs w:val="20"/>
              </w:rPr>
              <w:t>Pomocní a nekvalifikovaní pracovníci</w:t>
            </w:r>
          </w:p>
        </w:tc>
        <w:tc>
          <w:tcPr>
            <w:tcW w:w="992" w:type="dxa"/>
            <w:tcBorders>
              <w:top w:val="nil"/>
              <w:left w:val="nil"/>
              <w:bottom w:val="double" w:sz="6" w:space="0" w:color="auto"/>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257,5 </w:t>
            </w:r>
          </w:p>
        </w:tc>
        <w:tc>
          <w:tcPr>
            <w:tcW w:w="851" w:type="dxa"/>
            <w:tcBorders>
              <w:top w:val="nil"/>
              <w:left w:val="nil"/>
              <w:bottom w:val="double" w:sz="6" w:space="0" w:color="auto"/>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5,3 </w:t>
            </w:r>
          </w:p>
        </w:tc>
        <w:tc>
          <w:tcPr>
            <w:tcW w:w="850" w:type="dxa"/>
            <w:tcBorders>
              <w:top w:val="nil"/>
              <w:left w:val="nil"/>
              <w:bottom w:val="double" w:sz="6" w:space="0" w:color="auto"/>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265,1 </w:t>
            </w:r>
          </w:p>
        </w:tc>
        <w:tc>
          <w:tcPr>
            <w:tcW w:w="747" w:type="dxa"/>
            <w:tcBorders>
              <w:top w:val="nil"/>
              <w:left w:val="nil"/>
              <w:bottom w:val="double" w:sz="6" w:space="0" w:color="auto"/>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5,4 </w:t>
            </w:r>
          </w:p>
        </w:tc>
        <w:tc>
          <w:tcPr>
            <w:tcW w:w="824" w:type="dxa"/>
            <w:tcBorders>
              <w:top w:val="nil"/>
              <w:left w:val="nil"/>
              <w:bottom w:val="double" w:sz="6" w:space="0" w:color="auto"/>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7,6 </w:t>
            </w:r>
          </w:p>
        </w:tc>
        <w:tc>
          <w:tcPr>
            <w:tcW w:w="820" w:type="dxa"/>
            <w:tcBorders>
              <w:top w:val="nil"/>
              <w:left w:val="nil"/>
              <w:bottom w:val="double" w:sz="6" w:space="0" w:color="auto"/>
              <w:right w:val="double" w:sz="6"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103,0 </w:t>
            </w:r>
          </w:p>
        </w:tc>
      </w:tr>
    </w:tbl>
    <w:p w:rsidR="007A49EF" w:rsidRPr="00251317" w:rsidRDefault="007A49EF" w:rsidP="007A49EF">
      <w:pPr>
        <w:tabs>
          <w:tab w:val="center" w:pos="720"/>
        </w:tabs>
        <w:jc w:val="both"/>
        <w:rPr>
          <w:rFonts w:ascii="Arial" w:hAnsi="Arial" w:cs="Arial"/>
          <w:i/>
          <w:iCs/>
          <w:sz w:val="20"/>
          <w:szCs w:val="20"/>
        </w:rPr>
      </w:pPr>
      <w:r w:rsidRPr="00251317">
        <w:rPr>
          <w:rFonts w:ascii="Arial" w:hAnsi="Arial" w:cs="Arial"/>
          <w:i/>
          <w:iCs/>
          <w:sz w:val="20"/>
          <w:szCs w:val="20"/>
        </w:rPr>
        <w:t>Zdroj: ČSÚ – VŠPS</w:t>
      </w:r>
    </w:p>
    <w:p w:rsidR="007A49EF" w:rsidRPr="00251317" w:rsidRDefault="007A49EF" w:rsidP="007A49EF">
      <w:pPr>
        <w:tabs>
          <w:tab w:val="center" w:pos="720"/>
        </w:tabs>
        <w:spacing w:line="360" w:lineRule="auto"/>
        <w:ind w:firstLine="720"/>
        <w:jc w:val="both"/>
        <w:rPr>
          <w:rFonts w:ascii="Arial" w:hAnsi="Arial" w:cs="Arial"/>
          <w:sz w:val="16"/>
          <w:szCs w:val="16"/>
        </w:rPr>
      </w:pPr>
    </w:p>
    <w:p w:rsidR="007A49EF" w:rsidRPr="00251317" w:rsidRDefault="007A49EF" w:rsidP="007A49EF">
      <w:pPr>
        <w:pStyle w:val="Styl2"/>
        <w:tabs>
          <w:tab w:val="num" w:pos="900"/>
        </w:tabs>
        <w:ind w:hanging="174"/>
        <w:rPr>
          <w:color w:val="auto"/>
        </w:rPr>
      </w:pPr>
      <w:bookmarkStart w:id="71" w:name="_Toc53888302"/>
      <w:bookmarkStart w:id="72" w:name="_Toc53888565"/>
      <w:bookmarkStart w:id="73" w:name="_Toc69281068"/>
      <w:bookmarkStart w:id="74" w:name="_Toc71015620"/>
      <w:bookmarkStart w:id="75" w:name="_Toc85008445"/>
      <w:bookmarkStart w:id="76" w:name="_Toc101149459"/>
      <w:bookmarkStart w:id="77" w:name="_Toc102269848"/>
      <w:bookmarkStart w:id="78" w:name="_Toc116354706"/>
      <w:bookmarkStart w:id="79" w:name="_Toc116354795"/>
      <w:bookmarkStart w:id="80" w:name="_Toc116355031"/>
      <w:bookmarkStart w:id="81" w:name="_Toc149033457"/>
      <w:bookmarkStart w:id="82" w:name="_Toc179787903"/>
      <w:bookmarkStart w:id="83" w:name="_Toc211067151"/>
      <w:bookmarkStart w:id="84" w:name="_Toc258997889"/>
      <w:bookmarkStart w:id="85" w:name="_Toc274310691"/>
      <w:bookmarkStart w:id="86" w:name="_Toc372530188"/>
      <w:r w:rsidRPr="00251317">
        <w:rPr>
          <w:color w:val="auto"/>
        </w:rPr>
        <w:t>Vzdělanostní struktura zaměstnanosti</w:t>
      </w: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 w:rsidR="007A49EF" w:rsidRPr="00251317" w:rsidRDefault="007A49EF" w:rsidP="007A49EF">
      <w:pPr>
        <w:pStyle w:val="Styl2"/>
        <w:numPr>
          <w:ilvl w:val="0"/>
          <w:numId w:val="0"/>
        </w:numPr>
        <w:tabs>
          <w:tab w:val="num" w:pos="900"/>
        </w:tabs>
        <w:ind w:left="714"/>
        <w:rPr>
          <w:color w:val="auto"/>
          <w:sz w:val="16"/>
          <w:szCs w:val="16"/>
        </w:rPr>
      </w:pPr>
    </w:p>
    <w:p w:rsidR="007A49EF" w:rsidRPr="00251317" w:rsidRDefault="007A49EF" w:rsidP="001C3565">
      <w:pPr>
        <w:tabs>
          <w:tab w:val="center" w:pos="720"/>
        </w:tabs>
        <w:spacing w:line="360" w:lineRule="auto"/>
        <w:ind w:firstLine="567"/>
        <w:jc w:val="both"/>
        <w:rPr>
          <w:rFonts w:ascii="Arial" w:hAnsi="Arial" w:cs="Arial"/>
        </w:rPr>
      </w:pPr>
      <w:r w:rsidRPr="00251317">
        <w:rPr>
          <w:rFonts w:ascii="Arial" w:hAnsi="Arial" w:cs="Arial"/>
        </w:rPr>
        <w:t xml:space="preserve">V 1. pololetí 2013 meziročně vzrostl především počet zaměstnaných </w:t>
      </w:r>
      <w:r w:rsidRPr="00251317">
        <w:rPr>
          <w:rFonts w:ascii="Arial" w:hAnsi="Arial" w:cs="Arial"/>
          <w:b/>
        </w:rPr>
        <w:t>s</w:t>
      </w:r>
      <w:r w:rsidRPr="00251317">
        <w:rPr>
          <w:rFonts w:ascii="Arial" w:hAnsi="Arial" w:cs="Arial"/>
        </w:rPr>
        <w:t> </w:t>
      </w:r>
      <w:r w:rsidRPr="00251317">
        <w:rPr>
          <w:rFonts w:ascii="Arial" w:hAnsi="Arial" w:cs="Arial"/>
          <w:b/>
        </w:rPr>
        <w:t xml:space="preserve">vysokoškolským vzděláním </w:t>
      </w:r>
      <w:r w:rsidRPr="00995B12">
        <w:rPr>
          <w:rFonts w:ascii="Arial" w:hAnsi="Arial" w:cs="Arial"/>
        </w:rPr>
        <w:t>(</w:t>
      </w:r>
      <w:r w:rsidRPr="00251317">
        <w:rPr>
          <w:rFonts w:ascii="Arial" w:hAnsi="Arial" w:cs="Arial"/>
          <w:b/>
        </w:rPr>
        <w:t xml:space="preserve">o 92,7 tis., </w:t>
      </w:r>
      <w:r w:rsidRPr="00251317">
        <w:rPr>
          <w:rFonts w:ascii="Arial" w:hAnsi="Arial" w:cs="Arial"/>
        </w:rPr>
        <w:t>tj. o 9,6 %</w:t>
      </w:r>
      <w:r w:rsidRPr="00995B12">
        <w:rPr>
          <w:rFonts w:ascii="Arial" w:hAnsi="Arial" w:cs="Arial"/>
        </w:rPr>
        <w:t>)</w:t>
      </w:r>
      <w:r w:rsidRPr="00251317">
        <w:rPr>
          <w:rFonts w:ascii="Arial" w:hAnsi="Arial" w:cs="Arial"/>
          <w:b/>
        </w:rPr>
        <w:t xml:space="preserve"> a </w:t>
      </w:r>
      <w:r w:rsidRPr="00995B12">
        <w:rPr>
          <w:rFonts w:ascii="Arial" w:hAnsi="Arial" w:cs="Arial"/>
        </w:rPr>
        <w:t xml:space="preserve">dále </w:t>
      </w:r>
      <w:r w:rsidRPr="00251317">
        <w:rPr>
          <w:rFonts w:ascii="Arial" w:hAnsi="Arial" w:cs="Arial"/>
          <w:b/>
        </w:rPr>
        <w:t xml:space="preserve">se středním vzděláním s maturitou </w:t>
      </w:r>
      <w:r w:rsidRPr="00251317">
        <w:rPr>
          <w:rFonts w:ascii="Arial" w:hAnsi="Arial" w:cs="Arial"/>
        </w:rPr>
        <w:t>(</w:t>
      </w:r>
      <w:r w:rsidRPr="00251317">
        <w:rPr>
          <w:rFonts w:ascii="Arial" w:hAnsi="Arial" w:cs="Arial"/>
          <w:b/>
        </w:rPr>
        <w:t>o 5,9 tis.</w:t>
      </w:r>
      <w:r w:rsidRPr="00251317">
        <w:rPr>
          <w:rFonts w:ascii="Arial" w:hAnsi="Arial" w:cs="Arial"/>
        </w:rPr>
        <w:t xml:space="preserve">, tj. 0,3 %). V ostatních dvou kategoriích se počet zaměstnaných </w:t>
      </w:r>
      <w:r w:rsidRPr="00251317">
        <w:rPr>
          <w:rFonts w:ascii="Arial" w:hAnsi="Arial" w:cs="Arial"/>
          <w:b/>
        </w:rPr>
        <w:t>snížil</w:t>
      </w:r>
      <w:r w:rsidRPr="00251317">
        <w:rPr>
          <w:rFonts w:ascii="Arial" w:hAnsi="Arial" w:cs="Arial"/>
        </w:rPr>
        <w:t xml:space="preserve">, </w:t>
      </w:r>
      <w:r w:rsidRPr="00251317">
        <w:rPr>
          <w:rFonts w:ascii="Arial" w:hAnsi="Arial" w:cs="Arial"/>
          <w:b/>
        </w:rPr>
        <w:t>u osob se středním vzděláním</w:t>
      </w:r>
      <w:r w:rsidRPr="00251317">
        <w:rPr>
          <w:rFonts w:ascii="Arial" w:hAnsi="Arial" w:cs="Arial"/>
        </w:rPr>
        <w:t xml:space="preserve"> </w:t>
      </w:r>
      <w:r w:rsidRPr="00251317">
        <w:rPr>
          <w:rFonts w:ascii="Arial" w:hAnsi="Arial" w:cs="Arial"/>
          <w:b/>
        </w:rPr>
        <w:t>bez maturity o 45,9 tis.</w:t>
      </w:r>
      <w:r w:rsidRPr="00251317">
        <w:rPr>
          <w:rFonts w:ascii="Arial" w:hAnsi="Arial" w:cs="Arial"/>
        </w:rPr>
        <w:t xml:space="preserve"> (o 2,5 %), </w:t>
      </w:r>
      <w:r w:rsidRPr="00251317">
        <w:rPr>
          <w:rFonts w:ascii="Arial" w:hAnsi="Arial" w:cs="Arial"/>
          <w:b/>
        </w:rPr>
        <w:t>u osob se základním nebo bez ukončeného základního vzdělání o 8,2 tis.</w:t>
      </w:r>
      <w:r w:rsidRPr="00251317">
        <w:rPr>
          <w:rFonts w:ascii="Arial" w:hAnsi="Arial" w:cs="Arial"/>
        </w:rPr>
        <w:t xml:space="preserve"> (o 5,1 %).</w:t>
      </w:r>
    </w:p>
    <w:p w:rsidR="007A49EF" w:rsidRPr="00251317" w:rsidRDefault="007A49EF" w:rsidP="007A49EF">
      <w:pPr>
        <w:tabs>
          <w:tab w:val="center" w:pos="720"/>
        </w:tabs>
        <w:ind w:firstLine="720"/>
        <w:jc w:val="both"/>
        <w:rPr>
          <w:rFonts w:ascii="Arial" w:hAnsi="Arial" w:cs="Arial"/>
          <w:sz w:val="16"/>
          <w:szCs w:val="16"/>
        </w:rPr>
      </w:pPr>
    </w:p>
    <w:p w:rsidR="007A49EF" w:rsidRPr="00251317" w:rsidRDefault="007A49EF" w:rsidP="007A49EF">
      <w:pPr>
        <w:tabs>
          <w:tab w:val="center" w:pos="720"/>
        </w:tabs>
        <w:ind w:firstLine="720"/>
        <w:jc w:val="center"/>
        <w:rPr>
          <w:rFonts w:ascii="Arial" w:hAnsi="Arial" w:cs="Arial"/>
          <w:b/>
          <w:bCs/>
        </w:rPr>
      </w:pPr>
      <w:r>
        <w:rPr>
          <w:rFonts w:ascii="Arial" w:hAnsi="Arial" w:cs="Arial"/>
          <w:b/>
          <w:bCs/>
        </w:rPr>
        <w:br w:type="column"/>
      </w:r>
      <w:r w:rsidRPr="00251317">
        <w:rPr>
          <w:rFonts w:ascii="Arial" w:hAnsi="Arial" w:cs="Arial"/>
          <w:b/>
          <w:bCs/>
        </w:rPr>
        <w:lastRenderedPageBreak/>
        <w:t>Vzdělanostní struktura zaměstnaných (15-64 let)</w:t>
      </w:r>
    </w:p>
    <w:p w:rsidR="007A49EF" w:rsidRPr="00251317" w:rsidRDefault="007A49EF" w:rsidP="007A49EF">
      <w:pPr>
        <w:tabs>
          <w:tab w:val="center" w:pos="720"/>
        </w:tabs>
        <w:ind w:left="708" w:firstLine="372"/>
        <w:jc w:val="right"/>
        <w:rPr>
          <w:rFonts w:ascii="Arial" w:hAnsi="Arial" w:cs="Arial"/>
          <w:sz w:val="20"/>
          <w:szCs w:val="20"/>
        </w:rPr>
      </w:pPr>
      <w:r w:rsidRPr="00251317">
        <w:rPr>
          <w:rFonts w:ascii="Arial" w:hAnsi="Arial" w:cs="Arial"/>
          <w:sz w:val="20"/>
          <w:szCs w:val="20"/>
        </w:rPr>
        <w:t>tab. č. 13</w:t>
      </w:r>
    </w:p>
    <w:tbl>
      <w:tblPr>
        <w:tblW w:w="8837" w:type="dxa"/>
        <w:jc w:val="center"/>
        <w:tblCellMar>
          <w:left w:w="70" w:type="dxa"/>
          <w:right w:w="70" w:type="dxa"/>
        </w:tblCellMar>
        <w:tblLook w:val="0000" w:firstRow="0" w:lastRow="0" w:firstColumn="0" w:lastColumn="0" w:noHBand="0" w:noVBand="0"/>
      </w:tblPr>
      <w:tblGrid>
        <w:gridCol w:w="2456"/>
        <w:gridCol w:w="1074"/>
        <w:gridCol w:w="1053"/>
        <w:gridCol w:w="1074"/>
        <w:gridCol w:w="1053"/>
        <w:gridCol w:w="1074"/>
        <w:gridCol w:w="1053"/>
      </w:tblGrid>
      <w:tr w:rsidR="007A49EF" w:rsidRPr="00251317" w:rsidTr="00FF0509">
        <w:trPr>
          <w:trHeight w:val="440"/>
          <w:jc w:val="center"/>
        </w:trPr>
        <w:tc>
          <w:tcPr>
            <w:tcW w:w="2456" w:type="dxa"/>
            <w:vMerge w:val="restart"/>
            <w:tcBorders>
              <w:top w:val="double" w:sz="6" w:space="0" w:color="auto"/>
              <w:left w:val="double" w:sz="6" w:space="0" w:color="auto"/>
              <w:bottom w:val="nil"/>
              <w:right w:val="nil"/>
            </w:tcBorders>
            <w:shd w:val="clear" w:color="auto" w:fill="auto"/>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Zaměstnaní v NH</w:t>
            </w:r>
          </w:p>
        </w:tc>
        <w:tc>
          <w:tcPr>
            <w:tcW w:w="2127" w:type="dxa"/>
            <w:gridSpan w:val="2"/>
            <w:tcBorders>
              <w:top w:val="double" w:sz="6" w:space="0" w:color="auto"/>
              <w:left w:val="single" w:sz="4" w:space="0" w:color="auto"/>
              <w:bottom w:val="single" w:sz="4" w:space="0" w:color="auto"/>
              <w:right w:val="single" w:sz="4" w:space="0" w:color="auto"/>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1.pololetí 2012</w:t>
            </w:r>
          </w:p>
        </w:tc>
        <w:tc>
          <w:tcPr>
            <w:tcW w:w="2127" w:type="dxa"/>
            <w:gridSpan w:val="2"/>
            <w:tcBorders>
              <w:top w:val="double" w:sz="6" w:space="0" w:color="auto"/>
              <w:left w:val="single" w:sz="4" w:space="0" w:color="auto"/>
              <w:bottom w:val="single" w:sz="4" w:space="0" w:color="auto"/>
              <w:right w:val="single" w:sz="4" w:space="0" w:color="auto"/>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1.pololetí 2013</w:t>
            </w:r>
          </w:p>
        </w:tc>
        <w:tc>
          <w:tcPr>
            <w:tcW w:w="1074" w:type="dxa"/>
            <w:vMerge w:val="restart"/>
            <w:tcBorders>
              <w:top w:val="double" w:sz="6" w:space="0" w:color="auto"/>
              <w:left w:val="single" w:sz="4" w:space="0" w:color="auto"/>
              <w:bottom w:val="nil"/>
              <w:right w:val="single" w:sz="4" w:space="0" w:color="auto"/>
            </w:tcBorders>
            <w:shd w:val="clear" w:color="auto" w:fill="auto"/>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rozdíl</w:t>
            </w:r>
          </w:p>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13-12</w:t>
            </w:r>
          </w:p>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(v tis.)</w:t>
            </w:r>
          </w:p>
        </w:tc>
        <w:tc>
          <w:tcPr>
            <w:tcW w:w="1053" w:type="dxa"/>
            <w:vMerge w:val="restart"/>
            <w:tcBorders>
              <w:top w:val="double" w:sz="6" w:space="0" w:color="auto"/>
              <w:left w:val="single" w:sz="4" w:space="0" w:color="auto"/>
              <w:right w:val="double" w:sz="6" w:space="0" w:color="auto"/>
            </w:tcBorders>
            <w:shd w:val="clear" w:color="auto" w:fill="auto"/>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index</w:t>
            </w:r>
          </w:p>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 xml:space="preserve">13/12 </w:t>
            </w:r>
            <w:r w:rsidRPr="00251317">
              <w:rPr>
                <w:rFonts w:ascii="Arial" w:hAnsi="Arial" w:cs="Arial"/>
                <w:b/>
                <w:sz w:val="20"/>
                <w:szCs w:val="20"/>
              </w:rPr>
              <w:t>(%)</w:t>
            </w:r>
          </w:p>
        </w:tc>
      </w:tr>
      <w:tr w:rsidR="007A49EF" w:rsidRPr="00251317" w:rsidTr="00FF0509">
        <w:trPr>
          <w:trHeight w:val="295"/>
          <w:jc w:val="center"/>
        </w:trPr>
        <w:tc>
          <w:tcPr>
            <w:tcW w:w="2456" w:type="dxa"/>
            <w:vMerge/>
            <w:tcBorders>
              <w:top w:val="double" w:sz="6" w:space="0" w:color="auto"/>
              <w:left w:val="double" w:sz="6" w:space="0" w:color="auto"/>
              <w:bottom w:val="nil"/>
              <w:right w:val="nil"/>
            </w:tcBorders>
            <w:vAlign w:val="center"/>
          </w:tcPr>
          <w:p w:rsidR="007A49EF" w:rsidRPr="00251317" w:rsidRDefault="007A49EF" w:rsidP="007A49EF">
            <w:pPr>
              <w:rPr>
                <w:rFonts w:ascii="Arial" w:hAnsi="Arial" w:cs="Arial"/>
                <w:b/>
                <w:bCs/>
                <w:sz w:val="20"/>
                <w:szCs w:val="20"/>
              </w:rPr>
            </w:pPr>
          </w:p>
        </w:tc>
        <w:tc>
          <w:tcPr>
            <w:tcW w:w="1074" w:type="dxa"/>
            <w:tcBorders>
              <w:top w:val="single" w:sz="4" w:space="0" w:color="auto"/>
              <w:left w:val="single" w:sz="4" w:space="0" w:color="auto"/>
              <w:bottom w:val="nil"/>
              <w:right w:val="single" w:sz="4" w:space="0" w:color="auto"/>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v tis.</w:t>
            </w:r>
          </w:p>
        </w:tc>
        <w:tc>
          <w:tcPr>
            <w:tcW w:w="1053" w:type="dxa"/>
            <w:tcBorders>
              <w:top w:val="single" w:sz="4" w:space="0" w:color="auto"/>
              <w:left w:val="nil"/>
              <w:bottom w:val="nil"/>
              <w:right w:val="single" w:sz="4" w:space="0" w:color="auto"/>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w:t>
            </w:r>
          </w:p>
        </w:tc>
        <w:tc>
          <w:tcPr>
            <w:tcW w:w="1074" w:type="dxa"/>
            <w:tcBorders>
              <w:top w:val="single" w:sz="4" w:space="0" w:color="auto"/>
              <w:left w:val="nil"/>
              <w:bottom w:val="nil"/>
              <w:right w:val="single" w:sz="4" w:space="0" w:color="auto"/>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v tis.</w:t>
            </w:r>
          </w:p>
        </w:tc>
        <w:tc>
          <w:tcPr>
            <w:tcW w:w="1053" w:type="dxa"/>
            <w:tcBorders>
              <w:top w:val="single" w:sz="4" w:space="0" w:color="auto"/>
              <w:left w:val="nil"/>
              <w:bottom w:val="nil"/>
              <w:right w:val="single" w:sz="4" w:space="0" w:color="auto"/>
            </w:tcBorders>
            <w:shd w:val="clear" w:color="auto" w:fill="auto"/>
            <w:noWrap/>
            <w:vAlign w:val="center"/>
          </w:tcPr>
          <w:p w:rsidR="007A49EF" w:rsidRPr="00251317" w:rsidRDefault="007A49EF" w:rsidP="007A49EF">
            <w:pPr>
              <w:jc w:val="center"/>
              <w:rPr>
                <w:rFonts w:ascii="Arial" w:hAnsi="Arial" w:cs="Arial"/>
                <w:b/>
                <w:bCs/>
                <w:sz w:val="20"/>
                <w:szCs w:val="20"/>
              </w:rPr>
            </w:pPr>
            <w:r w:rsidRPr="00251317">
              <w:rPr>
                <w:rFonts w:ascii="Arial" w:hAnsi="Arial" w:cs="Arial"/>
                <w:b/>
                <w:bCs/>
                <w:sz w:val="20"/>
                <w:szCs w:val="20"/>
              </w:rPr>
              <w:t>%</w:t>
            </w:r>
          </w:p>
        </w:tc>
        <w:tc>
          <w:tcPr>
            <w:tcW w:w="1074" w:type="dxa"/>
            <w:vMerge/>
            <w:tcBorders>
              <w:left w:val="single" w:sz="4" w:space="0" w:color="auto"/>
              <w:bottom w:val="single" w:sz="4" w:space="0" w:color="auto"/>
              <w:right w:val="single" w:sz="4" w:space="0" w:color="auto"/>
            </w:tcBorders>
            <w:shd w:val="clear" w:color="auto" w:fill="auto"/>
            <w:noWrap/>
            <w:vAlign w:val="center"/>
          </w:tcPr>
          <w:p w:rsidR="007A49EF" w:rsidRPr="00251317" w:rsidRDefault="007A49EF" w:rsidP="007A49EF">
            <w:pPr>
              <w:jc w:val="center"/>
              <w:rPr>
                <w:rFonts w:ascii="Arial" w:hAnsi="Arial" w:cs="Arial"/>
                <w:b/>
                <w:bCs/>
                <w:sz w:val="20"/>
                <w:szCs w:val="20"/>
              </w:rPr>
            </w:pPr>
          </w:p>
        </w:tc>
        <w:tc>
          <w:tcPr>
            <w:tcW w:w="1053" w:type="dxa"/>
            <w:vMerge/>
            <w:tcBorders>
              <w:left w:val="single" w:sz="4" w:space="0" w:color="auto"/>
              <w:bottom w:val="single" w:sz="4" w:space="0" w:color="auto"/>
              <w:right w:val="double" w:sz="6" w:space="0" w:color="auto"/>
            </w:tcBorders>
            <w:shd w:val="clear" w:color="auto" w:fill="auto"/>
            <w:noWrap/>
            <w:vAlign w:val="center"/>
          </w:tcPr>
          <w:p w:rsidR="007A49EF" w:rsidRPr="00251317" w:rsidRDefault="007A49EF" w:rsidP="007A49EF">
            <w:pPr>
              <w:jc w:val="center"/>
              <w:rPr>
                <w:rFonts w:ascii="Arial" w:hAnsi="Arial" w:cs="Arial"/>
                <w:b/>
                <w:bCs/>
                <w:sz w:val="20"/>
                <w:szCs w:val="20"/>
              </w:rPr>
            </w:pPr>
          </w:p>
        </w:tc>
      </w:tr>
      <w:tr w:rsidR="007A49EF" w:rsidRPr="00251317" w:rsidTr="007A49EF">
        <w:trPr>
          <w:trHeight w:val="386"/>
          <w:jc w:val="center"/>
        </w:trPr>
        <w:tc>
          <w:tcPr>
            <w:tcW w:w="2456" w:type="dxa"/>
            <w:tcBorders>
              <w:top w:val="single" w:sz="4" w:space="0" w:color="auto"/>
              <w:left w:val="double" w:sz="6" w:space="0" w:color="auto"/>
              <w:bottom w:val="single" w:sz="4" w:space="0" w:color="auto"/>
              <w:right w:val="nil"/>
            </w:tcBorders>
            <w:shd w:val="clear" w:color="auto" w:fill="auto"/>
            <w:noWrap/>
            <w:vAlign w:val="center"/>
          </w:tcPr>
          <w:p w:rsidR="007A49EF" w:rsidRPr="00251317" w:rsidRDefault="007A49EF" w:rsidP="007A49EF">
            <w:pPr>
              <w:rPr>
                <w:rFonts w:ascii="Arial" w:hAnsi="Arial" w:cs="Arial"/>
                <w:b/>
                <w:bCs/>
                <w:sz w:val="20"/>
                <w:szCs w:val="20"/>
              </w:rPr>
            </w:pPr>
            <w:r w:rsidRPr="00251317">
              <w:rPr>
                <w:rFonts w:ascii="Arial" w:hAnsi="Arial" w:cs="Arial"/>
                <w:b/>
                <w:bCs/>
                <w:sz w:val="20"/>
                <w:szCs w:val="20"/>
              </w:rPr>
              <w:t>Celkem</w:t>
            </w:r>
          </w:p>
        </w:tc>
        <w:tc>
          <w:tcPr>
            <w:tcW w:w="10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49EF" w:rsidRPr="00251317" w:rsidRDefault="007A49EF" w:rsidP="007A49EF">
            <w:pPr>
              <w:jc w:val="right"/>
              <w:rPr>
                <w:rFonts w:ascii="Arial" w:hAnsi="Arial" w:cs="Arial"/>
                <w:b/>
                <w:bCs/>
                <w:sz w:val="20"/>
                <w:szCs w:val="20"/>
              </w:rPr>
            </w:pPr>
            <w:r w:rsidRPr="00251317">
              <w:rPr>
                <w:rFonts w:ascii="Arial" w:hAnsi="Arial" w:cs="Arial"/>
                <w:b/>
                <w:bCs/>
                <w:sz w:val="20"/>
                <w:szCs w:val="20"/>
              </w:rPr>
              <w:t xml:space="preserve">4 785,6 </w:t>
            </w:r>
          </w:p>
        </w:tc>
        <w:tc>
          <w:tcPr>
            <w:tcW w:w="1053" w:type="dxa"/>
            <w:tcBorders>
              <w:top w:val="single" w:sz="4" w:space="0" w:color="auto"/>
              <w:left w:val="nil"/>
              <w:bottom w:val="single" w:sz="4" w:space="0" w:color="auto"/>
              <w:right w:val="single" w:sz="4" w:space="0" w:color="auto"/>
            </w:tcBorders>
            <w:shd w:val="clear" w:color="auto" w:fill="auto"/>
            <w:noWrap/>
            <w:vAlign w:val="center"/>
          </w:tcPr>
          <w:p w:rsidR="007A49EF" w:rsidRPr="00251317" w:rsidRDefault="007A49EF" w:rsidP="007A49EF">
            <w:pPr>
              <w:jc w:val="right"/>
              <w:rPr>
                <w:rFonts w:ascii="Arial" w:hAnsi="Arial" w:cs="Arial"/>
                <w:b/>
                <w:bCs/>
                <w:sz w:val="20"/>
                <w:szCs w:val="20"/>
              </w:rPr>
            </w:pPr>
            <w:r w:rsidRPr="00251317">
              <w:rPr>
                <w:rFonts w:ascii="Arial" w:hAnsi="Arial" w:cs="Arial"/>
                <w:b/>
                <w:bCs/>
                <w:sz w:val="20"/>
                <w:szCs w:val="20"/>
              </w:rPr>
              <w:t xml:space="preserve">100,0 </w:t>
            </w:r>
          </w:p>
        </w:tc>
        <w:tc>
          <w:tcPr>
            <w:tcW w:w="1074" w:type="dxa"/>
            <w:tcBorders>
              <w:top w:val="single" w:sz="4" w:space="0" w:color="auto"/>
              <w:left w:val="nil"/>
              <w:bottom w:val="single" w:sz="4" w:space="0" w:color="auto"/>
              <w:right w:val="single" w:sz="4" w:space="0" w:color="auto"/>
            </w:tcBorders>
            <w:shd w:val="clear" w:color="auto" w:fill="auto"/>
            <w:noWrap/>
            <w:vAlign w:val="center"/>
          </w:tcPr>
          <w:p w:rsidR="007A49EF" w:rsidRPr="00251317" w:rsidRDefault="007A49EF" w:rsidP="007A49EF">
            <w:pPr>
              <w:jc w:val="right"/>
              <w:rPr>
                <w:rFonts w:ascii="Arial" w:hAnsi="Arial" w:cs="Arial"/>
                <w:b/>
                <w:bCs/>
                <w:sz w:val="20"/>
                <w:szCs w:val="20"/>
              </w:rPr>
            </w:pPr>
            <w:r w:rsidRPr="00251317">
              <w:rPr>
                <w:rFonts w:ascii="Arial" w:hAnsi="Arial" w:cs="Arial"/>
                <w:b/>
                <w:bCs/>
                <w:sz w:val="20"/>
                <w:szCs w:val="20"/>
              </w:rPr>
              <w:t xml:space="preserve">4 829,9 </w:t>
            </w:r>
          </w:p>
        </w:tc>
        <w:tc>
          <w:tcPr>
            <w:tcW w:w="1053" w:type="dxa"/>
            <w:tcBorders>
              <w:top w:val="single" w:sz="4" w:space="0" w:color="auto"/>
              <w:left w:val="nil"/>
              <w:bottom w:val="single" w:sz="4" w:space="0" w:color="auto"/>
              <w:right w:val="single" w:sz="4" w:space="0" w:color="auto"/>
            </w:tcBorders>
            <w:shd w:val="clear" w:color="auto" w:fill="auto"/>
            <w:noWrap/>
            <w:vAlign w:val="center"/>
          </w:tcPr>
          <w:p w:rsidR="007A49EF" w:rsidRPr="00251317" w:rsidRDefault="007A49EF" w:rsidP="007A49EF">
            <w:pPr>
              <w:jc w:val="right"/>
              <w:rPr>
                <w:rFonts w:ascii="Arial" w:hAnsi="Arial" w:cs="Arial"/>
                <w:b/>
                <w:bCs/>
                <w:sz w:val="20"/>
                <w:szCs w:val="20"/>
              </w:rPr>
            </w:pPr>
            <w:r w:rsidRPr="00251317">
              <w:rPr>
                <w:rFonts w:ascii="Arial" w:hAnsi="Arial" w:cs="Arial"/>
                <w:b/>
                <w:bCs/>
                <w:sz w:val="20"/>
                <w:szCs w:val="20"/>
              </w:rPr>
              <w:t xml:space="preserve">100,0 </w:t>
            </w:r>
          </w:p>
        </w:tc>
        <w:tc>
          <w:tcPr>
            <w:tcW w:w="1074" w:type="dxa"/>
            <w:tcBorders>
              <w:top w:val="single" w:sz="4" w:space="0" w:color="auto"/>
              <w:left w:val="nil"/>
              <w:bottom w:val="single" w:sz="4" w:space="0" w:color="auto"/>
              <w:right w:val="single" w:sz="4" w:space="0" w:color="auto"/>
            </w:tcBorders>
            <w:shd w:val="clear" w:color="auto" w:fill="auto"/>
            <w:noWrap/>
            <w:vAlign w:val="center"/>
          </w:tcPr>
          <w:p w:rsidR="007A49EF" w:rsidRPr="007A49EF" w:rsidRDefault="007A49EF" w:rsidP="007A49EF">
            <w:pPr>
              <w:jc w:val="right"/>
              <w:rPr>
                <w:rFonts w:ascii="Arial" w:hAnsi="Arial" w:cs="Arial"/>
                <w:b/>
                <w:bCs/>
                <w:sz w:val="20"/>
                <w:szCs w:val="20"/>
              </w:rPr>
            </w:pPr>
            <w:r w:rsidRPr="007A49EF">
              <w:rPr>
                <w:rFonts w:ascii="Arial" w:hAnsi="Arial" w:cs="Arial"/>
                <w:b/>
                <w:bCs/>
                <w:sz w:val="20"/>
                <w:szCs w:val="20"/>
              </w:rPr>
              <w:t xml:space="preserve">44,3 </w:t>
            </w:r>
          </w:p>
        </w:tc>
        <w:tc>
          <w:tcPr>
            <w:tcW w:w="1053" w:type="dxa"/>
            <w:tcBorders>
              <w:top w:val="single" w:sz="4" w:space="0" w:color="auto"/>
              <w:left w:val="nil"/>
              <w:bottom w:val="single" w:sz="4" w:space="0" w:color="auto"/>
              <w:right w:val="double" w:sz="6" w:space="0" w:color="auto"/>
            </w:tcBorders>
            <w:shd w:val="clear" w:color="auto" w:fill="auto"/>
            <w:noWrap/>
            <w:vAlign w:val="center"/>
          </w:tcPr>
          <w:p w:rsidR="007A49EF" w:rsidRPr="007A49EF" w:rsidRDefault="007A49EF" w:rsidP="007A49EF">
            <w:pPr>
              <w:jc w:val="right"/>
              <w:rPr>
                <w:rFonts w:ascii="Arial" w:hAnsi="Arial" w:cs="Arial"/>
                <w:b/>
                <w:bCs/>
                <w:sz w:val="20"/>
                <w:szCs w:val="20"/>
              </w:rPr>
            </w:pPr>
            <w:r w:rsidRPr="007A49EF">
              <w:rPr>
                <w:rFonts w:ascii="Arial" w:hAnsi="Arial" w:cs="Arial"/>
                <w:b/>
                <w:bCs/>
                <w:sz w:val="20"/>
                <w:szCs w:val="20"/>
              </w:rPr>
              <w:t xml:space="preserve">100,9 </w:t>
            </w:r>
          </w:p>
        </w:tc>
      </w:tr>
      <w:tr w:rsidR="007A49EF" w:rsidRPr="00251317" w:rsidTr="007A49EF">
        <w:trPr>
          <w:trHeight w:val="340"/>
          <w:jc w:val="center"/>
        </w:trPr>
        <w:tc>
          <w:tcPr>
            <w:tcW w:w="2456" w:type="dxa"/>
            <w:tcBorders>
              <w:top w:val="nil"/>
              <w:left w:val="double" w:sz="6" w:space="0" w:color="auto"/>
              <w:bottom w:val="nil"/>
              <w:right w:val="nil"/>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z toho:</w:t>
            </w:r>
          </w:p>
        </w:tc>
        <w:tc>
          <w:tcPr>
            <w:tcW w:w="1074" w:type="dxa"/>
            <w:tcBorders>
              <w:top w:val="nil"/>
              <w:left w:val="single" w:sz="4" w:space="0" w:color="auto"/>
              <w:bottom w:val="nil"/>
              <w:right w:val="single" w:sz="4" w:space="0" w:color="auto"/>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 </w:t>
            </w:r>
          </w:p>
        </w:tc>
        <w:tc>
          <w:tcPr>
            <w:tcW w:w="1053"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w:t>
            </w:r>
          </w:p>
        </w:tc>
        <w:tc>
          <w:tcPr>
            <w:tcW w:w="1074" w:type="dxa"/>
            <w:tcBorders>
              <w:top w:val="nil"/>
              <w:left w:val="nil"/>
              <w:bottom w:val="nil"/>
              <w:right w:val="single" w:sz="4" w:space="0" w:color="auto"/>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 </w:t>
            </w:r>
          </w:p>
        </w:tc>
        <w:tc>
          <w:tcPr>
            <w:tcW w:w="1053"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w:t>
            </w:r>
          </w:p>
        </w:tc>
        <w:tc>
          <w:tcPr>
            <w:tcW w:w="1074"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w:t>
            </w:r>
          </w:p>
        </w:tc>
        <w:tc>
          <w:tcPr>
            <w:tcW w:w="1053" w:type="dxa"/>
            <w:tcBorders>
              <w:top w:val="nil"/>
              <w:left w:val="nil"/>
              <w:bottom w:val="nil"/>
              <w:right w:val="double" w:sz="6"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w:t>
            </w:r>
          </w:p>
        </w:tc>
      </w:tr>
      <w:tr w:rsidR="007A49EF" w:rsidRPr="00251317" w:rsidTr="007A49EF">
        <w:trPr>
          <w:trHeight w:val="340"/>
          <w:jc w:val="center"/>
        </w:trPr>
        <w:tc>
          <w:tcPr>
            <w:tcW w:w="2456" w:type="dxa"/>
            <w:tcBorders>
              <w:top w:val="nil"/>
              <w:left w:val="double" w:sz="6" w:space="0" w:color="auto"/>
              <w:bottom w:val="nil"/>
              <w:right w:val="nil"/>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 xml:space="preserve">   základní a bez vzdělání</w:t>
            </w:r>
          </w:p>
        </w:tc>
        <w:tc>
          <w:tcPr>
            <w:tcW w:w="1074" w:type="dxa"/>
            <w:tcBorders>
              <w:top w:val="nil"/>
              <w:left w:val="single" w:sz="4" w:space="0" w:color="auto"/>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207,7 </w:t>
            </w:r>
          </w:p>
        </w:tc>
        <w:tc>
          <w:tcPr>
            <w:tcW w:w="1053"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4,3 </w:t>
            </w:r>
          </w:p>
        </w:tc>
        <w:tc>
          <w:tcPr>
            <w:tcW w:w="1074"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199,5 </w:t>
            </w:r>
          </w:p>
        </w:tc>
        <w:tc>
          <w:tcPr>
            <w:tcW w:w="1053"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4,1 </w:t>
            </w:r>
          </w:p>
        </w:tc>
        <w:tc>
          <w:tcPr>
            <w:tcW w:w="1074"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-8,2 </w:t>
            </w:r>
          </w:p>
        </w:tc>
        <w:tc>
          <w:tcPr>
            <w:tcW w:w="1053" w:type="dxa"/>
            <w:tcBorders>
              <w:top w:val="nil"/>
              <w:left w:val="nil"/>
              <w:bottom w:val="nil"/>
              <w:right w:val="double" w:sz="6"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96,1 </w:t>
            </w:r>
          </w:p>
        </w:tc>
      </w:tr>
      <w:tr w:rsidR="007A49EF" w:rsidRPr="00251317" w:rsidTr="007A49EF">
        <w:trPr>
          <w:trHeight w:val="340"/>
          <w:jc w:val="center"/>
        </w:trPr>
        <w:tc>
          <w:tcPr>
            <w:tcW w:w="2456" w:type="dxa"/>
            <w:tcBorders>
              <w:top w:val="nil"/>
              <w:left w:val="double" w:sz="6" w:space="0" w:color="auto"/>
              <w:bottom w:val="nil"/>
              <w:right w:val="nil"/>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 xml:space="preserve">   střední bez maturity</w:t>
            </w:r>
          </w:p>
        </w:tc>
        <w:tc>
          <w:tcPr>
            <w:tcW w:w="1074" w:type="dxa"/>
            <w:tcBorders>
              <w:top w:val="nil"/>
              <w:left w:val="single" w:sz="4" w:space="0" w:color="auto"/>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1 806,9 </w:t>
            </w:r>
          </w:p>
        </w:tc>
        <w:tc>
          <w:tcPr>
            <w:tcW w:w="1053"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37,8 </w:t>
            </w:r>
          </w:p>
        </w:tc>
        <w:tc>
          <w:tcPr>
            <w:tcW w:w="1074"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1 761,0 </w:t>
            </w:r>
          </w:p>
        </w:tc>
        <w:tc>
          <w:tcPr>
            <w:tcW w:w="1053"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36,5 </w:t>
            </w:r>
          </w:p>
        </w:tc>
        <w:tc>
          <w:tcPr>
            <w:tcW w:w="1074"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-45,9 </w:t>
            </w:r>
          </w:p>
        </w:tc>
        <w:tc>
          <w:tcPr>
            <w:tcW w:w="1053" w:type="dxa"/>
            <w:tcBorders>
              <w:top w:val="nil"/>
              <w:left w:val="nil"/>
              <w:bottom w:val="nil"/>
              <w:right w:val="double" w:sz="6"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97,5 </w:t>
            </w:r>
          </w:p>
        </w:tc>
      </w:tr>
      <w:tr w:rsidR="007A49EF" w:rsidRPr="00251317" w:rsidTr="007A49EF">
        <w:trPr>
          <w:trHeight w:val="340"/>
          <w:jc w:val="center"/>
        </w:trPr>
        <w:tc>
          <w:tcPr>
            <w:tcW w:w="2456" w:type="dxa"/>
            <w:tcBorders>
              <w:top w:val="nil"/>
              <w:left w:val="double" w:sz="6" w:space="0" w:color="auto"/>
              <w:bottom w:val="nil"/>
              <w:right w:val="nil"/>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 xml:space="preserve">   střední s maturitou</w:t>
            </w:r>
          </w:p>
        </w:tc>
        <w:tc>
          <w:tcPr>
            <w:tcW w:w="1074" w:type="dxa"/>
            <w:tcBorders>
              <w:top w:val="nil"/>
              <w:left w:val="single" w:sz="4" w:space="0" w:color="auto"/>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1 805,0 </w:t>
            </w:r>
          </w:p>
        </w:tc>
        <w:tc>
          <w:tcPr>
            <w:tcW w:w="1053"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37,7 </w:t>
            </w:r>
          </w:p>
        </w:tc>
        <w:tc>
          <w:tcPr>
            <w:tcW w:w="1074"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1 810,9 </w:t>
            </w:r>
          </w:p>
        </w:tc>
        <w:tc>
          <w:tcPr>
            <w:tcW w:w="1053" w:type="dxa"/>
            <w:tcBorders>
              <w:top w:val="nil"/>
              <w:left w:val="nil"/>
              <w:bottom w:val="nil"/>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37,5 </w:t>
            </w:r>
          </w:p>
        </w:tc>
        <w:tc>
          <w:tcPr>
            <w:tcW w:w="1074" w:type="dxa"/>
            <w:tcBorders>
              <w:top w:val="nil"/>
              <w:left w:val="nil"/>
              <w:bottom w:val="nil"/>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5,9 </w:t>
            </w:r>
          </w:p>
        </w:tc>
        <w:tc>
          <w:tcPr>
            <w:tcW w:w="1053" w:type="dxa"/>
            <w:tcBorders>
              <w:top w:val="nil"/>
              <w:left w:val="nil"/>
              <w:bottom w:val="nil"/>
              <w:right w:val="double" w:sz="6"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100,3 </w:t>
            </w:r>
          </w:p>
        </w:tc>
      </w:tr>
      <w:tr w:rsidR="007A49EF" w:rsidRPr="00251317" w:rsidTr="007A49EF">
        <w:trPr>
          <w:trHeight w:val="340"/>
          <w:jc w:val="center"/>
        </w:trPr>
        <w:tc>
          <w:tcPr>
            <w:tcW w:w="2456" w:type="dxa"/>
            <w:tcBorders>
              <w:top w:val="nil"/>
              <w:left w:val="double" w:sz="6" w:space="0" w:color="auto"/>
              <w:bottom w:val="double" w:sz="6" w:space="0" w:color="auto"/>
              <w:right w:val="nil"/>
            </w:tcBorders>
            <w:shd w:val="clear" w:color="auto" w:fill="auto"/>
            <w:noWrap/>
            <w:vAlign w:val="center"/>
          </w:tcPr>
          <w:p w:rsidR="007A49EF" w:rsidRPr="00251317" w:rsidRDefault="007A49EF" w:rsidP="007A49EF">
            <w:pPr>
              <w:rPr>
                <w:rFonts w:ascii="Arial" w:hAnsi="Arial" w:cs="Arial"/>
                <w:sz w:val="20"/>
                <w:szCs w:val="20"/>
              </w:rPr>
            </w:pPr>
            <w:r w:rsidRPr="00251317">
              <w:rPr>
                <w:rFonts w:ascii="Arial" w:hAnsi="Arial" w:cs="Arial"/>
                <w:sz w:val="20"/>
                <w:szCs w:val="20"/>
              </w:rPr>
              <w:t xml:space="preserve">   vysokoškolské</w:t>
            </w:r>
          </w:p>
        </w:tc>
        <w:tc>
          <w:tcPr>
            <w:tcW w:w="1074" w:type="dxa"/>
            <w:tcBorders>
              <w:top w:val="nil"/>
              <w:left w:val="single" w:sz="4" w:space="0" w:color="auto"/>
              <w:bottom w:val="double" w:sz="6" w:space="0" w:color="auto"/>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965,4 </w:t>
            </w:r>
          </w:p>
        </w:tc>
        <w:tc>
          <w:tcPr>
            <w:tcW w:w="1053" w:type="dxa"/>
            <w:tcBorders>
              <w:top w:val="nil"/>
              <w:left w:val="nil"/>
              <w:bottom w:val="double" w:sz="6" w:space="0" w:color="auto"/>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20,2 </w:t>
            </w:r>
          </w:p>
        </w:tc>
        <w:tc>
          <w:tcPr>
            <w:tcW w:w="1074" w:type="dxa"/>
            <w:tcBorders>
              <w:top w:val="nil"/>
              <w:left w:val="nil"/>
              <w:bottom w:val="double" w:sz="6" w:space="0" w:color="auto"/>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1 058,1 </w:t>
            </w:r>
          </w:p>
        </w:tc>
        <w:tc>
          <w:tcPr>
            <w:tcW w:w="1053" w:type="dxa"/>
            <w:tcBorders>
              <w:top w:val="nil"/>
              <w:left w:val="nil"/>
              <w:bottom w:val="double" w:sz="6" w:space="0" w:color="auto"/>
              <w:right w:val="single" w:sz="4" w:space="0" w:color="auto"/>
            </w:tcBorders>
            <w:shd w:val="clear" w:color="auto" w:fill="auto"/>
            <w:noWrap/>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 xml:space="preserve">21,9 </w:t>
            </w:r>
          </w:p>
        </w:tc>
        <w:tc>
          <w:tcPr>
            <w:tcW w:w="1074" w:type="dxa"/>
            <w:tcBorders>
              <w:top w:val="nil"/>
              <w:left w:val="nil"/>
              <w:bottom w:val="double" w:sz="6" w:space="0" w:color="auto"/>
              <w:right w:val="single" w:sz="4"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92,7 </w:t>
            </w:r>
          </w:p>
        </w:tc>
        <w:tc>
          <w:tcPr>
            <w:tcW w:w="1053" w:type="dxa"/>
            <w:tcBorders>
              <w:top w:val="nil"/>
              <w:left w:val="nil"/>
              <w:bottom w:val="double" w:sz="6" w:space="0" w:color="auto"/>
              <w:right w:val="double" w:sz="6" w:space="0" w:color="auto"/>
            </w:tcBorders>
            <w:shd w:val="clear" w:color="auto" w:fill="auto"/>
            <w:noWrap/>
            <w:vAlign w:val="center"/>
          </w:tcPr>
          <w:p w:rsidR="007A49EF" w:rsidRPr="007A49EF" w:rsidRDefault="007A49EF" w:rsidP="007A49EF">
            <w:pPr>
              <w:jc w:val="right"/>
              <w:rPr>
                <w:rFonts w:ascii="Arial" w:hAnsi="Arial" w:cs="Arial"/>
                <w:sz w:val="20"/>
                <w:szCs w:val="20"/>
              </w:rPr>
            </w:pPr>
            <w:r w:rsidRPr="007A49EF">
              <w:rPr>
                <w:rFonts w:ascii="Arial" w:hAnsi="Arial" w:cs="Arial"/>
                <w:sz w:val="20"/>
                <w:szCs w:val="20"/>
              </w:rPr>
              <w:t xml:space="preserve">109,6 </w:t>
            </w:r>
          </w:p>
        </w:tc>
      </w:tr>
    </w:tbl>
    <w:p w:rsidR="007A49EF" w:rsidRPr="00251317" w:rsidRDefault="007A49EF" w:rsidP="007A49EF">
      <w:pPr>
        <w:tabs>
          <w:tab w:val="center" w:pos="720"/>
        </w:tabs>
        <w:jc w:val="both"/>
        <w:rPr>
          <w:rFonts w:ascii="Arial" w:hAnsi="Arial" w:cs="Arial"/>
          <w:i/>
          <w:iCs/>
          <w:sz w:val="20"/>
          <w:szCs w:val="20"/>
        </w:rPr>
      </w:pPr>
      <w:r w:rsidRPr="00251317">
        <w:rPr>
          <w:rFonts w:ascii="Arial" w:hAnsi="Arial" w:cs="Arial"/>
          <w:i/>
          <w:iCs/>
          <w:sz w:val="20"/>
          <w:szCs w:val="20"/>
        </w:rPr>
        <w:tab/>
        <w:t xml:space="preserve">   Zdroj: ČSÚ – VŠPS</w:t>
      </w:r>
    </w:p>
    <w:p w:rsidR="007A49EF" w:rsidRPr="00251317" w:rsidRDefault="007A49EF" w:rsidP="007A49EF">
      <w:pPr>
        <w:tabs>
          <w:tab w:val="center" w:pos="720"/>
        </w:tabs>
        <w:jc w:val="both"/>
        <w:rPr>
          <w:rFonts w:ascii="Arial" w:hAnsi="Arial" w:cs="Arial"/>
          <w:i/>
          <w:iCs/>
          <w:sz w:val="20"/>
          <w:szCs w:val="20"/>
        </w:rPr>
      </w:pPr>
    </w:p>
    <w:p w:rsidR="007A49EF" w:rsidRPr="00251317" w:rsidRDefault="007A49EF" w:rsidP="007A49EF">
      <w:pPr>
        <w:tabs>
          <w:tab w:val="center" w:pos="720"/>
        </w:tabs>
        <w:ind w:firstLine="720"/>
        <w:jc w:val="both"/>
        <w:rPr>
          <w:rFonts w:ascii="Arial" w:hAnsi="Arial" w:cs="Arial"/>
          <w:iCs/>
          <w:sz w:val="16"/>
          <w:szCs w:val="16"/>
        </w:rPr>
      </w:pPr>
    </w:p>
    <w:p w:rsidR="007A49EF" w:rsidRPr="00251317" w:rsidRDefault="007A49EF" w:rsidP="007A49EF">
      <w:pPr>
        <w:spacing w:line="360" w:lineRule="auto"/>
        <w:ind w:firstLine="708"/>
        <w:jc w:val="both"/>
        <w:rPr>
          <w:rFonts w:ascii="Arial" w:hAnsi="Arial" w:cs="Arial"/>
          <w:i/>
        </w:rPr>
      </w:pPr>
      <w:r w:rsidRPr="00251317">
        <w:rPr>
          <w:rFonts w:ascii="Arial" w:hAnsi="Arial" w:cs="Arial"/>
          <w:b/>
          <w:i/>
        </w:rPr>
        <w:t>Podíl vysokoškolsky vzdělaných osob na celkové zaměstnanosti osob ve věku 15 – 64 let se</w:t>
      </w:r>
      <w:r w:rsidRPr="00251317">
        <w:rPr>
          <w:rFonts w:ascii="Arial" w:hAnsi="Arial" w:cs="Arial"/>
          <w:i/>
        </w:rPr>
        <w:t xml:space="preserve"> sice </w:t>
      </w:r>
      <w:r w:rsidRPr="00251317">
        <w:rPr>
          <w:rFonts w:ascii="Arial" w:hAnsi="Arial" w:cs="Arial"/>
          <w:b/>
          <w:i/>
        </w:rPr>
        <w:t>v ČR zvyšuje</w:t>
      </w:r>
      <w:r w:rsidRPr="00251317">
        <w:rPr>
          <w:rFonts w:ascii="Arial" w:hAnsi="Arial" w:cs="Arial"/>
          <w:i/>
        </w:rPr>
        <w:t xml:space="preserve"> (v 1. pololetí 2011 to bylo 19,5 %, v 1. pololetí 2012 20,4 %, v roce 2012 20,7 %), v porovnání s ostatními státy Evropské unie však patří </w:t>
      </w:r>
      <w:r w:rsidRPr="00251317">
        <w:rPr>
          <w:rFonts w:ascii="Arial" w:hAnsi="Arial" w:cs="Arial"/>
          <w:b/>
          <w:i/>
        </w:rPr>
        <w:t>v ČR mezi nejnižší</w:t>
      </w:r>
      <w:r w:rsidRPr="00251317">
        <w:rPr>
          <w:rFonts w:ascii="Arial" w:hAnsi="Arial" w:cs="Arial"/>
          <w:i/>
        </w:rPr>
        <w:t xml:space="preserve"> v rámci EU 27. Podle posledních dostupných údajů </w:t>
      </w:r>
      <w:proofErr w:type="spellStart"/>
      <w:r w:rsidRPr="00251317">
        <w:rPr>
          <w:rFonts w:ascii="Arial" w:hAnsi="Arial" w:cs="Arial"/>
          <w:i/>
        </w:rPr>
        <w:t>EUROSTATu</w:t>
      </w:r>
      <w:proofErr w:type="spellEnd"/>
      <w:r w:rsidRPr="00251317">
        <w:rPr>
          <w:rFonts w:ascii="Arial" w:hAnsi="Arial" w:cs="Arial"/>
          <w:i/>
        </w:rPr>
        <w:t xml:space="preserve"> za rok 2012 byl nejvyšší podíl vysokoškoláků (první a druhý stupeň terciárního vzdělávání) mezi zaměstnanými ve věku 15 - 64 let v Irsku (45,5 %), na Kypru (42,7 %), v Lucembursku (41,9 %), Belgii (41,3 %) a Litvě (40,4 %), průměr EU 27 představuje 31,0 %. Nižší hodnotu než v ČR (20,7 %) mělo pouze Rakousko (20,4 %), Itálie (18,7 %), a Rumunsko (18,6 %).</w:t>
      </w:r>
      <w:r w:rsidRPr="00251317">
        <w:rPr>
          <w:rFonts w:ascii="Arial" w:hAnsi="Arial" w:cs="Arial"/>
          <w:i/>
          <w:color w:val="FF0000"/>
        </w:rPr>
        <w:t xml:space="preserve"> </w:t>
      </w:r>
    </w:p>
    <w:p w:rsidR="007A49EF" w:rsidRDefault="007A49EF" w:rsidP="007A49EF">
      <w:pPr>
        <w:tabs>
          <w:tab w:val="center" w:pos="720"/>
        </w:tabs>
        <w:spacing w:line="360" w:lineRule="auto"/>
        <w:ind w:firstLine="720"/>
        <w:jc w:val="both"/>
        <w:rPr>
          <w:rFonts w:ascii="Arial" w:hAnsi="Arial" w:cs="Arial"/>
          <w:iCs/>
        </w:rPr>
      </w:pPr>
    </w:p>
    <w:p w:rsidR="007A49EF" w:rsidRPr="00251317" w:rsidRDefault="007A49EF" w:rsidP="007A49EF">
      <w:pPr>
        <w:tabs>
          <w:tab w:val="center" w:pos="720"/>
        </w:tabs>
        <w:spacing w:line="360" w:lineRule="auto"/>
        <w:ind w:firstLine="720"/>
        <w:jc w:val="both"/>
        <w:rPr>
          <w:rFonts w:ascii="Arial" w:hAnsi="Arial" w:cs="Arial"/>
          <w:iCs/>
        </w:rPr>
      </w:pPr>
      <w:r w:rsidRPr="00251317">
        <w:rPr>
          <w:rFonts w:ascii="Arial" w:hAnsi="Arial" w:cs="Arial"/>
          <w:iCs/>
        </w:rPr>
        <w:t xml:space="preserve">Stále zůstala </w:t>
      </w:r>
      <w:r w:rsidRPr="00251317">
        <w:rPr>
          <w:rFonts w:ascii="Arial" w:hAnsi="Arial" w:cs="Arial"/>
          <w:b/>
          <w:iCs/>
        </w:rPr>
        <w:t>nejméně příznivá vzdělanostní struktura</w:t>
      </w:r>
      <w:r w:rsidRPr="00251317">
        <w:rPr>
          <w:rFonts w:ascii="Arial" w:hAnsi="Arial" w:cs="Arial"/>
          <w:iCs/>
        </w:rPr>
        <w:t xml:space="preserve"> </w:t>
      </w:r>
      <w:r w:rsidRPr="00251317">
        <w:rPr>
          <w:rFonts w:ascii="Arial" w:hAnsi="Arial" w:cs="Arial"/>
          <w:b/>
          <w:iCs/>
        </w:rPr>
        <w:t>v Karlovarském a Ústeckém kraji</w:t>
      </w:r>
      <w:r w:rsidRPr="00251317">
        <w:rPr>
          <w:rFonts w:ascii="Arial" w:hAnsi="Arial" w:cs="Arial"/>
          <w:iCs/>
        </w:rPr>
        <w:t xml:space="preserve"> (8,</w:t>
      </w:r>
      <w:r>
        <w:rPr>
          <w:rFonts w:ascii="Arial" w:hAnsi="Arial" w:cs="Arial"/>
          <w:iCs/>
        </w:rPr>
        <w:t>6</w:t>
      </w:r>
      <w:r w:rsidRPr="00251317">
        <w:rPr>
          <w:rFonts w:ascii="Arial" w:hAnsi="Arial" w:cs="Arial"/>
          <w:iCs/>
        </w:rPr>
        <w:t> %, resp. 7,</w:t>
      </w:r>
      <w:r>
        <w:rPr>
          <w:rFonts w:ascii="Arial" w:hAnsi="Arial" w:cs="Arial"/>
          <w:iCs/>
        </w:rPr>
        <w:t>0</w:t>
      </w:r>
      <w:r w:rsidRPr="00251317">
        <w:rPr>
          <w:rFonts w:ascii="Arial" w:hAnsi="Arial" w:cs="Arial"/>
          <w:iCs/>
        </w:rPr>
        <w:t xml:space="preserve"> % zaměstnaných se </w:t>
      </w:r>
      <w:r w:rsidRPr="00251317">
        <w:rPr>
          <w:rFonts w:ascii="Arial" w:hAnsi="Arial" w:cs="Arial"/>
        </w:rPr>
        <w:t>základním vzděláním</w:t>
      </w:r>
      <w:r w:rsidRPr="00251317">
        <w:rPr>
          <w:rFonts w:ascii="Arial" w:hAnsi="Arial" w:cs="Arial"/>
          <w:iCs/>
        </w:rPr>
        <w:t xml:space="preserve">). Naopak </w:t>
      </w:r>
      <w:r w:rsidRPr="00251317">
        <w:rPr>
          <w:rFonts w:ascii="Arial" w:hAnsi="Arial" w:cs="Arial"/>
          <w:b/>
          <w:iCs/>
        </w:rPr>
        <w:t>podíl zaměstnaných s vysokoškolským vzděláním</w:t>
      </w:r>
      <w:r w:rsidRPr="00251317">
        <w:rPr>
          <w:rFonts w:ascii="Arial" w:hAnsi="Arial" w:cs="Arial"/>
          <w:iCs/>
        </w:rPr>
        <w:t xml:space="preserve"> byl v</w:t>
      </w:r>
      <w:r>
        <w:rPr>
          <w:rFonts w:ascii="Arial" w:hAnsi="Arial" w:cs="Arial"/>
          <w:iCs/>
        </w:rPr>
        <w:t> 1. pololetí 2013</w:t>
      </w:r>
      <w:r w:rsidRPr="00251317">
        <w:rPr>
          <w:rFonts w:ascii="Arial" w:hAnsi="Arial" w:cs="Arial"/>
          <w:iCs/>
        </w:rPr>
        <w:t xml:space="preserve"> </w:t>
      </w:r>
      <w:r w:rsidRPr="00251317">
        <w:rPr>
          <w:rFonts w:ascii="Arial" w:hAnsi="Arial" w:cs="Arial"/>
          <w:b/>
          <w:iCs/>
        </w:rPr>
        <w:t>nejvyšší v Hl. m. Praze</w:t>
      </w:r>
      <w:r w:rsidRPr="00251317">
        <w:rPr>
          <w:rFonts w:ascii="Arial" w:hAnsi="Arial" w:cs="Arial"/>
          <w:iCs/>
        </w:rPr>
        <w:t xml:space="preserve"> (39,</w:t>
      </w:r>
      <w:r>
        <w:rPr>
          <w:rFonts w:ascii="Arial" w:hAnsi="Arial" w:cs="Arial"/>
          <w:iCs/>
        </w:rPr>
        <w:t>9</w:t>
      </w:r>
      <w:r w:rsidRPr="00251317">
        <w:rPr>
          <w:rFonts w:ascii="Arial" w:hAnsi="Arial" w:cs="Arial"/>
          <w:iCs/>
        </w:rPr>
        <w:t> %) a Jihomoravském kraji (2</w:t>
      </w:r>
      <w:r>
        <w:rPr>
          <w:rFonts w:ascii="Arial" w:hAnsi="Arial" w:cs="Arial"/>
          <w:iCs/>
        </w:rPr>
        <w:t>7</w:t>
      </w:r>
      <w:r w:rsidRPr="00251317">
        <w:rPr>
          <w:rFonts w:ascii="Arial" w:hAnsi="Arial" w:cs="Arial"/>
          <w:iCs/>
        </w:rPr>
        <w:t>,</w:t>
      </w:r>
      <w:r>
        <w:rPr>
          <w:rFonts w:ascii="Arial" w:hAnsi="Arial" w:cs="Arial"/>
          <w:iCs/>
        </w:rPr>
        <w:t>5</w:t>
      </w:r>
      <w:r w:rsidRPr="00251317">
        <w:rPr>
          <w:rFonts w:ascii="Arial" w:hAnsi="Arial" w:cs="Arial"/>
          <w:iCs/>
        </w:rPr>
        <w:t xml:space="preserve"> %). </w:t>
      </w:r>
    </w:p>
    <w:p w:rsidR="007A49EF" w:rsidRPr="00251317" w:rsidRDefault="007A49EF" w:rsidP="007A49EF">
      <w:pPr>
        <w:tabs>
          <w:tab w:val="center" w:pos="720"/>
        </w:tabs>
        <w:ind w:firstLine="720"/>
        <w:jc w:val="both"/>
        <w:rPr>
          <w:rFonts w:ascii="Arial" w:hAnsi="Arial" w:cs="Arial"/>
          <w:iCs/>
          <w:sz w:val="16"/>
          <w:szCs w:val="16"/>
        </w:rPr>
      </w:pPr>
    </w:p>
    <w:p w:rsidR="007A49EF" w:rsidRPr="007A49EF" w:rsidRDefault="007A49EF" w:rsidP="007A49EF">
      <w:pPr>
        <w:tabs>
          <w:tab w:val="center" w:pos="720"/>
        </w:tabs>
        <w:jc w:val="center"/>
        <w:rPr>
          <w:rFonts w:ascii="Arial" w:hAnsi="Arial" w:cs="Arial"/>
          <w:b/>
          <w:iCs/>
        </w:rPr>
      </w:pPr>
      <w:r>
        <w:rPr>
          <w:rFonts w:ascii="Arial" w:hAnsi="Arial" w:cs="Arial"/>
          <w:b/>
          <w:iCs/>
          <w:highlight w:val="yellow"/>
        </w:rPr>
        <w:br w:type="column"/>
      </w:r>
      <w:r w:rsidRPr="007A49EF">
        <w:rPr>
          <w:rFonts w:ascii="Arial" w:hAnsi="Arial" w:cs="Arial"/>
          <w:b/>
          <w:iCs/>
        </w:rPr>
        <w:lastRenderedPageBreak/>
        <w:t>Vzdělanostní struktura zaměstnané populace 15+ ČR v 1. pololetí 2013</w:t>
      </w:r>
    </w:p>
    <w:p w:rsidR="007A49EF" w:rsidRPr="00F6601F" w:rsidRDefault="007A49EF" w:rsidP="007A49EF">
      <w:pPr>
        <w:tabs>
          <w:tab w:val="center" w:pos="720"/>
        </w:tabs>
        <w:jc w:val="center"/>
        <w:rPr>
          <w:rFonts w:ascii="Arial" w:hAnsi="Arial" w:cs="Arial"/>
          <w:b/>
          <w:iCs/>
        </w:rPr>
      </w:pPr>
      <w:r w:rsidRPr="007A49EF">
        <w:rPr>
          <w:rFonts w:ascii="Arial" w:hAnsi="Arial" w:cs="Arial"/>
          <w:b/>
          <w:iCs/>
        </w:rPr>
        <w:t>v krajském členění v %</w:t>
      </w:r>
      <w:r w:rsidRPr="00F6601F">
        <w:rPr>
          <w:rFonts w:ascii="Arial" w:hAnsi="Arial" w:cs="Arial"/>
          <w:b/>
          <w:iCs/>
        </w:rPr>
        <w:t xml:space="preserve"> </w:t>
      </w:r>
    </w:p>
    <w:p w:rsidR="007A49EF" w:rsidRPr="00F6601F" w:rsidRDefault="007A49EF" w:rsidP="007A49EF">
      <w:pPr>
        <w:tabs>
          <w:tab w:val="center" w:pos="720"/>
        </w:tabs>
        <w:jc w:val="center"/>
        <w:rPr>
          <w:rFonts w:ascii="Arial" w:hAnsi="Arial" w:cs="Arial"/>
          <w:iCs/>
          <w:sz w:val="20"/>
          <w:szCs w:val="20"/>
        </w:rPr>
      </w:pPr>
      <w:r w:rsidRPr="00F6601F">
        <w:rPr>
          <w:rFonts w:ascii="Arial" w:hAnsi="Arial" w:cs="Arial"/>
          <w:iCs/>
          <w:sz w:val="20"/>
          <w:szCs w:val="20"/>
        </w:rPr>
        <w:tab/>
      </w:r>
      <w:r w:rsidRPr="00F6601F">
        <w:rPr>
          <w:rFonts w:ascii="Arial" w:hAnsi="Arial" w:cs="Arial"/>
          <w:iCs/>
          <w:sz w:val="20"/>
          <w:szCs w:val="20"/>
        </w:rPr>
        <w:tab/>
      </w:r>
      <w:r w:rsidRPr="00F6601F">
        <w:rPr>
          <w:rFonts w:ascii="Arial" w:hAnsi="Arial" w:cs="Arial"/>
          <w:iCs/>
          <w:sz w:val="20"/>
          <w:szCs w:val="20"/>
        </w:rPr>
        <w:tab/>
      </w:r>
      <w:r w:rsidRPr="00F6601F">
        <w:rPr>
          <w:rFonts w:ascii="Arial" w:hAnsi="Arial" w:cs="Arial"/>
          <w:iCs/>
          <w:sz w:val="20"/>
          <w:szCs w:val="20"/>
        </w:rPr>
        <w:tab/>
      </w:r>
      <w:r w:rsidRPr="00F6601F">
        <w:rPr>
          <w:rFonts w:ascii="Arial" w:hAnsi="Arial" w:cs="Arial"/>
          <w:iCs/>
          <w:sz w:val="20"/>
          <w:szCs w:val="20"/>
        </w:rPr>
        <w:tab/>
      </w:r>
      <w:r w:rsidRPr="00F6601F">
        <w:rPr>
          <w:rFonts w:ascii="Arial" w:hAnsi="Arial" w:cs="Arial"/>
          <w:iCs/>
          <w:sz w:val="20"/>
          <w:szCs w:val="20"/>
        </w:rPr>
        <w:tab/>
      </w:r>
      <w:r w:rsidRPr="00F6601F">
        <w:rPr>
          <w:rFonts w:ascii="Arial" w:hAnsi="Arial" w:cs="Arial"/>
          <w:iCs/>
          <w:sz w:val="20"/>
          <w:szCs w:val="20"/>
        </w:rPr>
        <w:tab/>
      </w:r>
      <w:r w:rsidRPr="00F6601F">
        <w:rPr>
          <w:rFonts w:ascii="Arial" w:hAnsi="Arial" w:cs="Arial"/>
          <w:iCs/>
          <w:sz w:val="20"/>
          <w:szCs w:val="20"/>
        </w:rPr>
        <w:tab/>
      </w:r>
      <w:r w:rsidRPr="00F6601F">
        <w:rPr>
          <w:rFonts w:ascii="Arial" w:hAnsi="Arial" w:cs="Arial"/>
          <w:iCs/>
          <w:sz w:val="20"/>
          <w:szCs w:val="20"/>
        </w:rPr>
        <w:tab/>
        <w:t>tab. č. 14</w:t>
      </w:r>
    </w:p>
    <w:tbl>
      <w:tblPr>
        <w:tblW w:w="7583" w:type="dxa"/>
        <w:jc w:val="center"/>
        <w:tblCellMar>
          <w:left w:w="70" w:type="dxa"/>
          <w:right w:w="70" w:type="dxa"/>
        </w:tblCellMar>
        <w:tblLook w:val="04A0" w:firstRow="1" w:lastRow="0" w:firstColumn="1" w:lastColumn="0" w:noHBand="0" w:noVBand="1"/>
      </w:tblPr>
      <w:tblGrid>
        <w:gridCol w:w="1908"/>
        <w:gridCol w:w="1418"/>
        <w:gridCol w:w="1438"/>
        <w:gridCol w:w="1255"/>
        <w:gridCol w:w="1564"/>
      </w:tblGrid>
      <w:tr w:rsidR="007A49EF" w:rsidRPr="00F6601F" w:rsidTr="007A49EF">
        <w:trPr>
          <w:trHeight w:val="330"/>
          <w:jc w:val="center"/>
        </w:trPr>
        <w:tc>
          <w:tcPr>
            <w:tcW w:w="1908"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tcPr>
          <w:p w:rsidR="007A49EF" w:rsidRPr="00F6601F" w:rsidRDefault="007A49EF" w:rsidP="007A49EF">
            <w:pPr>
              <w:ind w:firstLineChars="100" w:firstLine="201"/>
              <w:rPr>
                <w:rFonts w:ascii="Arial" w:hAnsi="Arial" w:cs="Arial"/>
                <w:b/>
                <w:bCs/>
                <w:sz w:val="20"/>
                <w:szCs w:val="20"/>
              </w:rPr>
            </w:pPr>
            <w:r w:rsidRPr="00F6601F">
              <w:rPr>
                <w:rFonts w:ascii="Arial" w:hAnsi="Arial" w:cs="Arial"/>
                <w:b/>
                <w:bCs/>
                <w:sz w:val="20"/>
                <w:szCs w:val="20"/>
              </w:rPr>
              <w:t>Kraj</w:t>
            </w:r>
          </w:p>
        </w:tc>
        <w:tc>
          <w:tcPr>
            <w:tcW w:w="5675" w:type="dxa"/>
            <w:gridSpan w:val="4"/>
            <w:tcBorders>
              <w:top w:val="double" w:sz="6" w:space="0" w:color="auto"/>
              <w:left w:val="nil"/>
              <w:bottom w:val="single" w:sz="4" w:space="0" w:color="auto"/>
              <w:right w:val="double" w:sz="6" w:space="0" w:color="000000"/>
            </w:tcBorders>
            <w:shd w:val="clear" w:color="auto" w:fill="auto"/>
            <w:vAlign w:val="center"/>
          </w:tcPr>
          <w:p w:rsidR="007A49EF" w:rsidRPr="00F6601F" w:rsidRDefault="007A49EF" w:rsidP="007A49EF">
            <w:pPr>
              <w:jc w:val="center"/>
              <w:rPr>
                <w:rFonts w:ascii="Arial" w:hAnsi="Arial" w:cs="Arial"/>
                <w:b/>
                <w:bCs/>
                <w:sz w:val="20"/>
                <w:szCs w:val="20"/>
              </w:rPr>
            </w:pPr>
            <w:r w:rsidRPr="00F6601F">
              <w:rPr>
                <w:rFonts w:ascii="Arial" w:hAnsi="Arial" w:cs="Arial"/>
                <w:b/>
                <w:bCs/>
                <w:sz w:val="20"/>
                <w:szCs w:val="20"/>
              </w:rPr>
              <w:t>Vzdělání</w:t>
            </w:r>
          </w:p>
        </w:tc>
      </w:tr>
      <w:tr w:rsidR="007A49EF" w:rsidRPr="00F6601F" w:rsidTr="007A49EF">
        <w:trPr>
          <w:trHeight w:val="284"/>
          <w:jc w:val="center"/>
        </w:trPr>
        <w:tc>
          <w:tcPr>
            <w:tcW w:w="1908" w:type="dxa"/>
            <w:vMerge/>
            <w:tcBorders>
              <w:top w:val="double" w:sz="6" w:space="0" w:color="auto"/>
              <w:left w:val="double" w:sz="6" w:space="0" w:color="auto"/>
              <w:bottom w:val="double" w:sz="6" w:space="0" w:color="000000"/>
              <w:right w:val="double" w:sz="6" w:space="0" w:color="auto"/>
            </w:tcBorders>
            <w:vAlign w:val="center"/>
          </w:tcPr>
          <w:p w:rsidR="007A49EF" w:rsidRPr="00F6601F" w:rsidRDefault="007A49EF" w:rsidP="007A49EF">
            <w:pPr>
              <w:rPr>
                <w:rFonts w:ascii="Arial" w:hAnsi="Arial" w:cs="Arial"/>
                <w:b/>
                <w:bCs/>
                <w:sz w:val="20"/>
                <w:szCs w:val="20"/>
              </w:rPr>
            </w:pPr>
          </w:p>
        </w:tc>
        <w:tc>
          <w:tcPr>
            <w:tcW w:w="1418" w:type="dxa"/>
            <w:vMerge w:val="restart"/>
            <w:tcBorders>
              <w:top w:val="single" w:sz="4" w:space="0" w:color="auto"/>
              <w:left w:val="nil"/>
              <w:bottom w:val="double" w:sz="6" w:space="0" w:color="000000"/>
              <w:right w:val="single" w:sz="4" w:space="0" w:color="auto"/>
            </w:tcBorders>
            <w:shd w:val="clear" w:color="auto" w:fill="auto"/>
            <w:vAlign w:val="center"/>
          </w:tcPr>
          <w:p w:rsidR="007A49EF" w:rsidRPr="00F6601F" w:rsidRDefault="007A49EF" w:rsidP="007A49EF">
            <w:pPr>
              <w:jc w:val="center"/>
              <w:rPr>
                <w:rFonts w:ascii="Arial" w:hAnsi="Arial" w:cs="Arial"/>
                <w:b/>
                <w:bCs/>
                <w:sz w:val="20"/>
                <w:szCs w:val="20"/>
              </w:rPr>
            </w:pPr>
            <w:r w:rsidRPr="00F6601F">
              <w:rPr>
                <w:rFonts w:ascii="Arial" w:hAnsi="Arial" w:cs="Arial"/>
                <w:b/>
                <w:bCs/>
                <w:sz w:val="20"/>
                <w:szCs w:val="20"/>
              </w:rPr>
              <w:t>základní a bez vzdělání</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A49EF" w:rsidRPr="00F6601F" w:rsidRDefault="007A49EF" w:rsidP="007A49EF">
            <w:pPr>
              <w:jc w:val="center"/>
              <w:rPr>
                <w:rFonts w:ascii="Arial" w:hAnsi="Arial" w:cs="Arial"/>
                <w:b/>
                <w:bCs/>
                <w:sz w:val="20"/>
                <w:szCs w:val="20"/>
              </w:rPr>
            </w:pPr>
            <w:r w:rsidRPr="00F6601F">
              <w:rPr>
                <w:rFonts w:ascii="Arial" w:hAnsi="Arial" w:cs="Arial"/>
                <w:b/>
                <w:bCs/>
                <w:sz w:val="20"/>
                <w:szCs w:val="20"/>
              </w:rPr>
              <w:t>střední</w:t>
            </w:r>
          </w:p>
        </w:tc>
        <w:tc>
          <w:tcPr>
            <w:tcW w:w="1564" w:type="dxa"/>
            <w:vMerge w:val="restart"/>
            <w:tcBorders>
              <w:top w:val="single" w:sz="4" w:space="0" w:color="auto"/>
              <w:left w:val="single" w:sz="4" w:space="0" w:color="auto"/>
              <w:bottom w:val="double" w:sz="6" w:space="0" w:color="000000"/>
              <w:right w:val="double" w:sz="6" w:space="0" w:color="auto"/>
            </w:tcBorders>
            <w:shd w:val="clear" w:color="auto" w:fill="auto"/>
            <w:vAlign w:val="center"/>
          </w:tcPr>
          <w:p w:rsidR="007A49EF" w:rsidRPr="00F6601F" w:rsidRDefault="007A49EF" w:rsidP="007A49EF">
            <w:pPr>
              <w:jc w:val="center"/>
              <w:rPr>
                <w:rFonts w:ascii="Arial" w:hAnsi="Arial" w:cs="Arial"/>
                <w:b/>
                <w:bCs/>
                <w:sz w:val="20"/>
                <w:szCs w:val="20"/>
              </w:rPr>
            </w:pPr>
            <w:r w:rsidRPr="00F6601F">
              <w:rPr>
                <w:rFonts w:ascii="Arial" w:hAnsi="Arial" w:cs="Arial"/>
                <w:b/>
                <w:bCs/>
                <w:sz w:val="20"/>
                <w:szCs w:val="20"/>
              </w:rPr>
              <w:t>vysokoškolské</w:t>
            </w:r>
          </w:p>
        </w:tc>
      </w:tr>
      <w:tr w:rsidR="007A49EF" w:rsidRPr="00F6601F" w:rsidTr="007A49EF">
        <w:trPr>
          <w:trHeight w:val="284"/>
          <w:jc w:val="center"/>
        </w:trPr>
        <w:tc>
          <w:tcPr>
            <w:tcW w:w="1908" w:type="dxa"/>
            <w:vMerge/>
            <w:tcBorders>
              <w:top w:val="double" w:sz="6" w:space="0" w:color="auto"/>
              <w:left w:val="double" w:sz="6" w:space="0" w:color="auto"/>
              <w:bottom w:val="double" w:sz="6" w:space="0" w:color="000000"/>
              <w:right w:val="double" w:sz="6" w:space="0" w:color="auto"/>
            </w:tcBorders>
            <w:vAlign w:val="center"/>
          </w:tcPr>
          <w:p w:rsidR="007A49EF" w:rsidRPr="00F6601F" w:rsidRDefault="007A49EF" w:rsidP="007A49EF">
            <w:pPr>
              <w:rPr>
                <w:rFonts w:ascii="Arial" w:hAnsi="Arial" w:cs="Arial"/>
                <w:b/>
                <w:bCs/>
                <w:sz w:val="20"/>
                <w:szCs w:val="20"/>
              </w:rPr>
            </w:pPr>
          </w:p>
        </w:tc>
        <w:tc>
          <w:tcPr>
            <w:tcW w:w="1418" w:type="dxa"/>
            <w:vMerge/>
            <w:tcBorders>
              <w:top w:val="single" w:sz="4" w:space="0" w:color="auto"/>
              <w:left w:val="nil"/>
              <w:bottom w:val="double" w:sz="6" w:space="0" w:color="000000"/>
              <w:right w:val="single" w:sz="4" w:space="0" w:color="auto"/>
            </w:tcBorders>
            <w:vAlign w:val="center"/>
          </w:tcPr>
          <w:p w:rsidR="007A49EF" w:rsidRPr="00F6601F" w:rsidRDefault="007A49EF" w:rsidP="007A49EF">
            <w:pPr>
              <w:rPr>
                <w:rFonts w:ascii="Arial" w:hAnsi="Arial" w:cs="Arial"/>
                <w:b/>
                <w:bCs/>
                <w:sz w:val="20"/>
                <w:szCs w:val="20"/>
              </w:rPr>
            </w:pPr>
          </w:p>
        </w:tc>
        <w:tc>
          <w:tcPr>
            <w:tcW w:w="1438" w:type="dxa"/>
            <w:tcBorders>
              <w:top w:val="nil"/>
              <w:left w:val="nil"/>
              <w:bottom w:val="double" w:sz="6" w:space="0" w:color="auto"/>
              <w:right w:val="single" w:sz="4" w:space="0" w:color="auto"/>
            </w:tcBorders>
            <w:shd w:val="clear" w:color="auto" w:fill="auto"/>
            <w:noWrap/>
            <w:vAlign w:val="center"/>
          </w:tcPr>
          <w:p w:rsidR="007A49EF" w:rsidRPr="00F6601F" w:rsidRDefault="007A49EF" w:rsidP="007A49EF">
            <w:pPr>
              <w:jc w:val="center"/>
              <w:rPr>
                <w:rFonts w:ascii="Arial" w:hAnsi="Arial" w:cs="Arial"/>
                <w:b/>
                <w:bCs/>
                <w:sz w:val="20"/>
                <w:szCs w:val="20"/>
              </w:rPr>
            </w:pPr>
            <w:r w:rsidRPr="00F6601F">
              <w:rPr>
                <w:rFonts w:ascii="Arial" w:hAnsi="Arial" w:cs="Arial"/>
                <w:b/>
                <w:bCs/>
                <w:sz w:val="20"/>
                <w:szCs w:val="20"/>
              </w:rPr>
              <w:t>bez maturity</w:t>
            </w:r>
          </w:p>
        </w:tc>
        <w:tc>
          <w:tcPr>
            <w:tcW w:w="1255" w:type="dxa"/>
            <w:tcBorders>
              <w:top w:val="nil"/>
              <w:left w:val="nil"/>
              <w:bottom w:val="double" w:sz="6" w:space="0" w:color="auto"/>
              <w:right w:val="single" w:sz="4" w:space="0" w:color="auto"/>
            </w:tcBorders>
            <w:shd w:val="clear" w:color="auto" w:fill="auto"/>
            <w:noWrap/>
            <w:vAlign w:val="center"/>
          </w:tcPr>
          <w:p w:rsidR="007A49EF" w:rsidRPr="00F6601F" w:rsidRDefault="007A49EF" w:rsidP="007A49EF">
            <w:pPr>
              <w:jc w:val="center"/>
              <w:rPr>
                <w:rFonts w:ascii="Arial" w:hAnsi="Arial" w:cs="Arial"/>
                <w:b/>
                <w:bCs/>
                <w:sz w:val="20"/>
                <w:szCs w:val="20"/>
              </w:rPr>
            </w:pPr>
            <w:r w:rsidRPr="00F6601F">
              <w:rPr>
                <w:rFonts w:ascii="Arial" w:hAnsi="Arial" w:cs="Arial"/>
                <w:b/>
                <w:bCs/>
                <w:sz w:val="20"/>
                <w:szCs w:val="20"/>
              </w:rPr>
              <w:t>s maturitou</w:t>
            </w:r>
          </w:p>
        </w:tc>
        <w:tc>
          <w:tcPr>
            <w:tcW w:w="1564" w:type="dxa"/>
            <w:vMerge/>
            <w:tcBorders>
              <w:top w:val="single" w:sz="4" w:space="0" w:color="auto"/>
              <w:left w:val="single" w:sz="4" w:space="0" w:color="auto"/>
              <w:bottom w:val="double" w:sz="6" w:space="0" w:color="000000"/>
              <w:right w:val="double" w:sz="6" w:space="0" w:color="auto"/>
            </w:tcBorders>
            <w:vAlign w:val="center"/>
          </w:tcPr>
          <w:p w:rsidR="007A49EF" w:rsidRPr="00F6601F" w:rsidRDefault="007A49EF" w:rsidP="007A49EF">
            <w:pPr>
              <w:rPr>
                <w:rFonts w:ascii="Arial" w:hAnsi="Arial" w:cs="Arial"/>
                <w:b/>
                <w:bCs/>
                <w:sz w:val="20"/>
                <w:szCs w:val="20"/>
              </w:rPr>
            </w:pPr>
          </w:p>
        </w:tc>
      </w:tr>
      <w:tr w:rsidR="007A49EF" w:rsidRPr="00F6601F" w:rsidTr="007A49EF">
        <w:trPr>
          <w:trHeight w:val="315"/>
          <w:jc w:val="center"/>
        </w:trPr>
        <w:tc>
          <w:tcPr>
            <w:tcW w:w="1908" w:type="dxa"/>
            <w:tcBorders>
              <w:top w:val="nil"/>
              <w:left w:val="double" w:sz="6" w:space="0" w:color="auto"/>
              <w:bottom w:val="nil"/>
              <w:right w:val="double" w:sz="6" w:space="0" w:color="auto"/>
            </w:tcBorders>
            <w:shd w:val="clear" w:color="auto" w:fill="auto"/>
            <w:noWrap/>
            <w:vAlign w:val="center"/>
          </w:tcPr>
          <w:p w:rsidR="007A49EF" w:rsidRPr="00F6601F" w:rsidRDefault="007A49EF" w:rsidP="007A49EF">
            <w:pPr>
              <w:ind w:firstLineChars="100" w:firstLine="200"/>
              <w:rPr>
                <w:rFonts w:ascii="Arial" w:hAnsi="Arial" w:cs="Arial"/>
                <w:sz w:val="20"/>
                <w:szCs w:val="20"/>
              </w:rPr>
            </w:pPr>
            <w:r w:rsidRPr="00F6601F">
              <w:rPr>
                <w:rFonts w:ascii="Arial" w:hAnsi="Arial" w:cs="Arial"/>
                <w:sz w:val="20"/>
                <w:szCs w:val="20"/>
              </w:rPr>
              <w:t>Hl. m. Praha</w:t>
            </w:r>
          </w:p>
        </w:tc>
        <w:tc>
          <w:tcPr>
            <w:tcW w:w="1418" w:type="dxa"/>
            <w:tcBorders>
              <w:top w:val="double" w:sz="6" w:space="0" w:color="auto"/>
              <w:left w:val="nil"/>
              <w:bottom w:val="nil"/>
              <w:right w:val="single" w:sz="4"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2,5</w:t>
            </w:r>
          </w:p>
        </w:tc>
        <w:tc>
          <w:tcPr>
            <w:tcW w:w="1438" w:type="dxa"/>
            <w:tcBorders>
              <w:top w:val="nil"/>
              <w:left w:val="nil"/>
              <w:bottom w:val="nil"/>
              <w:right w:val="single" w:sz="4"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18,7</w:t>
            </w:r>
          </w:p>
        </w:tc>
        <w:tc>
          <w:tcPr>
            <w:tcW w:w="1255" w:type="dxa"/>
            <w:tcBorders>
              <w:top w:val="nil"/>
              <w:left w:val="nil"/>
              <w:bottom w:val="nil"/>
              <w:right w:val="single" w:sz="4"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38,9</w:t>
            </w:r>
          </w:p>
        </w:tc>
        <w:tc>
          <w:tcPr>
            <w:tcW w:w="1564" w:type="dxa"/>
            <w:tcBorders>
              <w:top w:val="nil"/>
              <w:left w:val="nil"/>
              <w:bottom w:val="nil"/>
              <w:right w:val="double" w:sz="6"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39,9</w:t>
            </w:r>
          </w:p>
        </w:tc>
      </w:tr>
      <w:tr w:rsidR="007A49EF" w:rsidRPr="00F6601F" w:rsidTr="007A49EF">
        <w:trPr>
          <w:trHeight w:val="315"/>
          <w:jc w:val="center"/>
        </w:trPr>
        <w:tc>
          <w:tcPr>
            <w:tcW w:w="1908" w:type="dxa"/>
            <w:tcBorders>
              <w:top w:val="nil"/>
              <w:left w:val="double" w:sz="6" w:space="0" w:color="auto"/>
              <w:bottom w:val="nil"/>
              <w:right w:val="double" w:sz="6" w:space="0" w:color="auto"/>
            </w:tcBorders>
            <w:shd w:val="clear" w:color="auto" w:fill="auto"/>
            <w:noWrap/>
            <w:vAlign w:val="center"/>
          </w:tcPr>
          <w:p w:rsidR="007A49EF" w:rsidRPr="00F6601F" w:rsidRDefault="007A49EF" w:rsidP="007A49EF">
            <w:pPr>
              <w:ind w:firstLineChars="100" w:firstLine="200"/>
              <w:rPr>
                <w:rFonts w:ascii="Arial" w:hAnsi="Arial" w:cs="Arial"/>
                <w:sz w:val="20"/>
                <w:szCs w:val="20"/>
              </w:rPr>
            </w:pPr>
            <w:r w:rsidRPr="00F6601F">
              <w:rPr>
                <w:rFonts w:ascii="Arial" w:hAnsi="Arial" w:cs="Arial"/>
                <w:sz w:val="20"/>
                <w:szCs w:val="20"/>
              </w:rPr>
              <w:t>Středočeský</w:t>
            </w:r>
          </w:p>
        </w:tc>
        <w:tc>
          <w:tcPr>
            <w:tcW w:w="1418" w:type="dxa"/>
            <w:tcBorders>
              <w:top w:val="nil"/>
              <w:left w:val="nil"/>
              <w:bottom w:val="nil"/>
              <w:right w:val="single" w:sz="4"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4,1</w:t>
            </w:r>
          </w:p>
        </w:tc>
        <w:tc>
          <w:tcPr>
            <w:tcW w:w="1438" w:type="dxa"/>
            <w:tcBorders>
              <w:top w:val="nil"/>
              <w:left w:val="nil"/>
              <w:bottom w:val="nil"/>
              <w:right w:val="single" w:sz="4"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36,5</w:t>
            </w:r>
          </w:p>
        </w:tc>
        <w:tc>
          <w:tcPr>
            <w:tcW w:w="1255" w:type="dxa"/>
            <w:tcBorders>
              <w:top w:val="nil"/>
              <w:left w:val="nil"/>
              <w:bottom w:val="nil"/>
              <w:right w:val="single" w:sz="4"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39,1</w:t>
            </w:r>
          </w:p>
        </w:tc>
        <w:tc>
          <w:tcPr>
            <w:tcW w:w="1564" w:type="dxa"/>
            <w:tcBorders>
              <w:top w:val="nil"/>
              <w:left w:val="nil"/>
              <w:bottom w:val="nil"/>
              <w:right w:val="double" w:sz="6"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20,2</w:t>
            </w:r>
          </w:p>
        </w:tc>
      </w:tr>
      <w:tr w:rsidR="007A49EF" w:rsidRPr="00F6601F" w:rsidTr="007A49EF">
        <w:trPr>
          <w:trHeight w:val="315"/>
          <w:jc w:val="center"/>
        </w:trPr>
        <w:tc>
          <w:tcPr>
            <w:tcW w:w="1908" w:type="dxa"/>
            <w:tcBorders>
              <w:top w:val="nil"/>
              <w:left w:val="double" w:sz="6" w:space="0" w:color="auto"/>
              <w:bottom w:val="nil"/>
              <w:right w:val="double" w:sz="6" w:space="0" w:color="auto"/>
            </w:tcBorders>
            <w:shd w:val="clear" w:color="auto" w:fill="auto"/>
            <w:noWrap/>
            <w:vAlign w:val="center"/>
          </w:tcPr>
          <w:p w:rsidR="007A49EF" w:rsidRPr="00F6601F" w:rsidRDefault="007A49EF" w:rsidP="007A49EF">
            <w:pPr>
              <w:ind w:firstLineChars="100" w:firstLine="200"/>
              <w:rPr>
                <w:rFonts w:ascii="Arial" w:hAnsi="Arial" w:cs="Arial"/>
                <w:sz w:val="20"/>
                <w:szCs w:val="20"/>
              </w:rPr>
            </w:pPr>
            <w:r w:rsidRPr="00F6601F">
              <w:rPr>
                <w:rFonts w:ascii="Arial" w:hAnsi="Arial" w:cs="Arial"/>
                <w:sz w:val="20"/>
                <w:szCs w:val="20"/>
              </w:rPr>
              <w:t>Jihočeský</w:t>
            </w:r>
          </w:p>
        </w:tc>
        <w:tc>
          <w:tcPr>
            <w:tcW w:w="1418" w:type="dxa"/>
            <w:tcBorders>
              <w:top w:val="nil"/>
              <w:left w:val="nil"/>
              <w:bottom w:val="nil"/>
              <w:right w:val="single" w:sz="4"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3,7</w:t>
            </w:r>
          </w:p>
        </w:tc>
        <w:tc>
          <w:tcPr>
            <w:tcW w:w="1438" w:type="dxa"/>
            <w:tcBorders>
              <w:top w:val="nil"/>
              <w:left w:val="nil"/>
              <w:bottom w:val="nil"/>
              <w:right w:val="single" w:sz="4"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40,7</w:t>
            </w:r>
          </w:p>
        </w:tc>
        <w:tc>
          <w:tcPr>
            <w:tcW w:w="1255" w:type="dxa"/>
            <w:tcBorders>
              <w:top w:val="nil"/>
              <w:left w:val="nil"/>
              <w:bottom w:val="nil"/>
              <w:right w:val="single" w:sz="4"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36,3</w:t>
            </w:r>
          </w:p>
        </w:tc>
        <w:tc>
          <w:tcPr>
            <w:tcW w:w="1564" w:type="dxa"/>
            <w:tcBorders>
              <w:top w:val="nil"/>
              <w:left w:val="nil"/>
              <w:bottom w:val="nil"/>
              <w:right w:val="double" w:sz="6"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19,1</w:t>
            </w:r>
          </w:p>
        </w:tc>
      </w:tr>
      <w:tr w:rsidR="007A49EF" w:rsidRPr="00F6601F" w:rsidTr="007A49EF">
        <w:trPr>
          <w:trHeight w:val="315"/>
          <w:jc w:val="center"/>
        </w:trPr>
        <w:tc>
          <w:tcPr>
            <w:tcW w:w="1908" w:type="dxa"/>
            <w:tcBorders>
              <w:top w:val="nil"/>
              <w:left w:val="double" w:sz="6" w:space="0" w:color="auto"/>
              <w:bottom w:val="nil"/>
              <w:right w:val="double" w:sz="6" w:space="0" w:color="auto"/>
            </w:tcBorders>
            <w:shd w:val="clear" w:color="auto" w:fill="auto"/>
            <w:noWrap/>
            <w:vAlign w:val="center"/>
          </w:tcPr>
          <w:p w:rsidR="007A49EF" w:rsidRPr="00F6601F" w:rsidRDefault="007A49EF" w:rsidP="007A49EF">
            <w:pPr>
              <w:ind w:firstLineChars="100" w:firstLine="200"/>
              <w:rPr>
                <w:rFonts w:ascii="Arial" w:hAnsi="Arial" w:cs="Arial"/>
                <w:sz w:val="20"/>
                <w:szCs w:val="20"/>
              </w:rPr>
            </w:pPr>
            <w:r w:rsidRPr="00F6601F">
              <w:rPr>
                <w:rFonts w:ascii="Arial" w:hAnsi="Arial" w:cs="Arial"/>
                <w:sz w:val="20"/>
                <w:szCs w:val="20"/>
              </w:rPr>
              <w:t>Plzeňský</w:t>
            </w:r>
          </w:p>
        </w:tc>
        <w:tc>
          <w:tcPr>
            <w:tcW w:w="1418" w:type="dxa"/>
            <w:tcBorders>
              <w:top w:val="nil"/>
              <w:left w:val="nil"/>
              <w:bottom w:val="nil"/>
              <w:right w:val="single" w:sz="4"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4,1</w:t>
            </w:r>
          </w:p>
        </w:tc>
        <w:tc>
          <w:tcPr>
            <w:tcW w:w="1438" w:type="dxa"/>
            <w:tcBorders>
              <w:top w:val="nil"/>
              <w:left w:val="nil"/>
              <w:bottom w:val="nil"/>
              <w:right w:val="single" w:sz="4"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39,1</w:t>
            </w:r>
          </w:p>
        </w:tc>
        <w:tc>
          <w:tcPr>
            <w:tcW w:w="1255" w:type="dxa"/>
            <w:tcBorders>
              <w:top w:val="nil"/>
              <w:left w:val="nil"/>
              <w:bottom w:val="nil"/>
              <w:right w:val="single" w:sz="4"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37,4</w:t>
            </w:r>
          </w:p>
        </w:tc>
        <w:tc>
          <w:tcPr>
            <w:tcW w:w="1564" w:type="dxa"/>
            <w:tcBorders>
              <w:top w:val="nil"/>
              <w:left w:val="nil"/>
              <w:bottom w:val="nil"/>
              <w:right w:val="double" w:sz="6"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19,5</w:t>
            </w:r>
          </w:p>
        </w:tc>
      </w:tr>
      <w:tr w:rsidR="007A49EF" w:rsidRPr="00F6601F" w:rsidTr="007A49EF">
        <w:trPr>
          <w:trHeight w:val="315"/>
          <w:jc w:val="center"/>
        </w:trPr>
        <w:tc>
          <w:tcPr>
            <w:tcW w:w="1908" w:type="dxa"/>
            <w:tcBorders>
              <w:top w:val="nil"/>
              <w:left w:val="double" w:sz="6" w:space="0" w:color="auto"/>
              <w:bottom w:val="nil"/>
              <w:right w:val="double" w:sz="6" w:space="0" w:color="auto"/>
            </w:tcBorders>
            <w:shd w:val="clear" w:color="auto" w:fill="auto"/>
            <w:noWrap/>
            <w:vAlign w:val="center"/>
          </w:tcPr>
          <w:p w:rsidR="007A49EF" w:rsidRPr="00F6601F" w:rsidRDefault="007A49EF" w:rsidP="007A49EF">
            <w:pPr>
              <w:ind w:firstLineChars="100" w:firstLine="200"/>
              <w:rPr>
                <w:rFonts w:ascii="Arial" w:hAnsi="Arial" w:cs="Arial"/>
                <w:sz w:val="20"/>
                <w:szCs w:val="20"/>
              </w:rPr>
            </w:pPr>
            <w:r w:rsidRPr="00F6601F">
              <w:rPr>
                <w:rFonts w:ascii="Arial" w:hAnsi="Arial" w:cs="Arial"/>
                <w:sz w:val="20"/>
                <w:szCs w:val="20"/>
              </w:rPr>
              <w:t>Karlovarský</w:t>
            </w:r>
          </w:p>
        </w:tc>
        <w:tc>
          <w:tcPr>
            <w:tcW w:w="1418" w:type="dxa"/>
            <w:tcBorders>
              <w:top w:val="nil"/>
              <w:left w:val="nil"/>
              <w:bottom w:val="nil"/>
              <w:right w:val="single" w:sz="4"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8,6</w:t>
            </w:r>
          </w:p>
        </w:tc>
        <w:tc>
          <w:tcPr>
            <w:tcW w:w="1438" w:type="dxa"/>
            <w:tcBorders>
              <w:top w:val="nil"/>
              <w:left w:val="nil"/>
              <w:bottom w:val="nil"/>
              <w:right w:val="single" w:sz="4"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40,6</w:t>
            </w:r>
          </w:p>
        </w:tc>
        <w:tc>
          <w:tcPr>
            <w:tcW w:w="1255" w:type="dxa"/>
            <w:tcBorders>
              <w:top w:val="nil"/>
              <w:left w:val="nil"/>
              <w:bottom w:val="nil"/>
              <w:right w:val="single" w:sz="4"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38,0</w:t>
            </w:r>
          </w:p>
        </w:tc>
        <w:tc>
          <w:tcPr>
            <w:tcW w:w="1564" w:type="dxa"/>
            <w:tcBorders>
              <w:top w:val="nil"/>
              <w:left w:val="nil"/>
              <w:bottom w:val="nil"/>
              <w:right w:val="double" w:sz="6"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12,7</w:t>
            </w:r>
          </w:p>
        </w:tc>
      </w:tr>
      <w:tr w:rsidR="007A49EF" w:rsidRPr="00F6601F" w:rsidTr="007A49EF">
        <w:trPr>
          <w:trHeight w:val="315"/>
          <w:jc w:val="center"/>
        </w:trPr>
        <w:tc>
          <w:tcPr>
            <w:tcW w:w="1908" w:type="dxa"/>
            <w:tcBorders>
              <w:top w:val="nil"/>
              <w:left w:val="double" w:sz="6" w:space="0" w:color="auto"/>
              <w:bottom w:val="nil"/>
              <w:right w:val="double" w:sz="6" w:space="0" w:color="auto"/>
            </w:tcBorders>
            <w:shd w:val="clear" w:color="auto" w:fill="auto"/>
            <w:noWrap/>
            <w:vAlign w:val="center"/>
          </w:tcPr>
          <w:p w:rsidR="007A49EF" w:rsidRPr="00F6601F" w:rsidRDefault="007A49EF" w:rsidP="007A49EF">
            <w:pPr>
              <w:ind w:firstLineChars="100" w:firstLine="200"/>
              <w:rPr>
                <w:rFonts w:ascii="Arial" w:hAnsi="Arial" w:cs="Arial"/>
                <w:sz w:val="20"/>
                <w:szCs w:val="20"/>
              </w:rPr>
            </w:pPr>
            <w:r w:rsidRPr="00F6601F">
              <w:rPr>
                <w:rFonts w:ascii="Arial" w:hAnsi="Arial" w:cs="Arial"/>
                <w:sz w:val="20"/>
                <w:szCs w:val="20"/>
              </w:rPr>
              <w:t>Ústecký</w:t>
            </w:r>
          </w:p>
        </w:tc>
        <w:tc>
          <w:tcPr>
            <w:tcW w:w="1418" w:type="dxa"/>
            <w:tcBorders>
              <w:top w:val="nil"/>
              <w:left w:val="nil"/>
              <w:bottom w:val="nil"/>
              <w:right w:val="single" w:sz="4"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7,0</w:t>
            </w:r>
          </w:p>
        </w:tc>
        <w:tc>
          <w:tcPr>
            <w:tcW w:w="1438" w:type="dxa"/>
            <w:tcBorders>
              <w:top w:val="nil"/>
              <w:left w:val="nil"/>
              <w:bottom w:val="nil"/>
              <w:right w:val="single" w:sz="4"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41,5</w:t>
            </w:r>
          </w:p>
        </w:tc>
        <w:tc>
          <w:tcPr>
            <w:tcW w:w="1255" w:type="dxa"/>
            <w:tcBorders>
              <w:top w:val="nil"/>
              <w:left w:val="nil"/>
              <w:bottom w:val="nil"/>
              <w:right w:val="single" w:sz="4"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37,4</w:t>
            </w:r>
          </w:p>
        </w:tc>
        <w:tc>
          <w:tcPr>
            <w:tcW w:w="1564" w:type="dxa"/>
            <w:tcBorders>
              <w:top w:val="nil"/>
              <w:left w:val="nil"/>
              <w:bottom w:val="nil"/>
              <w:right w:val="double" w:sz="6"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14,1</w:t>
            </w:r>
          </w:p>
        </w:tc>
      </w:tr>
      <w:tr w:rsidR="007A49EF" w:rsidRPr="00F6601F" w:rsidTr="007A49EF">
        <w:trPr>
          <w:trHeight w:val="315"/>
          <w:jc w:val="center"/>
        </w:trPr>
        <w:tc>
          <w:tcPr>
            <w:tcW w:w="1908" w:type="dxa"/>
            <w:tcBorders>
              <w:top w:val="nil"/>
              <w:left w:val="double" w:sz="6" w:space="0" w:color="auto"/>
              <w:bottom w:val="nil"/>
              <w:right w:val="double" w:sz="6" w:space="0" w:color="auto"/>
            </w:tcBorders>
            <w:shd w:val="clear" w:color="auto" w:fill="auto"/>
            <w:noWrap/>
            <w:vAlign w:val="center"/>
          </w:tcPr>
          <w:p w:rsidR="007A49EF" w:rsidRPr="00F6601F" w:rsidRDefault="007A49EF" w:rsidP="007A49EF">
            <w:pPr>
              <w:ind w:firstLineChars="100" w:firstLine="200"/>
              <w:rPr>
                <w:rFonts w:ascii="Arial" w:hAnsi="Arial" w:cs="Arial"/>
                <w:sz w:val="20"/>
                <w:szCs w:val="20"/>
              </w:rPr>
            </w:pPr>
            <w:r w:rsidRPr="00F6601F">
              <w:rPr>
                <w:rFonts w:ascii="Arial" w:hAnsi="Arial" w:cs="Arial"/>
                <w:sz w:val="20"/>
                <w:szCs w:val="20"/>
              </w:rPr>
              <w:t>Liberecký</w:t>
            </w:r>
          </w:p>
        </w:tc>
        <w:tc>
          <w:tcPr>
            <w:tcW w:w="1418" w:type="dxa"/>
            <w:tcBorders>
              <w:top w:val="nil"/>
              <w:left w:val="nil"/>
              <w:bottom w:val="nil"/>
              <w:right w:val="single" w:sz="4"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6,3</w:t>
            </w:r>
          </w:p>
        </w:tc>
        <w:tc>
          <w:tcPr>
            <w:tcW w:w="1438" w:type="dxa"/>
            <w:tcBorders>
              <w:top w:val="nil"/>
              <w:left w:val="nil"/>
              <w:bottom w:val="nil"/>
              <w:right w:val="single" w:sz="4"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41,3</w:t>
            </w:r>
          </w:p>
        </w:tc>
        <w:tc>
          <w:tcPr>
            <w:tcW w:w="1255" w:type="dxa"/>
            <w:tcBorders>
              <w:top w:val="nil"/>
              <w:left w:val="nil"/>
              <w:bottom w:val="nil"/>
              <w:right w:val="single" w:sz="4"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33,8</w:t>
            </w:r>
          </w:p>
        </w:tc>
        <w:tc>
          <w:tcPr>
            <w:tcW w:w="1564" w:type="dxa"/>
            <w:tcBorders>
              <w:top w:val="nil"/>
              <w:left w:val="nil"/>
              <w:bottom w:val="nil"/>
              <w:right w:val="double" w:sz="6"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18,5</w:t>
            </w:r>
          </w:p>
        </w:tc>
      </w:tr>
      <w:tr w:rsidR="007A49EF" w:rsidRPr="00F6601F" w:rsidTr="007A49EF">
        <w:trPr>
          <w:trHeight w:val="315"/>
          <w:jc w:val="center"/>
        </w:trPr>
        <w:tc>
          <w:tcPr>
            <w:tcW w:w="1908" w:type="dxa"/>
            <w:tcBorders>
              <w:top w:val="nil"/>
              <w:left w:val="double" w:sz="6" w:space="0" w:color="auto"/>
              <w:bottom w:val="nil"/>
              <w:right w:val="double" w:sz="6" w:space="0" w:color="auto"/>
            </w:tcBorders>
            <w:shd w:val="clear" w:color="auto" w:fill="auto"/>
            <w:noWrap/>
            <w:vAlign w:val="center"/>
          </w:tcPr>
          <w:p w:rsidR="007A49EF" w:rsidRPr="00F6601F" w:rsidRDefault="007A49EF" w:rsidP="007A49EF">
            <w:pPr>
              <w:ind w:firstLineChars="100" w:firstLine="200"/>
              <w:rPr>
                <w:rFonts w:ascii="Arial" w:hAnsi="Arial" w:cs="Arial"/>
                <w:sz w:val="20"/>
                <w:szCs w:val="20"/>
              </w:rPr>
            </w:pPr>
            <w:r w:rsidRPr="00F6601F">
              <w:rPr>
                <w:rFonts w:ascii="Arial" w:hAnsi="Arial" w:cs="Arial"/>
                <w:sz w:val="20"/>
                <w:szCs w:val="20"/>
              </w:rPr>
              <w:t>Královéhradecký</w:t>
            </w:r>
          </w:p>
        </w:tc>
        <w:tc>
          <w:tcPr>
            <w:tcW w:w="1418" w:type="dxa"/>
            <w:tcBorders>
              <w:top w:val="nil"/>
              <w:left w:val="nil"/>
              <w:bottom w:val="nil"/>
              <w:right w:val="single" w:sz="4"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3,0</w:t>
            </w:r>
          </w:p>
        </w:tc>
        <w:tc>
          <w:tcPr>
            <w:tcW w:w="1438" w:type="dxa"/>
            <w:tcBorders>
              <w:top w:val="nil"/>
              <w:left w:val="nil"/>
              <w:bottom w:val="nil"/>
              <w:right w:val="single" w:sz="4"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38,8</w:t>
            </w:r>
          </w:p>
        </w:tc>
        <w:tc>
          <w:tcPr>
            <w:tcW w:w="1255" w:type="dxa"/>
            <w:tcBorders>
              <w:top w:val="nil"/>
              <w:left w:val="nil"/>
              <w:bottom w:val="nil"/>
              <w:right w:val="single" w:sz="4"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39,3</w:t>
            </w:r>
          </w:p>
        </w:tc>
        <w:tc>
          <w:tcPr>
            <w:tcW w:w="1564" w:type="dxa"/>
            <w:tcBorders>
              <w:top w:val="nil"/>
              <w:left w:val="nil"/>
              <w:bottom w:val="nil"/>
              <w:right w:val="double" w:sz="6"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18,9</w:t>
            </w:r>
          </w:p>
        </w:tc>
      </w:tr>
      <w:tr w:rsidR="007A49EF" w:rsidRPr="00F6601F" w:rsidTr="007A49EF">
        <w:trPr>
          <w:trHeight w:val="315"/>
          <w:jc w:val="center"/>
        </w:trPr>
        <w:tc>
          <w:tcPr>
            <w:tcW w:w="1908" w:type="dxa"/>
            <w:tcBorders>
              <w:top w:val="nil"/>
              <w:left w:val="double" w:sz="6" w:space="0" w:color="auto"/>
              <w:bottom w:val="nil"/>
              <w:right w:val="double" w:sz="6" w:space="0" w:color="auto"/>
            </w:tcBorders>
            <w:shd w:val="clear" w:color="auto" w:fill="auto"/>
            <w:noWrap/>
            <w:vAlign w:val="center"/>
          </w:tcPr>
          <w:p w:rsidR="007A49EF" w:rsidRPr="00F6601F" w:rsidRDefault="007A49EF" w:rsidP="007A49EF">
            <w:pPr>
              <w:ind w:firstLineChars="100" w:firstLine="200"/>
              <w:rPr>
                <w:rFonts w:ascii="Arial" w:hAnsi="Arial" w:cs="Arial"/>
                <w:sz w:val="20"/>
                <w:szCs w:val="20"/>
              </w:rPr>
            </w:pPr>
            <w:r w:rsidRPr="00F6601F">
              <w:rPr>
                <w:rFonts w:ascii="Arial" w:hAnsi="Arial" w:cs="Arial"/>
                <w:sz w:val="20"/>
                <w:szCs w:val="20"/>
              </w:rPr>
              <w:t>Pardubický</w:t>
            </w:r>
          </w:p>
        </w:tc>
        <w:tc>
          <w:tcPr>
            <w:tcW w:w="1418" w:type="dxa"/>
            <w:tcBorders>
              <w:top w:val="nil"/>
              <w:left w:val="nil"/>
              <w:bottom w:val="nil"/>
              <w:right w:val="single" w:sz="4"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4,0</w:t>
            </w:r>
          </w:p>
        </w:tc>
        <w:tc>
          <w:tcPr>
            <w:tcW w:w="1438" w:type="dxa"/>
            <w:tcBorders>
              <w:top w:val="nil"/>
              <w:left w:val="nil"/>
              <w:bottom w:val="nil"/>
              <w:right w:val="single" w:sz="4"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39,5</w:t>
            </w:r>
          </w:p>
        </w:tc>
        <w:tc>
          <w:tcPr>
            <w:tcW w:w="1255" w:type="dxa"/>
            <w:tcBorders>
              <w:top w:val="nil"/>
              <w:left w:val="nil"/>
              <w:bottom w:val="nil"/>
              <w:right w:val="single" w:sz="4"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39,7</w:t>
            </w:r>
          </w:p>
        </w:tc>
        <w:tc>
          <w:tcPr>
            <w:tcW w:w="1564" w:type="dxa"/>
            <w:tcBorders>
              <w:top w:val="nil"/>
              <w:left w:val="nil"/>
              <w:bottom w:val="nil"/>
              <w:right w:val="double" w:sz="6"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16,8</w:t>
            </w:r>
          </w:p>
        </w:tc>
      </w:tr>
      <w:tr w:rsidR="007A49EF" w:rsidRPr="00F6601F" w:rsidTr="007A49EF">
        <w:trPr>
          <w:trHeight w:val="315"/>
          <w:jc w:val="center"/>
        </w:trPr>
        <w:tc>
          <w:tcPr>
            <w:tcW w:w="1908" w:type="dxa"/>
            <w:tcBorders>
              <w:top w:val="nil"/>
              <w:left w:val="double" w:sz="6" w:space="0" w:color="auto"/>
              <w:bottom w:val="nil"/>
              <w:right w:val="double" w:sz="6" w:space="0" w:color="auto"/>
            </w:tcBorders>
            <w:shd w:val="clear" w:color="auto" w:fill="auto"/>
            <w:noWrap/>
            <w:vAlign w:val="center"/>
          </w:tcPr>
          <w:p w:rsidR="007A49EF" w:rsidRPr="00F6601F" w:rsidRDefault="007A49EF" w:rsidP="007A49EF">
            <w:pPr>
              <w:ind w:firstLineChars="100" w:firstLine="200"/>
              <w:rPr>
                <w:rFonts w:ascii="Arial" w:hAnsi="Arial" w:cs="Arial"/>
                <w:sz w:val="20"/>
                <w:szCs w:val="20"/>
              </w:rPr>
            </w:pPr>
            <w:r w:rsidRPr="00F6601F">
              <w:rPr>
                <w:rFonts w:ascii="Arial" w:hAnsi="Arial" w:cs="Arial"/>
                <w:sz w:val="20"/>
                <w:szCs w:val="20"/>
              </w:rPr>
              <w:t>Vysočina</w:t>
            </w:r>
          </w:p>
        </w:tc>
        <w:tc>
          <w:tcPr>
            <w:tcW w:w="1418" w:type="dxa"/>
            <w:tcBorders>
              <w:top w:val="nil"/>
              <w:left w:val="nil"/>
              <w:bottom w:val="nil"/>
              <w:right w:val="single" w:sz="4"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3,7</w:t>
            </w:r>
          </w:p>
        </w:tc>
        <w:tc>
          <w:tcPr>
            <w:tcW w:w="1438" w:type="dxa"/>
            <w:tcBorders>
              <w:top w:val="nil"/>
              <w:left w:val="nil"/>
              <w:bottom w:val="nil"/>
              <w:right w:val="single" w:sz="4"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43,8</w:t>
            </w:r>
          </w:p>
        </w:tc>
        <w:tc>
          <w:tcPr>
            <w:tcW w:w="1255" w:type="dxa"/>
            <w:tcBorders>
              <w:top w:val="nil"/>
              <w:left w:val="nil"/>
              <w:bottom w:val="nil"/>
              <w:right w:val="single" w:sz="4"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37,3</w:t>
            </w:r>
          </w:p>
        </w:tc>
        <w:tc>
          <w:tcPr>
            <w:tcW w:w="1564" w:type="dxa"/>
            <w:tcBorders>
              <w:top w:val="nil"/>
              <w:left w:val="nil"/>
              <w:bottom w:val="nil"/>
              <w:right w:val="double" w:sz="6"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15,1</w:t>
            </w:r>
          </w:p>
        </w:tc>
      </w:tr>
      <w:tr w:rsidR="007A49EF" w:rsidRPr="00F6601F" w:rsidTr="007A49EF">
        <w:trPr>
          <w:trHeight w:val="315"/>
          <w:jc w:val="center"/>
        </w:trPr>
        <w:tc>
          <w:tcPr>
            <w:tcW w:w="1908" w:type="dxa"/>
            <w:tcBorders>
              <w:top w:val="nil"/>
              <w:left w:val="double" w:sz="6" w:space="0" w:color="auto"/>
              <w:bottom w:val="nil"/>
              <w:right w:val="double" w:sz="6" w:space="0" w:color="auto"/>
            </w:tcBorders>
            <w:shd w:val="clear" w:color="auto" w:fill="auto"/>
            <w:noWrap/>
            <w:vAlign w:val="center"/>
          </w:tcPr>
          <w:p w:rsidR="007A49EF" w:rsidRPr="00F6601F" w:rsidRDefault="007A49EF" w:rsidP="007A49EF">
            <w:pPr>
              <w:ind w:firstLineChars="100" w:firstLine="200"/>
              <w:rPr>
                <w:rFonts w:ascii="Arial" w:hAnsi="Arial" w:cs="Arial"/>
                <w:sz w:val="20"/>
                <w:szCs w:val="20"/>
              </w:rPr>
            </w:pPr>
            <w:r w:rsidRPr="00F6601F">
              <w:rPr>
                <w:rFonts w:ascii="Arial" w:hAnsi="Arial" w:cs="Arial"/>
                <w:sz w:val="20"/>
                <w:szCs w:val="20"/>
              </w:rPr>
              <w:t>Jihomoravský</w:t>
            </w:r>
          </w:p>
        </w:tc>
        <w:tc>
          <w:tcPr>
            <w:tcW w:w="1418" w:type="dxa"/>
            <w:tcBorders>
              <w:top w:val="nil"/>
              <w:left w:val="nil"/>
              <w:bottom w:val="nil"/>
              <w:right w:val="single" w:sz="4"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3,4</w:t>
            </w:r>
          </w:p>
        </w:tc>
        <w:tc>
          <w:tcPr>
            <w:tcW w:w="1438" w:type="dxa"/>
            <w:tcBorders>
              <w:top w:val="nil"/>
              <w:left w:val="nil"/>
              <w:bottom w:val="nil"/>
              <w:right w:val="single" w:sz="4"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33,5</w:t>
            </w:r>
          </w:p>
        </w:tc>
        <w:tc>
          <w:tcPr>
            <w:tcW w:w="1255" w:type="dxa"/>
            <w:tcBorders>
              <w:top w:val="nil"/>
              <w:left w:val="nil"/>
              <w:bottom w:val="nil"/>
              <w:right w:val="single" w:sz="4"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35,6</w:t>
            </w:r>
          </w:p>
        </w:tc>
        <w:tc>
          <w:tcPr>
            <w:tcW w:w="1564" w:type="dxa"/>
            <w:tcBorders>
              <w:top w:val="nil"/>
              <w:left w:val="nil"/>
              <w:bottom w:val="nil"/>
              <w:right w:val="double" w:sz="6"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27,5</w:t>
            </w:r>
          </w:p>
        </w:tc>
      </w:tr>
      <w:tr w:rsidR="007A49EF" w:rsidRPr="00F6601F" w:rsidTr="007A49EF">
        <w:trPr>
          <w:trHeight w:val="315"/>
          <w:jc w:val="center"/>
        </w:trPr>
        <w:tc>
          <w:tcPr>
            <w:tcW w:w="1908" w:type="dxa"/>
            <w:tcBorders>
              <w:top w:val="nil"/>
              <w:left w:val="double" w:sz="6" w:space="0" w:color="auto"/>
              <w:bottom w:val="nil"/>
              <w:right w:val="double" w:sz="6" w:space="0" w:color="auto"/>
            </w:tcBorders>
            <w:shd w:val="clear" w:color="auto" w:fill="auto"/>
            <w:noWrap/>
            <w:vAlign w:val="center"/>
          </w:tcPr>
          <w:p w:rsidR="007A49EF" w:rsidRPr="00F6601F" w:rsidRDefault="007A49EF" w:rsidP="007A49EF">
            <w:pPr>
              <w:ind w:firstLineChars="100" w:firstLine="200"/>
              <w:rPr>
                <w:rFonts w:ascii="Arial" w:hAnsi="Arial" w:cs="Arial"/>
                <w:sz w:val="20"/>
                <w:szCs w:val="20"/>
              </w:rPr>
            </w:pPr>
            <w:r w:rsidRPr="00F6601F">
              <w:rPr>
                <w:rFonts w:ascii="Arial" w:hAnsi="Arial" w:cs="Arial"/>
                <w:sz w:val="20"/>
                <w:szCs w:val="20"/>
              </w:rPr>
              <w:t>Olomoucký</w:t>
            </w:r>
          </w:p>
        </w:tc>
        <w:tc>
          <w:tcPr>
            <w:tcW w:w="1418" w:type="dxa"/>
            <w:tcBorders>
              <w:top w:val="nil"/>
              <w:left w:val="nil"/>
              <w:bottom w:val="nil"/>
              <w:right w:val="single" w:sz="4"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4,5</w:t>
            </w:r>
          </w:p>
        </w:tc>
        <w:tc>
          <w:tcPr>
            <w:tcW w:w="1438" w:type="dxa"/>
            <w:tcBorders>
              <w:top w:val="nil"/>
              <w:left w:val="nil"/>
              <w:bottom w:val="nil"/>
              <w:right w:val="single" w:sz="4"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39,5</w:t>
            </w:r>
          </w:p>
        </w:tc>
        <w:tc>
          <w:tcPr>
            <w:tcW w:w="1255" w:type="dxa"/>
            <w:tcBorders>
              <w:top w:val="nil"/>
              <w:left w:val="nil"/>
              <w:bottom w:val="nil"/>
              <w:right w:val="single" w:sz="4"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37,8</w:t>
            </w:r>
          </w:p>
        </w:tc>
        <w:tc>
          <w:tcPr>
            <w:tcW w:w="1564" w:type="dxa"/>
            <w:tcBorders>
              <w:top w:val="nil"/>
              <w:left w:val="nil"/>
              <w:bottom w:val="nil"/>
              <w:right w:val="double" w:sz="6"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18,2</w:t>
            </w:r>
          </w:p>
        </w:tc>
      </w:tr>
      <w:tr w:rsidR="007A49EF" w:rsidRPr="00F6601F" w:rsidTr="007A49EF">
        <w:trPr>
          <w:trHeight w:val="315"/>
          <w:jc w:val="center"/>
        </w:trPr>
        <w:tc>
          <w:tcPr>
            <w:tcW w:w="1908" w:type="dxa"/>
            <w:tcBorders>
              <w:top w:val="nil"/>
              <w:left w:val="double" w:sz="6" w:space="0" w:color="auto"/>
              <w:bottom w:val="nil"/>
              <w:right w:val="double" w:sz="6" w:space="0" w:color="auto"/>
            </w:tcBorders>
            <w:shd w:val="clear" w:color="auto" w:fill="auto"/>
            <w:noWrap/>
            <w:vAlign w:val="center"/>
          </w:tcPr>
          <w:p w:rsidR="007A49EF" w:rsidRPr="00F6601F" w:rsidRDefault="007A49EF" w:rsidP="007A49EF">
            <w:pPr>
              <w:ind w:firstLineChars="100" w:firstLine="200"/>
              <w:rPr>
                <w:rFonts w:ascii="Arial" w:hAnsi="Arial" w:cs="Arial"/>
                <w:sz w:val="20"/>
                <w:szCs w:val="20"/>
              </w:rPr>
            </w:pPr>
            <w:r w:rsidRPr="00F6601F">
              <w:rPr>
                <w:rFonts w:ascii="Arial" w:hAnsi="Arial" w:cs="Arial"/>
                <w:sz w:val="20"/>
                <w:szCs w:val="20"/>
              </w:rPr>
              <w:t>Zlínský</w:t>
            </w:r>
          </w:p>
        </w:tc>
        <w:tc>
          <w:tcPr>
            <w:tcW w:w="1418" w:type="dxa"/>
            <w:tcBorders>
              <w:top w:val="nil"/>
              <w:left w:val="nil"/>
              <w:bottom w:val="nil"/>
              <w:right w:val="single" w:sz="4"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3,6</w:t>
            </w:r>
          </w:p>
        </w:tc>
        <w:tc>
          <w:tcPr>
            <w:tcW w:w="1438" w:type="dxa"/>
            <w:tcBorders>
              <w:top w:val="nil"/>
              <w:left w:val="nil"/>
              <w:bottom w:val="nil"/>
              <w:right w:val="single" w:sz="4"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42,1</w:t>
            </w:r>
          </w:p>
        </w:tc>
        <w:tc>
          <w:tcPr>
            <w:tcW w:w="1255" w:type="dxa"/>
            <w:tcBorders>
              <w:top w:val="nil"/>
              <w:left w:val="nil"/>
              <w:bottom w:val="nil"/>
              <w:right w:val="single" w:sz="4"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36,8</w:t>
            </w:r>
          </w:p>
        </w:tc>
        <w:tc>
          <w:tcPr>
            <w:tcW w:w="1564" w:type="dxa"/>
            <w:tcBorders>
              <w:top w:val="nil"/>
              <w:left w:val="nil"/>
              <w:bottom w:val="nil"/>
              <w:right w:val="double" w:sz="6"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17,5</w:t>
            </w:r>
          </w:p>
        </w:tc>
      </w:tr>
      <w:tr w:rsidR="007A49EF" w:rsidRPr="00F6601F" w:rsidTr="007A49EF">
        <w:trPr>
          <w:trHeight w:val="315"/>
          <w:jc w:val="center"/>
        </w:trPr>
        <w:tc>
          <w:tcPr>
            <w:tcW w:w="1908" w:type="dxa"/>
            <w:tcBorders>
              <w:top w:val="nil"/>
              <w:left w:val="double" w:sz="6" w:space="0" w:color="auto"/>
              <w:bottom w:val="single" w:sz="4" w:space="0" w:color="auto"/>
              <w:right w:val="double" w:sz="6" w:space="0" w:color="auto"/>
            </w:tcBorders>
            <w:shd w:val="clear" w:color="auto" w:fill="auto"/>
            <w:noWrap/>
            <w:vAlign w:val="center"/>
          </w:tcPr>
          <w:p w:rsidR="007A49EF" w:rsidRPr="00F6601F" w:rsidRDefault="007A49EF" w:rsidP="007A49EF">
            <w:pPr>
              <w:ind w:firstLineChars="100" w:firstLine="200"/>
              <w:rPr>
                <w:rFonts w:ascii="Arial" w:hAnsi="Arial" w:cs="Arial"/>
                <w:sz w:val="20"/>
                <w:szCs w:val="20"/>
              </w:rPr>
            </w:pPr>
            <w:r w:rsidRPr="00F6601F">
              <w:rPr>
                <w:rFonts w:ascii="Arial" w:hAnsi="Arial" w:cs="Arial"/>
                <w:sz w:val="20"/>
                <w:szCs w:val="20"/>
              </w:rPr>
              <w:t>Moravskoslezský</w:t>
            </w:r>
          </w:p>
        </w:tc>
        <w:tc>
          <w:tcPr>
            <w:tcW w:w="1418" w:type="dxa"/>
            <w:tcBorders>
              <w:top w:val="nil"/>
              <w:left w:val="nil"/>
              <w:bottom w:val="single" w:sz="4" w:space="0" w:color="auto"/>
              <w:right w:val="single" w:sz="4"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4,1</w:t>
            </w:r>
          </w:p>
        </w:tc>
        <w:tc>
          <w:tcPr>
            <w:tcW w:w="1438" w:type="dxa"/>
            <w:tcBorders>
              <w:top w:val="nil"/>
              <w:left w:val="nil"/>
              <w:bottom w:val="single" w:sz="4" w:space="0" w:color="auto"/>
              <w:right w:val="single" w:sz="4"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38,8</w:t>
            </w:r>
          </w:p>
        </w:tc>
        <w:tc>
          <w:tcPr>
            <w:tcW w:w="1255" w:type="dxa"/>
            <w:tcBorders>
              <w:top w:val="nil"/>
              <w:left w:val="nil"/>
              <w:bottom w:val="single" w:sz="4" w:space="0" w:color="auto"/>
              <w:right w:val="single" w:sz="4"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36,1</w:t>
            </w:r>
          </w:p>
        </w:tc>
        <w:tc>
          <w:tcPr>
            <w:tcW w:w="1564" w:type="dxa"/>
            <w:tcBorders>
              <w:top w:val="nil"/>
              <w:left w:val="nil"/>
              <w:bottom w:val="single" w:sz="4" w:space="0" w:color="auto"/>
              <w:right w:val="double" w:sz="6" w:space="0" w:color="auto"/>
            </w:tcBorders>
            <w:shd w:val="clear" w:color="auto" w:fill="auto"/>
            <w:noWrap/>
            <w:vAlign w:val="center"/>
          </w:tcPr>
          <w:p w:rsidR="007A49EF" w:rsidRPr="00F6601F" w:rsidRDefault="007A49EF" w:rsidP="007A49EF">
            <w:pPr>
              <w:jc w:val="center"/>
              <w:rPr>
                <w:rFonts w:ascii="Arial" w:hAnsi="Arial" w:cs="Arial"/>
                <w:sz w:val="18"/>
                <w:szCs w:val="18"/>
              </w:rPr>
            </w:pPr>
            <w:r w:rsidRPr="00F6601F">
              <w:rPr>
                <w:rFonts w:ascii="Arial" w:hAnsi="Arial" w:cs="Arial"/>
                <w:sz w:val="18"/>
                <w:szCs w:val="18"/>
              </w:rPr>
              <w:t>21,0</w:t>
            </w:r>
          </w:p>
        </w:tc>
      </w:tr>
      <w:tr w:rsidR="007A49EF" w:rsidRPr="00F6601F" w:rsidTr="007A49EF">
        <w:trPr>
          <w:trHeight w:val="315"/>
          <w:jc w:val="center"/>
        </w:trPr>
        <w:tc>
          <w:tcPr>
            <w:tcW w:w="1908" w:type="dxa"/>
            <w:tcBorders>
              <w:top w:val="single" w:sz="4" w:space="0" w:color="auto"/>
              <w:left w:val="double" w:sz="6" w:space="0" w:color="auto"/>
              <w:bottom w:val="double" w:sz="6" w:space="0" w:color="auto"/>
              <w:right w:val="double" w:sz="6" w:space="0" w:color="auto"/>
            </w:tcBorders>
            <w:shd w:val="clear" w:color="auto" w:fill="auto"/>
            <w:noWrap/>
            <w:vAlign w:val="center"/>
          </w:tcPr>
          <w:p w:rsidR="007A49EF" w:rsidRPr="00F6601F" w:rsidRDefault="007A49EF" w:rsidP="007A49EF">
            <w:pPr>
              <w:ind w:firstLineChars="100" w:firstLine="201"/>
              <w:rPr>
                <w:rFonts w:ascii="Arial" w:hAnsi="Arial" w:cs="Arial"/>
                <w:b/>
                <w:bCs/>
                <w:sz w:val="20"/>
                <w:szCs w:val="20"/>
              </w:rPr>
            </w:pPr>
            <w:r w:rsidRPr="00F6601F">
              <w:rPr>
                <w:rFonts w:ascii="Arial" w:hAnsi="Arial" w:cs="Arial"/>
                <w:b/>
                <w:bCs/>
                <w:sz w:val="20"/>
                <w:szCs w:val="20"/>
              </w:rPr>
              <w:t>Celkem ČR</w:t>
            </w:r>
          </w:p>
        </w:tc>
        <w:tc>
          <w:tcPr>
            <w:tcW w:w="1418" w:type="dxa"/>
            <w:tcBorders>
              <w:top w:val="single" w:sz="4" w:space="0" w:color="auto"/>
              <w:left w:val="nil"/>
              <w:bottom w:val="double" w:sz="6" w:space="0" w:color="auto"/>
              <w:right w:val="single" w:sz="4" w:space="0" w:color="auto"/>
            </w:tcBorders>
            <w:shd w:val="clear" w:color="auto" w:fill="auto"/>
            <w:noWrap/>
            <w:vAlign w:val="center"/>
          </w:tcPr>
          <w:p w:rsidR="007A49EF" w:rsidRPr="00BD1315" w:rsidRDefault="007A49EF" w:rsidP="007A49EF">
            <w:pPr>
              <w:jc w:val="center"/>
              <w:rPr>
                <w:rFonts w:ascii="Arial" w:hAnsi="Arial" w:cs="Arial"/>
                <w:b/>
                <w:sz w:val="18"/>
                <w:szCs w:val="18"/>
              </w:rPr>
            </w:pPr>
            <w:r w:rsidRPr="00BD1315">
              <w:rPr>
                <w:rFonts w:ascii="Arial" w:hAnsi="Arial" w:cs="Arial"/>
                <w:b/>
                <w:sz w:val="18"/>
                <w:szCs w:val="18"/>
              </w:rPr>
              <w:t>4,1</w:t>
            </w:r>
          </w:p>
        </w:tc>
        <w:tc>
          <w:tcPr>
            <w:tcW w:w="1438" w:type="dxa"/>
            <w:tcBorders>
              <w:top w:val="single" w:sz="4" w:space="0" w:color="auto"/>
              <w:left w:val="nil"/>
              <w:bottom w:val="double" w:sz="6" w:space="0" w:color="auto"/>
              <w:right w:val="single" w:sz="4" w:space="0" w:color="auto"/>
            </w:tcBorders>
            <w:shd w:val="clear" w:color="auto" w:fill="auto"/>
            <w:noWrap/>
            <w:vAlign w:val="center"/>
          </w:tcPr>
          <w:p w:rsidR="007A49EF" w:rsidRPr="00BD1315" w:rsidRDefault="007A49EF" w:rsidP="007A49EF">
            <w:pPr>
              <w:jc w:val="center"/>
              <w:rPr>
                <w:rFonts w:ascii="Arial" w:hAnsi="Arial" w:cs="Arial"/>
                <w:b/>
                <w:sz w:val="18"/>
                <w:szCs w:val="18"/>
              </w:rPr>
            </w:pPr>
            <w:r w:rsidRPr="00BD1315">
              <w:rPr>
                <w:rFonts w:ascii="Arial" w:hAnsi="Arial" w:cs="Arial"/>
                <w:b/>
                <w:sz w:val="18"/>
                <w:szCs w:val="18"/>
              </w:rPr>
              <w:t>36,2</w:t>
            </w:r>
          </w:p>
        </w:tc>
        <w:tc>
          <w:tcPr>
            <w:tcW w:w="1255" w:type="dxa"/>
            <w:tcBorders>
              <w:top w:val="single" w:sz="4" w:space="0" w:color="auto"/>
              <w:left w:val="nil"/>
              <w:bottom w:val="double" w:sz="6" w:space="0" w:color="auto"/>
              <w:right w:val="single" w:sz="4" w:space="0" w:color="auto"/>
            </w:tcBorders>
            <w:shd w:val="clear" w:color="auto" w:fill="auto"/>
            <w:noWrap/>
            <w:vAlign w:val="center"/>
          </w:tcPr>
          <w:p w:rsidR="007A49EF" w:rsidRPr="00BD1315" w:rsidRDefault="007A49EF" w:rsidP="007A49EF">
            <w:pPr>
              <w:jc w:val="center"/>
              <w:rPr>
                <w:rFonts w:ascii="Arial" w:hAnsi="Arial" w:cs="Arial"/>
                <w:b/>
                <w:sz w:val="18"/>
                <w:szCs w:val="18"/>
              </w:rPr>
            </w:pPr>
            <w:r w:rsidRPr="00BD1315">
              <w:rPr>
                <w:rFonts w:ascii="Arial" w:hAnsi="Arial" w:cs="Arial"/>
                <w:b/>
                <w:sz w:val="18"/>
                <w:szCs w:val="18"/>
              </w:rPr>
              <w:t>37,5</w:t>
            </w:r>
          </w:p>
        </w:tc>
        <w:tc>
          <w:tcPr>
            <w:tcW w:w="1564" w:type="dxa"/>
            <w:tcBorders>
              <w:top w:val="single" w:sz="4" w:space="0" w:color="auto"/>
              <w:left w:val="nil"/>
              <w:bottom w:val="double" w:sz="6" w:space="0" w:color="auto"/>
              <w:right w:val="double" w:sz="6" w:space="0" w:color="auto"/>
            </w:tcBorders>
            <w:shd w:val="clear" w:color="auto" w:fill="auto"/>
            <w:noWrap/>
            <w:vAlign w:val="center"/>
          </w:tcPr>
          <w:p w:rsidR="007A49EF" w:rsidRPr="00BD1315" w:rsidRDefault="007A49EF" w:rsidP="007A49EF">
            <w:pPr>
              <w:jc w:val="center"/>
              <w:rPr>
                <w:rFonts w:ascii="Arial" w:hAnsi="Arial" w:cs="Arial"/>
                <w:b/>
                <w:sz w:val="18"/>
                <w:szCs w:val="18"/>
              </w:rPr>
            </w:pPr>
            <w:r w:rsidRPr="00BD1315">
              <w:rPr>
                <w:rFonts w:ascii="Arial" w:hAnsi="Arial" w:cs="Arial"/>
                <w:b/>
                <w:sz w:val="18"/>
                <w:szCs w:val="18"/>
              </w:rPr>
              <w:t>22,1</w:t>
            </w:r>
          </w:p>
        </w:tc>
      </w:tr>
    </w:tbl>
    <w:p w:rsidR="007A49EF" w:rsidRPr="00F6601F" w:rsidRDefault="007A49EF" w:rsidP="007A49EF">
      <w:pPr>
        <w:tabs>
          <w:tab w:val="center" w:pos="993"/>
        </w:tabs>
        <w:spacing w:line="276" w:lineRule="auto"/>
        <w:ind w:left="851"/>
        <w:jc w:val="both"/>
        <w:rPr>
          <w:rFonts w:ascii="Arial" w:hAnsi="Arial" w:cs="Arial"/>
          <w:i/>
          <w:iCs/>
          <w:sz w:val="20"/>
          <w:szCs w:val="20"/>
        </w:rPr>
      </w:pPr>
      <w:r w:rsidRPr="00F6601F">
        <w:rPr>
          <w:rFonts w:ascii="Arial" w:hAnsi="Arial" w:cs="Arial"/>
          <w:i/>
          <w:iCs/>
          <w:sz w:val="20"/>
          <w:szCs w:val="20"/>
        </w:rPr>
        <w:t xml:space="preserve">   Zdroj: ČSÚ – VŠPS</w:t>
      </w:r>
    </w:p>
    <w:p w:rsidR="007A49EF" w:rsidRPr="00F6601F" w:rsidRDefault="007A49EF" w:rsidP="007A49EF">
      <w:pPr>
        <w:tabs>
          <w:tab w:val="center" w:pos="720"/>
        </w:tabs>
        <w:spacing w:line="360" w:lineRule="auto"/>
        <w:ind w:firstLine="720"/>
        <w:jc w:val="both"/>
        <w:rPr>
          <w:rFonts w:ascii="Arial" w:hAnsi="Arial" w:cs="Arial"/>
        </w:rPr>
      </w:pPr>
    </w:p>
    <w:p w:rsidR="007A49EF" w:rsidRPr="00251317" w:rsidRDefault="007A49EF" w:rsidP="007A49EF">
      <w:pPr>
        <w:pStyle w:val="Styl2"/>
        <w:tabs>
          <w:tab w:val="num" w:pos="900"/>
        </w:tabs>
        <w:rPr>
          <w:color w:val="auto"/>
        </w:rPr>
      </w:pPr>
      <w:bookmarkStart w:id="87" w:name="_Toc179787905"/>
      <w:bookmarkStart w:id="88" w:name="_Toc211067153"/>
      <w:bookmarkStart w:id="89" w:name="_Toc258997891"/>
      <w:bookmarkStart w:id="90" w:name="_Toc372530189"/>
      <w:r w:rsidRPr="00251317">
        <w:rPr>
          <w:color w:val="auto"/>
        </w:rPr>
        <w:t>Insolvence</w:t>
      </w:r>
      <w:bookmarkEnd w:id="87"/>
      <w:bookmarkEnd w:id="88"/>
      <w:bookmarkEnd w:id="89"/>
      <w:bookmarkEnd w:id="90"/>
    </w:p>
    <w:p w:rsidR="007A49EF" w:rsidRPr="00251317" w:rsidRDefault="007A49EF" w:rsidP="007A49EF">
      <w:pPr>
        <w:pStyle w:val="Zhlav"/>
        <w:tabs>
          <w:tab w:val="clear" w:pos="4536"/>
          <w:tab w:val="clear" w:pos="9072"/>
        </w:tabs>
        <w:spacing w:line="360" w:lineRule="auto"/>
        <w:ind w:firstLine="720"/>
        <w:jc w:val="both"/>
        <w:rPr>
          <w:rFonts w:ascii="Arial" w:hAnsi="Arial" w:cs="Arial"/>
          <w:sz w:val="24"/>
          <w:szCs w:val="24"/>
        </w:rPr>
      </w:pPr>
    </w:p>
    <w:p w:rsidR="007A49EF" w:rsidRPr="00983053" w:rsidRDefault="007A49EF" w:rsidP="007A49EF">
      <w:pPr>
        <w:spacing w:line="360" w:lineRule="auto"/>
        <w:ind w:firstLine="567"/>
        <w:jc w:val="both"/>
        <w:rPr>
          <w:rFonts w:ascii="Arial" w:hAnsi="Arial" w:cs="Arial"/>
        </w:rPr>
      </w:pPr>
      <w:r w:rsidRPr="00251317">
        <w:rPr>
          <w:rFonts w:ascii="Arial" w:hAnsi="Arial" w:cs="Arial"/>
        </w:rPr>
        <w:t xml:space="preserve">Zaměstnanci zaměstnavatele, který je v platební neschopnosti, mají právo na uspokojení splatných mzdových nároků nevyplacených jim jejich zaměstnavatelem v rozsahu a za podmínek stanovených </w:t>
      </w:r>
      <w:r w:rsidR="00553EC3" w:rsidRPr="00553EC3">
        <w:rPr>
          <w:rFonts w:ascii="Arial" w:hAnsi="Arial" w:cs="Arial"/>
        </w:rPr>
        <w:t xml:space="preserve">zákonem č. 118/2000 Sb., o ochraně zaměstnanců při platební neschopnosti zaměstnavatele a o změně některých </w:t>
      </w:r>
      <w:r w:rsidR="00553EC3" w:rsidRPr="00983053">
        <w:rPr>
          <w:rFonts w:ascii="Arial" w:hAnsi="Arial" w:cs="Arial"/>
        </w:rPr>
        <w:t>zákonů, ve znění pozdějších předpisů (dále jen „zákon č. 118/2000 Sb.). Da</w:t>
      </w:r>
      <w:r w:rsidR="00810BAC" w:rsidRPr="00983053">
        <w:rPr>
          <w:rFonts w:ascii="Arial" w:hAnsi="Arial" w:cs="Arial"/>
        </w:rPr>
        <w:t>ný zákon nabyl účinnosti dne 1. </w:t>
      </w:r>
      <w:r w:rsidR="00553EC3" w:rsidRPr="00983053">
        <w:rPr>
          <w:rFonts w:ascii="Arial" w:hAnsi="Arial" w:cs="Arial"/>
        </w:rPr>
        <w:t>7.</w:t>
      </w:r>
      <w:r w:rsidR="00810BAC" w:rsidRPr="00983053">
        <w:rPr>
          <w:rFonts w:ascii="Arial" w:hAnsi="Arial" w:cs="Arial"/>
        </w:rPr>
        <w:t> </w:t>
      </w:r>
      <w:r w:rsidR="00553EC3" w:rsidRPr="00983053">
        <w:rPr>
          <w:rFonts w:ascii="Arial" w:hAnsi="Arial" w:cs="Arial"/>
        </w:rPr>
        <w:t>2000.</w:t>
      </w:r>
      <w:r w:rsidRPr="00983053">
        <w:rPr>
          <w:rFonts w:ascii="Arial" w:hAnsi="Arial" w:cs="Arial"/>
        </w:rPr>
        <w:t xml:space="preserve"> Mzdové nároky jsou zaměstnancům vypláceny prostřednictvím krajských poboček Úřadu práce ČR.</w:t>
      </w:r>
    </w:p>
    <w:p w:rsidR="007A49EF" w:rsidRPr="00251317" w:rsidRDefault="007A49EF" w:rsidP="007A49EF">
      <w:pPr>
        <w:spacing w:line="360" w:lineRule="auto"/>
        <w:jc w:val="both"/>
        <w:rPr>
          <w:rFonts w:ascii="Arial" w:hAnsi="Arial" w:cs="Arial"/>
        </w:rPr>
      </w:pPr>
      <w:r w:rsidRPr="00251317">
        <w:tab/>
      </w:r>
      <w:bookmarkStart w:id="91" w:name="_Toc289429493"/>
      <w:bookmarkStart w:id="92" w:name="_Toc290298531"/>
      <w:bookmarkStart w:id="93" w:name="_Toc290558889"/>
      <w:r w:rsidR="00553EC3" w:rsidRPr="00553EC3">
        <w:rPr>
          <w:rFonts w:ascii="Arial" w:hAnsi="Arial" w:cs="Arial"/>
        </w:rPr>
        <w:t>Zákon č. 217/2009 Sb., kterým se mění zákon č. 182/2006 Sb., o úpadku a</w:t>
      </w:r>
      <w:r w:rsidR="00553EC3">
        <w:rPr>
          <w:rFonts w:ascii="Arial" w:hAnsi="Arial" w:cs="Arial"/>
        </w:rPr>
        <w:t> </w:t>
      </w:r>
      <w:r w:rsidR="00553EC3" w:rsidRPr="00553EC3">
        <w:rPr>
          <w:rFonts w:ascii="Arial" w:hAnsi="Arial" w:cs="Arial"/>
        </w:rPr>
        <w:t>způsobech jeho řešení, ve znění pozdějších předpisů, a další související zákony, ve znění pozdějších předpisů</w:t>
      </w:r>
      <w:r w:rsidRPr="00251317">
        <w:rPr>
          <w:rFonts w:ascii="Arial" w:hAnsi="Arial" w:cs="Arial"/>
        </w:rPr>
        <w:t>, umožnil zaměstnancům, na jejichž zaměstnavatele byl podán v době od 1. 9. 2008 do nabytí účinnosti novely zák</w:t>
      </w:r>
      <w:r w:rsidR="00B169BE">
        <w:rPr>
          <w:rFonts w:ascii="Arial" w:hAnsi="Arial" w:cs="Arial"/>
        </w:rPr>
        <w:t>ona č. 118/2000 Sb. (tj. do 20. </w:t>
      </w:r>
      <w:r w:rsidRPr="00251317">
        <w:rPr>
          <w:rFonts w:ascii="Arial" w:hAnsi="Arial" w:cs="Arial"/>
        </w:rPr>
        <w:t>7.</w:t>
      </w:r>
      <w:r w:rsidR="00B169BE">
        <w:rPr>
          <w:rFonts w:ascii="Arial" w:hAnsi="Arial" w:cs="Arial"/>
        </w:rPr>
        <w:t> </w:t>
      </w:r>
      <w:r w:rsidRPr="00251317">
        <w:rPr>
          <w:rFonts w:ascii="Arial" w:hAnsi="Arial" w:cs="Arial"/>
        </w:rPr>
        <w:t xml:space="preserve">2009) insolvenční návrh nebo bylo podáno moratorium před zahájením insolvenčního řízení, a nesplňovali podmínky pro přiznání mzdových nároků ve znění zákona č. 118/2000 Sb. platného do 19. 7. 2009, aby mohli do 21. 9. 2009 požádat </w:t>
      </w:r>
      <w:r w:rsidRPr="00251317">
        <w:rPr>
          <w:rFonts w:ascii="Arial" w:hAnsi="Arial" w:cs="Arial"/>
        </w:rPr>
        <w:lastRenderedPageBreak/>
        <w:t xml:space="preserve">o jejich uspokojení. </w:t>
      </w:r>
      <w:bookmarkEnd w:id="91"/>
      <w:bookmarkEnd w:id="92"/>
      <w:bookmarkEnd w:id="93"/>
      <w:r w:rsidRPr="00251317">
        <w:rPr>
          <w:rFonts w:ascii="Arial" w:hAnsi="Arial" w:cs="Arial"/>
        </w:rPr>
        <w:t xml:space="preserve">Tyto legislativní změny nejen prodloužily lhůtu pro podání žádostí </w:t>
      </w:r>
      <w:r w:rsidR="00674B82">
        <w:rPr>
          <w:rFonts w:ascii="Arial" w:hAnsi="Arial" w:cs="Arial"/>
        </w:rPr>
        <w:t>(ve zmíněných případech) do 21. </w:t>
      </w:r>
      <w:r w:rsidRPr="00251317">
        <w:rPr>
          <w:rFonts w:ascii="Arial" w:hAnsi="Arial" w:cs="Arial"/>
        </w:rPr>
        <w:t>9.</w:t>
      </w:r>
      <w:r w:rsidR="00674B82">
        <w:rPr>
          <w:rFonts w:ascii="Arial" w:hAnsi="Arial" w:cs="Arial"/>
        </w:rPr>
        <w:t> </w:t>
      </w:r>
      <w:r w:rsidRPr="00251317">
        <w:rPr>
          <w:rFonts w:ascii="Arial" w:hAnsi="Arial" w:cs="Arial"/>
        </w:rPr>
        <w:t xml:space="preserve">2009, ale také umožnily zaměstnancům zaměstnavatele, na kterého byl v období od 1. září 2008 do dne nabytí účinnosti tohoto zákona podán insolvenční návrh nebo bylo vyhlášeno moratorium před zahájením insolvenčního řízení, a kteří nemohli uplatnit mzdové nároky z důvodu nesplnění podmínek stanovených zákonem č. 118/2000 Sb., ve znění účinném do dne nabytí účinnosti tohoto zákona a splňovali podmínky pro uplatnění mzdových nároků podle zákona č. 118/2000 Sb. ve znění účinném ode dne nabytí účinnosti tohoto zákona, mohli požádat ve lhůtě 2 měsíců ode dne nabytí účinnosti tohoto zákona, tj. do 20. 7. 2009, o uspokojení mzdových nároků. To znamenalo podstatné zvýšení výdajů na insolvenci (844 mil. Kč v r. 2009 oproti 150  mil. Kč v r. 2008), ale také se napříště zvýšil počet měsíců rozhodného období ze 6 na 7 ve smyslu </w:t>
      </w:r>
      <w:proofErr w:type="spellStart"/>
      <w:r w:rsidRPr="00251317">
        <w:rPr>
          <w:rFonts w:ascii="Arial" w:hAnsi="Arial" w:cs="Arial"/>
        </w:rPr>
        <w:t>ust</w:t>
      </w:r>
      <w:proofErr w:type="spellEnd"/>
      <w:r w:rsidRPr="00251317">
        <w:rPr>
          <w:rFonts w:ascii="Arial" w:hAnsi="Arial" w:cs="Arial"/>
        </w:rPr>
        <w:t>. § 3 písm. a) zákona č. 118/2000 Sb.</w:t>
      </w:r>
    </w:p>
    <w:p w:rsidR="007A49EF" w:rsidRPr="00251317" w:rsidRDefault="007A49EF" w:rsidP="007A49EF">
      <w:pPr>
        <w:jc w:val="both"/>
        <w:rPr>
          <w:rFonts w:ascii="Arial" w:hAnsi="Arial" w:cs="Arial"/>
        </w:rPr>
      </w:pPr>
    </w:p>
    <w:p w:rsidR="007A49EF" w:rsidRPr="00251317" w:rsidRDefault="007A49EF" w:rsidP="007A49EF">
      <w:pPr>
        <w:jc w:val="center"/>
        <w:rPr>
          <w:rFonts w:ascii="Arial" w:hAnsi="Arial" w:cs="Arial"/>
          <w:b/>
        </w:rPr>
      </w:pPr>
      <w:r w:rsidRPr="00251317">
        <w:rPr>
          <w:rFonts w:ascii="Arial" w:hAnsi="Arial" w:cs="Arial"/>
          <w:b/>
        </w:rPr>
        <w:t xml:space="preserve">Počty žádostí a objem vyplacených prostředků </w:t>
      </w:r>
    </w:p>
    <w:p w:rsidR="007A49EF" w:rsidRPr="00251317" w:rsidRDefault="007A49EF" w:rsidP="007A49EF">
      <w:pPr>
        <w:jc w:val="center"/>
        <w:rPr>
          <w:rFonts w:ascii="Arial" w:hAnsi="Arial" w:cs="Arial"/>
          <w:b/>
        </w:rPr>
      </w:pPr>
      <w:r w:rsidRPr="00251317">
        <w:rPr>
          <w:rFonts w:ascii="Arial" w:hAnsi="Arial" w:cs="Arial"/>
          <w:b/>
        </w:rPr>
        <w:t>v důsledku platební neschopnosti</w:t>
      </w:r>
    </w:p>
    <w:p w:rsidR="007A49EF" w:rsidRPr="00251317" w:rsidRDefault="007A49EF" w:rsidP="007A49EF">
      <w:pPr>
        <w:tabs>
          <w:tab w:val="center" w:pos="720"/>
        </w:tabs>
        <w:jc w:val="right"/>
        <w:rPr>
          <w:rFonts w:ascii="Arial" w:hAnsi="Arial" w:cs="Arial"/>
          <w:iCs/>
          <w:sz w:val="20"/>
          <w:szCs w:val="20"/>
        </w:rPr>
      </w:pPr>
      <w:r w:rsidRPr="00251317">
        <w:rPr>
          <w:rFonts w:ascii="Arial" w:hAnsi="Arial" w:cs="Arial"/>
          <w:iCs/>
          <w:sz w:val="20"/>
          <w:szCs w:val="20"/>
        </w:rPr>
        <w:t>tab. č. 15</w:t>
      </w:r>
    </w:p>
    <w:tbl>
      <w:tblPr>
        <w:tblStyle w:val="Mkatabulky"/>
        <w:tblW w:w="9447"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058"/>
        <w:gridCol w:w="1052"/>
        <w:gridCol w:w="1053"/>
        <w:gridCol w:w="1053"/>
        <w:gridCol w:w="1053"/>
        <w:gridCol w:w="997"/>
        <w:gridCol w:w="997"/>
        <w:gridCol w:w="1184"/>
      </w:tblGrid>
      <w:tr w:rsidR="007A49EF" w:rsidRPr="00251317" w:rsidTr="007A49EF">
        <w:trPr>
          <w:trHeight w:val="485"/>
        </w:trPr>
        <w:tc>
          <w:tcPr>
            <w:tcW w:w="1809" w:type="dxa"/>
            <w:vAlign w:val="center"/>
          </w:tcPr>
          <w:p w:rsidR="007A49EF" w:rsidRPr="00251317" w:rsidRDefault="007A49EF" w:rsidP="007A49EF">
            <w:pPr>
              <w:spacing w:line="360" w:lineRule="auto"/>
              <w:jc w:val="both"/>
              <w:rPr>
                <w:rFonts w:ascii="Arial" w:hAnsi="Arial" w:cs="Arial"/>
                <w:sz w:val="18"/>
                <w:szCs w:val="18"/>
              </w:rPr>
            </w:pPr>
          </w:p>
        </w:tc>
        <w:tc>
          <w:tcPr>
            <w:tcW w:w="1139" w:type="dxa"/>
            <w:vAlign w:val="center"/>
          </w:tcPr>
          <w:p w:rsidR="007A49EF" w:rsidRPr="00251317" w:rsidRDefault="007A49EF" w:rsidP="007A49EF">
            <w:pPr>
              <w:jc w:val="center"/>
              <w:rPr>
                <w:rFonts w:ascii="Arial" w:hAnsi="Arial" w:cs="Arial"/>
                <w:b/>
                <w:sz w:val="20"/>
                <w:szCs w:val="20"/>
              </w:rPr>
            </w:pPr>
            <w:r w:rsidRPr="00251317">
              <w:rPr>
                <w:rFonts w:ascii="Arial" w:hAnsi="Arial" w:cs="Arial"/>
                <w:b/>
                <w:sz w:val="20"/>
                <w:szCs w:val="20"/>
              </w:rPr>
              <w:t>2007</w:t>
            </w:r>
          </w:p>
        </w:tc>
        <w:tc>
          <w:tcPr>
            <w:tcW w:w="1082" w:type="dxa"/>
            <w:vAlign w:val="center"/>
          </w:tcPr>
          <w:p w:rsidR="007A49EF" w:rsidRPr="00251317" w:rsidRDefault="007A49EF" w:rsidP="007A49EF">
            <w:pPr>
              <w:jc w:val="center"/>
              <w:rPr>
                <w:rFonts w:ascii="Arial" w:hAnsi="Arial" w:cs="Arial"/>
                <w:b/>
                <w:sz w:val="20"/>
                <w:szCs w:val="20"/>
              </w:rPr>
            </w:pPr>
            <w:r w:rsidRPr="00251317">
              <w:rPr>
                <w:rFonts w:ascii="Arial" w:hAnsi="Arial" w:cs="Arial"/>
                <w:b/>
                <w:sz w:val="20"/>
                <w:szCs w:val="20"/>
              </w:rPr>
              <w:t>2008</w:t>
            </w:r>
          </w:p>
        </w:tc>
        <w:tc>
          <w:tcPr>
            <w:tcW w:w="1082" w:type="dxa"/>
            <w:vAlign w:val="center"/>
          </w:tcPr>
          <w:p w:rsidR="007A49EF" w:rsidRPr="00251317" w:rsidRDefault="007A49EF" w:rsidP="007A49EF">
            <w:pPr>
              <w:jc w:val="center"/>
              <w:rPr>
                <w:rFonts w:ascii="Arial" w:hAnsi="Arial" w:cs="Arial"/>
                <w:b/>
                <w:sz w:val="20"/>
                <w:szCs w:val="20"/>
              </w:rPr>
            </w:pPr>
            <w:r w:rsidRPr="00251317">
              <w:rPr>
                <w:rFonts w:ascii="Arial" w:hAnsi="Arial" w:cs="Arial"/>
                <w:b/>
                <w:sz w:val="20"/>
                <w:szCs w:val="20"/>
              </w:rPr>
              <w:t>2009</w:t>
            </w:r>
          </w:p>
        </w:tc>
        <w:tc>
          <w:tcPr>
            <w:tcW w:w="1082" w:type="dxa"/>
            <w:vAlign w:val="center"/>
          </w:tcPr>
          <w:p w:rsidR="007A49EF" w:rsidRPr="00251317" w:rsidRDefault="007A49EF" w:rsidP="007A49EF">
            <w:pPr>
              <w:jc w:val="center"/>
              <w:rPr>
                <w:rFonts w:ascii="Arial" w:hAnsi="Arial" w:cs="Arial"/>
                <w:b/>
                <w:sz w:val="20"/>
                <w:szCs w:val="20"/>
              </w:rPr>
            </w:pPr>
            <w:r w:rsidRPr="00251317">
              <w:rPr>
                <w:rFonts w:ascii="Arial" w:hAnsi="Arial" w:cs="Arial"/>
                <w:b/>
                <w:sz w:val="20"/>
                <w:szCs w:val="20"/>
              </w:rPr>
              <w:t>2010</w:t>
            </w:r>
          </w:p>
        </w:tc>
        <w:tc>
          <w:tcPr>
            <w:tcW w:w="1083" w:type="dxa"/>
            <w:vAlign w:val="center"/>
          </w:tcPr>
          <w:p w:rsidR="007A49EF" w:rsidRPr="00251317" w:rsidRDefault="007A49EF" w:rsidP="007A49EF">
            <w:pPr>
              <w:jc w:val="center"/>
              <w:rPr>
                <w:rFonts w:ascii="Arial" w:hAnsi="Arial" w:cs="Arial"/>
                <w:b/>
                <w:sz w:val="20"/>
                <w:szCs w:val="20"/>
              </w:rPr>
            </w:pPr>
            <w:r w:rsidRPr="00251317">
              <w:rPr>
                <w:rFonts w:ascii="Arial" w:hAnsi="Arial" w:cs="Arial"/>
                <w:b/>
                <w:sz w:val="20"/>
                <w:szCs w:val="20"/>
              </w:rPr>
              <w:t>2011</w:t>
            </w:r>
          </w:p>
        </w:tc>
        <w:tc>
          <w:tcPr>
            <w:tcW w:w="1083" w:type="dxa"/>
            <w:tcBorders>
              <w:right w:val="double" w:sz="4" w:space="0" w:color="auto"/>
            </w:tcBorders>
            <w:vAlign w:val="center"/>
          </w:tcPr>
          <w:p w:rsidR="007A49EF" w:rsidRPr="00251317" w:rsidRDefault="007A49EF" w:rsidP="007A49EF">
            <w:pPr>
              <w:jc w:val="center"/>
              <w:rPr>
                <w:rFonts w:ascii="Arial" w:hAnsi="Arial" w:cs="Arial"/>
                <w:b/>
                <w:sz w:val="20"/>
                <w:szCs w:val="20"/>
              </w:rPr>
            </w:pPr>
            <w:r w:rsidRPr="00251317">
              <w:rPr>
                <w:rFonts w:ascii="Arial" w:hAnsi="Arial" w:cs="Arial"/>
                <w:b/>
                <w:sz w:val="20"/>
                <w:szCs w:val="20"/>
              </w:rPr>
              <w:t>2012</w:t>
            </w:r>
          </w:p>
        </w:tc>
        <w:tc>
          <w:tcPr>
            <w:tcW w:w="1087" w:type="dxa"/>
            <w:tcBorders>
              <w:top w:val="double" w:sz="4" w:space="0" w:color="auto"/>
              <w:left w:val="double" w:sz="4" w:space="0" w:color="auto"/>
              <w:bottom w:val="single" w:sz="4" w:space="0" w:color="auto"/>
            </w:tcBorders>
            <w:vAlign w:val="center"/>
          </w:tcPr>
          <w:p w:rsidR="007A49EF" w:rsidRPr="00251317" w:rsidRDefault="007A49EF" w:rsidP="007A49EF">
            <w:pPr>
              <w:jc w:val="center"/>
              <w:rPr>
                <w:rFonts w:ascii="Arial" w:hAnsi="Arial" w:cs="Arial"/>
                <w:b/>
                <w:i/>
                <w:sz w:val="20"/>
                <w:szCs w:val="20"/>
              </w:rPr>
            </w:pPr>
            <w:r w:rsidRPr="00251317">
              <w:rPr>
                <w:rFonts w:ascii="Arial" w:hAnsi="Arial" w:cs="Arial"/>
                <w:b/>
                <w:i/>
                <w:sz w:val="20"/>
                <w:szCs w:val="20"/>
              </w:rPr>
              <w:t>1.pol.2013</w:t>
            </w:r>
          </w:p>
        </w:tc>
      </w:tr>
      <w:tr w:rsidR="007A49EF" w:rsidRPr="00251317" w:rsidTr="007A49EF">
        <w:trPr>
          <w:trHeight w:val="454"/>
        </w:trPr>
        <w:tc>
          <w:tcPr>
            <w:tcW w:w="2268" w:type="dxa"/>
            <w:vAlign w:val="center"/>
          </w:tcPr>
          <w:p w:rsidR="007A49EF" w:rsidRPr="00251317" w:rsidRDefault="007A49EF" w:rsidP="007A49EF">
            <w:pPr>
              <w:jc w:val="both"/>
              <w:rPr>
                <w:rFonts w:ascii="Arial" w:hAnsi="Arial" w:cs="Arial"/>
                <w:b/>
                <w:sz w:val="20"/>
                <w:szCs w:val="20"/>
              </w:rPr>
            </w:pPr>
            <w:r w:rsidRPr="00251317">
              <w:rPr>
                <w:rFonts w:ascii="Arial" w:hAnsi="Arial" w:cs="Arial"/>
                <w:b/>
                <w:sz w:val="20"/>
                <w:szCs w:val="20"/>
              </w:rPr>
              <w:t>Podané žádosti</w:t>
            </w:r>
          </w:p>
        </w:tc>
        <w:tc>
          <w:tcPr>
            <w:tcW w:w="1139" w:type="dxa"/>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5 983</w:t>
            </w:r>
          </w:p>
        </w:tc>
        <w:tc>
          <w:tcPr>
            <w:tcW w:w="1082" w:type="dxa"/>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3 973</w:t>
            </w:r>
          </w:p>
        </w:tc>
        <w:tc>
          <w:tcPr>
            <w:tcW w:w="1082" w:type="dxa"/>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16 281</w:t>
            </w:r>
          </w:p>
        </w:tc>
        <w:tc>
          <w:tcPr>
            <w:tcW w:w="1082" w:type="dxa"/>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9 998</w:t>
            </w:r>
          </w:p>
        </w:tc>
        <w:tc>
          <w:tcPr>
            <w:tcW w:w="1083" w:type="dxa"/>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7 100</w:t>
            </w:r>
          </w:p>
        </w:tc>
        <w:tc>
          <w:tcPr>
            <w:tcW w:w="1083" w:type="dxa"/>
            <w:tcBorders>
              <w:right w:val="double" w:sz="4" w:space="0" w:color="auto"/>
            </w:tcBorders>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9 101</w:t>
            </w:r>
          </w:p>
        </w:tc>
        <w:tc>
          <w:tcPr>
            <w:tcW w:w="1087" w:type="dxa"/>
            <w:tcBorders>
              <w:top w:val="single" w:sz="4" w:space="0" w:color="auto"/>
              <w:left w:val="double" w:sz="4" w:space="0" w:color="auto"/>
              <w:bottom w:val="single" w:sz="4" w:space="0" w:color="auto"/>
            </w:tcBorders>
            <w:vAlign w:val="center"/>
          </w:tcPr>
          <w:p w:rsidR="007A49EF" w:rsidRPr="00251317" w:rsidRDefault="007A49EF" w:rsidP="007A49EF">
            <w:pPr>
              <w:jc w:val="right"/>
              <w:rPr>
                <w:rFonts w:ascii="Arial" w:hAnsi="Arial" w:cs="Arial"/>
                <w:i/>
                <w:sz w:val="20"/>
                <w:szCs w:val="20"/>
              </w:rPr>
            </w:pPr>
            <w:r w:rsidRPr="00251317">
              <w:rPr>
                <w:rFonts w:ascii="Arial" w:hAnsi="Arial" w:cs="Arial"/>
                <w:i/>
                <w:sz w:val="20"/>
                <w:szCs w:val="20"/>
              </w:rPr>
              <w:t>4 487</w:t>
            </w:r>
          </w:p>
        </w:tc>
      </w:tr>
      <w:tr w:rsidR="007A49EF" w:rsidRPr="00251317" w:rsidTr="007A49EF">
        <w:trPr>
          <w:trHeight w:val="546"/>
        </w:trPr>
        <w:tc>
          <w:tcPr>
            <w:tcW w:w="2268" w:type="dxa"/>
            <w:vAlign w:val="center"/>
          </w:tcPr>
          <w:p w:rsidR="007A49EF" w:rsidRPr="00251317" w:rsidRDefault="007A49EF" w:rsidP="007A49EF">
            <w:pPr>
              <w:jc w:val="both"/>
              <w:rPr>
                <w:rFonts w:ascii="Arial" w:hAnsi="Arial" w:cs="Arial"/>
                <w:b/>
                <w:sz w:val="20"/>
                <w:szCs w:val="20"/>
              </w:rPr>
            </w:pPr>
            <w:r w:rsidRPr="00251317">
              <w:rPr>
                <w:rFonts w:ascii="Arial" w:hAnsi="Arial" w:cs="Arial"/>
                <w:b/>
                <w:sz w:val="20"/>
                <w:szCs w:val="20"/>
              </w:rPr>
              <w:t>Vyřízené žádosti</w:t>
            </w:r>
          </w:p>
        </w:tc>
        <w:tc>
          <w:tcPr>
            <w:tcW w:w="1139" w:type="dxa"/>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6 888</w:t>
            </w:r>
          </w:p>
        </w:tc>
        <w:tc>
          <w:tcPr>
            <w:tcW w:w="1082" w:type="dxa"/>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5 055</w:t>
            </w:r>
          </w:p>
        </w:tc>
        <w:tc>
          <w:tcPr>
            <w:tcW w:w="1082" w:type="dxa"/>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19 451</w:t>
            </w:r>
          </w:p>
        </w:tc>
        <w:tc>
          <w:tcPr>
            <w:tcW w:w="1082" w:type="dxa"/>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11 028</w:t>
            </w:r>
          </w:p>
        </w:tc>
        <w:tc>
          <w:tcPr>
            <w:tcW w:w="1083" w:type="dxa"/>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8 253</w:t>
            </w:r>
          </w:p>
        </w:tc>
        <w:tc>
          <w:tcPr>
            <w:tcW w:w="1083" w:type="dxa"/>
            <w:tcBorders>
              <w:right w:val="double" w:sz="4" w:space="0" w:color="auto"/>
            </w:tcBorders>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7 694</w:t>
            </w:r>
          </w:p>
        </w:tc>
        <w:tc>
          <w:tcPr>
            <w:tcW w:w="1087" w:type="dxa"/>
            <w:tcBorders>
              <w:top w:val="single" w:sz="4" w:space="0" w:color="auto"/>
              <w:left w:val="double" w:sz="4" w:space="0" w:color="auto"/>
              <w:bottom w:val="single" w:sz="4" w:space="0" w:color="auto"/>
            </w:tcBorders>
            <w:vAlign w:val="center"/>
          </w:tcPr>
          <w:p w:rsidR="007A49EF" w:rsidRPr="00251317" w:rsidRDefault="007A49EF" w:rsidP="007A49EF">
            <w:pPr>
              <w:jc w:val="right"/>
              <w:rPr>
                <w:rFonts w:ascii="Arial" w:hAnsi="Arial" w:cs="Arial"/>
                <w:i/>
                <w:sz w:val="20"/>
                <w:szCs w:val="20"/>
              </w:rPr>
            </w:pPr>
            <w:r w:rsidRPr="00251317">
              <w:rPr>
                <w:rFonts w:ascii="Arial" w:hAnsi="Arial" w:cs="Arial"/>
                <w:i/>
                <w:sz w:val="20"/>
                <w:szCs w:val="20"/>
              </w:rPr>
              <w:t>3 134</w:t>
            </w:r>
          </w:p>
        </w:tc>
      </w:tr>
      <w:tr w:rsidR="007A49EF" w:rsidRPr="00251317" w:rsidTr="007A49EF">
        <w:trPr>
          <w:trHeight w:val="568"/>
        </w:trPr>
        <w:tc>
          <w:tcPr>
            <w:tcW w:w="2268" w:type="dxa"/>
            <w:vAlign w:val="center"/>
          </w:tcPr>
          <w:p w:rsidR="007A49EF" w:rsidRPr="00251317" w:rsidRDefault="007A49EF" w:rsidP="007A49EF">
            <w:pPr>
              <w:rPr>
                <w:rFonts w:ascii="Arial" w:hAnsi="Arial" w:cs="Arial"/>
                <w:b/>
                <w:sz w:val="20"/>
                <w:szCs w:val="20"/>
              </w:rPr>
            </w:pPr>
            <w:r w:rsidRPr="00251317">
              <w:rPr>
                <w:rFonts w:ascii="Arial" w:hAnsi="Arial" w:cs="Arial"/>
                <w:b/>
                <w:sz w:val="20"/>
                <w:szCs w:val="20"/>
              </w:rPr>
              <w:t xml:space="preserve">Vyplacené </w:t>
            </w:r>
            <w:proofErr w:type="spellStart"/>
            <w:r w:rsidRPr="00251317">
              <w:rPr>
                <w:rFonts w:ascii="Arial" w:hAnsi="Arial" w:cs="Arial"/>
                <w:b/>
                <w:sz w:val="20"/>
                <w:szCs w:val="20"/>
              </w:rPr>
              <w:t>fin</w:t>
            </w:r>
            <w:proofErr w:type="spellEnd"/>
            <w:r w:rsidRPr="00251317">
              <w:rPr>
                <w:rFonts w:ascii="Arial" w:hAnsi="Arial" w:cs="Arial"/>
                <w:b/>
                <w:sz w:val="20"/>
                <w:szCs w:val="20"/>
              </w:rPr>
              <w:t>. prostředky (</w:t>
            </w:r>
            <w:proofErr w:type="spellStart"/>
            <w:r w:rsidRPr="00251317">
              <w:rPr>
                <w:rFonts w:ascii="Arial" w:hAnsi="Arial" w:cs="Arial"/>
                <w:b/>
                <w:sz w:val="20"/>
                <w:szCs w:val="20"/>
              </w:rPr>
              <w:t>tis.Kč</w:t>
            </w:r>
            <w:proofErr w:type="spellEnd"/>
            <w:r w:rsidRPr="00251317">
              <w:rPr>
                <w:rFonts w:ascii="Arial" w:hAnsi="Arial" w:cs="Arial"/>
                <w:b/>
                <w:sz w:val="20"/>
                <w:szCs w:val="20"/>
              </w:rPr>
              <w:t>)</w:t>
            </w:r>
          </w:p>
        </w:tc>
        <w:tc>
          <w:tcPr>
            <w:tcW w:w="1139" w:type="dxa"/>
            <w:vAlign w:val="center"/>
          </w:tcPr>
          <w:p w:rsidR="007A49EF" w:rsidRPr="00251317" w:rsidRDefault="007A49EF" w:rsidP="007A49EF">
            <w:pPr>
              <w:jc w:val="right"/>
              <w:rPr>
                <w:rFonts w:ascii="Arial" w:hAnsi="Arial" w:cs="Arial"/>
                <w:sz w:val="20"/>
                <w:szCs w:val="20"/>
              </w:rPr>
            </w:pPr>
            <w:r w:rsidRPr="00251317">
              <w:rPr>
                <w:rFonts w:ascii="Arial" w:hAnsi="Arial" w:cs="Arial"/>
                <w:bCs/>
                <w:sz w:val="20"/>
                <w:szCs w:val="20"/>
              </w:rPr>
              <w:t>196 033</w:t>
            </w:r>
          </w:p>
        </w:tc>
        <w:tc>
          <w:tcPr>
            <w:tcW w:w="1082" w:type="dxa"/>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150 330</w:t>
            </w:r>
          </w:p>
        </w:tc>
        <w:tc>
          <w:tcPr>
            <w:tcW w:w="1082" w:type="dxa"/>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844 033</w:t>
            </w:r>
          </w:p>
        </w:tc>
        <w:tc>
          <w:tcPr>
            <w:tcW w:w="1082" w:type="dxa"/>
            <w:vAlign w:val="center"/>
          </w:tcPr>
          <w:p w:rsidR="007A49EF" w:rsidRPr="00251317" w:rsidRDefault="007A49EF" w:rsidP="007A49EF">
            <w:pPr>
              <w:jc w:val="right"/>
              <w:rPr>
                <w:rFonts w:ascii="Arial" w:hAnsi="Arial" w:cs="Arial"/>
                <w:sz w:val="20"/>
                <w:szCs w:val="20"/>
              </w:rPr>
            </w:pPr>
            <w:r w:rsidRPr="00251317">
              <w:rPr>
                <w:rFonts w:ascii="Arial" w:hAnsi="Arial" w:cs="Arial"/>
                <w:bCs/>
                <w:sz w:val="20"/>
                <w:szCs w:val="20"/>
              </w:rPr>
              <w:t>497 837</w:t>
            </w:r>
          </w:p>
        </w:tc>
        <w:tc>
          <w:tcPr>
            <w:tcW w:w="1083" w:type="dxa"/>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389 142</w:t>
            </w:r>
          </w:p>
        </w:tc>
        <w:tc>
          <w:tcPr>
            <w:tcW w:w="1083" w:type="dxa"/>
            <w:tcBorders>
              <w:right w:val="double" w:sz="4" w:space="0" w:color="auto"/>
            </w:tcBorders>
            <w:vAlign w:val="center"/>
          </w:tcPr>
          <w:p w:rsidR="007A49EF" w:rsidRPr="00251317" w:rsidRDefault="007A49EF" w:rsidP="007A49EF">
            <w:pPr>
              <w:jc w:val="right"/>
              <w:rPr>
                <w:rFonts w:ascii="Arial" w:hAnsi="Arial" w:cs="Arial"/>
                <w:sz w:val="20"/>
                <w:szCs w:val="20"/>
              </w:rPr>
            </w:pPr>
            <w:r w:rsidRPr="00251317">
              <w:rPr>
                <w:rFonts w:ascii="Arial" w:hAnsi="Arial" w:cs="Arial"/>
                <w:sz w:val="20"/>
                <w:szCs w:val="20"/>
              </w:rPr>
              <w:t>451 799</w:t>
            </w:r>
          </w:p>
        </w:tc>
        <w:tc>
          <w:tcPr>
            <w:tcW w:w="1087" w:type="dxa"/>
            <w:tcBorders>
              <w:top w:val="single" w:sz="4" w:space="0" w:color="auto"/>
              <w:left w:val="double" w:sz="4" w:space="0" w:color="auto"/>
              <w:bottom w:val="double" w:sz="4" w:space="0" w:color="auto"/>
            </w:tcBorders>
            <w:vAlign w:val="center"/>
          </w:tcPr>
          <w:p w:rsidR="007A49EF" w:rsidRPr="00251317" w:rsidRDefault="007A49EF" w:rsidP="007A49EF">
            <w:pPr>
              <w:jc w:val="right"/>
              <w:rPr>
                <w:rFonts w:ascii="Arial" w:hAnsi="Arial" w:cs="Arial"/>
                <w:i/>
                <w:sz w:val="20"/>
                <w:szCs w:val="20"/>
              </w:rPr>
            </w:pPr>
            <w:r w:rsidRPr="00251317">
              <w:rPr>
                <w:rFonts w:ascii="Arial" w:hAnsi="Arial" w:cs="Arial"/>
                <w:i/>
                <w:sz w:val="20"/>
                <w:szCs w:val="20"/>
              </w:rPr>
              <w:t>159 554</w:t>
            </w:r>
          </w:p>
        </w:tc>
      </w:tr>
    </w:tbl>
    <w:p w:rsidR="007A49EF" w:rsidRPr="00251317" w:rsidRDefault="007A49EF" w:rsidP="007A49EF">
      <w:pPr>
        <w:spacing w:line="360" w:lineRule="auto"/>
        <w:jc w:val="both"/>
        <w:rPr>
          <w:rFonts w:ascii="Arial" w:hAnsi="Arial" w:cs="Arial"/>
        </w:rPr>
      </w:pPr>
    </w:p>
    <w:p w:rsidR="007A49EF" w:rsidRPr="00251317" w:rsidRDefault="007A49EF" w:rsidP="007A49EF">
      <w:pPr>
        <w:spacing w:line="360" w:lineRule="auto"/>
        <w:ind w:firstLine="708"/>
        <w:jc w:val="both"/>
        <w:rPr>
          <w:rFonts w:ascii="Arial" w:hAnsi="Arial" w:cs="Arial"/>
        </w:rPr>
      </w:pPr>
      <w:r w:rsidRPr="00251317">
        <w:rPr>
          <w:rFonts w:ascii="Arial" w:hAnsi="Arial" w:cs="Arial"/>
        </w:rPr>
        <w:t xml:space="preserve">V 1. pololetí 2012 podali zaměstnanci 561 zaměstnavatelů na ÚP ČR 4 577 žádostí a pracoviště ÚP ČR vyřídila 4 456 žádostí. </w:t>
      </w:r>
      <w:r w:rsidRPr="00251317">
        <w:rPr>
          <w:rFonts w:ascii="Arial" w:hAnsi="Arial" w:cs="Arial"/>
          <w:b/>
        </w:rPr>
        <w:t>V 1. pololetí 2013</w:t>
      </w:r>
      <w:r w:rsidRPr="00251317">
        <w:rPr>
          <w:rFonts w:ascii="Arial" w:hAnsi="Arial" w:cs="Arial"/>
        </w:rPr>
        <w:t xml:space="preserve"> byl </w:t>
      </w:r>
      <w:r w:rsidRPr="00251317">
        <w:rPr>
          <w:rFonts w:ascii="Arial" w:hAnsi="Arial" w:cs="Arial"/>
          <w:b/>
        </w:rPr>
        <w:t xml:space="preserve">počet podaných žádostí nepatrně nižší – 4 487, </w:t>
      </w:r>
      <w:r w:rsidRPr="00251317">
        <w:rPr>
          <w:rFonts w:ascii="Arial" w:hAnsi="Arial" w:cs="Arial"/>
        </w:rPr>
        <w:t>výrazněji (na 487)</w:t>
      </w:r>
      <w:r w:rsidRPr="00251317">
        <w:rPr>
          <w:rFonts w:ascii="Arial" w:hAnsi="Arial" w:cs="Arial"/>
          <w:b/>
        </w:rPr>
        <w:t xml:space="preserve"> poklesl počet zaměstnavatelů, </w:t>
      </w:r>
      <w:r w:rsidRPr="00251317">
        <w:rPr>
          <w:rFonts w:ascii="Arial" w:hAnsi="Arial" w:cs="Arial"/>
        </w:rPr>
        <w:t>jejichž zaměstnanci žádosti podali</w:t>
      </w:r>
      <w:r w:rsidRPr="00251317">
        <w:rPr>
          <w:rFonts w:ascii="Arial" w:hAnsi="Arial" w:cs="Arial"/>
          <w:b/>
        </w:rPr>
        <w:t>. Počet vyřízených žádostí</w:t>
      </w:r>
      <w:r w:rsidRPr="00251317">
        <w:rPr>
          <w:rFonts w:ascii="Arial" w:hAnsi="Arial" w:cs="Arial"/>
        </w:rPr>
        <w:t xml:space="preserve"> (včetně žádostí z předchozího roku) se v 1. pololetí 2013 snížil na 3 134. </w:t>
      </w:r>
    </w:p>
    <w:p w:rsidR="007A49EF" w:rsidRPr="00251317" w:rsidRDefault="007A49EF" w:rsidP="007A49EF">
      <w:pPr>
        <w:spacing w:line="360" w:lineRule="auto"/>
        <w:ind w:firstLine="708"/>
        <w:jc w:val="both"/>
        <w:rPr>
          <w:rFonts w:ascii="Arial" w:hAnsi="Arial" w:cs="Arial"/>
          <w:b/>
        </w:rPr>
      </w:pPr>
      <w:r w:rsidRPr="00251317">
        <w:rPr>
          <w:rFonts w:ascii="Arial" w:hAnsi="Arial" w:cs="Arial"/>
        </w:rPr>
        <w:t>Tomuto vývoji odpovídala výše</w:t>
      </w:r>
      <w:r w:rsidRPr="00251317">
        <w:rPr>
          <w:rFonts w:ascii="Arial" w:hAnsi="Arial" w:cs="Arial"/>
          <w:b/>
        </w:rPr>
        <w:t xml:space="preserve"> výdajů</w:t>
      </w:r>
      <w:r w:rsidRPr="00251317">
        <w:rPr>
          <w:rFonts w:ascii="Arial" w:hAnsi="Arial" w:cs="Arial"/>
        </w:rPr>
        <w:t xml:space="preserve"> ze státního rozpočtu na insolvenci, které </w:t>
      </w:r>
      <w:r w:rsidRPr="00251317">
        <w:rPr>
          <w:rFonts w:ascii="Arial" w:hAnsi="Arial" w:cs="Arial"/>
          <w:b/>
        </w:rPr>
        <w:t>v 1. pololetí 2013</w:t>
      </w:r>
      <w:r w:rsidRPr="00251317">
        <w:rPr>
          <w:rFonts w:ascii="Arial" w:hAnsi="Arial" w:cs="Arial"/>
        </w:rPr>
        <w:t xml:space="preserve"> dosáhly </w:t>
      </w:r>
      <w:r w:rsidRPr="00251317">
        <w:rPr>
          <w:rFonts w:ascii="Arial" w:hAnsi="Arial" w:cs="Arial"/>
          <w:b/>
        </w:rPr>
        <w:t>159 554 tis. Kč</w:t>
      </w:r>
      <w:r w:rsidRPr="00251317">
        <w:rPr>
          <w:rFonts w:ascii="Arial" w:hAnsi="Arial" w:cs="Arial"/>
        </w:rPr>
        <w:t xml:space="preserve"> a</w:t>
      </w:r>
      <w:r w:rsidRPr="00251317">
        <w:rPr>
          <w:rFonts w:ascii="Arial" w:hAnsi="Arial" w:cs="Arial"/>
          <w:b/>
        </w:rPr>
        <w:t xml:space="preserve"> </w:t>
      </w:r>
      <w:r w:rsidRPr="00251317">
        <w:rPr>
          <w:rFonts w:ascii="Arial" w:hAnsi="Arial" w:cs="Arial"/>
        </w:rPr>
        <w:t>byly oproti předchozímu roku</w:t>
      </w:r>
      <w:r w:rsidRPr="00251317">
        <w:rPr>
          <w:rFonts w:ascii="Arial" w:hAnsi="Arial" w:cs="Arial"/>
          <w:b/>
        </w:rPr>
        <w:t xml:space="preserve"> </w:t>
      </w:r>
      <w:r w:rsidRPr="00251317">
        <w:rPr>
          <w:rFonts w:ascii="Arial" w:hAnsi="Arial" w:cs="Arial"/>
          <w:bCs/>
        </w:rPr>
        <w:t>(</w:t>
      </w:r>
      <w:r w:rsidRPr="00251317">
        <w:rPr>
          <w:rFonts w:ascii="Arial" w:hAnsi="Arial" w:cs="Arial"/>
        </w:rPr>
        <w:t xml:space="preserve">206 226 tis. Kč) </w:t>
      </w:r>
      <w:r w:rsidRPr="00251317">
        <w:rPr>
          <w:rFonts w:ascii="Arial" w:hAnsi="Arial" w:cs="Arial"/>
          <w:b/>
        </w:rPr>
        <w:t>o 46 672 </w:t>
      </w:r>
      <w:r w:rsidRPr="00251317">
        <w:rPr>
          <w:rFonts w:ascii="Arial" w:hAnsi="Arial" w:cs="Arial"/>
          <w:b/>
          <w:bCs/>
        </w:rPr>
        <w:t>tis. Kč</w:t>
      </w:r>
      <w:r w:rsidRPr="00251317">
        <w:rPr>
          <w:rFonts w:ascii="Arial" w:hAnsi="Arial" w:cs="Arial"/>
          <w:b/>
        </w:rPr>
        <w:t xml:space="preserve">, </w:t>
      </w:r>
      <w:r w:rsidRPr="00251317">
        <w:rPr>
          <w:rFonts w:ascii="Arial" w:hAnsi="Arial" w:cs="Arial"/>
        </w:rPr>
        <w:t>tj. </w:t>
      </w:r>
      <w:r w:rsidRPr="00251317">
        <w:rPr>
          <w:rFonts w:ascii="Arial" w:hAnsi="Arial" w:cs="Arial"/>
          <w:b/>
        </w:rPr>
        <w:t xml:space="preserve">o 22,6 %, nižší. </w:t>
      </w:r>
    </w:p>
    <w:p w:rsidR="007A49EF" w:rsidRPr="00251317" w:rsidRDefault="007A49EF" w:rsidP="007A49EF">
      <w:pPr>
        <w:spacing w:line="360" w:lineRule="auto"/>
        <w:ind w:firstLine="708"/>
        <w:jc w:val="both"/>
        <w:rPr>
          <w:rFonts w:ascii="Arial" w:hAnsi="Arial" w:cs="Arial"/>
        </w:rPr>
      </w:pPr>
      <w:r w:rsidRPr="00251317">
        <w:rPr>
          <w:rFonts w:ascii="Arial" w:hAnsi="Arial" w:cs="Arial"/>
          <w:b/>
        </w:rPr>
        <w:t>Nejvyšší objem finančních prostředků</w:t>
      </w:r>
      <w:r w:rsidR="00BD0B3A">
        <w:rPr>
          <w:rFonts w:ascii="Arial" w:hAnsi="Arial" w:cs="Arial"/>
        </w:rPr>
        <w:t xml:space="preserve"> vyplatil v 1. pololetí 2013 ÚP </w:t>
      </w:r>
      <w:r w:rsidRPr="00251317">
        <w:rPr>
          <w:rFonts w:ascii="Arial" w:hAnsi="Arial" w:cs="Arial"/>
        </w:rPr>
        <w:t>ČR v </w:t>
      </w:r>
      <w:r w:rsidRPr="00251317">
        <w:rPr>
          <w:rFonts w:ascii="Arial" w:hAnsi="Arial" w:cs="Arial"/>
          <w:b/>
        </w:rPr>
        <w:t>H</w:t>
      </w:r>
      <w:r w:rsidRPr="00251317">
        <w:rPr>
          <w:rFonts w:ascii="Arial" w:hAnsi="Arial" w:cs="Arial"/>
          <w:b/>
          <w:bCs/>
        </w:rPr>
        <w:t>l.</w:t>
      </w:r>
      <w:r>
        <w:rPr>
          <w:rFonts w:ascii="Arial" w:hAnsi="Arial" w:cs="Arial"/>
          <w:b/>
          <w:bCs/>
        </w:rPr>
        <w:t> </w:t>
      </w:r>
      <w:r w:rsidRPr="00251317">
        <w:rPr>
          <w:rFonts w:ascii="Arial" w:hAnsi="Arial" w:cs="Arial"/>
          <w:b/>
          <w:bCs/>
        </w:rPr>
        <w:t>m.</w:t>
      </w:r>
      <w:r>
        <w:rPr>
          <w:rFonts w:ascii="Arial" w:hAnsi="Arial" w:cs="Arial"/>
          <w:b/>
          <w:bCs/>
        </w:rPr>
        <w:t> </w:t>
      </w:r>
      <w:r w:rsidRPr="00251317">
        <w:rPr>
          <w:rFonts w:ascii="Arial" w:hAnsi="Arial" w:cs="Arial"/>
          <w:b/>
          <w:bCs/>
        </w:rPr>
        <w:t xml:space="preserve">Praze </w:t>
      </w:r>
      <w:r w:rsidRPr="00251317">
        <w:rPr>
          <w:rFonts w:ascii="Arial" w:hAnsi="Arial" w:cs="Arial"/>
          <w:bCs/>
        </w:rPr>
        <w:t>(</w:t>
      </w:r>
      <w:r w:rsidRPr="00251317">
        <w:rPr>
          <w:rFonts w:ascii="Arial" w:hAnsi="Arial" w:cs="Arial"/>
        </w:rPr>
        <w:t>34 958</w:t>
      </w:r>
      <w:r w:rsidRPr="00251317">
        <w:rPr>
          <w:rFonts w:ascii="Arial" w:hAnsi="Arial" w:cs="Arial"/>
          <w:bCs/>
        </w:rPr>
        <w:t> </w:t>
      </w:r>
      <w:r w:rsidRPr="00251317">
        <w:rPr>
          <w:rFonts w:ascii="Arial" w:hAnsi="Arial" w:cs="Arial"/>
        </w:rPr>
        <w:t>tis. Kč),</w:t>
      </w:r>
      <w:r w:rsidRPr="00251317">
        <w:rPr>
          <w:rFonts w:ascii="Arial" w:hAnsi="Arial" w:cs="Arial"/>
          <w:b/>
        </w:rPr>
        <w:t xml:space="preserve"> v </w:t>
      </w:r>
      <w:r w:rsidRPr="00B27D58">
        <w:rPr>
          <w:rFonts w:ascii="Arial" w:hAnsi="Arial" w:cs="Arial"/>
          <w:b/>
        </w:rPr>
        <w:t xml:space="preserve">kraji </w:t>
      </w:r>
      <w:r w:rsidRPr="00251317">
        <w:rPr>
          <w:rFonts w:ascii="Arial" w:hAnsi="Arial" w:cs="Arial"/>
          <w:b/>
        </w:rPr>
        <w:t xml:space="preserve">Moravskoslezském </w:t>
      </w:r>
      <w:r w:rsidRPr="00251317">
        <w:rPr>
          <w:rFonts w:ascii="Arial" w:hAnsi="Arial" w:cs="Arial"/>
        </w:rPr>
        <w:t xml:space="preserve">(18 179 tis. Kč), </w:t>
      </w:r>
      <w:r w:rsidRPr="00251317">
        <w:rPr>
          <w:rFonts w:ascii="Arial" w:hAnsi="Arial" w:cs="Arial"/>
          <w:b/>
        </w:rPr>
        <w:t xml:space="preserve">Jihomoravském </w:t>
      </w:r>
      <w:r w:rsidRPr="00251317">
        <w:rPr>
          <w:rFonts w:ascii="Arial" w:hAnsi="Arial" w:cs="Arial"/>
        </w:rPr>
        <w:t xml:space="preserve">(17 973 tis. Kč), </w:t>
      </w:r>
      <w:r w:rsidRPr="00251317">
        <w:rPr>
          <w:rFonts w:ascii="Arial" w:hAnsi="Arial" w:cs="Arial"/>
          <w:b/>
        </w:rPr>
        <w:t>Středočeském</w:t>
      </w:r>
      <w:r w:rsidRPr="00251317">
        <w:rPr>
          <w:rFonts w:ascii="Arial" w:hAnsi="Arial" w:cs="Arial"/>
        </w:rPr>
        <w:t xml:space="preserve"> (15 428 tis. Kč) a v </w:t>
      </w:r>
      <w:r w:rsidRPr="00251317">
        <w:rPr>
          <w:rFonts w:ascii="Arial" w:hAnsi="Arial" w:cs="Arial"/>
          <w:b/>
        </w:rPr>
        <w:t>Kraji Vysočina</w:t>
      </w:r>
      <w:r w:rsidRPr="00251317">
        <w:rPr>
          <w:rFonts w:ascii="Arial" w:hAnsi="Arial" w:cs="Arial"/>
        </w:rPr>
        <w:t xml:space="preserve"> (13 239 tis. Kč)</w:t>
      </w:r>
      <w:r w:rsidRPr="00251317">
        <w:rPr>
          <w:rFonts w:ascii="Arial" w:hAnsi="Arial" w:cs="Arial"/>
          <w:bCs/>
        </w:rPr>
        <w:t xml:space="preserve">. </w:t>
      </w:r>
    </w:p>
    <w:p w:rsidR="007A49EF" w:rsidRPr="00251317" w:rsidRDefault="007A49EF" w:rsidP="007A49EF">
      <w:pPr>
        <w:pStyle w:val="Zkladntextodsazen2"/>
        <w:ind w:firstLine="709"/>
        <w:rPr>
          <w:rFonts w:cs="Arial"/>
          <w:i w:val="0"/>
        </w:rPr>
      </w:pPr>
      <w:r w:rsidRPr="00251317">
        <w:rPr>
          <w:b/>
          <w:i w:val="0"/>
        </w:rPr>
        <w:lastRenderedPageBreak/>
        <w:t xml:space="preserve">Největšími firmami v konkurzu v 1. pololetí 2013 byly </w:t>
      </w:r>
      <w:r w:rsidRPr="00251317">
        <w:rPr>
          <w:i w:val="0"/>
        </w:rPr>
        <w:t>Novinová s.r.o. Praha (437),  JIP - Papírny Větřní, a. s., okr. Český Krumlov (362), GASI, s.r.o.</w:t>
      </w:r>
      <w:r w:rsidRPr="00251317">
        <w:rPr>
          <w:rFonts w:cs="Arial"/>
          <w:i w:val="0"/>
        </w:rPr>
        <w:t xml:space="preserve"> Zlín (137), KOVL spol. s r.o. Praha (136) </w:t>
      </w:r>
      <w:r w:rsidRPr="00251317">
        <w:rPr>
          <w:i w:val="0"/>
        </w:rPr>
        <w:t>a ROTTER, s.r.o. Vír, okr. Žďár nad Sázavou (118 podaných žádostí).</w:t>
      </w:r>
      <w:r w:rsidRPr="00251317">
        <w:rPr>
          <w:rFonts w:cs="Arial"/>
          <w:b/>
          <w:i w:val="0"/>
        </w:rPr>
        <w:t xml:space="preserve"> </w:t>
      </w:r>
    </w:p>
    <w:p w:rsidR="007A49EF" w:rsidRDefault="007A49EF" w:rsidP="007A49EF">
      <w:pPr>
        <w:spacing w:line="360" w:lineRule="auto"/>
        <w:ind w:firstLine="567"/>
        <w:jc w:val="both"/>
        <w:rPr>
          <w:rFonts w:ascii="Arial" w:hAnsi="Arial" w:cs="Arial"/>
          <w:b/>
          <w:bCs/>
        </w:rPr>
      </w:pPr>
      <w:r w:rsidRPr="00251317">
        <w:rPr>
          <w:rFonts w:ascii="Arial" w:hAnsi="Arial" w:cs="Arial"/>
          <w:b/>
          <w:bCs/>
          <w:color w:val="FF0000"/>
        </w:rPr>
        <w:tab/>
      </w:r>
      <w:bookmarkStart w:id="94" w:name="_Toc289429494"/>
      <w:bookmarkStart w:id="95" w:name="_Toc290298532"/>
      <w:bookmarkStart w:id="96" w:name="_Toc290558890"/>
      <w:r w:rsidRPr="00251317">
        <w:rPr>
          <w:rFonts w:ascii="Arial" w:hAnsi="Arial" w:cs="Arial"/>
          <w:b/>
          <w:bCs/>
        </w:rPr>
        <w:t>V 1. pololetí 2013</w:t>
      </w:r>
      <w:r w:rsidRPr="00251317">
        <w:rPr>
          <w:rFonts w:ascii="Arial" w:hAnsi="Arial" w:cs="Arial"/>
          <w:bCs/>
        </w:rPr>
        <w:t xml:space="preserve"> bylo do příjmů státního rozpočtu přijato vymožené</w:t>
      </w:r>
      <w:r w:rsidRPr="00251317">
        <w:rPr>
          <w:rFonts w:ascii="Arial" w:hAnsi="Arial" w:cs="Arial"/>
          <w:b/>
          <w:bCs/>
        </w:rPr>
        <w:t xml:space="preserve"> plnění za předchozí výplaty insolvence </w:t>
      </w:r>
      <w:r w:rsidRPr="00251317">
        <w:rPr>
          <w:rFonts w:ascii="Arial" w:hAnsi="Arial" w:cs="Arial"/>
          <w:bCs/>
        </w:rPr>
        <w:t xml:space="preserve">z minulých let ve výši </w:t>
      </w:r>
      <w:r w:rsidRPr="00251317">
        <w:rPr>
          <w:rFonts w:ascii="Arial" w:hAnsi="Arial" w:cs="Arial"/>
          <w:b/>
          <w:bCs/>
        </w:rPr>
        <w:t>47 546 tis. Kč.</w:t>
      </w:r>
      <w:r w:rsidRPr="00251317">
        <w:rPr>
          <w:rFonts w:ascii="Arial" w:hAnsi="Arial" w:cs="Arial"/>
          <w:bCs/>
        </w:rPr>
        <w:t xml:space="preserve"> </w:t>
      </w:r>
      <w:r w:rsidRPr="00251317">
        <w:rPr>
          <w:rFonts w:ascii="Arial" w:hAnsi="Arial" w:cs="Arial"/>
          <w:b/>
          <w:bCs/>
        </w:rPr>
        <w:t xml:space="preserve">Celkem </w:t>
      </w:r>
      <w:r w:rsidRPr="00251317">
        <w:rPr>
          <w:rFonts w:ascii="Arial" w:hAnsi="Arial" w:cs="Arial"/>
          <w:bCs/>
        </w:rPr>
        <w:t xml:space="preserve">bylo </w:t>
      </w:r>
      <w:r w:rsidRPr="00251317">
        <w:rPr>
          <w:rFonts w:ascii="Arial" w:hAnsi="Arial" w:cs="Arial"/>
          <w:b/>
          <w:bCs/>
        </w:rPr>
        <w:t>za dobu účinnosti tohoto zákona</w:t>
      </w:r>
      <w:r w:rsidRPr="00251317">
        <w:rPr>
          <w:rFonts w:ascii="Arial" w:hAnsi="Arial" w:cs="Arial"/>
          <w:bCs/>
        </w:rPr>
        <w:t xml:space="preserve"> žadatelům za jejich zaměstnavatele </w:t>
      </w:r>
      <w:r w:rsidRPr="00251317">
        <w:rPr>
          <w:rFonts w:ascii="Arial" w:hAnsi="Arial" w:cs="Arial"/>
          <w:b/>
          <w:bCs/>
        </w:rPr>
        <w:t xml:space="preserve">vyplaceno </w:t>
      </w:r>
      <w:r w:rsidRPr="00251317">
        <w:rPr>
          <w:rFonts w:ascii="Arial" w:hAnsi="Arial" w:cs="Arial"/>
          <w:bCs/>
        </w:rPr>
        <w:t xml:space="preserve">cca </w:t>
      </w:r>
      <w:r w:rsidRPr="00251317">
        <w:rPr>
          <w:rFonts w:ascii="Arial" w:hAnsi="Arial" w:cs="Arial"/>
          <w:b/>
          <w:bCs/>
        </w:rPr>
        <w:t>3 758,1 mil. Kč</w:t>
      </w:r>
      <w:r w:rsidRPr="00251317">
        <w:rPr>
          <w:rFonts w:ascii="Arial" w:hAnsi="Arial" w:cs="Arial"/>
          <w:bCs/>
        </w:rPr>
        <w:t xml:space="preserve">. Do státního rozpočtu bylo od roku 2002 </w:t>
      </w:r>
      <w:r w:rsidRPr="00251317">
        <w:rPr>
          <w:rFonts w:ascii="Arial" w:hAnsi="Arial" w:cs="Arial"/>
          <w:b/>
          <w:bCs/>
        </w:rPr>
        <w:t>postupně vráceno</w:t>
      </w:r>
      <w:r w:rsidRPr="00251317">
        <w:rPr>
          <w:rFonts w:ascii="Arial" w:hAnsi="Arial" w:cs="Arial"/>
          <w:bCs/>
        </w:rPr>
        <w:t xml:space="preserve"> celkem </w:t>
      </w:r>
      <w:r w:rsidRPr="00251317">
        <w:rPr>
          <w:rFonts w:ascii="Arial" w:hAnsi="Arial" w:cs="Arial"/>
          <w:b/>
          <w:bCs/>
        </w:rPr>
        <w:t>661,7  mil. Kč, tj. 17,6 % z celkových prostředků vyplacených ÚP</w:t>
      </w:r>
      <w:r w:rsidR="004F7079">
        <w:rPr>
          <w:rFonts w:ascii="Arial" w:hAnsi="Arial" w:cs="Arial"/>
          <w:b/>
          <w:bCs/>
        </w:rPr>
        <w:t> ČR</w:t>
      </w:r>
      <w:r w:rsidRPr="00251317">
        <w:rPr>
          <w:rFonts w:ascii="Arial" w:hAnsi="Arial" w:cs="Arial"/>
          <w:b/>
          <w:bCs/>
        </w:rPr>
        <w:t xml:space="preserve"> za zaměstnavatele.</w:t>
      </w:r>
      <w:bookmarkEnd w:id="94"/>
      <w:bookmarkEnd w:id="95"/>
      <w:bookmarkEnd w:id="96"/>
    </w:p>
    <w:p w:rsidR="007A49EF" w:rsidRPr="00424605" w:rsidRDefault="007A49EF" w:rsidP="007A49EF">
      <w:pPr>
        <w:spacing w:line="360" w:lineRule="auto"/>
        <w:ind w:firstLine="567"/>
        <w:jc w:val="both"/>
        <w:rPr>
          <w:rFonts w:ascii="Arial" w:hAnsi="Arial" w:cs="Arial"/>
        </w:rPr>
      </w:pPr>
      <w:r>
        <w:rPr>
          <w:rFonts w:ascii="Arial" w:hAnsi="Arial" w:cs="Arial"/>
          <w:b/>
          <w:bCs/>
        </w:rPr>
        <w:br w:type="column"/>
      </w:r>
    </w:p>
    <w:p w:rsidR="00F56854" w:rsidRPr="00D92515" w:rsidRDefault="00C6793D" w:rsidP="004945EE">
      <w:pPr>
        <w:pStyle w:val="Nadpis1"/>
      </w:pPr>
      <w:bookmarkStart w:id="97" w:name="_Toc372530190"/>
      <w:r w:rsidRPr="00D92515">
        <w:t>Nezaměstnanost</w:t>
      </w:r>
      <w:bookmarkEnd w:id="54"/>
      <w:bookmarkEnd w:id="97"/>
      <w:r w:rsidRPr="00D92515">
        <w:t xml:space="preserve">   </w:t>
      </w:r>
    </w:p>
    <w:p w:rsidR="00C6793D" w:rsidRPr="00D92515" w:rsidRDefault="00C6793D" w:rsidP="004945EE">
      <w:pPr>
        <w:pStyle w:val="Nadpis1"/>
        <w:numPr>
          <w:ilvl w:val="0"/>
          <w:numId w:val="0"/>
        </w:numPr>
        <w:ind w:left="720"/>
      </w:pPr>
      <w:r w:rsidRPr="00D92515">
        <w:tab/>
      </w:r>
      <w:r w:rsidRPr="00D92515">
        <w:tab/>
      </w:r>
      <w:r w:rsidRPr="00D92515">
        <w:tab/>
      </w:r>
    </w:p>
    <w:p w:rsidR="00730AC8" w:rsidRPr="009B0D99" w:rsidRDefault="00730AC8" w:rsidP="00730AC8">
      <w:pPr>
        <w:pStyle w:val="Styl5"/>
        <w:numPr>
          <w:ilvl w:val="0"/>
          <w:numId w:val="12"/>
        </w:numPr>
        <w:tabs>
          <w:tab w:val="clear" w:pos="720"/>
          <w:tab w:val="center" w:pos="900"/>
        </w:tabs>
        <w:spacing w:line="240" w:lineRule="auto"/>
        <w:ind w:left="714" w:hanging="357"/>
        <w:jc w:val="both"/>
        <w:rPr>
          <w:color w:val="auto"/>
        </w:rPr>
      </w:pPr>
      <w:bookmarkStart w:id="98" w:name="_Toc306357399"/>
      <w:bookmarkStart w:id="99" w:name="_Toc337125227"/>
      <w:bookmarkStart w:id="100" w:name="_Toc372530191"/>
      <w:bookmarkStart w:id="101" w:name="_Toc21312071"/>
      <w:bookmarkStart w:id="102" w:name="_Toc53888305"/>
      <w:bookmarkStart w:id="103" w:name="_Toc53888568"/>
      <w:bookmarkStart w:id="104" w:name="_Toc85008448"/>
      <w:bookmarkStart w:id="105" w:name="_Toc116354709"/>
      <w:bookmarkStart w:id="106" w:name="_Toc116354798"/>
      <w:bookmarkStart w:id="107" w:name="_Toc116355034"/>
      <w:bookmarkStart w:id="108" w:name="_Toc149033460"/>
      <w:bookmarkStart w:id="109" w:name="_Toc179787907"/>
      <w:bookmarkStart w:id="110" w:name="_Toc211067155"/>
      <w:bookmarkStart w:id="111" w:name="_Toc258997893"/>
      <w:bookmarkStart w:id="112" w:name="_Toc258997897"/>
      <w:r w:rsidRPr="009B0D99">
        <w:rPr>
          <w:color w:val="auto"/>
        </w:rPr>
        <w:t>Stav a vývoj nezaměstnanosti</w:t>
      </w:r>
      <w:bookmarkEnd w:id="98"/>
      <w:bookmarkEnd w:id="99"/>
      <w:bookmarkEnd w:id="100"/>
      <w:r w:rsidRPr="009B0D99">
        <w:rPr>
          <w:color w:val="auto"/>
        </w:rPr>
        <w:t xml:space="preserve"> </w:t>
      </w:r>
      <w:bookmarkEnd w:id="101"/>
      <w:bookmarkEnd w:id="102"/>
      <w:bookmarkEnd w:id="103"/>
      <w:bookmarkEnd w:id="104"/>
      <w:bookmarkEnd w:id="105"/>
      <w:bookmarkEnd w:id="106"/>
      <w:bookmarkEnd w:id="107"/>
      <w:bookmarkEnd w:id="108"/>
      <w:bookmarkEnd w:id="109"/>
      <w:bookmarkEnd w:id="110"/>
      <w:bookmarkEnd w:id="111"/>
    </w:p>
    <w:p w:rsidR="00730AC8" w:rsidRPr="00145A9B" w:rsidRDefault="00730AC8" w:rsidP="00730AC8">
      <w:pPr>
        <w:rPr>
          <w:rFonts w:ascii="Arial" w:hAnsi="Arial" w:cs="Arial"/>
          <w:color w:val="00B0F0"/>
        </w:rPr>
      </w:pPr>
    </w:p>
    <w:p w:rsidR="00730AC8" w:rsidRDefault="00730AC8" w:rsidP="00730AC8">
      <w:pPr>
        <w:pStyle w:val="Zkladntext210"/>
        <w:widowControl/>
        <w:tabs>
          <w:tab w:val="clear" w:pos="-720"/>
          <w:tab w:val="left" w:pos="900"/>
        </w:tabs>
        <w:suppressAutoHyphens w:val="0"/>
        <w:overflowPunct/>
        <w:autoSpaceDE/>
        <w:adjustRightInd/>
        <w:ind w:firstLine="567"/>
        <w:rPr>
          <w:bCs/>
        </w:rPr>
      </w:pPr>
      <w:r>
        <w:rPr>
          <w:bCs/>
        </w:rPr>
        <w:t xml:space="preserve">Pokles nezaměstnanosti jako odraz mírného oživení ekonomiky z roku 2011 se v polovině roku 2012 zastavil a vystřídal jej zrychlující se nárůst. Zatímco ještě v červnu 2012 byl počet uchazečů o zaměstnání evidovaných na pracovištích ÚP ČR meziročně o </w:t>
      </w:r>
      <w:r>
        <w:rPr>
          <w:rFonts w:cs="Arial"/>
        </w:rPr>
        <w:t>4,2 tis.</w:t>
      </w:r>
      <w:r>
        <w:rPr>
          <w:bCs/>
        </w:rPr>
        <w:t xml:space="preserve"> nižší, ve druhém pololetí se meziroční rozdíly postupně zvyšovaly až na 36,9 tis. na konci prosince. Tento trend pokračoval i v 1. pololetí 2013 - </w:t>
      </w:r>
      <w:r w:rsidRPr="00A40B90">
        <w:rPr>
          <w:b/>
          <w:bCs/>
        </w:rPr>
        <w:t>k 30. 6. 2013</w:t>
      </w:r>
      <w:r>
        <w:rPr>
          <w:bCs/>
        </w:rPr>
        <w:t xml:space="preserve"> bylo evidováno již </w:t>
      </w:r>
      <w:r w:rsidRPr="00E52C25">
        <w:rPr>
          <w:rFonts w:cs="Arial"/>
          <w:b/>
          <w:bCs/>
          <w:szCs w:val="24"/>
        </w:rPr>
        <w:t>540,5</w:t>
      </w:r>
      <w:r>
        <w:rPr>
          <w:rFonts w:cs="Arial"/>
          <w:b/>
          <w:bCs/>
          <w:szCs w:val="24"/>
        </w:rPr>
        <w:t xml:space="preserve"> tis. uchazečů o zaměstnání </w:t>
      </w:r>
      <w:r w:rsidRPr="00810161">
        <w:rPr>
          <w:rFonts w:cs="Arial"/>
          <w:bCs/>
          <w:szCs w:val="24"/>
        </w:rPr>
        <w:t>(</w:t>
      </w:r>
      <w:r>
        <w:rPr>
          <w:rFonts w:cs="Arial"/>
          <w:bCs/>
          <w:szCs w:val="24"/>
        </w:rPr>
        <w:t>o </w:t>
      </w:r>
      <w:r w:rsidRPr="00810161">
        <w:rPr>
          <w:bCs/>
        </w:rPr>
        <w:t>13,9</w:t>
      </w:r>
      <w:r>
        <w:rPr>
          <w:bCs/>
        </w:rPr>
        <w:t> % více než před rokem</w:t>
      </w:r>
      <w:r w:rsidRPr="00E52C25">
        <w:rPr>
          <w:rFonts w:cs="Arial"/>
        </w:rPr>
        <w:t>)</w:t>
      </w:r>
      <w:r>
        <w:rPr>
          <w:rFonts w:cs="Arial"/>
        </w:rPr>
        <w:t xml:space="preserve"> </w:t>
      </w:r>
      <w:r>
        <w:rPr>
          <w:rFonts w:cs="Arial"/>
          <w:b/>
          <w:bCs/>
          <w:szCs w:val="24"/>
        </w:rPr>
        <w:t>a meziroční rozdíl se zvýšil na 65,9 tis.</w:t>
      </w:r>
      <w:r>
        <w:rPr>
          <w:bCs/>
        </w:rPr>
        <w:t xml:space="preserve"> </w:t>
      </w:r>
    </w:p>
    <w:p w:rsidR="00730AC8" w:rsidRDefault="00730AC8" w:rsidP="00730AC8">
      <w:pPr>
        <w:tabs>
          <w:tab w:val="left" w:pos="900"/>
        </w:tabs>
        <w:ind w:firstLine="720"/>
        <w:jc w:val="right"/>
        <w:rPr>
          <w:rFonts w:ascii="Arial" w:hAnsi="Arial" w:cs="Arial"/>
          <w:sz w:val="20"/>
          <w:szCs w:val="20"/>
        </w:rPr>
      </w:pPr>
      <w:r w:rsidRPr="00730AC8">
        <w:rPr>
          <w:rFonts w:ascii="Arial" w:hAnsi="Arial" w:cs="Arial"/>
          <w:sz w:val="20"/>
          <w:szCs w:val="20"/>
        </w:rPr>
        <w:t>graf č. 2</w:t>
      </w:r>
    </w:p>
    <w:p w:rsidR="00730AC8" w:rsidRPr="005F0A80" w:rsidRDefault="00730AC8" w:rsidP="00730AC8">
      <w:pPr>
        <w:tabs>
          <w:tab w:val="left" w:pos="900"/>
        </w:tabs>
        <w:ind w:firstLine="720"/>
        <w:jc w:val="right"/>
        <w:rPr>
          <w:rFonts w:ascii="Arial" w:hAnsi="Arial" w:cs="Arial"/>
          <w:sz w:val="20"/>
          <w:szCs w:val="20"/>
        </w:rPr>
      </w:pPr>
    </w:p>
    <w:p w:rsidR="00730AC8" w:rsidRDefault="00730AC8" w:rsidP="00730AC8">
      <w:pPr>
        <w:tabs>
          <w:tab w:val="left" w:pos="900"/>
        </w:tabs>
        <w:jc w:val="center"/>
        <w:rPr>
          <w:rFonts w:ascii="Arial" w:hAnsi="Arial" w:cs="Arial"/>
          <w:b/>
          <w:sz w:val="23"/>
          <w:szCs w:val="23"/>
        </w:rPr>
      </w:pPr>
      <w:r>
        <w:rPr>
          <w:noProof/>
        </w:rPr>
        <w:drawing>
          <wp:inline distT="0" distB="0" distL="0" distR="0" wp14:anchorId="5D94C6F7" wp14:editId="2FA1DC6E">
            <wp:extent cx="5238750" cy="3352800"/>
            <wp:effectExtent l="0" t="0" r="19050" b="19050"/>
            <wp:docPr id="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30AC8" w:rsidRDefault="00730AC8" w:rsidP="00730AC8">
      <w:pPr>
        <w:pStyle w:val="Zkladntext210"/>
        <w:widowControl/>
        <w:tabs>
          <w:tab w:val="clear" w:pos="-720"/>
          <w:tab w:val="left" w:pos="900"/>
        </w:tabs>
        <w:suppressAutoHyphens w:val="0"/>
        <w:overflowPunct/>
        <w:autoSpaceDE/>
        <w:adjustRightInd/>
        <w:ind w:firstLine="567"/>
        <w:rPr>
          <w:bCs/>
        </w:rPr>
      </w:pPr>
    </w:p>
    <w:p w:rsidR="00730AC8" w:rsidRDefault="00730AC8" w:rsidP="00730AC8">
      <w:pPr>
        <w:tabs>
          <w:tab w:val="left" w:pos="900"/>
        </w:tabs>
        <w:spacing w:line="360" w:lineRule="auto"/>
        <w:ind w:firstLine="567"/>
        <w:jc w:val="both"/>
        <w:rPr>
          <w:rFonts w:ascii="Arial" w:hAnsi="Arial" w:cs="Arial"/>
        </w:rPr>
      </w:pPr>
      <w:r w:rsidRPr="00C15F5F">
        <w:rPr>
          <w:rFonts w:ascii="Arial" w:hAnsi="Arial" w:cs="Arial"/>
          <w:b/>
        </w:rPr>
        <w:t xml:space="preserve">Průměrný počet </w:t>
      </w:r>
      <w:r w:rsidRPr="00C15F5F">
        <w:rPr>
          <w:rFonts w:ascii="Arial" w:hAnsi="Arial" w:cs="Arial"/>
        </w:rPr>
        <w:t>uchazečů o zaměstnání</w:t>
      </w:r>
      <w:r w:rsidRPr="00C15F5F">
        <w:rPr>
          <w:rFonts w:ascii="Arial" w:hAnsi="Arial" w:cs="Arial"/>
          <w:b/>
        </w:rPr>
        <w:t xml:space="preserve"> v 1. pololetí 2013 vzrostl </w:t>
      </w:r>
      <w:r w:rsidRPr="00C15F5F">
        <w:rPr>
          <w:rFonts w:ascii="Arial" w:hAnsi="Arial" w:cs="Arial"/>
        </w:rPr>
        <w:t xml:space="preserve">(o 58,5 tis.) </w:t>
      </w:r>
      <w:r w:rsidRPr="00C15F5F">
        <w:rPr>
          <w:rFonts w:ascii="Arial" w:hAnsi="Arial" w:cs="Arial"/>
          <w:b/>
        </w:rPr>
        <w:t xml:space="preserve">na </w:t>
      </w:r>
      <w:r w:rsidRPr="00C15F5F">
        <w:rPr>
          <w:rFonts w:ascii="Arial" w:hAnsi="Arial" w:cs="Arial"/>
          <w:b/>
          <w:bCs/>
        </w:rPr>
        <w:t>570,5</w:t>
      </w:r>
      <w:r w:rsidRPr="00C15F5F">
        <w:rPr>
          <w:rFonts w:ascii="Arial" w:hAnsi="Arial" w:cs="Arial"/>
          <w:b/>
          <w:bCs/>
          <w:sz w:val="18"/>
          <w:szCs w:val="18"/>
        </w:rPr>
        <w:t xml:space="preserve"> </w:t>
      </w:r>
      <w:r w:rsidRPr="00C15F5F">
        <w:rPr>
          <w:rFonts w:ascii="Arial" w:hAnsi="Arial" w:cs="Arial"/>
          <w:b/>
        </w:rPr>
        <w:t>tis.</w:t>
      </w:r>
      <w:r>
        <w:rPr>
          <w:rFonts w:ascii="Arial" w:hAnsi="Arial" w:cs="Arial"/>
          <w:b/>
        </w:rPr>
        <w:t>,</w:t>
      </w:r>
      <w:r w:rsidRPr="00C15F5F">
        <w:rPr>
          <w:rFonts w:ascii="Arial" w:hAnsi="Arial" w:cs="Arial"/>
        </w:rPr>
        <w:t xml:space="preserve"> </w:t>
      </w:r>
      <w:r w:rsidRPr="00F45E2B">
        <w:rPr>
          <w:rFonts w:ascii="Arial" w:hAnsi="Arial" w:cs="Arial"/>
          <w:b/>
        </w:rPr>
        <w:t>p</w:t>
      </w:r>
      <w:r w:rsidRPr="00C15F5F">
        <w:rPr>
          <w:rFonts w:ascii="Arial" w:hAnsi="Arial" w:cs="Arial"/>
          <w:b/>
        </w:rPr>
        <w:t>růměrný</w:t>
      </w:r>
      <w:r w:rsidRPr="00C15F5F">
        <w:rPr>
          <w:rFonts w:ascii="Arial" w:hAnsi="Arial" w:cs="Arial"/>
        </w:rPr>
        <w:t xml:space="preserve"> </w:t>
      </w:r>
      <w:r w:rsidRPr="00C15F5F">
        <w:rPr>
          <w:rFonts w:ascii="Arial" w:hAnsi="Arial" w:cs="Arial"/>
          <w:b/>
          <w:bCs/>
        </w:rPr>
        <w:t>počet dosažitelných</w:t>
      </w:r>
      <w:r w:rsidRPr="00C15F5F">
        <w:rPr>
          <w:rFonts w:ascii="Arial" w:hAnsi="Arial" w:cs="Arial"/>
        </w:rPr>
        <w:t xml:space="preserve"> uchazečů o zaměstnání činil </w:t>
      </w:r>
      <w:r w:rsidRPr="00C15F5F">
        <w:rPr>
          <w:rFonts w:ascii="Arial" w:hAnsi="Arial" w:cs="Arial"/>
          <w:b/>
        </w:rPr>
        <w:t>556,9 tis.</w:t>
      </w:r>
      <w:r w:rsidRPr="00C15F5F">
        <w:rPr>
          <w:rFonts w:ascii="Arial" w:hAnsi="Arial" w:cs="Arial"/>
        </w:rPr>
        <w:t xml:space="preserve">, z toho </w:t>
      </w:r>
      <w:r w:rsidRPr="00C15F5F">
        <w:rPr>
          <w:rFonts w:ascii="Arial" w:hAnsi="Arial" w:cs="Arial"/>
          <w:b/>
        </w:rPr>
        <w:t>ve věku 15 – 64 let</w:t>
      </w:r>
      <w:r w:rsidRPr="00C15F5F">
        <w:rPr>
          <w:rFonts w:ascii="Arial" w:hAnsi="Arial" w:cs="Arial"/>
        </w:rPr>
        <w:t xml:space="preserve">, rozhodujících </w:t>
      </w:r>
      <w:r w:rsidRPr="00C15F5F">
        <w:rPr>
          <w:rFonts w:ascii="Arial" w:hAnsi="Arial" w:cs="Arial"/>
          <w:b/>
        </w:rPr>
        <w:t>pro výpočet podílu nezaměstnaných osob</w:t>
      </w:r>
      <w:r w:rsidRPr="00C15F5F">
        <w:rPr>
          <w:rStyle w:val="Znakapoznpodarou"/>
          <w:b/>
          <w:bCs/>
        </w:rPr>
        <w:footnoteReference w:id="3"/>
      </w:r>
      <w:r w:rsidRPr="00C15F5F">
        <w:rPr>
          <w:rFonts w:ascii="Arial" w:hAnsi="Arial" w:cs="Arial"/>
        </w:rPr>
        <w:t>,</w:t>
      </w:r>
      <w:r>
        <w:rPr>
          <w:rFonts w:ascii="Arial" w:hAnsi="Arial" w:cs="Arial"/>
        </w:rPr>
        <w:t xml:space="preserve"> </w:t>
      </w:r>
      <w:r w:rsidRPr="00C15F5F">
        <w:rPr>
          <w:rFonts w:ascii="Arial" w:hAnsi="Arial" w:cs="Arial"/>
          <w:b/>
        </w:rPr>
        <w:t>555,4 tis.</w:t>
      </w:r>
      <w:r>
        <w:rPr>
          <w:rFonts w:ascii="Arial" w:hAnsi="Arial" w:cs="Arial"/>
          <w:b/>
        </w:rPr>
        <w:t xml:space="preserve"> </w:t>
      </w:r>
      <w:r w:rsidRPr="00FA53E0">
        <w:rPr>
          <w:rFonts w:ascii="Arial" w:hAnsi="Arial" w:cs="Arial"/>
        </w:rPr>
        <w:t>(tj. 97,5 % všech uchazečů o zaměstnání).</w:t>
      </w:r>
      <w:r>
        <w:rPr>
          <w:rFonts w:ascii="Arial" w:hAnsi="Arial" w:cs="Arial"/>
        </w:rPr>
        <w:t xml:space="preserve"> </w:t>
      </w:r>
    </w:p>
    <w:p w:rsidR="00730AC8" w:rsidRPr="006563F7" w:rsidRDefault="00730AC8" w:rsidP="00730AC8">
      <w:pPr>
        <w:tabs>
          <w:tab w:val="left" w:pos="900"/>
        </w:tabs>
        <w:ind w:firstLine="720"/>
        <w:jc w:val="both"/>
        <w:rPr>
          <w:rFonts w:ascii="Arial" w:hAnsi="Arial" w:cs="Arial"/>
          <w:b/>
          <w:sz w:val="23"/>
          <w:szCs w:val="23"/>
        </w:rPr>
      </w:pPr>
      <w:r>
        <w:rPr>
          <w:rFonts w:ascii="Arial" w:hAnsi="Arial" w:cs="Arial"/>
          <w:b/>
          <w:sz w:val="23"/>
          <w:szCs w:val="23"/>
          <w:highlight w:val="yellow"/>
        </w:rPr>
        <w:br w:type="column"/>
      </w:r>
      <w:r w:rsidRPr="0045098B">
        <w:rPr>
          <w:rFonts w:ascii="Arial" w:hAnsi="Arial" w:cs="Arial"/>
          <w:b/>
          <w:sz w:val="23"/>
          <w:szCs w:val="23"/>
        </w:rPr>
        <w:lastRenderedPageBreak/>
        <w:t>Uchazeči o zaměstnání, volná místa a podíl nezaměstnaných osob</w:t>
      </w:r>
    </w:p>
    <w:tbl>
      <w:tblPr>
        <w:tblW w:w="9132" w:type="dxa"/>
        <w:tblInd w:w="70" w:type="dxa"/>
        <w:tblCellMar>
          <w:left w:w="70" w:type="dxa"/>
          <w:right w:w="70" w:type="dxa"/>
        </w:tblCellMar>
        <w:tblLook w:val="04A0" w:firstRow="1" w:lastRow="0" w:firstColumn="1" w:lastColumn="0" w:noHBand="0" w:noVBand="1"/>
      </w:tblPr>
      <w:tblGrid>
        <w:gridCol w:w="2740"/>
        <w:gridCol w:w="830"/>
        <w:gridCol w:w="820"/>
        <w:gridCol w:w="641"/>
        <w:gridCol w:w="641"/>
        <w:gridCol w:w="641"/>
        <w:gridCol w:w="641"/>
        <w:gridCol w:w="641"/>
        <w:gridCol w:w="641"/>
        <w:gridCol w:w="896"/>
      </w:tblGrid>
      <w:tr w:rsidR="00730AC8" w:rsidRPr="009B0D99" w:rsidTr="002F5109">
        <w:trPr>
          <w:trHeight w:val="270"/>
        </w:trPr>
        <w:tc>
          <w:tcPr>
            <w:tcW w:w="2740" w:type="dxa"/>
            <w:noWrap/>
            <w:vAlign w:val="bottom"/>
            <w:hideMark/>
          </w:tcPr>
          <w:p w:rsidR="00730AC8" w:rsidRPr="006563F7" w:rsidRDefault="00730AC8" w:rsidP="002F5109">
            <w:pPr>
              <w:spacing w:after="200" w:line="276" w:lineRule="auto"/>
              <w:rPr>
                <w:rFonts w:ascii="Calibri" w:eastAsia="Calibri" w:hAnsi="Calibri"/>
                <w:sz w:val="22"/>
                <w:szCs w:val="22"/>
                <w:lang w:eastAsia="en-US"/>
              </w:rPr>
            </w:pPr>
          </w:p>
        </w:tc>
        <w:tc>
          <w:tcPr>
            <w:tcW w:w="830" w:type="dxa"/>
            <w:noWrap/>
            <w:vAlign w:val="bottom"/>
            <w:hideMark/>
          </w:tcPr>
          <w:p w:rsidR="00730AC8" w:rsidRPr="006563F7" w:rsidRDefault="00730AC8" w:rsidP="002F5109">
            <w:pPr>
              <w:spacing w:after="200" w:line="276" w:lineRule="auto"/>
              <w:rPr>
                <w:rFonts w:ascii="Calibri" w:eastAsia="Calibri" w:hAnsi="Calibri"/>
                <w:sz w:val="22"/>
                <w:szCs w:val="22"/>
                <w:lang w:eastAsia="en-US"/>
              </w:rPr>
            </w:pPr>
          </w:p>
        </w:tc>
        <w:tc>
          <w:tcPr>
            <w:tcW w:w="820" w:type="dxa"/>
            <w:noWrap/>
            <w:vAlign w:val="bottom"/>
            <w:hideMark/>
          </w:tcPr>
          <w:p w:rsidR="00730AC8" w:rsidRPr="006563F7" w:rsidRDefault="00730AC8" w:rsidP="002F5109">
            <w:pPr>
              <w:spacing w:after="200" w:line="276" w:lineRule="auto"/>
              <w:rPr>
                <w:rFonts w:ascii="Calibri" w:eastAsia="Calibri" w:hAnsi="Calibri"/>
                <w:sz w:val="22"/>
                <w:szCs w:val="22"/>
                <w:lang w:eastAsia="en-US"/>
              </w:rPr>
            </w:pPr>
          </w:p>
        </w:tc>
        <w:tc>
          <w:tcPr>
            <w:tcW w:w="641" w:type="dxa"/>
            <w:noWrap/>
            <w:vAlign w:val="bottom"/>
            <w:hideMark/>
          </w:tcPr>
          <w:p w:rsidR="00730AC8" w:rsidRPr="006563F7" w:rsidRDefault="00730AC8" w:rsidP="002F5109">
            <w:pPr>
              <w:spacing w:after="200" w:line="276" w:lineRule="auto"/>
              <w:rPr>
                <w:rFonts w:ascii="Calibri" w:eastAsia="Calibri" w:hAnsi="Calibri"/>
                <w:sz w:val="22"/>
                <w:szCs w:val="22"/>
                <w:lang w:eastAsia="en-US"/>
              </w:rPr>
            </w:pPr>
          </w:p>
        </w:tc>
        <w:tc>
          <w:tcPr>
            <w:tcW w:w="641" w:type="dxa"/>
            <w:noWrap/>
            <w:vAlign w:val="bottom"/>
            <w:hideMark/>
          </w:tcPr>
          <w:p w:rsidR="00730AC8" w:rsidRPr="006563F7" w:rsidRDefault="00730AC8" w:rsidP="002F5109">
            <w:pPr>
              <w:spacing w:after="200" w:line="276" w:lineRule="auto"/>
              <w:rPr>
                <w:rFonts w:ascii="Calibri" w:eastAsia="Calibri" w:hAnsi="Calibri"/>
                <w:sz w:val="22"/>
                <w:szCs w:val="22"/>
                <w:lang w:eastAsia="en-US"/>
              </w:rPr>
            </w:pPr>
          </w:p>
        </w:tc>
        <w:tc>
          <w:tcPr>
            <w:tcW w:w="641" w:type="dxa"/>
            <w:noWrap/>
            <w:vAlign w:val="bottom"/>
            <w:hideMark/>
          </w:tcPr>
          <w:p w:rsidR="00730AC8" w:rsidRPr="006563F7" w:rsidRDefault="00730AC8" w:rsidP="002F5109">
            <w:pPr>
              <w:spacing w:after="200" w:line="276" w:lineRule="auto"/>
              <w:rPr>
                <w:rFonts w:ascii="Calibri" w:eastAsia="Calibri" w:hAnsi="Calibri"/>
                <w:sz w:val="22"/>
                <w:szCs w:val="22"/>
                <w:lang w:eastAsia="en-US"/>
              </w:rPr>
            </w:pPr>
          </w:p>
        </w:tc>
        <w:tc>
          <w:tcPr>
            <w:tcW w:w="641" w:type="dxa"/>
            <w:noWrap/>
            <w:vAlign w:val="bottom"/>
            <w:hideMark/>
          </w:tcPr>
          <w:p w:rsidR="00730AC8" w:rsidRPr="006563F7" w:rsidRDefault="00730AC8" w:rsidP="002F5109">
            <w:pPr>
              <w:spacing w:after="200" w:line="276" w:lineRule="auto"/>
              <w:rPr>
                <w:rFonts w:ascii="Calibri" w:eastAsia="Calibri" w:hAnsi="Calibri"/>
                <w:sz w:val="22"/>
                <w:szCs w:val="22"/>
                <w:lang w:eastAsia="en-US"/>
              </w:rPr>
            </w:pPr>
          </w:p>
        </w:tc>
        <w:tc>
          <w:tcPr>
            <w:tcW w:w="641" w:type="dxa"/>
            <w:noWrap/>
            <w:vAlign w:val="bottom"/>
            <w:hideMark/>
          </w:tcPr>
          <w:p w:rsidR="00730AC8" w:rsidRPr="006563F7" w:rsidRDefault="00730AC8" w:rsidP="002F5109">
            <w:pPr>
              <w:spacing w:after="200" w:line="276" w:lineRule="auto"/>
              <w:rPr>
                <w:rFonts w:ascii="Calibri" w:eastAsia="Calibri" w:hAnsi="Calibri"/>
                <w:sz w:val="22"/>
                <w:szCs w:val="22"/>
                <w:lang w:eastAsia="en-US"/>
              </w:rPr>
            </w:pPr>
          </w:p>
        </w:tc>
        <w:tc>
          <w:tcPr>
            <w:tcW w:w="641" w:type="dxa"/>
            <w:noWrap/>
            <w:vAlign w:val="bottom"/>
            <w:hideMark/>
          </w:tcPr>
          <w:p w:rsidR="00730AC8" w:rsidRPr="006563F7" w:rsidRDefault="00730AC8" w:rsidP="002F5109">
            <w:pPr>
              <w:spacing w:after="200" w:line="276" w:lineRule="auto"/>
              <w:rPr>
                <w:rFonts w:ascii="Calibri" w:eastAsia="Calibri" w:hAnsi="Calibri"/>
                <w:sz w:val="22"/>
                <w:szCs w:val="22"/>
                <w:lang w:eastAsia="en-US"/>
              </w:rPr>
            </w:pPr>
          </w:p>
        </w:tc>
        <w:tc>
          <w:tcPr>
            <w:tcW w:w="896" w:type="dxa"/>
            <w:noWrap/>
            <w:vAlign w:val="bottom"/>
            <w:hideMark/>
          </w:tcPr>
          <w:p w:rsidR="00730AC8" w:rsidRDefault="00730AC8" w:rsidP="002F5109">
            <w:pPr>
              <w:spacing w:line="276" w:lineRule="auto"/>
              <w:rPr>
                <w:rFonts w:ascii="Arial" w:hAnsi="Arial" w:cs="Arial"/>
                <w:sz w:val="20"/>
                <w:szCs w:val="20"/>
                <w:lang w:eastAsia="en-US"/>
              </w:rPr>
            </w:pPr>
            <w:r w:rsidRPr="006563F7">
              <w:rPr>
                <w:rFonts w:ascii="Arial" w:hAnsi="Arial" w:cs="Arial"/>
                <w:sz w:val="20"/>
                <w:szCs w:val="20"/>
                <w:lang w:eastAsia="en-US"/>
              </w:rPr>
              <w:t>tab.č.</w:t>
            </w:r>
            <w:r>
              <w:rPr>
                <w:rFonts w:ascii="Arial" w:hAnsi="Arial" w:cs="Arial"/>
                <w:sz w:val="20"/>
                <w:szCs w:val="20"/>
                <w:lang w:eastAsia="en-US"/>
              </w:rPr>
              <w:t>16</w:t>
            </w:r>
          </w:p>
        </w:tc>
      </w:tr>
      <w:tr w:rsidR="00730AC8" w:rsidRPr="009B0D99" w:rsidTr="002F5109">
        <w:trPr>
          <w:trHeight w:val="399"/>
        </w:trPr>
        <w:tc>
          <w:tcPr>
            <w:tcW w:w="2740" w:type="dxa"/>
            <w:tcBorders>
              <w:top w:val="double" w:sz="6" w:space="0" w:color="auto"/>
              <w:left w:val="double" w:sz="6" w:space="0" w:color="auto"/>
              <w:bottom w:val="nil"/>
              <w:right w:val="double" w:sz="6" w:space="0" w:color="auto"/>
            </w:tcBorders>
            <w:noWrap/>
            <w:vAlign w:val="bottom"/>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 </w:t>
            </w:r>
          </w:p>
        </w:tc>
        <w:tc>
          <w:tcPr>
            <w:tcW w:w="830" w:type="dxa"/>
            <w:vMerge w:val="restart"/>
            <w:tcBorders>
              <w:top w:val="double" w:sz="6" w:space="0" w:color="auto"/>
              <w:left w:val="double" w:sz="6" w:space="0" w:color="auto"/>
              <w:bottom w:val="single" w:sz="4" w:space="0" w:color="000000"/>
              <w:right w:val="double" w:sz="6" w:space="0" w:color="auto"/>
            </w:tcBorders>
            <w:vAlign w:val="center"/>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1.pol.        2012 průměr</w:t>
            </w:r>
          </w:p>
        </w:tc>
        <w:tc>
          <w:tcPr>
            <w:tcW w:w="820" w:type="dxa"/>
            <w:vMerge w:val="restart"/>
            <w:tcBorders>
              <w:top w:val="double" w:sz="6" w:space="0" w:color="auto"/>
              <w:left w:val="double" w:sz="6" w:space="0" w:color="auto"/>
              <w:bottom w:val="single" w:sz="4" w:space="0" w:color="000000"/>
              <w:right w:val="single" w:sz="4" w:space="0" w:color="auto"/>
            </w:tcBorders>
            <w:vAlign w:val="center"/>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31.12. 2012</w:t>
            </w:r>
          </w:p>
        </w:tc>
        <w:tc>
          <w:tcPr>
            <w:tcW w:w="3846" w:type="dxa"/>
            <w:gridSpan w:val="6"/>
            <w:tcBorders>
              <w:top w:val="double" w:sz="6" w:space="0" w:color="auto"/>
              <w:left w:val="nil"/>
              <w:bottom w:val="single" w:sz="4" w:space="0" w:color="auto"/>
              <w:right w:val="double" w:sz="6" w:space="0" w:color="000000"/>
            </w:tcBorders>
            <w:noWrap/>
            <w:vAlign w:val="center"/>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1. pololetí 2013</w:t>
            </w:r>
          </w:p>
        </w:tc>
        <w:tc>
          <w:tcPr>
            <w:tcW w:w="896" w:type="dxa"/>
            <w:vMerge w:val="restart"/>
            <w:tcBorders>
              <w:top w:val="double" w:sz="6" w:space="0" w:color="auto"/>
              <w:left w:val="double" w:sz="6" w:space="0" w:color="auto"/>
              <w:bottom w:val="single" w:sz="4" w:space="0" w:color="000000"/>
              <w:right w:val="double" w:sz="6" w:space="0" w:color="auto"/>
            </w:tcBorders>
            <w:vAlign w:val="center"/>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1.pol. 2013 průměr</w:t>
            </w:r>
          </w:p>
        </w:tc>
      </w:tr>
      <w:tr w:rsidR="00730AC8" w:rsidRPr="009B0D99" w:rsidTr="002F5109">
        <w:trPr>
          <w:trHeight w:val="300"/>
        </w:trPr>
        <w:tc>
          <w:tcPr>
            <w:tcW w:w="2740" w:type="dxa"/>
            <w:tcBorders>
              <w:top w:val="nil"/>
              <w:left w:val="double" w:sz="6" w:space="0" w:color="auto"/>
              <w:bottom w:val="single" w:sz="4" w:space="0" w:color="auto"/>
              <w:right w:val="double" w:sz="6" w:space="0" w:color="auto"/>
            </w:tcBorders>
            <w:noWrap/>
            <w:vAlign w:val="bottom"/>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 </w:t>
            </w:r>
          </w:p>
        </w:tc>
        <w:tc>
          <w:tcPr>
            <w:tcW w:w="0" w:type="auto"/>
            <w:vMerge/>
            <w:tcBorders>
              <w:top w:val="double" w:sz="6" w:space="0" w:color="auto"/>
              <w:left w:val="double" w:sz="6" w:space="0" w:color="auto"/>
              <w:bottom w:val="single" w:sz="4" w:space="0" w:color="000000"/>
              <w:right w:val="double" w:sz="6" w:space="0" w:color="auto"/>
            </w:tcBorders>
            <w:vAlign w:val="center"/>
            <w:hideMark/>
          </w:tcPr>
          <w:p w:rsidR="00730AC8" w:rsidRDefault="00730AC8" w:rsidP="002F5109">
            <w:pPr>
              <w:rPr>
                <w:rFonts w:ascii="Arial" w:hAnsi="Arial" w:cs="Arial"/>
                <w:b/>
                <w:bCs/>
                <w:sz w:val="20"/>
                <w:szCs w:val="20"/>
                <w:lang w:eastAsia="en-US"/>
              </w:rPr>
            </w:pPr>
          </w:p>
        </w:tc>
        <w:tc>
          <w:tcPr>
            <w:tcW w:w="0" w:type="auto"/>
            <w:vMerge/>
            <w:tcBorders>
              <w:top w:val="double" w:sz="6" w:space="0" w:color="auto"/>
              <w:left w:val="double" w:sz="6" w:space="0" w:color="auto"/>
              <w:bottom w:val="single" w:sz="4" w:space="0" w:color="000000"/>
              <w:right w:val="single" w:sz="4" w:space="0" w:color="auto"/>
            </w:tcBorders>
            <w:vAlign w:val="center"/>
            <w:hideMark/>
          </w:tcPr>
          <w:p w:rsidR="00730AC8" w:rsidRDefault="00730AC8" w:rsidP="002F5109">
            <w:pPr>
              <w:rPr>
                <w:rFonts w:ascii="Arial" w:hAnsi="Arial" w:cs="Arial"/>
                <w:b/>
                <w:bCs/>
                <w:sz w:val="20"/>
                <w:szCs w:val="20"/>
                <w:lang w:eastAsia="en-US"/>
              </w:rPr>
            </w:pPr>
          </w:p>
        </w:tc>
        <w:tc>
          <w:tcPr>
            <w:tcW w:w="641" w:type="dxa"/>
            <w:tcBorders>
              <w:top w:val="nil"/>
              <w:left w:val="nil"/>
              <w:bottom w:val="single" w:sz="4" w:space="0" w:color="auto"/>
              <w:right w:val="single" w:sz="4" w:space="0" w:color="auto"/>
            </w:tcBorders>
            <w:noWrap/>
            <w:vAlign w:val="bottom"/>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31.1.</w:t>
            </w:r>
          </w:p>
        </w:tc>
        <w:tc>
          <w:tcPr>
            <w:tcW w:w="641" w:type="dxa"/>
            <w:tcBorders>
              <w:top w:val="nil"/>
              <w:left w:val="nil"/>
              <w:bottom w:val="single" w:sz="4" w:space="0" w:color="auto"/>
              <w:right w:val="single" w:sz="4" w:space="0" w:color="auto"/>
            </w:tcBorders>
            <w:noWrap/>
            <w:vAlign w:val="bottom"/>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28.2.</w:t>
            </w:r>
          </w:p>
        </w:tc>
        <w:tc>
          <w:tcPr>
            <w:tcW w:w="641" w:type="dxa"/>
            <w:tcBorders>
              <w:top w:val="nil"/>
              <w:left w:val="nil"/>
              <w:bottom w:val="single" w:sz="4" w:space="0" w:color="auto"/>
              <w:right w:val="single" w:sz="4" w:space="0" w:color="auto"/>
            </w:tcBorders>
            <w:noWrap/>
            <w:vAlign w:val="bottom"/>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31.3.</w:t>
            </w:r>
          </w:p>
        </w:tc>
        <w:tc>
          <w:tcPr>
            <w:tcW w:w="641" w:type="dxa"/>
            <w:tcBorders>
              <w:top w:val="nil"/>
              <w:left w:val="nil"/>
              <w:bottom w:val="single" w:sz="4" w:space="0" w:color="auto"/>
              <w:right w:val="single" w:sz="4" w:space="0" w:color="auto"/>
            </w:tcBorders>
            <w:noWrap/>
            <w:vAlign w:val="bottom"/>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30.4.</w:t>
            </w:r>
          </w:p>
        </w:tc>
        <w:tc>
          <w:tcPr>
            <w:tcW w:w="641" w:type="dxa"/>
            <w:tcBorders>
              <w:top w:val="nil"/>
              <w:left w:val="nil"/>
              <w:bottom w:val="single" w:sz="4" w:space="0" w:color="auto"/>
              <w:right w:val="single" w:sz="4" w:space="0" w:color="auto"/>
            </w:tcBorders>
            <w:noWrap/>
            <w:vAlign w:val="bottom"/>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31.5.</w:t>
            </w:r>
          </w:p>
        </w:tc>
        <w:tc>
          <w:tcPr>
            <w:tcW w:w="641" w:type="dxa"/>
            <w:tcBorders>
              <w:top w:val="nil"/>
              <w:left w:val="nil"/>
              <w:bottom w:val="single" w:sz="4" w:space="0" w:color="auto"/>
              <w:right w:val="nil"/>
            </w:tcBorders>
            <w:noWrap/>
            <w:vAlign w:val="bottom"/>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30.6.</w:t>
            </w:r>
          </w:p>
        </w:tc>
        <w:tc>
          <w:tcPr>
            <w:tcW w:w="0" w:type="auto"/>
            <w:vMerge/>
            <w:tcBorders>
              <w:top w:val="double" w:sz="6" w:space="0" w:color="auto"/>
              <w:left w:val="double" w:sz="6" w:space="0" w:color="auto"/>
              <w:bottom w:val="single" w:sz="4" w:space="0" w:color="000000"/>
              <w:right w:val="double" w:sz="6" w:space="0" w:color="auto"/>
            </w:tcBorders>
            <w:vAlign w:val="center"/>
            <w:hideMark/>
          </w:tcPr>
          <w:p w:rsidR="00730AC8" w:rsidRDefault="00730AC8" w:rsidP="002F5109">
            <w:pPr>
              <w:rPr>
                <w:rFonts w:ascii="Arial" w:hAnsi="Arial" w:cs="Arial"/>
                <w:b/>
                <w:bCs/>
                <w:sz w:val="20"/>
                <w:szCs w:val="20"/>
                <w:lang w:eastAsia="en-US"/>
              </w:rPr>
            </w:pPr>
          </w:p>
        </w:tc>
      </w:tr>
      <w:tr w:rsidR="00730AC8" w:rsidRPr="009B0D99" w:rsidTr="002F5109">
        <w:trPr>
          <w:trHeight w:val="495"/>
        </w:trPr>
        <w:tc>
          <w:tcPr>
            <w:tcW w:w="2740" w:type="dxa"/>
            <w:tcBorders>
              <w:top w:val="nil"/>
              <w:left w:val="double" w:sz="6" w:space="0" w:color="auto"/>
              <w:bottom w:val="single" w:sz="4" w:space="0" w:color="auto"/>
              <w:right w:val="nil"/>
            </w:tcBorders>
            <w:vAlign w:val="bottom"/>
            <w:hideMark/>
          </w:tcPr>
          <w:p w:rsidR="00730AC8" w:rsidRDefault="00730AC8" w:rsidP="002F5109">
            <w:pPr>
              <w:spacing w:line="276" w:lineRule="auto"/>
              <w:rPr>
                <w:rFonts w:ascii="Arial" w:hAnsi="Arial" w:cs="Arial"/>
                <w:b/>
                <w:bCs/>
                <w:sz w:val="19"/>
                <w:szCs w:val="19"/>
                <w:lang w:eastAsia="en-US"/>
              </w:rPr>
            </w:pPr>
            <w:r>
              <w:rPr>
                <w:rFonts w:ascii="Arial" w:hAnsi="Arial" w:cs="Arial"/>
                <w:b/>
                <w:bCs/>
                <w:sz w:val="19"/>
                <w:szCs w:val="19"/>
                <w:lang w:eastAsia="en-US"/>
              </w:rPr>
              <w:t>Uchazeči o zaměstnání                (v tis.)</w:t>
            </w:r>
          </w:p>
        </w:tc>
        <w:tc>
          <w:tcPr>
            <w:tcW w:w="830" w:type="dxa"/>
            <w:tcBorders>
              <w:top w:val="nil"/>
              <w:left w:val="double" w:sz="6" w:space="0" w:color="auto"/>
              <w:bottom w:val="single" w:sz="4" w:space="0" w:color="auto"/>
              <w:right w:val="double" w:sz="6" w:space="0" w:color="auto"/>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512,0</w:t>
            </w:r>
          </w:p>
        </w:tc>
        <w:tc>
          <w:tcPr>
            <w:tcW w:w="820" w:type="dxa"/>
            <w:tcBorders>
              <w:top w:val="nil"/>
              <w:left w:val="nil"/>
              <w:bottom w:val="single" w:sz="4" w:space="0" w:color="auto"/>
              <w:right w:val="nil"/>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545,3</w:t>
            </w:r>
          </w:p>
        </w:tc>
        <w:tc>
          <w:tcPr>
            <w:tcW w:w="641" w:type="dxa"/>
            <w:tcBorders>
              <w:top w:val="nil"/>
              <w:left w:val="single" w:sz="4" w:space="0" w:color="auto"/>
              <w:bottom w:val="single" w:sz="4" w:space="0" w:color="auto"/>
              <w:right w:val="single" w:sz="4" w:space="0" w:color="auto"/>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585,8</w:t>
            </w:r>
          </w:p>
        </w:tc>
        <w:tc>
          <w:tcPr>
            <w:tcW w:w="641" w:type="dxa"/>
            <w:tcBorders>
              <w:top w:val="nil"/>
              <w:left w:val="nil"/>
              <w:bottom w:val="single" w:sz="4" w:space="0" w:color="auto"/>
              <w:right w:val="single" w:sz="4" w:space="0" w:color="auto"/>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593,7</w:t>
            </w:r>
          </w:p>
        </w:tc>
        <w:tc>
          <w:tcPr>
            <w:tcW w:w="641" w:type="dxa"/>
            <w:tcBorders>
              <w:top w:val="nil"/>
              <w:left w:val="nil"/>
              <w:bottom w:val="single" w:sz="4" w:space="0" w:color="auto"/>
              <w:right w:val="single" w:sz="4" w:space="0" w:color="auto"/>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587,8</w:t>
            </w:r>
          </w:p>
        </w:tc>
        <w:tc>
          <w:tcPr>
            <w:tcW w:w="641" w:type="dxa"/>
            <w:tcBorders>
              <w:top w:val="nil"/>
              <w:left w:val="nil"/>
              <w:bottom w:val="single" w:sz="4" w:space="0" w:color="auto"/>
              <w:right w:val="single" w:sz="4" w:space="0" w:color="auto"/>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565,2</w:t>
            </w:r>
          </w:p>
        </w:tc>
        <w:tc>
          <w:tcPr>
            <w:tcW w:w="641" w:type="dxa"/>
            <w:tcBorders>
              <w:top w:val="nil"/>
              <w:left w:val="nil"/>
              <w:bottom w:val="single" w:sz="4" w:space="0" w:color="auto"/>
              <w:right w:val="single" w:sz="4" w:space="0" w:color="auto"/>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547,5</w:t>
            </w:r>
          </w:p>
        </w:tc>
        <w:tc>
          <w:tcPr>
            <w:tcW w:w="641" w:type="dxa"/>
            <w:tcBorders>
              <w:top w:val="nil"/>
              <w:left w:val="nil"/>
              <w:bottom w:val="single" w:sz="4" w:space="0" w:color="auto"/>
              <w:right w:val="nil"/>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540,5</w:t>
            </w:r>
          </w:p>
        </w:tc>
        <w:tc>
          <w:tcPr>
            <w:tcW w:w="896" w:type="dxa"/>
            <w:tcBorders>
              <w:top w:val="nil"/>
              <w:left w:val="double" w:sz="6" w:space="0" w:color="auto"/>
              <w:bottom w:val="single" w:sz="4" w:space="0" w:color="auto"/>
              <w:right w:val="double" w:sz="6" w:space="0" w:color="auto"/>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570,5</w:t>
            </w:r>
          </w:p>
        </w:tc>
      </w:tr>
      <w:tr w:rsidR="00730AC8" w:rsidRPr="009B0D99" w:rsidTr="002F5109">
        <w:trPr>
          <w:trHeight w:val="270"/>
        </w:trPr>
        <w:tc>
          <w:tcPr>
            <w:tcW w:w="2740" w:type="dxa"/>
            <w:tcBorders>
              <w:top w:val="nil"/>
              <w:left w:val="double" w:sz="6" w:space="0" w:color="auto"/>
              <w:bottom w:val="nil"/>
              <w:right w:val="nil"/>
            </w:tcBorders>
            <w:noWrap/>
            <w:vAlign w:val="bottom"/>
            <w:hideMark/>
          </w:tcPr>
          <w:p w:rsidR="00730AC8" w:rsidRDefault="00730AC8" w:rsidP="002F5109">
            <w:pPr>
              <w:spacing w:line="276" w:lineRule="auto"/>
              <w:rPr>
                <w:rFonts w:ascii="Arial" w:hAnsi="Arial" w:cs="Arial"/>
                <w:sz w:val="19"/>
                <w:szCs w:val="19"/>
                <w:lang w:eastAsia="en-US"/>
              </w:rPr>
            </w:pPr>
            <w:r>
              <w:rPr>
                <w:rFonts w:ascii="Arial" w:hAnsi="Arial" w:cs="Arial"/>
                <w:sz w:val="19"/>
                <w:szCs w:val="19"/>
                <w:lang w:eastAsia="en-US"/>
              </w:rPr>
              <w:t xml:space="preserve">      z toho – ženy</w:t>
            </w:r>
          </w:p>
        </w:tc>
        <w:tc>
          <w:tcPr>
            <w:tcW w:w="830" w:type="dxa"/>
            <w:tcBorders>
              <w:top w:val="nil"/>
              <w:left w:val="double" w:sz="6" w:space="0" w:color="auto"/>
              <w:bottom w:val="nil"/>
              <w:right w:val="double" w:sz="6"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251,7</w:t>
            </w:r>
          </w:p>
        </w:tc>
        <w:tc>
          <w:tcPr>
            <w:tcW w:w="820" w:type="dxa"/>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266,6</w:t>
            </w:r>
          </w:p>
        </w:tc>
        <w:tc>
          <w:tcPr>
            <w:tcW w:w="641" w:type="dxa"/>
            <w:tcBorders>
              <w:top w:val="nil"/>
              <w:left w:val="single" w:sz="4" w:space="0" w:color="auto"/>
              <w:bottom w:val="nil"/>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274,5</w:t>
            </w:r>
          </w:p>
        </w:tc>
        <w:tc>
          <w:tcPr>
            <w:tcW w:w="641" w:type="dxa"/>
            <w:tcBorders>
              <w:top w:val="nil"/>
              <w:left w:val="nil"/>
              <w:bottom w:val="nil"/>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276,7</w:t>
            </w:r>
          </w:p>
        </w:tc>
        <w:tc>
          <w:tcPr>
            <w:tcW w:w="641" w:type="dxa"/>
            <w:tcBorders>
              <w:top w:val="nil"/>
              <w:left w:val="nil"/>
              <w:bottom w:val="nil"/>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276,2</w:t>
            </w:r>
          </w:p>
        </w:tc>
        <w:tc>
          <w:tcPr>
            <w:tcW w:w="641" w:type="dxa"/>
            <w:tcBorders>
              <w:top w:val="nil"/>
              <w:left w:val="nil"/>
              <w:bottom w:val="nil"/>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271,8</w:t>
            </w:r>
          </w:p>
        </w:tc>
        <w:tc>
          <w:tcPr>
            <w:tcW w:w="641" w:type="dxa"/>
            <w:tcBorders>
              <w:top w:val="nil"/>
              <w:left w:val="nil"/>
              <w:bottom w:val="nil"/>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268,9</w:t>
            </w:r>
          </w:p>
        </w:tc>
        <w:tc>
          <w:tcPr>
            <w:tcW w:w="641" w:type="dxa"/>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269,2</w:t>
            </w:r>
          </w:p>
        </w:tc>
        <w:tc>
          <w:tcPr>
            <w:tcW w:w="896" w:type="dxa"/>
            <w:tcBorders>
              <w:top w:val="nil"/>
              <w:left w:val="double" w:sz="6" w:space="0" w:color="auto"/>
              <w:bottom w:val="nil"/>
              <w:right w:val="double" w:sz="6"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272,7</w:t>
            </w:r>
          </w:p>
        </w:tc>
      </w:tr>
      <w:tr w:rsidR="00730AC8" w:rsidRPr="009B0D99" w:rsidTr="002F5109">
        <w:trPr>
          <w:trHeight w:val="270"/>
        </w:trPr>
        <w:tc>
          <w:tcPr>
            <w:tcW w:w="2740" w:type="dxa"/>
            <w:tcBorders>
              <w:top w:val="nil"/>
              <w:left w:val="double" w:sz="6" w:space="0" w:color="auto"/>
              <w:bottom w:val="single" w:sz="4" w:space="0" w:color="auto"/>
              <w:right w:val="nil"/>
            </w:tcBorders>
            <w:noWrap/>
            <w:vAlign w:val="bottom"/>
            <w:hideMark/>
          </w:tcPr>
          <w:p w:rsidR="00730AC8" w:rsidRDefault="00730AC8" w:rsidP="002F5109">
            <w:pPr>
              <w:spacing w:line="276" w:lineRule="auto"/>
              <w:rPr>
                <w:rFonts w:ascii="Arial" w:hAnsi="Arial" w:cs="Arial"/>
                <w:sz w:val="19"/>
                <w:szCs w:val="19"/>
                <w:lang w:eastAsia="en-US"/>
              </w:rPr>
            </w:pPr>
            <w:r>
              <w:rPr>
                <w:rFonts w:ascii="Arial" w:hAnsi="Arial" w:cs="Arial"/>
                <w:sz w:val="19"/>
                <w:szCs w:val="19"/>
                <w:lang w:eastAsia="en-US"/>
              </w:rPr>
              <w:t xml:space="preserve">                 – muži</w:t>
            </w:r>
          </w:p>
        </w:tc>
        <w:tc>
          <w:tcPr>
            <w:tcW w:w="830" w:type="dxa"/>
            <w:tcBorders>
              <w:top w:val="nil"/>
              <w:left w:val="double" w:sz="6" w:space="0" w:color="auto"/>
              <w:bottom w:val="nil"/>
              <w:right w:val="double" w:sz="6"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260,3</w:t>
            </w:r>
          </w:p>
        </w:tc>
        <w:tc>
          <w:tcPr>
            <w:tcW w:w="820" w:type="dxa"/>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278,7</w:t>
            </w:r>
          </w:p>
        </w:tc>
        <w:tc>
          <w:tcPr>
            <w:tcW w:w="641" w:type="dxa"/>
            <w:tcBorders>
              <w:top w:val="nil"/>
              <w:left w:val="single" w:sz="4" w:space="0" w:color="auto"/>
              <w:bottom w:val="nil"/>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311,4</w:t>
            </w:r>
          </w:p>
        </w:tc>
        <w:tc>
          <w:tcPr>
            <w:tcW w:w="641" w:type="dxa"/>
            <w:tcBorders>
              <w:top w:val="nil"/>
              <w:left w:val="nil"/>
              <w:bottom w:val="nil"/>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317,0</w:t>
            </w:r>
          </w:p>
        </w:tc>
        <w:tc>
          <w:tcPr>
            <w:tcW w:w="641" w:type="dxa"/>
            <w:tcBorders>
              <w:top w:val="nil"/>
              <w:left w:val="nil"/>
              <w:bottom w:val="nil"/>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311,6</w:t>
            </w:r>
          </w:p>
        </w:tc>
        <w:tc>
          <w:tcPr>
            <w:tcW w:w="641" w:type="dxa"/>
            <w:tcBorders>
              <w:top w:val="nil"/>
              <w:left w:val="nil"/>
              <w:bottom w:val="nil"/>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293,4</w:t>
            </w:r>
          </w:p>
        </w:tc>
        <w:tc>
          <w:tcPr>
            <w:tcW w:w="641" w:type="dxa"/>
            <w:tcBorders>
              <w:top w:val="nil"/>
              <w:left w:val="nil"/>
              <w:bottom w:val="nil"/>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278,5</w:t>
            </w:r>
          </w:p>
        </w:tc>
        <w:tc>
          <w:tcPr>
            <w:tcW w:w="641" w:type="dxa"/>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271,3</w:t>
            </w:r>
          </w:p>
        </w:tc>
        <w:tc>
          <w:tcPr>
            <w:tcW w:w="896" w:type="dxa"/>
            <w:tcBorders>
              <w:top w:val="nil"/>
              <w:left w:val="double" w:sz="6" w:space="0" w:color="auto"/>
              <w:bottom w:val="nil"/>
              <w:right w:val="double" w:sz="6"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297,8</w:t>
            </w:r>
          </w:p>
        </w:tc>
      </w:tr>
      <w:tr w:rsidR="00730AC8" w:rsidRPr="009B0D99" w:rsidTr="002F5109">
        <w:trPr>
          <w:trHeight w:val="270"/>
        </w:trPr>
        <w:tc>
          <w:tcPr>
            <w:tcW w:w="2740" w:type="dxa"/>
            <w:tcBorders>
              <w:top w:val="nil"/>
              <w:left w:val="double" w:sz="6" w:space="0" w:color="auto"/>
              <w:bottom w:val="nil"/>
              <w:right w:val="nil"/>
            </w:tcBorders>
            <w:noWrap/>
            <w:vAlign w:val="bottom"/>
            <w:hideMark/>
          </w:tcPr>
          <w:p w:rsidR="00730AC8" w:rsidRDefault="00730AC8" w:rsidP="002F5109">
            <w:pPr>
              <w:spacing w:line="276" w:lineRule="auto"/>
              <w:rPr>
                <w:rFonts w:ascii="Arial" w:hAnsi="Arial" w:cs="Arial"/>
                <w:sz w:val="19"/>
                <w:szCs w:val="19"/>
                <w:lang w:eastAsia="en-US"/>
              </w:rPr>
            </w:pPr>
            <w:r>
              <w:rPr>
                <w:rFonts w:ascii="Arial" w:hAnsi="Arial" w:cs="Arial"/>
                <w:sz w:val="19"/>
                <w:szCs w:val="19"/>
                <w:lang w:eastAsia="en-US"/>
              </w:rPr>
              <w:t xml:space="preserve">                 – ženy (v %)</w:t>
            </w:r>
          </w:p>
        </w:tc>
        <w:tc>
          <w:tcPr>
            <w:tcW w:w="830" w:type="dxa"/>
            <w:tcBorders>
              <w:top w:val="single" w:sz="4" w:space="0" w:color="auto"/>
              <w:left w:val="double" w:sz="6" w:space="0" w:color="auto"/>
              <w:bottom w:val="nil"/>
              <w:right w:val="double" w:sz="6"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49,2</w:t>
            </w:r>
          </w:p>
        </w:tc>
        <w:tc>
          <w:tcPr>
            <w:tcW w:w="820" w:type="dxa"/>
            <w:tcBorders>
              <w:top w:val="single" w:sz="4" w:space="0" w:color="auto"/>
              <w:left w:val="nil"/>
              <w:bottom w:val="nil"/>
              <w:right w:val="nil"/>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48,9</w:t>
            </w:r>
          </w:p>
        </w:tc>
        <w:tc>
          <w:tcPr>
            <w:tcW w:w="641" w:type="dxa"/>
            <w:tcBorders>
              <w:top w:val="single" w:sz="4" w:space="0" w:color="auto"/>
              <w:left w:val="single" w:sz="4" w:space="0" w:color="auto"/>
              <w:bottom w:val="nil"/>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46,9</w:t>
            </w:r>
          </w:p>
        </w:tc>
        <w:tc>
          <w:tcPr>
            <w:tcW w:w="641" w:type="dxa"/>
            <w:tcBorders>
              <w:top w:val="single" w:sz="4" w:space="0" w:color="auto"/>
              <w:left w:val="nil"/>
              <w:bottom w:val="nil"/>
              <w:right w:val="nil"/>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46,6</w:t>
            </w:r>
          </w:p>
        </w:tc>
        <w:tc>
          <w:tcPr>
            <w:tcW w:w="641" w:type="dxa"/>
            <w:tcBorders>
              <w:top w:val="single" w:sz="4" w:space="0" w:color="auto"/>
              <w:left w:val="single" w:sz="4" w:space="0" w:color="auto"/>
              <w:bottom w:val="nil"/>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47,0</w:t>
            </w:r>
          </w:p>
        </w:tc>
        <w:tc>
          <w:tcPr>
            <w:tcW w:w="641" w:type="dxa"/>
            <w:tcBorders>
              <w:top w:val="single" w:sz="4" w:space="0" w:color="auto"/>
              <w:left w:val="nil"/>
              <w:bottom w:val="nil"/>
              <w:right w:val="nil"/>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48,1</w:t>
            </w:r>
          </w:p>
        </w:tc>
        <w:tc>
          <w:tcPr>
            <w:tcW w:w="641" w:type="dxa"/>
            <w:tcBorders>
              <w:top w:val="single" w:sz="4" w:space="0" w:color="auto"/>
              <w:left w:val="single" w:sz="4" w:space="0" w:color="auto"/>
              <w:bottom w:val="nil"/>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49,1</w:t>
            </w:r>
          </w:p>
        </w:tc>
        <w:tc>
          <w:tcPr>
            <w:tcW w:w="641" w:type="dxa"/>
            <w:tcBorders>
              <w:top w:val="single" w:sz="4" w:space="0" w:color="auto"/>
              <w:left w:val="nil"/>
              <w:bottom w:val="nil"/>
              <w:right w:val="nil"/>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49,8</w:t>
            </w:r>
          </w:p>
        </w:tc>
        <w:tc>
          <w:tcPr>
            <w:tcW w:w="896" w:type="dxa"/>
            <w:tcBorders>
              <w:top w:val="single" w:sz="4" w:space="0" w:color="auto"/>
              <w:left w:val="double" w:sz="6" w:space="0" w:color="auto"/>
              <w:bottom w:val="nil"/>
              <w:right w:val="double" w:sz="6"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47,8</w:t>
            </w:r>
          </w:p>
        </w:tc>
      </w:tr>
      <w:tr w:rsidR="00730AC8" w:rsidRPr="009B0D99" w:rsidTr="002F5109">
        <w:trPr>
          <w:trHeight w:val="270"/>
        </w:trPr>
        <w:tc>
          <w:tcPr>
            <w:tcW w:w="2740" w:type="dxa"/>
            <w:tcBorders>
              <w:top w:val="nil"/>
              <w:left w:val="double" w:sz="6" w:space="0" w:color="auto"/>
              <w:bottom w:val="single" w:sz="4" w:space="0" w:color="auto"/>
              <w:right w:val="nil"/>
            </w:tcBorders>
            <w:noWrap/>
            <w:vAlign w:val="bottom"/>
            <w:hideMark/>
          </w:tcPr>
          <w:p w:rsidR="00730AC8" w:rsidRDefault="00730AC8" w:rsidP="002F5109">
            <w:pPr>
              <w:spacing w:line="276" w:lineRule="auto"/>
              <w:rPr>
                <w:rFonts w:ascii="Arial" w:hAnsi="Arial" w:cs="Arial"/>
                <w:sz w:val="19"/>
                <w:szCs w:val="19"/>
                <w:lang w:eastAsia="en-US"/>
              </w:rPr>
            </w:pPr>
            <w:r>
              <w:rPr>
                <w:rFonts w:ascii="Arial" w:hAnsi="Arial" w:cs="Arial"/>
                <w:sz w:val="19"/>
                <w:szCs w:val="19"/>
                <w:lang w:eastAsia="en-US"/>
              </w:rPr>
              <w:t xml:space="preserve">                 – muži (v %)</w:t>
            </w:r>
          </w:p>
        </w:tc>
        <w:tc>
          <w:tcPr>
            <w:tcW w:w="830" w:type="dxa"/>
            <w:tcBorders>
              <w:top w:val="nil"/>
              <w:left w:val="double" w:sz="6" w:space="0" w:color="auto"/>
              <w:bottom w:val="single" w:sz="4" w:space="0" w:color="auto"/>
              <w:right w:val="double" w:sz="6"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50,8</w:t>
            </w:r>
          </w:p>
        </w:tc>
        <w:tc>
          <w:tcPr>
            <w:tcW w:w="820" w:type="dxa"/>
            <w:tcBorders>
              <w:top w:val="nil"/>
              <w:left w:val="nil"/>
              <w:bottom w:val="single" w:sz="4" w:space="0" w:color="auto"/>
              <w:right w:val="nil"/>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51,1</w:t>
            </w:r>
          </w:p>
        </w:tc>
        <w:tc>
          <w:tcPr>
            <w:tcW w:w="641" w:type="dxa"/>
            <w:tcBorders>
              <w:top w:val="nil"/>
              <w:left w:val="single" w:sz="4" w:space="0" w:color="auto"/>
              <w:bottom w:val="single" w:sz="4" w:space="0" w:color="auto"/>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53,1</w:t>
            </w:r>
          </w:p>
        </w:tc>
        <w:tc>
          <w:tcPr>
            <w:tcW w:w="641" w:type="dxa"/>
            <w:tcBorders>
              <w:top w:val="nil"/>
              <w:left w:val="nil"/>
              <w:bottom w:val="single" w:sz="4" w:space="0" w:color="auto"/>
              <w:right w:val="nil"/>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53,4</w:t>
            </w:r>
          </w:p>
        </w:tc>
        <w:tc>
          <w:tcPr>
            <w:tcW w:w="641" w:type="dxa"/>
            <w:tcBorders>
              <w:top w:val="nil"/>
              <w:left w:val="single" w:sz="4" w:space="0" w:color="auto"/>
              <w:bottom w:val="single" w:sz="4" w:space="0" w:color="auto"/>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53,0</w:t>
            </w:r>
          </w:p>
        </w:tc>
        <w:tc>
          <w:tcPr>
            <w:tcW w:w="641" w:type="dxa"/>
            <w:tcBorders>
              <w:top w:val="nil"/>
              <w:left w:val="nil"/>
              <w:bottom w:val="single" w:sz="4" w:space="0" w:color="auto"/>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51,9</w:t>
            </w:r>
          </w:p>
        </w:tc>
        <w:tc>
          <w:tcPr>
            <w:tcW w:w="641" w:type="dxa"/>
            <w:tcBorders>
              <w:top w:val="nil"/>
              <w:left w:val="nil"/>
              <w:bottom w:val="single" w:sz="4" w:space="0" w:color="auto"/>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50,9</w:t>
            </w:r>
          </w:p>
        </w:tc>
        <w:tc>
          <w:tcPr>
            <w:tcW w:w="641" w:type="dxa"/>
            <w:tcBorders>
              <w:top w:val="nil"/>
              <w:left w:val="nil"/>
              <w:bottom w:val="single" w:sz="4" w:space="0" w:color="auto"/>
              <w:right w:val="nil"/>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50,2</w:t>
            </w:r>
          </w:p>
        </w:tc>
        <w:tc>
          <w:tcPr>
            <w:tcW w:w="896" w:type="dxa"/>
            <w:tcBorders>
              <w:top w:val="nil"/>
              <w:left w:val="double" w:sz="6" w:space="0" w:color="auto"/>
              <w:bottom w:val="single" w:sz="4" w:space="0" w:color="auto"/>
              <w:right w:val="double" w:sz="6"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52,2</w:t>
            </w:r>
          </w:p>
        </w:tc>
      </w:tr>
      <w:tr w:rsidR="00730AC8" w:rsidRPr="009B0D99" w:rsidTr="002F5109">
        <w:trPr>
          <w:trHeight w:val="270"/>
        </w:trPr>
        <w:tc>
          <w:tcPr>
            <w:tcW w:w="2740" w:type="dxa"/>
            <w:tcBorders>
              <w:top w:val="nil"/>
              <w:left w:val="double" w:sz="6" w:space="0" w:color="auto"/>
              <w:bottom w:val="single" w:sz="4" w:space="0" w:color="auto"/>
              <w:right w:val="nil"/>
            </w:tcBorders>
            <w:noWrap/>
            <w:vAlign w:val="bottom"/>
            <w:hideMark/>
          </w:tcPr>
          <w:p w:rsidR="00730AC8" w:rsidRDefault="00730AC8" w:rsidP="002F5109">
            <w:pPr>
              <w:spacing w:line="276" w:lineRule="auto"/>
              <w:rPr>
                <w:rFonts w:ascii="Arial" w:hAnsi="Arial" w:cs="Arial"/>
                <w:b/>
                <w:bCs/>
                <w:sz w:val="19"/>
                <w:szCs w:val="19"/>
                <w:lang w:eastAsia="en-US"/>
              </w:rPr>
            </w:pPr>
            <w:r>
              <w:rPr>
                <w:rFonts w:ascii="Arial" w:hAnsi="Arial" w:cs="Arial"/>
                <w:b/>
                <w:bCs/>
                <w:sz w:val="19"/>
                <w:szCs w:val="19"/>
                <w:lang w:eastAsia="en-US"/>
              </w:rPr>
              <w:t xml:space="preserve">            – dosažitelní</w:t>
            </w:r>
          </w:p>
        </w:tc>
        <w:tc>
          <w:tcPr>
            <w:tcW w:w="830" w:type="dxa"/>
            <w:tcBorders>
              <w:top w:val="nil"/>
              <w:left w:val="double" w:sz="6" w:space="0" w:color="auto"/>
              <w:bottom w:val="single" w:sz="4" w:space="0" w:color="auto"/>
              <w:right w:val="double" w:sz="6"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495,6</w:t>
            </w:r>
          </w:p>
        </w:tc>
        <w:tc>
          <w:tcPr>
            <w:tcW w:w="820" w:type="dxa"/>
            <w:tcBorders>
              <w:top w:val="nil"/>
              <w:left w:val="nil"/>
              <w:bottom w:val="single" w:sz="4" w:space="0" w:color="auto"/>
              <w:right w:val="nil"/>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531,0</w:t>
            </w:r>
          </w:p>
        </w:tc>
        <w:tc>
          <w:tcPr>
            <w:tcW w:w="641" w:type="dxa"/>
            <w:tcBorders>
              <w:top w:val="nil"/>
              <w:left w:val="single" w:sz="4" w:space="0" w:color="auto"/>
              <w:bottom w:val="single" w:sz="4" w:space="0" w:color="auto"/>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571,9</w:t>
            </w:r>
          </w:p>
        </w:tc>
        <w:tc>
          <w:tcPr>
            <w:tcW w:w="641" w:type="dxa"/>
            <w:tcBorders>
              <w:top w:val="nil"/>
              <w:left w:val="nil"/>
              <w:bottom w:val="single" w:sz="4" w:space="0" w:color="auto"/>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580,0</w:t>
            </w:r>
          </w:p>
        </w:tc>
        <w:tc>
          <w:tcPr>
            <w:tcW w:w="641" w:type="dxa"/>
            <w:tcBorders>
              <w:top w:val="nil"/>
              <w:left w:val="nil"/>
              <w:bottom w:val="single" w:sz="4" w:space="0" w:color="auto"/>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574,4</w:t>
            </w:r>
          </w:p>
        </w:tc>
        <w:tc>
          <w:tcPr>
            <w:tcW w:w="641" w:type="dxa"/>
            <w:tcBorders>
              <w:top w:val="nil"/>
              <w:left w:val="nil"/>
              <w:bottom w:val="single" w:sz="4" w:space="0" w:color="auto"/>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552,2</w:t>
            </w:r>
          </w:p>
        </w:tc>
        <w:tc>
          <w:tcPr>
            <w:tcW w:w="641" w:type="dxa"/>
            <w:tcBorders>
              <w:top w:val="nil"/>
              <w:left w:val="nil"/>
              <w:bottom w:val="single" w:sz="4" w:space="0" w:color="auto"/>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534,8</w:t>
            </w:r>
          </w:p>
        </w:tc>
        <w:tc>
          <w:tcPr>
            <w:tcW w:w="641" w:type="dxa"/>
            <w:tcBorders>
              <w:top w:val="nil"/>
              <w:left w:val="nil"/>
              <w:bottom w:val="single" w:sz="4" w:space="0" w:color="auto"/>
              <w:right w:val="nil"/>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525,7</w:t>
            </w:r>
          </w:p>
        </w:tc>
        <w:tc>
          <w:tcPr>
            <w:tcW w:w="896" w:type="dxa"/>
            <w:tcBorders>
              <w:top w:val="nil"/>
              <w:left w:val="double" w:sz="6" w:space="0" w:color="auto"/>
              <w:bottom w:val="single" w:sz="4" w:space="0" w:color="auto"/>
              <w:right w:val="double" w:sz="6"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556,9</w:t>
            </w:r>
          </w:p>
        </w:tc>
      </w:tr>
      <w:tr w:rsidR="00730AC8" w:rsidRPr="009B0D99" w:rsidTr="002F5109">
        <w:trPr>
          <w:trHeight w:val="270"/>
        </w:trPr>
        <w:tc>
          <w:tcPr>
            <w:tcW w:w="2740" w:type="dxa"/>
            <w:tcBorders>
              <w:top w:val="nil"/>
              <w:left w:val="double" w:sz="6" w:space="0" w:color="auto"/>
              <w:bottom w:val="nil"/>
              <w:right w:val="nil"/>
            </w:tcBorders>
            <w:noWrap/>
            <w:vAlign w:val="bottom"/>
            <w:hideMark/>
          </w:tcPr>
          <w:p w:rsidR="00730AC8" w:rsidRDefault="00730AC8" w:rsidP="002F5109">
            <w:pPr>
              <w:spacing w:line="276" w:lineRule="auto"/>
              <w:rPr>
                <w:rFonts w:ascii="Arial" w:hAnsi="Arial" w:cs="Arial"/>
                <w:sz w:val="19"/>
                <w:szCs w:val="19"/>
                <w:lang w:eastAsia="en-US"/>
              </w:rPr>
            </w:pPr>
            <w:r>
              <w:rPr>
                <w:rFonts w:ascii="Arial" w:hAnsi="Arial" w:cs="Arial"/>
                <w:sz w:val="19"/>
                <w:szCs w:val="19"/>
                <w:lang w:eastAsia="en-US"/>
              </w:rPr>
              <w:t xml:space="preserve">                 – ženy</w:t>
            </w:r>
          </w:p>
        </w:tc>
        <w:tc>
          <w:tcPr>
            <w:tcW w:w="830" w:type="dxa"/>
            <w:tcBorders>
              <w:top w:val="nil"/>
              <w:left w:val="double" w:sz="6" w:space="0" w:color="auto"/>
              <w:bottom w:val="nil"/>
              <w:right w:val="double" w:sz="6"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242,9</w:t>
            </w:r>
          </w:p>
        </w:tc>
        <w:tc>
          <w:tcPr>
            <w:tcW w:w="820" w:type="dxa"/>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259,1</w:t>
            </w:r>
          </w:p>
        </w:tc>
        <w:tc>
          <w:tcPr>
            <w:tcW w:w="641" w:type="dxa"/>
            <w:tcBorders>
              <w:top w:val="nil"/>
              <w:left w:val="single" w:sz="4" w:space="0" w:color="auto"/>
              <w:bottom w:val="nil"/>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267,1</w:t>
            </w:r>
          </w:p>
        </w:tc>
        <w:tc>
          <w:tcPr>
            <w:tcW w:w="641" w:type="dxa"/>
            <w:tcBorders>
              <w:top w:val="nil"/>
              <w:left w:val="nil"/>
              <w:bottom w:val="nil"/>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269,5</w:t>
            </w:r>
          </w:p>
        </w:tc>
        <w:tc>
          <w:tcPr>
            <w:tcW w:w="641" w:type="dxa"/>
            <w:tcBorders>
              <w:top w:val="nil"/>
              <w:left w:val="nil"/>
              <w:bottom w:val="nil"/>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269,2</w:t>
            </w:r>
          </w:p>
        </w:tc>
        <w:tc>
          <w:tcPr>
            <w:tcW w:w="641" w:type="dxa"/>
            <w:tcBorders>
              <w:top w:val="nil"/>
              <w:left w:val="nil"/>
              <w:bottom w:val="nil"/>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265,1</w:t>
            </w:r>
          </w:p>
        </w:tc>
        <w:tc>
          <w:tcPr>
            <w:tcW w:w="641" w:type="dxa"/>
            <w:tcBorders>
              <w:top w:val="nil"/>
              <w:left w:val="nil"/>
              <w:bottom w:val="nil"/>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262,3</w:t>
            </w:r>
          </w:p>
        </w:tc>
        <w:tc>
          <w:tcPr>
            <w:tcW w:w="641" w:type="dxa"/>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261,2</w:t>
            </w:r>
          </w:p>
        </w:tc>
        <w:tc>
          <w:tcPr>
            <w:tcW w:w="896" w:type="dxa"/>
            <w:tcBorders>
              <w:top w:val="nil"/>
              <w:left w:val="double" w:sz="6" w:space="0" w:color="auto"/>
              <w:bottom w:val="nil"/>
              <w:right w:val="double" w:sz="6"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265,5</w:t>
            </w:r>
          </w:p>
        </w:tc>
      </w:tr>
      <w:tr w:rsidR="00730AC8" w:rsidRPr="009B0D99" w:rsidTr="002F5109">
        <w:trPr>
          <w:trHeight w:val="270"/>
        </w:trPr>
        <w:tc>
          <w:tcPr>
            <w:tcW w:w="2740" w:type="dxa"/>
            <w:tcBorders>
              <w:top w:val="nil"/>
              <w:left w:val="double" w:sz="6" w:space="0" w:color="auto"/>
              <w:bottom w:val="single" w:sz="4" w:space="0" w:color="auto"/>
              <w:right w:val="nil"/>
            </w:tcBorders>
            <w:noWrap/>
            <w:vAlign w:val="bottom"/>
            <w:hideMark/>
          </w:tcPr>
          <w:p w:rsidR="00730AC8" w:rsidRDefault="00730AC8" w:rsidP="002F5109">
            <w:pPr>
              <w:spacing w:line="276" w:lineRule="auto"/>
              <w:rPr>
                <w:rFonts w:ascii="Arial" w:hAnsi="Arial" w:cs="Arial"/>
                <w:sz w:val="19"/>
                <w:szCs w:val="19"/>
                <w:lang w:eastAsia="en-US"/>
              </w:rPr>
            </w:pPr>
            <w:r>
              <w:rPr>
                <w:rFonts w:ascii="Arial" w:hAnsi="Arial" w:cs="Arial"/>
                <w:sz w:val="19"/>
                <w:szCs w:val="19"/>
                <w:lang w:eastAsia="en-US"/>
              </w:rPr>
              <w:t xml:space="preserve">                 – muži</w:t>
            </w:r>
          </w:p>
        </w:tc>
        <w:tc>
          <w:tcPr>
            <w:tcW w:w="830" w:type="dxa"/>
            <w:tcBorders>
              <w:top w:val="nil"/>
              <w:left w:val="double" w:sz="6" w:space="0" w:color="auto"/>
              <w:bottom w:val="nil"/>
              <w:right w:val="double" w:sz="6"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252,7</w:t>
            </w:r>
          </w:p>
        </w:tc>
        <w:tc>
          <w:tcPr>
            <w:tcW w:w="820" w:type="dxa"/>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271,9</w:t>
            </w:r>
          </w:p>
        </w:tc>
        <w:tc>
          <w:tcPr>
            <w:tcW w:w="641" w:type="dxa"/>
            <w:tcBorders>
              <w:top w:val="nil"/>
              <w:left w:val="single" w:sz="4" w:space="0" w:color="auto"/>
              <w:bottom w:val="single" w:sz="4" w:space="0" w:color="auto"/>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304,8</w:t>
            </w:r>
          </w:p>
        </w:tc>
        <w:tc>
          <w:tcPr>
            <w:tcW w:w="641" w:type="dxa"/>
            <w:tcBorders>
              <w:top w:val="nil"/>
              <w:left w:val="nil"/>
              <w:bottom w:val="single" w:sz="4" w:space="0" w:color="auto"/>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310,5</w:t>
            </w:r>
          </w:p>
        </w:tc>
        <w:tc>
          <w:tcPr>
            <w:tcW w:w="641" w:type="dxa"/>
            <w:tcBorders>
              <w:top w:val="nil"/>
              <w:left w:val="nil"/>
              <w:bottom w:val="single" w:sz="4" w:space="0" w:color="auto"/>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305,2</w:t>
            </w:r>
          </w:p>
        </w:tc>
        <w:tc>
          <w:tcPr>
            <w:tcW w:w="641" w:type="dxa"/>
            <w:tcBorders>
              <w:top w:val="nil"/>
              <w:left w:val="nil"/>
              <w:bottom w:val="single" w:sz="4" w:space="0" w:color="auto"/>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287,2</w:t>
            </w:r>
          </w:p>
        </w:tc>
        <w:tc>
          <w:tcPr>
            <w:tcW w:w="641" w:type="dxa"/>
            <w:tcBorders>
              <w:top w:val="nil"/>
              <w:left w:val="nil"/>
              <w:bottom w:val="single" w:sz="4" w:space="0" w:color="auto"/>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272,5</w:t>
            </w:r>
          </w:p>
        </w:tc>
        <w:tc>
          <w:tcPr>
            <w:tcW w:w="641" w:type="dxa"/>
            <w:tcBorders>
              <w:top w:val="nil"/>
              <w:left w:val="nil"/>
              <w:bottom w:val="single" w:sz="4" w:space="0" w:color="auto"/>
              <w:right w:val="nil"/>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264,5</w:t>
            </w:r>
          </w:p>
        </w:tc>
        <w:tc>
          <w:tcPr>
            <w:tcW w:w="896" w:type="dxa"/>
            <w:tcBorders>
              <w:top w:val="nil"/>
              <w:left w:val="double" w:sz="6" w:space="0" w:color="auto"/>
              <w:bottom w:val="single" w:sz="4" w:space="0" w:color="auto"/>
              <w:right w:val="double" w:sz="6"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291,4</w:t>
            </w:r>
          </w:p>
        </w:tc>
      </w:tr>
      <w:tr w:rsidR="00730AC8" w:rsidRPr="009B0D99" w:rsidTr="002F5109">
        <w:trPr>
          <w:trHeight w:val="270"/>
        </w:trPr>
        <w:tc>
          <w:tcPr>
            <w:tcW w:w="2740" w:type="dxa"/>
            <w:tcBorders>
              <w:top w:val="nil"/>
              <w:left w:val="double" w:sz="6" w:space="0" w:color="auto"/>
              <w:bottom w:val="single" w:sz="4" w:space="0" w:color="auto"/>
              <w:right w:val="nil"/>
            </w:tcBorders>
            <w:noWrap/>
            <w:vAlign w:val="bottom"/>
            <w:hideMark/>
          </w:tcPr>
          <w:p w:rsidR="00730AC8" w:rsidRDefault="00730AC8" w:rsidP="002F5109">
            <w:pPr>
              <w:spacing w:line="276" w:lineRule="auto"/>
              <w:rPr>
                <w:rFonts w:ascii="Arial" w:hAnsi="Arial" w:cs="Arial"/>
                <w:b/>
                <w:bCs/>
                <w:sz w:val="19"/>
                <w:szCs w:val="19"/>
                <w:lang w:eastAsia="en-US"/>
              </w:rPr>
            </w:pPr>
            <w:r>
              <w:rPr>
                <w:rFonts w:ascii="Arial" w:hAnsi="Arial" w:cs="Arial"/>
                <w:b/>
                <w:bCs/>
                <w:sz w:val="19"/>
                <w:szCs w:val="19"/>
                <w:lang w:eastAsia="en-US"/>
              </w:rPr>
              <w:t xml:space="preserve">Pobírající </w:t>
            </w:r>
            <w:proofErr w:type="spellStart"/>
            <w:r>
              <w:rPr>
                <w:rFonts w:ascii="Arial" w:hAnsi="Arial" w:cs="Arial"/>
                <w:b/>
                <w:bCs/>
                <w:sz w:val="19"/>
                <w:szCs w:val="19"/>
                <w:lang w:eastAsia="en-US"/>
              </w:rPr>
              <w:t>PvN</w:t>
            </w:r>
            <w:proofErr w:type="spellEnd"/>
            <w:r>
              <w:rPr>
                <w:rFonts w:ascii="Arial" w:hAnsi="Arial" w:cs="Arial"/>
                <w:b/>
                <w:bCs/>
                <w:sz w:val="19"/>
                <w:szCs w:val="19"/>
                <w:lang w:eastAsia="en-US"/>
              </w:rPr>
              <w:t xml:space="preserve"> (v tis.)</w:t>
            </w:r>
          </w:p>
        </w:tc>
        <w:tc>
          <w:tcPr>
            <w:tcW w:w="830" w:type="dxa"/>
            <w:tcBorders>
              <w:top w:val="single" w:sz="4" w:space="0" w:color="auto"/>
              <w:left w:val="double" w:sz="6" w:space="0" w:color="auto"/>
              <w:bottom w:val="single" w:sz="4" w:space="0" w:color="auto"/>
              <w:right w:val="double" w:sz="6" w:space="0" w:color="auto"/>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115,6</w:t>
            </w:r>
          </w:p>
        </w:tc>
        <w:tc>
          <w:tcPr>
            <w:tcW w:w="820" w:type="dxa"/>
            <w:tcBorders>
              <w:top w:val="single" w:sz="4" w:space="0" w:color="auto"/>
              <w:left w:val="nil"/>
              <w:bottom w:val="single" w:sz="4" w:space="0" w:color="auto"/>
              <w:right w:val="nil"/>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107,9</w:t>
            </w:r>
          </w:p>
        </w:tc>
        <w:tc>
          <w:tcPr>
            <w:tcW w:w="641" w:type="dxa"/>
            <w:tcBorders>
              <w:top w:val="nil"/>
              <w:left w:val="single" w:sz="4" w:space="0" w:color="auto"/>
              <w:bottom w:val="single" w:sz="4" w:space="0" w:color="auto"/>
              <w:right w:val="single" w:sz="4" w:space="0" w:color="auto"/>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138,1</w:t>
            </w:r>
          </w:p>
        </w:tc>
        <w:tc>
          <w:tcPr>
            <w:tcW w:w="641" w:type="dxa"/>
            <w:tcBorders>
              <w:top w:val="nil"/>
              <w:left w:val="nil"/>
              <w:bottom w:val="single" w:sz="4" w:space="0" w:color="auto"/>
              <w:right w:val="single" w:sz="4" w:space="0" w:color="auto"/>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143,8</w:t>
            </w:r>
          </w:p>
        </w:tc>
        <w:tc>
          <w:tcPr>
            <w:tcW w:w="641" w:type="dxa"/>
            <w:tcBorders>
              <w:top w:val="nil"/>
              <w:left w:val="nil"/>
              <w:bottom w:val="single" w:sz="4" w:space="0" w:color="auto"/>
              <w:right w:val="single" w:sz="4" w:space="0" w:color="auto"/>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132,4</w:t>
            </w:r>
          </w:p>
        </w:tc>
        <w:tc>
          <w:tcPr>
            <w:tcW w:w="641" w:type="dxa"/>
            <w:tcBorders>
              <w:top w:val="nil"/>
              <w:left w:val="nil"/>
              <w:bottom w:val="single" w:sz="4" w:space="0" w:color="auto"/>
              <w:right w:val="single" w:sz="4" w:space="0" w:color="auto"/>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126,2</w:t>
            </w:r>
          </w:p>
        </w:tc>
        <w:tc>
          <w:tcPr>
            <w:tcW w:w="641" w:type="dxa"/>
            <w:tcBorders>
              <w:top w:val="nil"/>
              <w:left w:val="nil"/>
              <w:bottom w:val="single" w:sz="4" w:space="0" w:color="auto"/>
              <w:right w:val="single" w:sz="4" w:space="0" w:color="auto"/>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114,6</w:t>
            </w:r>
          </w:p>
        </w:tc>
        <w:tc>
          <w:tcPr>
            <w:tcW w:w="641" w:type="dxa"/>
            <w:tcBorders>
              <w:top w:val="nil"/>
              <w:left w:val="nil"/>
              <w:bottom w:val="single" w:sz="4" w:space="0" w:color="auto"/>
              <w:right w:val="nil"/>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108,9</w:t>
            </w:r>
          </w:p>
        </w:tc>
        <w:tc>
          <w:tcPr>
            <w:tcW w:w="896" w:type="dxa"/>
            <w:tcBorders>
              <w:top w:val="nil"/>
              <w:left w:val="double" w:sz="6" w:space="0" w:color="auto"/>
              <w:bottom w:val="single" w:sz="4" w:space="0" w:color="auto"/>
              <w:right w:val="double" w:sz="6" w:space="0" w:color="auto"/>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127,2</w:t>
            </w:r>
          </w:p>
        </w:tc>
      </w:tr>
      <w:tr w:rsidR="00730AC8" w:rsidRPr="009B0D99" w:rsidTr="002F5109">
        <w:trPr>
          <w:trHeight w:val="270"/>
        </w:trPr>
        <w:tc>
          <w:tcPr>
            <w:tcW w:w="2740" w:type="dxa"/>
            <w:tcBorders>
              <w:top w:val="nil"/>
              <w:left w:val="double" w:sz="6" w:space="0" w:color="auto"/>
              <w:bottom w:val="nil"/>
              <w:right w:val="nil"/>
            </w:tcBorders>
            <w:noWrap/>
            <w:vAlign w:val="bottom"/>
            <w:hideMark/>
          </w:tcPr>
          <w:p w:rsidR="00730AC8" w:rsidRDefault="00730AC8" w:rsidP="002F5109">
            <w:pPr>
              <w:spacing w:line="276" w:lineRule="auto"/>
              <w:rPr>
                <w:rFonts w:ascii="Arial" w:hAnsi="Arial" w:cs="Arial"/>
                <w:sz w:val="19"/>
                <w:szCs w:val="19"/>
                <w:lang w:eastAsia="en-US"/>
              </w:rPr>
            </w:pPr>
            <w:r>
              <w:rPr>
                <w:rFonts w:ascii="Arial" w:hAnsi="Arial" w:cs="Arial"/>
                <w:sz w:val="19"/>
                <w:szCs w:val="19"/>
                <w:lang w:eastAsia="en-US"/>
              </w:rPr>
              <w:t xml:space="preserve">       z toho – ženy</w:t>
            </w:r>
          </w:p>
        </w:tc>
        <w:tc>
          <w:tcPr>
            <w:tcW w:w="830" w:type="dxa"/>
            <w:tcBorders>
              <w:top w:val="nil"/>
              <w:left w:val="double" w:sz="6" w:space="0" w:color="auto"/>
              <w:bottom w:val="nil"/>
              <w:right w:val="double" w:sz="6"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53,7</w:t>
            </w:r>
          </w:p>
        </w:tc>
        <w:tc>
          <w:tcPr>
            <w:tcW w:w="820" w:type="dxa"/>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51,7</w:t>
            </w:r>
          </w:p>
        </w:tc>
        <w:tc>
          <w:tcPr>
            <w:tcW w:w="641" w:type="dxa"/>
            <w:tcBorders>
              <w:top w:val="nil"/>
              <w:left w:val="single" w:sz="4" w:space="0" w:color="auto"/>
              <w:bottom w:val="nil"/>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57,1</w:t>
            </w:r>
          </w:p>
        </w:tc>
        <w:tc>
          <w:tcPr>
            <w:tcW w:w="641" w:type="dxa"/>
            <w:tcBorders>
              <w:top w:val="nil"/>
              <w:left w:val="nil"/>
              <w:bottom w:val="nil"/>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57,5</w:t>
            </w:r>
          </w:p>
        </w:tc>
        <w:tc>
          <w:tcPr>
            <w:tcW w:w="641" w:type="dxa"/>
            <w:tcBorders>
              <w:top w:val="nil"/>
              <w:left w:val="nil"/>
              <w:bottom w:val="nil"/>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54,7</w:t>
            </w:r>
          </w:p>
        </w:tc>
        <w:tc>
          <w:tcPr>
            <w:tcW w:w="641" w:type="dxa"/>
            <w:tcBorders>
              <w:top w:val="nil"/>
              <w:left w:val="nil"/>
              <w:bottom w:val="nil"/>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58,2</w:t>
            </w:r>
          </w:p>
        </w:tc>
        <w:tc>
          <w:tcPr>
            <w:tcW w:w="641" w:type="dxa"/>
            <w:tcBorders>
              <w:top w:val="nil"/>
              <w:left w:val="nil"/>
              <w:bottom w:val="nil"/>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57,3</w:t>
            </w:r>
          </w:p>
        </w:tc>
        <w:tc>
          <w:tcPr>
            <w:tcW w:w="641" w:type="dxa"/>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56,8</w:t>
            </w:r>
          </w:p>
        </w:tc>
        <w:tc>
          <w:tcPr>
            <w:tcW w:w="896" w:type="dxa"/>
            <w:tcBorders>
              <w:top w:val="nil"/>
              <w:left w:val="double" w:sz="6" w:space="0" w:color="auto"/>
              <w:bottom w:val="nil"/>
              <w:right w:val="double" w:sz="6"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56,5</w:t>
            </w:r>
          </w:p>
        </w:tc>
      </w:tr>
      <w:tr w:rsidR="00730AC8" w:rsidRPr="009B0D99" w:rsidTr="002F5109">
        <w:trPr>
          <w:trHeight w:val="270"/>
        </w:trPr>
        <w:tc>
          <w:tcPr>
            <w:tcW w:w="2740" w:type="dxa"/>
            <w:tcBorders>
              <w:top w:val="nil"/>
              <w:left w:val="double" w:sz="6" w:space="0" w:color="auto"/>
              <w:bottom w:val="single" w:sz="4" w:space="0" w:color="auto"/>
              <w:right w:val="nil"/>
            </w:tcBorders>
            <w:noWrap/>
            <w:vAlign w:val="bottom"/>
            <w:hideMark/>
          </w:tcPr>
          <w:p w:rsidR="00730AC8" w:rsidRDefault="00730AC8" w:rsidP="002F5109">
            <w:pPr>
              <w:spacing w:line="276" w:lineRule="auto"/>
              <w:rPr>
                <w:rFonts w:ascii="Arial" w:hAnsi="Arial" w:cs="Arial"/>
                <w:sz w:val="19"/>
                <w:szCs w:val="19"/>
                <w:lang w:eastAsia="en-US"/>
              </w:rPr>
            </w:pPr>
            <w:r>
              <w:rPr>
                <w:rFonts w:ascii="Arial" w:hAnsi="Arial" w:cs="Arial"/>
                <w:sz w:val="19"/>
                <w:szCs w:val="19"/>
                <w:lang w:eastAsia="en-US"/>
              </w:rPr>
              <w:t xml:space="preserve">                  – muži</w:t>
            </w:r>
          </w:p>
        </w:tc>
        <w:tc>
          <w:tcPr>
            <w:tcW w:w="830" w:type="dxa"/>
            <w:tcBorders>
              <w:top w:val="nil"/>
              <w:left w:val="double" w:sz="6" w:space="0" w:color="auto"/>
              <w:bottom w:val="nil"/>
              <w:right w:val="double" w:sz="6"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61,9</w:t>
            </w:r>
          </w:p>
        </w:tc>
        <w:tc>
          <w:tcPr>
            <w:tcW w:w="820" w:type="dxa"/>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56,2</w:t>
            </w:r>
          </w:p>
        </w:tc>
        <w:tc>
          <w:tcPr>
            <w:tcW w:w="641" w:type="dxa"/>
            <w:tcBorders>
              <w:top w:val="nil"/>
              <w:left w:val="single" w:sz="4" w:space="0" w:color="auto"/>
              <w:bottom w:val="single" w:sz="4" w:space="0" w:color="auto"/>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81,0</w:t>
            </w:r>
          </w:p>
        </w:tc>
        <w:tc>
          <w:tcPr>
            <w:tcW w:w="641" w:type="dxa"/>
            <w:tcBorders>
              <w:top w:val="nil"/>
              <w:left w:val="nil"/>
              <w:bottom w:val="single" w:sz="4" w:space="0" w:color="auto"/>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86,2</w:t>
            </w:r>
          </w:p>
        </w:tc>
        <w:tc>
          <w:tcPr>
            <w:tcW w:w="641" w:type="dxa"/>
            <w:tcBorders>
              <w:top w:val="nil"/>
              <w:left w:val="nil"/>
              <w:bottom w:val="single" w:sz="4" w:space="0" w:color="auto"/>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77,7</w:t>
            </w:r>
          </w:p>
        </w:tc>
        <w:tc>
          <w:tcPr>
            <w:tcW w:w="641" w:type="dxa"/>
            <w:tcBorders>
              <w:top w:val="nil"/>
              <w:left w:val="nil"/>
              <w:bottom w:val="single" w:sz="4" w:space="0" w:color="auto"/>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68,0</w:t>
            </w:r>
          </w:p>
        </w:tc>
        <w:tc>
          <w:tcPr>
            <w:tcW w:w="641" w:type="dxa"/>
            <w:tcBorders>
              <w:top w:val="nil"/>
              <w:left w:val="nil"/>
              <w:bottom w:val="single" w:sz="4" w:space="0" w:color="auto"/>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57,3</w:t>
            </w:r>
          </w:p>
        </w:tc>
        <w:tc>
          <w:tcPr>
            <w:tcW w:w="641" w:type="dxa"/>
            <w:tcBorders>
              <w:top w:val="nil"/>
              <w:left w:val="nil"/>
              <w:bottom w:val="single" w:sz="4" w:space="0" w:color="auto"/>
              <w:right w:val="nil"/>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52,1</w:t>
            </w:r>
          </w:p>
        </w:tc>
        <w:tc>
          <w:tcPr>
            <w:tcW w:w="896" w:type="dxa"/>
            <w:tcBorders>
              <w:top w:val="nil"/>
              <w:left w:val="double" w:sz="6" w:space="0" w:color="auto"/>
              <w:bottom w:val="single" w:sz="4" w:space="0" w:color="auto"/>
              <w:right w:val="double" w:sz="6"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70,7</w:t>
            </w:r>
          </w:p>
        </w:tc>
      </w:tr>
      <w:tr w:rsidR="00730AC8" w:rsidRPr="009B0D99" w:rsidTr="002F5109">
        <w:trPr>
          <w:trHeight w:val="510"/>
        </w:trPr>
        <w:tc>
          <w:tcPr>
            <w:tcW w:w="2740" w:type="dxa"/>
            <w:tcBorders>
              <w:top w:val="nil"/>
              <w:left w:val="double" w:sz="6" w:space="0" w:color="auto"/>
              <w:bottom w:val="nil"/>
              <w:right w:val="nil"/>
            </w:tcBorders>
            <w:vAlign w:val="bottom"/>
            <w:hideMark/>
          </w:tcPr>
          <w:p w:rsidR="00730AC8" w:rsidRDefault="00730AC8" w:rsidP="002F5109">
            <w:pPr>
              <w:spacing w:line="276" w:lineRule="auto"/>
              <w:rPr>
                <w:rFonts w:ascii="Arial" w:hAnsi="Arial" w:cs="Arial"/>
                <w:b/>
                <w:bCs/>
                <w:sz w:val="19"/>
                <w:szCs w:val="19"/>
                <w:lang w:eastAsia="en-US"/>
              </w:rPr>
            </w:pPr>
            <w:r>
              <w:rPr>
                <w:rFonts w:ascii="Arial" w:hAnsi="Arial" w:cs="Arial"/>
                <w:b/>
                <w:bCs/>
                <w:sz w:val="19"/>
                <w:szCs w:val="19"/>
                <w:lang w:eastAsia="en-US"/>
              </w:rPr>
              <w:t xml:space="preserve">Pobírající </w:t>
            </w:r>
            <w:proofErr w:type="spellStart"/>
            <w:r>
              <w:rPr>
                <w:rFonts w:ascii="Arial" w:hAnsi="Arial" w:cs="Arial"/>
                <w:b/>
                <w:bCs/>
                <w:sz w:val="19"/>
                <w:szCs w:val="19"/>
                <w:lang w:eastAsia="en-US"/>
              </w:rPr>
              <w:t>PvN</w:t>
            </w:r>
            <w:proofErr w:type="spellEnd"/>
            <w:r>
              <w:rPr>
                <w:rFonts w:ascii="Arial" w:hAnsi="Arial" w:cs="Arial"/>
                <w:b/>
                <w:bCs/>
                <w:sz w:val="19"/>
                <w:szCs w:val="19"/>
                <w:lang w:eastAsia="en-US"/>
              </w:rPr>
              <w:t xml:space="preserve"> na celkovém počtu uchazečů (v %)</w:t>
            </w:r>
          </w:p>
        </w:tc>
        <w:tc>
          <w:tcPr>
            <w:tcW w:w="830" w:type="dxa"/>
            <w:tcBorders>
              <w:top w:val="single" w:sz="4" w:space="0" w:color="auto"/>
              <w:left w:val="double" w:sz="6" w:space="0" w:color="auto"/>
              <w:bottom w:val="single" w:sz="4" w:space="0" w:color="auto"/>
              <w:right w:val="double" w:sz="6" w:space="0" w:color="auto"/>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22,6</w:t>
            </w:r>
          </w:p>
        </w:tc>
        <w:tc>
          <w:tcPr>
            <w:tcW w:w="820" w:type="dxa"/>
            <w:tcBorders>
              <w:top w:val="single" w:sz="4" w:space="0" w:color="auto"/>
              <w:left w:val="nil"/>
              <w:bottom w:val="single" w:sz="4" w:space="0" w:color="auto"/>
              <w:right w:val="nil"/>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19,8</w:t>
            </w:r>
          </w:p>
        </w:tc>
        <w:tc>
          <w:tcPr>
            <w:tcW w:w="641" w:type="dxa"/>
            <w:tcBorders>
              <w:top w:val="nil"/>
              <w:left w:val="single" w:sz="4" w:space="0" w:color="auto"/>
              <w:bottom w:val="nil"/>
              <w:right w:val="single" w:sz="4" w:space="0" w:color="auto"/>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23,6</w:t>
            </w:r>
          </w:p>
        </w:tc>
        <w:tc>
          <w:tcPr>
            <w:tcW w:w="641" w:type="dxa"/>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24,2</w:t>
            </w:r>
          </w:p>
        </w:tc>
        <w:tc>
          <w:tcPr>
            <w:tcW w:w="641" w:type="dxa"/>
            <w:tcBorders>
              <w:top w:val="nil"/>
              <w:left w:val="single" w:sz="4" w:space="0" w:color="auto"/>
              <w:bottom w:val="nil"/>
              <w:right w:val="single" w:sz="4" w:space="0" w:color="auto"/>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22,5</w:t>
            </w:r>
          </w:p>
        </w:tc>
        <w:tc>
          <w:tcPr>
            <w:tcW w:w="641" w:type="dxa"/>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22,3</w:t>
            </w:r>
          </w:p>
        </w:tc>
        <w:tc>
          <w:tcPr>
            <w:tcW w:w="641" w:type="dxa"/>
            <w:tcBorders>
              <w:top w:val="nil"/>
              <w:left w:val="single" w:sz="4" w:space="0" w:color="auto"/>
              <w:bottom w:val="nil"/>
              <w:right w:val="single" w:sz="4" w:space="0" w:color="auto"/>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20,9</w:t>
            </w:r>
          </w:p>
        </w:tc>
        <w:tc>
          <w:tcPr>
            <w:tcW w:w="641" w:type="dxa"/>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20,2</w:t>
            </w:r>
          </w:p>
        </w:tc>
        <w:tc>
          <w:tcPr>
            <w:tcW w:w="896" w:type="dxa"/>
            <w:tcBorders>
              <w:top w:val="nil"/>
              <w:left w:val="double" w:sz="6" w:space="0" w:color="auto"/>
              <w:bottom w:val="nil"/>
              <w:right w:val="double" w:sz="6" w:space="0" w:color="auto"/>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22,3</w:t>
            </w:r>
          </w:p>
        </w:tc>
      </w:tr>
      <w:tr w:rsidR="00730AC8" w:rsidRPr="009B0D99" w:rsidTr="002F5109">
        <w:trPr>
          <w:trHeight w:val="270"/>
        </w:trPr>
        <w:tc>
          <w:tcPr>
            <w:tcW w:w="2740" w:type="dxa"/>
            <w:tcBorders>
              <w:top w:val="single" w:sz="4" w:space="0" w:color="auto"/>
              <w:left w:val="double" w:sz="6" w:space="0" w:color="auto"/>
              <w:bottom w:val="nil"/>
              <w:right w:val="nil"/>
            </w:tcBorders>
            <w:noWrap/>
            <w:vAlign w:val="bottom"/>
            <w:hideMark/>
          </w:tcPr>
          <w:p w:rsidR="00730AC8" w:rsidRDefault="00730AC8" w:rsidP="002F5109">
            <w:pPr>
              <w:spacing w:line="276" w:lineRule="auto"/>
              <w:rPr>
                <w:rFonts w:ascii="Arial" w:hAnsi="Arial" w:cs="Arial"/>
                <w:sz w:val="19"/>
                <w:szCs w:val="19"/>
                <w:lang w:eastAsia="en-US"/>
              </w:rPr>
            </w:pPr>
            <w:r>
              <w:rPr>
                <w:rFonts w:ascii="Arial" w:hAnsi="Arial" w:cs="Arial"/>
                <w:sz w:val="19"/>
                <w:szCs w:val="19"/>
                <w:lang w:eastAsia="en-US"/>
              </w:rPr>
              <w:t xml:space="preserve">                 – ženy (v %)</w:t>
            </w:r>
          </w:p>
        </w:tc>
        <w:tc>
          <w:tcPr>
            <w:tcW w:w="830" w:type="dxa"/>
            <w:tcBorders>
              <w:top w:val="nil"/>
              <w:left w:val="double" w:sz="6" w:space="0" w:color="auto"/>
              <w:bottom w:val="nil"/>
              <w:right w:val="double" w:sz="6"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21,3</w:t>
            </w:r>
          </w:p>
        </w:tc>
        <w:tc>
          <w:tcPr>
            <w:tcW w:w="820" w:type="dxa"/>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19,4</w:t>
            </w:r>
          </w:p>
        </w:tc>
        <w:tc>
          <w:tcPr>
            <w:tcW w:w="641" w:type="dxa"/>
            <w:tcBorders>
              <w:top w:val="single" w:sz="4" w:space="0" w:color="auto"/>
              <w:left w:val="single" w:sz="4" w:space="0" w:color="auto"/>
              <w:bottom w:val="nil"/>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20,8</w:t>
            </w:r>
          </w:p>
        </w:tc>
        <w:tc>
          <w:tcPr>
            <w:tcW w:w="641" w:type="dxa"/>
            <w:tcBorders>
              <w:top w:val="single" w:sz="4" w:space="0" w:color="auto"/>
              <w:left w:val="nil"/>
              <w:bottom w:val="nil"/>
              <w:right w:val="nil"/>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20,8</w:t>
            </w:r>
          </w:p>
        </w:tc>
        <w:tc>
          <w:tcPr>
            <w:tcW w:w="641" w:type="dxa"/>
            <w:tcBorders>
              <w:top w:val="single" w:sz="4" w:space="0" w:color="auto"/>
              <w:left w:val="single" w:sz="4" w:space="0" w:color="auto"/>
              <w:bottom w:val="nil"/>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19,8</w:t>
            </w:r>
          </w:p>
        </w:tc>
        <w:tc>
          <w:tcPr>
            <w:tcW w:w="641" w:type="dxa"/>
            <w:tcBorders>
              <w:top w:val="single" w:sz="4" w:space="0" w:color="auto"/>
              <w:left w:val="nil"/>
              <w:bottom w:val="nil"/>
              <w:right w:val="nil"/>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21,4</w:t>
            </w:r>
          </w:p>
        </w:tc>
        <w:tc>
          <w:tcPr>
            <w:tcW w:w="641" w:type="dxa"/>
            <w:tcBorders>
              <w:top w:val="single" w:sz="4" w:space="0" w:color="auto"/>
              <w:left w:val="single" w:sz="4" w:space="0" w:color="auto"/>
              <w:bottom w:val="nil"/>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21,3</w:t>
            </w:r>
          </w:p>
        </w:tc>
        <w:tc>
          <w:tcPr>
            <w:tcW w:w="641" w:type="dxa"/>
            <w:tcBorders>
              <w:top w:val="single" w:sz="4" w:space="0" w:color="auto"/>
              <w:left w:val="nil"/>
              <w:bottom w:val="nil"/>
              <w:right w:val="nil"/>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21,1</w:t>
            </w:r>
          </w:p>
        </w:tc>
        <w:tc>
          <w:tcPr>
            <w:tcW w:w="896" w:type="dxa"/>
            <w:tcBorders>
              <w:top w:val="single" w:sz="4" w:space="0" w:color="auto"/>
              <w:left w:val="double" w:sz="6" w:space="0" w:color="auto"/>
              <w:bottom w:val="nil"/>
              <w:right w:val="double" w:sz="6"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20,7</w:t>
            </w:r>
          </w:p>
        </w:tc>
      </w:tr>
      <w:tr w:rsidR="00730AC8" w:rsidRPr="009B0D99" w:rsidTr="002F5109">
        <w:trPr>
          <w:trHeight w:val="270"/>
        </w:trPr>
        <w:tc>
          <w:tcPr>
            <w:tcW w:w="2740" w:type="dxa"/>
            <w:tcBorders>
              <w:top w:val="nil"/>
              <w:left w:val="double" w:sz="6" w:space="0" w:color="auto"/>
              <w:bottom w:val="single" w:sz="4" w:space="0" w:color="auto"/>
              <w:right w:val="nil"/>
            </w:tcBorders>
            <w:noWrap/>
            <w:vAlign w:val="bottom"/>
            <w:hideMark/>
          </w:tcPr>
          <w:p w:rsidR="00730AC8" w:rsidRDefault="00730AC8" w:rsidP="002F5109">
            <w:pPr>
              <w:spacing w:line="276" w:lineRule="auto"/>
              <w:rPr>
                <w:rFonts w:ascii="Arial" w:hAnsi="Arial" w:cs="Arial"/>
                <w:sz w:val="19"/>
                <w:szCs w:val="19"/>
                <w:lang w:eastAsia="en-US"/>
              </w:rPr>
            </w:pPr>
            <w:r>
              <w:rPr>
                <w:rFonts w:ascii="Arial" w:hAnsi="Arial" w:cs="Arial"/>
                <w:sz w:val="19"/>
                <w:szCs w:val="19"/>
                <w:lang w:eastAsia="en-US"/>
              </w:rPr>
              <w:t xml:space="preserve">                 – muži (v %)</w:t>
            </w:r>
          </w:p>
        </w:tc>
        <w:tc>
          <w:tcPr>
            <w:tcW w:w="830" w:type="dxa"/>
            <w:tcBorders>
              <w:top w:val="nil"/>
              <w:left w:val="double" w:sz="6" w:space="0" w:color="auto"/>
              <w:bottom w:val="nil"/>
              <w:right w:val="double" w:sz="6"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23,8</w:t>
            </w:r>
          </w:p>
        </w:tc>
        <w:tc>
          <w:tcPr>
            <w:tcW w:w="820" w:type="dxa"/>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20,2</w:t>
            </w:r>
          </w:p>
        </w:tc>
        <w:tc>
          <w:tcPr>
            <w:tcW w:w="641" w:type="dxa"/>
            <w:tcBorders>
              <w:top w:val="nil"/>
              <w:left w:val="single" w:sz="4" w:space="0" w:color="auto"/>
              <w:bottom w:val="single" w:sz="4" w:space="0" w:color="auto"/>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26,0</w:t>
            </w:r>
          </w:p>
        </w:tc>
        <w:tc>
          <w:tcPr>
            <w:tcW w:w="641" w:type="dxa"/>
            <w:tcBorders>
              <w:top w:val="nil"/>
              <w:left w:val="nil"/>
              <w:bottom w:val="single" w:sz="4" w:space="0" w:color="auto"/>
              <w:right w:val="nil"/>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27,2</w:t>
            </w:r>
          </w:p>
        </w:tc>
        <w:tc>
          <w:tcPr>
            <w:tcW w:w="641" w:type="dxa"/>
            <w:tcBorders>
              <w:top w:val="nil"/>
              <w:left w:val="single" w:sz="4" w:space="0" w:color="auto"/>
              <w:bottom w:val="single" w:sz="4" w:space="0" w:color="auto"/>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24,9</w:t>
            </w:r>
          </w:p>
        </w:tc>
        <w:tc>
          <w:tcPr>
            <w:tcW w:w="641" w:type="dxa"/>
            <w:tcBorders>
              <w:top w:val="nil"/>
              <w:left w:val="nil"/>
              <w:bottom w:val="single" w:sz="4" w:space="0" w:color="auto"/>
              <w:right w:val="nil"/>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23,2</w:t>
            </w:r>
          </w:p>
        </w:tc>
        <w:tc>
          <w:tcPr>
            <w:tcW w:w="641" w:type="dxa"/>
            <w:tcBorders>
              <w:top w:val="nil"/>
              <w:left w:val="single" w:sz="4" w:space="0" w:color="auto"/>
              <w:bottom w:val="single" w:sz="4" w:space="0" w:color="auto"/>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20,6</w:t>
            </w:r>
          </w:p>
        </w:tc>
        <w:tc>
          <w:tcPr>
            <w:tcW w:w="641" w:type="dxa"/>
            <w:tcBorders>
              <w:top w:val="nil"/>
              <w:left w:val="nil"/>
              <w:bottom w:val="single" w:sz="4" w:space="0" w:color="auto"/>
              <w:right w:val="nil"/>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19,2</w:t>
            </w:r>
          </w:p>
        </w:tc>
        <w:tc>
          <w:tcPr>
            <w:tcW w:w="896" w:type="dxa"/>
            <w:tcBorders>
              <w:top w:val="nil"/>
              <w:left w:val="double" w:sz="6" w:space="0" w:color="auto"/>
              <w:bottom w:val="single" w:sz="4" w:space="0" w:color="auto"/>
              <w:right w:val="double" w:sz="6"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23,7</w:t>
            </w:r>
          </w:p>
        </w:tc>
      </w:tr>
      <w:tr w:rsidR="00730AC8" w:rsidRPr="009B0D99" w:rsidTr="002F5109">
        <w:trPr>
          <w:trHeight w:val="270"/>
        </w:trPr>
        <w:tc>
          <w:tcPr>
            <w:tcW w:w="2740" w:type="dxa"/>
            <w:tcBorders>
              <w:top w:val="nil"/>
              <w:left w:val="double" w:sz="6" w:space="0" w:color="auto"/>
              <w:bottom w:val="single" w:sz="4" w:space="0" w:color="auto"/>
              <w:right w:val="nil"/>
            </w:tcBorders>
            <w:noWrap/>
            <w:vAlign w:val="bottom"/>
            <w:hideMark/>
          </w:tcPr>
          <w:p w:rsidR="00730AC8" w:rsidRDefault="00730AC8" w:rsidP="002F5109">
            <w:pPr>
              <w:spacing w:line="276" w:lineRule="auto"/>
              <w:rPr>
                <w:rFonts w:ascii="Arial" w:hAnsi="Arial" w:cs="Arial"/>
                <w:b/>
                <w:bCs/>
                <w:sz w:val="19"/>
                <w:szCs w:val="19"/>
                <w:lang w:eastAsia="en-US"/>
              </w:rPr>
            </w:pPr>
            <w:r>
              <w:rPr>
                <w:rFonts w:ascii="Arial" w:hAnsi="Arial" w:cs="Arial"/>
                <w:b/>
                <w:bCs/>
                <w:sz w:val="19"/>
                <w:szCs w:val="19"/>
                <w:lang w:eastAsia="en-US"/>
              </w:rPr>
              <w:t xml:space="preserve">Průměrná výše </w:t>
            </w:r>
            <w:proofErr w:type="spellStart"/>
            <w:r>
              <w:rPr>
                <w:rFonts w:ascii="Arial" w:hAnsi="Arial" w:cs="Arial"/>
                <w:b/>
                <w:bCs/>
                <w:sz w:val="19"/>
                <w:szCs w:val="19"/>
                <w:lang w:eastAsia="en-US"/>
              </w:rPr>
              <w:t>PvN</w:t>
            </w:r>
            <w:proofErr w:type="spellEnd"/>
            <w:r>
              <w:rPr>
                <w:rFonts w:ascii="Arial" w:hAnsi="Arial" w:cs="Arial"/>
                <w:b/>
                <w:bCs/>
                <w:sz w:val="19"/>
                <w:szCs w:val="19"/>
                <w:lang w:eastAsia="en-US"/>
              </w:rPr>
              <w:t xml:space="preserve"> (v Kč)</w:t>
            </w:r>
            <w:r>
              <w:rPr>
                <w:rFonts w:ascii="Arial" w:hAnsi="Arial" w:cs="Arial"/>
                <w:b/>
                <w:bCs/>
                <w:sz w:val="19"/>
                <w:szCs w:val="19"/>
                <w:vertAlign w:val="superscript"/>
                <w:lang w:eastAsia="en-US"/>
              </w:rPr>
              <w:t xml:space="preserve"> *)</w:t>
            </w:r>
          </w:p>
        </w:tc>
        <w:tc>
          <w:tcPr>
            <w:tcW w:w="830" w:type="dxa"/>
            <w:tcBorders>
              <w:top w:val="single" w:sz="4" w:space="0" w:color="auto"/>
              <w:left w:val="double" w:sz="6" w:space="0" w:color="auto"/>
              <w:bottom w:val="single" w:sz="4" w:space="0" w:color="auto"/>
              <w:right w:val="double" w:sz="6" w:space="0" w:color="auto"/>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5 790</w:t>
            </w:r>
          </w:p>
        </w:tc>
        <w:tc>
          <w:tcPr>
            <w:tcW w:w="820" w:type="dxa"/>
            <w:tcBorders>
              <w:top w:val="single" w:sz="4" w:space="0" w:color="auto"/>
              <w:left w:val="nil"/>
              <w:bottom w:val="single" w:sz="4" w:space="0" w:color="auto"/>
              <w:right w:val="nil"/>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6 029</w:t>
            </w:r>
          </w:p>
        </w:tc>
        <w:tc>
          <w:tcPr>
            <w:tcW w:w="641" w:type="dxa"/>
            <w:tcBorders>
              <w:top w:val="nil"/>
              <w:left w:val="single" w:sz="4" w:space="0" w:color="auto"/>
              <w:bottom w:val="nil"/>
              <w:right w:val="single" w:sz="4" w:space="0" w:color="auto"/>
            </w:tcBorders>
            <w:noWrap/>
            <w:vAlign w:val="center"/>
            <w:hideMark/>
          </w:tcPr>
          <w:p w:rsidR="00730AC8" w:rsidRPr="00940447" w:rsidRDefault="00730AC8" w:rsidP="002F5109">
            <w:pPr>
              <w:jc w:val="right"/>
              <w:rPr>
                <w:rFonts w:ascii="Arial" w:hAnsi="Arial" w:cs="Arial"/>
                <w:sz w:val="18"/>
                <w:szCs w:val="18"/>
              </w:rPr>
            </w:pPr>
            <w:r>
              <w:rPr>
                <w:rFonts w:ascii="Arial" w:hAnsi="Arial" w:cs="Arial"/>
                <w:sz w:val="18"/>
                <w:szCs w:val="18"/>
              </w:rPr>
              <w:t>-</w:t>
            </w:r>
            <w:r w:rsidRPr="00940447">
              <w:rPr>
                <w:rFonts w:ascii="Arial" w:hAnsi="Arial" w:cs="Arial"/>
                <w:sz w:val="18"/>
                <w:szCs w:val="18"/>
              </w:rPr>
              <w:t> </w:t>
            </w:r>
          </w:p>
        </w:tc>
        <w:tc>
          <w:tcPr>
            <w:tcW w:w="641" w:type="dxa"/>
            <w:noWrap/>
            <w:vAlign w:val="center"/>
            <w:hideMark/>
          </w:tcPr>
          <w:p w:rsidR="00730AC8" w:rsidRPr="00940447" w:rsidRDefault="00730AC8" w:rsidP="002F5109">
            <w:pPr>
              <w:jc w:val="right"/>
              <w:rPr>
                <w:rFonts w:ascii="Arial" w:hAnsi="Arial" w:cs="Arial"/>
                <w:sz w:val="18"/>
                <w:szCs w:val="18"/>
              </w:rPr>
            </w:pPr>
            <w:r>
              <w:rPr>
                <w:rFonts w:ascii="Arial" w:hAnsi="Arial" w:cs="Arial"/>
                <w:sz w:val="18"/>
                <w:szCs w:val="18"/>
              </w:rPr>
              <w:t>-</w:t>
            </w:r>
          </w:p>
        </w:tc>
        <w:tc>
          <w:tcPr>
            <w:tcW w:w="641" w:type="dxa"/>
            <w:tcBorders>
              <w:top w:val="nil"/>
              <w:left w:val="single" w:sz="4" w:space="0" w:color="auto"/>
              <w:bottom w:val="nil"/>
              <w:right w:val="single" w:sz="4" w:space="0" w:color="auto"/>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6 136</w:t>
            </w:r>
          </w:p>
        </w:tc>
        <w:tc>
          <w:tcPr>
            <w:tcW w:w="641" w:type="dxa"/>
            <w:tcBorders>
              <w:top w:val="nil"/>
              <w:left w:val="nil"/>
              <w:bottom w:val="nil"/>
              <w:right w:val="single" w:sz="4" w:space="0" w:color="auto"/>
            </w:tcBorders>
            <w:noWrap/>
            <w:vAlign w:val="center"/>
            <w:hideMark/>
          </w:tcPr>
          <w:p w:rsidR="00730AC8" w:rsidRPr="00940447" w:rsidRDefault="00730AC8" w:rsidP="002F5109">
            <w:pPr>
              <w:jc w:val="right"/>
              <w:rPr>
                <w:rFonts w:ascii="Arial" w:hAnsi="Arial" w:cs="Arial"/>
                <w:sz w:val="18"/>
                <w:szCs w:val="18"/>
              </w:rPr>
            </w:pPr>
            <w:r>
              <w:rPr>
                <w:rFonts w:ascii="Arial" w:hAnsi="Arial" w:cs="Arial"/>
                <w:sz w:val="18"/>
                <w:szCs w:val="18"/>
              </w:rPr>
              <w:t>-</w:t>
            </w:r>
            <w:r w:rsidRPr="00940447">
              <w:rPr>
                <w:rFonts w:ascii="Arial" w:hAnsi="Arial" w:cs="Arial"/>
                <w:sz w:val="18"/>
                <w:szCs w:val="18"/>
              </w:rPr>
              <w:t> </w:t>
            </w:r>
          </w:p>
        </w:tc>
        <w:tc>
          <w:tcPr>
            <w:tcW w:w="641" w:type="dxa"/>
            <w:noWrap/>
            <w:vAlign w:val="center"/>
            <w:hideMark/>
          </w:tcPr>
          <w:p w:rsidR="00730AC8" w:rsidRPr="00940447" w:rsidRDefault="00730AC8" w:rsidP="002F5109">
            <w:pPr>
              <w:jc w:val="right"/>
              <w:rPr>
                <w:rFonts w:ascii="Arial" w:hAnsi="Arial" w:cs="Arial"/>
                <w:sz w:val="18"/>
                <w:szCs w:val="18"/>
              </w:rPr>
            </w:pPr>
            <w:r>
              <w:rPr>
                <w:rFonts w:ascii="Arial" w:hAnsi="Arial" w:cs="Arial"/>
                <w:sz w:val="18"/>
                <w:szCs w:val="18"/>
              </w:rPr>
              <w:t>-</w:t>
            </w:r>
          </w:p>
        </w:tc>
        <w:tc>
          <w:tcPr>
            <w:tcW w:w="641" w:type="dxa"/>
            <w:tcBorders>
              <w:top w:val="nil"/>
              <w:left w:val="single" w:sz="4" w:space="0" w:color="auto"/>
              <w:bottom w:val="nil"/>
              <w:right w:val="single" w:sz="4" w:space="0" w:color="auto"/>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6 303</w:t>
            </w:r>
          </w:p>
        </w:tc>
        <w:tc>
          <w:tcPr>
            <w:tcW w:w="896" w:type="dxa"/>
            <w:tcBorders>
              <w:top w:val="nil"/>
              <w:left w:val="double" w:sz="6" w:space="0" w:color="auto"/>
              <w:bottom w:val="single" w:sz="4" w:space="0" w:color="auto"/>
              <w:right w:val="double" w:sz="6" w:space="0" w:color="auto"/>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6 211</w:t>
            </w:r>
          </w:p>
        </w:tc>
      </w:tr>
      <w:tr w:rsidR="00730AC8" w:rsidRPr="009B0D99" w:rsidTr="002F5109">
        <w:trPr>
          <w:trHeight w:val="270"/>
        </w:trPr>
        <w:tc>
          <w:tcPr>
            <w:tcW w:w="2740" w:type="dxa"/>
            <w:tcBorders>
              <w:top w:val="nil"/>
              <w:left w:val="double" w:sz="6" w:space="0" w:color="auto"/>
              <w:bottom w:val="nil"/>
              <w:right w:val="nil"/>
            </w:tcBorders>
            <w:noWrap/>
            <w:vAlign w:val="bottom"/>
            <w:hideMark/>
          </w:tcPr>
          <w:p w:rsidR="00730AC8" w:rsidRDefault="00730AC8" w:rsidP="002F5109">
            <w:pPr>
              <w:spacing w:line="276" w:lineRule="auto"/>
              <w:rPr>
                <w:rFonts w:ascii="Arial" w:hAnsi="Arial" w:cs="Arial"/>
                <w:sz w:val="19"/>
                <w:szCs w:val="19"/>
                <w:lang w:eastAsia="en-US"/>
              </w:rPr>
            </w:pPr>
            <w:r>
              <w:rPr>
                <w:rFonts w:ascii="Arial" w:hAnsi="Arial" w:cs="Arial"/>
                <w:sz w:val="19"/>
                <w:szCs w:val="19"/>
                <w:lang w:eastAsia="en-US"/>
              </w:rPr>
              <w:t xml:space="preserve">        z toho – ženy</w:t>
            </w:r>
          </w:p>
        </w:tc>
        <w:tc>
          <w:tcPr>
            <w:tcW w:w="830" w:type="dxa"/>
            <w:tcBorders>
              <w:top w:val="nil"/>
              <w:left w:val="double" w:sz="6" w:space="0" w:color="auto"/>
              <w:bottom w:val="nil"/>
              <w:right w:val="double" w:sz="6"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5 267</w:t>
            </w:r>
          </w:p>
        </w:tc>
        <w:tc>
          <w:tcPr>
            <w:tcW w:w="820" w:type="dxa"/>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5 395</w:t>
            </w:r>
          </w:p>
        </w:tc>
        <w:tc>
          <w:tcPr>
            <w:tcW w:w="641" w:type="dxa"/>
            <w:tcBorders>
              <w:top w:val="single" w:sz="4" w:space="0" w:color="auto"/>
              <w:left w:val="single" w:sz="4" w:space="0" w:color="auto"/>
              <w:bottom w:val="nil"/>
              <w:right w:val="single" w:sz="4" w:space="0" w:color="auto"/>
            </w:tcBorders>
            <w:noWrap/>
            <w:vAlign w:val="center"/>
            <w:hideMark/>
          </w:tcPr>
          <w:p w:rsidR="00730AC8" w:rsidRPr="00940447" w:rsidRDefault="00730AC8" w:rsidP="002F5109">
            <w:pPr>
              <w:jc w:val="right"/>
              <w:rPr>
                <w:rFonts w:ascii="Arial" w:hAnsi="Arial" w:cs="Arial"/>
                <w:sz w:val="18"/>
                <w:szCs w:val="18"/>
              </w:rPr>
            </w:pPr>
            <w:r>
              <w:rPr>
                <w:rFonts w:ascii="Arial" w:hAnsi="Arial" w:cs="Arial"/>
                <w:sz w:val="18"/>
                <w:szCs w:val="18"/>
              </w:rPr>
              <w:t>-</w:t>
            </w:r>
            <w:r w:rsidRPr="00940447">
              <w:rPr>
                <w:rFonts w:ascii="Arial" w:hAnsi="Arial" w:cs="Arial"/>
                <w:sz w:val="18"/>
                <w:szCs w:val="18"/>
              </w:rPr>
              <w:t> </w:t>
            </w:r>
          </w:p>
        </w:tc>
        <w:tc>
          <w:tcPr>
            <w:tcW w:w="641" w:type="dxa"/>
            <w:tcBorders>
              <w:top w:val="single" w:sz="4" w:space="0" w:color="auto"/>
              <w:left w:val="nil"/>
              <w:bottom w:val="nil"/>
              <w:right w:val="nil"/>
            </w:tcBorders>
            <w:noWrap/>
            <w:vAlign w:val="center"/>
            <w:hideMark/>
          </w:tcPr>
          <w:p w:rsidR="00730AC8" w:rsidRPr="00940447" w:rsidRDefault="00730AC8" w:rsidP="002F5109">
            <w:pPr>
              <w:jc w:val="right"/>
              <w:rPr>
                <w:rFonts w:ascii="Arial" w:hAnsi="Arial" w:cs="Arial"/>
                <w:sz w:val="18"/>
                <w:szCs w:val="18"/>
              </w:rPr>
            </w:pPr>
            <w:r>
              <w:rPr>
                <w:rFonts w:ascii="Arial" w:hAnsi="Arial" w:cs="Arial"/>
                <w:sz w:val="18"/>
                <w:szCs w:val="18"/>
              </w:rPr>
              <w:t>-</w:t>
            </w:r>
          </w:p>
        </w:tc>
        <w:tc>
          <w:tcPr>
            <w:tcW w:w="641" w:type="dxa"/>
            <w:tcBorders>
              <w:top w:val="single" w:sz="4" w:space="0" w:color="auto"/>
              <w:left w:val="single" w:sz="4" w:space="0" w:color="auto"/>
              <w:bottom w:val="nil"/>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5 662</w:t>
            </w:r>
          </w:p>
        </w:tc>
        <w:tc>
          <w:tcPr>
            <w:tcW w:w="641" w:type="dxa"/>
            <w:tcBorders>
              <w:top w:val="single" w:sz="4" w:space="0" w:color="auto"/>
              <w:left w:val="nil"/>
              <w:bottom w:val="nil"/>
              <w:right w:val="single" w:sz="4" w:space="0" w:color="auto"/>
            </w:tcBorders>
            <w:noWrap/>
            <w:vAlign w:val="center"/>
            <w:hideMark/>
          </w:tcPr>
          <w:p w:rsidR="00730AC8" w:rsidRPr="00940447" w:rsidRDefault="00730AC8" w:rsidP="002F5109">
            <w:pPr>
              <w:jc w:val="right"/>
              <w:rPr>
                <w:rFonts w:ascii="Arial" w:hAnsi="Arial" w:cs="Arial"/>
                <w:sz w:val="18"/>
                <w:szCs w:val="18"/>
              </w:rPr>
            </w:pPr>
            <w:r>
              <w:rPr>
                <w:rFonts w:ascii="Arial" w:hAnsi="Arial" w:cs="Arial"/>
                <w:sz w:val="18"/>
                <w:szCs w:val="18"/>
              </w:rPr>
              <w:t>-</w:t>
            </w:r>
            <w:r w:rsidRPr="00940447">
              <w:rPr>
                <w:rFonts w:ascii="Arial" w:hAnsi="Arial" w:cs="Arial"/>
                <w:sz w:val="18"/>
                <w:szCs w:val="18"/>
              </w:rPr>
              <w:t> </w:t>
            </w:r>
          </w:p>
        </w:tc>
        <w:tc>
          <w:tcPr>
            <w:tcW w:w="641" w:type="dxa"/>
            <w:tcBorders>
              <w:top w:val="single" w:sz="4" w:space="0" w:color="auto"/>
              <w:left w:val="nil"/>
              <w:bottom w:val="nil"/>
              <w:right w:val="nil"/>
            </w:tcBorders>
            <w:noWrap/>
            <w:vAlign w:val="center"/>
            <w:hideMark/>
          </w:tcPr>
          <w:p w:rsidR="00730AC8" w:rsidRPr="00940447" w:rsidRDefault="00730AC8" w:rsidP="002F5109">
            <w:pPr>
              <w:jc w:val="right"/>
              <w:rPr>
                <w:rFonts w:ascii="Arial" w:hAnsi="Arial" w:cs="Arial"/>
                <w:sz w:val="18"/>
                <w:szCs w:val="18"/>
              </w:rPr>
            </w:pPr>
            <w:r>
              <w:rPr>
                <w:rFonts w:ascii="Arial" w:hAnsi="Arial" w:cs="Arial"/>
                <w:sz w:val="18"/>
                <w:szCs w:val="18"/>
              </w:rPr>
              <w:t>-</w:t>
            </w:r>
          </w:p>
        </w:tc>
        <w:tc>
          <w:tcPr>
            <w:tcW w:w="641" w:type="dxa"/>
            <w:tcBorders>
              <w:top w:val="single" w:sz="4" w:space="0" w:color="auto"/>
              <w:left w:val="single" w:sz="4" w:space="0" w:color="auto"/>
              <w:bottom w:val="nil"/>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5 724</w:t>
            </w:r>
          </w:p>
        </w:tc>
        <w:tc>
          <w:tcPr>
            <w:tcW w:w="896" w:type="dxa"/>
            <w:tcBorders>
              <w:top w:val="nil"/>
              <w:left w:val="double" w:sz="6" w:space="0" w:color="auto"/>
              <w:bottom w:val="nil"/>
              <w:right w:val="double" w:sz="6"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5 694</w:t>
            </w:r>
          </w:p>
        </w:tc>
      </w:tr>
      <w:tr w:rsidR="00730AC8" w:rsidRPr="009B0D99" w:rsidTr="002F5109">
        <w:trPr>
          <w:trHeight w:val="270"/>
        </w:trPr>
        <w:tc>
          <w:tcPr>
            <w:tcW w:w="2740" w:type="dxa"/>
            <w:tcBorders>
              <w:top w:val="nil"/>
              <w:left w:val="double" w:sz="6" w:space="0" w:color="auto"/>
              <w:bottom w:val="single" w:sz="4" w:space="0" w:color="auto"/>
              <w:right w:val="nil"/>
            </w:tcBorders>
            <w:noWrap/>
            <w:vAlign w:val="bottom"/>
            <w:hideMark/>
          </w:tcPr>
          <w:p w:rsidR="00730AC8" w:rsidRDefault="00730AC8" w:rsidP="002F5109">
            <w:pPr>
              <w:spacing w:line="276" w:lineRule="auto"/>
              <w:rPr>
                <w:rFonts w:ascii="Arial" w:hAnsi="Arial" w:cs="Arial"/>
                <w:sz w:val="19"/>
                <w:szCs w:val="19"/>
                <w:lang w:eastAsia="en-US"/>
              </w:rPr>
            </w:pPr>
            <w:r>
              <w:rPr>
                <w:rFonts w:ascii="Arial" w:hAnsi="Arial" w:cs="Arial"/>
                <w:sz w:val="19"/>
                <w:szCs w:val="19"/>
                <w:lang w:eastAsia="en-US"/>
              </w:rPr>
              <w:t xml:space="preserve">                   – muži</w:t>
            </w:r>
          </w:p>
        </w:tc>
        <w:tc>
          <w:tcPr>
            <w:tcW w:w="830" w:type="dxa"/>
            <w:tcBorders>
              <w:top w:val="nil"/>
              <w:left w:val="double" w:sz="6" w:space="0" w:color="auto"/>
              <w:bottom w:val="nil"/>
              <w:right w:val="double" w:sz="6"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6 277</w:t>
            </w:r>
          </w:p>
        </w:tc>
        <w:tc>
          <w:tcPr>
            <w:tcW w:w="820" w:type="dxa"/>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6 612</w:t>
            </w:r>
          </w:p>
        </w:tc>
        <w:tc>
          <w:tcPr>
            <w:tcW w:w="641" w:type="dxa"/>
            <w:tcBorders>
              <w:top w:val="nil"/>
              <w:left w:val="single" w:sz="4" w:space="0" w:color="auto"/>
              <w:bottom w:val="single" w:sz="4" w:space="0" w:color="auto"/>
              <w:right w:val="single" w:sz="4" w:space="0" w:color="auto"/>
            </w:tcBorders>
            <w:noWrap/>
            <w:vAlign w:val="center"/>
            <w:hideMark/>
          </w:tcPr>
          <w:p w:rsidR="00730AC8" w:rsidRPr="00940447" w:rsidRDefault="00730AC8" w:rsidP="002F5109">
            <w:pPr>
              <w:jc w:val="right"/>
              <w:rPr>
                <w:rFonts w:ascii="Arial" w:hAnsi="Arial" w:cs="Arial"/>
                <w:sz w:val="18"/>
                <w:szCs w:val="18"/>
              </w:rPr>
            </w:pPr>
            <w:r>
              <w:rPr>
                <w:rFonts w:ascii="Arial" w:hAnsi="Arial" w:cs="Arial"/>
                <w:sz w:val="18"/>
                <w:szCs w:val="18"/>
              </w:rPr>
              <w:t>-</w:t>
            </w:r>
            <w:r w:rsidRPr="00940447">
              <w:rPr>
                <w:rFonts w:ascii="Arial" w:hAnsi="Arial" w:cs="Arial"/>
                <w:sz w:val="18"/>
                <w:szCs w:val="18"/>
              </w:rPr>
              <w:t> </w:t>
            </w:r>
          </w:p>
        </w:tc>
        <w:tc>
          <w:tcPr>
            <w:tcW w:w="641" w:type="dxa"/>
            <w:tcBorders>
              <w:top w:val="nil"/>
              <w:left w:val="nil"/>
              <w:bottom w:val="single" w:sz="4" w:space="0" w:color="auto"/>
              <w:right w:val="nil"/>
            </w:tcBorders>
            <w:noWrap/>
            <w:vAlign w:val="center"/>
            <w:hideMark/>
          </w:tcPr>
          <w:p w:rsidR="00730AC8" w:rsidRPr="00940447" w:rsidRDefault="00730AC8" w:rsidP="002F5109">
            <w:pPr>
              <w:jc w:val="right"/>
              <w:rPr>
                <w:rFonts w:ascii="Arial" w:hAnsi="Arial" w:cs="Arial"/>
                <w:sz w:val="18"/>
                <w:szCs w:val="18"/>
              </w:rPr>
            </w:pPr>
            <w:r>
              <w:rPr>
                <w:rFonts w:ascii="Arial" w:hAnsi="Arial" w:cs="Arial"/>
                <w:sz w:val="18"/>
                <w:szCs w:val="18"/>
              </w:rPr>
              <w:t>-</w:t>
            </w:r>
          </w:p>
        </w:tc>
        <w:tc>
          <w:tcPr>
            <w:tcW w:w="641" w:type="dxa"/>
            <w:tcBorders>
              <w:top w:val="nil"/>
              <w:left w:val="single" w:sz="4" w:space="0" w:color="auto"/>
              <w:bottom w:val="single" w:sz="4" w:space="0" w:color="auto"/>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6 471</w:t>
            </w:r>
          </w:p>
        </w:tc>
        <w:tc>
          <w:tcPr>
            <w:tcW w:w="641" w:type="dxa"/>
            <w:tcBorders>
              <w:top w:val="nil"/>
              <w:left w:val="nil"/>
              <w:bottom w:val="single" w:sz="4" w:space="0" w:color="auto"/>
              <w:right w:val="single" w:sz="4" w:space="0" w:color="auto"/>
            </w:tcBorders>
            <w:noWrap/>
            <w:vAlign w:val="center"/>
            <w:hideMark/>
          </w:tcPr>
          <w:p w:rsidR="00730AC8" w:rsidRPr="00940447" w:rsidRDefault="00730AC8" w:rsidP="002F5109">
            <w:pPr>
              <w:jc w:val="right"/>
              <w:rPr>
                <w:rFonts w:ascii="Arial" w:hAnsi="Arial" w:cs="Arial"/>
                <w:sz w:val="18"/>
                <w:szCs w:val="18"/>
              </w:rPr>
            </w:pPr>
            <w:r>
              <w:rPr>
                <w:rFonts w:ascii="Arial" w:hAnsi="Arial" w:cs="Arial"/>
                <w:sz w:val="18"/>
                <w:szCs w:val="18"/>
              </w:rPr>
              <w:t>-</w:t>
            </w:r>
            <w:r w:rsidRPr="00940447">
              <w:rPr>
                <w:rFonts w:ascii="Arial" w:hAnsi="Arial" w:cs="Arial"/>
                <w:sz w:val="18"/>
                <w:szCs w:val="18"/>
              </w:rPr>
              <w:t> </w:t>
            </w:r>
          </w:p>
        </w:tc>
        <w:tc>
          <w:tcPr>
            <w:tcW w:w="641" w:type="dxa"/>
            <w:tcBorders>
              <w:top w:val="nil"/>
              <w:left w:val="nil"/>
              <w:bottom w:val="single" w:sz="4" w:space="0" w:color="auto"/>
              <w:right w:val="nil"/>
            </w:tcBorders>
            <w:noWrap/>
            <w:vAlign w:val="center"/>
            <w:hideMark/>
          </w:tcPr>
          <w:p w:rsidR="00730AC8" w:rsidRPr="00940447" w:rsidRDefault="00730AC8" w:rsidP="002F5109">
            <w:pPr>
              <w:jc w:val="right"/>
              <w:rPr>
                <w:rFonts w:ascii="Arial" w:hAnsi="Arial" w:cs="Arial"/>
                <w:sz w:val="18"/>
                <w:szCs w:val="18"/>
              </w:rPr>
            </w:pPr>
            <w:r>
              <w:rPr>
                <w:rFonts w:ascii="Arial" w:hAnsi="Arial" w:cs="Arial"/>
                <w:sz w:val="18"/>
                <w:szCs w:val="18"/>
              </w:rPr>
              <w:t>-</w:t>
            </w:r>
          </w:p>
        </w:tc>
        <w:tc>
          <w:tcPr>
            <w:tcW w:w="641" w:type="dxa"/>
            <w:tcBorders>
              <w:top w:val="nil"/>
              <w:left w:val="single" w:sz="4" w:space="0" w:color="auto"/>
              <w:bottom w:val="single" w:sz="4" w:space="0" w:color="auto"/>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6 912</w:t>
            </w:r>
          </w:p>
        </w:tc>
        <w:tc>
          <w:tcPr>
            <w:tcW w:w="896" w:type="dxa"/>
            <w:tcBorders>
              <w:top w:val="nil"/>
              <w:left w:val="double" w:sz="6" w:space="0" w:color="auto"/>
              <w:bottom w:val="single" w:sz="4" w:space="0" w:color="auto"/>
              <w:right w:val="double" w:sz="6"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6 648</w:t>
            </w:r>
          </w:p>
        </w:tc>
      </w:tr>
      <w:tr w:rsidR="00730AC8" w:rsidRPr="009B0D99" w:rsidTr="002F5109">
        <w:trPr>
          <w:trHeight w:val="270"/>
        </w:trPr>
        <w:tc>
          <w:tcPr>
            <w:tcW w:w="2740" w:type="dxa"/>
            <w:tcBorders>
              <w:top w:val="nil"/>
              <w:left w:val="double" w:sz="6" w:space="0" w:color="auto"/>
              <w:bottom w:val="single" w:sz="4" w:space="0" w:color="auto"/>
              <w:right w:val="nil"/>
            </w:tcBorders>
            <w:noWrap/>
            <w:vAlign w:val="bottom"/>
            <w:hideMark/>
          </w:tcPr>
          <w:p w:rsidR="00730AC8" w:rsidRDefault="00730AC8" w:rsidP="002F5109">
            <w:pPr>
              <w:spacing w:line="276" w:lineRule="auto"/>
              <w:rPr>
                <w:rFonts w:ascii="Arial" w:hAnsi="Arial" w:cs="Arial"/>
                <w:b/>
                <w:bCs/>
                <w:sz w:val="19"/>
                <w:szCs w:val="19"/>
                <w:lang w:eastAsia="en-US"/>
              </w:rPr>
            </w:pPr>
            <w:r>
              <w:rPr>
                <w:rFonts w:ascii="Arial" w:hAnsi="Arial" w:cs="Arial"/>
                <w:b/>
                <w:bCs/>
                <w:sz w:val="19"/>
                <w:szCs w:val="19"/>
                <w:lang w:eastAsia="en-US"/>
              </w:rPr>
              <w:t>Volná pracovní místa (v tis.)</w:t>
            </w:r>
          </w:p>
        </w:tc>
        <w:tc>
          <w:tcPr>
            <w:tcW w:w="830" w:type="dxa"/>
            <w:tcBorders>
              <w:top w:val="single" w:sz="4" w:space="0" w:color="auto"/>
              <w:left w:val="double" w:sz="6" w:space="0" w:color="auto"/>
              <w:bottom w:val="single" w:sz="4" w:space="0" w:color="auto"/>
              <w:right w:val="double" w:sz="6" w:space="0" w:color="auto"/>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39,3</w:t>
            </w:r>
          </w:p>
        </w:tc>
        <w:tc>
          <w:tcPr>
            <w:tcW w:w="820" w:type="dxa"/>
            <w:tcBorders>
              <w:top w:val="single" w:sz="4" w:space="0" w:color="auto"/>
              <w:left w:val="nil"/>
              <w:bottom w:val="single" w:sz="4" w:space="0" w:color="auto"/>
              <w:right w:val="nil"/>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34,9</w:t>
            </w:r>
          </w:p>
        </w:tc>
        <w:tc>
          <w:tcPr>
            <w:tcW w:w="641" w:type="dxa"/>
            <w:tcBorders>
              <w:top w:val="nil"/>
              <w:left w:val="single" w:sz="4" w:space="0" w:color="auto"/>
              <w:bottom w:val="single" w:sz="4" w:space="0" w:color="auto"/>
              <w:right w:val="single" w:sz="4" w:space="0" w:color="auto"/>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33,8</w:t>
            </w:r>
          </w:p>
        </w:tc>
        <w:tc>
          <w:tcPr>
            <w:tcW w:w="641" w:type="dxa"/>
            <w:tcBorders>
              <w:top w:val="nil"/>
              <w:left w:val="nil"/>
              <w:bottom w:val="single" w:sz="4" w:space="0" w:color="auto"/>
              <w:right w:val="single" w:sz="4" w:space="0" w:color="auto"/>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34,6</w:t>
            </w:r>
          </w:p>
        </w:tc>
        <w:tc>
          <w:tcPr>
            <w:tcW w:w="641" w:type="dxa"/>
            <w:tcBorders>
              <w:top w:val="nil"/>
              <w:left w:val="nil"/>
              <w:bottom w:val="single" w:sz="4" w:space="0" w:color="auto"/>
              <w:right w:val="single" w:sz="4" w:space="0" w:color="auto"/>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38,9</w:t>
            </w:r>
          </w:p>
        </w:tc>
        <w:tc>
          <w:tcPr>
            <w:tcW w:w="641" w:type="dxa"/>
            <w:tcBorders>
              <w:top w:val="nil"/>
              <w:left w:val="nil"/>
              <w:bottom w:val="single" w:sz="4" w:space="0" w:color="auto"/>
              <w:right w:val="single" w:sz="4" w:space="0" w:color="auto"/>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39,8</w:t>
            </w:r>
          </w:p>
        </w:tc>
        <w:tc>
          <w:tcPr>
            <w:tcW w:w="641" w:type="dxa"/>
            <w:tcBorders>
              <w:top w:val="nil"/>
              <w:left w:val="nil"/>
              <w:bottom w:val="single" w:sz="4" w:space="0" w:color="auto"/>
              <w:right w:val="single" w:sz="4" w:space="0" w:color="auto"/>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42,6</w:t>
            </w:r>
          </w:p>
        </w:tc>
        <w:tc>
          <w:tcPr>
            <w:tcW w:w="641" w:type="dxa"/>
            <w:tcBorders>
              <w:top w:val="nil"/>
              <w:left w:val="nil"/>
              <w:bottom w:val="single" w:sz="4" w:space="0" w:color="auto"/>
              <w:right w:val="nil"/>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44,0</w:t>
            </w:r>
          </w:p>
        </w:tc>
        <w:tc>
          <w:tcPr>
            <w:tcW w:w="896" w:type="dxa"/>
            <w:tcBorders>
              <w:top w:val="nil"/>
              <w:left w:val="double" w:sz="6" w:space="0" w:color="auto"/>
              <w:bottom w:val="single" w:sz="4" w:space="0" w:color="auto"/>
              <w:right w:val="double" w:sz="6" w:space="0" w:color="auto"/>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38,2</w:t>
            </w:r>
          </w:p>
        </w:tc>
      </w:tr>
      <w:tr w:rsidR="00730AC8" w:rsidRPr="009B0D99" w:rsidTr="002F5109">
        <w:trPr>
          <w:trHeight w:val="270"/>
        </w:trPr>
        <w:tc>
          <w:tcPr>
            <w:tcW w:w="2740" w:type="dxa"/>
            <w:tcBorders>
              <w:top w:val="nil"/>
              <w:left w:val="double" w:sz="6" w:space="0" w:color="auto"/>
              <w:bottom w:val="single" w:sz="4" w:space="0" w:color="auto"/>
              <w:right w:val="nil"/>
            </w:tcBorders>
            <w:noWrap/>
            <w:vAlign w:val="bottom"/>
            <w:hideMark/>
          </w:tcPr>
          <w:p w:rsidR="00730AC8" w:rsidRDefault="00730AC8" w:rsidP="002F5109">
            <w:pPr>
              <w:spacing w:line="276" w:lineRule="auto"/>
              <w:rPr>
                <w:rFonts w:ascii="Arial" w:hAnsi="Arial" w:cs="Arial"/>
                <w:b/>
                <w:bCs/>
                <w:sz w:val="19"/>
                <w:szCs w:val="19"/>
                <w:lang w:eastAsia="en-US"/>
              </w:rPr>
            </w:pPr>
            <w:r>
              <w:rPr>
                <w:rFonts w:ascii="Arial" w:hAnsi="Arial" w:cs="Arial"/>
                <w:b/>
                <w:bCs/>
                <w:sz w:val="19"/>
                <w:szCs w:val="19"/>
                <w:lang w:eastAsia="en-US"/>
              </w:rPr>
              <w:t>Počet uchazečů na 1 VPM</w:t>
            </w:r>
          </w:p>
        </w:tc>
        <w:tc>
          <w:tcPr>
            <w:tcW w:w="830" w:type="dxa"/>
            <w:tcBorders>
              <w:top w:val="nil"/>
              <w:left w:val="double" w:sz="6" w:space="0" w:color="auto"/>
              <w:bottom w:val="nil"/>
              <w:right w:val="double" w:sz="6" w:space="0" w:color="auto"/>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13,0</w:t>
            </w:r>
          </w:p>
        </w:tc>
        <w:tc>
          <w:tcPr>
            <w:tcW w:w="820" w:type="dxa"/>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15,6</w:t>
            </w:r>
          </w:p>
        </w:tc>
        <w:tc>
          <w:tcPr>
            <w:tcW w:w="641" w:type="dxa"/>
            <w:tcBorders>
              <w:top w:val="nil"/>
              <w:left w:val="single" w:sz="4" w:space="0" w:color="auto"/>
              <w:bottom w:val="single" w:sz="4" w:space="0" w:color="auto"/>
              <w:right w:val="single" w:sz="4" w:space="0" w:color="auto"/>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17,3</w:t>
            </w:r>
          </w:p>
        </w:tc>
        <w:tc>
          <w:tcPr>
            <w:tcW w:w="641" w:type="dxa"/>
            <w:tcBorders>
              <w:top w:val="nil"/>
              <w:left w:val="nil"/>
              <w:bottom w:val="single" w:sz="4" w:space="0" w:color="auto"/>
              <w:right w:val="single" w:sz="4" w:space="0" w:color="auto"/>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17,1</w:t>
            </w:r>
          </w:p>
        </w:tc>
        <w:tc>
          <w:tcPr>
            <w:tcW w:w="641" w:type="dxa"/>
            <w:tcBorders>
              <w:top w:val="nil"/>
              <w:left w:val="nil"/>
              <w:bottom w:val="single" w:sz="4" w:space="0" w:color="auto"/>
              <w:right w:val="single" w:sz="4" w:space="0" w:color="auto"/>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15,1</w:t>
            </w:r>
          </w:p>
        </w:tc>
        <w:tc>
          <w:tcPr>
            <w:tcW w:w="641" w:type="dxa"/>
            <w:tcBorders>
              <w:top w:val="nil"/>
              <w:left w:val="nil"/>
              <w:bottom w:val="single" w:sz="4" w:space="0" w:color="auto"/>
              <w:right w:val="single" w:sz="4" w:space="0" w:color="auto"/>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14,2</w:t>
            </w:r>
          </w:p>
        </w:tc>
        <w:tc>
          <w:tcPr>
            <w:tcW w:w="641" w:type="dxa"/>
            <w:tcBorders>
              <w:top w:val="nil"/>
              <w:left w:val="nil"/>
              <w:bottom w:val="single" w:sz="4" w:space="0" w:color="auto"/>
              <w:right w:val="single" w:sz="4" w:space="0" w:color="auto"/>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12,8</w:t>
            </w:r>
          </w:p>
        </w:tc>
        <w:tc>
          <w:tcPr>
            <w:tcW w:w="641" w:type="dxa"/>
            <w:tcBorders>
              <w:top w:val="nil"/>
              <w:left w:val="nil"/>
              <w:bottom w:val="single" w:sz="4" w:space="0" w:color="auto"/>
              <w:right w:val="nil"/>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12,3</w:t>
            </w:r>
          </w:p>
        </w:tc>
        <w:tc>
          <w:tcPr>
            <w:tcW w:w="896" w:type="dxa"/>
            <w:tcBorders>
              <w:top w:val="nil"/>
              <w:left w:val="double" w:sz="6" w:space="0" w:color="auto"/>
              <w:bottom w:val="single" w:sz="4" w:space="0" w:color="auto"/>
              <w:right w:val="double" w:sz="6" w:space="0" w:color="auto"/>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14,9</w:t>
            </w:r>
          </w:p>
        </w:tc>
      </w:tr>
      <w:tr w:rsidR="00730AC8" w:rsidRPr="009B0D99" w:rsidTr="002F5109">
        <w:trPr>
          <w:trHeight w:val="270"/>
        </w:trPr>
        <w:tc>
          <w:tcPr>
            <w:tcW w:w="2740" w:type="dxa"/>
            <w:tcBorders>
              <w:top w:val="nil"/>
              <w:left w:val="double" w:sz="6" w:space="0" w:color="auto"/>
              <w:bottom w:val="single" w:sz="4" w:space="0" w:color="auto"/>
              <w:right w:val="nil"/>
            </w:tcBorders>
            <w:noWrap/>
            <w:vAlign w:val="bottom"/>
            <w:hideMark/>
          </w:tcPr>
          <w:p w:rsidR="00730AC8" w:rsidRDefault="00730AC8" w:rsidP="002F5109">
            <w:pPr>
              <w:spacing w:line="276" w:lineRule="auto"/>
              <w:rPr>
                <w:rFonts w:ascii="Arial" w:hAnsi="Arial" w:cs="Arial"/>
                <w:b/>
                <w:bCs/>
                <w:sz w:val="19"/>
                <w:szCs w:val="19"/>
                <w:lang w:eastAsia="en-US"/>
              </w:rPr>
            </w:pPr>
            <w:r>
              <w:rPr>
                <w:rFonts w:ascii="Arial" w:hAnsi="Arial" w:cs="Arial"/>
                <w:b/>
                <w:bCs/>
                <w:sz w:val="19"/>
                <w:szCs w:val="19"/>
                <w:lang w:eastAsia="en-US"/>
              </w:rPr>
              <w:t>Podíl nezaměstnaných osob (v %)</w:t>
            </w:r>
          </w:p>
        </w:tc>
        <w:tc>
          <w:tcPr>
            <w:tcW w:w="830" w:type="dxa"/>
            <w:tcBorders>
              <w:top w:val="single" w:sz="4" w:space="0" w:color="auto"/>
              <w:left w:val="double" w:sz="6" w:space="0" w:color="auto"/>
              <w:bottom w:val="single" w:sz="4" w:space="0" w:color="auto"/>
              <w:right w:val="double" w:sz="6" w:space="0" w:color="auto"/>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6,8</w:t>
            </w:r>
          </w:p>
        </w:tc>
        <w:tc>
          <w:tcPr>
            <w:tcW w:w="820" w:type="dxa"/>
            <w:tcBorders>
              <w:top w:val="single" w:sz="4" w:space="0" w:color="auto"/>
              <w:left w:val="nil"/>
              <w:bottom w:val="single" w:sz="4" w:space="0" w:color="auto"/>
              <w:right w:val="nil"/>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7,4</w:t>
            </w:r>
          </w:p>
        </w:tc>
        <w:tc>
          <w:tcPr>
            <w:tcW w:w="641" w:type="dxa"/>
            <w:tcBorders>
              <w:top w:val="nil"/>
              <w:left w:val="single" w:sz="4" w:space="0" w:color="auto"/>
              <w:bottom w:val="single" w:sz="4" w:space="0" w:color="auto"/>
              <w:right w:val="single" w:sz="4" w:space="0" w:color="auto"/>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8,0</w:t>
            </w:r>
          </w:p>
        </w:tc>
        <w:tc>
          <w:tcPr>
            <w:tcW w:w="641" w:type="dxa"/>
            <w:tcBorders>
              <w:top w:val="nil"/>
              <w:left w:val="nil"/>
              <w:bottom w:val="single" w:sz="4" w:space="0" w:color="auto"/>
              <w:right w:val="single" w:sz="4" w:space="0" w:color="auto"/>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8,1</w:t>
            </w:r>
          </w:p>
        </w:tc>
        <w:tc>
          <w:tcPr>
            <w:tcW w:w="641" w:type="dxa"/>
            <w:tcBorders>
              <w:top w:val="nil"/>
              <w:left w:val="nil"/>
              <w:bottom w:val="single" w:sz="4" w:space="0" w:color="auto"/>
              <w:right w:val="single" w:sz="4" w:space="0" w:color="auto"/>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8,0</w:t>
            </w:r>
          </w:p>
        </w:tc>
        <w:tc>
          <w:tcPr>
            <w:tcW w:w="641" w:type="dxa"/>
            <w:tcBorders>
              <w:top w:val="nil"/>
              <w:left w:val="nil"/>
              <w:bottom w:val="single" w:sz="4" w:space="0" w:color="auto"/>
              <w:right w:val="single" w:sz="4" w:space="0" w:color="auto"/>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7,7</w:t>
            </w:r>
          </w:p>
        </w:tc>
        <w:tc>
          <w:tcPr>
            <w:tcW w:w="641" w:type="dxa"/>
            <w:tcBorders>
              <w:top w:val="nil"/>
              <w:left w:val="nil"/>
              <w:bottom w:val="single" w:sz="4" w:space="0" w:color="auto"/>
              <w:right w:val="single" w:sz="4" w:space="0" w:color="auto"/>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7,5</w:t>
            </w:r>
          </w:p>
        </w:tc>
        <w:tc>
          <w:tcPr>
            <w:tcW w:w="641" w:type="dxa"/>
            <w:tcBorders>
              <w:top w:val="nil"/>
              <w:left w:val="nil"/>
              <w:bottom w:val="single" w:sz="4" w:space="0" w:color="auto"/>
              <w:right w:val="nil"/>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7,3</w:t>
            </w:r>
          </w:p>
        </w:tc>
        <w:tc>
          <w:tcPr>
            <w:tcW w:w="896" w:type="dxa"/>
            <w:tcBorders>
              <w:top w:val="nil"/>
              <w:left w:val="double" w:sz="6" w:space="0" w:color="auto"/>
              <w:bottom w:val="single" w:sz="4" w:space="0" w:color="auto"/>
              <w:right w:val="double" w:sz="6" w:space="0" w:color="auto"/>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7,8</w:t>
            </w:r>
          </w:p>
        </w:tc>
      </w:tr>
      <w:tr w:rsidR="00730AC8" w:rsidRPr="009B0D99" w:rsidTr="002F5109">
        <w:trPr>
          <w:trHeight w:val="270"/>
        </w:trPr>
        <w:tc>
          <w:tcPr>
            <w:tcW w:w="2740" w:type="dxa"/>
            <w:tcBorders>
              <w:top w:val="nil"/>
              <w:left w:val="double" w:sz="6" w:space="0" w:color="auto"/>
              <w:bottom w:val="nil"/>
              <w:right w:val="nil"/>
            </w:tcBorders>
            <w:noWrap/>
            <w:vAlign w:val="bottom"/>
            <w:hideMark/>
          </w:tcPr>
          <w:p w:rsidR="00730AC8" w:rsidRDefault="00730AC8" w:rsidP="002F5109">
            <w:pPr>
              <w:spacing w:line="276" w:lineRule="auto"/>
              <w:rPr>
                <w:rFonts w:ascii="Arial" w:hAnsi="Arial" w:cs="Arial"/>
                <w:sz w:val="19"/>
                <w:szCs w:val="19"/>
                <w:lang w:eastAsia="en-US"/>
              </w:rPr>
            </w:pPr>
            <w:r>
              <w:rPr>
                <w:rFonts w:ascii="Arial" w:hAnsi="Arial" w:cs="Arial"/>
                <w:sz w:val="19"/>
                <w:szCs w:val="19"/>
                <w:lang w:eastAsia="en-US"/>
              </w:rPr>
              <w:t xml:space="preserve">         z toho – ženy</w:t>
            </w:r>
          </w:p>
        </w:tc>
        <w:tc>
          <w:tcPr>
            <w:tcW w:w="830" w:type="dxa"/>
            <w:tcBorders>
              <w:top w:val="nil"/>
              <w:left w:val="double" w:sz="6" w:space="0" w:color="auto"/>
              <w:bottom w:val="nil"/>
              <w:right w:val="double" w:sz="6" w:space="0" w:color="auto"/>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6,8</w:t>
            </w:r>
          </w:p>
        </w:tc>
        <w:tc>
          <w:tcPr>
            <w:tcW w:w="820" w:type="dxa"/>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7,3</w:t>
            </w:r>
          </w:p>
        </w:tc>
        <w:tc>
          <w:tcPr>
            <w:tcW w:w="641" w:type="dxa"/>
            <w:tcBorders>
              <w:top w:val="nil"/>
              <w:left w:val="single" w:sz="4" w:space="0" w:color="auto"/>
              <w:bottom w:val="nil"/>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7,5</w:t>
            </w:r>
          </w:p>
        </w:tc>
        <w:tc>
          <w:tcPr>
            <w:tcW w:w="641" w:type="dxa"/>
            <w:tcBorders>
              <w:top w:val="nil"/>
              <w:left w:val="nil"/>
              <w:bottom w:val="nil"/>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7,6</w:t>
            </w:r>
          </w:p>
        </w:tc>
        <w:tc>
          <w:tcPr>
            <w:tcW w:w="641" w:type="dxa"/>
            <w:tcBorders>
              <w:top w:val="nil"/>
              <w:left w:val="nil"/>
              <w:bottom w:val="nil"/>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7,6</w:t>
            </w:r>
          </w:p>
        </w:tc>
        <w:tc>
          <w:tcPr>
            <w:tcW w:w="641" w:type="dxa"/>
            <w:tcBorders>
              <w:top w:val="nil"/>
              <w:left w:val="nil"/>
              <w:bottom w:val="nil"/>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7,5</w:t>
            </w:r>
          </w:p>
        </w:tc>
        <w:tc>
          <w:tcPr>
            <w:tcW w:w="641" w:type="dxa"/>
            <w:tcBorders>
              <w:top w:val="nil"/>
              <w:left w:val="nil"/>
              <w:bottom w:val="nil"/>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7,4</w:t>
            </w:r>
          </w:p>
        </w:tc>
        <w:tc>
          <w:tcPr>
            <w:tcW w:w="641" w:type="dxa"/>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7,4</w:t>
            </w:r>
          </w:p>
        </w:tc>
        <w:tc>
          <w:tcPr>
            <w:tcW w:w="896" w:type="dxa"/>
            <w:tcBorders>
              <w:top w:val="nil"/>
              <w:left w:val="double" w:sz="6" w:space="0" w:color="auto"/>
              <w:bottom w:val="nil"/>
              <w:right w:val="double" w:sz="6"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7,5</w:t>
            </w:r>
          </w:p>
        </w:tc>
      </w:tr>
      <w:tr w:rsidR="00730AC8" w:rsidRPr="009B0D99" w:rsidTr="002F5109">
        <w:trPr>
          <w:trHeight w:val="270"/>
        </w:trPr>
        <w:tc>
          <w:tcPr>
            <w:tcW w:w="2740" w:type="dxa"/>
            <w:tcBorders>
              <w:top w:val="nil"/>
              <w:left w:val="double" w:sz="6" w:space="0" w:color="auto"/>
              <w:bottom w:val="double" w:sz="6" w:space="0" w:color="auto"/>
              <w:right w:val="nil"/>
            </w:tcBorders>
            <w:noWrap/>
            <w:vAlign w:val="bottom"/>
            <w:hideMark/>
          </w:tcPr>
          <w:p w:rsidR="00730AC8" w:rsidRDefault="00730AC8" w:rsidP="002F5109">
            <w:pPr>
              <w:spacing w:line="276" w:lineRule="auto"/>
              <w:rPr>
                <w:rFonts w:ascii="Arial" w:hAnsi="Arial" w:cs="Arial"/>
                <w:sz w:val="19"/>
                <w:szCs w:val="19"/>
                <w:lang w:eastAsia="en-US"/>
              </w:rPr>
            </w:pPr>
            <w:r>
              <w:rPr>
                <w:rFonts w:ascii="Arial" w:hAnsi="Arial" w:cs="Arial"/>
                <w:sz w:val="19"/>
                <w:szCs w:val="19"/>
                <w:lang w:eastAsia="en-US"/>
              </w:rPr>
              <w:t xml:space="preserve">                    – muži</w:t>
            </w:r>
          </w:p>
        </w:tc>
        <w:tc>
          <w:tcPr>
            <w:tcW w:w="830" w:type="dxa"/>
            <w:tcBorders>
              <w:top w:val="nil"/>
              <w:left w:val="double" w:sz="6" w:space="0" w:color="auto"/>
              <w:bottom w:val="double" w:sz="6" w:space="0" w:color="auto"/>
              <w:right w:val="double" w:sz="6" w:space="0" w:color="auto"/>
            </w:tcBorders>
            <w:noWrap/>
            <w:vAlign w:val="center"/>
            <w:hideMark/>
          </w:tcPr>
          <w:p w:rsidR="00730AC8" w:rsidRPr="00940447" w:rsidRDefault="00730AC8" w:rsidP="002F5109">
            <w:pPr>
              <w:jc w:val="right"/>
              <w:rPr>
                <w:rFonts w:ascii="Arial" w:hAnsi="Arial" w:cs="Arial"/>
                <w:b/>
                <w:bCs/>
                <w:sz w:val="18"/>
                <w:szCs w:val="18"/>
              </w:rPr>
            </w:pPr>
            <w:r w:rsidRPr="00940447">
              <w:rPr>
                <w:rFonts w:ascii="Arial" w:hAnsi="Arial" w:cs="Arial"/>
                <w:b/>
                <w:bCs/>
                <w:sz w:val="18"/>
                <w:szCs w:val="18"/>
              </w:rPr>
              <w:t>6,9</w:t>
            </w:r>
          </w:p>
        </w:tc>
        <w:tc>
          <w:tcPr>
            <w:tcW w:w="820" w:type="dxa"/>
            <w:tcBorders>
              <w:top w:val="nil"/>
              <w:left w:val="nil"/>
              <w:bottom w:val="double" w:sz="6" w:space="0" w:color="auto"/>
              <w:right w:val="nil"/>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7,4</w:t>
            </w:r>
          </w:p>
        </w:tc>
        <w:tc>
          <w:tcPr>
            <w:tcW w:w="641" w:type="dxa"/>
            <w:tcBorders>
              <w:top w:val="nil"/>
              <w:left w:val="single" w:sz="4" w:space="0" w:color="auto"/>
              <w:bottom w:val="double" w:sz="6" w:space="0" w:color="auto"/>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8,4</w:t>
            </w:r>
          </w:p>
        </w:tc>
        <w:tc>
          <w:tcPr>
            <w:tcW w:w="641" w:type="dxa"/>
            <w:tcBorders>
              <w:top w:val="nil"/>
              <w:left w:val="nil"/>
              <w:bottom w:val="double" w:sz="6" w:space="0" w:color="auto"/>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8,5</w:t>
            </w:r>
          </w:p>
        </w:tc>
        <w:tc>
          <w:tcPr>
            <w:tcW w:w="641" w:type="dxa"/>
            <w:tcBorders>
              <w:top w:val="nil"/>
              <w:left w:val="nil"/>
              <w:bottom w:val="double" w:sz="6" w:space="0" w:color="auto"/>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8,4</w:t>
            </w:r>
          </w:p>
        </w:tc>
        <w:tc>
          <w:tcPr>
            <w:tcW w:w="641" w:type="dxa"/>
            <w:tcBorders>
              <w:top w:val="nil"/>
              <w:left w:val="nil"/>
              <w:bottom w:val="double" w:sz="6" w:space="0" w:color="auto"/>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7,9</w:t>
            </w:r>
          </w:p>
        </w:tc>
        <w:tc>
          <w:tcPr>
            <w:tcW w:w="641" w:type="dxa"/>
            <w:tcBorders>
              <w:top w:val="nil"/>
              <w:left w:val="nil"/>
              <w:bottom w:val="double" w:sz="6" w:space="0" w:color="auto"/>
              <w:right w:val="single" w:sz="4"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7,5</w:t>
            </w:r>
          </w:p>
        </w:tc>
        <w:tc>
          <w:tcPr>
            <w:tcW w:w="641" w:type="dxa"/>
            <w:tcBorders>
              <w:top w:val="nil"/>
              <w:left w:val="nil"/>
              <w:bottom w:val="double" w:sz="6" w:space="0" w:color="auto"/>
              <w:right w:val="nil"/>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7,3</w:t>
            </w:r>
          </w:p>
        </w:tc>
        <w:tc>
          <w:tcPr>
            <w:tcW w:w="896" w:type="dxa"/>
            <w:tcBorders>
              <w:top w:val="nil"/>
              <w:left w:val="double" w:sz="6" w:space="0" w:color="auto"/>
              <w:bottom w:val="double" w:sz="6" w:space="0" w:color="auto"/>
              <w:right w:val="double" w:sz="6" w:space="0" w:color="auto"/>
            </w:tcBorders>
            <w:noWrap/>
            <w:vAlign w:val="center"/>
            <w:hideMark/>
          </w:tcPr>
          <w:p w:rsidR="00730AC8" w:rsidRPr="00940447" w:rsidRDefault="00730AC8" w:rsidP="002F5109">
            <w:pPr>
              <w:jc w:val="right"/>
              <w:rPr>
                <w:rFonts w:ascii="Arial" w:hAnsi="Arial" w:cs="Arial"/>
                <w:sz w:val="18"/>
                <w:szCs w:val="18"/>
              </w:rPr>
            </w:pPr>
            <w:r w:rsidRPr="00940447">
              <w:rPr>
                <w:rFonts w:ascii="Arial" w:hAnsi="Arial" w:cs="Arial"/>
                <w:sz w:val="18"/>
                <w:szCs w:val="18"/>
              </w:rPr>
              <w:t>8,0</w:t>
            </w:r>
          </w:p>
        </w:tc>
      </w:tr>
      <w:tr w:rsidR="00730AC8" w:rsidRPr="009B0D99" w:rsidTr="002F5109">
        <w:trPr>
          <w:trHeight w:val="465"/>
        </w:trPr>
        <w:tc>
          <w:tcPr>
            <w:tcW w:w="9132" w:type="dxa"/>
            <w:gridSpan w:val="10"/>
            <w:tcBorders>
              <w:top w:val="double" w:sz="6" w:space="0" w:color="auto"/>
              <w:left w:val="nil"/>
              <w:bottom w:val="nil"/>
              <w:right w:val="nil"/>
            </w:tcBorders>
            <w:vAlign w:val="bottom"/>
            <w:hideMark/>
          </w:tcPr>
          <w:p w:rsidR="00730AC8" w:rsidRDefault="00730AC8" w:rsidP="002F5109">
            <w:pPr>
              <w:spacing w:line="276" w:lineRule="auto"/>
              <w:rPr>
                <w:rFonts w:ascii="Arial" w:hAnsi="Arial" w:cs="Arial"/>
                <w:i/>
                <w:iCs/>
                <w:sz w:val="16"/>
                <w:szCs w:val="16"/>
                <w:lang w:eastAsia="en-US"/>
              </w:rPr>
            </w:pPr>
            <w:r>
              <w:rPr>
                <w:rFonts w:ascii="Arial" w:hAnsi="Arial" w:cs="Arial"/>
                <w:i/>
                <w:iCs/>
                <w:sz w:val="16"/>
                <w:szCs w:val="16"/>
                <w:lang w:eastAsia="en-US"/>
              </w:rPr>
              <w:t>Pozn.: drobné odchylky součtu osob v jednotlivých kategoriích od uvedeného celkového počtu souvisí se zaokrouhlením hodnot na jedno desetinné místo</w:t>
            </w:r>
          </w:p>
        </w:tc>
      </w:tr>
      <w:tr w:rsidR="00730AC8" w:rsidRPr="009B0D99" w:rsidTr="002F5109">
        <w:trPr>
          <w:trHeight w:val="240"/>
        </w:trPr>
        <w:tc>
          <w:tcPr>
            <w:tcW w:w="2740" w:type="dxa"/>
            <w:noWrap/>
            <w:vAlign w:val="bottom"/>
            <w:hideMark/>
          </w:tcPr>
          <w:p w:rsidR="00730AC8" w:rsidRDefault="00730AC8" w:rsidP="002F5109">
            <w:pPr>
              <w:spacing w:line="276" w:lineRule="auto"/>
              <w:rPr>
                <w:rFonts w:ascii="Arial" w:hAnsi="Arial" w:cs="Arial"/>
                <w:i/>
                <w:iCs/>
                <w:sz w:val="16"/>
                <w:szCs w:val="16"/>
                <w:lang w:eastAsia="en-US"/>
              </w:rPr>
            </w:pPr>
            <w:r>
              <w:rPr>
                <w:rFonts w:ascii="Arial" w:hAnsi="Arial" w:cs="Arial"/>
                <w:i/>
                <w:iCs/>
                <w:sz w:val="16"/>
                <w:szCs w:val="16"/>
                <w:lang w:eastAsia="en-US"/>
              </w:rPr>
              <w:t>*) sleduje se čtvrtletně</w:t>
            </w:r>
          </w:p>
        </w:tc>
        <w:tc>
          <w:tcPr>
            <w:tcW w:w="830" w:type="dxa"/>
            <w:noWrap/>
            <w:vAlign w:val="bottom"/>
            <w:hideMark/>
          </w:tcPr>
          <w:p w:rsidR="00730AC8" w:rsidRPr="009B0D99" w:rsidRDefault="00730AC8" w:rsidP="002F5109">
            <w:pPr>
              <w:spacing w:line="276" w:lineRule="auto"/>
              <w:rPr>
                <w:rFonts w:ascii="Calibri" w:eastAsia="Calibri" w:hAnsi="Calibri"/>
                <w:sz w:val="22"/>
                <w:szCs w:val="22"/>
                <w:lang w:eastAsia="en-US"/>
              </w:rPr>
            </w:pPr>
          </w:p>
        </w:tc>
        <w:tc>
          <w:tcPr>
            <w:tcW w:w="820" w:type="dxa"/>
            <w:noWrap/>
            <w:vAlign w:val="bottom"/>
            <w:hideMark/>
          </w:tcPr>
          <w:p w:rsidR="00730AC8" w:rsidRPr="009B0D99" w:rsidRDefault="00730AC8" w:rsidP="002F5109">
            <w:pPr>
              <w:spacing w:line="276" w:lineRule="auto"/>
              <w:rPr>
                <w:rFonts w:ascii="Calibri" w:eastAsia="Calibri" w:hAnsi="Calibri"/>
                <w:sz w:val="22"/>
                <w:szCs w:val="22"/>
                <w:lang w:eastAsia="en-US"/>
              </w:rPr>
            </w:pPr>
          </w:p>
        </w:tc>
        <w:tc>
          <w:tcPr>
            <w:tcW w:w="641" w:type="dxa"/>
            <w:noWrap/>
            <w:vAlign w:val="bottom"/>
            <w:hideMark/>
          </w:tcPr>
          <w:p w:rsidR="00730AC8" w:rsidRPr="009B0D99" w:rsidRDefault="00730AC8" w:rsidP="002F5109">
            <w:pPr>
              <w:spacing w:line="276" w:lineRule="auto"/>
              <w:rPr>
                <w:rFonts w:ascii="Calibri" w:eastAsia="Calibri" w:hAnsi="Calibri"/>
                <w:sz w:val="22"/>
                <w:szCs w:val="22"/>
                <w:lang w:eastAsia="en-US"/>
              </w:rPr>
            </w:pPr>
          </w:p>
        </w:tc>
        <w:tc>
          <w:tcPr>
            <w:tcW w:w="641" w:type="dxa"/>
            <w:noWrap/>
            <w:vAlign w:val="bottom"/>
            <w:hideMark/>
          </w:tcPr>
          <w:p w:rsidR="00730AC8" w:rsidRPr="009B0D99" w:rsidRDefault="00730AC8" w:rsidP="002F5109">
            <w:pPr>
              <w:spacing w:line="276" w:lineRule="auto"/>
              <w:rPr>
                <w:rFonts w:ascii="Calibri" w:eastAsia="Calibri" w:hAnsi="Calibri"/>
                <w:sz w:val="22"/>
                <w:szCs w:val="22"/>
                <w:lang w:eastAsia="en-US"/>
              </w:rPr>
            </w:pPr>
          </w:p>
        </w:tc>
        <w:tc>
          <w:tcPr>
            <w:tcW w:w="641" w:type="dxa"/>
            <w:noWrap/>
            <w:vAlign w:val="bottom"/>
            <w:hideMark/>
          </w:tcPr>
          <w:p w:rsidR="00730AC8" w:rsidRPr="009B0D99" w:rsidRDefault="00730AC8" w:rsidP="002F5109">
            <w:pPr>
              <w:spacing w:line="276" w:lineRule="auto"/>
              <w:rPr>
                <w:rFonts w:ascii="Calibri" w:eastAsia="Calibri" w:hAnsi="Calibri"/>
                <w:sz w:val="22"/>
                <w:szCs w:val="22"/>
                <w:lang w:eastAsia="en-US"/>
              </w:rPr>
            </w:pPr>
          </w:p>
        </w:tc>
        <w:tc>
          <w:tcPr>
            <w:tcW w:w="641" w:type="dxa"/>
            <w:noWrap/>
            <w:vAlign w:val="bottom"/>
            <w:hideMark/>
          </w:tcPr>
          <w:p w:rsidR="00730AC8" w:rsidRPr="009B0D99" w:rsidRDefault="00730AC8" w:rsidP="002F5109">
            <w:pPr>
              <w:spacing w:line="276" w:lineRule="auto"/>
              <w:rPr>
                <w:rFonts w:ascii="Calibri" w:eastAsia="Calibri" w:hAnsi="Calibri"/>
                <w:sz w:val="22"/>
                <w:szCs w:val="22"/>
                <w:lang w:eastAsia="en-US"/>
              </w:rPr>
            </w:pPr>
          </w:p>
        </w:tc>
        <w:tc>
          <w:tcPr>
            <w:tcW w:w="641" w:type="dxa"/>
            <w:noWrap/>
            <w:vAlign w:val="bottom"/>
            <w:hideMark/>
          </w:tcPr>
          <w:p w:rsidR="00730AC8" w:rsidRPr="009B0D99" w:rsidRDefault="00730AC8" w:rsidP="002F5109">
            <w:pPr>
              <w:spacing w:line="276" w:lineRule="auto"/>
              <w:rPr>
                <w:rFonts w:ascii="Calibri" w:eastAsia="Calibri" w:hAnsi="Calibri"/>
                <w:sz w:val="22"/>
                <w:szCs w:val="22"/>
                <w:lang w:eastAsia="en-US"/>
              </w:rPr>
            </w:pPr>
          </w:p>
        </w:tc>
        <w:tc>
          <w:tcPr>
            <w:tcW w:w="641" w:type="dxa"/>
            <w:noWrap/>
            <w:vAlign w:val="bottom"/>
            <w:hideMark/>
          </w:tcPr>
          <w:p w:rsidR="00730AC8" w:rsidRPr="009B0D99" w:rsidRDefault="00730AC8" w:rsidP="002F5109">
            <w:pPr>
              <w:spacing w:line="276" w:lineRule="auto"/>
              <w:rPr>
                <w:rFonts w:ascii="Calibri" w:eastAsia="Calibri" w:hAnsi="Calibri"/>
                <w:sz w:val="22"/>
                <w:szCs w:val="22"/>
                <w:lang w:eastAsia="en-US"/>
              </w:rPr>
            </w:pPr>
          </w:p>
        </w:tc>
        <w:tc>
          <w:tcPr>
            <w:tcW w:w="896" w:type="dxa"/>
            <w:noWrap/>
            <w:vAlign w:val="bottom"/>
            <w:hideMark/>
          </w:tcPr>
          <w:p w:rsidR="00730AC8" w:rsidRPr="009B0D99" w:rsidRDefault="00730AC8" w:rsidP="002F5109">
            <w:pPr>
              <w:spacing w:line="276" w:lineRule="auto"/>
              <w:rPr>
                <w:rFonts w:ascii="Calibri" w:eastAsia="Calibri" w:hAnsi="Calibri"/>
                <w:sz w:val="22"/>
                <w:szCs w:val="22"/>
                <w:lang w:eastAsia="en-US"/>
              </w:rPr>
            </w:pPr>
          </w:p>
        </w:tc>
      </w:tr>
    </w:tbl>
    <w:p w:rsidR="00730AC8" w:rsidRDefault="00730AC8" w:rsidP="00730AC8">
      <w:pPr>
        <w:tabs>
          <w:tab w:val="left" w:pos="900"/>
        </w:tabs>
        <w:spacing w:line="360" w:lineRule="auto"/>
        <w:ind w:firstLine="567"/>
        <w:jc w:val="both"/>
        <w:rPr>
          <w:rFonts w:ascii="Arial" w:hAnsi="Arial" w:cs="Arial"/>
          <w:b/>
        </w:rPr>
      </w:pPr>
    </w:p>
    <w:p w:rsidR="00730AC8" w:rsidRDefault="00730AC8" w:rsidP="00730AC8">
      <w:pPr>
        <w:pStyle w:val="Zkladntext210"/>
        <w:widowControl/>
        <w:tabs>
          <w:tab w:val="clear" w:pos="-720"/>
          <w:tab w:val="left" w:pos="900"/>
        </w:tabs>
        <w:suppressAutoHyphens w:val="0"/>
        <w:overflowPunct/>
        <w:autoSpaceDE/>
        <w:adjustRightInd/>
        <w:ind w:firstLine="567"/>
        <w:rPr>
          <w:bCs/>
        </w:rPr>
      </w:pPr>
      <w:r>
        <w:rPr>
          <w:b/>
          <w:bCs/>
        </w:rPr>
        <w:t xml:space="preserve">Podíl nezaměstnaných osob </w:t>
      </w:r>
      <w:r>
        <w:rPr>
          <w:bCs/>
        </w:rPr>
        <w:t xml:space="preserve">se </w:t>
      </w:r>
      <w:r>
        <w:rPr>
          <w:rFonts w:cs="Arial"/>
        </w:rPr>
        <w:t xml:space="preserve">v 1. pololetí 2013 po obvyklém nárůstu na přelomu let 2012 a 2013 postupně snižoval a </w:t>
      </w:r>
      <w:r>
        <w:rPr>
          <w:bCs/>
        </w:rPr>
        <w:t>k </w:t>
      </w:r>
      <w:r>
        <w:rPr>
          <w:b/>
          <w:bCs/>
        </w:rPr>
        <w:t>30. 6. 2013</w:t>
      </w:r>
      <w:r>
        <w:rPr>
          <w:bCs/>
        </w:rPr>
        <w:t xml:space="preserve"> dosáhl </w:t>
      </w:r>
      <w:r w:rsidRPr="00B607B2">
        <w:rPr>
          <w:b/>
          <w:bCs/>
        </w:rPr>
        <w:t xml:space="preserve">hodnoty </w:t>
      </w:r>
      <w:r>
        <w:rPr>
          <w:b/>
          <w:bCs/>
        </w:rPr>
        <w:t>7,3</w:t>
      </w:r>
      <w:r w:rsidRPr="00B607B2">
        <w:rPr>
          <w:b/>
          <w:bCs/>
        </w:rPr>
        <w:t> </w:t>
      </w:r>
      <w:r>
        <w:rPr>
          <w:b/>
          <w:bCs/>
        </w:rPr>
        <w:t xml:space="preserve">%, proti červnu 2012 byl vyšší o 0,9 p. b. Pokles byl </w:t>
      </w:r>
      <w:r w:rsidRPr="00E36971">
        <w:rPr>
          <w:bCs/>
        </w:rPr>
        <w:t>ve srovnání s 1. pololetím 2012</w:t>
      </w:r>
      <w:r>
        <w:rPr>
          <w:bCs/>
        </w:rPr>
        <w:t xml:space="preserve"> </w:t>
      </w:r>
      <w:r w:rsidRPr="00E36971">
        <w:rPr>
          <w:b/>
          <w:bCs/>
        </w:rPr>
        <w:t>pomalejší</w:t>
      </w:r>
      <w:r>
        <w:rPr>
          <w:bCs/>
        </w:rPr>
        <w:t xml:space="preserve">, od prosince 2012 se snížil pouze o 0,1 p. b. (zatímco v 1. pololetí 2012 pokles dosáhl 0,4 p. b.). </w:t>
      </w:r>
    </w:p>
    <w:p w:rsidR="00730AC8" w:rsidRPr="00E36971" w:rsidRDefault="00730AC8" w:rsidP="00730AC8">
      <w:pPr>
        <w:tabs>
          <w:tab w:val="left" w:pos="900"/>
        </w:tabs>
        <w:spacing w:line="360" w:lineRule="auto"/>
        <w:ind w:firstLine="567"/>
        <w:jc w:val="both"/>
        <w:rPr>
          <w:rFonts w:ascii="Arial" w:hAnsi="Arial" w:cs="Arial"/>
          <w:b/>
        </w:rPr>
      </w:pPr>
      <w:r w:rsidRPr="00E36971">
        <w:rPr>
          <w:rFonts w:ascii="Arial" w:hAnsi="Arial" w:cs="Arial"/>
          <w:b/>
          <w:bCs/>
        </w:rPr>
        <w:t>Průměrný podíl nezaměstnaných za 1. pololetí 201</w:t>
      </w:r>
      <w:r>
        <w:rPr>
          <w:rFonts w:ascii="Arial" w:hAnsi="Arial" w:cs="Arial"/>
          <w:b/>
          <w:bCs/>
        </w:rPr>
        <w:t>3</w:t>
      </w:r>
      <w:r w:rsidRPr="00E36971">
        <w:rPr>
          <w:rFonts w:ascii="Arial" w:hAnsi="Arial" w:cs="Arial"/>
          <w:b/>
          <w:bCs/>
        </w:rPr>
        <w:t xml:space="preserve"> </w:t>
      </w:r>
      <w:r w:rsidRPr="00E36971">
        <w:rPr>
          <w:rFonts w:ascii="Arial" w:hAnsi="Arial" w:cs="Arial"/>
          <w:bCs/>
        </w:rPr>
        <w:t xml:space="preserve">z důvodů vyšších hodnot na přelomu roku a pomalejšího poklesu </w:t>
      </w:r>
      <w:r>
        <w:rPr>
          <w:rFonts w:ascii="Arial" w:hAnsi="Arial" w:cs="Arial"/>
          <w:bCs/>
        </w:rPr>
        <w:t xml:space="preserve">v hodnoceném období </w:t>
      </w:r>
      <w:r w:rsidRPr="00E36971">
        <w:rPr>
          <w:rFonts w:ascii="Arial" w:hAnsi="Arial" w:cs="Arial"/>
          <w:b/>
          <w:bCs/>
        </w:rPr>
        <w:t xml:space="preserve">meziročně vzrostl </w:t>
      </w:r>
      <w:r w:rsidRPr="00E36971">
        <w:rPr>
          <w:rFonts w:ascii="Arial" w:hAnsi="Arial" w:cs="Arial"/>
          <w:bCs/>
        </w:rPr>
        <w:t xml:space="preserve">z 6,8 % </w:t>
      </w:r>
      <w:r w:rsidRPr="00E36971">
        <w:rPr>
          <w:rFonts w:ascii="Arial" w:hAnsi="Arial" w:cs="Arial"/>
          <w:b/>
        </w:rPr>
        <w:t>na 7,8 %</w:t>
      </w:r>
      <w:r w:rsidRPr="00E36971">
        <w:rPr>
          <w:rFonts w:ascii="Arial" w:hAnsi="Arial" w:cs="Arial"/>
        </w:rPr>
        <w:t>.</w:t>
      </w:r>
    </w:p>
    <w:p w:rsidR="00730AC8" w:rsidRDefault="00730AC8" w:rsidP="00730AC8">
      <w:pPr>
        <w:pStyle w:val="Zkladntext210"/>
        <w:widowControl/>
        <w:tabs>
          <w:tab w:val="clear" w:pos="-720"/>
          <w:tab w:val="left" w:pos="900"/>
        </w:tabs>
        <w:suppressAutoHyphens w:val="0"/>
        <w:overflowPunct/>
        <w:autoSpaceDE/>
        <w:adjustRightInd/>
        <w:ind w:firstLine="567"/>
        <w:rPr>
          <w:bCs/>
        </w:rPr>
      </w:pPr>
    </w:p>
    <w:p w:rsidR="00730AC8" w:rsidRDefault="00730AC8" w:rsidP="00730AC8">
      <w:pPr>
        <w:pStyle w:val="Zkladntext210"/>
        <w:widowControl/>
        <w:tabs>
          <w:tab w:val="clear" w:pos="-720"/>
          <w:tab w:val="left" w:pos="900"/>
        </w:tabs>
        <w:suppressAutoHyphens w:val="0"/>
        <w:overflowPunct/>
        <w:autoSpaceDE/>
        <w:adjustRightInd/>
        <w:spacing w:line="240" w:lineRule="auto"/>
        <w:ind w:firstLine="567"/>
        <w:jc w:val="right"/>
        <w:rPr>
          <w:sz w:val="20"/>
        </w:rPr>
      </w:pPr>
      <w:r>
        <w:rPr>
          <w:sz w:val="20"/>
          <w:highlight w:val="yellow"/>
        </w:rPr>
        <w:br w:type="column"/>
      </w:r>
      <w:r w:rsidRPr="00730AC8">
        <w:rPr>
          <w:sz w:val="20"/>
        </w:rPr>
        <w:lastRenderedPageBreak/>
        <w:t>graf č. 3</w:t>
      </w:r>
    </w:p>
    <w:p w:rsidR="00730AC8" w:rsidRDefault="0098489B" w:rsidP="00730AC8">
      <w:pPr>
        <w:tabs>
          <w:tab w:val="left" w:pos="900"/>
          <w:tab w:val="left" w:pos="1440"/>
        </w:tabs>
        <w:spacing w:line="360" w:lineRule="auto"/>
        <w:jc w:val="center"/>
        <w:rPr>
          <w:rFonts w:ascii="Arial" w:hAnsi="Arial" w:cs="Arial"/>
        </w:rPr>
      </w:pPr>
      <w:r>
        <w:rPr>
          <w:noProof/>
        </w:rPr>
        <w:drawing>
          <wp:inline distT="0" distB="0" distL="0" distR="0" wp14:anchorId="6F92349C" wp14:editId="56F93DE8">
            <wp:extent cx="4181475" cy="2533650"/>
            <wp:effectExtent l="0" t="0" r="9525" b="1905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30AC8" w:rsidRDefault="00730AC8" w:rsidP="00730AC8">
      <w:pPr>
        <w:tabs>
          <w:tab w:val="left" w:pos="900"/>
        </w:tabs>
        <w:spacing w:line="360" w:lineRule="auto"/>
        <w:ind w:firstLine="567"/>
        <w:jc w:val="both"/>
        <w:rPr>
          <w:rFonts w:ascii="Arial" w:hAnsi="Arial" w:cs="Arial"/>
          <w:b/>
          <w:bCs/>
        </w:rPr>
      </w:pPr>
    </w:p>
    <w:p w:rsidR="00730AC8" w:rsidRDefault="00730AC8" w:rsidP="00730AC8">
      <w:pPr>
        <w:pStyle w:val="Zkladntext210"/>
        <w:tabs>
          <w:tab w:val="left" w:pos="567"/>
        </w:tabs>
        <w:rPr>
          <w:rFonts w:cs="Arial"/>
        </w:rPr>
      </w:pPr>
      <w:r>
        <w:rPr>
          <w:rFonts w:cs="Arial"/>
          <w:b/>
        </w:rPr>
        <w:tab/>
        <w:t>Podporu v nezaměstnanosti</w:t>
      </w:r>
      <w:r>
        <w:rPr>
          <w:rFonts w:cs="Arial"/>
        </w:rPr>
        <w:t xml:space="preserve"> (</w:t>
      </w:r>
      <w:proofErr w:type="spellStart"/>
      <w:r>
        <w:rPr>
          <w:rFonts w:cs="Arial"/>
        </w:rPr>
        <w:t>PvN</w:t>
      </w:r>
      <w:proofErr w:type="spellEnd"/>
      <w:r>
        <w:rPr>
          <w:rFonts w:cs="Arial"/>
        </w:rPr>
        <w:t xml:space="preserve">) </w:t>
      </w:r>
      <w:r w:rsidRPr="00F45E2B">
        <w:rPr>
          <w:rFonts w:cs="Arial"/>
        </w:rPr>
        <w:t>k 30. 6. 2013 pobíralo</w:t>
      </w:r>
      <w:r>
        <w:rPr>
          <w:rFonts w:cs="Arial"/>
        </w:rPr>
        <w:t xml:space="preserve"> </w:t>
      </w:r>
      <w:r w:rsidRPr="003E13E2">
        <w:rPr>
          <w:rFonts w:cs="Arial"/>
          <w:b/>
        </w:rPr>
        <w:t>108</w:t>
      </w:r>
      <w:r w:rsidRPr="003E13E2">
        <w:rPr>
          <w:rFonts w:cs="Arial"/>
          <w:b/>
          <w:bCs/>
          <w:szCs w:val="24"/>
        </w:rPr>
        <w:t>,9</w:t>
      </w:r>
      <w:r>
        <w:rPr>
          <w:rFonts w:cs="Arial"/>
          <w:b/>
          <w:bCs/>
        </w:rPr>
        <w:t> </w:t>
      </w:r>
      <w:r>
        <w:rPr>
          <w:rFonts w:cs="Arial"/>
          <w:b/>
        </w:rPr>
        <w:t>tis. uchazečů</w:t>
      </w:r>
      <w:r>
        <w:rPr>
          <w:rFonts w:cs="Arial"/>
        </w:rPr>
        <w:t xml:space="preserve"> o zaměstnání, tj. o 19,8 tis. více než před rokem. </w:t>
      </w:r>
      <w:r>
        <w:rPr>
          <w:rFonts w:cs="Arial"/>
          <w:b/>
        </w:rPr>
        <w:t xml:space="preserve">Průměrný počet nezaměstnaných s nárokem na </w:t>
      </w:r>
      <w:proofErr w:type="spellStart"/>
      <w:r>
        <w:rPr>
          <w:rFonts w:cs="Arial"/>
          <w:b/>
        </w:rPr>
        <w:t>PvN</w:t>
      </w:r>
      <w:proofErr w:type="spellEnd"/>
      <w:r>
        <w:rPr>
          <w:rFonts w:cs="Arial"/>
          <w:b/>
        </w:rPr>
        <w:t xml:space="preserve"> v 1. pololetí 2013 </w:t>
      </w:r>
      <w:r>
        <w:rPr>
          <w:rFonts w:cs="Arial"/>
        </w:rPr>
        <w:t>meziročně</w:t>
      </w:r>
      <w:r>
        <w:rPr>
          <w:rFonts w:cs="Arial"/>
          <w:b/>
        </w:rPr>
        <w:t xml:space="preserve"> vzrostl </w:t>
      </w:r>
      <w:r>
        <w:rPr>
          <w:rFonts w:cs="Arial"/>
        </w:rPr>
        <w:t xml:space="preserve">o 11,6 tis. </w:t>
      </w:r>
      <w:r>
        <w:rPr>
          <w:rFonts w:cs="Arial"/>
          <w:b/>
        </w:rPr>
        <w:t xml:space="preserve">na 127,2 tis., </w:t>
      </w:r>
      <w:r w:rsidRPr="00F45E2B">
        <w:rPr>
          <w:rFonts w:cs="Arial"/>
        </w:rPr>
        <w:t>což se projevilo také ve vývoji</w:t>
      </w:r>
      <w:r>
        <w:rPr>
          <w:rFonts w:cs="Arial"/>
          <w:b/>
        </w:rPr>
        <w:t xml:space="preserve"> </w:t>
      </w:r>
      <w:r w:rsidRPr="00E8310E">
        <w:rPr>
          <w:rFonts w:cs="Arial"/>
          <w:b/>
        </w:rPr>
        <w:t>p</w:t>
      </w:r>
      <w:r>
        <w:rPr>
          <w:rFonts w:cs="Arial"/>
          <w:b/>
        </w:rPr>
        <w:t xml:space="preserve">odílu </w:t>
      </w:r>
      <w:r w:rsidRPr="00F45E2B">
        <w:rPr>
          <w:rFonts w:cs="Arial"/>
          <w:b/>
        </w:rPr>
        <w:t>uchazečů</w:t>
      </w:r>
      <w:r>
        <w:rPr>
          <w:rFonts w:cs="Arial"/>
        </w:rPr>
        <w:t xml:space="preserve"> o zaměstnání</w:t>
      </w:r>
      <w:r>
        <w:rPr>
          <w:rFonts w:cs="Arial"/>
          <w:b/>
        </w:rPr>
        <w:t xml:space="preserve"> s </w:t>
      </w:r>
      <w:proofErr w:type="spellStart"/>
      <w:r>
        <w:rPr>
          <w:rFonts w:cs="Arial"/>
          <w:b/>
        </w:rPr>
        <w:t>PvN</w:t>
      </w:r>
      <w:proofErr w:type="spellEnd"/>
      <w:r>
        <w:rPr>
          <w:rFonts w:cs="Arial"/>
          <w:b/>
        </w:rPr>
        <w:t xml:space="preserve">, </w:t>
      </w:r>
      <w:r w:rsidRPr="00F45E2B">
        <w:rPr>
          <w:rFonts w:cs="Arial"/>
        </w:rPr>
        <w:t>který k 30. červnu 2013</w:t>
      </w:r>
      <w:r>
        <w:rPr>
          <w:rFonts w:cs="Arial"/>
          <w:b/>
        </w:rPr>
        <w:t xml:space="preserve"> vzrostl na 20,2 %</w:t>
      </w:r>
      <w:r>
        <w:rPr>
          <w:rFonts w:cs="Arial"/>
        </w:rPr>
        <w:t xml:space="preserve"> celkového počtu uchazečů o zaměstnání (k 30. červnu 2012 činil 18,8 %). </w:t>
      </w:r>
      <w:r w:rsidRPr="00E55D81">
        <w:rPr>
          <w:rFonts w:cs="Arial"/>
          <w:b/>
        </w:rPr>
        <w:t>P</w:t>
      </w:r>
      <w:r>
        <w:rPr>
          <w:rFonts w:cs="Arial"/>
          <w:b/>
        </w:rPr>
        <w:t xml:space="preserve">růměrný podíl </w:t>
      </w:r>
      <w:r w:rsidRPr="00F45E2B">
        <w:rPr>
          <w:rFonts w:cs="Arial"/>
        </w:rPr>
        <w:t xml:space="preserve">za celé 1. pololetí 2013 </w:t>
      </w:r>
      <w:r>
        <w:rPr>
          <w:rFonts w:cs="Arial"/>
          <w:b/>
        </w:rPr>
        <w:t xml:space="preserve">byl </w:t>
      </w:r>
      <w:r w:rsidRPr="00F45E2B">
        <w:rPr>
          <w:rFonts w:cs="Arial"/>
        </w:rPr>
        <w:t>zatím ještě</w:t>
      </w:r>
      <w:r>
        <w:rPr>
          <w:rFonts w:cs="Arial"/>
          <w:b/>
        </w:rPr>
        <w:t xml:space="preserve"> nižší </w:t>
      </w:r>
      <w:r w:rsidRPr="00F45E2B">
        <w:rPr>
          <w:rFonts w:cs="Arial"/>
        </w:rPr>
        <w:t>a představoval</w:t>
      </w:r>
      <w:r>
        <w:rPr>
          <w:rFonts w:cs="Arial"/>
          <w:b/>
        </w:rPr>
        <w:t xml:space="preserve"> 22,3 %</w:t>
      </w:r>
      <w:r>
        <w:rPr>
          <w:rFonts w:cs="Arial"/>
        </w:rPr>
        <w:t xml:space="preserve"> (v 1. pololetí</w:t>
      </w:r>
      <w:r>
        <w:rPr>
          <w:rFonts w:cs="Arial"/>
          <w:b/>
        </w:rPr>
        <w:t xml:space="preserve"> </w:t>
      </w:r>
      <w:r>
        <w:rPr>
          <w:rFonts w:cs="Arial"/>
        </w:rPr>
        <w:t xml:space="preserve">2012 22,6 %). </w:t>
      </w:r>
      <w:r w:rsidRPr="00E55D81">
        <w:rPr>
          <w:rFonts w:cs="Arial"/>
          <w:b/>
        </w:rPr>
        <w:t>Z dlouhodobějšího hlediska</w:t>
      </w:r>
      <w:r>
        <w:rPr>
          <w:rFonts w:cs="Arial"/>
        </w:rPr>
        <w:t xml:space="preserve"> měl podíl uchazečů a </w:t>
      </w:r>
      <w:proofErr w:type="spellStart"/>
      <w:r>
        <w:rPr>
          <w:rFonts w:cs="Arial"/>
        </w:rPr>
        <w:t>PvN</w:t>
      </w:r>
      <w:proofErr w:type="spellEnd"/>
      <w:r>
        <w:rPr>
          <w:rFonts w:cs="Arial"/>
        </w:rPr>
        <w:t xml:space="preserve"> </w:t>
      </w:r>
      <w:r w:rsidRPr="00E55D81">
        <w:rPr>
          <w:rFonts w:cs="Arial"/>
          <w:b/>
        </w:rPr>
        <w:t>klesající tendenci</w:t>
      </w:r>
      <w:r>
        <w:rPr>
          <w:rFonts w:cs="Arial"/>
        </w:rPr>
        <w:t xml:space="preserve"> související s nárůstem počtu dlouhodoběji nezaměstnaných (obvykle bez nároku na podporu v nezaměstnanosti), </w:t>
      </w:r>
      <w:r w:rsidRPr="00E55D81">
        <w:rPr>
          <w:rFonts w:cs="Arial"/>
          <w:b/>
        </w:rPr>
        <w:t xml:space="preserve">v 1. pololetí 2013 </w:t>
      </w:r>
      <w:r w:rsidRPr="00E55D81">
        <w:rPr>
          <w:rFonts w:cs="Arial"/>
        </w:rPr>
        <w:t>se v důsledku</w:t>
      </w:r>
      <w:r>
        <w:rPr>
          <w:rFonts w:cs="Arial"/>
        </w:rPr>
        <w:t xml:space="preserve"> </w:t>
      </w:r>
      <w:r>
        <w:rPr>
          <w:rFonts w:cs="Arial"/>
          <w:b/>
        </w:rPr>
        <w:t xml:space="preserve">vyššího </w:t>
      </w:r>
      <w:r w:rsidRPr="00955D69">
        <w:rPr>
          <w:rFonts w:cs="Arial"/>
          <w:b/>
        </w:rPr>
        <w:t xml:space="preserve">počtu nově </w:t>
      </w:r>
      <w:r>
        <w:rPr>
          <w:rFonts w:cs="Arial"/>
          <w:b/>
        </w:rPr>
        <w:t xml:space="preserve">přicházejících </w:t>
      </w:r>
      <w:r w:rsidRPr="00955D69">
        <w:rPr>
          <w:rFonts w:cs="Arial"/>
          <w:b/>
        </w:rPr>
        <w:t>uchazečů</w:t>
      </w:r>
      <w:r>
        <w:rPr>
          <w:rFonts w:cs="Arial"/>
          <w:b/>
        </w:rPr>
        <w:t xml:space="preserve"> o zaměstnání </w:t>
      </w:r>
      <w:r w:rsidRPr="00E55D81">
        <w:rPr>
          <w:rFonts w:cs="Arial"/>
        </w:rPr>
        <w:t>do evidence ÚP</w:t>
      </w:r>
      <w:r w:rsidR="004F7079">
        <w:rPr>
          <w:rFonts w:cs="Arial"/>
        </w:rPr>
        <w:t> ČR</w:t>
      </w:r>
      <w:r w:rsidRPr="00E55D81">
        <w:rPr>
          <w:rFonts w:cs="Arial"/>
        </w:rPr>
        <w:t xml:space="preserve"> tento</w:t>
      </w:r>
      <w:r>
        <w:rPr>
          <w:rFonts w:cs="Arial"/>
          <w:b/>
        </w:rPr>
        <w:t xml:space="preserve"> trend přerušil</w:t>
      </w:r>
      <w:r>
        <w:rPr>
          <w:rFonts w:cs="Arial"/>
        </w:rPr>
        <w:t xml:space="preserve">. </w:t>
      </w:r>
    </w:p>
    <w:p w:rsidR="00730AC8" w:rsidRDefault="00730AC8" w:rsidP="00730AC8">
      <w:pPr>
        <w:spacing w:after="60" w:line="360" w:lineRule="auto"/>
        <w:ind w:firstLine="567"/>
        <w:jc w:val="both"/>
        <w:rPr>
          <w:rFonts w:ascii="Arial" w:hAnsi="Arial" w:cs="Arial"/>
        </w:rPr>
      </w:pPr>
      <w:r w:rsidRPr="001C4504">
        <w:rPr>
          <w:rFonts w:ascii="Arial" w:hAnsi="Arial" w:cs="Arial"/>
          <w:b/>
        </w:rPr>
        <w:t>P</w:t>
      </w:r>
      <w:r w:rsidRPr="001C4504">
        <w:rPr>
          <w:rFonts w:ascii="Arial" w:hAnsi="Arial" w:cs="Arial"/>
          <w:b/>
          <w:bCs/>
        </w:rPr>
        <w:t xml:space="preserve">růměrná výše </w:t>
      </w:r>
      <w:proofErr w:type="spellStart"/>
      <w:r w:rsidRPr="001C4504">
        <w:rPr>
          <w:rFonts w:ascii="Arial" w:hAnsi="Arial" w:cs="Arial"/>
          <w:b/>
          <w:bCs/>
        </w:rPr>
        <w:t>PvN</w:t>
      </w:r>
      <w:proofErr w:type="spellEnd"/>
      <w:r w:rsidRPr="001C4504">
        <w:rPr>
          <w:rFonts w:ascii="Arial" w:hAnsi="Arial" w:cs="Arial"/>
          <w:b/>
          <w:bCs/>
        </w:rPr>
        <w:t xml:space="preserve"> za 1. pololetí 2013 vzrostla o 421 Kč </w:t>
      </w:r>
      <w:r w:rsidRPr="001C4504">
        <w:rPr>
          <w:rFonts w:ascii="Arial" w:hAnsi="Arial" w:cs="Arial"/>
          <w:bCs/>
        </w:rPr>
        <w:t>(o 7,</w:t>
      </w:r>
      <w:r>
        <w:rPr>
          <w:rFonts w:ascii="Arial" w:hAnsi="Arial" w:cs="Arial"/>
          <w:bCs/>
        </w:rPr>
        <w:t>3</w:t>
      </w:r>
      <w:r w:rsidRPr="001C4504">
        <w:rPr>
          <w:rFonts w:ascii="Arial" w:hAnsi="Arial" w:cs="Arial"/>
          <w:bCs/>
        </w:rPr>
        <w:t> %)</w:t>
      </w:r>
      <w:r w:rsidRPr="001C4504">
        <w:rPr>
          <w:rFonts w:ascii="Arial" w:hAnsi="Arial" w:cs="Arial"/>
          <w:b/>
          <w:bCs/>
        </w:rPr>
        <w:t xml:space="preserve"> </w:t>
      </w:r>
      <w:r w:rsidRPr="001C4504">
        <w:rPr>
          <w:rFonts w:ascii="Arial" w:hAnsi="Arial" w:cs="Arial"/>
          <w:bCs/>
        </w:rPr>
        <w:t>na</w:t>
      </w:r>
      <w:r w:rsidRPr="001C4504">
        <w:rPr>
          <w:rFonts w:ascii="Arial" w:hAnsi="Arial" w:cs="Arial"/>
          <w:b/>
          <w:bCs/>
        </w:rPr>
        <w:t xml:space="preserve"> 6 </w:t>
      </w:r>
      <w:r>
        <w:rPr>
          <w:rFonts w:ascii="Arial" w:hAnsi="Arial" w:cs="Arial"/>
          <w:b/>
          <w:bCs/>
        </w:rPr>
        <w:t>211</w:t>
      </w:r>
      <w:r w:rsidRPr="001C4504">
        <w:rPr>
          <w:rFonts w:ascii="Arial" w:hAnsi="Arial" w:cs="Arial"/>
          <w:b/>
          <w:bCs/>
          <w:sz w:val="18"/>
          <w:szCs w:val="18"/>
        </w:rPr>
        <w:t> </w:t>
      </w:r>
      <w:r w:rsidRPr="001C4504">
        <w:rPr>
          <w:rFonts w:ascii="Arial" w:hAnsi="Arial" w:cs="Arial"/>
          <w:b/>
          <w:bCs/>
        </w:rPr>
        <w:t>Kč</w:t>
      </w:r>
      <w:r w:rsidRPr="001C4504">
        <w:rPr>
          <w:rFonts w:ascii="Arial" w:hAnsi="Arial" w:cs="Arial"/>
        </w:rPr>
        <w:t xml:space="preserve">. </w:t>
      </w:r>
    </w:p>
    <w:p w:rsidR="00730AC8" w:rsidRPr="00AD20B6" w:rsidRDefault="00730AC8" w:rsidP="00730AC8">
      <w:pPr>
        <w:spacing w:after="60" w:line="360" w:lineRule="auto"/>
        <w:ind w:firstLine="567"/>
        <w:jc w:val="both"/>
        <w:rPr>
          <w:rFonts w:ascii="Arial" w:hAnsi="Arial" w:cs="Arial"/>
        </w:rPr>
      </w:pPr>
      <w:r w:rsidRPr="001C4504">
        <w:rPr>
          <w:rFonts w:ascii="Arial" w:hAnsi="Arial" w:cs="Arial"/>
        </w:rPr>
        <w:t xml:space="preserve">Průměrná podpora </w:t>
      </w:r>
      <w:r w:rsidRPr="001C4504">
        <w:rPr>
          <w:rFonts w:ascii="Arial" w:hAnsi="Arial" w:cs="Arial"/>
          <w:b/>
        </w:rPr>
        <w:t>k 30. 6. 2013 činila 6 </w:t>
      </w:r>
      <w:r>
        <w:rPr>
          <w:rFonts w:ascii="Arial" w:hAnsi="Arial" w:cs="Arial"/>
          <w:b/>
        </w:rPr>
        <w:t>303</w:t>
      </w:r>
      <w:r w:rsidRPr="001C4504">
        <w:rPr>
          <w:rFonts w:ascii="Arial" w:hAnsi="Arial" w:cs="Arial"/>
          <w:b/>
        </w:rPr>
        <w:t xml:space="preserve"> Kč </w:t>
      </w:r>
      <w:r w:rsidRPr="001C4504">
        <w:rPr>
          <w:rFonts w:ascii="Arial" w:hAnsi="Arial" w:cs="Arial"/>
        </w:rPr>
        <w:t>a byla</w:t>
      </w:r>
      <w:r w:rsidRPr="001C4504">
        <w:rPr>
          <w:rFonts w:ascii="Arial" w:hAnsi="Arial" w:cs="Arial"/>
          <w:b/>
        </w:rPr>
        <w:t xml:space="preserve"> meziročně vyšší o</w:t>
      </w:r>
      <w:r>
        <w:rPr>
          <w:rFonts w:ascii="Arial" w:hAnsi="Arial" w:cs="Arial"/>
          <w:b/>
        </w:rPr>
        <w:t> </w:t>
      </w:r>
      <w:r w:rsidRPr="001C4504">
        <w:rPr>
          <w:rFonts w:ascii="Arial" w:hAnsi="Arial" w:cs="Arial"/>
          <w:b/>
        </w:rPr>
        <w:t>413 Kč</w:t>
      </w:r>
      <w:r>
        <w:rPr>
          <w:rFonts w:ascii="Arial" w:hAnsi="Arial" w:cs="Arial"/>
          <w:b/>
        </w:rPr>
        <w:t xml:space="preserve"> </w:t>
      </w:r>
      <w:r w:rsidRPr="00E55D81">
        <w:rPr>
          <w:rFonts w:ascii="Arial" w:hAnsi="Arial" w:cs="Arial"/>
        </w:rPr>
        <w:t>(o 7,0 %)</w:t>
      </w:r>
      <w:r w:rsidRPr="001C4504">
        <w:rPr>
          <w:rFonts w:ascii="Arial" w:hAnsi="Arial" w:cs="Arial"/>
        </w:rPr>
        <w:t xml:space="preserve">. </w:t>
      </w:r>
      <w:r w:rsidRPr="00196E94">
        <w:rPr>
          <w:rFonts w:ascii="Arial" w:hAnsi="Arial" w:cs="Arial"/>
        </w:rPr>
        <w:t xml:space="preserve">Její </w:t>
      </w:r>
      <w:r>
        <w:rPr>
          <w:rFonts w:ascii="Arial" w:hAnsi="Arial" w:cs="Arial"/>
        </w:rPr>
        <w:t>hodnota,</w:t>
      </w:r>
      <w:r w:rsidRPr="00196E94">
        <w:rPr>
          <w:rFonts w:ascii="Arial" w:hAnsi="Arial" w:cs="Arial"/>
        </w:rPr>
        <w:t xml:space="preserve"> po poklesu v letech 2010 a 2011 v důsledku krize</w:t>
      </w:r>
      <w:r>
        <w:rPr>
          <w:rFonts w:ascii="Arial" w:hAnsi="Arial" w:cs="Arial"/>
        </w:rPr>
        <w:t>,</w:t>
      </w:r>
      <w:r w:rsidRPr="00196E94">
        <w:rPr>
          <w:rFonts w:ascii="Arial" w:hAnsi="Arial" w:cs="Arial"/>
        </w:rPr>
        <w:t xml:space="preserve"> má již podobně jako v 1. pololetí 2012 obvyklou rostoucí tendenci v důsledku růstu mezd obecně </w:t>
      </w:r>
      <w:r w:rsidRPr="00AD20B6">
        <w:rPr>
          <w:rFonts w:ascii="Arial" w:hAnsi="Arial" w:cs="Arial"/>
        </w:rPr>
        <w:t xml:space="preserve">a nárůstu počtu uchazečů s vyššími příjmy rozhodnými pro výpočet podpory v nezaměstnanosti (jak je patrné z níže uvedené tabulky a grafu, relativně nejvíce vzrostly počty uchazečů o zaměstnání v kategoriích nad průměrnou </w:t>
      </w:r>
      <w:proofErr w:type="spellStart"/>
      <w:r w:rsidRPr="00AD20B6">
        <w:rPr>
          <w:rFonts w:ascii="Arial" w:hAnsi="Arial" w:cs="Arial"/>
        </w:rPr>
        <w:t>PvN</w:t>
      </w:r>
      <w:proofErr w:type="spellEnd"/>
      <w:r w:rsidRPr="00AD20B6">
        <w:rPr>
          <w:rFonts w:ascii="Arial" w:hAnsi="Arial" w:cs="Arial"/>
        </w:rPr>
        <w:t>).</w:t>
      </w:r>
    </w:p>
    <w:p w:rsidR="00730AC8" w:rsidRDefault="00730AC8" w:rsidP="00730AC8">
      <w:pPr>
        <w:widowControl w:val="0"/>
        <w:autoSpaceDE w:val="0"/>
        <w:autoSpaceDN w:val="0"/>
        <w:adjustRightInd w:val="0"/>
        <w:spacing w:line="360" w:lineRule="auto"/>
        <w:ind w:firstLine="567"/>
        <w:jc w:val="both"/>
        <w:rPr>
          <w:rFonts w:ascii="Arial" w:hAnsi="Arial"/>
        </w:rPr>
      </w:pPr>
      <w:r w:rsidRPr="00684A84">
        <w:rPr>
          <w:rFonts w:ascii="Arial" w:hAnsi="Arial" w:cs="Arial"/>
        </w:rPr>
        <w:t>Absolutně nejvíce vzrostl počet uchazečů s podporou v intervalu 3501 – 4500 Kč, do nichž spadají uchazeči, kterým vznikl nárok na podporu, ale nelze u</w:t>
      </w:r>
      <w:r w:rsidR="00A2532B">
        <w:rPr>
          <w:rFonts w:ascii="Arial" w:hAnsi="Arial" w:cs="Arial"/>
        </w:rPr>
        <w:t> </w:t>
      </w:r>
      <w:r w:rsidRPr="00684A84">
        <w:rPr>
          <w:rFonts w:ascii="Arial" w:hAnsi="Arial" w:cs="Arial"/>
        </w:rPr>
        <w:t xml:space="preserve">nich osvědčit výši průměrného měsíčního čistého výdělku nebo základu pojistného, </w:t>
      </w:r>
      <w:r w:rsidRPr="00684A84">
        <w:rPr>
          <w:rFonts w:ascii="Arial" w:hAnsi="Arial" w:cs="Arial"/>
        </w:rPr>
        <w:lastRenderedPageBreak/>
        <w:t>nebo</w:t>
      </w:r>
      <w:r>
        <w:rPr>
          <w:rFonts w:ascii="Arial" w:hAnsi="Arial" w:cs="Arial"/>
        </w:rPr>
        <w:t xml:space="preserve"> </w:t>
      </w:r>
      <w:r w:rsidRPr="00684A84">
        <w:rPr>
          <w:rFonts w:ascii="Arial" w:hAnsi="Arial" w:cs="Arial"/>
        </w:rPr>
        <w:t>nelze u nich stanovit průměrný měsíční čistý výdělek nebo vyměřovací základ</w:t>
      </w:r>
      <w:r>
        <w:rPr>
          <w:rFonts w:ascii="Arial" w:hAnsi="Arial" w:cs="Arial"/>
        </w:rPr>
        <w:t xml:space="preserve"> (0,11 až 0,15 násobek </w:t>
      </w:r>
      <w:r w:rsidRPr="00684A84">
        <w:rPr>
          <w:rFonts w:ascii="Arial" w:hAnsi="Arial"/>
        </w:rPr>
        <w:t>průměrné mzdy</w:t>
      </w:r>
      <w:r w:rsidRPr="000B47F0">
        <w:rPr>
          <w:rFonts w:ascii="Arial" w:hAnsi="Arial"/>
        </w:rPr>
        <w:t xml:space="preserve"> v národním hospodářství za 1. - 3. čtvrtletí kalendářního roku předcházejícího kalendářnímu roku, ve kterém byla podána žádost o </w:t>
      </w:r>
      <w:proofErr w:type="spellStart"/>
      <w:r w:rsidRPr="000B47F0">
        <w:rPr>
          <w:rFonts w:ascii="Arial" w:hAnsi="Arial"/>
        </w:rPr>
        <w:t>PvN</w:t>
      </w:r>
      <w:proofErr w:type="spellEnd"/>
      <w:r w:rsidRPr="000B47F0">
        <w:rPr>
          <w:rFonts w:ascii="Arial" w:hAnsi="Arial"/>
        </w:rPr>
        <w:t>)</w:t>
      </w:r>
      <w:r>
        <w:rPr>
          <w:rFonts w:ascii="Arial" w:hAnsi="Arial"/>
        </w:rPr>
        <w:t>.</w:t>
      </w:r>
    </w:p>
    <w:p w:rsidR="00730AC8" w:rsidRPr="005D0122" w:rsidRDefault="00730AC8" w:rsidP="00730AC8">
      <w:pPr>
        <w:tabs>
          <w:tab w:val="left" w:pos="720"/>
        </w:tabs>
        <w:jc w:val="right"/>
        <w:rPr>
          <w:rFonts w:ascii="Arial" w:hAnsi="Arial" w:cs="Arial"/>
          <w:sz w:val="20"/>
        </w:rPr>
      </w:pPr>
      <w:r w:rsidRPr="00730AC8">
        <w:rPr>
          <w:rFonts w:ascii="Arial" w:hAnsi="Arial" w:cs="Arial"/>
          <w:sz w:val="20"/>
        </w:rPr>
        <w:t>graf č. 4</w:t>
      </w:r>
    </w:p>
    <w:p w:rsidR="00730AC8" w:rsidRDefault="00A2532B" w:rsidP="00A2532B">
      <w:pPr>
        <w:tabs>
          <w:tab w:val="left" w:pos="567"/>
        </w:tabs>
        <w:jc w:val="center"/>
        <w:rPr>
          <w:rFonts w:ascii="Arial" w:hAnsi="Arial"/>
        </w:rPr>
      </w:pPr>
      <w:r>
        <w:rPr>
          <w:noProof/>
        </w:rPr>
        <w:drawing>
          <wp:inline distT="0" distB="0" distL="0" distR="0" wp14:anchorId="32C8C313" wp14:editId="5AF088EA">
            <wp:extent cx="5381624" cy="3505200"/>
            <wp:effectExtent l="0" t="0" r="10160" b="19050"/>
            <wp:docPr id="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30AC8" w:rsidRDefault="00730AC8" w:rsidP="00730AC8">
      <w:pPr>
        <w:tabs>
          <w:tab w:val="left" w:pos="567"/>
        </w:tabs>
        <w:jc w:val="both"/>
        <w:rPr>
          <w:rFonts w:ascii="Arial" w:hAnsi="Arial"/>
        </w:rPr>
      </w:pPr>
    </w:p>
    <w:p w:rsidR="00730AC8" w:rsidRPr="000902FE" w:rsidRDefault="00730AC8" w:rsidP="00730AC8">
      <w:pPr>
        <w:tabs>
          <w:tab w:val="left" w:pos="0"/>
          <w:tab w:val="left" w:pos="72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jc w:val="center"/>
        <w:rPr>
          <w:rFonts w:ascii="Arial" w:hAnsi="Arial"/>
          <w:b/>
        </w:rPr>
      </w:pPr>
      <w:r w:rsidRPr="00730AC8">
        <w:rPr>
          <w:rFonts w:ascii="Arial" w:hAnsi="Arial"/>
          <w:b/>
        </w:rPr>
        <w:t xml:space="preserve">Rozdělení počtu uchazečů o zaměstnání podle výše </w:t>
      </w:r>
      <w:proofErr w:type="spellStart"/>
      <w:r w:rsidRPr="00730AC8">
        <w:rPr>
          <w:rFonts w:ascii="Arial" w:hAnsi="Arial"/>
          <w:b/>
        </w:rPr>
        <w:t>PvN</w:t>
      </w:r>
      <w:proofErr w:type="spellEnd"/>
    </w:p>
    <w:tbl>
      <w:tblPr>
        <w:tblW w:w="7360" w:type="dxa"/>
        <w:jc w:val="center"/>
        <w:tblCellMar>
          <w:left w:w="70" w:type="dxa"/>
          <w:right w:w="70" w:type="dxa"/>
        </w:tblCellMar>
        <w:tblLook w:val="0000" w:firstRow="0" w:lastRow="0" w:firstColumn="0" w:lastColumn="0" w:noHBand="0" w:noVBand="0"/>
      </w:tblPr>
      <w:tblGrid>
        <w:gridCol w:w="293"/>
        <w:gridCol w:w="1960"/>
        <w:gridCol w:w="851"/>
        <w:gridCol w:w="851"/>
        <w:gridCol w:w="851"/>
        <w:gridCol w:w="851"/>
        <w:gridCol w:w="851"/>
        <w:gridCol w:w="852"/>
      </w:tblGrid>
      <w:tr w:rsidR="00730AC8" w:rsidRPr="000902FE" w:rsidTr="002F5109">
        <w:trPr>
          <w:gridBefore w:val="1"/>
          <w:wBefore w:w="293" w:type="dxa"/>
          <w:trHeight w:val="270"/>
          <w:jc w:val="center"/>
        </w:trPr>
        <w:tc>
          <w:tcPr>
            <w:tcW w:w="1960" w:type="dxa"/>
            <w:tcBorders>
              <w:top w:val="nil"/>
              <w:left w:val="nil"/>
              <w:bottom w:val="nil"/>
              <w:right w:val="nil"/>
            </w:tcBorders>
            <w:shd w:val="clear" w:color="auto" w:fill="auto"/>
            <w:noWrap/>
            <w:vAlign w:val="bottom"/>
          </w:tcPr>
          <w:p w:rsidR="00730AC8" w:rsidRPr="000902FE" w:rsidRDefault="00730AC8" w:rsidP="002F5109">
            <w:pPr>
              <w:rPr>
                <w:rFonts w:ascii="Arial" w:hAnsi="Arial"/>
                <w:sz w:val="20"/>
                <w:szCs w:val="20"/>
              </w:rPr>
            </w:pPr>
          </w:p>
        </w:tc>
        <w:tc>
          <w:tcPr>
            <w:tcW w:w="851" w:type="dxa"/>
            <w:tcBorders>
              <w:top w:val="nil"/>
              <w:left w:val="nil"/>
              <w:bottom w:val="nil"/>
              <w:right w:val="nil"/>
            </w:tcBorders>
            <w:shd w:val="clear" w:color="auto" w:fill="auto"/>
            <w:noWrap/>
            <w:vAlign w:val="bottom"/>
          </w:tcPr>
          <w:p w:rsidR="00730AC8" w:rsidRPr="000902FE" w:rsidRDefault="00730AC8" w:rsidP="002F5109">
            <w:pPr>
              <w:rPr>
                <w:rFonts w:ascii="Arial" w:hAnsi="Arial"/>
                <w:sz w:val="20"/>
                <w:szCs w:val="20"/>
              </w:rPr>
            </w:pPr>
          </w:p>
        </w:tc>
        <w:tc>
          <w:tcPr>
            <w:tcW w:w="851" w:type="dxa"/>
            <w:tcBorders>
              <w:top w:val="nil"/>
              <w:left w:val="nil"/>
              <w:bottom w:val="nil"/>
              <w:right w:val="nil"/>
            </w:tcBorders>
            <w:shd w:val="clear" w:color="auto" w:fill="auto"/>
            <w:noWrap/>
            <w:vAlign w:val="bottom"/>
          </w:tcPr>
          <w:p w:rsidR="00730AC8" w:rsidRPr="000902FE" w:rsidRDefault="00730AC8" w:rsidP="002F5109">
            <w:pPr>
              <w:jc w:val="right"/>
              <w:rPr>
                <w:rFonts w:ascii="Arial" w:hAnsi="Arial" w:cs="Arial"/>
                <w:sz w:val="20"/>
                <w:szCs w:val="20"/>
              </w:rPr>
            </w:pPr>
          </w:p>
        </w:tc>
        <w:tc>
          <w:tcPr>
            <w:tcW w:w="851" w:type="dxa"/>
            <w:tcBorders>
              <w:top w:val="nil"/>
              <w:left w:val="nil"/>
              <w:bottom w:val="nil"/>
              <w:right w:val="nil"/>
            </w:tcBorders>
            <w:shd w:val="clear" w:color="auto" w:fill="auto"/>
            <w:noWrap/>
            <w:vAlign w:val="bottom"/>
          </w:tcPr>
          <w:p w:rsidR="00730AC8" w:rsidRPr="000902FE" w:rsidRDefault="00730AC8" w:rsidP="002F5109">
            <w:pPr>
              <w:rPr>
                <w:rFonts w:ascii="Arial" w:hAnsi="Arial"/>
                <w:sz w:val="20"/>
                <w:szCs w:val="20"/>
              </w:rPr>
            </w:pPr>
          </w:p>
        </w:tc>
        <w:tc>
          <w:tcPr>
            <w:tcW w:w="851" w:type="dxa"/>
            <w:tcBorders>
              <w:top w:val="nil"/>
              <w:left w:val="nil"/>
              <w:bottom w:val="nil"/>
              <w:right w:val="nil"/>
            </w:tcBorders>
            <w:shd w:val="clear" w:color="auto" w:fill="auto"/>
            <w:noWrap/>
            <w:vAlign w:val="bottom"/>
          </w:tcPr>
          <w:p w:rsidR="00730AC8" w:rsidRPr="000902FE" w:rsidRDefault="00730AC8" w:rsidP="002F5109">
            <w:pPr>
              <w:rPr>
                <w:rFonts w:ascii="Arial" w:hAnsi="Arial"/>
                <w:sz w:val="20"/>
                <w:szCs w:val="20"/>
              </w:rPr>
            </w:pPr>
          </w:p>
        </w:tc>
        <w:tc>
          <w:tcPr>
            <w:tcW w:w="851" w:type="dxa"/>
            <w:tcBorders>
              <w:top w:val="nil"/>
              <w:left w:val="nil"/>
              <w:bottom w:val="nil"/>
              <w:right w:val="nil"/>
            </w:tcBorders>
            <w:shd w:val="clear" w:color="auto" w:fill="auto"/>
            <w:noWrap/>
            <w:vAlign w:val="bottom"/>
          </w:tcPr>
          <w:p w:rsidR="00730AC8" w:rsidRPr="000902FE" w:rsidRDefault="00730AC8" w:rsidP="002F5109">
            <w:pPr>
              <w:rPr>
                <w:rFonts w:ascii="Arial" w:hAnsi="Arial"/>
                <w:sz w:val="20"/>
                <w:szCs w:val="20"/>
              </w:rPr>
            </w:pPr>
          </w:p>
        </w:tc>
        <w:tc>
          <w:tcPr>
            <w:tcW w:w="852" w:type="dxa"/>
            <w:tcBorders>
              <w:top w:val="nil"/>
              <w:left w:val="nil"/>
              <w:bottom w:val="nil"/>
              <w:right w:val="nil"/>
            </w:tcBorders>
            <w:shd w:val="clear" w:color="auto" w:fill="auto"/>
            <w:noWrap/>
            <w:vAlign w:val="bottom"/>
          </w:tcPr>
          <w:p w:rsidR="00730AC8" w:rsidRPr="000902FE" w:rsidRDefault="00730AC8" w:rsidP="002F5109">
            <w:pPr>
              <w:jc w:val="right"/>
              <w:rPr>
                <w:rFonts w:ascii="Arial" w:hAnsi="Arial" w:cs="Arial"/>
                <w:sz w:val="20"/>
                <w:szCs w:val="20"/>
              </w:rPr>
            </w:pPr>
            <w:r w:rsidRPr="000902FE">
              <w:rPr>
                <w:rFonts w:ascii="Arial" w:hAnsi="Arial" w:cs="Arial"/>
                <w:sz w:val="20"/>
                <w:szCs w:val="20"/>
              </w:rPr>
              <w:t>tab.č.1</w:t>
            </w:r>
            <w:r>
              <w:rPr>
                <w:rFonts w:ascii="Arial" w:hAnsi="Arial" w:cs="Arial"/>
                <w:sz w:val="20"/>
                <w:szCs w:val="20"/>
              </w:rPr>
              <w:t>7</w:t>
            </w:r>
          </w:p>
        </w:tc>
      </w:tr>
      <w:tr w:rsidR="00730AC8" w:rsidRPr="000902FE" w:rsidTr="002F5109">
        <w:trPr>
          <w:trHeight w:val="284"/>
          <w:jc w:val="center"/>
        </w:trPr>
        <w:tc>
          <w:tcPr>
            <w:tcW w:w="2253" w:type="dxa"/>
            <w:gridSpan w:val="2"/>
            <w:tcBorders>
              <w:top w:val="double" w:sz="6" w:space="0" w:color="auto"/>
              <w:left w:val="double" w:sz="6" w:space="0" w:color="auto"/>
              <w:bottom w:val="nil"/>
              <w:right w:val="single" w:sz="4" w:space="0" w:color="auto"/>
            </w:tcBorders>
            <w:shd w:val="clear" w:color="auto" w:fill="auto"/>
            <w:noWrap/>
          </w:tcPr>
          <w:p w:rsidR="00730AC8" w:rsidRPr="000902FE" w:rsidRDefault="00730AC8" w:rsidP="002F5109">
            <w:pPr>
              <w:jc w:val="both"/>
              <w:rPr>
                <w:rFonts w:ascii="Arial" w:hAnsi="Arial"/>
              </w:rPr>
            </w:pPr>
            <w:r w:rsidRPr="000902FE">
              <w:rPr>
                <w:rFonts w:ascii="Arial" w:hAnsi="Arial"/>
              </w:rPr>
              <w:t> </w:t>
            </w:r>
          </w:p>
        </w:tc>
        <w:tc>
          <w:tcPr>
            <w:tcW w:w="1702" w:type="dxa"/>
            <w:gridSpan w:val="2"/>
            <w:tcBorders>
              <w:top w:val="double" w:sz="6" w:space="0" w:color="auto"/>
              <w:left w:val="nil"/>
              <w:bottom w:val="single" w:sz="4" w:space="0" w:color="auto"/>
              <w:right w:val="nil"/>
            </w:tcBorders>
            <w:shd w:val="clear" w:color="auto" w:fill="auto"/>
            <w:noWrap/>
            <w:vAlign w:val="center"/>
          </w:tcPr>
          <w:p w:rsidR="00730AC8" w:rsidRPr="000902FE" w:rsidRDefault="00730AC8" w:rsidP="002F5109">
            <w:pPr>
              <w:jc w:val="center"/>
              <w:rPr>
                <w:rFonts w:ascii="Arial" w:hAnsi="Arial"/>
                <w:b/>
                <w:bCs/>
                <w:sz w:val="20"/>
                <w:szCs w:val="20"/>
              </w:rPr>
            </w:pPr>
            <w:r w:rsidRPr="000902FE">
              <w:rPr>
                <w:rFonts w:ascii="Arial" w:hAnsi="Arial"/>
                <w:b/>
                <w:bCs/>
                <w:sz w:val="20"/>
                <w:szCs w:val="20"/>
              </w:rPr>
              <w:t>k 3</w:t>
            </w:r>
            <w:r>
              <w:rPr>
                <w:rFonts w:ascii="Arial" w:hAnsi="Arial"/>
                <w:b/>
                <w:bCs/>
                <w:sz w:val="20"/>
                <w:szCs w:val="20"/>
              </w:rPr>
              <w:t>0</w:t>
            </w:r>
            <w:r w:rsidRPr="000902FE">
              <w:rPr>
                <w:rFonts w:ascii="Arial" w:hAnsi="Arial"/>
                <w:b/>
                <w:bCs/>
                <w:sz w:val="20"/>
                <w:szCs w:val="20"/>
              </w:rPr>
              <w:t xml:space="preserve">. </w:t>
            </w:r>
            <w:r>
              <w:rPr>
                <w:rFonts w:ascii="Arial" w:hAnsi="Arial"/>
                <w:b/>
                <w:bCs/>
                <w:sz w:val="20"/>
                <w:szCs w:val="20"/>
              </w:rPr>
              <w:t>6</w:t>
            </w:r>
            <w:r w:rsidRPr="000902FE">
              <w:rPr>
                <w:rFonts w:ascii="Arial" w:hAnsi="Arial"/>
                <w:b/>
                <w:bCs/>
                <w:sz w:val="20"/>
                <w:szCs w:val="20"/>
              </w:rPr>
              <w:t>. 201</w:t>
            </w:r>
            <w:r>
              <w:rPr>
                <w:rFonts w:ascii="Arial" w:hAnsi="Arial"/>
                <w:b/>
                <w:bCs/>
                <w:sz w:val="20"/>
                <w:szCs w:val="20"/>
              </w:rPr>
              <w:t>2</w:t>
            </w:r>
          </w:p>
        </w:tc>
        <w:tc>
          <w:tcPr>
            <w:tcW w:w="1702" w:type="dxa"/>
            <w:gridSpan w:val="2"/>
            <w:tcBorders>
              <w:top w:val="double" w:sz="6" w:space="0" w:color="auto"/>
              <w:left w:val="single" w:sz="4" w:space="0" w:color="auto"/>
              <w:bottom w:val="single" w:sz="4" w:space="0" w:color="auto"/>
              <w:right w:val="single" w:sz="4" w:space="0" w:color="000000"/>
            </w:tcBorders>
            <w:shd w:val="clear" w:color="auto" w:fill="auto"/>
            <w:noWrap/>
            <w:vAlign w:val="center"/>
          </w:tcPr>
          <w:p w:rsidR="00730AC8" w:rsidRPr="000902FE" w:rsidRDefault="00730AC8" w:rsidP="002F5109">
            <w:pPr>
              <w:jc w:val="center"/>
              <w:rPr>
                <w:rFonts w:ascii="Arial" w:hAnsi="Arial"/>
                <w:b/>
                <w:bCs/>
                <w:sz w:val="20"/>
                <w:szCs w:val="20"/>
              </w:rPr>
            </w:pPr>
            <w:r w:rsidRPr="000902FE">
              <w:rPr>
                <w:rFonts w:ascii="Arial" w:hAnsi="Arial"/>
                <w:b/>
                <w:bCs/>
                <w:sz w:val="20"/>
                <w:szCs w:val="20"/>
              </w:rPr>
              <w:t>k 3</w:t>
            </w:r>
            <w:r>
              <w:rPr>
                <w:rFonts w:ascii="Arial" w:hAnsi="Arial"/>
                <w:b/>
                <w:bCs/>
                <w:sz w:val="20"/>
                <w:szCs w:val="20"/>
              </w:rPr>
              <w:t>0</w:t>
            </w:r>
            <w:r w:rsidRPr="000902FE">
              <w:rPr>
                <w:rFonts w:ascii="Arial" w:hAnsi="Arial"/>
                <w:b/>
                <w:bCs/>
                <w:sz w:val="20"/>
                <w:szCs w:val="20"/>
              </w:rPr>
              <w:t xml:space="preserve">. </w:t>
            </w:r>
            <w:r>
              <w:rPr>
                <w:rFonts w:ascii="Arial" w:hAnsi="Arial"/>
                <w:b/>
                <w:bCs/>
                <w:sz w:val="20"/>
                <w:szCs w:val="20"/>
              </w:rPr>
              <w:t>6</w:t>
            </w:r>
            <w:r w:rsidRPr="000902FE">
              <w:rPr>
                <w:rFonts w:ascii="Arial" w:hAnsi="Arial"/>
                <w:b/>
                <w:bCs/>
                <w:sz w:val="20"/>
                <w:szCs w:val="20"/>
              </w:rPr>
              <w:t>. 201</w:t>
            </w:r>
            <w:r>
              <w:rPr>
                <w:rFonts w:ascii="Arial" w:hAnsi="Arial"/>
                <w:b/>
                <w:bCs/>
                <w:sz w:val="20"/>
                <w:szCs w:val="20"/>
              </w:rPr>
              <w:t>3</w:t>
            </w:r>
          </w:p>
        </w:tc>
        <w:tc>
          <w:tcPr>
            <w:tcW w:w="1703" w:type="dxa"/>
            <w:gridSpan w:val="2"/>
            <w:tcBorders>
              <w:top w:val="double" w:sz="6" w:space="0" w:color="auto"/>
              <w:left w:val="nil"/>
              <w:bottom w:val="single" w:sz="4" w:space="0" w:color="auto"/>
              <w:right w:val="double" w:sz="6" w:space="0" w:color="000000"/>
            </w:tcBorders>
            <w:shd w:val="clear" w:color="auto" w:fill="auto"/>
            <w:noWrap/>
            <w:vAlign w:val="center"/>
          </w:tcPr>
          <w:p w:rsidR="00730AC8" w:rsidRPr="000902FE" w:rsidRDefault="00730AC8" w:rsidP="002F5109">
            <w:pPr>
              <w:jc w:val="center"/>
              <w:rPr>
                <w:rFonts w:ascii="Arial" w:hAnsi="Arial"/>
                <w:b/>
                <w:bCs/>
                <w:sz w:val="20"/>
                <w:szCs w:val="20"/>
              </w:rPr>
            </w:pPr>
            <w:r w:rsidRPr="000902FE">
              <w:rPr>
                <w:rFonts w:ascii="Arial" w:hAnsi="Arial"/>
                <w:b/>
                <w:bCs/>
                <w:sz w:val="20"/>
                <w:szCs w:val="20"/>
              </w:rPr>
              <w:t>meziroční rozdíl</w:t>
            </w:r>
          </w:p>
        </w:tc>
      </w:tr>
      <w:tr w:rsidR="00730AC8" w:rsidRPr="000902FE" w:rsidTr="002F5109">
        <w:trPr>
          <w:trHeight w:val="284"/>
          <w:jc w:val="center"/>
        </w:trPr>
        <w:tc>
          <w:tcPr>
            <w:tcW w:w="2253" w:type="dxa"/>
            <w:gridSpan w:val="2"/>
            <w:tcBorders>
              <w:top w:val="nil"/>
              <w:left w:val="double" w:sz="6" w:space="0" w:color="auto"/>
              <w:bottom w:val="single" w:sz="4" w:space="0" w:color="auto"/>
              <w:right w:val="single" w:sz="4" w:space="0" w:color="auto"/>
            </w:tcBorders>
            <w:shd w:val="clear" w:color="auto" w:fill="auto"/>
            <w:noWrap/>
          </w:tcPr>
          <w:p w:rsidR="00730AC8" w:rsidRPr="000902FE" w:rsidRDefault="00730AC8" w:rsidP="002F5109">
            <w:pPr>
              <w:jc w:val="both"/>
              <w:rPr>
                <w:rFonts w:ascii="Arial" w:hAnsi="Arial"/>
              </w:rPr>
            </w:pPr>
            <w:r w:rsidRPr="000902FE">
              <w:rPr>
                <w:rFonts w:ascii="Arial" w:hAnsi="Arial"/>
              </w:rPr>
              <w:t> </w:t>
            </w:r>
          </w:p>
        </w:tc>
        <w:tc>
          <w:tcPr>
            <w:tcW w:w="851" w:type="dxa"/>
            <w:tcBorders>
              <w:top w:val="nil"/>
              <w:left w:val="nil"/>
              <w:bottom w:val="single" w:sz="4" w:space="0" w:color="auto"/>
              <w:right w:val="single" w:sz="4" w:space="0" w:color="auto"/>
            </w:tcBorders>
            <w:shd w:val="clear" w:color="auto" w:fill="auto"/>
            <w:vAlign w:val="bottom"/>
          </w:tcPr>
          <w:p w:rsidR="00730AC8" w:rsidRPr="000902FE" w:rsidRDefault="00730AC8" w:rsidP="002F5109">
            <w:pPr>
              <w:jc w:val="center"/>
              <w:rPr>
                <w:rFonts w:ascii="Arial" w:hAnsi="Arial"/>
                <w:b/>
                <w:bCs/>
                <w:sz w:val="20"/>
                <w:szCs w:val="20"/>
              </w:rPr>
            </w:pPr>
            <w:r w:rsidRPr="000902FE">
              <w:rPr>
                <w:rFonts w:ascii="Arial" w:hAnsi="Arial"/>
                <w:b/>
                <w:bCs/>
                <w:sz w:val="20"/>
                <w:szCs w:val="20"/>
              </w:rPr>
              <w:t>v tis.</w:t>
            </w:r>
          </w:p>
        </w:tc>
        <w:tc>
          <w:tcPr>
            <w:tcW w:w="851" w:type="dxa"/>
            <w:tcBorders>
              <w:top w:val="nil"/>
              <w:left w:val="nil"/>
              <w:bottom w:val="single" w:sz="4" w:space="0" w:color="auto"/>
              <w:right w:val="nil"/>
            </w:tcBorders>
            <w:shd w:val="clear" w:color="auto" w:fill="auto"/>
            <w:vAlign w:val="bottom"/>
          </w:tcPr>
          <w:p w:rsidR="00730AC8" w:rsidRPr="000902FE" w:rsidRDefault="00730AC8" w:rsidP="002F5109">
            <w:pPr>
              <w:jc w:val="center"/>
              <w:rPr>
                <w:rFonts w:ascii="Arial" w:hAnsi="Arial"/>
                <w:b/>
                <w:bCs/>
                <w:sz w:val="20"/>
                <w:szCs w:val="20"/>
              </w:rPr>
            </w:pPr>
            <w:r w:rsidRPr="000902FE">
              <w:rPr>
                <w:rFonts w:ascii="Arial" w:hAnsi="Arial"/>
                <w:b/>
                <w:bCs/>
                <w:sz w:val="20"/>
                <w:szCs w:val="20"/>
              </w:rPr>
              <w:t>v %</w:t>
            </w:r>
          </w:p>
        </w:tc>
        <w:tc>
          <w:tcPr>
            <w:tcW w:w="851" w:type="dxa"/>
            <w:tcBorders>
              <w:top w:val="nil"/>
              <w:left w:val="single" w:sz="4" w:space="0" w:color="auto"/>
              <w:bottom w:val="single" w:sz="4" w:space="0" w:color="auto"/>
              <w:right w:val="single" w:sz="4" w:space="0" w:color="auto"/>
            </w:tcBorders>
            <w:shd w:val="clear" w:color="auto" w:fill="auto"/>
            <w:vAlign w:val="bottom"/>
          </w:tcPr>
          <w:p w:rsidR="00730AC8" w:rsidRPr="000902FE" w:rsidRDefault="00730AC8" w:rsidP="002F5109">
            <w:pPr>
              <w:jc w:val="center"/>
              <w:rPr>
                <w:rFonts w:ascii="Arial" w:hAnsi="Arial"/>
                <w:b/>
                <w:bCs/>
                <w:sz w:val="20"/>
                <w:szCs w:val="20"/>
              </w:rPr>
            </w:pPr>
            <w:r w:rsidRPr="000902FE">
              <w:rPr>
                <w:rFonts w:ascii="Arial" w:hAnsi="Arial"/>
                <w:b/>
                <w:bCs/>
                <w:sz w:val="20"/>
                <w:szCs w:val="20"/>
              </w:rPr>
              <w:t>v tis.</w:t>
            </w:r>
          </w:p>
        </w:tc>
        <w:tc>
          <w:tcPr>
            <w:tcW w:w="851" w:type="dxa"/>
            <w:tcBorders>
              <w:top w:val="nil"/>
              <w:left w:val="nil"/>
              <w:bottom w:val="single" w:sz="4" w:space="0" w:color="auto"/>
              <w:right w:val="single" w:sz="4" w:space="0" w:color="auto"/>
            </w:tcBorders>
            <w:shd w:val="clear" w:color="auto" w:fill="auto"/>
            <w:vAlign w:val="bottom"/>
          </w:tcPr>
          <w:p w:rsidR="00730AC8" w:rsidRPr="000902FE" w:rsidRDefault="00730AC8" w:rsidP="002F5109">
            <w:pPr>
              <w:jc w:val="center"/>
              <w:rPr>
                <w:rFonts w:ascii="Arial" w:hAnsi="Arial"/>
                <w:b/>
                <w:bCs/>
                <w:sz w:val="20"/>
                <w:szCs w:val="20"/>
              </w:rPr>
            </w:pPr>
            <w:r w:rsidRPr="000902FE">
              <w:rPr>
                <w:rFonts w:ascii="Arial" w:hAnsi="Arial"/>
                <w:b/>
                <w:bCs/>
                <w:sz w:val="20"/>
                <w:szCs w:val="20"/>
              </w:rPr>
              <w:t>v %</w:t>
            </w:r>
          </w:p>
        </w:tc>
        <w:tc>
          <w:tcPr>
            <w:tcW w:w="851" w:type="dxa"/>
            <w:tcBorders>
              <w:top w:val="nil"/>
              <w:left w:val="nil"/>
              <w:bottom w:val="single" w:sz="4" w:space="0" w:color="auto"/>
              <w:right w:val="single" w:sz="4" w:space="0" w:color="auto"/>
            </w:tcBorders>
            <w:shd w:val="clear" w:color="auto" w:fill="auto"/>
            <w:vAlign w:val="bottom"/>
          </w:tcPr>
          <w:p w:rsidR="00730AC8" w:rsidRPr="000902FE" w:rsidRDefault="00730AC8" w:rsidP="002F5109">
            <w:pPr>
              <w:jc w:val="center"/>
              <w:rPr>
                <w:rFonts w:ascii="Arial" w:hAnsi="Arial"/>
                <w:b/>
                <w:bCs/>
                <w:sz w:val="20"/>
                <w:szCs w:val="20"/>
              </w:rPr>
            </w:pPr>
            <w:r w:rsidRPr="000902FE">
              <w:rPr>
                <w:rFonts w:ascii="Arial" w:hAnsi="Arial"/>
                <w:b/>
                <w:bCs/>
                <w:sz w:val="20"/>
                <w:szCs w:val="20"/>
              </w:rPr>
              <w:t>v tis.</w:t>
            </w:r>
          </w:p>
        </w:tc>
        <w:tc>
          <w:tcPr>
            <w:tcW w:w="852" w:type="dxa"/>
            <w:tcBorders>
              <w:top w:val="nil"/>
              <w:left w:val="nil"/>
              <w:bottom w:val="single" w:sz="4" w:space="0" w:color="auto"/>
              <w:right w:val="double" w:sz="6" w:space="0" w:color="auto"/>
            </w:tcBorders>
            <w:shd w:val="clear" w:color="auto" w:fill="auto"/>
            <w:vAlign w:val="bottom"/>
          </w:tcPr>
          <w:p w:rsidR="00730AC8" w:rsidRPr="000902FE" w:rsidRDefault="00730AC8" w:rsidP="002F5109">
            <w:pPr>
              <w:jc w:val="center"/>
              <w:rPr>
                <w:rFonts w:ascii="Arial" w:hAnsi="Arial"/>
                <w:b/>
                <w:bCs/>
                <w:sz w:val="20"/>
                <w:szCs w:val="20"/>
              </w:rPr>
            </w:pPr>
            <w:r w:rsidRPr="000902FE">
              <w:rPr>
                <w:rFonts w:ascii="Arial" w:hAnsi="Arial"/>
                <w:b/>
                <w:bCs/>
                <w:sz w:val="20"/>
                <w:szCs w:val="20"/>
              </w:rPr>
              <w:t>v %</w:t>
            </w:r>
          </w:p>
        </w:tc>
      </w:tr>
      <w:tr w:rsidR="00384504" w:rsidRPr="000902FE" w:rsidTr="002F5109">
        <w:trPr>
          <w:trHeight w:val="227"/>
          <w:jc w:val="center"/>
        </w:trPr>
        <w:tc>
          <w:tcPr>
            <w:tcW w:w="2253" w:type="dxa"/>
            <w:gridSpan w:val="2"/>
            <w:tcBorders>
              <w:top w:val="nil"/>
              <w:left w:val="double" w:sz="6" w:space="0" w:color="auto"/>
              <w:bottom w:val="nil"/>
              <w:right w:val="single" w:sz="4" w:space="0" w:color="auto"/>
            </w:tcBorders>
            <w:shd w:val="clear" w:color="auto" w:fill="auto"/>
            <w:vAlign w:val="bottom"/>
          </w:tcPr>
          <w:p w:rsidR="00384504" w:rsidRPr="000902FE" w:rsidRDefault="00384504" w:rsidP="002F5109">
            <w:pPr>
              <w:rPr>
                <w:rFonts w:ascii="Arial" w:hAnsi="Arial" w:cs="Arial"/>
                <w:b/>
                <w:bCs/>
                <w:sz w:val="20"/>
                <w:szCs w:val="20"/>
              </w:rPr>
            </w:pPr>
            <w:r w:rsidRPr="000902FE">
              <w:rPr>
                <w:rFonts w:ascii="Arial" w:hAnsi="Arial" w:cs="Arial"/>
                <w:b/>
                <w:bCs/>
                <w:sz w:val="20"/>
                <w:szCs w:val="20"/>
              </w:rPr>
              <w:t>Uchazeči s </w:t>
            </w:r>
            <w:proofErr w:type="spellStart"/>
            <w:r w:rsidRPr="000902FE">
              <w:rPr>
                <w:rFonts w:ascii="Arial" w:hAnsi="Arial" w:cs="Arial"/>
                <w:b/>
                <w:bCs/>
                <w:sz w:val="20"/>
                <w:szCs w:val="20"/>
              </w:rPr>
              <w:t>PvN</w:t>
            </w:r>
            <w:proofErr w:type="spellEnd"/>
          </w:p>
        </w:tc>
        <w:tc>
          <w:tcPr>
            <w:tcW w:w="851" w:type="dxa"/>
            <w:tcBorders>
              <w:top w:val="nil"/>
              <w:left w:val="nil"/>
              <w:bottom w:val="nil"/>
              <w:right w:val="single" w:sz="4" w:space="0" w:color="auto"/>
            </w:tcBorders>
            <w:shd w:val="clear" w:color="auto" w:fill="auto"/>
            <w:noWrap/>
            <w:vAlign w:val="bottom"/>
          </w:tcPr>
          <w:p w:rsidR="00384504" w:rsidRDefault="00384504">
            <w:pPr>
              <w:jc w:val="right"/>
              <w:rPr>
                <w:rFonts w:ascii="Arial CE" w:hAnsi="Arial CE" w:cs="Arial CE"/>
                <w:b/>
                <w:bCs/>
                <w:sz w:val="20"/>
                <w:szCs w:val="20"/>
              </w:rPr>
            </w:pPr>
            <w:r>
              <w:rPr>
                <w:rFonts w:ascii="Arial CE" w:hAnsi="Arial CE" w:cs="Arial CE"/>
                <w:b/>
                <w:bCs/>
                <w:sz w:val="20"/>
                <w:szCs w:val="20"/>
              </w:rPr>
              <w:t>89,1</w:t>
            </w:r>
          </w:p>
        </w:tc>
        <w:tc>
          <w:tcPr>
            <w:tcW w:w="851" w:type="dxa"/>
            <w:tcBorders>
              <w:top w:val="nil"/>
              <w:left w:val="nil"/>
              <w:bottom w:val="nil"/>
              <w:right w:val="nil"/>
            </w:tcBorders>
            <w:shd w:val="clear" w:color="auto" w:fill="auto"/>
            <w:noWrap/>
            <w:vAlign w:val="bottom"/>
          </w:tcPr>
          <w:p w:rsidR="00384504" w:rsidRDefault="00384504">
            <w:pPr>
              <w:jc w:val="right"/>
              <w:rPr>
                <w:rFonts w:ascii="Arial CE" w:hAnsi="Arial CE" w:cs="Arial CE"/>
                <w:b/>
                <w:bCs/>
                <w:sz w:val="20"/>
                <w:szCs w:val="20"/>
              </w:rPr>
            </w:pPr>
            <w:r>
              <w:rPr>
                <w:rFonts w:ascii="Arial CE" w:hAnsi="Arial CE" w:cs="Arial CE"/>
                <w:b/>
                <w:bCs/>
                <w:sz w:val="20"/>
                <w:szCs w:val="20"/>
              </w:rPr>
              <w:t>100,0</w:t>
            </w:r>
          </w:p>
        </w:tc>
        <w:tc>
          <w:tcPr>
            <w:tcW w:w="851" w:type="dxa"/>
            <w:tcBorders>
              <w:top w:val="nil"/>
              <w:left w:val="single" w:sz="4" w:space="0" w:color="auto"/>
              <w:bottom w:val="nil"/>
              <w:right w:val="single" w:sz="4" w:space="0" w:color="auto"/>
            </w:tcBorders>
            <w:shd w:val="clear" w:color="auto" w:fill="auto"/>
            <w:noWrap/>
            <w:vAlign w:val="bottom"/>
          </w:tcPr>
          <w:p w:rsidR="00384504" w:rsidRDefault="00384504" w:rsidP="002F5109">
            <w:pPr>
              <w:jc w:val="right"/>
              <w:rPr>
                <w:rFonts w:ascii="Arial CE" w:hAnsi="Arial CE" w:cs="Arial CE"/>
                <w:b/>
                <w:bCs/>
                <w:sz w:val="20"/>
                <w:szCs w:val="20"/>
              </w:rPr>
            </w:pPr>
            <w:r>
              <w:rPr>
                <w:rFonts w:ascii="Arial CE" w:hAnsi="Arial CE" w:cs="Arial CE"/>
                <w:b/>
                <w:bCs/>
                <w:sz w:val="20"/>
                <w:szCs w:val="20"/>
              </w:rPr>
              <w:t>108,9</w:t>
            </w:r>
          </w:p>
        </w:tc>
        <w:tc>
          <w:tcPr>
            <w:tcW w:w="851" w:type="dxa"/>
            <w:tcBorders>
              <w:top w:val="nil"/>
              <w:left w:val="nil"/>
              <w:bottom w:val="nil"/>
              <w:right w:val="single" w:sz="4" w:space="0" w:color="auto"/>
            </w:tcBorders>
            <w:shd w:val="clear" w:color="auto" w:fill="auto"/>
            <w:noWrap/>
            <w:vAlign w:val="bottom"/>
          </w:tcPr>
          <w:p w:rsidR="00384504" w:rsidRDefault="00384504" w:rsidP="002F5109">
            <w:pPr>
              <w:jc w:val="right"/>
              <w:rPr>
                <w:rFonts w:ascii="Arial CE" w:hAnsi="Arial CE" w:cs="Arial CE"/>
                <w:b/>
                <w:bCs/>
                <w:sz w:val="20"/>
                <w:szCs w:val="20"/>
              </w:rPr>
            </w:pPr>
            <w:r>
              <w:rPr>
                <w:rFonts w:ascii="Arial CE" w:hAnsi="Arial CE" w:cs="Arial CE"/>
                <w:b/>
                <w:bCs/>
                <w:sz w:val="20"/>
                <w:szCs w:val="20"/>
              </w:rPr>
              <w:t>100,0</w:t>
            </w:r>
          </w:p>
        </w:tc>
        <w:tc>
          <w:tcPr>
            <w:tcW w:w="851" w:type="dxa"/>
            <w:tcBorders>
              <w:top w:val="nil"/>
              <w:left w:val="nil"/>
              <w:bottom w:val="nil"/>
              <w:right w:val="single" w:sz="4" w:space="0" w:color="auto"/>
            </w:tcBorders>
            <w:shd w:val="clear" w:color="auto" w:fill="auto"/>
            <w:noWrap/>
            <w:vAlign w:val="bottom"/>
          </w:tcPr>
          <w:p w:rsidR="00384504" w:rsidRDefault="00384504" w:rsidP="002F5109">
            <w:pPr>
              <w:jc w:val="right"/>
              <w:rPr>
                <w:rFonts w:ascii="Arial CE" w:hAnsi="Arial CE" w:cs="Arial CE"/>
                <w:b/>
                <w:bCs/>
                <w:sz w:val="20"/>
                <w:szCs w:val="20"/>
              </w:rPr>
            </w:pPr>
            <w:r>
              <w:rPr>
                <w:rFonts w:ascii="Arial CE" w:hAnsi="Arial CE" w:cs="Arial CE"/>
                <w:b/>
                <w:bCs/>
                <w:sz w:val="20"/>
                <w:szCs w:val="20"/>
              </w:rPr>
              <w:t>19,8</w:t>
            </w:r>
          </w:p>
        </w:tc>
        <w:tc>
          <w:tcPr>
            <w:tcW w:w="852" w:type="dxa"/>
            <w:tcBorders>
              <w:top w:val="nil"/>
              <w:left w:val="nil"/>
              <w:bottom w:val="nil"/>
              <w:right w:val="double" w:sz="6" w:space="0" w:color="auto"/>
            </w:tcBorders>
            <w:shd w:val="clear" w:color="auto" w:fill="auto"/>
            <w:noWrap/>
            <w:vAlign w:val="bottom"/>
          </w:tcPr>
          <w:p w:rsidR="00384504" w:rsidRDefault="00384504" w:rsidP="002F5109">
            <w:pPr>
              <w:jc w:val="right"/>
              <w:rPr>
                <w:rFonts w:ascii="Arial CE" w:hAnsi="Arial CE" w:cs="Arial CE"/>
                <w:b/>
                <w:bCs/>
                <w:sz w:val="20"/>
                <w:szCs w:val="20"/>
              </w:rPr>
            </w:pPr>
            <w:r>
              <w:rPr>
                <w:rFonts w:ascii="Arial CE" w:hAnsi="Arial CE" w:cs="Arial CE"/>
                <w:b/>
                <w:bCs/>
                <w:sz w:val="20"/>
                <w:szCs w:val="20"/>
              </w:rPr>
              <w:t>22,2</w:t>
            </w:r>
          </w:p>
        </w:tc>
      </w:tr>
      <w:tr w:rsidR="00384504" w:rsidRPr="000902FE" w:rsidTr="002F5109">
        <w:trPr>
          <w:trHeight w:val="227"/>
          <w:jc w:val="center"/>
        </w:trPr>
        <w:tc>
          <w:tcPr>
            <w:tcW w:w="2253" w:type="dxa"/>
            <w:gridSpan w:val="2"/>
            <w:tcBorders>
              <w:top w:val="nil"/>
              <w:left w:val="double" w:sz="6" w:space="0" w:color="auto"/>
              <w:bottom w:val="nil"/>
              <w:right w:val="single" w:sz="4" w:space="0" w:color="auto"/>
            </w:tcBorders>
            <w:shd w:val="clear" w:color="auto" w:fill="auto"/>
            <w:vAlign w:val="bottom"/>
          </w:tcPr>
          <w:p w:rsidR="00384504" w:rsidRPr="000902FE" w:rsidRDefault="00384504" w:rsidP="002F5109">
            <w:pPr>
              <w:rPr>
                <w:rFonts w:ascii="Arial" w:hAnsi="Arial" w:cs="Arial"/>
                <w:b/>
                <w:bCs/>
                <w:sz w:val="20"/>
                <w:szCs w:val="20"/>
              </w:rPr>
            </w:pPr>
            <w:r w:rsidRPr="000902FE">
              <w:rPr>
                <w:rFonts w:ascii="Arial" w:hAnsi="Arial" w:cs="Arial"/>
                <w:b/>
                <w:bCs/>
                <w:sz w:val="20"/>
                <w:szCs w:val="20"/>
              </w:rPr>
              <w:t xml:space="preserve">   z toho:</w:t>
            </w:r>
          </w:p>
        </w:tc>
        <w:tc>
          <w:tcPr>
            <w:tcW w:w="851" w:type="dxa"/>
            <w:tcBorders>
              <w:top w:val="nil"/>
              <w:left w:val="nil"/>
              <w:bottom w:val="nil"/>
              <w:right w:val="single" w:sz="4" w:space="0" w:color="auto"/>
            </w:tcBorders>
            <w:shd w:val="clear" w:color="auto" w:fill="auto"/>
            <w:noWrap/>
            <w:vAlign w:val="bottom"/>
          </w:tcPr>
          <w:p w:rsidR="00384504" w:rsidRDefault="00384504">
            <w:pPr>
              <w:rPr>
                <w:rFonts w:ascii="Arial CE" w:hAnsi="Arial CE" w:cs="Arial CE"/>
                <w:sz w:val="20"/>
                <w:szCs w:val="20"/>
              </w:rPr>
            </w:pPr>
            <w:r>
              <w:rPr>
                <w:rFonts w:ascii="Arial CE" w:hAnsi="Arial CE" w:cs="Arial CE"/>
                <w:sz w:val="20"/>
                <w:szCs w:val="20"/>
              </w:rPr>
              <w:t> </w:t>
            </w:r>
          </w:p>
        </w:tc>
        <w:tc>
          <w:tcPr>
            <w:tcW w:w="851" w:type="dxa"/>
            <w:tcBorders>
              <w:top w:val="nil"/>
              <w:left w:val="nil"/>
              <w:bottom w:val="nil"/>
              <w:right w:val="nil"/>
            </w:tcBorders>
            <w:shd w:val="clear" w:color="auto" w:fill="auto"/>
            <w:noWrap/>
            <w:vAlign w:val="bottom"/>
          </w:tcPr>
          <w:p w:rsidR="00384504" w:rsidRDefault="00384504">
            <w:pPr>
              <w:rPr>
                <w:rFonts w:ascii="Arial CE" w:hAnsi="Arial CE" w:cs="Arial CE"/>
                <w:sz w:val="20"/>
                <w:szCs w:val="20"/>
              </w:rPr>
            </w:pPr>
          </w:p>
        </w:tc>
        <w:tc>
          <w:tcPr>
            <w:tcW w:w="851" w:type="dxa"/>
            <w:tcBorders>
              <w:top w:val="nil"/>
              <w:left w:val="single" w:sz="4" w:space="0" w:color="auto"/>
              <w:bottom w:val="nil"/>
              <w:right w:val="single" w:sz="4" w:space="0" w:color="auto"/>
            </w:tcBorders>
            <w:shd w:val="clear" w:color="auto" w:fill="auto"/>
            <w:noWrap/>
            <w:vAlign w:val="bottom"/>
          </w:tcPr>
          <w:p w:rsidR="00384504" w:rsidRDefault="00384504" w:rsidP="002F5109">
            <w:pPr>
              <w:rPr>
                <w:rFonts w:ascii="Arial CE" w:hAnsi="Arial CE" w:cs="Arial CE"/>
                <w:sz w:val="20"/>
                <w:szCs w:val="20"/>
              </w:rPr>
            </w:pPr>
            <w:r>
              <w:rPr>
                <w:rFonts w:ascii="Arial CE" w:hAnsi="Arial CE" w:cs="Arial CE"/>
                <w:sz w:val="20"/>
                <w:szCs w:val="20"/>
              </w:rPr>
              <w:t> </w:t>
            </w:r>
          </w:p>
        </w:tc>
        <w:tc>
          <w:tcPr>
            <w:tcW w:w="851" w:type="dxa"/>
            <w:tcBorders>
              <w:top w:val="nil"/>
              <w:left w:val="nil"/>
              <w:bottom w:val="nil"/>
              <w:right w:val="single" w:sz="4" w:space="0" w:color="auto"/>
            </w:tcBorders>
            <w:shd w:val="clear" w:color="auto" w:fill="auto"/>
            <w:noWrap/>
            <w:vAlign w:val="bottom"/>
          </w:tcPr>
          <w:p w:rsidR="00384504" w:rsidRDefault="00384504" w:rsidP="002F5109">
            <w:pPr>
              <w:rPr>
                <w:rFonts w:ascii="Arial CE" w:hAnsi="Arial CE" w:cs="Arial CE"/>
                <w:sz w:val="20"/>
                <w:szCs w:val="20"/>
              </w:rPr>
            </w:pPr>
            <w:r>
              <w:rPr>
                <w:rFonts w:ascii="Arial CE" w:hAnsi="Arial CE" w:cs="Arial CE"/>
                <w:sz w:val="20"/>
                <w:szCs w:val="20"/>
              </w:rPr>
              <w:t> </w:t>
            </w:r>
          </w:p>
        </w:tc>
        <w:tc>
          <w:tcPr>
            <w:tcW w:w="851" w:type="dxa"/>
            <w:tcBorders>
              <w:top w:val="nil"/>
              <w:left w:val="nil"/>
              <w:bottom w:val="nil"/>
              <w:right w:val="single" w:sz="4" w:space="0" w:color="auto"/>
            </w:tcBorders>
            <w:shd w:val="clear" w:color="auto" w:fill="auto"/>
            <w:noWrap/>
            <w:vAlign w:val="bottom"/>
          </w:tcPr>
          <w:p w:rsidR="00384504" w:rsidRDefault="00384504" w:rsidP="002F5109">
            <w:pPr>
              <w:rPr>
                <w:rFonts w:ascii="Arial CE" w:hAnsi="Arial CE" w:cs="Arial CE"/>
                <w:sz w:val="20"/>
                <w:szCs w:val="20"/>
              </w:rPr>
            </w:pPr>
            <w:r>
              <w:rPr>
                <w:rFonts w:ascii="Arial CE" w:hAnsi="Arial CE" w:cs="Arial CE"/>
                <w:sz w:val="20"/>
                <w:szCs w:val="20"/>
              </w:rPr>
              <w:t> </w:t>
            </w:r>
          </w:p>
        </w:tc>
        <w:tc>
          <w:tcPr>
            <w:tcW w:w="852" w:type="dxa"/>
            <w:tcBorders>
              <w:top w:val="nil"/>
              <w:left w:val="nil"/>
              <w:bottom w:val="nil"/>
              <w:right w:val="double" w:sz="6" w:space="0" w:color="auto"/>
            </w:tcBorders>
            <w:shd w:val="clear" w:color="auto" w:fill="auto"/>
            <w:noWrap/>
            <w:vAlign w:val="bottom"/>
          </w:tcPr>
          <w:p w:rsidR="00384504" w:rsidRDefault="00384504" w:rsidP="002F5109">
            <w:pPr>
              <w:rPr>
                <w:rFonts w:ascii="Arial CE" w:hAnsi="Arial CE" w:cs="Arial CE"/>
                <w:sz w:val="20"/>
                <w:szCs w:val="20"/>
              </w:rPr>
            </w:pPr>
            <w:r>
              <w:rPr>
                <w:rFonts w:ascii="Arial CE" w:hAnsi="Arial CE" w:cs="Arial CE"/>
                <w:sz w:val="20"/>
                <w:szCs w:val="20"/>
              </w:rPr>
              <w:t> </w:t>
            </w:r>
          </w:p>
        </w:tc>
      </w:tr>
      <w:tr w:rsidR="00384504" w:rsidRPr="000902FE" w:rsidTr="002F5109">
        <w:trPr>
          <w:trHeight w:val="284"/>
          <w:jc w:val="center"/>
        </w:trPr>
        <w:tc>
          <w:tcPr>
            <w:tcW w:w="2253" w:type="dxa"/>
            <w:gridSpan w:val="2"/>
            <w:tcBorders>
              <w:top w:val="nil"/>
              <w:left w:val="double" w:sz="6" w:space="0" w:color="auto"/>
              <w:bottom w:val="nil"/>
              <w:right w:val="single" w:sz="4" w:space="0" w:color="auto"/>
            </w:tcBorders>
            <w:shd w:val="clear" w:color="auto" w:fill="auto"/>
            <w:vAlign w:val="bottom"/>
          </w:tcPr>
          <w:p w:rsidR="00384504" w:rsidRPr="000902FE" w:rsidRDefault="00384504" w:rsidP="002F5109">
            <w:pPr>
              <w:rPr>
                <w:rFonts w:ascii="Arial" w:hAnsi="Arial" w:cs="Arial"/>
                <w:sz w:val="20"/>
                <w:szCs w:val="20"/>
              </w:rPr>
            </w:pPr>
            <w:r w:rsidRPr="000902FE">
              <w:rPr>
                <w:rFonts w:ascii="Arial" w:hAnsi="Arial" w:cs="Arial"/>
                <w:sz w:val="20"/>
                <w:szCs w:val="20"/>
              </w:rPr>
              <w:t xml:space="preserve">   do 1500 Kč</w:t>
            </w:r>
          </w:p>
        </w:tc>
        <w:tc>
          <w:tcPr>
            <w:tcW w:w="851" w:type="dxa"/>
            <w:tcBorders>
              <w:top w:val="nil"/>
              <w:left w:val="nil"/>
              <w:bottom w:val="nil"/>
              <w:right w:val="single" w:sz="4" w:space="0" w:color="auto"/>
            </w:tcBorders>
            <w:shd w:val="clear" w:color="auto" w:fill="auto"/>
            <w:noWrap/>
            <w:vAlign w:val="bottom"/>
          </w:tcPr>
          <w:p w:rsidR="00384504" w:rsidRDefault="00384504">
            <w:pPr>
              <w:jc w:val="right"/>
              <w:rPr>
                <w:rFonts w:ascii="Arial CE" w:hAnsi="Arial CE" w:cs="Arial CE"/>
                <w:sz w:val="20"/>
                <w:szCs w:val="20"/>
              </w:rPr>
            </w:pPr>
            <w:r>
              <w:rPr>
                <w:rFonts w:ascii="Arial CE" w:hAnsi="Arial CE" w:cs="Arial CE"/>
                <w:sz w:val="20"/>
                <w:szCs w:val="20"/>
              </w:rPr>
              <w:t>0,5</w:t>
            </w:r>
          </w:p>
        </w:tc>
        <w:tc>
          <w:tcPr>
            <w:tcW w:w="851" w:type="dxa"/>
            <w:tcBorders>
              <w:top w:val="nil"/>
              <w:left w:val="nil"/>
              <w:bottom w:val="nil"/>
              <w:right w:val="nil"/>
            </w:tcBorders>
            <w:shd w:val="clear" w:color="auto" w:fill="auto"/>
            <w:noWrap/>
            <w:vAlign w:val="bottom"/>
          </w:tcPr>
          <w:p w:rsidR="00384504" w:rsidRDefault="00384504">
            <w:pPr>
              <w:jc w:val="right"/>
              <w:rPr>
                <w:rFonts w:ascii="Arial CE" w:hAnsi="Arial CE" w:cs="Arial CE"/>
                <w:sz w:val="20"/>
                <w:szCs w:val="20"/>
              </w:rPr>
            </w:pPr>
            <w:r>
              <w:rPr>
                <w:rFonts w:ascii="Arial CE" w:hAnsi="Arial CE" w:cs="Arial CE"/>
                <w:sz w:val="20"/>
                <w:szCs w:val="20"/>
              </w:rPr>
              <w:t>0,6</w:t>
            </w:r>
          </w:p>
        </w:tc>
        <w:tc>
          <w:tcPr>
            <w:tcW w:w="851" w:type="dxa"/>
            <w:tcBorders>
              <w:top w:val="nil"/>
              <w:left w:val="single" w:sz="4" w:space="0" w:color="auto"/>
              <w:bottom w:val="nil"/>
              <w:right w:val="single" w:sz="4"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0,6</w:t>
            </w:r>
          </w:p>
        </w:tc>
        <w:tc>
          <w:tcPr>
            <w:tcW w:w="851" w:type="dxa"/>
            <w:tcBorders>
              <w:top w:val="nil"/>
              <w:left w:val="nil"/>
              <w:bottom w:val="nil"/>
              <w:right w:val="single" w:sz="4"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0,6</w:t>
            </w:r>
          </w:p>
        </w:tc>
        <w:tc>
          <w:tcPr>
            <w:tcW w:w="851" w:type="dxa"/>
            <w:tcBorders>
              <w:top w:val="nil"/>
              <w:left w:val="nil"/>
              <w:bottom w:val="nil"/>
              <w:right w:val="single" w:sz="4"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0,1</w:t>
            </w:r>
          </w:p>
        </w:tc>
        <w:tc>
          <w:tcPr>
            <w:tcW w:w="852" w:type="dxa"/>
            <w:tcBorders>
              <w:top w:val="nil"/>
              <w:left w:val="nil"/>
              <w:bottom w:val="nil"/>
              <w:right w:val="double" w:sz="6"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20,0</w:t>
            </w:r>
          </w:p>
        </w:tc>
      </w:tr>
      <w:tr w:rsidR="00384504" w:rsidRPr="000902FE" w:rsidTr="002F5109">
        <w:trPr>
          <w:trHeight w:val="284"/>
          <w:jc w:val="center"/>
        </w:trPr>
        <w:tc>
          <w:tcPr>
            <w:tcW w:w="2253" w:type="dxa"/>
            <w:gridSpan w:val="2"/>
            <w:tcBorders>
              <w:top w:val="nil"/>
              <w:left w:val="double" w:sz="6" w:space="0" w:color="auto"/>
              <w:bottom w:val="nil"/>
              <w:right w:val="single" w:sz="4" w:space="0" w:color="auto"/>
            </w:tcBorders>
            <w:shd w:val="clear" w:color="auto" w:fill="auto"/>
            <w:vAlign w:val="bottom"/>
          </w:tcPr>
          <w:p w:rsidR="00384504" w:rsidRPr="000902FE" w:rsidRDefault="00384504" w:rsidP="002F5109">
            <w:pPr>
              <w:jc w:val="both"/>
              <w:rPr>
                <w:rFonts w:ascii="Arial" w:hAnsi="Arial" w:cs="Arial"/>
                <w:sz w:val="20"/>
                <w:szCs w:val="20"/>
              </w:rPr>
            </w:pPr>
            <w:r w:rsidRPr="000902FE">
              <w:rPr>
                <w:rFonts w:ascii="Arial" w:hAnsi="Arial" w:cs="Arial"/>
                <w:sz w:val="20"/>
                <w:szCs w:val="20"/>
              </w:rPr>
              <w:t xml:space="preserve">   1501 - 2500 Kč</w:t>
            </w:r>
          </w:p>
        </w:tc>
        <w:tc>
          <w:tcPr>
            <w:tcW w:w="851" w:type="dxa"/>
            <w:tcBorders>
              <w:top w:val="nil"/>
              <w:left w:val="nil"/>
              <w:bottom w:val="nil"/>
              <w:right w:val="single" w:sz="4" w:space="0" w:color="auto"/>
            </w:tcBorders>
            <w:shd w:val="clear" w:color="auto" w:fill="auto"/>
            <w:noWrap/>
            <w:vAlign w:val="bottom"/>
          </w:tcPr>
          <w:p w:rsidR="00384504" w:rsidRDefault="00384504">
            <w:pPr>
              <w:jc w:val="right"/>
              <w:rPr>
                <w:rFonts w:ascii="Arial CE" w:hAnsi="Arial CE" w:cs="Arial CE"/>
                <w:sz w:val="20"/>
                <w:szCs w:val="20"/>
              </w:rPr>
            </w:pPr>
            <w:r>
              <w:rPr>
                <w:rFonts w:ascii="Arial CE" w:hAnsi="Arial CE" w:cs="Arial CE"/>
                <w:sz w:val="20"/>
                <w:szCs w:val="20"/>
              </w:rPr>
              <w:t>1,8</w:t>
            </w:r>
          </w:p>
        </w:tc>
        <w:tc>
          <w:tcPr>
            <w:tcW w:w="851" w:type="dxa"/>
            <w:tcBorders>
              <w:top w:val="nil"/>
              <w:left w:val="nil"/>
              <w:bottom w:val="nil"/>
              <w:right w:val="nil"/>
            </w:tcBorders>
            <w:shd w:val="clear" w:color="auto" w:fill="auto"/>
            <w:noWrap/>
            <w:vAlign w:val="bottom"/>
          </w:tcPr>
          <w:p w:rsidR="00384504" w:rsidRDefault="00384504">
            <w:pPr>
              <w:jc w:val="right"/>
              <w:rPr>
                <w:rFonts w:ascii="Arial CE" w:hAnsi="Arial CE" w:cs="Arial CE"/>
                <w:sz w:val="20"/>
                <w:szCs w:val="20"/>
              </w:rPr>
            </w:pPr>
            <w:r>
              <w:rPr>
                <w:rFonts w:ascii="Arial CE" w:hAnsi="Arial CE" w:cs="Arial CE"/>
                <w:sz w:val="20"/>
                <w:szCs w:val="20"/>
              </w:rPr>
              <w:t>2,0</w:t>
            </w:r>
          </w:p>
        </w:tc>
        <w:tc>
          <w:tcPr>
            <w:tcW w:w="851" w:type="dxa"/>
            <w:tcBorders>
              <w:top w:val="nil"/>
              <w:left w:val="single" w:sz="4" w:space="0" w:color="auto"/>
              <w:bottom w:val="nil"/>
              <w:right w:val="single" w:sz="4"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2,2</w:t>
            </w:r>
          </w:p>
        </w:tc>
        <w:tc>
          <w:tcPr>
            <w:tcW w:w="851" w:type="dxa"/>
            <w:tcBorders>
              <w:top w:val="nil"/>
              <w:left w:val="nil"/>
              <w:bottom w:val="nil"/>
              <w:right w:val="single" w:sz="4"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2,0</w:t>
            </w:r>
          </w:p>
        </w:tc>
        <w:tc>
          <w:tcPr>
            <w:tcW w:w="851" w:type="dxa"/>
            <w:tcBorders>
              <w:top w:val="nil"/>
              <w:left w:val="nil"/>
              <w:bottom w:val="nil"/>
              <w:right w:val="single" w:sz="4"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0,4</w:t>
            </w:r>
          </w:p>
        </w:tc>
        <w:tc>
          <w:tcPr>
            <w:tcW w:w="852" w:type="dxa"/>
            <w:tcBorders>
              <w:top w:val="nil"/>
              <w:left w:val="nil"/>
              <w:bottom w:val="nil"/>
              <w:right w:val="double" w:sz="6"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22,2</w:t>
            </w:r>
          </w:p>
        </w:tc>
      </w:tr>
      <w:tr w:rsidR="00384504" w:rsidRPr="000902FE" w:rsidTr="002F5109">
        <w:trPr>
          <w:trHeight w:val="284"/>
          <w:jc w:val="center"/>
        </w:trPr>
        <w:tc>
          <w:tcPr>
            <w:tcW w:w="2253" w:type="dxa"/>
            <w:gridSpan w:val="2"/>
            <w:tcBorders>
              <w:top w:val="nil"/>
              <w:left w:val="double" w:sz="6" w:space="0" w:color="auto"/>
              <w:bottom w:val="nil"/>
              <w:right w:val="single" w:sz="4" w:space="0" w:color="auto"/>
            </w:tcBorders>
            <w:shd w:val="clear" w:color="auto" w:fill="auto"/>
            <w:vAlign w:val="bottom"/>
          </w:tcPr>
          <w:p w:rsidR="00384504" w:rsidRPr="000902FE" w:rsidRDefault="00384504" w:rsidP="002F5109">
            <w:pPr>
              <w:jc w:val="both"/>
              <w:rPr>
                <w:rFonts w:ascii="Arial" w:hAnsi="Arial" w:cs="Arial"/>
                <w:sz w:val="20"/>
                <w:szCs w:val="20"/>
              </w:rPr>
            </w:pPr>
            <w:r w:rsidRPr="000902FE">
              <w:rPr>
                <w:rFonts w:ascii="Arial" w:hAnsi="Arial" w:cs="Arial"/>
                <w:sz w:val="20"/>
                <w:szCs w:val="20"/>
              </w:rPr>
              <w:t xml:space="preserve">   2501 - 3500 Kč</w:t>
            </w:r>
          </w:p>
        </w:tc>
        <w:tc>
          <w:tcPr>
            <w:tcW w:w="851" w:type="dxa"/>
            <w:tcBorders>
              <w:top w:val="nil"/>
              <w:left w:val="nil"/>
              <w:bottom w:val="nil"/>
              <w:right w:val="single" w:sz="4" w:space="0" w:color="auto"/>
            </w:tcBorders>
            <w:shd w:val="clear" w:color="auto" w:fill="auto"/>
            <w:noWrap/>
            <w:vAlign w:val="bottom"/>
          </w:tcPr>
          <w:p w:rsidR="00384504" w:rsidRDefault="00384504">
            <w:pPr>
              <w:jc w:val="right"/>
              <w:rPr>
                <w:rFonts w:ascii="Arial CE" w:hAnsi="Arial CE" w:cs="Arial CE"/>
                <w:sz w:val="20"/>
                <w:szCs w:val="20"/>
              </w:rPr>
            </w:pPr>
            <w:r>
              <w:rPr>
                <w:rFonts w:ascii="Arial CE" w:hAnsi="Arial CE" w:cs="Arial CE"/>
                <w:sz w:val="20"/>
                <w:szCs w:val="20"/>
              </w:rPr>
              <w:t>20,1</w:t>
            </w:r>
          </w:p>
        </w:tc>
        <w:tc>
          <w:tcPr>
            <w:tcW w:w="851" w:type="dxa"/>
            <w:tcBorders>
              <w:top w:val="nil"/>
              <w:left w:val="nil"/>
              <w:bottom w:val="nil"/>
              <w:right w:val="nil"/>
            </w:tcBorders>
            <w:shd w:val="clear" w:color="auto" w:fill="auto"/>
            <w:noWrap/>
            <w:vAlign w:val="bottom"/>
          </w:tcPr>
          <w:p w:rsidR="00384504" w:rsidRDefault="00384504">
            <w:pPr>
              <w:jc w:val="right"/>
              <w:rPr>
                <w:rFonts w:ascii="Arial CE" w:hAnsi="Arial CE" w:cs="Arial CE"/>
                <w:sz w:val="20"/>
                <w:szCs w:val="20"/>
              </w:rPr>
            </w:pPr>
            <w:r>
              <w:rPr>
                <w:rFonts w:ascii="Arial CE" w:hAnsi="Arial CE" w:cs="Arial CE"/>
                <w:sz w:val="20"/>
                <w:szCs w:val="20"/>
              </w:rPr>
              <w:t>22,6</w:t>
            </w:r>
          </w:p>
        </w:tc>
        <w:tc>
          <w:tcPr>
            <w:tcW w:w="851" w:type="dxa"/>
            <w:tcBorders>
              <w:top w:val="nil"/>
              <w:left w:val="single" w:sz="4" w:space="0" w:color="auto"/>
              <w:bottom w:val="nil"/>
              <w:right w:val="single" w:sz="4"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18,9</w:t>
            </w:r>
          </w:p>
        </w:tc>
        <w:tc>
          <w:tcPr>
            <w:tcW w:w="851" w:type="dxa"/>
            <w:tcBorders>
              <w:top w:val="nil"/>
              <w:left w:val="nil"/>
              <w:bottom w:val="nil"/>
              <w:right w:val="single" w:sz="4"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17,3</w:t>
            </w:r>
          </w:p>
        </w:tc>
        <w:tc>
          <w:tcPr>
            <w:tcW w:w="851" w:type="dxa"/>
            <w:tcBorders>
              <w:top w:val="nil"/>
              <w:left w:val="nil"/>
              <w:bottom w:val="nil"/>
              <w:right w:val="single" w:sz="4"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-1,2</w:t>
            </w:r>
          </w:p>
        </w:tc>
        <w:tc>
          <w:tcPr>
            <w:tcW w:w="852" w:type="dxa"/>
            <w:tcBorders>
              <w:top w:val="nil"/>
              <w:left w:val="nil"/>
              <w:bottom w:val="nil"/>
              <w:right w:val="double" w:sz="6"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-6,0</w:t>
            </w:r>
          </w:p>
        </w:tc>
      </w:tr>
      <w:tr w:rsidR="00384504" w:rsidRPr="000902FE" w:rsidTr="002F5109">
        <w:trPr>
          <w:trHeight w:val="284"/>
          <w:jc w:val="center"/>
        </w:trPr>
        <w:tc>
          <w:tcPr>
            <w:tcW w:w="2253" w:type="dxa"/>
            <w:gridSpan w:val="2"/>
            <w:tcBorders>
              <w:top w:val="nil"/>
              <w:left w:val="double" w:sz="6" w:space="0" w:color="auto"/>
              <w:bottom w:val="nil"/>
              <w:right w:val="single" w:sz="4" w:space="0" w:color="auto"/>
            </w:tcBorders>
            <w:shd w:val="clear" w:color="auto" w:fill="auto"/>
            <w:vAlign w:val="bottom"/>
          </w:tcPr>
          <w:p w:rsidR="00384504" w:rsidRPr="000902FE" w:rsidRDefault="00384504" w:rsidP="002F5109">
            <w:pPr>
              <w:jc w:val="both"/>
              <w:rPr>
                <w:rFonts w:ascii="Arial" w:hAnsi="Arial" w:cs="Arial"/>
                <w:sz w:val="20"/>
                <w:szCs w:val="20"/>
              </w:rPr>
            </w:pPr>
            <w:r w:rsidRPr="000902FE">
              <w:rPr>
                <w:rFonts w:ascii="Arial" w:hAnsi="Arial" w:cs="Arial"/>
                <w:sz w:val="20"/>
                <w:szCs w:val="20"/>
              </w:rPr>
              <w:t xml:space="preserve">   3501 - 4500 Kč</w:t>
            </w:r>
          </w:p>
        </w:tc>
        <w:tc>
          <w:tcPr>
            <w:tcW w:w="851" w:type="dxa"/>
            <w:tcBorders>
              <w:top w:val="nil"/>
              <w:left w:val="nil"/>
              <w:bottom w:val="nil"/>
              <w:right w:val="single" w:sz="4" w:space="0" w:color="auto"/>
            </w:tcBorders>
            <w:shd w:val="clear" w:color="auto" w:fill="auto"/>
            <w:noWrap/>
            <w:vAlign w:val="bottom"/>
          </w:tcPr>
          <w:p w:rsidR="00384504" w:rsidRDefault="00384504">
            <w:pPr>
              <w:jc w:val="right"/>
              <w:rPr>
                <w:rFonts w:ascii="Arial CE" w:hAnsi="Arial CE" w:cs="Arial CE"/>
                <w:sz w:val="20"/>
                <w:szCs w:val="20"/>
              </w:rPr>
            </w:pPr>
            <w:r>
              <w:rPr>
                <w:rFonts w:ascii="Arial CE" w:hAnsi="Arial CE" w:cs="Arial CE"/>
                <w:sz w:val="20"/>
                <w:szCs w:val="20"/>
              </w:rPr>
              <w:t>15,0</w:t>
            </w:r>
          </w:p>
        </w:tc>
        <w:tc>
          <w:tcPr>
            <w:tcW w:w="851" w:type="dxa"/>
            <w:tcBorders>
              <w:top w:val="nil"/>
              <w:left w:val="nil"/>
              <w:bottom w:val="nil"/>
              <w:right w:val="nil"/>
            </w:tcBorders>
            <w:shd w:val="clear" w:color="auto" w:fill="auto"/>
            <w:noWrap/>
            <w:vAlign w:val="bottom"/>
          </w:tcPr>
          <w:p w:rsidR="00384504" w:rsidRDefault="00384504">
            <w:pPr>
              <w:jc w:val="right"/>
              <w:rPr>
                <w:rFonts w:ascii="Arial CE" w:hAnsi="Arial CE" w:cs="Arial CE"/>
                <w:sz w:val="20"/>
                <w:szCs w:val="20"/>
              </w:rPr>
            </w:pPr>
            <w:r>
              <w:rPr>
                <w:rFonts w:ascii="Arial CE" w:hAnsi="Arial CE" w:cs="Arial CE"/>
                <w:sz w:val="20"/>
                <w:szCs w:val="20"/>
              </w:rPr>
              <w:t>16,8</w:t>
            </w:r>
          </w:p>
        </w:tc>
        <w:tc>
          <w:tcPr>
            <w:tcW w:w="851" w:type="dxa"/>
            <w:tcBorders>
              <w:top w:val="nil"/>
              <w:left w:val="single" w:sz="4" w:space="0" w:color="auto"/>
              <w:bottom w:val="nil"/>
              <w:right w:val="single" w:sz="4"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19,6</w:t>
            </w:r>
          </w:p>
        </w:tc>
        <w:tc>
          <w:tcPr>
            <w:tcW w:w="851" w:type="dxa"/>
            <w:tcBorders>
              <w:top w:val="nil"/>
              <w:left w:val="nil"/>
              <w:bottom w:val="nil"/>
              <w:right w:val="single" w:sz="4"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18,0</w:t>
            </w:r>
          </w:p>
        </w:tc>
        <w:tc>
          <w:tcPr>
            <w:tcW w:w="851" w:type="dxa"/>
            <w:tcBorders>
              <w:top w:val="nil"/>
              <w:left w:val="nil"/>
              <w:bottom w:val="nil"/>
              <w:right w:val="single" w:sz="4"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4,6</w:t>
            </w:r>
          </w:p>
        </w:tc>
        <w:tc>
          <w:tcPr>
            <w:tcW w:w="852" w:type="dxa"/>
            <w:tcBorders>
              <w:top w:val="nil"/>
              <w:left w:val="nil"/>
              <w:bottom w:val="nil"/>
              <w:right w:val="double" w:sz="6"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30,7</w:t>
            </w:r>
          </w:p>
        </w:tc>
      </w:tr>
      <w:tr w:rsidR="00384504" w:rsidRPr="000902FE" w:rsidTr="002F5109">
        <w:trPr>
          <w:trHeight w:val="284"/>
          <w:jc w:val="center"/>
        </w:trPr>
        <w:tc>
          <w:tcPr>
            <w:tcW w:w="2253" w:type="dxa"/>
            <w:gridSpan w:val="2"/>
            <w:tcBorders>
              <w:top w:val="nil"/>
              <w:left w:val="double" w:sz="6" w:space="0" w:color="auto"/>
              <w:bottom w:val="nil"/>
              <w:right w:val="single" w:sz="4" w:space="0" w:color="auto"/>
            </w:tcBorders>
            <w:shd w:val="clear" w:color="auto" w:fill="auto"/>
            <w:vAlign w:val="bottom"/>
          </w:tcPr>
          <w:p w:rsidR="00384504" w:rsidRPr="000902FE" w:rsidRDefault="00384504" w:rsidP="002F5109">
            <w:pPr>
              <w:jc w:val="both"/>
              <w:rPr>
                <w:rFonts w:ascii="Arial" w:hAnsi="Arial" w:cs="Arial"/>
                <w:sz w:val="20"/>
                <w:szCs w:val="20"/>
              </w:rPr>
            </w:pPr>
            <w:r w:rsidRPr="000902FE">
              <w:rPr>
                <w:rFonts w:ascii="Arial" w:hAnsi="Arial" w:cs="Arial"/>
                <w:sz w:val="20"/>
                <w:szCs w:val="20"/>
              </w:rPr>
              <w:t xml:space="preserve">   4501 - 5500 Kč</w:t>
            </w:r>
          </w:p>
        </w:tc>
        <w:tc>
          <w:tcPr>
            <w:tcW w:w="851" w:type="dxa"/>
            <w:tcBorders>
              <w:top w:val="nil"/>
              <w:left w:val="nil"/>
              <w:bottom w:val="nil"/>
              <w:right w:val="single" w:sz="4" w:space="0" w:color="auto"/>
            </w:tcBorders>
            <w:shd w:val="clear" w:color="auto" w:fill="auto"/>
            <w:noWrap/>
            <w:vAlign w:val="bottom"/>
          </w:tcPr>
          <w:p w:rsidR="00384504" w:rsidRDefault="00384504">
            <w:pPr>
              <w:jc w:val="right"/>
              <w:rPr>
                <w:rFonts w:ascii="Arial CE" w:hAnsi="Arial CE" w:cs="Arial CE"/>
                <w:sz w:val="20"/>
                <w:szCs w:val="20"/>
              </w:rPr>
            </w:pPr>
            <w:r>
              <w:rPr>
                <w:rFonts w:ascii="Arial CE" w:hAnsi="Arial CE" w:cs="Arial CE"/>
                <w:sz w:val="20"/>
                <w:szCs w:val="20"/>
              </w:rPr>
              <w:t>10,9</w:t>
            </w:r>
          </w:p>
        </w:tc>
        <w:tc>
          <w:tcPr>
            <w:tcW w:w="851" w:type="dxa"/>
            <w:tcBorders>
              <w:top w:val="nil"/>
              <w:left w:val="nil"/>
              <w:bottom w:val="nil"/>
              <w:right w:val="nil"/>
            </w:tcBorders>
            <w:shd w:val="clear" w:color="auto" w:fill="auto"/>
            <w:noWrap/>
            <w:vAlign w:val="bottom"/>
          </w:tcPr>
          <w:p w:rsidR="00384504" w:rsidRDefault="00384504">
            <w:pPr>
              <w:jc w:val="right"/>
              <w:rPr>
                <w:rFonts w:ascii="Arial CE" w:hAnsi="Arial CE" w:cs="Arial CE"/>
                <w:sz w:val="20"/>
                <w:szCs w:val="20"/>
              </w:rPr>
            </w:pPr>
            <w:r>
              <w:rPr>
                <w:rFonts w:ascii="Arial CE" w:hAnsi="Arial CE" w:cs="Arial CE"/>
                <w:sz w:val="20"/>
                <w:szCs w:val="20"/>
              </w:rPr>
              <w:t>12,2</w:t>
            </w:r>
          </w:p>
        </w:tc>
        <w:tc>
          <w:tcPr>
            <w:tcW w:w="851" w:type="dxa"/>
            <w:tcBorders>
              <w:top w:val="nil"/>
              <w:left w:val="single" w:sz="4" w:space="0" w:color="auto"/>
              <w:bottom w:val="nil"/>
              <w:right w:val="single" w:sz="4"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12,4</w:t>
            </w:r>
          </w:p>
        </w:tc>
        <w:tc>
          <w:tcPr>
            <w:tcW w:w="851" w:type="dxa"/>
            <w:tcBorders>
              <w:top w:val="nil"/>
              <w:left w:val="nil"/>
              <w:bottom w:val="nil"/>
              <w:right w:val="single" w:sz="4"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11,4</w:t>
            </w:r>
          </w:p>
        </w:tc>
        <w:tc>
          <w:tcPr>
            <w:tcW w:w="851" w:type="dxa"/>
            <w:tcBorders>
              <w:top w:val="nil"/>
              <w:left w:val="nil"/>
              <w:bottom w:val="nil"/>
              <w:right w:val="single" w:sz="4"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1,5</w:t>
            </w:r>
          </w:p>
        </w:tc>
        <w:tc>
          <w:tcPr>
            <w:tcW w:w="852" w:type="dxa"/>
            <w:tcBorders>
              <w:top w:val="nil"/>
              <w:left w:val="nil"/>
              <w:bottom w:val="nil"/>
              <w:right w:val="double" w:sz="6"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13,8</w:t>
            </w:r>
          </w:p>
        </w:tc>
      </w:tr>
      <w:tr w:rsidR="00384504" w:rsidRPr="000902FE" w:rsidTr="002F5109">
        <w:trPr>
          <w:trHeight w:val="284"/>
          <w:jc w:val="center"/>
        </w:trPr>
        <w:tc>
          <w:tcPr>
            <w:tcW w:w="2253" w:type="dxa"/>
            <w:gridSpan w:val="2"/>
            <w:tcBorders>
              <w:top w:val="nil"/>
              <w:left w:val="double" w:sz="6" w:space="0" w:color="auto"/>
              <w:bottom w:val="nil"/>
              <w:right w:val="single" w:sz="4" w:space="0" w:color="auto"/>
            </w:tcBorders>
            <w:shd w:val="clear" w:color="auto" w:fill="auto"/>
            <w:vAlign w:val="bottom"/>
          </w:tcPr>
          <w:p w:rsidR="00384504" w:rsidRPr="000902FE" w:rsidRDefault="00384504" w:rsidP="002F5109">
            <w:pPr>
              <w:jc w:val="both"/>
              <w:rPr>
                <w:rFonts w:ascii="Arial" w:hAnsi="Arial" w:cs="Arial"/>
                <w:sz w:val="20"/>
                <w:szCs w:val="20"/>
              </w:rPr>
            </w:pPr>
            <w:r w:rsidRPr="000902FE">
              <w:rPr>
                <w:rFonts w:ascii="Arial" w:hAnsi="Arial" w:cs="Arial"/>
                <w:sz w:val="20"/>
                <w:szCs w:val="20"/>
              </w:rPr>
              <w:t xml:space="preserve">   5501 - 6500 Kč</w:t>
            </w:r>
          </w:p>
        </w:tc>
        <w:tc>
          <w:tcPr>
            <w:tcW w:w="851" w:type="dxa"/>
            <w:tcBorders>
              <w:top w:val="nil"/>
              <w:left w:val="nil"/>
              <w:bottom w:val="nil"/>
              <w:right w:val="single" w:sz="4" w:space="0" w:color="auto"/>
            </w:tcBorders>
            <w:shd w:val="clear" w:color="auto" w:fill="auto"/>
            <w:noWrap/>
            <w:vAlign w:val="bottom"/>
          </w:tcPr>
          <w:p w:rsidR="00384504" w:rsidRDefault="00384504">
            <w:pPr>
              <w:jc w:val="right"/>
              <w:rPr>
                <w:rFonts w:ascii="Arial CE" w:hAnsi="Arial CE" w:cs="Arial CE"/>
                <w:sz w:val="20"/>
                <w:szCs w:val="20"/>
              </w:rPr>
            </w:pPr>
            <w:r>
              <w:rPr>
                <w:rFonts w:ascii="Arial CE" w:hAnsi="Arial CE" w:cs="Arial CE"/>
                <w:sz w:val="20"/>
                <w:szCs w:val="20"/>
              </w:rPr>
              <w:t>10,3</w:t>
            </w:r>
          </w:p>
        </w:tc>
        <w:tc>
          <w:tcPr>
            <w:tcW w:w="851" w:type="dxa"/>
            <w:tcBorders>
              <w:top w:val="nil"/>
              <w:left w:val="nil"/>
              <w:bottom w:val="nil"/>
              <w:right w:val="nil"/>
            </w:tcBorders>
            <w:shd w:val="clear" w:color="auto" w:fill="auto"/>
            <w:noWrap/>
            <w:vAlign w:val="bottom"/>
          </w:tcPr>
          <w:p w:rsidR="00384504" w:rsidRDefault="00384504">
            <w:pPr>
              <w:jc w:val="right"/>
              <w:rPr>
                <w:rFonts w:ascii="Arial CE" w:hAnsi="Arial CE" w:cs="Arial CE"/>
                <w:sz w:val="20"/>
                <w:szCs w:val="20"/>
              </w:rPr>
            </w:pPr>
            <w:r>
              <w:rPr>
                <w:rFonts w:ascii="Arial CE" w:hAnsi="Arial CE" w:cs="Arial CE"/>
                <w:sz w:val="20"/>
                <w:szCs w:val="20"/>
              </w:rPr>
              <w:t>11,6</w:t>
            </w:r>
          </w:p>
        </w:tc>
        <w:tc>
          <w:tcPr>
            <w:tcW w:w="851" w:type="dxa"/>
            <w:tcBorders>
              <w:top w:val="nil"/>
              <w:left w:val="single" w:sz="4" w:space="0" w:color="auto"/>
              <w:bottom w:val="nil"/>
              <w:right w:val="single" w:sz="4"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12,2</w:t>
            </w:r>
          </w:p>
        </w:tc>
        <w:tc>
          <w:tcPr>
            <w:tcW w:w="851" w:type="dxa"/>
            <w:tcBorders>
              <w:top w:val="nil"/>
              <w:left w:val="nil"/>
              <w:bottom w:val="nil"/>
              <w:right w:val="single" w:sz="4"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11,2</w:t>
            </w:r>
          </w:p>
        </w:tc>
        <w:tc>
          <w:tcPr>
            <w:tcW w:w="851" w:type="dxa"/>
            <w:tcBorders>
              <w:top w:val="nil"/>
              <w:left w:val="nil"/>
              <w:bottom w:val="nil"/>
              <w:right w:val="single" w:sz="4"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1,9</w:t>
            </w:r>
          </w:p>
        </w:tc>
        <w:tc>
          <w:tcPr>
            <w:tcW w:w="852" w:type="dxa"/>
            <w:tcBorders>
              <w:top w:val="nil"/>
              <w:left w:val="nil"/>
              <w:bottom w:val="nil"/>
              <w:right w:val="double" w:sz="6"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18,4</w:t>
            </w:r>
          </w:p>
        </w:tc>
      </w:tr>
      <w:tr w:rsidR="00384504" w:rsidRPr="000902FE" w:rsidTr="002F5109">
        <w:trPr>
          <w:trHeight w:val="284"/>
          <w:jc w:val="center"/>
        </w:trPr>
        <w:tc>
          <w:tcPr>
            <w:tcW w:w="2253" w:type="dxa"/>
            <w:gridSpan w:val="2"/>
            <w:tcBorders>
              <w:top w:val="nil"/>
              <w:left w:val="double" w:sz="6" w:space="0" w:color="auto"/>
              <w:bottom w:val="nil"/>
              <w:right w:val="single" w:sz="4" w:space="0" w:color="auto"/>
            </w:tcBorders>
            <w:shd w:val="clear" w:color="auto" w:fill="auto"/>
            <w:vAlign w:val="bottom"/>
          </w:tcPr>
          <w:p w:rsidR="00384504" w:rsidRPr="000902FE" w:rsidRDefault="00384504" w:rsidP="002F5109">
            <w:pPr>
              <w:jc w:val="both"/>
              <w:rPr>
                <w:rFonts w:ascii="Arial" w:hAnsi="Arial" w:cs="Arial"/>
                <w:sz w:val="20"/>
                <w:szCs w:val="20"/>
              </w:rPr>
            </w:pPr>
            <w:r w:rsidRPr="000902FE">
              <w:rPr>
                <w:rFonts w:ascii="Arial" w:hAnsi="Arial" w:cs="Arial"/>
                <w:sz w:val="20"/>
                <w:szCs w:val="20"/>
              </w:rPr>
              <w:t xml:space="preserve">   6501 - 7500 Kč</w:t>
            </w:r>
          </w:p>
        </w:tc>
        <w:tc>
          <w:tcPr>
            <w:tcW w:w="851" w:type="dxa"/>
            <w:tcBorders>
              <w:top w:val="nil"/>
              <w:left w:val="nil"/>
              <w:bottom w:val="nil"/>
              <w:right w:val="single" w:sz="4" w:space="0" w:color="auto"/>
            </w:tcBorders>
            <w:shd w:val="clear" w:color="auto" w:fill="auto"/>
            <w:noWrap/>
            <w:vAlign w:val="bottom"/>
          </w:tcPr>
          <w:p w:rsidR="00384504" w:rsidRDefault="00384504">
            <w:pPr>
              <w:jc w:val="right"/>
              <w:rPr>
                <w:rFonts w:ascii="Arial CE" w:hAnsi="Arial CE" w:cs="Arial CE"/>
                <w:sz w:val="20"/>
                <w:szCs w:val="20"/>
              </w:rPr>
            </w:pPr>
            <w:r>
              <w:rPr>
                <w:rFonts w:ascii="Arial CE" w:hAnsi="Arial CE" w:cs="Arial CE"/>
                <w:sz w:val="20"/>
                <w:szCs w:val="20"/>
              </w:rPr>
              <w:t>8,1</w:t>
            </w:r>
          </w:p>
        </w:tc>
        <w:tc>
          <w:tcPr>
            <w:tcW w:w="851" w:type="dxa"/>
            <w:tcBorders>
              <w:top w:val="nil"/>
              <w:left w:val="nil"/>
              <w:bottom w:val="nil"/>
              <w:right w:val="nil"/>
            </w:tcBorders>
            <w:shd w:val="clear" w:color="auto" w:fill="auto"/>
            <w:noWrap/>
            <w:vAlign w:val="bottom"/>
          </w:tcPr>
          <w:p w:rsidR="00384504" w:rsidRDefault="00384504">
            <w:pPr>
              <w:jc w:val="right"/>
              <w:rPr>
                <w:rFonts w:ascii="Arial CE" w:hAnsi="Arial CE" w:cs="Arial CE"/>
                <w:sz w:val="20"/>
                <w:szCs w:val="20"/>
              </w:rPr>
            </w:pPr>
            <w:r>
              <w:rPr>
                <w:rFonts w:ascii="Arial CE" w:hAnsi="Arial CE" w:cs="Arial CE"/>
                <w:sz w:val="20"/>
                <w:szCs w:val="20"/>
              </w:rPr>
              <w:t>9,1</w:t>
            </w:r>
          </w:p>
        </w:tc>
        <w:tc>
          <w:tcPr>
            <w:tcW w:w="851" w:type="dxa"/>
            <w:tcBorders>
              <w:top w:val="nil"/>
              <w:left w:val="single" w:sz="4" w:space="0" w:color="auto"/>
              <w:bottom w:val="nil"/>
              <w:right w:val="single" w:sz="4"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10,5</w:t>
            </w:r>
          </w:p>
        </w:tc>
        <w:tc>
          <w:tcPr>
            <w:tcW w:w="851" w:type="dxa"/>
            <w:tcBorders>
              <w:top w:val="nil"/>
              <w:left w:val="nil"/>
              <w:bottom w:val="nil"/>
              <w:right w:val="single" w:sz="4"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9,6</w:t>
            </w:r>
          </w:p>
        </w:tc>
        <w:tc>
          <w:tcPr>
            <w:tcW w:w="851" w:type="dxa"/>
            <w:tcBorders>
              <w:top w:val="nil"/>
              <w:left w:val="nil"/>
              <w:bottom w:val="nil"/>
              <w:right w:val="single" w:sz="4"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2,4</w:t>
            </w:r>
          </w:p>
        </w:tc>
        <w:tc>
          <w:tcPr>
            <w:tcW w:w="852" w:type="dxa"/>
            <w:tcBorders>
              <w:top w:val="nil"/>
              <w:left w:val="nil"/>
              <w:bottom w:val="nil"/>
              <w:right w:val="double" w:sz="6"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29,6</w:t>
            </w:r>
          </w:p>
        </w:tc>
      </w:tr>
      <w:tr w:rsidR="00384504" w:rsidRPr="000902FE" w:rsidTr="002F5109">
        <w:trPr>
          <w:trHeight w:val="284"/>
          <w:jc w:val="center"/>
        </w:trPr>
        <w:tc>
          <w:tcPr>
            <w:tcW w:w="2253" w:type="dxa"/>
            <w:gridSpan w:val="2"/>
            <w:tcBorders>
              <w:top w:val="nil"/>
              <w:left w:val="double" w:sz="6" w:space="0" w:color="auto"/>
              <w:bottom w:val="nil"/>
              <w:right w:val="single" w:sz="4" w:space="0" w:color="auto"/>
            </w:tcBorders>
            <w:shd w:val="clear" w:color="auto" w:fill="auto"/>
            <w:noWrap/>
            <w:vAlign w:val="bottom"/>
          </w:tcPr>
          <w:p w:rsidR="00384504" w:rsidRPr="000902FE" w:rsidRDefault="00384504" w:rsidP="002F5109">
            <w:pPr>
              <w:ind w:firstLineChars="100" w:firstLine="200"/>
              <w:rPr>
                <w:rFonts w:ascii="Arial" w:hAnsi="Arial" w:cs="Arial"/>
                <w:sz w:val="20"/>
                <w:szCs w:val="20"/>
              </w:rPr>
            </w:pPr>
            <w:r w:rsidRPr="000902FE">
              <w:rPr>
                <w:rFonts w:ascii="Arial" w:hAnsi="Arial" w:cs="Arial"/>
                <w:sz w:val="20"/>
                <w:szCs w:val="20"/>
              </w:rPr>
              <w:t>7501 - 8500 Kč</w:t>
            </w:r>
          </w:p>
        </w:tc>
        <w:tc>
          <w:tcPr>
            <w:tcW w:w="851" w:type="dxa"/>
            <w:tcBorders>
              <w:top w:val="nil"/>
              <w:left w:val="nil"/>
              <w:bottom w:val="nil"/>
              <w:right w:val="single" w:sz="4" w:space="0" w:color="auto"/>
            </w:tcBorders>
            <w:shd w:val="clear" w:color="auto" w:fill="auto"/>
            <w:noWrap/>
            <w:vAlign w:val="bottom"/>
          </w:tcPr>
          <w:p w:rsidR="00384504" w:rsidRDefault="00384504">
            <w:pPr>
              <w:jc w:val="right"/>
              <w:rPr>
                <w:rFonts w:ascii="Arial CE" w:hAnsi="Arial CE" w:cs="Arial CE"/>
                <w:sz w:val="20"/>
                <w:szCs w:val="20"/>
              </w:rPr>
            </w:pPr>
            <w:r>
              <w:rPr>
                <w:rFonts w:ascii="Arial CE" w:hAnsi="Arial CE" w:cs="Arial CE"/>
                <w:sz w:val="20"/>
                <w:szCs w:val="20"/>
              </w:rPr>
              <w:t>5,8</w:t>
            </w:r>
          </w:p>
        </w:tc>
        <w:tc>
          <w:tcPr>
            <w:tcW w:w="851" w:type="dxa"/>
            <w:tcBorders>
              <w:top w:val="nil"/>
              <w:left w:val="nil"/>
              <w:bottom w:val="nil"/>
              <w:right w:val="nil"/>
            </w:tcBorders>
            <w:shd w:val="clear" w:color="auto" w:fill="auto"/>
            <w:noWrap/>
            <w:vAlign w:val="bottom"/>
          </w:tcPr>
          <w:p w:rsidR="00384504" w:rsidRDefault="00384504">
            <w:pPr>
              <w:jc w:val="right"/>
              <w:rPr>
                <w:rFonts w:ascii="Arial CE" w:hAnsi="Arial CE" w:cs="Arial CE"/>
                <w:sz w:val="20"/>
                <w:szCs w:val="20"/>
              </w:rPr>
            </w:pPr>
            <w:r>
              <w:rPr>
                <w:rFonts w:ascii="Arial CE" w:hAnsi="Arial CE" w:cs="Arial CE"/>
                <w:sz w:val="20"/>
                <w:szCs w:val="20"/>
              </w:rPr>
              <w:t>6,5</w:t>
            </w:r>
          </w:p>
        </w:tc>
        <w:tc>
          <w:tcPr>
            <w:tcW w:w="851" w:type="dxa"/>
            <w:tcBorders>
              <w:top w:val="nil"/>
              <w:left w:val="single" w:sz="4" w:space="0" w:color="auto"/>
              <w:bottom w:val="nil"/>
              <w:right w:val="single" w:sz="4"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8,2</w:t>
            </w:r>
          </w:p>
        </w:tc>
        <w:tc>
          <w:tcPr>
            <w:tcW w:w="851" w:type="dxa"/>
            <w:tcBorders>
              <w:top w:val="nil"/>
              <w:left w:val="nil"/>
              <w:bottom w:val="nil"/>
              <w:right w:val="single" w:sz="4"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7,5</w:t>
            </w:r>
          </w:p>
        </w:tc>
        <w:tc>
          <w:tcPr>
            <w:tcW w:w="851" w:type="dxa"/>
            <w:tcBorders>
              <w:top w:val="nil"/>
              <w:left w:val="nil"/>
              <w:bottom w:val="nil"/>
              <w:right w:val="single" w:sz="4"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2,4</w:t>
            </w:r>
          </w:p>
        </w:tc>
        <w:tc>
          <w:tcPr>
            <w:tcW w:w="852" w:type="dxa"/>
            <w:tcBorders>
              <w:top w:val="nil"/>
              <w:left w:val="nil"/>
              <w:bottom w:val="nil"/>
              <w:right w:val="double" w:sz="6"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41,4</w:t>
            </w:r>
          </w:p>
        </w:tc>
      </w:tr>
      <w:tr w:rsidR="00384504" w:rsidRPr="000902FE" w:rsidTr="002F5109">
        <w:trPr>
          <w:trHeight w:val="284"/>
          <w:jc w:val="center"/>
        </w:trPr>
        <w:tc>
          <w:tcPr>
            <w:tcW w:w="2253" w:type="dxa"/>
            <w:gridSpan w:val="2"/>
            <w:tcBorders>
              <w:top w:val="nil"/>
              <w:left w:val="double" w:sz="6" w:space="0" w:color="auto"/>
              <w:bottom w:val="nil"/>
              <w:right w:val="single" w:sz="4" w:space="0" w:color="auto"/>
            </w:tcBorders>
            <w:shd w:val="clear" w:color="auto" w:fill="auto"/>
            <w:noWrap/>
            <w:vAlign w:val="bottom"/>
          </w:tcPr>
          <w:p w:rsidR="00384504" w:rsidRPr="000902FE" w:rsidRDefault="00384504" w:rsidP="002F5109">
            <w:pPr>
              <w:ind w:firstLineChars="100" w:firstLine="200"/>
              <w:rPr>
                <w:rFonts w:ascii="Arial" w:hAnsi="Arial" w:cs="Arial"/>
                <w:sz w:val="20"/>
                <w:szCs w:val="20"/>
              </w:rPr>
            </w:pPr>
            <w:r w:rsidRPr="000902FE">
              <w:rPr>
                <w:rFonts w:ascii="Arial" w:hAnsi="Arial" w:cs="Arial"/>
                <w:sz w:val="20"/>
                <w:szCs w:val="20"/>
              </w:rPr>
              <w:t>8501 - 9500 Kč</w:t>
            </w:r>
          </w:p>
        </w:tc>
        <w:tc>
          <w:tcPr>
            <w:tcW w:w="851" w:type="dxa"/>
            <w:tcBorders>
              <w:top w:val="nil"/>
              <w:left w:val="nil"/>
              <w:bottom w:val="nil"/>
              <w:right w:val="single" w:sz="4" w:space="0" w:color="auto"/>
            </w:tcBorders>
            <w:shd w:val="clear" w:color="auto" w:fill="auto"/>
            <w:noWrap/>
            <w:vAlign w:val="bottom"/>
          </w:tcPr>
          <w:p w:rsidR="00384504" w:rsidRDefault="00384504">
            <w:pPr>
              <w:jc w:val="right"/>
              <w:rPr>
                <w:rFonts w:ascii="Arial CE" w:hAnsi="Arial CE" w:cs="Arial CE"/>
                <w:sz w:val="20"/>
                <w:szCs w:val="20"/>
              </w:rPr>
            </w:pPr>
            <w:r>
              <w:rPr>
                <w:rFonts w:ascii="Arial CE" w:hAnsi="Arial CE" w:cs="Arial CE"/>
                <w:sz w:val="20"/>
                <w:szCs w:val="20"/>
              </w:rPr>
              <w:t>4,3</w:t>
            </w:r>
          </w:p>
        </w:tc>
        <w:tc>
          <w:tcPr>
            <w:tcW w:w="851" w:type="dxa"/>
            <w:tcBorders>
              <w:top w:val="nil"/>
              <w:left w:val="nil"/>
              <w:bottom w:val="nil"/>
              <w:right w:val="nil"/>
            </w:tcBorders>
            <w:shd w:val="clear" w:color="auto" w:fill="auto"/>
            <w:noWrap/>
            <w:vAlign w:val="bottom"/>
          </w:tcPr>
          <w:p w:rsidR="00384504" w:rsidRDefault="00384504">
            <w:pPr>
              <w:jc w:val="right"/>
              <w:rPr>
                <w:rFonts w:ascii="Arial CE" w:hAnsi="Arial CE" w:cs="Arial CE"/>
                <w:sz w:val="20"/>
                <w:szCs w:val="20"/>
              </w:rPr>
            </w:pPr>
            <w:r>
              <w:rPr>
                <w:rFonts w:ascii="Arial CE" w:hAnsi="Arial CE" w:cs="Arial CE"/>
                <w:sz w:val="20"/>
                <w:szCs w:val="20"/>
              </w:rPr>
              <w:t>4,9</w:t>
            </w:r>
          </w:p>
        </w:tc>
        <w:tc>
          <w:tcPr>
            <w:tcW w:w="851" w:type="dxa"/>
            <w:tcBorders>
              <w:top w:val="nil"/>
              <w:left w:val="single" w:sz="4" w:space="0" w:color="auto"/>
              <w:bottom w:val="nil"/>
              <w:right w:val="single" w:sz="4"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6,2</w:t>
            </w:r>
          </w:p>
        </w:tc>
        <w:tc>
          <w:tcPr>
            <w:tcW w:w="851" w:type="dxa"/>
            <w:tcBorders>
              <w:top w:val="nil"/>
              <w:left w:val="nil"/>
              <w:bottom w:val="nil"/>
              <w:right w:val="single" w:sz="4"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5,7</w:t>
            </w:r>
          </w:p>
        </w:tc>
        <w:tc>
          <w:tcPr>
            <w:tcW w:w="851" w:type="dxa"/>
            <w:tcBorders>
              <w:top w:val="nil"/>
              <w:left w:val="nil"/>
              <w:bottom w:val="nil"/>
              <w:right w:val="single" w:sz="4"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1,9</w:t>
            </w:r>
          </w:p>
        </w:tc>
        <w:tc>
          <w:tcPr>
            <w:tcW w:w="852" w:type="dxa"/>
            <w:tcBorders>
              <w:top w:val="nil"/>
              <w:left w:val="nil"/>
              <w:bottom w:val="nil"/>
              <w:right w:val="double" w:sz="6"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44,2</w:t>
            </w:r>
          </w:p>
        </w:tc>
      </w:tr>
      <w:tr w:rsidR="00384504" w:rsidRPr="000902FE" w:rsidTr="002F5109">
        <w:trPr>
          <w:trHeight w:val="284"/>
          <w:jc w:val="center"/>
        </w:trPr>
        <w:tc>
          <w:tcPr>
            <w:tcW w:w="2253" w:type="dxa"/>
            <w:gridSpan w:val="2"/>
            <w:tcBorders>
              <w:top w:val="nil"/>
              <w:left w:val="double" w:sz="6" w:space="0" w:color="auto"/>
              <w:bottom w:val="nil"/>
              <w:right w:val="single" w:sz="4" w:space="0" w:color="auto"/>
            </w:tcBorders>
            <w:shd w:val="clear" w:color="auto" w:fill="auto"/>
            <w:noWrap/>
            <w:vAlign w:val="bottom"/>
          </w:tcPr>
          <w:p w:rsidR="00384504" w:rsidRPr="000902FE" w:rsidRDefault="00384504" w:rsidP="002F5109">
            <w:pPr>
              <w:ind w:firstLineChars="100" w:firstLine="200"/>
              <w:rPr>
                <w:rFonts w:ascii="Arial" w:hAnsi="Arial" w:cs="Arial"/>
                <w:sz w:val="20"/>
                <w:szCs w:val="20"/>
              </w:rPr>
            </w:pPr>
            <w:r w:rsidRPr="000902FE">
              <w:rPr>
                <w:rFonts w:ascii="Arial" w:hAnsi="Arial" w:cs="Arial"/>
                <w:sz w:val="20"/>
                <w:szCs w:val="20"/>
              </w:rPr>
              <w:t>9501 - 10500 Kč</w:t>
            </w:r>
          </w:p>
        </w:tc>
        <w:tc>
          <w:tcPr>
            <w:tcW w:w="851" w:type="dxa"/>
            <w:tcBorders>
              <w:top w:val="nil"/>
              <w:left w:val="nil"/>
              <w:bottom w:val="nil"/>
              <w:right w:val="single" w:sz="4" w:space="0" w:color="auto"/>
            </w:tcBorders>
            <w:shd w:val="clear" w:color="auto" w:fill="auto"/>
            <w:noWrap/>
            <w:vAlign w:val="bottom"/>
          </w:tcPr>
          <w:p w:rsidR="00384504" w:rsidRDefault="00384504">
            <w:pPr>
              <w:jc w:val="right"/>
              <w:rPr>
                <w:rFonts w:ascii="Arial CE" w:hAnsi="Arial CE" w:cs="Arial CE"/>
                <w:sz w:val="20"/>
                <w:szCs w:val="20"/>
              </w:rPr>
            </w:pPr>
            <w:r>
              <w:rPr>
                <w:rFonts w:ascii="Arial CE" w:hAnsi="Arial CE" w:cs="Arial CE"/>
                <w:sz w:val="20"/>
                <w:szCs w:val="20"/>
              </w:rPr>
              <w:t>3,2</w:t>
            </w:r>
          </w:p>
        </w:tc>
        <w:tc>
          <w:tcPr>
            <w:tcW w:w="851" w:type="dxa"/>
            <w:tcBorders>
              <w:top w:val="nil"/>
              <w:left w:val="nil"/>
              <w:bottom w:val="nil"/>
              <w:right w:val="nil"/>
            </w:tcBorders>
            <w:shd w:val="clear" w:color="auto" w:fill="auto"/>
            <w:noWrap/>
            <w:vAlign w:val="bottom"/>
          </w:tcPr>
          <w:p w:rsidR="00384504" w:rsidRDefault="00384504">
            <w:pPr>
              <w:jc w:val="right"/>
              <w:rPr>
                <w:rFonts w:ascii="Arial CE" w:hAnsi="Arial CE" w:cs="Arial CE"/>
                <w:sz w:val="20"/>
                <w:szCs w:val="20"/>
              </w:rPr>
            </w:pPr>
            <w:r>
              <w:rPr>
                <w:rFonts w:ascii="Arial CE" w:hAnsi="Arial CE" w:cs="Arial CE"/>
                <w:sz w:val="20"/>
                <w:szCs w:val="20"/>
              </w:rPr>
              <w:t>3,6</w:t>
            </w:r>
          </w:p>
        </w:tc>
        <w:tc>
          <w:tcPr>
            <w:tcW w:w="851" w:type="dxa"/>
            <w:tcBorders>
              <w:top w:val="nil"/>
              <w:left w:val="single" w:sz="4" w:space="0" w:color="auto"/>
              <w:bottom w:val="nil"/>
              <w:right w:val="single" w:sz="4"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4,6</w:t>
            </w:r>
          </w:p>
        </w:tc>
        <w:tc>
          <w:tcPr>
            <w:tcW w:w="851" w:type="dxa"/>
            <w:tcBorders>
              <w:top w:val="nil"/>
              <w:left w:val="nil"/>
              <w:bottom w:val="nil"/>
              <w:right w:val="single" w:sz="4"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4,2</w:t>
            </w:r>
          </w:p>
        </w:tc>
        <w:tc>
          <w:tcPr>
            <w:tcW w:w="851" w:type="dxa"/>
            <w:tcBorders>
              <w:top w:val="nil"/>
              <w:left w:val="nil"/>
              <w:bottom w:val="nil"/>
              <w:right w:val="single" w:sz="4"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1,4</w:t>
            </w:r>
          </w:p>
        </w:tc>
        <w:tc>
          <w:tcPr>
            <w:tcW w:w="852" w:type="dxa"/>
            <w:tcBorders>
              <w:top w:val="nil"/>
              <w:left w:val="nil"/>
              <w:bottom w:val="nil"/>
              <w:right w:val="double" w:sz="6"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43,8</w:t>
            </w:r>
          </w:p>
        </w:tc>
      </w:tr>
      <w:tr w:rsidR="00384504" w:rsidRPr="000902FE" w:rsidTr="002F5109">
        <w:trPr>
          <w:trHeight w:val="284"/>
          <w:jc w:val="center"/>
        </w:trPr>
        <w:tc>
          <w:tcPr>
            <w:tcW w:w="2253" w:type="dxa"/>
            <w:gridSpan w:val="2"/>
            <w:tcBorders>
              <w:top w:val="nil"/>
              <w:left w:val="double" w:sz="6" w:space="0" w:color="auto"/>
              <w:bottom w:val="nil"/>
              <w:right w:val="single" w:sz="4" w:space="0" w:color="auto"/>
            </w:tcBorders>
            <w:shd w:val="clear" w:color="auto" w:fill="auto"/>
            <w:noWrap/>
            <w:vAlign w:val="bottom"/>
          </w:tcPr>
          <w:p w:rsidR="00384504" w:rsidRPr="000902FE" w:rsidRDefault="00384504" w:rsidP="002F5109">
            <w:pPr>
              <w:ind w:firstLineChars="100" w:firstLine="200"/>
              <w:rPr>
                <w:rFonts w:ascii="Arial" w:hAnsi="Arial" w:cs="Arial"/>
                <w:sz w:val="20"/>
                <w:szCs w:val="20"/>
              </w:rPr>
            </w:pPr>
            <w:r w:rsidRPr="000902FE">
              <w:rPr>
                <w:rFonts w:ascii="Arial" w:hAnsi="Arial" w:cs="Arial"/>
                <w:sz w:val="20"/>
                <w:szCs w:val="20"/>
              </w:rPr>
              <w:t>10501 - 11500 Kč</w:t>
            </w:r>
          </w:p>
        </w:tc>
        <w:tc>
          <w:tcPr>
            <w:tcW w:w="851" w:type="dxa"/>
            <w:tcBorders>
              <w:top w:val="nil"/>
              <w:left w:val="nil"/>
              <w:bottom w:val="nil"/>
              <w:right w:val="single" w:sz="4" w:space="0" w:color="auto"/>
            </w:tcBorders>
            <w:shd w:val="clear" w:color="auto" w:fill="auto"/>
            <w:noWrap/>
            <w:vAlign w:val="bottom"/>
          </w:tcPr>
          <w:p w:rsidR="00384504" w:rsidRDefault="00384504">
            <w:pPr>
              <w:jc w:val="right"/>
              <w:rPr>
                <w:rFonts w:ascii="Arial CE" w:hAnsi="Arial CE" w:cs="Arial CE"/>
                <w:sz w:val="20"/>
                <w:szCs w:val="20"/>
              </w:rPr>
            </w:pPr>
            <w:r>
              <w:rPr>
                <w:rFonts w:ascii="Arial CE" w:hAnsi="Arial CE" w:cs="Arial CE"/>
                <w:sz w:val="20"/>
                <w:szCs w:val="20"/>
              </w:rPr>
              <w:t>2,1</w:t>
            </w:r>
          </w:p>
        </w:tc>
        <w:tc>
          <w:tcPr>
            <w:tcW w:w="851" w:type="dxa"/>
            <w:tcBorders>
              <w:top w:val="nil"/>
              <w:left w:val="nil"/>
              <w:bottom w:val="nil"/>
              <w:right w:val="nil"/>
            </w:tcBorders>
            <w:shd w:val="clear" w:color="auto" w:fill="auto"/>
            <w:noWrap/>
            <w:vAlign w:val="bottom"/>
          </w:tcPr>
          <w:p w:rsidR="00384504" w:rsidRDefault="00384504">
            <w:pPr>
              <w:jc w:val="right"/>
              <w:rPr>
                <w:rFonts w:ascii="Arial CE" w:hAnsi="Arial CE" w:cs="Arial CE"/>
                <w:sz w:val="20"/>
                <w:szCs w:val="20"/>
              </w:rPr>
            </w:pPr>
            <w:r>
              <w:rPr>
                <w:rFonts w:ascii="Arial CE" w:hAnsi="Arial CE" w:cs="Arial CE"/>
                <w:sz w:val="20"/>
                <w:szCs w:val="20"/>
              </w:rPr>
              <w:t>2,3</w:t>
            </w:r>
          </w:p>
        </w:tc>
        <w:tc>
          <w:tcPr>
            <w:tcW w:w="851" w:type="dxa"/>
            <w:tcBorders>
              <w:top w:val="nil"/>
              <w:left w:val="single" w:sz="4" w:space="0" w:color="auto"/>
              <w:bottom w:val="nil"/>
              <w:right w:val="single" w:sz="4"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3,3</w:t>
            </w:r>
          </w:p>
        </w:tc>
        <w:tc>
          <w:tcPr>
            <w:tcW w:w="851" w:type="dxa"/>
            <w:tcBorders>
              <w:top w:val="nil"/>
              <w:left w:val="nil"/>
              <w:bottom w:val="nil"/>
              <w:right w:val="single" w:sz="4"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3,0</w:t>
            </w:r>
          </w:p>
        </w:tc>
        <w:tc>
          <w:tcPr>
            <w:tcW w:w="851" w:type="dxa"/>
            <w:tcBorders>
              <w:top w:val="nil"/>
              <w:left w:val="nil"/>
              <w:bottom w:val="nil"/>
              <w:right w:val="single" w:sz="4"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1,2</w:t>
            </w:r>
          </w:p>
        </w:tc>
        <w:tc>
          <w:tcPr>
            <w:tcW w:w="852" w:type="dxa"/>
            <w:tcBorders>
              <w:top w:val="nil"/>
              <w:left w:val="nil"/>
              <w:bottom w:val="nil"/>
              <w:right w:val="double" w:sz="6"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57,1</w:t>
            </w:r>
          </w:p>
        </w:tc>
      </w:tr>
      <w:tr w:rsidR="00384504" w:rsidRPr="000902FE" w:rsidTr="002F5109">
        <w:trPr>
          <w:trHeight w:val="284"/>
          <w:jc w:val="center"/>
        </w:trPr>
        <w:tc>
          <w:tcPr>
            <w:tcW w:w="2253" w:type="dxa"/>
            <w:gridSpan w:val="2"/>
            <w:tcBorders>
              <w:top w:val="nil"/>
              <w:left w:val="double" w:sz="6" w:space="0" w:color="auto"/>
              <w:bottom w:val="double" w:sz="6" w:space="0" w:color="auto"/>
              <w:right w:val="single" w:sz="4" w:space="0" w:color="auto"/>
            </w:tcBorders>
            <w:shd w:val="clear" w:color="auto" w:fill="auto"/>
            <w:noWrap/>
            <w:vAlign w:val="bottom"/>
          </w:tcPr>
          <w:p w:rsidR="00384504" w:rsidRPr="000902FE" w:rsidRDefault="00384504" w:rsidP="002F5109">
            <w:pPr>
              <w:ind w:firstLineChars="100" w:firstLine="200"/>
              <w:rPr>
                <w:rFonts w:ascii="Arial" w:hAnsi="Arial" w:cs="Arial"/>
                <w:sz w:val="20"/>
                <w:szCs w:val="20"/>
              </w:rPr>
            </w:pPr>
            <w:r w:rsidRPr="000902FE">
              <w:rPr>
                <w:rFonts w:ascii="Arial" w:hAnsi="Arial" w:cs="Arial"/>
                <w:sz w:val="20"/>
                <w:szCs w:val="20"/>
              </w:rPr>
              <w:t>11501 Kč a více</w:t>
            </w:r>
          </w:p>
        </w:tc>
        <w:tc>
          <w:tcPr>
            <w:tcW w:w="851" w:type="dxa"/>
            <w:tcBorders>
              <w:top w:val="nil"/>
              <w:left w:val="nil"/>
              <w:bottom w:val="double" w:sz="6" w:space="0" w:color="auto"/>
              <w:right w:val="single" w:sz="4" w:space="0" w:color="auto"/>
            </w:tcBorders>
            <w:shd w:val="clear" w:color="auto" w:fill="auto"/>
            <w:noWrap/>
            <w:vAlign w:val="bottom"/>
          </w:tcPr>
          <w:p w:rsidR="00384504" w:rsidRDefault="00384504">
            <w:pPr>
              <w:jc w:val="right"/>
              <w:rPr>
                <w:rFonts w:ascii="Arial CE" w:hAnsi="Arial CE" w:cs="Arial CE"/>
                <w:sz w:val="20"/>
                <w:szCs w:val="20"/>
              </w:rPr>
            </w:pPr>
            <w:r>
              <w:rPr>
                <w:rFonts w:ascii="Arial CE" w:hAnsi="Arial CE" w:cs="Arial CE"/>
                <w:sz w:val="20"/>
                <w:szCs w:val="20"/>
              </w:rPr>
              <w:t>6,9</w:t>
            </w:r>
          </w:p>
        </w:tc>
        <w:tc>
          <w:tcPr>
            <w:tcW w:w="851" w:type="dxa"/>
            <w:tcBorders>
              <w:top w:val="nil"/>
              <w:left w:val="nil"/>
              <w:bottom w:val="double" w:sz="6" w:space="0" w:color="auto"/>
              <w:right w:val="nil"/>
            </w:tcBorders>
            <w:shd w:val="clear" w:color="auto" w:fill="auto"/>
            <w:noWrap/>
            <w:vAlign w:val="bottom"/>
          </w:tcPr>
          <w:p w:rsidR="00384504" w:rsidRDefault="00384504">
            <w:pPr>
              <w:jc w:val="right"/>
              <w:rPr>
                <w:rFonts w:ascii="Arial CE" w:hAnsi="Arial CE" w:cs="Arial CE"/>
                <w:sz w:val="20"/>
                <w:szCs w:val="20"/>
              </w:rPr>
            </w:pPr>
            <w:r>
              <w:rPr>
                <w:rFonts w:ascii="Arial CE" w:hAnsi="Arial CE" w:cs="Arial CE"/>
                <w:sz w:val="20"/>
                <w:szCs w:val="20"/>
              </w:rPr>
              <w:t>7,8</w:t>
            </w:r>
          </w:p>
        </w:tc>
        <w:tc>
          <w:tcPr>
            <w:tcW w:w="851" w:type="dxa"/>
            <w:tcBorders>
              <w:top w:val="nil"/>
              <w:left w:val="single" w:sz="4" w:space="0" w:color="auto"/>
              <w:bottom w:val="double" w:sz="6" w:space="0" w:color="auto"/>
              <w:right w:val="single" w:sz="4"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10,4</w:t>
            </w:r>
          </w:p>
        </w:tc>
        <w:tc>
          <w:tcPr>
            <w:tcW w:w="851" w:type="dxa"/>
            <w:tcBorders>
              <w:top w:val="nil"/>
              <w:left w:val="nil"/>
              <w:bottom w:val="double" w:sz="6" w:space="0" w:color="auto"/>
              <w:right w:val="single" w:sz="4"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9,5</w:t>
            </w:r>
          </w:p>
        </w:tc>
        <w:tc>
          <w:tcPr>
            <w:tcW w:w="851" w:type="dxa"/>
            <w:tcBorders>
              <w:top w:val="nil"/>
              <w:left w:val="nil"/>
              <w:bottom w:val="double" w:sz="6" w:space="0" w:color="auto"/>
              <w:right w:val="single" w:sz="4"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3,5</w:t>
            </w:r>
          </w:p>
        </w:tc>
        <w:tc>
          <w:tcPr>
            <w:tcW w:w="852" w:type="dxa"/>
            <w:tcBorders>
              <w:top w:val="nil"/>
              <w:left w:val="nil"/>
              <w:bottom w:val="double" w:sz="6" w:space="0" w:color="auto"/>
              <w:right w:val="double" w:sz="6" w:space="0" w:color="auto"/>
            </w:tcBorders>
            <w:shd w:val="clear" w:color="auto" w:fill="auto"/>
            <w:noWrap/>
            <w:vAlign w:val="bottom"/>
          </w:tcPr>
          <w:p w:rsidR="00384504" w:rsidRDefault="00384504" w:rsidP="002F5109">
            <w:pPr>
              <w:jc w:val="right"/>
              <w:rPr>
                <w:rFonts w:ascii="Arial CE" w:hAnsi="Arial CE" w:cs="Arial CE"/>
                <w:sz w:val="20"/>
                <w:szCs w:val="20"/>
              </w:rPr>
            </w:pPr>
            <w:r>
              <w:rPr>
                <w:rFonts w:ascii="Arial CE" w:hAnsi="Arial CE" w:cs="Arial CE"/>
                <w:sz w:val="20"/>
                <w:szCs w:val="20"/>
              </w:rPr>
              <w:t>50,7</w:t>
            </w:r>
          </w:p>
        </w:tc>
      </w:tr>
      <w:tr w:rsidR="00730AC8" w:rsidRPr="000902FE" w:rsidTr="002F5109">
        <w:trPr>
          <w:gridBefore w:val="1"/>
          <w:wBefore w:w="293" w:type="dxa"/>
          <w:trHeight w:val="480"/>
          <w:jc w:val="center"/>
        </w:trPr>
        <w:tc>
          <w:tcPr>
            <w:tcW w:w="7067" w:type="dxa"/>
            <w:gridSpan w:val="7"/>
            <w:tcBorders>
              <w:top w:val="nil"/>
              <w:left w:val="nil"/>
              <w:bottom w:val="nil"/>
              <w:right w:val="nil"/>
            </w:tcBorders>
            <w:shd w:val="clear" w:color="auto" w:fill="auto"/>
            <w:vAlign w:val="bottom"/>
          </w:tcPr>
          <w:p w:rsidR="00730AC8" w:rsidRPr="000902FE" w:rsidRDefault="00730AC8" w:rsidP="002F5109">
            <w:pPr>
              <w:rPr>
                <w:rFonts w:ascii="Arial" w:hAnsi="Arial" w:cs="Arial"/>
                <w:i/>
                <w:iCs/>
                <w:sz w:val="16"/>
                <w:szCs w:val="16"/>
              </w:rPr>
            </w:pPr>
            <w:r w:rsidRPr="000902FE">
              <w:rPr>
                <w:rFonts w:ascii="Arial" w:hAnsi="Arial" w:cs="Arial"/>
                <w:i/>
                <w:iCs/>
                <w:sz w:val="16"/>
                <w:szCs w:val="16"/>
              </w:rPr>
              <w:t>Pozn.: drobné odchylky součtu osob v jednotlivých kategoriích od uvedeného celkového počtu souvisí se zaokrouhlením hodnot na jedno desetinné místo</w:t>
            </w:r>
          </w:p>
        </w:tc>
      </w:tr>
    </w:tbl>
    <w:p w:rsidR="00730AC8" w:rsidRPr="00EF1C55" w:rsidRDefault="00730AC8" w:rsidP="00730AC8">
      <w:pPr>
        <w:tabs>
          <w:tab w:val="left" w:pos="567"/>
        </w:tabs>
        <w:spacing w:line="360" w:lineRule="auto"/>
        <w:jc w:val="both"/>
        <w:rPr>
          <w:rFonts w:ascii="Arial" w:hAnsi="Arial"/>
        </w:rPr>
      </w:pPr>
    </w:p>
    <w:p w:rsidR="00730AC8" w:rsidRDefault="00730AC8" w:rsidP="00730AC8">
      <w:pPr>
        <w:tabs>
          <w:tab w:val="left" w:pos="567"/>
        </w:tabs>
        <w:spacing w:line="360" w:lineRule="auto"/>
        <w:jc w:val="both"/>
        <w:rPr>
          <w:rFonts w:ascii="Arial" w:hAnsi="Arial"/>
        </w:rPr>
      </w:pPr>
      <w:r w:rsidRPr="000B47F0">
        <w:rPr>
          <w:rFonts w:ascii="Arial" w:hAnsi="Arial" w:cs="Arial"/>
        </w:rPr>
        <w:lastRenderedPageBreak/>
        <w:tab/>
      </w:r>
      <w:r w:rsidRPr="000B47F0">
        <w:rPr>
          <w:rFonts w:ascii="Arial" w:hAnsi="Arial"/>
          <w:b/>
        </w:rPr>
        <w:t xml:space="preserve">Maximální </w:t>
      </w:r>
      <w:proofErr w:type="spellStart"/>
      <w:r w:rsidRPr="000B47F0">
        <w:rPr>
          <w:rFonts w:ascii="Arial" w:hAnsi="Arial"/>
          <w:b/>
        </w:rPr>
        <w:t>PvN</w:t>
      </w:r>
      <w:proofErr w:type="spellEnd"/>
      <w:r w:rsidRPr="000B47F0">
        <w:rPr>
          <w:rFonts w:ascii="Arial" w:hAnsi="Arial"/>
          <w:b/>
        </w:rPr>
        <w:t xml:space="preserve"> </w:t>
      </w:r>
      <w:r w:rsidRPr="00684A84">
        <w:rPr>
          <w:rFonts w:ascii="Arial" w:hAnsi="Arial"/>
        </w:rPr>
        <w:t>(ve výši 0,58 násobku průměrné mzdy)</w:t>
      </w:r>
      <w:r w:rsidRPr="000B47F0">
        <w:rPr>
          <w:rFonts w:ascii="Arial" w:hAnsi="Arial"/>
        </w:rPr>
        <w:t xml:space="preserve"> pobíralo v červnu 2013 více uchazečů o zaměstnání (5,9 tis.) než před rokem (2,2 tis.). </w:t>
      </w:r>
      <w:r w:rsidRPr="000B47F0">
        <w:rPr>
          <w:rFonts w:ascii="Arial" w:hAnsi="Arial"/>
          <w:b/>
        </w:rPr>
        <w:t xml:space="preserve">Jejich podíl </w:t>
      </w:r>
      <w:r w:rsidRPr="000B47F0">
        <w:rPr>
          <w:rFonts w:ascii="Arial" w:hAnsi="Arial"/>
        </w:rPr>
        <w:t xml:space="preserve">na celkovém počtu uchazečů o zaměstnání pobírajících </w:t>
      </w:r>
      <w:proofErr w:type="spellStart"/>
      <w:r w:rsidRPr="000B47F0">
        <w:rPr>
          <w:rFonts w:ascii="Arial" w:hAnsi="Arial"/>
        </w:rPr>
        <w:t>PvN</w:t>
      </w:r>
      <w:proofErr w:type="spellEnd"/>
      <w:r w:rsidRPr="000B47F0">
        <w:rPr>
          <w:rFonts w:ascii="Arial" w:hAnsi="Arial"/>
        </w:rPr>
        <w:t xml:space="preserve"> </w:t>
      </w:r>
      <w:r w:rsidRPr="000B47F0">
        <w:rPr>
          <w:rFonts w:ascii="Arial" w:hAnsi="Arial"/>
          <w:b/>
        </w:rPr>
        <w:t>vzrostl</w:t>
      </w:r>
      <w:r w:rsidRPr="000B47F0">
        <w:rPr>
          <w:rFonts w:ascii="Arial" w:hAnsi="Arial"/>
        </w:rPr>
        <w:t xml:space="preserve"> z</w:t>
      </w:r>
      <w:r>
        <w:rPr>
          <w:rFonts w:ascii="Arial" w:hAnsi="Arial"/>
        </w:rPr>
        <w:t>e</w:t>
      </w:r>
      <w:r w:rsidRPr="000B47F0">
        <w:rPr>
          <w:rFonts w:ascii="Arial" w:hAnsi="Arial"/>
        </w:rPr>
        <w:t xml:space="preserve"> 4,0 % v červnu 2012 </w:t>
      </w:r>
      <w:r w:rsidRPr="000B47F0">
        <w:rPr>
          <w:rFonts w:ascii="Arial" w:hAnsi="Arial"/>
          <w:b/>
        </w:rPr>
        <w:t>na</w:t>
      </w:r>
      <w:r w:rsidRPr="000B47F0">
        <w:rPr>
          <w:rFonts w:ascii="Arial" w:hAnsi="Arial"/>
        </w:rPr>
        <w:t xml:space="preserve"> </w:t>
      </w:r>
      <w:r w:rsidRPr="000B47F0">
        <w:rPr>
          <w:rFonts w:ascii="Arial" w:hAnsi="Arial"/>
          <w:b/>
        </w:rPr>
        <w:t>5,4 %</w:t>
      </w:r>
      <w:r w:rsidRPr="000B47F0">
        <w:rPr>
          <w:rFonts w:ascii="Arial" w:hAnsi="Arial"/>
        </w:rPr>
        <w:t>.</w:t>
      </w:r>
      <w:r w:rsidRPr="00EF1C55">
        <w:rPr>
          <w:rFonts w:ascii="Arial" w:hAnsi="Arial"/>
        </w:rPr>
        <w:t xml:space="preserve"> </w:t>
      </w:r>
    </w:p>
    <w:p w:rsidR="00730AC8" w:rsidRDefault="00730AC8" w:rsidP="00730AC8">
      <w:pPr>
        <w:pStyle w:val="Zkladntext"/>
        <w:spacing w:line="360" w:lineRule="auto"/>
        <w:ind w:firstLine="708"/>
        <w:rPr>
          <w:color w:val="auto"/>
          <w:lang w:val="cs-CZ"/>
        </w:rPr>
      </w:pPr>
    </w:p>
    <w:p w:rsidR="00730AC8" w:rsidRDefault="00730AC8" w:rsidP="00730AC8">
      <w:pPr>
        <w:pStyle w:val="Zkladntext"/>
        <w:spacing w:line="360" w:lineRule="auto"/>
        <w:ind w:firstLine="708"/>
        <w:rPr>
          <w:color w:val="auto"/>
          <w:lang w:val="cs-CZ"/>
        </w:rPr>
      </w:pPr>
      <w:r>
        <w:rPr>
          <w:color w:val="auto"/>
          <w:lang w:val="cs-CZ"/>
        </w:rPr>
        <w:t xml:space="preserve">Po obvyklém sezónním poklesu na přelomu let se </w:t>
      </w:r>
      <w:r w:rsidRPr="00673AAA">
        <w:rPr>
          <w:b/>
          <w:color w:val="auto"/>
          <w:lang w:val="cs-CZ"/>
        </w:rPr>
        <w:t xml:space="preserve">počty </w:t>
      </w:r>
      <w:r>
        <w:rPr>
          <w:b/>
          <w:color w:val="auto"/>
          <w:lang w:val="cs-CZ"/>
        </w:rPr>
        <w:t xml:space="preserve">volných pracovních </w:t>
      </w:r>
      <w:r w:rsidRPr="00673AAA">
        <w:rPr>
          <w:b/>
          <w:color w:val="auto"/>
          <w:lang w:val="cs-CZ"/>
        </w:rPr>
        <w:t xml:space="preserve">míst nahlášených </w:t>
      </w:r>
      <w:r>
        <w:rPr>
          <w:b/>
          <w:color w:val="auto"/>
          <w:lang w:val="cs-CZ"/>
        </w:rPr>
        <w:t>na ÚP</w:t>
      </w:r>
      <w:r w:rsidR="004F7079">
        <w:rPr>
          <w:b/>
          <w:color w:val="auto"/>
          <w:lang w:val="cs-CZ"/>
        </w:rPr>
        <w:t> ČR</w:t>
      </w:r>
      <w:r>
        <w:rPr>
          <w:b/>
          <w:color w:val="auto"/>
          <w:lang w:val="cs-CZ"/>
        </w:rPr>
        <w:t xml:space="preserve"> </w:t>
      </w:r>
      <w:r w:rsidRPr="00673AAA">
        <w:rPr>
          <w:rFonts w:cs="Arial"/>
          <w:b/>
          <w:lang w:val="cs-CZ"/>
        </w:rPr>
        <w:t>v 1. pololetí 201</w:t>
      </w:r>
      <w:r>
        <w:rPr>
          <w:rFonts w:cs="Arial"/>
          <w:b/>
          <w:lang w:val="cs-CZ"/>
        </w:rPr>
        <w:t>3</w:t>
      </w:r>
      <w:r w:rsidRPr="00673AAA">
        <w:rPr>
          <w:rFonts w:cs="Arial"/>
          <w:b/>
          <w:lang w:val="cs-CZ"/>
        </w:rPr>
        <w:t xml:space="preserve"> </w:t>
      </w:r>
      <w:r w:rsidRPr="00673AAA">
        <w:rPr>
          <w:b/>
          <w:color w:val="auto"/>
          <w:lang w:val="cs-CZ"/>
        </w:rPr>
        <w:t xml:space="preserve">plynule </w:t>
      </w:r>
      <w:r w:rsidRPr="00CB7A36">
        <w:rPr>
          <w:color w:val="auto"/>
          <w:lang w:val="cs-CZ"/>
        </w:rPr>
        <w:t xml:space="preserve">mírně </w:t>
      </w:r>
      <w:r w:rsidRPr="00673AAA">
        <w:rPr>
          <w:b/>
          <w:color w:val="auto"/>
          <w:lang w:val="cs-CZ"/>
        </w:rPr>
        <w:t xml:space="preserve">zvyšovaly, </w:t>
      </w:r>
      <w:r>
        <w:rPr>
          <w:color w:val="auto"/>
          <w:lang w:val="cs-CZ"/>
        </w:rPr>
        <w:t xml:space="preserve">dynamika nárůstu byla srovnatelná s 1. pololetím 2012 </w:t>
      </w:r>
      <w:r>
        <w:rPr>
          <w:color w:val="auto"/>
        </w:rPr>
        <w:t>(viz graf č. </w:t>
      </w:r>
      <w:r>
        <w:rPr>
          <w:color w:val="auto"/>
          <w:lang w:val="cs-CZ"/>
        </w:rPr>
        <w:t>5</w:t>
      </w:r>
      <w:r>
        <w:rPr>
          <w:color w:val="auto"/>
        </w:rPr>
        <w:t xml:space="preserve">). </w:t>
      </w:r>
      <w:r>
        <w:rPr>
          <w:color w:val="auto"/>
          <w:lang w:val="cs-CZ"/>
        </w:rPr>
        <w:t>Stále je ale počet volných míst, kter</w:t>
      </w:r>
      <w:r w:rsidR="0028367C">
        <w:rPr>
          <w:color w:val="auto"/>
          <w:lang w:val="cs-CZ"/>
        </w:rPr>
        <w:t>á</w:t>
      </w:r>
      <w:r>
        <w:rPr>
          <w:color w:val="auto"/>
          <w:lang w:val="cs-CZ"/>
        </w:rPr>
        <w:t xml:space="preserve"> mají pracoviště ÚP ČR k dispozici, </w:t>
      </w:r>
      <w:r w:rsidR="0028367C">
        <w:rPr>
          <w:color w:val="auto"/>
          <w:lang w:val="cs-CZ"/>
        </w:rPr>
        <w:t>nízký</w:t>
      </w:r>
      <w:r>
        <w:rPr>
          <w:color w:val="auto"/>
          <w:lang w:val="cs-CZ"/>
        </w:rPr>
        <w:t xml:space="preserve">. </w:t>
      </w:r>
      <w:r>
        <w:rPr>
          <w:color w:val="auto"/>
        </w:rPr>
        <w:t xml:space="preserve">Ke konci </w:t>
      </w:r>
      <w:r>
        <w:rPr>
          <w:b/>
          <w:color w:val="auto"/>
          <w:lang w:val="cs-CZ"/>
        </w:rPr>
        <w:t>června</w:t>
      </w:r>
      <w:r>
        <w:rPr>
          <w:b/>
          <w:color w:val="auto"/>
        </w:rPr>
        <w:t xml:space="preserve"> 201</w:t>
      </w:r>
      <w:r>
        <w:rPr>
          <w:b/>
          <w:color w:val="auto"/>
          <w:lang w:val="cs-CZ"/>
        </w:rPr>
        <w:t>3</w:t>
      </w:r>
      <w:r>
        <w:rPr>
          <w:color w:val="auto"/>
        </w:rPr>
        <w:t xml:space="preserve"> bylo </w:t>
      </w:r>
      <w:r>
        <w:rPr>
          <w:color w:val="auto"/>
          <w:lang w:val="cs-CZ"/>
        </w:rPr>
        <w:t>na ÚP</w:t>
      </w:r>
      <w:r w:rsidR="004F7079">
        <w:rPr>
          <w:color w:val="auto"/>
          <w:lang w:val="cs-CZ"/>
        </w:rPr>
        <w:t> ČR</w:t>
      </w:r>
      <w:r>
        <w:rPr>
          <w:color w:val="auto"/>
          <w:lang w:val="cs-CZ"/>
        </w:rPr>
        <w:t xml:space="preserve"> </w:t>
      </w:r>
      <w:r>
        <w:rPr>
          <w:color w:val="auto"/>
        </w:rPr>
        <w:t xml:space="preserve">evidováno </w:t>
      </w:r>
      <w:r w:rsidRPr="00673AAA">
        <w:rPr>
          <w:b/>
          <w:color w:val="auto"/>
          <w:lang w:val="cs-CZ"/>
        </w:rPr>
        <w:t>4</w:t>
      </w:r>
      <w:r>
        <w:rPr>
          <w:b/>
          <w:color w:val="auto"/>
          <w:lang w:val="cs-CZ"/>
        </w:rPr>
        <w:t>4</w:t>
      </w:r>
      <w:r w:rsidRPr="00673AAA">
        <w:rPr>
          <w:b/>
          <w:color w:val="auto"/>
        </w:rPr>
        <w:t>,</w:t>
      </w:r>
      <w:r>
        <w:rPr>
          <w:b/>
          <w:color w:val="auto"/>
          <w:lang w:val="cs-CZ"/>
        </w:rPr>
        <w:t>0</w:t>
      </w:r>
      <w:r>
        <w:rPr>
          <w:b/>
          <w:color w:val="auto"/>
        </w:rPr>
        <w:t xml:space="preserve"> tis. volných pracovních míst </w:t>
      </w:r>
      <w:r>
        <w:rPr>
          <w:color w:val="auto"/>
        </w:rPr>
        <w:t>(o </w:t>
      </w:r>
      <w:r>
        <w:rPr>
          <w:color w:val="auto"/>
          <w:lang w:val="cs-CZ"/>
        </w:rPr>
        <w:t>1</w:t>
      </w:r>
      <w:r>
        <w:rPr>
          <w:color w:val="auto"/>
        </w:rPr>
        <w:t>,</w:t>
      </w:r>
      <w:r>
        <w:rPr>
          <w:color w:val="auto"/>
          <w:lang w:val="cs-CZ"/>
        </w:rPr>
        <w:t>2 </w:t>
      </w:r>
      <w:r>
        <w:rPr>
          <w:color w:val="auto"/>
        </w:rPr>
        <w:t xml:space="preserve">tis. </w:t>
      </w:r>
      <w:r>
        <w:rPr>
          <w:color w:val="auto"/>
          <w:lang w:val="cs-CZ"/>
        </w:rPr>
        <w:t>více</w:t>
      </w:r>
      <w:r>
        <w:rPr>
          <w:color w:val="auto"/>
        </w:rPr>
        <w:t xml:space="preserve"> než v </w:t>
      </w:r>
      <w:r>
        <w:rPr>
          <w:color w:val="auto"/>
          <w:lang w:val="cs-CZ"/>
        </w:rPr>
        <w:t>červnu</w:t>
      </w:r>
      <w:r>
        <w:rPr>
          <w:color w:val="auto"/>
        </w:rPr>
        <w:t xml:space="preserve"> 20</w:t>
      </w:r>
      <w:r>
        <w:rPr>
          <w:color w:val="auto"/>
          <w:lang w:val="cs-CZ"/>
        </w:rPr>
        <w:t>12</w:t>
      </w:r>
      <w:r>
        <w:rPr>
          <w:color w:val="auto"/>
        </w:rPr>
        <w:t xml:space="preserve">). </w:t>
      </w:r>
    </w:p>
    <w:p w:rsidR="00730AC8" w:rsidRDefault="00730AC8" w:rsidP="00730AC8">
      <w:pPr>
        <w:tabs>
          <w:tab w:val="left" w:pos="900"/>
        </w:tabs>
        <w:ind w:firstLine="720"/>
        <w:jc w:val="right"/>
        <w:rPr>
          <w:rFonts w:ascii="Arial" w:hAnsi="Arial" w:cs="Arial"/>
          <w:bCs/>
          <w:sz w:val="20"/>
          <w:szCs w:val="20"/>
        </w:rPr>
      </w:pPr>
      <w:r w:rsidRPr="00730AC8">
        <w:rPr>
          <w:rFonts w:ascii="Arial" w:hAnsi="Arial" w:cs="Arial"/>
          <w:bCs/>
          <w:sz w:val="20"/>
          <w:szCs w:val="20"/>
        </w:rPr>
        <w:t>graf č. 5</w:t>
      </w:r>
    </w:p>
    <w:p w:rsidR="00730AC8" w:rsidRDefault="00730AC8" w:rsidP="00730AC8">
      <w:pPr>
        <w:tabs>
          <w:tab w:val="left" w:pos="900"/>
        </w:tabs>
        <w:spacing w:line="360" w:lineRule="auto"/>
        <w:jc w:val="center"/>
        <w:rPr>
          <w:color w:val="0070C0"/>
        </w:rPr>
      </w:pPr>
      <w:r>
        <w:rPr>
          <w:noProof/>
        </w:rPr>
        <w:drawing>
          <wp:inline distT="0" distB="0" distL="0" distR="0" wp14:anchorId="58C1711E" wp14:editId="101D6C42">
            <wp:extent cx="4933950" cy="2867025"/>
            <wp:effectExtent l="0" t="0" r="19050" b="9525"/>
            <wp:docPr id="11" name="Graf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730AC8" w:rsidRDefault="00730AC8" w:rsidP="00730AC8">
      <w:pPr>
        <w:tabs>
          <w:tab w:val="left" w:pos="900"/>
        </w:tabs>
        <w:spacing w:line="360" w:lineRule="auto"/>
        <w:jc w:val="center"/>
        <w:rPr>
          <w:color w:val="0070C0"/>
        </w:rPr>
      </w:pPr>
    </w:p>
    <w:p w:rsidR="00730AC8" w:rsidRPr="00D63B52" w:rsidRDefault="00730AC8" w:rsidP="00730AC8">
      <w:pPr>
        <w:pStyle w:val="Zkladntext"/>
        <w:spacing w:line="360" w:lineRule="auto"/>
        <w:ind w:firstLine="709"/>
        <w:rPr>
          <w:color w:val="0070C0"/>
          <w:lang w:val="cs-CZ"/>
        </w:rPr>
      </w:pPr>
      <w:r>
        <w:rPr>
          <w:color w:val="auto"/>
          <w:lang w:val="cs-CZ"/>
        </w:rPr>
        <w:t>Meziroční nárůst</w:t>
      </w:r>
      <w:r>
        <w:rPr>
          <w:color w:val="auto"/>
        </w:rPr>
        <w:t xml:space="preserve"> počtu volných pracovních míst </w:t>
      </w:r>
      <w:r>
        <w:rPr>
          <w:color w:val="auto"/>
          <w:lang w:val="cs-CZ"/>
        </w:rPr>
        <w:t xml:space="preserve">byl proti nárůstu </w:t>
      </w:r>
      <w:r>
        <w:rPr>
          <w:color w:val="auto"/>
        </w:rPr>
        <w:t xml:space="preserve">počtu uchazečů o zaměstnání </w:t>
      </w:r>
      <w:r>
        <w:rPr>
          <w:color w:val="auto"/>
          <w:lang w:val="cs-CZ"/>
        </w:rPr>
        <w:t xml:space="preserve">pouze minimální, důsledkem bylo </w:t>
      </w:r>
      <w:r>
        <w:rPr>
          <w:b/>
          <w:color w:val="auto"/>
          <w:lang w:val="cs-CZ"/>
        </w:rPr>
        <w:t>zvýšení</w:t>
      </w:r>
      <w:r>
        <w:rPr>
          <w:b/>
          <w:color w:val="auto"/>
        </w:rPr>
        <w:t xml:space="preserve"> nesoulad</w:t>
      </w:r>
      <w:r>
        <w:rPr>
          <w:b/>
          <w:color w:val="auto"/>
          <w:lang w:val="cs-CZ"/>
        </w:rPr>
        <w:t>u</w:t>
      </w:r>
      <w:r>
        <w:rPr>
          <w:b/>
          <w:color w:val="auto"/>
        </w:rPr>
        <w:t xml:space="preserve"> mezi nabídkou a poptávkou na trhu práce</w:t>
      </w:r>
      <w:r>
        <w:rPr>
          <w:color w:val="auto"/>
        </w:rPr>
        <w:t>. Počet</w:t>
      </w:r>
      <w:r>
        <w:rPr>
          <w:b/>
          <w:color w:val="auto"/>
        </w:rPr>
        <w:t xml:space="preserve"> uchazečů o zaměstnání </w:t>
      </w:r>
      <w:r>
        <w:rPr>
          <w:color w:val="auto"/>
        </w:rPr>
        <w:t>připadajících</w:t>
      </w:r>
      <w:r>
        <w:rPr>
          <w:b/>
          <w:color w:val="auto"/>
        </w:rPr>
        <w:t xml:space="preserve"> na 1 </w:t>
      </w:r>
      <w:r>
        <w:rPr>
          <w:b/>
          <w:color w:val="auto"/>
          <w:lang w:val="cs-CZ"/>
        </w:rPr>
        <w:t xml:space="preserve">nahlášené </w:t>
      </w:r>
      <w:r>
        <w:rPr>
          <w:b/>
          <w:color w:val="auto"/>
        </w:rPr>
        <w:t>volné pracovní místo</w:t>
      </w:r>
      <w:r>
        <w:rPr>
          <w:color w:val="auto"/>
        </w:rPr>
        <w:t xml:space="preserve"> se </w:t>
      </w:r>
      <w:r>
        <w:rPr>
          <w:b/>
          <w:color w:val="auto"/>
        </w:rPr>
        <w:t>v </w:t>
      </w:r>
      <w:r>
        <w:rPr>
          <w:b/>
          <w:color w:val="auto"/>
          <w:lang w:val="cs-CZ"/>
        </w:rPr>
        <w:t>červnu</w:t>
      </w:r>
      <w:r>
        <w:rPr>
          <w:b/>
          <w:color w:val="auto"/>
        </w:rPr>
        <w:t xml:space="preserve"> </w:t>
      </w:r>
      <w:r>
        <w:rPr>
          <w:b/>
          <w:color w:val="auto"/>
          <w:lang w:val="cs-CZ"/>
        </w:rPr>
        <w:t xml:space="preserve">2013 </w:t>
      </w:r>
      <w:r>
        <w:rPr>
          <w:b/>
          <w:color w:val="auto"/>
        </w:rPr>
        <w:t xml:space="preserve">meziročně </w:t>
      </w:r>
      <w:r>
        <w:rPr>
          <w:b/>
          <w:color w:val="auto"/>
          <w:lang w:val="cs-CZ"/>
        </w:rPr>
        <w:t xml:space="preserve">zvýšil </w:t>
      </w:r>
      <w:r>
        <w:rPr>
          <w:color w:val="auto"/>
        </w:rPr>
        <w:t>z 1</w:t>
      </w:r>
      <w:r>
        <w:rPr>
          <w:color w:val="auto"/>
          <w:lang w:val="cs-CZ"/>
        </w:rPr>
        <w:t>1,1</w:t>
      </w:r>
      <w:r>
        <w:rPr>
          <w:b/>
          <w:color w:val="auto"/>
        </w:rPr>
        <w:t xml:space="preserve"> na 1</w:t>
      </w:r>
      <w:r>
        <w:rPr>
          <w:b/>
          <w:color w:val="auto"/>
          <w:lang w:val="cs-CZ"/>
        </w:rPr>
        <w:t>2</w:t>
      </w:r>
      <w:r>
        <w:rPr>
          <w:b/>
          <w:color w:val="auto"/>
        </w:rPr>
        <w:t>,</w:t>
      </w:r>
      <w:r>
        <w:rPr>
          <w:b/>
          <w:color w:val="auto"/>
          <w:lang w:val="cs-CZ"/>
        </w:rPr>
        <w:t>3</w:t>
      </w:r>
      <w:r>
        <w:rPr>
          <w:color w:val="auto"/>
        </w:rPr>
        <w:t>.</w:t>
      </w:r>
      <w:r>
        <w:rPr>
          <w:color w:val="auto"/>
          <w:lang w:val="cs-CZ"/>
        </w:rPr>
        <w:t xml:space="preserve"> </w:t>
      </w:r>
      <w:r w:rsidRPr="00D63B52">
        <w:rPr>
          <w:b/>
          <w:color w:val="auto"/>
          <w:lang w:val="cs-CZ"/>
        </w:rPr>
        <w:t>Průměrná hodnota</w:t>
      </w:r>
      <w:r>
        <w:rPr>
          <w:color w:val="auto"/>
          <w:lang w:val="cs-CZ"/>
        </w:rPr>
        <w:t xml:space="preserve"> tohoto ukazatele </w:t>
      </w:r>
      <w:r w:rsidRPr="00D63B52">
        <w:rPr>
          <w:b/>
          <w:color w:val="auto"/>
          <w:lang w:val="cs-CZ"/>
        </w:rPr>
        <w:t>za 1. pololetí 2013</w:t>
      </w:r>
      <w:r>
        <w:rPr>
          <w:color w:val="auto"/>
          <w:lang w:val="cs-CZ"/>
        </w:rPr>
        <w:t xml:space="preserve"> meziročně </w:t>
      </w:r>
      <w:r w:rsidRPr="00D63B52">
        <w:rPr>
          <w:b/>
          <w:color w:val="auto"/>
          <w:lang w:val="cs-CZ"/>
        </w:rPr>
        <w:t>vzrostla</w:t>
      </w:r>
      <w:r>
        <w:rPr>
          <w:color w:val="auto"/>
          <w:lang w:val="cs-CZ"/>
        </w:rPr>
        <w:t xml:space="preserve"> z 13,0 </w:t>
      </w:r>
      <w:r w:rsidRPr="00D63B52">
        <w:rPr>
          <w:b/>
          <w:color w:val="auto"/>
          <w:lang w:val="cs-CZ"/>
        </w:rPr>
        <w:t>na 14,9</w:t>
      </w:r>
      <w:r>
        <w:rPr>
          <w:color w:val="auto"/>
          <w:lang w:val="cs-CZ"/>
        </w:rPr>
        <w:t>.</w:t>
      </w:r>
    </w:p>
    <w:p w:rsidR="00730AC8" w:rsidRDefault="00730AC8" w:rsidP="00730AC8">
      <w:pPr>
        <w:pStyle w:val="Zkladntext"/>
        <w:ind w:firstLine="709"/>
        <w:jc w:val="right"/>
        <w:rPr>
          <w:bCs/>
          <w:color w:val="auto"/>
          <w:sz w:val="20"/>
          <w:szCs w:val="20"/>
        </w:rPr>
      </w:pPr>
      <w:r>
        <w:rPr>
          <w:bCs/>
          <w:color w:val="auto"/>
          <w:sz w:val="20"/>
          <w:szCs w:val="20"/>
          <w:highlight w:val="yellow"/>
        </w:rPr>
        <w:br w:type="column"/>
      </w:r>
      <w:r w:rsidRPr="00730AC8">
        <w:rPr>
          <w:bCs/>
          <w:color w:val="auto"/>
          <w:sz w:val="20"/>
          <w:szCs w:val="20"/>
        </w:rPr>
        <w:lastRenderedPageBreak/>
        <w:t xml:space="preserve">graf č. </w:t>
      </w:r>
      <w:r w:rsidRPr="00730AC8">
        <w:rPr>
          <w:bCs/>
          <w:color w:val="auto"/>
          <w:sz w:val="20"/>
          <w:szCs w:val="20"/>
          <w:lang w:val="cs-CZ"/>
        </w:rPr>
        <w:t>6</w:t>
      </w:r>
    </w:p>
    <w:p w:rsidR="00730AC8" w:rsidRDefault="00730AC8" w:rsidP="00730AC8">
      <w:pPr>
        <w:pStyle w:val="Zkladntext"/>
        <w:spacing w:line="360" w:lineRule="auto"/>
        <w:jc w:val="center"/>
        <w:rPr>
          <w:color w:val="0070C0"/>
        </w:rPr>
      </w:pPr>
      <w:r>
        <w:rPr>
          <w:noProof/>
          <w:lang w:val="cs-CZ" w:eastAsia="cs-CZ"/>
        </w:rPr>
        <w:drawing>
          <wp:inline distT="0" distB="0" distL="0" distR="0" wp14:anchorId="53CEEA14" wp14:editId="43F6F3C2">
            <wp:extent cx="5124450" cy="2809875"/>
            <wp:effectExtent l="0" t="0" r="19050" b="9525"/>
            <wp:docPr id="12" name="Graf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730AC8" w:rsidRDefault="00730AC8" w:rsidP="00730AC8">
      <w:pPr>
        <w:pStyle w:val="Zkladntextodsazen"/>
        <w:ind w:firstLine="539"/>
        <w:rPr>
          <w:b/>
          <w:bCs/>
          <w:szCs w:val="23"/>
        </w:rPr>
      </w:pPr>
    </w:p>
    <w:p w:rsidR="00730AC8" w:rsidRPr="00C94243" w:rsidRDefault="00730AC8" w:rsidP="00730AC8">
      <w:pPr>
        <w:pStyle w:val="Zkladntextodsazen"/>
        <w:ind w:firstLine="539"/>
        <w:rPr>
          <w:bCs/>
          <w:szCs w:val="23"/>
        </w:rPr>
      </w:pPr>
      <w:r>
        <w:rPr>
          <w:bCs/>
          <w:szCs w:val="23"/>
        </w:rPr>
        <w:t xml:space="preserve">Počty volných pracovních míst </w:t>
      </w:r>
      <w:r>
        <w:rPr>
          <w:bCs/>
          <w:szCs w:val="23"/>
          <w:lang w:val="cs-CZ"/>
        </w:rPr>
        <w:t>pro</w:t>
      </w:r>
      <w:r>
        <w:rPr>
          <w:bCs/>
          <w:szCs w:val="23"/>
        </w:rPr>
        <w:t xml:space="preserve"> administrativní, technické, zdravotnické, pedagogické pracovníky a pracovníky v</w:t>
      </w:r>
      <w:r>
        <w:rPr>
          <w:bCs/>
          <w:szCs w:val="23"/>
          <w:lang w:val="cs-CZ"/>
        </w:rPr>
        <w:t> oblasti vědy a výzkumu</w:t>
      </w:r>
      <w:r>
        <w:rPr>
          <w:bCs/>
          <w:szCs w:val="23"/>
        </w:rPr>
        <w:t xml:space="preserve">, </w:t>
      </w:r>
      <w:r>
        <w:t xml:space="preserve">vyžadující maturitu nebo vysokoškolské vzdělání </w:t>
      </w:r>
      <w:r>
        <w:rPr>
          <w:b/>
        </w:rPr>
        <w:t>(</w:t>
      </w:r>
      <w:r>
        <w:rPr>
          <w:b/>
          <w:lang w:val="cs-CZ"/>
        </w:rPr>
        <w:t>CZ-ISCO</w:t>
      </w:r>
      <w:r>
        <w:rPr>
          <w:b/>
        </w:rPr>
        <w:t> </w:t>
      </w:r>
      <w:r>
        <w:rPr>
          <w:b/>
          <w:lang w:val="cs-CZ"/>
        </w:rPr>
        <w:t xml:space="preserve">hlavní třída </w:t>
      </w:r>
      <w:r>
        <w:rPr>
          <w:b/>
        </w:rPr>
        <w:t>1 - 4)</w:t>
      </w:r>
      <w:r>
        <w:rPr>
          <w:b/>
          <w:lang w:val="cs-CZ"/>
        </w:rPr>
        <w:t xml:space="preserve"> </w:t>
      </w:r>
      <w:r>
        <w:rPr>
          <w:lang w:val="cs-CZ"/>
        </w:rPr>
        <w:t>činil</w:t>
      </w:r>
      <w:r>
        <w:rPr>
          <w:b/>
          <w:lang w:val="cs-CZ"/>
        </w:rPr>
        <w:t xml:space="preserve"> </w:t>
      </w:r>
      <w:r>
        <w:rPr>
          <w:b/>
          <w:bCs/>
          <w:szCs w:val="23"/>
        </w:rPr>
        <w:t>3</w:t>
      </w:r>
      <w:r>
        <w:rPr>
          <w:b/>
          <w:bCs/>
          <w:szCs w:val="23"/>
          <w:lang w:val="cs-CZ"/>
        </w:rPr>
        <w:t>1</w:t>
      </w:r>
      <w:r>
        <w:rPr>
          <w:b/>
          <w:bCs/>
          <w:szCs w:val="23"/>
        </w:rPr>
        <w:t>,</w:t>
      </w:r>
      <w:r>
        <w:rPr>
          <w:b/>
          <w:bCs/>
          <w:szCs w:val="23"/>
          <w:lang w:val="cs-CZ"/>
        </w:rPr>
        <w:t>8</w:t>
      </w:r>
      <w:r>
        <w:rPr>
          <w:b/>
          <w:bCs/>
          <w:szCs w:val="23"/>
        </w:rPr>
        <w:t> %</w:t>
      </w:r>
      <w:r>
        <w:rPr>
          <w:b/>
          <w:bCs/>
          <w:szCs w:val="23"/>
          <w:lang w:val="cs-CZ"/>
        </w:rPr>
        <w:t xml:space="preserve"> </w:t>
      </w:r>
      <w:r>
        <w:rPr>
          <w:bCs/>
          <w:szCs w:val="23"/>
          <w:lang w:val="cs-CZ"/>
        </w:rPr>
        <w:t>z celkového počtu volných míst hlášených na ÚP</w:t>
      </w:r>
      <w:r w:rsidR="004F7079">
        <w:rPr>
          <w:bCs/>
          <w:szCs w:val="23"/>
          <w:lang w:val="cs-CZ"/>
        </w:rPr>
        <w:t> ČR</w:t>
      </w:r>
      <w:r>
        <w:rPr>
          <w:bCs/>
          <w:szCs w:val="23"/>
        </w:rPr>
        <w:t xml:space="preserve">. </w:t>
      </w:r>
      <w:r w:rsidRPr="00C94243">
        <w:rPr>
          <w:bCs/>
          <w:szCs w:val="23"/>
          <w:lang w:val="cs-CZ"/>
        </w:rPr>
        <w:t xml:space="preserve">Nejvýznamnější podíl v rámci těchto tříd </w:t>
      </w:r>
      <w:r w:rsidRPr="00C94243">
        <w:rPr>
          <w:bCs/>
          <w:szCs w:val="23"/>
        </w:rPr>
        <w:t xml:space="preserve">byl zaznamenán u míst </w:t>
      </w:r>
      <w:r w:rsidRPr="00C94243">
        <w:rPr>
          <w:bCs/>
          <w:szCs w:val="23"/>
          <w:lang w:val="cs-CZ"/>
        </w:rPr>
        <w:t>pro o</w:t>
      </w:r>
      <w:proofErr w:type="spellStart"/>
      <w:r w:rsidRPr="00C94243">
        <w:rPr>
          <w:bCs/>
          <w:szCs w:val="23"/>
        </w:rPr>
        <w:t>dborn</w:t>
      </w:r>
      <w:r w:rsidRPr="00C94243">
        <w:rPr>
          <w:bCs/>
          <w:szCs w:val="23"/>
          <w:lang w:val="cs-CZ"/>
        </w:rPr>
        <w:t>é</w:t>
      </w:r>
      <w:proofErr w:type="spellEnd"/>
      <w:r w:rsidRPr="00C94243">
        <w:rPr>
          <w:bCs/>
          <w:szCs w:val="23"/>
        </w:rPr>
        <w:t xml:space="preserve"> pracovní</w:t>
      </w:r>
      <w:r w:rsidRPr="00C94243">
        <w:rPr>
          <w:bCs/>
          <w:szCs w:val="23"/>
          <w:lang w:val="cs-CZ"/>
        </w:rPr>
        <w:t>ky</w:t>
      </w:r>
      <w:r w:rsidRPr="00C94243">
        <w:rPr>
          <w:bCs/>
          <w:szCs w:val="23"/>
        </w:rPr>
        <w:t xml:space="preserve"> v oblasti pojišťovnictví, obchodní zástupc</w:t>
      </w:r>
      <w:r w:rsidRPr="00C94243">
        <w:rPr>
          <w:bCs/>
          <w:szCs w:val="23"/>
          <w:lang w:val="cs-CZ"/>
        </w:rPr>
        <w:t>e</w:t>
      </w:r>
      <w:r w:rsidRPr="00C94243">
        <w:rPr>
          <w:bCs/>
          <w:szCs w:val="23"/>
        </w:rPr>
        <w:t>, nákupčí a obchodní makléř</w:t>
      </w:r>
      <w:r w:rsidRPr="00C94243">
        <w:rPr>
          <w:bCs/>
          <w:szCs w:val="23"/>
          <w:lang w:val="cs-CZ"/>
        </w:rPr>
        <w:t xml:space="preserve">e, pracovníky informačních služeb, techniky ve fyzikálních a průmyslových oborech, specialisty v oblasti financí, zprostředkovatele služeb, všeobecné administrativní pracovníky. </w:t>
      </w:r>
    </w:p>
    <w:p w:rsidR="00730AC8" w:rsidRPr="003D7BD4" w:rsidRDefault="00730AC8" w:rsidP="00730AC8">
      <w:pPr>
        <w:pStyle w:val="Zkladntextodsazen"/>
        <w:ind w:firstLine="539"/>
        <w:rPr>
          <w:bCs/>
          <w:szCs w:val="23"/>
        </w:rPr>
      </w:pPr>
      <w:r>
        <w:rPr>
          <w:bCs/>
          <w:szCs w:val="23"/>
          <w:lang w:val="cs-CZ"/>
        </w:rPr>
        <w:t>M</w:t>
      </w:r>
      <w:proofErr w:type="spellStart"/>
      <w:r>
        <w:rPr>
          <w:bCs/>
          <w:szCs w:val="23"/>
        </w:rPr>
        <w:t>ísta</w:t>
      </w:r>
      <w:proofErr w:type="spellEnd"/>
      <w:r>
        <w:rPr>
          <w:bCs/>
          <w:szCs w:val="23"/>
        </w:rPr>
        <w:t xml:space="preserve"> určená pro </w:t>
      </w:r>
      <w:r w:rsidRPr="0022104B">
        <w:rPr>
          <w:bCs/>
          <w:szCs w:val="23"/>
        </w:rPr>
        <w:t xml:space="preserve">kvalifikované </w:t>
      </w:r>
      <w:r w:rsidRPr="0022104B">
        <w:rPr>
          <w:bCs/>
          <w:szCs w:val="23"/>
          <w:lang w:val="cs-CZ"/>
        </w:rPr>
        <w:t>pracovníky</w:t>
      </w:r>
      <w:r>
        <w:rPr>
          <w:bCs/>
          <w:szCs w:val="23"/>
          <w:lang w:val="cs-CZ"/>
        </w:rPr>
        <w:t xml:space="preserve"> v zemědělství, lesnictví a rybářství, pro řemeslníky,</w:t>
      </w:r>
      <w:r>
        <w:rPr>
          <w:bCs/>
          <w:szCs w:val="23"/>
        </w:rPr>
        <w:t xml:space="preserve"> opraváře, obsluhu strojů a zařízení </w:t>
      </w:r>
      <w:r>
        <w:rPr>
          <w:b/>
          <w:bCs/>
          <w:szCs w:val="23"/>
        </w:rPr>
        <w:t>(</w:t>
      </w:r>
      <w:r>
        <w:rPr>
          <w:b/>
          <w:bCs/>
          <w:szCs w:val="23"/>
          <w:lang w:val="cs-CZ"/>
        </w:rPr>
        <w:t>CZ-ISCO</w:t>
      </w:r>
      <w:r>
        <w:rPr>
          <w:b/>
          <w:bCs/>
          <w:szCs w:val="23"/>
        </w:rPr>
        <w:t xml:space="preserve"> </w:t>
      </w:r>
      <w:r>
        <w:rPr>
          <w:b/>
          <w:lang w:val="cs-CZ"/>
        </w:rPr>
        <w:t xml:space="preserve">hlavní třída </w:t>
      </w:r>
      <w:r>
        <w:rPr>
          <w:b/>
          <w:bCs/>
          <w:szCs w:val="23"/>
        </w:rPr>
        <w:t>6</w:t>
      </w:r>
      <w:r>
        <w:rPr>
          <w:b/>
          <w:bCs/>
          <w:szCs w:val="23"/>
          <w:lang w:val="cs-CZ"/>
        </w:rPr>
        <w:t> </w:t>
      </w:r>
      <w:r>
        <w:rPr>
          <w:b/>
          <w:bCs/>
          <w:szCs w:val="23"/>
        </w:rPr>
        <w:t>- 8)</w:t>
      </w:r>
      <w:r>
        <w:rPr>
          <w:b/>
          <w:bCs/>
          <w:szCs w:val="23"/>
          <w:lang w:val="cs-CZ"/>
        </w:rPr>
        <w:t xml:space="preserve"> představovala </w:t>
      </w:r>
      <w:r w:rsidRPr="00951BC8">
        <w:rPr>
          <w:bCs/>
          <w:szCs w:val="23"/>
        </w:rPr>
        <w:t xml:space="preserve">v nabídce </w:t>
      </w:r>
      <w:r>
        <w:rPr>
          <w:bCs/>
          <w:szCs w:val="23"/>
          <w:lang w:val="cs-CZ"/>
        </w:rPr>
        <w:t xml:space="preserve">nahlášených </w:t>
      </w:r>
      <w:r>
        <w:rPr>
          <w:bCs/>
          <w:szCs w:val="23"/>
        </w:rPr>
        <w:t xml:space="preserve">volných míst </w:t>
      </w:r>
      <w:r w:rsidRPr="00951BC8">
        <w:rPr>
          <w:b/>
          <w:bCs/>
          <w:szCs w:val="23"/>
        </w:rPr>
        <w:t>podíl</w:t>
      </w:r>
      <w:r w:rsidRPr="00951BC8">
        <w:rPr>
          <w:bCs/>
          <w:szCs w:val="23"/>
        </w:rPr>
        <w:t xml:space="preserve"> </w:t>
      </w:r>
      <w:r>
        <w:rPr>
          <w:b/>
          <w:bCs/>
          <w:szCs w:val="23"/>
          <w:lang w:val="cs-CZ"/>
        </w:rPr>
        <w:t>27</w:t>
      </w:r>
      <w:r w:rsidRPr="00951BC8">
        <w:rPr>
          <w:b/>
          <w:bCs/>
          <w:szCs w:val="23"/>
          <w:lang w:val="cs-CZ"/>
        </w:rPr>
        <w:t>,</w:t>
      </w:r>
      <w:r>
        <w:rPr>
          <w:b/>
          <w:bCs/>
          <w:szCs w:val="23"/>
          <w:lang w:val="cs-CZ"/>
        </w:rPr>
        <w:t>4 %.</w:t>
      </w:r>
      <w:r>
        <w:rPr>
          <w:b/>
          <w:bCs/>
          <w:szCs w:val="23"/>
        </w:rPr>
        <w:t xml:space="preserve"> </w:t>
      </w:r>
      <w:r w:rsidRPr="003D7BD4">
        <w:rPr>
          <w:bCs/>
          <w:szCs w:val="23"/>
        </w:rPr>
        <w:t xml:space="preserve">Jednalo se zejména </w:t>
      </w:r>
      <w:r w:rsidRPr="003D7BD4">
        <w:rPr>
          <w:bCs/>
          <w:szCs w:val="23"/>
          <w:lang w:val="cs-CZ"/>
        </w:rPr>
        <w:t xml:space="preserve">o </w:t>
      </w:r>
      <w:r w:rsidRPr="003D7BD4">
        <w:rPr>
          <w:bCs/>
          <w:szCs w:val="23"/>
        </w:rPr>
        <w:t xml:space="preserve">volná místa pro </w:t>
      </w:r>
      <w:r w:rsidRPr="003D7BD4">
        <w:rPr>
          <w:bCs/>
          <w:szCs w:val="23"/>
          <w:lang w:val="cs-CZ"/>
        </w:rPr>
        <w:t xml:space="preserve">kováře, </w:t>
      </w:r>
      <w:r w:rsidRPr="003D7BD4">
        <w:rPr>
          <w:bCs/>
          <w:szCs w:val="23"/>
        </w:rPr>
        <w:t>nástrojaře</w:t>
      </w:r>
      <w:r w:rsidRPr="003D7BD4">
        <w:rPr>
          <w:bCs/>
          <w:szCs w:val="23"/>
          <w:lang w:val="cs-CZ"/>
        </w:rPr>
        <w:t xml:space="preserve">, slévače, svářeče, řidiče nákladních automobilů, autobusů a tramvají, kvalifikované pracovníky hlavní stavební výroby, montážní dělníky výrobků a zařízení. </w:t>
      </w:r>
    </w:p>
    <w:p w:rsidR="00730AC8" w:rsidRPr="003D7BD4" w:rsidRDefault="00730AC8" w:rsidP="00730AC8">
      <w:pPr>
        <w:pStyle w:val="Zkladntextodsazen"/>
        <w:ind w:firstLine="539"/>
        <w:rPr>
          <w:bCs/>
          <w:szCs w:val="23"/>
        </w:rPr>
      </w:pPr>
      <w:r>
        <w:rPr>
          <w:bCs/>
          <w:szCs w:val="23"/>
          <w:lang w:val="cs-CZ"/>
        </w:rPr>
        <w:t>Místa</w:t>
      </w:r>
      <w:r>
        <w:rPr>
          <w:bCs/>
          <w:szCs w:val="23"/>
        </w:rPr>
        <w:t xml:space="preserve"> pro </w:t>
      </w:r>
      <w:r>
        <w:rPr>
          <w:b/>
          <w:bCs/>
          <w:szCs w:val="23"/>
        </w:rPr>
        <w:t>pracovníky ve službách a </w:t>
      </w:r>
      <w:r>
        <w:rPr>
          <w:b/>
          <w:bCs/>
          <w:szCs w:val="23"/>
          <w:lang w:val="cs-CZ"/>
        </w:rPr>
        <w:t>prodeji</w:t>
      </w:r>
      <w:r>
        <w:rPr>
          <w:bCs/>
          <w:szCs w:val="23"/>
        </w:rPr>
        <w:t xml:space="preserve"> </w:t>
      </w:r>
      <w:r>
        <w:rPr>
          <w:b/>
          <w:bCs/>
          <w:szCs w:val="23"/>
        </w:rPr>
        <w:t>(</w:t>
      </w:r>
      <w:r>
        <w:rPr>
          <w:b/>
          <w:bCs/>
          <w:szCs w:val="23"/>
          <w:lang w:val="cs-CZ"/>
        </w:rPr>
        <w:t>CZ-ISCO </w:t>
      </w:r>
      <w:r>
        <w:rPr>
          <w:b/>
          <w:bCs/>
          <w:szCs w:val="23"/>
        </w:rPr>
        <w:t>5)</w:t>
      </w:r>
      <w:r>
        <w:rPr>
          <w:bCs/>
          <w:szCs w:val="23"/>
        </w:rPr>
        <w:t xml:space="preserve"> </w:t>
      </w:r>
      <w:r>
        <w:rPr>
          <w:bCs/>
          <w:szCs w:val="23"/>
          <w:lang w:val="cs-CZ"/>
        </w:rPr>
        <w:t xml:space="preserve">se podílela na celkovém počtu volných míst </w:t>
      </w:r>
      <w:r>
        <w:rPr>
          <w:b/>
          <w:bCs/>
          <w:szCs w:val="23"/>
          <w:lang w:val="cs-CZ"/>
        </w:rPr>
        <w:t>15</w:t>
      </w:r>
      <w:r>
        <w:rPr>
          <w:b/>
          <w:bCs/>
          <w:szCs w:val="23"/>
        </w:rPr>
        <w:t>,</w:t>
      </w:r>
      <w:r>
        <w:rPr>
          <w:b/>
          <w:bCs/>
          <w:szCs w:val="23"/>
          <w:lang w:val="cs-CZ"/>
        </w:rPr>
        <w:t>3</w:t>
      </w:r>
      <w:r>
        <w:rPr>
          <w:b/>
          <w:bCs/>
          <w:szCs w:val="23"/>
        </w:rPr>
        <w:t> %</w:t>
      </w:r>
      <w:r>
        <w:rPr>
          <w:b/>
          <w:bCs/>
          <w:szCs w:val="23"/>
          <w:lang w:val="cs-CZ"/>
        </w:rPr>
        <w:t xml:space="preserve"> </w:t>
      </w:r>
      <w:r w:rsidRPr="00C94243">
        <w:rPr>
          <w:bCs/>
          <w:szCs w:val="23"/>
          <w:lang w:val="cs-CZ"/>
        </w:rPr>
        <w:t>(zejména šlo o místa pro pracovníky v oblasti ochrany a ostrahy, kuchaře a pomocné kuchaře, pro číšníky, servírky a barmany, prodavače a příbuzné pracovníky v prodejnách)</w:t>
      </w:r>
      <w:r>
        <w:rPr>
          <w:bCs/>
          <w:szCs w:val="23"/>
          <w:lang w:val="cs-CZ"/>
        </w:rPr>
        <w:t>. U volných</w:t>
      </w:r>
      <w:r>
        <w:rPr>
          <w:b/>
          <w:bCs/>
          <w:szCs w:val="23"/>
          <w:lang w:val="cs-CZ"/>
        </w:rPr>
        <w:t xml:space="preserve"> </w:t>
      </w:r>
      <w:r>
        <w:t xml:space="preserve">míst </w:t>
      </w:r>
      <w:r>
        <w:rPr>
          <w:bCs/>
          <w:szCs w:val="23"/>
        </w:rPr>
        <w:t>pro</w:t>
      </w:r>
      <w:r>
        <w:rPr>
          <w:b/>
          <w:bCs/>
          <w:szCs w:val="23"/>
        </w:rPr>
        <w:t xml:space="preserve"> pomocné a nekvalifikované </w:t>
      </w:r>
      <w:r>
        <w:rPr>
          <w:b/>
          <w:bCs/>
          <w:szCs w:val="23"/>
          <w:lang w:val="cs-CZ"/>
        </w:rPr>
        <w:t>pracovníky</w:t>
      </w:r>
      <w:r>
        <w:rPr>
          <w:bCs/>
          <w:szCs w:val="23"/>
        </w:rPr>
        <w:t xml:space="preserve"> </w:t>
      </w:r>
      <w:r>
        <w:rPr>
          <w:b/>
          <w:bCs/>
          <w:szCs w:val="23"/>
        </w:rPr>
        <w:t>(</w:t>
      </w:r>
      <w:r>
        <w:rPr>
          <w:b/>
          <w:bCs/>
          <w:szCs w:val="23"/>
          <w:lang w:val="cs-CZ"/>
        </w:rPr>
        <w:t>CZ-ISCO 9</w:t>
      </w:r>
      <w:r>
        <w:rPr>
          <w:b/>
          <w:bCs/>
          <w:szCs w:val="23"/>
        </w:rPr>
        <w:t xml:space="preserve">) </w:t>
      </w:r>
      <w:r>
        <w:rPr>
          <w:bCs/>
          <w:szCs w:val="23"/>
          <w:lang w:val="cs-CZ"/>
        </w:rPr>
        <w:t>tento podíl činil</w:t>
      </w:r>
      <w:r>
        <w:rPr>
          <w:b/>
          <w:bCs/>
          <w:szCs w:val="23"/>
          <w:lang w:val="cs-CZ"/>
        </w:rPr>
        <w:t xml:space="preserve"> 25</w:t>
      </w:r>
      <w:r>
        <w:rPr>
          <w:b/>
          <w:bCs/>
          <w:szCs w:val="23"/>
        </w:rPr>
        <w:t>,</w:t>
      </w:r>
      <w:r>
        <w:rPr>
          <w:b/>
          <w:bCs/>
          <w:szCs w:val="23"/>
          <w:lang w:val="cs-CZ"/>
        </w:rPr>
        <w:t>5</w:t>
      </w:r>
      <w:r>
        <w:rPr>
          <w:b/>
          <w:bCs/>
          <w:szCs w:val="23"/>
        </w:rPr>
        <w:t> %</w:t>
      </w:r>
      <w:r>
        <w:rPr>
          <w:b/>
          <w:bCs/>
          <w:szCs w:val="23"/>
          <w:lang w:val="cs-CZ"/>
        </w:rPr>
        <w:t xml:space="preserve"> </w:t>
      </w:r>
      <w:r w:rsidRPr="003D7BD4">
        <w:rPr>
          <w:bCs/>
          <w:szCs w:val="23"/>
          <w:lang w:val="cs-CZ"/>
        </w:rPr>
        <w:t>(pře</w:t>
      </w:r>
      <w:r>
        <w:rPr>
          <w:bCs/>
          <w:szCs w:val="23"/>
          <w:lang w:val="cs-CZ"/>
        </w:rPr>
        <w:t xml:space="preserve">važovala místa </w:t>
      </w:r>
      <w:r w:rsidRPr="003D7BD4">
        <w:rPr>
          <w:bCs/>
          <w:szCs w:val="23"/>
          <w:lang w:val="cs-CZ"/>
        </w:rPr>
        <w:t>pro p</w:t>
      </w:r>
      <w:proofErr w:type="spellStart"/>
      <w:r w:rsidRPr="003D7BD4">
        <w:rPr>
          <w:bCs/>
          <w:szCs w:val="23"/>
        </w:rPr>
        <w:t>omocn</w:t>
      </w:r>
      <w:r w:rsidRPr="003D7BD4">
        <w:rPr>
          <w:bCs/>
          <w:szCs w:val="23"/>
          <w:lang w:val="cs-CZ"/>
        </w:rPr>
        <w:t>é</w:t>
      </w:r>
      <w:proofErr w:type="spellEnd"/>
      <w:r w:rsidRPr="003D7BD4">
        <w:rPr>
          <w:bCs/>
          <w:szCs w:val="23"/>
        </w:rPr>
        <w:t xml:space="preserve"> pracovní</w:t>
      </w:r>
      <w:r w:rsidRPr="003D7BD4">
        <w:rPr>
          <w:bCs/>
          <w:szCs w:val="23"/>
          <w:lang w:val="cs-CZ"/>
        </w:rPr>
        <w:t>ky</w:t>
      </w:r>
      <w:r w:rsidRPr="003D7BD4">
        <w:rPr>
          <w:bCs/>
          <w:szCs w:val="23"/>
        </w:rPr>
        <w:t xml:space="preserve"> v oblasti těžby</w:t>
      </w:r>
      <w:r w:rsidRPr="003D7BD4">
        <w:rPr>
          <w:bCs/>
          <w:szCs w:val="23"/>
          <w:lang w:val="cs-CZ"/>
        </w:rPr>
        <w:t xml:space="preserve"> a</w:t>
      </w:r>
      <w:r w:rsidRPr="003D7BD4">
        <w:rPr>
          <w:bCs/>
          <w:szCs w:val="23"/>
        </w:rPr>
        <w:t xml:space="preserve"> stavebnictví</w:t>
      </w:r>
      <w:r w:rsidRPr="003D7BD4">
        <w:rPr>
          <w:bCs/>
          <w:szCs w:val="23"/>
          <w:lang w:val="cs-CZ"/>
        </w:rPr>
        <w:t xml:space="preserve">, ve výrobě, pracovníky </w:t>
      </w:r>
      <w:r w:rsidRPr="003D7BD4">
        <w:rPr>
          <w:bCs/>
          <w:szCs w:val="23"/>
          <w:lang w:val="cs-CZ"/>
        </w:rPr>
        <w:lastRenderedPageBreak/>
        <w:t>s odpady, uklízeče a pomocníky v domácnostech, kancelářích, hotelích, průmyslových a jiných objektech)</w:t>
      </w:r>
      <w:r w:rsidRPr="003D7BD4">
        <w:rPr>
          <w:bCs/>
          <w:szCs w:val="23"/>
        </w:rPr>
        <w:t>.</w:t>
      </w:r>
    </w:p>
    <w:p w:rsidR="00730AC8" w:rsidRDefault="00730AC8" w:rsidP="00D30183">
      <w:pPr>
        <w:pStyle w:val="Zkladntext"/>
        <w:spacing w:line="360" w:lineRule="auto"/>
        <w:ind w:firstLine="567"/>
        <w:rPr>
          <w:bCs/>
          <w:szCs w:val="23"/>
          <w:lang w:val="cs-CZ"/>
        </w:rPr>
      </w:pPr>
      <w:r>
        <w:rPr>
          <w:bCs/>
          <w:szCs w:val="23"/>
          <w:lang w:val="cs-CZ"/>
        </w:rPr>
        <w:t>Meziročně výrazněji vzrostl (podobně jako před rokem) podíl volných míst v nejpočetnější třídě 9 - </w:t>
      </w:r>
      <w:r>
        <w:rPr>
          <w:b/>
          <w:bCs/>
          <w:szCs w:val="23"/>
        </w:rPr>
        <w:t>pomocn</w:t>
      </w:r>
      <w:r>
        <w:rPr>
          <w:b/>
          <w:bCs/>
          <w:szCs w:val="23"/>
          <w:lang w:val="cs-CZ"/>
        </w:rPr>
        <w:t>í</w:t>
      </w:r>
      <w:r>
        <w:rPr>
          <w:b/>
          <w:bCs/>
          <w:szCs w:val="23"/>
        </w:rPr>
        <w:t xml:space="preserve"> a nekvalifikovan</w:t>
      </w:r>
      <w:r>
        <w:rPr>
          <w:b/>
          <w:bCs/>
          <w:szCs w:val="23"/>
          <w:lang w:val="cs-CZ"/>
        </w:rPr>
        <w:t>í</w:t>
      </w:r>
      <w:r>
        <w:rPr>
          <w:b/>
          <w:bCs/>
          <w:szCs w:val="23"/>
        </w:rPr>
        <w:t xml:space="preserve"> </w:t>
      </w:r>
      <w:r>
        <w:rPr>
          <w:b/>
          <w:bCs/>
          <w:szCs w:val="23"/>
          <w:lang w:val="cs-CZ"/>
        </w:rPr>
        <w:t>pracovní</w:t>
      </w:r>
      <w:r w:rsidR="00553EC3">
        <w:rPr>
          <w:b/>
          <w:bCs/>
          <w:szCs w:val="23"/>
          <w:lang w:val="cs-CZ"/>
        </w:rPr>
        <w:t>ci</w:t>
      </w:r>
      <w:r>
        <w:rPr>
          <w:bCs/>
          <w:szCs w:val="23"/>
          <w:lang w:val="cs-CZ"/>
        </w:rPr>
        <w:t xml:space="preserve"> (o 4,3 p. b.) a ve třídě 5 -  </w:t>
      </w:r>
      <w:r>
        <w:rPr>
          <w:b/>
          <w:bCs/>
          <w:szCs w:val="23"/>
        </w:rPr>
        <w:t>pracovní</w:t>
      </w:r>
      <w:r>
        <w:rPr>
          <w:b/>
          <w:bCs/>
          <w:szCs w:val="23"/>
          <w:lang w:val="cs-CZ"/>
        </w:rPr>
        <w:t>ci</w:t>
      </w:r>
      <w:r>
        <w:rPr>
          <w:b/>
          <w:bCs/>
          <w:szCs w:val="23"/>
        </w:rPr>
        <w:t xml:space="preserve"> ve službách a </w:t>
      </w:r>
      <w:r>
        <w:rPr>
          <w:b/>
          <w:bCs/>
          <w:szCs w:val="23"/>
          <w:lang w:val="cs-CZ"/>
        </w:rPr>
        <w:t xml:space="preserve">prodeji </w:t>
      </w:r>
      <w:r>
        <w:rPr>
          <w:bCs/>
          <w:szCs w:val="23"/>
          <w:lang w:val="cs-CZ"/>
        </w:rPr>
        <w:t xml:space="preserve">(o 2,3 p. b.). </w:t>
      </w:r>
    </w:p>
    <w:p w:rsidR="00730AC8" w:rsidRPr="00053D6C" w:rsidRDefault="00730AC8" w:rsidP="00D30183">
      <w:pPr>
        <w:pStyle w:val="Zkladntext"/>
        <w:spacing w:line="360" w:lineRule="auto"/>
        <w:ind w:firstLine="567"/>
        <w:rPr>
          <w:bCs/>
          <w:szCs w:val="23"/>
        </w:rPr>
      </w:pPr>
      <w:r>
        <w:rPr>
          <w:bCs/>
          <w:szCs w:val="23"/>
          <w:lang w:val="cs-CZ"/>
        </w:rPr>
        <w:t xml:space="preserve">Změna struktury volných míst </w:t>
      </w:r>
      <w:r w:rsidR="00075665">
        <w:rPr>
          <w:bCs/>
          <w:szCs w:val="23"/>
          <w:lang w:val="cs-CZ"/>
        </w:rPr>
        <w:t>spolu s mírným nárůstem</w:t>
      </w:r>
      <w:r>
        <w:rPr>
          <w:bCs/>
          <w:szCs w:val="23"/>
          <w:lang w:val="cs-CZ"/>
        </w:rPr>
        <w:t xml:space="preserve"> počtu hlášených volných míst může souviset s tím, že na ÚP</w:t>
      </w:r>
      <w:r w:rsidR="004F7079">
        <w:rPr>
          <w:bCs/>
          <w:szCs w:val="23"/>
          <w:lang w:val="cs-CZ"/>
        </w:rPr>
        <w:t> ČR</w:t>
      </w:r>
      <w:r>
        <w:rPr>
          <w:bCs/>
          <w:szCs w:val="23"/>
          <w:lang w:val="cs-CZ"/>
        </w:rPr>
        <w:t xml:space="preserve"> po zrušení povinnosti hlásit volná pracovní místa </w:t>
      </w:r>
      <w:r w:rsidRPr="00C22293">
        <w:rPr>
          <w:rFonts w:cs="Arial"/>
          <w:color w:val="auto"/>
          <w:lang w:val="cs-CZ"/>
        </w:rPr>
        <w:t>od 1. 1. 2012 zaměstnavatelé hlásí volná pracovní místa</w:t>
      </w:r>
      <w:r>
        <w:rPr>
          <w:rFonts w:cs="Arial"/>
          <w:color w:val="auto"/>
          <w:lang w:val="cs-CZ"/>
        </w:rPr>
        <w:t xml:space="preserve">, na která se </w:t>
      </w:r>
      <w:r w:rsidRPr="00C22293">
        <w:rPr>
          <w:rFonts w:cs="Arial"/>
          <w:color w:val="auto"/>
          <w:lang w:val="cs-CZ"/>
        </w:rPr>
        <w:t xml:space="preserve">hůře </w:t>
      </w:r>
      <w:r>
        <w:rPr>
          <w:rFonts w:cs="Arial"/>
          <w:color w:val="auto"/>
          <w:lang w:val="cs-CZ"/>
        </w:rPr>
        <w:t>získávají zaměstnanci</w:t>
      </w:r>
      <w:r w:rsidR="0028367C">
        <w:rPr>
          <w:rFonts w:cs="Arial"/>
          <w:color w:val="auto"/>
          <w:lang w:val="cs-CZ"/>
        </w:rPr>
        <w:t>,</w:t>
      </w:r>
      <w:r w:rsidRPr="00C22293">
        <w:rPr>
          <w:rFonts w:cs="Arial"/>
          <w:color w:val="auto"/>
          <w:lang w:val="cs-CZ"/>
        </w:rPr>
        <w:t xml:space="preserve"> nebo</w:t>
      </w:r>
      <w:r w:rsidRPr="00C22293">
        <w:rPr>
          <w:bCs/>
          <w:color w:val="auto"/>
          <w:szCs w:val="23"/>
          <w:lang w:val="cs-CZ"/>
        </w:rPr>
        <w:t xml:space="preserve"> vyžadující </w:t>
      </w:r>
      <w:r>
        <w:rPr>
          <w:bCs/>
          <w:szCs w:val="23"/>
          <w:lang w:val="cs-CZ"/>
        </w:rPr>
        <w:t>spíše nižší kvalifikaci a nábor kvalifikovaných zaměstnanců přenechávají personálním agenturám.</w:t>
      </w:r>
    </w:p>
    <w:p w:rsidR="00730AC8" w:rsidRPr="00145A9B" w:rsidRDefault="00730AC8" w:rsidP="00730AC8">
      <w:pPr>
        <w:tabs>
          <w:tab w:val="left" w:pos="720"/>
        </w:tabs>
        <w:spacing w:line="360" w:lineRule="auto"/>
        <w:jc w:val="center"/>
        <w:rPr>
          <w:rFonts w:ascii="Arial" w:hAnsi="Arial"/>
          <w:b/>
          <w:color w:val="00B0F0"/>
        </w:rPr>
      </w:pPr>
    </w:p>
    <w:p w:rsidR="00730AC8" w:rsidRPr="000560D3" w:rsidRDefault="00730AC8" w:rsidP="00730AC8">
      <w:pPr>
        <w:pStyle w:val="Styl5"/>
        <w:numPr>
          <w:ilvl w:val="0"/>
          <w:numId w:val="12"/>
        </w:numPr>
        <w:tabs>
          <w:tab w:val="clear" w:pos="720"/>
          <w:tab w:val="center" w:pos="900"/>
        </w:tabs>
        <w:spacing w:line="480" w:lineRule="auto"/>
        <w:ind w:hanging="2442"/>
        <w:rPr>
          <w:color w:val="auto"/>
        </w:rPr>
      </w:pPr>
      <w:bookmarkStart w:id="113" w:name="_Toc179787908"/>
      <w:bookmarkStart w:id="114" w:name="_Toc211067156"/>
      <w:bookmarkStart w:id="115" w:name="_Toc258997894"/>
      <w:bookmarkStart w:id="116" w:name="_Toc274310696"/>
      <w:bookmarkStart w:id="117" w:name="_Toc306357400"/>
      <w:bookmarkStart w:id="118" w:name="_Toc337125228"/>
      <w:bookmarkStart w:id="119" w:name="_Toc372530192"/>
      <w:r w:rsidRPr="000560D3">
        <w:rPr>
          <w:color w:val="auto"/>
        </w:rPr>
        <w:t>Toky nezaměstnanosti</w:t>
      </w:r>
      <w:bookmarkEnd w:id="113"/>
      <w:bookmarkEnd w:id="114"/>
      <w:bookmarkEnd w:id="115"/>
      <w:bookmarkEnd w:id="116"/>
      <w:bookmarkEnd w:id="117"/>
      <w:bookmarkEnd w:id="118"/>
      <w:bookmarkEnd w:id="119"/>
    </w:p>
    <w:p w:rsidR="00730AC8" w:rsidRDefault="00730AC8" w:rsidP="00D30183">
      <w:pPr>
        <w:pStyle w:val="Zkladntext"/>
        <w:spacing w:line="360" w:lineRule="auto"/>
        <w:ind w:firstLine="567"/>
        <w:rPr>
          <w:color w:val="auto"/>
        </w:rPr>
      </w:pPr>
      <w:r>
        <w:rPr>
          <w:color w:val="auto"/>
        </w:rPr>
        <w:t>Vývoj přírůstků a úbytků počtu uchazečů o zaměstnání v evidenci ÚP</w:t>
      </w:r>
      <w:r w:rsidR="004F7079">
        <w:rPr>
          <w:color w:val="auto"/>
          <w:lang w:val="cs-CZ"/>
        </w:rPr>
        <w:t> ČR</w:t>
      </w:r>
      <w:r>
        <w:rPr>
          <w:color w:val="auto"/>
        </w:rPr>
        <w:t xml:space="preserve"> v období 200</w:t>
      </w:r>
      <w:r>
        <w:rPr>
          <w:color w:val="auto"/>
          <w:lang w:val="cs-CZ"/>
        </w:rPr>
        <w:t>8</w:t>
      </w:r>
      <w:r>
        <w:rPr>
          <w:color w:val="auto"/>
        </w:rPr>
        <w:t> – </w:t>
      </w:r>
      <w:r>
        <w:rPr>
          <w:color w:val="auto"/>
          <w:lang w:val="cs-CZ"/>
        </w:rPr>
        <w:t xml:space="preserve">1. pololetí </w:t>
      </w:r>
      <w:r>
        <w:rPr>
          <w:color w:val="auto"/>
        </w:rPr>
        <w:t>201</w:t>
      </w:r>
      <w:r>
        <w:rPr>
          <w:color w:val="auto"/>
          <w:lang w:val="cs-CZ"/>
        </w:rPr>
        <w:t>3</w:t>
      </w:r>
      <w:r>
        <w:rPr>
          <w:color w:val="auto"/>
        </w:rPr>
        <w:t xml:space="preserve"> znázorňuje následující graf.</w:t>
      </w:r>
    </w:p>
    <w:p w:rsidR="00730AC8" w:rsidRPr="009B0D99" w:rsidRDefault="00730AC8" w:rsidP="00730AC8">
      <w:pPr>
        <w:pStyle w:val="Zkladntext"/>
        <w:ind w:firstLine="720"/>
        <w:jc w:val="right"/>
        <w:rPr>
          <w:color w:val="auto"/>
          <w:sz w:val="20"/>
          <w:szCs w:val="20"/>
        </w:rPr>
      </w:pPr>
      <w:r w:rsidRPr="00730AC8">
        <w:rPr>
          <w:color w:val="auto"/>
          <w:sz w:val="20"/>
          <w:szCs w:val="20"/>
        </w:rPr>
        <w:t xml:space="preserve">graf č. </w:t>
      </w:r>
      <w:r w:rsidRPr="00730AC8">
        <w:rPr>
          <w:color w:val="auto"/>
          <w:sz w:val="20"/>
          <w:szCs w:val="20"/>
          <w:lang w:val="cs-CZ"/>
        </w:rPr>
        <w:t>7</w:t>
      </w:r>
    </w:p>
    <w:p w:rsidR="00730AC8" w:rsidRDefault="00730AC8" w:rsidP="00730AC8">
      <w:pPr>
        <w:pStyle w:val="Zkladntext"/>
        <w:jc w:val="center"/>
        <w:rPr>
          <w:color w:val="00B0F0"/>
        </w:rPr>
      </w:pPr>
      <w:r>
        <w:rPr>
          <w:noProof/>
          <w:lang w:val="cs-CZ" w:eastAsia="cs-CZ"/>
        </w:rPr>
        <w:drawing>
          <wp:inline distT="0" distB="0" distL="0" distR="0" wp14:anchorId="73F221EE" wp14:editId="2B0C9A1A">
            <wp:extent cx="5238750" cy="3238500"/>
            <wp:effectExtent l="0" t="0" r="19050" b="19050"/>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730AC8" w:rsidRPr="00C77F3C" w:rsidRDefault="00730AC8" w:rsidP="00730AC8">
      <w:pPr>
        <w:pStyle w:val="Zkladntext"/>
        <w:jc w:val="center"/>
        <w:rPr>
          <w:color w:val="00B0F0"/>
        </w:rPr>
      </w:pPr>
    </w:p>
    <w:p w:rsidR="00730AC8" w:rsidRDefault="00730AC8" w:rsidP="00D30183">
      <w:pPr>
        <w:pStyle w:val="Zkladntext"/>
        <w:spacing w:line="360" w:lineRule="auto"/>
        <w:ind w:firstLine="567"/>
        <w:rPr>
          <w:color w:val="auto"/>
          <w:lang w:val="cs-CZ"/>
        </w:rPr>
      </w:pPr>
      <w:r>
        <w:rPr>
          <w:color w:val="auto"/>
        </w:rPr>
        <w:t xml:space="preserve">Do evidence úřadů práce </w:t>
      </w:r>
      <w:r w:rsidRPr="000E333B">
        <w:rPr>
          <w:b/>
          <w:color w:val="auto"/>
        </w:rPr>
        <w:t>se</w:t>
      </w:r>
      <w:r>
        <w:rPr>
          <w:color w:val="auto"/>
        </w:rPr>
        <w:t xml:space="preserve"> </w:t>
      </w:r>
      <w:r>
        <w:rPr>
          <w:b/>
          <w:color w:val="auto"/>
        </w:rPr>
        <w:t>v </w:t>
      </w:r>
      <w:r>
        <w:rPr>
          <w:b/>
          <w:color w:val="auto"/>
          <w:lang w:val="cs-CZ"/>
        </w:rPr>
        <w:t xml:space="preserve">1. pololetí </w:t>
      </w:r>
      <w:r>
        <w:rPr>
          <w:b/>
          <w:color w:val="auto"/>
        </w:rPr>
        <w:t>201</w:t>
      </w:r>
      <w:r>
        <w:rPr>
          <w:b/>
          <w:color w:val="auto"/>
          <w:lang w:val="cs-CZ"/>
        </w:rPr>
        <w:t>3</w:t>
      </w:r>
      <w:r>
        <w:rPr>
          <w:color w:val="auto"/>
        </w:rPr>
        <w:t xml:space="preserve"> </w:t>
      </w:r>
      <w:r>
        <w:rPr>
          <w:b/>
          <w:color w:val="auto"/>
        </w:rPr>
        <w:t>nově zaregistrovalo</w:t>
      </w:r>
      <w:r>
        <w:rPr>
          <w:color w:val="auto"/>
        </w:rPr>
        <w:t xml:space="preserve"> </w:t>
      </w:r>
      <w:r>
        <w:rPr>
          <w:b/>
          <w:color w:val="auto"/>
          <w:lang w:val="cs-CZ"/>
        </w:rPr>
        <w:t>297,8 </w:t>
      </w:r>
      <w:r>
        <w:rPr>
          <w:b/>
          <w:color w:val="auto"/>
        </w:rPr>
        <w:t>tis. osob</w:t>
      </w:r>
      <w:r>
        <w:rPr>
          <w:color w:val="auto"/>
        </w:rPr>
        <w:t>, tj. o </w:t>
      </w:r>
      <w:r>
        <w:rPr>
          <w:color w:val="auto"/>
          <w:lang w:val="cs-CZ"/>
        </w:rPr>
        <w:t>20</w:t>
      </w:r>
      <w:r>
        <w:rPr>
          <w:color w:val="auto"/>
        </w:rPr>
        <w:t>,</w:t>
      </w:r>
      <w:r>
        <w:rPr>
          <w:color w:val="auto"/>
          <w:lang w:val="cs-CZ"/>
        </w:rPr>
        <w:t>3</w:t>
      </w:r>
      <w:r>
        <w:rPr>
          <w:color w:val="auto"/>
        </w:rPr>
        <w:t> tis.</w:t>
      </w:r>
      <w:r>
        <w:rPr>
          <w:b/>
          <w:color w:val="auto"/>
        </w:rPr>
        <w:t xml:space="preserve"> </w:t>
      </w:r>
      <w:r>
        <w:rPr>
          <w:b/>
          <w:color w:val="auto"/>
          <w:lang w:val="cs-CZ"/>
        </w:rPr>
        <w:t>více</w:t>
      </w:r>
      <w:r>
        <w:rPr>
          <w:b/>
          <w:color w:val="auto"/>
        </w:rPr>
        <w:t xml:space="preserve"> </w:t>
      </w:r>
      <w:r>
        <w:rPr>
          <w:color w:val="auto"/>
        </w:rPr>
        <w:t>než v 1. pololetí 20</w:t>
      </w:r>
      <w:r>
        <w:rPr>
          <w:color w:val="auto"/>
          <w:lang w:val="cs-CZ"/>
        </w:rPr>
        <w:t>12</w:t>
      </w:r>
      <w:r>
        <w:rPr>
          <w:color w:val="auto"/>
        </w:rPr>
        <w:t xml:space="preserve">. Na </w:t>
      </w:r>
      <w:r>
        <w:rPr>
          <w:color w:val="auto"/>
          <w:lang w:val="cs-CZ"/>
        </w:rPr>
        <w:t>nárůstu</w:t>
      </w:r>
      <w:r>
        <w:rPr>
          <w:color w:val="auto"/>
        </w:rPr>
        <w:t xml:space="preserve"> se podíleli </w:t>
      </w:r>
      <w:r>
        <w:rPr>
          <w:color w:val="auto"/>
          <w:lang w:val="cs-CZ"/>
        </w:rPr>
        <w:t xml:space="preserve">především </w:t>
      </w:r>
      <w:r>
        <w:rPr>
          <w:color w:val="auto"/>
        </w:rPr>
        <w:t>muži</w:t>
      </w:r>
      <w:r>
        <w:rPr>
          <w:color w:val="auto"/>
          <w:lang w:val="cs-CZ"/>
        </w:rPr>
        <w:t xml:space="preserve"> </w:t>
      </w:r>
      <w:r>
        <w:rPr>
          <w:color w:val="auto"/>
        </w:rPr>
        <w:t>(</w:t>
      </w:r>
      <w:r>
        <w:rPr>
          <w:color w:val="auto"/>
          <w:lang w:val="cs-CZ"/>
        </w:rPr>
        <w:t xml:space="preserve">meziročně více </w:t>
      </w:r>
      <w:r>
        <w:rPr>
          <w:color w:val="auto"/>
        </w:rPr>
        <w:t>o</w:t>
      </w:r>
      <w:r>
        <w:rPr>
          <w:color w:val="auto"/>
          <w:lang w:val="cs-CZ"/>
        </w:rPr>
        <w:t> 17</w:t>
      </w:r>
      <w:r>
        <w:rPr>
          <w:color w:val="auto"/>
        </w:rPr>
        <w:t>,</w:t>
      </w:r>
      <w:r>
        <w:rPr>
          <w:color w:val="auto"/>
          <w:lang w:val="cs-CZ"/>
        </w:rPr>
        <w:t>0</w:t>
      </w:r>
      <w:r>
        <w:rPr>
          <w:color w:val="auto"/>
        </w:rPr>
        <w:t> tis.</w:t>
      </w:r>
      <w:r>
        <w:rPr>
          <w:color w:val="auto"/>
          <w:lang w:val="cs-CZ"/>
        </w:rPr>
        <w:t>).</w:t>
      </w:r>
      <w:r>
        <w:rPr>
          <w:color w:val="auto"/>
        </w:rPr>
        <w:t xml:space="preserve"> </w:t>
      </w:r>
    </w:p>
    <w:p w:rsidR="00730AC8" w:rsidRDefault="00730AC8" w:rsidP="00D30183">
      <w:pPr>
        <w:pStyle w:val="Zkladntext"/>
        <w:spacing w:line="360" w:lineRule="auto"/>
        <w:ind w:firstLine="567"/>
        <w:rPr>
          <w:color w:val="auto"/>
        </w:rPr>
      </w:pPr>
      <w:r>
        <w:rPr>
          <w:b/>
          <w:bCs/>
          <w:color w:val="auto"/>
          <w:lang w:val="cs-CZ"/>
        </w:rPr>
        <w:lastRenderedPageBreak/>
        <w:t>Počet v</w:t>
      </w:r>
      <w:proofErr w:type="spellStart"/>
      <w:r>
        <w:rPr>
          <w:b/>
          <w:bCs/>
          <w:color w:val="auto"/>
        </w:rPr>
        <w:t>yřazených</w:t>
      </w:r>
      <w:proofErr w:type="spellEnd"/>
      <w:r>
        <w:rPr>
          <w:rStyle w:val="Znakapoznpodarou"/>
          <w:color w:val="auto"/>
        </w:rPr>
        <w:footnoteReference w:id="4"/>
      </w:r>
      <w:r>
        <w:rPr>
          <w:b/>
          <w:bCs/>
          <w:color w:val="auto"/>
        </w:rPr>
        <w:t xml:space="preserve"> uchazečů</w:t>
      </w:r>
      <w:r>
        <w:rPr>
          <w:color w:val="auto"/>
        </w:rPr>
        <w:t xml:space="preserve"> o zaměstnání (</w:t>
      </w:r>
      <w:r>
        <w:rPr>
          <w:color w:val="auto"/>
          <w:lang w:val="cs-CZ"/>
        </w:rPr>
        <w:t>302</w:t>
      </w:r>
      <w:r>
        <w:rPr>
          <w:color w:val="auto"/>
        </w:rPr>
        <w:t>,</w:t>
      </w:r>
      <w:r>
        <w:rPr>
          <w:color w:val="auto"/>
          <w:lang w:val="cs-CZ"/>
        </w:rPr>
        <w:t>6</w:t>
      </w:r>
      <w:r>
        <w:rPr>
          <w:color w:val="auto"/>
        </w:rPr>
        <w:t xml:space="preserve"> tis.) </w:t>
      </w:r>
      <w:r w:rsidR="00D30183">
        <w:rPr>
          <w:color w:val="auto"/>
          <w:lang w:val="cs-CZ"/>
        </w:rPr>
        <w:t>byl nižší proti 1.  </w:t>
      </w:r>
      <w:r>
        <w:rPr>
          <w:color w:val="auto"/>
          <w:lang w:val="cs-CZ"/>
        </w:rPr>
        <w:t xml:space="preserve">pololetí 2012 (311,3 tis.) o 8,7 tis., </w:t>
      </w:r>
      <w:r>
        <w:rPr>
          <w:color w:val="auto"/>
        </w:rPr>
        <w:t>přičemž vyřazen</w:t>
      </w:r>
      <w:r>
        <w:rPr>
          <w:color w:val="auto"/>
          <w:lang w:val="cs-CZ"/>
        </w:rPr>
        <w:t>o bylo více</w:t>
      </w:r>
      <w:r>
        <w:rPr>
          <w:color w:val="auto"/>
        </w:rPr>
        <w:t xml:space="preserve"> mužů </w:t>
      </w:r>
      <w:r>
        <w:rPr>
          <w:color w:val="auto"/>
          <w:lang w:val="cs-CZ"/>
        </w:rPr>
        <w:t>než</w:t>
      </w:r>
      <w:r>
        <w:rPr>
          <w:color w:val="auto"/>
        </w:rPr>
        <w:t xml:space="preserve"> žen. </w:t>
      </w:r>
      <w:r>
        <w:rPr>
          <w:color w:val="auto"/>
          <w:lang w:val="cs-CZ"/>
        </w:rPr>
        <w:t xml:space="preserve">V hodnoceném období bylo prokazatelně </w:t>
      </w:r>
      <w:r>
        <w:rPr>
          <w:b/>
          <w:color w:val="auto"/>
        </w:rPr>
        <w:t>zaměstnán</w:t>
      </w:r>
      <w:r>
        <w:rPr>
          <w:b/>
          <w:color w:val="auto"/>
          <w:lang w:val="cs-CZ"/>
        </w:rPr>
        <w:t>o</w:t>
      </w:r>
      <w:r>
        <w:rPr>
          <w:color w:val="auto"/>
        </w:rPr>
        <w:t xml:space="preserve"> </w:t>
      </w:r>
      <w:r>
        <w:rPr>
          <w:color w:val="auto"/>
          <w:lang w:val="cs-CZ"/>
        </w:rPr>
        <w:t xml:space="preserve">celkem </w:t>
      </w:r>
      <w:r>
        <w:rPr>
          <w:b/>
          <w:color w:val="auto"/>
          <w:lang w:val="cs-CZ"/>
        </w:rPr>
        <w:t>173</w:t>
      </w:r>
      <w:r>
        <w:rPr>
          <w:b/>
          <w:bCs/>
          <w:color w:val="auto"/>
        </w:rPr>
        <w:t>,</w:t>
      </w:r>
      <w:r>
        <w:rPr>
          <w:b/>
          <w:bCs/>
          <w:color w:val="auto"/>
          <w:lang w:val="cs-CZ"/>
        </w:rPr>
        <w:t>9</w:t>
      </w:r>
      <w:r w:rsidR="00D30183">
        <w:rPr>
          <w:b/>
          <w:bCs/>
          <w:color w:val="auto"/>
          <w:lang w:val="cs-CZ"/>
        </w:rPr>
        <w:t> </w:t>
      </w:r>
      <w:r>
        <w:rPr>
          <w:b/>
          <w:bCs/>
          <w:color w:val="auto"/>
        </w:rPr>
        <w:t xml:space="preserve">tis. </w:t>
      </w:r>
      <w:r>
        <w:rPr>
          <w:b/>
          <w:bCs/>
          <w:color w:val="auto"/>
          <w:lang w:val="cs-CZ"/>
        </w:rPr>
        <w:t xml:space="preserve">nezaměstnaných, </w:t>
      </w:r>
      <w:r>
        <w:rPr>
          <w:color w:val="auto"/>
        </w:rPr>
        <w:t xml:space="preserve">jejich počet </w:t>
      </w:r>
      <w:r>
        <w:rPr>
          <w:b/>
          <w:color w:val="auto"/>
        </w:rPr>
        <w:t xml:space="preserve">se </w:t>
      </w:r>
      <w:r>
        <w:rPr>
          <w:color w:val="auto"/>
          <w:lang w:val="cs-CZ"/>
        </w:rPr>
        <w:t xml:space="preserve">v důsledku přetrvávající nízké nabídky práce </w:t>
      </w:r>
      <w:r>
        <w:rPr>
          <w:b/>
          <w:color w:val="auto"/>
        </w:rPr>
        <w:t xml:space="preserve">meziročně </w:t>
      </w:r>
      <w:r>
        <w:rPr>
          <w:b/>
          <w:color w:val="auto"/>
          <w:lang w:val="cs-CZ"/>
        </w:rPr>
        <w:t>snížil</w:t>
      </w:r>
      <w:r>
        <w:rPr>
          <w:b/>
          <w:color w:val="auto"/>
        </w:rPr>
        <w:t xml:space="preserve"> o</w:t>
      </w:r>
      <w:r>
        <w:rPr>
          <w:b/>
          <w:bCs/>
          <w:color w:val="auto"/>
        </w:rPr>
        <w:t> </w:t>
      </w:r>
      <w:r>
        <w:rPr>
          <w:b/>
          <w:bCs/>
          <w:color w:val="auto"/>
          <w:lang w:val="cs-CZ"/>
        </w:rPr>
        <w:t>38,8</w:t>
      </w:r>
      <w:r>
        <w:rPr>
          <w:b/>
          <w:bCs/>
          <w:color w:val="auto"/>
        </w:rPr>
        <w:t> tis. osob</w:t>
      </w:r>
      <w:r>
        <w:rPr>
          <w:b/>
          <w:bCs/>
          <w:color w:val="auto"/>
          <w:lang w:val="cs-CZ"/>
        </w:rPr>
        <w:t xml:space="preserve">. </w:t>
      </w:r>
      <w:r w:rsidRPr="009803EC">
        <w:rPr>
          <w:bCs/>
          <w:color w:val="auto"/>
          <w:lang w:val="cs-CZ"/>
        </w:rPr>
        <w:t>Z nich bylo</w:t>
      </w:r>
      <w:r>
        <w:rPr>
          <w:b/>
          <w:bCs/>
          <w:color w:val="auto"/>
          <w:lang w:val="cs-CZ"/>
        </w:rPr>
        <w:t xml:space="preserve"> 153,4 tis. </w:t>
      </w:r>
      <w:r w:rsidRPr="00C54643">
        <w:rPr>
          <w:bCs/>
          <w:color w:val="auto"/>
          <w:lang w:val="cs-CZ"/>
        </w:rPr>
        <w:t>těch</w:t>
      </w:r>
      <w:r>
        <w:rPr>
          <w:b/>
          <w:bCs/>
          <w:color w:val="auto"/>
          <w:lang w:val="cs-CZ"/>
        </w:rPr>
        <w:t xml:space="preserve">, </w:t>
      </w:r>
      <w:r w:rsidRPr="00C54643">
        <w:rPr>
          <w:bCs/>
          <w:color w:val="auto"/>
          <w:lang w:val="cs-CZ"/>
        </w:rPr>
        <w:t>kteří si</w:t>
      </w:r>
      <w:r>
        <w:rPr>
          <w:b/>
          <w:bCs/>
          <w:color w:val="auto"/>
          <w:lang w:val="cs-CZ"/>
        </w:rPr>
        <w:t xml:space="preserve"> našli práci sami nebo začali podnikat bez podpory ÚP</w:t>
      </w:r>
      <w:r w:rsidR="004F7079">
        <w:rPr>
          <w:b/>
          <w:bCs/>
          <w:color w:val="auto"/>
          <w:lang w:val="cs-CZ"/>
        </w:rPr>
        <w:t> ČR</w:t>
      </w:r>
      <w:r>
        <w:rPr>
          <w:b/>
          <w:bCs/>
          <w:color w:val="auto"/>
          <w:lang w:val="cs-CZ"/>
        </w:rPr>
        <w:t xml:space="preserve"> </w:t>
      </w:r>
      <w:r w:rsidRPr="009803EC">
        <w:rPr>
          <w:bCs/>
          <w:color w:val="auto"/>
          <w:lang w:val="cs-CZ"/>
        </w:rPr>
        <w:t>(pokles o 41,8 tis.)</w:t>
      </w:r>
      <w:r>
        <w:rPr>
          <w:b/>
          <w:bCs/>
          <w:color w:val="auto"/>
          <w:lang w:val="cs-CZ"/>
        </w:rPr>
        <w:t xml:space="preserve">, </w:t>
      </w:r>
      <w:r>
        <w:rPr>
          <w:color w:val="auto"/>
          <w:lang w:val="cs-CZ"/>
        </w:rPr>
        <w:t>ve větší míře</w:t>
      </w:r>
      <w:r>
        <w:rPr>
          <w:color w:val="auto"/>
        </w:rPr>
        <w:t xml:space="preserve"> se takto uplatnili muži</w:t>
      </w:r>
      <w:r>
        <w:rPr>
          <w:color w:val="auto"/>
          <w:lang w:val="cs-CZ"/>
        </w:rPr>
        <w:t xml:space="preserve"> (91,4 tis., tj. 59,6 % celkového počtu umístěných jinak)</w:t>
      </w:r>
      <w:r>
        <w:rPr>
          <w:color w:val="auto"/>
        </w:rPr>
        <w:t>.</w:t>
      </w:r>
      <w:r>
        <w:rPr>
          <w:color w:val="auto"/>
          <w:lang w:val="cs-CZ"/>
        </w:rPr>
        <w:t xml:space="preserve"> </w:t>
      </w:r>
      <w:r w:rsidRPr="00C54643">
        <w:rPr>
          <w:b/>
          <w:color w:val="auto"/>
          <w:lang w:val="cs-CZ"/>
        </w:rPr>
        <w:t>P</w:t>
      </w:r>
      <w:r>
        <w:rPr>
          <w:b/>
          <w:bCs/>
          <w:color w:val="auto"/>
          <w:lang w:val="cs-CZ"/>
        </w:rPr>
        <w:t xml:space="preserve">očet umístěných ÚP </w:t>
      </w:r>
      <w:r w:rsidRPr="009803EC">
        <w:rPr>
          <w:bCs/>
          <w:color w:val="auto"/>
          <w:lang w:val="cs-CZ"/>
        </w:rPr>
        <w:t xml:space="preserve">mírně </w:t>
      </w:r>
      <w:r>
        <w:rPr>
          <w:b/>
          <w:bCs/>
          <w:color w:val="auto"/>
          <w:lang w:val="cs-CZ"/>
        </w:rPr>
        <w:t xml:space="preserve">vzrostl </w:t>
      </w:r>
      <w:r w:rsidRPr="009803EC">
        <w:rPr>
          <w:bCs/>
          <w:color w:val="auto"/>
          <w:lang w:val="cs-CZ"/>
        </w:rPr>
        <w:t>(o 3,0 tis.)</w:t>
      </w:r>
      <w:r>
        <w:rPr>
          <w:b/>
          <w:bCs/>
          <w:color w:val="auto"/>
          <w:lang w:val="cs-CZ"/>
        </w:rPr>
        <w:t xml:space="preserve"> na </w:t>
      </w:r>
      <w:r w:rsidRPr="009803EC">
        <w:rPr>
          <w:b/>
          <w:bCs/>
          <w:color w:val="auto"/>
          <w:lang w:val="cs-CZ"/>
        </w:rPr>
        <w:t>20,5 tis.</w:t>
      </w:r>
    </w:p>
    <w:p w:rsidR="00730AC8" w:rsidRDefault="00730AC8" w:rsidP="00D30183">
      <w:pPr>
        <w:pStyle w:val="Zkladntext"/>
        <w:spacing w:line="360" w:lineRule="auto"/>
        <w:ind w:firstLine="567"/>
        <w:rPr>
          <w:color w:val="auto"/>
          <w:lang w:val="cs-CZ"/>
        </w:rPr>
      </w:pPr>
      <w:r w:rsidRPr="00CA4A6E">
        <w:rPr>
          <w:b/>
          <w:color w:val="auto"/>
        </w:rPr>
        <w:t>Podíl umístěných z celkového počtu vyřazených</w:t>
      </w:r>
      <w:r w:rsidRPr="00CA4A6E">
        <w:rPr>
          <w:color w:val="auto"/>
        </w:rPr>
        <w:t xml:space="preserve"> uchazečů o zaměstnání meziročně </w:t>
      </w:r>
      <w:r w:rsidRPr="00CA4A6E">
        <w:rPr>
          <w:b/>
          <w:color w:val="auto"/>
          <w:lang w:val="cs-CZ"/>
        </w:rPr>
        <w:t>klesl</w:t>
      </w:r>
      <w:r w:rsidRPr="00CA4A6E">
        <w:rPr>
          <w:color w:val="auto"/>
        </w:rPr>
        <w:t xml:space="preserve"> na </w:t>
      </w:r>
      <w:r>
        <w:rPr>
          <w:b/>
          <w:color w:val="auto"/>
          <w:lang w:val="cs-CZ"/>
        </w:rPr>
        <w:t>57</w:t>
      </w:r>
      <w:r w:rsidRPr="00CA4A6E">
        <w:rPr>
          <w:b/>
          <w:color w:val="auto"/>
        </w:rPr>
        <w:t>,</w:t>
      </w:r>
      <w:r>
        <w:rPr>
          <w:b/>
          <w:color w:val="auto"/>
          <w:lang w:val="cs-CZ"/>
        </w:rPr>
        <w:t>5</w:t>
      </w:r>
      <w:r w:rsidRPr="00CA4A6E">
        <w:rPr>
          <w:b/>
          <w:color w:val="auto"/>
        </w:rPr>
        <w:t> %</w:t>
      </w:r>
      <w:r w:rsidRPr="00CA4A6E">
        <w:rPr>
          <w:color w:val="auto"/>
        </w:rPr>
        <w:t xml:space="preserve"> (v </w:t>
      </w:r>
      <w:r w:rsidRPr="00CA4A6E">
        <w:rPr>
          <w:color w:val="auto"/>
          <w:lang w:val="cs-CZ"/>
        </w:rPr>
        <w:t>1. pololetí</w:t>
      </w:r>
      <w:r w:rsidRPr="00CA4A6E">
        <w:rPr>
          <w:color w:val="auto"/>
        </w:rPr>
        <w:t xml:space="preserve"> 20</w:t>
      </w:r>
      <w:r w:rsidRPr="00CA4A6E">
        <w:rPr>
          <w:color w:val="auto"/>
          <w:lang w:val="cs-CZ"/>
        </w:rPr>
        <w:t>1</w:t>
      </w:r>
      <w:r>
        <w:rPr>
          <w:color w:val="auto"/>
          <w:lang w:val="cs-CZ"/>
        </w:rPr>
        <w:t>2</w:t>
      </w:r>
      <w:r w:rsidRPr="00CA4A6E">
        <w:rPr>
          <w:color w:val="auto"/>
        </w:rPr>
        <w:t xml:space="preserve"> činil </w:t>
      </w:r>
      <w:r w:rsidRPr="00CA4A6E">
        <w:rPr>
          <w:b/>
          <w:color w:val="auto"/>
        </w:rPr>
        <w:t>6</w:t>
      </w:r>
      <w:r>
        <w:rPr>
          <w:b/>
          <w:color w:val="auto"/>
          <w:lang w:val="cs-CZ"/>
        </w:rPr>
        <w:t>8</w:t>
      </w:r>
      <w:r w:rsidRPr="00CA4A6E">
        <w:rPr>
          <w:b/>
          <w:color w:val="auto"/>
        </w:rPr>
        <w:t>,</w:t>
      </w:r>
      <w:r>
        <w:rPr>
          <w:b/>
          <w:color w:val="auto"/>
          <w:lang w:val="cs-CZ"/>
        </w:rPr>
        <w:t>3</w:t>
      </w:r>
      <w:r w:rsidRPr="00CA4A6E">
        <w:rPr>
          <w:b/>
          <w:color w:val="auto"/>
        </w:rPr>
        <w:t> </w:t>
      </w:r>
      <w:r w:rsidRPr="00CA4A6E">
        <w:rPr>
          <w:color w:val="auto"/>
        </w:rPr>
        <w:t xml:space="preserve"> %), </w:t>
      </w:r>
      <w:r w:rsidRPr="00CA4A6E">
        <w:rPr>
          <w:b/>
          <w:color w:val="auto"/>
        </w:rPr>
        <w:t xml:space="preserve">podíl umístěných díky vlastní aktivitě </w:t>
      </w:r>
      <w:r>
        <w:rPr>
          <w:b/>
          <w:color w:val="auto"/>
          <w:lang w:val="cs-CZ"/>
        </w:rPr>
        <w:t>poklesl</w:t>
      </w:r>
      <w:r w:rsidRPr="00CA4A6E">
        <w:rPr>
          <w:color w:val="auto"/>
        </w:rPr>
        <w:t xml:space="preserve"> z </w:t>
      </w:r>
      <w:r w:rsidRPr="00CA4A6E">
        <w:rPr>
          <w:color w:val="auto"/>
          <w:lang w:val="cs-CZ"/>
        </w:rPr>
        <w:t>6</w:t>
      </w:r>
      <w:r>
        <w:rPr>
          <w:color w:val="auto"/>
          <w:lang w:val="cs-CZ"/>
        </w:rPr>
        <w:t>2</w:t>
      </w:r>
      <w:r w:rsidRPr="00CA4A6E">
        <w:rPr>
          <w:color w:val="auto"/>
        </w:rPr>
        <w:t>,</w:t>
      </w:r>
      <w:r>
        <w:rPr>
          <w:color w:val="auto"/>
          <w:lang w:val="cs-CZ"/>
        </w:rPr>
        <w:t>7</w:t>
      </w:r>
      <w:r w:rsidRPr="00CA4A6E">
        <w:rPr>
          <w:b/>
          <w:color w:val="auto"/>
        </w:rPr>
        <w:t> </w:t>
      </w:r>
      <w:r w:rsidRPr="00CA4A6E">
        <w:rPr>
          <w:color w:val="auto"/>
        </w:rPr>
        <w:t xml:space="preserve">% na </w:t>
      </w:r>
      <w:r w:rsidRPr="00843994">
        <w:rPr>
          <w:b/>
          <w:color w:val="auto"/>
          <w:lang w:val="cs-CZ"/>
        </w:rPr>
        <w:t>50</w:t>
      </w:r>
      <w:r w:rsidRPr="00843994">
        <w:rPr>
          <w:b/>
          <w:color w:val="auto"/>
        </w:rPr>
        <w:t>,</w:t>
      </w:r>
      <w:r w:rsidRPr="00CA4A6E">
        <w:rPr>
          <w:b/>
          <w:color w:val="auto"/>
          <w:lang w:val="cs-CZ"/>
        </w:rPr>
        <w:t>7</w:t>
      </w:r>
      <w:r w:rsidRPr="00CA4A6E">
        <w:rPr>
          <w:b/>
          <w:color w:val="auto"/>
        </w:rPr>
        <w:t> %</w:t>
      </w:r>
      <w:r w:rsidRPr="00CA4A6E">
        <w:rPr>
          <w:b/>
          <w:color w:val="auto"/>
          <w:lang w:val="cs-CZ"/>
        </w:rPr>
        <w:t>, podíl umístěných ÚP</w:t>
      </w:r>
      <w:r w:rsidR="004F7079">
        <w:rPr>
          <w:b/>
          <w:color w:val="auto"/>
          <w:lang w:val="cs-CZ"/>
        </w:rPr>
        <w:t> ČR</w:t>
      </w:r>
      <w:r w:rsidRPr="00CA4A6E">
        <w:rPr>
          <w:b/>
          <w:color w:val="auto"/>
          <w:lang w:val="cs-CZ"/>
        </w:rPr>
        <w:t xml:space="preserve"> </w:t>
      </w:r>
      <w:r w:rsidRPr="00E85441">
        <w:rPr>
          <w:color w:val="auto"/>
          <w:lang w:val="cs-CZ"/>
        </w:rPr>
        <w:t>(především</w:t>
      </w:r>
      <w:r>
        <w:rPr>
          <w:color w:val="auto"/>
          <w:lang w:val="cs-CZ"/>
        </w:rPr>
        <w:t xml:space="preserve"> na místa podpořená v rámci APZ) </w:t>
      </w:r>
      <w:r w:rsidRPr="00CA4A6E">
        <w:rPr>
          <w:b/>
          <w:color w:val="auto"/>
          <w:lang w:val="cs-CZ"/>
        </w:rPr>
        <w:t xml:space="preserve">se </w:t>
      </w:r>
      <w:r>
        <w:rPr>
          <w:b/>
          <w:color w:val="auto"/>
          <w:lang w:val="cs-CZ"/>
        </w:rPr>
        <w:t>zvýšil</w:t>
      </w:r>
      <w:r w:rsidRPr="00CA4A6E">
        <w:rPr>
          <w:b/>
          <w:color w:val="auto"/>
          <w:lang w:val="cs-CZ"/>
        </w:rPr>
        <w:t xml:space="preserve"> </w:t>
      </w:r>
      <w:r w:rsidRPr="00CA4A6E">
        <w:rPr>
          <w:color w:val="auto"/>
          <w:lang w:val="cs-CZ"/>
        </w:rPr>
        <w:t>z </w:t>
      </w:r>
      <w:r>
        <w:rPr>
          <w:color w:val="auto"/>
          <w:lang w:val="cs-CZ"/>
        </w:rPr>
        <w:t>5</w:t>
      </w:r>
      <w:r w:rsidRPr="00CA4A6E">
        <w:rPr>
          <w:color w:val="auto"/>
          <w:lang w:val="cs-CZ"/>
        </w:rPr>
        <w:t>,</w:t>
      </w:r>
      <w:r>
        <w:rPr>
          <w:color w:val="auto"/>
          <w:lang w:val="cs-CZ"/>
        </w:rPr>
        <w:t>6</w:t>
      </w:r>
      <w:r w:rsidRPr="00CA4A6E">
        <w:rPr>
          <w:color w:val="auto"/>
          <w:lang w:val="cs-CZ"/>
        </w:rPr>
        <w:t xml:space="preserve"> % </w:t>
      </w:r>
      <w:r w:rsidRPr="00843994">
        <w:rPr>
          <w:b/>
          <w:color w:val="auto"/>
          <w:lang w:val="cs-CZ"/>
        </w:rPr>
        <w:t>na 6,8 %</w:t>
      </w:r>
      <w:r w:rsidRPr="00843994">
        <w:rPr>
          <w:b/>
          <w:color w:val="auto"/>
        </w:rPr>
        <w:t>.</w:t>
      </w:r>
      <w:r w:rsidRPr="00CA4A6E">
        <w:rPr>
          <w:color w:val="auto"/>
        </w:rPr>
        <w:t xml:space="preserve"> </w:t>
      </w:r>
    </w:p>
    <w:p w:rsidR="00730AC8" w:rsidRPr="00E85441" w:rsidRDefault="00730AC8" w:rsidP="00730AC8">
      <w:pPr>
        <w:pStyle w:val="Zkladntext"/>
        <w:spacing w:line="360" w:lineRule="auto"/>
        <w:ind w:firstLine="720"/>
        <w:rPr>
          <w:color w:val="auto"/>
          <w:lang w:val="cs-CZ"/>
        </w:rPr>
      </w:pPr>
    </w:p>
    <w:p w:rsidR="00730AC8" w:rsidRPr="006563F7" w:rsidRDefault="00730AC8" w:rsidP="00730AC8">
      <w:pPr>
        <w:pStyle w:val="Zkladntext"/>
        <w:jc w:val="center"/>
        <w:rPr>
          <w:b/>
          <w:bCs/>
          <w:color w:val="auto"/>
        </w:rPr>
      </w:pPr>
      <w:r w:rsidRPr="00730AC8">
        <w:rPr>
          <w:b/>
          <w:bCs/>
          <w:color w:val="auto"/>
        </w:rPr>
        <w:t>Toky evidované nezaměstnanosti (v tis. osob)</w:t>
      </w:r>
    </w:p>
    <w:tbl>
      <w:tblPr>
        <w:tblW w:w="7588" w:type="dxa"/>
        <w:jc w:val="center"/>
        <w:tblCellMar>
          <w:left w:w="70" w:type="dxa"/>
          <w:right w:w="70" w:type="dxa"/>
        </w:tblCellMar>
        <w:tblLook w:val="04A0" w:firstRow="1" w:lastRow="0" w:firstColumn="1" w:lastColumn="0" w:noHBand="0" w:noVBand="1"/>
      </w:tblPr>
      <w:tblGrid>
        <w:gridCol w:w="2552"/>
        <w:gridCol w:w="852"/>
        <w:gridCol w:w="808"/>
        <w:gridCol w:w="808"/>
        <w:gridCol w:w="888"/>
        <w:gridCol w:w="828"/>
        <w:gridCol w:w="852"/>
      </w:tblGrid>
      <w:tr w:rsidR="00730AC8" w:rsidRPr="009B0D99" w:rsidTr="002F5109">
        <w:trPr>
          <w:trHeight w:val="285"/>
          <w:jc w:val="center"/>
        </w:trPr>
        <w:tc>
          <w:tcPr>
            <w:tcW w:w="2552" w:type="dxa"/>
            <w:noWrap/>
            <w:vAlign w:val="bottom"/>
            <w:hideMark/>
          </w:tcPr>
          <w:p w:rsidR="00730AC8" w:rsidRPr="006563F7" w:rsidRDefault="00730AC8" w:rsidP="002F5109">
            <w:pPr>
              <w:spacing w:after="200" w:line="276" w:lineRule="auto"/>
              <w:rPr>
                <w:rFonts w:ascii="Calibri" w:eastAsia="Calibri" w:hAnsi="Calibri"/>
                <w:sz w:val="22"/>
                <w:szCs w:val="22"/>
                <w:lang w:eastAsia="en-US"/>
              </w:rPr>
            </w:pPr>
          </w:p>
        </w:tc>
        <w:tc>
          <w:tcPr>
            <w:tcW w:w="852" w:type="dxa"/>
            <w:noWrap/>
            <w:vAlign w:val="bottom"/>
            <w:hideMark/>
          </w:tcPr>
          <w:p w:rsidR="00730AC8" w:rsidRPr="006563F7" w:rsidRDefault="00730AC8" w:rsidP="002F5109">
            <w:pPr>
              <w:spacing w:after="200" w:line="276" w:lineRule="auto"/>
              <w:rPr>
                <w:rFonts w:ascii="Calibri" w:eastAsia="Calibri" w:hAnsi="Calibri"/>
                <w:sz w:val="22"/>
                <w:szCs w:val="22"/>
                <w:lang w:eastAsia="en-US"/>
              </w:rPr>
            </w:pPr>
          </w:p>
        </w:tc>
        <w:tc>
          <w:tcPr>
            <w:tcW w:w="808" w:type="dxa"/>
            <w:noWrap/>
            <w:vAlign w:val="bottom"/>
            <w:hideMark/>
          </w:tcPr>
          <w:p w:rsidR="00730AC8" w:rsidRPr="006563F7" w:rsidRDefault="00730AC8" w:rsidP="002F5109">
            <w:pPr>
              <w:spacing w:after="200" w:line="276" w:lineRule="auto"/>
              <w:rPr>
                <w:rFonts w:ascii="Calibri" w:eastAsia="Calibri" w:hAnsi="Calibri"/>
                <w:sz w:val="22"/>
                <w:szCs w:val="22"/>
                <w:lang w:eastAsia="en-US"/>
              </w:rPr>
            </w:pPr>
          </w:p>
        </w:tc>
        <w:tc>
          <w:tcPr>
            <w:tcW w:w="808" w:type="dxa"/>
            <w:noWrap/>
            <w:vAlign w:val="bottom"/>
            <w:hideMark/>
          </w:tcPr>
          <w:p w:rsidR="00730AC8" w:rsidRPr="006563F7" w:rsidRDefault="00730AC8" w:rsidP="002F5109">
            <w:pPr>
              <w:spacing w:after="200" w:line="276" w:lineRule="auto"/>
              <w:rPr>
                <w:rFonts w:ascii="Calibri" w:eastAsia="Calibri" w:hAnsi="Calibri"/>
                <w:sz w:val="22"/>
                <w:szCs w:val="22"/>
                <w:lang w:eastAsia="en-US"/>
              </w:rPr>
            </w:pPr>
          </w:p>
        </w:tc>
        <w:tc>
          <w:tcPr>
            <w:tcW w:w="888" w:type="dxa"/>
            <w:noWrap/>
            <w:vAlign w:val="bottom"/>
            <w:hideMark/>
          </w:tcPr>
          <w:p w:rsidR="00730AC8" w:rsidRPr="006563F7" w:rsidRDefault="00730AC8" w:rsidP="002F5109">
            <w:pPr>
              <w:spacing w:after="200" w:line="276" w:lineRule="auto"/>
              <w:rPr>
                <w:rFonts w:ascii="Calibri" w:eastAsia="Calibri" w:hAnsi="Calibri"/>
                <w:sz w:val="22"/>
                <w:szCs w:val="22"/>
                <w:lang w:eastAsia="en-US"/>
              </w:rPr>
            </w:pPr>
          </w:p>
        </w:tc>
        <w:tc>
          <w:tcPr>
            <w:tcW w:w="828" w:type="dxa"/>
            <w:noWrap/>
            <w:vAlign w:val="bottom"/>
            <w:hideMark/>
          </w:tcPr>
          <w:p w:rsidR="00730AC8" w:rsidRPr="006563F7" w:rsidRDefault="00730AC8" w:rsidP="002F5109">
            <w:pPr>
              <w:spacing w:after="200" w:line="276" w:lineRule="auto"/>
              <w:rPr>
                <w:rFonts w:ascii="Calibri" w:eastAsia="Calibri" w:hAnsi="Calibri"/>
                <w:sz w:val="22"/>
                <w:szCs w:val="22"/>
                <w:lang w:eastAsia="en-US"/>
              </w:rPr>
            </w:pPr>
          </w:p>
        </w:tc>
        <w:tc>
          <w:tcPr>
            <w:tcW w:w="852" w:type="dxa"/>
            <w:noWrap/>
            <w:vAlign w:val="bottom"/>
            <w:hideMark/>
          </w:tcPr>
          <w:p w:rsidR="00730AC8" w:rsidRDefault="00730AC8" w:rsidP="002F5109">
            <w:pPr>
              <w:spacing w:line="276" w:lineRule="auto"/>
              <w:rPr>
                <w:rFonts w:ascii="Arial" w:hAnsi="Arial" w:cs="Arial"/>
                <w:sz w:val="20"/>
                <w:szCs w:val="20"/>
                <w:lang w:eastAsia="en-US"/>
              </w:rPr>
            </w:pPr>
            <w:r w:rsidRPr="006563F7">
              <w:rPr>
                <w:rFonts w:ascii="Arial" w:hAnsi="Arial" w:cs="Arial"/>
                <w:sz w:val="20"/>
                <w:szCs w:val="20"/>
                <w:lang w:eastAsia="en-US"/>
              </w:rPr>
              <w:t>tab.č.1</w:t>
            </w:r>
            <w:r>
              <w:rPr>
                <w:rFonts w:ascii="Arial" w:hAnsi="Arial" w:cs="Arial"/>
                <w:sz w:val="20"/>
                <w:szCs w:val="20"/>
                <w:lang w:eastAsia="en-US"/>
              </w:rPr>
              <w:t>8</w:t>
            </w:r>
          </w:p>
        </w:tc>
      </w:tr>
      <w:tr w:rsidR="00730AC8" w:rsidRPr="009B0D99" w:rsidTr="002F5109">
        <w:trPr>
          <w:trHeight w:val="360"/>
          <w:jc w:val="center"/>
        </w:trPr>
        <w:tc>
          <w:tcPr>
            <w:tcW w:w="2552" w:type="dxa"/>
            <w:tcBorders>
              <w:top w:val="double" w:sz="6" w:space="0" w:color="auto"/>
              <w:left w:val="double" w:sz="6" w:space="0" w:color="auto"/>
              <w:bottom w:val="nil"/>
              <w:right w:val="single" w:sz="4" w:space="0" w:color="auto"/>
            </w:tcBorders>
            <w:noWrap/>
            <w:vAlign w:val="bottom"/>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 </w:t>
            </w:r>
          </w:p>
        </w:tc>
        <w:tc>
          <w:tcPr>
            <w:tcW w:w="2468" w:type="dxa"/>
            <w:gridSpan w:val="3"/>
            <w:tcBorders>
              <w:top w:val="double" w:sz="6" w:space="0" w:color="auto"/>
              <w:left w:val="nil"/>
              <w:bottom w:val="single" w:sz="4" w:space="0" w:color="auto"/>
              <w:right w:val="single" w:sz="4" w:space="0" w:color="000000"/>
            </w:tcBorders>
            <w:noWrap/>
            <w:vAlign w:val="center"/>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I. pololetí 2012</w:t>
            </w:r>
          </w:p>
        </w:tc>
        <w:tc>
          <w:tcPr>
            <w:tcW w:w="2568" w:type="dxa"/>
            <w:gridSpan w:val="3"/>
            <w:tcBorders>
              <w:top w:val="double" w:sz="6" w:space="0" w:color="auto"/>
              <w:left w:val="nil"/>
              <w:bottom w:val="single" w:sz="4" w:space="0" w:color="auto"/>
              <w:right w:val="double" w:sz="6" w:space="0" w:color="000000"/>
            </w:tcBorders>
            <w:noWrap/>
            <w:vAlign w:val="center"/>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I. pololetí 2013</w:t>
            </w:r>
          </w:p>
        </w:tc>
      </w:tr>
      <w:tr w:rsidR="00730AC8" w:rsidRPr="009B0D99" w:rsidTr="002F5109">
        <w:trPr>
          <w:trHeight w:val="360"/>
          <w:jc w:val="center"/>
        </w:trPr>
        <w:tc>
          <w:tcPr>
            <w:tcW w:w="2552" w:type="dxa"/>
            <w:tcBorders>
              <w:top w:val="nil"/>
              <w:left w:val="double" w:sz="6" w:space="0" w:color="auto"/>
              <w:bottom w:val="single" w:sz="4" w:space="0" w:color="auto"/>
              <w:right w:val="single" w:sz="4" w:space="0" w:color="auto"/>
            </w:tcBorders>
            <w:noWrap/>
            <w:vAlign w:val="bottom"/>
            <w:hideMark/>
          </w:tcPr>
          <w:p w:rsidR="00730AC8" w:rsidRDefault="00730AC8" w:rsidP="002F5109">
            <w:pPr>
              <w:spacing w:line="276" w:lineRule="auto"/>
              <w:rPr>
                <w:rFonts w:ascii="Arial" w:hAnsi="Arial" w:cs="Arial"/>
                <w:sz w:val="20"/>
                <w:szCs w:val="20"/>
                <w:lang w:eastAsia="en-US"/>
              </w:rPr>
            </w:pPr>
            <w:r>
              <w:rPr>
                <w:rFonts w:ascii="Arial" w:hAnsi="Arial" w:cs="Arial"/>
                <w:sz w:val="20"/>
                <w:szCs w:val="20"/>
                <w:lang w:eastAsia="en-US"/>
              </w:rPr>
              <w:t> </w:t>
            </w:r>
          </w:p>
        </w:tc>
        <w:tc>
          <w:tcPr>
            <w:tcW w:w="852" w:type="dxa"/>
            <w:tcBorders>
              <w:top w:val="nil"/>
              <w:left w:val="nil"/>
              <w:bottom w:val="single" w:sz="4" w:space="0" w:color="auto"/>
              <w:right w:val="nil"/>
            </w:tcBorders>
            <w:noWrap/>
            <w:vAlign w:val="bottom"/>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Celkem</w:t>
            </w:r>
          </w:p>
        </w:tc>
        <w:tc>
          <w:tcPr>
            <w:tcW w:w="808" w:type="dxa"/>
            <w:tcBorders>
              <w:top w:val="nil"/>
              <w:left w:val="single" w:sz="4" w:space="0" w:color="auto"/>
              <w:bottom w:val="single" w:sz="4" w:space="0" w:color="auto"/>
              <w:right w:val="single" w:sz="4" w:space="0" w:color="auto"/>
            </w:tcBorders>
            <w:noWrap/>
            <w:vAlign w:val="bottom"/>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I.Q</w:t>
            </w:r>
          </w:p>
        </w:tc>
        <w:tc>
          <w:tcPr>
            <w:tcW w:w="808" w:type="dxa"/>
            <w:tcBorders>
              <w:top w:val="nil"/>
              <w:left w:val="nil"/>
              <w:bottom w:val="single" w:sz="4" w:space="0" w:color="auto"/>
              <w:right w:val="nil"/>
            </w:tcBorders>
            <w:noWrap/>
            <w:vAlign w:val="bottom"/>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II.Q</w:t>
            </w:r>
          </w:p>
        </w:tc>
        <w:tc>
          <w:tcPr>
            <w:tcW w:w="888" w:type="dxa"/>
            <w:tcBorders>
              <w:top w:val="nil"/>
              <w:left w:val="single" w:sz="4" w:space="0" w:color="auto"/>
              <w:bottom w:val="single" w:sz="4" w:space="0" w:color="auto"/>
              <w:right w:val="single" w:sz="4" w:space="0" w:color="auto"/>
            </w:tcBorders>
            <w:noWrap/>
            <w:vAlign w:val="bottom"/>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Celkem</w:t>
            </w:r>
          </w:p>
        </w:tc>
        <w:tc>
          <w:tcPr>
            <w:tcW w:w="828" w:type="dxa"/>
            <w:tcBorders>
              <w:top w:val="nil"/>
              <w:left w:val="nil"/>
              <w:bottom w:val="single" w:sz="4" w:space="0" w:color="auto"/>
              <w:right w:val="single" w:sz="4" w:space="0" w:color="auto"/>
            </w:tcBorders>
            <w:noWrap/>
            <w:vAlign w:val="bottom"/>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I.Q</w:t>
            </w:r>
          </w:p>
        </w:tc>
        <w:tc>
          <w:tcPr>
            <w:tcW w:w="852" w:type="dxa"/>
            <w:tcBorders>
              <w:top w:val="nil"/>
              <w:left w:val="nil"/>
              <w:bottom w:val="single" w:sz="4" w:space="0" w:color="auto"/>
              <w:right w:val="double" w:sz="6" w:space="0" w:color="auto"/>
            </w:tcBorders>
            <w:noWrap/>
            <w:vAlign w:val="bottom"/>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II.Q</w:t>
            </w:r>
          </w:p>
        </w:tc>
      </w:tr>
      <w:tr w:rsidR="00730AC8" w:rsidRPr="009B0D99" w:rsidTr="002F5109">
        <w:trPr>
          <w:trHeight w:val="315"/>
          <w:jc w:val="center"/>
        </w:trPr>
        <w:tc>
          <w:tcPr>
            <w:tcW w:w="2552" w:type="dxa"/>
            <w:tcBorders>
              <w:top w:val="nil"/>
              <w:left w:val="double" w:sz="6" w:space="0" w:color="auto"/>
              <w:bottom w:val="single" w:sz="4" w:space="0" w:color="auto"/>
              <w:right w:val="single" w:sz="4" w:space="0" w:color="auto"/>
            </w:tcBorders>
            <w:noWrap/>
            <w:vAlign w:val="center"/>
            <w:hideMark/>
          </w:tcPr>
          <w:p w:rsidR="00730AC8" w:rsidRDefault="00730AC8" w:rsidP="002F5109">
            <w:pPr>
              <w:spacing w:line="276" w:lineRule="auto"/>
              <w:rPr>
                <w:rFonts w:ascii="Arial" w:hAnsi="Arial" w:cs="Arial"/>
                <w:b/>
                <w:bCs/>
                <w:sz w:val="20"/>
                <w:szCs w:val="20"/>
                <w:lang w:eastAsia="en-US"/>
              </w:rPr>
            </w:pPr>
            <w:r>
              <w:rPr>
                <w:rFonts w:ascii="Arial" w:hAnsi="Arial" w:cs="Arial"/>
                <w:b/>
                <w:bCs/>
                <w:sz w:val="20"/>
                <w:szCs w:val="20"/>
                <w:lang w:eastAsia="en-US"/>
              </w:rPr>
              <w:t>nově evidovaní</w:t>
            </w:r>
          </w:p>
        </w:tc>
        <w:tc>
          <w:tcPr>
            <w:tcW w:w="852" w:type="dxa"/>
            <w:noWrap/>
            <w:vAlign w:val="center"/>
            <w:hideMark/>
          </w:tcPr>
          <w:p w:rsidR="00730AC8" w:rsidRDefault="00730AC8" w:rsidP="002F5109">
            <w:pPr>
              <w:jc w:val="right"/>
              <w:rPr>
                <w:rFonts w:ascii="Arial CE" w:hAnsi="Arial CE"/>
                <w:b/>
                <w:bCs/>
                <w:sz w:val="20"/>
                <w:szCs w:val="20"/>
              </w:rPr>
            </w:pPr>
            <w:r>
              <w:rPr>
                <w:rFonts w:ascii="Arial CE" w:hAnsi="Arial CE"/>
                <w:b/>
                <w:bCs/>
                <w:sz w:val="20"/>
                <w:szCs w:val="20"/>
              </w:rPr>
              <w:t>277,5</w:t>
            </w:r>
          </w:p>
        </w:tc>
        <w:tc>
          <w:tcPr>
            <w:tcW w:w="808"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b/>
                <w:bCs/>
                <w:sz w:val="20"/>
                <w:szCs w:val="20"/>
              </w:rPr>
            </w:pPr>
            <w:r>
              <w:rPr>
                <w:rFonts w:ascii="Arial CE" w:hAnsi="Arial CE"/>
                <w:b/>
                <w:bCs/>
                <w:sz w:val="20"/>
                <w:szCs w:val="20"/>
              </w:rPr>
              <w:t>168,7</w:t>
            </w:r>
          </w:p>
        </w:tc>
        <w:tc>
          <w:tcPr>
            <w:tcW w:w="808" w:type="dxa"/>
            <w:tcBorders>
              <w:top w:val="nil"/>
              <w:left w:val="nil"/>
              <w:bottom w:val="nil"/>
              <w:right w:val="single" w:sz="4" w:space="0" w:color="auto"/>
            </w:tcBorders>
            <w:noWrap/>
            <w:vAlign w:val="center"/>
            <w:hideMark/>
          </w:tcPr>
          <w:p w:rsidR="00730AC8" w:rsidRDefault="00730AC8" w:rsidP="002F5109">
            <w:pPr>
              <w:jc w:val="right"/>
              <w:rPr>
                <w:rFonts w:ascii="Arial CE" w:hAnsi="Arial CE"/>
                <w:b/>
                <w:bCs/>
                <w:sz w:val="20"/>
                <w:szCs w:val="20"/>
              </w:rPr>
            </w:pPr>
            <w:r>
              <w:rPr>
                <w:rFonts w:ascii="Arial CE" w:hAnsi="Arial CE"/>
                <w:b/>
                <w:bCs/>
                <w:sz w:val="20"/>
                <w:szCs w:val="20"/>
              </w:rPr>
              <w:t>108,8</w:t>
            </w:r>
          </w:p>
        </w:tc>
        <w:tc>
          <w:tcPr>
            <w:tcW w:w="888" w:type="dxa"/>
            <w:noWrap/>
            <w:vAlign w:val="center"/>
            <w:hideMark/>
          </w:tcPr>
          <w:p w:rsidR="00730AC8" w:rsidRDefault="00730AC8" w:rsidP="002F5109">
            <w:pPr>
              <w:jc w:val="right"/>
              <w:rPr>
                <w:rFonts w:ascii="Arial CE" w:hAnsi="Arial CE" w:cs="Arial CE"/>
                <w:b/>
                <w:bCs/>
                <w:sz w:val="20"/>
                <w:szCs w:val="20"/>
              </w:rPr>
            </w:pPr>
            <w:r>
              <w:rPr>
                <w:rFonts w:ascii="Arial CE" w:hAnsi="Arial CE" w:cs="Arial CE"/>
                <w:b/>
                <w:bCs/>
                <w:sz w:val="20"/>
                <w:szCs w:val="20"/>
              </w:rPr>
              <w:t>297,8</w:t>
            </w:r>
          </w:p>
        </w:tc>
        <w:tc>
          <w:tcPr>
            <w:tcW w:w="828"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cs="Arial CE"/>
                <w:b/>
                <w:bCs/>
                <w:sz w:val="20"/>
                <w:szCs w:val="20"/>
              </w:rPr>
            </w:pPr>
            <w:r>
              <w:rPr>
                <w:rFonts w:ascii="Arial CE" w:hAnsi="Arial CE" w:cs="Arial CE"/>
                <w:b/>
                <w:bCs/>
                <w:sz w:val="20"/>
                <w:szCs w:val="20"/>
              </w:rPr>
              <w:t>172,2</w:t>
            </w:r>
          </w:p>
        </w:tc>
        <w:tc>
          <w:tcPr>
            <w:tcW w:w="852" w:type="dxa"/>
            <w:tcBorders>
              <w:top w:val="nil"/>
              <w:left w:val="nil"/>
              <w:bottom w:val="nil"/>
              <w:right w:val="double" w:sz="6" w:space="0" w:color="auto"/>
            </w:tcBorders>
            <w:noWrap/>
            <w:vAlign w:val="center"/>
            <w:hideMark/>
          </w:tcPr>
          <w:p w:rsidR="00730AC8" w:rsidRDefault="00730AC8" w:rsidP="002F5109">
            <w:pPr>
              <w:jc w:val="right"/>
              <w:rPr>
                <w:rFonts w:ascii="Arial CE" w:hAnsi="Arial CE" w:cs="Arial CE"/>
                <w:b/>
                <w:bCs/>
                <w:sz w:val="20"/>
                <w:szCs w:val="20"/>
              </w:rPr>
            </w:pPr>
            <w:r>
              <w:rPr>
                <w:rFonts w:ascii="Arial CE" w:hAnsi="Arial CE" w:cs="Arial CE"/>
                <w:b/>
                <w:bCs/>
                <w:sz w:val="20"/>
                <w:szCs w:val="20"/>
              </w:rPr>
              <w:t>125,6</w:t>
            </w:r>
          </w:p>
        </w:tc>
      </w:tr>
      <w:tr w:rsidR="00730AC8" w:rsidRPr="009B0D99" w:rsidTr="002F5109">
        <w:trPr>
          <w:trHeight w:val="285"/>
          <w:jc w:val="center"/>
        </w:trPr>
        <w:tc>
          <w:tcPr>
            <w:tcW w:w="2552" w:type="dxa"/>
            <w:tcBorders>
              <w:top w:val="nil"/>
              <w:left w:val="double" w:sz="6" w:space="0" w:color="auto"/>
              <w:bottom w:val="nil"/>
              <w:right w:val="single" w:sz="4" w:space="0" w:color="auto"/>
            </w:tcBorders>
            <w:noWrap/>
            <w:vAlign w:val="center"/>
            <w:hideMark/>
          </w:tcPr>
          <w:p w:rsidR="00730AC8" w:rsidRDefault="00730AC8" w:rsidP="002F5109">
            <w:pPr>
              <w:spacing w:line="276" w:lineRule="auto"/>
              <w:rPr>
                <w:rFonts w:ascii="Arial" w:hAnsi="Arial" w:cs="Arial"/>
                <w:b/>
                <w:bCs/>
                <w:sz w:val="20"/>
                <w:szCs w:val="20"/>
                <w:lang w:eastAsia="en-US"/>
              </w:rPr>
            </w:pPr>
            <w:r>
              <w:rPr>
                <w:rFonts w:ascii="Arial" w:hAnsi="Arial" w:cs="Arial"/>
                <w:b/>
                <w:bCs/>
                <w:sz w:val="20"/>
                <w:szCs w:val="20"/>
                <w:lang w:eastAsia="en-US"/>
              </w:rPr>
              <w:t>z toho</w:t>
            </w:r>
            <w:r>
              <w:rPr>
                <w:rFonts w:ascii="Arial" w:hAnsi="Arial" w:cs="Arial"/>
                <w:sz w:val="20"/>
                <w:szCs w:val="20"/>
                <w:lang w:eastAsia="en-US"/>
              </w:rPr>
              <w:t xml:space="preserve"> ženy</w:t>
            </w:r>
          </w:p>
        </w:tc>
        <w:tc>
          <w:tcPr>
            <w:tcW w:w="852" w:type="dxa"/>
            <w:tcBorders>
              <w:top w:val="single" w:sz="4" w:space="0" w:color="auto"/>
              <w:left w:val="nil"/>
              <w:bottom w:val="nil"/>
              <w:right w:val="nil"/>
            </w:tcBorders>
            <w:noWrap/>
            <w:vAlign w:val="center"/>
            <w:hideMark/>
          </w:tcPr>
          <w:p w:rsidR="00730AC8" w:rsidRDefault="00730AC8" w:rsidP="002F5109">
            <w:pPr>
              <w:jc w:val="right"/>
              <w:rPr>
                <w:rFonts w:ascii="Arial CE" w:hAnsi="Arial CE"/>
                <w:sz w:val="20"/>
                <w:szCs w:val="20"/>
              </w:rPr>
            </w:pPr>
            <w:r>
              <w:rPr>
                <w:rFonts w:ascii="Arial CE" w:hAnsi="Arial CE"/>
                <w:sz w:val="20"/>
                <w:szCs w:val="20"/>
              </w:rPr>
              <w:t>128,3</w:t>
            </w:r>
          </w:p>
        </w:tc>
        <w:tc>
          <w:tcPr>
            <w:tcW w:w="808" w:type="dxa"/>
            <w:tcBorders>
              <w:top w:val="single" w:sz="4" w:space="0" w:color="auto"/>
              <w:left w:val="single" w:sz="4" w:space="0" w:color="auto"/>
              <w:bottom w:val="nil"/>
              <w:right w:val="single" w:sz="4" w:space="0" w:color="auto"/>
            </w:tcBorders>
            <w:noWrap/>
            <w:vAlign w:val="center"/>
            <w:hideMark/>
          </w:tcPr>
          <w:p w:rsidR="00730AC8" w:rsidRDefault="00730AC8" w:rsidP="002F5109">
            <w:pPr>
              <w:jc w:val="right"/>
              <w:rPr>
                <w:rFonts w:ascii="Arial CE" w:hAnsi="Arial CE"/>
                <w:sz w:val="20"/>
                <w:szCs w:val="20"/>
              </w:rPr>
            </w:pPr>
            <w:r>
              <w:rPr>
                <w:rFonts w:ascii="Arial CE" w:hAnsi="Arial CE"/>
                <w:sz w:val="20"/>
                <w:szCs w:val="20"/>
              </w:rPr>
              <w:t>72,9</w:t>
            </w:r>
          </w:p>
        </w:tc>
        <w:tc>
          <w:tcPr>
            <w:tcW w:w="808" w:type="dxa"/>
            <w:tcBorders>
              <w:top w:val="single" w:sz="4" w:space="0" w:color="auto"/>
              <w:left w:val="nil"/>
              <w:bottom w:val="nil"/>
              <w:right w:val="single" w:sz="4" w:space="0" w:color="auto"/>
            </w:tcBorders>
            <w:noWrap/>
            <w:vAlign w:val="center"/>
            <w:hideMark/>
          </w:tcPr>
          <w:p w:rsidR="00730AC8" w:rsidRDefault="00730AC8" w:rsidP="002F5109">
            <w:pPr>
              <w:jc w:val="right"/>
              <w:rPr>
                <w:rFonts w:ascii="Arial CE" w:hAnsi="Arial CE"/>
                <w:sz w:val="20"/>
                <w:szCs w:val="20"/>
              </w:rPr>
            </w:pPr>
            <w:r>
              <w:rPr>
                <w:rFonts w:ascii="Arial CE" w:hAnsi="Arial CE"/>
                <w:sz w:val="20"/>
                <w:szCs w:val="20"/>
              </w:rPr>
              <w:t>55,4</w:t>
            </w:r>
          </w:p>
        </w:tc>
        <w:tc>
          <w:tcPr>
            <w:tcW w:w="888" w:type="dxa"/>
            <w:tcBorders>
              <w:top w:val="single" w:sz="4" w:space="0" w:color="auto"/>
              <w:left w:val="nil"/>
              <w:bottom w:val="nil"/>
              <w:right w:val="nil"/>
            </w:tcBorders>
            <w:noWrap/>
            <w:vAlign w:val="center"/>
            <w:hideMark/>
          </w:tcPr>
          <w:p w:rsidR="00730AC8" w:rsidRPr="0046719F" w:rsidRDefault="00730AC8" w:rsidP="002F5109">
            <w:pPr>
              <w:jc w:val="right"/>
              <w:rPr>
                <w:rFonts w:ascii="Arial CE" w:hAnsi="Arial CE" w:cs="Arial CE"/>
                <w:bCs/>
                <w:sz w:val="20"/>
                <w:szCs w:val="20"/>
              </w:rPr>
            </w:pPr>
            <w:r w:rsidRPr="0046719F">
              <w:rPr>
                <w:rFonts w:ascii="Arial CE" w:hAnsi="Arial CE" w:cs="Arial CE"/>
                <w:bCs/>
                <w:sz w:val="20"/>
                <w:szCs w:val="20"/>
              </w:rPr>
              <w:t>131,6</w:t>
            </w:r>
          </w:p>
        </w:tc>
        <w:tc>
          <w:tcPr>
            <w:tcW w:w="828" w:type="dxa"/>
            <w:tcBorders>
              <w:top w:val="single" w:sz="4" w:space="0" w:color="auto"/>
              <w:left w:val="single" w:sz="4" w:space="0" w:color="auto"/>
              <w:bottom w:val="nil"/>
              <w:right w:val="single" w:sz="4" w:space="0" w:color="auto"/>
            </w:tcBorders>
            <w:noWrap/>
            <w:vAlign w:val="center"/>
            <w:hideMark/>
          </w:tcPr>
          <w:p w:rsidR="00730AC8" w:rsidRPr="0046719F" w:rsidRDefault="00730AC8" w:rsidP="002F5109">
            <w:pPr>
              <w:jc w:val="right"/>
              <w:rPr>
                <w:rFonts w:ascii="Arial CE" w:hAnsi="Arial CE" w:cs="Arial CE"/>
                <w:bCs/>
                <w:sz w:val="20"/>
                <w:szCs w:val="20"/>
              </w:rPr>
            </w:pPr>
            <w:r w:rsidRPr="0046719F">
              <w:rPr>
                <w:rFonts w:ascii="Arial CE" w:hAnsi="Arial CE" w:cs="Arial CE"/>
                <w:bCs/>
                <w:sz w:val="20"/>
                <w:szCs w:val="20"/>
              </w:rPr>
              <w:t>70,8</w:t>
            </w:r>
          </w:p>
        </w:tc>
        <w:tc>
          <w:tcPr>
            <w:tcW w:w="852" w:type="dxa"/>
            <w:tcBorders>
              <w:top w:val="single" w:sz="4" w:space="0" w:color="auto"/>
              <w:left w:val="nil"/>
              <w:bottom w:val="nil"/>
              <w:right w:val="double" w:sz="6" w:space="0" w:color="auto"/>
            </w:tcBorders>
            <w:noWrap/>
            <w:vAlign w:val="center"/>
            <w:hideMark/>
          </w:tcPr>
          <w:p w:rsidR="00730AC8" w:rsidRPr="0046719F" w:rsidRDefault="00730AC8" w:rsidP="002F5109">
            <w:pPr>
              <w:jc w:val="right"/>
              <w:rPr>
                <w:rFonts w:ascii="Arial CE" w:hAnsi="Arial CE" w:cs="Arial CE"/>
                <w:bCs/>
                <w:sz w:val="20"/>
                <w:szCs w:val="20"/>
              </w:rPr>
            </w:pPr>
            <w:r w:rsidRPr="0046719F">
              <w:rPr>
                <w:rFonts w:ascii="Arial CE" w:hAnsi="Arial CE" w:cs="Arial CE"/>
                <w:bCs/>
                <w:sz w:val="20"/>
                <w:szCs w:val="20"/>
              </w:rPr>
              <w:t>60,8</w:t>
            </w:r>
          </w:p>
        </w:tc>
      </w:tr>
      <w:tr w:rsidR="00730AC8" w:rsidRPr="009B0D99" w:rsidTr="002F5109">
        <w:trPr>
          <w:trHeight w:val="285"/>
          <w:jc w:val="center"/>
        </w:trPr>
        <w:tc>
          <w:tcPr>
            <w:tcW w:w="2552" w:type="dxa"/>
            <w:tcBorders>
              <w:top w:val="nil"/>
              <w:left w:val="double" w:sz="6" w:space="0" w:color="auto"/>
              <w:bottom w:val="single" w:sz="4" w:space="0" w:color="auto"/>
              <w:right w:val="single" w:sz="4" w:space="0" w:color="auto"/>
            </w:tcBorders>
            <w:noWrap/>
            <w:vAlign w:val="center"/>
            <w:hideMark/>
          </w:tcPr>
          <w:p w:rsidR="00730AC8" w:rsidRDefault="00730AC8" w:rsidP="002F5109">
            <w:pPr>
              <w:spacing w:line="276" w:lineRule="auto"/>
              <w:rPr>
                <w:rFonts w:ascii="Arial" w:hAnsi="Arial" w:cs="Arial"/>
                <w:sz w:val="20"/>
                <w:szCs w:val="20"/>
                <w:lang w:eastAsia="en-US"/>
              </w:rPr>
            </w:pPr>
            <w:r>
              <w:rPr>
                <w:rFonts w:ascii="Arial" w:hAnsi="Arial" w:cs="Arial"/>
                <w:sz w:val="20"/>
                <w:szCs w:val="20"/>
                <w:lang w:eastAsia="en-US"/>
              </w:rPr>
              <w:t xml:space="preserve">           muži</w:t>
            </w:r>
          </w:p>
        </w:tc>
        <w:tc>
          <w:tcPr>
            <w:tcW w:w="852" w:type="dxa"/>
            <w:tcBorders>
              <w:top w:val="nil"/>
              <w:left w:val="nil"/>
              <w:bottom w:val="single" w:sz="4" w:space="0" w:color="auto"/>
              <w:right w:val="nil"/>
            </w:tcBorders>
            <w:noWrap/>
            <w:vAlign w:val="center"/>
            <w:hideMark/>
          </w:tcPr>
          <w:p w:rsidR="00730AC8" w:rsidRDefault="00730AC8" w:rsidP="002F5109">
            <w:pPr>
              <w:jc w:val="right"/>
              <w:rPr>
                <w:rFonts w:ascii="Arial CE" w:hAnsi="Arial CE"/>
                <w:sz w:val="20"/>
                <w:szCs w:val="20"/>
              </w:rPr>
            </w:pPr>
            <w:r>
              <w:rPr>
                <w:rFonts w:ascii="Arial CE" w:hAnsi="Arial CE"/>
                <w:sz w:val="20"/>
                <w:szCs w:val="20"/>
              </w:rPr>
              <w:t>149,2</w:t>
            </w:r>
          </w:p>
        </w:tc>
        <w:tc>
          <w:tcPr>
            <w:tcW w:w="808" w:type="dxa"/>
            <w:tcBorders>
              <w:top w:val="nil"/>
              <w:left w:val="single" w:sz="4" w:space="0" w:color="auto"/>
              <w:bottom w:val="single" w:sz="4" w:space="0" w:color="auto"/>
              <w:right w:val="single" w:sz="4" w:space="0" w:color="auto"/>
            </w:tcBorders>
            <w:noWrap/>
            <w:vAlign w:val="center"/>
            <w:hideMark/>
          </w:tcPr>
          <w:p w:rsidR="00730AC8" w:rsidRDefault="00730AC8" w:rsidP="002F5109">
            <w:pPr>
              <w:jc w:val="right"/>
              <w:rPr>
                <w:rFonts w:ascii="Arial CE" w:hAnsi="Arial CE"/>
                <w:sz w:val="20"/>
                <w:szCs w:val="20"/>
              </w:rPr>
            </w:pPr>
            <w:r>
              <w:rPr>
                <w:rFonts w:ascii="Arial CE" w:hAnsi="Arial CE"/>
                <w:sz w:val="20"/>
                <w:szCs w:val="20"/>
              </w:rPr>
              <w:t>95,8</w:t>
            </w:r>
          </w:p>
        </w:tc>
        <w:tc>
          <w:tcPr>
            <w:tcW w:w="808" w:type="dxa"/>
            <w:tcBorders>
              <w:top w:val="nil"/>
              <w:left w:val="nil"/>
              <w:bottom w:val="single" w:sz="4" w:space="0" w:color="auto"/>
              <w:right w:val="single" w:sz="4" w:space="0" w:color="auto"/>
            </w:tcBorders>
            <w:noWrap/>
            <w:vAlign w:val="center"/>
            <w:hideMark/>
          </w:tcPr>
          <w:p w:rsidR="00730AC8" w:rsidRDefault="00730AC8" w:rsidP="002F5109">
            <w:pPr>
              <w:jc w:val="right"/>
              <w:rPr>
                <w:rFonts w:ascii="Arial CE" w:hAnsi="Arial CE"/>
                <w:sz w:val="20"/>
                <w:szCs w:val="20"/>
              </w:rPr>
            </w:pPr>
            <w:r>
              <w:rPr>
                <w:rFonts w:ascii="Arial CE" w:hAnsi="Arial CE"/>
                <w:sz w:val="20"/>
                <w:szCs w:val="20"/>
              </w:rPr>
              <w:t>53,4</w:t>
            </w:r>
          </w:p>
        </w:tc>
        <w:tc>
          <w:tcPr>
            <w:tcW w:w="888" w:type="dxa"/>
            <w:tcBorders>
              <w:top w:val="nil"/>
              <w:left w:val="nil"/>
              <w:bottom w:val="single" w:sz="4" w:space="0" w:color="auto"/>
              <w:right w:val="nil"/>
            </w:tcBorders>
            <w:noWrap/>
            <w:vAlign w:val="center"/>
            <w:hideMark/>
          </w:tcPr>
          <w:p w:rsidR="00730AC8" w:rsidRPr="0046719F" w:rsidRDefault="00730AC8" w:rsidP="002F5109">
            <w:pPr>
              <w:jc w:val="right"/>
              <w:rPr>
                <w:rFonts w:ascii="Arial CE" w:hAnsi="Arial CE" w:cs="Arial CE"/>
                <w:bCs/>
                <w:sz w:val="20"/>
                <w:szCs w:val="20"/>
              </w:rPr>
            </w:pPr>
            <w:r w:rsidRPr="0046719F">
              <w:rPr>
                <w:rFonts w:ascii="Arial CE" w:hAnsi="Arial CE" w:cs="Arial CE"/>
                <w:bCs/>
                <w:sz w:val="20"/>
                <w:szCs w:val="20"/>
              </w:rPr>
              <w:t>166,2</w:t>
            </w:r>
          </w:p>
        </w:tc>
        <w:tc>
          <w:tcPr>
            <w:tcW w:w="828" w:type="dxa"/>
            <w:tcBorders>
              <w:top w:val="nil"/>
              <w:left w:val="single" w:sz="4" w:space="0" w:color="auto"/>
              <w:bottom w:val="single" w:sz="4" w:space="0" w:color="auto"/>
              <w:right w:val="single" w:sz="4" w:space="0" w:color="auto"/>
            </w:tcBorders>
            <w:noWrap/>
            <w:vAlign w:val="center"/>
            <w:hideMark/>
          </w:tcPr>
          <w:p w:rsidR="00730AC8" w:rsidRPr="0046719F" w:rsidRDefault="00730AC8" w:rsidP="002F5109">
            <w:pPr>
              <w:jc w:val="right"/>
              <w:rPr>
                <w:rFonts w:ascii="Arial CE" w:hAnsi="Arial CE" w:cs="Arial CE"/>
                <w:bCs/>
                <w:sz w:val="20"/>
                <w:szCs w:val="20"/>
              </w:rPr>
            </w:pPr>
            <w:r w:rsidRPr="0046719F">
              <w:rPr>
                <w:rFonts w:ascii="Arial CE" w:hAnsi="Arial CE" w:cs="Arial CE"/>
                <w:bCs/>
                <w:sz w:val="20"/>
                <w:szCs w:val="20"/>
              </w:rPr>
              <w:t>101,4</w:t>
            </w:r>
          </w:p>
        </w:tc>
        <w:tc>
          <w:tcPr>
            <w:tcW w:w="852" w:type="dxa"/>
            <w:tcBorders>
              <w:top w:val="nil"/>
              <w:left w:val="nil"/>
              <w:bottom w:val="single" w:sz="4" w:space="0" w:color="auto"/>
              <w:right w:val="double" w:sz="6" w:space="0" w:color="auto"/>
            </w:tcBorders>
            <w:noWrap/>
            <w:vAlign w:val="center"/>
            <w:hideMark/>
          </w:tcPr>
          <w:p w:rsidR="00730AC8" w:rsidRPr="0046719F" w:rsidRDefault="00730AC8" w:rsidP="002F5109">
            <w:pPr>
              <w:jc w:val="right"/>
              <w:rPr>
                <w:rFonts w:ascii="Arial CE" w:hAnsi="Arial CE" w:cs="Arial CE"/>
                <w:bCs/>
                <w:sz w:val="20"/>
                <w:szCs w:val="20"/>
              </w:rPr>
            </w:pPr>
            <w:r w:rsidRPr="0046719F">
              <w:rPr>
                <w:rFonts w:ascii="Arial CE" w:hAnsi="Arial CE" w:cs="Arial CE"/>
                <w:bCs/>
                <w:sz w:val="20"/>
                <w:szCs w:val="20"/>
              </w:rPr>
              <w:t>64,8</w:t>
            </w:r>
          </w:p>
        </w:tc>
      </w:tr>
      <w:tr w:rsidR="00730AC8" w:rsidRPr="009B0D99" w:rsidTr="002F5109">
        <w:trPr>
          <w:trHeight w:val="300"/>
          <w:jc w:val="center"/>
        </w:trPr>
        <w:tc>
          <w:tcPr>
            <w:tcW w:w="2552" w:type="dxa"/>
            <w:tcBorders>
              <w:top w:val="nil"/>
              <w:left w:val="double" w:sz="6" w:space="0" w:color="auto"/>
              <w:bottom w:val="nil"/>
              <w:right w:val="single" w:sz="4" w:space="0" w:color="auto"/>
            </w:tcBorders>
            <w:noWrap/>
            <w:vAlign w:val="bottom"/>
            <w:hideMark/>
          </w:tcPr>
          <w:p w:rsidR="00730AC8" w:rsidRDefault="00730AC8" w:rsidP="002F5109">
            <w:pPr>
              <w:spacing w:line="276" w:lineRule="auto"/>
              <w:rPr>
                <w:rFonts w:ascii="Arial" w:hAnsi="Arial" w:cs="Arial"/>
                <w:b/>
                <w:bCs/>
                <w:sz w:val="20"/>
                <w:szCs w:val="20"/>
                <w:lang w:eastAsia="en-US"/>
              </w:rPr>
            </w:pPr>
            <w:r>
              <w:rPr>
                <w:rFonts w:ascii="Arial" w:hAnsi="Arial" w:cs="Arial"/>
                <w:b/>
                <w:bCs/>
                <w:sz w:val="20"/>
                <w:szCs w:val="20"/>
                <w:lang w:eastAsia="en-US"/>
              </w:rPr>
              <w:t>vyřazení celkem</w:t>
            </w:r>
          </w:p>
        </w:tc>
        <w:tc>
          <w:tcPr>
            <w:tcW w:w="852" w:type="dxa"/>
            <w:noWrap/>
            <w:vAlign w:val="center"/>
            <w:hideMark/>
          </w:tcPr>
          <w:p w:rsidR="00730AC8" w:rsidRDefault="00730AC8" w:rsidP="002F5109">
            <w:pPr>
              <w:jc w:val="right"/>
              <w:rPr>
                <w:rFonts w:ascii="Arial CE" w:hAnsi="Arial CE"/>
                <w:b/>
                <w:bCs/>
                <w:sz w:val="20"/>
                <w:szCs w:val="20"/>
              </w:rPr>
            </w:pPr>
            <w:r>
              <w:rPr>
                <w:rFonts w:ascii="Arial CE" w:hAnsi="Arial CE"/>
                <w:b/>
                <w:bCs/>
                <w:sz w:val="20"/>
                <w:szCs w:val="20"/>
              </w:rPr>
              <w:t>311,3</w:t>
            </w:r>
          </w:p>
        </w:tc>
        <w:tc>
          <w:tcPr>
            <w:tcW w:w="808"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b/>
                <w:bCs/>
                <w:sz w:val="20"/>
                <w:szCs w:val="20"/>
              </w:rPr>
            </w:pPr>
            <w:r>
              <w:rPr>
                <w:rFonts w:ascii="Arial CE" w:hAnsi="Arial CE"/>
                <w:b/>
                <w:bCs/>
                <w:sz w:val="20"/>
                <w:szCs w:val="20"/>
              </w:rPr>
              <w:t>152,0</w:t>
            </w:r>
          </w:p>
        </w:tc>
        <w:tc>
          <w:tcPr>
            <w:tcW w:w="808" w:type="dxa"/>
            <w:tcBorders>
              <w:top w:val="nil"/>
              <w:left w:val="nil"/>
              <w:bottom w:val="nil"/>
              <w:right w:val="single" w:sz="4" w:space="0" w:color="auto"/>
            </w:tcBorders>
            <w:noWrap/>
            <w:vAlign w:val="center"/>
            <w:hideMark/>
          </w:tcPr>
          <w:p w:rsidR="00730AC8" w:rsidRDefault="00730AC8" w:rsidP="002F5109">
            <w:pPr>
              <w:jc w:val="right"/>
              <w:rPr>
                <w:rFonts w:ascii="Arial CE" w:hAnsi="Arial CE"/>
                <w:b/>
                <w:bCs/>
                <w:sz w:val="20"/>
                <w:szCs w:val="20"/>
              </w:rPr>
            </w:pPr>
            <w:r>
              <w:rPr>
                <w:rFonts w:ascii="Arial CE" w:hAnsi="Arial CE"/>
                <w:b/>
                <w:bCs/>
                <w:sz w:val="20"/>
                <w:szCs w:val="20"/>
              </w:rPr>
              <w:t>159,4</w:t>
            </w:r>
          </w:p>
        </w:tc>
        <w:tc>
          <w:tcPr>
            <w:tcW w:w="888" w:type="dxa"/>
            <w:noWrap/>
            <w:vAlign w:val="center"/>
            <w:hideMark/>
          </w:tcPr>
          <w:p w:rsidR="00730AC8" w:rsidRDefault="00730AC8" w:rsidP="002F5109">
            <w:pPr>
              <w:jc w:val="right"/>
              <w:rPr>
                <w:rFonts w:ascii="Arial CE" w:hAnsi="Arial CE" w:cs="Arial CE"/>
                <w:b/>
                <w:bCs/>
                <w:sz w:val="20"/>
                <w:szCs w:val="20"/>
              </w:rPr>
            </w:pPr>
            <w:r>
              <w:rPr>
                <w:rFonts w:ascii="Arial CE" w:hAnsi="Arial CE" w:cs="Arial CE"/>
                <w:b/>
                <w:bCs/>
                <w:sz w:val="20"/>
                <w:szCs w:val="20"/>
              </w:rPr>
              <w:t>302,6</w:t>
            </w:r>
          </w:p>
        </w:tc>
        <w:tc>
          <w:tcPr>
            <w:tcW w:w="828"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cs="Arial CE"/>
                <w:b/>
                <w:bCs/>
                <w:sz w:val="20"/>
                <w:szCs w:val="20"/>
              </w:rPr>
            </w:pPr>
            <w:r>
              <w:rPr>
                <w:rFonts w:ascii="Arial CE" w:hAnsi="Arial CE" w:cs="Arial CE"/>
                <w:b/>
                <w:bCs/>
                <w:sz w:val="20"/>
                <w:szCs w:val="20"/>
              </w:rPr>
              <w:t>129,7</w:t>
            </w:r>
          </w:p>
        </w:tc>
        <w:tc>
          <w:tcPr>
            <w:tcW w:w="852" w:type="dxa"/>
            <w:tcBorders>
              <w:top w:val="nil"/>
              <w:left w:val="nil"/>
              <w:bottom w:val="nil"/>
              <w:right w:val="double" w:sz="6" w:space="0" w:color="auto"/>
            </w:tcBorders>
            <w:noWrap/>
            <w:vAlign w:val="center"/>
            <w:hideMark/>
          </w:tcPr>
          <w:p w:rsidR="00730AC8" w:rsidRDefault="00730AC8" w:rsidP="002F5109">
            <w:pPr>
              <w:jc w:val="right"/>
              <w:rPr>
                <w:rFonts w:ascii="Arial CE" w:hAnsi="Arial CE" w:cs="Arial CE"/>
                <w:b/>
                <w:bCs/>
                <w:sz w:val="20"/>
                <w:szCs w:val="20"/>
              </w:rPr>
            </w:pPr>
            <w:r>
              <w:rPr>
                <w:rFonts w:ascii="Arial CE" w:hAnsi="Arial CE" w:cs="Arial CE"/>
                <w:b/>
                <w:bCs/>
                <w:sz w:val="20"/>
                <w:szCs w:val="20"/>
              </w:rPr>
              <w:t>172,9</w:t>
            </w:r>
          </w:p>
        </w:tc>
      </w:tr>
      <w:tr w:rsidR="00730AC8" w:rsidRPr="009B0D99" w:rsidTr="002F5109">
        <w:trPr>
          <w:trHeight w:val="255"/>
          <w:jc w:val="center"/>
        </w:trPr>
        <w:tc>
          <w:tcPr>
            <w:tcW w:w="2552" w:type="dxa"/>
            <w:tcBorders>
              <w:top w:val="nil"/>
              <w:left w:val="double" w:sz="6" w:space="0" w:color="auto"/>
              <w:bottom w:val="nil"/>
              <w:right w:val="single" w:sz="4" w:space="0" w:color="auto"/>
            </w:tcBorders>
            <w:noWrap/>
            <w:vAlign w:val="bottom"/>
            <w:hideMark/>
          </w:tcPr>
          <w:p w:rsidR="00730AC8" w:rsidRDefault="00730AC8" w:rsidP="002F5109">
            <w:pPr>
              <w:spacing w:line="276" w:lineRule="auto"/>
              <w:rPr>
                <w:rFonts w:ascii="Arial" w:hAnsi="Arial" w:cs="Arial"/>
                <w:b/>
                <w:bCs/>
                <w:sz w:val="20"/>
                <w:szCs w:val="20"/>
                <w:lang w:eastAsia="en-US"/>
              </w:rPr>
            </w:pPr>
            <w:r>
              <w:rPr>
                <w:rFonts w:ascii="Arial" w:hAnsi="Arial" w:cs="Arial"/>
                <w:b/>
                <w:bCs/>
                <w:sz w:val="20"/>
                <w:szCs w:val="20"/>
                <w:lang w:eastAsia="en-US"/>
              </w:rPr>
              <w:t>z toho:</w:t>
            </w:r>
          </w:p>
        </w:tc>
        <w:tc>
          <w:tcPr>
            <w:tcW w:w="852" w:type="dxa"/>
            <w:noWrap/>
            <w:vAlign w:val="center"/>
            <w:hideMark/>
          </w:tcPr>
          <w:p w:rsidR="00730AC8" w:rsidRDefault="00730AC8" w:rsidP="002F5109">
            <w:pPr>
              <w:rPr>
                <w:rFonts w:ascii="Arial CE" w:hAnsi="Arial CE"/>
                <w:sz w:val="20"/>
                <w:szCs w:val="20"/>
              </w:rPr>
            </w:pPr>
          </w:p>
        </w:tc>
        <w:tc>
          <w:tcPr>
            <w:tcW w:w="808" w:type="dxa"/>
            <w:tcBorders>
              <w:top w:val="nil"/>
              <w:left w:val="single" w:sz="4" w:space="0" w:color="auto"/>
              <w:bottom w:val="nil"/>
              <w:right w:val="single" w:sz="4" w:space="0" w:color="auto"/>
            </w:tcBorders>
            <w:noWrap/>
            <w:vAlign w:val="center"/>
            <w:hideMark/>
          </w:tcPr>
          <w:p w:rsidR="00730AC8" w:rsidRDefault="00730AC8" w:rsidP="002F5109">
            <w:pPr>
              <w:rPr>
                <w:rFonts w:ascii="Arial CE" w:hAnsi="Arial CE"/>
                <w:sz w:val="20"/>
                <w:szCs w:val="20"/>
              </w:rPr>
            </w:pPr>
            <w:r>
              <w:rPr>
                <w:rFonts w:ascii="Arial CE" w:hAnsi="Arial CE"/>
                <w:sz w:val="20"/>
                <w:szCs w:val="20"/>
              </w:rPr>
              <w:t> </w:t>
            </w:r>
          </w:p>
        </w:tc>
        <w:tc>
          <w:tcPr>
            <w:tcW w:w="808" w:type="dxa"/>
            <w:tcBorders>
              <w:top w:val="nil"/>
              <w:left w:val="nil"/>
              <w:bottom w:val="nil"/>
              <w:right w:val="single" w:sz="4" w:space="0" w:color="auto"/>
            </w:tcBorders>
            <w:noWrap/>
            <w:vAlign w:val="center"/>
            <w:hideMark/>
          </w:tcPr>
          <w:p w:rsidR="00730AC8" w:rsidRDefault="00730AC8" w:rsidP="002F5109">
            <w:pPr>
              <w:rPr>
                <w:rFonts w:ascii="Arial CE" w:hAnsi="Arial CE"/>
                <w:sz w:val="20"/>
                <w:szCs w:val="20"/>
              </w:rPr>
            </w:pPr>
            <w:r>
              <w:rPr>
                <w:rFonts w:ascii="Arial CE" w:hAnsi="Arial CE"/>
                <w:sz w:val="20"/>
                <w:szCs w:val="20"/>
              </w:rPr>
              <w:t> </w:t>
            </w:r>
          </w:p>
        </w:tc>
        <w:tc>
          <w:tcPr>
            <w:tcW w:w="888" w:type="dxa"/>
            <w:noWrap/>
            <w:vAlign w:val="center"/>
            <w:hideMark/>
          </w:tcPr>
          <w:p w:rsidR="00730AC8" w:rsidRDefault="00730AC8" w:rsidP="002F5109">
            <w:pPr>
              <w:rPr>
                <w:rFonts w:ascii="Arial CE" w:hAnsi="Arial CE" w:cs="Arial CE"/>
                <w:b/>
                <w:bCs/>
                <w:sz w:val="20"/>
                <w:szCs w:val="20"/>
              </w:rPr>
            </w:pPr>
            <w:r>
              <w:rPr>
                <w:rFonts w:ascii="Arial CE" w:hAnsi="Arial CE" w:cs="Arial CE"/>
                <w:b/>
                <w:bCs/>
                <w:sz w:val="20"/>
                <w:szCs w:val="20"/>
              </w:rPr>
              <w:t> </w:t>
            </w:r>
          </w:p>
        </w:tc>
        <w:tc>
          <w:tcPr>
            <w:tcW w:w="828" w:type="dxa"/>
            <w:tcBorders>
              <w:top w:val="nil"/>
              <w:left w:val="single" w:sz="4" w:space="0" w:color="auto"/>
              <w:bottom w:val="nil"/>
              <w:right w:val="single" w:sz="4" w:space="0" w:color="auto"/>
            </w:tcBorders>
            <w:noWrap/>
            <w:vAlign w:val="center"/>
            <w:hideMark/>
          </w:tcPr>
          <w:p w:rsidR="00730AC8" w:rsidRDefault="00730AC8" w:rsidP="002F5109">
            <w:pPr>
              <w:rPr>
                <w:rFonts w:ascii="Arial CE" w:hAnsi="Arial CE" w:cs="Arial CE"/>
                <w:b/>
                <w:bCs/>
                <w:sz w:val="20"/>
                <w:szCs w:val="20"/>
              </w:rPr>
            </w:pPr>
            <w:r>
              <w:rPr>
                <w:rFonts w:ascii="Arial CE" w:hAnsi="Arial CE" w:cs="Arial CE"/>
                <w:b/>
                <w:bCs/>
                <w:sz w:val="20"/>
                <w:szCs w:val="20"/>
              </w:rPr>
              <w:t> </w:t>
            </w:r>
          </w:p>
        </w:tc>
        <w:tc>
          <w:tcPr>
            <w:tcW w:w="852" w:type="dxa"/>
            <w:tcBorders>
              <w:top w:val="nil"/>
              <w:left w:val="nil"/>
              <w:bottom w:val="nil"/>
              <w:right w:val="double" w:sz="6" w:space="0" w:color="auto"/>
            </w:tcBorders>
            <w:noWrap/>
            <w:vAlign w:val="center"/>
            <w:hideMark/>
          </w:tcPr>
          <w:p w:rsidR="00730AC8" w:rsidRDefault="00730AC8" w:rsidP="002F5109">
            <w:pPr>
              <w:rPr>
                <w:rFonts w:ascii="Arial CE" w:hAnsi="Arial CE" w:cs="Arial CE"/>
                <w:b/>
                <w:bCs/>
                <w:sz w:val="20"/>
                <w:szCs w:val="20"/>
              </w:rPr>
            </w:pPr>
            <w:r>
              <w:rPr>
                <w:rFonts w:ascii="Arial CE" w:hAnsi="Arial CE" w:cs="Arial CE"/>
                <w:b/>
                <w:bCs/>
                <w:sz w:val="20"/>
                <w:szCs w:val="20"/>
              </w:rPr>
              <w:t> </w:t>
            </w:r>
          </w:p>
        </w:tc>
      </w:tr>
      <w:tr w:rsidR="00730AC8" w:rsidRPr="009B0D99" w:rsidTr="002F5109">
        <w:trPr>
          <w:trHeight w:val="255"/>
          <w:jc w:val="center"/>
        </w:trPr>
        <w:tc>
          <w:tcPr>
            <w:tcW w:w="2552" w:type="dxa"/>
            <w:tcBorders>
              <w:top w:val="nil"/>
              <w:left w:val="double" w:sz="6" w:space="0" w:color="auto"/>
              <w:bottom w:val="nil"/>
              <w:right w:val="single" w:sz="4" w:space="0" w:color="auto"/>
            </w:tcBorders>
            <w:noWrap/>
            <w:vAlign w:val="bottom"/>
            <w:hideMark/>
          </w:tcPr>
          <w:p w:rsidR="00730AC8" w:rsidRDefault="00730AC8" w:rsidP="002F5109">
            <w:pPr>
              <w:spacing w:line="276" w:lineRule="auto"/>
              <w:rPr>
                <w:rFonts w:ascii="Arial" w:hAnsi="Arial" w:cs="Arial"/>
                <w:sz w:val="20"/>
                <w:szCs w:val="20"/>
                <w:lang w:eastAsia="en-US"/>
              </w:rPr>
            </w:pPr>
            <w:r>
              <w:rPr>
                <w:rFonts w:ascii="Arial" w:hAnsi="Arial" w:cs="Arial"/>
                <w:sz w:val="20"/>
                <w:szCs w:val="20"/>
                <w:lang w:eastAsia="en-US"/>
              </w:rPr>
              <w:t>umístění ÚP</w:t>
            </w:r>
            <w:r w:rsidR="004F7079">
              <w:rPr>
                <w:rFonts w:ascii="Arial" w:hAnsi="Arial" w:cs="Arial"/>
                <w:sz w:val="20"/>
                <w:szCs w:val="20"/>
                <w:lang w:eastAsia="en-US"/>
              </w:rPr>
              <w:t> ČR</w:t>
            </w:r>
          </w:p>
        </w:tc>
        <w:tc>
          <w:tcPr>
            <w:tcW w:w="852" w:type="dxa"/>
            <w:noWrap/>
            <w:vAlign w:val="center"/>
            <w:hideMark/>
          </w:tcPr>
          <w:p w:rsidR="00730AC8" w:rsidRDefault="00730AC8" w:rsidP="002F5109">
            <w:pPr>
              <w:jc w:val="right"/>
              <w:rPr>
                <w:rFonts w:ascii="Arial CE" w:hAnsi="Arial CE"/>
                <w:sz w:val="20"/>
                <w:szCs w:val="20"/>
              </w:rPr>
            </w:pPr>
            <w:r>
              <w:rPr>
                <w:rFonts w:ascii="Arial CE" w:hAnsi="Arial CE"/>
                <w:sz w:val="20"/>
                <w:szCs w:val="20"/>
              </w:rPr>
              <w:t>17,5</w:t>
            </w:r>
          </w:p>
        </w:tc>
        <w:tc>
          <w:tcPr>
            <w:tcW w:w="808"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sz w:val="20"/>
                <w:szCs w:val="20"/>
              </w:rPr>
            </w:pPr>
            <w:r>
              <w:rPr>
                <w:rFonts w:ascii="Arial CE" w:hAnsi="Arial CE"/>
                <w:sz w:val="20"/>
                <w:szCs w:val="20"/>
              </w:rPr>
              <w:t>6,7</w:t>
            </w:r>
          </w:p>
        </w:tc>
        <w:tc>
          <w:tcPr>
            <w:tcW w:w="808" w:type="dxa"/>
            <w:tcBorders>
              <w:top w:val="nil"/>
              <w:left w:val="nil"/>
              <w:bottom w:val="nil"/>
              <w:right w:val="single" w:sz="4" w:space="0" w:color="auto"/>
            </w:tcBorders>
            <w:noWrap/>
            <w:vAlign w:val="center"/>
            <w:hideMark/>
          </w:tcPr>
          <w:p w:rsidR="00730AC8" w:rsidRDefault="00730AC8" w:rsidP="002F5109">
            <w:pPr>
              <w:jc w:val="right"/>
              <w:rPr>
                <w:rFonts w:ascii="Arial CE" w:hAnsi="Arial CE"/>
                <w:sz w:val="20"/>
                <w:szCs w:val="20"/>
              </w:rPr>
            </w:pPr>
            <w:r>
              <w:rPr>
                <w:rFonts w:ascii="Arial CE" w:hAnsi="Arial CE"/>
                <w:sz w:val="20"/>
                <w:szCs w:val="20"/>
              </w:rPr>
              <w:t>10,8</w:t>
            </w:r>
          </w:p>
        </w:tc>
        <w:tc>
          <w:tcPr>
            <w:tcW w:w="888" w:type="dxa"/>
            <w:noWrap/>
            <w:vAlign w:val="center"/>
            <w:hideMark/>
          </w:tcPr>
          <w:p w:rsidR="00730AC8" w:rsidRPr="0046719F" w:rsidRDefault="00730AC8" w:rsidP="002F5109">
            <w:pPr>
              <w:jc w:val="right"/>
              <w:rPr>
                <w:rFonts w:ascii="Arial CE" w:hAnsi="Arial CE" w:cs="Arial CE"/>
                <w:bCs/>
                <w:sz w:val="20"/>
                <w:szCs w:val="20"/>
              </w:rPr>
            </w:pPr>
            <w:r w:rsidRPr="0046719F">
              <w:rPr>
                <w:rFonts w:ascii="Arial CE" w:hAnsi="Arial CE" w:cs="Arial CE"/>
                <w:bCs/>
                <w:sz w:val="20"/>
                <w:szCs w:val="20"/>
              </w:rPr>
              <w:t>20,5</w:t>
            </w:r>
          </w:p>
        </w:tc>
        <w:tc>
          <w:tcPr>
            <w:tcW w:w="828" w:type="dxa"/>
            <w:tcBorders>
              <w:top w:val="nil"/>
              <w:left w:val="single" w:sz="4" w:space="0" w:color="auto"/>
              <w:bottom w:val="nil"/>
              <w:right w:val="single" w:sz="4" w:space="0" w:color="auto"/>
            </w:tcBorders>
            <w:noWrap/>
            <w:vAlign w:val="center"/>
            <w:hideMark/>
          </w:tcPr>
          <w:p w:rsidR="00730AC8" w:rsidRPr="0046719F" w:rsidRDefault="00730AC8" w:rsidP="002F5109">
            <w:pPr>
              <w:jc w:val="right"/>
              <w:rPr>
                <w:rFonts w:ascii="Arial CE" w:hAnsi="Arial CE" w:cs="Arial CE"/>
                <w:bCs/>
                <w:sz w:val="20"/>
                <w:szCs w:val="20"/>
              </w:rPr>
            </w:pPr>
            <w:r w:rsidRPr="0046719F">
              <w:rPr>
                <w:rFonts w:ascii="Arial CE" w:hAnsi="Arial CE" w:cs="Arial CE"/>
                <w:bCs/>
                <w:sz w:val="20"/>
                <w:szCs w:val="20"/>
              </w:rPr>
              <w:t>5,0</w:t>
            </w:r>
          </w:p>
        </w:tc>
        <w:tc>
          <w:tcPr>
            <w:tcW w:w="852" w:type="dxa"/>
            <w:tcBorders>
              <w:top w:val="nil"/>
              <w:left w:val="nil"/>
              <w:bottom w:val="nil"/>
              <w:right w:val="double" w:sz="6" w:space="0" w:color="auto"/>
            </w:tcBorders>
            <w:noWrap/>
            <w:vAlign w:val="center"/>
            <w:hideMark/>
          </w:tcPr>
          <w:p w:rsidR="00730AC8" w:rsidRPr="0046719F" w:rsidRDefault="00730AC8" w:rsidP="002F5109">
            <w:pPr>
              <w:jc w:val="right"/>
              <w:rPr>
                <w:rFonts w:ascii="Arial CE" w:hAnsi="Arial CE" w:cs="Arial CE"/>
                <w:bCs/>
                <w:sz w:val="20"/>
                <w:szCs w:val="20"/>
              </w:rPr>
            </w:pPr>
            <w:r w:rsidRPr="0046719F">
              <w:rPr>
                <w:rFonts w:ascii="Arial CE" w:hAnsi="Arial CE" w:cs="Arial CE"/>
                <w:bCs/>
                <w:sz w:val="20"/>
                <w:szCs w:val="20"/>
              </w:rPr>
              <w:t>15,5</w:t>
            </w:r>
          </w:p>
        </w:tc>
      </w:tr>
      <w:tr w:rsidR="00730AC8" w:rsidRPr="009B0D99" w:rsidTr="002F5109">
        <w:trPr>
          <w:trHeight w:val="255"/>
          <w:jc w:val="center"/>
        </w:trPr>
        <w:tc>
          <w:tcPr>
            <w:tcW w:w="2552" w:type="dxa"/>
            <w:tcBorders>
              <w:top w:val="nil"/>
              <w:left w:val="double" w:sz="6" w:space="0" w:color="auto"/>
              <w:bottom w:val="nil"/>
              <w:right w:val="single" w:sz="4" w:space="0" w:color="auto"/>
            </w:tcBorders>
            <w:noWrap/>
            <w:vAlign w:val="bottom"/>
            <w:hideMark/>
          </w:tcPr>
          <w:p w:rsidR="00730AC8" w:rsidRDefault="00730AC8" w:rsidP="002F5109">
            <w:pPr>
              <w:spacing w:line="276" w:lineRule="auto"/>
              <w:rPr>
                <w:rFonts w:ascii="Arial" w:hAnsi="Arial" w:cs="Arial"/>
                <w:sz w:val="20"/>
                <w:szCs w:val="20"/>
                <w:lang w:eastAsia="en-US"/>
              </w:rPr>
            </w:pPr>
            <w:r>
              <w:rPr>
                <w:rFonts w:ascii="Arial" w:hAnsi="Arial" w:cs="Arial"/>
                <w:sz w:val="20"/>
                <w:szCs w:val="20"/>
                <w:lang w:eastAsia="en-US"/>
              </w:rPr>
              <w:t>umístění jinak</w:t>
            </w:r>
          </w:p>
        </w:tc>
        <w:tc>
          <w:tcPr>
            <w:tcW w:w="852" w:type="dxa"/>
            <w:noWrap/>
            <w:vAlign w:val="center"/>
            <w:hideMark/>
          </w:tcPr>
          <w:p w:rsidR="00730AC8" w:rsidRDefault="00730AC8" w:rsidP="002F5109">
            <w:pPr>
              <w:jc w:val="right"/>
              <w:rPr>
                <w:rFonts w:ascii="Arial CE" w:hAnsi="Arial CE"/>
                <w:sz w:val="20"/>
                <w:szCs w:val="20"/>
              </w:rPr>
            </w:pPr>
            <w:r>
              <w:rPr>
                <w:rFonts w:ascii="Arial CE" w:hAnsi="Arial CE"/>
                <w:sz w:val="20"/>
                <w:szCs w:val="20"/>
              </w:rPr>
              <w:t>195,2</w:t>
            </w:r>
          </w:p>
        </w:tc>
        <w:tc>
          <w:tcPr>
            <w:tcW w:w="808"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sz w:val="20"/>
                <w:szCs w:val="20"/>
              </w:rPr>
            </w:pPr>
            <w:r>
              <w:rPr>
                <w:rFonts w:ascii="Arial CE" w:hAnsi="Arial CE"/>
                <w:sz w:val="20"/>
                <w:szCs w:val="20"/>
              </w:rPr>
              <w:t>95,9</w:t>
            </w:r>
          </w:p>
        </w:tc>
        <w:tc>
          <w:tcPr>
            <w:tcW w:w="808" w:type="dxa"/>
            <w:tcBorders>
              <w:top w:val="nil"/>
              <w:left w:val="nil"/>
              <w:bottom w:val="nil"/>
              <w:right w:val="single" w:sz="4" w:space="0" w:color="auto"/>
            </w:tcBorders>
            <w:noWrap/>
            <w:vAlign w:val="center"/>
            <w:hideMark/>
          </w:tcPr>
          <w:p w:rsidR="00730AC8" w:rsidRDefault="00730AC8" w:rsidP="002F5109">
            <w:pPr>
              <w:jc w:val="right"/>
              <w:rPr>
                <w:rFonts w:ascii="Arial CE" w:hAnsi="Arial CE"/>
                <w:sz w:val="20"/>
                <w:szCs w:val="20"/>
              </w:rPr>
            </w:pPr>
            <w:r>
              <w:rPr>
                <w:rFonts w:ascii="Arial CE" w:hAnsi="Arial CE"/>
                <w:sz w:val="20"/>
                <w:szCs w:val="20"/>
              </w:rPr>
              <w:t>99,3</w:t>
            </w:r>
          </w:p>
        </w:tc>
        <w:tc>
          <w:tcPr>
            <w:tcW w:w="888" w:type="dxa"/>
            <w:noWrap/>
            <w:vAlign w:val="center"/>
            <w:hideMark/>
          </w:tcPr>
          <w:p w:rsidR="00730AC8" w:rsidRPr="0046719F" w:rsidRDefault="00730AC8" w:rsidP="002F5109">
            <w:pPr>
              <w:jc w:val="right"/>
              <w:rPr>
                <w:rFonts w:ascii="Arial CE" w:hAnsi="Arial CE" w:cs="Arial CE"/>
                <w:bCs/>
                <w:sz w:val="20"/>
                <w:szCs w:val="20"/>
              </w:rPr>
            </w:pPr>
            <w:r w:rsidRPr="0046719F">
              <w:rPr>
                <w:rFonts w:ascii="Arial CE" w:hAnsi="Arial CE" w:cs="Arial CE"/>
                <w:bCs/>
                <w:sz w:val="20"/>
                <w:szCs w:val="20"/>
              </w:rPr>
              <w:t>153,4</w:t>
            </w:r>
          </w:p>
        </w:tc>
        <w:tc>
          <w:tcPr>
            <w:tcW w:w="828" w:type="dxa"/>
            <w:tcBorders>
              <w:top w:val="nil"/>
              <w:left w:val="single" w:sz="4" w:space="0" w:color="auto"/>
              <w:bottom w:val="nil"/>
              <w:right w:val="single" w:sz="4" w:space="0" w:color="auto"/>
            </w:tcBorders>
            <w:noWrap/>
            <w:vAlign w:val="center"/>
            <w:hideMark/>
          </w:tcPr>
          <w:p w:rsidR="00730AC8" w:rsidRPr="0046719F" w:rsidRDefault="00730AC8" w:rsidP="002F5109">
            <w:pPr>
              <w:jc w:val="right"/>
              <w:rPr>
                <w:rFonts w:ascii="Arial CE" w:hAnsi="Arial CE" w:cs="Arial CE"/>
                <w:bCs/>
                <w:sz w:val="20"/>
                <w:szCs w:val="20"/>
              </w:rPr>
            </w:pPr>
            <w:r w:rsidRPr="0046719F">
              <w:rPr>
                <w:rFonts w:ascii="Arial CE" w:hAnsi="Arial CE" w:cs="Arial CE"/>
                <w:bCs/>
                <w:sz w:val="20"/>
                <w:szCs w:val="20"/>
              </w:rPr>
              <w:t>67,1</w:t>
            </w:r>
          </w:p>
        </w:tc>
        <w:tc>
          <w:tcPr>
            <w:tcW w:w="852" w:type="dxa"/>
            <w:tcBorders>
              <w:top w:val="nil"/>
              <w:left w:val="nil"/>
              <w:bottom w:val="nil"/>
              <w:right w:val="double" w:sz="6" w:space="0" w:color="auto"/>
            </w:tcBorders>
            <w:noWrap/>
            <w:vAlign w:val="center"/>
            <w:hideMark/>
          </w:tcPr>
          <w:p w:rsidR="00730AC8" w:rsidRPr="0046719F" w:rsidRDefault="00730AC8" w:rsidP="002F5109">
            <w:pPr>
              <w:jc w:val="right"/>
              <w:rPr>
                <w:rFonts w:ascii="Arial CE" w:hAnsi="Arial CE" w:cs="Arial CE"/>
                <w:bCs/>
                <w:sz w:val="20"/>
                <w:szCs w:val="20"/>
              </w:rPr>
            </w:pPr>
            <w:r w:rsidRPr="0046719F">
              <w:rPr>
                <w:rFonts w:ascii="Arial CE" w:hAnsi="Arial CE" w:cs="Arial CE"/>
                <w:bCs/>
                <w:sz w:val="20"/>
                <w:szCs w:val="20"/>
              </w:rPr>
              <w:t>86,3</w:t>
            </w:r>
          </w:p>
        </w:tc>
      </w:tr>
      <w:tr w:rsidR="00730AC8" w:rsidRPr="009B0D99" w:rsidTr="002F5109">
        <w:trPr>
          <w:trHeight w:val="255"/>
          <w:jc w:val="center"/>
        </w:trPr>
        <w:tc>
          <w:tcPr>
            <w:tcW w:w="2552" w:type="dxa"/>
            <w:tcBorders>
              <w:top w:val="nil"/>
              <w:left w:val="double" w:sz="6" w:space="0" w:color="auto"/>
              <w:bottom w:val="single" w:sz="4" w:space="0" w:color="auto"/>
              <w:right w:val="single" w:sz="4" w:space="0" w:color="auto"/>
            </w:tcBorders>
            <w:noWrap/>
            <w:vAlign w:val="bottom"/>
            <w:hideMark/>
          </w:tcPr>
          <w:p w:rsidR="00730AC8" w:rsidRDefault="00730AC8" w:rsidP="002F5109">
            <w:pPr>
              <w:spacing w:line="276" w:lineRule="auto"/>
              <w:rPr>
                <w:rFonts w:ascii="Arial" w:hAnsi="Arial" w:cs="Arial"/>
                <w:sz w:val="20"/>
                <w:szCs w:val="20"/>
                <w:lang w:eastAsia="en-US"/>
              </w:rPr>
            </w:pPr>
            <w:r>
              <w:rPr>
                <w:rFonts w:ascii="Arial" w:hAnsi="Arial" w:cs="Arial"/>
                <w:sz w:val="20"/>
                <w:szCs w:val="20"/>
                <w:lang w:eastAsia="en-US"/>
              </w:rPr>
              <w:t>vyřazení pro nespolupráci</w:t>
            </w:r>
          </w:p>
        </w:tc>
        <w:tc>
          <w:tcPr>
            <w:tcW w:w="852" w:type="dxa"/>
            <w:noWrap/>
            <w:vAlign w:val="center"/>
            <w:hideMark/>
          </w:tcPr>
          <w:p w:rsidR="00730AC8" w:rsidRPr="00941235" w:rsidRDefault="00730AC8" w:rsidP="002F5109">
            <w:pPr>
              <w:jc w:val="right"/>
              <w:rPr>
                <w:rFonts w:ascii="Arial CE" w:hAnsi="Arial CE"/>
                <w:sz w:val="20"/>
                <w:szCs w:val="20"/>
              </w:rPr>
            </w:pPr>
            <w:r w:rsidRPr="00941235">
              <w:rPr>
                <w:rFonts w:ascii="Arial CE" w:hAnsi="Arial CE"/>
                <w:sz w:val="20"/>
                <w:szCs w:val="20"/>
              </w:rPr>
              <w:t>30,8</w:t>
            </w:r>
          </w:p>
        </w:tc>
        <w:tc>
          <w:tcPr>
            <w:tcW w:w="808" w:type="dxa"/>
            <w:tcBorders>
              <w:top w:val="nil"/>
              <w:left w:val="single" w:sz="4" w:space="0" w:color="auto"/>
              <w:bottom w:val="nil"/>
              <w:right w:val="single" w:sz="4" w:space="0" w:color="auto"/>
            </w:tcBorders>
            <w:noWrap/>
            <w:vAlign w:val="center"/>
            <w:hideMark/>
          </w:tcPr>
          <w:p w:rsidR="00730AC8" w:rsidRPr="00941235" w:rsidRDefault="00730AC8" w:rsidP="002F5109">
            <w:pPr>
              <w:jc w:val="right"/>
              <w:rPr>
                <w:rFonts w:ascii="Arial CE" w:hAnsi="Arial CE"/>
                <w:sz w:val="20"/>
                <w:szCs w:val="20"/>
              </w:rPr>
            </w:pPr>
            <w:r w:rsidRPr="00941235">
              <w:rPr>
                <w:rFonts w:ascii="Arial CE" w:hAnsi="Arial CE"/>
                <w:sz w:val="20"/>
                <w:szCs w:val="20"/>
              </w:rPr>
              <w:t>17,5</w:t>
            </w:r>
          </w:p>
        </w:tc>
        <w:tc>
          <w:tcPr>
            <w:tcW w:w="808" w:type="dxa"/>
            <w:tcBorders>
              <w:top w:val="nil"/>
              <w:left w:val="nil"/>
              <w:bottom w:val="nil"/>
              <w:right w:val="single" w:sz="4" w:space="0" w:color="auto"/>
            </w:tcBorders>
            <w:noWrap/>
            <w:vAlign w:val="center"/>
            <w:hideMark/>
          </w:tcPr>
          <w:p w:rsidR="00730AC8" w:rsidRPr="00941235" w:rsidRDefault="00730AC8" w:rsidP="002F5109">
            <w:pPr>
              <w:jc w:val="right"/>
              <w:rPr>
                <w:rFonts w:ascii="Arial CE" w:hAnsi="Arial CE"/>
                <w:sz w:val="20"/>
                <w:szCs w:val="20"/>
              </w:rPr>
            </w:pPr>
            <w:r w:rsidRPr="00941235">
              <w:rPr>
                <w:rFonts w:ascii="Arial CE" w:hAnsi="Arial CE"/>
                <w:sz w:val="20"/>
                <w:szCs w:val="20"/>
              </w:rPr>
              <w:t>13,3</w:t>
            </w:r>
          </w:p>
        </w:tc>
        <w:tc>
          <w:tcPr>
            <w:tcW w:w="888" w:type="dxa"/>
            <w:noWrap/>
            <w:vAlign w:val="center"/>
            <w:hideMark/>
          </w:tcPr>
          <w:p w:rsidR="00730AC8" w:rsidRPr="00941235" w:rsidRDefault="00730AC8" w:rsidP="002F5109">
            <w:pPr>
              <w:jc w:val="right"/>
              <w:rPr>
                <w:rFonts w:ascii="Arial CE" w:hAnsi="Arial CE" w:cs="Arial CE"/>
                <w:bCs/>
                <w:sz w:val="20"/>
                <w:szCs w:val="20"/>
              </w:rPr>
            </w:pPr>
            <w:r w:rsidRPr="00941235">
              <w:rPr>
                <w:rFonts w:ascii="Arial CE" w:hAnsi="Arial CE" w:cs="Arial CE"/>
                <w:bCs/>
                <w:sz w:val="20"/>
                <w:szCs w:val="20"/>
              </w:rPr>
              <w:t>28,6</w:t>
            </w:r>
          </w:p>
        </w:tc>
        <w:tc>
          <w:tcPr>
            <w:tcW w:w="828" w:type="dxa"/>
            <w:tcBorders>
              <w:top w:val="nil"/>
              <w:left w:val="single" w:sz="4" w:space="0" w:color="auto"/>
              <w:bottom w:val="nil"/>
              <w:right w:val="single" w:sz="4" w:space="0" w:color="auto"/>
            </w:tcBorders>
            <w:noWrap/>
            <w:vAlign w:val="center"/>
            <w:hideMark/>
          </w:tcPr>
          <w:p w:rsidR="00730AC8" w:rsidRPr="00941235" w:rsidRDefault="00730AC8" w:rsidP="002F5109">
            <w:pPr>
              <w:jc w:val="right"/>
              <w:rPr>
                <w:rFonts w:ascii="Arial CE" w:hAnsi="Arial CE" w:cs="Arial CE"/>
                <w:bCs/>
                <w:sz w:val="20"/>
                <w:szCs w:val="20"/>
              </w:rPr>
            </w:pPr>
            <w:r w:rsidRPr="00941235">
              <w:rPr>
                <w:rFonts w:ascii="Arial CE" w:hAnsi="Arial CE" w:cs="Arial CE"/>
                <w:bCs/>
                <w:sz w:val="20"/>
                <w:szCs w:val="20"/>
              </w:rPr>
              <w:t>16,2</w:t>
            </w:r>
          </w:p>
        </w:tc>
        <w:tc>
          <w:tcPr>
            <w:tcW w:w="852" w:type="dxa"/>
            <w:tcBorders>
              <w:top w:val="nil"/>
              <w:left w:val="nil"/>
              <w:bottom w:val="nil"/>
              <w:right w:val="double" w:sz="6" w:space="0" w:color="auto"/>
            </w:tcBorders>
            <w:noWrap/>
            <w:vAlign w:val="center"/>
            <w:hideMark/>
          </w:tcPr>
          <w:p w:rsidR="00730AC8" w:rsidRPr="00941235" w:rsidRDefault="00730AC8" w:rsidP="002F5109">
            <w:pPr>
              <w:jc w:val="right"/>
              <w:rPr>
                <w:rFonts w:ascii="Arial CE" w:hAnsi="Arial CE" w:cs="Arial CE"/>
                <w:bCs/>
                <w:sz w:val="20"/>
                <w:szCs w:val="20"/>
              </w:rPr>
            </w:pPr>
            <w:r w:rsidRPr="00941235">
              <w:rPr>
                <w:rFonts w:ascii="Arial CE" w:hAnsi="Arial CE" w:cs="Arial CE"/>
                <w:bCs/>
                <w:sz w:val="20"/>
                <w:szCs w:val="20"/>
              </w:rPr>
              <w:t>12,4</w:t>
            </w:r>
          </w:p>
        </w:tc>
      </w:tr>
      <w:tr w:rsidR="00730AC8" w:rsidRPr="009B0D99" w:rsidTr="002F5109">
        <w:trPr>
          <w:trHeight w:val="255"/>
          <w:jc w:val="center"/>
        </w:trPr>
        <w:tc>
          <w:tcPr>
            <w:tcW w:w="2552" w:type="dxa"/>
            <w:tcBorders>
              <w:top w:val="nil"/>
              <w:left w:val="double" w:sz="6" w:space="0" w:color="auto"/>
              <w:bottom w:val="nil"/>
              <w:right w:val="single" w:sz="4" w:space="0" w:color="auto"/>
            </w:tcBorders>
            <w:noWrap/>
            <w:vAlign w:val="bottom"/>
            <w:hideMark/>
          </w:tcPr>
          <w:p w:rsidR="00730AC8" w:rsidRDefault="00730AC8" w:rsidP="002F5109">
            <w:pPr>
              <w:spacing w:line="276" w:lineRule="auto"/>
              <w:rPr>
                <w:rFonts w:ascii="Arial" w:hAnsi="Arial" w:cs="Arial"/>
                <w:b/>
                <w:bCs/>
                <w:sz w:val="20"/>
                <w:szCs w:val="20"/>
                <w:lang w:eastAsia="en-US"/>
              </w:rPr>
            </w:pPr>
            <w:r>
              <w:rPr>
                <w:rFonts w:ascii="Arial" w:hAnsi="Arial" w:cs="Arial"/>
                <w:b/>
                <w:bCs/>
                <w:sz w:val="20"/>
                <w:szCs w:val="20"/>
                <w:lang w:eastAsia="en-US"/>
              </w:rPr>
              <w:t>vyřazení - ženy</w:t>
            </w:r>
          </w:p>
        </w:tc>
        <w:tc>
          <w:tcPr>
            <w:tcW w:w="852" w:type="dxa"/>
            <w:tcBorders>
              <w:top w:val="single" w:sz="4" w:space="0" w:color="auto"/>
              <w:left w:val="nil"/>
              <w:bottom w:val="nil"/>
              <w:right w:val="nil"/>
            </w:tcBorders>
            <w:noWrap/>
            <w:vAlign w:val="center"/>
            <w:hideMark/>
          </w:tcPr>
          <w:p w:rsidR="00730AC8" w:rsidRPr="0046719F" w:rsidRDefault="00730AC8" w:rsidP="002F5109">
            <w:pPr>
              <w:jc w:val="right"/>
              <w:rPr>
                <w:rFonts w:ascii="Arial CE" w:hAnsi="Arial CE"/>
                <w:b/>
                <w:sz w:val="20"/>
                <w:szCs w:val="20"/>
              </w:rPr>
            </w:pPr>
            <w:r w:rsidRPr="0046719F">
              <w:rPr>
                <w:rFonts w:ascii="Arial CE" w:hAnsi="Arial CE"/>
                <w:b/>
                <w:sz w:val="20"/>
                <w:szCs w:val="20"/>
              </w:rPr>
              <w:t>134,1</w:t>
            </w:r>
          </w:p>
        </w:tc>
        <w:tc>
          <w:tcPr>
            <w:tcW w:w="808" w:type="dxa"/>
            <w:tcBorders>
              <w:top w:val="single" w:sz="4" w:space="0" w:color="auto"/>
              <w:left w:val="single" w:sz="4" w:space="0" w:color="auto"/>
              <w:bottom w:val="nil"/>
              <w:right w:val="single" w:sz="4" w:space="0" w:color="auto"/>
            </w:tcBorders>
            <w:noWrap/>
            <w:vAlign w:val="center"/>
            <w:hideMark/>
          </w:tcPr>
          <w:p w:rsidR="00730AC8" w:rsidRPr="0046719F" w:rsidRDefault="00730AC8" w:rsidP="002F5109">
            <w:pPr>
              <w:jc w:val="right"/>
              <w:rPr>
                <w:rFonts w:ascii="Arial CE" w:hAnsi="Arial CE"/>
                <w:b/>
                <w:sz w:val="20"/>
                <w:szCs w:val="20"/>
              </w:rPr>
            </w:pPr>
            <w:r w:rsidRPr="0046719F">
              <w:rPr>
                <w:rFonts w:ascii="Arial CE" w:hAnsi="Arial CE"/>
                <w:b/>
                <w:sz w:val="20"/>
                <w:szCs w:val="20"/>
              </w:rPr>
              <w:t>68,6</w:t>
            </w:r>
          </w:p>
        </w:tc>
        <w:tc>
          <w:tcPr>
            <w:tcW w:w="808" w:type="dxa"/>
            <w:tcBorders>
              <w:top w:val="single" w:sz="4" w:space="0" w:color="auto"/>
              <w:left w:val="nil"/>
              <w:bottom w:val="nil"/>
              <w:right w:val="single" w:sz="4" w:space="0" w:color="auto"/>
            </w:tcBorders>
            <w:noWrap/>
            <w:vAlign w:val="center"/>
            <w:hideMark/>
          </w:tcPr>
          <w:p w:rsidR="00730AC8" w:rsidRPr="0046719F" w:rsidRDefault="00730AC8" w:rsidP="002F5109">
            <w:pPr>
              <w:jc w:val="right"/>
              <w:rPr>
                <w:rFonts w:ascii="Arial CE" w:hAnsi="Arial CE"/>
                <w:b/>
                <w:sz w:val="20"/>
                <w:szCs w:val="20"/>
              </w:rPr>
            </w:pPr>
            <w:r w:rsidRPr="0046719F">
              <w:rPr>
                <w:rFonts w:ascii="Arial CE" w:hAnsi="Arial CE"/>
                <w:b/>
                <w:sz w:val="20"/>
                <w:szCs w:val="20"/>
              </w:rPr>
              <w:t>65,5</w:t>
            </w:r>
          </w:p>
        </w:tc>
        <w:tc>
          <w:tcPr>
            <w:tcW w:w="888" w:type="dxa"/>
            <w:tcBorders>
              <w:top w:val="single" w:sz="4" w:space="0" w:color="auto"/>
              <w:left w:val="nil"/>
              <w:bottom w:val="nil"/>
              <w:right w:val="nil"/>
            </w:tcBorders>
            <w:noWrap/>
            <w:vAlign w:val="center"/>
            <w:hideMark/>
          </w:tcPr>
          <w:p w:rsidR="00730AC8" w:rsidRPr="00941235" w:rsidRDefault="00730AC8" w:rsidP="002F5109">
            <w:pPr>
              <w:jc w:val="right"/>
              <w:rPr>
                <w:rFonts w:ascii="Arial CE" w:hAnsi="Arial CE" w:cs="Arial CE"/>
                <w:b/>
                <w:bCs/>
                <w:sz w:val="20"/>
                <w:szCs w:val="20"/>
              </w:rPr>
            </w:pPr>
            <w:r w:rsidRPr="00941235">
              <w:rPr>
                <w:rFonts w:ascii="Arial CE" w:hAnsi="Arial CE" w:cs="Arial CE"/>
                <w:b/>
                <w:bCs/>
                <w:sz w:val="20"/>
                <w:szCs w:val="20"/>
              </w:rPr>
              <w:t>128,5</w:t>
            </w:r>
          </w:p>
        </w:tc>
        <w:tc>
          <w:tcPr>
            <w:tcW w:w="828" w:type="dxa"/>
            <w:tcBorders>
              <w:top w:val="single" w:sz="4" w:space="0" w:color="auto"/>
              <w:left w:val="single" w:sz="4" w:space="0" w:color="auto"/>
              <w:bottom w:val="nil"/>
              <w:right w:val="single" w:sz="4" w:space="0" w:color="auto"/>
            </w:tcBorders>
            <w:noWrap/>
            <w:vAlign w:val="center"/>
            <w:hideMark/>
          </w:tcPr>
          <w:p w:rsidR="00730AC8" w:rsidRPr="00941235" w:rsidRDefault="00730AC8" w:rsidP="002F5109">
            <w:pPr>
              <w:jc w:val="right"/>
              <w:rPr>
                <w:rFonts w:ascii="Arial CE" w:hAnsi="Arial CE" w:cs="Arial CE"/>
                <w:b/>
                <w:bCs/>
                <w:sz w:val="20"/>
                <w:szCs w:val="20"/>
              </w:rPr>
            </w:pPr>
            <w:r w:rsidRPr="00941235">
              <w:rPr>
                <w:rFonts w:ascii="Arial CE" w:hAnsi="Arial CE" w:cs="Arial CE"/>
                <w:b/>
                <w:bCs/>
                <w:sz w:val="20"/>
                <w:szCs w:val="20"/>
              </w:rPr>
              <w:t>60,6</w:t>
            </w:r>
          </w:p>
        </w:tc>
        <w:tc>
          <w:tcPr>
            <w:tcW w:w="852" w:type="dxa"/>
            <w:tcBorders>
              <w:top w:val="single" w:sz="4" w:space="0" w:color="auto"/>
              <w:left w:val="nil"/>
              <w:bottom w:val="nil"/>
              <w:right w:val="double" w:sz="6" w:space="0" w:color="auto"/>
            </w:tcBorders>
            <w:noWrap/>
            <w:vAlign w:val="center"/>
            <w:hideMark/>
          </w:tcPr>
          <w:p w:rsidR="00730AC8" w:rsidRPr="00941235" w:rsidRDefault="00730AC8" w:rsidP="002F5109">
            <w:pPr>
              <w:jc w:val="right"/>
              <w:rPr>
                <w:rFonts w:ascii="Arial CE" w:hAnsi="Arial CE" w:cs="Arial CE"/>
                <w:b/>
                <w:bCs/>
                <w:sz w:val="20"/>
                <w:szCs w:val="20"/>
              </w:rPr>
            </w:pPr>
            <w:r w:rsidRPr="00941235">
              <w:rPr>
                <w:rFonts w:ascii="Arial CE" w:hAnsi="Arial CE" w:cs="Arial CE"/>
                <w:b/>
                <w:bCs/>
                <w:sz w:val="20"/>
                <w:szCs w:val="20"/>
              </w:rPr>
              <w:t>67,8</w:t>
            </w:r>
          </w:p>
        </w:tc>
      </w:tr>
      <w:tr w:rsidR="00730AC8" w:rsidRPr="009B0D99" w:rsidTr="002F5109">
        <w:trPr>
          <w:trHeight w:val="255"/>
          <w:jc w:val="center"/>
        </w:trPr>
        <w:tc>
          <w:tcPr>
            <w:tcW w:w="2552" w:type="dxa"/>
            <w:tcBorders>
              <w:top w:val="nil"/>
              <w:left w:val="double" w:sz="6" w:space="0" w:color="auto"/>
              <w:bottom w:val="nil"/>
              <w:right w:val="single" w:sz="4" w:space="0" w:color="auto"/>
            </w:tcBorders>
            <w:noWrap/>
            <w:vAlign w:val="bottom"/>
            <w:hideMark/>
          </w:tcPr>
          <w:p w:rsidR="00730AC8" w:rsidRDefault="00730AC8" w:rsidP="002F5109">
            <w:pPr>
              <w:spacing w:line="276" w:lineRule="auto"/>
              <w:rPr>
                <w:rFonts w:ascii="Arial" w:hAnsi="Arial" w:cs="Arial"/>
                <w:b/>
                <w:bCs/>
                <w:sz w:val="20"/>
                <w:szCs w:val="20"/>
                <w:lang w:eastAsia="en-US"/>
              </w:rPr>
            </w:pPr>
            <w:r>
              <w:rPr>
                <w:rFonts w:ascii="Arial" w:hAnsi="Arial" w:cs="Arial"/>
                <w:b/>
                <w:bCs/>
                <w:sz w:val="20"/>
                <w:szCs w:val="20"/>
                <w:lang w:eastAsia="en-US"/>
              </w:rPr>
              <w:t>z toho:</w:t>
            </w:r>
          </w:p>
        </w:tc>
        <w:tc>
          <w:tcPr>
            <w:tcW w:w="852" w:type="dxa"/>
            <w:noWrap/>
            <w:vAlign w:val="center"/>
            <w:hideMark/>
          </w:tcPr>
          <w:p w:rsidR="00730AC8" w:rsidRDefault="00730AC8" w:rsidP="002F5109">
            <w:pPr>
              <w:rPr>
                <w:rFonts w:ascii="Arial CE" w:hAnsi="Arial CE"/>
                <w:sz w:val="20"/>
                <w:szCs w:val="20"/>
              </w:rPr>
            </w:pPr>
          </w:p>
        </w:tc>
        <w:tc>
          <w:tcPr>
            <w:tcW w:w="808" w:type="dxa"/>
            <w:tcBorders>
              <w:top w:val="nil"/>
              <w:left w:val="single" w:sz="4" w:space="0" w:color="auto"/>
              <w:bottom w:val="nil"/>
              <w:right w:val="single" w:sz="4" w:space="0" w:color="auto"/>
            </w:tcBorders>
            <w:noWrap/>
            <w:vAlign w:val="center"/>
            <w:hideMark/>
          </w:tcPr>
          <w:p w:rsidR="00730AC8" w:rsidRDefault="00730AC8" w:rsidP="002F5109">
            <w:pPr>
              <w:rPr>
                <w:rFonts w:ascii="Arial CE" w:hAnsi="Arial CE"/>
                <w:sz w:val="20"/>
                <w:szCs w:val="20"/>
              </w:rPr>
            </w:pPr>
            <w:r>
              <w:rPr>
                <w:rFonts w:ascii="Arial CE" w:hAnsi="Arial CE"/>
                <w:sz w:val="20"/>
                <w:szCs w:val="20"/>
              </w:rPr>
              <w:t> </w:t>
            </w:r>
          </w:p>
        </w:tc>
        <w:tc>
          <w:tcPr>
            <w:tcW w:w="808" w:type="dxa"/>
            <w:tcBorders>
              <w:top w:val="nil"/>
              <w:left w:val="nil"/>
              <w:bottom w:val="nil"/>
              <w:right w:val="single" w:sz="4" w:space="0" w:color="auto"/>
            </w:tcBorders>
            <w:noWrap/>
            <w:vAlign w:val="center"/>
            <w:hideMark/>
          </w:tcPr>
          <w:p w:rsidR="00730AC8" w:rsidRDefault="00730AC8" w:rsidP="002F5109">
            <w:pPr>
              <w:rPr>
                <w:rFonts w:ascii="Arial CE" w:hAnsi="Arial CE"/>
                <w:sz w:val="20"/>
                <w:szCs w:val="20"/>
              </w:rPr>
            </w:pPr>
            <w:r>
              <w:rPr>
                <w:rFonts w:ascii="Arial CE" w:hAnsi="Arial CE"/>
                <w:sz w:val="20"/>
                <w:szCs w:val="20"/>
              </w:rPr>
              <w:t> </w:t>
            </w:r>
          </w:p>
        </w:tc>
        <w:tc>
          <w:tcPr>
            <w:tcW w:w="888" w:type="dxa"/>
            <w:noWrap/>
            <w:vAlign w:val="center"/>
            <w:hideMark/>
          </w:tcPr>
          <w:p w:rsidR="00730AC8" w:rsidRPr="00941235" w:rsidRDefault="00730AC8" w:rsidP="002F5109">
            <w:pPr>
              <w:rPr>
                <w:rFonts w:ascii="Arial CE" w:hAnsi="Arial CE" w:cs="Arial CE"/>
                <w:b/>
                <w:bCs/>
                <w:sz w:val="20"/>
                <w:szCs w:val="20"/>
              </w:rPr>
            </w:pPr>
            <w:r w:rsidRPr="00941235">
              <w:rPr>
                <w:rFonts w:ascii="Arial CE" w:hAnsi="Arial CE" w:cs="Arial CE"/>
                <w:b/>
                <w:bCs/>
                <w:sz w:val="20"/>
                <w:szCs w:val="20"/>
              </w:rPr>
              <w:t> </w:t>
            </w:r>
          </w:p>
        </w:tc>
        <w:tc>
          <w:tcPr>
            <w:tcW w:w="828" w:type="dxa"/>
            <w:tcBorders>
              <w:top w:val="nil"/>
              <w:left w:val="single" w:sz="4" w:space="0" w:color="auto"/>
              <w:bottom w:val="nil"/>
              <w:right w:val="single" w:sz="4" w:space="0" w:color="auto"/>
            </w:tcBorders>
            <w:noWrap/>
            <w:vAlign w:val="center"/>
            <w:hideMark/>
          </w:tcPr>
          <w:p w:rsidR="00730AC8" w:rsidRPr="00941235" w:rsidRDefault="00730AC8" w:rsidP="002F5109">
            <w:pPr>
              <w:rPr>
                <w:rFonts w:ascii="Arial CE" w:hAnsi="Arial CE" w:cs="Arial CE"/>
                <w:b/>
                <w:bCs/>
                <w:sz w:val="20"/>
                <w:szCs w:val="20"/>
              </w:rPr>
            </w:pPr>
            <w:r w:rsidRPr="00941235">
              <w:rPr>
                <w:rFonts w:ascii="Arial CE" w:hAnsi="Arial CE" w:cs="Arial CE"/>
                <w:b/>
                <w:bCs/>
                <w:sz w:val="20"/>
                <w:szCs w:val="20"/>
              </w:rPr>
              <w:t> </w:t>
            </w:r>
          </w:p>
        </w:tc>
        <w:tc>
          <w:tcPr>
            <w:tcW w:w="852" w:type="dxa"/>
            <w:tcBorders>
              <w:top w:val="nil"/>
              <w:left w:val="nil"/>
              <w:bottom w:val="nil"/>
              <w:right w:val="double" w:sz="6" w:space="0" w:color="auto"/>
            </w:tcBorders>
            <w:noWrap/>
            <w:vAlign w:val="center"/>
            <w:hideMark/>
          </w:tcPr>
          <w:p w:rsidR="00730AC8" w:rsidRPr="00941235" w:rsidRDefault="00730AC8" w:rsidP="002F5109">
            <w:pPr>
              <w:rPr>
                <w:rFonts w:ascii="Arial CE" w:hAnsi="Arial CE" w:cs="Arial CE"/>
                <w:b/>
                <w:bCs/>
                <w:sz w:val="20"/>
                <w:szCs w:val="20"/>
              </w:rPr>
            </w:pPr>
            <w:r w:rsidRPr="00941235">
              <w:rPr>
                <w:rFonts w:ascii="Arial CE" w:hAnsi="Arial CE" w:cs="Arial CE"/>
                <w:b/>
                <w:bCs/>
                <w:sz w:val="20"/>
                <w:szCs w:val="20"/>
              </w:rPr>
              <w:t> </w:t>
            </w:r>
          </w:p>
        </w:tc>
      </w:tr>
      <w:tr w:rsidR="00730AC8" w:rsidRPr="009B0D99" w:rsidTr="002F5109">
        <w:trPr>
          <w:trHeight w:val="255"/>
          <w:jc w:val="center"/>
        </w:trPr>
        <w:tc>
          <w:tcPr>
            <w:tcW w:w="2552" w:type="dxa"/>
            <w:tcBorders>
              <w:top w:val="nil"/>
              <w:left w:val="double" w:sz="6" w:space="0" w:color="auto"/>
              <w:bottom w:val="nil"/>
              <w:right w:val="single" w:sz="4" w:space="0" w:color="auto"/>
            </w:tcBorders>
            <w:noWrap/>
            <w:vAlign w:val="bottom"/>
            <w:hideMark/>
          </w:tcPr>
          <w:p w:rsidR="00730AC8" w:rsidRDefault="00730AC8" w:rsidP="002F5109">
            <w:pPr>
              <w:spacing w:line="276" w:lineRule="auto"/>
              <w:rPr>
                <w:rFonts w:ascii="Arial" w:hAnsi="Arial" w:cs="Arial"/>
                <w:sz w:val="20"/>
                <w:szCs w:val="20"/>
                <w:lang w:eastAsia="en-US"/>
              </w:rPr>
            </w:pPr>
            <w:r>
              <w:rPr>
                <w:rFonts w:ascii="Arial" w:hAnsi="Arial" w:cs="Arial"/>
                <w:sz w:val="20"/>
                <w:szCs w:val="20"/>
                <w:lang w:eastAsia="en-US"/>
              </w:rPr>
              <w:t>umístěné ÚP</w:t>
            </w:r>
            <w:r w:rsidR="004F7079">
              <w:rPr>
                <w:rFonts w:ascii="Arial" w:hAnsi="Arial" w:cs="Arial"/>
                <w:sz w:val="20"/>
                <w:szCs w:val="20"/>
                <w:lang w:eastAsia="en-US"/>
              </w:rPr>
              <w:t> ČR</w:t>
            </w:r>
          </w:p>
        </w:tc>
        <w:tc>
          <w:tcPr>
            <w:tcW w:w="852" w:type="dxa"/>
            <w:noWrap/>
            <w:vAlign w:val="center"/>
            <w:hideMark/>
          </w:tcPr>
          <w:p w:rsidR="00730AC8" w:rsidRDefault="00730AC8" w:rsidP="002F5109">
            <w:pPr>
              <w:jc w:val="right"/>
              <w:rPr>
                <w:rFonts w:ascii="Arial CE" w:hAnsi="Arial CE"/>
                <w:sz w:val="20"/>
                <w:szCs w:val="20"/>
              </w:rPr>
            </w:pPr>
            <w:r>
              <w:rPr>
                <w:rFonts w:ascii="Arial CE" w:hAnsi="Arial CE"/>
                <w:sz w:val="20"/>
                <w:szCs w:val="20"/>
              </w:rPr>
              <w:t>8,3</w:t>
            </w:r>
          </w:p>
        </w:tc>
        <w:tc>
          <w:tcPr>
            <w:tcW w:w="808"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sz w:val="20"/>
                <w:szCs w:val="20"/>
              </w:rPr>
            </w:pPr>
            <w:r>
              <w:rPr>
                <w:rFonts w:ascii="Arial CE" w:hAnsi="Arial CE"/>
                <w:sz w:val="20"/>
                <w:szCs w:val="20"/>
              </w:rPr>
              <w:t>3,3</w:t>
            </w:r>
          </w:p>
        </w:tc>
        <w:tc>
          <w:tcPr>
            <w:tcW w:w="808" w:type="dxa"/>
            <w:tcBorders>
              <w:top w:val="nil"/>
              <w:left w:val="nil"/>
              <w:bottom w:val="nil"/>
              <w:right w:val="single" w:sz="4" w:space="0" w:color="auto"/>
            </w:tcBorders>
            <w:noWrap/>
            <w:vAlign w:val="center"/>
            <w:hideMark/>
          </w:tcPr>
          <w:p w:rsidR="00730AC8" w:rsidRDefault="00730AC8" w:rsidP="002F5109">
            <w:pPr>
              <w:jc w:val="right"/>
              <w:rPr>
                <w:rFonts w:ascii="Arial CE" w:hAnsi="Arial CE"/>
                <w:sz w:val="20"/>
                <w:szCs w:val="20"/>
              </w:rPr>
            </w:pPr>
            <w:r>
              <w:rPr>
                <w:rFonts w:ascii="Arial CE" w:hAnsi="Arial CE"/>
                <w:sz w:val="20"/>
                <w:szCs w:val="20"/>
              </w:rPr>
              <w:t>5,1</w:t>
            </w:r>
          </w:p>
        </w:tc>
        <w:tc>
          <w:tcPr>
            <w:tcW w:w="888" w:type="dxa"/>
            <w:noWrap/>
            <w:vAlign w:val="center"/>
            <w:hideMark/>
          </w:tcPr>
          <w:p w:rsidR="00730AC8" w:rsidRPr="00941235" w:rsidRDefault="00730AC8" w:rsidP="002F5109">
            <w:pPr>
              <w:jc w:val="right"/>
              <w:rPr>
                <w:rFonts w:ascii="Arial CE" w:hAnsi="Arial CE" w:cs="Arial CE"/>
                <w:bCs/>
                <w:sz w:val="20"/>
                <w:szCs w:val="20"/>
              </w:rPr>
            </w:pPr>
            <w:r w:rsidRPr="00941235">
              <w:rPr>
                <w:rFonts w:ascii="Arial CE" w:hAnsi="Arial CE" w:cs="Arial CE"/>
                <w:bCs/>
                <w:sz w:val="20"/>
                <w:szCs w:val="20"/>
              </w:rPr>
              <w:t>9,3</w:t>
            </w:r>
          </w:p>
        </w:tc>
        <w:tc>
          <w:tcPr>
            <w:tcW w:w="828" w:type="dxa"/>
            <w:tcBorders>
              <w:top w:val="nil"/>
              <w:left w:val="single" w:sz="4" w:space="0" w:color="auto"/>
              <w:bottom w:val="nil"/>
              <w:right w:val="single" w:sz="4" w:space="0" w:color="auto"/>
            </w:tcBorders>
            <w:noWrap/>
            <w:vAlign w:val="center"/>
            <w:hideMark/>
          </w:tcPr>
          <w:p w:rsidR="00730AC8" w:rsidRPr="00941235" w:rsidRDefault="00730AC8" w:rsidP="002F5109">
            <w:pPr>
              <w:jc w:val="right"/>
              <w:rPr>
                <w:rFonts w:ascii="Arial CE" w:hAnsi="Arial CE" w:cs="Arial CE"/>
                <w:bCs/>
                <w:sz w:val="20"/>
                <w:szCs w:val="20"/>
              </w:rPr>
            </w:pPr>
            <w:r w:rsidRPr="00941235">
              <w:rPr>
                <w:rFonts w:ascii="Arial CE" w:hAnsi="Arial CE" w:cs="Arial CE"/>
                <w:bCs/>
                <w:sz w:val="20"/>
                <w:szCs w:val="20"/>
              </w:rPr>
              <w:t>2,3</w:t>
            </w:r>
          </w:p>
        </w:tc>
        <w:tc>
          <w:tcPr>
            <w:tcW w:w="852" w:type="dxa"/>
            <w:tcBorders>
              <w:top w:val="nil"/>
              <w:left w:val="nil"/>
              <w:bottom w:val="nil"/>
              <w:right w:val="double" w:sz="6" w:space="0" w:color="auto"/>
            </w:tcBorders>
            <w:noWrap/>
            <w:vAlign w:val="center"/>
            <w:hideMark/>
          </w:tcPr>
          <w:p w:rsidR="00730AC8" w:rsidRPr="00941235" w:rsidRDefault="00730AC8" w:rsidP="002F5109">
            <w:pPr>
              <w:jc w:val="right"/>
              <w:rPr>
                <w:rFonts w:ascii="Arial CE" w:hAnsi="Arial CE" w:cs="Arial CE"/>
                <w:bCs/>
                <w:sz w:val="20"/>
                <w:szCs w:val="20"/>
              </w:rPr>
            </w:pPr>
            <w:r w:rsidRPr="00941235">
              <w:rPr>
                <w:rFonts w:ascii="Arial CE" w:hAnsi="Arial CE" w:cs="Arial CE"/>
                <w:bCs/>
                <w:sz w:val="20"/>
                <w:szCs w:val="20"/>
              </w:rPr>
              <w:t>7,0</w:t>
            </w:r>
          </w:p>
        </w:tc>
      </w:tr>
      <w:tr w:rsidR="00730AC8" w:rsidRPr="009B0D99" w:rsidTr="002F5109">
        <w:trPr>
          <w:trHeight w:val="255"/>
          <w:jc w:val="center"/>
        </w:trPr>
        <w:tc>
          <w:tcPr>
            <w:tcW w:w="2552" w:type="dxa"/>
            <w:tcBorders>
              <w:top w:val="nil"/>
              <w:left w:val="double" w:sz="6" w:space="0" w:color="auto"/>
              <w:bottom w:val="nil"/>
              <w:right w:val="single" w:sz="4" w:space="0" w:color="auto"/>
            </w:tcBorders>
            <w:noWrap/>
            <w:vAlign w:val="bottom"/>
            <w:hideMark/>
          </w:tcPr>
          <w:p w:rsidR="00730AC8" w:rsidRDefault="00730AC8" w:rsidP="002F5109">
            <w:pPr>
              <w:spacing w:line="276" w:lineRule="auto"/>
              <w:rPr>
                <w:rFonts w:ascii="Arial" w:hAnsi="Arial" w:cs="Arial"/>
                <w:sz w:val="20"/>
                <w:szCs w:val="20"/>
                <w:lang w:eastAsia="en-US"/>
              </w:rPr>
            </w:pPr>
            <w:r>
              <w:rPr>
                <w:rFonts w:ascii="Arial" w:hAnsi="Arial" w:cs="Arial"/>
                <w:sz w:val="20"/>
                <w:szCs w:val="20"/>
                <w:lang w:eastAsia="en-US"/>
              </w:rPr>
              <w:t>umístěné jinak</w:t>
            </w:r>
          </w:p>
        </w:tc>
        <w:tc>
          <w:tcPr>
            <w:tcW w:w="852" w:type="dxa"/>
            <w:noWrap/>
            <w:vAlign w:val="center"/>
            <w:hideMark/>
          </w:tcPr>
          <w:p w:rsidR="00730AC8" w:rsidRDefault="00730AC8" w:rsidP="002F5109">
            <w:pPr>
              <w:jc w:val="right"/>
              <w:rPr>
                <w:rFonts w:ascii="Arial CE" w:hAnsi="Arial CE"/>
                <w:sz w:val="20"/>
                <w:szCs w:val="20"/>
              </w:rPr>
            </w:pPr>
            <w:r>
              <w:rPr>
                <w:rFonts w:ascii="Arial CE" w:hAnsi="Arial CE"/>
                <w:sz w:val="20"/>
                <w:szCs w:val="20"/>
              </w:rPr>
              <w:t>81,5</w:t>
            </w:r>
          </w:p>
        </w:tc>
        <w:tc>
          <w:tcPr>
            <w:tcW w:w="808"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sz w:val="20"/>
                <w:szCs w:val="20"/>
              </w:rPr>
            </w:pPr>
            <w:r>
              <w:rPr>
                <w:rFonts w:ascii="Arial CE" w:hAnsi="Arial CE"/>
                <w:sz w:val="20"/>
                <w:szCs w:val="20"/>
              </w:rPr>
              <w:t>43,3</w:t>
            </w:r>
          </w:p>
        </w:tc>
        <w:tc>
          <w:tcPr>
            <w:tcW w:w="808" w:type="dxa"/>
            <w:tcBorders>
              <w:top w:val="nil"/>
              <w:left w:val="nil"/>
              <w:bottom w:val="nil"/>
              <w:right w:val="single" w:sz="4" w:space="0" w:color="auto"/>
            </w:tcBorders>
            <w:noWrap/>
            <w:vAlign w:val="center"/>
            <w:hideMark/>
          </w:tcPr>
          <w:p w:rsidR="00730AC8" w:rsidRDefault="00730AC8" w:rsidP="002F5109">
            <w:pPr>
              <w:jc w:val="right"/>
              <w:rPr>
                <w:rFonts w:ascii="Arial CE" w:hAnsi="Arial CE"/>
                <w:sz w:val="20"/>
                <w:szCs w:val="20"/>
              </w:rPr>
            </w:pPr>
            <w:r>
              <w:rPr>
                <w:rFonts w:ascii="Arial CE" w:hAnsi="Arial CE"/>
                <w:sz w:val="20"/>
                <w:szCs w:val="20"/>
              </w:rPr>
              <w:t>38,3</w:t>
            </w:r>
          </w:p>
        </w:tc>
        <w:tc>
          <w:tcPr>
            <w:tcW w:w="888" w:type="dxa"/>
            <w:noWrap/>
            <w:vAlign w:val="center"/>
            <w:hideMark/>
          </w:tcPr>
          <w:p w:rsidR="00730AC8" w:rsidRPr="00941235" w:rsidRDefault="00730AC8" w:rsidP="002F5109">
            <w:pPr>
              <w:jc w:val="right"/>
              <w:rPr>
                <w:rFonts w:ascii="Arial CE" w:hAnsi="Arial CE" w:cs="Arial CE"/>
                <w:bCs/>
                <w:sz w:val="20"/>
                <w:szCs w:val="20"/>
              </w:rPr>
            </w:pPr>
            <w:r w:rsidRPr="00941235">
              <w:rPr>
                <w:rFonts w:ascii="Arial CE" w:hAnsi="Arial CE" w:cs="Arial CE"/>
                <w:bCs/>
                <w:sz w:val="20"/>
                <w:szCs w:val="20"/>
              </w:rPr>
              <w:t>62,0</w:t>
            </w:r>
          </w:p>
        </w:tc>
        <w:tc>
          <w:tcPr>
            <w:tcW w:w="828" w:type="dxa"/>
            <w:tcBorders>
              <w:top w:val="nil"/>
              <w:left w:val="single" w:sz="4" w:space="0" w:color="auto"/>
              <w:bottom w:val="nil"/>
              <w:right w:val="single" w:sz="4" w:space="0" w:color="auto"/>
            </w:tcBorders>
            <w:noWrap/>
            <w:vAlign w:val="center"/>
            <w:hideMark/>
          </w:tcPr>
          <w:p w:rsidR="00730AC8" w:rsidRPr="00941235" w:rsidRDefault="00730AC8" w:rsidP="002F5109">
            <w:pPr>
              <w:jc w:val="right"/>
              <w:rPr>
                <w:rFonts w:ascii="Arial CE" w:hAnsi="Arial CE" w:cs="Arial CE"/>
                <w:bCs/>
                <w:sz w:val="20"/>
                <w:szCs w:val="20"/>
              </w:rPr>
            </w:pPr>
            <w:r w:rsidRPr="00941235">
              <w:rPr>
                <w:rFonts w:ascii="Arial CE" w:hAnsi="Arial CE" w:cs="Arial CE"/>
                <w:bCs/>
                <w:sz w:val="20"/>
                <w:szCs w:val="20"/>
              </w:rPr>
              <w:t>30,3</w:t>
            </w:r>
          </w:p>
        </w:tc>
        <w:tc>
          <w:tcPr>
            <w:tcW w:w="852" w:type="dxa"/>
            <w:tcBorders>
              <w:top w:val="nil"/>
              <w:left w:val="nil"/>
              <w:bottom w:val="nil"/>
              <w:right w:val="double" w:sz="6" w:space="0" w:color="auto"/>
            </w:tcBorders>
            <w:noWrap/>
            <w:vAlign w:val="center"/>
            <w:hideMark/>
          </w:tcPr>
          <w:p w:rsidR="00730AC8" w:rsidRPr="00941235" w:rsidRDefault="00730AC8" w:rsidP="002F5109">
            <w:pPr>
              <w:jc w:val="right"/>
              <w:rPr>
                <w:rFonts w:ascii="Arial CE" w:hAnsi="Arial CE" w:cs="Arial CE"/>
                <w:bCs/>
                <w:sz w:val="20"/>
                <w:szCs w:val="20"/>
              </w:rPr>
            </w:pPr>
            <w:r w:rsidRPr="00941235">
              <w:rPr>
                <w:rFonts w:ascii="Arial CE" w:hAnsi="Arial CE" w:cs="Arial CE"/>
                <w:bCs/>
                <w:sz w:val="20"/>
                <w:szCs w:val="20"/>
              </w:rPr>
              <w:t>31,6</w:t>
            </w:r>
          </w:p>
        </w:tc>
      </w:tr>
      <w:tr w:rsidR="00730AC8" w:rsidRPr="009B0D99" w:rsidTr="002F5109">
        <w:trPr>
          <w:trHeight w:val="255"/>
          <w:jc w:val="center"/>
        </w:trPr>
        <w:tc>
          <w:tcPr>
            <w:tcW w:w="2552" w:type="dxa"/>
            <w:tcBorders>
              <w:top w:val="nil"/>
              <w:left w:val="double" w:sz="6" w:space="0" w:color="auto"/>
              <w:bottom w:val="single" w:sz="4" w:space="0" w:color="auto"/>
              <w:right w:val="single" w:sz="4" w:space="0" w:color="auto"/>
            </w:tcBorders>
            <w:noWrap/>
            <w:vAlign w:val="bottom"/>
            <w:hideMark/>
          </w:tcPr>
          <w:p w:rsidR="00730AC8" w:rsidRDefault="00730AC8" w:rsidP="002F5109">
            <w:pPr>
              <w:spacing w:line="276" w:lineRule="auto"/>
              <w:rPr>
                <w:rFonts w:ascii="Arial" w:hAnsi="Arial" w:cs="Arial"/>
                <w:sz w:val="20"/>
                <w:szCs w:val="20"/>
                <w:lang w:eastAsia="en-US"/>
              </w:rPr>
            </w:pPr>
            <w:r>
              <w:rPr>
                <w:rFonts w:ascii="Arial" w:hAnsi="Arial" w:cs="Arial"/>
                <w:sz w:val="20"/>
                <w:szCs w:val="20"/>
                <w:lang w:eastAsia="en-US"/>
              </w:rPr>
              <w:t>vyřazené pro nespolupráci</w:t>
            </w:r>
          </w:p>
        </w:tc>
        <w:tc>
          <w:tcPr>
            <w:tcW w:w="852" w:type="dxa"/>
            <w:tcBorders>
              <w:top w:val="nil"/>
              <w:left w:val="nil"/>
              <w:bottom w:val="single" w:sz="4" w:space="0" w:color="auto"/>
              <w:right w:val="nil"/>
            </w:tcBorders>
            <w:noWrap/>
            <w:vAlign w:val="center"/>
            <w:hideMark/>
          </w:tcPr>
          <w:p w:rsidR="00730AC8" w:rsidRPr="00941235" w:rsidRDefault="00730AC8" w:rsidP="002F5109">
            <w:pPr>
              <w:jc w:val="right"/>
              <w:rPr>
                <w:rFonts w:ascii="Arial CE" w:hAnsi="Arial CE"/>
                <w:sz w:val="20"/>
                <w:szCs w:val="20"/>
              </w:rPr>
            </w:pPr>
            <w:r w:rsidRPr="00941235">
              <w:rPr>
                <w:rFonts w:ascii="Arial CE" w:hAnsi="Arial CE"/>
                <w:sz w:val="20"/>
                <w:szCs w:val="20"/>
              </w:rPr>
              <w:t>9,2</w:t>
            </w:r>
          </w:p>
        </w:tc>
        <w:tc>
          <w:tcPr>
            <w:tcW w:w="808" w:type="dxa"/>
            <w:tcBorders>
              <w:top w:val="nil"/>
              <w:left w:val="single" w:sz="4" w:space="0" w:color="auto"/>
              <w:bottom w:val="single" w:sz="4" w:space="0" w:color="auto"/>
              <w:right w:val="single" w:sz="4" w:space="0" w:color="auto"/>
            </w:tcBorders>
            <w:noWrap/>
            <w:vAlign w:val="center"/>
            <w:hideMark/>
          </w:tcPr>
          <w:p w:rsidR="00730AC8" w:rsidRPr="00941235" w:rsidRDefault="00730AC8" w:rsidP="002F5109">
            <w:pPr>
              <w:jc w:val="right"/>
              <w:rPr>
                <w:rFonts w:ascii="Arial CE" w:hAnsi="Arial CE"/>
                <w:sz w:val="20"/>
                <w:szCs w:val="20"/>
              </w:rPr>
            </w:pPr>
            <w:r w:rsidRPr="00941235">
              <w:rPr>
                <w:rFonts w:ascii="Arial CE" w:hAnsi="Arial CE"/>
                <w:sz w:val="20"/>
                <w:szCs w:val="20"/>
              </w:rPr>
              <w:t>5,2</w:t>
            </w:r>
          </w:p>
        </w:tc>
        <w:tc>
          <w:tcPr>
            <w:tcW w:w="808" w:type="dxa"/>
            <w:tcBorders>
              <w:top w:val="nil"/>
              <w:left w:val="nil"/>
              <w:bottom w:val="single" w:sz="4" w:space="0" w:color="auto"/>
              <w:right w:val="single" w:sz="4" w:space="0" w:color="auto"/>
            </w:tcBorders>
            <w:noWrap/>
            <w:vAlign w:val="center"/>
            <w:hideMark/>
          </w:tcPr>
          <w:p w:rsidR="00730AC8" w:rsidRPr="00941235" w:rsidRDefault="00730AC8" w:rsidP="002F5109">
            <w:pPr>
              <w:jc w:val="right"/>
              <w:rPr>
                <w:rFonts w:ascii="Arial CE" w:hAnsi="Arial CE"/>
                <w:sz w:val="20"/>
                <w:szCs w:val="20"/>
              </w:rPr>
            </w:pPr>
            <w:r w:rsidRPr="00941235">
              <w:rPr>
                <w:rFonts w:ascii="Arial CE" w:hAnsi="Arial CE"/>
                <w:sz w:val="20"/>
                <w:szCs w:val="20"/>
              </w:rPr>
              <w:t>4,0</w:t>
            </w:r>
          </w:p>
        </w:tc>
        <w:tc>
          <w:tcPr>
            <w:tcW w:w="888" w:type="dxa"/>
            <w:tcBorders>
              <w:top w:val="nil"/>
              <w:left w:val="nil"/>
              <w:bottom w:val="single" w:sz="4" w:space="0" w:color="auto"/>
              <w:right w:val="nil"/>
            </w:tcBorders>
            <w:noWrap/>
            <w:vAlign w:val="center"/>
            <w:hideMark/>
          </w:tcPr>
          <w:p w:rsidR="00730AC8" w:rsidRPr="00941235" w:rsidRDefault="00730AC8" w:rsidP="002F5109">
            <w:pPr>
              <w:jc w:val="right"/>
              <w:rPr>
                <w:rFonts w:ascii="Arial CE" w:hAnsi="Arial CE" w:cs="Arial CE"/>
                <w:bCs/>
                <w:sz w:val="20"/>
                <w:szCs w:val="20"/>
              </w:rPr>
            </w:pPr>
            <w:r w:rsidRPr="00941235">
              <w:rPr>
                <w:rFonts w:ascii="Arial CE" w:hAnsi="Arial CE" w:cs="Arial CE"/>
                <w:bCs/>
                <w:sz w:val="20"/>
                <w:szCs w:val="20"/>
              </w:rPr>
              <w:t>8,6</w:t>
            </w:r>
          </w:p>
        </w:tc>
        <w:tc>
          <w:tcPr>
            <w:tcW w:w="828" w:type="dxa"/>
            <w:tcBorders>
              <w:top w:val="nil"/>
              <w:left w:val="single" w:sz="4" w:space="0" w:color="auto"/>
              <w:bottom w:val="single" w:sz="4" w:space="0" w:color="auto"/>
              <w:right w:val="single" w:sz="4" w:space="0" w:color="auto"/>
            </w:tcBorders>
            <w:noWrap/>
            <w:vAlign w:val="center"/>
            <w:hideMark/>
          </w:tcPr>
          <w:p w:rsidR="00730AC8" w:rsidRPr="00941235" w:rsidRDefault="00730AC8" w:rsidP="002F5109">
            <w:pPr>
              <w:jc w:val="right"/>
              <w:rPr>
                <w:rFonts w:ascii="Arial CE" w:hAnsi="Arial CE" w:cs="Arial CE"/>
                <w:bCs/>
                <w:sz w:val="20"/>
                <w:szCs w:val="20"/>
              </w:rPr>
            </w:pPr>
            <w:r w:rsidRPr="00941235">
              <w:rPr>
                <w:rFonts w:ascii="Arial CE" w:hAnsi="Arial CE" w:cs="Arial CE"/>
                <w:bCs/>
                <w:sz w:val="20"/>
                <w:szCs w:val="20"/>
              </w:rPr>
              <w:t>5,0</w:t>
            </w:r>
          </w:p>
        </w:tc>
        <w:tc>
          <w:tcPr>
            <w:tcW w:w="852" w:type="dxa"/>
            <w:tcBorders>
              <w:top w:val="nil"/>
              <w:left w:val="nil"/>
              <w:bottom w:val="single" w:sz="4" w:space="0" w:color="auto"/>
              <w:right w:val="double" w:sz="6" w:space="0" w:color="auto"/>
            </w:tcBorders>
            <w:noWrap/>
            <w:vAlign w:val="center"/>
            <w:hideMark/>
          </w:tcPr>
          <w:p w:rsidR="00730AC8" w:rsidRPr="00941235" w:rsidRDefault="00730AC8" w:rsidP="002F5109">
            <w:pPr>
              <w:jc w:val="right"/>
              <w:rPr>
                <w:rFonts w:ascii="Arial CE" w:hAnsi="Arial CE" w:cs="Arial CE"/>
                <w:bCs/>
                <w:sz w:val="20"/>
                <w:szCs w:val="20"/>
              </w:rPr>
            </w:pPr>
            <w:r w:rsidRPr="00941235">
              <w:rPr>
                <w:rFonts w:ascii="Arial CE" w:hAnsi="Arial CE" w:cs="Arial CE"/>
                <w:bCs/>
                <w:sz w:val="20"/>
                <w:szCs w:val="20"/>
              </w:rPr>
              <w:t>3,6</w:t>
            </w:r>
          </w:p>
        </w:tc>
      </w:tr>
      <w:tr w:rsidR="00730AC8" w:rsidRPr="009B0D99" w:rsidTr="002F5109">
        <w:trPr>
          <w:trHeight w:val="255"/>
          <w:jc w:val="center"/>
        </w:trPr>
        <w:tc>
          <w:tcPr>
            <w:tcW w:w="2552" w:type="dxa"/>
            <w:tcBorders>
              <w:top w:val="nil"/>
              <w:left w:val="double" w:sz="6" w:space="0" w:color="auto"/>
              <w:bottom w:val="nil"/>
              <w:right w:val="single" w:sz="4" w:space="0" w:color="auto"/>
            </w:tcBorders>
            <w:noWrap/>
            <w:vAlign w:val="bottom"/>
            <w:hideMark/>
          </w:tcPr>
          <w:p w:rsidR="00730AC8" w:rsidRDefault="00730AC8" w:rsidP="002F5109">
            <w:pPr>
              <w:spacing w:line="276" w:lineRule="auto"/>
              <w:rPr>
                <w:rFonts w:ascii="Arial" w:hAnsi="Arial" w:cs="Arial"/>
                <w:b/>
                <w:bCs/>
                <w:sz w:val="20"/>
                <w:szCs w:val="20"/>
                <w:lang w:eastAsia="en-US"/>
              </w:rPr>
            </w:pPr>
            <w:r>
              <w:rPr>
                <w:rFonts w:ascii="Arial" w:hAnsi="Arial" w:cs="Arial"/>
                <w:b/>
                <w:bCs/>
                <w:sz w:val="20"/>
                <w:szCs w:val="20"/>
                <w:lang w:eastAsia="en-US"/>
              </w:rPr>
              <w:t>vyřazení - muži</w:t>
            </w:r>
          </w:p>
        </w:tc>
        <w:tc>
          <w:tcPr>
            <w:tcW w:w="852" w:type="dxa"/>
            <w:noWrap/>
            <w:vAlign w:val="center"/>
            <w:hideMark/>
          </w:tcPr>
          <w:p w:rsidR="00730AC8" w:rsidRPr="0046719F" w:rsidRDefault="00730AC8" w:rsidP="002F5109">
            <w:pPr>
              <w:jc w:val="right"/>
              <w:rPr>
                <w:rFonts w:ascii="Arial CE" w:hAnsi="Arial CE"/>
                <w:b/>
                <w:sz w:val="20"/>
                <w:szCs w:val="20"/>
              </w:rPr>
            </w:pPr>
            <w:r w:rsidRPr="0046719F">
              <w:rPr>
                <w:rFonts w:ascii="Arial CE" w:hAnsi="Arial CE"/>
                <w:b/>
                <w:sz w:val="20"/>
                <w:szCs w:val="20"/>
              </w:rPr>
              <w:t>177,2</w:t>
            </w:r>
          </w:p>
        </w:tc>
        <w:tc>
          <w:tcPr>
            <w:tcW w:w="808" w:type="dxa"/>
            <w:tcBorders>
              <w:top w:val="nil"/>
              <w:left w:val="single" w:sz="4" w:space="0" w:color="auto"/>
              <w:bottom w:val="nil"/>
              <w:right w:val="single" w:sz="4" w:space="0" w:color="auto"/>
            </w:tcBorders>
            <w:noWrap/>
            <w:vAlign w:val="center"/>
            <w:hideMark/>
          </w:tcPr>
          <w:p w:rsidR="00730AC8" w:rsidRPr="0046719F" w:rsidRDefault="00730AC8" w:rsidP="002F5109">
            <w:pPr>
              <w:jc w:val="right"/>
              <w:rPr>
                <w:rFonts w:ascii="Arial CE" w:hAnsi="Arial CE"/>
                <w:b/>
                <w:sz w:val="20"/>
                <w:szCs w:val="20"/>
              </w:rPr>
            </w:pPr>
            <w:r w:rsidRPr="0046719F">
              <w:rPr>
                <w:rFonts w:ascii="Arial CE" w:hAnsi="Arial CE"/>
                <w:b/>
                <w:sz w:val="20"/>
                <w:szCs w:val="20"/>
              </w:rPr>
              <w:t>83,4</w:t>
            </w:r>
          </w:p>
        </w:tc>
        <w:tc>
          <w:tcPr>
            <w:tcW w:w="808" w:type="dxa"/>
            <w:tcBorders>
              <w:top w:val="nil"/>
              <w:left w:val="nil"/>
              <w:bottom w:val="nil"/>
              <w:right w:val="single" w:sz="4" w:space="0" w:color="auto"/>
            </w:tcBorders>
            <w:noWrap/>
            <w:vAlign w:val="center"/>
            <w:hideMark/>
          </w:tcPr>
          <w:p w:rsidR="00730AC8" w:rsidRPr="0046719F" w:rsidRDefault="00730AC8" w:rsidP="002F5109">
            <w:pPr>
              <w:jc w:val="right"/>
              <w:rPr>
                <w:rFonts w:ascii="Arial CE" w:hAnsi="Arial CE"/>
                <w:b/>
                <w:sz w:val="20"/>
                <w:szCs w:val="20"/>
              </w:rPr>
            </w:pPr>
            <w:r w:rsidRPr="0046719F">
              <w:rPr>
                <w:rFonts w:ascii="Arial CE" w:hAnsi="Arial CE"/>
                <w:b/>
                <w:sz w:val="20"/>
                <w:szCs w:val="20"/>
              </w:rPr>
              <w:t>93,8</w:t>
            </w:r>
          </w:p>
        </w:tc>
        <w:tc>
          <w:tcPr>
            <w:tcW w:w="888" w:type="dxa"/>
            <w:noWrap/>
            <w:vAlign w:val="center"/>
            <w:hideMark/>
          </w:tcPr>
          <w:p w:rsidR="00730AC8" w:rsidRPr="00941235" w:rsidRDefault="00730AC8" w:rsidP="002F5109">
            <w:pPr>
              <w:jc w:val="right"/>
              <w:rPr>
                <w:rFonts w:ascii="Arial CE" w:hAnsi="Arial CE" w:cs="Arial CE"/>
                <w:b/>
                <w:bCs/>
                <w:sz w:val="20"/>
                <w:szCs w:val="20"/>
              </w:rPr>
            </w:pPr>
            <w:r w:rsidRPr="00941235">
              <w:rPr>
                <w:rFonts w:ascii="Arial CE" w:hAnsi="Arial CE" w:cs="Arial CE"/>
                <w:b/>
                <w:bCs/>
                <w:sz w:val="20"/>
                <w:szCs w:val="20"/>
              </w:rPr>
              <w:t>174,1</w:t>
            </w:r>
          </w:p>
        </w:tc>
        <w:tc>
          <w:tcPr>
            <w:tcW w:w="828" w:type="dxa"/>
            <w:tcBorders>
              <w:top w:val="nil"/>
              <w:left w:val="single" w:sz="4" w:space="0" w:color="auto"/>
              <w:bottom w:val="nil"/>
              <w:right w:val="single" w:sz="4" w:space="0" w:color="auto"/>
            </w:tcBorders>
            <w:noWrap/>
            <w:vAlign w:val="center"/>
            <w:hideMark/>
          </w:tcPr>
          <w:p w:rsidR="00730AC8" w:rsidRPr="00941235" w:rsidRDefault="00730AC8" w:rsidP="002F5109">
            <w:pPr>
              <w:jc w:val="right"/>
              <w:rPr>
                <w:rFonts w:ascii="Arial CE" w:hAnsi="Arial CE" w:cs="Arial CE"/>
                <w:b/>
                <w:bCs/>
                <w:sz w:val="20"/>
                <w:szCs w:val="20"/>
              </w:rPr>
            </w:pPr>
            <w:r w:rsidRPr="00941235">
              <w:rPr>
                <w:rFonts w:ascii="Arial CE" w:hAnsi="Arial CE" w:cs="Arial CE"/>
                <w:b/>
                <w:bCs/>
                <w:sz w:val="20"/>
                <w:szCs w:val="20"/>
              </w:rPr>
              <w:t>69,1</w:t>
            </w:r>
          </w:p>
        </w:tc>
        <w:tc>
          <w:tcPr>
            <w:tcW w:w="852" w:type="dxa"/>
            <w:tcBorders>
              <w:top w:val="nil"/>
              <w:left w:val="nil"/>
              <w:bottom w:val="nil"/>
              <w:right w:val="double" w:sz="6" w:space="0" w:color="auto"/>
            </w:tcBorders>
            <w:noWrap/>
            <w:vAlign w:val="center"/>
            <w:hideMark/>
          </w:tcPr>
          <w:p w:rsidR="00730AC8" w:rsidRPr="00941235" w:rsidRDefault="00730AC8" w:rsidP="002F5109">
            <w:pPr>
              <w:jc w:val="right"/>
              <w:rPr>
                <w:rFonts w:ascii="Arial CE" w:hAnsi="Arial CE" w:cs="Arial CE"/>
                <w:b/>
                <w:bCs/>
                <w:sz w:val="20"/>
                <w:szCs w:val="20"/>
              </w:rPr>
            </w:pPr>
            <w:r w:rsidRPr="00941235">
              <w:rPr>
                <w:rFonts w:ascii="Arial CE" w:hAnsi="Arial CE" w:cs="Arial CE"/>
                <w:b/>
                <w:bCs/>
                <w:sz w:val="20"/>
                <w:szCs w:val="20"/>
              </w:rPr>
              <w:t>105,1</w:t>
            </w:r>
          </w:p>
        </w:tc>
      </w:tr>
      <w:tr w:rsidR="00730AC8" w:rsidRPr="009B0D99" w:rsidTr="002F5109">
        <w:trPr>
          <w:trHeight w:val="255"/>
          <w:jc w:val="center"/>
        </w:trPr>
        <w:tc>
          <w:tcPr>
            <w:tcW w:w="2552" w:type="dxa"/>
            <w:tcBorders>
              <w:top w:val="nil"/>
              <w:left w:val="double" w:sz="6" w:space="0" w:color="auto"/>
              <w:bottom w:val="nil"/>
              <w:right w:val="single" w:sz="4" w:space="0" w:color="auto"/>
            </w:tcBorders>
            <w:noWrap/>
            <w:vAlign w:val="bottom"/>
            <w:hideMark/>
          </w:tcPr>
          <w:p w:rsidR="00730AC8" w:rsidRDefault="00730AC8" w:rsidP="002F5109">
            <w:pPr>
              <w:spacing w:line="276" w:lineRule="auto"/>
              <w:rPr>
                <w:rFonts w:ascii="Arial" w:hAnsi="Arial" w:cs="Arial"/>
                <w:b/>
                <w:bCs/>
                <w:sz w:val="20"/>
                <w:szCs w:val="20"/>
                <w:lang w:eastAsia="en-US"/>
              </w:rPr>
            </w:pPr>
            <w:r>
              <w:rPr>
                <w:rFonts w:ascii="Arial" w:hAnsi="Arial" w:cs="Arial"/>
                <w:b/>
                <w:bCs/>
                <w:sz w:val="20"/>
                <w:szCs w:val="20"/>
                <w:lang w:eastAsia="en-US"/>
              </w:rPr>
              <w:t>z toho:</w:t>
            </w:r>
          </w:p>
        </w:tc>
        <w:tc>
          <w:tcPr>
            <w:tcW w:w="852" w:type="dxa"/>
            <w:noWrap/>
            <w:vAlign w:val="center"/>
            <w:hideMark/>
          </w:tcPr>
          <w:p w:rsidR="00730AC8" w:rsidRDefault="00730AC8" w:rsidP="002F5109">
            <w:pPr>
              <w:rPr>
                <w:rFonts w:ascii="Arial CE" w:hAnsi="Arial CE"/>
                <w:sz w:val="20"/>
                <w:szCs w:val="20"/>
              </w:rPr>
            </w:pPr>
          </w:p>
        </w:tc>
        <w:tc>
          <w:tcPr>
            <w:tcW w:w="808" w:type="dxa"/>
            <w:tcBorders>
              <w:top w:val="nil"/>
              <w:left w:val="single" w:sz="4" w:space="0" w:color="auto"/>
              <w:bottom w:val="nil"/>
              <w:right w:val="single" w:sz="4" w:space="0" w:color="auto"/>
            </w:tcBorders>
            <w:noWrap/>
            <w:vAlign w:val="center"/>
            <w:hideMark/>
          </w:tcPr>
          <w:p w:rsidR="00730AC8" w:rsidRDefault="00730AC8" w:rsidP="002F5109">
            <w:pPr>
              <w:rPr>
                <w:rFonts w:ascii="Arial CE" w:hAnsi="Arial CE"/>
                <w:sz w:val="20"/>
                <w:szCs w:val="20"/>
              </w:rPr>
            </w:pPr>
            <w:r>
              <w:rPr>
                <w:rFonts w:ascii="Arial CE" w:hAnsi="Arial CE"/>
                <w:sz w:val="20"/>
                <w:szCs w:val="20"/>
              </w:rPr>
              <w:t> </w:t>
            </w:r>
          </w:p>
        </w:tc>
        <w:tc>
          <w:tcPr>
            <w:tcW w:w="808" w:type="dxa"/>
            <w:tcBorders>
              <w:top w:val="nil"/>
              <w:left w:val="nil"/>
              <w:bottom w:val="nil"/>
              <w:right w:val="single" w:sz="4" w:space="0" w:color="auto"/>
            </w:tcBorders>
            <w:noWrap/>
            <w:vAlign w:val="center"/>
            <w:hideMark/>
          </w:tcPr>
          <w:p w:rsidR="00730AC8" w:rsidRDefault="00730AC8" w:rsidP="002F5109">
            <w:pPr>
              <w:rPr>
                <w:rFonts w:ascii="Arial CE" w:hAnsi="Arial CE"/>
                <w:sz w:val="20"/>
                <w:szCs w:val="20"/>
              </w:rPr>
            </w:pPr>
            <w:r>
              <w:rPr>
                <w:rFonts w:ascii="Arial CE" w:hAnsi="Arial CE"/>
                <w:sz w:val="20"/>
                <w:szCs w:val="20"/>
              </w:rPr>
              <w:t> </w:t>
            </w:r>
          </w:p>
        </w:tc>
        <w:tc>
          <w:tcPr>
            <w:tcW w:w="888" w:type="dxa"/>
            <w:noWrap/>
            <w:vAlign w:val="center"/>
            <w:hideMark/>
          </w:tcPr>
          <w:p w:rsidR="00730AC8" w:rsidRPr="00941235" w:rsidRDefault="00730AC8" w:rsidP="002F5109">
            <w:pPr>
              <w:rPr>
                <w:rFonts w:ascii="Arial CE" w:hAnsi="Arial CE" w:cs="Arial CE"/>
                <w:b/>
                <w:bCs/>
                <w:sz w:val="20"/>
                <w:szCs w:val="20"/>
              </w:rPr>
            </w:pPr>
            <w:r w:rsidRPr="00941235">
              <w:rPr>
                <w:rFonts w:ascii="Arial CE" w:hAnsi="Arial CE" w:cs="Arial CE"/>
                <w:b/>
                <w:bCs/>
                <w:sz w:val="20"/>
                <w:szCs w:val="20"/>
              </w:rPr>
              <w:t> </w:t>
            </w:r>
          </w:p>
        </w:tc>
        <w:tc>
          <w:tcPr>
            <w:tcW w:w="828" w:type="dxa"/>
            <w:tcBorders>
              <w:top w:val="nil"/>
              <w:left w:val="single" w:sz="4" w:space="0" w:color="auto"/>
              <w:bottom w:val="nil"/>
              <w:right w:val="single" w:sz="4" w:space="0" w:color="auto"/>
            </w:tcBorders>
            <w:noWrap/>
            <w:vAlign w:val="center"/>
            <w:hideMark/>
          </w:tcPr>
          <w:p w:rsidR="00730AC8" w:rsidRPr="00941235" w:rsidRDefault="00730AC8" w:rsidP="002F5109">
            <w:pPr>
              <w:rPr>
                <w:rFonts w:ascii="Arial CE" w:hAnsi="Arial CE" w:cs="Arial CE"/>
                <w:b/>
                <w:bCs/>
                <w:sz w:val="20"/>
                <w:szCs w:val="20"/>
              </w:rPr>
            </w:pPr>
            <w:r w:rsidRPr="00941235">
              <w:rPr>
                <w:rFonts w:ascii="Arial CE" w:hAnsi="Arial CE" w:cs="Arial CE"/>
                <w:b/>
                <w:bCs/>
                <w:sz w:val="20"/>
                <w:szCs w:val="20"/>
              </w:rPr>
              <w:t> </w:t>
            </w:r>
          </w:p>
        </w:tc>
        <w:tc>
          <w:tcPr>
            <w:tcW w:w="852" w:type="dxa"/>
            <w:tcBorders>
              <w:top w:val="nil"/>
              <w:left w:val="nil"/>
              <w:bottom w:val="nil"/>
              <w:right w:val="double" w:sz="6" w:space="0" w:color="auto"/>
            </w:tcBorders>
            <w:noWrap/>
            <w:vAlign w:val="center"/>
            <w:hideMark/>
          </w:tcPr>
          <w:p w:rsidR="00730AC8" w:rsidRPr="00941235" w:rsidRDefault="00730AC8" w:rsidP="002F5109">
            <w:pPr>
              <w:rPr>
                <w:rFonts w:ascii="Arial CE" w:hAnsi="Arial CE" w:cs="Arial CE"/>
                <w:b/>
                <w:bCs/>
                <w:sz w:val="20"/>
                <w:szCs w:val="20"/>
              </w:rPr>
            </w:pPr>
            <w:r w:rsidRPr="00941235">
              <w:rPr>
                <w:rFonts w:ascii="Arial CE" w:hAnsi="Arial CE" w:cs="Arial CE"/>
                <w:b/>
                <w:bCs/>
                <w:sz w:val="20"/>
                <w:szCs w:val="20"/>
              </w:rPr>
              <w:t> </w:t>
            </w:r>
          </w:p>
        </w:tc>
      </w:tr>
      <w:tr w:rsidR="00730AC8" w:rsidRPr="009B0D99" w:rsidTr="002F5109">
        <w:trPr>
          <w:trHeight w:val="300"/>
          <w:jc w:val="center"/>
        </w:trPr>
        <w:tc>
          <w:tcPr>
            <w:tcW w:w="2552" w:type="dxa"/>
            <w:tcBorders>
              <w:top w:val="nil"/>
              <w:left w:val="double" w:sz="6" w:space="0" w:color="auto"/>
              <w:bottom w:val="nil"/>
              <w:right w:val="single" w:sz="4" w:space="0" w:color="auto"/>
            </w:tcBorders>
            <w:noWrap/>
            <w:vAlign w:val="bottom"/>
            <w:hideMark/>
          </w:tcPr>
          <w:p w:rsidR="00730AC8" w:rsidRDefault="00730AC8" w:rsidP="002F5109">
            <w:pPr>
              <w:spacing w:line="276" w:lineRule="auto"/>
              <w:rPr>
                <w:rFonts w:ascii="Arial" w:hAnsi="Arial" w:cs="Arial"/>
                <w:sz w:val="20"/>
                <w:szCs w:val="20"/>
                <w:lang w:eastAsia="en-US"/>
              </w:rPr>
            </w:pPr>
            <w:r>
              <w:rPr>
                <w:rFonts w:ascii="Arial" w:hAnsi="Arial" w:cs="Arial"/>
                <w:sz w:val="20"/>
                <w:szCs w:val="20"/>
                <w:lang w:eastAsia="en-US"/>
              </w:rPr>
              <w:t>umístění ÚP</w:t>
            </w:r>
            <w:r w:rsidR="004F7079">
              <w:rPr>
                <w:rFonts w:ascii="Arial" w:hAnsi="Arial" w:cs="Arial"/>
                <w:sz w:val="20"/>
                <w:szCs w:val="20"/>
                <w:lang w:eastAsia="en-US"/>
              </w:rPr>
              <w:t> ČR</w:t>
            </w:r>
          </w:p>
        </w:tc>
        <w:tc>
          <w:tcPr>
            <w:tcW w:w="852" w:type="dxa"/>
            <w:noWrap/>
            <w:vAlign w:val="center"/>
            <w:hideMark/>
          </w:tcPr>
          <w:p w:rsidR="00730AC8" w:rsidRDefault="00730AC8" w:rsidP="002F5109">
            <w:pPr>
              <w:jc w:val="right"/>
              <w:rPr>
                <w:rFonts w:ascii="Arial CE" w:hAnsi="Arial CE"/>
                <w:sz w:val="20"/>
                <w:szCs w:val="20"/>
              </w:rPr>
            </w:pPr>
            <w:r>
              <w:rPr>
                <w:rFonts w:ascii="Arial CE" w:hAnsi="Arial CE"/>
                <w:sz w:val="20"/>
                <w:szCs w:val="20"/>
              </w:rPr>
              <w:t>9,2</w:t>
            </w:r>
          </w:p>
        </w:tc>
        <w:tc>
          <w:tcPr>
            <w:tcW w:w="808"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sz w:val="20"/>
                <w:szCs w:val="20"/>
              </w:rPr>
            </w:pPr>
            <w:r>
              <w:rPr>
                <w:rFonts w:ascii="Arial CE" w:hAnsi="Arial CE"/>
                <w:sz w:val="20"/>
                <w:szCs w:val="20"/>
              </w:rPr>
              <w:t>3,4</w:t>
            </w:r>
          </w:p>
        </w:tc>
        <w:tc>
          <w:tcPr>
            <w:tcW w:w="808" w:type="dxa"/>
            <w:tcBorders>
              <w:top w:val="nil"/>
              <w:left w:val="nil"/>
              <w:bottom w:val="nil"/>
              <w:right w:val="single" w:sz="4" w:space="0" w:color="auto"/>
            </w:tcBorders>
            <w:noWrap/>
            <w:vAlign w:val="center"/>
            <w:hideMark/>
          </w:tcPr>
          <w:p w:rsidR="00730AC8" w:rsidRDefault="00730AC8" w:rsidP="002F5109">
            <w:pPr>
              <w:jc w:val="right"/>
              <w:rPr>
                <w:rFonts w:ascii="Arial CE" w:hAnsi="Arial CE"/>
                <w:sz w:val="20"/>
                <w:szCs w:val="20"/>
              </w:rPr>
            </w:pPr>
            <w:r>
              <w:rPr>
                <w:rFonts w:ascii="Arial CE" w:hAnsi="Arial CE"/>
                <w:sz w:val="20"/>
                <w:szCs w:val="20"/>
              </w:rPr>
              <w:t>5,8</w:t>
            </w:r>
          </w:p>
        </w:tc>
        <w:tc>
          <w:tcPr>
            <w:tcW w:w="888" w:type="dxa"/>
            <w:noWrap/>
            <w:vAlign w:val="center"/>
            <w:hideMark/>
          </w:tcPr>
          <w:p w:rsidR="00730AC8" w:rsidRPr="00941235" w:rsidRDefault="00730AC8" w:rsidP="002F5109">
            <w:pPr>
              <w:jc w:val="right"/>
              <w:rPr>
                <w:rFonts w:ascii="Arial CE" w:hAnsi="Arial CE" w:cs="Arial CE"/>
                <w:bCs/>
                <w:sz w:val="20"/>
                <w:szCs w:val="20"/>
              </w:rPr>
            </w:pPr>
            <w:r w:rsidRPr="00941235">
              <w:rPr>
                <w:rFonts w:ascii="Arial CE" w:hAnsi="Arial CE" w:cs="Arial CE"/>
                <w:bCs/>
                <w:sz w:val="20"/>
                <w:szCs w:val="20"/>
              </w:rPr>
              <w:t>11,2</w:t>
            </w:r>
          </w:p>
        </w:tc>
        <w:tc>
          <w:tcPr>
            <w:tcW w:w="828" w:type="dxa"/>
            <w:tcBorders>
              <w:top w:val="nil"/>
              <w:left w:val="single" w:sz="4" w:space="0" w:color="auto"/>
              <w:bottom w:val="nil"/>
              <w:right w:val="single" w:sz="4" w:space="0" w:color="auto"/>
            </w:tcBorders>
            <w:noWrap/>
            <w:vAlign w:val="center"/>
            <w:hideMark/>
          </w:tcPr>
          <w:p w:rsidR="00730AC8" w:rsidRPr="00941235" w:rsidRDefault="00730AC8" w:rsidP="002F5109">
            <w:pPr>
              <w:jc w:val="right"/>
              <w:rPr>
                <w:rFonts w:ascii="Arial CE" w:hAnsi="Arial CE" w:cs="Arial CE"/>
                <w:bCs/>
                <w:sz w:val="20"/>
                <w:szCs w:val="20"/>
              </w:rPr>
            </w:pPr>
            <w:r w:rsidRPr="00941235">
              <w:rPr>
                <w:rFonts w:ascii="Arial CE" w:hAnsi="Arial CE" w:cs="Arial CE"/>
                <w:bCs/>
                <w:sz w:val="20"/>
                <w:szCs w:val="20"/>
              </w:rPr>
              <w:t>2,7</w:t>
            </w:r>
          </w:p>
        </w:tc>
        <w:tc>
          <w:tcPr>
            <w:tcW w:w="852" w:type="dxa"/>
            <w:tcBorders>
              <w:top w:val="nil"/>
              <w:left w:val="nil"/>
              <w:bottom w:val="nil"/>
              <w:right w:val="double" w:sz="6" w:space="0" w:color="auto"/>
            </w:tcBorders>
            <w:noWrap/>
            <w:vAlign w:val="center"/>
            <w:hideMark/>
          </w:tcPr>
          <w:p w:rsidR="00730AC8" w:rsidRPr="00941235" w:rsidRDefault="00730AC8" w:rsidP="002F5109">
            <w:pPr>
              <w:jc w:val="right"/>
              <w:rPr>
                <w:rFonts w:ascii="Arial CE" w:hAnsi="Arial CE" w:cs="Arial CE"/>
                <w:bCs/>
                <w:sz w:val="20"/>
                <w:szCs w:val="20"/>
              </w:rPr>
            </w:pPr>
            <w:r w:rsidRPr="00941235">
              <w:rPr>
                <w:rFonts w:ascii="Arial CE" w:hAnsi="Arial CE" w:cs="Arial CE"/>
                <w:bCs/>
                <w:sz w:val="20"/>
                <w:szCs w:val="20"/>
              </w:rPr>
              <w:t>8,5</w:t>
            </w:r>
          </w:p>
        </w:tc>
      </w:tr>
      <w:tr w:rsidR="00730AC8" w:rsidRPr="009B0D99" w:rsidTr="002F5109">
        <w:trPr>
          <w:trHeight w:val="255"/>
          <w:jc w:val="center"/>
        </w:trPr>
        <w:tc>
          <w:tcPr>
            <w:tcW w:w="2552" w:type="dxa"/>
            <w:tcBorders>
              <w:top w:val="nil"/>
              <w:left w:val="double" w:sz="6" w:space="0" w:color="auto"/>
              <w:bottom w:val="nil"/>
              <w:right w:val="single" w:sz="4" w:space="0" w:color="auto"/>
            </w:tcBorders>
            <w:noWrap/>
            <w:vAlign w:val="bottom"/>
            <w:hideMark/>
          </w:tcPr>
          <w:p w:rsidR="00730AC8" w:rsidRDefault="00730AC8" w:rsidP="002F5109">
            <w:pPr>
              <w:spacing w:line="276" w:lineRule="auto"/>
              <w:rPr>
                <w:rFonts w:ascii="Arial" w:hAnsi="Arial" w:cs="Arial"/>
                <w:sz w:val="20"/>
                <w:szCs w:val="20"/>
                <w:lang w:eastAsia="en-US"/>
              </w:rPr>
            </w:pPr>
            <w:r>
              <w:rPr>
                <w:rFonts w:ascii="Arial" w:hAnsi="Arial" w:cs="Arial"/>
                <w:sz w:val="20"/>
                <w:szCs w:val="20"/>
                <w:lang w:eastAsia="en-US"/>
              </w:rPr>
              <w:t>umístění jinak</w:t>
            </w:r>
          </w:p>
        </w:tc>
        <w:tc>
          <w:tcPr>
            <w:tcW w:w="852" w:type="dxa"/>
            <w:noWrap/>
            <w:vAlign w:val="center"/>
            <w:hideMark/>
          </w:tcPr>
          <w:p w:rsidR="00730AC8" w:rsidRDefault="00730AC8" w:rsidP="002F5109">
            <w:pPr>
              <w:jc w:val="right"/>
              <w:rPr>
                <w:rFonts w:ascii="Arial CE" w:hAnsi="Arial CE"/>
                <w:sz w:val="20"/>
                <w:szCs w:val="20"/>
              </w:rPr>
            </w:pPr>
            <w:r>
              <w:rPr>
                <w:rFonts w:ascii="Arial CE" w:hAnsi="Arial CE"/>
                <w:sz w:val="20"/>
                <w:szCs w:val="20"/>
              </w:rPr>
              <w:t>113,6</w:t>
            </w:r>
          </w:p>
        </w:tc>
        <w:tc>
          <w:tcPr>
            <w:tcW w:w="808"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sz w:val="20"/>
                <w:szCs w:val="20"/>
              </w:rPr>
            </w:pPr>
            <w:r>
              <w:rPr>
                <w:rFonts w:ascii="Arial CE" w:hAnsi="Arial CE"/>
                <w:sz w:val="20"/>
                <w:szCs w:val="20"/>
              </w:rPr>
              <w:t>52,6</w:t>
            </w:r>
          </w:p>
        </w:tc>
        <w:tc>
          <w:tcPr>
            <w:tcW w:w="808" w:type="dxa"/>
            <w:tcBorders>
              <w:top w:val="nil"/>
              <w:left w:val="nil"/>
              <w:bottom w:val="nil"/>
              <w:right w:val="single" w:sz="4" w:space="0" w:color="auto"/>
            </w:tcBorders>
            <w:noWrap/>
            <w:vAlign w:val="center"/>
            <w:hideMark/>
          </w:tcPr>
          <w:p w:rsidR="00730AC8" w:rsidRDefault="00730AC8" w:rsidP="002F5109">
            <w:pPr>
              <w:jc w:val="right"/>
              <w:rPr>
                <w:rFonts w:ascii="Arial CE" w:hAnsi="Arial CE"/>
                <w:sz w:val="20"/>
                <w:szCs w:val="20"/>
              </w:rPr>
            </w:pPr>
            <w:r>
              <w:rPr>
                <w:rFonts w:ascii="Arial CE" w:hAnsi="Arial CE"/>
                <w:sz w:val="20"/>
                <w:szCs w:val="20"/>
              </w:rPr>
              <w:t>61,0</w:t>
            </w:r>
          </w:p>
        </w:tc>
        <w:tc>
          <w:tcPr>
            <w:tcW w:w="888" w:type="dxa"/>
            <w:noWrap/>
            <w:vAlign w:val="center"/>
            <w:hideMark/>
          </w:tcPr>
          <w:p w:rsidR="00730AC8" w:rsidRPr="00941235" w:rsidRDefault="00730AC8" w:rsidP="002F5109">
            <w:pPr>
              <w:jc w:val="right"/>
              <w:rPr>
                <w:rFonts w:ascii="Arial CE" w:hAnsi="Arial CE" w:cs="Arial CE"/>
                <w:bCs/>
                <w:sz w:val="20"/>
                <w:szCs w:val="20"/>
              </w:rPr>
            </w:pPr>
            <w:r w:rsidRPr="00941235">
              <w:rPr>
                <w:rFonts w:ascii="Arial CE" w:hAnsi="Arial CE" w:cs="Arial CE"/>
                <w:bCs/>
                <w:sz w:val="20"/>
                <w:szCs w:val="20"/>
              </w:rPr>
              <w:t>91,4</w:t>
            </w:r>
          </w:p>
        </w:tc>
        <w:tc>
          <w:tcPr>
            <w:tcW w:w="828" w:type="dxa"/>
            <w:tcBorders>
              <w:top w:val="nil"/>
              <w:left w:val="single" w:sz="4" w:space="0" w:color="auto"/>
              <w:bottom w:val="nil"/>
              <w:right w:val="single" w:sz="4" w:space="0" w:color="auto"/>
            </w:tcBorders>
            <w:noWrap/>
            <w:vAlign w:val="center"/>
            <w:hideMark/>
          </w:tcPr>
          <w:p w:rsidR="00730AC8" w:rsidRPr="00941235" w:rsidRDefault="00730AC8" w:rsidP="002F5109">
            <w:pPr>
              <w:jc w:val="right"/>
              <w:rPr>
                <w:rFonts w:ascii="Arial CE" w:hAnsi="Arial CE" w:cs="Arial CE"/>
                <w:bCs/>
                <w:sz w:val="20"/>
                <w:szCs w:val="20"/>
              </w:rPr>
            </w:pPr>
            <w:r w:rsidRPr="00941235">
              <w:rPr>
                <w:rFonts w:ascii="Arial CE" w:hAnsi="Arial CE" w:cs="Arial CE"/>
                <w:bCs/>
                <w:sz w:val="20"/>
                <w:szCs w:val="20"/>
              </w:rPr>
              <w:t>36,7</w:t>
            </w:r>
          </w:p>
        </w:tc>
        <w:tc>
          <w:tcPr>
            <w:tcW w:w="852" w:type="dxa"/>
            <w:tcBorders>
              <w:top w:val="nil"/>
              <w:left w:val="nil"/>
              <w:bottom w:val="nil"/>
              <w:right w:val="double" w:sz="6" w:space="0" w:color="auto"/>
            </w:tcBorders>
            <w:noWrap/>
            <w:vAlign w:val="center"/>
            <w:hideMark/>
          </w:tcPr>
          <w:p w:rsidR="00730AC8" w:rsidRPr="00941235" w:rsidRDefault="00730AC8" w:rsidP="002F5109">
            <w:pPr>
              <w:jc w:val="right"/>
              <w:rPr>
                <w:rFonts w:ascii="Arial CE" w:hAnsi="Arial CE" w:cs="Arial CE"/>
                <w:bCs/>
                <w:sz w:val="20"/>
                <w:szCs w:val="20"/>
              </w:rPr>
            </w:pPr>
            <w:r w:rsidRPr="00941235">
              <w:rPr>
                <w:rFonts w:ascii="Arial CE" w:hAnsi="Arial CE" w:cs="Arial CE"/>
                <w:bCs/>
                <w:sz w:val="20"/>
                <w:szCs w:val="20"/>
              </w:rPr>
              <w:t>54,7</w:t>
            </w:r>
          </w:p>
        </w:tc>
      </w:tr>
      <w:tr w:rsidR="00730AC8" w:rsidRPr="009B0D99" w:rsidTr="002F5109">
        <w:trPr>
          <w:trHeight w:val="270"/>
          <w:jc w:val="center"/>
        </w:trPr>
        <w:tc>
          <w:tcPr>
            <w:tcW w:w="2552" w:type="dxa"/>
            <w:tcBorders>
              <w:top w:val="nil"/>
              <w:left w:val="double" w:sz="6" w:space="0" w:color="auto"/>
              <w:bottom w:val="double" w:sz="6" w:space="0" w:color="auto"/>
              <w:right w:val="single" w:sz="4" w:space="0" w:color="auto"/>
            </w:tcBorders>
            <w:noWrap/>
            <w:vAlign w:val="bottom"/>
            <w:hideMark/>
          </w:tcPr>
          <w:p w:rsidR="00730AC8" w:rsidRDefault="00730AC8" w:rsidP="002F5109">
            <w:pPr>
              <w:spacing w:line="276" w:lineRule="auto"/>
              <w:rPr>
                <w:rFonts w:ascii="Arial" w:hAnsi="Arial" w:cs="Arial"/>
                <w:sz w:val="20"/>
                <w:szCs w:val="20"/>
                <w:lang w:eastAsia="en-US"/>
              </w:rPr>
            </w:pPr>
            <w:r>
              <w:rPr>
                <w:rFonts w:ascii="Arial" w:hAnsi="Arial" w:cs="Arial"/>
                <w:sz w:val="20"/>
                <w:szCs w:val="20"/>
                <w:lang w:eastAsia="en-US"/>
              </w:rPr>
              <w:t>vyřazení pro nespolupráci</w:t>
            </w:r>
          </w:p>
        </w:tc>
        <w:tc>
          <w:tcPr>
            <w:tcW w:w="852" w:type="dxa"/>
            <w:tcBorders>
              <w:top w:val="nil"/>
              <w:left w:val="nil"/>
              <w:bottom w:val="double" w:sz="6" w:space="0" w:color="auto"/>
              <w:right w:val="nil"/>
            </w:tcBorders>
            <w:noWrap/>
            <w:vAlign w:val="center"/>
            <w:hideMark/>
          </w:tcPr>
          <w:p w:rsidR="00730AC8" w:rsidRPr="00941235" w:rsidRDefault="00730AC8" w:rsidP="002F5109">
            <w:pPr>
              <w:jc w:val="right"/>
              <w:rPr>
                <w:rFonts w:ascii="Arial CE" w:hAnsi="Arial CE"/>
                <w:sz w:val="20"/>
                <w:szCs w:val="20"/>
              </w:rPr>
            </w:pPr>
            <w:r w:rsidRPr="00941235">
              <w:rPr>
                <w:rFonts w:ascii="Arial CE" w:hAnsi="Arial CE"/>
                <w:sz w:val="20"/>
                <w:szCs w:val="20"/>
              </w:rPr>
              <w:t>21,6</w:t>
            </w:r>
          </w:p>
        </w:tc>
        <w:tc>
          <w:tcPr>
            <w:tcW w:w="808" w:type="dxa"/>
            <w:tcBorders>
              <w:top w:val="nil"/>
              <w:left w:val="single" w:sz="4" w:space="0" w:color="auto"/>
              <w:bottom w:val="double" w:sz="6" w:space="0" w:color="auto"/>
              <w:right w:val="single" w:sz="4" w:space="0" w:color="auto"/>
            </w:tcBorders>
            <w:noWrap/>
            <w:vAlign w:val="center"/>
            <w:hideMark/>
          </w:tcPr>
          <w:p w:rsidR="00730AC8" w:rsidRPr="00941235" w:rsidRDefault="00730AC8" w:rsidP="002F5109">
            <w:pPr>
              <w:jc w:val="right"/>
              <w:rPr>
                <w:rFonts w:ascii="Arial CE" w:hAnsi="Arial CE"/>
                <w:sz w:val="20"/>
                <w:szCs w:val="20"/>
              </w:rPr>
            </w:pPr>
            <w:r w:rsidRPr="00941235">
              <w:rPr>
                <w:rFonts w:ascii="Arial CE" w:hAnsi="Arial CE"/>
                <w:sz w:val="20"/>
                <w:szCs w:val="20"/>
              </w:rPr>
              <w:t>12,3</w:t>
            </w:r>
          </w:p>
        </w:tc>
        <w:tc>
          <w:tcPr>
            <w:tcW w:w="808" w:type="dxa"/>
            <w:tcBorders>
              <w:top w:val="nil"/>
              <w:left w:val="nil"/>
              <w:bottom w:val="double" w:sz="6" w:space="0" w:color="auto"/>
              <w:right w:val="single" w:sz="4" w:space="0" w:color="auto"/>
            </w:tcBorders>
            <w:noWrap/>
            <w:vAlign w:val="center"/>
            <w:hideMark/>
          </w:tcPr>
          <w:p w:rsidR="00730AC8" w:rsidRPr="00941235" w:rsidRDefault="00730AC8" w:rsidP="002F5109">
            <w:pPr>
              <w:jc w:val="right"/>
              <w:rPr>
                <w:rFonts w:ascii="Arial CE" w:hAnsi="Arial CE"/>
                <w:sz w:val="20"/>
                <w:szCs w:val="20"/>
              </w:rPr>
            </w:pPr>
            <w:r w:rsidRPr="00941235">
              <w:rPr>
                <w:rFonts w:ascii="Arial CE" w:hAnsi="Arial CE"/>
                <w:sz w:val="20"/>
                <w:szCs w:val="20"/>
              </w:rPr>
              <w:t>9,3</w:t>
            </w:r>
          </w:p>
        </w:tc>
        <w:tc>
          <w:tcPr>
            <w:tcW w:w="888" w:type="dxa"/>
            <w:tcBorders>
              <w:top w:val="nil"/>
              <w:left w:val="nil"/>
              <w:bottom w:val="double" w:sz="6" w:space="0" w:color="auto"/>
              <w:right w:val="nil"/>
            </w:tcBorders>
            <w:noWrap/>
            <w:vAlign w:val="center"/>
            <w:hideMark/>
          </w:tcPr>
          <w:p w:rsidR="00730AC8" w:rsidRPr="00941235" w:rsidRDefault="00730AC8" w:rsidP="002F5109">
            <w:pPr>
              <w:jc w:val="right"/>
              <w:rPr>
                <w:rFonts w:ascii="Arial CE" w:hAnsi="Arial CE" w:cs="Arial CE"/>
                <w:bCs/>
                <w:sz w:val="20"/>
                <w:szCs w:val="20"/>
              </w:rPr>
            </w:pPr>
            <w:r w:rsidRPr="00941235">
              <w:rPr>
                <w:rFonts w:ascii="Arial CE" w:hAnsi="Arial CE" w:cs="Arial CE"/>
                <w:bCs/>
                <w:sz w:val="20"/>
                <w:szCs w:val="20"/>
              </w:rPr>
              <w:t>20,0</w:t>
            </w:r>
          </w:p>
        </w:tc>
        <w:tc>
          <w:tcPr>
            <w:tcW w:w="828" w:type="dxa"/>
            <w:tcBorders>
              <w:top w:val="nil"/>
              <w:left w:val="single" w:sz="4" w:space="0" w:color="auto"/>
              <w:bottom w:val="double" w:sz="6" w:space="0" w:color="auto"/>
              <w:right w:val="single" w:sz="4" w:space="0" w:color="auto"/>
            </w:tcBorders>
            <w:noWrap/>
            <w:vAlign w:val="center"/>
            <w:hideMark/>
          </w:tcPr>
          <w:p w:rsidR="00730AC8" w:rsidRPr="00941235" w:rsidRDefault="00730AC8" w:rsidP="002F5109">
            <w:pPr>
              <w:jc w:val="right"/>
              <w:rPr>
                <w:rFonts w:ascii="Arial CE" w:hAnsi="Arial CE" w:cs="Arial CE"/>
                <w:bCs/>
                <w:sz w:val="20"/>
                <w:szCs w:val="20"/>
              </w:rPr>
            </w:pPr>
            <w:r w:rsidRPr="00941235">
              <w:rPr>
                <w:rFonts w:ascii="Arial CE" w:hAnsi="Arial CE" w:cs="Arial CE"/>
                <w:bCs/>
                <w:sz w:val="20"/>
                <w:szCs w:val="20"/>
              </w:rPr>
              <w:t>11,2</w:t>
            </w:r>
          </w:p>
        </w:tc>
        <w:tc>
          <w:tcPr>
            <w:tcW w:w="852" w:type="dxa"/>
            <w:tcBorders>
              <w:top w:val="nil"/>
              <w:left w:val="nil"/>
              <w:bottom w:val="double" w:sz="6" w:space="0" w:color="auto"/>
              <w:right w:val="double" w:sz="6" w:space="0" w:color="auto"/>
            </w:tcBorders>
            <w:noWrap/>
            <w:vAlign w:val="center"/>
            <w:hideMark/>
          </w:tcPr>
          <w:p w:rsidR="00730AC8" w:rsidRPr="00941235" w:rsidRDefault="00730AC8" w:rsidP="002F5109">
            <w:pPr>
              <w:jc w:val="right"/>
              <w:rPr>
                <w:rFonts w:ascii="Arial CE" w:hAnsi="Arial CE" w:cs="Arial CE"/>
                <w:bCs/>
                <w:sz w:val="20"/>
                <w:szCs w:val="20"/>
              </w:rPr>
            </w:pPr>
            <w:r w:rsidRPr="00941235">
              <w:rPr>
                <w:rFonts w:ascii="Arial CE" w:hAnsi="Arial CE" w:cs="Arial CE"/>
                <w:bCs/>
                <w:sz w:val="20"/>
                <w:szCs w:val="20"/>
              </w:rPr>
              <w:t>8,8</w:t>
            </w:r>
          </w:p>
        </w:tc>
      </w:tr>
      <w:tr w:rsidR="00730AC8" w:rsidRPr="009B0D99" w:rsidTr="002F5109">
        <w:trPr>
          <w:trHeight w:val="540"/>
          <w:jc w:val="center"/>
        </w:trPr>
        <w:tc>
          <w:tcPr>
            <w:tcW w:w="7588" w:type="dxa"/>
            <w:gridSpan w:val="7"/>
            <w:tcBorders>
              <w:top w:val="double" w:sz="6" w:space="0" w:color="auto"/>
              <w:left w:val="nil"/>
              <w:bottom w:val="nil"/>
              <w:right w:val="nil"/>
            </w:tcBorders>
            <w:vAlign w:val="bottom"/>
            <w:hideMark/>
          </w:tcPr>
          <w:p w:rsidR="00730AC8" w:rsidRDefault="00730AC8" w:rsidP="002F5109">
            <w:pPr>
              <w:spacing w:line="276" w:lineRule="auto"/>
              <w:rPr>
                <w:rFonts w:ascii="Arial" w:hAnsi="Arial" w:cs="Arial"/>
                <w:i/>
                <w:iCs/>
                <w:sz w:val="16"/>
                <w:szCs w:val="16"/>
                <w:lang w:eastAsia="en-US"/>
              </w:rPr>
            </w:pPr>
            <w:r>
              <w:rPr>
                <w:rFonts w:ascii="Arial" w:hAnsi="Arial" w:cs="Arial"/>
                <w:i/>
                <w:iCs/>
                <w:sz w:val="16"/>
                <w:szCs w:val="16"/>
                <w:lang w:eastAsia="en-US"/>
              </w:rPr>
              <w:t>Pozn.: drobné odchylky součtu osob v jednotlivých kategoriích od uvedeného celkového počtu souvisí se zaokrouhlením hodnot na jedno desetinné místo</w:t>
            </w:r>
          </w:p>
        </w:tc>
      </w:tr>
    </w:tbl>
    <w:p w:rsidR="00730AC8" w:rsidRDefault="00730AC8" w:rsidP="00730AC8">
      <w:pPr>
        <w:pStyle w:val="Zkladntext"/>
        <w:jc w:val="center"/>
        <w:rPr>
          <w:b/>
          <w:bCs/>
          <w:color w:val="auto"/>
        </w:rPr>
      </w:pPr>
    </w:p>
    <w:p w:rsidR="00730AC8" w:rsidRDefault="00730AC8" w:rsidP="00D30183">
      <w:pPr>
        <w:pStyle w:val="Zkladntext"/>
        <w:spacing w:line="360" w:lineRule="auto"/>
        <w:ind w:firstLine="567"/>
        <w:rPr>
          <w:color w:val="auto"/>
        </w:rPr>
      </w:pPr>
      <w:r>
        <w:rPr>
          <w:color w:val="auto"/>
        </w:rPr>
        <w:t xml:space="preserve">Vzhledem k charakteru většiny sezónně orientovaných odvětví i sezónních prací (větší možnost uplatnění mužů) byly v počtech nově hlášených, vyřazených </w:t>
      </w:r>
      <w:r>
        <w:rPr>
          <w:color w:val="auto"/>
        </w:rPr>
        <w:lastRenderedPageBreak/>
        <w:t>nebo umístěných mužů v </w:t>
      </w:r>
      <w:r>
        <w:rPr>
          <w:color w:val="auto"/>
          <w:lang w:val="cs-CZ"/>
        </w:rPr>
        <w:t>obou</w:t>
      </w:r>
      <w:r>
        <w:rPr>
          <w:color w:val="auto"/>
        </w:rPr>
        <w:t xml:space="preserve"> čtvrtletích větší rozdíly, zatímco počty žen byly v </w:t>
      </w:r>
      <w:r>
        <w:rPr>
          <w:color w:val="auto"/>
          <w:lang w:val="cs-CZ"/>
        </w:rPr>
        <w:t xml:space="preserve">obou čtvrtletích </w:t>
      </w:r>
      <w:r>
        <w:rPr>
          <w:color w:val="auto"/>
        </w:rPr>
        <w:t>téměř vyrovnané.</w:t>
      </w:r>
    </w:p>
    <w:p w:rsidR="00730AC8" w:rsidRDefault="00730AC8" w:rsidP="00D30183">
      <w:pPr>
        <w:pStyle w:val="Zkladntext"/>
        <w:spacing w:line="360" w:lineRule="auto"/>
        <w:ind w:firstLine="567"/>
        <w:rPr>
          <w:color w:val="auto"/>
        </w:rPr>
      </w:pPr>
      <w:r>
        <w:rPr>
          <w:color w:val="auto"/>
          <w:lang w:val="cs-CZ"/>
        </w:rPr>
        <w:t xml:space="preserve">Uchazečů </w:t>
      </w:r>
      <w:r>
        <w:rPr>
          <w:b/>
          <w:color w:val="auto"/>
          <w:lang w:val="cs-CZ"/>
        </w:rPr>
        <w:t>vy</w:t>
      </w:r>
      <w:r>
        <w:rPr>
          <w:b/>
          <w:color w:val="auto"/>
        </w:rPr>
        <w:t>řazených pro nespolupráci</w:t>
      </w:r>
      <w:r>
        <w:rPr>
          <w:rStyle w:val="Znakapoznpodarou"/>
          <w:color w:val="auto"/>
        </w:rPr>
        <w:footnoteReference w:id="5"/>
      </w:r>
      <w:r>
        <w:rPr>
          <w:color w:val="auto"/>
        </w:rPr>
        <w:t xml:space="preserve"> s ÚP</w:t>
      </w:r>
      <w:r w:rsidR="006A789A">
        <w:rPr>
          <w:color w:val="auto"/>
          <w:lang w:val="cs-CZ"/>
        </w:rPr>
        <w:t> ČR</w:t>
      </w:r>
      <w:r>
        <w:rPr>
          <w:color w:val="auto"/>
        </w:rPr>
        <w:t xml:space="preserve"> </w:t>
      </w:r>
      <w:r>
        <w:rPr>
          <w:color w:val="auto"/>
          <w:lang w:val="cs-CZ"/>
        </w:rPr>
        <w:t xml:space="preserve">bylo méně </w:t>
      </w:r>
      <w:r>
        <w:rPr>
          <w:color w:val="auto"/>
        </w:rPr>
        <w:t>(o </w:t>
      </w:r>
      <w:r>
        <w:rPr>
          <w:color w:val="auto"/>
          <w:lang w:val="cs-CZ"/>
        </w:rPr>
        <w:t>2</w:t>
      </w:r>
      <w:r>
        <w:rPr>
          <w:color w:val="auto"/>
        </w:rPr>
        <w:t>,</w:t>
      </w:r>
      <w:r>
        <w:rPr>
          <w:color w:val="auto"/>
          <w:lang w:val="cs-CZ"/>
        </w:rPr>
        <w:t>2</w:t>
      </w:r>
      <w:r>
        <w:rPr>
          <w:color w:val="auto"/>
        </w:rPr>
        <w:t xml:space="preserve"> tis.). </w:t>
      </w:r>
      <w:r>
        <w:rPr>
          <w:b/>
          <w:color w:val="auto"/>
          <w:lang w:val="cs-CZ"/>
        </w:rPr>
        <w:t>V</w:t>
      </w:r>
      <w:proofErr w:type="spellStart"/>
      <w:r>
        <w:rPr>
          <w:b/>
          <w:color w:val="auto"/>
        </w:rPr>
        <w:t>yřazen</w:t>
      </w:r>
      <w:r>
        <w:rPr>
          <w:b/>
          <w:color w:val="auto"/>
          <w:lang w:val="cs-CZ"/>
        </w:rPr>
        <w:t>o</w:t>
      </w:r>
      <w:proofErr w:type="spellEnd"/>
      <w:r>
        <w:rPr>
          <w:b/>
          <w:color w:val="auto"/>
        </w:rPr>
        <w:t xml:space="preserve"> z ostatních důvodů</w:t>
      </w:r>
      <w:r>
        <w:rPr>
          <w:rStyle w:val="Znakapoznpodarou"/>
          <w:color w:val="auto"/>
        </w:rPr>
        <w:footnoteReference w:id="6"/>
      </w:r>
      <w:r>
        <w:rPr>
          <w:b/>
          <w:color w:val="auto"/>
        </w:rPr>
        <w:t xml:space="preserve"> </w:t>
      </w:r>
      <w:r>
        <w:rPr>
          <w:color w:val="auto"/>
          <w:lang w:val="cs-CZ"/>
        </w:rPr>
        <w:t>bylo</w:t>
      </w:r>
      <w:r>
        <w:rPr>
          <w:b/>
          <w:color w:val="auto"/>
          <w:lang w:val="cs-CZ"/>
        </w:rPr>
        <w:t xml:space="preserve"> 100,1</w:t>
      </w:r>
      <w:r>
        <w:rPr>
          <w:b/>
          <w:color w:val="auto"/>
        </w:rPr>
        <w:t xml:space="preserve"> tis. osob </w:t>
      </w:r>
      <w:r>
        <w:rPr>
          <w:color w:val="auto"/>
        </w:rPr>
        <w:t>(</w:t>
      </w:r>
      <w:r>
        <w:rPr>
          <w:color w:val="auto"/>
          <w:lang w:val="cs-CZ"/>
        </w:rPr>
        <w:t>48</w:t>
      </w:r>
      <w:r>
        <w:rPr>
          <w:color w:val="auto"/>
        </w:rPr>
        <w:t>,</w:t>
      </w:r>
      <w:r>
        <w:rPr>
          <w:color w:val="auto"/>
          <w:lang w:val="cs-CZ"/>
        </w:rPr>
        <w:t>6</w:t>
      </w:r>
      <w:r>
        <w:rPr>
          <w:color w:val="auto"/>
        </w:rPr>
        <w:t> tis. žen a </w:t>
      </w:r>
      <w:r>
        <w:rPr>
          <w:color w:val="auto"/>
          <w:lang w:val="cs-CZ"/>
        </w:rPr>
        <w:t>51</w:t>
      </w:r>
      <w:r>
        <w:rPr>
          <w:color w:val="auto"/>
        </w:rPr>
        <w:t>,</w:t>
      </w:r>
      <w:r>
        <w:rPr>
          <w:color w:val="auto"/>
          <w:lang w:val="cs-CZ"/>
        </w:rPr>
        <w:t>5</w:t>
      </w:r>
      <w:r>
        <w:rPr>
          <w:color w:val="auto"/>
        </w:rPr>
        <w:t xml:space="preserve"> tis. mužů)</w:t>
      </w:r>
      <w:r>
        <w:rPr>
          <w:color w:val="auto"/>
          <w:lang w:val="cs-CZ"/>
        </w:rPr>
        <w:t>,</w:t>
      </w:r>
      <w:r>
        <w:rPr>
          <w:color w:val="auto"/>
        </w:rPr>
        <w:t xml:space="preserve"> </w:t>
      </w:r>
      <w:r>
        <w:rPr>
          <w:color w:val="auto"/>
          <w:lang w:val="cs-CZ"/>
        </w:rPr>
        <w:t>tj.</w:t>
      </w:r>
      <w:r>
        <w:rPr>
          <w:color w:val="auto"/>
        </w:rPr>
        <w:t xml:space="preserve"> o </w:t>
      </w:r>
      <w:r>
        <w:rPr>
          <w:color w:val="auto"/>
          <w:lang w:val="cs-CZ"/>
        </w:rPr>
        <w:t>32</w:t>
      </w:r>
      <w:r>
        <w:rPr>
          <w:color w:val="auto"/>
        </w:rPr>
        <w:t>,</w:t>
      </w:r>
      <w:r>
        <w:rPr>
          <w:color w:val="auto"/>
          <w:lang w:val="cs-CZ"/>
        </w:rPr>
        <w:t>3</w:t>
      </w:r>
      <w:r>
        <w:rPr>
          <w:color w:val="auto"/>
        </w:rPr>
        <w:t> tis.</w:t>
      </w:r>
      <w:r>
        <w:rPr>
          <w:color w:val="auto"/>
          <w:lang w:val="cs-CZ"/>
        </w:rPr>
        <w:t xml:space="preserve"> meziročně více.</w:t>
      </w:r>
    </w:p>
    <w:p w:rsidR="00730AC8" w:rsidRPr="00145A9B" w:rsidRDefault="00730AC8" w:rsidP="00730AC8">
      <w:pPr>
        <w:tabs>
          <w:tab w:val="left" w:pos="720"/>
        </w:tabs>
        <w:jc w:val="both"/>
        <w:rPr>
          <w:rFonts w:ascii="Arial" w:hAnsi="Arial"/>
          <w:bCs/>
          <w:color w:val="00B0F0"/>
        </w:rPr>
      </w:pPr>
    </w:p>
    <w:p w:rsidR="00730AC8" w:rsidRPr="00221EDD" w:rsidRDefault="00730AC8" w:rsidP="00730AC8">
      <w:pPr>
        <w:pStyle w:val="Styl5"/>
        <w:numPr>
          <w:ilvl w:val="0"/>
          <w:numId w:val="12"/>
        </w:numPr>
        <w:tabs>
          <w:tab w:val="clear" w:pos="720"/>
          <w:tab w:val="clear" w:pos="2868"/>
          <w:tab w:val="center" w:pos="900"/>
        </w:tabs>
        <w:spacing w:line="240" w:lineRule="auto"/>
        <w:ind w:hanging="2442"/>
        <w:jc w:val="both"/>
        <w:rPr>
          <w:color w:val="auto"/>
        </w:rPr>
      </w:pPr>
      <w:bookmarkStart w:id="120" w:name="_Toc21312073"/>
      <w:bookmarkStart w:id="121" w:name="_Toc53888307"/>
      <w:bookmarkStart w:id="122" w:name="_Toc53888570"/>
      <w:bookmarkStart w:id="123" w:name="_Toc85008450"/>
      <w:bookmarkStart w:id="124" w:name="_Toc116354711"/>
      <w:bookmarkStart w:id="125" w:name="_Toc116354800"/>
      <w:bookmarkStart w:id="126" w:name="_Toc116355036"/>
      <w:bookmarkStart w:id="127" w:name="_Toc149033462"/>
      <w:bookmarkStart w:id="128" w:name="_Toc179787909"/>
      <w:bookmarkStart w:id="129" w:name="_Toc211067157"/>
      <w:bookmarkStart w:id="130" w:name="_Toc258997895"/>
      <w:bookmarkStart w:id="131" w:name="_Toc274310697"/>
      <w:bookmarkStart w:id="132" w:name="_Toc306357401"/>
      <w:bookmarkStart w:id="133" w:name="_Toc337125229"/>
      <w:bookmarkStart w:id="134" w:name="_Toc372530193"/>
      <w:r w:rsidRPr="00221EDD">
        <w:rPr>
          <w:color w:val="auto"/>
        </w:rPr>
        <w:t>Struktura uchazečů o zaměstnání</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rsidR="00730AC8" w:rsidRPr="00CC27B4" w:rsidRDefault="00730AC8" w:rsidP="00730AC8">
      <w:pPr>
        <w:pStyle w:val="Zhlav"/>
        <w:tabs>
          <w:tab w:val="clear" w:pos="4536"/>
          <w:tab w:val="clear" w:pos="9072"/>
          <w:tab w:val="left" w:pos="900"/>
        </w:tabs>
        <w:rPr>
          <w:rFonts w:cs="Arial"/>
          <w:color w:val="FF0000"/>
          <w:szCs w:val="24"/>
        </w:rPr>
      </w:pPr>
    </w:p>
    <w:p w:rsidR="00730AC8" w:rsidRPr="00BC3139" w:rsidRDefault="00730AC8" w:rsidP="00D30183">
      <w:pPr>
        <w:spacing w:after="120" w:line="360" w:lineRule="auto"/>
        <w:ind w:firstLine="567"/>
        <w:jc w:val="both"/>
        <w:rPr>
          <w:rFonts w:ascii="Arial" w:hAnsi="Arial" w:cs="Arial"/>
          <w:iCs/>
          <w:szCs w:val="23"/>
        </w:rPr>
      </w:pPr>
      <w:r w:rsidRPr="00902639">
        <w:rPr>
          <w:rFonts w:ascii="Arial" w:hAnsi="Arial" w:cs="Arial"/>
          <w:iCs/>
          <w:szCs w:val="23"/>
        </w:rPr>
        <w:t xml:space="preserve">V 1. pololetí 2013 byl zaznamenán </w:t>
      </w:r>
      <w:r w:rsidRPr="002C6DFE">
        <w:rPr>
          <w:rFonts w:ascii="Arial" w:hAnsi="Arial" w:cs="Arial"/>
          <w:iCs/>
          <w:szCs w:val="23"/>
        </w:rPr>
        <w:t>absolutní nárůst i zvýšení podílu dlouhodobě nezaměstnaných</w:t>
      </w:r>
      <w:r>
        <w:rPr>
          <w:rFonts w:ascii="Arial" w:hAnsi="Arial" w:cs="Arial"/>
          <w:iCs/>
          <w:szCs w:val="23"/>
        </w:rPr>
        <w:t xml:space="preserve">, </w:t>
      </w:r>
      <w:r w:rsidRPr="0019303A">
        <w:rPr>
          <w:rFonts w:ascii="Arial" w:hAnsi="Arial" w:cs="Arial"/>
          <w:iCs/>
          <w:szCs w:val="23"/>
        </w:rPr>
        <w:t>mladých do 25 let</w:t>
      </w:r>
      <w:r w:rsidR="002850F6">
        <w:rPr>
          <w:rFonts w:ascii="Arial" w:hAnsi="Arial" w:cs="Arial"/>
          <w:iCs/>
          <w:szCs w:val="23"/>
        </w:rPr>
        <w:t xml:space="preserve"> a</w:t>
      </w:r>
      <w:r w:rsidRPr="0019303A">
        <w:rPr>
          <w:rFonts w:ascii="Arial" w:hAnsi="Arial" w:cs="Arial"/>
          <w:iCs/>
          <w:szCs w:val="23"/>
        </w:rPr>
        <w:t xml:space="preserve"> </w:t>
      </w:r>
      <w:r w:rsidR="002850F6">
        <w:rPr>
          <w:rFonts w:ascii="Arial" w:hAnsi="Arial" w:cs="Arial"/>
          <w:iCs/>
          <w:szCs w:val="23"/>
        </w:rPr>
        <w:t>osob nad</w:t>
      </w:r>
      <w:r w:rsidRPr="0019303A">
        <w:rPr>
          <w:rFonts w:ascii="Arial" w:hAnsi="Arial" w:cs="Arial"/>
          <w:iCs/>
          <w:szCs w:val="23"/>
        </w:rPr>
        <w:t xml:space="preserve"> 55 let</w:t>
      </w:r>
      <w:r>
        <w:rPr>
          <w:rFonts w:ascii="Arial" w:hAnsi="Arial" w:cs="Arial"/>
          <w:iCs/>
          <w:szCs w:val="23"/>
        </w:rPr>
        <w:t>.</w:t>
      </w:r>
      <w:r w:rsidRPr="0019303A">
        <w:rPr>
          <w:rFonts w:ascii="Arial" w:hAnsi="Arial" w:cs="Arial"/>
          <w:iCs/>
          <w:szCs w:val="23"/>
        </w:rPr>
        <w:t xml:space="preserve"> </w:t>
      </w:r>
      <w:r>
        <w:rPr>
          <w:rFonts w:ascii="Arial" w:hAnsi="Arial" w:cs="Arial"/>
          <w:iCs/>
          <w:szCs w:val="23"/>
        </w:rPr>
        <w:t xml:space="preserve">U </w:t>
      </w:r>
      <w:r w:rsidRPr="0019303A">
        <w:rPr>
          <w:rFonts w:ascii="Arial" w:hAnsi="Arial" w:cs="Arial"/>
          <w:iCs/>
          <w:szCs w:val="23"/>
        </w:rPr>
        <w:t>ostatních uchazečů o</w:t>
      </w:r>
      <w:r w:rsidR="00677A1B">
        <w:rPr>
          <w:rFonts w:ascii="Arial" w:hAnsi="Arial" w:cs="Arial"/>
          <w:iCs/>
          <w:szCs w:val="23"/>
        </w:rPr>
        <w:t> </w:t>
      </w:r>
      <w:r w:rsidRPr="0019303A">
        <w:rPr>
          <w:rFonts w:ascii="Arial" w:hAnsi="Arial" w:cs="Arial"/>
          <w:iCs/>
          <w:szCs w:val="23"/>
        </w:rPr>
        <w:t>zaměstnání</w:t>
      </w:r>
      <w:r>
        <w:rPr>
          <w:rFonts w:ascii="Arial" w:hAnsi="Arial" w:cs="Arial"/>
          <w:iCs/>
          <w:szCs w:val="23"/>
        </w:rPr>
        <w:t xml:space="preserve">, </w:t>
      </w:r>
      <w:r w:rsidRPr="0019303A">
        <w:rPr>
          <w:rFonts w:ascii="Arial" w:hAnsi="Arial" w:cs="Arial"/>
          <w:iCs/>
          <w:szCs w:val="23"/>
        </w:rPr>
        <w:t>kterým je věnována zvýšená péče při zprostředkování zaměstnání</w:t>
      </w:r>
      <w:r>
        <w:rPr>
          <w:rFonts w:ascii="Arial" w:hAnsi="Arial" w:cs="Arial"/>
          <w:iCs/>
          <w:szCs w:val="23"/>
        </w:rPr>
        <w:t xml:space="preserve"> (osoby zdravotně postižené,</w:t>
      </w:r>
      <w:r w:rsidRPr="00485977">
        <w:rPr>
          <w:rFonts w:ascii="Arial" w:hAnsi="Arial" w:cs="Arial"/>
          <w:iCs/>
          <w:color w:val="FF0000"/>
          <w:szCs w:val="23"/>
        </w:rPr>
        <w:t xml:space="preserve"> </w:t>
      </w:r>
      <w:r w:rsidRPr="00485977">
        <w:rPr>
          <w:rFonts w:ascii="Arial" w:hAnsi="Arial" w:cs="Arial"/>
          <w:iCs/>
          <w:szCs w:val="23"/>
        </w:rPr>
        <w:t>osob</w:t>
      </w:r>
      <w:r>
        <w:rPr>
          <w:rFonts w:ascii="Arial" w:hAnsi="Arial" w:cs="Arial"/>
          <w:iCs/>
          <w:szCs w:val="23"/>
        </w:rPr>
        <w:t>y</w:t>
      </w:r>
      <w:r w:rsidRPr="00485977">
        <w:rPr>
          <w:rFonts w:ascii="Arial" w:hAnsi="Arial" w:cs="Arial"/>
          <w:iCs/>
          <w:szCs w:val="23"/>
        </w:rPr>
        <w:t xml:space="preserve"> </w:t>
      </w:r>
      <w:r>
        <w:rPr>
          <w:rFonts w:ascii="Arial" w:hAnsi="Arial" w:cs="Arial"/>
          <w:iCs/>
          <w:szCs w:val="23"/>
        </w:rPr>
        <w:t xml:space="preserve">s nejnižším </w:t>
      </w:r>
      <w:r w:rsidRPr="00485977">
        <w:rPr>
          <w:rFonts w:ascii="Arial" w:hAnsi="Arial" w:cs="Arial"/>
          <w:iCs/>
          <w:szCs w:val="23"/>
        </w:rPr>
        <w:t>vzděláním,</w:t>
      </w:r>
      <w:r>
        <w:rPr>
          <w:rFonts w:ascii="Arial" w:hAnsi="Arial" w:cs="Arial"/>
          <w:iCs/>
          <w:szCs w:val="23"/>
        </w:rPr>
        <w:t xml:space="preserve"> </w:t>
      </w:r>
      <w:r w:rsidRPr="006A518D">
        <w:rPr>
          <w:rFonts w:ascii="Arial" w:hAnsi="Arial" w:cs="Arial"/>
          <w:iCs/>
          <w:szCs w:val="23"/>
        </w:rPr>
        <w:t xml:space="preserve">ženy pečující o dítě mladší 15 let), </w:t>
      </w:r>
      <w:r w:rsidRPr="0019303A">
        <w:rPr>
          <w:rFonts w:ascii="Arial" w:hAnsi="Arial" w:cs="Arial"/>
          <w:iCs/>
          <w:szCs w:val="23"/>
        </w:rPr>
        <w:t>byl zaznamenán nárůst nezaměstnanosti nižší než nárůst celkové nezaměstnanosti</w:t>
      </w:r>
      <w:r w:rsidRPr="00BC3139">
        <w:rPr>
          <w:rFonts w:ascii="Arial" w:hAnsi="Arial" w:cs="Arial"/>
          <w:iCs/>
          <w:szCs w:val="23"/>
        </w:rPr>
        <w:t xml:space="preserve">. </w:t>
      </w:r>
    </w:p>
    <w:p w:rsidR="00730AC8" w:rsidRPr="000343E6" w:rsidRDefault="00730AC8" w:rsidP="00730AC8">
      <w:pPr>
        <w:spacing w:after="120" w:line="276" w:lineRule="auto"/>
        <w:jc w:val="both"/>
        <w:rPr>
          <w:rFonts w:ascii="Arial" w:hAnsi="Arial" w:cs="Arial"/>
          <w:b/>
          <w:bCs/>
          <w:sz w:val="16"/>
          <w:szCs w:val="16"/>
        </w:rPr>
      </w:pPr>
    </w:p>
    <w:p w:rsidR="00730AC8" w:rsidRPr="00BE7A9A" w:rsidRDefault="00730AC8" w:rsidP="00730AC8">
      <w:pPr>
        <w:spacing w:after="120" w:line="360" w:lineRule="auto"/>
        <w:jc w:val="both"/>
        <w:rPr>
          <w:rFonts w:ascii="Arial" w:hAnsi="Arial" w:cs="Arial"/>
          <w:iCs/>
          <w:szCs w:val="23"/>
        </w:rPr>
      </w:pPr>
      <w:r>
        <w:rPr>
          <w:rFonts w:ascii="Arial" w:hAnsi="Arial" w:cs="Arial"/>
          <w:b/>
          <w:bCs/>
        </w:rPr>
        <w:t xml:space="preserve">Uchazeči o zaměstnání se zdravotním postižením </w:t>
      </w:r>
    </w:p>
    <w:p w:rsidR="00730AC8" w:rsidRDefault="00730AC8" w:rsidP="00D30183">
      <w:pPr>
        <w:spacing w:line="360" w:lineRule="auto"/>
        <w:ind w:firstLine="567"/>
        <w:jc w:val="both"/>
        <w:rPr>
          <w:rFonts w:ascii="Arial" w:hAnsi="Arial" w:cs="Arial"/>
        </w:rPr>
      </w:pPr>
      <w:r>
        <w:rPr>
          <w:rFonts w:ascii="Arial" w:hAnsi="Arial" w:cs="Arial"/>
          <w:b/>
          <w:bCs/>
          <w:iCs/>
        </w:rPr>
        <w:t>K</w:t>
      </w:r>
      <w:r>
        <w:rPr>
          <w:rFonts w:ascii="Arial" w:hAnsi="Arial" w:cs="Arial"/>
          <w:b/>
        </w:rPr>
        <w:t> </w:t>
      </w:r>
      <w:r>
        <w:rPr>
          <w:rFonts w:ascii="Arial" w:hAnsi="Arial" w:cs="Arial"/>
          <w:b/>
          <w:bCs/>
        </w:rPr>
        <w:t>30. 6. 2013</w:t>
      </w:r>
      <w:r>
        <w:rPr>
          <w:rFonts w:ascii="Arial" w:hAnsi="Arial" w:cs="Arial"/>
        </w:rPr>
        <w:t xml:space="preserve"> bylo v evidenci ÚP</w:t>
      </w:r>
      <w:r w:rsidR="006A789A">
        <w:rPr>
          <w:rFonts w:ascii="Arial" w:hAnsi="Arial" w:cs="Arial"/>
        </w:rPr>
        <w:t> ČR</w:t>
      </w:r>
      <w:r>
        <w:rPr>
          <w:rFonts w:ascii="Arial" w:hAnsi="Arial" w:cs="Arial"/>
        </w:rPr>
        <w:t xml:space="preserve"> </w:t>
      </w:r>
      <w:r w:rsidRPr="007636D8">
        <w:rPr>
          <w:rFonts w:ascii="Arial" w:hAnsi="Arial" w:cs="Arial"/>
          <w:b/>
        </w:rPr>
        <w:t>61,4</w:t>
      </w:r>
      <w:r>
        <w:rPr>
          <w:rFonts w:ascii="Arial" w:hAnsi="Arial" w:cs="Arial"/>
        </w:rPr>
        <w:t xml:space="preserve"> </w:t>
      </w:r>
      <w:r>
        <w:rPr>
          <w:rFonts w:ascii="Arial" w:hAnsi="Arial" w:cs="Arial"/>
          <w:b/>
          <w:bCs/>
        </w:rPr>
        <w:t xml:space="preserve">tis. </w:t>
      </w:r>
      <w:r>
        <w:rPr>
          <w:rFonts w:ascii="Arial" w:hAnsi="Arial" w:cs="Arial"/>
          <w:bCs/>
          <w:iCs/>
        </w:rPr>
        <w:t>uchazečů o zaměstnání</w:t>
      </w:r>
      <w:r>
        <w:rPr>
          <w:rFonts w:ascii="Arial" w:hAnsi="Arial" w:cs="Arial"/>
          <w:b/>
          <w:bCs/>
          <w:iCs/>
        </w:rPr>
        <w:t xml:space="preserve"> </w:t>
      </w:r>
      <w:r>
        <w:rPr>
          <w:rFonts w:ascii="Arial" w:hAnsi="Arial" w:cs="Arial"/>
          <w:bCs/>
          <w:iCs/>
        </w:rPr>
        <w:t xml:space="preserve">– </w:t>
      </w:r>
      <w:r>
        <w:rPr>
          <w:rFonts w:ascii="Arial" w:hAnsi="Arial" w:cs="Arial"/>
          <w:b/>
          <w:bCs/>
          <w:iCs/>
        </w:rPr>
        <w:t>osob se zdravotním postižením (OZP)</w:t>
      </w:r>
      <w:r>
        <w:rPr>
          <w:rFonts w:ascii="Arial" w:hAnsi="Arial" w:cs="Arial"/>
          <w:b/>
          <w:bCs/>
        </w:rPr>
        <w:t>,</w:t>
      </w:r>
      <w:r>
        <w:rPr>
          <w:rFonts w:ascii="Arial" w:hAnsi="Arial" w:cs="Arial"/>
        </w:rPr>
        <w:t xml:space="preserve"> tj. o 1,6 tis. </w:t>
      </w:r>
      <w:r>
        <w:rPr>
          <w:rFonts w:ascii="Arial" w:hAnsi="Arial" w:cs="Arial"/>
          <w:b/>
        </w:rPr>
        <w:t>více</w:t>
      </w:r>
      <w:r>
        <w:rPr>
          <w:rFonts w:ascii="Arial" w:hAnsi="Arial" w:cs="Arial"/>
        </w:rPr>
        <w:t xml:space="preserve"> než před rokem. </w:t>
      </w:r>
    </w:p>
    <w:p w:rsidR="00730AC8" w:rsidRDefault="00730AC8" w:rsidP="00D30183">
      <w:pPr>
        <w:spacing w:line="360" w:lineRule="auto"/>
        <w:ind w:firstLine="567"/>
        <w:jc w:val="both"/>
        <w:rPr>
          <w:rFonts w:ascii="Arial" w:hAnsi="Arial" w:cs="Arial"/>
          <w:bCs/>
        </w:rPr>
      </w:pPr>
      <w:r>
        <w:rPr>
          <w:rFonts w:ascii="Arial" w:hAnsi="Arial" w:cs="Arial"/>
        </w:rPr>
        <w:t xml:space="preserve">Zatímco celkový počet uchazečů o zaměstnání meziročně vzrostl o 13,9 %, </w:t>
      </w:r>
      <w:r w:rsidRPr="00E53DAD">
        <w:rPr>
          <w:rFonts w:ascii="Arial" w:hAnsi="Arial" w:cs="Arial"/>
          <w:b/>
        </w:rPr>
        <w:t>počet OZP</w:t>
      </w:r>
      <w:r>
        <w:rPr>
          <w:rFonts w:ascii="Arial" w:hAnsi="Arial" w:cs="Arial"/>
        </w:rPr>
        <w:t xml:space="preserve"> v evidenci ÚP</w:t>
      </w:r>
      <w:r w:rsidR="006A789A">
        <w:rPr>
          <w:rFonts w:ascii="Arial" w:hAnsi="Arial" w:cs="Arial"/>
        </w:rPr>
        <w:t> ČR</w:t>
      </w:r>
      <w:r>
        <w:rPr>
          <w:rFonts w:ascii="Arial" w:hAnsi="Arial" w:cs="Arial"/>
        </w:rPr>
        <w:t xml:space="preserve"> byl meziročně </w:t>
      </w:r>
      <w:r w:rsidRPr="00E53DAD">
        <w:rPr>
          <w:rFonts w:ascii="Arial" w:hAnsi="Arial" w:cs="Arial"/>
          <w:b/>
        </w:rPr>
        <w:t>vyšší o 2,7 %</w:t>
      </w:r>
      <w:r>
        <w:rPr>
          <w:rFonts w:ascii="Arial" w:hAnsi="Arial" w:cs="Arial"/>
        </w:rPr>
        <w:t xml:space="preserve">. </w:t>
      </w:r>
      <w:r>
        <w:rPr>
          <w:rFonts w:ascii="Arial" w:hAnsi="Arial" w:cs="Arial"/>
          <w:b/>
        </w:rPr>
        <w:t>Podíl OZP</w:t>
      </w:r>
      <w:r>
        <w:rPr>
          <w:rFonts w:ascii="Arial" w:hAnsi="Arial" w:cs="Arial"/>
        </w:rPr>
        <w:t xml:space="preserve"> na celkovém počtu nezaměstnaných se proto </w:t>
      </w:r>
      <w:r>
        <w:rPr>
          <w:rFonts w:ascii="Arial" w:hAnsi="Arial" w:cs="Arial"/>
          <w:b/>
        </w:rPr>
        <w:t>snížil</w:t>
      </w:r>
      <w:r>
        <w:rPr>
          <w:rFonts w:ascii="Arial" w:hAnsi="Arial" w:cs="Arial"/>
        </w:rPr>
        <w:t xml:space="preserve"> z </w:t>
      </w:r>
      <w:r w:rsidRPr="00BE7A9A">
        <w:rPr>
          <w:rFonts w:ascii="Arial" w:hAnsi="Arial" w:cs="Arial"/>
        </w:rPr>
        <w:t>1</w:t>
      </w:r>
      <w:r>
        <w:rPr>
          <w:rFonts w:ascii="Arial" w:hAnsi="Arial" w:cs="Arial"/>
        </w:rPr>
        <w:t>2</w:t>
      </w:r>
      <w:r w:rsidRPr="00BE7A9A">
        <w:rPr>
          <w:rFonts w:ascii="Arial" w:hAnsi="Arial" w:cs="Arial"/>
        </w:rPr>
        <w:t>,</w:t>
      </w:r>
      <w:r>
        <w:rPr>
          <w:rFonts w:ascii="Arial" w:hAnsi="Arial" w:cs="Arial"/>
        </w:rPr>
        <w:t>6</w:t>
      </w:r>
      <w:r w:rsidRPr="00BE7A9A">
        <w:rPr>
          <w:rFonts w:ascii="Arial" w:hAnsi="Arial" w:cs="Arial"/>
        </w:rPr>
        <w:t xml:space="preserve"> % </w:t>
      </w:r>
      <w:r w:rsidRPr="00BE7A9A">
        <w:rPr>
          <w:rFonts w:ascii="Arial" w:hAnsi="Arial" w:cs="Arial"/>
          <w:b/>
        </w:rPr>
        <w:t>na</w:t>
      </w:r>
      <w:r w:rsidRPr="00BE7A9A">
        <w:rPr>
          <w:rFonts w:ascii="Arial" w:hAnsi="Arial" w:cs="Arial"/>
        </w:rPr>
        <w:t xml:space="preserve"> </w:t>
      </w:r>
      <w:r w:rsidRPr="00BE7A9A">
        <w:rPr>
          <w:rFonts w:ascii="Arial" w:hAnsi="Arial" w:cs="Arial"/>
          <w:b/>
        </w:rPr>
        <w:t>1</w:t>
      </w:r>
      <w:r>
        <w:rPr>
          <w:rFonts w:ascii="Arial" w:hAnsi="Arial" w:cs="Arial"/>
          <w:b/>
        </w:rPr>
        <w:t>1</w:t>
      </w:r>
      <w:r w:rsidRPr="00BE7A9A">
        <w:rPr>
          <w:rFonts w:ascii="Arial" w:hAnsi="Arial" w:cs="Arial"/>
          <w:b/>
          <w:bCs/>
        </w:rPr>
        <w:t>,</w:t>
      </w:r>
      <w:r>
        <w:rPr>
          <w:rFonts w:ascii="Arial" w:hAnsi="Arial" w:cs="Arial"/>
          <w:b/>
          <w:bCs/>
        </w:rPr>
        <w:t>4</w:t>
      </w:r>
      <w:r w:rsidRPr="00BE7A9A">
        <w:rPr>
          <w:rFonts w:ascii="Arial" w:hAnsi="Arial" w:cs="Arial"/>
          <w:b/>
          <w:bCs/>
        </w:rPr>
        <w:t> </w:t>
      </w:r>
      <w:r w:rsidRPr="00A10A41">
        <w:rPr>
          <w:rFonts w:ascii="Arial" w:hAnsi="Arial" w:cs="Arial"/>
          <w:b/>
          <w:bCs/>
        </w:rPr>
        <w:t>%</w:t>
      </w:r>
      <w:r w:rsidRPr="00A10A41">
        <w:rPr>
          <w:rFonts w:ascii="Arial" w:hAnsi="Arial" w:cs="Arial"/>
          <w:bCs/>
        </w:rPr>
        <w:t xml:space="preserve"> </w:t>
      </w:r>
      <w:r w:rsidRPr="00A10A41">
        <w:rPr>
          <w:rFonts w:ascii="Arial" w:hAnsi="Arial" w:cs="Arial"/>
          <w:bCs/>
          <w:iCs/>
        </w:rPr>
        <w:t>(viz graf č. 8)</w:t>
      </w:r>
      <w:r w:rsidRPr="00A10A41">
        <w:rPr>
          <w:rFonts w:ascii="Arial" w:hAnsi="Arial" w:cs="Arial"/>
          <w:bCs/>
        </w:rPr>
        <w:t>.</w:t>
      </w:r>
      <w:r>
        <w:rPr>
          <w:rFonts w:ascii="Arial" w:hAnsi="Arial" w:cs="Arial"/>
          <w:bCs/>
        </w:rPr>
        <w:t xml:space="preserve"> Průměrný počet nezaměstnaných OZP vzrostl z 62,2 tis. v 1. pololetí 2012 na 62,7 tis.</w:t>
      </w:r>
    </w:p>
    <w:p w:rsidR="00730AC8" w:rsidRDefault="00730AC8" w:rsidP="00730AC8">
      <w:pPr>
        <w:spacing w:line="360" w:lineRule="auto"/>
        <w:ind w:firstLine="720"/>
        <w:jc w:val="both"/>
        <w:rPr>
          <w:rFonts w:ascii="Arial" w:hAnsi="Arial" w:cs="Arial"/>
          <w:iCs/>
          <w:szCs w:val="23"/>
        </w:rPr>
      </w:pPr>
      <w:r>
        <w:rPr>
          <w:rFonts w:ascii="Arial" w:hAnsi="Arial" w:cs="Arial"/>
          <w:iCs/>
          <w:szCs w:val="23"/>
        </w:rPr>
        <w:t>Vývoj počtu</w:t>
      </w:r>
      <w:r>
        <w:rPr>
          <w:rFonts w:ascii="Arial" w:hAnsi="Arial" w:cs="Arial"/>
          <w:b/>
          <w:bCs/>
          <w:iCs/>
          <w:szCs w:val="23"/>
        </w:rPr>
        <w:t xml:space="preserve"> volných pracovních míst </w:t>
      </w:r>
      <w:r>
        <w:rPr>
          <w:rFonts w:ascii="Arial" w:hAnsi="Arial" w:cs="Arial"/>
          <w:bCs/>
          <w:iCs/>
          <w:szCs w:val="23"/>
        </w:rPr>
        <w:t>vhodných</w:t>
      </w:r>
      <w:r>
        <w:rPr>
          <w:rFonts w:ascii="Arial" w:hAnsi="Arial" w:cs="Arial"/>
          <w:b/>
          <w:bCs/>
          <w:iCs/>
          <w:szCs w:val="23"/>
        </w:rPr>
        <w:t xml:space="preserve"> pro OZP </w:t>
      </w:r>
      <w:r>
        <w:rPr>
          <w:rFonts w:ascii="Arial" w:hAnsi="Arial" w:cs="Arial"/>
          <w:iCs/>
          <w:szCs w:val="23"/>
        </w:rPr>
        <w:t>měl v 1. pololetí 2013 podobnou tendenci jako vývoj celkového počtu volných míst, pokračoval mírný nárůst z roku 2012. K </w:t>
      </w:r>
      <w:r>
        <w:rPr>
          <w:rFonts w:ascii="Arial" w:hAnsi="Arial" w:cs="Arial"/>
          <w:b/>
          <w:iCs/>
          <w:szCs w:val="23"/>
        </w:rPr>
        <w:t>30. 6. 2013</w:t>
      </w:r>
      <w:r>
        <w:rPr>
          <w:rFonts w:ascii="Arial" w:hAnsi="Arial" w:cs="Arial"/>
          <w:iCs/>
          <w:szCs w:val="23"/>
        </w:rPr>
        <w:t xml:space="preserve"> jich bylo nahlášeno </w:t>
      </w:r>
      <w:r w:rsidRPr="003A7E8F">
        <w:rPr>
          <w:rFonts w:ascii="Arial" w:hAnsi="Arial" w:cs="Arial"/>
          <w:b/>
          <w:iCs/>
          <w:szCs w:val="23"/>
        </w:rPr>
        <w:t>3,</w:t>
      </w:r>
      <w:r>
        <w:rPr>
          <w:rFonts w:ascii="Arial" w:hAnsi="Arial" w:cs="Arial"/>
          <w:b/>
          <w:iCs/>
          <w:szCs w:val="23"/>
        </w:rPr>
        <w:t>4 tis.</w:t>
      </w:r>
      <w:r>
        <w:rPr>
          <w:rFonts w:ascii="Arial" w:hAnsi="Arial" w:cs="Arial"/>
          <w:iCs/>
          <w:szCs w:val="23"/>
        </w:rPr>
        <w:t>, tj. o 372 více než v červnu 2012. Ze všech volných míst hlášených na ÚP</w:t>
      </w:r>
      <w:r w:rsidR="006A789A">
        <w:rPr>
          <w:rFonts w:ascii="Arial" w:hAnsi="Arial" w:cs="Arial"/>
          <w:iCs/>
          <w:szCs w:val="23"/>
        </w:rPr>
        <w:t> ČR</w:t>
      </w:r>
      <w:r>
        <w:rPr>
          <w:rFonts w:ascii="Arial" w:hAnsi="Arial" w:cs="Arial"/>
          <w:iCs/>
          <w:szCs w:val="23"/>
        </w:rPr>
        <w:t xml:space="preserve"> představovala  místa vhodná i pro OZP 7,7 % (před rokem 7,1 %). </w:t>
      </w:r>
    </w:p>
    <w:p w:rsidR="00730AC8" w:rsidRDefault="00730AC8" w:rsidP="00730AC8">
      <w:pPr>
        <w:spacing w:line="360" w:lineRule="auto"/>
        <w:ind w:left="3528" w:firstLine="12"/>
        <w:jc w:val="center"/>
        <w:rPr>
          <w:rFonts w:ascii="Arial" w:hAnsi="Arial" w:cs="Arial"/>
          <w:sz w:val="20"/>
          <w:szCs w:val="20"/>
        </w:rPr>
      </w:pPr>
      <w:r>
        <w:rPr>
          <w:rFonts w:ascii="Arial" w:hAnsi="Arial" w:cs="Arial"/>
          <w:sz w:val="20"/>
          <w:szCs w:val="20"/>
          <w:highlight w:val="yellow"/>
        </w:rPr>
        <w:br w:type="column"/>
      </w:r>
      <w:r w:rsidRPr="00730AC8">
        <w:rPr>
          <w:rFonts w:ascii="Arial" w:hAnsi="Arial" w:cs="Arial"/>
          <w:sz w:val="20"/>
          <w:szCs w:val="20"/>
        </w:rPr>
        <w:lastRenderedPageBreak/>
        <w:t>graf č. 8</w:t>
      </w:r>
      <w:r w:rsidRPr="00730AC8">
        <w:rPr>
          <w:rFonts w:ascii="Arial" w:hAnsi="Arial" w:cs="Arial"/>
          <w:color w:val="0070C0"/>
          <w:sz w:val="20"/>
          <w:szCs w:val="20"/>
        </w:rPr>
        <w:tab/>
      </w:r>
      <w:r w:rsidRPr="00730AC8">
        <w:rPr>
          <w:rFonts w:ascii="Arial" w:hAnsi="Arial" w:cs="Arial"/>
          <w:color w:val="0070C0"/>
          <w:sz w:val="20"/>
          <w:szCs w:val="20"/>
        </w:rPr>
        <w:tab/>
      </w:r>
      <w:r w:rsidRPr="00730AC8">
        <w:rPr>
          <w:rFonts w:ascii="Arial" w:hAnsi="Arial" w:cs="Arial"/>
          <w:color w:val="0070C0"/>
          <w:sz w:val="20"/>
          <w:szCs w:val="20"/>
        </w:rPr>
        <w:tab/>
      </w:r>
      <w:r w:rsidRPr="00730AC8">
        <w:rPr>
          <w:rFonts w:ascii="Arial" w:hAnsi="Arial" w:cs="Arial"/>
          <w:color w:val="0070C0"/>
          <w:sz w:val="20"/>
          <w:szCs w:val="20"/>
        </w:rPr>
        <w:tab/>
      </w:r>
      <w:r w:rsidRPr="00730AC8">
        <w:rPr>
          <w:rFonts w:ascii="Arial" w:hAnsi="Arial" w:cs="Arial"/>
          <w:color w:val="0070C0"/>
          <w:sz w:val="20"/>
          <w:szCs w:val="20"/>
        </w:rPr>
        <w:tab/>
      </w:r>
      <w:r w:rsidRPr="00730AC8">
        <w:rPr>
          <w:rFonts w:ascii="Arial" w:hAnsi="Arial" w:cs="Arial"/>
          <w:sz w:val="20"/>
          <w:szCs w:val="20"/>
        </w:rPr>
        <w:t>graf č. 9</w:t>
      </w:r>
    </w:p>
    <w:p w:rsidR="00730AC8" w:rsidRDefault="00730AC8" w:rsidP="00730AC8">
      <w:pPr>
        <w:spacing w:line="360" w:lineRule="auto"/>
        <w:jc w:val="both"/>
        <w:rPr>
          <w:noProof/>
        </w:rPr>
      </w:pPr>
      <w:r>
        <w:rPr>
          <w:noProof/>
        </w:rPr>
        <w:drawing>
          <wp:inline distT="0" distB="0" distL="0" distR="0" wp14:anchorId="1D80ADD7" wp14:editId="6C99D523">
            <wp:extent cx="2800350" cy="2038350"/>
            <wp:effectExtent l="0" t="0" r="0" b="0"/>
            <wp:docPr id="8" name="Graf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Pr>
          <w:noProof/>
        </w:rPr>
        <w:t xml:space="preserve"> </w:t>
      </w:r>
      <w:r>
        <w:rPr>
          <w:noProof/>
        </w:rPr>
        <w:drawing>
          <wp:inline distT="0" distB="0" distL="0" distR="0" wp14:anchorId="64929D38" wp14:editId="67A650C6">
            <wp:extent cx="2800350" cy="1981200"/>
            <wp:effectExtent l="0" t="0" r="0" b="0"/>
            <wp:docPr id="10" name="Graf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730AC8" w:rsidRDefault="00730AC8" w:rsidP="00730AC8">
      <w:pPr>
        <w:ind w:firstLine="720"/>
        <w:jc w:val="both"/>
        <w:rPr>
          <w:rFonts w:ascii="Arial" w:hAnsi="Arial" w:cs="Arial"/>
        </w:rPr>
      </w:pPr>
    </w:p>
    <w:p w:rsidR="00730AC8" w:rsidRDefault="00730AC8" w:rsidP="00D30183">
      <w:pPr>
        <w:spacing w:line="360" w:lineRule="auto"/>
        <w:ind w:firstLine="567"/>
        <w:jc w:val="both"/>
        <w:rPr>
          <w:rFonts w:ascii="Arial" w:hAnsi="Arial" w:cs="Arial"/>
          <w:iCs/>
          <w:szCs w:val="23"/>
        </w:rPr>
      </w:pPr>
      <w:r>
        <w:rPr>
          <w:rFonts w:ascii="Arial" w:hAnsi="Arial"/>
        </w:rPr>
        <w:t>V důsledku rychlejšího růstu počtu volných míst pro OZP proti nárůstu počtu uchazečů o zaměstnání – OZP připadalo v </w:t>
      </w:r>
      <w:r>
        <w:rPr>
          <w:rFonts w:ascii="Arial" w:hAnsi="Arial"/>
          <w:b/>
        </w:rPr>
        <w:t>1. pololetí 2013</w:t>
      </w:r>
      <w:r>
        <w:rPr>
          <w:rFonts w:ascii="Arial" w:hAnsi="Arial"/>
        </w:rPr>
        <w:t xml:space="preserve"> </w:t>
      </w:r>
      <w:r>
        <w:rPr>
          <w:rFonts w:ascii="Arial" w:hAnsi="Arial"/>
          <w:b/>
          <w:bCs/>
        </w:rPr>
        <w:t xml:space="preserve">na jedno volné pracovní místo </w:t>
      </w:r>
      <w:r>
        <w:rPr>
          <w:rFonts w:ascii="Arial" w:hAnsi="Arial"/>
        </w:rPr>
        <w:t xml:space="preserve">určené pro tuto skupinu </w:t>
      </w:r>
      <w:r w:rsidRPr="00A10A41">
        <w:rPr>
          <w:rFonts w:ascii="Arial" w:hAnsi="Arial"/>
          <w:b/>
        </w:rPr>
        <w:t>průměrně</w:t>
      </w:r>
      <w:r w:rsidRPr="00A10A41">
        <w:rPr>
          <w:rFonts w:ascii="Arial" w:hAnsi="Arial"/>
        </w:rPr>
        <w:t xml:space="preserve"> </w:t>
      </w:r>
      <w:r w:rsidRPr="00A10A41">
        <w:rPr>
          <w:rFonts w:ascii="Arial" w:hAnsi="Arial"/>
          <w:b/>
        </w:rPr>
        <w:t>2</w:t>
      </w:r>
      <w:r>
        <w:rPr>
          <w:rFonts w:ascii="Arial" w:hAnsi="Arial"/>
          <w:b/>
        </w:rPr>
        <w:t>0</w:t>
      </w:r>
      <w:r w:rsidRPr="00A10A41">
        <w:rPr>
          <w:rFonts w:ascii="Arial" w:hAnsi="Arial"/>
          <w:b/>
        </w:rPr>
        <w:t>,</w:t>
      </w:r>
      <w:r>
        <w:rPr>
          <w:rFonts w:ascii="Arial" w:hAnsi="Arial"/>
          <w:b/>
        </w:rPr>
        <w:t>4</w:t>
      </w:r>
      <w:r w:rsidRPr="00A10A41">
        <w:rPr>
          <w:rFonts w:ascii="Arial" w:hAnsi="Arial"/>
          <w:b/>
        </w:rPr>
        <w:t> </w:t>
      </w:r>
      <w:r w:rsidRPr="00A10A41">
        <w:rPr>
          <w:rFonts w:ascii="Arial" w:hAnsi="Arial"/>
          <w:b/>
          <w:bCs/>
        </w:rPr>
        <w:t>OZP, což je méně než</w:t>
      </w:r>
      <w:r>
        <w:rPr>
          <w:rFonts w:ascii="Arial" w:hAnsi="Arial"/>
        </w:rPr>
        <w:t xml:space="preserve"> v 1. pololetí 2012</w:t>
      </w:r>
      <w:r w:rsidRPr="00A10A41">
        <w:rPr>
          <w:rFonts w:ascii="Arial" w:hAnsi="Arial"/>
        </w:rPr>
        <w:t xml:space="preserve"> (</w:t>
      </w:r>
      <w:r>
        <w:rPr>
          <w:rFonts w:ascii="Arial" w:hAnsi="Arial"/>
        </w:rPr>
        <w:t>23</w:t>
      </w:r>
      <w:r w:rsidRPr="00A10A41">
        <w:rPr>
          <w:rFonts w:ascii="Arial" w:hAnsi="Arial"/>
        </w:rPr>
        <w:t xml:space="preserve">,1 OZP), </w:t>
      </w:r>
      <w:r w:rsidRPr="00A10A41">
        <w:rPr>
          <w:rFonts w:ascii="Arial" w:hAnsi="Arial" w:cs="Arial"/>
          <w:bCs/>
          <w:iCs/>
        </w:rPr>
        <w:t>viz graf č. 9</w:t>
      </w:r>
      <w:r w:rsidRPr="00A10A41">
        <w:rPr>
          <w:rFonts w:ascii="Arial" w:hAnsi="Arial" w:cs="Arial"/>
          <w:bCs/>
        </w:rPr>
        <w:t>.</w:t>
      </w:r>
      <w:r>
        <w:rPr>
          <w:rFonts w:ascii="Arial" w:hAnsi="Arial" w:cs="Arial"/>
          <w:bCs/>
          <w:color w:val="0070C0"/>
        </w:rPr>
        <w:t xml:space="preserve"> </w:t>
      </w:r>
      <w:r>
        <w:rPr>
          <w:rFonts w:ascii="Arial" w:hAnsi="Arial" w:cs="Arial"/>
          <w:iCs/>
          <w:szCs w:val="23"/>
        </w:rPr>
        <w:t xml:space="preserve">V porovnání s podílem celkového počtu uchazečů o zaměstnání k celkovému počtu VPM (14,9) je tento podíl 1,4-násobný. </w:t>
      </w:r>
    </w:p>
    <w:p w:rsidR="00730AC8" w:rsidRDefault="00730AC8" w:rsidP="00D30183">
      <w:pPr>
        <w:spacing w:line="360" w:lineRule="auto"/>
        <w:ind w:firstLine="567"/>
        <w:jc w:val="both"/>
        <w:rPr>
          <w:rFonts w:ascii="Arial" w:hAnsi="Arial" w:cs="Arial"/>
          <w:iCs/>
          <w:szCs w:val="23"/>
        </w:rPr>
      </w:pPr>
      <w:r>
        <w:rPr>
          <w:rFonts w:ascii="Arial" w:hAnsi="Arial" w:cs="Arial"/>
          <w:iCs/>
          <w:szCs w:val="23"/>
        </w:rPr>
        <w:t xml:space="preserve">Hodnota tohoto ukazatele k </w:t>
      </w:r>
      <w:r>
        <w:rPr>
          <w:rFonts w:ascii="Arial" w:hAnsi="Arial" w:cs="Arial"/>
          <w:b/>
          <w:iCs/>
          <w:szCs w:val="23"/>
        </w:rPr>
        <w:t>30. 6. 2013</w:t>
      </w:r>
      <w:r>
        <w:rPr>
          <w:rFonts w:ascii="Arial" w:hAnsi="Arial" w:cs="Arial"/>
          <w:iCs/>
          <w:szCs w:val="23"/>
        </w:rPr>
        <w:t> </w:t>
      </w:r>
      <w:r>
        <w:rPr>
          <w:rFonts w:ascii="Arial" w:hAnsi="Arial" w:cs="Arial"/>
          <w:b/>
          <w:iCs/>
          <w:szCs w:val="23"/>
        </w:rPr>
        <w:t>(18,0)</w:t>
      </w:r>
      <w:r>
        <w:rPr>
          <w:rFonts w:ascii="Arial" w:hAnsi="Arial" w:cs="Arial"/>
          <w:iCs/>
          <w:szCs w:val="23"/>
        </w:rPr>
        <w:t xml:space="preserve"> byla nižší než ve stejném období minulého roku (19</w:t>
      </w:r>
      <w:r w:rsidRPr="00DF7162">
        <w:rPr>
          <w:rFonts w:ascii="Arial" w:hAnsi="Arial" w:cs="Arial"/>
          <w:iCs/>
          <w:szCs w:val="23"/>
        </w:rPr>
        <w:t>,</w:t>
      </w:r>
      <w:r>
        <w:rPr>
          <w:rFonts w:ascii="Arial" w:hAnsi="Arial" w:cs="Arial"/>
          <w:iCs/>
          <w:szCs w:val="23"/>
        </w:rPr>
        <w:t>7</w:t>
      </w:r>
      <w:r w:rsidRPr="00DF7162">
        <w:rPr>
          <w:rFonts w:ascii="Arial" w:hAnsi="Arial" w:cs="Arial"/>
          <w:iCs/>
          <w:szCs w:val="23"/>
        </w:rPr>
        <w:t xml:space="preserve"> </w:t>
      </w:r>
      <w:r>
        <w:rPr>
          <w:rFonts w:ascii="Arial" w:hAnsi="Arial" w:cs="Arial"/>
          <w:iCs/>
          <w:szCs w:val="23"/>
        </w:rPr>
        <w:t>uchazečů o zaměstnání - OZP na 1 VPM vhodné pro OZP).</w:t>
      </w:r>
    </w:p>
    <w:p w:rsidR="00730AC8" w:rsidRPr="00BC3139" w:rsidRDefault="00730AC8" w:rsidP="00730AC8">
      <w:pPr>
        <w:pStyle w:val="Zkladntextodsazen2"/>
        <w:ind w:firstLine="0"/>
        <w:rPr>
          <w:i w:val="0"/>
        </w:rPr>
      </w:pPr>
    </w:p>
    <w:p w:rsidR="00730AC8" w:rsidRPr="00BC3139" w:rsidRDefault="00730AC8" w:rsidP="00730AC8">
      <w:pPr>
        <w:pStyle w:val="Nadpis3"/>
        <w:spacing w:line="360" w:lineRule="auto"/>
        <w:ind w:firstLine="0"/>
        <w:jc w:val="left"/>
      </w:pPr>
      <w:r w:rsidRPr="00BC3139">
        <w:t>Věková struktura uchazečů o zaměstnání</w:t>
      </w:r>
    </w:p>
    <w:p w:rsidR="00730AC8" w:rsidRPr="00BC3139" w:rsidRDefault="00730AC8" w:rsidP="00730AC8">
      <w:pPr>
        <w:pStyle w:val="Zkladntextodsazen3"/>
        <w:tabs>
          <w:tab w:val="left" w:pos="720"/>
        </w:tabs>
        <w:spacing w:after="0" w:line="360" w:lineRule="auto"/>
        <w:ind w:left="0"/>
        <w:jc w:val="both"/>
        <w:rPr>
          <w:rFonts w:ascii="Arial" w:hAnsi="Arial" w:cs="Arial"/>
          <w:sz w:val="24"/>
          <w:szCs w:val="24"/>
        </w:rPr>
      </w:pPr>
    </w:p>
    <w:p w:rsidR="00730AC8" w:rsidRPr="00BC3139" w:rsidRDefault="00730AC8" w:rsidP="00730AC8">
      <w:pPr>
        <w:pStyle w:val="Zkladntextodsazen3"/>
        <w:tabs>
          <w:tab w:val="left" w:pos="720"/>
        </w:tabs>
        <w:spacing w:after="0" w:line="360" w:lineRule="auto"/>
        <w:ind w:left="0"/>
        <w:jc w:val="both"/>
        <w:rPr>
          <w:rFonts w:ascii="Arial" w:hAnsi="Arial" w:cs="Arial"/>
          <w:sz w:val="24"/>
          <w:szCs w:val="24"/>
        </w:rPr>
      </w:pPr>
      <w:r w:rsidRPr="00BC3139">
        <w:rPr>
          <w:rFonts w:ascii="Arial" w:hAnsi="Arial" w:cs="Arial"/>
          <w:sz w:val="24"/>
          <w:szCs w:val="24"/>
          <w:lang w:val="cs-CZ"/>
        </w:rPr>
        <w:tab/>
        <w:t xml:space="preserve">Z hlediska věku jsou nejvíce ohroženými skupinami nejmladší a nejstarší věkové kategorie. Tyto skupiny v letech 2009 - 2010, od propuknutí ekonomické krize, zaznamenaly nejvyšší nárůst nezaměstnanosti. V průběhu roku 2011 a následně v 1. pololetí 2012 se jejich počty postupně snižovaly. V 1. pololetí 2013 pokračoval jejich nárůst z druhé poloviny 2012. </w:t>
      </w:r>
    </w:p>
    <w:p w:rsidR="00730AC8" w:rsidRPr="00C50353" w:rsidRDefault="00730AC8" w:rsidP="00730AC8">
      <w:pPr>
        <w:pStyle w:val="Zkladntextodsazen3"/>
        <w:tabs>
          <w:tab w:val="left" w:pos="720"/>
        </w:tabs>
        <w:spacing w:after="0" w:line="360" w:lineRule="auto"/>
        <w:ind w:left="0"/>
        <w:jc w:val="both"/>
        <w:rPr>
          <w:rFonts w:ascii="Arial" w:hAnsi="Arial" w:cs="Arial"/>
          <w:sz w:val="24"/>
          <w:szCs w:val="24"/>
        </w:rPr>
      </w:pPr>
      <w:r w:rsidRPr="00BC3139">
        <w:rPr>
          <w:rFonts w:ascii="Arial" w:hAnsi="Arial" w:cs="Arial"/>
          <w:sz w:val="24"/>
          <w:szCs w:val="24"/>
          <w:lang w:val="cs-CZ"/>
        </w:rPr>
        <w:tab/>
      </w:r>
      <w:r w:rsidRPr="00BC3139">
        <w:rPr>
          <w:rFonts w:ascii="Arial" w:hAnsi="Arial" w:cs="Arial"/>
          <w:b/>
          <w:sz w:val="24"/>
          <w:szCs w:val="24"/>
          <w:lang w:val="cs-CZ"/>
        </w:rPr>
        <w:t>Počet</w:t>
      </w:r>
      <w:r w:rsidRPr="00BC3139">
        <w:rPr>
          <w:rFonts w:ascii="Arial" w:hAnsi="Arial" w:cs="Arial"/>
          <w:sz w:val="24"/>
          <w:szCs w:val="24"/>
          <w:lang w:val="cs-CZ"/>
        </w:rPr>
        <w:t xml:space="preserve"> uchazečů </w:t>
      </w:r>
      <w:r w:rsidRPr="00BC3139">
        <w:rPr>
          <w:rFonts w:ascii="Arial" w:hAnsi="Arial" w:cs="Arial"/>
          <w:b/>
          <w:sz w:val="24"/>
          <w:szCs w:val="24"/>
          <w:lang w:val="cs-CZ"/>
        </w:rPr>
        <w:t>nad 50 let</w:t>
      </w:r>
      <w:r w:rsidRPr="00BC3139">
        <w:rPr>
          <w:rFonts w:ascii="Arial" w:hAnsi="Arial" w:cs="Arial"/>
          <w:sz w:val="24"/>
          <w:szCs w:val="24"/>
          <w:lang w:val="cs-CZ"/>
        </w:rPr>
        <w:t xml:space="preserve"> věku meziročně </w:t>
      </w:r>
      <w:r>
        <w:rPr>
          <w:rFonts w:ascii="Arial" w:hAnsi="Arial" w:cs="Arial"/>
          <w:b/>
          <w:sz w:val="24"/>
          <w:szCs w:val="24"/>
          <w:lang w:val="cs-CZ"/>
        </w:rPr>
        <w:t>vzrostl</w:t>
      </w:r>
      <w:r w:rsidRPr="00DE3510">
        <w:rPr>
          <w:rFonts w:ascii="Arial" w:hAnsi="Arial" w:cs="Arial"/>
          <w:b/>
          <w:sz w:val="24"/>
          <w:szCs w:val="24"/>
          <w:lang w:val="cs-CZ"/>
        </w:rPr>
        <w:t xml:space="preserve"> </w:t>
      </w:r>
      <w:r>
        <w:rPr>
          <w:rFonts w:ascii="Arial" w:hAnsi="Arial" w:cs="Arial"/>
          <w:sz w:val="24"/>
          <w:szCs w:val="24"/>
          <w:lang w:val="cs-CZ"/>
        </w:rPr>
        <w:t xml:space="preserve">celkem </w:t>
      </w:r>
      <w:r w:rsidRPr="00DE3510">
        <w:rPr>
          <w:rFonts w:ascii="Arial" w:hAnsi="Arial" w:cs="Arial"/>
          <w:b/>
          <w:sz w:val="24"/>
          <w:szCs w:val="24"/>
          <w:lang w:val="cs-CZ"/>
        </w:rPr>
        <w:t xml:space="preserve">o </w:t>
      </w:r>
      <w:r>
        <w:rPr>
          <w:rFonts w:ascii="Arial" w:hAnsi="Arial" w:cs="Arial"/>
          <w:b/>
          <w:sz w:val="24"/>
          <w:szCs w:val="24"/>
          <w:lang w:val="cs-CZ"/>
        </w:rPr>
        <w:t>15,3</w:t>
      </w:r>
      <w:r w:rsidRPr="00DE3510">
        <w:rPr>
          <w:rFonts w:ascii="Arial" w:hAnsi="Arial" w:cs="Arial"/>
          <w:b/>
          <w:sz w:val="24"/>
          <w:szCs w:val="24"/>
          <w:lang w:val="cs-CZ"/>
        </w:rPr>
        <w:t> tis. osob.</w:t>
      </w:r>
      <w:r>
        <w:rPr>
          <w:rFonts w:ascii="Arial" w:hAnsi="Arial" w:cs="Arial"/>
          <w:sz w:val="24"/>
          <w:szCs w:val="24"/>
          <w:lang w:val="cs-CZ"/>
        </w:rPr>
        <w:t xml:space="preserve"> </w:t>
      </w:r>
      <w:r w:rsidRPr="009A7E5B">
        <w:rPr>
          <w:rFonts w:ascii="Arial" w:hAnsi="Arial" w:cs="Arial"/>
          <w:sz w:val="24"/>
          <w:szCs w:val="24"/>
          <w:lang w:val="cs-CZ"/>
        </w:rPr>
        <w:t xml:space="preserve">Jejich nárůst </w:t>
      </w:r>
      <w:r>
        <w:rPr>
          <w:rFonts w:ascii="Arial" w:hAnsi="Arial" w:cs="Arial"/>
          <w:sz w:val="24"/>
          <w:szCs w:val="24"/>
          <w:lang w:val="cs-CZ"/>
        </w:rPr>
        <w:t>představoval</w:t>
      </w:r>
      <w:r w:rsidRPr="009A7E5B">
        <w:rPr>
          <w:rFonts w:ascii="Arial" w:hAnsi="Arial" w:cs="Arial"/>
          <w:sz w:val="24"/>
          <w:szCs w:val="24"/>
          <w:lang w:val="cs-CZ"/>
        </w:rPr>
        <w:t> 11,7 %</w:t>
      </w:r>
      <w:r>
        <w:rPr>
          <w:rFonts w:ascii="Arial" w:hAnsi="Arial" w:cs="Arial"/>
          <w:sz w:val="24"/>
          <w:szCs w:val="24"/>
          <w:lang w:val="cs-CZ"/>
        </w:rPr>
        <w:t xml:space="preserve"> a byl ve srovnání s růstem celkové nezaměstnanosti (13,9 %) nižší,</w:t>
      </w:r>
      <w:r w:rsidRPr="00174570">
        <w:rPr>
          <w:rFonts w:ascii="Arial" w:hAnsi="Arial" w:cs="Arial"/>
          <w:sz w:val="24"/>
          <w:szCs w:val="24"/>
          <w:lang w:val="cs-CZ"/>
        </w:rPr>
        <w:t xml:space="preserve"> </w:t>
      </w:r>
      <w:r>
        <w:rPr>
          <w:rFonts w:ascii="Arial" w:hAnsi="Arial" w:cs="Arial"/>
          <w:sz w:val="24"/>
          <w:szCs w:val="24"/>
          <w:lang w:val="cs-CZ"/>
        </w:rPr>
        <w:t>jejich mírnější nárůst souvisel s </w:t>
      </w:r>
      <w:r w:rsidRPr="00E53DAD">
        <w:rPr>
          <w:rFonts w:ascii="Arial" w:hAnsi="Arial" w:cs="Arial"/>
          <w:sz w:val="24"/>
          <w:szCs w:val="24"/>
          <w:lang w:val="cs-CZ"/>
        </w:rPr>
        <w:t>případný</w:t>
      </w:r>
      <w:r>
        <w:rPr>
          <w:rFonts w:ascii="Arial" w:hAnsi="Arial" w:cs="Arial"/>
          <w:sz w:val="24"/>
          <w:szCs w:val="24"/>
          <w:lang w:val="cs-CZ"/>
        </w:rPr>
        <w:t>m</w:t>
      </w:r>
      <w:r w:rsidRPr="00E53DAD">
        <w:rPr>
          <w:rFonts w:ascii="Arial" w:hAnsi="Arial" w:cs="Arial"/>
          <w:sz w:val="24"/>
          <w:szCs w:val="24"/>
          <w:lang w:val="cs-CZ"/>
        </w:rPr>
        <w:t xml:space="preserve"> odchod</w:t>
      </w:r>
      <w:r>
        <w:rPr>
          <w:rFonts w:ascii="Arial" w:hAnsi="Arial" w:cs="Arial"/>
          <w:sz w:val="24"/>
          <w:szCs w:val="24"/>
          <w:lang w:val="cs-CZ"/>
        </w:rPr>
        <w:t>em</w:t>
      </w:r>
      <w:r w:rsidRPr="00E53DAD">
        <w:rPr>
          <w:rFonts w:ascii="Arial" w:hAnsi="Arial" w:cs="Arial"/>
          <w:sz w:val="24"/>
          <w:szCs w:val="24"/>
          <w:lang w:val="cs-CZ"/>
        </w:rPr>
        <w:t xml:space="preserve"> do ekonomické neaktivity</w:t>
      </w:r>
      <w:r>
        <w:rPr>
          <w:rFonts w:ascii="Arial" w:hAnsi="Arial" w:cs="Arial"/>
          <w:sz w:val="24"/>
          <w:szCs w:val="24"/>
          <w:lang w:val="cs-CZ"/>
        </w:rPr>
        <w:t xml:space="preserve">. </w:t>
      </w:r>
      <w:r w:rsidRPr="00B76AF3">
        <w:rPr>
          <w:rFonts w:ascii="Arial" w:hAnsi="Arial" w:cs="Arial"/>
          <w:b/>
          <w:sz w:val="24"/>
          <w:szCs w:val="24"/>
          <w:lang w:val="cs-CZ"/>
        </w:rPr>
        <w:t>P</w:t>
      </w:r>
      <w:r>
        <w:rPr>
          <w:rFonts w:ascii="Arial" w:hAnsi="Arial" w:cs="Arial"/>
          <w:b/>
          <w:sz w:val="24"/>
          <w:szCs w:val="24"/>
          <w:lang w:val="cs-CZ"/>
        </w:rPr>
        <w:t>odíl</w:t>
      </w:r>
      <w:r>
        <w:rPr>
          <w:rFonts w:ascii="Arial" w:hAnsi="Arial" w:cs="Arial"/>
          <w:sz w:val="24"/>
          <w:szCs w:val="24"/>
          <w:lang w:val="cs-CZ"/>
        </w:rPr>
        <w:t xml:space="preserve"> uchazečů </w:t>
      </w:r>
      <w:r>
        <w:rPr>
          <w:rFonts w:ascii="Arial" w:hAnsi="Arial" w:cs="Arial"/>
          <w:b/>
          <w:sz w:val="24"/>
          <w:szCs w:val="24"/>
          <w:lang w:val="cs-CZ"/>
        </w:rPr>
        <w:t>starších 50 let</w:t>
      </w:r>
      <w:r>
        <w:rPr>
          <w:rFonts w:ascii="Arial" w:hAnsi="Arial" w:cs="Arial"/>
          <w:sz w:val="24"/>
          <w:szCs w:val="24"/>
          <w:lang w:val="cs-CZ"/>
        </w:rPr>
        <w:t xml:space="preserve"> na celkovém počtu uchazečů se proto mírně snížil o 0,5</w:t>
      </w:r>
      <w:r>
        <w:rPr>
          <w:rFonts w:cs="Arial"/>
          <w:lang w:val="cs-CZ"/>
        </w:rPr>
        <w:t> </w:t>
      </w:r>
      <w:r w:rsidRPr="000F3792">
        <w:rPr>
          <w:rFonts w:ascii="Arial" w:hAnsi="Arial" w:cs="Arial"/>
          <w:sz w:val="24"/>
          <w:szCs w:val="24"/>
          <w:lang w:val="cs-CZ"/>
        </w:rPr>
        <w:t>p. b.</w:t>
      </w:r>
      <w:r>
        <w:rPr>
          <w:rFonts w:ascii="Arial" w:hAnsi="Arial" w:cs="Arial"/>
          <w:sz w:val="24"/>
          <w:szCs w:val="24"/>
          <w:lang w:val="cs-CZ"/>
        </w:rPr>
        <w:t xml:space="preserve"> na </w:t>
      </w:r>
      <w:r>
        <w:rPr>
          <w:rFonts w:ascii="Arial" w:hAnsi="Arial" w:cs="Arial"/>
          <w:b/>
          <w:sz w:val="24"/>
          <w:szCs w:val="24"/>
          <w:lang w:val="cs-CZ"/>
        </w:rPr>
        <w:t>27,0 %</w:t>
      </w:r>
      <w:r>
        <w:rPr>
          <w:rFonts w:ascii="Arial" w:hAnsi="Arial" w:cs="Arial"/>
          <w:sz w:val="24"/>
          <w:szCs w:val="24"/>
          <w:lang w:val="cs-CZ"/>
        </w:rPr>
        <w:t xml:space="preserve">. </w:t>
      </w:r>
      <w:r w:rsidRPr="00C50353">
        <w:rPr>
          <w:rFonts w:ascii="Arial" w:hAnsi="Arial" w:cs="Arial"/>
          <w:b/>
          <w:sz w:val="24"/>
          <w:szCs w:val="24"/>
          <w:lang w:val="cs-CZ"/>
        </w:rPr>
        <w:t>Nejv</w:t>
      </w:r>
      <w:r>
        <w:rPr>
          <w:rFonts w:ascii="Arial" w:hAnsi="Arial" w:cs="Arial"/>
          <w:b/>
          <w:sz w:val="24"/>
          <w:szCs w:val="24"/>
          <w:lang w:val="cs-CZ"/>
        </w:rPr>
        <w:t xml:space="preserve">ětší nárůst </w:t>
      </w:r>
      <w:r w:rsidRPr="00C50353">
        <w:rPr>
          <w:rFonts w:ascii="Arial" w:hAnsi="Arial" w:cs="Arial"/>
          <w:sz w:val="24"/>
          <w:szCs w:val="24"/>
          <w:lang w:val="cs-CZ"/>
        </w:rPr>
        <w:t>zaznamenala kategorie</w:t>
      </w:r>
      <w:r>
        <w:rPr>
          <w:rFonts w:ascii="Arial" w:hAnsi="Arial" w:cs="Arial"/>
          <w:sz w:val="24"/>
          <w:szCs w:val="24"/>
          <w:lang w:val="cs-CZ"/>
        </w:rPr>
        <w:t xml:space="preserve"> </w:t>
      </w:r>
      <w:r>
        <w:rPr>
          <w:rFonts w:ascii="Arial" w:hAnsi="Arial" w:cs="Arial"/>
          <w:b/>
          <w:sz w:val="24"/>
          <w:szCs w:val="24"/>
          <w:lang w:val="cs-CZ"/>
        </w:rPr>
        <w:t xml:space="preserve">55 - 59 let </w:t>
      </w:r>
      <w:r w:rsidRPr="00C50353">
        <w:rPr>
          <w:rFonts w:ascii="Arial" w:hAnsi="Arial" w:cs="Arial"/>
          <w:sz w:val="24"/>
          <w:szCs w:val="24"/>
          <w:lang w:val="cs-CZ"/>
        </w:rPr>
        <w:t>(o 7,9 tis.</w:t>
      </w:r>
      <w:r>
        <w:rPr>
          <w:rFonts w:ascii="Arial" w:hAnsi="Arial" w:cs="Arial"/>
          <w:sz w:val="24"/>
          <w:szCs w:val="24"/>
          <w:lang w:val="cs-CZ"/>
        </w:rPr>
        <w:t>, z toho 5,5 tis. žen</w:t>
      </w:r>
      <w:r w:rsidRPr="00C50353">
        <w:rPr>
          <w:rFonts w:ascii="Arial" w:hAnsi="Arial" w:cs="Arial"/>
          <w:sz w:val="24"/>
          <w:szCs w:val="24"/>
          <w:lang w:val="cs-CZ"/>
        </w:rPr>
        <w:t>)</w:t>
      </w:r>
      <w:r>
        <w:rPr>
          <w:rFonts w:ascii="Arial" w:hAnsi="Arial" w:cs="Arial"/>
          <w:sz w:val="24"/>
          <w:szCs w:val="24"/>
          <w:lang w:val="cs-CZ"/>
        </w:rPr>
        <w:t xml:space="preserve"> </w:t>
      </w:r>
      <w:r>
        <w:rPr>
          <w:rFonts w:ascii="Arial" w:hAnsi="Arial" w:cs="Arial"/>
          <w:b/>
          <w:sz w:val="24"/>
          <w:szCs w:val="24"/>
          <w:lang w:val="cs-CZ"/>
        </w:rPr>
        <w:t xml:space="preserve">a 60 – 64 let </w:t>
      </w:r>
      <w:r w:rsidRPr="00C50353">
        <w:rPr>
          <w:rFonts w:ascii="Arial" w:hAnsi="Arial" w:cs="Arial"/>
          <w:sz w:val="24"/>
          <w:szCs w:val="24"/>
          <w:lang w:val="cs-CZ"/>
        </w:rPr>
        <w:t>(o</w:t>
      </w:r>
      <w:r>
        <w:rPr>
          <w:rFonts w:ascii="Arial" w:hAnsi="Arial" w:cs="Arial"/>
          <w:sz w:val="24"/>
          <w:szCs w:val="24"/>
          <w:lang w:val="cs-CZ"/>
        </w:rPr>
        <w:t> </w:t>
      </w:r>
      <w:r w:rsidRPr="00C50353">
        <w:rPr>
          <w:rFonts w:ascii="Arial" w:hAnsi="Arial" w:cs="Arial"/>
          <w:sz w:val="24"/>
          <w:szCs w:val="24"/>
          <w:lang w:val="cs-CZ"/>
        </w:rPr>
        <w:t>4,3 tis., z toho 3,9 tis. mužů)</w:t>
      </w:r>
      <w:r>
        <w:rPr>
          <w:rFonts w:ascii="Arial" w:hAnsi="Arial" w:cs="Arial"/>
          <w:b/>
          <w:sz w:val="24"/>
          <w:szCs w:val="24"/>
          <w:lang w:val="cs-CZ"/>
        </w:rPr>
        <w:t xml:space="preserve"> </w:t>
      </w:r>
      <w:r w:rsidRPr="00C50353">
        <w:rPr>
          <w:rFonts w:ascii="Arial" w:hAnsi="Arial" w:cs="Arial"/>
          <w:sz w:val="24"/>
          <w:szCs w:val="24"/>
          <w:lang w:val="cs-CZ"/>
        </w:rPr>
        <w:t>do nichž spadají uchazeči o zaměstnání, kteří přišli o</w:t>
      </w:r>
      <w:r>
        <w:rPr>
          <w:rFonts w:ascii="Arial" w:hAnsi="Arial" w:cs="Arial"/>
          <w:sz w:val="24"/>
          <w:szCs w:val="24"/>
          <w:lang w:val="cs-CZ"/>
        </w:rPr>
        <w:t> </w:t>
      </w:r>
      <w:r w:rsidRPr="00C50353">
        <w:rPr>
          <w:rFonts w:ascii="Arial" w:hAnsi="Arial" w:cs="Arial"/>
          <w:sz w:val="24"/>
          <w:szCs w:val="24"/>
          <w:lang w:val="cs-CZ"/>
        </w:rPr>
        <w:t xml:space="preserve">práci </w:t>
      </w:r>
      <w:r>
        <w:rPr>
          <w:rFonts w:ascii="Arial" w:hAnsi="Arial" w:cs="Arial"/>
          <w:sz w:val="24"/>
          <w:szCs w:val="24"/>
          <w:lang w:val="cs-CZ"/>
        </w:rPr>
        <w:t>v předdůchodovém věku, ale nárok na důchod jim ještě nevznikl</w:t>
      </w:r>
      <w:r w:rsidRPr="00C50353">
        <w:rPr>
          <w:rFonts w:ascii="Arial" w:hAnsi="Arial" w:cs="Arial"/>
          <w:sz w:val="24"/>
          <w:szCs w:val="24"/>
          <w:lang w:val="cs-CZ"/>
        </w:rPr>
        <w:t>.</w:t>
      </w:r>
      <w:r>
        <w:rPr>
          <w:rFonts w:ascii="Arial" w:hAnsi="Arial" w:cs="Arial"/>
          <w:sz w:val="24"/>
          <w:szCs w:val="24"/>
          <w:lang w:val="cs-CZ"/>
        </w:rPr>
        <w:t xml:space="preserve"> </w:t>
      </w:r>
    </w:p>
    <w:p w:rsidR="00730AC8" w:rsidRDefault="00730AC8" w:rsidP="00730AC8">
      <w:pPr>
        <w:pStyle w:val="Zkladntextodsazen3"/>
        <w:tabs>
          <w:tab w:val="left" w:pos="709"/>
        </w:tabs>
        <w:spacing w:after="0" w:line="360" w:lineRule="auto"/>
        <w:ind w:left="0"/>
        <w:jc w:val="both"/>
        <w:rPr>
          <w:rFonts w:ascii="Arial" w:hAnsi="Arial" w:cs="Arial"/>
          <w:sz w:val="24"/>
          <w:szCs w:val="24"/>
        </w:rPr>
      </w:pPr>
      <w:r>
        <w:rPr>
          <w:rFonts w:ascii="Arial" w:hAnsi="Arial" w:cs="Arial"/>
          <w:sz w:val="24"/>
          <w:szCs w:val="24"/>
          <w:lang w:val="cs-CZ"/>
        </w:rPr>
        <w:tab/>
      </w:r>
    </w:p>
    <w:p w:rsidR="00730AC8" w:rsidRDefault="00730AC8" w:rsidP="00730AC8">
      <w:pPr>
        <w:pStyle w:val="Zkladntextodsazen3"/>
        <w:tabs>
          <w:tab w:val="left" w:pos="720"/>
        </w:tabs>
        <w:spacing w:after="0" w:line="360" w:lineRule="auto"/>
        <w:ind w:left="0"/>
        <w:jc w:val="right"/>
        <w:rPr>
          <w:rFonts w:ascii="Arial" w:hAnsi="Arial" w:cs="Arial"/>
          <w:color w:val="0070C0"/>
          <w:sz w:val="20"/>
          <w:szCs w:val="20"/>
        </w:rPr>
      </w:pPr>
      <w:r>
        <w:rPr>
          <w:rFonts w:ascii="Arial" w:hAnsi="Arial" w:cs="Arial"/>
          <w:sz w:val="24"/>
          <w:szCs w:val="24"/>
          <w:lang w:val="cs-CZ"/>
        </w:rPr>
        <w:lastRenderedPageBreak/>
        <w:t xml:space="preserve"> </w:t>
      </w:r>
      <w:r w:rsidRPr="00730AC8">
        <w:rPr>
          <w:rFonts w:ascii="Arial" w:hAnsi="Arial" w:cs="Arial"/>
          <w:sz w:val="20"/>
          <w:szCs w:val="20"/>
        </w:rPr>
        <w:t>graf č. 1</w:t>
      </w:r>
      <w:r w:rsidRPr="00730AC8">
        <w:rPr>
          <w:rFonts w:ascii="Arial" w:hAnsi="Arial" w:cs="Arial"/>
          <w:sz w:val="20"/>
          <w:szCs w:val="20"/>
          <w:lang w:val="cs-CZ"/>
        </w:rPr>
        <w:t>0</w:t>
      </w:r>
    </w:p>
    <w:p w:rsidR="00730AC8" w:rsidRDefault="00901122" w:rsidP="00730AC8">
      <w:pPr>
        <w:pStyle w:val="Zkladntextodsazen3"/>
        <w:tabs>
          <w:tab w:val="left" w:pos="720"/>
        </w:tabs>
        <w:spacing w:after="0"/>
        <w:ind w:left="0"/>
        <w:jc w:val="center"/>
        <w:rPr>
          <w:noProof/>
          <w:color w:val="0070C0"/>
        </w:rPr>
      </w:pPr>
      <w:r>
        <w:rPr>
          <w:noProof/>
          <w:lang w:val="cs-CZ" w:eastAsia="cs-CZ"/>
        </w:rPr>
        <w:drawing>
          <wp:inline distT="0" distB="0" distL="0" distR="0" wp14:anchorId="72759731" wp14:editId="243615C8">
            <wp:extent cx="5181600" cy="2962275"/>
            <wp:effectExtent l="0" t="0" r="19050" b="9525"/>
            <wp:docPr id="7"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730AC8" w:rsidRPr="001D474B" w:rsidRDefault="00730AC8" w:rsidP="00730AC8">
      <w:pPr>
        <w:pStyle w:val="Zkladntextodsazen3"/>
        <w:tabs>
          <w:tab w:val="left" w:pos="720"/>
        </w:tabs>
        <w:spacing w:after="0"/>
        <w:ind w:left="0"/>
        <w:jc w:val="both"/>
        <w:rPr>
          <w:rFonts w:ascii="Arial" w:hAnsi="Arial" w:cs="Arial"/>
        </w:rPr>
      </w:pPr>
    </w:p>
    <w:p w:rsidR="00730AC8" w:rsidRPr="00765623" w:rsidRDefault="00730AC8" w:rsidP="00730AC8">
      <w:pPr>
        <w:pStyle w:val="Zkladntextodsazen3"/>
        <w:tabs>
          <w:tab w:val="left" w:pos="720"/>
        </w:tabs>
        <w:spacing w:after="0" w:line="360" w:lineRule="auto"/>
        <w:ind w:left="0"/>
        <w:jc w:val="both"/>
        <w:rPr>
          <w:noProof/>
          <w:color w:val="0070C0"/>
        </w:rPr>
      </w:pPr>
      <w:r>
        <w:rPr>
          <w:rFonts w:ascii="Arial" w:hAnsi="Arial" w:cs="Arial"/>
          <w:sz w:val="24"/>
          <w:szCs w:val="24"/>
          <w:lang w:val="cs-CZ"/>
        </w:rPr>
        <w:tab/>
        <w:t xml:space="preserve"> </w:t>
      </w:r>
    </w:p>
    <w:p w:rsidR="00730AC8" w:rsidRPr="00730AC8" w:rsidRDefault="00730AC8" w:rsidP="00730AC8">
      <w:pPr>
        <w:pStyle w:val="Nadpis4"/>
        <w:jc w:val="center"/>
        <w:rPr>
          <w:rFonts w:ascii="Arial" w:hAnsi="Arial"/>
          <w:color w:val="auto"/>
          <w:sz w:val="24"/>
          <w:szCs w:val="24"/>
        </w:rPr>
      </w:pPr>
      <w:r w:rsidRPr="00730AC8">
        <w:rPr>
          <w:rFonts w:ascii="Arial" w:hAnsi="Arial"/>
          <w:color w:val="auto"/>
          <w:sz w:val="24"/>
          <w:szCs w:val="24"/>
        </w:rPr>
        <w:t>Struktura uchazečů o zaměstnání podle věku</w:t>
      </w:r>
    </w:p>
    <w:tbl>
      <w:tblPr>
        <w:tblW w:w="6576" w:type="dxa"/>
        <w:jc w:val="center"/>
        <w:tblCellMar>
          <w:left w:w="70" w:type="dxa"/>
          <w:right w:w="70" w:type="dxa"/>
        </w:tblCellMar>
        <w:tblLook w:val="04A0" w:firstRow="1" w:lastRow="0" w:firstColumn="1" w:lastColumn="0" w:noHBand="0" w:noVBand="1"/>
      </w:tblPr>
      <w:tblGrid>
        <w:gridCol w:w="1496"/>
        <w:gridCol w:w="836"/>
        <w:gridCol w:w="836"/>
        <w:gridCol w:w="836"/>
        <w:gridCol w:w="836"/>
        <w:gridCol w:w="849"/>
        <w:gridCol w:w="887"/>
      </w:tblGrid>
      <w:tr w:rsidR="00730AC8" w:rsidRPr="009B0D99" w:rsidTr="002F5109">
        <w:trPr>
          <w:trHeight w:val="315"/>
          <w:jc w:val="center"/>
        </w:trPr>
        <w:tc>
          <w:tcPr>
            <w:tcW w:w="1496" w:type="dxa"/>
            <w:noWrap/>
            <w:vAlign w:val="bottom"/>
            <w:hideMark/>
          </w:tcPr>
          <w:p w:rsidR="00730AC8" w:rsidRPr="00730AC8" w:rsidRDefault="00730AC8" w:rsidP="002F5109">
            <w:pPr>
              <w:spacing w:after="200" w:line="276" w:lineRule="auto"/>
              <w:rPr>
                <w:rFonts w:ascii="Calibri" w:eastAsia="Calibri" w:hAnsi="Calibri"/>
                <w:sz w:val="22"/>
                <w:szCs w:val="22"/>
                <w:lang w:eastAsia="en-US"/>
              </w:rPr>
            </w:pPr>
          </w:p>
        </w:tc>
        <w:tc>
          <w:tcPr>
            <w:tcW w:w="836" w:type="dxa"/>
            <w:noWrap/>
            <w:vAlign w:val="bottom"/>
            <w:hideMark/>
          </w:tcPr>
          <w:p w:rsidR="00730AC8" w:rsidRPr="00730AC8" w:rsidRDefault="00730AC8" w:rsidP="002F5109">
            <w:pPr>
              <w:spacing w:after="200" w:line="276" w:lineRule="auto"/>
              <w:rPr>
                <w:rFonts w:ascii="Calibri" w:eastAsia="Calibri" w:hAnsi="Calibri"/>
                <w:sz w:val="22"/>
                <w:szCs w:val="22"/>
                <w:lang w:eastAsia="en-US"/>
              </w:rPr>
            </w:pPr>
          </w:p>
        </w:tc>
        <w:tc>
          <w:tcPr>
            <w:tcW w:w="836" w:type="dxa"/>
            <w:noWrap/>
            <w:vAlign w:val="bottom"/>
            <w:hideMark/>
          </w:tcPr>
          <w:p w:rsidR="00730AC8" w:rsidRPr="00730AC8" w:rsidRDefault="00730AC8" w:rsidP="002F5109">
            <w:pPr>
              <w:spacing w:after="200" w:line="276" w:lineRule="auto"/>
              <w:rPr>
                <w:rFonts w:ascii="Calibri" w:eastAsia="Calibri" w:hAnsi="Calibri"/>
                <w:sz w:val="22"/>
                <w:szCs w:val="22"/>
                <w:lang w:eastAsia="en-US"/>
              </w:rPr>
            </w:pPr>
          </w:p>
        </w:tc>
        <w:tc>
          <w:tcPr>
            <w:tcW w:w="836" w:type="dxa"/>
            <w:noWrap/>
            <w:vAlign w:val="bottom"/>
            <w:hideMark/>
          </w:tcPr>
          <w:p w:rsidR="00730AC8" w:rsidRPr="00730AC8" w:rsidRDefault="00730AC8" w:rsidP="002F5109">
            <w:pPr>
              <w:spacing w:after="200" w:line="276" w:lineRule="auto"/>
              <w:rPr>
                <w:rFonts w:ascii="Calibri" w:eastAsia="Calibri" w:hAnsi="Calibri"/>
                <w:sz w:val="22"/>
                <w:szCs w:val="22"/>
                <w:lang w:eastAsia="en-US"/>
              </w:rPr>
            </w:pPr>
          </w:p>
        </w:tc>
        <w:tc>
          <w:tcPr>
            <w:tcW w:w="836" w:type="dxa"/>
            <w:noWrap/>
            <w:vAlign w:val="bottom"/>
            <w:hideMark/>
          </w:tcPr>
          <w:p w:rsidR="00730AC8" w:rsidRPr="00730AC8" w:rsidRDefault="00730AC8" w:rsidP="002F5109">
            <w:pPr>
              <w:spacing w:after="200" w:line="276" w:lineRule="auto"/>
              <w:rPr>
                <w:rFonts w:ascii="Calibri" w:eastAsia="Calibri" w:hAnsi="Calibri"/>
                <w:sz w:val="22"/>
                <w:szCs w:val="22"/>
                <w:lang w:eastAsia="en-US"/>
              </w:rPr>
            </w:pPr>
          </w:p>
        </w:tc>
        <w:tc>
          <w:tcPr>
            <w:tcW w:w="1736" w:type="dxa"/>
            <w:gridSpan w:val="2"/>
            <w:noWrap/>
            <w:vAlign w:val="bottom"/>
            <w:hideMark/>
          </w:tcPr>
          <w:p w:rsidR="00730AC8" w:rsidRDefault="00730AC8" w:rsidP="002F5109">
            <w:pPr>
              <w:spacing w:line="276" w:lineRule="auto"/>
              <w:jc w:val="right"/>
              <w:rPr>
                <w:rFonts w:ascii="Arial" w:hAnsi="Arial" w:cs="Arial"/>
                <w:sz w:val="20"/>
                <w:szCs w:val="20"/>
                <w:lang w:eastAsia="en-US"/>
              </w:rPr>
            </w:pPr>
            <w:r w:rsidRPr="00730AC8">
              <w:rPr>
                <w:rFonts w:ascii="Arial" w:hAnsi="Arial" w:cs="Arial"/>
                <w:sz w:val="20"/>
                <w:szCs w:val="20"/>
                <w:lang w:eastAsia="en-US"/>
              </w:rPr>
              <w:t>tab.č.19</w:t>
            </w:r>
          </w:p>
        </w:tc>
      </w:tr>
      <w:tr w:rsidR="00730AC8" w:rsidRPr="009B0D99" w:rsidTr="002F5109">
        <w:trPr>
          <w:trHeight w:val="360"/>
          <w:jc w:val="center"/>
        </w:trPr>
        <w:tc>
          <w:tcPr>
            <w:tcW w:w="1496" w:type="dxa"/>
            <w:vMerge w:val="restart"/>
            <w:tcBorders>
              <w:top w:val="double" w:sz="6" w:space="0" w:color="auto"/>
              <w:left w:val="double" w:sz="6" w:space="0" w:color="auto"/>
              <w:bottom w:val="single" w:sz="4" w:space="0" w:color="000000"/>
              <w:right w:val="single" w:sz="4" w:space="0" w:color="auto"/>
            </w:tcBorders>
            <w:vAlign w:val="center"/>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 </w:t>
            </w:r>
          </w:p>
        </w:tc>
        <w:tc>
          <w:tcPr>
            <w:tcW w:w="1672" w:type="dxa"/>
            <w:gridSpan w:val="2"/>
            <w:tcBorders>
              <w:top w:val="double" w:sz="6" w:space="0" w:color="auto"/>
              <w:left w:val="nil"/>
              <w:bottom w:val="single" w:sz="4" w:space="0" w:color="auto"/>
              <w:right w:val="nil"/>
            </w:tcBorders>
            <w:noWrap/>
            <w:vAlign w:val="center"/>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k 30. 6. 2012</w:t>
            </w:r>
          </w:p>
        </w:tc>
        <w:tc>
          <w:tcPr>
            <w:tcW w:w="1672" w:type="dxa"/>
            <w:gridSpan w:val="2"/>
            <w:tcBorders>
              <w:top w:val="double" w:sz="6" w:space="0" w:color="auto"/>
              <w:left w:val="single" w:sz="4" w:space="0" w:color="auto"/>
              <w:bottom w:val="single" w:sz="4" w:space="0" w:color="auto"/>
              <w:right w:val="single" w:sz="4" w:space="0" w:color="000000"/>
            </w:tcBorders>
            <w:noWrap/>
            <w:vAlign w:val="center"/>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k 30. 6. 2013</w:t>
            </w:r>
          </w:p>
        </w:tc>
        <w:tc>
          <w:tcPr>
            <w:tcW w:w="1736" w:type="dxa"/>
            <w:gridSpan w:val="2"/>
            <w:tcBorders>
              <w:top w:val="double" w:sz="6" w:space="0" w:color="auto"/>
              <w:left w:val="nil"/>
              <w:bottom w:val="single" w:sz="4" w:space="0" w:color="auto"/>
              <w:right w:val="double" w:sz="6" w:space="0" w:color="000000"/>
            </w:tcBorders>
            <w:noWrap/>
            <w:vAlign w:val="center"/>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meziroční rozdíl</w:t>
            </w:r>
          </w:p>
        </w:tc>
      </w:tr>
      <w:tr w:rsidR="00730AC8" w:rsidRPr="009B0D99" w:rsidTr="002F5109">
        <w:trPr>
          <w:trHeight w:val="285"/>
          <w:jc w:val="center"/>
        </w:trPr>
        <w:tc>
          <w:tcPr>
            <w:tcW w:w="0" w:type="auto"/>
            <w:vMerge/>
            <w:tcBorders>
              <w:top w:val="double" w:sz="6" w:space="0" w:color="auto"/>
              <w:left w:val="double" w:sz="6" w:space="0" w:color="auto"/>
              <w:bottom w:val="single" w:sz="4" w:space="0" w:color="000000"/>
              <w:right w:val="single" w:sz="4" w:space="0" w:color="auto"/>
            </w:tcBorders>
            <w:vAlign w:val="center"/>
            <w:hideMark/>
          </w:tcPr>
          <w:p w:rsidR="00730AC8" w:rsidRDefault="00730AC8" w:rsidP="002F5109">
            <w:pPr>
              <w:rPr>
                <w:rFonts w:ascii="Arial" w:hAnsi="Arial" w:cs="Arial"/>
                <w:b/>
                <w:bCs/>
                <w:sz w:val="20"/>
                <w:szCs w:val="20"/>
                <w:lang w:eastAsia="en-US"/>
              </w:rPr>
            </w:pPr>
          </w:p>
        </w:tc>
        <w:tc>
          <w:tcPr>
            <w:tcW w:w="836" w:type="dxa"/>
            <w:tcBorders>
              <w:top w:val="nil"/>
              <w:left w:val="nil"/>
              <w:bottom w:val="single" w:sz="4" w:space="0" w:color="auto"/>
              <w:right w:val="single" w:sz="4" w:space="0" w:color="auto"/>
            </w:tcBorders>
            <w:vAlign w:val="center"/>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v tis.</w:t>
            </w:r>
          </w:p>
        </w:tc>
        <w:tc>
          <w:tcPr>
            <w:tcW w:w="836" w:type="dxa"/>
            <w:tcBorders>
              <w:top w:val="nil"/>
              <w:left w:val="nil"/>
              <w:bottom w:val="single" w:sz="4" w:space="0" w:color="auto"/>
              <w:right w:val="nil"/>
            </w:tcBorders>
            <w:vAlign w:val="center"/>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v %</w:t>
            </w:r>
          </w:p>
        </w:tc>
        <w:tc>
          <w:tcPr>
            <w:tcW w:w="836" w:type="dxa"/>
            <w:tcBorders>
              <w:top w:val="nil"/>
              <w:left w:val="single" w:sz="4" w:space="0" w:color="auto"/>
              <w:bottom w:val="single" w:sz="4" w:space="0" w:color="auto"/>
              <w:right w:val="single" w:sz="4" w:space="0" w:color="auto"/>
            </w:tcBorders>
            <w:vAlign w:val="center"/>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v tis.</w:t>
            </w:r>
          </w:p>
        </w:tc>
        <w:tc>
          <w:tcPr>
            <w:tcW w:w="836" w:type="dxa"/>
            <w:tcBorders>
              <w:top w:val="nil"/>
              <w:left w:val="nil"/>
              <w:bottom w:val="single" w:sz="4" w:space="0" w:color="auto"/>
              <w:right w:val="single" w:sz="4" w:space="0" w:color="auto"/>
            </w:tcBorders>
            <w:vAlign w:val="center"/>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v %</w:t>
            </w:r>
          </w:p>
        </w:tc>
        <w:tc>
          <w:tcPr>
            <w:tcW w:w="849" w:type="dxa"/>
            <w:tcBorders>
              <w:top w:val="nil"/>
              <w:left w:val="nil"/>
              <w:bottom w:val="single" w:sz="4" w:space="0" w:color="auto"/>
              <w:right w:val="single" w:sz="4" w:space="0" w:color="auto"/>
            </w:tcBorders>
            <w:vAlign w:val="center"/>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v tis.</w:t>
            </w:r>
          </w:p>
        </w:tc>
        <w:tc>
          <w:tcPr>
            <w:tcW w:w="887" w:type="dxa"/>
            <w:tcBorders>
              <w:top w:val="nil"/>
              <w:left w:val="nil"/>
              <w:bottom w:val="single" w:sz="4" w:space="0" w:color="auto"/>
              <w:right w:val="double" w:sz="6" w:space="0" w:color="auto"/>
            </w:tcBorders>
            <w:vAlign w:val="center"/>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v %</w:t>
            </w:r>
          </w:p>
        </w:tc>
      </w:tr>
      <w:tr w:rsidR="00730AC8" w:rsidRPr="009B0D99" w:rsidTr="002F5109">
        <w:trPr>
          <w:trHeight w:val="285"/>
          <w:jc w:val="center"/>
        </w:trPr>
        <w:tc>
          <w:tcPr>
            <w:tcW w:w="1496" w:type="dxa"/>
            <w:tcBorders>
              <w:top w:val="nil"/>
              <w:left w:val="double" w:sz="6" w:space="0" w:color="auto"/>
              <w:bottom w:val="single" w:sz="4" w:space="0" w:color="auto"/>
              <w:right w:val="single" w:sz="4" w:space="0" w:color="auto"/>
            </w:tcBorders>
            <w:noWrap/>
            <w:vAlign w:val="center"/>
            <w:hideMark/>
          </w:tcPr>
          <w:p w:rsidR="00730AC8" w:rsidRDefault="00730AC8" w:rsidP="002F5109">
            <w:pPr>
              <w:spacing w:line="276" w:lineRule="auto"/>
              <w:rPr>
                <w:rFonts w:ascii="Arial" w:hAnsi="Arial" w:cs="Arial"/>
                <w:b/>
                <w:bCs/>
                <w:sz w:val="20"/>
                <w:szCs w:val="20"/>
                <w:lang w:eastAsia="en-US"/>
              </w:rPr>
            </w:pPr>
            <w:r>
              <w:rPr>
                <w:rFonts w:ascii="Arial" w:hAnsi="Arial" w:cs="Arial"/>
                <w:b/>
                <w:bCs/>
                <w:sz w:val="20"/>
                <w:szCs w:val="20"/>
                <w:lang w:eastAsia="en-US"/>
              </w:rPr>
              <w:t>Celkem</w:t>
            </w:r>
          </w:p>
        </w:tc>
        <w:tc>
          <w:tcPr>
            <w:tcW w:w="836" w:type="dxa"/>
            <w:tcBorders>
              <w:top w:val="nil"/>
              <w:left w:val="nil"/>
              <w:bottom w:val="single" w:sz="4" w:space="0" w:color="auto"/>
              <w:right w:val="nil"/>
            </w:tcBorders>
            <w:noWrap/>
            <w:vAlign w:val="center"/>
            <w:hideMark/>
          </w:tcPr>
          <w:p w:rsidR="00730AC8" w:rsidRDefault="00730AC8" w:rsidP="002F5109">
            <w:pPr>
              <w:jc w:val="right"/>
              <w:rPr>
                <w:rFonts w:ascii="Arial CE" w:hAnsi="Arial CE" w:cs="Arial CE"/>
                <w:b/>
                <w:bCs/>
                <w:sz w:val="20"/>
                <w:szCs w:val="20"/>
              </w:rPr>
            </w:pPr>
            <w:r>
              <w:rPr>
                <w:rFonts w:ascii="Arial CE" w:hAnsi="Arial CE" w:cs="Arial CE"/>
                <w:b/>
                <w:bCs/>
                <w:sz w:val="20"/>
                <w:szCs w:val="20"/>
              </w:rPr>
              <w:t>474,6</w:t>
            </w:r>
          </w:p>
        </w:tc>
        <w:tc>
          <w:tcPr>
            <w:tcW w:w="836" w:type="dxa"/>
            <w:tcBorders>
              <w:top w:val="nil"/>
              <w:left w:val="single" w:sz="4" w:space="0" w:color="auto"/>
              <w:bottom w:val="single" w:sz="4" w:space="0" w:color="auto"/>
              <w:right w:val="single" w:sz="4" w:space="0" w:color="auto"/>
            </w:tcBorders>
            <w:noWrap/>
            <w:vAlign w:val="center"/>
            <w:hideMark/>
          </w:tcPr>
          <w:p w:rsidR="00730AC8" w:rsidRDefault="00730AC8" w:rsidP="002F5109">
            <w:pPr>
              <w:jc w:val="right"/>
              <w:rPr>
                <w:rFonts w:ascii="Arial CE" w:hAnsi="Arial CE" w:cs="Arial CE"/>
                <w:b/>
                <w:bCs/>
                <w:sz w:val="20"/>
                <w:szCs w:val="20"/>
              </w:rPr>
            </w:pPr>
            <w:r>
              <w:rPr>
                <w:rFonts w:ascii="Arial CE" w:hAnsi="Arial CE" w:cs="Arial CE"/>
                <w:b/>
                <w:bCs/>
                <w:sz w:val="20"/>
                <w:szCs w:val="20"/>
              </w:rPr>
              <w:t>100,0</w:t>
            </w:r>
          </w:p>
        </w:tc>
        <w:tc>
          <w:tcPr>
            <w:tcW w:w="836" w:type="dxa"/>
            <w:tcBorders>
              <w:top w:val="nil"/>
              <w:left w:val="nil"/>
              <w:bottom w:val="single" w:sz="4" w:space="0" w:color="auto"/>
              <w:right w:val="nil"/>
            </w:tcBorders>
            <w:noWrap/>
            <w:vAlign w:val="center"/>
            <w:hideMark/>
          </w:tcPr>
          <w:p w:rsidR="00730AC8" w:rsidRDefault="00730AC8" w:rsidP="002F5109">
            <w:pPr>
              <w:jc w:val="right"/>
              <w:rPr>
                <w:rFonts w:ascii="Arial CE" w:hAnsi="Arial CE" w:cs="Arial CE"/>
                <w:b/>
                <w:bCs/>
                <w:sz w:val="20"/>
                <w:szCs w:val="20"/>
              </w:rPr>
            </w:pPr>
            <w:r>
              <w:rPr>
                <w:rFonts w:ascii="Arial CE" w:hAnsi="Arial CE" w:cs="Arial CE"/>
                <w:b/>
                <w:bCs/>
                <w:sz w:val="20"/>
                <w:szCs w:val="20"/>
              </w:rPr>
              <w:t>540,5</w:t>
            </w:r>
          </w:p>
        </w:tc>
        <w:tc>
          <w:tcPr>
            <w:tcW w:w="836" w:type="dxa"/>
            <w:tcBorders>
              <w:top w:val="nil"/>
              <w:left w:val="single" w:sz="4" w:space="0" w:color="auto"/>
              <w:bottom w:val="single" w:sz="4" w:space="0" w:color="auto"/>
              <w:right w:val="single" w:sz="4" w:space="0" w:color="auto"/>
            </w:tcBorders>
            <w:noWrap/>
            <w:vAlign w:val="center"/>
            <w:hideMark/>
          </w:tcPr>
          <w:p w:rsidR="00730AC8" w:rsidRDefault="00730AC8" w:rsidP="002F5109">
            <w:pPr>
              <w:jc w:val="right"/>
              <w:rPr>
                <w:rFonts w:ascii="Arial CE" w:hAnsi="Arial CE" w:cs="Arial CE"/>
                <w:b/>
                <w:bCs/>
                <w:sz w:val="20"/>
                <w:szCs w:val="20"/>
              </w:rPr>
            </w:pPr>
            <w:r>
              <w:rPr>
                <w:rFonts w:ascii="Arial CE" w:hAnsi="Arial CE" w:cs="Arial CE"/>
                <w:b/>
                <w:bCs/>
                <w:sz w:val="20"/>
                <w:szCs w:val="20"/>
              </w:rPr>
              <w:t>100,0</w:t>
            </w:r>
          </w:p>
        </w:tc>
        <w:tc>
          <w:tcPr>
            <w:tcW w:w="849" w:type="dxa"/>
            <w:tcBorders>
              <w:top w:val="nil"/>
              <w:left w:val="nil"/>
              <w:bottom w:val="single" w:sz="4" w:space="0" w:color="auto"/>
              <w:right w:val="single" w:sz="4" w:space="0" w:color="auto"/>
            </w:tcBorders>
            <w:noWrap/>
            <w:vAlign w:val="center"/>
            <w:hideMark/>
          </w:tcPr>
          <w:p w:rsidR="00730AC8" w:rsidRDefault="00730AC8" w:rsidP="002F5109">
            <w:pPr>
              <w:jc w:val="right"/>
              <w:rPr>
                <w:rFonts w:ascii="Arial CE" w:hAnsi="Arial CE" w:cs="Arial CE"/>
                <w:b/>
                <w:bCs/>
                <w:sz w:val="20"/>
                <w:szCs w:val="20"/>
              </w:rPr>
            </w:pPr>
            <w:r>
              <w:rPr>
                <w:rFonts w:ascii="Arial CE" w:hAnsi="Arial CE" w:cs="Arial CE"/>
                <w:b/>
                <w:bCs/>
                <w:sz w:val="20"/>
                <w:szCs w:val="20"/>
              </w:rPr>
              <w:t>65,9</w:t>
            </w:r>
          </w:p>
        </w:tc>
        <w:tc>
          <w:tcPr>
            <w:tcW w:w="887" w:type="dxa"/>
            <w:tcBorders>
              <w:top w:val="nil"/>
              <w:left w:val="nil"/>
              <w:bottom w:val="single" w:sz="4" w:space="0" w:color="auto"/>
              <w:right w:val="double" w:sz="6" w:space="0" w:color="auto"/>
            </w:tcBorders>
            <w:noWrap/>
            <w:vAlign w:val="center"/>
            <w:hideMark/>
          </w:tcPr>
          <w:p w:rsidR="00730AC8" w:rsidRDefault="00730AC8" w:rsidP="002F5109">
            <w:pPr>
              <w:jc w:val="right"/>
              <w:rPr>
                <w:rFonts w:ascii="Arial CE" w:hAnsi="Arial CE" w:cs="Arial CE"/>
                <w:b/>
                <w:bCs/>
                <w:sz w:val="20"/>
                <w:szCs w:val="20"/>
              </w:rPr>
            </w:pPr>
            <w:r>
              <w:rPr>
                <w:rFonts w:ascii="Arial CE" w:hAnsi="Arial CE" w:cs="Arial CE"/>
                <w:b/>
                <w:bCs/>
                <w:sz w:val="20"/>
                <w:szCs w:val="20"/>
              </w:rPr>
              <w:t>13,9</w:t>
            </w:r>
          </w:p>
        </w:tc>
      </w:tr>
      <w:tr w:rsidR="00730AC8" w:rsidRPr="009B0D99" w:rsidTr="002F5109">
        <w:trPr>
          <w:trHeight w:val="270"/>
          <w:jc w:val="center"/>
        </w:trPr>
        <w:tc>
          <w:tcPr>
            <w:tcW w:w="1496" w:type="dxa"/>
            <w:tcBorders>
              <w:top w:val="nil"/>
              <w:left w:val="double" w:sz="6" w:space="0" w:color="auto"/>
              <w:bottom w:val="nil"/>
              <w:right w:val="single" w:sz="4" w:space="0" w:color="auto"/>
            </w:tcBorders>
            <w:noWrap/>
            <w:vAlign w:val="center"/>
            <w:hideMark/>
          </w:tcPr>
          <w:p w:rsidR="00730AC8" w:rsidRDefault="00730AC8" w:rsidP="002F5109">
            <w:pPr>
              <w:spacing w:line="276" w:lineRule="auto"/>
              <w:jc w:val="center"/>
              <w:rPr>
                <w:rFonts w:ascii="Arial" w:hAnsi="Arial" w:cs="Arial"/>
                <w:sz w:val="20"/>
                <w:szCs w:val="20"/>
                <w:lang w:eastAsia="en-US"/>
              </w:rPr>
            </w:pPr>
            <w:r>
              <w:rPr>
                <w:rFonts w:ascii="Arial" w:hAnsi="Arial" w:cs="Arial"/>
                <w:sz w:val="20"/>
                <w:szCs w:val="20"/>
                <w:lang w:eastAsia="en-US"/>
              </w:rPr>
              <w:t>15 - 19 let</w:t>
            </w:r>
          </w:p>
        </w:tc>
        <w:tc>
          <w:tcPr>
            <w:tcW w:w="836" w:type="dxa"/>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15,3</w:t>
            </w:r>
          </w:p>
        </w:tc>
        <w:tc>
          <w:tcPr>
            <w:tcW w:w="836"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3,2</w:t>
            </w:r>
          </w:p>
        </w:tc>
        <w:tc>
          <w:tcPr>
            <w:tcW w:w="836" w:type="dxa"/>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18,4</w:t>
            </w:r>
          </w:p>
        </w:tc>
        <w:tc>
          <w:tcPr>
            <w:tcW w:w="836"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3,4</w:t>
            </w:r>
          </w:p>
        </w:tc>
        <w:tc>
          <w:tcPr>
            <w:tcW w:w="849" w:type="dxa"/>
            <w:tcBorders>
              <w:top w:val="nil"/>
              <w:left w:val="nil"/>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3,0</w:t>
            </w:r>
          </w:p>
        </w:tc>
        <w:tc>
          <w:tcPr>
            <w:tcW w:w="887" w:type="dxa"/>
            <w:tcBorders>
              <w:top w:val="nil"/>
              <w:left w:val="nil"/>
              <w:bottom w:val="nil"/>
              <w:right w:val="double" w:sz="6"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19,5</w:t>
            </w:r>
          </w:p>
        </w:tc>
      </w:tr>
      <w:tr w:rsidR="00730AC8" w:rsidRPr="009B0D99" w:rsidTr="002F5109">
        <w:trPr>
          <w:trHeight w:val="270"/>
          <w:jc w:val="center"/>
        </w:trPr>
        <w:tc>
          <w:tcPr>
            <w:tcW w:w="1496" w:type="dxa"/>
            <w:tcBorders>
              <w:top w:val="nil"/>
              <w:left w:val="double" w:sz="6" w:space="0" w:color="auto"/>
              <w:bottom w:val="single" w:sz="4" w:space="0" w:color="auto"/>
              <w:right w:val="single" w:sz="4" w:space="0" w:color="auto"/>
            </w:tcBorders>
            <w:noWrap/>
            <w:vAlign w:val="center"/>
            <w:hideMark/>
          </w:tcPr>
          <w:p w:rsidR="00730AC8" w:rsidRDefault="00730AC8" w:rsidP="002F5109">
            <w:pPr>
              <w:spacing w:line="276" w:lineRule="auto"/>
              <w:jc w:val="center"/>
              <w:rPr>
                <w:rFonts w:ascii="Arial" w:hAnsi="Arial" w:cs="Arial"/>
                <w:sz w:val="20"/>
                <w:szCs w:val="20"/>
                <w:lang w:eastAsia="en-US"/>
              </w:rPr>
            </w:pPr>
            <w:r>
              <w:rPr>
                <w:rFonts w:ascii="Arial" w:hAnsi="Arial" w:cs="Arial"/>
                <w:sz w:val="20"/>
                <w:szCs w:val="20"/>
                <w:lang w:eastAsia="en-US"/>
              </w:rPr>
              <w:t>20 - 24 let</w:t>
            </w:r>
          </w:p>
        </w:tc>
        <w:tc>
          <w:tcPr>
            <w:tcW w:w="836" w:type="dxa"/>
            <w:tcBorders>
              <w:top w:val="nil"/>
              <w:left w:val="nil"/>
              <w:bottom w:val="single" w:sz="4" w:space="0" w:color="auto"/>
              <w:right w:val="nil"/>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63,0</w:t>
            </w:r>
          </w:p>
        </w:tc>
        <w:tc>
          <w:tcPr>
            <w:tcW w:w="836" w:type="dxa"/>
            <w:tcBorders>
              <w:top w:val="nil"/>
              <w:left w:val="single" w:sz="4" w:space="0" w:color="auto"/>
              <w:bottom w:val="single" w:sz="4" w:space="0" w:color="auto"/>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13,3</w:t>
            </w:r>
          </w:p>
        </w:tc>
        <w:tc>
          <w:tcPr>
            <w:tcW w:w="836" w:type="dxa"/>
            <w:tcBorders>
              <w:top w:val="nil"/>
              <w:left w:val="nil"/>
              <w:bottom w:val="single" w:sz="4" w:space="0" w:color="auto"/>
              <w:right w:val="nil"/>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72,7</w:t>
            </w:r>
          </w:p>
        </w:tc>
        <w:tc>
          <w:tcPr>
            <w:tcW w:w="836" w:type="dxa"/>
            <w:tcBorders>
              <w:top w:val="nil"/>
              <w:left w:val="single" w:sz="4" w:space="0" w:color="auto"/>
              <w:bottom w:val="single" w:sz="4" w:space="0" w:color="auto"/>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13,5</w:t>
            </w:r>
          </w:p>
        </w:tc>
        <w:tc>
          <w:tcPr>
            <w:tcW w:w="849" w:type="dxa"/>
            <w:tcBorders>
              <w:top w:val="nil"/>
              <w:left w:val="nil"/>
              <w:bottom w:val="single" w:sz="4" w:space="0" w:color="auto"/>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9,4</w:t>
            </w:r>
          </w:p>
        </w:tc>
        <w:tc>
          <w:tcPr>
            <w:tcW w:w="887" w:type="dxa"/>
            <w:tcBorders>
              <w:top w:val="nil"/>
              <w:left w:val="nil"/>
              <w:bottom w:val="single" w:sz="4" w:space="0" w:color="auto"/>
              <w:right w:val="double" w:sz="6"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14,8</w:t>
            </w:r>
          </w:p>
        </w:tc>
      </w:tr>
      <w:tr w:rsidR="00730AC8" w:rsidRPr="009B0D99" w:rsidTr="002F5109">
        <w:trPr>
          <w:trHeight w:val="315"/>
          <w:jc w:val="center"/>
        </w:trPr>
        <w:tc>
          <w:tcPr>
            <w:tcW w:w="1496" w:type="dxa"/>
            <w:tcBorders>
              <w:top w:val="nil"/>
              <w:left w:val="double" w:sz="6" w:space="0" w:color="auto"/>
              <w:bottom w:val="single" w:sz="4" w:space="0" w:color="auto"/>
              <w:right w:val="single" w:sz="4" w:space="0" w:color="auto"/>
            </w:tcBorders>
            <w:noWrap/>
            <w:vAlign w:val="center"/>
            <w:hideMark/>
          </w:tcPr>
          <w:p w:rsidR="00730AC8" w:rsidRDefault="00730AC8" w:rsidP="002F5109">
            <w:pPr>
              <w:spacing w:line="276" w:lineRule="auto"/>
              <w:rPr>
                <w:rFonts w:ascii="Arial" w:hAnsi="Arial" w:cs="Arial"/>
                <w:b/>
                <w:bCs/>
                <w:i/>
                <w:iCs/>
                <w:sz w:val="20"/>
                <w:szCs w:val="20"/>
                <w:lang w:eastAsia="en-US"/>
              </w:rPr>
            </w:pPr>
            <w:r>
              <w:rPr>
                <w:rFonts w:ascii="Arial" w:hAnsi="Arial" w:cs="Arial"/>
                <w:b/>
                <w:bCs/>
                <w:i/>
                <w:iCs/>
                <w:sz w:val="20"/>
                <w:szCs w:val="20"/>
                <w:lang w:eastAsia="en-US"/>
              </w:rPr>
              <w:t>do 25 let</w:t>
            </w:r>
          </w:p>
        </w:tc>
        <w:tc>
          <w:tcPr>
            <w:tcW w:w="836" w:type="dxa"/>
            <w:tcBorders>
              <w:top w:val="nil"/>
              <w:left w:val="nil"/>
              <w:bottom w:val="single" w:sz="4" w:space="0" w:color="auto"/>
              <w:right w:val="nil"/>
            </w:tcBorders>
            <w:noWrap/>
            <w:vAlign w:val="center"/>
            <w:hideMark/>
          </w:tcPr>
          <w:p w:rsidR="00730AC8" w:rsidRDefault="00730AC8" w:rsidP="002F5109">
            <w:pPr>
              <w:jc w:val="right"/>
              <w:rPr>
                <w:rFonts w:ascii="Arial CE" w:hAnsi="Arial CE" w:cs="Arial CE"/>
                <w:b/>
                <w:bCs/>
                <w:i/>
                <w:iCs/>
                <w:sz w:val="20"/>
                <w:szCs w:val="20"/>
              </w:rPr>
            </w:pPr>
            <w:r>
              <w:rPr>
                <w:rFonts w:ascii="Arial CE" w:hAnsi="Arial CE" w:cs="Arial CE"/>
                <w:b/>
                <w:bCs/>
                <w:i/>
                <w:iCs/>
                <w:sz w:val="20"/>
                <w:szCs w:val="20"/>
              </w:rPr>
              <w:t>78,3</w:t>
            </w:r>
          </w:p>
        </w:tc>
        <w:tc>
          <w:tcPr>
            <w:tcW w:w="836" w:type="dxa"/>
            <w:tcBorders>
              <w:top w:val="nil"/>
              <w:left w:val="single" w:sz="4" w:space="0" w:color="auto"/>
              <w:bottom w:val="single" w:sz="4" w:space="0" w:color="auto"/>
              <w:right w:val="single" w:sz="4" w:space="0" w:color="auto"/>
            </w:tcBorders>
            <w:noWrap/>
            <w:vAlign w:val="center"/>
            <w:hideMark/>
          </w:tcPr>
          <w:p w:rsidR="00730AC8" w:rsidRDefault="00730AC8" w:rsidP="002F5109">
            <w:pPr>
              <w:jc w:val="right"/>
              <w:rPr>
                <w:rFonts w:ascii="Arial CE" w:hAnsi="Arial CE" w:cs="Arial CE"/>
                <w:b/>
                <w:bCs/>
                <w:i/>
                <w:iCs/>
                <w:sz w:val="20"/>
                <w:szCs w:val="20"/>
              </w:rPr>
            </w:pPr>
            <w:r>
              <w:rPr>
                <w:rFonts w:ascii="Arial CE" w:hAnsi="Arial CE" w:cs="Arial CE"/>
                <w:b/>
                <w:bCs/>
                <w:i/>
                <w:iCs/>
                <w:sz w:val="20"/>
                <w:szCs w:val="20"/>
              </w:rPr>
              <w:t>16,5</w:t>
            </w:r>
          </w:p>
        </w:tc>
        <w:tc>
          <w:tcPr>
            <w:tcW w:w="836" w:type="dxa"/>
            <w:tcBorders>
              <w:top w:val="nil"/>
              <w:left w:val="nil"/>
              <w:bottom w:val="single" w:sz="4" w:space="0" w:color="auto"/>
              <w:right w:val="nil"/>
            </w:tcBorders>
            <w:noWrap/>
            <w:vAlign w:val="center"/>
            <w:hideMark/>
          </w:tcPr>
          <w:p w:rsidR="00730AC8" w:rsidRDefault="00730AC8" w:rsidP="002F5109">
            <w:pPr>
              <w:jc w:val="right"/>
              <w:rPr>
                <w:rFonts w:ascii="Arial CE" w:hAnsi="Arial CE" w:cs="Arial CE"/>
                <w:b/>
                <w:bCs/>
                <w:i/>
                <w:iCs/>
                <w:sz w:val="20"/>
                <w:szCs w:val="20"/>
              </w:rPr>
            </w:pPr>
            <w:r>
              <w:rPr>
                <w:rFonts w:ascii="Arial CE" w:hAnsi="Arial CE" w:cs="Arial CE"/>
                <w:b/>
                <w:bCs/>
                <w:i/>
                <w:iCs/>
                <w:sz w:val="20"/>
                <w:szCs w:val="20"/>
              </w:rPr>
              <w:t>91,1</w:t>
            </w:r>
          </w:p>
        </w:tc>
        <w:tc>
          <w:tcPr>
            <w:tcW w:w="836" w:type="dxa"/>
            <w:tcBorders>
              <w:top w:val="nil"/>
              <w:left w:val="single" w:sz="4" w:space="0" w:color="auto"/>
              <w:bottom w:val="single" w:sz="4" w:space="0" w:color="auto"/>
              <w:right w:val="single" w:sz="4" w:space="0" w:color="auto"/>
            </w:tcBorders>
            <w:noWrap/>
            <w:vAlign w:val="center"/>
            <w:hideMark/>
          </w:tcPr>
          <w:p w:rsidR="00730AC8" w:rsidRDefault="00730AC8" w:rsidP="002F5109">
            <w:pPr>
              <w:jc w:val="right"/>
              <w:rPr>
                <w:rFonts w:ascii="Arial CE" w:hAnsi="Arial CE" w:cs="Arial CE"/>
                <w:b/>
                <w:bCs/>
                <w:i/>
                <w:iCs/>
                <w:sz w:val="20"/>
                <w:szCs w:val="20"/>
              </w:rPr>
            </w:pPr>
            <w:r>
              <w:rPr>
                <w:rFonts w:ascii="Arial CE" w:hAnsi="Arial CE" w:cs="Arial CE"/>
                <w:b/>
                <w:bCs/>
                <w:i/>
                <w:iCs/>
                <w:sz w:val="20"/>
                <w:szCs w:val="20"/>
              </w:rPr>
              <w:t>16,8</w:t>
            </w:r>
          </w:p>
        </w:tc>
        <w:tc>
          <w:tcPr>
            <w:tcW w:w="849" w:type="dxa"/>
            <w:tcBorders>
              <w:top w:val="nil"/>
              <w:left w:val="nil"/>
              <w:bottom w:val="single" w:sz="4" w:space="0" w:color="auto"/>
              <w:right w:val="single" w:sz="4" w:space="0" w:color="auto"/>
            </w:tcBorders>
            <w:noWrap/>
            <w:vAlign w:val="center"/>
            <w:hideMark/>
          </w:tcPr>
          <w:p w:rsidR="00730AC8" w:rsidRDefault="00730AC8" w:rsidP="002F5109">
            <w:pPr>
              <w:jc w:val="right"/>
              <w:rPr>
                <w:rFonts w:ascii="Arial CE" w:hAnsi="Arial CE" w:cs="Arial CE"/>
                <w:b/>
                <w:bCs/>
                <w:i/>
                <w:iCs/>
                <w:sz w:val="20"/>
                <w:szCs w:val="20"/>
              </w:rPr>
            </w:pPr>
            <w:r>
              <w:rPr>
                <w:rFonts w:ascii="Arial CE" w:hAnsi="Arial CE" w:cs="Arial CE"/>
                <w:b/>
                <w:bCs/>
                <w:i/>
                <w:iCs/>
                <w:sz w:val="20"/>
                <w:szCs w:val="20"/>
              </w:rPr>
              <w:t>12,4</w:t>
            </w:r>
          </w:p>
        </w:tc>
        <w:tc>
          <w:tcPr>
            <w:tcW w:w="887" w:type="dxa"/>
            <w:tcBorders>
              <w:top w:val="nil"/>
              <w:left w:val="nil"/>
              <w:bottom w:val="single" w:sz="4" w:space="0" w:color="auto"/>
              <w:right w:val="double" w:sz="6" w:space="0" w:color="auto"/>
            </w:tcBorders>
            <w:noWrap/>
            <w:vAlign w:val="center"/>
            <w:hideMark/>
          </w:tcPr>
          <w:p w:rsidR="00730AC8" w:rsidRDefault="00730AC8" w:rsidP="002F5109">
            <w:pPr>
              <w:jc w:val="right"/>
              <w:rPr>
                <w:rFonts w:ascii="Arial CE" w:hAnsi="Arial CE" w:cs="Arial CE"/>
                <w:b/>
                <w:bCs/>
                <w:i/>
                <w:iCs/>
                <w:sz w:val="20"/>
                <w:szCs w:val="20"/>
              </w:rPr>
            </w:pPr>
            <w:r>
              <w:rPr>
                <w:rFonts w:ascii="Arial CE" w:hAnsi="Arial CE" w:cs="Arial CE"/>
                <w:b/>
                <w:bCs/>
                <w:i/>
                <w:iCs/>
                <w:sz w:val="20"/>
                <w:szCs w:val="20"/>
              </w:rPr>
              <w:t>15,8</w:t>
            </w:r>
          </w:p>
        </w:tc>
      </w:tr>
      <w:tr w:rsidR="00730AC8" w:rsidRPr="009B0D99" w:rsidTr="002F5109">
        <w:trPr>
          <w:trHeight w:val="285"/>
          <w:jc w:val="center"/>
        </w:trPr>
        <w:tc>
          <w:tcPr>
            <w:tcW w:w="1496" w:type="dxa"/>
            <w:tcBorders>
              <w:top w:val="nil"/>
              <w:left w:val="double" w:sz="6" w:space="0" w:color="auto"/>
              <w:bottom w:val="nil"/>
              <w:right w:val="single" w:sz="4" w:space="0" w:color="auto"/>
            </w:tcBorders>
            <w:noWrap/>
            <w:vAlign w:val="center"/>
            <w:hideMark/>
          </w:tcPr>
          <w:p w:rsidR="00730AC8" w:rsidRDefault="00730AC8" w:rsidP="002F5109">
            <w:pPr>
              <w:spacing w:line="276" w:lineRule="auto"/>
              <w:jc w:val="center"/>
              <w:rPr>
                <w:rFonts w:ascii="Arial" w:hAnsi="Arial" w:cs="Arial"/>
                <w:sz w:val="20"/>
                <w:szCs w:val="20"/>
                <w:lang w:eastAsia="en-US"/>
              </w:rPr>
            </w:pPr>
            <w:r>
              <w:rPr>
                <w:rFonts w:ascii="Arial" w:hAnsi="Arial" w:cs="Arial"/>
                <w:sz w:val="20"/>
                <w:szCs w:val="20"/>
                <w:lang w:eastAsia="en-US"/>
              </w:rPr>
              <w:t>25 - 29 let</w:t>
            </w:r>
          </w:p>
        </w:tc>
        <w:tc>
          <w:tcPr>
            <w:tcW w:w="836" w:type="dxa"/>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53,1</w:t>
            </w:r>
          </w:p>
        </w:tc>
        <w:tc>
          <w:tcPr>
            <w:tcW w:w="836"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11,2</w:t>
            </w:r>
          </w:p>
        </w:tc>
        <w:tc>
          <w:tcPr>
            <w:tcW w:w="836" w:type="dxa"/>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61,9</w:t>
            </w:r>
          </w:p>
        </w:tc>
        <w:tc>
          <w:tcPr>
            <w:tcW w:w="836"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11,4</w:t>
            </w:r>
          </w:p>
        </w:tc>
        <w:tc>
          <w:tcPr>
            <w:tcW w:w="849" w:type="dxa"/>
            <w:tcBorders>
              <w:top w:val="nil"/>
              <w:left w:val="nil"/>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8,9</w:t>
            </w:r>
          </w:p>
        </w:tc>
        <w:tc>
          <w:tcPr>
            <w:tcW w:w="887" w:type="dxa"/>
            <w:tcBorders>
              <w:top w:val="nil"/>
              <w:left w:val="nil"/>
              <w:bottom w:val="nil"/>
              <w:right w:val="double" w:sz="6"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16,8</w:t>
            </w:r>
          </w:p>
        </w:tc>
      </w:tr>
      <w:tr w:rsidR="00730AC8" w:rsidRPr="009B0D99" w:rsidTr="002F5109">
        <w:trPr>
          <w:trHeight w:val="285"/>
          <w:jc w:val="center"/>
        </w:trPr>
        <w:tc>
          <w:tcPr>
            <w:tcW w:w="1496" w:type="dxa"/>
            <w:tcBorders>
              <w:top w:val="nil"/>
              <w:left w:val="double" w:sz="6" w:space="0" w:color="auto"/>
              <w:bottom w:val="nil"/>
              <w:right w:val="single" w:sz="4" w:space="0" w:color="auto"/>
            </w:tcBorders>
            <w:noWrap/>
            <w:vAlign w:val="center"/>
            <w:hideMark/>
          </w:tcPr>
          <w:p w:rsidR="00730AC8" w:rsidRDefault="00730AC8" w:rsidP="002F5109">
            <w:pPr>
              <w:spacing w:line="276" w:lineRule="auto"/>
              <w:jc w:val="center"/>
              <w:rPr>
                <w:rFonts w:ascii="Arial" w:hAnsi="Arial" w:cs="Arial"/>
                <w:sz w:val="20"/>
                <w:szCs w:val="20"/>
                <w:lang w:eastAsia="en-US"/>
              </w:rPr>
            </w:pPr>
            <w:r>
              <w:rPr>
                <w:rFonts w:ascii="Arial" w:hAnsi="Arial" w:cs="Arial"/>
                <w:sz w:val="20"/>
                <w:szCs w:val="20"/>
                <w:lang w:eastAsia="en-US"/>
              </w:rPr>
              <w:t>30 - 34 let</w:t>
            </w:r>
          </w:p>
        </w:tc>
        <w:tc>
          <w:tcPr>
            <w:tcW w:w="836" w:type="dxa"/>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53,3</w:t>
            </w:r>
          </w:p>
        </w:tc>
        <w:tc>
          <w:tcPr>
            <w:tcW w:w="836"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11,2</w:t>
            </w:r>
          </w:p>
        </w:tc>
        <w:tc>
          <w:tcPr>
            <w:tcW w:w="836" w:type="dxa"/>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59,8</w:t>
            </w:r>
          </w:p>
        </w:tc>
        <w:tc>
          <w:tcPr>
            <w:tcW w:w="836"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11,1</w:t>
            </w:r>
          </w:p>
        </w:tc>
        <w:tc>
          <w:tcPr>
            <w:tcW w:w="849" w:type="dxa"/>
            <w:tcBorders>
              <w:top w:val="nil"/>
              <w:left w:val="nil"/>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6,6</w:t>
            </w:r>
          </w:p>
        </w:tc>
        <w:tc>
          <w:tcPr>
            <w:tcW w:w="887" w:type="dxa"/>
            <w:tcBorders>
              <w:top w:val="nil"/>
              <w:left w:val="nil"/>
              <w:bottom w:val="nil"/>
              <w:right w:val="double" w:sz="6"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12,4</w:t>
            </w:r>
          </w:p>
        </w:tc>
      </w:tr>
      <w:tr w:rsidR="00730AC8" w:rsidRPr="009B0D99" w:rsidTr="002F5109">
        <w:trPr>
          <w:trHeight w:val="285"/>
          <w:jc w:val="center"/>
        </w:trPr>
        <w:tc>
          <w:tcPr>
            <w:tcW w:w="1496" w:type="dxa"/>
            <w:tcBorders>
              <w:top w:val="nil"/>
              <w:left w:val="double" w:sz="6" w:space="0" w:color="auto"/>
              <w:bottom w:val="nil"/>
              <w:right w:val="single" w:sz="4" w:space="0" w:color="auto"/>
            </w:tcBorders>
            <w:noWrap/>
            <w:vAlign w:val="center"/>
            <w:hideMark/>
          </w:tcPr>
          <w:p w:rsidR="00730AC8" w:rsidRDefault="00730AC8" w:rsidP="002F5109">
            <w:pPr>
              <w:spacing w:line="276" w:lineRule="auto"/>
              <w:jc w:val="center"/>
              <w:rPr>
                <w:rFonts w:ascii="Arial" w:hAnsi="Arial" w:cs="Arial"/>
                <w:sz w:val="20"/>
                <w:szCs w:val="20"/>
                <w:lang w:eastAsia="en-US"/>
              </w:rPr>
            </w:pPr>
            <w:r>
              <w:rPr>
                <w:rFonts w:ascii="Arial" w:hAnsi="Arial" w:cs="Arial"/>
                <w:sz w:val="20"/>
                <w:szCs w:val="20"/>
                <w:lang w:eastAsia="en-US"/>
              </w:rPr>
              <w:t>35 - 39 let</w:t>
            </w:r>
          </w:p>
        </w:tc>
        <w:tc>
          <w:tcPr>
            <w:tcW w:w="836" w:type="dxa"/>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59,0</w:t>
            </w:r>
          </w:p>
        </w:tc>
        <w:tc>
          <w:tcPr>
            <w:tcW w:w="836"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12,4</w:t>
            </w:r>
          </w:p>
        </w:tc>
        <w:tc>
          <w:tcPr>
            <w:tcW w:w="836" w:type="dxa"/>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68,3</w:t>
            </w:r>
          </w:p>
        </w:tc>
        <w:tc>
          <w:tcPr>
            <w:tcW w:w="836"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12,6</w:t>
            </w:r>
          </w:p>
        </w:tc>
        <w:tc>
          <w:tcPr>
            <w:tcW w:w="849" w:type="dxa"/>
            <w:tcBorders>
              <w:top w:val="nil"/>
              <w:left w:val="nil"/>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9,4</w:t>
            </w:r>
          </w:p>
        </w:tc>
        <w:tc>
          <w:tcPr>
            <w:tcW w:w="887" w:type="dxa"/>
            <w:tcBorders>
              <w:top w:val="nil"/>
              <w:left w:val="nil"/>
              <w:bottom w:val="nil"/>
              <w:right w:val="double" w:sz="6"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16,0</w:t>
            </w:r>
          </w:p>
        </w:tc>
      </w:tr>
      <w:tr w:rsidR="00730AC8" w:rsidRPr="009B0D99" w:rsidTr="002F5109">
        <w:trPr>
          <w:trHeight w:val="285"/>
          <w:jc w:val="center"/>
        </w:trPr>
        <w:tc>
          <w:tcPr>
            <w:tcW w:w="1496" w:type="dxa"/>
            <w:tcBorders>
              <w:top w:val="nil"/>
              <w:left w:val="double" w:sz="6" w:space="0" w:color="auto"/>
              <w:bottom w:val="nil"/>
              <w:right w:val="single" w:sz="4" w:space="0" w:color="auto"/>
            </w:tcBorders>
            <w:noWrap/>
            <w:vAlign w:val="center"/>
            <w:hideMark/>
          </w:tcPr>
          <w:p w:rsidR="00730AC8" w:rsidRDefault="00730AC8" w:rsidP="002F5109">
            <w:pPr>
              <w:spacing w:line="276" w:lineRule="auto"/>
              <w:jc w:val="center"/>
              <w:rPr>
                <w:rFonts w:ascii="Arial" w:hAnsi="Arial" w:cs="Arial"/>
                <w:sz w:val="20"/>
                <w:szCs w:val="20"/>
                <w:lang w:eastAsia="en-US"/>
              </w:rPr>
            </w:pPr>
            <w:r>
              <w:rPr>
                <w:rFonts w:ascii="Arial" w:hAnsi="Arial" w:cs="Arial"/>
                <w:sz w:val="20"/>
                <w:szCs w:val="20"/>
                <w:lang w:eastAsia="en-US"/>
              </w:rPr>
              <w:t>40 - 44 let</w:t>
            </w:r>
          </w:p>
        </w:tc>
        <w:tc>
          <w:tcPr>
            <w:tcW w:w="836" w:type="dxa"/>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48,8</w:t>
            </w:r>
          </w:p>
        </w:tc>
        <w:tc>
          <w:tcPr>
            <w:tcW w:w="836"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10,3</w:t>
            </w:r>
          </w:p>
        </w:tc>
        <w:tc>
          <w:tcPr>
            <w:tcW w:w="836" w:type="dxa"/>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56,5</w:t>
            </w:r>
          </w:p>
        </w:tc>
        <w:tc>
          <w:tcPr>
            <w:tcW w:w="836"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10,4</w:t>
            </w:r>
          </w:p>
        </w:tc>
        <w:tc>
          <w:tcPr>
            <w:tcW w:w="849" w:type="dxa"/>
            <w:tcBorders>
              <w:top w:val="nil"/>
              <w:left w:val="nil"/>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7,7</w:t>
            </w:r>
          </w:p>
        </w:tc>
        <w:tc>
          <w:tcPr>
            <w:tcW w:w="887" w:type="dxa"/>
            <w:tcBorders>
              <w:top w:val="nil"/>
              <w:left w:val="nil"/>
              <w:bottom w:val="nil"/>
              <w:right w:val="double" w:sz="6"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15,8</w:t>
            </w:r>
          </w:p>
        </w:tc>
      </w:tr>
      <w:tr w:rsidR="00730AC8" w:rsidRPr="009B0D99" w:rsidTr="002F5109">
        <w:trPr>
          <w:trHeight w:val="285"/>
          <w:jc w:val="center"/>
        </w:trPr>
        <w:tc>
          <w:tcPr>
            <w:tcW w:w="1496" w:type="dxa"/>
            <w:tcBorders>
              <w:top w:val="nil"/>
              <w:left w:val="double" w:sz="6" w:space="0" w:color="auto"/>
              <w:bottom w:val="nil"/>
              <w:right w:val="single" w:sz="4" w:space="0" w:color="auto"/>
            </w:tcBorders>
            <w:noWrap/>
            <w:vAlign w:val="center"/>
            <w:hideMark/>
          </w:tcPr>
          <w:p w:rsidR="00730AC8" w:rsidRDefault="00730AC8" w:rsidP="002F5109">
            <w:pPr>
              <w:spacing w:line="276" w:lineRule="auto"/>
              <w:jc w:val="center"/>
              <w:rPr>
                <w:rFonts w:ascii="Arial" w:hAnsi="Arial" w:cs="Arial"/>
                <w:sz w:val="20"/>
                <w:szCs w:val="20"/>
                <w:lang w:eastAsia="en-US"/>
              </w:rPr>
            </w:pPr>
            <w:r>
              <w:rPr>
                <w:rFonts w:ascii="Arial" w:hAnsi="Arial" w:cs="Arial"/>
                <w:sz w:val="20"/>
                <w:szCs w:val="20"/>
                <w:lang w:eastAsia="en-US"/>
              </w:rPr>
              <w:t>45 - 49 let</w:t>
            </w:r>
          </w:p>
        </w:tc>
        <w:tc>
          <w:tcPr>
            <w:tcW w:w="836" w:type="dxa"/>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51,4</w:t>
            </w:r>
          </w:p>
        </w:tc>
        <w:tc>
          <w:tcPr>
            <w:tcW w:w="836"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10,8</w:t>
            </w:r>
          </w:p>
        </w:tc>
        <w:tc>
          <w:tcPr>
            <w:tcW w:w="836" w:type="dxa"/>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57,0</w:t>
            </w:r>
          </w:p>
        </w:tc>
        <w:tc>
          <w:tcPr>
            <w:tcW w:w="836"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10,5</w:t>
            </w:r>
          </w:p>
        </w:tc>
        <w:tc>
          <w:tcPr>
            <w:tcW w:w="849" w:type="dxa"/>
            <w:tcBorders>
              <w:top w:val="nil"/>
              <w:left w:val="nil"/>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5,7</w:t>
            </w:r>
          </w:p>
        </w:tc>
        <w:tc>
          <w:tcPr>
            <w:tcW w:w="887" w:type="dxa"/>
            <w:tcBorders>
              <w:top w:val="nil"/>
              <w:left w:val="nil"/>
              <w:bottom w:val="nil"/>
              <w:right w:val="double" w:sz="6"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11,1</w:t>
            </w:r>
          </w:p>
        </w:tc>
      </w:tr>
      <w:tr w:rsidR="00730AC8" w:rsidRPr="009B0D99" w:rsidTr="002F5109">
        <w:trPr>
          <w:trHeight w:val="285"/>
          <w:jc w:val="center"/>
        </w:trPr>
        <w:tc>
          <w:tcPr>
            <w:tcW w:w="1496" w:type="dxa"/>
            <w:tcBorders>
              <w:top w:val="nil"/>
              <w:left w:val="double" w:sz="6" w:space="0" w:color="auto"/>
              <w:bottom w:val="nil"/>
              <w:right w:val="single" w:sz="4" w:space="0" w:color="auto"/>
            </w:tcBorders>
            <w:noWrap/>
            <w:vAlign w:val="center"/>
            <w:hideMark/>
          </w:tcPr>
          <w:p w:rsidR="00730AC8" w:rsidRDefault="00730AC8" w:rsidP="002F5109">
            <w:pPr>
              <w:spacing w:line="276" w:lineRule="auto"/>
              <w:jc w:val="center"/>
              <w:rPr>
                <w:rFonts w:ascii="Arial" w:hAnsi="Arial" w:cs="Arial"/>
                <w:sz w:val="20"/>
                <w:szCs w:val="20"/>
                <w:lang w:eastAsia="en-US"/>
              </w:rPr>
            </w:pPr>
            <w:r>
              <w:rPr>
                <w:rFonts w:ascii="Arial" w:hAnsi="Arial" w:cs="Arial"/>
                <w:sz w:val="20"/>
                <w:szCs w:val="20"/>
                <w:lang w:eastAsia="en-US"/>
              </w:rPr>
              <w:t>50 - 54 let</w:t>
            </w:r>
          </w:p>
        </w:tc>
        <w:tc>
          <w:tcPr>
            <w:tcW w:w="836" w:type="dxa"/>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54,6</w:t>
            </w:r>
          </w:p>
        </w:tc>
        <w:tc>
          <w:tcPr>
            <w:tcW w:w="836"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11,5</w:t>
            </w:r>
          </w:p>
        </w:tc>
        <w:tc>
          <w:tcPr>
            <w:tcW w:w="836" w:type="dxa"/>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57,5</w:t>
            </w:r>
          </w:p>
        </w:tc>
        <w:tc>
          <w:tcPr>
            <w:tcW w:w="836"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10,6</w:t>
            </w:r>
          </w:p>
        </w:tc>
        <w:tc>
          <w:tcPr>
            <w:tcW w:w="849" w:type="dxa"/>
            <w:tcBorders>
              <w:top w:val="nil"/>
              <w:left w:val="nil"/>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2,8</w:t>
            </w:r>
          </w:p>
        </w:tc>
        <w:tc>
          <w:tcPr>
            <w:tcW w:w="887" w:type="dxa"/>
            <w:tcBorders>
              <w:top w:val="nil"/>
              <w:left w:val="nil"/>
              <w:bottom w:val="nil"/>
              <w:right w:val="double" w:sz="6"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5,1</w:t>
            </w:r>
          </w:p>
        </w:tc>
      </w:tr>
      <w:tr w:rsidR="00730AC8" w:rsidRPr="009B0D99" w:rsidTr="002F5109">
        <w:trPr>
          <w:trHeight w:val="285"/>
          <w:jc w:val="center"/>
        </w:trPr>
        <w:tc>
          <w:tcPr>
            <w:tcW w:w="1496" w:type="dxa"/>
            <w:tcBorders>
              <w:top w:val="nil"/>
              <w:left w:val="double" w:sz="6" w:space="0" w:color="auto"/>
              <w:bottom w:val="nil"/>
              <w:right w:val="single" w:sz="4" w:space="0" w:color="auto"/>
            </w:tcBorders>
            <w:noWrap/>
            <w:vAlign w:val="center"/>
            <w:hideMark/>
          </w:tcPr>
          <w:p w:rsidR="00730AC8" w:rsidRDefault="00730AC8" w:rsidP="002F5109">
            <w:pPr>
              <w:spacing w:line="276" w:lineRule="auto"/>
              <w:jc w:val="center"/>
              <w:rPr>
                <w:rFonts w:ascii="Arial" w:hAnsi="Arial" w:cs="Arial"/>
                <w:sz w:val="20"/>
                <w:szCs w:val="20"/>
                <w:lang w:eastAsia="en-US"/>
              </w:rPr>
            </w:pPr>
            <w:r>
              <w:rPr>
                <w:rFonts w:ascii="Arial" w:hAnsi="Arial" w:cs="Arial"/>
                <w:sz w:val="20"/>
                <w:szCs w:val="20"/>
                <w:lang w:eastAsia="en-US"/>
              </w:rPr>
              <w:t>55 - 59 let</w:t>
            </w:r>
          </w:p>
        </w:tc>
        <w:tc>
          <w:tcPr>
            <w:tcW w:w="836" w:type="dxa"/>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62,4</w:t>
            </w:r>
          </w:p>
        </w:tc>
        <w:tc>
          <w:tcPr>
            <w:tcW w:w="836"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13,2</w:t>
            </w:r>
          </w:p>
        </w:tc>
        <w:tc>
          <w:tcPr>
            <w:tcW w:w="836" w:type="dxa"/>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70,3</w:t>
            </w:r>
          </w:p>
        </w:tc>
        <w:tc>
          <w:tcPr>
            <w:tcW w:w="836"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13,0</w:t>
            </w:r>
          </w:p>
        </w:tc>
        <w:tc>
          <w:tcPr>
            <w:tcW w:w="849" w:type="dxa"/>
            <w:tcBorders>
              <w:top w:val="nil"/>
              <w:left w:val="nil"/>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7,9</w:t>
            </w:r>
          </w:p>
        </w:tc>
        <w:tc>
          <w:tcPr>
            <w:tcW w:w="887" w:type="dxa"/>
            <w:tcBorders>
              <w:top w:val="nil"/>
              <w:left w:val="nil"/>
              <w:bottom w:val="nil"/>
              <w:right w:val="double" w:sz="6"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12,7</w:t>
            </w:r>
          </w:p>
        </w:tc>
      </w:tr>
      <w:tr w:rsidR="00730AC8" w:rsidRPr="009B0D99" w:rsidTr="002F5109">
        <w:trPr>
          <w:trHeight w:val="285"/>
          <w:jc w:val="center"/>
        </w:trPr>
        <w:tc>
          <w:tcPr>
            <w:tcW w:w="1496" w:type="dxa"/>
            <w:tcBorders>
              <w:top w:val="nil"/>
              <w:left w:val="double" w:sz="6" w:space="0" w:color="auto"/>
              <w:bottom w:val="nil"/>
              <w:right w:val="single" w:sz="4" w:space="0" w:color="auto"/>
            </w:tcBorders>
            <w:noWrap/>
            <w:vAlign w:val="center"/>
            <w:hideMark/>
          </w:tcPr>
          <w:p w:rsidR="00730AC8" w:rsidRDefault="00730AC8" w:rsidP="002F5109">
            <w:pPr>
              <w:spacing w:line="276" w:lineRule="auto"/>
              <w:jc w:val="center"/>
              <w:rPr>
                <w:rFonts w:ascii="Arial" w:hAnsi="Arial" w:cs="Arial"/>
                <w:sz w:val="20"/>
                <w:szCs w:val="20"/>
                <w:lang w:eastAsia="en-US"/>
              </w:rPr>
            </w:pPr>
            <w:r>
              <w:rPr>
                <w:rFonts w:ascii="Arial" w:hAnsi="Arial" w:cs="Arial"/>
                <w:sz w:val="20"/>
                <w:szCs w:val="20"/>
                <w:lang w:eastAsia="en-US"/>
              </w:rPr>
              <w:t>60 - 64 let</w:t>
            </w:r>
          </w:p>
        </w:tc>
        <w:tc>
          <w:tcPr>
            <w:tcW w:w="836" w:type="dxa"/>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13,2</w:t>
            </w:r>
          </w:p>
        </w:tc>
        <w:tc>
          <w:tcPr>
            <w:tcW w:w="836"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2,8</w:t>
            </w:r>
          </w:p>
        </w:tc>
        <w:tc>
          <w:tcPr>
            <w:tcW w:w="836" w:type="dxa"/>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17,6</w:t>
            </w:r>
          </w:p>
        </w:tc>
        <w:tc>
          <w:tcPr>
            <w:tcW w:w="836"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3,3</w:t>
            </w:r>
          </w:p>
        </w:tc>
        <w:tc>
          <w:tcPr>
            <w:tcW w:w="849" w:type="dxa"/>
            <w:tcBorders>
              <w:top w:val="nil"/>
              <w:left w:val="nil"/>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4,3</w:t>
            </w:r>
          </w:p>
        </w:tc>
        <w:tc>
          <w:tcPr>
            <w:tcW w:w="887" w:type="dxa"/>
            <w:tcBorders>
              <w:top w:val="nil"/>
              <w:left w:val="nil"/>
              <w:bottom w:val="nil"/>
              <w:right w:val="double" w:sz="6"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32,3</w:t>
            </w:r>
          </w:p>
        </w:tc>
      </w:tr>
      <w:tr w:rsidR="00730AC8" w:rsidRPr="009B0D99" w:rsidTr="002F5109">
        <w:trPr>
          <w:trHeight w:val="285"/>
          <w:jc w:val="center"/>
        </w:trPr>
        <w:tc>
          <w:tcPr>
            <w:tcW w:w="1496" w:type="dxa"/>
            <w:tcBorders>
              <w:top w:val="nil"/>
              <w:left w:val="double" w:sz="6" w:space="0" w:color="auto"/>
              <w:bottom w:val="single" w:sz="4" w:space="0" w:color="auto"/>
              <w:right w:val="single" w:sz="4" w:space="0" w:color="auto"/>
            </w:tcBorders>
            <w:noWrap/>
            <w:vAlign w:val="center"/>
            <w:hideMark/>
          </w:tcPr>
          <w:p w:rsidR="00730AC8" w:rsidRDefault="00730AC8" w:rsidP="002F5109">
            <w:pPr>
              <w:spacing w:line="276" w:lineRule="auto"/>
              <w:jc w:val="center"/>
              <w:rPr>
                <w:rFonts w:ascii="Arial" w:hAnsi="Arial" w:cs="Arial"/>
                <w:sz w:val="20"/>
                <w:szCs w:val="20"/>
                <w:lang w:eastAsia="en-US"/>
              </w:rPr>
            </w:pPr>
            <w:r>
              <w:rPr>
                <w:rFonts w:ascii="Arial" w:hAnsi="Arial" w:cs="Arial"/>
                <w:sz w:val="20"/>
                <w:szCs w:val="20"/>
                <w:lang w:eastAsia="en-US"/>
              </w:rPr>
              <w:t>nad 65 let</w:t>
            </w:r>
          </w:p>
        </w:tc>
        <w:tc>
          <w:tcPr>
            <w:tcW w:w="836" w:type="dxa"/>
            <w:tcBorders>
              <w:top w:val="nil"/>
              <w:left w:val="nil"/>
              <w:bottom w:val="single" w:sz="4" w:space="0" w:color="auto"/>
              <w:right w:val="nil"/>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0,4</w:t>
            </w:r>
          </w:p>
        </w:tc>
        <w:tc>
          <w:tcPr>
            <w:tcW w:w="836" w:type="dxa"/>
            <w:tcBorders>
              <w:top w:val="nil"/>
              <w:left w:val="single" w:sz="4" w:space="0" w:color="auto"/>
              <w:bottom w:val="single" w:sz="4" w:space="0" w:color="auto"/>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0,1</w:t>
            </w:r>
          </w:p>
        </w:tc>
        <w:tc>
          <w:tcPr>
            <w:tcW w:w="836" w:type="dxa"/>
            <w:tcBorders>
              <w:top w:val="nil"/>
              <w:left w:val="nil"/>
              <w:bottom w:val="single" w:sz="4" w:space="0" w:color="auto"/>
              <w:right w:val="nil"/>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0,5</w:t>
            </w:r>
          </w:p>
        </w:tc>
        <w:tc>
          <w:tcPr>
            <w:tcW w:w="836" w:type="dxa"/>
            <w:tcBorders>
              <w:top w:val="nil"/>
              <w:left w:val="single" w:sz="4" w:space="0" w:color="auto"/>
              <w:bottom w:val="single" w:sz="4" w:space="0" w:color="auto"/>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0,1</w:t>
            </w:r>
          </w:p>
        </w:tc>
        <w:tc>
          <w:tcPr>
            <w:tcW w:w="849" w:type="dxa"/>
            <w:tcBorders>
              <w:top w:val="nil"/>
              <w:left w:val="nil"/>
              <w:bottom w:val="single" w:sz="4" w:space="0" w:color="auto"/>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0,1</w:t>
            </w:r>
          </w:p>
        </w:tc>
        <w:tc>
          <w:tcPr>
            <w:tcW w:w="887" w:type="dxa"/>
            <w:tcBorders>
              <w:top w:val="nil"/>
              <w:left w:val="nil"/>
              <w:bottom w:val="single" w:sz="4" w:space="0" w:color="auto"/>
              <w:right w:val="double" w:sz="6" w:space="0" w:color="auto"/>
            </w:tcBorders>
            <w:noWrap/>
            <w:vAlign w:val="center"/>
            <w:hideMark/>
          </w:tcPr>
          <w:p w:rsidR="00730AC8" w:rsidRDefault="00730AC8" w:rsidP="002F5109">
            <w:pPr>
              <w:jc w:val="right"/>
              <w:rPr>
                <w:rFonts w:ascii="Arial CE" w:hAnsi="Arial CE" w:cs="Arial CE"/>
                <w:b/>
                <w:bCs/>
                <w:sz w:val="20"/>
                <w:szCs w:val="20"/>
              </w:rPr>
            </w:pPr>
            <w:r>
              <w:rPr>
                <w:rFonts w:ascii="Arial CE" w:hAnsi="Arial CE" w:cs="Arial CE"/>
                <w:b/>
                <w:bCs/>
                <w:sz w:val="20"/>
                <w:szCs w:val="20"/>
              </w:rPr>
              <w:t xml:space="preserve">.  </w:t>
            </w:r>
          </w:p>
        </w:tc>
      </w:tr>
      <w:tr w:rsidR="00730AC8" w:rsidRPr="009B0D99" w:rsidTr="002F5109">
        <w:trPr>
          <w:trHeight w:val="285"/>
          <w:jc w:val="center"/>
        </w:trPr>
        <w:tc>
          <w:tcPr>
            <w:tcW w:w="1496" w:type="dxa"/>
            <w:tcBorders>
              <w:top w:val="nil"/>
              <w:left w:val="double" w:sz="6" w:space="0" w:color="auto"/>
              <w:bottom w:val="double" w:sz="6" w:space="0" w:color="auto"/>
              <w:right w:val="single" w:sz="4" w:space="0" w:color="auto"/>
            </w:tcBorders>
            <w:noWrap/>
            <w:vAlign w:val="center"/>
            <w:hideMark/>
          </w:tcPr>
          <w:p w:rsidR="00730AC8" w:rsidRDefault="00730AC8" w:rsidP="002F5109">
            <w:pPr>
              <w:spacing w:line="276" w:lineRule="auto"/>
              <w:rPr>
                <w:rFonts w:ascii="Arial" w:hAnsi="Arial" w:cs="Arial"/>
                <w:b/>
                <w:bCs/>
                <w:i/>
                <w:iCs/>
                <w:sz w:val="20"/>
                <w:szCs w:val="20"/>
                <w:lang w:eastAsia="en-US"/>
              </w:rPr>
            </w:pPr>
            <w:r>
              <w:rPr>
                <w:rFonts w:ascii="Arial" w:hAnsi="Arial" w:cs="Arial"/>
                <w:b/>
                <w:bCs/>
                <w:i/>
                <w:iCs/>
                <w:sz w:val="20"/>
                <w:szCs w:val="20"/>
                <w:lang w:eastAsia="en-US"/>
              </w:rPr>
              <w:t>nad 50 let</w:t>
            </w:r>
          </w:p>
        </w:tc>
        <w:tc>
          <w:tcPr>
            <w:tcW w:w="836" w:type="dxa"/>
            <w:tcBorders>
              <w:top w:val="nil"/>
              <w:left w:val="nil"/>
              <w:bottom w:val="double" w:sz="6" w:space="0" w:color="auto"/>
              <w:right w:val="nil"/>
            </w:tcBorders>
            <w:noWrap/>
            <w:vAlign w:val="center"/>
            <w:hideMark/>
          </w:tcPr>
          <w:p w:rsidR="00730AC8" w:rsidRDefault="00730AC8" w:rsidP="002F5109">
            <w:pPr>
              <w:jc w:val="right"/>
              <w:rPr>
                <w:rFonts w:ascii="Arial CE" w:hAnsi="Arial CE" w:cs="Arial CE"/>
                <w:b/>
                <w:bCs/>
                <w:i/>
                <w:iCs/>
                <w:sz w:val="20"/>
                <w:szCs w:val="20"/>
              </w:rPr>
            </w:pPr>
            <w:r>
              <w:rPr>
                <w:rFonts w:ascii="Arial CE" w:hAnsi="Arial CE" w:cs="Arial CE"/>
                <w:b/>
                <w:bCs/>
                <w:i/>
                <w:iCs/>
                <w:sz w:val="20"/>
                <w:szCs w:val="20"/>
              </w:rPr>
              <w:t>130,7</w:t>
            </w:r>
          </w:p>
        </w:tc>
        <w:tc>
          <w:tcPr>
            <w:tcW w:w="836" w:type="dxa"/>
            <w:tcBorders>
              <w:top w:val="nil"/>
              <w:left w:val="single" w:sz="4" w:space="0" w:color="auto"/>
              <w:bottom w:val="double" w:sz="6" w:space="0" w:color="auto"/>
              <w:right w:val="single" w:sz="4" w:space="0" w:color="auto"/>
            </w:tcBorders>
            <w:noWrap/>
            <w:vAlign w:val="center"/>
            <w:hideMark/>
          </w:tcPr>
          <w:p w:rsidR="00730AC8" w:rsidRDefault="00730AC8" w:rsidP="002F5109">
            <w:pPr>
              <w:jc w:val="right"/>
              <w:rPr>
                <w:rFonts w:ascii="Arial CE" w:hAnsi="Arial CE" w:cs="Arial CE"/>
                <w:b/>
                <w:bCs/>
                <w:i/>
                <w:iCs/>
                <w:sz w:val="20"/>
                <w:szCs w:val="20"/>
              </w:rPr>
            </w:pPr>
            <w:r>
              <w:rPr>
                <w:rFonts w:ascii="Arial CE" w:hAnsi="Arial CE" w:cs="Arial CE"/>
                <w:b/>
                <w:bCs/>
                <w:i/>
                <w:iCs/>
                <w:sz w:val="20"/>
                <w:szCs w:val="20"/>
              </w:rPr>
              <w:t>27,5</w:t>
            </w:r>
          </w:p>
        </w:tc>
        <w:tc>
          <w:tcPr>
            <w:tcW w:w="836" w:type="dxa"/>
            <w:tcBorders>
              <w:top w:val="nil"/>
              <w:left w:val="nil"/>
              <w:bottom w:val="double" w:sz="6" w:space="0" w:color="auto"/>
              <w:right w:val="nil"/>
            </w:tcBorders>
            <w:noWrap/>
            <w:vAlign w:val="center"/>
            <w:hideMark/>
          </w:tcPr>
          <w:p w:rsidR="00730AC8" w:rsidRDefault="00730AC8" w:rsidP="002F5109">
            <w:pPr>
              <w:jc w:val="right"/>
              <w:rPr>
                <w:rFonts w:ascii="Arial CE" w:hAnsi="Arial CE" w:cs="Arial CE"/>
                <w:b/>
                <w:bCs/>
                <w:i/>
                <w:iCs/>
                <w:sz w:val="20"/>
                <w:szCs w:val="20"/>
              </w:rPr>
            </w:pPr>
            <w:r>
              <w:rPr>
                <w:rFonts w:ascii="Arial CE" w:hAnsi="Arial CE" w:cs="Arial CE"/>
                <w:b/>
                <w:bCs/>
                <w:i/>
                <w:iCs/>
                <w:sz w:val="20"/>
                <w:szCs w:val="20"/>
              </w:rPr>
              <w:t>146,0</w:t>
            </w:r>
          </w:p>
        </w:tc>
        <w:tc>
          <w:tcPr>
            <w:tcW w:w="836" w:type="dxa"/>
            <w:tcBorders>
              <w:top w:val="nil"/>
              <w:left w:val="single" w:sz="4" w:space="0" w:color="auto"/>
              <w:bottom w:val="double" w:sz="6" w:space="0" w:color="auto"/>
              <w:right w:val="single" w:sz="4" w:space="0" w:color="auto"/>
            </w:tcBorders>
            <w:noWrap/>
            <w:vAlign w:val="center"/>
            <w:hideMark/>
          </w:tcPr>
          <w:p w:rsidR="00730AC8" w:rsidRDefault="00730AC8" w:rsidP="002F5109">
            <w:pPr>
              <w:jc w:val="right"/>
              <w:rPr>
                <w:rFonts w:ascii="Arial CE" w:hAnsi="Arial CE" w:cs="Arial CE"/>
                <w:b/>
                <w:bCs/>
                <w:i/>
                <w:iCs/>
                <w:sz w:val="20"/>
                <w:szCs w:val="20"/>
              </w:rPr>
            </w:pPr>
            <w:r>
              <w:rPr>
                <w:rFonts w:ascii="Arial CE" w:hAnsi="Arial CE" w:cs="Arial CE"/>
                <w:b/>
                <w:bCs/>
                <w:i/>
                <w:iCs/>
                <w:sz w:val="20"/>
                <w:szCs w:val="20"/>
              </w:rPr>
              <w:t>27,0</w:t>
            </w:r>
          </w:p>
        </w:tc>
        <w:tc>
          <w:tcPr>
            <w:tcW w:w="849" w:type="dxa"/>
            <w:tcBorders>
              <w:top w:val="nil"/>
              <w:left w:val="nil"/>
              <w:bottom w:val="double" w:sz="6" w:space="0" w:color="auto"/>
              <w:right w:val="single" w:sz="4" w:space="0" w:color="auto"/>
            </w:tcBorders>
            <w:noWrap/>
            <w:vAlign w:val="center"/>
            <w:hideMark/>
          </w:tcPr>
          <w:p w:rsidR="00730AC8" w:rsidRDefault="00730AC8" w:rsidP="002F5109">
            <w:pPr>
              <w:jc w:val="right"/>
              <w:rPr>
                <w:rFonts w:ascii="Arial CE" w:hAnsi="Arial CE" w:cs="Arial CE"/>
                <w:b/>
                <w:bCs/>
                <w:i/>
                <w:iCs/>
                <w:sz w:val="20"/>
                <w:szCs w:val="20"/>
              </w:rPr>
            </w:pPr>
            <w:r>
              <w:rPr>
                <w:rFonts w:ascii="Arial CE" w:hAnsi="Arial CE" w:cs="Arial CE"/>
                <w:b/>
                <w:bCs/>
                <w:i/>
                <w:iCs/>
                <w:sz w:val="20"/>
                <w:szCs w:val="20"/>
              </w:rPr>
              <w:t>15,3</w:t>
            </w:r>
          </w:p>
        </w:tc>
        <w:tc>
          <w:tcPr>
            <w:tcW w:w="887" w:type="dxa"/>
            <w:tcBorders>
              <w:top w:val="nil"/>
              <w:left w:val="nil"/>
              <w:bottom w:val="double" w:sz="6" w:space="0" w:color="auto"/>
              <w:right w:val="double" w:sz="6" w:space="0" w:color="auto"/>
            </w:tcBorders>
            <w:noWrap/>
            <w:vAlign w:val="center"/>
            <w:hideMark/>
          </w:tcPr>
          <w:p w:rsidR="00730AC8" w:rsidRDefault="00730AC8" w:rsidP="002F5109">
            <w:pPr>
              <w:jc w:val="right"/>
              <w:rPr>
                <w:rFonts w:ascii="Arial CE" w:hAnsi="Arial CE" w:cs="Arial CE"/>
                <w:b/>
                <w:bCs/>
                <w:i/>
                <w:iCs/>
                <w:sz w:val="20"/>
                <w:szCs w:val="20"/>
              </w:rPr>
            </w:pPr>
            <w:r>
              <w:rPr>
                <w:rFonts w:ascii="Arial CE" w:hAnsi="Arial CE" w:cs="Arial CE"/>
                <w:b/>
                <w:bCs/>
                <w:i/>
                <w:iCs/>
                <w:sz w:val="20"/>
                <w:szCs w:val="20"/>
              </w:rPr>
              <w:t>11,7</w:t>
            </w:r>
          </w:p>
        </w:tc>
      </w:tr>
      <w:tr w:rsidR="00730AC8" w:rsidRPr="009B0D99" w:rsidTr="002F5109">
        <w:trPr>
          <w:trHeight w:val="705"/>
          <w:jc w:val="center"/>
        </w:trPr>
        <w:tc>
          <w:tcPr>
            <w:tcW w:w="6576" w:type="dxa"/>
            <w:gridSpan w:val="7"/>
            <w:vAlign w:val="bottom"/>
            <w:hideMark/>
          </w:tcPr>
          <w:p w:rsidR="00730AC8" w:rsidRDefault="00730AC8" w:rsidP="002F5109">
            <w:pPr>
              <w:spacing w:line="276" w:lineRule="auto"/>
              <w:rPr>
                <w:rFonts w:ascii="Arial" w:hAnsi="Arial" w:cs="Arial"/>
                <w:i/>
                <w:iCs/>
                <w:sz w:val="16"/>
                <w:szCs w:val="16"/>
                <w:lang w:eastAsia="en-US"/>
              </w:rPr>
            </w:pPr>
            <w:r>
              <w:rPr>
                <w:rFonts w:ascii="Arial" w:hAnsi="Arial" w:cs="Arial"/>
                <w:i/>
                <w:iCs/>
                <w:sz w:val="16"/>
                <w:szCs w:val="16"/>
                <w:lang w:eastAsia="en-US"/>
              </w:rPr>
              <w:t xml:space="preserve">Pozn.: drobné odchylky součtu osob v jednotlivých kategoriích od uvedeného celkového počtu souvisí se zaokrouhlením hodnot na jedno desetinné místo                                                            </w:t>
            </w:r>
            <w:r>
              <w:rPr>
                <w:rFonts w:ascii="Arial" w:hAnsi="Arial" w:cs="Arial"/>
                <w:b/>
                <w:bCs/>
                <w:i/>
                <w:iCs/>
                <w:sz w:val="16"/>
                <w:szCs w:val="16"/>
                <w:lang w:eastAsia="en-US"/>
              </w:rPr>
              <w:t xml:space="preserve">. </w:t>
            </w:r>
            <w:r>
              <w:rPr>
                <w:rFonts w:ascii="Arial" w:hAnsi="Arial" w:cs="Arial"/>
                <w:i/>
                <w:iCs/>
                <w:sz w:val="16"/>
                <w:szCs w:val="16"/>
                <w:lang w:eastAsia="en-US"/>
              </w:rPr>
              <w:t>vzhledem k nízkému počtu nemá údaj vypovídací schopnost</w:t>
            </w:r>
          </w:p>
        </w:tc>
      </w:tr>
    </w:tbl>
    <w:p w:rsidR="00730AC8" w:rsidRDefault="00730AC8" w:rsidP="00730AC8">
      <w:pPr>
        <w:pStyle w:val="Zkladntextodsazen3"/>
        <w:tabs>
          <w:tab w:val="left" w:pos="720"/>
        </w:tabs>
        <w:spacing w:after="0" w:line="360" w:lineRule="auto"/>
        <w:ind w:left="0"/>
        <w:jc w:val="both"/>
        <w:rPr>
          <w:rFonts w:ascii="Arial" w:hAnsi="Arial" w:cs="Arial"/>
          <w:sz w:val="24"/>
          <w:szCs w:val="24"/>
          <w:lang w:val="cs-CZ"/>
        </w:rPr>
      </w:pPr>
      <w:r>
        <w:rPr>
          <w:rFonts w:ascii="Arial" w:hAnsi="Arial" w:cs="Arial"/>
          <w:sz w:val="24"/>
          <w:szCs w:val="24"/>
          <w:lang w:val="cs-CZ"/>
        </w:rPr>
        <w:tab/>
      </w:r>
    </w:p>
    <w:p w:rsidR="00730AC8" w:rsidRDefault="00730AC8" w:rsidP="00D30183">
      <w:pPr>
        <w:pStyle w:val="Zkladntextodsazen3"/>
        <w:tabs>
          <w:tab w:val="left" w:pos="567"/>
          <w:tab w:val="left" w:pos="709"/>
        </w:tabs>
        <w:spacing w:after="0" w:line="360" w:lineRule="auto"/>
        <w:ind w:left="0"/>
        <w:jc w:val="both"/>
        <w:rPr>
          <w:rFonts w:ascii="Arial" w:hAnsi="Arial" w:cs="Arial"/>
          <w:sz w:val="24"/>
          <w:szCs w:val="24"/>
        </w:rPr>
      </w:pPr>
      <w:r>
        <w:rPr>
          <w:rFonts w:ascii="Arial" w:hAnsi="Arial" w:cs="Arial"/>
          <w:sz w:val="24"/>
          <w:szCs w:val="24"/>
          <w:lang w:val="cs-CZ"/>
        </w:rPr>
        <w:tab/>
        <w:t xml:space="preserve">Naopak nárůst nezaměstnaných z nejmladších věkových kategorií byl rychlejší než celková nezaměstnanost, a to i přesto, že na trh práce přicházejí slabší ročníky. Počet uchazečů o zaměstnání </w:t>
      </w:r>
      <w:r>
        <w:rPr>
          <w:rFonts w:ascii="Arial" w:hAnsi="Arial" w:cs="Arial"/>
          <w:b/>
          <w:sz w:val="24"/>
          <w:szCs w:val="24"/>
          <w:lang w:val="cs-CZ"/>
        </w:rPr>
        <w:t>mladších 20 let</w:t>
      </w:r>
      <w:r>
        <w:rPr>
          <w:rFonts w:ascii="Arial" w:hAnsi="Arial" w:cs="Arial"/>
          <w:sz w:val="24"/>
          <w:szCs w:val="24"/>
          <w:lang w:val="cs-CZ"/>
        </w:rPr>
        <w:t xml:space="preserve"> se meziročně </w:t>
      </w:r>
      <w:r>
        <w:rPr>
          <w:rFonts w:ascii="Arial" w:hAnsi="Arial" w:cs="Arial"/>
          <w:b/>
          <w:sz w:val="24"/>
          <w:szCs w:val="24"/>
          <w:lang w:val="cs-CZ"/>
        </w:rPr>
        <w:t>zvýšil</w:t>
      </w:r>
      <w:r>
        <w:rPr>
          <w:rFonts w:ascii="Arial" w:hAnsi="Arial" w:cs="Arial"/>
          <w:sz w:val="24"/>
          <w:szCs w:val="24"/>
          <w:lang w:val="cs-CZ"/>
        </w:rPr>
        <w:t xml:space="preserve"> </w:t>
      </w:r>
      <w:r w:rsidRPr="00C75EB3">
        <w:rPr>
          <w:rFonts w:ascii="Arial" w:hAnsi="Arial" w:cs="Arial"/>
          <w:b/>
          <w:sz w:val="24"/>
          <w:szCs w:val="24"/>
          <w:lang w:val="cs-CZ"/>
        </w:rPr>
        <w:t xml:space="preserve">o </w:t>
      </w:r>
      <w:r>
        <w:rPr>
          <w:rFonts w:ascii="Arial" w:hAnsi="Arial" w:cs="Arial"/>
          <w:b/>
          <w:sz w:val="24"/>
          <w:szCs w:val="24"/>
          <w:lang w:val="cs-CZ"/>
        </w:rPr>
        <w:t>3</w:t>
      </w:r>
      <w:r w:rsidRPr="00C75EB3">
        <w:rPr>
          <w:rFonts w:ascii="Arial" w:hAnsi="Arial" w:cs="Arial"/>
          <w:b/>
          <w:sz w:val="24"/>
          <w:szCs w:val="24"/>
          <w:lang w:val="cs-CZ"/>
        </w:rPr>
        <w:t>,</w:t>
      </w:r>
      <w:r>
        <w:rPr>
          <w:rFonts w:ascii="Arial" w:hAnsi="Arial" w:cs="Arial"/>
          <w:b/>
          <w:sz w:val="24"/>
          <w:szCs w:val="24"/>
          <w:lang w:val="cs-CZ"/>
        </w:rPr>
        <w:t>0</w:t>
      </w:r>
      <w:r w:rsidRPr="00C75EB3">
        <w:rPr>
          <w:rFonts w:ascii="Arial" w:hAnsi="Arial" w:cs="Arial"/>
          <w:b/>
          <w:sz w:val="24"/>
          <w:szCs w:val="24"/>
          <w:lang w:val="cs-CZ"/>
        </w:rPr>
        <w:t> tis.</w:t>
      </w:r>
      <w:r w:rsidRPr="00FE0B4D">
        <w:rPr>
          <w:rFonts w:ascii="Arial" w:hAnsi="Arial" w:cs="Arial"/>
          <w:sz w:val="24"/>
          <w:szCs w:val="24"/>
          <w:lang w:val="cs-CZ"/>
        </w:rPr>
        <w:t xml:space="preserve"> </w:t>
      </w:r>
      <w:r>
        <w:rPr>
          <w:rFonts w:ascii="Arial" w:hAnsi="Arial" w:cs="Arial"/>
          <w:sz w:val="24"/>
          <w:szCs w:val="24"/>
          <w:lang w:val="cs-CZ"/>
        </w:rPr>
        <w:t xml:space="preserve">na 18,4 tis. (o 19,5 %), jejich </w:t>
      </w:r>
      <w:r w:rsidRPr="00FE0B4D">
        <w:rPr>
          <w:rFonts w:ascii="Arial" w:hAnsi="Arial" w:cs="Arial"/>
          <w:b/>
          <w:sz w:val="24"/>
          <w:szCs w:val="24"/>
          <w:lang w:val="cs-CZ"/>
        </w:rPr>
        <w:t>podíl</w:t>
      </w:r>
      <w:r>
        <w:rPr>
          <w:rFonts w:ascii="Arial" w:hAnsi="Arial" w:cs="Arial"/>
          <w:sz w:val="24"/>
          <w:szCs w:val="24"/>
          <w:lang w:val="cs-CZ"/>
        </w:rPr>
        <w:t xml:space="preserve"> na celkovém počtu nezaměstnaných evidovaných na ÚP</w:t>
      </w:r>
      <w:r w:rsidR="006A789A">
        <w:rPr>
          <w:rFonts w:ascii="Arial" w:hAnsi="Arial" w:cs="Arial"/>
          <w:sz w:val="24"/>
          <w:szCs w:val="24"/>
          <w:lang w:val="cs-CZ"/>
        </w:rPr>
        <w:t> ČR</w:t>
      </w:r>
      <w:r>
        <w:rPr>
          <w:rFonts w:ascii="Arial" w:hAnsi="Arial" w:cs="Arial"/>
          <w:sz w:val="24"/>
          <w:szCs w:val="24"/>
          <w:lang w:val="cs-CZ"/>
        </w:rPr>
        <w:t xml:space="preserve"> (3,4 %) </w:t>
      </w:r>
      <w:r>
        <w:rPr>
          <w:rFonts w:ascii="Arial" w:hAnsi="Arial" w:cs="Arial"/>
          <w:b/>
          <w:sz w:val="24"/>
          <w:szCs w:val="24"/>
          <w:lang w:val="cs-CZ"/>
        </w:rPr>
        <w:t>vzrostl</w:t>
      </w:r>
      <w:r w:rsidRPr="00FE0B4D">
        <w:rPr>
          <w:rFonts w:ascii="Arial" w:hAnsi="Arial" w:cs="Arial"/>
          <w:b/>
          <w:sz w:val="24"/>
          <w:szCs w:val="24"/>
          <w:lang w:val="cs-CZ"/>
        </w:rPr>
        <w:t xml:space="preserve"> o 0,</w:t>
      </w:r>
      <w:r>
        <w:rPr>
          <w:rFonts w:ascii="Arial" w:hAnsi="Arial" w:cs="Arial"/>
          <w:b/>
          <w:sz w:val="24"/>
          <w:szCs w:val="24"/>
          <w:lang w:val="cs-CZ"/>
        </w:rPr>
        <w:t>2</w:t>
      </w:r>
      <w:r w:rsidRPr="00FE0B4D">
        <w:rPr>
          <w:rFonts w:ascii="Arial" w:hAnsi="Arial" w:cs="Arial"/>
          <w:b/>
          <w:sz w:val="24"/>
          <w:szCs w:val="24"/>
          <w:lang w:val="cs-CZ"/>
        </w:rPr>
        <w:t> p. b.</w:t>
      </w:r>
      <w:r>
        <w:rPr>
          <w:rFonts w:ascii="Arial" w:hAnsi="Arial" w:cs="Arial"/>
          <w:sz w:val="24"/>
          <w:szCs w:val="24"/>
          <w:lang w:val="cs-CZ"/>
        </w:rPr>
        <w:t xml:space="preserve"> Jedná se sice o početně menší kategorii, avšak </w:t>
      </w:r>
      <w:r>
        <w:rPr>
          <w:rFonts w:ascii="Arial" w:hAnsi="Arial" w:cs="Arial"/>
          <w:sz w:val="24"/>
          <w:szCs w:val="24"/>
          <w:lang w:val="cs-CZ"/>
        </w:rPr>
        <w:lastRenderedPageBreak/>
        <w:t>spadá do ní mnoho mladých bez ukončeného základního nebo pouze s nízkým vzděláním a také často bez praktických zkušeností.</w:t>
      </w:r>
    </w:p>
    <w:p w:rsidR="00730AC8" w:rsidRDefault="00730AC8" w:rsidP="00D30183">
      <w:pPr>
        <w:pStyle w:val="Zkladntextodsazen3"/>
        <w:tabs>
          <w:tab w:val="left" w:pos="567"/>
          <w:tab w:val="left" w:pos="720"/>
        </w:tabs>
        <w:spacing w:after="0" w:line="360" w:lineRule="auto"/>
        <w:ind w:left="0"/>
        <w:jc w:val="both"/>
        <w:rPr>
          <w:rFonts w:ascii="Arial" w:hAnsi="Arial" w:cs="Arial"/>
          <w:sz w:val="24"/>
          <w:szCs w:val="24"/>
        </w:rPr>
      </w:pPr>
      <w:r>
        <w:rPr>
          <w:rFonts w:ascii="Arial" w:hAnsi="Arial" w:cs="Arial"/>
          <w:sz w:val="24"/>
          <w:szCs w:val="24"/>
          <w:lang w:val="cs-CZ"/>
        </w:rPr>
        <w:tab/>
        <w:t xml:space="preserve">Mezinárodně sledovanou věkovou kategorii mladých </w:t>
      </w:r>
      <w:r>
        <w:rPr>
          <w:rFonts w:ascii="Arial" w:hAnsi="Arial" w:cs="Arial"/>
          <w:b/>
          <w:sz w:val="24"/>
          <w:szCs w:val="24"/>
          <w:lang w:val="cs-CZ"/>
        </w:rPr>
        <w:t>do 25 let</w:t>
      </w:r>
      <w:r>
        <w:rPr>
          <w:rFonts w:ascii="Arial" w:hAnsi="Arial" w:cs="Arial"/>
          <w:sz w:val="24"/>
          <w:szCs w:val="24"/>
          <w:lang w:val="cs-CZ"/>
        </w:rPr>
        <w:t xml:space="preserve"> k 30. 6. 2013 tvořilo </w:t>
      </w:r>
      <w:r>
        <w:rPr>
          <w:rFonts w:ascii="Arial" w:hAnsi="Arial" w:cs="Arial"/>
          <w:b/>
          <w:sz w:val="24"/>
          <w:szCs w:val="24"/>
          <w:lang w:val="cs-CZ"/>
        </w:rPr>
        <w:t>91,1 tis</w:t>
      </w:r>
      <w:r>
        <w:rPr>
          <w:rFonts w:ascii="Arial" w:hAnsi="Arial" w:cs="Arial"/>
          <w:sz w:val="24"/>
          <w:szCs w:val="24"/>
          <w:lang w:val="cs-CZ"/>
        </w:rPr>
        <w:t>., což je o</w:t>
      </w:r>
      <w:r w:rsidRPr="00C75EB3">
        <w:rPr>
          <w:rFonts w:ascii="Arial" w:hAnsi="Arial" w:cs="Arial"/>
          <w:b/>
          <w:sz w:val="24"/>
          <w:szCs w:val="24"/>
          <w:lang w:val="cs-CZ"/>
        </w:rPr>
        <w:t xml:space="preserve"> </w:t>
      </w:r>
      <w:r>
        <w:rPr>
          <w:rFonts w:ascii="Arial" w:hAnsi="Arial" w:cs="Arial"/>
          <w:b/>
          <w:sz w:val="24"/>
          <w:szCs w:val="24"/>
          <w:lang w:val="cs-CZ"/>
        </w:rPr>
        <w:t>12,4 tis. více</w:t>
      </w:r>
      <w:r>
        <w:rPr>
          <w:rFonts w:ascii="Arial" w:hAnsi="Arial" w:cs="Arial"/>
          <w:sz w:val="24"/>
          <w:szCs w:val="24"/>
          <w:lang w:val="cs-CZ"/>
        </w:rPr>
        <w:t xml:space="preserve"> než před rokem. </w:t>
      </w:r>
      <w:r>
        <w:rPr>
          <w:rFonts w:ascii="Arial" w:hAnsi="Arial" w:cs="Arial"/>
          <w:b/>
          <w:sz w:val="24"/>
          <w:szCs w:val="24"/>
          <w:lang w:val="cs-CZ"/>
        </w:rPr>
        <w:t xml:space="preserve">Podíl </w:t>
      </w:r>
      <w:r>
        <w:rPr>
          <w:rFonts w:ascii="Arial" w:hAnsi="Arial" w:cs="Arial"/>
          <w:sz w:val="24"/>
          <w:szCs w:val="24"/>
          <w:lang w:val="cs-CZ"/>
        </w:rPr>
        <w:t xml:space="preserve">uchazečů </w:t>
      </w:r>
      <w:r>
        <w:rPr>
          <w:rFonts w:ascii="Arial" w:hAnsi="Arial" w:cs="Arial"/>
          <w:b/>
          <w:sz w:val="24"/>
          <w:szCs w:val="24"/>
          <w:lang w:val="cs-CZ"/>
        </w:rPr>
        <w:t xml:space="preserve">do 25 let </w:t>
      </w:r>
      <w:r>
        <w:rPr>
          <w:rFonts w:ascii="Arial" w:hAnsi="Arial" w:cs="Arial"/>
          <w:sz w:val="24"/>
          <w:szCs w:val="24"/>
          <w:lang w:val="cs-CZ"/>
        </w:rPr>
        <w:t>na celkovém počtu nezaměstnaných k 30. 6. 2013 činil</w:t>
      </w:r>
      <w:r>
        <w:rPr>
          <w:rFonts w:ascii="Arial" w:hAnsi="Arial" w:cs="Arial"/>
          <w:b/>
          <w:sz w:val="24"/>
          <w:szCs w:val="24"/>
          <w:lang w:val="cs-CZ"/>
        </w:rPr>
        <w:t xml:space="preserve"> 16,8 % </w:t>
      </w:r>
      <w:r w:rsidRPr="00C75EB3">
        <w:rPr>
          <w:rFonts w:ascii="Arial" w:hAnsi="Arial" w:cs="Arial"/>
          <w:sz w:val="24"/>
          <w:szCs w:val="24"/>
          <w:lang w:val="cs-CZ"/>
        </w:rPr>
        <w:t xml:space="preserve">a meziročně </w:t>
      </w:r>
      <w:r>
        <w:rPr>
          <w:rFonts w:ascii="Arial" w:hAnsi="Arial" w:cs="Arial"/>
          <w:sz w:val="24"/>
          <w:szCs w:val="24"/>
          <w:lang w:val="cs-CZ"/>
        </w:rPr>
        <w:t>se zvýšil</w:t>
      </w:r>
      <w:r w:rsidRPr="00C75EB3">
        <w:rPr>
          <w:rFonts w:ascii="Arial" w:hAnsi="Arial" w:cs="Arial"/>
          <w:sz w:val="24"/>
          <w:szCs w:val="24"/>
          <w:lang w:val="cs-CZ"/>
        </w:rPr>
        <w:t xml:space="preserve"> o</w:t>
      </w:r>
      <w:r>
        <w:rPr>
          <w:rFonts w:ascii="Arial" w:hAnsi="Arial" w:cs="Arial"/>
          <w:sz w:val="24"/>
          <w:szCs w:val="24"/>
          <w:lang w:val="cs-CZ"/>
        </w:rPr>
        <w:t> </w:t>
      </w:r>
      <w:r w:rsidRPr="00C75EB3">
        <w:rPr>
          <w:rFonts w:ascii="Arial" w:hAnsi="Arial" w:cs="Arial"/>
          <w:sz w:val="24"/>
          <w:szCs w:val="24"/>
          <w:lang w:val="cs-CZ"/>
        </w:rPr>
        <w:t>0,</w:t>
      </w:r>
      <w:r>
        <w:rPr>
          <w:rFonts w:ascii="Arial" w:hAnsi="Arial" w:cs="Arial"/>
          <w:sz w:val="24"/>
          <w:szCs w:val="24"/>
          <w:lang w:val="cs-CZ"/>
        </w:rPr>
        <w:t>3</w:t>
      </w:r>
      <w:r w:rsidRPr="00C75EB3">
        <w:rPr>
          <w:rFonts w:ascii="Arial" w:hAnsi="Arial" w:cs="Arial"/>
          <w:sz w:val="24"/>
          <w:szCs w:val="24"/>
          <w:lang w:val="cs-CZ"/>
        </w:rPr>
        <w:t> </w:t>
      </w:r>
      <w:r>
        <w:rPr>
          <w:rFonts w:ascii="Arial" w:hAnsi="Arial" w:cs="Arial"/>
          <w:sz w:val="24"/>
          <w:szCs w:val="24"/>
          <w:lang w:val="cs-CZ"/>
        </w:rPr>
        <w:t xml:space="preserve">p. b. </w:t>
      </w:r>
    </w:p>
    <w:p w:rsidR="00730AC8" w:rsidRDefault="00730AC8" w:rsidP="00D30183">
      <w:pPr>
        <w:pStyle w:val="Zkladntextodsazen3"/>
        <w:tabs>
          <w:tab w:val="left" w:pos="567"/>
          <w:tab w:val="left" w:pos="720"/>
        </w:tabs>
        <w:spacing w:after="0" w:line="360" w:lineRule="auto"/>
        <w:ind w:left="0"/>
        <w:jc w:val="both"/>
        <w:rPr>
          <w:rFonts w:ascii="Arial" w:hAnsi="Arial" w:cs="Arial"/>
          <w:sz w:val="24"/>
          <w:szCs w:val="24"/>
        </w:rPr>
      </w:pPr>
      <w:r>
        <w:rPr>
          <w:rFonts w:ascii="Arial" w:hAnsi="Arial" w:cs="Arial"/>
          <w:sz w:val="24"/>
          <w:szCs w:val="24"/>
          <w:lang w:val="cs-CZ"/>
        </w:rPr>
        <w:tab/>
        <w:t xml:space="preserve">Nadprůměrný </w:t>
      </w:r>
      <w:r w:rsidRPr="00E63853">
        <w:rPr>
          <w:rFonts w:ascii="Arial" w:hAnsi="Arial" w:cs="Arial"/>
          <w:b/>
          <w:sz w:val="24"/>
          <w:szCs w:val="24"/>
          <w:lang w:val="cs-CZ"/>
        </w:rPr>
        <w:t>nárůst</w:t>
      </w:r>
      <w:r w:rsidRPr="00E63853">
        <w:rPr>
          <w:rFonts w:ascii="Arial" w:hAnsi="Arial" w:cs="Arial"/>
          <w:sz w:val="24"/>
          <w:szCs w:val="24"/>
          <w:lang w:val="cs-CZ"/>
        </w:rPr>
        <w:t xml:space="preserve"> byl zaznamenán</w:t>
      </w:r>
      <w:r>
        <w:rPr>
          <w:rFonts w:ascii="Arial" w:hAnsi="Arial" w:cs="Arial"/>
          <w:b/>
          <w:sz w:val="24"/>
          <w:szCs w:val="24"/>
          <w:lang w:val="cs-CZ"/>
        </w:rPr>
        <w:t xml:space="preserve"> v kategorii 25 – 29 let </w:t>
      </w:r>
      <w:r w:rsidR="00BC3139">
        <w:rPr>
          <w:rFonts w:ascii="Arial" w:hAnsi="Arial" w:cs="Arial"/>
          <w:sz w:val="24"/>
          <w:szCs w:val="24"/>
          <w:lang w:val="cs-CZ"/>
        </w:rPr>
        <w:t>(o </w:t>
      </w:r>
      <w:r>
        <w:rPr>
          <w:rFonts w:ascii="Arial" w:hAnsi="Arial" w:cs="Arial"/>
          <w:sz w:val="24"/>
          <w:szCs w:val="24"/>
          <w:lang w:val="cs-CZ"/>
        </w:rPr>
        <w:t>16,8 %</w:t>
      </w:r>
      <w:r w:rsidRPr="00E63853">
        <w:rPr>
          <w:rFonts w:ascii="Arial" w:hAnsi="Arial" w:cs="Arial"/>
          <w:sz w:val="24"/>
          <w:szCs w:val="24"/>
          <w:lang w:val="cs-CZ"/>
        </w:rPr>
        <w:t>)</w:t>
      </w:r>
      <w:r>
        <w:rPr>
          <w:rFonts w:ascii="Arial" w:hAnsi="Arial" w:cs="Arial"/>
          <w:sz w:val="24"/>
          <w:szCs w:val="24"/>
          <w:lang w:val="cs-CZ"/>
        </w:rPr>
        <w:t xml:space="preserve">, </w:t>
      </w:r>
      <w:r w:rsidR="002850F6">
        <w:rPr>
          <w:rFonts w:ascii="Arial" w:hAnsi="Arial" w:cs="Arial"/>
          <w:sz w:val="24"/>
          <w:szCs w:val="24"/>
          <w:lang w:val="cs-CZ"/>
        </w:rPr>
        <w:t xml:space="preserve"> </w:t>
      </w:r>
      <w:r w:rsidR="00BC3139">
        <w:rPr>
          <w:rFonts w:ascii="Arial" w:hAnsi="Arial" w:cs="Arial"/>
          <w:sz w:val="24"/>
          <w:szCs w:val="24"/>
          <w:lang w:val="cs-CZ"/>
        </w:rPr>
        <w:t xml:space="preserve">   </w:t>
      </w:r>
      <w:r w:rsidRPr="00221E12">
        <w:rPr>
          <w:rFonts w:ascii="Arial" w:hAnsi="Arial" w:cs="Arial"/>
          <w:b/>
          <w:sz w:val="24"/>
          <w:szCs w:val="24"/>
          <w:lang w:val="cs-CZ"/>
        </w:rPr>
        <w:t>35 – 39 let</w:t>
      </w:r>
      <w:r>
        <w:rPr>
          <w:rFonts w:ascii="Arial" w:hAnsi="Arial" w:cs="Arial"/>
          <w:sz w:val="24"/>
          <w:szCs w:val="24"/>
          <w:lang w:val="cs-CZ"/>
        </w:rPr>
        <w:t xml:space="preserve"> (o 16,0 %) </w:t>
      </w:r>
      <w:r w:rsidRPr="00E63853">
        <w:rPr>
          <w:rFonts w:ascii="Arial" w:hAnsi="Arial" w:cs="Arial"/>
          <w:sz w:val="24"/>
          <w:szCs w:val="24"/>
          <w:lang w:val="cs-CZ"/>
        </w:rPr>
        <w:t xml:space="preserve">a </w:t>
      </w:r>
      <w:r w:rsidRPr="00221E12">
        <w:rPr>
          <w:rFonts w:ascii="Arial" w:hAnsi="Arial" w:cs="Arial"/>
          <w:b/>
          <w:sz w:val="24"/>
          <w:szCs w:val="24"/>
          <w:lang w:val="cs-CZ"/>
        </w:rPr>
        <w:t>40 – 44 let</w:t>
      </w:r>
      <w:r>
        <w:rPr>
          <w:rFonts w:ascii="Arial" w:hAnsi="Arial" w:cs="Arial"/>
          <w:sz w:val="24"/>
          <w:szCs w:val="24"/>
          <w:lang w:val="cs-CZ"/>
        </w:rPr>
        <w:t xml:space="preserve"> (o 15,8 %). Zatímco první kategorie zahrnuje např. absolventy vysokých škol, do dalších dvou věkových kategorií spadá silná populační vlna ze 70. let minulého století. </w:t>
      </w:r>
    </w:p>
    <w:p w:rsidR="00730AC8" w:rsidRPr="006563F7" w:rsidRDefault="00730AC8" w:rsidP="00730AC8">
      <w:pPr>
        <w:pStyle w:val="Zkladntextodsazen3"/>
        <w:tabs>
          <w:tab w:val="left" w:pos="720"/>
        </w:tabs>
        <w:spacing w:after="0" w:line="360" w:lineRule="auto"/>
        <w:ind w:left="0"/>
        <w:jc w:val="right"/>
        <w:rPr>
          <w:rFonts w:ascii="Arial" w:hAnsi="Arial" w:cs="Arial"/>
          <w:sz w:val="20"/>
          <w:szCs w:val="20"/>
        </w:rPr>
      </w:pPr>
      <w:r>
        <w:rPr>
          <w:rFonts w:ascii="Arial" w:hAnsi="Arial" w:cs="Arial"/>
          <w:sz w:val="24"/>
          <w:szCs w:val="24"/>
          <w:lang w:val="cs-CZ"/>
        </w:rPr>
        <w:t xml:space="preserve"> </w:t>
      </w:r>
      <w:r w:rsidRPr="00730AC8">
        <w:rPr>
          <w:rFonts w:ascii="Arial" w:hAnsi="Arial" w:cs="Arial"/>
          <w:sz w:val="20"/>
          <w:szCs w:val="20"/>
        </w:rPr>
        <w:t>graf č. 1</w:t>
      </w:r>
      <w:r w:rsidRPr="00730AC8">
        <w:rPr>
          <w:rFonts w:ascii="Arial" w:hAnsi="Arial" w:cs="Arial"/>
          <w:sz w:val="20"/>
          <w:szCs w:val="20"/>
          <w:lang w:val="cs-CZ"/>
        </w:rPr>
        <w:t>1</w:t>
      </w:r>
    </w:p>
    <w:p w:rsidR="00730AC8" w:rsidRPr="0004279F" w:rsidRDefault="00730AC8" w:rsidP="00730AC8">
      <w:pPr>
        <w:pStyle w:val="Zkladntextodsazen3"/>
        <w:tabs>
          <w:tab w:val="left" w:pos="720"/>
        </w:tabs>
        <w:spacing w:after="0" w:line="360" w:lineRule="auto"/>
        <w:ind w:left="0"/>
        <w:jc w:val="center"/>
        <w:rPr>
          <w:rFonts w:ascii="Arial" w:hAnsi="Arial" w:cs="Arial"/>
          <w:color w:val="FF0000"/>
          <w:sz w:val="24"/>
          <w:szCs w:val="24"/>
        </w:rPr>
      </w:pPr>
      <w:r>
        <w:rPr>
          <w:noProof/>
          <w:lang w:val="cs-CZ" w:eastAsia="cs-CZ"/>
        </w:rPr>
        <w:drawing>
          <wp:inline distT="0" distB="0" distL="0" distR="0" wp14:anchorId="49EE718C" wp14:editId="5B86E42B">
            <wp:extent cx="5760720" cy="3268042"/>
            <wp:effectExtent l="0" t="0" r="11430" b="27940"/>
            <wp:docPr id="15" name="Graf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730AC8" w:rsidRPr="003D7271" w:rsidRDefault="00730AC8" w:rsidP="00730AC8">
      <w:pPr>
        <w:pStyle w:val="Zkladntextodsazen3"/>
        <w:tabs>
          <w:tab w:val="left" w:pos="720"/>
        </w:tabs>
        <w:spacing w:after="0" w:line="360" w:lineRule="auto"/>
        <w:ind w:left="0"/>
        <w:jc w:val="both"/>
        <w:rPr>
          <w:rFonts w:ascii="Arial" w:hAnsi="Arial" w:cs="Arial"/>
          <w:lang w:val="cs-CZ"/>
        </w:rPr>
      </w:pPr>
      <w:r>
        <w:rPr>
          <w:rFonts w:ascii="Arial" w:hAnsi="Arial" w:cs="Arial"/>
          <w:sz w:val="24"/>
          <w:szCs w:val="24"/>
          <w:lang w:val="cs-CZ"/>
        </w:rPr>
        <w:tab/>
      </w:r>
    </w:p>
    <w:p w:rsidR="00730AC8" w:rsidRDefault="00730AC8" w:rsidP="00D30183">
      <w:pPr>
        <w:tabs>
          <w:tab w:val="left" w:pos="567"/>
        </w:tabs>
        <w:spacing w:line="360" w:lineRule="auto"/>
        <w:ind w:firstLine="708"/>
        <w:jc w:val="both"/>
        <w:rPr>
          <w:rFonts w:ascii="Arial" w:hAnsi="Arial" w:cs="Arial"/>
          <w:b/>
        </w:rPr>
      </w:pPr>
      <w:r w:rsidRPr="00257443">
        <w:rPr>
          <w:rFonts w:ascii="Arial" w:hAnsi="Arial" w:cs="Arial"/>
          <w:b/>
          <w:i/>
        </w:rPr>
        <w:t>Původně</w:t>
      </w:r>
      <w:r w:rsidRPr="00F553A2">
        <w:rPr>
          <w:rFonts w:ascii="Arial" w:hAnsi="Arial" w:cs="Arial"/>
          <w:i/>
        </w:rPr>
        <w:t xml:space="preserve"> vykazované </w:t>
      </w:r>
      <w:r w:rsidRPr="00257443">
        <w:rPr>
          <w:rFonts w:ascii="Arial" w:hAnsi="Arial" w:cs="Arial"/>
          <w:b/>
          <w:i/>
        </w:rPr>
        <w:t>specifické míry nezaměstnanosti</w:t>
      </w:r>
      <w:r w:rsidRPr="00F553A2">
        <w:rPr>
          <w:rFonts w:ascii="Arial" w:hAnsi="Arial" w:cs="Arial"/>
          <w:i/>
        </w:rPr>
        <w:t xml:space="preserve"> poměřované k ekonomicky aktivnímu obyvatelstvu z příslušné věkové kategorie vykazovaly vysoce nadprůměrnou hodnotu tohoto ukazatele u mladších věkových kategorií (z důvodu nízkého počtu ekonomicky aktivních mladých lidí), naopak mírně snižovaly jeho hodnotu u uchazečů o zaměstnání vyšších věkových kategorií (vzhledem k jejich vysoké ekonomické aktivitě). </w:t>
      </w:r>
      <w:r w:rsidRPr="00257443">
        <w:rPr>
          <w:rFonts w:ascii="Arial" w:hAnsi="Arial" w:cs="Arial"/>
          <w:b/>
          <w:i/>
        </w:rPr>
        <w:t>Nově zavedený ukazatel podíl nezaměstnaných osob</w:t>
      </w:r>
      <w:r>
        <w:rPr>
          <w:rFonts w:ascii="Arial" w:hAnsi="Arial" w:cs="Arial"/>
          <w:i/>
        </w:rPr>
        <w:t xml:space="preserve"> </w:t>
      </w:r>
      <w:r w:rsidRPr="00F553A2">
        <w:rPr>
          <w:rFonts w:ascii="Arial" w:hAnsi="Arial" w:cs="Arial"/>
          <w:i/>
        </w:rPr>
        <w:t>vztažený k obyvatelstvu lépe koresponduje s absolutními počty uchazečů o zaměstnání, resp. jejich podíly na celkovém počtu uchazečů</w:t>
      </w:r>
      <w:r>
        <w:rPr>
          <w:rFonts w:ascii="Arial" w:hAnsi="Arial" w:cs="Arial"/>
          <w:i/>
        </w:rPr>
        <w:t xml:space="preserve"> (viz </w:t>
      </w:r>
      <w:r w:rsidRPr="00702623">
        <w:rPr>
          <w:rFonts w:ascii="Arial" w:hAnsi="Arial" w:cs="Arial"/>
          <w:i/>
        </w:rPr>
        <w:lastRenderedPageBreak/>
        <w:t>tab. č. 1</w:t>
      </w:r>
      <w:r w:rsidR="00702623" w:rsidRPr="00702623">
        <w:rPr>
          <w:rFonts w:ascii="Arial" w:hAnsi="Arial" w:cs="Arial"/>
          <w:i/>
        </w:rPr>
        <w:t>9</w:t>
      </w:r>
      <w:r w:rsidRPr="00702623">
        <w:rPr>
          <w:rFonts w:ascii="Arial" w:hAnsi="Arial" w:cs="Arial"/>
          <w:i/>
        </w:rPr>
        <w:t xml:space="preserve"> a příloha č. 6).  </w:t>
      </w:r>
      <w:r w:rsidRPr="00702623">
        <w:rPr>
          <w:rFonts w:ascii="Arial" w:hAnsi="Arial" w:cs="Arial"/>
        </w:rPr>
        <w:t xml:space="preserve">Je patrné, že </w:t>
      </w:r>
      <w:r w:rsidRPr="00702623">
        <w:rPr>
          <w:rFonts w:ascii="Arial" w:hAnsi="Arial" w:cs="Arial"/>
          <w:b/>
        </w:rPr>
        <w:t>nadprůměrnou hodnotu</w:t>
      </w:r>
      <w:r w:rsidRPr="00702623">
        <w:rPr>
          <w:rFonts w:ascii="Arial" w:hAnsi="Arial" w:cs="Arial"/>
        </w:rPr>
        <w:t xml:space="preserve"> tohoto ukazatele (více než 7,3 %) vykazují kategorie </w:t>
      </w:r>
      <w:r w:rsidRPr="00702623">
        <w:rPr>
          <w:rFonts w:ascii="Arial" w:hAnsi="Arial" w:cs="Arial"/>
          <w:b/>
        </w:rPr>
        <w:t xml:space="preserve">20 – 29 let a </w:t>
      </w:r>
      <w:r w:rsidR="00702623" w:rsidRPr="00702623">
        <w:rPr>
          <w:rFonts w:ascii="Arial" w:hAnsi="Arial" w:cs="Arial"/>
          <w:b/>
        </w:rPr>
        <w:t>49</w:t>
      </w:r>
      <w:r w:rsidRPr="00702623">
        <w:rPr>
          <w:rFonts w:ascii="Arial" w:hAnsi="Arial" w:cs="Arial"/>
          <w:b/>
        </w:rPr>
        <w:t> – 59 let.</w:t>
      </w:r>
      <w:r>
        <w:rPr>
          <w:rFonts w:ascii="Arial" w:hAnsi="Arial" w:cs="Arial"/>
          <w:b/>
        </w:rPr>
        <w:t xml:space="preserve"> </w:t>
      </w:r>
    </w:p>
    <w:p w:rsidR="00730AC8" w:rsidRPr="00CA6920" w:rsidRDefault="00730AC8" w:rsidP="00D30183">
      <w:pPr>
        <w:spacing w:line="360" w:lineRule="auto"/>
        <w:ind w:firstLine="567"/>
        <w:jc w:val="both"/>
        <w:rPr>
          <w:rFonts w:ascii="Arial" w:hAnsi="Arial" w:cs="Arial"/>
        </w:rPr>
      </w:pPr>
      <w:r w:rsidRPr="00CA6920">
        <w:rPr>
          <w:rFonts w:ascii="Arial" w:hAnsi="Arial" w:cs="Arial"/>
        </w:rPr>
        <w:t xml:space="preserve">U mezinárodně sledované věkové kategorie mladých </w:t>
      </w:r>
      <w:r w:rsidRPr="00CA6920">
        <w:rPr>
          <w:rFonts w:ascii="Arial" w:hAnsi="Arial" w:cs="Arial"/>
          <w:b/>
        </w:rPr>
        <w:t>do 25 let</w:t>
      </w:r>
      <w:r w:rsidRPr="00CA6920">
        <w:rPr>
          <w:rFonts w:ascii="Arial" w:hAnsi="Arial" w:cs="Arial"/>
        </w:rPr>
        <w:t xml:space="preserve"> dosáhl k 30. 6. 2013 tento ukazatel hodnoty </w:t>
      </w:r>
      <w:r w:rsidRPr="00CA6920">
        <w:rPr>
          <w:rFonts w:ascii="Arial" w:hAnsi="Arial" w:cs="Arial"/>
          <w:b/>
        </w:rPr>
        <w:t>7,7 %</w:t>
      </w:r>
      <w:r w:rsidRPr="00CA6920">
        <w:rPr>
          <w:rFonts w:ascii="Arial" w:hAnsi="Arial" w:cs="Arial"/>
        </w:rPr>
        <w:t xml:space="preserve"> (meziroční nárůst o 1,3 p. b.), v kategorii </w:t>
      </w:r>
      <w:r w:rsidRPr="00CA6920">
        <w:rPr>
          <w:rFonts w:ascii="Arial" w:hAnsi="Arial" w:cs="Arial"/>
          <w:b/>
        </w:rPr>
        <w:t>55 – 64 let 5,9 %</w:t>
      </w:r>
      <w:r w:rsidRPr="00CA6920">
        <w:rPr>
          <w:rFonts w:ascii="Arial" w:hAnsi="Arial" w:cs="Arial"/>
        </w:rPr>
        <w:t xml:space="preserve"> (meziroční nárůst o 1,0 p. b.). </w:t>
      </w:r>
    </w:p>
    <w:p w:rsidR="00730AC8" w:rsidRDefault="00730AC8" w:rsidP="00D30183">
      <w:pPr>
        <w:spacing w:line="360" w:lineRule="auto"/>
        <w:ind w:firstLine="567"/>
        <w:jc w:val="both"/>
        <w:rPr>
          <w:rFonts w:ascii="Arial" w:hAnsi="Arial" w:cs="Arial"/>
        </w:rPr>
      </w:pPr>
      <w:r w:rsidRPr="006D01CB">
        <w:rPr>
          <w:rFonts w:ascii="Arial" w:hAnsi="Arial" w:cs="Arial"/>
        </w:rPr>
        <w:t>Podíl nezaměstnaných</w:t>
      </w:r>
      <w:r w:rsidR="0092587F">
        <w:rPr>
          <w:rFonts w:ascii="Arial" w:hAnsi="Arial" w:cs="Arial"/>
        </w:rPr>
        <w:t xml:space="preserve"> osob</w:t>
      </w:r>
      <w:r w:rsidRPr="006D01CB">
        <w:rPr>
          <w:rFonts w:ascii="Arial" w:hAnsi="Arial" w:cs="Arial"/>
        </w:rPr>
        <w:t xml:space="preserve"> </w:t>
      </w:r>
      <w:r>
        <w:rPr>
          <w:rFonts w:ascii="Arial" w:hAnsi="Arial" w:cs="Arial"/>
          <w:b/>
        </w:rPr>
        <w:t xml:space="preserve">se liší podle pohlaví. U žen je nižší </w:t>
      </w:r>
      <w:r w:rsidRPr="006D01CB">
        <w:rPr>
          <w:rFonts w:ascii="Arial" w:hAnsi="Arial" w:cs="Arial"/>
        </w:rPr>
        <w:t>ve věku</w:t>
      </w:r>
      <w:r>
        <w:rPr>
          <w:rFonts w:ascii="Arial" w:hAnsi="Arial" w:cs="Arial"/>
          <w:b/>
        </w:rPr>
        <w:t xml:space="preserve"> do 30 let </w:t>
      </w:r>
      <w:r w:rsidRPr="006D01CB">
        <w:rPr>
          <w:rFonts w:ascii="Arial" w:hAnsi="Arial" w:cs="Arial"/>
        </w:rPr>
        <w:t>(v tomto věku jsou ženy ekonomick</w:t>
      </w:r>
      <w:r>
        <w:rPr>
          <w:rFonts w:ascii="Arial" w:hAnsi="Arial" w:cs="Arial"/>
        </w:rPr>
        <w:t>y</w:t>
      </w:r>
      <w:r w:rsidRPr="006D01CB">
        <w:rPr>
          <w:rFonts w:ascii="Arial" w:hAnsi="Arial" w:cs="Arial"/>
        </w:rPr>
        <w:t xml:space="preserve"> </w:t>
      </w:r>
      <w:r>
        <w:rPr>
          <w:rFonts w:ascii="Arial" w:hAnsi="Arial" w:cs="Arial"/>
        </w:rPr>
        <w:t>ne</w:t>
      </w:r>
      <w:r w:rsidRPr="006D01CB">
        <w:rPr>
          <w:rFonts w:ascii="Arial" w:hAnsi="Arial" w:cs="Arial"/>
        </w:rPr>
        <w:t>aktiv</w:t>
      </w:r>
      <w:r>
        <w:rPr>
          <w:rFonts w:ascii="Arial" w:hAnsi="Arial" w:cs="Arial"/>
        </w:rPr>
        <w:t>ní</w:t>
      </w:r>
      <w:r w:rsidRPr="006D01CB">
        <w:rPr>
          <w:rFonts w:ascii="Arial" w:hAnsi="Arial" w:cs="Arial"/>
        </w:rPr>
        <w:t xml:space="preserve"> z důvodu studia </w:t>
      </w:r>
      <w:r>
        <w:rPr>
          <w:rFonts w:ascii="Arial" w:hAnsi="Arial" w:cs="Arial"/>
        </w:rPr>
        <w:t>– mezi osobami připravujícími se na povolání je mírná převaha žen, ale zejména</w:t>
      </w:r>
      <w:r w:rsidRPr="006D01CB">
        <w:rPr>
          <w:rFonts w:ascii="Arial" w:hAnsi="Arial" w:cs="Arial"/>
        </w:rPr>
        <w:t xml:space="preserve"> </w:t>
      </w:r>
      <w:r>
        <w:rPr>
          <w:rFonts w:ascii="Arial" w:hAnsi="Arial" w:cs="Arial"/>
        </w:rPr>
        <w:t>z důvodů péče o dítě</w:t>
      </w:r>
      <w:r w:rsidRPr="006D01CB">
        <w:rPr>
          <w:rFonts w:ascii="Arial" w:hAnsi="Arial" w:cs="Arial"/>
        </w:rPr>
        <w:t>)</w:t>
      </w:r>
      <w:r>
        <w:rPr>
          <w:rFonts w:ascii="Arial" w:hAnsi="Arial" w:cs="Arial"/>
          <w:b/>
        </w:rPr>
        <w:t xml:space="preserve"> a ve věku 55 let a více </w:t>
      </w:r>
      <w:r w:rsidRPr="0045585F">
        <w:rPr>
          <w:rFonts w:ascii="Arial" w:hAnsi="Arial" w:cs="Arial"/>
        </w:rPr>
        <w:t>(z</w:t>
      </w:r>
      <w:r>
        <w:rPr>
          <w:rFonts w:ascii="Arial" w:hAnsi="Arial" w:cs="Arial"/>
        </w:rPr>
        <w:t> </w:t>
      </w:r>
      <w:r w:rsidRPr="0045585F">
        <w:rPr>
          <w:rFonts w:ascii="Arial" w:hAnsi="Arial" w:cs="Arial"/>
        </w:rPr>
        <w:t xml:space="preserve">důvodu dřívějších odchodů </w:t>
      </w:r>
      <w:r>
        <w:rPr>
          <w:rFonts w:ascii="Arial" w:hAnsi="Arial" w:cs="Arial"/>
        </w:rPr>
        <w:t xml:space="preserve">žen </w:t>
      </w:r>
      <w:r w:rsidRPr="0045585F">
        <w:rPr>
          <w:rFonts w:ascii="Arial" w:hAnsi="Arial" w:cs="Arial"/>
        </w:rPr>
        <w:t xml:space="preserve">do důchodu nebo z důvodu </w:t>
      </w:r>
      <w:r>
        <w:rPr>
          <w:rFonts w:ascii="Arial" w:hAnsi="Arial" w:cs="Arial"/>
        </w:rPr>
        <w:t xml:space="preserve">jejich </w:t>
      </w:r>
      <w:r w:rsidRPr="0045585F">
        <w:rPr>
          <w:rFonts w:ascii="Arial" w:hAnsi="Arial" w:cs="Arial"/>
        </w:rPr>
        <w:t>péče o</w:t>
      </w:r>
      <w:r>
        <w:rPr>
          <w:rFonts w:ascii="Arial" w:hAnsi="Arial" w:cs="Arial"/>
        </w:rPr>
        <w:t> </w:t>
      </w:r>
      <w:r w:rsidRPr="0045585F">
        <w:rPr>
          <w:rFonts w:ascii="Arial" w:hAnsi="Arial" w:cs="Arial"/>
        </w:rPr>
        <w:t>osobu blízkou)</w:t>
      </w:r>
      <w:r>
        <w:rPr>
          <w:rFonts w:ascii="Arial" w:hAnsi="Arial" w:cs="Arial"/>
        </w:rPr>
        <w:t>.</w:t>
      </w:r>
      <w:r>
        <w:rPr>
          <w:rFonts w:ascii="Arial" w:hAnsi="Arial" w:cs="Arial"/>
          <w:b/>
        </w:rPr>
        <w:t xml:space="preserve">  </w:t>
      </w:r>
      <w:r w:rsidRPr="00392F25">
        <w:rPr>
          <w:rFonts w:ascii="Arial" w:hAnsi="Arial" w:cs="Arial"/>
        </w:rPr>
        <w:t xml:space="preserve"> </w:t>
      </w:r>
    </w:p>
    <w:p w:rsidR="00730AC8" w:rsidRDefault="00730AC8" w:rsidP="00D30183">
      <w:pPr>
        <w:spacing w:line="360" w:lineRule="auto"/>
        <w:ind w:firstLine="567"/>
        <w:jc w:val="both"/>
        <w:rPr>
          <w:rFonts w:ascii="Arial" w:hAnsi="Arial" w:cs="Arial"/>
        </w:rPr>
      </w:pPr>
      <w:r w:rsidRPr="00032E05">
        <w:rPr>
          <w:rFonts w:ascii="Arial" w:hAnsi="Arial" w:cs="Arial"/>
          <w:b/>
        </w:rPr>
        <w:t xml:space="preserve">Specifické podíly nezaměstnaných </w:t>
      </w:r>
      <w:r w:rsidR="00702623">
        <w:rPr>
          <w:rFonts w:ascii="Arial" w:hAnsi="Arial" w:cs="Arial"/>
          <w:b/>
        </w:rPr>
        <w:t xml:space="preserve">osob </w:t>
      </w:r>
      <w:r w:rsidR="00A40A42">
        <w:rPr>
          <w:rFonts w:ascii="Arial" w:hAnsi="Arial" w:cs="Arial"/>
          <w:b/>
        </w:rPr>
        <w:t xml:space="preserve">podle </w:t>
      </w:r>
      <w:r>
        <w:rPr>
          <w:rFonts w:ascii="Arial" w:hAnsi="Arial" w:cs="Arial"/>
          <w:b/>
        </w:rPr>
        <w:t xml:space="preserve">jednotlivých věkových skupin na obyvatelstvu stejného věku </w:t>
      </w:r>
      <w:r w:rsidRPr="00392F25">
        <w:rPr>
          <w:rFonts w:ascii="Arial" w:hAnsi="Arial" w:cs="Arial"/>
        </w:rPr>
        <w:t xml:space="preserve">jsou </w:t>
      </w:r>
      <w:r w:rsidRPr="001E1997">
        <w:rPr>
          <w:rFonts w:ascii="Arial" w:hAnsi="Arial" w:cs="Arial"/>
        </w:rPr>
        <w:t>uvedeny v příloze č. 6.</w:t>
      </w:r>
    </w:p>
    <w:p w:rsidR="00730AC8" w:rsidRPr="00392F25" w:rsidRDefault="00730AC8" w:rsidP="00730AC8">
      <w:pPr>
        <w:spacing w:line="360" w:lineRule="auto"/>
        <w:ind w:firstLine="708"/>
        <w:jc w:val="both"/>
        <w:rPr>
          <w:rFonts w:ascii="Arial" w:hAnsi="Arial" w:cs="Arial"/>
        </w:rPr>
      </w:pPr>
    </w:p>
    <w:p w:rsidR="00730AC8" w:rsidRPr="00E275B0" w:rsidRDefault="00730AC8" w:rsidP="00D30183">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line="360" w:lineRule="auto"/>
        <w:ind w:firstLine="567"/>
        <w:jc w:val="both"/>
        <w:rPr>
          <w:rFonts w:ascii="Arial" w:hAnsi="Arial" w:cs="Arial"/>
          <w:bCs/>
          <w:szCs w:val="23"/>
        </w:rPr>
      </w:pPr>
      <w:r>
        <w:rPr>
          <w:rFonts w:ascii="Arial" w:hAnsi="Arial" w:cs="Arial"/>
          <w:bCs/>
          <w:szCs w:val="23"/>
        </w:rPr>
        <w:t xml:space="preserve">Vzhledem k tomu, že nebyly výraznější rozdíly v absolutním nárůstu počtu uchazečů v jednotlivých věkových kategoriích, se </w:t>
      </w:r>
      <w:r w:rsidRPr="00E275B0">
        <w:rPr>
          <w:rFonts w:ascii="Arial" w:hAnsi="Arial" w:cs="Arial"/>
          <w:b/>
          <w:szCs w:val="23"/>
        </w:rPr>
        <w:t>průměrn</w:t>
      </w:r>
      <w:r>
        <w:rPr>
          <w:rFonts w:ascii="Arial" w:hAnsi="Arial" w:cs="Arial"/>
          <w:b/>
          <w:szCs w:val="23"/>
        </w:rPr>
        <w:t>ý</w:t>
      </w:r>
      <w:r w:rsidRPr="00E275B0">
        <w:rPr>
          <w:rFonts w:ascii="Arial" w:hAnsi="Arial" w:cs="Arial"/>
          <w:b/>
          <w:szCs w:val="23"/>
        </w:rPr>
        <w:t xml:space="preserve"> věk uchazečů</w:t>
      </w:r>
      <w:r w:rsidRPr="00E275B0">
        <w:rPr>
          <w:rFonts w:ascii="Arial" w:hAnsi="Arial" w:cs="Arial"/>
          <w:szCs w:val="23"/>
        </w:rPr>
        <w:t xml:space="preserve"> o zaměstnání </w:t>
      </w:r>
      <w:r>
        <w:rPr>
          <w:rFonts w:ascii="Arial" w:hAnsi="Arial" w:cs="Arial"/>
          <w:szCs w:val="23"/>
        </w:rPr>
        <w:t xml:space="preserve">téměř nezměnil – dosáhl </w:t>
      </w:r>
      <w:r w:rsidRPr="00B930DC">
        <w:rPr>
          <w:rFonts w:ascii="Arial" w:hAnsi="Arial" w:cs="Arial"/>
          <w:b/>
          <w:szCs w:val="23"/>
        </w:rPr>
        <w:t>39,3 let</w:t>
      </w:r>
      <w:r>
        <w:rPr>
          <w:rFonts w:ascii="Arial" w:hAnsi="Arial" w:cs="Arial"/>
          <w:szCs w:val="23"/>
        </w:rPr>
        <w:t xml:space="preserve"> (před rokem činil </w:t>
      </w:r>
      <w:r w:rsidRPr="00B930DC">
        <w:rPr>
          <w:rFonts w:ascii="Arial" w:hAnsi="Arial" w:cs="Arial"/>
          <w:bCs/>
          <w:szCs w:val="23"/>
        </w:rPr>
        <w:t>39</w:t>
      </w:r>
      <w:r w:rsidRPr="00B930DC">
        <w:rPr>
          <w:rFonts w:ascii="Arial" w:hAnsi="Arial" w:cs="Arial"/>
          <w:szCs w:val="23"/>
        </w:rPr>
        <w:t>,4 let</w:t>
      </w:r>
      <w:r>
        <w:rPr>
          <w:rFonts w:ascii="Arial" w:hAnsi="Arial" w:cs="Arial"/>
          <w:szCs w:val="23"/>
        </w:rPr>
        <w:t xml:space="preserve">), </w:t>
      </w:r>
      <w:r w:rsidRPr="00E275B0">
        <w:rPr>
          <w:rFonts w:ascii="Arial" w:hAnsi="Arial" w:cs="Arial"/>
          <w:szCs w:val="23"/>
        </w:rPr>
        <w:t xml:space="preserve">u žen </w:t>
      </w:r>
      <w:r>
        <w:rPr>
          <w:rFonts w:ascii="Arial" w:hAnsi="Arial" w:cs="Arial"/>
          <w:szCs w:val="23"/>
        </w:rPr>
        <w:t xml:space="preserve">vzrostl </w:t>
      </w:r>
      <w:r w:rsidRPr="00E275B0">
        <w:rPr>
          <w:rFonts w:ascii="Arial" w:hAnsi="Arial" w:cs="Arial"/>
          <w:szCs w:val="23"/>
        </w:rPr>
        <w:t>z 39,</w:t>
      </w:r>
      <w:r>
        <w:rPr>
          <w:rFonts w:ascii="Arial" w:hAnsi="Arial" w:cs="Arial"/>
          <w:szCs w:val="23"/>
        </w:rPr>
        <w:t>2</w:t>
      </w:r>
      <w:r w:rsidRPr="00E275B0">
        <w:rPr>
          <w:rFonts w:ascii="Arial" w:hAnsi="Arial" w:cs="Arial"/>
          <w:szCs w:val="23"/>
        </w:rPr>
        <w:t xml:space="preserve"> na 39,</w:t>
      </w:r>
      <w:r>
        <w:rPr>
          <w:rFonts w:ascii="Arial" w:hAnsi="Arial" w:cs="Arial"/>
          <w:szCs w:val="23"/>
        </w:rPr>
        <w:t>3</w:t>
      </w:r>
      <w:r w:rsidRPr="00E275B0">
        <w:rPr>
          <w:rFonts w:ascii="Arial" w:hAnsi="Arial" w:cs="Arial"/>
          <w:szCs w:val="23"/>
        </w:rPr>
        <w:t>  a u</w:t>
      </w:r>
      <w:r w:rsidRPr="00E275B0">
        <w:rPr>
          <w:rFonts w:ascii="Arial" w:hAnsi="Arial" w:cs="Arial"/>
          <w:bCs/>
          <w:szCs w:val="23"/>
        </w:rPr>
        <w:t xml:space="preserve"> mužů </w:t>
      </w:r>
      <w:r>
        <w:rPr>
          <w:rFonts w:ascii="Arial" w:hAnsi="Arial" w:cs="Arial"/>
          <w:bCs/>
          <w:szCs w:val="23"/>
        </w:rPr>
        <w:t xml:space="preserve">poklesl </w:t>
      </w:r>
      <w:r w:rsidRPr="00E275B0">
        <w:rPr>
          <w:rFonts w:ascii="Arial" w:hAnsi="Arial" w:cs="Arial"/>
          <w:bCs/>
          <w:szCs w:val="23"/>
        </w:rPr>
        <w:t xml:space="preserve">z </w:t>
      </w:r>
      <w:r>
        <w:rPr>
          <w:rFonts w:ascii="Arial" w:hAnsi="Arial" w:cs="Arial"/>
          <w:bCs/>
          <w:szCs w:val="23"/>
        </w:rPr>
        <w:t>39</w:t>
      </w:r>
      <w:r w:rsidRPr="00E275B0">
        <w:rPr>
          <w:rFonts w:ascii="Arial" w:hAnsi="Arial" w:cs="Arial"/>
          <w:bCs/>
          <w:szCs w:val="23"/>
        </w:rPr>
        <w:t>,</w:t>
      </w:r>
      <w:r>
        <w:rPr>
          <w:rFonts w:ascii="Arial" w:hAnsi="Arial" w:cs="Arial"/>
          <w:bCs/>
          <w:szCs w:val="23"/>
        </w:rPr>
        <w:t>6</w:t>
      </w:r>
      <w:r w:rsidRPr="00E275B0">
        <w:rPr>
          <w:rFonts w:ascii="Arial" w:hAnsi="Arial" w:cs="Arial"/>
          <w:bCs/>
          <w:szCs w:val="23"/>
        </w:rPr>
        <w:t xml:space="preserve"> na 39,</w:t>
      </w:r>
      <w:r>
        <w:rPr>
          <w:rFonts w:ascii="Arial" w:hAnsi="Arial" w:cs="Arial"/>
          <w:bCs/>
          <w:szCs w:val="23"/>
        </w:rPr>
        <w:t>4</w:t>
      </w:r>
      <w:r w:rsidRPr="00E275B0">
        <w:rPr>
          <w:rFonts w:ascii="Arial" w:hAnsi="Arial" w:cs="Arial"/>
          <w:bCs/>
          <w:szCs w:val="23"/>
        </w:rPr>
        <w:t> let.</w:t>
      </w:r>
    </w:p>
    <w:p w:rsidR="00730AC8" w:rsidRDefault="00730AC8" w:rsidP="00D30183">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line="360" w:lineRule="auto"/>
        <w:ind w:firstLine="567"/>
        <w:jc w:val="both"/>
        <w:rPr>
          <w:rFonts w:ascii="Arial" w:hAnsi="Arial" w:cs="Arial"/>
        </w:rPr>
      </w:pPr>
      <w:r>
        <w:rPr>
          <w:rFonts w:ascii="Arial" w:hAnsi="Arial" w:cs="Arial"/>
        </w:rPr>
        <w:t xml:space="preserve">Vývoj počtu uchazečů o zaměstnání v mladších věkových kategoriích ovlivňují především </w:t>
      </w:r>
      <w:r>
        <w:rPr>
          <w:rFonts w:ascii="Arial" w:hAnsi="Arial" w:cs="Arial"/>
          <w:b/>
        </w:rPr>
        <w:t>absolventi škol</w:t>
      </w:r>
      <w:r>
        <w:rPr>
          <w:rFonts w:ascii="Arial" w:hAnsi="Arial" w:cs="Arial"/>
        </w:rPr>
        <w:t xml:space="preserve"> všech stupňů vzdělání </w:t>
      </w:r>
      <w:r>
        <w:rPr>
          <w:rFonts w:ascii="Arial" w:hAnsi="Arial" w:cs="Arial"/>
          <w:b/>
        </w:rPr>
        <w:t>a</w:t>
      </w:r>
      <w:r>
        <w:rPr>
          <w:rFonts w:ascii="Arial" w:hAnsi="Arial" w:cs="Arial"/>
        </w:rPr>
        <w:t> </w:t>
      </w:r>
      <w:r>
        <w:rPr>
          <w:rFonts w:ascii="Arial" w:hAnsi="Arial" w:cs="Arial"/>
          <w:b/>
          <w:bCs/>
        </w:rPr>
        <w:t>mladiství</w:t>
      </w:r>
      <w:r>
        <w:rPr>
          <w:rFonts w:ascii="Arial" w:hAnsi="Arial" w:cs="Arial"/>
        </w:rPr>
        <w:t xml:space="preserve"> po ukončení základní školy (dále „absolventi“). K </w:t>
      </w:r>
      <w:r>
        <w:rPr>
          <w:rFonts w:ascii="Arial" w:hAnsi="Arial" w:cs="Arial"/>
          <w:b/>
          <w:bCs/>
        </w:rPr>
        <w:t>30. 6. 2013</w:t>
      </w:r>
      <w:r>
        <w:rPr>
          <w:rFonts w:ascii="Arial" w:hAnsi="Arial" w:cs="Arial"/>
        </w:rPr>
        <w:t xml:space="preserve"> jich bylo evidováno </w:t>
      </w:r>
      <w:r w:rsidRPr="00CA6920">
        <w:rPr>
          <w:rFonts w:ascii="Arial" w:hAnsi="Arial" w:cs="Arial"/>
          <w:b/>
        </w:rPr>
        <w:t>26,</w:t>
      </w:r>
      <w:r w:rsidRPr="00D867FA">
        <w:rPr>
          <w:rFonts w:ascii="Arial" w:hAnsi="Arial" w:cs="Arial"/>
          <w:b/>
        </w:rPr>
        <w:t>9 </w:t>
      </w:r>
      <w:r>
        <w:rPr>
          <w:rFonts w:ascii="Arial" w:hAnsi="Arial" w:cs="Arial"/>
          <w:b/>
          <w:bCs/>
        </w:rPr>
        <w:t>tis.</w:t>
      </w:r>
      <w:r>
        <w:rPr>
          <w:rFonts w:ascii="Arial" w:hAnsi="Arial" w:cs="Arial"/>
        </w:rPr>
        <w:t xml:space="preserve">, což je </w:t>
      </w:r>
      <w:r>
        <w:rPr>
          <w:rFonts w:ascii="Arial" w:hAnsi="Arial" w:cs="Arial"/>
          <w:b/>
        </w:rPr>
        <w:t>o 7,0 tis. více</w:t>
      </w:r>
      <w:r>
        <w:rPr>
          <w:rFonts w:ascii="Arial" w:hAnsi="Arial" w:cs="Arial"/>
        </w:rPr>
        <w:t xml:space="preserve"> než před rokem.</w:t>
      </w:r>
      <w:r>
        <w:rPr>
          <w:rFonts w:ascii="Arial" w:hAnsi="Arial" w:cs="Arial"/>
          <w:bCs/>
        </w:rPr>
        <w:t xml:space="preserve"> </w:t>
      </w:r>
      <w:r>
        <w:rPr>
          <w:rFonts w:ascii="Arial" w:hAnsi="Arial" w:cs="Arial"/>
          <w:b/>
          <w:bCs/>
        </w:rPr>
        <w:t xml:space="preserve">Jejich podíl </w:t>
      </w:r>
      <w:r>
        <w:rPr>
          <w:rFonts w:ascii="Arial" w:hAnsi="Arial" w:cs="Arial"/>
        </w:rPr>
        <w:t xml:space="preserve">na celkovém počtu uchazečů o zaměstnání meziročně </w:t>
      </w:r>
      <w:r>
        <w:rPr>
          <w:rFonts w:ascii="Arial" w:hAnsi="Arial" w:cs="Arial"/>
          <w:b/>
        </w:rPr>
        <w:t>vzrostl</w:t>
      </w:r>
      <w:r>
        <w:rPr>
          <w:rFonts w:ascii="Arial" w:hAnsi="Arial" w:cs="Arial"/>
        </w:rPr>
        <w:t xml:space="preserve"> (ze 4,2 %) </w:t>
      </w:r>
      <w:r>
        <w:rPr>
          <w:rFonts w:ascii="Arial" w:hAnsi="Arial" w:cs="Arial"/>
          <w:b/>
        </w:rPr>
        <w:t>na 5,0</w:t>
      </w:r>
      <w:r>
        <w:rPr>
          <w:rFonts w:ascii="Arial" w:hAnsi="Arial" w:cs="Arial"/>
          <w:b/>
          <w:bCs/>
        </w:rPr>
        <w:t> %</w:t>
      </w:r>
      <w:r>
        <w:rPr>
          <w:rFonts w:ascii="Arial" w:hAnsi="Arial" w:cs="Arial"/>
          <w:bCs/>
        </w:rPr>
        <w:t xml:space="preserve">. </w:t>
      </w:r>
      <w:r>
        <w:rPr>
          <w:rFonts w:ascii="Arial" w:hAnsi="Arial" w:cs="Arial"/>
          <w:b/>
        </w:rPr>
        <w:t>Na jedno volné pracovní místo</w:t>
      </w:r>
      <w:r>
        <w:rPr>
          <w:rFonts w:ascii="Arial" w:hAnsi="Arial" w:cs="Arial"/>
        </w:rPr>
        <w:t xml:space="preserve"> vhodné pro absolventy škol a mladistvé jich připadalo </w:t>
      </w:r>
      <w:r w:rsidRPr="00B930DC">
        <w:rPr>
          <w:rFonts w:ascii="Arial" w:hAnsi="Arial" w:cs="Arial"/>
          <w:b/>
        </w:rPr>
        <w:t>4,0</w:t>
      </w:r>
      <w:r>
        <w:rPr>
          <w:rFonts w:ascii="Arial" w:hAnsi="Arial" w:cs="Arial"/>
        </w:rPr>
        <w:t xml:space="preserve"> (což je </w:t>
      </w:r>
      <w:r w:rsidRPr="00463142">
        <w:rPr>
          <w:rFonts w:ascii="Arial" w:hAnsi="Arial" w:cs="Arial"/>
        </w:rPr>
        <w:t>více n</w:t>
      </w:r>
      <w:r>
        <w:rPr>
          <w:rFonts w:ascii="Arial" w:hAnsi="Arial" w:cs="Arial"/>
        </w:rPr>
        <w:t xml:space="preserve">ež před rokem – 3,2), i přesto, že </w:t>
      </w:r>
      <w:r w:rsidRPr="00B930DC">
        <w:rPr>
          <w:rFonts w:ascii="Arial" w:hAnsi="Arial" w:cs="Arial"/>
          <w:b/>
        </w:rPr>
        <w:t>v</w:t>
      </w:r>
      <w:r>
        <w:rPr>
          <w:rFonts w:ascii="Arial" w:hAnsi="Arial" w:cs="Arial"/>
          <w:b/>
        </w:rPr>
        <w:t>olných míst vhodných pro absolventy</w:t>
      </w:r>
      <w:r>
        <w:rPr>
          <w:rFonts w:ascii="Arial" w:hAnsi="Arial" w:cs="Arial"/>
        </w:rPr>
        <w:t xml:space="preserve"> bylo v červnu 2013 na ÚP</w:t>
      </w:r>
      <w:r w:rsidR="006A789A">
        <w:rPr>
          <w:rFonts w:ascii="Arial" w:hAnsi="Arial" w:cs="Arial"/>
        </w:rPr>
        <w:t> ČR</w:t>
      </w:r>
      <w:r>
        <w:rPr>
          <w:rFonts w:ascii="Arial" w:hAnsi="Arial" w:cs="Arial"/>
        </w:rPr>
        <w:t xml:space="preserve"> hlášeno </w:t>
      </w:r>
      <w:r>
        <w:rPr>
          <w:rFonts w:ascii="Arial" w:hAnsi="Arial" w:cs="Arial"/>
          <w:b/>
        </w:rPr>
        <w:t>6,7 tis.</w:t>
      </w:r>
      <w:r>
        <w:rPr>
          <w:rFonts w:ascii="Arial" w:hAnsi="Arial" w:cs="Arial"/>
        </w:rPr>
        <w:t xml:space="preserve"> (oproti stejnému období předchozího roku o  415, tj. o 6,5 % </w:t>
      </w:r>
      <w:r w:rsidRPr="00463142">
        <w:rPr>
          <w:rFonts w:ascii="Arial" w:hAnsi="Arial" w:cs="Arial"/>
        </w:rPr>
        <w:t>více)</w:t>
      </w:r>
      <w:r>
        <w:rPr>
          <w:rFonts w:ascii="Arial" w:hAnsi="Arial" w:cs="Arial"/>
        </w:rPr>
        <w:t>.</w:t>
      </w:r>
    </w:p>
    <w:p w:rsidR="00730AC8" w:rsidRDefault="00730AC8" w:rsidP="00D30183">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line="360" w:lineRule="auto"/>
        <w:ind w:firstLine="567"/>
        <w:jc w:val="both"/>
        <w:rPr>
          <w:rFonts w:ascii="Arial" w:hAnsi="Arial" w:cs="Arial"/>
          <w:bCs/>
        </w:rPr>
      </w:pPr>
      <w:r>
        <w:rPr>
          <w:rFonts w:ascii="Arial" w:hAnsi="Arial" w:cs="Arial"/>
          <w:b/>
          <w:bCs/>
        </w:rPr>
        <w:t xml:space="preserve">Průměrný počet absolventů </w:t>
      </w:r>
      <w:r>
        <w:rPr>
          <w:rFonts w:ascii="Arial" w:hAnsi="Arial" w:cs="Arial"/>
          <w:bCs/>
        </w:rPr>
        <w:t>v evidenci ÚP</w:t>
      </w:r>
      <w:r w:rsidR="006A789A">
        <w:rPr>
          <w:rFonts w:ascii="Arial" w:hAnsi="Arial" w:cs="Arial"/>
          <w:bCs/>
        </w:rPr>
        <w:t> ČR</w:t>
      </w:r>
      <w:r>
        <w:rPr>
          <w:rFonts w:ascii="Arial" w:hAnsi="Arial" w:cs="Arial"/>
          <w:b/>
          <w:bCs/>
        </w:rPr>
        <w:t xml:space="preserve"> v 1. pololetí 2013 </w:t>
      </w:r>
      <w:r>
        <w:rPr>
          <w:rFonts w:ascii="Arial" w:hAnsi="Arial" w:cs="Arial"/>
          <w:bCs/>
        </w:rPr>
        <w:t xml:space="preserve">meziročně </w:t>
      </w:r>
      <w:r>
        <w:rPr>
          <w:rFonts w:ascii="Arial" w:hAnsi="Arial" w:cs="Arial"/>
          <w:b/>
          <w:bCs/>
        </w:rPr>
        <w:t xml:space="preserve">vzrostl </w:t>
      </w:r>
      <w:r>
        <w:rPr>
          <w:rFonts w:ascii="Arial" w:hAnsi="Arial" w:cs="Arial"/>
          <w:bCs/>
        </w:rPr>
        <w:t xml:space="preserve">o 6,2 tis. </w:t>
      </w:r>
      <w:r>
        <w:rPr>
          <w:rFonts w:ascii="Arial" w:hAnsi="Arial" w:cs="Arial"/>
          <w:b/>
          <w:bCs/>
        </w:rPr>
        <w:t>na 34,2 tis</w:t>
      </w:r>
      <w:r>
        <w:rPr>
          <w:rFonts w:ascii="Arial" w:hAnsi="Arial" w:cs="Arial"/>
          <w:bCs/>
        </w:rPr>
        <w:t>.</w:t>
      </w:r>
    </w:p>
    <w:p w:rsidR="00730AC8" w:rsidRPr="00532F4A" w:rsidRDefault="00730AC8" w:rsidP="00730AC8">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line="360" w:lineRule="auto"/>
        <w:ind w:firstLine="720"/>
        <w:jc w:val="both"/>
        <w:rPr>
          <w:rFonts w:ascii="Arial" w:hAnsi="Arial" w:cs="Arial"/>
          <w:b/>
        </w:rPr>
      </w:pPr>
    </w:p>
    <w:p w:rsidR="00730AC8" w:rsidRDefault="00730AC8" w:rsidP="00730AC8">
      <w:pPr>
        <w:pStyle w:val="Nadpis3"/>
        <w:tabs>
          <w:tab w:val="left" w:pos="720"/>
        </w:tabs>
        <w:spacing w:line="360" w:lineRule="auto"/>
        <w:ind w:firstLine="0"/>
        <w:jc w:val="left"/>
      </w:pPr>
      <w:r w:rsidRPr="00532F4A">
        <w:t>Struktura uchazečů o zaměstnání podle délky nezaměstnanosti</w:t>
      </w:r>
    </w:p>
    <w:p w:rsidR="00730AC8" w:rsidRPr="006B7AE5" w:rsidRDefault="00730AC8" w:rsidP="00730AC8"/>
    <w:p w:rsidR="00730AC8" w:rsidRPr="003E4BA1" w:rsidRDefault="00730AC8" w:rsidP="00D30183">
      <w:pPr>
        <w:pStyle w:val="Zkladntextodsazen3"/>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360" w:lineRule="auto"/>
        <w:ind w:left="0" w:firstLine="567"/>
        <w:jc w:val="both"/>
        <w:rPr>
          <w:rFonts w:ascii="Arial" w:hAnsi="Arial" w:cs="Arial"/>
          <w:color w:val="FF0000"/>
          <w:sz w:val="24"/>
          <w:szCs w:val="24"/>
        </w:rPr>
      </w:pPr>
      <w:r>
        <w:rPr>
          <w:rFonts w:ascii="Arial" w:hAnsi="Arial" w:cs="Arial"/>
          <w:sz w:val="24"/>
          <w:szCs w:val="24"/>
        </w:rPr>
        <w:t>Vzhledem k přetrvávajícímu nízkému počtu pracovních míst se délka setrvání v evidenci ÚP</w:t>
      </w:r>
      <w:r w:rsidR="006A789A">
        <w:rPr>
          <w:rFonts w:ascii="Arial" w:hAnsi="Arial" w:cs="Arial"/>
          <w:sz w:val="24"/>
          <w:szCs w:val="24"/>
          <w:lang w:val="cs-CZ"/>
        </w:rPr>
        <w:t> ČR</w:t>
      </w:r>
      <w:r>
        <w:rPr>
          <w:rFonts w:ascii="Arial" w:hAnsi="Arial" w:cs="Arial"/>
          <w:sz w:val="24"/>
          <w:szCs w:val="24"/>
        </w:rPr>
        <w:t xml:space="preserve"> opět prodloužila.</w:t>
      </w:r>
      <w:r>
        <w:rPr>
          <w:rFonts w:ascii="Arial" w:hAnsi="Arial" w:cs="Arial"/>
          <w:szCs w:val="23"/>
        </w:rPr>
        <w:t xml:space="preserve">  </w:t>
      </w:r>
      <w:r>
        <w:rPr>
          <w:rFonts w:ascii="Arial" w:hAnsi="Arial" w:cs="Arial"/>
          <w:b/>
          <w:sz w:val="24"/>
          <w:szCs w:val="24"/>
        </w:rPr>
        <w:t>Počet uchazečů</w:t>
      </w:r>
      <w:r>
        <w:rPr>
          <w:rFonts w:ascii="Arial" w:hAnsi="Arial" w:cs="Arial"/>
          <w:sz w:val="24"/>
          <w:szCs w:val="24"/>
        </w:rPr>
        <w:t xml:space="preserve"> o zaměstnání evidovaných </w:t>
      </w:r>
      <w:r>
        <w:rPr>
          <w:rFonts w:ascii="Arial" w:hAnsi="Arial" w:cs="Arial"/>
          <w:b/>
          <w:sz w:val="24"/>
          <w:szCs w:val="24"/>
        </w:rPr>
        <w:t xml:space="preserve">déle než 12 měsíců se </w:t>
      </w:r>
      <w:r>
        <w:rPr>
          <w:rFonts w:ascii="Arial" w:hAnsi="Arial" w:cs="Arial"/>
          <w:sz w:val="24"/>
          <w:szCs w:val="24"/>
        </w:rPr>
        <w:t>k</w:t>
      </w:r>
      <w:r>
        <w:rPr>
          <w:rFonts w:ascii="Arial" w:hAnsi="Arial" w:cs="Arial"/>
          <w:b/>
          <w:sz w:val="24"/>
          <w:szCs w:val="24"/>
        </w:rPr>
        <w:t> 3</w:t>
      </w:r>
      <w:r>
        <w:rPr>
          <w:rFonts w:ascii="Arial" w:hAnsi="Arial" w:cs="Arial"/>
          <w:b/>
          <w:sz w:val="24"/>
          <w:szCs w:val="24"/>
          <w:lang w:val="cs-CZ"/>
        </w:rPr>
        <w:t>0</w:t>
      </w:r>
      <w:r>
        <w:rPr>
          <w:rFonts w:ascii="Arial" w:hAnsi="Arial" w:cs="Arial"/>
          <w:b/>
          <w:sz w:val="24"/>
          <w:szCs w:val="24"/>
        </w:rPr>
        <w:t>. </w:t>
      </w:r>
      <w:r>
        <w:rPr>
          <w:rFonts w:ascii="Arial" w:hAnsi="Arial" w:cs="Arial"/>
          <w:b/>
          <w:sz w:val="24"/>
          <w:szCs w:val="24"/>
          <w:lang w:val="cs-CZ"/>
        </w:rPr>
        <w:t>6</w:t>
      </w:r>
      <w:r>
        <w:rPr>
          <w:rFonts w:ascii="Arial" w:hAnsi="Arial" w:cs="Arial"/>
          <w:b/>
          <w:sz w:val="24"/>
          <w:szCs w:val="24"/>
        </w:rPr>
        <w:t>. 201</w:t>
      </w:r>
      <w:r>
        <w:rPr>
          <w:rFonts w:ascii="Arial" w:hAnsi="Arial" w:cs="Arial"/>
          <w:b/>
          <w:sz w:val="24"/>
          <w:szCs w:val="24"/>
          <w:lang w:val="cs-CZ"/>
        </w:rPr>
        <w:t>3</w:t>
      </w:r>
      <w:r>
        <w:rPr>
          <w:rFonts w:ascii="Arial" w:hAnsi="Arial" w:cs="Arial"/>
          <w:b/>
          <w:sz w:val="24"/>
          <w:szCs w:val="24"/>
        </w:rPr>
        <w:t xml:space="preserve"> </w:t>
      </w:r>
      <w:r>
        <w:rPr>
          <w:rFonts w:ascii="Arial" w:hAnsi="Arial" w:cs="Arial"/>
          <w:sz w:val="24"/>
          <w:szCs w:val="24"/>
        </w:rPr>
        <w:t xml:space="preserve">meziročně </w:t>
      </w:r>
      <w:r>
        <w:rPr>
          <w:rFonts w:ascii="Arial" w:hAnsi="Arial" w:cs="Arial"/>
          <w:b/>
          <w:sz w:val="24"/>
          <w:szCs w:val="24"/>
        </w:rPr>
        <w:t xml:space="preserve">zvýšil </w:t>
      </w:r>
      <w:r>
        <w:rPr>
          <w:rFonts w:ascii="Arial" w:hAnsi="Arial" w:cs="Arial"/>
          <w:sz w:val="24"/>
          <w:szCs w:val="24"/>
        </w:rPr>
        <w:t>o </w:t>
      </w:r>
      <w:r>
        <w:rPr>
          <w:rFonts w:ascii="Arial" w:hAnsi="Arial" w:cs="Arial"/>
          <w:sz w:val="24"/>
          <w:szCs w:val="24"/>
          <w:lang w:val="cs-CZ"/>
        </w:rPr>
        <w:t>29</w:t>
      </w:r>
      <w:r>
        <w:rPr>
          <w:rFonts w:ascii="Arial" w:hAnsi="Arial" w:cs="Arial"/>
          <w:sz w:val="24"/>
          <w:szCs w:val="24"/>
        </w:rPr>
        <w:t>,</w:t>
      </w:r>
      <w:r>
        <w:rPr>
          <w:rFonts w:ascii="Arial" w:hAnsi="Arial" w:cs="Arial"/>
          <w:sz w:val="24"/>
          <w:szCs w:val="24"/>
          <w:lang w:val="cs-CZ"/>
        </w:rPr>
        <w:t>6</w:t>
      </w:r>
      <w:r>
        <w:rPr>
          <w:rFonts w:ascii="Arial" w:hAnsi="Arial" w:cs="Arial"/>
          <w:sz w:val="24"/>
          <w:szCs w:val="24"/>
        </w:rPr>
        <w:t xml:space="preserve"> tis. </w:t>
      </w:r>
      <w:r>
        <w:rPr>
          <w:rFonts w:ascii="Arial" w:hAnsi="Arial" w:cs="Arial"/>
          <w:b/>
          <w:sz w:val="24"/>
          <w:szCs w:val="24"/>
        </w:rPr>
        <w:t xml:space="preserve">na </w:t>
      </w:r>
      <w:r>
        <w:rPr>
          <w:rFonts w:ascii="Arial" w:hAnsi="Arial" w:cs="Arial"/>
          <w:b/>
          <w:sz w:val="24"/>
          <w:szCs w:val="24"/>
          <w:lang w:val="cs-CZ"/>
        </w:rPr>
        <w:t>210</w:t>
      </w:r>
      <w:r>
        <w:rPr>
          <w:rFonts w:ascii="Arial" w:hAnsi="Arial" w:cs="Arial"/>
          <w:b/>
          <w:sz w:val="24"/>
          <w:szCs w:val="24"/>
        </w:rPr>
        <w:t>,</w:t>
      </w:r>
      <w:r>
        <w:rPr>
          <w:rFonts w:ascii="Arial" w:hAnsi="Arial" w:cs="Arial"/>
          <w:b/>
          <w:sz w:val="24"/>
          <w:szCs w:val="24"/>
          <w:lang w:val="cs-CZ"/>
        </w:rPr>
        <w:t>6</w:t>
      </w:r>
      <w:r>
        <w:rPr>
          <w:rFonts w:ascii="Arial" w:hAnsi="Arial" w:cs="Arial"/>
          <w:b/>
          <w:sz w:val="24"/>
          <w:szCs w:val="24"/>
        </w:rPr>
        <w:t xml:space="preserve"> tis.</w:t>
      </w:r>
      <w:r>
        <w:rPr>
          <w:rFonts w:ascii="Arial" w:hAnsi="Arial" w:cs="Arial"/>
          <w:b/>
          <w:sz w:val="24"/>
          <w:szCs w:val="24"/>
          <w:lang w:val="cs-CZ"/>
        </w:rPr>
        <w:t>,</w:t>
      </w:r>
      <w:r w:rsidRPr="00732E75">
        <w:rPr>
          <w:rFonts w:ascii="Arial" w:hAnsi="Arial" w:cs="Arial"/>
          <w:sz w:val="24"/>
          <w:szCs w:val="24"/>
          <w:lang w:val="cs-CZ"/>
        </w:rPr>
        <w:t xml:space="preserve"> jejich</w:t>
      </w:r>
      <w:r>
        <w:rPr>
          <w:rFonts w:ascii="Arial" w:hAnsi="Arial" w:cs="Arial"/>
          <w:b/>
          <w:sz w:val="24"/>
          <w:szCs w:val="24"/>
          <w:lang w:val="cs-CZ"/>
        </w:rPr>
        <w:t xml:space="preserve"> </w:t>
      </w:r>
      <w:r>
        <w:rPr>
          <w:rFonts w:ascii="Arial" w:hAnsi="Arial" w:cs="Arial"/>
          <w:b/>
          <w:sz w:val="24"/>
          <w:szCs w:val="24"/>
          <w:lang w:val="cs-CZ"/>
        </w:rPr>
        <w:lastRenderedPageBreak/>
        <w:t xml:space="preserve">podíl </w:t>
      </w:r>
      <w:r w:rsidRPr="00732E75">
        <w:rPr>
          <w:rFonts w:ascii="Arial" w:hAnsi="Arial" w:cs="Arial"/>
          <w:sz w:val="24"/>
          <w:szCs w:val="24"/>
          <w:lang w:val="cs-CZ"/>
        </w:rPr>
        <w:t>na celkovém počtu uchazečů o zaměstnání</w:t>
      </w:r>
      <w:r>
        <w:rPr>
          <w:rFonts w:ascii="Arial" w:hAnsi="Arial" w:cs="Arial"/>
          <w:b/>
          <w:sz w:val="24"/>
          <w:szCs w:val="24"/>
          <w:lang w:val="cs-CZ"/>
        </w:rPr>
        <w:t xml:space="preserve"> vzrostl </w:t>
      </w:r>
      <w:r>
        <w:rPr>
          <w:rFonts w:ascii="Arial" w:hAnsi="Arial" w:cs="Arial"/>
          <w:sz w:val="24"/>
          <w:szCs w:val="24"/>
        </w:rPr>
        <w:t>z </w:t>
      </w:r>
      <w:r w:rsidRPr="00732E75">
        <w:rPr>
          <w:rFonts w:ascii="Arial" w:hAnsi="Arial" w:cs="Arial"/>
          <w:sz w:val="24"/>
          <w:szCs w:val="24"/>
        </w:rPr>
        <w:t>3</w:t>
      </w:r>
      <w:r>
        <w:rPr>
          <w:rFonts w:ascii="Arial" w:hAnsi="Arial" w:cs="Arial"/>
          <w:sz w:val="24"/>
          <w:szCs w:val="24"/>
          <w:lang w:val="cs-CZ"/>
        </w:rPr>
        <w:t>8</w:t>
      </w:r>
      <w:r w:rsidRPr="00732E75">
        <w:rPr>
          <w:rFonts w:ascii="Arial" w:hAnsi="Arial" w:cs="Arial"/>
          <w:sz w:val="24"/>
          <w:szCs w:val="24"/>
        </w:rPr>
        <w:t>,</w:t>
      </w:r>
      <w:r>
        <w:rPr>
          <w:rFonts w:ascii="Arial" w:hAnsi="Arial" w:cs="Arial"/>
          <w:sz w:val="24"/>
          <w:szCs w:val="24"/>
          <w:lang w:val="cs-CZ"/>
        </w:rPr>
        <w:t>1</w:t>
      </w:r>
      <w:r w:rsidRPr="00732E75">
        <w:rPr>
          <w:rFonts w:ascii="Arial" w:hAnsi="Arial" w:cs="Arial"/>
          <w:sz w:val="24"/>
          <w:szCs w:val="24"/>
        </w:rPr>
        <w:t> </w:t>
      </w:r>
      <w:r>
        <w:rPr>
          <w:rFonts w:ascii="Arial" w:hAnsi="Arial" w:cs="Arial"/>
          <w:sz w:val="24"/>
          <w:szCs w:val="24"/>
        </w:rPr>
        <w:t xml:space="preserve">% </w:t>
      </w:r>
      <w:r>
        <w:rPr>
          <w:rFonts w:ascii="Arial" w:hAnsi="Arial" w:cs="Arial"/>
          <w:b/>
          <w:sz w:val="24"/>
          <w:szCs w:val="24"/>
        </w:rPr>
        <w:t>na</w:t>
      </w:r>
      <w:r>
        <w:rPr>
          <w:rFonts w:ascii="Arial" w:hAnsi="Arial" w:cs="Arial"/>
          <w:sz w:val="24"/>
          <w:szCs w:val="24"/>
        </w:rPr>
        <w:t xml:space="preserve"> </w:t>
      </w:r>
      <w:r>
        <w:rPr>
          <w:rFonts w:ascii="Arial" w:hAnsi="Arial" w:cs="Arial"/>
          <w:b/>
          <w:sz w:val="24"/>
          <w:szCs w:val="24"/>
        </w:rPr>
        <w:t>3</w:t>
      </w:r>
      <w:r>
        <w:rPr>
          <w:rFonts w:ascii="Arial" w:hAnsi="Arial" w:cs="Arial"/>
          <w:b/>
          <w:sz w:val="24"/>
          <w:szCs w:val="24"/>
          <w:lang w:val="cs-CZ"/>
        </w:rPr>
        <w:t>9</w:t>
      </w:r>
      <w:r>
        <w:rPr>
          <w:rFonts w:ascii="Arial" w:hAnsi="Arial" w:cs="Arial"/>
          <w:b/>
          <w:sz w:val="24"/>
          <w:szCs w:val="24"/>
        </w:rPr>
        <w:t>,</w:t>
      </w:r>
      <w:r>
        <w:rPr>
          <w:rFonts w:ascii="Arial" w:hAnsi="Arial" w:cs="Arial"/>
          <w:b/>
          <w:sz w:val="24"/>
          <w:szCs w:val="24"/>
          <w:lang w:val="cs-CZ"/>
        </w:rPr>
        <w:t>0</w:t>
      </w:r>
      <w:r>
        <w:rPr>
          <w:rFonts w:ascii="Arial" w:hAnsi="Arial" w:cs="Arial"/>
          <w:b/>
          <w:sz w:val="24"/>
          <w:szCs w:val="24"/>
        </w:rPr>
        <w:t xml:space="preserve"> % </w:t>
      </w:r>
      <w:r>
        <w:rPr>
          <w:rFonts w:ascii="Arial" w:hAnsi="Arial" w:cs="Arial"/>
          <w:sz w:val="24"/>
          <w:szCs w:val="24"/>
        </w:rPr>
        <w:t>(o</w:t>
      </w:r>
      <w:r>
        <w:rPr>
          <w:rFonts w:ascii="Arial" w:hAnsi="Arial" w:cs="Arial"/>
          <w:sz w:val="24"/>
          <w:szCs w:val="24"/>
          <w:lang w:val="cs-CZ"/>
        </w:rPr>
        <w:t> 0</w:t>
      </w:r>
      <w:r>
        <w:rPr>
          <w:rFonts w:ascii="Arial" w:hAnsi="Arial" w:cs="Arial"/>
          <w:sz w:val="24"/>
          <w:szCs w:val="24"/>
        </w:rPr>
        <w:t>,</w:t>
      </w:r>
      <w:r>
        <w:rPr>
          <w:rFonts w:ascii="Arial" w:hAnsi="Arial" w:cs="Arial"/>
          <w:sz w:val="24"/>
          <w:szCs w:val="24"/>
          <w:lang w:val="cs-CZ"/>
        </w:rPr>
        <w:t>9 </w:t>
      </w:r>
      <w:r>
        <w:rPr>
          <w:rFonts w:ascii="Arial" w:hAnsi="Arial" w:cs="Arial"/>
          <w:sz w:val="24"/>
          <w:szCs w:val="24"/>
        </w:rPr>
        <w:t>p. b.)</w:t>
      </w:r>
      <w:r>
        <w:rPr>
          <w:rFonts w:ascii="Arial" w:hAnsi="Arial" w:cs="Arial"/>
          <w:b/>
          <w:sz w:val="24"/>
          <w:szCs w:val="24"/>
          <w:lang w:val="cs-CZ"/>
        </w:rPr>
        <w:t xml:space="preserve">, k nárůstu nezaměstnaných </w:t>
      </w:r>
      <w:r w:rsidRPr="001E1997">
        <w:rPr>
          <w:rFonts w:ascii="Arial" w:hAnsi="Arial" w:cs="Arial"/>
          <w:sz w:val="24"/>
          <w:szCs w:val="24"/>
          <w:lang w:val="cs-CZ"/>
        </w:rPr>
        <w:t xml:space="preserve">došlo </w:t>
      </w:r>
      <w:r>
        <w:rPr>
          <w:rFonts w:ascii="Arial" w:hAnsi="Arial" w:cs="Arial"/>
          <w:b/>
          <w:sz w:val="24"/>
          <w:szCs w:val="24"/>
          <w:lang w:val="cs-CZ"/>
        </w:rPr>
        <w:t xml:space="preserve">ve skupině nezaměstnaných od </w:t>
      </w:r>
      <w:r w:rsidRPr="00614C0D">
        <w:rPr>
          <w:rFonts w:ascii="Arial" w:hAnsi="Arial" w:cs="Arial"/>
          <w:b/>
          <w:sz w:val="24"/>
          <w:szCs w:val="24"/>
          <w:lang w:val="cs-CZ"/>
        </w:rPr>
        <w:t>12 – </w:t>
      </w:r>
      <w:r w:rsidRPr="00614C0D">
        <w:rPr>
          <w:rFonts w:ascii="Arial" w:hAnsi="Arial" w:cs="Arial"/>
          <w:b/>
          <w:sz w:val="24"/>
          <w:szCs w:val="24"/>
        </w:rPr>
        <w:t>24</w:t>
      </w:r>
      <w:r w:rsidRPr="00614C0D">
        <w:rPr>
          <w:rFonts w:ascii="Arial" w:hAnsi="Arial" w:cs="Arial"/>
          <w:b/>
          <w:sz w:val="24"/>
          <w:szCs w:val="24"/>
          <w:lang w:val="cs-CZ"/>
        </w:rPr>
        <w:t xml:space="preserve"> měsíců</w:t>
      </w:r>
      <w:r>
        <w:rPr>
          <w:rFonts w:ascii="Arial" w:hAnsi="Arial" w:cs="Arial"/>
          <w:sz w:val="24"/>
          <w:szCs w:val="24"/>
          <w:lang w:val="cs-CZ"/>
        </w:rPr>
        <w:t xml:space="preserve"> o 16,6 tis. </w:t>
      </w:r>
      <w:r w:rsidRPr="00614C0D">
        <w:rPr>
          <w:rFonts w:ascii="Arial" w:hAnsi="Arial" w:cs="Arial"/>
          <w:b/>
          <w:sz w:val="24"/>
          <w:szCs w:val="24"/>
          <w:lang w:val="cs-CZ"/>
        </w:rPr>
        <w:t>na 93,6 tis.</w:t>
      </w:r>
      <w:r w:rsidRPr="00614C0D">
        <w:rPr>
          <w:rFonts w:ascii="Arial" w:hAnsi="Arial" w:cs="Arial"/>
          <w:sz w:val="24"/>
          <w:szCs w:val="24"/>
          <w:lang w:val="cs-CZ"/>
        </w:rPr>
        <w:t xml:space="preserve">, ale také </w:t>
      </w:r>
      <w:r>
        <w:rPr>
          <w:rFonts w:ascii="Arial" w:hAnsi="Arial" w:cs="Arial"/>
          <w:b/>
          <w:sz w:val="24"/>
          <w:szCs w:val="24"/>
          <w:lang w:val="cs-CZ"/>
        </w:rPr>
        <w:t xml:space="preserve">velmi dlouho nezaměstnaných </w:t>
      </w:r>
      <w:r w:rsidRPr="002C6DFE">
        <w:rPr>
          <w:rFonts w:ascii="Arial" w:hAnsi="Arial" w:cs="Arial"/>
          <w:sz w:val="24"/>
          <w:szCs w:val="24"/>
          <w:lang w:val="cs-CZ"/>
        </w:rPr>
        <w:t>(nad 24 měsíců)</w:t>
      </w:r>
      <w:r w:rsidRPr="00827E00">
        <w:rPr>
          <w:rFonts w:ascii="Arial" w:hAnsi="Arial" w:cs="Arial"/>
          <w:b/>
          <w:sz w:val="24"/>
          <w:szCs w:val="24"/>
          <w:lang w:val="cs-CZ"/>
        </w:rPr>
        <w:t xml:space="preserve"> </w:t>
      </w:r>
      <w:r>
        <w:rPr>
          <w:rFonts w:ascii="Arial" w:hAnsi="Arial" w:cs="Arial"/>
          <w:sz w:val="24"/>
          <w:szCs w:val="24"/>
          <w:lang w:val="cs-CZ"/>
        </w:rPr>
        <w:t xml:space="preserve">o 13,1 tis. </w:t>
      </w:r>
      <w:r w:rsidRPr="002C6DFE">
        <w:rPr>
          <w:rFonts w:ascii="Arial" w:hAnsi="Arial" w:cs="Arial"/>
          <w:b/>
          <w:sz w:val="24"/>
          <w:szCs w:val="24"/>
          <w:lang w:val="cs-CZ"/>
        </w:rPr>
        <w:t>na 117,1 tis</w:t>
      </w:r>
      <w:r>
        <w:rPr>
          <w:rFonts w:ascii="Arial" w:hAnsi="Arial" w:cs="Arial"/>
          <w:sz w:val="24"/>
          <w:szCs w:val="24"/>
          <w:lang w:val="cs-CZ"/>
        </w:rPr>
        <w:t xml:space="preserve">. </w:t>
      </w:r>
      <w:r w:rsidRPr="00614C0D">
        <w:rPr>
          <w:rFonts w:ascii="Arial" w:hAnsi="Arial" w:cs="Arial"/>
          <w:b/>
          <w:sz w:val="24"/>
          <w:szCs w:val="24"/>
          <w:lang w:val="cs-CZ"/>
        </w:rPr>
        <w:t>Podíl</w:t>
      </w:r>
      <w:r>
        <w:rPr>
          <w:rFonts w:ascii="Arial" w:hAnsi="Arial" w:cs="Arial"/>
          <w:sz w:val="24"/>
          <w:szCs w:val="24"/>
          <w:lang w:val="cs-CZ"/>
        </w:rPr>
        <w:t xml:space="preserve"> </w:t>
      </w:r>
      <w:r>
        <w:rPr>
          <w:rFonts w:ascii="Arial" w:hAnsi="Arial" w:cs="Arial"/>
          <w:sz w:val="24"/>
          <w:szCs w:val="24"/>
        </w:rPr>
        <w:t>na celkové zaměstnanosti</w:t>
      </w:r>
      <w:r>
        <w:rPr>
          <w:rFonts w:ascii="Arial" w:hAnsi="Arial" w:cs="Arial"/>
          <w:sz w:val="24"/>
          <w:szCs w:val="24"/>
          <w:lang w:val="cs-CZ"/>
        </w:rPr>
        <w:t xml:space="preserve"> v první skupině </w:t>
      </w:r>
      <w:r>
        <w:rPr>
          <w:rFonts w:ascii="Arial" w:hAnsi="Arial" w:cs="Arial"/>
          <w:b/>
          <w:sz w:val="24"/>
          <w:szCs w:val="24"/>
          <w:lang w:val="cs-CZ"/>
        </w:rPr>
        <w:t xml:space="preserve">vzrostl </w:t>
      </w:r>
      <w:r w:rsidRPr="00732E75">
        <w:rPr>
          <w:rFonts w:ascii="Arial" w:hAnsi="Arial" w:cs="Arial"/>
          <w:sz w:val="24"/>
          <w:szCs w:val="24"/>
          <w:lang w:val="cs-CZ"/>
        </w:rPr>
        <w:t>z 1</w:t>
      </w:r>
      <w:r>
        <w:rPr>
          <w:rFonts w:ascii="Arial" w:hAnsi="Arial" w:cs="Arial"/>
          <w:sz w:val="24"/>
          <w:szCs w:val="24"/>
          <w:lang w:val="cs-CZ"/>
        </w:rPr>
        <w:t>6</w:t>
      </w:r>
      <w:r w:rsidRPr="00732E75">
        <w:rPr>
          <w:rFonts w:ascii="Arial" w:hAnsi="Arial" w:cs="Arial"/>
          <w:sz w:val="24"/>
          <w:szCs w:val="24"/>
          <w:lang w:val="cs-CZ"/>
        </w:rPr>
        <w:t>,</w:t>
      </w:r>
      <w:r>
        <w:rPr>
          <w:rFonts w:ascii="Arial" w:hAnsi="Arial" w:cs="Arial"/>
          <w:sz w:val="24"/>
          <w:szCs w:val="24"/>
          <w:lang w:val="cs-CZ"/>
        </w:rPr>
        <w:t>2</w:t>
      </w:r>
      <w:r w:rsidRPr="00732E75">
        <w:rPr>
          <w:rFonts w:ascii="Arial" w:hAnsi="Arial" w:cs="Arial"/>
          <w:sz w:val="24"/>
          <w:szCs w:val="24"/>
          <w:lang w:val="cs-CZ"/>
        </w:rPr>
        <w:t> %</w:t>
      </w:r>
      <w:r>
        <w:rPr>
          <w:rFonts w:ascii="Arial" w:hAnsi="Arial" w:cs="Arial"/>
          <w:b/>
          <w:sz w:val="24"/>
          <w:szCs w:val="24"/>
          <w:lang w:val="cs-CZ"/>
        </w:rPr>
        <w:t xml:space="preserve"> na 17,3 %, </w:t>
      </w:r>
      <w:r w:rsidRPr="002C6DFE">
        <w:rPr>
          <w:rFonts w:ascii="Arial" w:hAnsi="Arial" w:cs="Arial"/>
          <w:sz w:val="24"/>
          <w:szCs w:val="24"/>
          <w:lang w:val="cs-CZ"/>
        </w:rPr>
        <w:t xml:space="preserve">ve druhé </w:t>
      </w:r>
      <w:r>
        <w:rPr>
          <w:rFonts w:ascii="Arial" w:hAnsi="Arial" w:cs="Arial"/>
          <w:b/>
          <w:sz w:val="24"/>
          <w:szCs w:val="24"/>
          <w:lang w:val="cs-CZ"/>
        </w:rPr>
        <w:t xml:space="preserve">mírně poklesl </w:t>
      </w:r>
      <w:r w:rsidRPr="00732E75">
        <w:rPr>
          <w:rFonts w:ascii="Arial" w:hAnsi="Arial" w:cs="Arial"/>
          <w:sz w:val="24"/>
          <w:szCs w:val="24"/>
          <w:lang w:val="cs-CZ"/>
        </w:rPr>
        <w:t>z </w:t>
      </w:r>
      <w:r>
        <w:rPr>
          <w:rFonts w:ascii="Arial" w:hAnsi="Arial" w:cs="Arial"/>
          <w:sz w:val="24"/>
          <w:szCs w:val="24"/>
          <w:lang w:val="cs-CZ"/>
        </w:rPr>
        <w:t>2</w:t>
      </w:r>
      <w:r w:rsidRPr="00732E75">
        <w:rPr>
          <w:rFonts w:ascii="Arial" w:hAnsi="Arial" w:cs="Arial"/>
          <w:sz w:val="24"/>
          <w:szCs w:val="24"/>
          <w:lang w:val="cs-CZ"/>
        </w:rPr>
        <w:t>1,</w:t>
      </w:r>
      <w:r>
        <w:rPr>
          <w:rFonts w:ascii="Arial" w:hAnsi="Arial" w:cs="Arial"/>
          <w:sz w:val="24"/>
          <w:szCs w:val="24"/>
          <w:lang w:val="cs-CZ"/>
        </w:rPr>
        <w:t>9</w:t>
      </w:r>
      <w:r w:rsidRPr="00732E75">
        <w:rPr>
          <w:rFonts w:ascii="Arial" w:hAnsi="Arial" w:cs="Arial"/>
          <w:sz w:val="24"/>
          <w:szCs w:val="24"/>
          <w:lang w:val="cs-CZ"/>
        </w:rPr>
        <w:t> %</w:t>
      </w:r>
      <w:r>
        <w:rPr>
          <w:rFonts w:ascii="Arial" w:hAnsi="Arial" w:cs="Arial"/>
          <w:b/>
          <w:sz w:val="24"/>
          <w:szCs w:val="24"/>
          <w:lang w:val="cs-CZ"/>
        </w:rPr>
        <w:t xml:space="preserve"> na 21,7 %. </w:t>
      </w:r>
    </w:p>
    <w:p w:rsidR="00730AC8" w:rsidRPr="00BA6D71" w:rsidRDefault="00730AC8" w:rsidP="00730AC8">
      <w:pPr>
        <w:pStyle w:val="Zkladntextodsazen3"/>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ind w:left="0" w:firstLine="720"/>
        <w:jc w:val="both"/>
        <w:rPr>
          <w:rFonts w:ascii="Arial" w:hAnsi="Arial" w:cs="Arial"/>
          <w:color w:val="0070C0"/>
        </w:rPr>
      </w:pPr>
    </w:p>
    <w:p w:rsidR="00730AC8" w:rsidRPr="00730AC8" w:rsidRDefault="00730AC8" w:rsidP="00730AC8">
      <w:pPr>
        <w:pStyle w:val="Titulek"/>
      </w:pPr>
      <w:r w:rsidRPr="00730AC8">
        <w:t>Struktura uchazečů o zaměstnání podle délky nezaměstnanosti</w:t>
      </w:r>
    </w:p>
    <w:tbl>
      <w:tblPr>
        <w:tblW w:w="7088" w:type="dxa"/>
        <w:jc w:val="center"/>
        <w:tblCellMar>
          <w:left w:w="70" w:type="dxa"/>
          <w:right w:w="70" w:type="dxa"/>
        </w:tblCellMar>
        <w:tblLook w:val="04A0" w:firstRow="1" w:lastRow="0" w:firstColumn="1" w:lastColumn="0" w:noHBand="0" w:noVBand="1"/>
      </w:tblPr>
      <w:tblGrid>
        <w:gridCol w:w="2061"/>
        <w:gridCol w:w="721"/>
        <w:gridCol w:w="858"/>
        <w:gridCol w:w="858"/>
        <w:gridCol w:w="858"/>
        <w:gridCol w:w="860"/>
        <w:gridCol w:w="872"/>
      </w:tblGrid>
      <w:tr w:rsidR="00730AC8" w:rsidRPr="009B0D99" w:rsidTr="002F5109">
        <w:trPr>
          <w:trHeight w:val="270"/>
          <w:jc w:val="center"/>
        </w:trPr>
        <w:tc>
          <w:tcPr>
            <w:tcW w:w="2061" w:type="dxa"/>
            <w:noWrap/>
            <w:vAlign w:val="bottom"/>
            <w:hideMark/>
          </w:tcPr>
          <w:p w:rsidR="00730AC8" w:rsidRPr="00730AC8" w:rsidRDefault="00730AC8" w:rsidP="002F5109">
            <w:pPr>
              <w:spacing w:after="200" w:line="276" w:lineRule="auto"/>
              <w:rPr>
                <w:rFonts w:ascii="Calibri" w:eastAsia="Calibri" w:hAnsi="Calibri"/>
                <w:sz w:val="22"/>
                <w:szCs w:val="22"/>
                <w:lang w:eastAsia="en-US"/>
              </w:rPr>
            </w:pPr>
          </w:p>
        </w:tc>
        <w:tc>
          <w:tcPr>
            <w:tcW w:w="721" w:type="dxa"/>
            <w:noWrap/>
            <w:vAlign w:val="bottom"/>
            <w:hideMark/>
          </w:tcPr>
          <w:p w:rsidR="00730AC8" w:rsidRPr="00730AC8" w:rsidRDefault="00730AC8" w:rsidP="002F5109">
            <w:pPr>
              <w:spacing w:after="200" w:line="276" w:lineRule="auto"/>
              <w:rPr>
                <w:rFonts w:ascii="Calibri" w:eastAsia="Calibri" w:hAnsi="Calibri"/>
                <w:sz w:val="22"/>
                <w:szCs w:val="22"/>
                <w:lang w:eastAsia="en-US"/>
              </w:rPr>
            </w:pPr>
          </w:p>
        </w:tc>
        <w:tc>
          <w:tcPr>
            <w:tcW w:w="858" w:type="dxa"/>
            <w:noWrap/>
            <w:vAlign w:val="bottom"/>
            <w:hideMark/>
          </w:tcPr>
          <w:p w:rsidR="00730AC8" w:rsidRPr="00730AC8" w:rsidRDefault="00730AC8" w:rsidP="002F5109">
            <w:pPr>
              <w:spacing w:after="200" w:line="276" w:lineRule="auto"/>
              <w:rPr>
                <w:rFonts w:ascii="Calibri" w:eastAsia="Calibri" w:hAnsi="Calibri"/>
                <w:sz w:val="22"/>
                <w:szCs w:val="22"/>
                <w:lang w:eastAsia="en-US"/>
              </w:rPr>
            </w:pPr>
          </w:p>
        </w:tc>
        <w:tc>
          <w:tcPr>
            <w:tcW w:w="858" w:type="dxa"/>
            <w:noWrap/>
            <w:vAlign w:val="bottom"/>
            <w:hideMark/>
          </w:tcPr>
          <w:p w:rsidR="00730AC8" w:rsidRPr="00730AC8" w:rsidRDefault="00730AC8" w:rsidP="002F5109">
            <w:pPr>
              <w:spacing w:after="200" w:line="276" w:lineRule="auto"/>
              <w:rPr>
                <w:rFonts w:ascii="Calibri" w:eastAsia="Calibri" w:hAnsi="Calibri"/>
                <w:sz w:val="22"/>
                <w:szCs w:val="22"/>
                <w:lang w:eastAsia="en-US"/>
              </w:rPr>
            </w:pPr>
          </w:p>
        </w:tc>
        <w:tc>
          <w:tcPr>
            <w:tcW w:w="858" w:type="dxa"/>
            <w:noWrap/>
            <w:vAlign w:val="bottom"/>
            <w:hideMark/>
          </w:tcPr>
          <w:p w:rsidR="00730AC8" w:rsidRPr="00730AC8" w:rsidRDefault="00730AC8" w:rsidP="002F5109">
            <w:pPr>
              <w:spacing w:after="200" w:line="276" w:lineRule="auto"/>
              <w:rPr>
                <w:rFonts w:ascii="Calibri" w:eastAsia="Calibri" w:hAnsi="Calibri"/>
                <w:sz w:val="22"/>
                <w:szCs w:val="22"/>
                <w:lang w:eastAsia="en-US"/>
              </w:rPr>
            </w:pPr>
          </w:p>
        </w:tc>
        <w:tc>
          <w:tcPr>
            <w:tcW w:w="1732" w:type="dxa"/>
            <w:gridSpan w:val="2"/>
            <w:tcBorders>
              <w:top w:val="nil"/>
              <w:left w:val="nil"/>
              <w:bottom w:val="double" w:sz="6" w:space="0" w:color="auto"/>
              <w:right w:val="nil"/>
            </w:tcBorders>
            <w:noWrap/>
            <w:vAlign w:val="bottom"/>
            <w:hideMark/>
          </w:tcPr>
          <w:p w:rsidR="00730AC8" w:rsidRDefault="00730AC8" w:rsidP="002F5109">
            <w:pPr>
              <w:spacing w:line="276" w:lineRule="auto"/>
              <w:jc w:val="right"/>
              <w:rPr>
                <w:rFonts w:ascii="Arial" w:hAnsi="Arial" w:cs="Arial"/>
                <w:sz w:val="20"/>
                <w:szCs w:val="20"/>
                <w:lang w:eastAsia="en-US"/>
              </w:rPr>
            </w:pPr>
            <w:r w:rsidRPr="00730AC8">
              <w:rPr>
                <w:rFonts w:ascii="Arial" w:hAnsi="Arial" w:cs="Arial"/>
                <w:sz w:val="20"/>
                <w:szCs w:val="20"/>
                <w:lang w:eastAsia="en-US"/>
              </w:rPr>
              <w:t>tab. č. 20</w:t>
            </w:r>
          </w:p>
        </w:tc>
      </w:tr>
      <w:tr w:rsidR="00730AC8" w:rsidRPr="009B0D99" w:rsidTr="002F5109">
        <w:trPr>
          <w:trHeight w:val="375"/>
          <w:jc w:val="center"/>
        </w:trPr>
        <w:tc>
          <w:tcPr>
            <w:tcW w:w="2061" w:type="dxa"/>
            <w:tcBorders>
              <w:top w:val="double" w:sz="6" w:space="0" w:color="auto"/>
              <w:left w:val="double" w:sz="6" w:space="0" w:color="auto"/>
              <w:bottom w:val="nil"/>
              <w:right w:val="single" w:sz="4" w:space="0" w:color="auto"/>
            </w:tcBorders>
            <w:noWrap/>
            <w:hideMark/>
          </w:tcPr>
          <w:p w:rsidR="00730AC8" w:rsidRDefault="00730AC8" w:rsidP="002F5109">
            <w:pPr>
              <w:spacing w:line="276" w:lineRule="auto"/>
              <w:jc w:val="both"/>
              <w:rPr>
                <w:rFonts w:ascii="Arial" w:hAnsi="Arial" w:cs="Arial"/>
                <w:lang w:eastAsia="en-US"/>
              </w:rPr>
            </w:pPr>
            <w:r>
              <w:rPr>
                <w:rFonts w:ascii="Arial" w:hAnsi="Arial" w:cs="Arial"/>
                <w:lang w:eastAsia="en-US"/>
              </w:rPr>
              <w:t> </w:t>
            </w:r>
          </w:p>
        </w:tc>
        <w:tc>
          <w:tcPr>
            <w:tcW w:w="1579" w:type="dxa"/>
            <w:gridSpan w:val="2"/>
            <w:tcBorders>
              <w:top w:val="double" w:sz="6" w:space="0" w:color="auto"/>
              <w:left w:val="nil"/>
              <w:bottom w:val="single" w:sz="4" w:space="0" w:color="auto"/>
              <w:right w:val="nil"/>
            </w:tcBorders>
            <w:noWrap/>
            <w:vAlign w:val="center"/>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k 30. 6. 2012</w:t>
            </w:r>
          </w:p>
        </w:tc>
        <w:tc>
          <w:tcPr>
            <w:tcW w:w="1716" w:type="dxa"/>
            <w:gridSpan w:val="2"/>
            <w:tcBorders>
              <w:top w:val="double" w:sz="6" w:space="0" w:color="auto"/>
              <w:left w:val="single" w:sz="4" w:space="0" w:color="auto"/>
              <w:bottom w:val="single" w:sz="4" w:space="0" w:color="auto"/>
              <w:right w:val="single" w:sz="4" w:space="0" w:color="000000"/>
            </w:tcBorders>
            <w:noWrap/>
            <w:vAlign w:val="center"/>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k 30. 6. 2013</w:t>
            </w:r>
          </w:p>
        </w:tc>
        <w:tc>
          <w:tcPr>
            <w:tcW w:w="1732" w:type="dxa"/>
            <w:gridSpan w:val="2"/>
            <w:tcBorders>
              <w:top w:val="double" w:sz="6" w:space="0" w:color="auto"/>
              <w:left w:val="nil"/>
              <w:bottom w:val="single" w:sz="4" w:space="0" w:color="auto"/>
              <w:right w:val="double" w:sz="6" w:space="0" w:color="000000"/>
            </w:tcBorders>
            <w:noWrap/>
            <w:vAlign w:val="center"/>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meziroční rozdíl</w:t>
            </w:r>
          </w:p>
        </w:tc>
      </w:tr>
      <w:tr w:rsidR="00730AC8" w:rsidRPr="009B0D99" w:rsidTr="002F5109">
        <w:trPr>
          <w:trHeight w:val="315"/>
          <w:jc w:val="center"/>
        </w:trPr>
        <w:tc>
          <w:tcPr>
            <w:tcW w:w="2061" w:type="dxa"/>
            <w:tcBorders>
              <w:top w:val="nil"/>
              <w:left w:val="double" w:sz="6" w:space="0" w:color="auto"/>
              <w:bottom w:val="single" w:sz="4" w:space="0" w:color="auto"/>
              <w:right w:val="single" w:sz="4" w:space="0" w:color="auto"/>
            </w:tcBorders>
            <w:noWrap/>
            <w:vAlign w:val="bottom"/>
            <w:hideMark/>
          </w:tcPr>
          <w:p w:rsidR="00730AC8" w:rsidRDefault="00730AC8" w:rsidP="002F5109">
            <w:pPr>
              <w:spacing w:line="276" w:lineRule="auto"/>
              <w:rPr>
                <w:rFonts w:ascii="Arial" w:hAnsi="Arial" w:cs="Arial"/>
                <w:sz w:val="20"/>
                <w:szCs w:val="20"/>
                <w:lang w:eastAsia="en-US"/>
              </w:rPr>
            </w:pPr>
            <w:r>
              <w:rPr>
                <w:rFonts w:ascii="Arial" w:hAnsi="Arial" w:cs="Arial"/>
                <w:sz w:val="20"/>
                <w:szCs w:val="20"/>
                <w:lang w:eastAsia="en-US"/>
              </w:rPr>
              <w:t> </w:t>
            </w:r>
          </w:p>
        </w:tc>
        <w:tc>
          <w:tcPr>
            <w:tcW w:w="721" w:type="dxa"/>
            <w:tcBorders>
              <w:top w:val="nil"/>
              <w:left w:val="nil"/>
              <w:bottom w:val="single" w:sz="4" w:space="0" w:color="auto"/>
              <w:right w:val="single" w:sz="4" w:space="0" w:color="auto"/>
            </w:tcBorders>
            <w:vAlign w:val="bottom"/>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v tis.</w:t>
            </w:r>
          </w:p>
        </w:tc>
        <w:tc>
          <w:tcPr>
            <w:tcW w:w="858" w:type="dxa"/>
            <w:tcBorders>
              <w:top w:val="nil"/>
              <w:left w:val="nil"/>
              <w:bottom w:val="single" w:sz="4" w:space="0" w:color="auto"/>
              <w:right w:val="nil"/>
            </w:tcBorders>
            <w:vAlign w:val="bottom"/>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v %</w:t>
            </w:r>
          </w:p>
        </w:tc>
        <w:tc>
          <w:tcPr>
            <w:tcW w:w="858" w:type="dxa"/>
            <w:tcBorders>
              <w:top w:val="nil"/>
              <w:left w:val="single" w:sz="4" w:space="0" w:color="auto"/>
              <w:bottom w:val="single" w:sz="4" w:space="0" w:color="auto"/>
              <w:right w:val="single" w:sz="4" w:space="0" w:color="auto"/>
            </w:tcBorders>
            <w:vAlign w:val="bottom"/>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v tis.</w:t>
            </w:r>
          </w:p>
        </w:tc>
        <w:tc>
          <w:tcPr>
            <w:tcW w:w="858" w:type="dxa"/>
            <w:tcBorders>
              <w:top w:val="nil"/>
              <w:left w:val="nil"/>
              <w:bottom w:val="single" w:sz="4" w:space="0" w:color="auto"/>
              <w:right w:val="single" w:sz="4" w:space="0" w:color="auto"/>
            </w:tcBorders>
            <w:vAlign w:val="bottom"/>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v %</w:t>
            </w:r>
          </w:p>
        </w:tc>
        <w:tc>
          <w:tcPr>
            <w:tcW w:w="860" w:type="dxa"/>
            <w:tcBorders>
              <w:top w:val="nil"/>
              <w:left w:val="nil"/>
              <w:bottom w:val="single" w:sz="4" w:space="0" w:color="auto"/>
              <w:right w:val="single" w:sz="4" w:space="0" w:color="auto"/>
            </w:tcBorders>
            <w:vAlign w:val="bottom"/>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v tis.</w:t>
            </w:r>
          </w:p>
        </w:tc>
        <w:tc>
          <w:tcPr>
            <w:tcW w:w="872" w:type="dxa"/>
            <w:tcBorders>
              <w:top w:val="nil"/>
              <w:left w:val="nil"/>
              <w:bottom w:val="single" w:sz="4" w:space="0" w:color="auto"/>
              <w:right w:val="double" w:sz="6" w:space="0" w:color="auto"/>
            </w:tcBorders>
            <w:vAlign w:val="bottom"/>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v %</w:t>
            </w:r>
          </w:p>
        </w:tc>
      </w:tr>
      <w:tr w:rsidR="00730AC8" w:rsidRPr="009B0D99" w:rsidTr="002F5109">
        <w:trPr>
          <w:trHeight w:val="255"/>
          <w:jc w:val="center"/>
        </w:trPr>
        <w:tc>
          <w:tcPr>
            <w:tcW w:w="2061" w:type="dxa"/>
            <w:tcBorders>
              <w:top w:val="nil"/>
              <w:left w:val="double" w:sz="6" w:space="0" w:color="auto"/>
              <w:bottom w:val="nil"/>
              <w:right w:val="single" w:sz="4" w:space="0" w:color="auto"/>
            </w:tcBorders>
            <w:noWrap/>
            <w:vAlign w:val="bottom"/>
            <w:hideMark/>
          </w:tcPr>
          <w:p w:rsidR="00730AC8" w:rsidRDefault="00730AC8" w:rsidP="002F5109">
            <w:pPr>
              <w:spacing w:line="276" w:lineRule="auto"/>
              <w:rPr>
                <w:rFonts w:ascii="Arial" w:hAnsi="Arial" w:cs="Arial"/>
                <w:b/>
                <w:bCs/>
                <w:sz w:val="20"/>
                <w:szCs w:val="20"/>
                <w:lang w:eastAsia="en-US"/>
              </w:rPr>
            </w:pPr>
            <w:r>
              <w:rPr>
                <w:rFonts w:ascii="Arial" w:hAnsi="Arial" w:cs="Arial"/>
                <w:b/>
                <w:bCs/>
                <w:sz w:val="20"/>
                <w:szCs w:val="20"/>
                <w:lang w:eastAsia="en-US"/>
              </w:rPr>
              <w:t>Uchazeči celkem</w:t>
            </w:r>
          </w:p>
        </w:tc>
        <w:tc>
          <w:tcPr>
            <w:tcW w:w="721" w:type="dxa"/>
            <w:tcBorders>
              <w:top w:val="nil"/>
              <w:left w:val="nil"/>
              <w:bottom w:val="nil"/>
              <w:right w:val="single" w:sz="4" w:space="0" w:color="auto"/>
            </w:tcBorders>
            <w:noWrap/>
            <w:vAlign w:val="center"/>
            <w:hideMark/>
          </w:tcPr>
          <w:p w:rsidR="00730AC8" w:rsidRDefault="00730AC8" w:rsidP="002F5109">
            <w:pPr>
              <w:jc w:val="right"/>
              <w:rPr>
                <w:rFonts w:ascii="Arial CE" w:hAnsi="Arial CE" w:cs="Arial CE"/>
                <w:b/>
                <w:bCs/>
                <w:sz w:val="20"/>
                <w:szCs w:val="20"/>
              </w:rPr>
            </w:pPr>
            <w:r>
              <w:rPr>
                <w:rFonts w:ascii="Arial CE" w:hAnsi="Arial CE" w:cs="Arial CE"/>
                <w:b/>
                <w:bCs/>
                <w:sz w:val="20"/>
                <w:szCs w:val="20"/>
              </w:rPr>
              <w:t>474,6</w:t>
            </w:r>
          </w:p>
        </w:tc>
        <w:tc>
          <w:tcPr>
            <w:tcW w:w="858" w:type="dxa"/>
            <w:noWrap/>
            <w:vAlign w:val="center"/>
            <w:hideMark/>
          </w:tcPr>
          <w:p w:rsidR="00730AC8" w:rsidRDefault="00730AC8" w:rsidP="002F5109">
            <w:pPr>
              <w:jc w:val="right"/>
              <w:rPr>
                <w:rFonts w:ascii="Arial CE" w:hAnsi="Arial CE" w:cs="Arial CE"/>
                <w:b/>
                <w:bCs/>
                <w:sz w:val="20"/>
                <w:szCs w:val="20"/>
              </w:rPr>
            </w:pPr>
            <w:r>
              <w:rPr>
                <w:rFonts w:ascii="Arial CE" w:hAnsi="Arial CE" w:cs="Arial CE"/>
                <w:b/>
                <w:bCs/>
                <w:sz w:val="20"/>
                <w:szCs w:val="20"/>
              </w:rPr>
              <w:t>100,0</w:t>
            </w:r>
          </w:p>
        </w:tc>
        <w:tc>
          <w:tcPr>
            <w:tcW w:w="858"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cs="Arial CE"/>
                <w:b/>
                <w:bCs/>
                <w:sz w:val="20"/>
                <w:szCs w:val="20"/>
              </w:rPr>
            </w:pPr>
            <w:r>
              <w:rPr>
                <w:rFonts w:ascii="Arial CE" w:hAnsi="Arial CE" w:cs="Arial CE"/>
                <w:b/>
                <w:bCs/>
                <w:sz w:val="20"/>
                <w:szCs w:val="20"/>
              </w:rPr>
              <w:t>540,5</w:t>
            </w:r>
          </w:p>
        </w:tc>
        <w:tc>
          <w:tcPr>
            <w:tcW w:w="858" w:type="dxa"/>
            <w:tcBorders>
              <w:top w:val="nil"/>
              <w:left w:val="nil"/>
              <w:bottom w:val="nil"/>
              <w:right w:val="single" w:sz="4" w:space="0" w:color="auto"/>
            </w:tcBorders>
            <w:noWrap/>
            <w:vAlign w:val="center"/>
            <w:hideMark/>
          </w:tcPr>
          <w:p w:rsidR="00730AC8" w:rsidRDefault="00730AC8" w:rsidP="002F5109">
            <w:pPr>
              <w:jc w:val="right"/>
              <w:rPr>
                <w:rFonts w:ascii="Arial CE" w:hAnsi="Arial CE" w:cs="Arial CE"/>
                <w:b/>
                <w:bCs/>
                <w:sz w:val="20"/>
                <w:szCs w:val="20"/>
              </w:rPr>
            </w:pPr>
            <w:r>
              <w:rPr>
                <w:rFonts w:ascii="Arial CE" w:hAnsi="Arial CE" w:cs="Arial CE"/>
                <w:b/>
                <w:bCs/>
                <w:sz w:val="20"/>
                <w:szCs w:val="20"/>
              </w:rPr>
              <w:t>100,0</w:t>
            </w:r>
          </w:p>
        </w:tc>
        <w:tc>
          <w:tcPr>
            <w:tcW w:w="860" w:type="dxa"/>
            <w:tcBorders>
              <w:top w:val="nil"/>
              <w:left w:val="nil"/>
              <w:bottom w:val="nil"/>
              <w:right w:val="single" w:sz="4" w:space="0" w:color="auto"/>
            </w:tcBorders>
            <w:noWrap/>
            <w:vAlign w:val="center"/>
            <w:hideMark/>
          </w:tcPr>
          <w:p w:rsidR="00730AC8" w:rsidRDefault="00730AC8" w:rsidP="002F5109">
            <w:pPr>
              <w:jc w:val="right"/>
              <w:rPr>
                <w:rFonts w:ascii="Arial CE" w:hAnsi="Arial CE" w:cs="Arial CE"/>
                <w:b/>
                <w:bCs/>
                <w:sz w:val="20"/>
                <w:szCs w:val="20"/>
              </w:rPr>
            </w:pPr>
            <w:r>
              <w:rPr>
                <w:rFonts w:ascii="Arial CE" w:hAnsi="Arial CE" w:cs="Arial CE"/>
                <w:b/>
                <w:bCs/>
                <w:sz w:val="20"/>
                <w:szCs w:val="20"/>
              </w:rPr>
              <w:t>65,9</w:t>
            </w:r>
          </w:p>
        </w:tc>
        <w:tc>
          <w:tcPr>
            <w:tcW w:w="872" w:type="dxa"/>
            <w:tcBorders>
              <w:top w:val="nil"/>
              <w:left w:val="nil"/>
              <w:bottom w:val="nil"/>
              <w:right w:val="double" w:sz="6" w:space="0" w:color="auto"/>
            </w:tcBorders>
            <w:noWrap/>
            <w:vAlign w:val="center"/>
            <w:hideMark/>
          </w:tcPr>
          <w:p w:rsidR="00730AC8" w:rsidRDefault="00730AC8" w:rsidP="002F5109">
            <w:pPr>
              <w:jc w:val="right"/>
              <w:rPr>
                <w:rFonts w:ascii="Arial CE" w:hAnsi="Arial CE" w:cs="Arial CE"/>
                <w:b/>
                <w:bCs/>
                <w:sz w:val="20"/>
                <w:szCs w:val="20"/>
              </w:rPr>
            </w:pPr>
            <w:r>
              <w:rPr>
                <w:rFonts w:ascii="Arial CE" w:hAnsi="Arial CE" w:cs="Arial CE"/>
                <w:b/>
                <w:bCs/>
                <w:sz w:val="20"/>
                <w:szCs w:val="20"/>
              </w:rPr>
              <w:t>13,9</w:t>
            </w:r>
          </w:p>
        </w:tc>
      </w:tr>
      <w:tr w:rsidR="00730AC8" w:rsidRPr="009B0D99" w:rsidTr="002F5109">
        <w:trPr>
          <w:trHeight w:val="255"/>
          <w:jc w:val="center"/>
        </w:trPr>
        <w:tc>
          <w:tcPr>
            <w:tcW w:w="2061" w:type="dxa"/>
            <w:tcBorders>
              <w:top w:val="nil"/>
              <w:left w:val="double" w:sz="6" w:space="0" w:color="auto"/>
              <w:bottom w:val="nil"/>
              <w:right w:val="single" w:sz="4" w:space="0" w:color="auto"/>
            </w:tcBorders>
            <w:noWrap/>
            <w:vAlign w:val="bottom"/>
            <w:hideMark/>
          </w:tcPr>
          <w:p w:rsidR="00730AC8" w:rsidRDefault="00730AC8" w:rsidP="002F5109">
            <w:pPr>
              <w:spacing w:line="276" w:lineRule="auto"/>
              <w:rPr>
                <w:rFonts w:ascii="Arial" w:hAnsi="Arial" w:cs="Arial"/>
                <w:b/>
                <w:bCs/>
                <w:sz w:val="20"/>
                <w:szCs w:val="20"/>
                <w:lang w:eastAsia="en-US"/>
              </w:rPr>
            </w:pPr>
            <w:r>
              <w:rPr>
                <w:rFonts w:ascii="Arial" w:hAnsi="Arial" w:cs="Arial"/>
                <w:b/>
                <w:bCs/>
                <w:sz w:val="20"/>
                <w:szCs w:val="20"/>
                <w:lang w:eastAsia="en-US"/>
              </w:rPr>
              <w:t xml:space="preserve">    z toho:</w:t>
            </w:r>
          </w:p>
        </w:tc>
        <w:tc>
          <w:tcPr>
            <w:tcW w:w="721" w:type="dxa"/>
            <w:tcBorders>
              <w:top w:val="nil"/>
              <w:left w:val="nil"/>
              <w:bottom w:val="nil"/>
              <w:right w:val="single" w:sz="4" w:space="0" w:color="auto"/>
            </w:tcBorders>
            <w:noWrap/>
            <w:vAlign w:val="center"/>
            <w:hideMark/>
          </w:tcPr>
          <w:p w:rsidR="00730AC8" w:rsidRDefault="00730AC8" w:rsidP="002F5109">
            <w:pPr>
              <w:rPr>
                <w:rFonts w:ascii="Arial CE" w:hAnsi="Arial CE" w:cs="Arial CE"/>
                <w:sz w:val="20"/>
                <w:szCs w:val="20"/>
              </w:rPr>
            </w:pPr>
            <w:r>
              <w:rPr>
                <w:rFonts w:ascii="Arial CE" w:hAnsi="Arial CE" w:cs="Arial CE"/>
                <w:sz w:val="20"/>
                <w:szCs w:val="20"/>
              </w:rPr>
              <w:t> </w:t>
            </w:r>
          </w:p>
        </w:tc>
        <w:tc>
          <w:tcPr>
            <w:tcW w:w="858" w:type="dxa"/>
            <w:noWrap/>
            <w:vAlign w:val="center"/>
            <w:hideMark/>
          </w:tcPr>
          <w:p w:rsidR="00730AC8" w:rsidRDefault="00730AC8" w:rsidP="002F5109">
            <w:pPr>
              <w:rPr>
                <w:rFonts w:ascii="Arial CE" w:hAnsi="Arial CE" w:cs="Arial CE"/>
                <w:sz w:val="20"/>
                <w:szCs w:val="20"/>
              </w:rPr>
            </w:pPr>
            <w:r>
              <w:rPr>
                <w:rFonts w:ascii="Arial CE" w:hAnsi="Arial CE" w:cs="Arial CE"/>
                <w:sz w:val="20"/>
                <w:szCs w:val="20"/>
              </w:rPr>
              <w:t> </w:t>
            </w:r>
          </w:p>
        </w:tc>
        <w:tc>
          <w:tcPr>
            <w:tcW w:w="858" w:type="dxa"/>
            <w:tcBorders>
              <w:top w:val="nil"/>
              <w:left w:val="single" w:sz="4" w:space="0" w:color="auto"/>
              <w:bottom w:val="nil"/>
              <w:right w:val="single" w:sz="4" w:space="0" w:color="auto"/>
            </w:tcBorders>
            <w:noWrap/>
            <w:vAlign w:val="center"/>
            <w:hideMark/>
          </w:tcPr>
          <w:p w:rsidR="00730AC8" w:rsidRDefault="00730AC8" w:rsidP="002F5109">
            <w:pPr>
              <w:rPr>
                <w:rFonts w:ascii="Arial CE" w:hAnsi="Arial CE" w:cs="Arial CE"/>
                <w:sz w:val="20"/>
                <w:szCs w:val="20"/>
              </w:rPr>
            </w:pPr>
            <w:r>
              <w:rPr>
                <w:rFonts w:ascii="Arial CE" w:hAnsi="Arial CE" w:cs="Arial CE"/>
                <w:sz w:val="20"/>
                <w:szCs w:val="20"/>
              </w:rPr>
              <w:t> </w:t>
            </w:r>
          </w:p>
        </w:tc>
        <w:tc>
          <w:tcPr>
            <w:tcW w:w="858" w:type="dxa"/>
            <w:tcBorders>
              <w:top w:val="nil"/>
              <w:left w:val="nil"/>
              <w:bottom w:val="nil"/>
              <w:right w:val="single" w:sz="4" w:space="0" w:color="auto"/>
            </w:tcBorders>
            <w:noWrap/>
            <w:vAlign w:val="center"/>
            <w:hideMark/>
          </w:tcPr>
          <w:p w:rsidR="00730AC8" w:rsidRDefault="00730AC8" w:rsidP="002F5109">
            <w:pPr>
              <w:rPr>
                <w:rFonts w:ascii="Arial CE" w:hAnsi="Arial CE" w:cs="Arial CE"/>
                <w:sz w:val="20"/>
                <w:szCs w:val="20"/>
              </w:rPr>
            </w:pPr>
            <w:r>
              <w:rPr>
                <w:rFonts w:ascii="Arial CE" w:hAnsi="Arial CE" w:cs="Arial CE"/>
                <w:sz w:val="20"/>
                <w:szCs w:val="20"/>
              </w:rPr>
              <w:t> </w:t>
            </w:r>
          </w:p>
        </w:tc>
        <w:tc>
          <w:tcPr>
            <w:tcW w:w="860" w:type="dxa"/>
            <w:tcBorders>
              <w:top w:val="nil"/>
              <w:left w:val="nil"/>
              <w:bottom w:val="nil"/>
              <w:right w:val="single" w:sz="4" w:space="0" w:color="auto"/>
            </w:tcBorders>
            <w:noWrap/>
            <w:vAlign w:val="center"/>
            <w:hideMark/>
          </w:tcPr>
          <w:p w:rsidR="00730AC8" w:rsidRDefault="00730AC8" w:rsidP="002F5109">
            <w:pPr>
              <w:rPr>
                <w:rFonts w:ascii="Arial CE" w:hAnsi="Arial CE" w:cs="Arial CE"/>
                <w:sz w:val="20"/>
                <w:szCs w:val="20"/>
              </w:rPr>
            </w:pPr>
            <w:r>
              <w:rPr>
                <w:rFonts w:ascii="Arial CE" w:hAnsi="Arial CE" w:cs="Arial CE"/>
                <w:sz w:val="20"/>
                <w:szCs w:val="20"/>
              </w:rPr>
              <w:t> </w:t>
            </w:r>
          </w:p>
        </w:tc>
        <w:tc>
          <w:tcPr>
            <w:tcW w:w="872" w:type="dxa"/>
            <w:tcBorders>
              <w:top w:val="nil"/>
              <w:left w:val="nil"/>
              <w:bottom w:val="nil"/>
              <w:right w:val="double" w:sz="6" w:space="0" w:color="auto"/>
            </w:tcBorders>
            <w:noWrap/>
            <w:vAlign w:val="center"/>
            <w:hideMark/>
          </w:tcPr>
          <w:p w:rsidR="00730AC8" w:rsidRDefault="00730AC8" w:rsidP="002F5109">
            <w:pPr>
              <w:rPr>
                <w:rFonts w:ascii="Arial CE" w:hAnsi="Arial CE" w:cs="Arial CE"/>
                <w:sz w:val="20"/>
                <w:szCs w:val="20"/>
              </w:rPr>
            </w:pPr>
            <w:r>
              <w:rPr>
                <w:rFonts w:ascii="Arial CE" w:hAnsi="Arial CE" w:cs="Arial CE"/>
                <w:sz w:val="20"/>
                <w:szCs w:val="20"/>
              </w:rPr>
              <w:t> </w:t>
            </w:r>
          </w:p>
        </w:tc>
      </w:tr>
      <w:tr w:rsidR="00730AC8" w:rsidRPr="009B0D99" w:rsidTr="002F5109">
        <w:trPr>
          <w:trHeight w:val="255"/>
          <w:jc w:val="center"/>
        </w:trPr>
        <w:tc>
          <w:tcPr>
            <w:tcW w:w="2061" w:type="dxa"/>
            <w:tcBorders>
              <w:top w:val="nil"/>
              <w:left w:val="double" w:sz="6" w:space="0" w:color="auto"/>
              <w:bottom w:val="nil"/>
              <w:right w:val="single" w:sz="4" w:space="0" w:color="auto"/>
            </w:tcBorders>
            <w:noWrap/>
            <w:vAlign w:val="bottom"/>
            <w:hideMark/>
          </w:tcPr>
          <w:p w:rsidR="00730AC8" w:rsidRDefault="00730AC8" w:rsidP="002F5109">
            <w:pPr>
              <w:spacing w:line="276" w:lineRule="auto"/>
              <w:rPr>
                <w:rFonts w:ascii="Arial" w:hAnsi="Arial" w:cs="Arial"/>
                <w:sz w:val="20"/>
                <w:szCs w:val="20"/>
                <w:lang w:eastAsia="en-US"/>
              </w:rPr>
            </w:pPr>
            <w:r>
              <w:rPr>
                <w:rFonts w:ascii="Arial" w:hAnsi="Arial" w:cs="Arial"/>
                <w:sz w:val="20"/>
                <w:szCs w:val="20"/>
                <w:lang w:eastAsia="en-US"/>
              </w:rPr>
              <w:t>do 3 měsíců</w:t>
            </w:r>
          </w:p>
        </w:tc>
        <w:tc>
          <w:tcPr>
            <w:tcW w:w="721" w:type="dxa"/>
            <w:tcBorders>
              <w:top w:val="nil"/>
              <w:left w:val="nil"/>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104,6</w:t>
            </w:r>
          </w:p>
        </w:tc>
        <w:tc>
          <w:tcPr>
            <w:tcW w:w="858" w:type="dxa"/>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22,0</w:t>
            </w:r>
          </w:p>
        </w:tc>
        <w:tc>
          <w:tcPr>
            <w:tcW w:w="858"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111,8</w:t>
            </w:r>
          </w:p>
        </w:tc>
        <w:tc>
          <w:tcPr>
            <w:tcW w:w="858" w:type="dxa"/>
            <w:tcBorders>
              <w:top w:val="nil"/>
              <w:left w:val="nil"/>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20,7</w:t>
            </w:r>
          </w:p>
        </w:tc>
        <w:tc>
          <w:tcPr>
            <w:tcW w:w="860" w:type="dxa"/>
            <w:tcBorders>
              <w:top w:val="nil"/>
              <w:left w:val="nil"/>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7,2</w:t>
            </w:r>
          </w:p>
        </w:tc>
        <w:tc>
          <w:tcPr>
            <w:tcW w:w="872" w:type="dxa"/>
            <w:tcBorders>
              <w:top w:val="nil"/>
              <w:left w:val="nil"/>
              <w:bottom w:val="nil"/>
              <w:right w:val="double" w:sz="6"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6,9</w:t>
            </w:r>
          </w:p>
        </w:tc>
      </w:tr>
      <w:tr w:rsidR="00730AC8" w:rsidRPr="009B0D99" w:rsidTr="002F5109">
        <w:trPr>
          <w:trHeight w:val="255"/>
          <w:jc w:val="center"/>
        </w:trPr>
        <w:tc>
          <w:tcPr>
            <w:tcW w:w="2061" w:type="dxa"/>
            <w:tcBorders>
              <w:top w:val="nil"/>
              <w:left w:val="double" w:sz="6" w:space="0" w:color="auto"/>
              <w:bottom w:val="nil"/>
              <w:right w:val="single" w:sz="4" w:space="0" w:color="auto"/>
            </w:tcBorders>
            <w:noWrap/>
            <w:vAlign w:val="bottom"/>
            <w:hideMark/>
          </w:tcPr>
          <w:p w:rsidR="00730AC8" w:rsidRDefault="00730AC8" w:rsidP="002F5109">
            <w:pPr>
              <w:spacing w:line="276" w:lineRule="auto"/>
              <w:rPr>
                <w:rFonts w:ascii="Arial" w:hAnsi="Arial" w:cs="Arial"/>
                <w:sz w:val="20"/>
                <w:szCs w:val="20"/>
                <w:lang w:eastAsia="en-US"/>
              </w:rPr>
            </w:pPr>
            <w:r>
              <w:rPr>
                <w:rFonts w:ascii="Arial" w:hAnsi="Arial" w:cs="Arial"/>
                <w:sz w:val="20"/>
                <w:szCs w:val="20"/>
                <w:lang w:eastAsia="en-US"/>
              </w:rPr>
              <w:t>3 - 6 měsíců</w:t>
            </w:r>
          </w:p>
        </w:tc>
        <w:tc>
          <w:tcPr>
            <w:tcW w:w="721" w:type="dxa"/>
            <w:tcBorders>
              <w:top w:val="nil"/>
              <w:left w:val="nil"/>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90,2</w:t>
            </w:r>
          </w:p>
        </w:tc>
        <w:tc>
          <w:tcPr>
            <w:tcW w:w="858" w:type="dxa"/>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19,0</w:t>
            </w:r>
          </w:p>
        </w:tc>
        <w:tc>
          <w:tcPr>
            <w:tcW w:w="858"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102,8</w:t>
            </w:r>
          </w:p>
        </w:tc>
        <w:tc>
          <w:tcPr>
            <w:tcW w:w="858" w:type="dxa"/>
            <w:tcBorders>
              <w:top w:val="nil"/>
              <w:left w:val="nil"/>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19,0</w:t>
            </w:r>
          </w:p>
        </w:tc>
        <w:tc>
          <w:tcPr>
            <w:tcW w:w="860" w:type="dxa"/>
            <w:tcBorders>
              <w:top w:val="nil"/>
              <w:left w:val="nil"/>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12,6</w:t>
            </w:r>
          </w:p>
        </w:tc>
        <w:tc>
          <w:tcPr>
            <w:tcW w:w="872" w:type="dxa"/>
            <w:tcBorders>
              <w:top w:val="nil"/>
              <w:left w:val="nil"/>
              <w:bottom w:val="nil"/>
              <w:right w:val="double" w:sz="6"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14,0</w:t>
            </w:r>
          </w:p>
        </w:tc>
      </w:tr>
      <w:tr w:rsidR="00730AC8" w:rsidRPr="009B0D99" w:rsidTr="002F5109">
        <w:trPr>
          <w:trHeight w:val="255"/>
          <w:jc w:val="center"/>
        </w:trPr>
        <w:tc>
          <w:tcPr>
            <w:tcW w:w="2061" w:type="dxa"/>
            <w:tcBorders>
              <w:top w:val="nil"/>
              <w:left w:val="double" w:sz="6" w:space="0" w:color="auto"/>
              <w:bottom w:val="nil"/>
              <w:right w:val="single" w:sz="4" w:space="0" w:color="auto"/>
            </w:tcBorders>
            <w:noWrap/>
            <w:vAlign w:val="bottom"/>
            <w:hideMark/>
          </w:tcPr>
          <w:p w:rsidR="00730AC8" w:rsidRDefault="00730AC8" w:rsidP="002F5109">
            <w:pPr>
              <w:spacing w:line="276" w:lineRule="auto"/>
              <w:rPr>
                <w:rFonts w:ascii="Arial" w:hAnsi="Arial" w:cs="Arial"/>
                <w:sz w:val="20"/>
                <w:szCs w:val="20"/>
                <w:lang w:eastAsia="en-US"/>
              </w:rPr>
            </w:pPr>
            <w:r>
              <w:rPr>
                <w:rFonts w:ascii="Arial" w:hAnsi="Arial" w:cs="Arial"/>
                <w:sz w:val="20"/>
                <w:szCs w:val="20"/>
                <w:lang w:eastAsia="en-US"/>
              </w:rPr>
              <w:t>6 - 9 měsíců</w:t>
            </w:r>
          </w:p>
        </w:tc>
        <w:tc>
          <w:tcPr>
            <w:tcW w:w="721" w:type="dxa"/>
            <w:tcBorders>
              <w:top w:val="nil"/>
              <w:left w:val="nil"/>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56,3</w:t>
            </w:r>
          </w:p>
        </w:tc>
        <w:tc>
          <w:tcPr>
            <w:tcW w:w="858" w:type="dxa"/>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11,9</w:t>
            </w:r>
          </w:p>
        </w:tc>
        <w:tc>
          <w:tcPr>
            <w:tcW w:w="858"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64,3</w:t>
            </w:r>
          </w:p>
        </w:tc>
        <w:tc>
          <w:tcPr>
            <w:tcW w:w="858" w:type="dxa"/>
            <w:tcBorders>
              <w:top w:val="nil"/>
              <w:left w:val="nil"/>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11,9</w:t>
            </w:r>
          </w:p>
        </w:tc>
        <w:tc>
          <w:tcPr>
            <w:tcW w:w="860" w:type="dxa"/>
            <w:tcBorders>
              <w:top w:val="nil"/>
              <w:left w:val="nil"/>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8,0</w:t>
            </w:r>
          </w:p>
        </w:tc>
        <w:tc>
          <w:tcPr>
            <w:tcW w:w="872" w:type="dxa"/>
            <w:tcBorders>
              <w:top w:val="nil"/>
              <w:left w:val="nil"/>
              <w:bottom w:val="nil"/>
              <w:right w:val="double" w:sz="6"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14,2</w:t>
            </w:r>
          </w:p>
        </w:tc>
      </w:tr>
      <w:tr w:rsidR="00730AC8" w:rsidRPr="009B0D99" w:rsidTr="002F5109">
        <w:trPr>
          <w:trHeight w:val="255"/>
          <w:jc w:val="center"/>
        </w:trPr>
        <w:tc>
          <w:tcPr>
            <w:tcW w:w="2061" w:type="dxa"/>
            <w:tcBorders>
              <w:top w:val="nil"/>
              <w:left w:val="double" w:sz="6" w:space="0" w:color="auto"/>
              <w:bottom w:val="nil"/>
              <w:right w:val="single" w:sz="4" w:space="0" w:color="auto"/>
            </w:tcBorders>
            <w:noWrap/>
            <w:vAlign w:val="bottom"/>
            <w:hideMark/>
          </w:tcPr>
          <w:p w:rsidR="00730AC8" w:rsidRDefault="00730AC8" w:rsidP="002F5109">
            <w:pPr>
              <w:spacing w:line="276" w:lineRule="auto"/>
              <w:rPr>
                <w:rFonts w:ascii="Arial" w:hAnsi="Arial" w:cs="Arial"/>
                <w:sz w:val="20"/>
                <w:szCs w:val="20"/>
                <w:lang w:eastAsia="en-US"/>
              </w:rPr>
            </w:pPr>
            <w:r>
              <w:rPr>
                <w:rFonts w:ascii="Arial" w:hAnsi="Arial" w:cs="Arial"/>
                <w:sz w:val="20"/>
                <w:szCs w:val="20"/>
                <w:lang w:eastAsia="en-US"/>
              </w:rPr>
              <w:t>9 - 12 měsíců</w:t>
            </w:r>
          </w:p>
        </w:tc>
        <w:tc>
          <w:tcPr>
            <w:tcW w:w="721" w:type="dxa"/>
            <w:tcBorders>
              <w:top w:val="nil"/>
              <w:left w:val="nil"/>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42,6</w:t>
            </w:r>
          </w:p>
        </w:tc>
        <w:tc>
          <w:tcPr>
            <w:tcW w:w="858" w:type="dxa"/>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9,0</w:t>
            </w:r>
          </w:p>
        </w:tc>
        <w:tc>
          <w:tcPr>
            <w:tcW w:w="858"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50,9</w:t>
            </w:r>
          </w:p>
        </w:tc>
        <w:tc>
          <w:tcPr>
            <w:tcW w:w="858" w:type="dxa"/>
            <w:tcBorders>
              <w:top w:val="nil"/>
              <w:left w:val="nil"/>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9,4</w:t>
            </w:r>
          </w:p>
        </w:tc>
        <w:tc>
          <w:tcPr>
            <w:tcW w:w="860" w:type="dxa"/>
            <w:tcBorders>
              <w:top w:val="nil"/>
              <w:left w:val="nil"/>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8,3</w:t>
            </w:r>
          </w:p>
        </w:tc>
        <w:tc>
          <w:tcPr>
            <w:tcW w:w="872" w:type="dxa"/>
            <w:tcBorders>
              <w:top w:val="nil"/>
              <w:left w:val="nil"/>
              <w:bottom w:val="nil"/>
              <w:right w:val="double" w:sz="6"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19,5</w:t>
            </w:r>
          </w:p>
        </w:tc>
      </w:tr>
      <w:tr w:rsidR="00730AC8" w:rsidRPr="009B0D99" w:rsidTr="002F5109">
        <w:trPr>
          <w:trHeight w:val="255"/>
          <w:jc w:val="center"/>
        </w:trPr>
        <w:tc>
          <w:tcPr>
            <w:tcW w:w="2061" w:type="dxa"/>
            <w:tcBorders>
              <w:top w:val="nil"/>
              <w:left w:val="double" w:sz="6" w:space="0" w:color="auto"/>
              <w:bottom w:val="nil"/>
              <w:right w:val="single" w:sz="4" w:space="0" w:color="auto"/>
            </w:tcBorders>
            <w:noWrap/>
            <w:vAlign w:val="bottom"/>
            <w:hideMark/>
          </w:tcPr>
          <w:p w:rsidR="00730AC8" w:rsidRDefault="00730AC8" w:rsidP="002F5109">
            <w:pPr>
              <w:spacing w:line="276" w:lineRule="auto"/>
              <w:rPr>
                <w:rFonts w:ascii="Arial" w:hAnsi="Arial" w:cs="Arial"/>
                <w:sz w:val="20"/>
                <w:szCs w:val="20"/>
                <w:lang w:eastAsia="en-US"/>
              </w:rPr>
            </w:pPr>
            <w:r>
              <w:rPr>
                <w:rFonts w:ascii="Arial" w:hAnsi="Arial" w:cs="Arial"/>
                <w:sz w:val="20"/>
                <w:szCs w:val="20"/>
                <w:lang w:eastAsia="en-US"/>
              </w:rPr>
              <w:t>12 - 24 měsíců</w:t>
            </w:r>
          </w:p>
        </w:tc>
        <w:tc>
          <w:tcPr>
            <w:tcW w:w="721" w:type="dxa"/>
            <w:tcBorders>
              <w:top w:val="nil"/>
              <w:left w:val="nil"/>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77,0</w:t>
            </w:r>
          </w:p>
        </w:tc>
        <w:tc>
          <w:tcPr>
            <w:tcW w:w="858" w:type="dxa"/>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16,2</w:t>
            </w:r>
          </w:p>
        </w:tc>
        <w:tc>
          <w:tcPr>
            <w:tcW w:w="858"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93,6</w:t>
            </w:r>
          </w:p>
        </w:tc>
        <w:tc>
          <w:tcPr>
            <w:tcW w:w="858" w:type="dxa"/>
            <w:tcBorders>
              <w:top w:val="nil"/>
              <w:left w:val="nil"/>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17,3</w:t>
            </w:r>
          </w:p>
        </w:tc>
        <w:tc>
          <w:tcPr>
            <w:tcW w:w="860" w:type="dxa"/>
            <w:tcBorders>
              <w:top w:val="nil"/>
              <w:left w:val="nil"/>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16,6</w:t>
            </w:r>
          </w:p>
        </w:tc>
        <w:tc>
          <w:tcPr>
            <w:tcW w:w="872" w:type="dxa"/>
            <w:tcBorders>
              <w:top w:val="nil"/>
              <w:left w:val="nil"/>
              <w:bottom w:val="nil"/>
              <w:right w:val="double" w:sz="6"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21,6</w:t>
            </w:r>
          </w:p>
        </w:tc>
      </w:tr>
      <w:tr w:rsidR="00730AC8" w:rsidRPr="009B0D99" w:rsidTr="002F5109">
        <w:trPr>
          <w:trHeight w:val="255"/>
          <w:jc w:val="center"/>
        </w:trPr>
        <w:tc>
          <w:tcPr>
            <w:tcW w:w="2061" w:type="dxa"/>
            <w:tcBorders>
              <w:top w:val="nil"/>
              <w:left w:val="double" w:sz="6" w:space="0" w:color="auto"/>
              <w:bottom w:val="single" w:sz="4" w:space="0" w:color="auto"/>
              <w:right w:val="single" w:sz="4" w:space="0" w:color="auto"/>
            </w:tcBorders>
            <w:noWrap/>
            <w:vAlign w:val="bottom"/>
            <w:hideMark/>
          </w:tcPr>
          <w:p w:rsidR="00730AC8" w:rsidRDefault="00730AC8" w:rsidP="002F5109">
            <w:pPr>
              <w:spacing w:line="276" w:lineRule="auto"/>
              <w:rPr>
                <w:rFonts w:ascii="Arial" w:hAnsi="Arial" w:cs="Arial"/>
                <w:sz w:val="20"/>
                <w:szCs w:val="20"/>
                <w:lang w:eastAsia="en-US"/>
              </w:rPr>
            </w:pPr>
            <w:r>
              <w:rPr>
                <w:rFonts w:ascii="Arial" w:hAnsi="Arial" w:cs="Arial"/>
                <w:sz w:val="20"/>
                <w:szCs w:val="20"/>
                <w:lang w:eastAsia="en-US"/>
              </w:rPr>
              <w:t>nad 24 měsíců</w:t>
            </w:r>
          </w:p>
        </w:tc>
        <w:tc>
          <w:tcPr>
            <w:tcW w:w="721" w:type="dxa"/>
            <w:tcBorders>
              <w:top w:val="nil"/>
              <w:left w:val="nil"/>
              <w:bottom w:val="single" w:sz="4" w:space="0" w:color="auto"/>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104,0</w:t>
            </w:r>
          </w:p>
        </w:tc>
        <w:tc>
          <w:tcPr>
            <w:tcW w:w="858" w:type="dxa"/>
            <w:tcBorders>
              <w:top w:val="nil"/>
              <w:left w:val="nil"/>
              <w:bottom w:val="single" w:sz="4" w:space="0" w:color="auto"/>
              <w:right w:val="nil"/>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21,9</w:t>
            </w:r>
          </w:p>
        </w:tc>
        <w:tc>
          <w:tcPr>
            <w:tcW w:w="858" w:type="dxa"/>
            <w:tcBorders>
              <w:top w:val="nil"/>
              <w:left w:val="single" w:sz="4" w:space="0" w:color="auto"/>
              <w:bottom w:val="single" w:sz="4" w:space="0" w:color="auto"/>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117,1</w:t>
            </w:r>
          </w:p>
        </w:tc>
        <w:tc>
          <w:tcPr>
            <w:tcW w:w="858" w:type="dxa"/>
            <w:tcBorders>
              <w:top w:val="nil"/>
              <w:left w:val="nil"/>
              <w:bottom w:val="single" w:sz="4" w:space="0" w:color="auto"/>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21,7</w:t>
            </w:r>
          </w:p>
        </w:tc>
        <w:tc>
          <w:tcPr>
            <w:tcW w:w="860" w:type="dxa"/>
            <w:tcBorders>
              <w:top w:val="nil"/>
              <w:left w:val="nil"/>
              <w:bottom w:val="single" w:sz="4" w:space="0" w:color="auto"/>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13,1</w:t>
            </w:r>
          </w:p>
        </w:tc>
        <w:tc>
          <w:tcPr>
            <w:tcW w:w="872" w:type="dxa"/>
            <w:tcBorders>
              <w:top w:val="nil"/>
              <w:left w:val="nil"/>
              <w:bottom w:val="single" w:sz="4" w:space="0" w:color="auto"/>
              <w:right w:val="double" w:sz="6"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12,6</w:t>
            </w:r>
          </w:p>
        </w:tc>
      </w:tr>
      <w:tr w:rsidR="00730AC8" w:rsidRPr="009B0D99" w:rsidTr="002F5109">
        <w:trPr>
          <w:trHeight w:val="270"/>
          <w:jc w:val="center"/>
        </w:trPr>
        <w:tc>
          <w:tcPr>
            <w:tcW w:w="2061" w:type="dxa"/>
            <w:tcBorders>
              <w:top w:val="nil"/>
              <w:left w:val="double" w:sz="6" w:space="0" w:color="auto"/>
              <w:bottom w:val="single" w:sz="4" w:space="0" w:color="auto"/>
              <w:right w:val="single" w:sz="4" w:space="0" w:color="auto"/>
            </w:tcBorders>
            <w:noWrap/>
            <w:vAlign w:val="bottom"/>
            <w:hideMark/>
          </w:tcPr>
          <w:p w:rsidR="00730AC8" w:rsidRDefault="00730AC8" w:rsidP="002F5109">
            <w:pPr>
              <w:spacing w:line="276" w:lineRule="auto"/>
              <w:rPr>
                <w:rFonts w:ascii="Arial" w:hAnsi="Arial" w:cs="Arial"/>
                <w:b/>
                <w:bCs/>
                <w:i/>
                <w:iCs/>
                <w:sz w:val="20"/>
                <w:szCs w:val="20"/>
                <w:lang w:eastAsia="en-US"/>
              </w:rPr>
            </w:pPr>
            <w:r>
              <w:rPr>
                <w:rFonts w:ascii="Arial" w:hAnsi="Arial" w:cs="Arial"/>
                <w:b/>
                <w:bCs/>
                <w:i/>
                <w:iCs/>
                <w:sz w:val="20"/>
                <w:szCs w:val="20"/>
                <w:lang w:eastAsia="en-US"/>
              </w:rPr>
              <w:t>nad 5 měsíců</w:t>
            </w:r>
          </w:p>
        </w:tc>
        <w:tc>
          <w:tcPr>
            <w:tcW w:w="721" w:type="dxa"/>
            <w:tcBorders>
              <w:top w:val="nil"/>
              <w:left w:val="nil"/>
              <w:bottom w:val="single" w:sz="4" w:space="0" w:color="auto"/>
              <w:right w:val="single" w:sz="4" w:space="0" w:color="auto"/>
            </w:tcBorders>
            <w:noWrap/>
            <w:vAlign w:val="center"/>
            <w:hideMark/>
          </w:tcPr>
          <w:p w:rsidR="00730AC8" w:rsidRDefault="00730AC8" w:rsidP="002F5109">
            <w:pPr>
              <w:jc w:val="right"/>
              <w:rPr>
                <w:rFonts w:ascii="Arial CE" w:hAnsi="Arial CE" w:cs="Arial CE"/>
                <w:b/>
                <w:bCs/>
                <w:i/>
                <w:iCs/>
                <w:sz w:val="20"/>
                <w:szCs w:val="20"/>
              </w:rPr>
            </w:pPr>
            <w:r>
              <w:rPr>
                <w:rFonts w:ascii="Arial CE" w:hAnsi="Arial CE" w:cs="Arial CE"/>
                <w:b/>
                <w:bCs/>
                <w:i/>
                <w:iCs/>
                <w:sz w:val="20"/>
                <w:szCs w:val="20"/>
              </w:rPr>
              <w:t>300,5</w:t>
            </w:r>
          </w:p>
        </w:tc>
        <w:tc>
          <w:tcPr>
            <w:tcW w:w="858" w:type="dxa"/>
            <w:tcBorders>
              <w:top w:val="nil"/>
              <w:left w:val="nil"/>
              <w:bottom w:val="single" w:sz="4" w:space="0" w:color="auto"/>
              <w:right w:val="nil"/>
            </w:tcBorders>
            <w:noWrap/>
            <w:vAlign w:val="center"/>
            <w:hideMark/>
          </w:tcPr>
          <w:p w:rsidR="00730AC8" w:rsidRDefault="00730AC8" w:rsidP="002F5109">
            <w:pPr>
              <w:jc w:val="right"/>
              <w:rPr>
                <w:rFonts w:ascii="Arial CE" w:hAnsi="Arial CE" w:cs="Arial CE"/>
                <w:b/>
                <w:bCs/>
                <w:i/>
                <w:iCs/>
                <w:sz w:val="20"/>
                <w:szCs w:val="20"/>
              </w:rPr>
            </w:pPr>
            <w:r>
              <w:rPr>
                <w:rFonts w:ascii="Arial CE" w:hAnsi="Arial CE" w:cs="Arial CE"/>
                <w:b/>
                <w:bCs/>
                <w:i/>
                <w:iCs/>
                <w:sz w:val="20"/>
                <w:szCs w:val="20"/>
              </w:rPr>
              <w:t>63,3</w:t>
            </w:r>
          </w:p>
        </w:tc>
        <w:tc>
          <w:tcPr>
            <w:tcW w:w="858" w:type="dxa"/>
            <w:tcBorders>
              <w:top w:val="nil"/>
              <w:left w:val="single" w:sz="4" w:space="0" w:color="auto"/>
              <w:bottom w:val="single" w:sz="4" w:space="0" w:color="auto"/>
              <w:right w:val="single" w:sz="4" w:space="0" w:color="auto"/>
            </w:tcBorders>
            <w:noWrap/>
            <w:vAlign w:val="center"/>
            <w:hideMark/>
          </w:tcPr>
          <w:p w:rsidR="00730AC8" w:rsidRDefault="00730AC8" w:rsidP="002F5109">
            <w:pPr>
              <w:jc w:val="right"/>
              <w:rPr>
                <w:rFonts w:ascii="Arial CE" w:hAnsi="Arial CE" w:cs="Arial CE"/>
                <w:b/>
                <w:bCs/>
                <w:i/>
                <w:iCs/>
                <w:sz w:val="20"/>
                <w:szCs w:val="20"/>
              </w:rPr>
            </w:pPr>
            <w:r>
              <w:rPr>
                <w:rFonts w:ascii="Arial CE" w:hAnsi="Arial CE" w:cs="Arial CE"/>
                <w:b/>
                <w:bCs/>
                <w:i/>
                <w:iCs/>
                <w:sz w:val="20"/>
                <w:szCs w:val="20"/>
              </w:rPr>
              <w:t>363,5</w:t>
            </w:r>
          </w:p>
        </w:tc>
        <w:tc>
          <w:tcPr>
            <w:tcW w:w="858" w:type="dxa"/>
            <w:tcBorders>
              <w:top w:val="nil"/>
              <w:left w:val="nil"/>
              <w:bottom w:val="single" w:sz="4" w:space="0" w:color="auto"/>
              <w:right w:val="single" w:sz="4" w:space="0" w:color="auto"/>
            </w:tcBorders>
            <w:noWrap/>
            <w:vAlign w:val="center"/>
            <w:hideMark/>
          </w:tcPr>
          <w:p w:rsidR="00730AC8" w:rsidRDefault="00730AC8" w:rsidP="002F5109">
            <w:pPr>
              <w:jc w:val="right"/>
              <w:rPr>
                <w:rFonts w:ascii="Arial CE" w:hAnsi="Arial CE" w:cs="Arial CE"/>
                <w:b/>
                <w:bCs/>
                <w:i/>
                <w:iCs/>
                <w:sz w:val="20"/>
                <w:szCs w:val="20"/>
              </w:rPr>
            </w:pPr>
            <w:r>
              <w:rPr>
                <w:rFonts w:ascii="Arial CE" w:hAnsi="Arial CE" w:cs="Arial CE"/>
                <w:b/>
                <w:bCs/>
                <w:i/>
                <w:iCs/>
                <w:sz w:val="20"/>
                <w:szCs w:val="20"/>
              </w:rPr>
              <w:t>67,2</w:t>
            </w:r>
          </w:p>
        </w:tc>
        <w:tc>
          <w:tcPr>
            <w:tcW w:w="860" w:type="dxa"/>
            <w:tcBorders>
              <w:top w:val="nil"/>
              <w:left w:val="nil"/>
              <w:bottom w:val="single" w:sz="4" w:space="0" w:color="auto"/>
              <w:right w:val="single" w:sz="4" w:space="0" w:color="auto"/>
            </w:tcBorders>
            <w:noWrap/>
            <w:vAlign w:val="center"/>
            <w:hideMark/>
          </w:tcPr>
          <w:p w:rsidR="00730AC8" w:rsidRDefault="00730AC8" w:rsidP="002F5109">
            <w:pPr>
              <w:jc w:val="right"/>
              <w:rPr>
                <w:rFonts w:ascii="Arial CE" w:hAnsi="Arial CE" w:cs="Arial CE"/>
                <w:b/>
                <w:bCs/>
                <w:i/>
                <w:iCs/>
                <w:sz w:val="20"/>
                <w:szCs w:val="20"/>
              </w:rPr>
            </w:pPr>
            <w:r>
              <w:rPr>
                <w:rFonts w:ascii="Arial CE" w:hAnsi="Arial CE" w:cs="Arial CE"/>
                <w:b/>
                <w:bCs/>
                <w:i/>
                <w:iCs/>
                <w:sz w:val="20"/>
                <w:szCs w:val="20"/>
              </w:rPr>
              <w:t>63,0</w:t>
            </w:r>
          </w:p>
        </w:tc>
        <w:tc>
          <w:tcPr>
            <w:tcW w:w="872" w:type="dxa"/>
            <w:tcBorders>
              <w:top w:val="nil"/>
              <w:left w:val="nil"/>
              <w:bottom w:val="single" w:sz="4" w:space="0" w:color="auto"/>
              <w:right w:val="double" w:sz="6" w:space="0" w:color="auto"/>
            </w:tcBorders>
            <w:noWrap/>
            <w:vAlign w:val="center"/>
            <w:hideMark/>
          </w:tcPr>
          <w:p w:rsidR="00730AC8" w:rsidRDefault="00730AC8" w:rsidP="002F5109">
            <w:pPr>
              <w:jc w:val="right"/>
              <w:rPr>
                <w:rFonts w:ascii="Arial CE" w:hAnsi="Arial CE" w:cs="Arial CE"/>
                <w:b/>
                <w:bCs/>
                <w:i/>
                <w:iCs/>
                <w:sz w:val="20"/>
                <w:szCs w:val="20"/>
              </w:rPr>
            </w:pPr>
            <w:r>
              <w:rPr>
                <w:rFonts w:ascii="Arial CE" w:hAnsi="Arial CE" w:cs="Arial CE"/>
                <w:b/>
                <w:bCs/>
                <w:i/>
                <w:iCs/>
                <w:sz w:val="20"/>
                <w:szCs w:val="20"/>
              </w:rPr>
              <w:t>21,0</w:t>
            </w:r>
          </w:p>
        </w:tc>
      </w:tr>
      <w:tr w:rsidR="00730AC8" w:rsidRPr="009B0D99" w:rsidTr="002F5109">
        <w:trPr>
          <w:trHeight w:val="270"/>
          <w:jc w:val="center"/>
        </w:trPr>
        <w:tc>
          <w:tcPr>
            <w:tcW w:w="2061" w:type="dxa"/>
            <w:tcBorders>
              <w:top w:val="nil"/>
              <w:left w:val="double" w:sz="6" w:space="0" w:color="auto"/>
              <w:bottom w:val="nil"/>
              <w:right w:val="single" w:sz="4" w:space="0" w:color="auto"/>
            </w:tcBorders>
            <w:noWrap/>
            <w:vAlign w:val="bottom"/>
            <w:hideMark/>
          </w:tcPr>
          <w:p w:rsidR="00730AC8" w:rsidRDefault="00730AC8" w:rsidP="002F5109">
            <w:pPr>
              <w:spacing w:line="276" w:lineRule="auto"/>
              <w:rPr>
                <w:rFonts w:ascii="Arial" w:hAnsi="Arial" w:cs="Arial"/>
                <w:b/>
                <w:bCs/>
                <w:i/>
                <w:iCs/>
                <w:sz w:val="20"/>
                <w:szCs w:val="20"/>
                <w:lang w:eastAsia="en-US"/>
              </w:rPr>
            </w:pPr>
            <w:r>
              <w:rPr>
                <w:rFonts w:ascii="Arial" w:hAnsi="Arial" w:cs="Arial"/>
                <w:b/>
                <w:bCs/>
                <w:i/>
                <w:iCs/>
                <w:sz w:val="20"/>
                <w:szCs w:val="20"/>
                <w:lang w:eastAsia="en-US"/>
              </w:rPr>
              <w:t>nad 6 měsíců</w:t>
            </w:r>
          </w:p>
        </w:tc>
        <w:tc>
          <w:tcPr>
            <w:tcW w:w="721" w:type="dxa"/>
            <w:tcBorders>
              <w:top w:val="nil"/>
              <w:left w:val="nil"/>
              <w:bottom w:val="nil"/>
              <w:right w:val="single" w:sz="4" w:space="0" w:color="auto"/>
            </w:tcBorders>
            <w:noWrap/>
            <w:vAlign w:val="center"/>
            <w:hideMark/>
          </w:tcPr>
          <w:p w:rsidR="00730AC8" w:rsidRDefault="00730AC8" w:rsidP="002F5109">
            <w:pPr>
              <w:jc w:val="right"/>
              <w:rPr>
                <w:rFonts w:ascii="Arial CE" w:hAnsi="Arial CE" w:cs="Arial CE"/>
                <w:b/>
                <w:bCs/>
                <w:i/>
                <w:iCs/>
                <w:sz w:val="20"/>
                <w:szCs w:val="20"/>
              </w:rPr>
            </w:pPr>
            <w:r>
              <w:rPr>
                <w:rFonts w:ascii="Arial CE" w:hAnsi="Arial CE" w:cs="Arial CE"/>
                <w:b/>
                <w:bCs/>
                <w:i/>
                <w:iCs/>
                <w:sz w:val="20"/>
                <w:szCs w:val="20"/>
              </w:rPr>
              <w:t>279,8</w:t>
            </w:r>
          </w:p>
        </w:tc>
        <w:tc>
          <w:tcPr>
            <w:tcW w:w="858" w:type="dxa"/>
            <w:tcBorders>
              <w:top w:val="nil"/>
              <w:left w:val="nil"/>
              <w:bottom w:val="nil"/>
              <w:right w:val="single" w:sz="4" w:space="0" w:color="auto"/>
            </w:tcBorders>
            <w:noWrap/>
            <w:vAlign w:val="center"/>
            <w:hideMark/>
          </w:tcPr>
          <w:p w:rsidR="00730AC8" w:rsidRDefault="00730AC8" w:rsidP="002F5109">
            <w:pPr>
              <w:jc w:val="right"/>
              <w:rPr>
                <w:rFonts w:ascii="Arial CE" w:hAnsi="Arial CE" w:cs="Arial CE"/>
                <w:b/>
                <w:bCs/>
                <w:i/>
                <w:iCs/>
                <w:sz w:val="20"/>
                <w:szCs w:val="20"/>
              </w:rPr>
            </w:pPr>
            <w:r>
              <w:rPr>
                <w:rFonts w:ascii="Arial CE" w:hAnsi="Arial CE" w:cs="Arial CE"/>
                <w:b/>
                <w:bCs/>
                <w:i/>
                <w:iCs/>
                <w:sz w:val="20"/>
                <w:szCs w:val="20"/>
              </w:rPr>
              <w:t>59,0</w:t>
            </w:r>
          </w:p>
        </w:tc>
        <w:tc>
          <w:tcPr>
            <w:tcW w:w="858" w:type="dxa"/>
            <w:tcBorders>
              <w:top w:val="nil"/>
              <w:left w:val="nil"/>
              <w:bottom w:val="nil"/>
              <w:right w:val="single" w:sz="4" w:space="0" w:color="auto"/>
            </w:tcBorders>
            <w:noWrap/>
            <w:vAlign w:val="center"/>
            <w:hideMark/>
          </w:tcPr>
          <w:p w:rsidR="00730AC8" w:rsidRDefault="00730AC8" w:rsidP="002F5109">
            <w:pPr>
              <w:jc w:val="right"/>
              <w:rPr>
                <w:rFonts w:ascii="Arial CE" w:hAnsi="Arial CE" w:cs="Arial CE"/>
                <w:b/>
                <w:bCs/>
                <w:i/>
                <w:iCs/>
                <w:sz w:val="20"/>
                <w:szCs w:val="20"/>
              </w:rPr>
            </w:pPr>
            <w:r>
              <w:rPr>
                <w:rFonts w:ascii="Arial CE" w:hAnsi="Arial CE" w:cs="Arial CE"/>
                <w:b/>
                <w:bCs/>
                <w:i/>
                <w:iCs/>
                <w:sz w:val="20"/>
                <w:szCs w:val="20"/>
              </w:rPr>
              <w:t>325,8</w:t>
            </w:r>
          </w:p>
        </w:tc>
        <w:tc>
          <w:tcPr>
            <w:tcW w:w="858" w:type="dxa"/>
            <w:tcBorders>
              <w:top w:val="nil"/>
              <w:left w:val="nil"/>
              <w:bottom w:val="nil"/>
              <w:right w:val="single" w:sz="4" w:space="0" w:color="auto"/>
            </w:tcBorders>
            <w:noWrap/>
            <w:vAlign w:val="center"/>
            <w:hideMark/>
          </w:tcPr>
          <w:p w:rsidR="00730AC8" w:rsidRDefault="00730AC8" w:rsidP="002F5109">
            <w:pPr>
              <w:jc w:val="right"/>
              <w:rPr>
                <w:rFonts w:ascii="Arial CE" w:hAnsi="Arial CE" w:cs="Arial CE"/>
                <w:b/>
                <w:bCs/>
                <w:i/>
                <w:iCs/>
                <w:sz w:val="20"/>
                <w:szCs w:val="20"/>
              </w:rPr>
            </w:pPr>
            <w:r>
              <w:rPr>
                <w:rFonts w:ascii="Arial CE" w:hAnsi="Arial CE" w:cs="Arial CE"/>
                <w:b/>
                <w:bCs/>
                <w:i/>
                <w:iCs/>
                <w:sz w:val="20"/>
                <w:szCs w:val="20"/>
              </w:rPr>
              <w:t>60,3</w:t>
            </w:r>
          </w:p>
        </w:tc>
        <w:tc>
          <w:tcPr>
            <w:tcW w:w="860" w:type="dxa"/>
            <w:tcBorders>
              <w:top w:val="nil"/>
              <w:left w:val="nil"/>
              <w:bottom w:val="nil"/>
              <w:right w:val="single" w:sz="4" w:space="0" w:color="auto"/>
            </w:tcBorders>
            <w:noWrap/>
            <w:vAlign w:val="center"/>
            <w:hideMark/>
          </w:tcPr>
          <w:p w:rsidR="00730AC8" w:rsidRDefault="00730AC8" w:rsidP="002F5109">
            <w:pPr>
              <w:jc w:val="right"/>
              <w:rPr>
                <w:rFonts w:ascii="Arial CE" w:hAnsi="Arial CE" w:cs="Arial CE"/>
                <w:b/>
                <w:bCs/>
                <w:i/>
                <w:iCs/>
                <w:sz w:val="20"/>
                <w:szCs w:val="20"/>
              </w:rPr>
            </w:pPr>
            <w:r>
              <w:rPr>
                <w:rFonts w:ascii="Arial CE" w:hAnsi="Arial CE" w:cs="Arial CE"/>
                <w:b/>
                <w:bCs/>
                <w:i/>
                <w:iCs/>
                <w:sz w:val="20"/>
                <w:szCs w:val="20"/>
              </w:rPr>
              <w:t>46,0</w:t>
            </w:r>
          </w:p>
        </w:tc>
        <w:tc>
          <w:tcPr>
            <w:tcW w:w="872" w:type="dxa"/>
            <w:tcBorders>
              <w:top w:val="nil"/>
              <w:left w:val="nil"/>
              <w:bottom w:val="nil"/>
              <w:right w:val="double" w:sz="6" w:space="0" w:color="auto"/>
            </w:tcBorders>
            <w:noWrap/>
            <w:vAlign w:val="center"/>
            <w:hideMark/>
          </w:tcPr>
          <w:p w:rsidR="00730AC8" w:rsidRDefault="00730AC8" w:rsidP="002F5109">
            <w:pPr>
              <w:jc w:val="right"/>
              <w:rPr>
                <w:rFonts w:ascii="Arial CE" w:hAnsi="Arial CE" w:cs="Arial CE"/>
                <w:b/>
                <w:bCs/>
                <w:i/>
                <w:iCs/>
                <w:sz w:val="20"/>
                <w:szCs w:val="20"/>
              </w:rPr>
            </w:pPr>
            <w:r>
              <w:rPr>
                <w:rFonts w:ascii="Arial CE" w:hAnsi="Arial CE" w:cs="Arial CE"/>
                <w:b/>
                <w:bCs/>
                <w:i/>
                <w:iCs/>
                <w:sz w:val="20"/>
                <w:szCs w:val="20"/>
              </w:rPr>
              <w:t>16,4</w:t>
            </w:r>
          </w:p>
        </w:tc>
      </w:tr>
      <w:tr w:rsidR="00730AC8" w:rsidRPr="009B0D99" w:rsidTr="002F5109">
        <w:trPr>
          <w:trHeight w:val="270"/>
          <w:jc w:val="center"/>
        </w:trPr>
        <w:tc>
          <w:tcPr>
            <w:tcW w:w="2061" w:type="dxa"/>
            <w:tcBorders>
              <w:top w:val="nil"/>
              <w:left w:val="double" w:sz="6" w:space="0" w:color="auto"/>
              <w:bottom w:val="double" w:sz="6" w:space="0" w:color="auto"/>
              <w:right w:val="single" w:sz="4" w:space="0" w:color="auto"/>
            </w:tcBorders>
            <w:noWrap/>
            <w:vAlign w:val="bottom"/>
            <w:hideMark/>
          </w:tcPr>
          <w:p w:rsidR="00730AC8" w:rsidRDefault="00730AC8" w:rsidP="002F5109">
            <w:pPr>
              <w:spacing w:line="276" w:lineRule="auto"/>
              <w:rPr>
                <w:rFonts w:ascii="Arial" w:hAnsi="Arial" w:cs="Arial"/>
                <w:b/>
                <w:bCs/>
                <w:i/>
                <w:iCs/>
                <w:sz w:val="20"/>
                <w:szCs w:val="20"/>
                <w:lang w:eastAsia="en-US"/>
              </w:rPr>
            </w:pPr>
            <w:r>
              <w:rPr>
                <w:rFonts w:ascii="Arial" w:hAnsi="Arial" w:cs="Arial"/>
                <w:b/>
                <w:bCs/>
                <w:i/>
                <w:iCs/>
                <w:sz w:val="20"/>
                <w:szCs w:val="20"/>
                <w:lang w:eastAsia="en-US"/>
              </w:rPr>
              <w:t>nad 12 měsíců</w:t>
            </w:r>
          </w:p>
        </w:tc>
        <w:tc>
          <w:tcPr>
            <w:tcW w:w="721" w:type="dxa"/>
            <w:tcBorders>
              <w:top w:val="nil"/>
              <w:left w:val="nil"/>
              <w:bottom w:val="double" w:sz="6" w:space="0" w:color="auto"/>
              <w:right w:val="single" w:sz="4" w:space="0" w:color="auto"/>
            </w:tcBorders>
            <w:noWrap/>
            <w:vAlign w:val="center"/>
            <w:hideMark/>
          </w:tcPr>
          <w:p w:rsidR="00730AC8" w:rsidRDefault="00730AC8" w:rsidP="002F5109">
            <w:pPr>
              <w:jc w:val="right"/>
              <w:rPr>
                <w:rFonts w:ascii="Arial CE" w:hAnsi="Arial CE" w:cs="Arial CE"/>
                <w:b/>
                <w:bCs/>
                <w:i/>
                <w:iCs/>
                <w:sz w:val="20"/>
                <w:szCs w:val="20"/>
              </w:rPr>
            </w:pPr>
            <w:r>
              <w:rPr>
                <w:rFonts w:ascii="Arial CE" w:hAnsi="Arial CE" w:cs="Arial CE"/>
                <w:b/>
                <w:bCs/>
                <w:i/>
                <w:iCs/>
                <w:sz w:val="20"/>
                <w:szCs w:val="20"/>
              </w:rPr>
              <w:t>181,0</w:t>
            </w:r>
          </w:p>
        </w:tc>
        <w:tc>
          <w:tcPr>
            <w:tcW w:w="858" w:type="dxa"/>
            <w:tcBorders>
              <w:top w:val="nil"/>
              <w:left w:val="nil"/>
              <w:bottom w:val="double" w:sz="6" w:space="0" w:color="auto"/>
              <w:right w:val="single" w:sz="4" w:space="0" w:color="auto"/>
            </w:tcBorders>
            <w:noWrap/>
            <w:vAlign w:val="center"/>
            <w:hideMark/>
          </w:tcPr>
          <w:p w:rsidR="00730AC8" w:rsidRDefault="00730AC8" w:rsidP="002F5109">
            <w:pPr>
              <w:jc w:val="right"/>
              <w:rPr>
                <w:rFonts w:ascii="Arial CE" w:hAnsi="Arial CE" w:cs="Arial CE"/>
                <w:b/>
                <w:bCs/>
                <w:i/>
                <w:iCs/>
                <w:sz w:val="20"/>
                <w:szCs w:val="20"/>
              </w:rPr>
            </w:pPr>
            <w:r>
              <w:rPr>
                <w:rFonts w:ascii="Arial CE" w:hAnsi="Arial CE" w:cs="Arial CE"/>
                <w:b/>
                <w:bCs/>
                <w:i/>
                <w:iCs/>
                <w:sz w:val="20"/>
                <w:szCs w:val="20"/>
              </w:rPr>
              <w:t>38,1</w:t>
            </w:r>
          </w:p>
        </w:tc>
        <w:tc>
          <w:tcPr>
            <w:tcW w:w="858" w:type="dxa"/>
            <w:tcBorders>
              <w:top w:val="nil"/>
              <w:left w:val="nil"/>
              <w:bottom w:val="double" w:sz="6" w:space="0" w:color="auto"/>
              <w:right w:val="single" w:sz="4" w:space="0" w:color="auto"/>
            </w:tcBorders>
            <w:noWrap/>
            <w:vAlign w:val="center"/>
            <w:hideMark/>
          </w:tcPr>
          <w:p w:rsidR="00730AC8" w:rsidRDefault="00730AC8" w:rsidP="002F5109">
            <w:pPr>
              <w:jc w:val="right"/>
              <w:rPr>
                <w:rFonts w:ascii="Arial CE" w:hAnsi="Arial CE" w:cs="Arial CE"/>
                <w:b/>
                <w:bCs/>
                <w:i/>
                <w:iCs/>
                <w:sz w:val="20"/>
                <w:szCs w:val="20"/>
              </w:rPr>
            </w:pPr>
            <w:r>
              <w:rPr>
                <w:rFonts w:ascii="Arial CE" w:hAnsi="Arial CE" w:cs="Arial CE"/>
                <w:b/>
                <w:bCs/>
                <w:i/>
                <w:iCs/>
                <w:sz w:val="20"/>
                <w:szCs w:val="20"/>
              </w:rPr>
              <w:t>210,6</w:t>
            </w:r>
          </w:p>
        </w:tc>
        <w:tc>
          <w:tcPr>
            <w:tcW w:w="858" w:type="dxa"/>
            <w:tcBorders>
              <w:top w:val="nil"/>
              <w:left w:val="nil"/>
              <w:bottom w:val="double" w:sz="6" w:space="0" w:color="auto"/>
              <w:right w:val="single" w:sz="4" w:space="0" w:color="auto"/>
            </w:tcBorders>
            <w:noWrap/>
            <w:vAlign w:val="center"/>
            <w:hideMark/>
          </w:tcPr>
          <w:p w:rsidR="00730AC8" w:rsidRDefault="00730AC8" w:rsidP="002F5109">
            <w:pPr>
              <w:jc w:val="right"/>
              <w:rPr>
                <w:rFonts w:ascii="Arial CE" w:hAnsi="Arial CE" w:cs="Arial CE"/>
                <w:b/>
                <w:bCs/>
                <w:i/>
                <w:iCs/>
                <w:sz w:val="20"/>
                <w:szCs w:val="20"/>
              </w:rPr>
            </w:pPr>
            <w:r>
              <w:rPr>
                <w:rFonts w:ascii="Arial CE" w:hAnsi="Arial CE" w:cs="Arial CE"/>
                <w:b/>
                <w:bCs/>
                <w:i/>
                <w:iCs/>
                <w:sz w:val="20"/>
                <w:szCs w:val="20"/>
              </w:rPr>
              <w:t>39,0</w:t>
            </w:r>
          </w:p>
        </w:tc>
        <w:tc>
          <w:tcPr>
            <w:tcW w:w="860" w:type="dxa"/>
            <w:tcBorders>
              <w:top w:val="nil"/>
              <w:left w:val="nil"/>
              <w:bottom w:val="double" w:sz="6" w:space="0" w:color="auto"/>
              <w:right w:val="single" w:sz="4" w:space="0" w:color="auto"/>
            </w:tcBorders>
            <w:noWrap/>
            <w:vAlign w:val="center"/>
            <w:hideMark/>
          </w:tcPr>
          <w:p w:rsidR="00730AC8" w:rsidRDefault="00730AC8" w:rsidP="002F5109">
            <w:pPr>
              <w:jc w:val="right"/>
              <w:rPr>
                <w:rFonts w:ascii="Arial CE" w:hAnsi="Arial CE" w:cs="Arial CE"/>
                <w:b/>
                <w:bCs/>
                <w:i/>
                <w:iCs/>
                <w:sz w:val="20"/>
                <w:szCs w:val="20"/>
              </w:rPr>
            </w:pPr>
            <w:r>
              <w:rPr>
                <w:rFonts w:ascii="Arial CE" w:hAnsi="Arial CE" w:cs="Arial CE"/>
                <w:b/>
                <w:bCs/>
                <w:i/>
                <w:iCs/>
                <w:sz w:val="20"/>
                <w:szCs w:val="20"/>
              </w:rPr>
              <w:t>29,6</w:t>
            </w:r>
          </w:p>
        </w:tc>
        <w:tc>
          <w:tcPr>
            <w:tcW w:w="872" w:type="dxa"/>
            <w:tcBorders>
              <w:top w:val="nil"/>
              <w:left w:val="nil"/>
              <w:bottom w:val="double" w:sz="6" w:space="0" w:color="auto"/>
              <w:right w:val="double" w:sz="6" w:space="0" w:color="auto"/>
            </w:tcBorders>
            <w:noWrap/>
            <w:vAlign w:val="center"/>
            <w:hideMark/>
          </w:tcPr>
          <w:p w:rsidR="00730AC8" w:rsidRDefault="00730AC8" w:rsidP="002F5109">
            <w:pPr>
              <w:jc w:val="right"/>
              <w:rPr>
                <w:rFonts w:ascii="Arial CE" w:hAnsi="Arial CE" w:cs="Arial CE"/>
                <w:b/>
                <w:bCs/>
                <w:i/>
                <w:iCs/>
                <w:sz w:val="20"/>
                <w:szCs w:val="20"/>
              </w:rPr>
            </w:pPr>
            <w:r>
              <w:rPr>
                <w:rFonts w:ascii="Arial CE" w:hAnsi="Arial CE" w:cs="Arial CE"/>
                <w:b/>
                <w:bCs/>
                <w:i/>
                <w:iCs/>
                <w:sz w:val="20"/>
                <w:szCs w:val="20"/>
              </w:rPr>
              <w:t>16,4</w:t>
            </w:r>
          </w:p>
        </w:tc>
      </w:tr>
      <w:tr w:rsidR="00730AC8" w:rsidRPr="009B0D99" w:rsidTr="002F5109">
        <w:trPr>
          <w:trHeight w:val="465"/>
          <w:jc w:val="center"/>
        </w:trPr>
        <w:tc>
          <w:tcPr>
            <w:tcW w:w="7088" w:type="dxa"/>
            <w:gridSpan w:val="7"/>
            <w:vAlign w:val="bottom"/>
            <w:hideMark/>
          </w:tcPr>
          <w:p w:rsidR="00730AC8" w:rsidRDefault="00730AC8" w:rsidP="002F5109">
            <w:pPr>
              <w:spacing w:line="276" w:lineRule="auto"/>
              <w:rPr>
                <w:rFonts w:ascii="Arial" w:hAnsi="Arial" w:cs="Arial"/>
                <w:i/>
                <w:iCs/>
                <w:sz w:val="16"/>
                <w:szCs w:val="16"/>
                <w:lang w:eastAsia="en-US"/>
              </w:rPr>
            </w:pPr>
            <w:r>
              <w:rPr>
                <w:rFonts w:ascii="Arial" w:hAnsi="Arial" w:cs="Arial"/>
                <w:i/>
                <w:iCs/>
                <w:sz w:val="16"/>
                <w:szCs w:val="16"/>
                <w:lang w:eastAsia="en-US"/>
              </w:rPr>
              <w:t>Pozn.: drobné odchylky součtu osob v jednotlivých kategoriích od uvedeného celkového počtu souvisí se zaokrouhlením hodnot na jedno desetinné místo</w:t>
            </w:r>
          </w:p>
        </w:tc>
      </w:tr>
    </w:tbl>
    <w:p w:rsidR="00730AC8" w:rsidRPr="00787E9F" w:rsidRDefault="00730AC8" w:rsidP="00730AC8">
      <w:pPr>
        <w:pStyle w:val="Zkladntextodsazen3"/>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ind w:left="0"/>
        <w:jc w:val="both"/>
        <w:rPr>
          <w:rFonts w:ascii="Arial" w:hAnsi="Arial" w:cs="Arial"/>
        </w:rPr>
      </w:pPr>
    </w:p>
    <w:p w:rsidR="00730AC8" w:rsidRPr="003E4BA1" w:rsidRDefault="00730AC8" w:rsidP="00730AC8">
      <w:pPr>
        <w:pStyle w:val="Zkladntextodsazen3"/>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360" w:lineRule="auto"/>
        <w:ind w:left="0" w:firstLine="720"/>
        <w:jc w:val="both"/>
        <w:rPr>
          <w:rFonts w:ascii="Arial" w:hAnsi="Arial" w:cs="Arial"/>
          <w:sz w:val="24"/>
          <w:szCs w:val="24"/>
          <w:lang w:val="cs-CZ"/>
        </w:rPr>
      </w:pPr>
      <w:r>
        <w:rPr>
          <w:rFonts w:ascii="Arial" w:hAnsi="Arial" w:cs="Arial"/>
          <w:sz w:val="24"/>
          <w:szCs w:val="24"/>
        </w:rPr>
        <w:t xml:space="preserve">V důsledku </w:t>
      </w:r>
      <w:r>
        <w:rPr>
          <w:rFonts w:ascii="Arial" w:hAnsi="Arial" w:cs="Arial"/>
          <w:sz w:val="24"/>
          <w:szCs w:val="24"/>
          <w:lang w:val="cs-CZ"/>
        </w:rPr>
        <w:t xml:space="preserve">většího nárůstu </w:t>
      </w:r>
      <w:r>
        <w:rPr>
          <w:rFonts w:ascii="Arial" w:hAnsi="Arial" w:cs="Arial"/>
          <w:sz w:val="24"/>
          <w:szCs w:val="24"/>
        </w:rPr>
        <w:t xml:space="preserve">počtu nově hlášených uchazečů </w:t>
      </w:r>
      <w:r>
        <w:rPr>
          <w:rFonts w:ascii="Arial" w:hAnsi="Arial" w:cs="Arial"/>
          <w:sz w:val="24"/>
          <w:szCs w:val="24"/>
          <w:lang w:val="cs-CZ"/>
        </w:rPr>
        <w:t xml:space="preserve">v jarních měsících letošního roku </w:t>
      </w:r>
      <w:r>
        <w:rPr>
          <w:rFonts w:ascii="Arial" w:hAnsi="Arial" w:cs="Arial"/>
          <w:b/>
          <w:sz w:val="24"/>
          <w:szCs w:val="24"/>
          <w:lang w:val="cs-CZ"/>
        </w:rPr>
        <w:t>vzrostl</w:t>
      </w:r>
      <w:r>
        <w:rPr>
          <w:rFonts w:ascii="Arial" w:hAnsi="Arial" w:cs="Arial"/>
          <w:sz w:val="24"/>
          <w:szCs w:val="24"/>
        </w:rPr>
        <w:t xml:space="preserve"> </w:t>
      </w:r>
      <w:r>
        <w:rPr>
          <w:rFonts w:ascii="Arial" w:hAnsi="Arial" w:cs="Arial"/>
          <w:sz w:val="24"/>
          <w:szCs w:val="24"/>
          <w:lang w:val="cs-CZ"/>
        </w:rPr>
        <w:t xml:space="preserve">k 30. 6. 2013 </w:t>
      </w:r>
      <w:r>
        <w:rPr>
          <w:rFonts w:ascii="Arial" w:hAnsi="Arial" w:cs="Arial"/>
          <w:b/>
          <w:sz w:val="24"/>
          <w:szCs w:val="24"/>
        </w:rPr>
        <w:t xml:space="preserve">počet </w:t>
      </w:r>
      <w:r>
        <w:rPr>
          <w:rFonts w:ascii="Arial" w:hAnsi="Arial" w:cs="Arial"/>
          <w:b/>
          <w:sz w:val="24"/>
          <w:szCs w:val="24"/>
          <w:lang w:val="cs-CZ"/>
        </w:rPr>
        <w:t>nezaměstnaných</w:t>
      </w:r>
      <w:r>
        <w:rPr>
          <w:rFonts w:ascii="Arial" w:hAnsi="Arial" w:cs="Arial"/>
          <w:sz w:val="24"/>
          <w:szCs w:val="24"/>
          <w:lang w:val="cs-CZ"/>
        </w:rPr>
        <w:t xml:space="preserve"> v kategorii </w:t>
      </w:r>
      <w:r w:rsidR="002850F6">
        <w:rPr>
          <w:rFonts w:ascii="Arial" w:hAnsi="Arial" w:cs="Arial"/>
          <w:sz w:val="24"/>
          <w:szCs w:val="24"/>
          <w:lang w:val="cs-CZ"/>
        </w:rPr>
        <w:t xml:space="preserve"> </w:t>
      </w:r>
      <w:r w:rsidRPr="002C6DFE">
        <w:rPr>
          <w:rFonts w:ascii="Arial" w:hAnsi="Arial" w:cs="Arial"/>
          <w:b/>
          <w:sz w:val="24"/>
          <w:szCs w:val="24"/>
          <w:lang w:val="cs-CZ"/>
        </w:rPr>
        <w:t>3 -</w:t>
      </w:r>
      <w:r>
        <w:rPr>
          <w:rFonts w:ascii="Arial" w:hAnsi="Arial" w:cs="Arial"/>
          <w:b/>
          <w:sz w:val="24"/>
          <w:szCs w:val="24"/>
          <w:lang w:val="cs-CZ"/>
        </w:rPr>
        <w:t> 6</w:t>
      </w:r>
      <w:r>
        <w:rPr>
          <w:rFonts w:ascii="Arial" w:hAnsi="Arial" w:cs="Arial"/>
          <w:b/>
          <w:sz w:val="24"/>
          <w:szCs w:val="24"/>
        </w:rPr>
        <w:t> měsíců</w:t>
      </w:r>
      <w:r>
        <w:rPr>
          <w:rFonts w:ascii="Arial" w:hAnsi="Arial" w:cs="Arial"/>
          <w:sz w:val="24"/>
          <w:szCs w:val="24"/>
          <w:lang w:val="cs-CZ"/>
        </w:rPr>
        <w:t>, a to</w:t>
      </w:r>
      <w:r>
        <w:rPr>
          <w:rFonts w:ascii="Arial" w:hAnsi="Arial" w:cs="Arial"/>
          <w:sz w:val="24"/>
          <w:szCs w:val="24"/>
        </w:rPr>
        <w:t xml:space="preserve"> o </w:t>
      </w:r>
      <w:r>
        <w:rPr>
          <w:rFonts w:ascii="Arial" w:hAnsi="Arial" w:cs="Arial"/>
          <w:sz w:val="24"/>
          <w:szCs w:val="24"/>
          <w:lang w:val="cs-CZ"/>
        </w:rPr>
        <w:t>12</w:t>
      </w:r>
      <w:r>
        <w:rPr>
          <w:rFonts w:ascii="Arial" w:hAnsi="Arial" w:cs="Arial"/>
          <w:sz w:val="24"/>
          <w:szCs w:val="24"/>
        </w:rPr>
        <w:t>,</w:t>
      </w:r>
      <w:r>
        <w:rPr>
          <w:rFonts w:ascii="Arial" w:hAnsi="Arial" w:cs="Arial"/>
          <w:sz w:val="24"/>
          <w:szCs w:val="24"/>
          <w:lang w:val="cs-CZ"/>
        </w:rPr>
        <w:t>6</w:t>
      </w:r>
      <w:r>
        <w:rPr>
          <w:rFonts w:ascii="Arial" w:hAnsi="Arial" w:cs="Arial"/>
          <w:sz w:val="24"/>
          <w:szCs w:val="24"/>
        </w:rPr>
        <w:t> tis</w:t>
      </w:r>
      <w:r>
        <w:rPr>
          <w:rFonts w:ascii="Arial" w:hAnsi="Arial" w:cs="Arial"/>
          <w:sz w:val="24"/>
          <w:szCs w:val="24"/>
          <w:lang w:val="cs-CZ"/>
        </w:rPr>
        <w:t>.,</w:t>
      </w:r>
      <w:r>
        <w:rPr>
          <w:rFonts w:ascii="Arial" w:hAnsi="Arial" w:cs="Arial"/>
          <w:sz w:val="24"/>
          <w:szCs w:val="24"/>
        </w:rPr>
        <w:t xml:space="preserve"> na</w:t>
      </w:r>
      <w:r>
        <w:rPr>
          <w:rFonts w:ascii="Arial" w:hAnsi="Arial" w:cs="Arial"/>
          <w:b/>
          <w:sz w:val="24"/>
          <w:szCs w:val="24"/>
        </w:rPr>
        <w:t xml:space="preserve"> </w:t>
      </w:r>
      <w:r>
        <w:rPr>
          <w:rFonts w:ascii="Arial" w:hAnsi="Arial" w:cs="Arial"/>
          <w:b/>
          <w:sz w:val="24"/>
          <w:szCs w:val="24"/>
          <w:lang w:val="cs-CZ"/>
        </w:rPr>
        <w:t>102,8</w:t>
      </w:r>
      <w:r>
        <w:rPr>
          <w:rFonts w:ascii="Arial" w:hAnsi="Arial" w:cs="Arial"/>
          <w:b/>
          <w:sz w:val="24"/>
          <w:szCs w:val="24"/>
        </w:rPr>
        <w:t> tis</w:t>
      </w:r>
      <w:r>
        <w:rPr>
          <w:rFonts w:ascii="Arial" w:hAnsi="Arial" w:cs="Arial"/>
          <w:b/>
          <w:sz w:val="24"/>
          <w:szCs w:val="24"/>
          <w:lang w:val="cs-CZ"/>
        </w:rPr>
        <w:t xml:space="preserve">. </w:t>
      </w:r>
      <w:r w:rsidRPr="003E4BA1">
        <w:rPr>
          <w:rFonts w:ascii="Arial" w:hAnsi="Arial" w:cs="Arial"/>
          <w:sz w:val="24"/>
          <w:szCs w:val="24"/>
          <w:lang w:val="cs-CZ"/>
        </w:rPr>
        <w:t>V ostatních kategoriích podle délky nezaměstnanosti byl nárůst mírnější.</w:t>
      </w:r>
    </w:p>
    <w:p w:rsidR="00730AC8" w:rsidRDefault="00730AC8" w:rsidP="00730AC8">
      <w:pPr>
        <w:pStyle w:val="Zkladntext"/>
        <w:spacing w:line="360" w:lineRule="auto"/>
        <w:ind w:firstLine="708"/>
        <w:jc w:val="right"/>
        <w:rPr>
          <w:bCs/>
          <w:color w:val="auto"/>
          <w:sz w:val="20"/>
          <w:szCs w:val="20"/>
        </w:rPr>
      </w:pPr>
      <w:r w:rsidRPr="00730AC8">
        <w:rPr>
          <w:bCs/>
          <w:color w:val="auto"/>
          <w:sz w:val="20"/>
          <w:szCs w:val="20"/>
        </w:rPr>
        <w:t>graf č. 1</w:t>
      </w:r>
      <w:r w:rsidRPr="00730AC8">
        <w:rPr>
          <w:bCs/>
          <w:color w:val="auto"/>
          <w:sz w:val="20"/>
          <w:szCs w:val="20"/>
          <w:lang w:val="cs-CZ"/>
        </w:rPr>
        <w:t>2</w:t>
      </w:r>
    </w:p>
    <w:p w:rsidR="00730AC8" w:rsidRDefault="00730AC8" w:rsidP="00730AC8">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line="360" w:lineRule="auto"/>
        <w:jc w:val="center"/>
        <w:rPr>
          <w:color w:val="0070C0"/>
          <w:szCs w:val="23"/>
        </w:rPr>
      </w:pPr>
      <w:r>
        <w:rPr>
          <w:noProof/>
        </w:rPr>
        <w:drawing>
          <wp:inline distT="0" distB="0" distL="0" distR="0" wp14:anchorId="60EC3D6E" wp14:editId="61FD8FCF">
            <wp:extent cx="5762625" cy="2990850"/>
            <wp:effectExtent l="0" t="0" r="9525" b="19050"/>
            <wp:docPr id="16" name="Graf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730AC8" w:rsidRPr="00BE7A9A" w:rsidRDefault="00243275" w:rsidP="00730AC8">
      <w:pPr>
        <w:pStyle w:val="Zkladntextodsazen3"/>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360" w:lineRule="auto"/>
        <w:ind w:left="0" w:firstLine="720"/>
        <w:jc w:val="both"/>
        <w:rPr>
          <w:rFonts w:ascii="Arial" w:hAnsi="Arial" w:cs="Arial"/>
          <w:sz w:val="24"/>
          <w:szCs w:val="24"/>
        </w:rPr>
      </w:pPr>
      <w:r>
        <w:rPr>
          <w:rFonts w:ascii="Arial" w:hAnsi="Arial" w:cs="Arial"/>
          <w:sz w:val="24"/>
          <w:szCs w:val="24"/>
        </w:rPr>
        <w:lastRenderedPageBreak/>
        <w:t>V souladu s novelou zákona č.</w:t>
      </w:r>
      <w:r>
        <w:rPr>
          <w:rFonts w:ascii="Arial" w:hAnsi="Arial" w:cs="Arial"/>
          <w:sz w:val="24"/>
          <w:szCs w:val="24"/>
          <w:lang w:val="cs-CZ"/>
        </w:rPr>
        <w:t> </w:t>
      </w:r>
      <w:r w:rsidR="002850F6" w:rsidRPr="002850F6">
        <w:rPr>
          <w:rFonts w:ascii="Arial" w:hAnsi="Arial" w:cs="Arial"/>
          <w:sz w:val="24"/>
          <w:szCs w:val="24"/>
        </w:rPr>
        <w:t>435/2004 Sb., o zaměstnanosti, ve znění pozdějších předpisů (dále jen „zákon o zaměstnanosti“)</w:t>
      </w:r>
      <w:r w:rsidR="002850F6">
        <w:rPr>
          <w:rFonts w:ascii="Arial" w:hAnsi="Arial" w:cs="Arial"/>
          <w:sz w:val="22"/>
          <w:szCs w:val="22"/>
          <w:lang w:val="cs-CZ"/>
        </w:rPr>
        <w:t xml:space="preserve"> </w:t>
      </w:r>
      <w:r w:rsidR="00730AC8">
        <w:rPr>
          <w:rFonts w:ascii="Arial" w:hAnsi="Arial" w:cs="Arial"/>
          <w:sz w:val="24"/>
          <w:szCs w:val="24"/>
        </w:rPr>
        <w:t>věnuj</w:t>
      </w:r>
      <w:r w:rsidR="00730AC8">
        <w:rPr>
          <w:rFonts w:ascii="Arial" w:hAnsi="Arial" w:cs="Arial"/>
          <w:sz w:val="24"/>
          <w:szCs w:val="24"/>
          <w:lang w:val="cs-CZ"/>
        </w:rPr>
        <w:t>e</w:t>
      </w:r>
      <w:r w:rsidR="00730AC8">
        <w:rPr>
          <w:rFonts w:ascii="Arial" w:hAnsi="Arial" w:cs="Arial"/>
          <w:sz w:val="24"/>
          <w:szCs w:val="24"/>
        </w:rPr>
        <w:t xml:space="preserve"> ÚP</w:t>
      </w:r>
      <w:r w:rsidR="006A789A">
        <w:rPr>
          <w:rFonts w:ascii="Arial" w:hAnsi="Arial" w:cs="Arial"/>
          <w:sz w:val="24"/>
          <w:szCs w:val="24"/>
          <w:lang w:val="cs-CZ"/>
        </w:rPr>
        <w:t> ČR</w:t>
      </w:r>
      <w:r w:rsidR="00730AC8">
        <w:rPr>
          <w:rFonts w:ascii="Arial" w:hAnsi="Arial" w:cs="Arial"/>
          <w:sz w:val="24"/>
          <w:szCs w:val="24"/>
        </w:rPr>
        <w:t xml:space="preserve"> od 1. 1. 2009 zvýšenou péči při zprostředkování zaměstnání uchazečům o zaměstnání, kteří jsou v evidenci </w:t>
      </w:r>
      <w:r w:rsidR="00730AC8">
        <w:rPr>
          <w:rFonts w:ascii="Arial" w:hAnsi="Arial" w:cs="Arial"/>
          <w:b/>
          <w:sz w:val="24"/>
          <w:szCs w:val="24"/>
        </w:rPr>
        <w:t xml:space="preserve">déle než 5 měsíců. Na konci </w:t>
      </w:r>
      <w:r w:rsidR="00730AC8">
        <w:rPr>
          <w:rFonts w:ascii="Arial" w:hAnsi="Arial" w:cs="Arial"/>
          <w:b/>
          <w:sz w:val="24"/>
          <w:szCs w:val="24"/>
          <w:lang w:val="cs-CZ"/>
        </w:rPr>
        <w:t>června</w:t>
      </w:r>
      <w:r w:rsidR="00730AC8">
        <w:rPr>
          <w:rFonts w:ascii="Arial" w:hAnsi="Arial" w:cs="Arial"/>
          <w:sz w:val="24"/>
          <w:szCs w:val="24"/>
        </w:rPr>
        <w:t xml:space="preserve"> </w:t>
      </w:r>
      <w:r w:rsidR="00730AC8">
        <w:rPr>
          <w:rFonts w:ascii="Arial" w:hAnsi="Arial" w:cs="Arial"/>
          <w:b/>
          <w:sz w:val="24"/>
          <w:szCs w:val="24"/>
        </w:rPr>
        <w:t>201</w:t>
      </w:r>
      <w:r w:rsidR="00730AC8">
        <w:rPr>
          <w:rFonts w:ascii="Arial" w:hAnsi="Arial" w:cs="Arial"/>
          <w:b/>
          <w:sz w:val="24"/>
          <w:szCs w:val="24"/>
          <w:lang w:val="cs-CZ"/>
        </w:rPr>
        <w:t>3</w:t>
      </w:r>
      <w:r w:rsidR="00730AC8">
        <w:rPr>
          <w:rFonts w:ascii="Arial" w:hAnsi="Arial" w:cs="Arial"/>
          <w:sz w:val="24"/>
          <w:szCs w:val="24"/>
        </w:rPr>
        <w:t xml:space="preserve"> jich bylo evidováno </w:t>
      </w:r>
      <w:r w:rsidR="00730AC8">
        <w:rPr>
          <w:rFonts w:ascii="Arial" w:hAnsi="Arial" w:cs="Arial"/>
          <w:b/>
          <w:sz w:val="24"/>
          <w:szCs w:val="24"/>
          <w:lang w:val="cs-CZ"/>
        </w:rPr>
        <w:t>363</w:t>
      </w:r>
      <w:r w:rsidR="00730AC8">
        <w:rPr>
          <w:rFonts w:ascii="Arial" w:hAnsi="Arial" w:cs="Arial"/>
          <w:b/>
          <w:sz w:val="24"/>
          <w:szCs w:val="24"/>
        </w:rPr>
        <w:t>,</w:t>
      </w:r>
      <w:r w:rsidR="00730AC8">
        <w:rPr>
          <w:rFonts w:ascii="Arial" w:hAnsi="Arial" w:cs="Arial"/>
          <w:b/>
          <w:sz w:val="24"/>
          <w:szCs w:val="24"/>
          <w:lang w:val="cs-CZ"/>
        </w:rPr>
        <w:t>5</w:t>
      </w:r>
      <w:r w:rsidR="00730AC8">
        <w:rPr>
          <w:rFonts w:ascii="Arial" w:hAnsi="Arial" w:cs="Arial"/>
          <w:b/>
          <w:sz w:val="24"/>
          <w:szCs w:val="24"/>
        </w:rPr>
        <w:t xml:space="preserve"> tis.</w:t>
      </w:r>
      <w:r w:rsidR="00730AC8">
        <w:rPr>
          <w:rFonts w:ascii="Arial" w:hAnsi="Arial" w:cs="Arial"/>
          <w:sz w:val="24"/>
          <w:szCs w:val="24"/>
        </w:rPr>
        <w:t xml:space="preserve">, což znamená meziroční </w:t>
      </w:r>
      <w:r w:rsidR="00730AC8">
        <w:rPr>
          <w:rFonts w:ascii="Arial" w:hAnsi="Arial" w:cs="Arial"/>
          <w:sz w:val="24"/>
          <w:szCs w:val="24"/>
          <w:lang w:val="cs-CZ"/>
        </w:rPr>
        <w:t>nárůst</w:t>
      </w:r>
      <w:r w:rsidR="00730AC8">
        <w:rPr>
          <w:rFonts w:ascii="Arial" w:hAnsi="Arial" w:cs="Arial"/>
          <w:sz w:val="24"/>
          <w:szCs w:val="24"/>
        </w:rPr>
        <w:t xml:space="preserve"> o </w:t>
      </w:r>
      <w:r w:rsidR="00730AC8">
        <w:rPr>
          <w:rFonts w:ascii="Arial" w:hAnsi="Arial" w:cs="Arial"/>
          <w:sz w:val="24"/>
          <w:szCs w:val="24"/>
          <w:lang w:val="cs-CZ"/>
        </w:rPr>
        <w:t>63</w:t>
      </w:r>
      <w:r w:rsidR="00730AC8">
        <w:rPr>
          <w:rFonts w:ascii="Arial" w:hAnsi="Arial" w:cs="Arial"/>
          <w:sz w:val="24"/>
          <w:szCs w:val="24"/>
        </w:rPr>
        <w:t>,</w:t>
      </w:r>
      <w:r w:rsidR="00730AC8">
        <w:rPr>
          <w:rFonts w:ascii="Arial" w:hAnsi="Arial" w:cs="Arial"/>
          <w:sz w:val="24"/>
          <w:szCs w:val="24"/>
          <w:lang w:val="cs-CZ"/>
        </w:rPr>
        <w:t>0</w:t>
      </w:r>
      <w:r w:rsidR="00730AC8">
        <w:rPr>
          <w:rFonts w:ascii="Arial" w:hAnsi="Arial" w:cs="Arial"/>
          <w:sz w:val="24"/>
          <w:szCs w:val="24"/>
        </w:rPr>
        <w:t xml:space="preserve"> tis. osob. Jejich podíl na celkovém počtu nezaměstnaných </w:t>
      </w:r>
      <w:r w:rsidR="00730AC8">
        <w:rPr>
          <w:rFonts w:ascii="Arial" w:hAnsi="Arial" w:cs="Arial"/>
          <w:sz w:val="24"/>
          <w:szCs w:val="24"/>
          <w:lang w:val="cs-CZ"/>
        </w:rPr>
        <w:t>se zvýšil na</w:t>
      </w:r>
      <w:r w:rsidR="00730AC8">
        <w:rPr>
          <w:rFonts w:ascii="Arial" w:hAnsi="Arial" w:cs="Arial"/>
          <w:sz w:val="24"/>
          <w:szCs w:val="24"/>
        </w:rPr>
        <w:t xml:space="preserve"> </w:t>
      </w:r>
      <w:r w:rsidR="00730AC8">
        <w:rPr>
          <w:rFonts w:ascii="Arial" w:hAnsi="Arial" w:cs="Arial"/>
          <w:sz w:val="24"/>
          <w:szCs w:val="24"/>
          <w:lang w:val="cs-CZ"/>
        </w:rPr>
        <w:t>67</w:t>
      </w:r>
      <w:r w:rsidR="00730AC8">
        <w:rPr>
          <w:rFonts w:ascii="Arial" w:hAnsi="Arial" w:cs="Arial"/>
          <w:sz w:val="24"/>
          <w:szCs w:val="24"/>
        </w:rPr>
        <w:t>,</w:t>
      </w:r>
      <w:r w:rsidR="00730AC8">
        <w:rPr>
          <w:rFonts w:ascii="Arial" w:hAnsi="Arial" w:cs="Arial"/>
          <w:sz w:val="24"/>
          <w:szCs w:val="24"/>
          <w:lang w:val="cs-CZ"/>
        </w:rPr>
        <w:t>2</w:t>
      </w:r>
      <w:r w:rsidR="00730AC8">
        <w:rPr>
          <w:rFonts w:ascii="Arial" w:hAnsi="Arial" w:cs="Arial"/>
          <w:sz w:val="24"/>
          <w:szCs w:val="24"/>
        </w:rPr>
        <w:t> % (v </w:t>
      </w:r>
      <w:r w:rsidR="00730AC8">
        <w:rPr>
          <w:rFonts w:ascii="Arial" w:hAnsi="Arial" w:cs="Arial"/>
          <w:sz w:val="24"/>
          <w:szCs w:val="24"/>
          <w:lang w:val="cs-CZ"/>
        </w:rPr>
        <w:t>červnu</w:t>
      </w:r>
      <w:r w:rsidR="00730AC8">
        <w:rPr>
          <w:rFonts w:ascii="Arial" w:hAnsi="Arial" w:cs="Arial"/>
          <w:sz w:val="24"/>
          <w:szCs w:val="24"/>
        </w:rPr>
        <w:t xml:space="preserve"> 20</w:t>
      </w:r>
      <w:r w:rsidR="00730AC8">
        <w:rPr>
          <w:rFonts w:ascii="Arial" w:hAnsi="Arial" w:cs="Arial"/>
          <w:sz w:val="24"/>
          <w:szCs w:val="24"/>
          <w:lang w:val="cs-CZ"/>
        </w:rPr>
        <w:t>12</w:t>
      </w:r>
      <w:r w:rsidR="00730AC8">
        <w:rPr>
          <w:rFonts w:ascii="Arial" w:hAnsi="Arial" w:cs="Arial"/>
          <w:sz w:val="24"/>
          <w:szCs w:val="24"/>
        </w:rPr>
        <w:t xml:space="preserve"> </w:t>
      </w:r>
      <w:r w:rsidR="00730AC8">
        <w:rPr>
          <w:rFonts w:ascii="Arial" w:hAnsi="Arial" w:cs="Arial"/>
          <w:sz w:val="24"/>
          <w:szCs w:val="24"/>
          <w:lang w:val="cs-CZ"/>
        </w:rPr>
        <w:t>63</w:t>
      </w:r>
      <w:r w:rsidR="00730AC8">
        <w:rPr>
          <w:rFonts w:ascii="Arial" w:hAnsi="Arial" w:cs="Arial"/>
          <w:sz w:val="24"/>
          <w:szCs w:val="24"/>
        </w:rPr>
        <w:t>,</w:t>
      </w:r>
      <w:r w:rsidR="00730AC8">
        <w:rPr>
          <w:rFonts w:ascii="Arial" w:hAnsi="Arial" w:cs="Arial"/>
          <w:sz w:val="24"/>
          <w:szCs w:val="24"/>
          <w:lang w:val="cs-CZ"/>
        </w:rPr>
        <w:t>3</w:t>
      </w:r>
      <w:r w:rsidR="00730AC8">
        <w:rPr>
          <w:rFonts w:ascii="Arial" w:hAnsi="Arial" w:cs="Arial"/>
          <w:sz w:val="24"/>
          <w:szCs w:val="24"/>
        </w:rPr>
        <w:t> %).</w:t>
      </w:r>
    </w:p>
    <w:p w:rsidR="00730AC8" w:rsidRDefault="00730AC8" w:rsidP="00730AC8">
      <w:pPr>
        <w:pStyle w:val="Nadpis3"/>
        <w:spacing w:line="360" w:lineRule="auto"/>
        <w:ind w:firstLine="0"/>
        <w:jc w:val="both"/>
        <w:rPr>
          <w:szCs w:val="23"/>
        </w:rPr>
      </w:pPr>
    </w:p>
    <w:p w:rsidR="00730AC8" w:rsidRDefault="00730AC8" w:rsidP="00730AC8">
      <w:pPr>
        <w:pStyle w:val="Nadpis3"/>
        <w:spacing w:line="360" w:lineRule="auto"/>
        <w:ind w:firstLine="0"/>
        <w:jc w:val="both"/>
        <w:rPr>
          <w:szCs w:val="23"/>
        </w:rPr>
      </w:pPr>
      <w:r>
        <w:rPr>
          <w:szCs w:val="23"/>
        </w:rPr>
        <w:t>Délka evidence uchazečů o zaměstnání</w:t>
      </w:r>
    </w:p>
    <w:p w:rsidR="00730AC8" w:rsidRPr="006B7AE5" w:rsidRDefault="00730AC8" w:rsidP="00730AC8"/>
    <w:p w:rsidR="00730AC8" w:rsidRDefault="00730AC8" w:rsidP="002C2E5E">
      <w:pPr>
        <w:tabs>
          <w:tab w:val="left" w:pos="567"/>
          <w:tab w:val="left" w:pos="709"/>
        </w:tabs>
        <w:spacing w:line="360" w:lineRule="auto"/>
        <w:jc w:val="both"/>
        <w:rPr>
          <w:rFonts w:ascii="Arial" w:hAnsi="Arial" w:cs="Arial"/>
          <w:szCs w:val="23"/>
        </w:rPr>
      </w:pPr>
      <w:r>
        <w:rPr>
          <w:rFonts w:ascii="Arial" w:hAnsi="Arial" w:cs="Arial"/>
          <w:color w:val="0070C0"/>
          <w:szCs w:val="23"/>
        </w:rPr>
        <w:tab/>
      </w:r>
      <w:r>
        <w:rPr>
          <w:rFonts w:ascii="Arial" w:hAnsi="Arial" w:cs="Arial"/>
          <w:szCs w:val="23"/>
        </w:rPr>
        <w:t xml:space="preserve">Nárůst počtu dlouhodobě nezaměstnaných se projevil v prodloužení délky evidence. Průměrná </w:t>
      </w:r>
      <w:r>
        <w:rPr>
          <w:rFonts w:ascii="Arial" w:hAnsi="Arial" w:cs="Arial"/>
          <w:b/>
          <w:bCs/>
          <w:szCs w:val="23"/>
        </w:rPr>
        <w:t>délka průběžné evidence</w:t>
      </w:r>
      <w:r>
        <w:rPr>
          <w:rFonts w:ascii="Arial" w:hAnsi="Arial" w:cs="Arial"/>
          <w:szCs w:val="23"/>
        </w:rPr>
        <w:t xml:space="preserve"> (tj. délka evidence uchazečů o zaměstnání, kteří byli k 30. 6. 2013 registrovaní na ÚP</w:t>
      </w:r>
      <w:r w:rsidR="006A789A">
        <w:rPr>
          <w:rFonts w:ascii="Arial" w:hAnsi="Arial" w:cs="Arial"/>
          <w:szCs w:val="23"/>
        </w:rPr>
        <w:t> ČR</w:t>
      </w:r>
      <w:r>
        <w:rPr>
          <w:rFonts w:ascii="Arial" w:hAnsi="Arial" w:cs="Arial"/>
          <w:szCs w:val="23"/>
        </w:rPr>
        <w:t xml:space="preserve">) se prodloužila z 560 dní na konci června 2012 na </w:t>
      </w:r>
      <w:r>
        <w:rPr>
          <w:rFonts w:ascii="Arial" w:hAnsi="Arial" w:cs="Arial"/>
          <w:b/>
          <w:szCs w:val="23"/>
        </w:rPr>
        <w:t>572 dní</w:t>
      </w:r>
      <w:r>
        <w:rPr>
          <w:rFonts w:ascii="Arial" w:hAnsi="Arial" w:cs="Arial"/>
          <w:szCs w:val="23"/>
        </w:rPr>
        <w:t xml:space="preserve">, tj. o 12 dní. </w:t>
      </w:r>
    </w:p>
    <w:p w:rsidR="00730AC8" w:rsidRDefault="00730AC8" w:rsidP="00D30183">
      <w:pPr>
        <w:pStyle w:val="Zkladntext"/>
        <w:spacing w:line="360" w:lineRule="auto"/>
        <w:ind w:firstLine="567"/>
        <w:rPr>
          <w:strike/>
          <w:color w:val="auto"/>
          <w:szCs w:val="23"/>
        </w:rPr>
      </w:pPr>
      <w:r>
        <w:rPr>
          <w:color w:val="auto"/>
          <w:szCs w:val="23"/>
        </w:rPr>
        <w:t xml:space="preserve">Průměrná </w:t>
      </w:r>
      <w:r>
        <w:rPr>
          <w:b/>
          <w:bCs/>
          <w:color w:val="auto"/>
          <w:szCs w:val="23"/>
        </w:rPr>
        <w:t>délka ukončené evidence</w:t>
      </w:r>
      <w:r>
        <w:rPr>
          <w:color w:val="auto"/>
          <w:szCs w:val="23"/>
        </w:rPr>
        <w:t xml:space="preserve"> (tj.</w:t>
      </w:r>
      <w:r>
        <w:rPr>
          <w:color w:val="auto"/>
          <w:szCs w:val="23"/>
          <w:lang w:val="cs-CZ"/>
        </w:rPr>
        <w:t> </w:t>
      </w:r>
      <w:r>
        <w:rPr>
          <w:color w:val="auto"/>
          <w:szCs w:val="23"/>
        </w:rPr>
        <w:t xml:space="preserve">délka evidence uchazečů o zaměstnání, kteří byli v průběhu </w:t>
      </w:r>
      <w:r>
        <w:rPr>
          <w:color w:val="auto"/>
          <w:szCs w:val="23"/>
          <w:lang w:val="cs-CZ"/>
        </w:rPr>
        <w:t>2</w:t>
      </w:r>
      <w:r>
        <w:rPr>
          <w:color w:val="auto"/>
          <w:szCs w:val="23"/>
        </w:rPr>
        <w:t>. čtvrtletí 201</w:t>
      </w:r>
      <w:r>
        <w:rPr>
          <w:color w:val="auto"/>
          <w:szCs w:val="23"/>
          <w:lang w:val="cs-CZ"/>
        </w:rPr>
        <w:t>3</w:t>
      </w:r>
      <w:r>
        <w:rPr>
          <w:color w:val="auto"/>
          <w:szCs w:val="23"/>
        </w:rPr>
        <w:t xml:space="preserve"> vyřazeni z evidence), představovala </w:t>
      </w:r>
      <w:r w:rsidRPr="00787E9F">
        <w:rPr>
          <w:b/>
          <w:color w:val="auto"/>
          <w:szCs w:val="23"/>
          <w:lang w:val="cs-CZ"/>
        </w:rPr>
        <w:t>314</w:t>
      </w:r>
      <w:r>
        <w:rPr>
          <w:b/>
          <w:bCs/>
          <w:color w:val="auto"/>
          <w:szCs w:val="23"/>
        </w:rPr>
        <w:t> dní</w:t>
      </w:r>
      <w:r>
        <w:rPr>
          <w:color w:val="auto"/>
          <w:szCs w:val="23"/>
        </w:rPr>
        <w:t xml:space="preserve"> a v porovnání se stejným obdobím roku 20</w:t>
      </w:r>
      <w:r>
        <w:rPr>
          <w:color w:val="auto"/>
          <w:szCs w:val="23"/>
          <w:lang w:val="cs-CZ"/>
        </w:rPr>
        <w:t>12</w:t>
      </w:r>
      <w:r>
        <w:rPr>
          <w:color w:val="auto"/>
          <w:szCs w:val="23"/>
        </w:rPr>
        <w:t xml:space="preserve"> (2</w:t>
      </w:r>
      <w:r>
        <w:rPr>
          <w:color w:val="auto"/>
          <w:szCs w:val="23"/>
          <w:lang w:val="cs-CZ"/>
        </w:rPr>
        <w:t>72</w:t>
      </w:r>
      <w:r>
        <w:rPr>
          <w:color w:val="auto"/>
          <w:szCs w:val="23"/>
        </w:rPr>
        <w:t xml:space="preserve"> dní) se prodloužila o </w:t>
      </w:r>
      <w:r>
        <w:rPr>
          <w:color w:val="auto"/>
          <w:szCs w:val="23"/>
          <w:lang w:val="cs-CZ"/>
        </w:rPr>
        <w:t>32</w:t>
      </w:r>
      <w:r>
        <w:rPr>
          <w:color w:val="auto"/>
          <w:szCs w:val="23"/>
        </w:rPr>
        <w:t> dní</w:t>
      </w:r>
      <w:r>
        <w:rPr>
          <w:bCs/>
          <w:color w:val="auto"/>
          <w:szCs w:val="23"/>
        </w:rPr>
        <w:t>.</w:t>
      </w:r>
    </w:p>
    <w:p w:rsidR="00730AC8" w:rsidRDefault="00730AC8" w:rsidP="00730AC8">
      <w:pPr>
        <w:spacing w:line="360" w:lineRule="auto"/>
      </w:pPr>
    </w:p>
    <w:p w:rsidR="00730AC8" w:rsidRDefault="00730AC8" w:rsidP="00730AC8">
      <w:pPr>
        <w:pStyle w:val="Zkladntextodsazen"/>
        <w:tabs>
          <w:tab w:val="left" w:pos="720"/>
        </w:tabs>
        <w:ind w:firstLine="0"/>
        <w:jc w:val="left"/>
        <w:rPr>
          <w:rFonts w:cs="Arial"/>
          <w:b/>
          <w:bCs/>
        </w:rPr>
      </w:pPr>
      <w:r w:rsidRPr="00F65496">
        <w:rPr>
          <w:rFonts w:cs="Arial"/>
          <w:b/>
          <w:bCs/>
        </w:rPr>
        <w:t>Struktura uchazečů o zaměstnání a volných pracovních míst podle vzdělání</w:t>
      </w:r>
    </w:p>
    <w:p w:rsidR="00730AC8" w:rsidRPr="006B7AE5" w:rsidRDefault="00730AC8" w:rsidP="00730AC8">
      <w:pPr>
        <w:pStyle w:val="Zkladntextodsazen"/>
        <w:tabs>
          <w:tab w:val="left" w:pos="720"/>
        </w:tabs>
        <w:ind w:firstLine="0"/>
        <w:jc w:val="left"/>
        <w:rPr>
          <w:rFonts w:cs="Arial"/>
          <w:b/>
          <w:bCs/>
        </w:rPr>
      </w:pPr>
    </w:p>
    <w:p w:rsidR="00730AC8" w:rsidRPr="00737F8F" w:rsidRDefault="00730AC8" w:rsidP="002C2E5E">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line="360" w:lineRule="auto"/>
        <w:ind w:firstLine="567"/>
        <w:jc w:val="both"/>
        <w:rPr>
          <w:rFonts w:ascii="Arial" w:hAnsi="Arial" w:cs="Arial"/>
        </w:rPr>
      </w:pPr>
      <w:r w:rsidRPr="00737F8F">
        <w:rPr>
          <w:rFonts w:ascii="Arial" w:hAnsi="Arial" w:cs="Arial"/>
        </w:rPr>
        <w:t>K 30. 6. 201</w:t>
      </w:r>
      <w:r>
        <w:rPr>
          <w:rFonts w:ascii="Arial" w:hAnsi="Arial" w:cs="Arial"/>
        </w:rPr>
        <w:t>3</w:t>
      </w:r>
      <w:r w:rsidRPr="00737F8F">
        <w:rPr>
          <w:rFonts w:ascii="Arial" w:hAnsi="Arial" w:cs="Arial"/>
        </w:rPr>
        <w:t xml:space="preserve"> byl zaznamenán </w:t>
      </w:r>
      <w:r>
        <w:rPr>
          <w:rFonts w:ascii="Arial" w:hAnsi="Arial" w:cs="Arial"/>
        </w:rPr>
        <w:t xml:space="preserve">pouze mírný </w:t>
      </w:r>
      <w:r w:rsidRPr="00737F8F">
        <w:rPr>
          <w:rFonts w:ascii="Arial" w:hAnsi="Arial" w:cs="Arial"/>
          <w:b/>
        </w:rPr>
        <w:t xml:space="preserve">meziroční pokles uchazečů </w:t>
      </w:r>
      <w:r w:rsidRPr="00737F8F">
        <w:rPr>
          <w:rFonts w:ascii="Arial" w:hAnsi="Arial" w:cs="Arial"/>
          <w:b/>
          <w:lang w:eastAsia="en-US"/>
        </w:rPr>
        <w:t>se středoškolským vzděláním bez maturity</w:t>
      </w:r>
      <w:r w:rsidRPr="00737F8F">
        <w:rPr>
          <w:rFonts w:ascii="Arial" w:hAnsi="Arial" w:cs="Arial"/>
          <w:lang w:eastAsia="en-US"/>
        </w:rPr>
        <w:t xml:space="preserve"> (o </w:t>
      </w:r>
      <w:r>
        <w:rPr>
          <w:rFonts w:ascii="Arial" w:hAnsi="Arial" w:cs="Arial"/>
          <w:lang w:eastAsia="en-US"/>
        </w:rPr>
        <w:t>0</w:t>
      </w:r>
      <w:r w:rsidRPr="00737F8F">
        <w:rPr>
          <w:rFonts w:ascii="Arial" w:hAnsi="Arial" w:cs="Arial"/>
          <w:lang w:eastAsia="en-US"/>
        </w:rPr>
        <w:t>,</w:t>
      </w:r>
      <w:r>
        <w:rPr>
          <w:rFonts w:ascii="Arial" w:hAnsi="Arial" w:cs="Arial"/>
          <w:lang w:eastAsia="en-US"/>
        </w:rPr>
        <w:t>7</w:t>
      </w:r>
      <w:r w:rsidRPr="00737F8F">
        <w:rPr>
          <w:rFonts w:ascii="Arial" w:hAnsi="Arial" w:cs="Arial"/>
          <w:lang w:eastAsia="en-US"/>
        </w:rPr>
        <w:t> tis.)</w:t>
      </w:r>
      <w:r>
        <w:rPr>
          <w:rFonts w:ascii="Arial" w:hAnsi="Arial" w:cs="Arial"/>
          <w:lang w:eastAsia="en-US"/>
        </w:rPr>
        <w:t xml:space="preserve"> a bez ukončeného základního vzdělání (o 0,2 tis.).  </w:t>
      </w:r>
      <w:r w:rsidRPr="00737F8F">
        <w:rPr>
          <w:rFonts w:ascii="Arial" w:hAnsi="Arial" w:cs="Arial"/>
          <w:lang w:eastAsia="en-US"/>
        </w:rPr>
        <w:t xml:space="preserve">Počty uchazečů o zaměstnání z ostatních kategorií vzdělání </w:t>
      </w:r>
      <w:r w:rsidRPr="00737F8F">
        <w:rPr>
          <w:rFonts w:ascii="Arial" w:hAnsi="Arial" w:cs="Arial"/>
          <w:b/>
          <w:lang w:eastAsia="en-US"/>
        </w:rPr>
        <w:t>vzrostly</w:t>
      </w:r>
      <w:r>
        <w:rPr>
          <w:rFonts w:ascii="Arial" w:hAnsi="Arial" w:cs="Arial"/>
          <w:b/>
          <w:lang w:eastAsia="en-US"/>
        </w:rPr>
        <w:t>,</w:t>
      </w:r>
      <w:r w:rsidRPr="00737F8F">
        <w:rPr>
          <w:rFonts w:ascii="Arial" w:hAnsi="Arial" w:cs="Arial"/>
          <w:b/>
          <w:lang w:eastAsia="en-US"/>
        </w:rPr>
        <w:t xml:space="preserve"> </w:t>
      </w:r>
      <w:r w:rsidRPr="00737F8F">
        <w:rPr>
          <w:rFonts w:ascii="Arial" w:hAnsi="Arial" w:cs="Arial"/>
          <w:lang w:eastAsia="en-US"/>
        </w:rPr>
        <w:t>nejvíce</w:t>
      </w:r>
      <w:r w:rsidRPr="00737F8F">
        <w:rPr>
          <w:rFonts w:ascii="Arial" w:hAnsi="Arial" w:cs="Arial"/>
          <w:b/>
          <w:lang w:eastAsia="en-US"/>
        </w:rPr>
        <w:t xml:space="preserve"> </w:t>
      </w:r>
      <w:r>
        <w:rPr>
          <w:rFonts w:ascii="Arial" w:hAnsi="Arial" w:cs="Arial"/>
          <w:b/>
          <w:lang w:eastAsia="en-US"/>
        </w:rPr>
        <w:t xml:space="preserve">se zvýšily počty uchazečů o zaměstnání </w:t>
      </w:r>
      <w:r>
        <w:rPr>
          <w:rFonts w:ascii="Arial" w:hAnsi="Arial" w:cs="Arial"/>
          <w:b/>
        </w:rPr>
        <w:t xml:space="preserve">vyučených </w:t>
      </w:r>
      <w:r w:rsidRPr="00787E9F">
        <w:rPr>
          <w:rFonts w:ascii="Arial" w:hAnsi="Arial" w:cs="Arial"/>
        </w:rPr>
        <w:t>(o 25,7 tis.)</w:t>
      </w:r>
      <w:r>
        <w:rPr>
          <w:rFonts w:ascii="Arial" w:hAnsi="Arial" w:cs="Arial"/>
          <w:b/>
        </w:rPr>
        <w:t xml:space="preserve">, se základním vzděláním </w:t>
      </w:r>
      <w:r w:rsidRPr="009D2CF7">
        <w:rPr>
          <w:rFonts w:ascii="Arial" w:hAnsi="Arial" w:cs="Arial"/>
        </w:rPr>
        <w:t>(o 17,2 tis.)</w:t>
      </w:r>
      <w:r>
        <w:rPr>
          <w:rFonts w:ascii="Arial" w:hAnsi="Arial" w:cs="Arial"/>
          <w:b/>
        </w:rPr>
        <w:t xml:space="preserve"> a  </w:t>
      </w:r>
      <w:r>
        <w:rPr>
          <w:rFonts w:ascii="Arial" w:hAnsi="Arial" w:cs="Arial"/>
          <w:b/>
          <w:lang w:eastAsia="en-US"/>
        </w:rPr>
        <w:t>se</w:t>
      </w:r>
      <w:r w:rsidRPr="00737F8F">
        <w:rPr>
          <w:rFonts w:ascii="Arial" w:hAnsi="Arial" w:cs="Arial"/>
          <w:b/>
          <w:lang w:eastAsia="en-US"/>
        </w:rPr>
        <w:t xml:space="preserve"> středoškolsk</w:t>
      </w:r>
      <w:r>
        <w:rPr>
          <w:rFonts w:ascii="Arial" w:hAnsi="Arial" w:cs="Arial"/>
          <w:b/>
          <w:lang w:eastAsia="en-US"/>
        </w:rPr>
        <w:t>ým</w:t>
      </w:r>
      <w:r w:rsidRPr="00737F8F">
        <w:rPr>
          <w:rFonts w:ascii="Arial" w:hAnsi="Arial" w:cs="Arial"/>
          <w:b/>
          <w:lang w:eastAsia="en-US"/>
        </w:rPr>
        <w:t xml:space="preserve"> vzdělání</w:t>
      </w:r>
      <w:r>
        <w:rPr>
          <w:rFonts w:ascii="Arial" w:hAnsi="Arial" w:cs="Arial"/>
          <w:b/>
          <w:lang w:eastAsia="en-US"/>
        </w:rPr>
        <w:t>m</w:t>
      </w:r>
      <w:r w:rsidRPr="00737F8F">
        <w:rPr>
          <w:rFonts w:ascii="Arial" w:hAnsi="Arial" w:cs="Arial"/>
          <w:b/>
          <w:lang w:eastAsia="en-US"/>
        </w:rPr>
        <w:t xml:space="preserve"> s maturitou</w:t>
      </w:r>
      <w:r w:rsidRPr="00737F8F">
        <w:rPr>
          <w:rFonts w:ascii="Arial" w:hAnsi="Arial" w:cs="Arial"/>
          <w:lang w:eastAsia="en-US"/>
        </w:rPr>
        <w:t xml:space="preserve"> (o </w:t>
      </w:r>
      <w:r>
        <w:rPr>
          <w:rFonts w:ascii="Arial" w:hAnsi="Arial" w:cs="Arial"/>
          <w:lang w:eastAsia="en-US"/>
        </w:rPr>
        <w:t>1</w:t>
      </w:r>
      <w:r w:rsidRPr="00737F8F">
        <w:rPr>
          <w:rFonts w:ascii="Arial" w:hAnsi="Arial" w:cs="Arial"/>
          <w:lang w:eastAsia="en-US"/>
        </w:rPr>
        <w:t>3,</w:t>
      </w:r>
      <w:r>
        <w:rPr>
          <w:rFonts w:ascii="Arial" w:hAnsi="Arial" w:cs="Arial"/>
          <w:lang w:eastAsia="en-US"/>
        </w:rPr>
        <w:t>8</w:t>
      </w:r>
      <w:r w:rsidRPr="00737F8F">
        <w:rPr>
          <w:rFonts w:ascii="Arial" w:hAnsi="Arial" w:cs="Arial"/>
          <w:lang w:eastAsia="en-US"/>
        </w:rPr>
        <w:t xml:space="preserve"> tis.).  </w:t>
      </w:r>
      <w:r>
        <w:rPr>
          <w:rFonts w:ascii="Arial" w:hAnsi="Arial" w:cs="Arial"/>
          <w:lang w:eastAsia="en-US"/>
        </w:rPr>
        <w:t xml:space="preserve">Největší </w:t>
      </w:r>
      <w:r w:rsidRPr="005E57CA">
        <w:rPr>
          <w:rFonts w:ascii="Arial" w:hAnsi="Arial" w:cs="Arial"/>
          <w:b/>
          <w:lang w:eastAsia="en-US"/>
        </w:rPr>
        <w:t>relativní nárůst</w:t>
      </w:r>
      <w:r>
        <w:rPr>
          <w:rFonts w:ascii="Arial" w:hAnsi="Arial" w:cs="Arial"/>
          <w:lang w:eastAsia="en-US"/>
        </w:rPr>
        <w:t xml:space="preserve"> byl patrný v početně malých skupinách uchazečů </w:t>
      </w:r>
      <w:r w:rsidRPr="005E57CA">
        <w:rPr>
          <w:rFonts w:ascii="Arial" w:hAnsi="Arial" w:cs="Arial"/>
          <w:b/>
          <w:lang w:eastAsia="en-US"/>
        </w:rPr>
        <w:t>s vyšším a vysokoškolským vzděláním</w:t>
      </w:r>
      <w:r>
        <w:rPr>
          <w:rFonts w:ascii="Arial" w:hAnsi="Arial" w:cs="Arial"/>
          <w:lang w:eastAsia="en-US"/>
        </w:rPr>
        <w:t xml:space="preserve"> (o 20,6 %, resp. 19,6 %). Spolu s vyučenými uchazeči a </w:t>
      </w:r>
      <w:r w:rsidR="002850F6">
        <w:rPr>
          <w:rFonts w:ascii="Arial" w:hAnsi="Arial" w:cs="Arial"/>
          <w:lang w:eastAsia="en-US"/>
        </w:rPr>
        <w:t xml:space="preserve">uchazeči se středním vzděláním s maturitou </w:t>
      </w:r>
      <w:r>
        <w:rPr>
          <w:rFonts w:ascii="Arial" w:hAnsi="Arial" w:cs="Arial"/>
          <w:lang w:eastAsia="en-US"/>
        </w:rPr>
        <w:t>tak došlo v těchto kategoriích i ke zvýšení podílu na celkové nezaměstnanosti.</w:t>
      </w:r>
    </w:p>
    <w:p w:rsidR="00730AC8" w:rsidRDefault="00730AC8" w:rsidP="002C2E5E">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line="360" w:lineRule="auto"/>
        <w:ind w:firstLine="567"/>
        <w:jc w:val="both"/>
        <w:rPr>
          <w:rFonts w:ascii="Arial" w:hAnsi="Arial" w:cs="Arial"/>
        </w:rPr>
      </w:pPr>
      <w:r>
        <w:rPr>
          <w:rFonts w:ascii="Arial" w:hAnsi="Arial" w:cs="Arial"/>
          <w:b/>
        </w:rPr>
        <w:t>Nejpočetnějšími</w:t>
      </w:r>
      <w:r>
        <w:rPr>
          <w:rFonts w:ascii="Arial" w:hAnsi="Arial" w:cs="Arial"/>
        </w:rPr>
        <w:t xml:space="preserve"> skupinami uchazečů o zaměstnání byli stále uchazeči </w:t>
      </w:r>
      <w:r w:rsidRPr="009D2CF7">
        <w:rPr>
          <w:rFonts w:ascii="Arial" w:hAnsi="Arial" w:cs="Arial"/>
          <w:b/>
        </w:rPr>
        <w:t>vyučení (210,2 tis.)</w:t>
      </w:r>
      <w:r>
        <w:rPr>
          <w:rFonts w:ascii="Arial" w:hAnsi="Arial" w:cs="Arial"/>
        </w:rPr>
        <w:t xml:space="preserve"> </w:t>
      </w:r>
      <w:r>
        <w:rPr>
          <w:rFonts w:ascii="Arial" w:hAnsi="Arial" w:cs="Arial"/>
          <w:b/>
        </w:rPr>
        <w:t>a se základním vzděláním</w:t>
      </w:r>
      <w:r>
        <w:rPr>
          <w:rFonts w:ascii="Arial" w:hAnsi="Arial" w:cs="Arial"/>
        </w:rPr>
        <w:t xml:space="preserve"> </w:t>
      </w:r>
      <w:r w:rsidRPr="009D2CF7">
        <w:rPr>
          <w:rFonts w:ascii="Arial" w:hAnsi="Arial" w:cs="Arial"/>
          <w:b/>
        </w:rPr>
        <w:t>vč. neukončeného základního vzdělání (155,9 tis.)</w:t>
      </w:r>
      <w:r>
        <w:rPr>
          <w:rFonts w:ascii="Arial" w:hAnsi="Arial" w:cs="Arial"/>
        </w:rPr>
        <w:t xml:space="preserve">, kteří tvoří 38,9 % resp. 28,8 % na nezaměstnanosti. </w:t>
      </w:r>
    </w:p>
    <w:p w:rsidR="00730AC8" w:rsidRPr="006563F7" w:rsidRDefault="00730AC8" w:rsidP="00730AC8">
      <w:pPr>
        <w:pStyle w:val="Nadpis4"/>
        <w:jc w:val="center"/>
        <w:rPr>
          <w:rFonts w:ascii="Arial" w:hAnsi="Arial"/>
          <w:color w:val="auto"/>
          <w:sz w:val="24"/>
        </w:rPr>
      </w:pPr>
      <w:r>
        <w:rPr>
          <w:rFonts w:ascii="Arial" w:hAnsi="Arial"/>
          <w:color w:val="auto"/>
          <w:sz w:val="24"/>
          <w:highlight w:val="yellow"/>
        </w:rPr>
        <w:br w:type="column"/>
      </w:r>
      <w:r w:rsidRPr="00730AC8">
        <w:rPr>
          <w:rFonts w:ascii="Arial" w:hAnsi="Arial"/>
          <w:color w:val="auto"/>
          <w:sz w:val="24"/>
        </w:rPr>
        <w:lastRenderedPageBreak/>
        <w:t>Struktura uchazečů o zaměstnání podle vzdělání</w:t>
      </w:r>
    </w:p>
    <w:tbl>
      <w:tblPr>
        <w:tblW w:w="7256" w:type="dxa"/>
        <w:jc w:val="center"/>
        <w:tblCellMar>
          <w:left w:w="70" w:type="dxa"/>
          <w:right w:w="70" w:type="dxa"/>
        </w:tblCellMar>
        <w:tblLook w:val="04A0" w:firstRow="1" w:lastRow="0" w:firstColumn="1" w:lastColumn="0" w:noHBand="0" w:noVBand="1"/>
      </w:tblPr>
      <w:tblGrid>
        <w:gridCol w:w="1960"/>
        <w:gridCol w:w="880"/>
        <w:gridCol w:w="880"/>
        <w:gridCol w:w="880"/>
        <w:gridCol w:w="880"/>
        <w:gridCol w:w="904"/>
        <w:gridCol w:w="872"/>
      </w:tblGrid>
      <w:tr w:rsidR="00730AC8" w:rsidRPr="006563F7" w:rsidTr="002F5109">
        <w:trPr>
          <w:trHeight w:val="170"/>
          <w:jc w:val="center"/>
        </w:trPr>
        <w:tc>
          <w:tcPr>
            <w:tcW w:w="1960" w:type="dxa"/>
            <w:noWrap/>
            <w:vAlign w:val="bottom"/>
            <w:hideMark/>
          </w:tcPr>
          <w:p w:rsidR="00730AC8" w:rsidRPr="006563F7" w:rsidRDefault="00730AC8" w:rsidP="002F5109">
            <w:pPr>
              <w:spacing w:after="200" w:line="276" w:lineRule="auto"/>
              <w:rPr>
                <w:rFonts w:ascii="Calibri" w:eastAsia="Calibri" w:hAnsi="Calibri"/>
                <w:sz w:val="22"/>
                <w:szCs w:val="22"/>
                <w:lang w:eastAsia="en-US"/>
              </w:rPr>
            </w:pPr>
          </w:p>
        </w:tc>
        <w:tc>
          <w:tcPr>
            <w:tcW w:w="880" w:type="dxa"/>
            <w:noWrap/>
            <w:vAlign w:val="bottom"/>
            <w:hideMark/>
          </w:tcPr>
          <w:p w:rsidR="00730AC8" w:rsidRPr="006563F7" w:rsidRDefault="00730AC8" w:rsidP="002F5109">
            <w:pPr>
              <w:spacing w:after="200" w:line="276" w:lineRule="auto"/>
              <w:rPr>
                <w:rFonts w:ascii="Calibri" w:eastAsia="Calibri" w:hAnsi="Calibri"/>
                <w:sz w:val="22"/>
                <w:szCs w:val="22"/>
                <w:lang w:eastAsia="en-US"/>
              </w:rPr>
            </w:pPr>
          </w:p>
        </w:tc>
        <w:tc>
          <w:tcPr>
            <w:tcW w:w="880" w:type="dxa"/>
            <w:noWrap/>
            <w:vAlign w:val="bottom"/>
            <w:hideMark/>
          </w:tcPr>
          <w:p w:rsidR="00730AC8" w:rsidRPr="006563F7" w:rsidRDefault="00730AC8" w:rsidP="002F5109">
            <w:pPr>
              <w:spacing w:after="200" w:line="276" w:lineRule="auto"/>
              <w:rPr>
                <w:rFonts w:ascii="Calibri" w:eastAsia="Calibri" w:hAnsi="Calibri"/>
                <w:sz w:val="22"/>
                <w:szCs w:val="22"/>
                <w:lang w:eastAsia="en-US"/>
              </w:rPr>
            </w:pPr>
          </w:p>
        </w:tc>
        <w:tc>
          <w:tcPr>
            <w:tcW w:w="880" w:type="dxa"/>
            <w:noWrap/>
            <w:vAlign w:val="bottom"/>
            <w:hideMark/>
          </w:tcPr>
          <w:p w:rsidR="00730AC8" w:rsidRPr="006563F7" w:rsidRDefault="00730AC8" w:rsidP="002F5109">
            <w:pPr>
              <w:spacing w:after="200" w:line="276" w:lineRule="auto"/>
              <w:rPr>
                <w:rFonts w:ascii="Calibri" w:eastAsia="Calibri" w:hAnsi="Calibri"/>
                <w:sz w:val="22"/>
                <w:szCs w:val="22"/>
                <w:lang w:eastAsia="en-US"/>
              </w:rPr>
            </w:pPr>
          </w:p>
        </w:tc>
        <w:tc>
          <w:tcPr>
            <w:tcW w:w="880" w:type="dxa"/>
            <w:noWrap/>
            <w:vAlign w:val="bottom"/>
            <w:hideMark/>
          </w:tcPr>
          <w:p w:rsidR="00730AC8" w:rsidRPr="006563F7" w:rsidRDefault="00730AC8" w:rsidP="002F5109">
            <w:pPr>
              <w:spacing w:after="200" w:line="276" w:lineRule="auto"/>
              <w:rPr>
                <w:rFonts w:ascii="Calibri" w:eastAsia="Calibri" w:hAnsi="Calibri"/>
                <w:sz w:val="22"/>
                <w:szCs w:val="22"/>
                <w:lang w:eastAsia="en-US"/>
              </w:rPr>
            </w:pPr>
          </w:p>
        </w:tc>
        <w:tc>
          <w:tcPr>
            <w:tcW w:w="1776" w:type="dxa"/>
            <w:gridSpan w:val="2"/>
            <w:tcBorders>
              <w:top w:val="nil"/>
              <w:left w:val="nil"/>
              <w:bottom w:val="double" w:sz="6" w:space="0" w:color="auto"/>
              <w:right w:val="nil"/>
            </w:tcBorders>
            <w:noWrap/>
            <w:vAlign w:val="bottom"/>
            <w:hideMark/>
          </w:tcPr>
          <w:p w:rsidR="00730AC8" w:rsidRPr="006563F7" w:rsidRDefault="00730AC8" w:rsidP="002F5109">
            <w:pPr>
              <w:spacing w:line="276" w:lineRule="auto"/>
              <w:jc w:val="right"/>
              <w:rPr>
                <w:rFonts w:ascii="Arial" w:hAnsi="Arial" w:cs="Arial"/>
                <w:sz w:val="20"/>
                <w:szCs w:val="20"/>
                <w:lang w:eastAsia="en-US"/>
              </w:rPr>
            </w:pPr>
            <w:proofErr w:type="spellStart"/>
            <w:r w:rsidRPr="006563F7">
              <w:rPr>
                <w:rFonts w:ascii="Arial" w:hAnsi="Arial" w:cs="Arial"/>
                <w:sz w:val="20"/>
                <w:szCs w:val="20"/>
                <w:lang w:eastAsia="en-US"/>
              </w:rPr>
              <w:t>tab.č</w:t>
            </w:r>
            <w:proofErr w:type="spellEnd"/>
            <w:r w:rsidRPr="006563F7">
              <w:rPr>
                <w:rFonts w:ascii="Arial" w:hAnsi="Arial" w:cs="Arial"/>
                <w:sz w:val="20"/>
                <w:szCs w:val="20"/>
                <w:lang w:eastAsia="en-US"/>
              </w:rPr>
              <w:t>.</w:t>
            </w:r>
            <w:r>
              <w:rPr>
                <w:rFonts w:ascii="Arial" w:hAnsi="Arial" w:cs="Arial"/>
                <w:sz w:val="20"/>
                <w:szCs w:val="20"/>
                <w:lang w:eastAsia="en-US"/>
              </w:rPr>
              <w:t xml:space="preserve"> 21</w:t>
            </w:r>
          </w:p>
        </w:tc>
      </w:tr>
      <w:tr w:rsidR="00730AC8" w:rsidRPr="009B0D99" w:rsidTr="002F5109">
        <w:trPr>
          <w:trHeight w:val="315"/>
          <w:jc w:val="center"/>
        </w:trPr>
        <w:tc>
          <w:tcPr>
            <w:tcW w:w="1960" w:type="dxa"/>
            <w:tcBorders>
              <w:top w:val="double" w:sz="6" w:space="0" w:color="auto"/>
              <w:left w:val="double" w:sz="6" w:space="0" w:color="auto"/>
              <w:bottom w:val="nil"/>
              <w:right w:val="single" w:sz="4" w:space="0" w:color="auto"/>
            </w:tcBorders>
            <w:noWrap/>
            <w:hideMark/>
          </w:tcPr>
          <w:p w:rsidR="00730AC8" w:rsidRDefault="00730AC8" w:rsidP="002F5109">
            <w:pPr>
              <w:spacing w:line="276" w:lineRule="auto"/>
              <w:jc w:val="both"/>
              <w:rPr>
                <w:rFonts w:ascii="Arial" w:hAnsi="Arial" w:cs="Arial"/>
                <w:lang w:eastAsia="en-US"/>
              </w:rPr>
            </w:pPr>
            <w:r>
              <w:rPr>
                <w:rFonts w:ascii="Arial" w:hAnsi="Arial" w:cs="Arial"/>
                <w:lang w:eastAsia="en-US"/>
              </w:rPr>
              <w:t> </w:t>
            </w:r>
          </w:p>
        </w:tc>
        <w:tc>
          <w:tcPr>
            <w:tcW w:w="1760" w:type="dxa"/>
            <w:gridSpan w:val="2"/>
            <w:tcBorders>
              <w:top w:val="double" w:sz="6" w:space="0" w:color="auto"/>
              <w:left w:val="nil"/>
              <w:bottom w:val="single" w:sz="4" w:space="0" w:color="auto"/>
              <w:right w:val="nil"/>
            </w:tcBorders>
            <w:noWrap/>
            <w:vAlign w:val="center"/>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k 30. 6. 2012</w:t>
            </w:r>
          </w:p>
        </w:tc>
        <w:tc>
          <w:tcPr>
            <w:tcW w:w="1760" w:type="dxa"/>
            <w:gridSpan w:val="2"/>
            <w:tcBorders>
              <w:top w:val="double" w:sz="6" w:space="0" w:color="auto"/>
              <w:left w:val="single" w:sz="4" w:space="0" w:color="auto"/>
              <w:bottom w:val="single" w:sz="4" w:space="0" w:color="auto"/>
              <w:right w:val="single" w:sz="4" w:space="0" w:color="000000"/>
            </w:tcBorders>
            <w:noWrap/>
            <w:vAlign w:val="center"/>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k 30. 6. 2013</w:t>
            </w:r>
          </w:p>
        </w:tc>
        <w:tc>
          <w:tcPr>
            <w:tcW w:w="1776" w:type="dxa"/>
            <w:gridSpan w:val="2"/>
            <w:tcBorders>
              <w:top w:val="double" w:sz="6" w:space="0" w:color="auto"/>
              <w:left w:val="nil"/>
              <w:bottom w:val="single" w:sz="4" w:space="0" w:color="auto"/>
              <w:right w:val="double" w:sz="6" w:space="0" w:color="000000"/>
            </w:tcBorders>
            <w:noWrap/>
            <w:vAlign w:val="center"/>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meziroční rozdíl</w:t>
            </w:r>
          </w:p>
        </w:tc>
      </w:tr>
      <w:tr w:rsidR="00730AC8" w:rsidRPr="009B0D99" w:rsidTr="002F5109">
        <w:trPr>
          <w:trHeight w:val="285"/>
          <w:jc w:val="center"/>
        </w:trPr>
        <w:tc>
          <w:tcPr>
            <w:tcW w:w="1960" w:type="dxa"/>
            <w:tcBorders>
              <w:top w:val="nil"/>
              <w:left w:val="double" w:sz="6" w:space="0" w:color="auto"/>
              <w:bottom w:val="single" w:sz="4" w:space="0" w:color="auto"/>
              <w:right w:val="single" w:sz="4" w:space="0" w:color="auto"/>
            </w:tcBorders>
            <w:noWrap/>
            <w:vAlign w:val="bottom"/>
            <w:hideMark/>
          </w:tcPr>
          <w:p w:rsidR="00730AC8" w:rsidRDefault="00730AC8" w:rsidP="002F5109">
            <w:pPr>
              <w:spacing w:line="276" w:lineRule="auto"/>
              <w:rPr>
                <w:rFonts w:ascii="Arial" w:hAnsi="Arial" w:cs="Arial"/>
                <w:sz w:val="20"/>
                <w:szCs w:val="20"/>
                <w:lang w:eastAsia="en-US"/>
              </w:rPr>
            </w:pPr>
            <w:r>
              <w:rPr>
                <w:rFonts w:ascii="Arial" w:hAnsi="Arial" w:cs="Arial"/>
                <w:sz w:val="20"/>
                <w:szCs w:val="20"/>
                <w:lang w:eastAsia="en-US"/>
              </w:rPr>
              <w:t> </w:t>
            </w:r>
          </w:p>
        </w:tc>
        <w:tc>
          <w:tcPr>
            <w:tcW w:w="880" w:type="dxa"/>
            <w:tcBorders>
              <w:top w:val="nil"/>
              <w:left w:val="nil"/>
              <w:bottom w:val="single" w:sz="4" w:space="0" w:color="auto"/>
              <w:right w:val="single" w:sz="4" w:space="0" w:color="auto"/>
            </w:tcBorders>
            <w:vAlign w:val="bottom"/>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v tis.</w:t>
            </w:r>
          </w:p>
        </w:tc>
        <w:tc>
          <w:tcPr>
            <w:tcW w:w="880" w:type="dxa"/>
            <w:tcBorders>
              <w:top w:val="nil"/>
              <w:left w:val="nil"/>
              <w:bottom w:val="single" w:sz="4" w:space="0" w:color="auto"/>
              <w:right w:val="nil"/>
            </w:tcBorders>
            <w:vAlign w:val="bottom"/>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v %</w:t>
            </w:r>
          </w:p>
        </w:tc>
        <w:tc>
          <w:tcPr>
            <w:tcW w:w="880" w:type="dxa"/>
            <w:tcBorders>
              <w:top w:val="nil"/>
              <w:left w:val="single" w:sz="4" w:space="0" w:color="auto"/>
              <w:bottom w:val="single" w:sz="4" w:space="0" w:color="auto"/>
              <w:right w:val="single" w:sz="4" w:space="0" w:color="auto"/>
            </w:tcBorders>
            <w:vAlign w:val="bottom"/>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v tis.</w:t>
            </w:r>
          </w:p>
        </w:tc>
        <w:tc>
          <w:tcPr>
            <w:tcW w:w="880" w:type="dxa"/>
            <w:tcBorders>
              <w:top w:val="nil"/>
              <w:left w:val="nil"/>
              <w:bottom w:val="single" w:sz="4" w:space="0" w:color="auto"/>
              <w:right w:val="single" w:sz="4" w:space="0" w:color="auto"/>
            </w:tcBorders>
            <w:vAlign w:val="bottom"/>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v %</w:t>
            </w:r>
          </w:p>
        </w:tc>
        <w:tc>
          <w:tcPr>
            <w:tcW w:w="904" w:type="dxa"/>
            <w:tcBorders>
              <w:top w:val="nil"/>
              <w:left w:val="nil"/>
              <w:bottom w:val="single" w:sz="4" w:space="0" w:color="auto"/>
              <w:right w:val="single" w:sz="4" w:space="0" w:color="auto"/>
            </w:tcBorders>
            <w:vAlign w:val="bottom"/>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v tis.</w:t>
            </w:r>
          </w:p>
        </w:tc>
        <w:tc>
          <w:tcPr>
            <w:tcW w:w="872" w:type="dxa"/>
            <w:tcBorders>
              <w:top w:val="nil"/>
              <w:left w:val="nil"/>
              <w:bottom w:val="single" w:sz="4" w:space="0" w:color="auto"/>
              <w:right w:val="double" w:sz="6" w:space="0" w:color="auto"/>
            </w:tcBorders>
            <w:vAlign w:val="bottom"/>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v %</w:t>
            </w:r>
          </w:p>
        </w:tc>
      </w:tr>
      <w:tr w:rsidR="00730AC8" w:rsidRPr="009B0D99" w:rsidTr="002F5109">
        <w:trPr>
          <w:trHeight w:val="255"/>
          <w:jc w:val="center"/>
        </w:trPr>
        <w:tc>
          <w:tcPr>
            <w:tcW w:w="1960" w:type="dxa"/>
            <w:tcBorders>
              <w:top w:val="nil"/>
              <w:left w:val="double" w:sz="6" w:space="0" w:color="auto"/>
              <w:bottom w:val="nil"/>
              <w:right w:val="single" w:sz="4" w:space="0" w:color="auto"/>
            </w:tcBorders>
            <w:noWrap/>
            <w:vAlign w:val="bottom"/>
            <w:hideMark/>
          </w:tcPr>
          <w:p w:rsidR="00730AC8" w:rsidRDefault="00730AC8" w:rsidP="002F5109">
            <w:pPr>
              <w:spacing w:line="276" w:lineRule="auto"/>
              <w:rPr>
                <w:rFonts w:ascii="Arial" w:hAnsi="Arial" w:cs="Arial"/>
                <w:b/>
                <w:bCs/>
                <w:sz w:val="20"/>
                <w:szCs w:val="20"/>
                <w:lang w:eastAsia="en-US"/>
              </w:rPr>
            </w:pPr>
            <w:r>
              <w:rPr>
                <w:rFonts w:ascii="Arial" w:hAnsi="Arial" w:cs="Arial"/>
                <w:b/>
                <w:bCs/>
                <w:sz w:val="20"/>
                <w:szCs w:val="20"/>
                <w:lang w:eastAsia="en-US"/>
              </w:rPr>
              <w:t>Uchazeči celkem</w:t>
            </w:r>
          </w:p>
        </w:tc>
        <w:tc>
          <w:tcPr>
            <w:tcW w:w="880" w:type="dxa"/>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474,6</w:t>
            </w:r>
          </w:p>
        </w:tc>
        <w:tc>
          <w:tcPr>
            <w:tcW w:w="880"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100,0</w:t>
            </w:r>
          </w:p>
        </w:tc>
        <w:tc>
          <w:tcPr>
            <w:tcW w:w="880" w:type="dxa"/>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540,5</w:t>
            </w:r>
          </w:p>
        </w:tc>
        <w:tc>
          <w:tcPr>
            <w:tcW w:w="880"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100,0</w:t>
            </w:r>
          </w:p>
        </w:tc>
        <w:tc>
          <w:tcPr>
            <w:tcW w:w="904" w:type="dxa"/>
            <w:tcBorders>
              <w:top w:val="nil"/>
              <w:left w:val="nil"/>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65,9</w:t>
            </w:r>
          </w:p>
        </w:tc>
        <w:tc>
          <w:tcPr>
            <w:tcW w:w="872" w:type="dxa"/>
            <w:tcBorders>
              <w:top w:val="nil"/>
              <w:left w:val="nil"/>
              <w:bottom w:val="nil"/>
              <w:right w:val="double" w:sz="6"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13,9</w:t>
            </w:r>
          </w:p>
        </w:tc>
      </w:tr>
      <w:tr w:rsidR="00730AC8" w:rsidRPr="009B0D99" w:rsidTr="002F5109">
        <w:trPr>
          <w:trHeight w:val="255"/>
          <w:jc w:val="center"/>
        </w:trPr>
        <w:tc>
          <w:tcPr>
            <w:tcW w:w="1960" w:type="dxa"/>
            <w:tcBorders>
              <w:top w:val="nil"/>
              <w:left w:val="double" w:sz="6" w:space="0" w:color="auto"/>
              <w:bottom w:val="nil"/>
              <w:right w:val="single" w:sz="4" w:space="0" w:color="auto"/>
            </w:tcBorders>
            <w:noWrap/>
            <w:vAlign w:val="bottom"/>
            <w:hideMark/>
          </w:tcPr>
          <w:p w:rsidR="00730AC8" w:rsidRDefault="00730AC8" w:rsidP="002F5109">
            <w:pPr>
              <w:spacing w:line="276" w:lineRule="auto"/>
              <w:rPr>
                <w:rFonts w:ascii="Arial" w:hAnsi="Arial" w:cs="Arial"/>
                <w:b/>
                <w:bCs/>
                <w:sz w:val="20"/>
                <w:szCs w:val="20"/>
                <w:lang w:eastAsia="en-US"/>
              </w:rPr>
            </w:pPr>
            <w:r>
              <w:rPr>
                <w:rFonts w:ascii="Arial" w:hAnsi="Arial" w:cs="Arial"/>
                <w:b/>
                <w:bCs/>
                <w:sz w:val="20"/>
                <w:szCs w:val="20"/>
                <w:lang w:eastAsia="en-US"/>
              </w:rPr>
              <w:t xml:space="preserve">    z toho:</w:t>
            </w:r>
          </w:p>
        </w:tc>
        <w:tc>
          <w:tcPr>
            <w:tcW w:w="880" w:type="dxa"/>
            <w:noWrap/>
            <w:vAlign w:val="center"/>
            <w:hideMark/>
          </w:tcPr>
          <w:p w:rsidR="00730AC8" w:rsidRDefault="00730AC8" w:rsidP="002F5109">
            <w:pPr>
              <w:rPr>
                <w:rFonts w:ascii="Arial CE" w:hAnsi="Arial CE" w:cs="Arial CE"/>
                <w:sz w:val="20"/>
                <w:szCs w:val="20"/>
              </w:rPr>
            </w:pPr>
          </w:p>
        </w:tc>
        <w:tc>
          <w:tcPr>
            <w:tcW w:w="880" w:type="dxa"/>
            <w:tcBorders>
              <w:top w:val="nil"/>
              <w:left w:val="single" w:sz="4" w:space="0" w:color="auto"/>
              <w:bottom w:val="nil"/>
              <w:right w:val="single" w:sz="4" w:space="0" w:color="auto"/>
            </w:tcBorders>
            <w:noWrap/>
            <w:vAlign w:val="center"/>
            <w:hideMark/>
          </w:tcPr>
          <w:p w:rsidR="00730AC8" w:rsidRDefault="00730AC8" w:rsidP="002F5109">
            <w:pPr>
              <w:rPr>
                <w:rFonts w:ascii="Arial CE" w:hAnsi="Arial CE" w:cs="Arial CE"/>
                <w:sz w:val="20"/>
                <w:szCs w:val="20"/>
              </w:rPr>
            </w:pPr>
            <w:r>
              <w:rPr>
                <w:rFonts w:ascii="Arial CE" w:hAnsi="Arial CE" w:cs="Arial CE"/>
                <w:sz w:val="20"/>
                <w:szCs w:val="20"/>
              </w:rPr>
              <w:t> </w:t>
            </w:r>
          </w:p>
        </w:tc>
        <w:tc>
          <w:tcPr>
            <w:tcW w:w="880" w:type="dxa"/>
            <w:noWrap/>
            <w:vAlign w:val="center"/>
            <w:hideMark/>
          </w:tcPr>
          <w:p w:rsidR="00730AC8" w:rsidRDefault="00730AC8" w:rsidP="002F5109">
            <w:pPr>
              <w:rPr>
                <w:rFonts w:ascii="Arial CE" w:hAnsi="Arial CE" w:cs="Arial CE"/>
                <w:sz w:val="20"/>
                <w:szCs w:val="20"/>
              </w:rPr>
            </w:pPr>
          </w:p>
        </w:tc>
        <w:tc>
          <w:tcPr>
            <w:tcW w:w="880" w:type="dxa"/>
            <w:tcBorders>
              <w:top w:val="nil"/>
              <w:left w:val="single" w:sz="4" w:space="0" w:color="auto"/>
              <w:bottom w:val="nil"/>
              <w:right w:val="single" w:sz="4" w:space="0" w:color="auto"/>
            </w:tcBorders>
            <w:noWrap/>
            <w:vAlign w:val="center"/>
            <w:hideMark/>
          </w:tcPr>
          <w:p w:rsidR="00730AC8" w:rsidRDefault="00730AC8" w:rsidP="002F5109">
            <w:pPr>
              <w:rPr>
                <w:rFonts w:ascii="Arial CE" w:hAnsi="Arial CE" w:cs="Arial CE"/>
                <w:sz w:val="20"/>
                <w:szCs w:val="20"/>
              </w:rPr>
            </w:pPr>
            <w:r>
              <w:rPr>
                <w:rFonts w:ascii="Arial CE" w:hAnsi="Arial CE" w:cs="Arial CE"/>
                <w:sz w:val="20"/>
                <w:szCs w:val="20"/>
              </w:rPr>
              <w:t> </w:t>
            </w:r>
          </w:p>
        </w:tc>
        <w:tc>
          <w:tcPr>
            <w:tcW w:w="904" w:type="dxa"/>
            <w:tcBorders>
              <w:top w:val="nil"/>
              <w:left w:val="nil"/>
              <w:bottom w:val="nil"/>
              <w:right w:val="single" w:sz="4" w:space="0" w:color="auto"/>
            </w:tcBorders>
            <w:noWrap/>
            <w:vAlign w:val="center"/>
            <w:hideMark/>
          </w:tcPr>
          <w:p w:rsidR="00730AC8" w:rsidRDefault="00730AC8" w:rsidP="002F5109">
            <w:pPr>
              <w:rPr>
                <w:rFonts w:ascii="Arial CE" w:hAnsi="Arial CE" w:cs="Arial CE"/>
                <w:sz w:val="20"/>
                <w:szCs w:val="20"/>
              </w:rPr>
            </w:pPr>
            <w:r>
              <w:rPr>
                <w:rFonts w:ascii="Arial CE" w:hAnsi="Arial CE" w:cs="Arial CE"/>
                <w:sz w:val="20"/>
                <w:szCs w:val="20"/>
              </w:rPr>
              <w:t> </w:t>
            </w:r>
          </w:p>
        </w:tc>
        <w:tc>
          <w:tcPr>
            <w:tcW w:w="872" w:type="dxa"/>
            <w:tcBorders>
              <w:top w:val="nil"/>
              <w:left w:val="nil"/>
              <w:bottom w:val="nil"/>
              <w:right w:val="double" w:sz="6" w:space="0" w:color="auto"/>
            </w:tcBorders>
            <w:noWrap/>
            <w:vAlign w:val="center"/>
            <w:hideMark/>
          </w:tcPr>
          <w:p w:rsidR="00730AC8" w:rsidRDefault="00730AC8" w:rsidP="002F5109">
            <w:pPr>
              <w:rPr>
                <w:rFonts w:ascii="Arial CE" w:hAnsi="Arial CE" w:cs="Arial CE"/>
                <w:sz w:val="20"/>
                <w:szCs w:val="20"/>
              </w:rPr>
            </w:pPr>
            <w:r>
              <w:rPr>
                <w:rFonts w:ascii="Arial CE" w:hAnsi="Arial CE" w:cs="Arial CE"/>
                <w:sz w:val="20"/>
                <w:szCs w:val="20"/>
              </w:rPr>
              <w:t> </w:t>
            </w:r>
          </w:p>
        </w:tc>
      </w:tr>
      <w:tr w:rsidR="00730AC8" w:rsidRPr="009B0D99" w:rsidTr="002F5109">
        <w:trPr>
          <w:trHeight w:val="255"/>
          <w:jc w:val="center"/>
        </w:trPr>
        <w:tc>
          <w:tcPr>
            <w:tcW w:w="1960" w:type="dxa"/>
            <w:tcBorders>
              <w:top w:val="nil"/>
              <w:left w:val="double" w:sz="6" w:space="0" w:color="auto"/>
              <w:bottom w:val="nil"/>
              <w:right w:val="single" w:sz="4" w:space="0" w:color="auto"/>
            </w:tcBorders>
            <w:noWrap/>
            <w:vAlign w:val="bottom"/>
            <w:hideMark/>
          </w:tcPr>
          <w:p w:rsidR="00730AC8" w:rsidRDefault="00730AC8" w:rsidP="002F5109">
            <w:pPr>
              <w:spacing w:line="276" w:lineRule="auto"/>
              <w:rPr>
                <w:rFonts w:ascii="Arial" w:hAnsi="Arial" w:cs="Arial"/>
                <w:sz w:val="20"/>
                <w:szCs w:val="20"/>
                <w:lang w:eastAsia="en-US"/>
              </w:rPr>
            </w:pPr>
            <w:r>
              <w:rPr>
                <w:rFonts w:ascii="Arial" w:hAnsi="Arial" w:cs="Arial"/>
                <w:sz w:val="20"/>
                <w:szCs w:val="20"/>
                <w:lang w:eastAsia="en-US"/>
              </w:rPr>
              <w:t>bez vzdělání</w:t>
            </w:r>
          </w:p>
        </w:tc>
        <w:tc>
          <w:tcPr>
            <w:tcW w:w="880" w:type="dxa"/>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3,1</w:t>
            </w:r>
          </w:p>
        </w:tc>
        <w:tc>
          <w:tcPr>
            <w:tcW w:w="880"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0,7</w:t>
            </w:r>
          </w:p>
        </w:tc>
        <w:tc>
          <w:tcPr>
            <w:tcW w:w="880" w:type="dxa"/>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2,9</w:t>
            </w:r>
          </w:p>
        </w:tc>
        <w:tc>
          <w:tcPr>
            <w:tcW w:w="880"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0,6</w:t>
            </w:r>
          </w:p>
        </w:tc>
        <w:tc>
          <w:tcPr>
            <w:tcW w:w="904" w:type="dxa"/>
            <w:tcBorders>
              <w:top w:val="nil"/>
              <w:left w:val="nil"/>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-0,2</w:t>
            </w:r>
          </w:p>
        </w:tc>
        <w:tc>
          <w:tcPr>
            <w:tcW w:w="872" w:type="dxa"/>
            <w:tcBorders>
              <w:top w:val="nil"/>
              <w:left w:val="nil"/>
              <w:bottom w:val="nil"/>
              <w:right w:val="double" w:sz="6"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-6,5</w:t>
            </w:r>
          </w:p>
        </w:tc>
      </w:tr>
      <w:tr w:rsidR="00730AC8" w:rsidRPr="009B0D99" w:rsidTr="002F5109">
        <w:trPr>
          <w:trHeight w:val="255"/>
          <w:jc w:val="center"/>
        </w:trPr>
        <w:tc>
          <w:tcPr>
            <w:tcW w:w="1960" w:type="dxa"/>
            <w:tcBorders>
              <w:top w:val="nil"/>
              <w:left w:val="double" w:sz="6" w:space="0" w:color="auto"/>
              <w:bottom w:val="nil"/>
              <w:right w:val="single" w:sz="4" w:space="0" w:color="auto"/>
            </w:tcBorders>
            <w:noWrap/>
            <w:vAlign w:val="bottom"/>
            <w:hideMark/>
          </w:tcPr>
          <w:p w:rsidR="00730AC8" w:rsidRDefault="00730AC8" w:rsidP="002F5109">
            <w:pPr>
              <w:spacing w:line="276" w:lineRule="auto"/>
              <w:rPr>
                <w:rFonts w:ascii="Arial" w:hAnsi="Arial" w:cs="Arial"/>
                <w:sz w:val="20"/>
                <w:szCs w:val="20"/>
                <w:lang w:eastAsia="en-US"/>
              </w:rPr>
            </w:pPr>
            <w:r>
              <w:rPr>
                <w:rFonts w:ascii="Arial" w:hAnsi="Arial" w:cs="Arial"/>
                <w:sz w:val="20"/>
                <w:szCs w:val="20"/>
                <w:lang w:eastAsia="en-US"/>
              </w:rPr>
              <w:t>zákl. vzdělání</w:t>
            </w:r>
          </w:p>
        </w:tc>
        <w:tc>
          <w:tcPr>
            <w:tcW w:w="880" w:type="dxa"/>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135,8</w:t>
            </w:r>
          </w:p>
        </w:tc>
        <w:tc>
          <w:tcPr>
            <w:tcW w:w="880"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28,6</w:t>
            </w:r>
          </w:p>
        </w:tc>
        <w:tc>
          <w:tcPr>
            <w:tcW w:w="880" w:type="dxa"/>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153,0</w:t>
            </w:r>
          </w:p>
        </w:tc>
        <w:tc>
          <w:tcPr>
            <w:tcW w:w="880"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28,3</w:t>
            </w:r>
          </w:p>
        </w:tc>
        <w:tc>
          <w:tcPr>
            <w:tcW w:w="904" w:type="dxa"/>
            <w:tcBorders>
              <w:top w:val="nil"/>
              <w:left w:val="nil"/>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17,2</w:t>
            </w:r>
          </w:p>
        </w:tc>
        <w:tc>
          <w:tcPr>
            <w:tcW w:w="872" w:type="dxa"/>
            <w:tcBorders>
              <w:top w:val="nil"/>
              <w:left w:val="nil"/>
              <w:bottom w:val="nil"/>
              <w:right w:val="double" w:sz="6"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12,7</w:t>
            </w:r>
          </w:p>
        </w:tc>
      </w:tr>
      <w:tr w:rsidR="00730AC8" w:rsidRPr="009B0D99" w:rsidTr="002F5109">
        <w:trPr>
          <w:trHeight w:val="255"/>
          <w:jc w:val="center"/>
        </w:trPr>
        <w:tc>
          <w:tcPr>
            <w:tcW w:w="1960" w:type="dxa"/>
            <w:tcBorders>
              <w:top w:val="nil"/>
              <w:left w:val="double" w:sz="6" w:space="0" w:color="auto"/>
              <w:bottom w:val="nil"/>
              <w:right w:val="single" w:sz="4" w:space="0" w:color="auto"/>
            </w:tcBorders>
            <w:noWrap/>
            <w:vAlign w:val="bottom"/>
            <w:hideMark/>
          </w:tcPr>
          <w:p w:rsidR="00730AC8" w:rsidRDefault="00730AC8" w:rsidP="002F5109">
            <w:pPr>
              <w:spacing w:line="276" w:lineRule="auto"/>
              <w:rPr>
                <w:rFonts w:ascii="Arial" w:hAnsi="Arial" w:cs="Arial"/>
                <w:sz w:val="20"/>
                <w:szCs w:val="20"/>
                <w:lang w:eastAsia="en-US"/>
              </w:rPr>
            </w:pPr>
            <w:r>
              <w:rPr>
                <w:rFonts w:ascii="Arial" w:hAnsi="Arial" w:cs="Arial"/>
                <w:sz w:val="20"/>
                <w:szCs w:val="20"/>
                <w:lang w:eastAsia="en-US"/>
              </w:rPr>
              <w:t>vyučen</w:t>
            </w:r>
          </w:p>
        </w:tc>
        <w:tc>
          <w:tcPr>
            <w:tcW w:w="880" w:type="dxa"/>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182,7</w:t>
            </w:r>
          </w:p>
        </w:tc>
        <w:tc>
          <w:tcPr>
            <w:tcW w:w="880"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38,5</w:t>
            </w:r>
          </w:p>
        </w:tc>
        <w:tc>
          <w:tcPr>
            <w:tcW w:w="880" w:type="dxa"/>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210,2</w:t>
            </w:r>
          </w:p>
        </w:tc>
        <w:tc>
          <w:tcPr>
            <w:tcW w:w="880"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38,9</w:t>
            </w:r>
          </w:p>
        </w:tc>
        <w:tc>
          <w:tcPr>
            <w:tcW w:w="904" w:type="dxa"/>
            <w:tcBorders>
              <w:top w:val="nil"/>
              <w:left w:val="nil"/>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27,5</w:t>
            </w:r>
          </w:p>
        </w:tc>
        <w:tc>
          <w:tcPr>
            <w:tcW w:w="872" w:type="dxa"/>
            <w:tcBorders>
              <w:top w:val="nil"/>
              <w:left w:val="nil"/>
              <w:bottom w:val="nil"/>
              <w:right w:val="double" w:sz="6"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15,1</w:t>
            </w:r>
          </w:p>
        </w:tc>
      </w:tr>
      <w:tr w:rsidR="00730AC8" w:rsidRPr="009B0D99" w:rsidTr="002F5109">
        <w:trPr>
          <w:trHeight w:val="255"/>
          <w:jc w:val="center"/>
        </w:trPr>
        <w:tc>
          <w:tcPr>
            <w:tcW w:w="1960" w:type="dxa"/>
            <w:tcBorders>
              <w:top w:val="nil"/>
              <w:left w:val="double" w:sz="6" w:space="0" w:color="auto"/>
              <w:bottom w:val="nil"/>
              <w:right w:val="single" w:sz="4" w:space="0" w:color="auto"/>
            </w:tcBorders>
            <w:noWrap/>
            <w:vAlign w:val="bottom"/>
            <w:hideMark/>
          </w:tcPr>
          <w:p w:rsidR="00730AC8" w:rsidRDefault="00730AC8" w:rsidP="002F5109">
            <w:pPr>
              <w:spacing w:line="276" w:lineRule="auto"/>
              <w:rPr>
                <w:rFonts w:ascii="Arial" w:hAnsi="Arial" w:cs="Arial"/>
                <w:sz w:val="20"/>
                <w:szCs w:val="20"/>
                <w:lang w:eastAsia="en-US"/>
              </w:rPr>
            </w:pPr>
            <w:proofErr w:type="spellStart"/>
            <w:r>
              <w:rPr>
                <w:rFonts w:ascii="Arial" w:hAnsi="Arial" w:cs="Arial"/>
                <w:sz w:val="20"/>
                <w:szCs w:val="20"/>
                <w:lang w:eastAsia="en-US"/>
              </w:rPr>
              <w:t>středošk</w:t>
            </w:r>
            <w:proofErr w:type="spellEnd"/>
            <w:r>
              <w:rPr>
                <w:rFonts w:ascii="Arial" w:hAnsi="Arial" w:cs="Arial"/>
                <w:sz w:val="20"/>
                <w:szCs w:val="20"/>
                <w:lang w:eastAsia="en-US"/>
              </w:rPr>
              <w:t>. bez mat.</w:t>
            </w:r>
          </w:p>
        </w:tc>
        <w:tc>
          <w:tcPr>
            <w:tcW w:w="880" w:type="dxa"/>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12,7</w:t>
            </w:r>
          </w:p>
        </w:tc>
        <w:tc>
          <w:tcPr>
            <w:tcW w:w="880"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2,7</w:t>
            </w:r>
          </w:p>
        </w:tc>
        <w:tc>
          <w:tcPr>
            <w:tcW w:w="880" w:type="dxa"/>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12,0</w:t>
            </w:r>
          </w:p>
        </w:tc>
        <w:tc>
          <w:tcPr>
            <w:tcW w:w="880"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2,2</w:t>
            </w:r>
          </w:p>
        </w:tc>
        <w:tc>
          <w:tcPr>
            <w:tcW w:w="904" w:type="dxa"/>
            <w:tcBorders>
              <w:top w:val="nil"/>
              <w:left w:val="nil"/>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-0,7</w:t>
            </w:r>
          </w:p>
        </w:tc>
        <w:tc>
          <w:tcPr>
            <w:tcW w:w="872" w:type="dxa"/>
            <w:tcBorders>
              <w:top w:val="nil"/>
              <w:left w:val="nil"/>
              <w:bottom w:val="nil"/>
              <w:right w:val="double" w:sz="6"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-5,5</w:t>
            </w:r>
          </w:p>
        </w:tc>
      </w:tr>
      <w:tr w:rsidR="00730AC8" w:rsidRPr="009B0D99" w:rsidTr="002F5109">
        <w:trPr>
          <w:trHeight w:val="255"/>
          <w:jc w:val="center"/>
        </w:trPr>
        <w:tc>
          <w:tcPr>
            <w:tcW w:w="1960" w:type="dxa"/>
            <w:tcBorders>
              <w:top w:val="nil"/>
              <w:left w:val="double" w:sz="6" w:space="0" w:color="auto"/>
              <w:bottom w:val="nil"/>
              <w:right w:val="single" w:sz="4" w:space="0" w:color="auto"/>
            </w:tcBorders>
            <w:noWrap/>
            <w:vAlign w:val="bottom"/>
            <w:hideMark/>
          </w:tcPr>
          <w:p w:rsidR="00730AC8" w:rsidRDefault="00730AC8" w:rsidP="002F5109">
            <w:pPr>
              <w:spacing w:line="276" w:lineRule="auto"/>
              <w:rPr>
                <w:rFonts w:ascii="Arial" w:hAnsi="Arial" w:cs="Arial"/>
                <w:sz w:val="20"/>
                <w:szCs w:val="20"/>
                <w:lang w:eastAsia="en-US"/>
              </w:rPr>
            </w:pPr>
            <w:r>
              <w:rPr>
                <w:rFonts w:ascii="Arial" w:hAnsi="Arial" w:cs="Arial"/>
                <w:sz w:val="20"/>
                <w:szCs w:val="20"/>
                <w:lang w:eastAsia="en-US"/>
              </w:rPr>
              <w:t>vyučen s mat.</w:t>
            </w:r>
          </w:p>
        </w:tc>
        <w:tc>
          <w:tcPr>
            <w:tcW w:w="880" w:type="dxa"/>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17,4</w:t>
            </w:r>
          </w:p>
        </w:tc>
        <w:tc>
          <w:tcPr>
            <w:tcW w:w="880"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3,7</w:t>
            </w:r>
          </w:p>
        </w:tc>
        <w:tc>
          <w:tcPr>
            <w:tcW w:w="880" w:type="dxa"/>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18,8</w:t>
            </w:r>
          </w:p>
        </w:tc>
        <w:tc>
          <w:tcPr>
            <w:tcW w:w="880"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3,5</w:t>
            </w:r>
          </w:p>
        </w:tc>
        <w:tc>
          <w:tcPr>
            <w:tcW w:w="904" w:type="dxa"/>
            <w:tcBorders>
              <w:top w:val="nil"/>
              <w:left w:val="nil"/>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1,4</w:t>
            </w:r>
          </w:p>
        </w:tc>
        <w:tc>
          <w:tcPr>
            <w:tcW w:w="872" w:type="dxa"/>
            <w:tcBorders>
              <w:top w:val="nil"/>
              <w:left w:val="nil"/>
              <w:bottom w:val="nil"/>
              <w:right w:val="double" w:sz="6"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8,0</w:t>
            </w:r>
          </w:p>
        </w:tc>
      </w:tr>
      <w:tr w:rsidR="00730AC8" w:rsidRPr="009B0D99" w:rsidTr="002F5109">
        <w:trPr>
          <w:trHeight w:val="255"/>
          <w:jc w:val="center"/>
        </w:trPr>
        <w:tc>
          <w:tcPr>
            <w:tcW w:w="1960" w:type="dxa"/>
            <w:tcBorders>
              <w:top w:val="nil"/>
              <w:left w:val="double" w:sz="6" w:space="0" w:color="auto"/>
              <w:bottom w:val="nil"/>
              <w:right w:val="single" w:sz="4" w:space="0" w:color="auto"/>
            </w:tcBorders>
            <w:noWrap/>
            <w:vAlign w:val="bottom"/>
            <w:hideMark/>
          </w:tcPr>
          <w:p w:rsidR="00730AC8" w:rsidRDefault="00730AC8" w:rsidP="002F5109">
            <w:pPr>
              <w:spacing w:line="276" w:lineRule="auto"/>
              <w:rPr>
                <w:rFonts w:ascii="Arial" w:hAnsi="Arial" w:cs="Arial"/>
                <w:sz w:val="20"/>
                <w:szCs w:val="20"/>
                <w:lang w:eastAsia="en-US"/>
              </w:rPr>
            </w:pPr>
            <w:r>
              <w:rPr>
                <w:rFonts w:ascii="Arial" w:hAnsi="Arial" w:cs="Arial"/>
                <w:sz w:val="20"/>
                <w:szCs w:val="20"/>
                <w:lang w:eastAsia="en-US"/>
              </w:rPr>
              <w:t>gymnázium</w:t>
            </w:r>
          </w:p>
        </w:tc>
        <w:tc>
          <w:tcPr>
            <w:tcW w:w="880" w:type="dxa"/>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12,0</w:t>
            </w:r>
          </w:p>
        </w:tc>
        <w:tc>
          <w:tcPr>
            <w:tcW w:w="880"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2,5</w:t>
            </w:r>
          </w:p>
        </w:tc>
        <w:tc>
          <w:tcPr>
            <w:tcW w:w="880" w:type="dxa"/>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12,8</w:t>
            </w:r>
          </w:p>
        </w:tc>
        <w:tc>
          <w:tcPr>
            <w:tcW w:w="880"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2,4</w:t>
            </w:r>
          </w:p>
        </w:tc>
        <w:tc>
          <w:tcPr>
            <w:tcW w:w="904" w:type="dxa"/>
            <w:tcBorders>
              <w:top w:val="nil"/>
              <w:left w:val="nil"/>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0,8</w:t>
            </w:r>
          </w:p>
        </w:tc>
        <w:tc>
          <w:tcPr>
            <w:tcW w:w="872" w:type="dxa"/>
            <w:tcBorders>
              <w:top w:val="nil"/>
              <w:left w:val="nil"/>
              <w:bottom w:val="nil"/>
              <w:right w:val="double" w:sz="6"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6,7</w:t>
            </w:r>
          </w:p>
        </w:tc>
      </w:tr>
      <w:tr w:rsidR="00730AC8" w:rsidRPr="009B0D99" w:rsidTr="002F5109">
        <w:trPr>
          <w:trHeight w:val="255"/>
          <w:jc w:val="center"/>
        </w:trPr>
        <w:tc>
          <w:tcPr>
            <w:tcW w:w="1960" w:type="dxa"/>
            <w:tcBorders>
              <w:top w:val="nil"/>
              <w:left w:val="double" w:sz="6" w:space="0" w:color="auto"/>
              <w:bottom w:val="nil"/>
              <w:right w:val="single" w:sz="4" w:space="0" w:color="auto"/>
            </w:tcBorders>
            <w:noWrap/>
            <w:vAlign w:val="bottom"/>
            <w:hideMark/>
          </w:tcPr>
          <w:p w:rsidR="00730AC8" w:rsidRDefault="00730AC8" w:rsidP="002F5109">
            <w:pPr>
              <w:spacing w:line="276" w:lineRule="auto"/>
              <w:rPr>
                <w:rFonts w:ascii="Arial" w:hAnsi="Arial" w:cs="Arial"/>
                <w:sz w:val="20"/>
                <w:szCs w:val="20"/>
                <w:lang w:eastAsia="en-US"/>
              </w:rPr>
            </w:pPr>
            <w:r>
              <w:rPr>
                <w:rFonts w:ascii="Arial" w:hAnsi="Arial" w:cs="Arial"/>
                <w:sz w:val="20"/>
                <w:szCs w:val="20"/>
                <w:lang w:eastAsia="en-US"/>
              </w:rPr>
              <w:t>SOŠ s mat.</w:t>
            </w:r>
          </w:p>
        </w:tc>
        <w:tc>
          <w:tcPr>
            <w:tcW w:w="880" w:type="dxa"/>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79,8</w:t>
            </w:r>
          </w:p>
        </w:tc>
        <w:tc>
          <w:tcPr>
            <w:tcW w:w="880"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16,8</w:t>
            </w:r>
          </w:p>
        </w:tc>
        <w:tc>
          <w:tcPr>
            <w:tcW w:w="880" w:type="dxa"/>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93,6</w:t>
            </w:r>
          </w:p>
        </w:tc>
        <w:tc>
          <w:tcPr>
            <w:tcW w:w="880"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17,3</w:t>
            </w:r>
          </w:p>
        </w:tc>
        <w:tc>
          <w:tcPr>
            <w:tcW w:w="904" w:type="dxa"/>
            <w:tcBorders>
              <w:top w:val="nil"/>
              <w:left w:val="nil"/>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13,8</w:t>
            </w:r>
          </w:p>
        </w:tc>
        <w:tc>
          <w:tcPr>
            <w:tcW w:w="872" w:type="dxa"/>
            <w:tcBorders>
              <w:top w:val="nil"/>
              <w:left w:val="nil"/>
              <w:bottom w:val="nil"/>
              <w:right w:val="double" w:sz="6"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17,3</w:t>
            </w:r>
          </w:p>
        </w:tc>
      </w:tr>
      <w:tr w:rsidR="00730AC8" w:rsidRPr="009B0D99" w:rsidTr="002F5109">
        <w:trPr>
          <w:trHeight w:val="255"/>
          <w:jc w:val="center"/>
        </w:trPr>
        <w:tc>
          <w:tcPr>
            <w:tcW w:w="1960" w:type="dxa"/>
            <w:tcBorders>
              <w:top w:val="nil"/>
              <w:left w:val="double" w:sz="6" w:space="0" w:color="auto"/>
              <w:bottom w:val="nil"/>
              <w:right w:val="single" w:sz="4" w:space="0" w:color="auto"/>
            </w:tcBorders>
            <w:noWrap/>
            <w:vAlign w:val="bottom"/>
            <w:hideMark/>
          </w:tcPr>
          <w:p w:rsidR="00730AC8" w:rsidRDefault="00730AC8" w:rsidP="002F5109">
            <w:pPr>
              <w:spacing w:line="276" w:lineRule="auto"/>
              <w:rPr>
                <w:rFonts w:ascii="Arial" w:hAnsi="Arial" w:cs="Arial"/>
                <w:sz w:val="20"/>
                <w:szCs w:val="20"/>
                <w:lang w:eastAsia="en-US"/>
              </w:rPr>
            </w:pPr>
            <w:r>
              <w:rPr>
                <w:rFonts w:ascii="Arial" w:hAnsi="Arial" w:cs="Arial"/>
                <w:sz w:val="20"/>
                <w:szCs w:val="20"/>
                <w:lang w:eastAsia="en-US"/>
              </w:rPr>
              <w:t>vyšší vzdělání</w:t>
            </w:r>
          </w:p>
        </w:tc>
        <w:tc>
          <w:tcPr>
            <w:tcW w:w="880" w:type="dxa"/>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3,4</w:t>
            </w:r>
          </w:p>
        </w:tc>
        <w:tc>
          <w:tcPr>
            <w:tcW w:w="880"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0,7</w:t>
            </w:r>
          </w:p>
        </w:tc>
        <w:tc>
          <w:tcPr>
            <w:tcW w:w="880" w:type="dxa"/>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4,1</w:t>
            </w:r>
          </w:p>
        </w:tc>
        <w:tc>
          <w:tcPr>
            <w:tcW w:w="880" w:type="dxa"/>
            <w:tcBorders>
              <w:top w:val="nil"/>
              <w:left w:val="single" w:sz="4" w:space="0" w:color="auto"/>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0,8</w:t>
            </w:r>
          </w:p>
        </w:tc>
        <w:tc>
          <w:tcPr>
            <w:tcW w:w="904" w:type="dxa"/>
            <w:tcBorders>
              <w:top w:val="nil"/>
              <w:left w:val="nil"/>
              <w:bottom w:val="nil"/>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0,7</w:t>
            </w:r>
          </w:p>
        </w:tc>
        <w:tc>
          <w:tcPr>
            <w:tcW w:w="872" w:type="dxa"/>
            <w:tcBorders>
              <w:top w:val="nil"/>
              <w:left w:val="nil"/>
              <w:bottom w:val="nil"/>
              <w:right w:val="double" w:sz="6"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20,6</w:t>
            </w:r>
          </w:p>
        </w:tc>
      </w:tr>
      <w:tr w:rsidR="00730AC8" w:rsidRPr="009B0D99" w:rsidTr="002F5109">
        <w:trPr>
          <w:trHeight w:val="270"/>
          <w:jc w:val="center"/>
        </w:trPr>
        <w:tc>
          <w:tcPr>
            <w:tcW w:w="1960" w:type="dxa"/>
            <w:tcBorders>
              <w:top w:val="nil"/>
              <w:left w:val="double" w:sz="6" w:space="0" w:color="auto"/>
              <w:bottom w:val="double" w:sz="6" w:space="0" w:color="auto"/>
              <w:right w:val="single" w:sz="4" w:space="0" w:color="auto"/>
            </w:tcBorders>
            <w:noWrap/>
            <w:vAlign w:val="bottom"/>
            <w:hideMark/>
          </w:tcPr>
          <w:p w:rsidR="00730AC8" w:rsidRDefault="00730AC8" w:rsidP="002F5109">
            <w:pPr>
              <w:spacing w:line="276" w:lineRule="auto"/>
              <w:rPr>
                <w:rFonts w:ascii="Arial" w:hAnsi="Arial" w:cs="Arial"/>
                <w:sz w:val="20"/>
                <w:szCs w:val="20"/>
                <w:lang w:eastAsia="en-US"/>
              </w:rPr>
            </w:pPr>
            <w:r>
              <w:rPr>
                <w:rFonts w:ascii="Arial" w:hAnsi="Arial" w:cs="Arial"/>
                <w:sz w:val="20"/>
                <w:szCs w:val="20"/>
                <w:lang w:eastAsia="en-US"/>
              </w:rPr>
              <w:t>vysokoškolské</w:t>
            </w:r>
          </w:p>
        </w:tc>
        <w:tc>
          <w:tcPr>
            <w:tcW w:w="880" w:type="dxa"/>
            <w:tcBorders>
              <w:top w:val="nil"/>
              <w:left w:val="nil"/>
              <w:bottom w:val="double" w:sz="6" w:space="0" w:color="auto"/>
              <w:right w:val="nil"/>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27,6</w:t>
            </w:r>
          </w:p>
        </w:tc>
        <w:tc>
          <w:tcPr>
            <w:tcW w:w="880" w:type="dxa"/>
            <w:tcBorders>
              <w:top w:val="nil"/>
              <w:left w:val="single" w:sz="4" w:space="0" w:color="auto"/>
              <w:bottom w:val="double" w:sz="6" w:space="0" w:color="auto"/>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5,8</w:t>
            </w:r>
          </w:p>
        </w:tc>
        <w:tc>
          <w:tcPr>
            <w:tcW w:w="880" w:type="dxa"/>
            <w:tcBorders>
              <w:top w:val="nil"/>
              <w:left w:val="nil"/>
              <w:bottom w:val="double" w:sz="6" w:space="0" w:color="auto"/>
              <w:right w:val="nil"/>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33,0</w:t>
            </w:r>
          </w:p>
        </w:tc>
        <w:tc>
          <w:tcPr>
            <w:tcW w:w="880" w:type="dxa"/>
            <w:tcBorders>
              <w:top w:val="nil"/>
              <w:left w:val="single" w:sz="4" w:space="0" w:color="auto"/>
              <w:bottom w:val="double" w:sz="6" w:space="0" w:color="auto"/>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6,1</w:t>
            </w:r>
          </w:p>
        </w:tc>
        <w:tc>
          <w:tcPr>
            <w:tcW w:w="904" w:type="dxa"/>
            <w:tcBorders>
              <w:top w:val="nil"/>
              <w:left w:val="nil"/>
              <w:bottom w:val="double" w:sz="6" w:space="0" w:color="auto"/>
              <w:right w:val="single" w:sz="4"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5,4</w:t>
            </w:r>
          </w:p>
        </w:tc>
        <w:tc>
          <w:tcPr>
            <w:tcW w:w="872" w:type="dxa"/>
            <w:tcBorders>
              <w:top w:val="nil"/>
              <w:left w:val="nil"/>
              <w:bottom w:val="double" w:sz="6" w:space="0" w:color="auto"/>
              <w:right w:val="double" w:sz="6" w:space="0" w:color="auto"/>
            </w:tcBorders>
            <w:noWrap/>
            <w:vAlign w:val="center"/>
            <w:hideMark/>
          </w:tcPr>
          <w:p w:rsidR="00730AC8" w:rsidRDefault="00730AC8" w:rsidP="002F5109">
            <w:pPr>
              <w:jc w:val="right"/>
              <w:rPr>
                <w:rFonts w:ascii="Arial CE" w:hAnsi="Arial CE" w:cs="Arial CE"/>
                <w:sz w:val="20"/>
                <w:szCs w:val="20"/>
              </w:rPr>
            </w:pPr>
            <w:r>
              <w:rPr>
                <w:rFonts w:ascii="Arial CE" w:hAnsi="Arial CE" w:cs="Arial CE"/>
                <w:sz w:val="20"/>
                <w:szCs w:val="20"/>
              </w:rPr>
              <w:t>19,6</w:t>
            </w:r>
          </w:p>
        </w:tc>
      </w:tr>
      <w:tr w:rsidR="00730AC8" w:rsidRPr="009B0D99" w:rsidTr="002F5109">
        <w:trPr>
          <w:trHeight w:val="450"/>
          <w:jc w:val="center"/>
        </w:trPr>
        <w:tc>
          <w:tcPr>
            <w:tcW w:w="7256" w:type="dxa"/>
            <w:gridSpan w:val="7"/>
            <w:vAlign w:val="bottom"/>
            <w:hideMark/>
          </w:tcPr>
          <w:p w:rsidR="00730AC8" w:rsidRDefault="00730AC8" w:rsidP="002F5109">
            <w:pPr>
              <w:spacing w:line="276" w:lineRule="auto"/>
              <w:rPr>
                <w:rFonts w:ascii="Arial" w:hAnsi="Arial" w:cs="Arial"/>
                <w:i/>
                <w:iCs/>
                <w:sz w:val="16"/>
                <w:szCs w:val="16"/>
                <w:lang w:eastAsia="en-US"/>
              </w:rPr>
            </w:pPr>
            <w:r>
              <w:rPr>
                <w:rFonts w:ascii="Arial" w:hAnsi="Arial" w:cs="Arial"/>
                <w:i/>
                <w:iCs/>
                <w:sz w:val="16"/>
                <w:szCs w:val="16"/>
                <w:lang w:eastAsia="en-US"/>
              </w:rPr>
              <w:t>Pozn.: drobné odchylky součtu osob v jednotlivých kategoriích od uvedeného celkového počtu souvisí se zaokrouhlením hodnot na jedno desetinné místo</w:t>
            </w:r>
          </w:p>
        </w:tc>
      </w:tr>
    </w:tbl>
    <w:p w:rsidR="00730AC8" w:rsidRDefault="00730AC8" w:rsidP="00730AC8">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line="360" w:lineRule="auto"/>
        <w:ind w:firstLine="720"/>
        <w:jc w:val="both"/>
        <w:rPr>
          <w:rFonts w:ascii="Arial" w:hAnsi="Arial" w:cs="Arial"/>
          <w:b/>
        </w:rPr>
      </w:pPr>
    </w:p>
    <w:p w:rsidR="00730AC8" w:rsidRPr="00831B94" w:rsidRDefault="00730AC8" w:rsidP="00730AC8">
      <w:pPr>
        <w:tabs>
          <w:tab w:val="left" w:pos="720"/>
        </w:tabs>
        <w:spacing w:line="360" w:lineRule="auto"/>
        <w:jc w:val="both"/>
        <w:rPr>
          <w:rFonts w:ascii="Arial" w:hAnsi="Arial" w:cs="Arial"/>
        </w:rPr>
      </w:pPr>
      <w:r>
        <w:rPr>
          <w:rFonts w:ascii="Arial" w:hAnsi="Arial" w:cs="Arial"/>
          <w:b/>
          <w:bCs/>
        </w:rPr>
        <w:tab/>
      </w:r>
      <w:r w:rsidRPr="00831B94">
        <w:rPr>
          <w:rFonts w:ascii="Arial" w:hAnsi="Arial" w:cs="Arial"/>
          <w:bCs/>
          <w:szCs w:val="23"/>
        </w:rPr>
        <w:t xml:space="preserve">Rozdíly mezi kvalifikační strukturou uchazečů o zaměstnání a kvalifikačními požadavky zaměstnavatelů vyjádřené </w:t>
      </w:r>
      <w:r w:rsidRPr="00831B94">
        <w:rPr>
          <w:rFonts w:ascii="Arial" w:hAnsi="Arial" w:cs="Arial"/>
          <w:b/>
          <w:szCs w:val="23"/>
        </w:rPr>
        <w:t xml:space="preserve">počtem uchazečů o zaměstnání na 1 volné pracovní </w:t>
      </w:r>
      <w:r w:rsidRPr="00831B94">
        <w:rPr>
          <w:rFonts w:ascii="Arial" w:hAnsi="Arial" w:cs="Arial"/>
          <w:b/>
        </w:rPr>
        <w:t xml:space="preserve">místo se </w:t>
      </w:r>
      <w:r w:rsidRPr="00831B94">
        <w:rPr>
          <w:rFonts w:ascii="Arial" w:hAnsi="Arial" w:cs="Arial"/>
        </w:rPr>
        <w:t>v jednotlivých kategoriích podle vzdělání lišily.</w:t>
      </w:r>
      <w:r w:rsidRPr="00831B94">
        <w:rPr>
          <w:rFonts w:ascii="Arial" w:hAnsi="Arial" w:cs="Arial"/>
          <w:sz w:val="22"/>
          <w:szCs w:val="22"/>
        </w:rPr>
        <w:t xml:space="preserve"> </w:t>
      </w:r>
    </w:p>
    <w:p w:rsidR="00730AC8" w:rsidRDefault="00730AC8" w:rsidP="00730AC8">
      <w:pPr>
        <w:pStyle w:val="Zkladntext"/>
        <w:spacing w:line="360" w:lineRule="auto"/>
        <w:ind w:firstLine="708"/>
        <w:jc w:val="right"/>
        <w:rPr>
          <w:bCs/>
          <w:color w:val="0070C0"/>
          <w:sz w:val="20"/>
          <w:szCs w:val="20"/>
        </w:rPr>
      </w:pPr>
      <w:r w:rsidRPr="00730AC8">
        <w:rPr>
          <w:bCs/>
          <w:color w:val="auto"/>
          <w:sz w:val="20"/>
          <w:szCs w:val="20"/>
        </w:rPr>
        <w:t>graf č. 1</w:t>
      </w:r>
      <w:r w:rsidRPr="00730AC8">
        <w:rPr>
          <w:bCs/>
          <w:color w:val="auto"/>
          <w:sz w:val="20"/>
          <w:szCs w:val="20"/>
          <w:lang w:val="cs-CZ"/>
        </w:rPr>
        <w:t>3</w:t>
      </w:r>
    </w:p>
    <w:p w:rsidR="00730AC8" w:rsidRDefault="00730AC8" w:rsidP="00730AC8">
      <w:pPr>
        <w:pStyle w:val="xl53"/>
        <w:pBdr>
          <w:bottom w:val="none" w:sz="0" w:space="0" w:color="auto"/>
          <w:right w:val="none" w:sz="0" w:space="0" w:color="auto"/>
        </w:pBdr>
        <w:tabs>
          <w:tab w:val="left" w:pos="720"/>
        </w:tabs>
        <w:spacing w:before="0" w:beforeAutospacing="0" w:after="0" w:afterAutospacing="0" w:line="360" w:lineRule="auto"/>
        <w:rPr>
          <w:color w:val="0070C0"/>
        </w:rPr>
      </w:pPr>
      <w:r>
        <w:rPr>
          <w:noProof/>
        </w:rPr>
        <w:drawing>
          <wp:inline distT="0" distB="0" distL="0" distR="0" wp14:anchorId="5782D2C9" wp14:editId="50DD5A03">
            <wp:extent cx="5143500" cy="3267075"/>
            <wp:effectExtent l="0" t="0" r="19050" b="9525"/>
            <wp:docPr id="13" name="Graf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730AC8" w:rsidRPr="00F87F3F" w:rsidRDefault="00730AC8" w:rsidP="00730AC8">
      <w:pPr>
        <w:pStyle w:val="Zkladntext"/>
        <w:spacing w:line="360" w:lineRule="auto"/>
        <w:ind w:firstLine="708"/>
        <w:rPr>
          <w:b/>
          <w:color w:val="auto"/>
          <w:sz w:val="16"/>
          <w:szCs w:val="16"/>
        </w:rPr>
      </w:pPr>
    </w:p>
    <w:p w:rsidR="00730AC8" w:rsidRDefault="00730AC8" w:rsidP="00730AC8">
      <w:pPr>
        <w:pStyle w:val="Zkladntext"/>
        <w:spacing w:line="360" w:lineRule="auto"/>
        <w:ind w:firstLine="708"/>
        <w:rPr>
          <w:rFonts w:cs="Arial"/>
          <w:color w:val="auto"/>
          <w:szCs w:val="23"/>
        </w:rPr>
      </w:pPr>
      <w:r>
        <w:rPr>
          <w:b/>
          <w:color w:val="auto"/>
          <w:szCs w:val="23"/>
        </w:rPr>
        <w:t xml:space="preserve">Nesoulad </w:t>
      </w:r>
      <w:r>
        <w:rPr>
          <w:color w:val="auto"/>
          <w:szCs w:val="23"/>
        </w:rPr>
        <w:t xml:space="preserve">mezi nabídkou a poptávkou na trhu práce </w:t>
      </w:r>
      <w:r>
        <w:rPr>
          <w:b/>
          <w:color w:val="auto"/>
          <w:szCs w:val="23"/>
        </w:rPr>
        <w:t>se</w:t>
      </w:r>
      <w:r>
        <w:rPr>
          <w:color w:val="auto"/>
          <w:szCs w:val="23"/>
        </w:rPr>
        <w:t xml:space="preserve"> oproti </w:t>
      </w:r>
      <w:r>
        <w:rPr>
          <w:color w:val="auto"/>
          <w:szCs w:val="23"/>
          <w:lang w:val="cs-CZ"/>
        </w:rPr>
        <w:t>červnu</w:t>
      </w:r>
      <w:r>
        <w:rPr>
          <w:color w:val="auto"/>
          <w:szCs w:val="23"/>
        </w:rPr>
        <w:t xml:space="preserve"> 20</w:t>
      </w:r>
      <w:r>
        <w:rPr>
          <w:color w:val="auto"/>
          <w:szCs w:val="23"/>
          <w:lang w:val="cs-CZ"/>
        </w:rPr>
        <w:t>12</w:t>
      </w:r>
      <w:r>
        <w:rPr>
          <w:color w:val="auto"/>
          <w:szCs w:val="23"/>
        </w:rPr>
        <w:t xml:space="preserve"> </w:t>
      </w:r>
      <w:r>
        <w:rPr>
          <w:b/>
          <w:color w:val="auto"/>
          <w:szCs w:val="23"/>
        </w:rPr>
        <w:t>nejvíce</w:t>
      </w:r>
      <w:r>
        <w:rPr>
          <w:color w:val="auto"/>
          <w:szCs w:val="23"/>
        </w:rPr>
        <w:t xml:space="preserve"> </w:t>
      </w:r>
      <w:r>
        <w:rPr>
          <w:b/>
          <w:color w:val="auto"/>
          <w:szCs w:val="23"/>
          <w:lang w:val="cs-CZ"/>
        </w:rPr>
        <w:t>zvýšil</w:t>
      </w:r>
      <w:r>
        <w:rPr>
          <w:color w:val="auto"/>
          <w:szCs w:val="23"/>
        </w:rPr>
        <w:t xml:space="preserve"> </w:t>
      </w:r>
      <w:r>
        <w:rPr>
          <w:b/>
          <w:color w:val="auto"/>
          <w:szCs w:val="23"/>
        </w:rPr>
        <w:t xml:space="preserve">u </w:t>
      </w:r>
      <w:r w:rsidRPr="00737F8F">
        <w:rPr>
          <w:rFonts w:cs="Arial"/>
          <w:b/>
          <w:lang w:eastAsia="en-US"/>
        </w:rPr>
        <w:t>vy</w:t>
      </w:r>
      <w:r>
        <w:rPr>
          <w:rFonts w:cs="Arial"/>
          <w:b/>
          <w:lang w:val="cs-CZ" w:eastAsia="en-US"/>
        </w:rPr>
        <w:t xml:space="preserve">sokoškolského vzdělání </w:t>
      </w:r>
      <w:r w:rsidRPr="009334F4">
        <w:rPr>
          <w:rFonts w:cs="Arial"/>
          <w:lang w:val="cs-CZ" w:eastAsia="en-US"/>
        </w:rPr>
        <w:t xml:space="preserve">(počet uchazečů na 1 VPM </w:t>
      </w:r>
      <w:r>
        <w:rPr>
          <w:rFonts w:cs="Arial"/>
          <w:lang w:val="cs-CZ" w:eastAsia="en-US"/>
        </w:rPr>
        <w:t xml:space="preserve">meziročně </w:t>
      </w:r>
      <w:r w:rsidRPr="009334F4">
        <w:rPr>
          <w:rFonts w:cs="Arial"/>
          <w:lang w:val="cs-CZ" w:eastAsia="en-US"/>
        </w:rPr>
        <w:t xml:space="preserve">vzrostl </w:t>
      </w:r>
      <w:r>
        <w:rPr>
          <w:rFonts w:cs="Arial"/>
          <w:lang w:val="cs-CZ" w:eastAsia="en-US"/>
        </w:rPr>
        <w:t>o</w:t>
      </w:r>
      <w:r w:rsidRPr="009334F4">
        <w:rPr>
          <w:rFonts w:cs="Arial"/>
          <w:lang w:val="cs-CZ" w:eastAsia="en-US"/>
        </w:rPr>
        <w:t> </w:t>
      </w:r>
      <w:r>
        <w:rPr>
          <w:rFonts w:cs="Arial"/>
          <w:lang w:val="cs-CZ" w:eastAsia="en-US"/>
        </w:rPr>
        <w:t>4,6</w:t>
      </w:r>
      <w:r w:rsidRPr="009334F4">
        <w:rPr>
          <w:lang w:val="cs-CZ"/>
        </w:rPr>
        <w:t>)</w:t>
      </w:r>
      <w:r>
        <w:rPr>
          <w:lang w:val="cs-CZ"/>
        </w:rPr>
        <w:t xml:space="preserve">. </w:t>
      </w:r>
      <w:r>
        <w:rPr>
          <w:b/>
          <w:color w:val="auto"/>
          <w:szCs w:val="23"/>
        </w:rPr>
        <w:t xml:space="preserve">Nejvyšší poměr </w:t>
      </w:r>
      <w:r>
        <w:rPr>
          <w:color w:val="auto"/>
          <w:szCs w:val="23"/>
        </w:rPr>
        <w:t xml:space="preserve">počtu uchazečů o zaměstnání k počtu volných míst byl zaznamenán u kategorie </w:t>
      </w:r>
      <w:r w:rsidRPr="00737F8F">
        <w:rPr>
          <w:rFonts w:cs="Arial"/>
          <w:b/>
          <w:lang w:eastAsia="en-US"/>
        </w:rPr>
        <w:t>středoškolského vzdělání s maturitou</w:t>
      </w:r>
      <w:r>
        <w:rPr>
          <w:color w:val="auto"/>
          <w:szCs w:val="23"/>
          <w:lang w:val="cs-CZ"/>
        </w:rPr>
        <w:t xml:space="preserve"> (16,0), </w:t>
      </w:r>
      <w:r w:rsidRPr="008D45DC">
        <w:rPr>
          <w:b/>
          <w:color w:val="auto"/>
          <w:szCs w:val="23"/>
          <w:lang w:val="cs-CZ"/>
        </w:rPr>
        <w:lastRenderedPageBreak/>
        <w:t>u vysokoškolského vzdělání</w:t>
      </w:r>
      <w:r>
        <w:rPr>
          <w:color w:val="auto"/>
          <w:szCs w:val="23"/>
          <w:lang w:val="cs-CZ"/>
        </w:rPr>
        <w:t xml:space="preserve"> (13,9) a </w:t>
      </w:r>
      <w:r>
        <w:rPr>
          <w:b/>
          <w:color w:val="auto"/>
          <w:szCs w:val="23"/>
          <w:lang w:val="cs-CZ"/>
        </w:rPr>
        <w:t>vyučen</w:t>
      </w:r>
      <w:r>
        <w:rPr>
          <w:b/>
          <w:color w:val="auto"/>
          <w:szCs w:val="23"/>
        </w:rPr>
        <w:t xml:space="preserve"> </w:t>
      </w:r>
      <w:r>
        <w:rPr>
          <w:color w:val="auto"/>
          <w:szCs w:val="23"/>
        </w:rPr>
        <w:t>(</w:t>
      </w:r>
      <w:r>
        <w:rPr>
          <w:color w:val="auto"/>
          <w:szCs w:val="23"/>
          <w:lang w:val="cs-CZ"/>
        </w:rPr>
        <w:t>12</w:t>
      </w:r>
      <w:r>
        <w:rPr>
          <w:color w:val="auto"/>
          <w:szCs w:val="23"/>
        </w:rPr>
        <w:t>,</w:t>
      </w:r>
      <w:r>
        <w:rPr>
          <w:color w:val="auto"/>
          <w:szCs w:val="23"/>
          <w:lang w:val="cs-CZ"/>
        </w:rPr>
        <w:t>8</w:t>
      </w:r>
      <w:r>
        <w:rPr>
          <w:color w:val="auto"/>
          <w:szCs w:val="23"/>
        </w:rPr>
        <w:t>).</w:t>
      </w:r>
      <w:r>
        <w:rPr>
          <w:color w:val="auto"/>
          <w:szCs w:val="23"/>
          <w:lang w:val="cs-CZ"/>
        </w:rPr>
        <w:t xml:space="preserve"> </w:t>
      </w:r>
      <w:r>
        <w:rPr>
          <w:rFonts w:cs="Arial"/>
          <w:bCs/>
          <w:color w:val="auto"/>
          <w:szCs w:val="23"/>
        </w:rPr>
        <w:t>Naopak</w:t>
      </w:r>
      <w:r>
        <w:rPr>
          <w:rFonts w:cs="Arial"/>
          <w:b/>
          <w:bCs/>
          <w:color w:val="auto"/>
          <w:szCs w:val="23"/>
        </w:rPr>
        <w:t xml:space="preserve"> nejpříznivější</w:t>
      </w:r>
      <w:r>
        <w:rPr>
          <w:rFonts w:cs="Arial"/>
          <w:color w:val="auto"/>
          <w:szCs w:val="23"/>
        </w:rPr>
        <w:t xml:space="preserve"> byl poměr mezi počtem uchazečů o zaměstnání a volnými místy pro uchazeče o</w:t>
      </w:r>
      <w:r>
        <w:rPr>
          <w:rFonts w:cs="Arial"/>
          <w:color w:val="auto"/>
          <w:szCs w:val="23"/>
          <w:lang w:val="cs-CZ"/>
        </w:rPr>
        <w:t> </w:t>
      </w:r>
      <w:r>
        <w:rPr>
          <w:rFonts w:cs="Arial"/>
          <w:color w:val="auto"/>
          <w:szCs w:val="23"/>
        </w:rPr>
        <w:t xml:space="preserve">zaměstnání </w:t>
      </w:r>
      <w:r>
        <w:rPr>
          <w:rFonts w:cs="Arial"/>
          <w:b/>
          <w:color w:val="auto"/>
          <w:szCs w:val="23"/>
        </w:rPr>
        <w:t>bez vzdělání</w:t>
      </w:r>
      <w:r>
        <w:rPr>
          <w:rFonts w:cs="Arial"/>
          <w:color w:val="auto"/>
          <w:szCs w:val="23"/>
        </w:rPr>
        <w:t xml:space="preserve"> (</w:t>
      </w:r>
      <w:r>
        <w:rPr>
          <w:rFonts w:cs="Arial"/>
          <w:color w:val="auto"/>
          <w:szCs w:val="23"/>
          <w:lang w:val="cs-CZ"/>
        </w:rPr>
        <w:t>5</w:t>
      </w:r>
      <w:r>
        <w:rPr>
          <w:rFonts w:cs="Arial"/>
          <w:color w:val="auto"/>
          <w:szCs w:val="23"/>
        </w:rPr>
        <w:t>,</w:t>
      </w:r>
      <w:r>
        <w:rPr>
          <w:rFonts w:cs="Arial"/>
          <w:color w:val="auto"/>
          <w:szCs w:val="23"/>
          <w:lang w:val="cs-CZ"/>
        </w:rPr>
        <w:t>0</w:t>
      </w:r>
      <w:r>
        <w:rPr>
          <w:rFonts w:cs="Arial"/>
          <w:color w:val="auto"/>
          <w:szCs w:val="23"/>
        </w:rPr>
        <w:t xml:space="preserve">) a pro </w:t>
      </w:r>
      <w:r w:rsidRPr="00BD5DB7">
        <w:rPr>
          <w:rFonts w:cs="Arial"/>
          <w:b/>
          <w:color w:val="auto"/>
          <w:szCs w:val="23"/>
          <w:lang w:val="cs-CZ"/>
        </w:rPr>
        <w:t>vyučené s maturitou</w:t>
      </w:r>
      <w:r>
        <w:rPr>
          <w:rFonts w:cs="Arial"/>
          <w:b/>
          <w:color w:val="auto"/>
          <w:szCs w:val="23"/>
        </w:rPr>
        <w:t xml:space="preserve"> </w:t>
      </w:r>
      <w:r>
        <w:rPr>
          <w:rFonts w:cs="Arial"/>
          <w:color w:val="auto"/>
          <w:szCs w:val="23"/>
        </w:rPr>
        <w:t>(</w:t>
      </w:r>
      <w:r>
        <w:rPr>
          <w:rFonts w:cs="Arial"/>
          <w:color w:val="auto"/>
          <w:szCs w:val="23"/>
          <w:lang w:val="cs-CZ"/>
        </w:rPr>
        <w:t>7</w:t>
      </w:r>
      <w:r>
        <w:rPr>
          <w:rFonts w:cs="Arial"/>
          <w:color w:val="auto"/>
          <w:szCs w:val="23"/>
        </w:rPr>
        <w:t>,</w:t>
      </w:r>
      <w:r>
        <w:rPr>
          <w:rFonts w:cs="Arial"/>
          <w:color w:val="auto"/>
          <w:szCs w:val="23"/>
          <w:lang w:val="cs-CZ"/>
        </w:rPr>
        <w:t>8</w:t>
      </w:r>
      <w:r>
        <w:rPr>
          <w:rFonts w:cs="Arial"/>
          <w:color w:val="auto"/>
          <w:szCs w:val="23"/>
        </w:rPr>
        <w:t>).</w:t>
      </w:r>
    </w:p>
    <w:p w:rsidR="00730AC8" w:rsidRDefault="00730AC8" w:rsidP="00730AC8">
      <w:pPr>
        <w:tabs>
          <w:tab w:val="left" w:pos="720"/>
        </w:tabs>
        <w:spacing w:line="360" w:lineRule="auto"/>
        <w:ind w:firstLine="720"/>
        <w:jc w:val="both"/>
        <w:rPr>
          <w:rFonts w:ascii="Arial" w:hAnsi="Arial" w:cs="Arial"/>
          <w:szCs w:val="23"/>
          <w:highlight w:val="cyan"/>
        </w:rPr>
      </w:pPr>
    </w:p>
    <w:p w:rsidR="00730AC8" w:rsidRPr="0004239B" w:rsidRDefault="00730AC8" w:rsidP="00730AC8">
      <w:pPr>
        <w:tabs>
          <w:tab w:val="left" w:pos="720"/>
        </w:tabs>
        <w:spacing w:line="360" w:lineRule="auto"/>
        <w:ind w:firstLine="720"/>
        <w:jc w:val="both"/>
        <w:rPr>
          <w:rFonts w:ascii="Arial" w:hAnsi="Arial" w:cs="Arial"/>
        </w:rPr>
      </w:pPr>
      <w:r w:rsidRPr="00BF353D">
        <w:rPr>
          <w:rFonts w:ascii="Arial" w:hAnsi="Arial" w:cs="Arial"/>
          <w:szCs w:val="23"/>
        </w:rPr>
        <w:t xml:space="preserve">Potřeba snížení vysoké míry nezaměstnanosti některých skupin obyvatel se odrazila i ve stanovení národních cílů České republiky </w:t>
      </w:r>
      <w:r w:rsidRPr="00BF353D">
        <w:rPr>
          <w:rFonts w:ascii="Arial" w:hAnsi="Arial" w:cs="Arial"/>
        </w:rPr>
        <w:t xml:space="preserve">v oblasti zaměstnanosti </w:t>
      </w:r>
      <w:r w:rsidRPr="00BF353D">
        <w:rPr>
          <w:rFonts w:ascii="Arial" w:hAnsi="Arial" w:cs="Arial"/>
          <w:szCs w:val="23"/>
        </w:rPr>
        <w:t xml:space="preserve">v souvislosti s </w:t>
      </w:r>
      <w:r w:rsidRPr="00BF353D">
        <w:rPr>
          <w:rFonts w:ascii="Arial" w:hAnsi="Arial" w:cs="Arial"/>
        </w:rPr>
        <w:t>hlavními cíli Strategie Evropa 2020.</w:t>
      </w:r>
      <w:r w:rsidRPr="00BF353D">
        <w:rPr>
          <w:rFonts w:ascii="Arial" w:hAnsi="Arial" w:cs="Arial"/>
          <w:color w:val="0070C0"/>
        </w:rPr>
        <w:t xml:space="preserve"> </w:t>
      </w:r>
      <w:r w:rsidRPr="00BF353D">
        <w:rPr>
          <w:rFonts w:ascii="Arial" w:hAnsi="Arial" w:cs="Arial"/>
        </w:rPr>
        <w:t>Konkrétně se jedná o snížení míry nezaměstnanosti mladých osob (15 - 24 let) o třetinu a míry nezaměstnanosti osob s nízkou kvalifikací (stupeň ISCED 0 – 2 mezinárodní klasifikace vzdělání) o čtvrtinu proti roku 2010</w:t>
      </w:r>
      <w:r>
        <w:rPr>
          <w:rFonts w:ascii="Arial" w:hAnsi="Arial" w:cs="Arial"/>
        </w:rPr>
        <w:t xml:space="preserve">. </w:t>
      </w:r>
      <w:r w:rsidRPr="008D45DC">
        <w:rPr>
          <w:rFonts w:ascii="Arial" w:hAnsi="Arial" w:cs="Arial"/>
        </w:rPr>
        <w:t xml:space="preserve">Vzhledem k tomu, že k vyhodnocení se používají mezinárodně srovnatelná data z VŠPS/LFS, konkrétní hodnoty v této části </w:t>
      </w:r>
      <w:r w:rsidRPr="0004239B">
        <w:rPr>
          <w:rFonts w:ascii="Arial" w:hAnsi="Arial" w:cs="Arial"/>
        </w:rPr>
        <w:t xml:space="preserve">nejsou uvedeny (viz Část V. Mezinárodní srovnání zaměstnanosti a nezaměstnanosti). </w:t>
      </w:r>
    </w:p>
    <w:p w:rsidR="00730AC8" w:rsidRDefault="00730AC8" w:rsidP="00730AC8">
      <w:pPr>
        <w:pStyle w:val="Normlnweb"/>
        <w:spacing w:line="276" w:lineRule="auto"/>
        <w:rPr>
          <w:rFonts w:ascii="Arial" w:hAnsi="Arial"/>
          <w:color w:val="0070C0"/>
        </w:rPr>
      </w:pPr>
      <w:bookmarkStart w:id="135" w:name="_Toc228001702"/>
      <w:bookmarkStart w:id="136" w:name="_Toc226958955"/>
    </w:p>
    <w:p w:rsidR="00730AC8" w:rsidRPr="006A518D" w:rsidRDefault="00730AC8" w:rsidP="00730AC8">
      <w:pPr>
        <w:pStyle w:val="Normlnweb"/>
        <w:spacing w:line="360" w:lineRule="auto"/>
        <w:rPr>
          <w:rFonts w:ascii="Arial" w:hAnsi="Arial"/>
          <w:b/>
        </w:rPr>
      </w:pPr>
      <w:r w:rsidRPr="006A518D">
        <w:rPr>
          <w:rFonts w:ascii="Arial" w:hAnsi="Arial"/>
          <w:b/>
        </w:rPr>
        <w:t>Ženy v evidenci ÚP</w:t>
      </w:r>
      <w:r w:rsidR="00685350">
        <w:rPr>
          <w:rFonts w:ascii="Arial" w:hAnsi="Arial"/>
          <w:b/>
        </w:rPr>
        <w:t xml:space="preserve"> ČR</w:t>
      </w:r>
    </w:p>
    <w:p w:rsidR="00730AC8" w:rsidRPr="006B7AE5" w:rsidRDefault="00730AC8" w:rsidP="00730AC8">
      <w:pPr>
        <w:pStyle w:val="Normlnweb"/>
        <w:rPr>
          <w:rFonts w:ascii="Arial" w:hAnsi="Arial"/>
          <w:b/>
          <w:sz w:val="16"/>
          <w:szCs w:val="16"/>
        </w:rPr>
      </w:pPr>
    </w:p>
    <w:p w:rsidR="00730AC8" w:rsidRDefault="00730AC8" w:rsidP="00730AC8">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line="360" w:lineRule="auto"/>
        <w:ind w:firstLine="720"/>
        <w:jc w:val="both"/>
        <w:rPr>
          <w:rFonts w:ascii="Arial" w:hAnsi="Arial"/>
          <w:bCs/>
          <w:szCs w:val="23"/>
        </w:rPr>
      </w:pPr>
      <w:r>
        <w:rPr>
          <w:rFonts w:ascii="Arial" w:hAnsi="Arial"/>
          <w:bCs/>
          <w:szCs w:val="23"/>
        </w:rPr>
        <w:t>Ekonomická krize postihla především odvětví s vyšší zaměstnaností mužů. V důsledku toho do roku 2008 v evidenci ÚP</w:t>
      </w:r>
      <w:r w:rsidR="006A789A">
        <w:rPr>
          <w:rFonts w:ascii="Arial" w:hAnsi="Arial"/>
          <w:bCs/>
          <w:szCs w:val="23"/>
        </w:rPr>
        <w:t> ČR</w:t>
      </w:r>
      <w:r>
        <w:rPr>
          <w:rFonts w:ascii="Arial" w:hAnsi="Arial"/>
          <w:bCs/>
          <w:szCs w:val="23"/>
        </w:rPr>
        <w:t xml:space="preserve"> v průměru převažovali muži. </w:t>
      </w:r>
    </w:p>
    <w:p w:rsidR="00730AC8" w:rsidRDefault="00730AC8" w:rsidP="00730AC8">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line="360" w:lineRule="auto"/>
        <w:ind w:firstLine="720"/>
        <w:jc w:val="both"/>
        <w:rPr>
          <w:rFonts w:ascii="Arial" w:hAnsi="Arial"/>
          <w:bCs/>
          <w:szCs w:val="23"/>
        </w:rPr>
      </w:pPr>
      <w:r>
        <w:rPr>
          <w:rFonts w:ascii="Arial" w:hAnsi="Arial"/>
          <w:b/>
          <w:bCs/>
          <w:szCs w:val="23"/>
        </w:rPr>
        <w:t>Průměrný počet žen v 1. pololetí 2013</w:t>
      </w:r>
      <w:r>
        <w:rPr>
          <w:rFonts w:ascii="Arial" w:hAnsi="Arial"/>
          <w:bCs/>
          <w:szCs w:val="23"/>
        </w:rPr>
        <w:t xml:space="preserve"> dosáhl </w:t>
      </w:r>
      <w:r>
        <w:rPr>
          <w:rFonts w:ascii="Arial" w:hAnsi="Arial"/>
          <w:b/>
          <w:bCs/>
          <w:szCs w:val="23"/>
        </w:rPr>
        <w:t>272,7 tis.</w:t>
      </w:r>
      <w:r>
        <w:rPr>
          <w:rFonts w:ascii="Arial" w:hAnsi="Arial"/>
          <w:bCs/>
          <w:szCs w:val="23"/>
        </w:rPr>
        <w:t xml:space="preserve">, což je o 21,0 tis. (o 8,3 %) více než v 1. pololetí 2012. </w:t>
      </w:r>
      <w:r>
        <w:rPr>
          <w:rFonts w:ascii="Arial" w:hAnsi="Arial"/>
          <w:b/>
          <w:bCs/>
          <w:szCs w:val="23"/>
        </w:rPr>
        <w:t xml:space="preserve">Mužů bylo </w:t>
      </w:r>
      <w:r>
        <w:rPr>
          <w:rFonts w:ascii="Arial" w:hAnsi="Arial"/>
          <w:bCs/>
          <w:szCs w:val="23"/>
        </w:rPr>
        <w:t xml:space="preserve">v průměru </w:t>
      </w:r>
      <w:r>
        <w:rPr>
          <w:rFonts w:ascii="Arial" w:hAnsi="Arial" w:cs="Arial"/>
          <w:b/>
          <w:szCs w:val="23"/>
        </w:rPr>
        <w:t>297,8 tis.,</w:t>
      </w:r>
      <w:r>
        <w:rPr>
          <w:rFonts w:ascii="Arial" w:hAnsi="Arial" w:cs="Arial"/>
          <w:szCs w:val="23"/>
        </w:rPr>
        <w:t xml:space="preserve"> což je oproti stejnému období minulého roku o 37,5 tis. (14,4 %) více. P</w:t>
      </w:r>
      <w:r>
        <w:rPr>
          <w:rFonts w:ascii="Arial" w:hAnsi="Arial"/>
          <w:bCs/>
          <w:szCs w:val="23"/>
        </w:rPr>
        <w:t xml:space="preserve">růměrný </w:t>
      </w:r>
      <w:r>
        <w:rPr>
          <w:rFonts w:ascii="Arial" w:hAnsi="Arial"/>
          <w:b/>
          <w:szCs w:val="23"/>
        </w:rPr>
        <w:t>podíl</w:t>
      </w:r>
      <w:r>
        <w:rPr>
          <w:rFonts w:ascii="Arial" w:hAnsi="Arial"/>
          <w:bCs/>
          <w:szCs w:val="23"/>
        </w:rPr>
        <w:t xml:space="preserve"> </w:t>
      </w:r>
      <w:r>
        <w:rPr>
          <w:rFonts w:ascii="Arial" w:hAnsi="Arial"/>
          <w:b/>
          <w:bCs/>
          <w:szCs w:val="23"/>
        </w:rPr>
        <w:t>žen</w:t>
      </w:r>
      <w:r>
        <w:rPr>
          <w:rFonts w:ascii="Arial" w:hAnsi="Arial"/>
          <w:bCs/>
          <w:szCs w:val="23"/>
        </w:rPr>
        <w:t xml:space="preserve"> na celkovém počtu registrovaných nezaměstnaných </w:t>
      </w:r>
      <w:r>
        <w:rPr>
          <w:rFonts w:ascii="Arial" w:hAnsi="Arial"/>
          <w:szCs w:val="23"/>
        </w:rPr>
        <w:t>poklesl na</w:t>
      </w:r>
      <w:r>
        <w:rPr>
          <w:rFonts w:ascii="Arial" w:hAnsi="Arial"/>
          <w:bCs/>
          <w:szCs w:val="23"/>
        </w:rPr>
        <w:t xml:space="preserve"> </w:t>
      </w:r>
      <w:r>
        <w:rPr>
          <w:rFonts w:ascii="Arial" w:hAnsi="Arial"/>
          <w:b/>
          <w:szCs w:val="23"/>
        </w:rPr>
        <w:t>47,8 %</w:t>
      </w:r>
      <w:r>
        <w:rPr>
          <w:rFonts w:ascii="Arial" w:hAnsi="Arial"/>
          <w:bCs/>
          <w:szCs w:val="23"/>
        </w:rPr>
        <w:t xml:space="preserve"> (v 1. pololetí 2012 – 49,2 %). </w:t>
      </w:r>
    </w:p>
    <w:p w:rsidR="00730AC8" w:rsidRPr="00F82AC7" w:rsidRDefault="00730AC8" w:rsidP="00730AC8">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line="360" w:lineRule="auto"/>
        <w:ind w:firstLine="720"/>
        <w:jc w:val="both"/>
        <w:rPr>
          <w:rFonts w:ascii="Arial" w:hAnsi="Arial"/>
          <w:bCs/>
          <w:szCs w:val="23"/>
        </w:rPr>
      </w:pPr>
      <w:r>
        <w:rPr>
          <w:rFonts w:ascii="Arial" w:hAnsi="Arial" w:cs="Arial"/>
          <w:szCs w:val="23"/>
        </w:rPr>
        <w:t>Vyšší průměrný počet mužů za celé pololetí je odrazem vyšších hodnot z přelomu let a prvních měsíců roku. Muži se více uplatňují v sezónně orientovaných odvětvích nebo sezónních pracích a jejich zastoupení mezi nezaměstnanými postupně klesá. Naopak m</w:t>
      </w:r>
      <w:r w:rsidRPr="00F82AC7">
        <w:rPr>
          <w:rFonts w:ascii="Arial" w:hAnsi="Arial" w:cs="Arial"/>
          <w:szCs w:val="23"/>
        </w:rPr>
        <w:t>írná převaha žen v evidenci ÚP</w:t>
      </w:r>
      <w:r w:rsidR="006A789A">
        <w:rPr>
          <w:rFonts w:ascii="Arial" w:hAnsi="Arial" w:cs="Arial"/>
          <w:szCs w:val="23"/>
        </w:rPr>
        <w:t> ČR</w:t>
      </w:r>
      <w:r w:rsidRPr="00F82AC7">
        <w:rPr>
          <w:rFonts w:ascii="Arial" w:hAnsi="Arial" w:cs="Arial"/>
          <w:szCs w:val="23"/>
        </w:rPr>
        <w:t xml:space="preserve"> je typická spíše pro letní měsíce, a to v souvislosti s pracovními poměry u zaměstnanců ve školství sjednávanými na dobu určitou, nebo i tím, že ženy při ztrátě nebo změně zaměstnání odkládají nástup do zaměstnání kvůli péči o děti až po prázdninách. </w:t>
      </w:r>
    </w:p>
    <w:p w:rsidR="00730AC8" w:rsidRDefault="00730AC8" w:rsidP="00730AC8">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line="360" w:lineRule="auto"/>
        <w:ind w:firstLine="720"/>
        <w:jc w:val="both"/>
        <w:rPr>
          <w:rFonts w:ascii="Arial" w:hAnsi="Arial"/>
          <w:bCs/>
          <w:szCs w:val="23"/>
        </w:rPr>
      </w:pPr>
      <w:r>
        <w:rPr>
          <w:rFonts w:ascii="Arial" w:hAnsi="Arial"/>
          <w:bCs/>
          <w:szCs w:val="23"/>
        </w:rPr>
        <w:t>Patrné je to z údajů k</w:t>
      </w:r>
      <w:r>
        <w:rPr>
          <w:rFonts w:ascii="Arial" w:hAnsi="Arial"/>
          <w:b/>
          <w:bCs/>
          <w:szCs w:val="23"/>
        </w:rPr>
        <w:t xml:space="preserve"> 30. 6. 2013, kdy se poměr mezi muži a ženami téměř vyrovnal. Počet mužů</w:t>
      </w:r>
      <w:r>
        <w:rPr>
          <w:rFonts w:ascii="Arial" w:hAnsi="Arial"/>
          <w:bCs/>
          <w:szCs w:val="23"/>
        </w:rPr>
        <w:t xml:space="preserve"> v evidenci ÚP</w:t>
      </w:r>
      <w:r w:rsidR="006A789A">
        <w:rPr>
          <w:rFonts w:ascii="Arial" w:hAnsi="Arial"/>
          <w:bCs/>
          <w:szCs w:val="23"/>
        </w:rPr>
        <w:t> ČR</w:t>
      </w:r>
      <w:r>
        <w:rPr>
          <w:rFonts w:ascii="Arial" w:hAnsi="Arial"/>
          <w:bCs/>
          <w:szCs w:val="23"/>
        </w:rPr>
        <w:t xml:space="preserve"> dosáhl </w:t>
      </w:r>
      <w:r w:rsidRPr="00831720">
        <w:rPr>
          <w:rFonts w:ascii="Arial" w:hAnsi="Arial"/>
          <w:b/>
          <w:bCs/>
          <w:szCs w:val="23"/>
        </w:rPr>
        <w:t>271,3 tis.</w:t>
      </w:r>
      <w:r>
        <w:rPr>
          <w:rFonts w:ascii="Arial" w:hAnsi="Arial"/>
          <w:bCs/>
          <w:szCs w:val="23"/>
        </w:rPr>
        <w:t xml:space="preserve"> a </w:t>
      </w:r>
      <w:r>
        <w:rPr>
          <w:rFonts w:ascii="Arial" w:hAnsi="Arial"/>
          <w:b/>
          <w:bCs/>
          <w:szCs w:val="23"/>
        </w:rPr>
        <w:t>žen</w:t>
      </w:r>
      <w:r>
        <w:rPr>
          <w:rFonts w:ascii="Arial" w:hAnsi="Arial"/>
          <w:bCs/>
          <w:szCs w:val="23"/>
        </w:rPr>
        <w:t xml:space="preserve"> </w:t>
      </w:r>
      <w:r>
        <w:rPr>
          <w:rFonts w:ascii="Arial" w:hAnsi="Arial"/>
          <w:b/>
          <w:bCs/>
          <w:szCs w:val="23"/>
        </w:rPr>
        <w:t>269,2</w:t>
      </w:r>
      <w:r w:rsidR="00243275">
        <w:rPr>
          <w:rFonts w:ascii="Arial" w:hAnsi="Arial"/>
          <w:b/>
          <w:bCs/>
          <w:szCs w:val="23"/>
        </w:rPr>
        <w:t> </w:t>
      </w:r>
      <w:r>
        <w:rPr>
          <w:rFonts w:ascii="Arial" w:hAnsi="Arial"/>
          <w:b/>
          <w:szCs w:val="23"/>
        </w:rPr>
        <w:t>tis</w:t>
      </w:r>
      <w:r>
        <w:rPr>
          <w:rFonts w:ascii="Arial" w:hAnsi="Arial"/>
          <w:bCs/>
          <w:szCs w:val="23"/>
        </w:rPr>
        <w:t xml:space="preserve">. (meziročně byly tyto hodnoty </w:t>
      </w:r>
      <w:r w:rsidRPr="0040261E">
        <w:rPr>
          <w:rFonts w:ascii="Arial" w:hAnsi="Arial"/>
          <w:bCs/>
          <w:szCs w:val="23"/>
        </w:rPr>
        <w:t>o 41,2 tis</w:t>
      </w:r>
      <w:r w:rsidRPr="00F82AC7">
        <w:rPr>
          <w:rFonts w:ascii="Arial" w:hAnsi="Arial"/>
          <w:bCs/>
          <w:szCs w:val="23"/>
        </w:rPr>
        <w:t>.</w:t>
      </w:r>
      <w:r>
        <w:rPr>
          <w:rFonts w:ascii="Arial" w:hAnsi="Arial"/>
          <w:bCs/>
          <w:szCs w:val="23"/>
        </w:rPr>
        <w:t xml:space="preserve">, resp. </w:t>
      </w:r>
      <w:r w:rsidRPr="0040261E">
        <w:rPr>
          <w:rFonts w:ascii="Arial" w:hAnsi="Arial" w:cs="Arial"/>
        </w:rPr>
        <w:t>24</w:t>
      </w:r>
      <w:r w:rsidRPr="0040261E">
        <w:rPr>
          <w:rFonts w:ascii="Arial" w:hAnsi="Arial" w:cs="Arial"/>
          <w:bCs/>
          <w:szCs w:val="23"/>
        </w:rPr>
        <w:t>,7 </w:t>
      </w:r>
      <w:r w:rsidRPr="0040261E">
        <w:rPr>
          <w:rFonts w:ascii="Arial" w:hAnsi="Arial" w:cs="Arial"/>
          <w:szCs w:val="23"/>
        </w:rPr>
        <w:t>tis.</w:t>
      </w:r>
      <w:r>
        <w:rPr>
          <w:rFonts w:ascii="Arial" w:hAnsi="Arial" w:cs="Arial"/>
          <w:szCs w:val="23"/>
        </w:rPr>
        <w:t xml:space="preserve"> vyšší)</w:t>
      </w:r>
      <w:r>
        <w:rPr>
          <w:rFonts w:ascii="Arial" w:hAnsi="Arial"/>
          <w:bCs/>
          <w:szCs w:val="23"/>
        </w:rPr>
        <w:t xml:space="preserve">. </w:t>
      </w:r>
    </w:p>
    <w:p w:rsidR="00730AC8" w:rsidRDefault="00730AC8" w:rsidP="00730AC8">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line="360" w:lineRule="auto"/>
        <w:ind w:firstLine="720"/>
        <w:jc w:val="both"/>
        <w:rPr>
          <w:rFonts w:ascii="Arial" w:hAnsi="Arial"/>
          <w:bCs/>
          <w:szCs w:val="23"/>
        </w:rPr>
      </w:pPr>
      <w:r w:rsidRPr="0040261E">
        <w:rPr>
          <w:rFonts w:ascii="Arial" w:hAnsi="Arial"/>
          <w:b/>
          <w:bCs/>
          <w:szCs w:val="23"/>
        </w:rPr>
        <w:t xml:space="preserve">Podíl </w:t>
      </w:r>
      <w:r>
        <w:rPr>
          <w:rFonts w:ascii="Arial" w:hAnsi="Arial" w:cs="Arial"/>
          <w:b/>
        </w:rPr>
        <w:t>nezaměstnaných</w:t>
      </w:r>
      <w:r>
        <w:rPr>
          <w:rFonts w:ascii="Arial" w:hAnsi="Arial" w:cs="Arial"/>
        </w:rPr>
        <w:t xml:space="preserve"> </w:t>
      </w:r>
      <w:r>
        <w:rPr>
          <w:rFonts w:ascii="Arial" w:hAnsi="Arial" w:cs="Arial"/>
          <w:b/>
        </w:rPr>
        <w:t>žen (7,4 %)</w:t>
      </w:r>
      <w:r>
        <w:rPr>
          <w:rFonts w:ascii="Arial" w:hAnsi="Arial" w:cs="Arial"/>
        </w:rPr>
        <w:t xml:space="preserve"> byl z důvodu nižšího zastoupení mezi obyvatelstvem ve věku 15 – 64 let (téměř o 100 tis.) </w:t>
      </w:r>
      <w:r>
        <w:rPr>
          <w:rFonts w:ascii="Arial" w:hAnsi="Arial" w:cs="Arial"/>
          <w:b/>
        </w:rPr>
        <w:t>vyšší než u mužů (7,3 %).</w:t>
      </w:r>
    </w:p>
    <w:p w:rsidR="00730AC8" w:rsidRPr="00EE47A5" w:rsidRDefault="00730AC8" w:rsidP="00730AC8">
      <w:pPr>
        <w:pStyle w:val="Zkladntextodsazen3"/>
        <w:tabs>
          <w:tab w:val="left" w:pos="0"/>
          <w:tab w:val="left" w:pos="72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after="0" w:line="360" w:lineRule="auto"/>
        <w:ind w:left="0" w:firstLine="720"/>
        <w:jc w:val="both"/>
        <w:rPr>
          <w:rFonts w:ascii="Arial" w:hAnsi="Arial" w:cs="Arial"/>
          <w:strike/>
          <w:sz w:val="24"/>
          <w:szCs w:val="24"/>
        </w:rPr>
      </w:pPr>
      <w:r>
        <w:rPr>
          <w:rFonts w:ascii="Arial" w:hAnsi="Arial"/>
          <w:sz w:val="24"/>
          <w:szCs w:val="24"/>
        </w:rPr>
        <w:lastRenderedPageBreak/>
        <w:t xml:space="preserve">Podíly počtu mužů a žen z celkového počtu nezaměstnaných v jednotlivých </w:t>
      </w:r>
      <w:r>
        <w:rPr>
          <w:rFonts w:ascii="Arial" w:hAnsi="Arial"/>
          <w:bCs/>
          <w:sz w:val="24"/>
          <w:szCs w:val="24"/>
        </w:rPr>
        <w:t>kategoriích</w:t>
      </w:r>
      <w:r>
        <w:rPr>
          <w:rFonts w:ascii="Arial" w:hAnsi="Arial"/>
          <w:b/>
          <w:bCs/>
          <w:sz w:val="24"/>
          <w:szCs w:val="24"/>
        </w:rPr>
        <w:t xml:space="preserve"> </w:t>
      </w:r>
      <w:r>
        <w:rPr>
          <w:rFonts w:ascii="Arial" w:hAnsi="Arial"/>
          <w:bCs/>
          <w:sz w:val="24"/>
          <w:szCs w:val="24"/>
        </w:rPr>
        <w:t>(věk, vzdělání, výše podpory v nezaměstnanosti, délka nezaměstnanosti)</w:t>
      </w:r>
      <w:r>
        <w:rPr>
          <w:rFonts w:ascii="Arial" w:hAnsi="Arial"/>
          <w:bCs/>
          <w:sz w:val="24"/>
          <w:szCs w:val="24"/>
          <w:lang w:val="cs-CZ"/>
        </w:rPr>
        <w:t xml:space="preserve"> včetně grafického znázornění</w:t>
      </w:r>
      <w:r>
        <w:rPr>
          <w:rFonts w:ascii="Arial" w:hAnsi="Arial"/>
          <w:bCs/>
          <w:sz w:val="24"/>
          <w:szCs w:val="24"/>
        </w:rPr>
        <w:t xml:space="preserve"> jsou </w:t>
      </w:r>
      <w:r w:rsidRPr="00EE47A5">
        <w:rPr>
          <w:rFonts w:ascii="Arial" w:hAnsi="Arial"/>
          <w:bCs/>
          <w:sz w:val="24"/>
          <w:szCs w:val="24"/>
        </w:rPr>
        <w:t xml:space="preserve">uvedeny v příloze č. </w:t>
      </w:r>
      <w:r w:rsidRPr="00EE47A5">
        <w:rPr>
          <w:rFonts w:ascii="Arial" w:hAnsi="Arial"/>
          <w:bCs/>
          <w:sz w:val="24"/>
          <w:szCs w:val="24"/>
          <w:lang w:val="cs-CZ"/>
        </w:rPr>
        <w:t>8</w:t>
      </w:r>
      <w:r w:rsidRPr="00EE47A5">
        <w:rPr>
          <w:rFonts w:ascii="Arial" w:hAnsi="Arial"/>
          <w:bCs/>
          <w:sz w:val="24"/>
          <w:szCs w:val="24"/>
        </w:rPr>
        <w:t xml:space="preserve"> </w:t>
      </w:r>
      <w:r w:rsidRPr="00EE47A5">
        <w:rPr>
          <w:rFonts w:ascii="Arial" w:hAnsi="Arial"/>
          <w:sz w:val="24"/>
          <w:szCs w:val="24"/>
        </w:rPr>
        <w:t>a </w:t>
      </w:r>
      <w:r w:rsidRPr="00EE47A5">
        <w:rPr>
          <w:rFonts w:ascii="Arial" w:hAnsi="Arial"/>
          <w:sz w:val="24"/>
          <w:szCs w:val="24"/>
          <w:lang w:val="cs-CZ"/>
        </w:rPr>
        <w:t>9</w:t>
      </w:r>
      <w:r w:rsidRPr="00EE47A5">
        <w:rPr>
          <w:rFonts w:ascii="Arial" w:hAnsi="Arial"/>
          <w:sz w:val="24"/>
          <w:szCs w:val="24"/>
        </w:rPr>
        <w:t xml:space="preserve">. </w:t>
      </w:r>
    </w:p>
    <w:p w:rsidR="00730AC8" w:rsidRDefault="00730AC8" w:rsidP="00730AC8">
      <w:pPr>
        <w:pStyle w:val="Normlnweb"/>
        <w:spacing w:line="360" w:lineRule="auto"/>
        <w:jc w:val="right"/>
        <w:rPr>
          <w:rFonts w:ascii="Arial" w:hAnsi="Arial" w:cs="Arial"/>
          <w:bCs/>
          <w:color w:val="0070C0"/>
          <w:sz w:val="20"/>
          <w:szCs w:val="20"/>
        </w:rPr>
      </w:pPr>
      <w:r w:rsidRPr="005723A4">
        <w:rPr>
          <w:rFonts w:ascii="Arial" w:hAnsi="Arial" w:cs="Arial"/>
          <w:bCs/>
          <w:sz w:val="20"/>
          <w:szCs w:val="20"/>
        </w:rPr>
        <w:t>graf č. 14</w:t>
      </w:r>
    </w:p>
    <w:p w:rsidR="00730AC8" w:rsidRDefault="00730AC8" w:rsidP="00730AC8">
      <w:pPr>
        <w:pStyle w:val="Zkladntext210"/>
        <w:widowControl/>
        <w:tabs>
          <w:tab w:val="left" w:pos="708"/>
        </w:tabs>
        <w:suppressAutoHyphens w:val="0"/>
        <w:overflowPunct/>
        <w:autoSpaceDE/>
        <w:adjustRightInd/>
        <w:jc w:val="center"/>
        <w:rPr>
          <w:color w:val="0070C0"/>
        </w:rPr>
      </w:pPr>
      <w:r>
        <w:rPr>
          <w:noProof/>
        </w:rPr>
        <w:drawing>
          <wp:inline distT="0" distB="0" distL="0" distR="0" wp14:anchorId="56D2FBA2" wp14:editId="770C47D2">
            <wp:extent cx="4886325" cy="3105150"/>
            <wp:effectExtent l="0" t="0" r="9525" b="19050"/>
            <wp:docPr id="17" name="Graf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730AC8" w:rsidRDefault="00730AC8" w:rsidP="00730AC8">
      <w:pPr>
        <w:tabs>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line="360" w:lineRule="auto"/>
        <w:ind w:firstLine="720"/>
        <w:jc w:val="both"/>
        <w:rPr>
          <w:rFonts w:ascii="Arial" w:hAnsi="Arial" w:cs="Arial"/>
          <w:szCs w:val="23"/>
        </w:rPr>
      </w:pPr>
    </w:p>
    <w:p w:rsidR="00730AC8" w:rsidRPr="006D5AA4" w:rsidRDefault="00730AC8" w:rsidP="00730AC8">
      <w:pPr>
        <w:pStyle w:val="Zkladntext"/>
        <w:spacing w:line="360" w:lineRule="auto"/>
        <w:ind w:firstLine="708"/>
        <w:rPr>
          <w:color w:val="auto"/>
          <w:lang w:val="cs-CZ"/>
        </w:rPr>
      </w:pPr>
      <w:r>
        <w:rPr>
          <w:b/>
          <w:bCs/>
          <w:color w:val="auto"/>
        </w:rPr>
        <w:t xml:space="preserve">Nadále jsou ženy </w:t>
      </w:r>
      <w:r>
        <w:rPr>
          <w:b/>
          <w:color w:val="auto"/>
        </w:rPr>
        <w:t>více postiženy</w:t>
      </w:r>
      <w:r>
        <w:rPr>
          <w:b/>
          <w:bCs/>
          <w:color w:val="auto"/>
        </w:rPr>
        <w:t xml:space="preserve"> dlouhodobou nezaměstnaností. K</w:t>
      </w:r>
      <w:r>
        <w:rPr>
          <w:b/>
          <w:color w:val="auto"/>
        </w:rPr>
        <w:t> 3</w:t>
      </w:r>
      <w:r>
        <w:rPr>
          <w:b/>
          <w:color w:val="auto"/>
          <w:lang w:val="cs-CZ"/>
        </w:rPr>
        <w:t>0</w:t>
      </w:r>
      <w:r>
        <w:rPr>
          <w:b/>
          <w:color w:val="auto"/>
        </w:rPr>
        <w:t>. </w:t>
      </w:r>
      <w:r>
        <w:rPr>
          <w:b/>
          <w:color w:val="auto"/>
          <w:lang w:val="cs-CZ"/>
        </w:rPr>
        <w:t>6</w:t>
      </w:r>
      <w:r>
        <w:rPr>
          <w:b/>
          <w:color w:val="auto"/>
        </w:rPr>
        <w:t>. 201</w:t>
      </w:r>
      <w:r>
        <w:rPr>
          <w:b/>
          <w:color w:val="auto"/>
          <w:lang w:val="cs-CZ"/>
        </w:rPr>
        <w:t>2</w:t>
      </w:r>
      <w:r>
        <w:rPr>
          <w:color w:val="auto"/>
        </w:rPr>
        <w:t xml:space="preserve"> jich bylo v evidenci úřadů práce </w:t>
      </w:r>
      <w:r>
        <w:rPr>
          <w:b/>
          <w:bCs/>
          <w:color w:val="auto"/>
        </w:rPr>
        <w:t xml:space="preserve">déle než 6 měsíců </w:t>
      </w:r>
      <w:r>
        <w:rPr>
          <w:b/>
          <w:bCs/>
          <w:color w:val="auto"/>
          <w:lang w:val="cs-CZ"/>
        </w:rPr>
        <w:t>62</w:t>
      </w:r>
      <w:r>
        <w:rPr>
          <w:b/>
          <w:bCs/>
          <w:color w:val="auto"/>
        </w:rPr>
        <w:t>,</w:t>
      </w:r>
      <w:r>
        <w:rPr>
          <w:b/>
          <w:bCs/>
          <w:color w:val="auto"/>
          <w:lang w:val="cs-CZ"/>
        </w:rPr>
        <w:t>4</w:t>
      </w:r>
      <w:r>
        <w:rPr>
          <w:b/>
          <w:bCs/>
          <w:color w:val="auto"/>
        </w:rPr>
        <w:t> %</w:t>
      </w:r>
      <w:r>
        <w:rPr>
          <w:color w:val="auto"/>
        </w:rPr>
        <w:t xml:space="preserve">, </w:t>
      </w:r>
      <w:r>
        <w:rPr>
          <w:b/>
          <w:bCs/>
          <w:color w:val="auto"/>
        </w:rPr>
        <w:t xml:space="preserve">déle než 12 měsíců </w:t>
      </w:r>
      <w:r>
        <w:rPr>
          <w:b/>
          <w:bCs/>
          <w:color w:val="auto"/>
          <w:lang w:val="cs-CZ"/>
        </w:rPr>
        <w:t>41</w:t>
      </w:r>
      <w:r>
        <w:rPr>
          <w:b/>
          <w:bCs/>
          <w:color w:val="auto"/>
        </w:rPr>
        <w:t>,</w:t>
      </w:r>
      <w:r>
        <w:rPr>
          <w:b/>
          <w:bCs/>
          <w:color w:val="auto"/>
          <w:lang w:val="cs-CZ"/>
        </w:rPr>
        <w:t>7</w:t>
      </w:r>
      <w:r>
        <w:rPr>
          <w:b/>
          <w:bCs/>
          <w:color w:val="auto"/>
        </w:rPr>
        <w:t> %</w:t>
      </w:r>
      <w:r>
        <w:rPr>
          <w:color w:val="auto"/>
        </w:rPr>
        <w:t xml:space="preserve">. Naproti tomu z celkového počtu nezaměstnaných mužů bylo evidováno déle </w:t>
      </w:r>
      <w:r>
        <w:rPr>
          <w:b/>
          <w:bCs/>
          <w:color w:val="auto"/>
        </w:rPr>
        <w:t xml:space="preserve">než 6 měsíců </w:t>
      </w:r>
      <w:r>
        <w:rPr>
          <w:b/>
          <w:bCs/>
          <w:color w:val="auto"/>
          <w:lang w:val="cs-CZ"/>
        </w:rPr>
        <w:t>58</w:t>
      </w:r>
      <w:r>
        <w:rPr>
          <w:b/>
          <w:bCs/>
          <w:color w:val="auto"/>
        </w:rPr>
        <w:t>,</w:t>
      </w:r>
      <w:r>
        <w:rPr>
          <w:b/>
          <w:bCs/>
          <w:color w:val="auto"/>
          <w:lang w:val="cs-CZ"/>
        </w:rPr>
        <w:t>2</w:t>
      </w:r>
      <w:r>
        <w:rPr>
          <w:b/>
          <w:bCs/>
          <w:color w:val="auto"/>
        </w:rPr>
        <w:t xml:space="preserve"> %, déle než 12 měsíců </w:t>
      </w:r>
      <w:r>
        <w:rPr>
          <w:b/>
          <w:bCs/>
          <w:color w:val="auto"/>
          <w:lang w:val="cs-CZ"/>
        </w:rPr>
        <w:t>36</w:t>
      </w:r>
      <w:r>
        <w:rPr>
          <w:b/>
          <w:bCs/>
          <w:color w:val="auto"/>
        </w:rPr>
        <w:t>,</w:t>
      </w:r>
      <w:r>
        <w:rPr>
          <w:b/>
          <w:bCs/>
          <w:color w:val="auto"/>
          <w:lang w:val="cs-CZ"/>
        </w:rPr>
        <w:t>2</w:t>
      </w:r>
      <w:r>
        <w:rPr>
          <w:b/>
          <w:bCs/>
          <w:color w:val="auto"/>
        </w:rPr>
        <w:t> %</w:t>
      </w:r>
      <w:r>
        <w:rPr>
          <w:color w:val="auto"/>
        </w:rPr>
        <w:t xml:space="preserve">. </w:t>
      </w:r>
      <w:r>
        <w:rPr>
          <w:color w:val="auto"/>
          <w:lang w:val="cs-CZ"/>
        </w:rPr>
        <w:t>Při uplatnění se na trhu práce jsou znevýhodněny zejména ženy pečující o dítě do 15 let věku, jichž bylo v evidenci ÚP</w:t>
      </w:r>
      <w:r w:rsidR="00484F19">
        <w:rPr>
          <w:color w:val="auto"/>
          <w:lang w:val="cs-CZ"/>
        </w:rPr>
        <w:t> ČR</w:t>
      </w:r>
      <w:r>
        <w:rPr>
          <w:color w:val="auto"/>
          <w:lang w:val="cs-CZ"/>
        </w:rPr>
        <w:t xml:space="preserve"> 45,8 tis. (k 30. 6. 2013 to bylo 44,5 tis., méně o 0,7 tis.).</w:t>
      </w:r>
    </w:p>
    <w:bookmarkEnd w:id="135"/>
    <w:bookmarkEnd w:id="136"/>
    <w:p w:rsidR="00730AC8" w:rsidRDefault="00730AC8" w:rsidP="00730AC8">
      <w:pPr>
        <w:pStyle w:val="Zkladntext"/>
        <w:spacing w:line="276" w:lineRule="auto"/>
        <w:rPr>
          <w:b/>
          <w:bCs/>
          <w:color w:val="0070C0"/>
          <w:szCs w:val="23"/>
        </w:rPr>
      </w:pPr>
    </w:p>
    <w:p w:rsidR="00730AC8" w:rsidRPr="00145A9B" w:rsidRDefault="00730AC8" w:rsidP="00730AC8">
      <w:pPr>
        <w:pStyle w:val="Zkladntext"/>
        <w:ind w:firstLine="708"/>
        <w:rPr>
          <w:color w:val="00B0F0"/>
        </w:rPr>
      </w:pPr>
    </w:p>
    <w:p w:rsidR="00730AC8" w:rsidRPr="00DE7EDD" w:rsidRDefault="00730AC8" w:rsidP="00730AC8">
      <w:pPr>
        <w:pStyle w:val="Styl5"/>
        <w:numPr>
          <w:ilvl w:val="0"/>
          <w:numId w:val="12"/>
        </w:numPr>
        <w:tabs>
          <w:tab w:val="clear" w:pos="720"/>
          <w:tab w:val="clear" w:pos="2868"/>
          <w:tab w:val="num" w:pos="851"/>
        </w:tabs>
        <w:ind w:hanging="2442"/>
        <w:jc w:val="both"/>
        <w:rPr>
          <w:color w:val="auto"/>
          <w:sz w:val="24"/>
          <w:szCs w:val="24"/>
        </w:rPr>
      </w:pPr>
      <w:bookmarkStart w:id="137" w:name="_Toc306357402"/>
      <w:bookmarkStart w:id="138" w:name="_Toc337125230"/>
      <w:bookmarkStart w:id="139" w:name="_Toc372530194"/>
      <w:r w:rsidRPr="00DE7EDD">
        <w:rPr>
          <w:color w:val="auto"/>
          <w:sz w:val="24"/>
          <w:szCs w:val="24"/>
        </w:rPr>
        <w:t>Regionální nezaměstnanost</w:t>
      </w:r>
      <w:bookmarkEnd w:id="137"/>
      <w:bookmarkEnd w:id="138"/>
      <w:bookmarkEnd w:id="139"/>
    </w:p>
    <w:p w:rsidR="00730AC8" w:rsidRPr="00145A9B" w:rsidRDefault="00730AC8" w:rsidP="00730AC8">
      <w:pPr>
        <w:pStyle w:val="Zkladntext"/>
        <w:ind w:firstLine="709"/>
        <w:rPr>
          <w:color w:val="00B0F0"/>
          <w:sz w:val="16"/>
          <w:szCs w:val="16"/>
          <w:highlight w:val="yellow"/>
        </w:rPr>
      </w:pPr>
    </w:p>
    <w:p w:rsidR="00730AC8" w:rsidRPr="002936B7" w:rsidRDefault="00730AC8" w:rsidP="00730AC8">
      <w:pPr>
        <w:pStyle w:val="Zkladntext"/>
        <w:spacing w:line="360" w:lineRule="auto"/>
        <w:ind w:firstLine="708"/>
        <w:rPr>
          <w:iCs/>
          <w:szCs w:val="23"/>
        </w:rPr>
      </w:pPr>
      <w:r w:rsidRPr="00A16E08">
        <w:rPr>
          <w:rFonts w:cs="Arial"/>
          <w:b/>
          <w:bCs/>
        </w:rPr>
        <w:t xml:space="preserve">Podíl nezaměstnaných osob </w:t>
      </w:r>
      <w:r w:rsidRPr="002936B7">
        <w:rPr>
          <w:szCs w:val="23"/>
        </w:rPr>
        <w:t>vyšší než celorepublikový průměr (</w:t>
      </w:r>
      <w:r>
        <w:rPr>
          <w:szCs w:val="23"/>
          <w:lang w:val="cs-CZ"/>
        </w:rPr>
        <w:t>7</w:t>
      </w:r>
      <w:r w:rsidRPr="002936B7">
        <w:rPr>
          <w:szCs w:val="23"/>
        </w:rPr>
        <w:t>,</w:t>
      </w:r>
      <w:r>
        <w:rPr>
          <w:szCs w:val="23"/>
          <w:lang w:val="cs-CZ"/>
        </w:rPr>
        <w:t>3</w:t>
      </w:r>
      <w:r w:rsidRPr="002936B7">
        <w:rPr>
          <w:szCs w:val="23"/>
        </w:rPr>
        <w:t> %) byl k 3</w:t>
      </w:r>
      <w:r w:rsidRPr="002936B7">
        <w:rPr>
          <w:szCs w:val="23"/>
          <w:lang w:val="cs-CZ"/>
        </w:rPr>
        <w:t>0</w:t>
      </w:r>
      <w:r w:rsidRPr="002936B7">
        <w:rPr>
          <w:szCs w:val="23"/>
        </w:rPr>
        <w:t>. </w:t>
      </w:r>
      <w:r w:rsidRPr="002936B7">
        <w:rPr>
          <w:szCs w:val="23"/>
          <w:lang w:val="cs-CZ"/>
        </w:rPr>
        <w:t>6</w:t>
      </w:r>
      <w:r w:rsidRPr="002936B7">
        <w:rPr>
          <w:szCs w:val="23"/>
        </w:rPr>
        <w:t>. 201</w:t>
      </w:r>
      <w:r>
        <w:rPr>
          <w:szCs w:val="23"/>
          <w:lang w:val="cs-CZ"/>
        </w:rPr>
        <w:t xml:space="preserve">3 </w:t>
      </w:r>
      <w:r w:rsidRPr="002936B7">
        <w:rPr>
          <w:szCs w:val="23"/>
        </w:rPr>
        <w:t>zaznamenán v</w:t>
      </w:r>
      <w:r>
        <w:rPr>
          <w:szCs w:val="23"/>
        </w:rPr>
        <w:t> </w:t>
      </w:r>
      <w:r>
        <w:rPr>
          <w:szCs w:val="23"/>
          <w:lang w:val="cs-CZ"/>
        </w:rPr>
        <w:t xml:space="preserve">polovině </w:t>
      </w:r>
      <w:r w:rsidRPr="002936B7">
        <w:rPr>
          <w:szCs w:val="23"/>
        </w:rPr>
        <w:t>kraj</w:t>
      </w:r>
      <w:r>
        <w:rPr>
          <w:szCs w:val="23"/>
          <w:lang w:val="cs-CZ"/>
        </w:rPr>
        <w:t>ů</w:t>
      </w:r>
      <w:r w:rsidRPr="002936B7">
        <w:rPr>
          <w:szCs w:val="23"/>
        </w:rPr>
        <w:t xml:space="preserve">. </w:t>
      </w:r>
      <w:r>
        <w:rPr>
          <w:szCs w:val="23"/>
          <w:lang w:val="cs-CZ"/>
        </w:rPr>
        <w:t>Stejně jako v červnu 2012 byl n</w:t>
      </w:r>
      <w:proofErr w:type="spellStart"/>
      <w:r w:rsidRPr="002936B7">
        <w:rPr>
          <w:iCs/>
          <w:szCs w:val="23"/>
        </w:rPr>
        <w:t>ejvyšší</w:t>
      </w:r>
      <w:proofErr w:type="spellEnd"/>
      <w:r w:rsidRPr="002936B7">
        <w:rPr>
          <w:iCs/>
          <w:szCs w:val="23"/>
        </w:rPr>
        <w:t xml:space="preserve"> v</w:t>
      </w:r>
      <w:r>
        <w:rPr>
          <w:iCs/>
          <w:szCs w:val="23"/>
          <w:lang w:val="cs-CZ"/>
        </w:rPr>
        <w:t> </w:t>
      </w:r>
      <w:r w:rsidRPr="002936B7">
        <w:rPr>
          <w:b/>
          <w:iCs/>
          <w:szCs w:val="23"/>
        </w:rPr>
        <w:t>Ústeckém kraji, násled</w:t>
      </w:r>
      <w:r>
        <w:rPr>
          <w:b/>
          <w:iCs/>
          <w:szCs w:val="23"/>
          <w:lang w:val="cs-CZ"/>
        </w:rPr>
        <w:t>oval</w:t>
      </w:r>
      <w:r w:rsidRPr="002936B7">
        <w:rPr>
          <w:b/>
          <w:iCs/>
          <w:szCs w:val="23"/>
        </w:rPr>
        <w:t xml:space="preserve"> Moravskoslezský, Olomoucký</w:t>
      </w:r>
      <w:r w:rsidRPr="002936B7">
        <w:rPr>
          <w:b/>
          <w:iCs/>
          <w:szCs w:val="23"/>
          <w:lang w:val="cs-CZ"/>
        </w:rPr>
        <w:t xml:space="preserve">, </w:t>
      </w:r>
      <w:r w:rsidRPr="002936B7">
        <w:rPr>
          <w:b/>
          <w:iCs/>
          <w:szCs w:val="23"/>
        </w:rPr>
        <w:t>Karlovarský a </w:t>
      </w:r>
      <w:r w:rsidRPr="002936B7">
        <w:rPr>
          <w:b/>
          <w:iCs/>
          <w:szCs w:val="23"/>
          <w:lang w:val="cs-CZ"/>
        </w:rPr>
        <w:t>Liberecký</w:t>
      </w:r>
      <w:r w:rsidRPr="002936B7">
        <w:rPr>
          <w:b/>
          <w:iCs/>
          <w:szCs w:val="23"/>
        </w:rPr>
        <w:t xml:space="preserve"> kraj.</w:t>
      </w:r>
    </w:p>
    <w:p w:rsidR="00730AC8" w:rsidRPr="002936B7" w:rsidRDefault="00730AC8" w:rsidP="00730AC8">
      <w:pPr>
        <w:pStyle w:val="Zkladntext"/>
        <w:spacing w:line="360" w:lineRule="auto"/>
        <w:ind w:firstLine="708"/>
        <w:rPr>
          <w:szCs w:val="23"/>
        </w:rPr>
      </w:pPr>
      <w:r w:rsidRPr="00A16E08">
        <w:rPr>
          <w:rFonts w:cs="Arial"/>
          <w:b/>
          <w:bCs/>
        </w:rPr>
        <w:t xml:space="preserve">Podíl nezaměstnaných osob </w:t>
      </w:r>
      <w:r w:rsidRPr="00CB431B">
        <w:rPr>
          <w:b/>
          <w:szCs w:val="23"/>
        </w:rPr>
        <w:t>v</w:t>
      </w:r>
      <w:r w:rsidRPr="00CB431B">
        <w:rPr>
          <w:b/>
          <w:szCs w:val="23"/>
          <w:lang w:val="cs-CZ"/>
        </w:rPr>
        <w:t>zrostl ve všech krajích</w:t>
      </w:r>
      <w:r>
        <w:rPr>
          <w:szCs w:val="23"/>
          <w:lang w:val="cs-CZ"/>
        </w:rPr>
        <w:t xml:space="preserve">, </w:t>
      </w:r>
      <w:r w:rsidRPr="00CB431B">
        <w:rPr>
          <w:b/>
          <w:szCs w:val="23"/>
          <w:lang w:val="cs-CZ"/>
        </w:rPr>
        <w:t>nejvíce v Moravskoslezském</w:t>
      </w:r>
      <w:r>
        <w:rPr>
          <w:szCs w:val="23"/>
          <w:lang w:val="cs-CZ"/>
        </w:rPr>
        <w:t xml:space="preserve"> (o 1,4 p. b.), Královéhradeckém a Ústeckém (o 1,2 p. b.), Karlovarském a Zlínském kraji (o 1,1</w:t>
      </w:r>
      <w:r w:rsidRPr="00446224">
        <w:rPr>
          <w:szCs w:val="23"/>
          <w:lang w:val="cs-CZ"/>
        </w:rPr>
        <w:t xml:space="preserve"> </w:t>
      </w:r>
      <w:r>
        <w:rPr>
          <w:szCs w:val="23"/>
          <w:lang w:val="cs-CZ"/>
        </w:rPr>
        <w:t> p. b.)</w:t>
      </w:r>
      <w:r w:rsidRPr="002936B7">
        <w:rPr>
          <w:szCs w:val="23"/>
        </w:rPr>
        <w:t>. </w:t>
      </w:r>
      <w:r w:rsidRPr="002936B7">
        <w:rPr>
          <w:szCs w:val="23"/>
          <w:lang w:val="cs-CZ"/>
        </w:rPr>
        <w:t xml:space="preserve"> </w:t>
      </w:r>
    </w:p>
    <w:p w:rsidR="00730AC8" w:rsidRDefault="00730AC8" w:rsidP="00730AC8">
      <w:pPr>
        <w:pStyle w:val="Zkladntext"/>
        <w:spacing w:line="360" w:lineRule="auto"/>
        <w:ind w:firstLine="708"/>
        <w:rPr>
          <w:szCs w:val="23"/>
        </w:rPr>
      </w:pPr>
      <w:r>
        <w:rPr>
          <w:szCs w:val="23"/>
          <w:lang w:val="cs-CZ"/>
        </w:rPr>
        <w:lastRenderedPageBreak/>
        <w:t xml:space="preserve">Setřídění krajů podle absolutního nárůstu počtu uchazečů (s výjimkou první „příčky“) je odlišné a od nárůstu podílu nezaměstnaných osob se liší z důvodu odlišného vývoje počtu obyvatel. </w:t>
      </w:r>
      <w:r w:rsidRPr="009F674A">
        <w:rPr>
          <w:b/>
          <w:szCs w:val="23"/>
          <w:lang w:val="cs-CZ"/>
        </w:rPr>
        <w:t>P</w:t>
      </w:r>
      <w:proofErr w:type="spellStart"/>
      <w:r w:rsidRPr="002936B7">
        <w:rPr>
          <w:b/>
          <w:szCs w:val="23"/>
        </w:rPr>
        <w:t>oč</w:t>
      </w:r>
      <w:r>
        <w:rPr>
          <w:b/>
          <w:szCs w:val="23"/>
          <w:lang w:val="cs-CZ"/>
        </w:rPr>
        <w:t>e</w:t>
      </w:r>
      <w:proofErr w:type="spellEnd"/>
      <w:r w:rsidRPr="002936B7">
        <w:rPr>
          <w:b/>
          <w:szCs w:val="23"/>
        </w:rPr>
        <w:t xml:space="preserve">t uchazečů </w:t>
      </w:r>
      <w:r w:rsidRPr="002936B7">
        <w:rPr>
          <w:szCs w:val="23"/>
        </w:rPr>
        <w:t>o</w:t>
      </w:r>
      <w:r w:rsidRPr="002936B7">
        <w:rPr>
          <w:b/>
          <w:szCs w:val="23"/>
        </w:rPr>
        <w:t> </w:t>
      </w:r>
      <w:r w:rsidRPr="002936B7">
        <w:rPr>
          <w:szCs w:val="23"/>
        </w:rPr>
        <w:t xml:space="preserve">zaměstnání </w:t>
      </w:r>
      <w:r w:rsidRPr="002936B7">
        <w:rPr>
          <w:b/>
          <w:szCs w:val="23"/>
        </w:rPr>
        <w:t xml:space="preserve">nejvíce </w:t>
      </w:r>
      <w:r>
        <w:rPr>
          <w:b/>
          <w:szCs w:val="23"/>
          <w:lang w:val="cs-CZ"/>
        </w:rPr>
        <w:t>vzrostl v Moravskoslezském kraji (o 9</w:t>
      </w:r>
      <w:r w:rsidR="0028367C">
        <w:rPr>
          <w:b/>
          <w:szCs w:val="23"/>
          <w:lang w:val="cs-CZ"/>
        </w:rPr>
        <w:t> </w:t>
      </w:r>
      <w:r>
        <w:rPr>
          <w:b/>
          <w:szCs w:val="23"/>
          <w:lang w:val="cs-CZ"/>
        </w:rPr>
        <w:t>997</w:t>
      </w:r>
      <w:r w:rsidR="0028367C">
        <w:rPr>
          <w:b/>
          <w:szCs w:val="23"/>
          <w:lang w:val="cs-CZ"/>
        </w:rPr>
        <w:t xml:space="preserve"> osob</w:t>
      </w:r>
      <w:r>
        <w:rPr>
          <w:b/>
          <w:szCs w:val="23"/>
          <w:lang w:val="cs-CZ"/>
        </w:rPr>
        <w:t xml:space="preserve">), </w:t>
      </w:r>
      <w:r>
        <w:rPr>
          <w:szCs w:val="23"/>
          <w:lang w:val="cs-CZ"/>
        </w:rPr>
        <w:t xml:space="preserve">dále v  </w:t>
      </w:r>
      <w:r w:rsidRPr="002936B7">
        <w:rPr>
          <w:szCs w:val="23"/>
          <w:lang w:val="cs-CZ"/>
        </w:rPr>
        <w:t>Hl. m. </w:t>
      </w:r>
      <w:r w:rsidRPr="002936B7">
        <w:rPr>
          <w:szCs w:val="23"/>
        </w:rPr>
        <w:t>Praze</w:t>
      </w:r>
      <w:r w:rsidRPr="002936B7">
        <w:rPr>
          <w:szCs w:val="23"/>
          <w:lang w:val="cs-CZ"/>
        </w:rPr>
        <w:t xml:space="preserve"> </w:t>
      </w:r>
      <w:r>
        <w:rPr>
          <w:szCs w:val="23"/>
          <w:lang w:val="cs-CZ"/>
        </w:rPr>
        <w:t xml:space="preserve">(o 8 191 osob) </w:t>
      </w:r>
      <w:r w:rsidRPr="0028367C">
        <w:rPr>
          <w:szCs w:val="23"/>
          <w:lang w:val="cs-CZ"/>
        </w:rPr>
        <w:t>a Středočeském kraji (o 7 325 osob).</w:t>
      </w:r>
      <w:r>
        <w:rPr>
          <w:szCs w:val="23"/>
          <w:lang w:val="cs-CZ"/>
        </w:rPr>
        <w:t xml:space="preserve"> </w:t>
      </w:r>
    </w:p>
    <w:p w:rsidR="00730AC8" w:rsidRDefault="00730AC8" w:rsidP="00730AC8">
      <w:pPr>
        <w:pStyle w:val="Zkladntext"/>
        <w:spacing w:line="360" w:lineRule="auto"/>
        <w:ind w:firstLine="708"/>
        <w:rPr>
          <w:szCs w:val="23"/>
          <w:lang w:val="cs-CZ"/>
        </w:rPr>
      </w:pPr>
      <w:r w:rsidRPr="002C34AC">
        <w:rPr>
          <w:b/>
          <w:szCs w:val="23"/>
          <w:lang w:val="cs-CZ"/>
        </w:rPr>
        <w:t xml:space="preserve">Relativně </w:t>
      </w:r>
      <w:r w:rsidRPr="002936B7">
        <w:rPr>
          <w:b/>
          <w:szCs w:val="23"/>
        </w:rPr>
        <w:t xml:space="preserve">nejvíce </w:t>
      </w:r>
      <w:r>
        <w:rPr>
          <w:b/>
          <w:szCs w:val="23"/>
          <w:lang w:val="cs-CZ"/>
        </w:rPr>
        <w:t>vzrostl</w:t>
      </w:r>
      <w:r w:rsidRPr="002936B7">
        <w:rPr>
          <w:szCs w:val="23"/>
        </w:rPr>
        <w:t xml:space="preserve"> </w:t>
      </w:r>
      <w:r>
        <w:rPr>
          <w:szCs w:val="23"/>
          <w:lang w:val="cs-CZ"/>
        </w:rPr>
        <w:t xml:space="preserve">počet uchazečů </w:t>
      </w:r>
      <w:r w:rsidRPr="000F3792">
        <w:rPr>
          <w:b/>
          <w:szCs w:val="23"/>
          <w:lang w:val="cs-CZ"/>
        </w:rPr>
        <w:t>v Hl. m. </w:t>
      </w:r>
      <w:r w:rsidRPr="000F3792">
        <w:rPr>
          <w:b/>
          <w:szCs w:val="23"/>
        </w:rPr>
        <w:t>Praze</w:t>
      </w:r>
      <w:r w:rsidRPr="002936B7">
        <w:rPr>
          <w:szCs w:val="23"/>
          <w:lang w:val="cs-CZ"/>
        </w:rPr>
        <w:t xml:space="preserve"> </w:t>
      </w:r>
      <w:r>
        <w:rPr>
          <w:szCs w:val="23"/>
          <w:lang w:val="cs-CZ"/>
        </w:rPr>
        <w:t xml:space="preserve">(o 24,5 %), Královéhradeckém (20,9 %) a </w:t>
      </w:r>
      <w:r w:rsidRPr="009F674A">
        <w:rPr>
          <w:szCs w:val="23"/>
          <w:lang w:val="cs-CZ"/>
        </w:rPr>
        <w:t xml:space="preserve">Plzeňském </w:t>
      </w:r>
      <w:r>
        <w:rPr>
          <w:szCs w:val="23"/>
          <w:lang w:val="cs-CZ"/>
        </w:rPr>
        <w:t xml:space="preserve">kraji (o 17,0 %). </w:t>
      </w:r>
    </w:p>
    <w:p w:rsidR="00730AC8" w:rsidRDefault="00730AC8" w:rsidP="00730AC8">
      <w:pPr>
        <w:pStyle w:val="Zkladntext"/>
        <w:spacing w:line="360" w:lineRule="auto"/>
        <w:ind w:firstLine="708"/>
        <w:rPr>
          <w:szCs w:val="23"/>
        </w:rPr>
      </w:pPr>
      <w:r>
        <w:rPr>
          <w:szCs w:val="23"/>
          <w:lang w:val="cs-CZ"/>
        </w:rPr>
        <w:t>Vývoj zaměstnanosti neovlivnil vývoj nezaměstnanosti v jednotlivých krajích stejně, situace na trhu práce se odvíjela spíše podle faktorů, které vývoj zaměstnanosti ovlivňovaly (struktura zaměstnanosti, hromadná propouštění, různá míra uplatňování práce na kratší úvazek, věková struktura obyvatelstva).</w:t>
      </w:r>
    </w:p>
    <w:p w:rsidR="00730AC8" w:rsidRPr="006B7AE5" w:rsidRDefault="00730AC8" w:rsidP="00730AC8">
      <w:pPr>
        <w:ind w:firstLine="708"/>
        <w:jc w:val="both"/>
        <w:rPr>
          <w:rFonts w:ascii="Arial" w:hAnsi="Arial" w:cs="Arial"/>
          <w:sz w:val="16"/>
          <w:szCs w:val="16"/>
        </w:rPr>
      </w:pPr>
    </w:p>
    <w:p w:rsidR="00730AC8" w:rsidRPr="005723A4" w:rsidRDefault="00730AC8" w:rsidP="00730AC8">
      <w:pPr>
        <w:pStyle w:val="Normlnweb11"/>
        <w:spacing w:before="0" w:after="0"/>
        <w:jc w:val="center"/>
        <w:rPr>
          <w:rFonts w:ascii="Arial" w:hAnsi="Arial" w:cs="Arial"/>
          <w:b/>
          <w:bCs/>
          <w:color w:val="000000"/>
        </w:rPr>
      </w:pPr>
      <w:r w:rsidRPr="005723A4">
        <w:rPr>
          <w:rFonts w:ascii="Arial" w:hAnsi="Arial" w:cs="Arial"/>
          <w:b/>
          <w:bCs/>
          <w:color w:val="000000"/>
        </w:rPr>
        <w:t>Podíl nezaměstnaných osob a počet uchazečů o zaměstnání v krajích ČR</w:t>
      </w:r>
    </w:p>
    <w:p w:rsidR="00730AC8" w:rsidRPr="002936B7" w:rsidRDefault="00730AC8" w:rsidP="00730AC8">
      <w:pPr>
        <w:pStyle w:val="Normlnweb11"/>
        <w:spacing w:before="0" w:after="0"/>
        <w:jc w:val="center"/>
        <w:rPr>
          <w:rFonts w:ascii="Arial" w:hAnsi="Arial" w:cs="Arial"/>
          <w:b/>
          <w:color w:val="000000"/>
          <w:sz w:val="20"/>
        </w:rPr>
      </w:pPr>
      <w:r w:rsidRPr="005723A4">
        <w:rPr>
          <w:rFonts w:ascii="Arial" w:hAnsi="Arial" w:cs="Arial"/>
          <w:b/>
          <w:color w:val="000000"/>
          <w:sz w:val="20"/>
        </w:rPr>
        <w:t>(seřazené podle podílu nezaměstnaných osob k 30. 6. 2013)</w:t>
      </w:r>
    </w:p>
    <w:p w:rsidR="00730AC8" w:rsidRPr="002936B7" w:rsidRDefault="00730AC8" w:rsidP="00730AC8">
      <w:pPr>
        <w:pStyle w:val="Normlnweb11"/>
        <w:spacing w:before="0" w:after="0"/>
        <w:jc w:val="right"/>
        <w:rPr>
          <w:rFonts w:ascii="Arial" w:hAnsi="Arial" w:cs="Arial"/>
          <w:b/>
          <w:bCs/>
          <w:color w:val="000000"/>
        </w:rPr>
      </w:pPr>
      <w:r w:rsidRPr="002936B7">
        <w:rPr>
          <w:rFonts w:ascii="Arial" w:hAnsi="Arial" w:cs="Arial"/>
          <w:color w:val="000000"/>
          <w:sz w:val="20"/>
        </w:rPr>
        <w:t>tab. č. 2</w:t>
      </w:r>
      <w:r>
        <w:rPr>
          <w:rFonts w:ascii="Arial" w:hAnsi="Arial" w:cs="Arial"/>
          <w:color w:val="000000"/>
          <w:sz w:val="20"/>
        </w:rPr>
        <w:t>2</w:t>
      </w:r>
    </w:p>
    <w:tbl>
      <w:tblPr>
        <w:tblW w:w="8788" w:type="dxa"/>
        <w:jc w:val="center"/>
        <w:tblInd w:w="-113" w:type="dxa"/>
        <w:tblLayout w:type="fixed"/>
        <w:tblCellMar>
          <w:left w:w="0" w:type="dxa"/>
          <w:right w:w="170" w:type="dxa"/>
        </w:tblCellMar>
        <w:tblLook w:val="04A0" w:firstRow="1" w:lastRow="0" w:firstColumn="1" w:lastColumn="0" w:noHBand="0" w:noVBand="1"/>
      </w:tblPr>
      <w:tblGrid>
        <w:gridCol w:w="316"/>
        <w:gridCol w:w="2075"/>
        <w:gridCol w:w="1224"/>
        <w:gridCol w:w="1063"/>
        <w:gridCol w:w="1254"/>
        <w:gridCol w:w="1156"/>
        <w:gridCol w:w="850"/>
        <w:gridCol w:w="850"/>
      </w:tblGrid>
      <w:tr w:rsidR="00730AC8" w:rsidRPr="002936B7" w:rsidTr="002F5109">
        <w:trPr>
          <w:trHeight w:val="585"/>
          <w:jc w:val="center"/>
        </w:trPr>
        <w:tc>
          <w:tcPr>
            <w:tcW w:w="2391" w:type="dxa"/>
            <w:gridSpan w:val="2"/>
            <w:vMerge w:val="restart"/>
            <w:tcBorders>
              <w:top w:val="double" w:sz="6" w:space="0" w:color="auto"/>
              <w:left w:val="double" w:sz="6" w:space="0" w:color="auto"/>
              <w:bottom w:val="single" w:sz="4" w:space="0" w:color="auto"/>
              <w:right w:val="single" w:sz="4" w:space="0" w:color="000000"/>
            </w:tcBorders>
            <w:shd w:val="clear" w:color="auto" w:fill="auto"/>
            <w:noWrap/>
            <w:tcMar>
              <w:top w:w="15" w:type="dxa"/>
              <w:left w:w="15" w:type="dxa"/>
              <w:bottom w:w="0" w:type="dxa"/>
              <w:right w:w="15" w:type="dxa"/>
            </w:tcMar>
            <w:vAlign w:val="center"/>
            <w:hideMark/>
          </w:tcPr>
          <w:p w:rsidR="00730AC8" w:rsidRPr="002936B7" w:rsidRDefault="00730AC8" w:rsidP="002F5109">
            <w:pPr>
              <w:spacing w:line="276" w:lineRule="auto"/>
              <w:jc w:val="center"/>
              <w:rPr>
                <w:rFonts w:ascii="Arial" w:eastAsia="Arial Unicode MS" w:hAnsi="Arial" w:cs="Arial"/>
                <w:b/>
                <w:bCs/>
                <w:color w:val="000000"/>
                <w:sz w:val="20"/>
                <w:szCs w:val="20"/>
                <w:lang w:eastAsia="en-US"/>
              </w:rPr>
            </w:pPr>
            <w:r w:rsidRPr="002936B7">
              <w:rPr>
                <w:rFonts w:ascii="Arial" w:hAnsi="Arial" w:cs="Arial"/>
                <w:b/>
                <w:bCs/>
                <w:color w:val="000000"/>
                <w:sz w:val="20"/>
                <w:szCs w:val="20"/>
                <w:lang w:eastAsia="en-US"/>
              </w:rPr>
              <w:t>Kraj</w:t>
            </w:r>
          </w:p>
        </w:tc>
        <w:tc>
          <w:tcPr>
            <w:tcW w:w="2287" w:type="dxa"/>
            <w:gridSpan w:val="2"/>
            <w:tcBorders>
              <w:top w:val="double" w:sz="6"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rsidR="00730AC8" w:rsidRPr="002936B7" w:rsidRDefault="00730AC8" w:rsidP="002F5109">
            <w:pPr>
              <w:spacing w:line="276" w:lineRule="auto"/>
              <w:jc w:val="center"/>
              <w:rPr>
                <w:rFonts w:ascii="Arial" w:eastAsia="Arial Unicode MS" w:hAnsi="Arial" w:cs="Arial"/>
                <w:b/>
                <w:bCs/>
                <w:color w:val="000000"/>
                <w:sz w:val="20"/>
                <w:szCs w:val="20"/>
                <w:lang w:eastAsia="en-US"/>
              </w:rPr>
            </w:pPr>
            <w:r w:rsidRPr="002936B7">
              <w:rPr>
                <w:rFonts w:ascii="Arial" w:hAnsi="Arial" w:cs="Arial"/>
                <w:b/>
                <w:bCs/>
                <w:color w:val="000000"/>
                <w:sz w:val="20"/>
                <w:szCs w:val="20"/>
                <w:lang w:eastAsia="en-US"/>
              </w:rPr>
              <w:t>Evidovaní uchazeči o zaměstnání</w:t>
            </w:r>
          </w:p>
        </w:tc>
        <w:tc>
          <w:tcPr>
            <w:tcW w:w="2410" w:type="dxa"/>
            <w:gridSpan w:val="2"/>
            <w:tcBorders>
              <w:top w:val="double" w:sz="6"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730AC8" w:rsidRPr="002936B7" w:rsidRDefault="00730AC8" w:rsidP="002F5109">
            <w:pPr>
              <w:spacing w:line="276" w:lineRule="auto"/>
              <w:jc w:val="center"/>
              <w:rPr>
                <w:rFonts w:ascii="Arial" w:eastAsia="Arial Unicode MS" w:hAnsi="Arial" w:cs="Arial"/>
                <w:b/>
                <w:bCs/>
                <w:color w:val="000000"/>
                <w:sz w:val="20"/>
                <w:szCs w:val="20"/>
                <w:lang w:eastAsia="en-US"/>
              </w:rPr>
            </w:pPr>
            <w:r w:rsidRPr="002936B7">
              <w:rPr>
                <w:rFonts w:ascii="Arial" w:hAnsi="Arial" w:cs="Arial"/>
                <w:b/>
                <w:bCs/>
                <w:color w:val="000000"/>
                <w:sz w:val="20"/>
                <w:szCs w:val="20"/>
                <w:lang w:eastAsia="en-US"/>
              </w:rPr>
              <w:t>z toho dosažitelní</w:t>
            </w:r>
          </w:p>
        </w:tc>
        <w:tc>
          <w:tcPr>
            <w:tcW w:w="1700" w:type="dxa"/>
            <w:gridSpan w:val="2"/>
            <w:tcBorders>
              <w:top w:val="double" w:sz="6" w:space="0" w:color="auto"/>
              <w:left w:val="nil"/>
              <w:bottom w:val="single" w:sz="4" w:space="0" w:color="auto"/>
              <w:right w:val="double" w:sz="6" w:space="0" w:color="000000"/>
            </w:tcBorders>
            <w:shd w:val="clear" w:color="auto" w:fill="auto"/>
            <w:tcMar>
              <w:top w:w="15" w:type="dxa"/>
              <w:left w:w="15" w:type="dxa"/>
              <w:bottom w:w="0" w:type="dxa"/>
              <w:right w:w="15" w:type="dxa"/>
            </w:tcMar>
            <w:vAlign w:val="center"/>
            <w:hideMark/>
          </w:tcPr>
          <w:p w:rsidR="00730AC8" w:rsidRPr="002936B7" w:rsidRDefault="00730AC8" w:rsidP="002F5109">
            <w:pPr>
              <w:spacing w:line="276" w:lineRule="auto"/>
              <w:jc w:val="center"/>
              <w:rPr>
                <w:rFonts w:ascii="Arial" w:hAnsi="Arial" w:cs="Arial"/>
                <w:b/>
                <w:bCs/>
                <w:color w:val="000000"/>
                <w:sz w:val="20"/>
                <w:szCs w:val="20"/>
                <w:lang w:eastAsia="en-US"/>
              </w:rPr>
            </w:pPr>
            <w:r w:rsidRPr="002936B7">
              <w:rPr>
                <w:rFonts w:ascii="Arial" w:hAnsi="Arial" w:cs="Arial"/>
                <w:b/>
                <w:bCs/>
                <w:color w:val="000000"/>
                <w:sz w:val="20"/>
                <w:szCs w:val="20"/>
                <w:lang w:eastAsia="en-US"/>
              </w:rPr>
              <w:t xml:space="preserve">Míra nezaměstnanosti </w:t>
            </w:r>
          </w:p>
          <w:p w:rsidR="00730AC8" w:rsidRPr="002936B7" w:rsidRDefault="00730AC8" w:rsidP="002F5109">
            <w:pPr>
              <w:spacing w:line="276" w:lineRule="auto"/>
              <w:jc w:val="center"/>
              <w:rPr>
                <w:rFonts w:ascii="Arial" w:eastAsia="Arial Unicode MS" w:hAnsi="Arial" w:cs="Arial"/>
                <w:b/>
                <w:bCs/>
                <w:color w:val="000000"/>
                <w:sz w:val="20"/>
                <w:szCs w:val="20"/>
                <w:lang w:eastAsia="en-US"/>
              </w:rPr>
            </w:pPr>
            <w:r w:rsidRPr="002936B7">
              <w:rPr>
                <w:rFonts w:ascii="Arial" w:hAnsi="Arial" w:cs="Arial"/>
                <w:b/>
                <w:bCs/>
                <w:color w:val="000000"/>
                <w:sz w:val="20"/>
                <w:szCs w:val="20"/>
                <w:lang w:eastAsia="en-US"/>
              </w:rPr>
              <w:t>v %</w:t>
            </w:r>
          </w:p>
        </w:tc>
      </w:tr>
      <w:tr w:rsidR="00730AC8" w:rsidRPr="002936B7" w:rsidTr="002F5109">
        <w:trPr>
          <w:trHeight w:val="270"/>
          <w:jc w:val="center"/>
        </w:trPr>
        <w:tc>
          <w:tcPr>
            <w:tcW w:w="2391" w:type="dxa"/>
            <w:gridSpan w:val="2"/>
            <w:vMerge/>
            <w:tcBorders>
              <w:top w:val="double" w:sz="6" w:space="0" w:color="auto"/>
              <w:left w:val="double" w:sz="6" w:space="0" w:color="auto"/>
              <w:bottom w:val="single" w:sz="4" w:space="0" w:color="auto"/>
              <w:right w:val="single" w:sz="4" w:space="0" w:color="000000"/>
            </w:tcBorders>
            <w:shd w:val="clear" w:color="auto" w:fill="auto"/>
            <w:vAlign w:val="center"/>
            <w:hideMark/>
          </w:tcPr>
          <w:p w:rsidR="00730AC8" w:rsidRPr="002936B7" w:rsidRDefault="00730AC8" w:rsidP="002F5109">
            <w:pPr>
              <w:rPr>
                <w:rFonts w:ascii="Arial" w:eastAsia="Arial Unicode MS" w:hAnsi="Arial" w:cs="Arial"/>
                <w:b/>
                <w:bCs/>
                <w:color w:val="000000"/>
                <w:sz w:val="20"/>
                <w:szCs w:val="20"/>
                <w:lang w:eastAsia="en-US"/>
              </w:rPr>
            </w:pPr>
          </w:p>
        </w:tc>
        <w:tc>
          <w:tcPr>
            <w:tcW w:w="2287" w:type="dxa"/>
            <w:gridSpan w:val="2"/>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center"/>
            <w:hideMark/>
          </w:tcPr>
          <w:p w:rsidR="00730AC8" w:rsidRPr="002936B7" w:rsidRDefault="00730AC8" w:rsidP="002F5109">
            <w:pPr>
              <w:spacing w:line="276" w:lineRule="auto"/>
              <w:jc w:val="center"/>
              <w:rPr>
                <w:rFonts w:ascii="Arial" w:hAnsi="Arial" w:cs="Arial"/>
                <w:color w:val="000000"/>
                <w:sz w:val="20"/>
                <w:szCs w:val="20"/>
                <w:lang w:eastAsia="en-US"/>
              </w:rPr>
            </w:pPr>
            <w:r w:rsidRPr="002936B7">
              <w:rPr>
                <w:rFonts w:ascii="Arial" w:hAnsi="Arial" w:cs="Arial"/>
                <w:color w:val="000000"/>
                <w:sz w:val="20"/>
                <w:szCs w:val="20"/>
                <w:lang w:eastAsia="en-US"/>
              </w:rPr>
              <w:t>k 30.6.</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30AC8" w:rsidRPr="002936B7" w:rsidRDefault="00730AC8" w:rsidP="002F5109">
            <w:pPr>
              <w:spacing w:line="276" w:lineRule="auto"/>
              <w:jc w:val="center"/>
              <w:rPr>
                <w:rFonts w:ascii="Arial" w:hAnsi="Arial" w:cs="Arial"/>
                <w:color w:val="000000"/>
                <w:sz w:val="20"/>
                <w:szCs w:val="20"/>
                <w:lang w:eastAsia="en-US"/>
              </w:rPr>
            </w:pPr>
            <w:r w:rsidRPr="002936B7">
              <w:rPr>
                <w:rFonts w:ascii="Arial" w:hAnsi="Arial" w:cs="Arial"/>
                <w:color w:val="000000"/>
                <w:sz w:val="20"/>
                <w:szCs w:val="20"/>
                <w:lang w:eastAsia="en-US"/>
              </w:rPr>
              <w:t>k 30.6.</w:t>
            </w:r>
          </w:p>
        </w:tc>
        <w:tc>
          <w:tcPr>
            <w:tcW w:w="1700" w:type="dxa"/>
            <w:gridSpan w:val="2"/>
            <w:tcBorders>
              <w:top w:val="single" w:sz="4" w:space="0" w:color="auto"/>
              <w:left w:val="nil"/>
              <w:bottom w:val="single" w:sz="4" w:space="0" w:color="auto"/>
              <w:right w:val="double" w:sz="6" w:space="0" w:color="auto"/>
            </w:tcBorders>
            <w:shd w:val="clear" w:color="auto" w:fill="auto"/>
            <w:noWrap/>
            <w:tcMar>
              <w:top w:w="15" w:type="dxa"/>
              <w:left w:w="15" w:type="dxa"/>
              <w:bottom w:w="0" w:type="dxa"/>
              <w:right w:w="15" w:type="dxa"/>
            </w:tcMar>
            <w:vAlign w:val="center"/>
            <w:hideMark/>
          </w:tcPr>
          <w:p w:rsidR="00730AC8" w:rsidRPr="002936B7" w:rsidRDefault="00730AC8" w:rsidP="002F5109">
            <w:pPr>
              <w:spacing w:line="276" w:lineRule="auto"/>
              <w:jc w:val="center"/>
              <w:rPr>
                <w:rFonts w:ascii="Arial" w:hAnsi="Arial" w:cs="Arial"/>
                <w:color w:val="000000"/>
                <w:sz w:val="20"/>
                <w:szCs w:val="20"/>
                <w:lang w:eastAsia="en-US"/>
              </w:rPr>
            </w:pPr>
            <w:r w:rsidRPr="002936B7">
              <w:rPr>
                <w:rFonts w:ascii="Arial" w:hAnsi="Arial" w:cs="Arial"/>
                <w:color w:val="000000"/>
                <w:sz w:val="20"/>
                <w:szCs w:val="20"/>
                <w:lang w:eastAsia="en-US"/>
              </w:rPr>
              <w:t>k 30.6.</w:t>
            </w:r>
          </w:p>
        </w:tc>
      </w:tr>
      <w:tr w:rsidR="00730AC8" w:rsidRPr="002936B7" w:rsidTr="002F5109">
        <w:trPr>
          <w:trHeight w:val="240"/>
          <w:jc w:val="center"/>
        </w:trPr>
        <w:tc>
          <w:tcPr>
            <w:tcW w:w="2391" w:type="dxa"/>
            <w:gridSpan w:val="2"/>
            <w:vMerge/>
            <w:tcBorders>
              <w:top w:val="double" w:sz="6" w:space="0" w:color="auto"/>
              <w:left w:val="double" w:sz="6" w:space="0" w:color="auto"/>
              <w:bottom w:val="single" w:sz="4" w:space="0" w:color="auto"/>
              <w:right w:val="single" w:sz="4" w:space="0" w:color="000000"/>
            </w:tcBorders>
            <w:shd w:val="clear" w:color="auto" w:fill="auto"/>
            <w:vAlign w:val="center"/>
            <w:hideMark/>
          </w:tcPr>
          <w:p w:rsidR="00730AC8" w:rsidRPr="002936B7" w:rsidRDefault="00730AC8" w:rsidP="002F5109">
            <w:pPr>
              <w:rPr>
                <w:rFonts w:ascii="Arial" w:eastAsia="Arial Unicode MS" w:hAnsi="Arial" w:cs="Arial"/>
                <w:b/>
                <w:bCs/>
                <w:color w:val="000000"/>
                <w:sz w:val="20"/>
                <w:szCs w:val="20"/>
                <w:lang w:eastAsia="en-US"/>
              </w:rPr>
            </w:pPr>
          </w:p>
        </w:tc>
        <w:tc>
          <w:tcPr>
            <w:tcW w:w="1224"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bottom"/>
            <w:hideMark/>
          </w:tcPr>
          <w:p w:rsidR="00730AC8" w:rsidRDefault="00730AC8" w:rsidP="002F5109">
            <w:pPr>
              <w:spacing w:line="276" w:lineRule="auto"/>
              <w:jc w:val="center"/>
              <w:rPr>
                <w:rFonts w:ascii="Arial" w:hAnsi="Arial" w:cs="Arial"/>
                <w:sz w:val="20"/>
                <w:szCs w:val="20"/>
                <w:lang w:eastAsia="en-US"/>
              </w:rPr>
            </w:pPr>
            <w:r>
              <w:rPr>
                <w:rFonts w:ascii="Arial" w:hAnsi="Arial" w:cs="Arial"/>
                <w:sz w:val="20"/>
                <w:szCs w:val="20"/>
                <w:lang w:eastAsia="en-US"/>
              </w:rPr>
              <w:t>2012</w:t>
            </w:r>
          </w:p>
        </w:tc>
        <w:tc>
          <w:tcPr>
            <w:tcW w:w="106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2013</w:t>
            </w:r>
          </w:p>
        </w:tc>
        <w:tc>
          <w:tcPr>
            <w:tcW w:w="125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730AC8" w:rsidRDefault="00730AC8" w:rsidP="002F5109">
            <w:pPr>
              <w:spacing w:line="276" w:lineRule="auto"/>
              <w:jc w:val="center"/>
              <w:rPr>
                <w:rFonts w:ascii="Arial" w:hAnsi="Arial" w:cs="Arial"/>
                <w:sz w:val="20"/>
                <w:szCs w:val="20"/>
                <w:lang w:eastAsia="en-US"/>
              </w:rPr>
            </w:pPr>
            <w:r>
              <w:rPr>
                <w:rFonts w:ascii="Arial" w:hAnsi="Arial" w:cs="Arial"/>
                <w:sz w:val="20"/>
                <w:szCs w:val="20"/>
                <w:lang w:eastAsia="en-US"/>
              </w:rPr>
              <w:t>2012</w:t>
            </w:r>
          </w:p>
        </w:tc>
        <w:tc>
          <w:tcPr>
            <w:tcW w:w="115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2013</w:t>
            </w:r>
          </w:p>
        </w:tc>
        <w:tc>
          <w:tcPr>
            <w:tcW w:w="850"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vAlign w:val="bottom"/>
            <w:hideMark/>
          </w:tcPr>
          <w:p w:rsidR="00730AC8" w:rsidRDefault="00730AC8" w:rsidP="002F5109">
            <w:pPr>
              <w:spacing w:line="276" w:lineRule="auto"/>
              <w:jc w:val="center"/>
              <w:rPr>
                <w:rFonts w:ascii="Arial" w:hAnsi="Arial" w:cs="Arial"/>
                <w:sz w:val="20"/>
                <w:szCs w:val="20"/>
                <w:lang w:eastAsia="en-US"/>
              </w:rPr>
            </w:pPr>
            <w:r>
              <w:rPr>
                <w:rFonts w:ascii="Arial" w:hAnsi="Arial" w:cs="Arial"/>
                <w:sz w:val="20"/>
                <w:szCs w:val="20"/>
                <w:lang w:eastAsia="en-US"/>
              </w:rPr>
              <w:t>2012</w:t>
            </w:r>
          </w:p>
        </w:tc>
        <w:tc>
          <w:tcPr>
            <w:tcW w:w="850" w:type="dxa"/>
            <w:tcBorders>
              <w:top w:val="single" w:sz="4" w:space="0" w:color="auto"/>
              <w:left w:val="single" w:sz="4" w:space="0" w:color="auto"/>
              <w:bottom w:val="single" w:sz="4" w:space="0" w:color="auto"/>
              <w:right w:val="double" w:sz="6" w:space="0" w:color="auto"/>
            </w:tcBorders>
            <w:shd w:val="clear" w:color="auto" w:fill="auto"/>
            <w:tcMar>
              <w:top w:w="15" w:type="dxa"/>
              <w:left w:w="15" w:type="dxa"/>
              <w:bottom w:w="0" w:type="dxa"/>
              <w:right w:w="15" w:type="dxa"/>
            </w:tcMar>
            <w:vAlign w:val="bottom"/>
            <w:hideMark/>
          </w:tcPr>
          <w:p w:rsidR="00730AC8" w:rsidRDefault="00730AC8" w:rsidP="002F5109">
            <w:pPr>
              <w:spacing w:line="276" w:lineRule="auto"/>
              <w:jc w:val="center"/>
              <w:rPr>
                <w:rFonts w:ascii="Arial" w:hAnsi="Arial" w:cs="Arial"/>
                <w:b/>
                <w:bCs/>
                <w:sz w:val="20"/>
                <w:szCs w:val="20"/>
                <w:lang w:eastAsia="en-US"/>
              </w:rPr>
            </w:pPr>
            <w:r>
              <w:rPr>
                <w:rFonts w:ascii="Arial" w:hAnsi="Arial" w:cs="Arial"/>
                <w:b/>
                <w:bCs/>
                <w:sz w:val="20"/>
                <w:szCs w:val="20"/>
                <w:lang w:eastAsia="en-US"/>
              </w:rPr>
              <w:t>2013</w:t>
            </w:r>
          </w:p>
        </w:tc>
      </w:tr>
      <w:tr w:rsidR="00730AC8" w:rsidRPr="002936B7" w:rsidTr="002F5109">
        <w:trPr>
          <w:trHeight w:val="300"/>
          <w:jc w:val="center"/>
        </w:trPr>
        <w:tc>
          <w:tcPr>
            <w:tcW w:w="316" w:type="dxa"/>
            <w:tcBorders>
              <w:top w:val="single" w:sz="4" w:space="0" w:color="auto"/>
              <w:left w:val="double" w:sz="6" w:space="0" w:color="auto"/>
              <w:bottom w:val="nil"/>
              <w:right w:val="single" w:sz="4" w:space="0" w:color="auto"/>
            </w:tcBorders>
            <w:shd w:val="clear" w:color="auto" w:fill="auto"/>
            <w:noWrap/>
            <w:tcMar>
              <w:top w:w="15" w:type="dxa"/>
              <w:left w:w="15" w:type="dxa"/>
              <w:bottom w:w="0" w:type="dxa"/>
              <w:right w:w="15" w:type="dxa"/>
            </w:tcMar>
            <w:vAlign w:val="center"/>
            <w:hideMark/>
          </w:tcPr>
          <w:p w:rsidR="00730AC8" w:rsidRPr="002936B7" w:rsidRDefault="00730AC8" w:rsidP="002F5109">
            <w:pPr>
              <w:spacing w:line="276" w:lineRule="auto"/>
              <w:jc w:val="center"/>
              <w:rPr>
                <w:rFonts w:ascii="Arial" w:eastAsia="Arial Unicode MS" w:hAnsi="Arial" w:cs="Arial"/>
                <w:color w:val="000000"/>
                <w:sz w:val="20"/>
                <w:szCs w:val="20"/>
                <w:lang w:eastAsia="en-US"/>
              </w:rPr>
            </w:pPr>
            <w:r w:rsidRPr="002936B7">
              <w:rPr>
                <w:rFonts w:ascii="Arial" w:hAnsi="Arial" w:cs="Arial"/>
                <w:color w:val="000000"/>
                <w:sz w:val="20"/>
                <w:szCs w:val="20"/>
                <w:lang w:eastAsia="en-US"/>
              </w:rPr>
              <w:t>1.</w:t>
            </w:r>
          </w:p>
        </w:tc>
        <w:tc>
          <w:tcPr>
            <w:tcW w:w="2075" w:type="dxa"/>
            <w:tcBorders>
              <w:top w:val="single" w:sz="4" w:space="0" w:color="auto"/>
              <w:left w:val="nil"/>
              <w:bottom w:val="nil"/>
              <w:right w:val="single" w:sz="4" w:space="0" w:color="auto"/>
            </w:tcBorders>
            <w:shd w:val="clear" w:color="auto" w:fill="auto"/>
            <w:noWrap/>
            <w:tcMar>
              <w:top w:w="15" w:type="dxa"/>
              <w:left w:w="113" w:type="dxa"/>
              <w:bottom w:w="0" w:type="dxa"/>
              <w:right w:w="15" w:type="dxa"/>
            </w:tcMar>
            <w:vAlign w:val="center"/>
            <w:hideMark/>
          </w:tcPr>
          <w:p w:rsidR="00730AC8" w:rsidRDefault="00730AC8" w:rsidP="002F5109">
            <w:pPr>
              <w:rPr>
                <w:rFonts w:ascii="Arial" w:hAnsi="Arial" w:cs="Arial"/>
                <w:color w:val="000000"/>
                <w:sz w:val="20"/>
                <w:szCs w:val="20"/>
              </w:rPr>
            </w:pPr>
            <w:r>
              <w:rPr>
                <w:rFonts w:ascii="Arial" w:hAnsi="Arial" w:cs="Arial"/>
                <w:color w:val="000000"/>
                <w:sz w:val="20"/>
                <w:szCs w:val="20"/>
              </w:rPr>
              <w:t>Ústecký kraj</w:t>
            </w:r>
          </w:p>
        </w:tc>
        <w:tc>
          <w:tcPr>
            <w:tcW w:w="1224" w:type="dxa"/>
            <w:shd w:val="clear" w:color="auto" w:fill="auto"/>
            <w:noWrap/>
            <w:tcMar>
              <w:top w:w="15" w:type="dxa"/>
              <w:left w:w="15" w:type="dxa"/>
              <w:bottom w:w="0" w:type="dxa"/>
              <w:right w:w="85" w:type="dxa"/>
            </w:tcMar>
            <w:vAlign w:val="center"/>
            <w:hideMark/>
          </w:tcPr>
          <w:p w:rsidR="00730AC8" w:rsidRDefault="00730AC8" w:rsidP="002F5109">
            <w:pPr>
              <w:ind w:firstLineChars="100" w:firstLine="200"/>
              <w:jc w:val="right"/>
              <w:rPr>
                <w:rFonts w:ascii="Arial" w:hAnsi="Arial" w:cs="Arial"/>
                <w:color w:val="000000"/>
                <w:sz w:val="20"/>
                <w:szCs w:val="20"/>
              </w:rPr>
            </w:pPr>
            <w:r>
              <w:rPr>
                <w:rFonts w:ascii="Arial" w:hAnsi="Arial" w:cs="Arial"/>
                <w:color w:val="000000"/>
                <w:sz w:val="20"/>
                <w:szCs w:val="20"/>
              </w:rPr>
              <w:t>57 410</w:t>
            </w:r>
          </w:p>
        </w:tc>
        <w:tc>
          <w:tcPr>
            <w:tcW w:w="1063" w:type="dxa"/>
            <w:tcBorders>
              <w:top w:val="nil"/>
              <w:left w:val="single" w:sz="4" w:space="0" w:color="auto"/>
              <w:bottom w:val="nil"/>
              <w:right w:val="single" w:sz="4"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1"/>
              <w:jc w:val="right"/>
              <w:rPr>
                <w:rFonts w:ascii="Arial" w:hAnsi="Arial" w:cs="Arial"/>
                <w:b/>
                <w:bCs/>
                <w:color w:val="000000"/>
                <w:sz w:val="20"/>
                <w:szCs w:val="20"/>
              </w:rPr>
            </w:pPr>
            <w:r>
              <w:rPr>
                <w:rFonts w:ascii="Arial" w:hAnsi="Arial" w:cs="Arial"/>
                <w:b/>
                <w:bCs/>
                <w:color w:val="000000"/>
                <w:sz w:val="20"/>
                <w:szCs w:val="20"/>
              </w:rPr>
              <w:t>63 038</w:t>
            </w:r>
          </w:p>
        </w:tc>
        <w:tc>
          <w:tcPr>
            <w:tcW w:w="1254" w:type="dxa"/>
            <w:tcBorders>
              <w:top w:val="nil"/>
              <w:left w:val="single" w:sz="4" w:space="0" w:color="auto"/>
              <w:bottom w:val="nil"/>
              <w:right w:val="single" w:sz="4"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0"/>
              <w:jc w:val="right"/>
              <w:rPr>
                <w:rFonts w:ascii="Arial" w:hAnsi="Arial" w:cs="Arial"/>
                <w:color w:val="000000"/>
                <w:sz w:val="20"/>
                <w:szCs w:val="20"/>
              </w:rPr>
            </w:pPr>
            <w:r>
              <w:rPr>
                <w:rFonts w:ascii="Arial" w:hAnsi="Arial" w:cs="Arial"/>
                <w:color w:val="000000"/>
                <w:sz w:val="20"/>
                <w:szCs w:val="20"/>
              </w:rPr>
              <w:t>55 764</w:t>
            </w:r>
          </w:p>
        </w:tc>
        <w:tc>
          <w:tcPr>
            <w:tcW w:w="1156" w:type="dxa"/>
            <w:tcBorders>
              <w:top w:val="nil"/>
              <w:left w:val="single" w:sz="4" w:space="0" w:color="auto"/>
              <w:bottom w:val="nil"/>
              <w:right w:val="single" w:sz="4" w:space="0" w:color="auto"/>
            </w:tcBorders>
            <w:shd w:val="clear" w:color="auto" w:fill="auto"/>
            <w:tcMar>
              <w:top w:w="15" w:type="dxa"/>
              <w:left w:w="15" w:type="dxa"/>
              <w:bottom w:w="0" w:type="dxa"/>
              <w:right w:w="85" w:type="dxa"/>
            </w:tcMar>
            <w:vAlign w:val="center"/>
            <w:hideMark/>
          </w:tcPr>
          <w:p w:rsidR="00730AC8" w:rsidRDefault="00730AC8" w:rsidP="002F5109">
            <w:pPr>
              <w:ind w:firstLineChars="100" w:firstLine="201"/>
              <w:jc w:val="right"/>
              <w:rPr>
                <w:rFonts w:ascii="Arial" w:hAnsi="Arial" w:cs="Arial"/>
                <w:b/>
                <w:bCs/>
                <w:color w:val="000000"/>
                <w:sz w:val="20"/>
                <w:szCs w:val="20"/>
              </w:rPr>
            </w:pPr>
            <w:r>
              <w:rPr>
                <w:rFonts w:ascii="Arial" w:hAnsi="Arial" w:cs="Arial"/>
                <w:b/>
                <w:bCs/>
                <w:color w:val="000000"/>
                <w:sz w:val="20"/>
                <w:szCs w:val="20"/>
              </w:rPr>
              <w:t>61 562</w:t>
            </w:r>
          </w:p>
        </w:tc>
        <w:tc>
          <w:tcPr>
            <w:tcW w:w="850" w:type="dxa"/>
            <w:tcBorders>
              <w:top w:val="nil"/>
              <w:left w:val="single" w:sz="4" w:space="0" w:color="auto"/>
              <w:bottom w:val="nil"/>
              <w:right w:val="single" w:sz="4"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0"/>
              <w:jc w:val="right"/>
              <w:rPr>
                <w:rFonts w:ascii="Arial" w:hAnsi="Arial" w:cs="Arial"/>
                <w:color w:val="000000"/>
                <w:sz w:val="20"/>
                <w:szCs w:val="20"/>
              </w:rPr>
            </w:pPr>
            <w:r>
              <w:rPr>
                <w:rFonts w:ascii="Arial" w:hAnsi="Arial" w:cs="Arial"/>
                <w:color w:val="000000"/>
                <w:sz w:val="20"/>
                <w:szCs w:val="20"/>
              </w:rPr>
              <w:t>9,7</w:t>
            </w:r>
          </w:p>
        </w:tc>
        <w:tc>
          <w:tcPr>
            <w:tcW w:w="850" w:type="dxa"/>
            <w:tcBorders>
              <w:top w:val="nil"/>
              <w:left w:val="nil"/>
              <w:bottom w:val="nil"/>
              <w:right w:val="double" w:sz="6"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1"/>
              <w:jc w:val="right"/>
              <w:rPr>
                <w:rFonts w:ascii="Arial" w:hAnsi="Arial" w:cs="Arial"/>
                <w:b/>
                <w:bCs/>
                <w:color w:val="000000"/>
                <w:sz w:val="20"/>
                <w:szCs w:val="20"/>
              </w:rPr>
            </w:pPr>
            <w:r>
              <w:rPr>
                <w:rFonts w:ascii="Arial" w:hAnsi="Arial" w:cs="Arial"/>
                <w:b/>
                <w:bCs/>
                <w:color w:val="000000"/>
                <w:sz w:val="20"/>
                <w:szCs w:val="20"/>
              </w:rPr>
              <w:t>10,9</w:t>
            </w:r>
          </w:p>
        </w:tc>
      </w:tr>
      <w:tr w:rsidR="00730AC8" w:rsidRPr="002936B7" w:rsidTr="002F5109">
        <w:trPr>
          <w:trHeight w:val="300"/>
          <w:jc w:val="center"/>
        </w:trPr>
        <w:tc>
          <w:tcPr>
            <w:tcW w:w="316" w:type="dxa"/>
            <w:tcBorders>
              <w:top w:val="nil"/>
              <w:left w:val="double" w:sz="6" w:space="0" w:color="auto"/>
              <w:bottom w:val="nil"/>
              <w:right w:val="single" w:sz="4" w:space="0" w:color="auto"/>
            </w:tcBorders>
            <w:shd w:val="clear" w:color="auto" w:fill="auto"/>
            <w:noWrap/>
            <w:tcMar>
              <w:top w:w="15" w:type="dxa"/>
              <w:left w:w="15" w:type="dxa"/>
              <w:bottom w:w="0" w:type="dxa"/>
              <w:right w:w="15" w:type="dxa"/>
            </w:tcMar>
            <w:vAlign w:val="center"/>
            <w:hideMark/>
          </w:tcPr>
          <w:p w:rsidR="00730AC8" w:rsidRPr="002936B7" w:rsidRDefault="00730AC8" w:rsidP="002F5109">
            <w:pPr>
              <w:spacing w:line="276" w:lineRule="auto"/>
              <w:jc w:val="center"/>
              <w:rPr>
                <w:rFonts w:ascii="Arial" w:eastAsia="Arial Unicode MS" w:hAnsi="Arial" w:cs="Arial"/>
                <w:color w:val="000000"/>
                <w:sz w:val="20"/>
                <w:szCs w:val="20"/>
                <w:lang w:eastAsia="en-US"/>
              </w:rPr>
            </w:pPr>
            <w:r w:rsidRPr="002936B7">
              <w:rPr>
                <w:rFonts w:ascii="Arial" w:hAnsi="Arial" w:cs="Arial"/>
                <w:color w:val="000000"/>
                <w:sz w:val="20"/>
                <w:szCs w:val="20"/>
                <w:lang w:eastAsia="en-US"/>
              </w:rPr>
              <w:t>2.</w:t>
            </w:r>
          </w:p>
        </w:tc>
        <w:tc>
          <w:tcPr>
            <w:tcW w:w="2075" w:type="dxa"/>
            <w:tcBorders>
              <w:top w:val="nil"/>
              <w:left w:val="nil"/>
              <w:bottom w:val="nil"/>
              <w:right w:val="single" w:sz="4" w:space="0" w:color="auto"/>
            </w:tcBorders>
            <w:shd w:val="clear" w:color="auto" w:fill="auto"/>
            <w:noWrap/>
            <w:tcMar>
              <w:top w:w="15" w:type="dxa"/>
              <w:left w:w="113" w:type="dxa"/>
              <w:bottom w:w="0" w:type="dxa"/>
              <w:right w:w="15" w:type="dxa"/>
            </w:tcMar>
            <w:vAlign w:val="center"/>
            <w:hideMark/>
          </w:tcPr>
          <w:p w:rsidR="00730AC8" w:rsidRDefault="00730AC8" w:rsidP="002F5109">
            <w:pPr>
              <w:rPr>
                <w:rFonts w:ascii="Arial" w:hAnsi="Arial" w:cs="Arial"/>
                <w:color w:val="000000"/>
                <w:sz w:val="20"/>
                <w:szCs w:val="20"/>
              </w:rPr>
            </w:pPr>
            <w:r>
              <w:rPr>
                <w:rFonts w:ascii="Arial" w:hAnsi="Arial" w:cs="Arial"/>
                <w:color w:val="000000"/>
                <w:sz w:val="20"/>
                <w:szCs w:val="20"/>
              </w:rPr>
              <w:t>Moravskoslezský kraj</w:t>
            </w:r>
          </w:p>
        </w:tc>
        <w:tc>
          <w:tcPr>
            <w:tcW w:w="1224" w:type="dxa"/>
            <w:shd w:val="clear" w:color="auto" w:fill="auto"/>
            <w:noWrap/>
            <w:tcMar>
              <w:top w:w="15" w:type="dxa"/>
              <w:left w:w="15" w:type="dxa"/>
              <w:bottom w:w="0" w:type="dxa"/>
              <w:right w:w="85" w:type="dxa"/>
            </w:tcMar>
            <w:vAlign w:val="center"/>
            <w:hideMark/>
          </w:tcPr>
          <w:p w:rsidR="00730AC8" w:rsidRDefault="00730AC8" w:rsidP="002F5109">
            <w:pPr>
              <w:ind w:firstLineChars="100" w:firstLine="200"/>
              <w:jc w:val="right"/>
              <w:rPr>
                <w:rFonts w:ascii="Arial" w:hAnsi="Arial" w:cs="Arial"/>
                <w:color w:val="000000"/>
                <w:sz w:val="20"/>
                <w:szCs w:val="20"/>
              </w:rPr>
            </w:pPr>
            <w:r>
              <w:rPr>
                <w:rFonts w:ascii="Arial" w:hAnsi="Arial" w:cs="Arial"/>
                <w:color w:val="000000"/>
                <w:sz w:val="20"/>
                <w:szCs w:val="20"/>
              </w:rPr>
              <w:t>72 559</w:t>
            </w:r>
          </w:p>
        </w:tc>
        <w:tc>
          <w:tcPr>
            <w:tcW w:w="1063" w:type="dxa"/>
            <w:tcBorders>
              <w:top w:val="nil"/>
              <w:left w:val="single" w:sz="4" w:space="0" w:color="auto"/>
              <w:bottom w:val="nil"/>
              <w:right w:val="single" w:sz="4"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1"/>
              <w:jc w:val="right"/>
              <w:rPr>
                <w:rFonts w:ascii="Arial" w:hAnsi="Arial" w:cs="Arial"/>
                <w:b/>
                <w:bCs/>
                <w:color w:val="000000"/>
                <w:sz w:val="20"/>
                <w:szCs w:val="20"/>
              </w:rPr>
            </w:pPr>
            <w:r>
              <w:rPr>
                <w:rFonts w:ascii="Arial" w:hAnsi="Arial" w:cs="Arial"/>
                <w:b/>
                <w:bCs/>
                <w:color w:val="000000"/>
                <w:sz w:val="20"/>
                <w:szCs w:val="20"/>
              </w:rPr>
              <w:t>82 556</w:t>
            </w:r>
          </w:p>
        </w:tc>
        <w:tc>
          <w:tcPr>
            <w:tcW w:w="1254" w:type="dxa"/>
            <w:tcBorders>
              <w:top w:val="nil"/>
              <w:left w:val="single" w:sz="4" w:space="0" w:color="auto"/>
              <w:bottom w:val="nil"/>
              <w:right w:val="single" w:sz="4"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0"/>
              <w:jc w:val="right"/>
              <w:rPr>
                <w:rFonts w:ascii="Arial" w:hAnsi="Arial" w:cs="Arial"/>
                <w:color w:val="000000"/>
                <w:sz w:val="20"/>
                <w:szCs w:val="20"/>
              </w:rPr>
            </w:pPr>
            <w:r>
              <w:rPr>
                <w:rFonts w:ascii="Arial" w:hAnsi="Arial" w:cs="Arial"/>
                <w:color w:val="000000"/>
                <w:sz w:val="20"/>
                <w:szCs w:val="20"/>
              </w:rPr>
              <w:t>69 274</w:t>
            </w:r>
          </w:p>
        </w:tc>
        <w:tc>
          <w:tcPr>
            <w:tcW w:w="1156" w:type="dxa"/>
            <w:tcBorders>
              <w:top w:val="nil"/>
              <w:left w:val="single" w:sz="4" w:space="0" w:color="auto"/>
              <w:bottom w:val="nil"/>
              <w:right w:val="single" w:sz="4" w:space="0" w:color="auto"/>
            </w:tcBorders>
            <w:shd w:val="clear" w:color="auto" w:fill="auto"/>
            <w:tcMar>
              <w:top w:w="15" w:type="dxa"/>
              <w:left w:w="15" w:type="dxa"/>
              <w:bottom w:w="0" w:type="dxa"/>
              <w:right w:w="85" w:type="dxa"/>
            </w:tcMar>
            <w:vAlign w:val="center"/>
            <w:hideMark/>
          </w:tcPr>
          <w:p w:rsidR="00730AC8" w:rsidRDefault="00730AC8" w:rsidP="002F5109">
            <w:pPr>
              <w:ind w:firstLineChars="100" w:firstLine="201"/>
              <w:jc w:val="right"/>
              <w:rPr>
                <w:rFonts w:ascii="Arial" w:hAnsi="Arial" w:cs="Arial"/>
                <w:b/>
                <w:bCs/>
                <w:color w:val="000000"/>
                <w:sz w:val="20"/>
                <w:szCs w:val="20"/>
              </w:rPr>
            </w:pPr>
            <w:r>
              <w:rPr>
                <w:rFonts w:ascii="Arial" w:hAnsi="Arial" w:cs="Arial"/>
                <w:b/>
                <w:bCs/>
                <w:color w:val="000000"/>
                <w:sz w:val="20"/>
                <w:szCs w:val="20"/>
              </w:rPr>
              <w:t>79 897</w:t>
            </w:r>
          </w:p>
        </w:tc>
        <w:tc>
          <w:tcPr>
            <w:tcW w:w="850" w:type="dxa"/>
            <w:tcBorders>
              <w:top w:val="nil"/>
              <w:left w:val="single" w:sz="4" w:space="0" w:color="auto"/>
              <w:bottom w:val="nil"/>
              <w:right w:val="single" w:sz="4"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0"/>
              <w:jc w:val="right"/>
              <w:rPr>
                <w:rFonts w:ascii="Arial" w:hAnsi="Arial" w:cs="Arial"/>
                <w:color w:val="000000"/>
                <w:sz w:val="20"/>
                <w:szCs w:val="20"/>
              </w:rPr>
            </w:pPr>
            <w:r>
              <w:rPr>
                <w:rFonts w:ascii="Arial" w:hAnsi="Arial" w:cs="Arial"/>
                <w:color w:val="000000"/>
                <w:sz w:val="20"/>
                <w:szCs w:val="20"/>
              </w:rPr>
              <w:t>8,1</w:t>
            </w:r>
          </w:p>
        </w:tc>
        <w:tc>
          <w:tcPr>
            <w:tcW w:w="850" w:type="dxa"/>
            <w:tcBorders>
              <w:top w:val="nil"/>
              <w:left w:val="nil"/>
              <w:bottom w:val="nil"/>
              <w:right w:val="double" w:sz="6"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1"/>
              <w:jc w:val="right"/>
              <w:rPr>
                <w:rFonts w:ascii="Arial" w:hAnsi="Arial" w:cs="Arial"/>
                <w:b/>
                <w:bCs/>
                <w:color w:val="000000"/>
                <w:sz w:val="20"/>
                <w:szCs w:val="20"/>
              </w:rPr>
            </w:pPr>
            <w:r>
              <w:rPr>
                <w:rFonts w:ascii="Arial" w:hAnsi="Arial" w:cs="Arial"/>
                <w:b/>
                <w:bCs/>
                <w:color w:val="000000"/>
                <w:sz w:val="20"/>
                <w:szCs w:val="20"/>
              </w:rPr>
              <w:t>9,5</w:t>
            </w:r>
          </w:p>
        </w:tc>
      </w:tr>
      <w:tr w:rsidR="00730AC8" w:rsidRPr="002936B7" w:rsidTr="002F5109">
        <w:trPr>
          <w:trHeight w:val="300"/>
          <w:jc w:val="center"/>
        </w:trPr>
        <w:tc>
          <w:tcPr>
            <w:tcW w:w="316" w:type="dxa"/>
            <w:tcBorders>
              <w:top w:val="nil"/>
              <w:left w:val="double" w:sz="6" w:space="0" w:color="auto"/>
              <w:bottom w:val="nil"/>
              <w:right w:val="single" w:sz="4" w:space="0" w:color="auto"/>
            </w:tcBorders>
            <w:shd w:val="clear" w:color="auto" w:fill="auto"/>
            <w:noWrap/>
            <w:tcMar>
              <w:top w:w="15" w:type="dxa"/>
              <w:left w:w="15" w:type="dxa"/>
              <w:bottom w:w="0" w:type="dxa"/>
              <w:right w:w="15" w:type="dxa"/>
            </w:tcMar>
            <w:vAlign w:val="center"/>
            <w:hideMark/>
          </w:tcPr>
          <w:p w:rsidR="00730AC8" w:rsidRPr="002936B7" w:rsidRDefault="00730AC8" w:rsidP="002F5109">
            <w:pPr>
              <w:spacing w:line="276" w:lineRule="auto"/>
              <w:jc w:val="center"/>
              <w:rPr>
                <w:rFonts w:ascii="Arial" w:eastAsia="Arial Unicode MS" w:hAnsi="Arial" w:cs="Arial"/>
                <w:color w:val="000000"/>
                <w:sz w:val="20"/>
                <w:szCs w:val="20"/>
                <w:lang w:eastAsia="en-US"/>
              </w:rPr>
            </w:pPr>
            <w:r w:rsidRPr="002936B7">
              <w:rPr>
                <w:rFonts w:ascii="Arial" w:hAnsi="Arial" w:cs="Arial"/>
                <w:color w:val="000000"/>
                <w:sz w:val="20"/>
                <w:szCs w:val="20"/>
                <w:lang w:eastAsia="en-US"/>
              </w:rPr>
              <w:t>3.</w:t>
            </w:r>
          </w:p>
        </w:tc>
        <w:tc>
          <w:tcPr>
            <w:tcW w:w="2075" w:type="dxa"/>
            <w:tcBorders>
              <w:top w:val="nil"/>
              <w:left w:val="nil"/>
              <w:bottom w:val="nil"/>
              <w:right w:val="single" w:sz="4" w:space="0" w:color="auto"/>
            </w:tcBorders>
            <w:shd w:val="clear" w:color="auto" w:fill="auto"/>
            <w:noWrap/>
            <w:tcMar>
              <w:top w:w="15" w:type="dxa"/>
              <w:left w:w="113" w:type="dxa"/>
              <w:bottom w:w="0" w:type="dxa"/>
              <w:right w:w="15" w:type="dxa"/>
            </w:tcMar>
            <w:vAlign w:val="center"/>
            <w:hideMark/>
          </w:tcPr>
          <w:p w:rsidR="00730AC8" w:rsidRDefault="00730AC8" w:rsidP="002F5109">
            <w:pPr>
              <w:rPr>
                <w:rFonts w:ascii="Arial" w:hAnsi="Arial" w:cs="Arial"/>
                <w:color w:val="000000"/>
                <w:sz w:val="20"/>
                <w:szCs w:val="20"/>
              </w:rPr>
            </w:pPr>
            <w:r>
              <w:rPr>
                <w:rFonts w:ascii="Arial" w:hAnsi="Arial" w:cs="Arial"/>
                <w:color w:val="000000"/>
                <w:sz w:val="20"/>
                <w:szCs w:val="20"/>
              </w:rPr>
              <w:t>Karlovarský kraj</w:t>
            </w:r>
          </w:p>
        </w:tc>
        <w:tc>
          <w:tcPr>
            <w:tcW w:w="1224" w:type="dxa"/>
            <w:shd w:val="clear" w:color="auto" w:fill="auto"/>
            <w:noWrap/>
            <w:tcMar>
              <w:top w:w="15" w:type="dxa"/>
              <w:left w:w="15" w:type="dxa"/>
              <w:bottom w:w="0" w:type="dxa"/>
              <w:right w:w="85" w:type="dxa"/>
            </w:tcMar>
            <w:vAlign w:val="center"/>
            <w:hideMark/>
          </w:tcPr>
          <w:p w:rsidR="00730AC8" w:rsidRDefault="00730AC8" w:rsidP="002F5109">
            <w:pPr>
              <w:ind w:firstLineChars="100" w:firstLine="200"/>
              <w:jc w:val="right"/>
              <w:rPr>
                <w:rFonts w:ascii="Arial" w:hAnsi="Arial" w:cs="Arial"/>
                <w:color w:val="000000"/>
                <w:sz w:val="20"/>
                <w:szCs w:val="20"/>
              </w:rPr>
            </w:pPr>
            <w:r>
              <w:rPr>
                <w:rFonts w:ascii="Arial" w:hAnsi="Arial" w:cs="Arial"/>
                <w:color w:val="000000"/>
                <w:sz w:val="20"/>
                <w:szCs w:val="20"/>
              </w:rPr>
              <w:t>16 598</w:t>
            </w:r>
          </w:p>
        </w:tc>
        <w:tc>
          <w:tcPr>
            <w:tcW w:w="1063" w:type="dxa"/>
            <w:tcBorders>
              <w:top w:val="nil"/>
              <w:left w:val="single" w:sz="4" w:space="0" w:color="auto"/>
              <w:bottom w:val="nil"/>
              <w:right w:val="single" w:sz="4"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1"/>
              <w:jc w:val="right"/>
              <w:rPr>
                <w:rFonts w:ascii="Arial" w:hAnsi="Arial" w:cs="Arial"/>
                <w:b/>
                <w:bCs/>
                <w:color w:val="000000"/>
                <w:sz w:val="20"/>
                <w:szCs w:val="20"/>
              </w:rPr>
            </w:pPr>
            <w:r>
              <w:rPr>
                <w:rFonts w:ascii="Arial" w:hAnsi="Arial" w:cs="Arial"/>
                <w:b/>
                <w:bCs/>
                <w:color w:val="000000"/>
                <w:sz w:val="20"/>
                <w:szCs w:val="20"/>
              </w:rPr>
              <w:t>18 514</w:t>
            </w:r>
          </w:p>
        </w:tc>
        <w:tc>
          <w:tcPr>
            <w:tcW w:w="1254" w:type="dxa"/>
            <w:tcBorders>
              <w:top w:val="nil"/>
              <w:left w:val="single" w:sz="4" w:space="0" w:color="auto"/>
              <w:bottom w:val="nil"/>
              <w:right w:val="single" w:sz="4"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0"/>
              <w:jc w:val="right"/>
              <w:rPr>
                <w:rFonts w:ascii="Arial" w:hAnsi="Arial" w:cs="Arial"/>
                <w:color w:val="000000"/>
                <w:sz w:val="20"/>
                <w:szCs w:val="20"/>
              </w:rPr>
            </w:pPr>
            <w:r>
              <w:rPr>
                <w:rFonts w:ascii="Arial" w:hAnsi="Arial" w:cs="Arial"/>
                <w:color w:val="000000"/>
                <w:sz w:val="20"/>
                <w:szCs w:val="20"/>
              </w:rPr>
              <w:t>16 148</w:t>
            </w:r>
          </w:p>
        </w:tc>
        <w:tc>
          <w:tcPr>
            <w:tcW w:w="1156" w:type="dxa"/>
            <w:tcBorders>
              <w:top w:val="nil"/>
              <w:left w:val="single" w:sz="4" w:space="0" w:color="auto"/>
              <w:bottom w:val="nil"/>
              <w:right w:val="single" w:sz="4" w:space="0" w:color="auto"/>
            </w:tcBorders>
            <w:shd w:val="clear" w:color="auto" w:fill="auto"/>
            <w:tcMar>
              <w:top w:w="15" w:type="dxa"/>
              <w:left w:w="15" w:type="dxa"/>
              <w:bottom w:w="0" w:type="dxa"/>
              <w:right w:w="85" w:type="dxa"/>
            </w:tcMar>
            <w:vAlign w:val="center"/>
            <w:hideMark/>
          </w:tcPr>
          <w:p w:rsidR="00730AC8" w:rsidRDefault="00730AC8" w:rsidP="002F5109">
            <w:pPr>
              <w:ind w:firstLineChars="100" w:firstLine="201"/>
              <w:jc w:val="right"/>
              <w:rPr>
                <w:rFonts w:ascii="Arial" w:hAnsi="Arial" w:cs="Arial"/>
                <w:b/>
                <w:bCs/>
                <w:color w:val="000000"/>
                <w:sz w:val="20"/>
                <w:szCs w:val="20"/>
              </w:rPr>
            </w:pPr>
            <w:r>
              <w:rPr>
                <w:rFonts w:ascii="Arial" w:hAnsi="Arial" w:cs="Arial"/>
                <w:b/>
                <w:bCs/>
                <w:color w:val="000000"/>
                <w:sz w:val="20"/>
                <w:szCs w:val="20"/>
              </w:rPr>
              <w:t>18 128</w:t>
            </w:r>
          </w:p>
        </w:tc>
        <w:tc>
          <w:tcPr>
            <w:tcW w:w="850" w:type="dxa"/>
            <w:tcBorders>
              <w:top w:val="nil"/>
              <w:left w:val="single" w:sz="4" w:space="0" w:color="auto"/>
              <w:bottom w:val="nil"/>
              <w:right w:val="single" w:sz="4"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0"/>
              <w:jc w:val="right"/>
              <w:rPr>
                <w:rFonts w:ascii="Arial" w:hAnsi="Arial" w:cs="Arial"/>
                <w:color w:val="000000"/>
                <w:sz w:val="20"/>
                <w:szCs w:val="20"/>
              </w:rPr>
            </w:pPr>
            <w:r>
              <w:rPr>
                <w:rFonts w:ascii="Arial" w:hAnsi="Arial" w:cs="Arial"/>
                <w:color w:val="000000"/>
                <w:sz w:val="20"/>
                <w:szCs w:val="20"/>
              </w:rPr>
              <w:t>7,6</w:t>
            </w:r>
          </w:p>
        </w:tc>
        <w:tc>
          <w:tcPr>
            <w:tcW w:w="850" w:type="dxa"/>
            <w:tcBorders>
              <w:top w:val="nil"/>
              <w:left w:val="nil"/>
              <w:bottom w:val="nil"/>
              <w:right w:val="double" w:sz="6"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1"/>
              <w:jc w:val="right"/>
              <w:rPr>
                <w:rFonts w:ascii="Arial" w:hAnsi="Arial" w:cs="Arial"/>
                <w:b/>
                <w:bCs/>
                <w:color w:val="000000"/>
                <w:sz w:val="20"/>
                <w:szCs w:val="20"/>
              </w:rPr>
            </w:pPr>
            <w:r>
              <w:rPr>
                <w:rFonts w:ascii="Arial" w:hAnsi="Arial" w:cs="Arial"/>
                <w:b/>
                <w:bCs/>
                <w:color w:val="000000"/>
                <w:sz w:val="20"/>
                <w:szCs w:val="20"/>
              </w:rPr>
              <w:t>8,7</w:t>
            </w:r>
          </w:p>
        </w:tc>
      </w:tr>
      <w:tr w:rsidR="00730AC8" w:rsidRPr="002936B7" w:rsidTr="002F5109">
        <w:trPr>
          <w:trHeight w:val="300"/>
          <w:jc w:val="center"/>
        </w:trPr>
        <w:tc>
          <w:tcPr>
            <w:tcW w:w="316" w:type="dxa"/>
            <w:tcBorders>
              <w:top w:val="nil"/>
              <w:left w:val="double" w:sz="6" w:space="0" w:color="auto"/>
              <w:bottom w:val="nil"/>
              <w:right w:val="single" w:sz="4" w:space="0" w:color="auto"/>
            </w:tcBorders>
            <w:shd w:val="clear" w:color="auto" w:fill="auto"/>
            <w:noWrap/>
            <w:tcMar>
              <w:top w:w="15" w:type="dxa"/>
              <w:left w:w="15" w:type="dxa"/>
              <w:bottom w:w="0" w:type="dxa"/>
              <w:right w:w="15" w:type="dxa"/>
            </w:tcMar>
            <w:vAlign w:val="center"/>
            <w:hideMark/>
          </w:tcPr>
          <w:p w:rsidR="00730AC8" w:rsidRPr="002936B7" w:rsidRDefault="00730AC8" w:rsidP="002F5109">
            <w:pPr>
              <w:spacing w:line="276" w:lineRule="auto"/>
              <w:jc w:val="center"/>
              <w:rPr>
                <w:rFonts w:ascii="Arial" w:eastAsia="Arial Unicode MS" w:hAnsi="Arial" w:cs="Arial"/>
                <w:color w:val="000000"/>
                <w:sz w:val="20"/>
                <w:szCs w:val="20"/>
                <w:lang w:eastAsia="en-US"/>
              </w:rPr>
            </w:pPr>
            <w:r w:rsidRPr="002936B7">
              <w:rPr>
                <w:rFonts w:ascii="Arial" w:hAnsi="Arial" w:cs="Arial"/>
                <w:color w:val="000000"/>
                <w:sz w:val="20"/>
                <w:szCs w:val="20"/>
                <w:lang w:eastAsia="en-US"/>
              </w:rPr>
              <w:t>4.</w:t>
            </w:r>
          </w:p>
        </w:tc>
        <w:tc>
          <w:tcPr>
            <w:tcW w:w="2075" w:type="dxa"/>
            <w:tcBorders>
              <w:top w:val="nil"/>
              <w:left w:val="nil"/>
              <w:bottom w:val="nil"/>
              <w:right w:val="single" w:sz="4" w:space="0" w:color="auto"/>
            </w:tcBorders>
            <w:shd w:val="clear" w:color="auto" w:fill="auto"/>
            <w:noWrap/>
            <w:tcMar>
              <w:top w:w="15" w:type="dxa"/>
              <w:left w:w="113" w:type="dxa"/>
              <w:bottom w:w="0" w:type="dxa"/>
              <w:right w:w="15" w:type="dxa"/>
            </w:tcMar>
            <w:vAlign w:val="center"/>
            <w:hideMark/>
          </w:tcPr>
          <w:p w:rsidR="00730AC8" w:rsidRDefault="00730AC8" w:rsidP="002F5109">
            <w:pPr>
              <w:rPr>
                <w:rFonts w:ascii="Arial" w:hAnsi="Arial" w:cs="Arial"/>
                <w:color w:val="000000"/>
                <w:sz w:val="20"/>
                <w:szCs w:val="20"/>
              </w:rPr>
            </w:pPr>
            <w:r>
              <w:rPr>
                <w:rFonts w:ascii="Arial" w:hAnsi="Arial" w:cs="Arial"/>
                <w:color w:val="000000"/>
                <w:sz w:val="20"/>
                <w:szCs w:val="20"/>
              </w:rPr>
              <w:t>Olomoucký kraj</w:t>
            </w:r>
          </w:p>
        </w:tc>
        <w:tc>
          <w:tcPr>
            <w:tcW w:w="1224" w:type="dxa"/>
            <w:shd w:val="clear" w:color="auto" w:fill="auto"/>
            <w:noWrap/>
            <w:tcMar>
              <w:top w:w="15" w:type="dxa"/>
              <w:left w:w="15" w:type="dxa"/>
              <w:bottom w:w="0" w:type="dxa"/>
              <w:right w:w="85" w:type="dxa"/>
            </w:tcMar>
            <w:vAlign w:val="center"/>
            <w:hideMark/>
          </w:tcPr>
          <w:p w:rsidR="00730AC8" w:rsidRDefault="00730AC8" w:rsidP="002F5109">
            <w:pPr>
              <w:ind w:firstLineChars="100" w:firstLine="200"/>
              <w:jc w:val="right"/>
              <w:rPr>
                <w:rFonts w:ascii="Arial" w:hAnsi="Arial" w:cs="Arial"/>
                <w:color w:val="000000"/>
                <w:sz w:val="20"/>
                <w:szCs w:val="20"/>
              </w:rPr>
            </w:pPr>
            <w:r>
              <w:rPr>
                <w:rFonts w:ascii="Arial" w:hAnsi="Arial" w:cs="Arial"/>
                <w:color w:val="000000"/>
                <w:sz w:val="20"/>
                <w:szCs w:val="20"/>
              </w:rPr>
              <w:t>34 197</w:t>
            </w:r>
          </w:p>
        </w:tc>
        <w:tc>
          <w:tcPr>
            <w:tcW w:w="1063" w:type="dxa"/>
            <w:tcBorders>
              <w:top w:val="nil"/>
              <w:left w:val="single" w:sz="4" w:space="0" w:color="auto"/>
              <w:bottom w:val="nil"/>
              <w:right w:val="single" w:sz="4"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1"/>
              <w:jc w:val="right"/>
              <w:rPr>
                <w:rFonts w:ascii="Arial" w:hAnsi="Arial" w:cs="Arial"/>
                <w:b/>
                <w:bCs/>
                <w:color w:val="000000"/>
                <w:sz w:val="20"/>
                <w:szCs w:val="20"/>
              </w:rPr>
            </w:pPr>
            <w:r>
              <w:rPr>
                <w:rFonts w:ascii="Arial" w:hAnsi="Arial" w:cs="Arial"/>
                <w:b/>
                <w:bCs/>
                <w:color w:val="000000"/>
                <w:sz w:val="20"/>
                <w:szCs w:val="20"/>
              </w:rPr>
              <w:t>38 323</w:t>
            </w:r>
          </w:p>
        </w:tc>
        <w:tc>
          <w:tcPr>
            <w:tcW w:w="1254" w:type="dxa"/>
            <w:tcBorders>
              <w:top w:val="nil"/>
              <w:left w:val="single" w:sz="4" w:space="0" w:color="auto"/>
              <w:bottom w:val="nil"/>
              <w:right w:val="single" w:sz="4"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0"/>
              <w:jc w:val="right"/>
              <w:rPr>
                <w:rFonts w:ascii="Arial" w:hAnsi="Arial" w:cs="Arial"/>
                <w:color w:val="000000"/>
                <w:sz w:val="20"/>
                <w:szCs w:val="20"/>
              </w:rPr>
            </w:pPr>
            <w:r>
              <w:rPr>
                <w:rFonts w:ascii="Arial" w:hAnsi="Arial" w:cs="Arial"/>
                <w:color w:val="000000"/>
                <w:sz w:val="20"/>
                <w:szCs w:val="20"/>
              </w:rPr>
              <w:t>32 866</w:t>
            </w:r>
          </w:p>
        </w:tc>
        <w:tc>
          <w:tcPr>
            <w:tcW w:w="1156" w:type="dxa"/>
            <w:tcBorders>
              <w:top w:val="nil"/>
              <w:left w:val="single" w:sz="4" w:space="0" w:color="auto"/>
              <w:bottom w:val="nil"/>
              <w:right w:val="single" w:sz="4" w:space="0" w:color="auto"/>
            </w:tcBorders>
            <w:shd w:val="clear" w:color="auto" w:fill="auto"/>
            <w:tcMar>
              <w:top w:w="15" w:type="dxa"/>
              <w:left w:w="15" w:type="dxa"/>
              <w:bottom w:w="0" w:type="dxa"/>
              <w:right w:w="85" w:type="dxa"/>
            </w:tcMar>
            <w:vAlign w:val="center"/>
            <w:hideMark/>
          </w:tcPr>
          <w:p w:rsidR="00730AC8" w:rsidRDefault="00730AC8" w:rsidP="002F5109">
            <w:pPr>
              <w:ind w:firstLineChars="100" w:firstLine="201"/>
              <w:jc w:val="right"/>
              <w:rPr>
                <w:rFonts w:ascii="Arial" w:hAnsi="Arial" w:cs="Arial"/>
                <w:b/>
                <w:bCs/>
                <w:color w:val="000000"/>
                <w:sz w:val="20"/>
                <w:szCs w:val="20"/>
              </w:rPr>
            </w:pPr>
            <w:r>
              <w:rPr>
                <w:rFonts w:ascii="Arial" w:hAnsi="Arial" w:cs="Arial"/>
                <w:b/>
                <w:bCs/>
                <w:color w:val="000000"/>
                <w:sz w:val="20"/>
                <w:szCs w:val="20"/>
              </w:rPr>
              <w:t>36 969</w:t>
            </w:r>
          </w:p>
        </w:tc>
        <w:tc>
          <w:tcPr>
            <w:tcW w:w="850" w:type="dxa"/>
            <w:tcBorders>
              <w:top w:val="nil"/>
              <w:left w:val="single" w:sz="4" w:space="0" w:color="auto"/>
              <w:bottom w:val="nil"/>
              <w:right w:val="single" w:sz="4"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0"/>
              <w:jc w:val="right"/>
              <w:rPr>
                <w:rFonts w:ascii="Arial" w:hAnsi="Arial" w:cs="Arial"/>
                <w:color w:val="000000"/>
                <w:sz w:val="20"/>
                <w:szCs w:val="20"/>
              </w:rPr>
            </w:pPr>
            <w:r>
              <w:rPr>
                <w:rFonts w:ascii="Arial" w:hAnsi="Arial" w:cs="Arial"/>
                <w:color w:val="000000"/>
                <w:sz w:val="20"/>
                <w:szCs w:val="20"/>
              </w:rPr>
              <w:t>7,5</w:t>
            </w:r>
          </w:p>
        </w:tc>
        <w:tc>
          <w:tcPr>
            <w:tcW w:w="850" w:type="dxa"/>
            <w:tcBorders>
              <w:top w:val="nil"/>
              <w:left w:val="nil"/>
              <w:bottom w:val="nil"/>
              <w:right w:val="double" w:sz="6"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1"/>
              <w:jc w:val="right"/>
              <w:rPr>
                <w:rFonts w:ascii="Arial" w:hAnsi="Arial" w:cs="Arial"/>
                <w:b/>
                <w:bCs/>
                <w:color w:val="000000"/>
                <w:sz w:val="20"/>
                <w:szCs w:val="20"/>
              </w:rPr>
            </w:pPr>
            <w:r>
              <w:rPr>
                <w:rFonts w:ascii="Arial" w:hAnsi="Arial" w:cs="Arial"/>
                <w:b/>
                <w:bCs/>
                <w:color w:val="000000"/>
                <w:sz w:val="20"/>
                <w:szCs w:val="20"/>
              </w:rPr>
              <w:t>8,5</w:t>
            </w:r>
          </w:p>
        </w:tc>
      </w:tr>
      <w:tr w:rsidR="00730AC8" w:rsidRPr="002936B7" w:rsidTr="002F5109">
        <w:trPr>
          <w:trHeight w:val="300"/>
          <w:jc w:val="center"/>
        </w:trPr>
        <w:tc>
          <w:tcPr>
            <w:tcW w:w="316" w:type="dxa"/>
            <w:tcBorders>
              <w:top w:val="nil"/>
              <w:left w:val="double" w:sz="6" w:space="0" w:color="auto"/>
              <w:bottom w:val="nil"/>
              <w:right w:val="single" w:sz="4" w:space="0" w:color="auto"/>
            </w:tcBorders>
            <w:shd w:val="clear" w:color="auto" w:fill="auto"/>
            <w:noWrap/>
            <w:tcMar>
              <w:top w:w="15" w:type="dxa"/>
              <w:left w:w="15" w:type="dxa"/>
              <w:bottom w:w="0" w:type="dxa"/>
              <w:right w:w="15" w:type="dxa"/>
            </w:tcMar>
            <w:vAlign w:val="center"/>
            <w:hideMark/>
          </w:tcPr>
          <w:p w:rsidR="00730AC8" w:rsidRPr="002936B7" w:rsidRDefault="00730AC8" w:rsidP="002F5109">
            <w:pPr>
              <w:spacing w:line="276" w:lineRule="auto"/>
              <w:jc w:val="center"/>
              <w:rPr>
                <w:rFonts w:ascii="Arial" w:eastAsia="Arial Unicode MS" w:hAnsi="Arial" w:cs="Arial"/>
                <w:color w:val="000000"/>
                <w:sz w:val="20"/>
                <w:szCs w:val="20"/>
                <w:lang w:eastAsia="en-US"/>
              </w:rPr>
            </w:pPr>
            <w:r w:rsidRPr="002936B7">
              <w:rPr>
                <w:rFonts w:ascii="Arial" w:hAnsi="Arial" w:cs="Arial"/>
                <w:color w:val="000000"/>
                <w:sz w:val="20"/>
                <w:szCs w:val="20"/>
                <w:lang w:eastAsia="en-US"/>
              </w:rPr>
              <w:t>5.</w:t>
            </w:r>
          </w:p>
        </w:tc>
        <w:tc>
          <w:tcPr>
            <w:tcW w:w="2075" w:type="dxa"/>
            <w:tcBorders>
              <w:top w:val="nil"/>
              <w:left w:val="nil"/>
              <w:bottom w:val="nil"/>
              <w:right w:val="single" w:sz="4" w:space="0" w:color="auto"/>
            </w:tcBorders>
            <w:shd w:val="clear" w:color="auto" w:fill="auto"/>
            <w:noWrap/>
            <w:tcMar>
              <w:top w:w="15" w:type="dxa"/>
              <w:left w:w="113" w:type="dxa"/>
              <w:bottom w:w="0" w:type="dxa"/>
              <w:right w:w="15" w:type="dxa"/>
            </w:tcMar>
            <w:vAlign w:val="center"/>
            <w:hideMark/>
          </w:tcPr>
          <w:p w:rsidR="00730AC8" w:rsidRDefault="00730AC8" w:rsidP="002F5109">
            <w:pPr>
              <w:rPr>
                <w:rFonts w:ascii="Arial" w:hAnsi="Arial" w:cs="Arial"/>
                <w:color w:val="000000"/>
                <w:sz w:val="20"/>
                <w:szCs w:val="20"/>
              </w:rPr>
            </w:pPr>
            <w:r>
              <w:rPr>
                <w:rFonts w:ascii="Arial" w:hAnsi="Arial" w:cs="Arial"/>
                <w:color w:val="000000"/>
                <w:sz w:val="20"/>
                <w:szCs w:val="20"/>
              </w:rPr>
              <w:t>Liberecký kraj</w:t>
            </w:r>
          </w:p>
        </w:tc>
        <w:tc>
          <w:tcPr>
            <w:tcW w:w="1224" w:type="dxa"/>
            <w:shd w:val="clear" w:color="auto" w:fill="auto"/>
            <w:noWrap/>
            <w:tcMar>
              <w:top w:w="15" w:type="dxa"/>
              <w:left w:w="15" w:type="dxa"/>
              <w:bottom w:w="0" w:type="dxa"/>
              <w:right w:w="85" w:type="dxa"/>
            </w:tcMar>
            <w:vAlign w:val="center"/>
            <w:hideMark/>
          </w:tcPr>
          <w:p w:rsidR="00730AC8" w:rsidRDefault="00730AC8" w:rsidP="002F5109">
            <w:pPr>
              <w:ind w:firstLineChars="100" w:firstLine="200"/>
              <w:jc w:val="right"/>
              <w:rPr>
                <w:rFonts w:ascii="Arial" w:hAnsi="Arial" w:cs="Arial"/>
                <w:color w:val="000000"/>
                <w:sz w:val="20"/>
                <w:szCs w:val="20"/>
              </w:rPr>
            </w:pPr>
            <w:r>
              <w:rPr>
                <w:rFonts w:ascii="Arial" w:hAnsi="Arial" w:cs="Arial"/>
                <w:color w:val="000000"/>
                <w:sz w:val="20"/>
                <w:szCs w:val="20"/>
              </w:rPr>
              <w:t>22 264</w:t>
            </w:r>
          </w:p>
        </w:tc>
        <w:tc>
          <w:tcPr>
            <w:tcW w:w="1063" w:type="dxa"/>
            <w:tcBorders>
              <w:top w:val="nil"/>
              <w:left w:val="single" w:sz="4" w:space="0" w:color="auto"/>
              <w:bottom w:val="nil"/>
              <w:right w:val="single" w:sz="4"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1"/>
              <w:jc w:val="right"/>
              <w:rPr>
                <w:rFonts w:ascii="Arial" w:hAnsi="Arial" w:cs="Arial"/>
                <w:b/>
                <w:bCs/>
                <w:color w:val="000000"/>
                <w:sz w:val="20"/>
                <w:szCs w:val="20"/>
              </w:rPr>
            </w:pPr>
            <w:r>
              <w:rPr>
                <w:rFonts w:ascii="Arial" w:hAnsi="Arial" w:cs="Arial"/>
                <w:b/>
                <w:bCs/>
                <w:color w:val="000000"/>
                <w:sz w:val="20"/>
                <w:szCs w:val="20"/>
              </w:rPr>
              <w:t>24 390</w:t>
            </w:r>
          </w:p>
        </w:tc>
        <w:tc>
          <w:tcPr>
            <w:tcW w:w="1254" w:type="dxa"/>
            <w:tcBorders>
              <w:top w:val="nil"/>
              <w:left w:val="single" w:sz="4" w:space="0" w:color="auto"/>
              <w:bottom w:val="nil"/>
              <w:right w:val="single" w:sz="4"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0"/>
              <w:jc w:val="right"/>
              <w:rPr>
                <w:rFonts w:ascii="Arial" w:hAnsi="Arial" w:cs="Arial"/>
                <w:color w:val="000000"/>
                <w:sz w:val="20"/>
                <w:szCs w:val="20"/>
              </w:rPr>
            </w:pPr>
            <w:r>
              <w:rPr>
                <w:rFonts w:ascii="Arial" w:hAnsi="Arial" w:cs="Arial"/>
                <w:color w:val="000000"/>
                <w:sz w:val="20"/>
                <w:szCs w:val="20"/>
              </w:rPr>
              <w:t>21 356</w:t>
            </w:r>
          </w:p>
        </w:tc>
        <w:tc>
          <w:tcPr>
            <w:tcW w:w="1156" w:type="dxa"/>
            <w:tcBorders>
              <w:top w:val="nil"/>
              <w:left w:val="single" w:sz="4" w:space="0" w:color="auto"/>
              <w:bottom w:val="nil"/>
              <w:right w:val="single" w:sz="4" w:space="0" w:color="auto"/>
            </w:tcBorders>
            <w:shd w:val="clear" w:color="auto" w:fill="auto"/>
            <w:tcMar>
              <w:top w:w="15" w:type="dxa"/>
              <w:left w:w="15" w:type="dxa"/>
              <w:bottom w:w="0" w:type="dxa"/>
              <w:right w:w="85" w:type="dxa"/>
            </w:tcMar>
            <w:vAlign w:val="center"/>
            <w:hideMark/>
          </w:tcPr>
          <w:p w:rsidR="00730AC8" w:rsidRDefault="00730AC8" w:rsidP="002F5109">
            <w:pPr>
              <w:ind w:firstLineChars="100" w:firstLine="201"/>
              <w:jc w:val="right"/>
              <w:rPr>
                <w:rFonts w:ascii="Arial" w:hAnsi="Arial" w:cs="Arial"/>
                <w:b/>
                <w:bCs/>
                <w:color w:val="000000"/>
                <w:sz w:val="20"/>
                <w:szCs w:val="20"/>
              </w:rPr>
            </w:pPr>
            <w:r>
              <w:rPr>
                <w:rFonts w:ascii="Arial" w:hAnsi="Arial" w:cs="Arial"/>
                <w:b/>
                <w:bCs/>
                <w:color w:val="000000"/>
                <w:sz w:val="20"/>
                <w:szCs w:val="20"/>
              </w:rPr>
              <w:t>23 529</w:t>
            </w:r>
          </w:p>
        </w:tc>
        <w:tc>
          <w:tcPr>
            <w:tcW w:w="850" w:type="dxa"/>
            <w:tcBorders>
              <w:top w:val="nil"/>
              <w:left w:val="single" w:sz="4" w:space="0" w:color="auto"/>
              <w:bottom w:val="nil"/>
              <w:right w:val="single" w:sz="4"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0"/>
              <w:jc w:val="right"/>
              <w:rPr>
                <w:rFonts w:ascii="Arial" w:hAnsi="Arial" w:cs="Arial"/>
                <w:color w:val="000000"/>
                <w:sz w:val="20"/>
                <w:szCs w:val="20"/>
              </w:rPr>
            </w:pPr>
            <w:r>
              <w:rPr>
                <w:rFonts w:ascii="Arial" w:hAnsi="Arial" w:cs="Arial"/>
                <w:color w:val="000000"/>
                <w:sz w:val="20"/>
                <w:szCs w:val="20"/>
              </w:rPr>
              <w:t>7,1</w:t>
            </w:r>
          </w:p>
        </w:tc>
        <w:tc>
          <w:tcPr>
            <w:tcW w:w="850" w:type="dxa"/>
            <w:tcBorders>
              <w:top w:val="nil"/>
              <w:left w:val="nil"/>
              <w:bottom w:val="nil"/>
              <w:right w:val="double" w:sz="6"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1"/>
              <w:jc w:val="right"/>
              <w:rPr>
                <w:rFonts w:ascii="Arial" w:hAnsi="Arial" w:cs="Arial"/>
                <w:b/>
                <w:bCs/>
                <w:color w:val="000000"/>
                <w:sz w:val="20"/>
                <w:szCs w:val="20"/>
              </w:rPr>
            </w:pPr>
            <w:r>
              <w:rPr>
                <w:rFonts w:ascii="Arial" w:hAnsi="Arial" w:cs="Arial"/>
                <w:b/>
                <w:bCs/>
                <w:color w:val="000000"/>
                <w:sz w:val="20"/>
                <w:szCs w:val="20"/>
              </w:rPr>
              <w:t>7,9</w:t>
            </w:r>
          </w:p>
        </w:tc>
      </w:tr>
      <w:tr w:rsidR="00730AC8" w:rsidRPr="002936B7" w:rsidTr="002F5109">
        <w:trPr>
          <w:trHeight w:val="300"/>
          <w:jc w:val="center"/>
        </w:trPr>
        <w:tc>
          <w:tcPr>
            <w:tcW w:w="316" w:type="dxa"/>
            <w:tcBorders>
              <w:top w:val="nil"/>
              <w:left w:val="double" w:sz="6" w:space="0" w:color="auto"/>
              <w:bottom w:val="nil"/>
              <w:right w:val="single" w:sz="4" w:space="0" w:color="auto"/>
            </w:tcBorders>
            <w:shd w:val="clear" w:color="auto" w:fill="auto"/>
            <w:noWrap/>
            <w:tcMar>
              <w:top w:w="15" w:type="dxa"/>
              <w:left w:w="15" w:type="dxa"/>
              <w:bottom w:w="0" w:type="dxa"/>
              <w:right w:w="15" w:type="dxa"/>
            </w:tcMar>
            <w:vAlign w:val="center"/>
            <w:hideMark/>
          </w:tcPr>
          <w:p w:rsidR="00730AC8" w:rsidRPr="002936B7" w:rsidRDefault="00730AC8" w:rsidP="002F5109">
            <w:pPr>
              <w:spacing w:line="276" w:lineRule="auto"/>
              <w:jc w:val="center"/>
              <w:rPr>
                <w:rFonts w:ascii="Arial" w:eastAsia="Arial Unicode MS" w:hAnsi="Arial" w:cs="Arial"/>
                <w:color w:val="000000"/>
                <w:sz w:val="20"/>
                <w:szCs w:val="20"/>
                <w:lang w:eastAsia="en-US"/>
              </w:rPr>
            </w:pPr>
            <w:r w:rsidRPr="002936B7">
              <w:rPr>
                <w:rFonts w:ascii="Arial" w:hAnsi="Arial" w:cs="Arial"/>
                <w:color w:val="000000"/>
                <w:sz w:val="20"/>
                <w:szCs w:val="20"/>
                <w:lang w:eastAsia="en-US"/>
              </w:rPr>
              <w:t>6.</w:t>
            </w:r>
          </w:p>
        </w:tc>
        <w:tc>
          <w:tcPr>
            <w:tcW w:w="2075" w:type="dxa"/>
            <w:tcBorders>
              <w:top w:val="nil"/>
              <w:left w:val="nil"/>
              <w:bottom w:val="nil"/>
              <w:right w:val="single" w:sz="4" w:space="0" w:color="auto"/>
            </w:tcBorders>
            <w:shd w:val="clear" w:color="auto" w:fill="auto"/>
            <w:noWrap/>
            <w:tcMar>
              <w:top w:w="15" w:type="dxa"/>
              <w:left w:w="113" w:type="dxa"/>
              <w:bottom w:w="0" w:type="dxa"/>
              <w:right w:w="15" w:type="dxa"/>
            </w:tcMar>
            <w:vAlign w:val="center"/>
            <w:hideMark/>
          </w:tcPr>
          <w:p w:rsidR="00730AC8" w:rsidRDefault="00730AC8" w:rsidP="002F5109">
            <w:pPr>
              <w:rPr>
                <w:rFonts w:ascii="Arial" w:hAnsi="Arial" w:cs="Arial"/>
                <w:color w:val="000000"/>
                <w:sz w:val="20"/>
                <w:szCs w:val="20"/>
              </w:rPr>
            </w:pPr>
            <w:r>
              <w:rPr>
                <w:rFonts w:ascii="Arial" w:hAnsi="Arial" w:cs="Arial"/>
                <w:color w:val="000000"/>
                <w:sz w:val="20"/>
                <w:szCs w:val="20"/>
              </w:rPr>
              <w:t>Jihomoravský kraj</w:t>
            </w:r>
          </w:p>
        </w:tc>
        <w:tc>
          <w:tcPr>
            <w:tcW w:w="1224" w:type="dxa"/>
            <w:shd w:val="clear" w:color="auto" w:fill="auto"/>
            <w:noWrap/>
            <w:tcMar>
              <w:top w:w="15" w:type="dxa"/>
              <w:left w:w="15" w:type="dxa"/>
              <w:bottom w:w="0" w:type="dxa"/>
              <w:right w:w="85" w:type="dxa"/>
            </w:tcMar>
            <w:vAlign w:val="center"/>
            <w:hideMark/>
          </w:tcPr>
          <w:p w:rsidR="00730AC8" w:rsidRDefault="00730AC8" w:rsidP="002F5109">
            <w:pPr>
              <w:ind w:firstLineChars="100" w:firstLine="200"/>
              <w:jc w:val="right"/>
              <w:rPr>
                <w:rFonts w:ascii="Arial" w:hAnsi="Arial" w:cs="Arial"/>
                <w:color w:val="000000"/>
                <w:sz w:val="20"/>
                <w:szCs w:val="20"/>
              </w:rPr>
            </w:pPr>
            <w:r>
              <w:rPr>
                <w:rFonts w:ascii="Arial" w:hAnsi="Arial" w:cs="Arial"/>
                <w:color w:val="000000"/>
                <w:sz w:val="20"/>
                <w:szCs w:val="20"/>
              </w:rPr>
              <w:t>57 019</w:t>
            </w:r>
          </w:p>
        </w:tc>
        <w:tc>
          <w:tcPr>
            <w:tcW w:w="1063" w:type="dxa"/>
            <w:tcBorders>
              <w:top w:val="nil"/>
              <w:left w:val="single" w:sz="4" w:space="0" w:color="auto"/>
              <w:bottom w:val="nil"/>
              <w:right w:val="single" w:sz="4"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1"/>
              <w:jc w:val="right"/>
              <w:rPr>
                <w:rFonts w:ascii="Arial" w:hAnsi="Arial" w:cs="Arial"/>
                <w:b/>
                <w:bCs/>
                <w:color w:val="000000"/>
                <w:sz w:val="20"/>
                <w:szCs w:val="20"/>
              </w:rPr>
            </w:pPr>
            <w:r>
              <w:rPr>
                <w:rFonts w:ascii="Arial" w:hAnsi="Arial" w:cs="Arial"/>
                <w:b/>
                <w:bCs/>
                <w:color w:val="000000"/>
                <w:sz w:val="20"/>
                <w:szCs w:val="20"/>
              </w:rPr>
              <w:t>63 427</w:t>
            </w:r>
          </w:p>
        </w:tc>
        <w:tc>
          <w:tcPr>
            <w:tcW w:w="1254" w:type="dxa"/>
            <w:tcBorders>
              <w:top w:val="nil"/>
              <w:left w:val="single" w:sz="4" w:space="0" w:color="auto"/>
              <w:bottom w:val="nil"/>
              <w:right w:val="single" w:sz="4"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0"/>
              <w:jc w:val="right"/>
              <w:rPr>
                <w:rFonts w:ascii="Arial" w:hAnsi="Arial" w:cs="Arial"/>
                <w:color w:val="000000"/>
                <w:sz w:val="20"/>
                <w:szCs w:val="20"/>
              </w:rPr>
            </w:pPr>
            <w:r>
              <w:rPr>
                <w:rFonts w:ascii="Arial" w:hAnsi="Arial" w:cs="Arial"/>
                <w:color w:val="000000"/>
                <w:sz w:val="20"/>
                <w:szCs w:val="20"/>
              </w:rPr>
              <w:t>55 558</w:t>
            </w:r>
          </w:p>
        </w:tc>
        <w:tc>
          <w:tcPr>
            <w:tcW w:w="1156" w:type="dxa"/>
            <w:tcBorders>
              <w:top w:val="nil"/>
              <w:left w:val="single" w:sz="4" w:space="0" w:color="auto"/>
              <w:bottom w:val="nil"/>
              <w:right w:val="single" w:sz="4" w:space="0" w:color="auto"/>
            </w:tcBorders>
            <w:shd w:val="clear" w:color="auto" w:fill="auto"/>
            <w:tcMar>
              <w:top w:w="15" w:type="dxa"/>
              <w:left w:w="15" w:type="dxa"/>
              <w:bottom w:w="0" w:type="dxa"/>
              <w:right w:w="85" w:type="dxa"/>
            </w:tcMar>
            <w:vAlign w:val="center"/>
            <w:hideMark/>
          </w:tcPr>
          <w:p w:rsidR="00730AC8" w:rsidRDefault="00730AC8" w:rsidP="002F5109">
            <w:pPr>
              <w:ind w:firstLineChars="100" w:firstLine="201"/>
              <w:jc w:val="right"/>
              <w:rPr>
                <w:rFonts w:ascii="Arial" w:hAnsi="Arial" w:cs="Arial"/>
                <w:b/>
                <w:bCs/>
                <w:color w:val="000000"/>
                <w:sz w:val="20"/>
                <w:szCs w:val="20"/>
              </w:rPr>
            </w:pPr>
            <w:r>
              <w:rPr>
                <w:rFonts w:ascii="Arial" w:hAnsi="Arial" w:cs="Arial"/>
                <w:b/>
                <w:bCs/>
                <w:color w:val="000000"/>
                <w:sz w:val="20"/>
                <w:szCs w:val="20"/>
              </w:rPr>
              <w:t>61 821</w:t>
            </w:r>
          </w:p>
        </w:tc>
        <w:tc>
          <w:tcPr>
            <w:tcW w:w="850" w:type="dxa"/>
            <w:tcBorders>
              <w:top w:val="nil"/>
              <w:left w:val="single" w:sz="4" w:space="0" w:color="auto"/>
              <w:bottom w:val="nil"/>
              <w:right w:val="single" w:sz="4"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0"/>
              <w:jc w:val="right"/>
              <w:rPr>
                <w:rFonts w:ascii="Arial" w:hAnsi="Arial" w:cs="Arial"/>
                <w:color w:val="000000"/>
                <w:sz w:val="20"/>
                <w:szCs w:val="20"/>
              </w:rPr>
            </w:pPr>
            <w:r>
              <w:rPr>
                <w:rFonts w:ascii="Arial" w:hAnsi="Arial" w:cs="Arial"/>
                <w:color w:val="000000"/>
                <w:sz w:val="20"/>
                <w:szCs w:val="20"/>
              </w:rPr>
              <w:t>6,9</w:t>
            </w:r>
          </w:p>
        </w:tc>
        <w:tc>
          <w:tcPr>
            <w:tcW w:w="850" w:type="dxa"/>
            <w:tcBorders>
              <w:top w:val="nil"/>
              <w:left w:val="nil"/>
              <w:bottom w:val="nil"/>
              <w:right w:val="double" w:sz="6"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1"/>
              <w:jc w:val="right"/>
              <w:rPr>
                <w:rFonts w:ascii="Arial" w:hAnsi="Arial" w:cs="Arial"/>
                <w:b/>
                <w:bCs/>
                <w:color w:val="000000"/>
                <w:sz w:val="20"/>
                <w:szCs w:val="20"/>
              </w:rPr>
            </w:pPr>
            <w:r>
              <w:rPr>
                <w:rFonts w:ascii="Arial" w:hAnsi="Arial" w:cs="Arial"/>
                <w:b/>
                <w:bCs/>
                <w:color w:val="000000"/>
                <w:sz w:val="20"/>
                <w:szCs w:val="20"/>
              </w:rPr>
              <w:t>7,8</w:t>
            </w:r>
          </w:p>
        </w:tc>
      </w:tr>
      <w:tr w:rsidR="00730AC8" w:rsidRPr="002936B7" w:rsidTr="002F5109">
        <w:trPr>
          <w:trHeight w:val="300"/>
          <w:jc w:val="center"/>
        </w:trPr>
        <w:tc>
          <w:tcPr>
            <w:tcW w:w="316" w:type="dxa"/>
            <w:tcBorders>
              <w:top w:val="nil"/>
              <w:left w:val="double" w:sz="6" w:space="0" w:color="auto"/>
              <w:bottom w:val="nil"/>
              <w:right w:val="single" w:sz="4" w:space="0" w:color="auto"/>
            </w:tcBorders>
            <w:shd w:val="clear" w:color="auto" w:fill="auto"/>
            <w:noWrap/>
            <w:tcMar>
              <w:top w:w="15" w:type="dxa"/>
              <w:left w:w="15" w:type="dxa"/>
              <w:bottom w:w="0" w:type="dxa"/>
              <w:right w:w="15" w:type="dxa"/>
            </w:tcMar>
            <w:vAlign w:val="center"/>
            <w:hideMark/>
          </w:tcPr>
          <w:p w:rsidR="00730AC8" w:rsidRPr="002936B7" w:rsidRDefault="00730AC8" w:rsidP="002F5109">
            <w:pPr>
              <w:spacing w:line="276" w:lineRule="auto"/>
              <w:jc w:val="center"/>
              <w:rPr>
                <w:rFonts w:ascii="Arial" w:eastAsia="Arial Unicode MS" w:hAnsi="Arial" w:cs="Arial"/>
                <w:color w:val="000000"/>
                <w:sz w:val="20"/>
                <w:szCs w:val="20"/>
                <w:lang w:eastAsia="en-US"/>
              </w:rPr>
            </w:pPr>
            <w:r w:rsidRPr="002936B7">
              <w:rPr>
                <w:rFonts w:ascii="Arial" w:hAnsi="Arial" w:cs="Arial"/>
                <w:color w:val="000000"/>
                <w:sz w:val="20"/>
                <w:szCs w:val="20"/>
                <w:lang w:eastAsia="en-US"/>
              </w:rPr>
              <w:t>7.</w:t>
            </w:r>
          </w:p>
        </w:tc>
        <w:tc>
          <w:tcPr>
            <w:tcW w:w="2075" w:type="dxa"/>
            <w:tcBorders>
              <w:top w:val="nil"/>
              <w:left w:val="nil"/>
              <w:bottom w:val="nil"/>
              <w:right w:val="single" w:sz="4" w:space="0" w:color="auto"/>
            </w:tcBorders>
            <w:shd w:val="clear" w:color="auto" w:fill="auto"/>
            <w:noWrap/>
            <w:tcMar>
              <w:top w:w="15" w:type="dxa"/>
              <w:left w:w="113" w:type="dxa"/>
              <w:bottom w:w="0" w:type="dxa"/>
              <w:right w:w="15" w:type="dxa"/>
            </w:tcMar>
            <w:vAlign w:val="center"/>
            <w:hideMark/>
          </w:tcPr>
          <w:p w:rsidR="00730AC8" w:rsidRDefault="00730AC8" w:rsidP="002F5109">
            <w:pPr>
              <w:rPr>
                <w:rFonts w:ascii="Arial" w:hAnsi="Arial" w:cs="Arial"/>
                <w:color w:val="000000"/>
                <w:sz w:val="20"/>
                <w:szCs w:val="20"/>
              </w:rPr>
            </w:pPr>
            <w:r>
              <w:rPr>
                <w:rFonts w:ascii="Arial" w:hAnsi="Arial" w:cs="Arial"/>
                <w:color w:val="000000"/>
                <w:sz w:val="20"/>
                <w:szCs w:val="20"/>
              </w:rPr>
              <w:t>Zlínsky kraj</w:t>
            </w:r>
          </w:p>
        </w:tc>
        <w:tc>
          <w:tcPr>
            <w:tcW w:w="1224" w:type="dxa"/>
            <w:shd w:val="clear" w:color="auto" w:fill="auto"/>
            <w:noWrap/>
            <w:tcMar>
              <w:top w:w="15" w:type="dxa"/>
              <w:left w:w="15" w:type="dxa"/>
              <w:bottom w:w="0" w:type="dxa"/>
              <w:right w:w="85" w:type="dxa"/>
            </w:tcMar>
            <w:vAlign w:val="center"/>
            <w:hideMark/>
          </w:tcPr>
          <w:p w:rsidR="00730AC8" w:rsidRDefault="00730AC8" w:rsidP="002F5109">
            <w:pPr>
              <w:ind w:firstLineChars="100" w:firstLine="200"/>
              <w:jc w:val="right"/>
              <w:rPr>
                <w:rFonts w:ascii="Arial" w:hAnsi="Arial" w:cs="Arial"/>
                <w:color w:val="000000"/>
                <w:sz w:val="20"/>
                <w:szCs w:val="20"/>
              </w:rPr>
            </w:pPr>
            <w:r>
              <w:rPr>
                <w:rFonts w:ascii="Arial" w:hAnsi="Arial" w:cs="Arial"/>
                <w:color w:val="000000"/>
                <w:sz w:val="20"/>
                <w:szCs w:val="20"/>
              </w:rPr>
              <w:t>26 806</w:t>
            </w:r>
          </w:p>
        </w:tc>
        <w:tc>
          <w:tcPr>
            <w:tcW w:w="1063" w:type="dxa"/>
            <w:tcBorders>
              <w:top w:val="nil"/>
              <w:left w:val="single" w:sz="4" w:space="0" w:color="auto"/>
              <w:bottom w:val="nil"/>
              <w:right w:val="single" w:sz="4"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1"/>
              <w:jc w:val="right"/>
              <w:rPr>
                <w:rFonts w:ascii="Arial" w:hAnsi="Arial" w:cs="Arial"/>
                <w:b/>
                <w:bCs/>
                <w:color w:val="000000"/>
                <w:sz w:val="20"/>
                <w:szCs w:val="20"/>
              </w:rPr>
            </w:pPr>
            <w:r>
              <w:rPr>
                <w:rFonts w:ascii="Arial" w:hAnsi="Arial" w:cs="Arial"/>
                <w:b/>
                <w:bCs/>
                <w:color w:val="000000"/>
                <w:sz w:val="20"/>
                <w:szCs w:val="20"/>
              </w:rPr>
              <w:t>30 708</w:t>
            </w:r>
          </w:p>
        </w:tc>
        <w:tc>
          <w:tcPr>
            <w:tcW w:w="1254" w:type="dxa"/>
            <w:tcBorders>
              <w:top w:val="nil"/>
              <w:left w:val="single" w:sz="4" w:space="0" w:color="auto"/>
              <w:bottom w:val="nil"/>
              <w:right w:val="single" w:sz="4"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0"/>
              <w:jc w:val="right"/>
              <w:rPr>
                <w:rFonts w:ascii="Arial" w:hAnsi="Arial" w:cs="Arial"/>
                <w:color w:val="000000"/>
                <w:sz w:val="20"/>
                <w:szCs w:val="20"/>
              </w:rPr>
            </w:pPr>
            <w:r>
              <w:rPr>
                <w:rFonts w:ascii="Arial" w:hAnsi="Arial" w:cs="Arial"/>
                <w:color w:val="000000"/>
                <w:sz w:val="20"/>
                <w:szCs w:val="20"/>
              </w:rPr>
              <w:t>26 066</w:t>
            </w:r>
          </w:p>
        </w:tc>
        <w:tc>
          <w:tcPr>
            <w:tcW w:w="1156" w:type="dxa"/>
            <w:tcBorders>
              <w:top w:val="nil"/>
              <w:left w:val="single" w:sz="4" w:space="0" w:color="auto"/>
              <w:bottom w:val="nil"/>
              <w:right w:val="single" w:sz="4" w:space="0" w:color="auto"/>
            </w:tcBorders>
            <w:shd w:val="clear" w:color="auto" w:fill="auto"/>
            <w:tcMar>
              <w:top w:w="15" w:type="dxa"/>
              <w:left w:w="15" w:type="dxa"/>
              <w:bottom w:w="0" w:type="dxa"/>
              <w:right w:w="85" w:type="dxa"/>
            </w:tcMar>
            <w:vAlign w:val="center"/>
            <w:hideMark/>
          </w:tcPr>
          <w:p w:rsidR="00730AC8" w:rsidRDefault="00730AC8" w:rsidP="002F5109">
            <w:pPr>
              <w:ind w:firstLineChars="100" w:firstLine="201"/>
              <w:jc w:val="right"/>
              <w:rPr>
                <w:rFonts w:ascii="Arial" w:hAnsi="Arial" w:cs="Arial"/>
                <w:b/>
                <w:bCs/>
                <w:color w:val="000000"/>
                <w:sz w:val="20"/>
                <w:szCs w:val="20"/>
              </w:rPr>
            </w:pPr>
            <w:r>
              <w:rPr>
                <w:rFonts w:ascii="Arial" w:hAnsi="Arial" w:cs="Arial"/>
                <w:b/>
                <w:bCs/>
                <w:color w:val="000000"/>
                <w:sz w:val="20"/>
                <w:szCs w:val="20"/>
              </w:rPr>
              <w:t>29 915</w:t>
            </w:r>
          </w:p>
        </w:tc>
        <w:tc>
          <w:tcPr>
            <w:tcW w:w="850" w:type="dxa"/>
            <w:tcBorders>
              <w:top w:val="nil"/>
              <w:left w:val="single" w:sz="4" w:space="0" w:color="auto"/>
              <w:bottom w:val="nil"/>
              <w:right w:val="single" w:sz="4"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0"/>
              <w:jc w:val="right"/>
              <w:rPr>
                <w:rFonts w:ascii="Arial" w:hAnsi="Arial" w:cs="Arial"/>
                <w:color w:val="000000"/>
                <w:sz w:val="20"/>
                <w:szCs w:val="20"/>
              </w:rPr>
            </w:pPr>
            <w:r>
              <w:rPr>
                <w:rFonts w:ascii="Arial" w:hAnsi="Arial" w:cs="Arial"/>
                <w:color w:val="000000"/>
                <w:sz w:val="20"/>
                <w:szCs w:val="20"/>
              </w:rPr>
              <w:t>6,4</w:t>
            </w:r>
          </w:p>
        </w:tc>
        <w:tc>
          <w:tcPr>
            <w:tcW w:w="850" w:type="dxa"/>
            <w:tcBorders>
              <w:top w:val="nil"/>
              <w:left w:val="nil"/>
              <w:bottom w:val="nil"/>
              <w:right w:val="double" w:sz="6"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1"/>
              <w:jc w:val="right"/>
              <w:rPr>
                <w:rFonts w:ascii="Arial" w:hAnsi="Arial" w:cs="Arial"/>
                <w:b/>
                <w:bCs/>
                <w:color w:val="000000"/>
                <w:sz w:val="20"/>
                <w:szCs w:val="20"/>
              </w:rPr>
            </w:pPr>
            <w:r>
              <w:rPr>
                <w:rFonts w:ascii="Arial" w:hAnsi="Arial" w:cs="Arial"/>
                <w:b/>
                <w:bCs/>
                <w:color w:val="000000"/>
                <w:sz w:val="20"/>
                <w:szCs w:val="20"/>
              </w:rPr>
              <w:t>7,5</w:t>
            </w:r>
          </w:p>
        </w:tc>
      </w:tr>
      <w:tr w:rsidR="00730AC8" w:rsidRPr="002936B7" w:rsidTr="002F5109">
        <w:trPr>
          <w:trHeight w:val="300"/>
          <w:jc w:val="center"/>
        </w:trPr>
        <w:tc>
          <w:tcPr>
            <w:tcW w:w="316" w:type="dxa"/>
            <w:tcBorders>
              <w:top w:val="nil"/>
              <w:left w:val="double" w:sz="6" w:space="0" w:color="auto"/>
              <w:bottom w:val="nil"/>
              <w:right w:val="single" w:sz="4" w:space="0" w:color="auto"/>
            </w:tcBorders>
            <w:shd w:val="clear" w:color="auto" w:fill="auto"/>
            <w:noWrap/>
            <w:tcMar>
              <w:top w:w="15" w:type="dxa"/>
              <w:left w:w="15" w:type="dxa"/>
              <w:bottom w:w="0" w:type="dxa"/>
              <w:right w:w="15" w:type="dxa"/>
            </w:tcMar>
            <w:vAlign w:val="center"/>
            <w:hideMark/>
          </w:tcPr>
          <w:p w:rsidR="00730AC8" w:rsidRPr="002936B7" w:rsidRDefault="00730AC8" w:rsidP="002F5109">
            <w:pPr>
              <w:spacing w:line="276" w:lineRule="auto"/>
              <w:jc w:val="center"/>
              <w:rPr>
                <w:rFonts w:ascii="Arial" w:eastAsia="Arial Unicode MS" w:hAnsi="Arial" w:cs="Arial"/>
                <w:color w:val="000000"/>
                <w:sz w:val="20"/>
                <w:szCs w:val="20"/>
                <w:lang w:eastAsia="en-US"/>
              </w:rPr>
            </w:pPr>
            <w:r w:rsidRPr="002936B7">
              <w:rPr>
                <w:rFonts w:ascii="Arial" w:hAnsi="Arial" w:cs="Arial"/>
                <w:color w:val="000000"/>
                <w:sz w:val="20"/>
                <w:szCs w:val="20"/>
                <w:lang w:eastAsia="en-US"/>
              </w:rPr>
              <w:t>8.</w:t>
            </w:r>
          </w:p>
        </w:tc>
        <w:tc>
          <w:tcPr>
            <w:tcW w:w="2075" w:type="dxa"/>
            <w:tcBorders>
              <w:top w:val="nil"/>
              <w:left w:val="nil"/>
              <w:bottom w:val="nil"/>
              <w:right w:val="single" w:sz="4" w:space="0" w:color="auto"/>
            </w:tcBorders>
            <w:shd w:val="clear" w:color="auto" w:fill="auto"/>
            <w:noWrap/>
            <w:tcMar>
              <w:top w:w="15" w:type="dxa"/>
              <w:left w:w="113" w:type="dxa"/>
              <w:bottom w:w="0" w:type="dxa"/>
              <w:right w:w="15" w:type="dxa"/>
            </w:tcMar>
            <w:vAlign w:val="center"/>
            <w:hideMark/>
          </w:tcPr>
          <w:p w:rsidR="00730AC8" w:rsidRDefault="00730AC8" w:rsidP="002F5109">
            <w:pPr>
              <w:rPr>
                <w:rFonts w:ascii="Arial" w:hAnsi="Arial" w:cs="Arial"/>
                <w:color w:val="000000"/>
                <w:sz w:val="20"/>
                <w:szCs w:val="20"/>
              </w:rPr>
            </w:pPr>
            <w:r>
              <w:rPr>
                <w:rFonts w:ascii="Arial" w:hAnsi="Arial" w:cs="Arial"/>
                <w:color w:val="000000"/>
                <w:sz w:val="20"/>
                <w:szCs w:val="20"/>
              </w:rPr>
              <w:t>Kraj Vysočina</w:t>
            </w:r>
          </w:p>
        </w:tc>
        <w:tc>
          <w:tcPr>
            <w:tcW w:w="1224" w:type="dxa"/>
            <w:shd w:val="clear" w:color="auto" w:fill="auto"/>
            <w:noWrap/>
            <w:tcMar>
              <w:top w:w="15" w:type="dxa"/>
              <w:left w:w="15" w:type="dxa"/>
              <w:bottom w:w="0" w:type="dxa"/>
              <w:right w:w="85" w:type="dxa"/>
            </w:tcMar>
            <w:vAlign w:val="center"/>
            <w:hideMark/>
          </w:tcPr>
          <w:p w:rsidR="00730AC8" w:rsidRDefault="00730AC8" w:rsidP="002F5109">
            <w:pPr>
              <w:ind w:firstLineChars="100" w:firstLine="200"/>
              <w:jc w:val="right"/>
              <w:rPr>
                <w:rFonts w:ascii="Arial" w:hAnsi="Arial" w:cs="Arial"/>
                <w:color w:val="000000"/>
                <w:sz w:val="20"/>
                <w:szCs w:val="20"/>
              </w:rPr>
            </w:pPr>
            <w:r>
              <w:rPr>
                <w:rFonts w:ascii="Arial" w:hAnsi="Arial" w:cs="Arial"/>
                <w:color w:val="000000"/>
                <w:sz w:val="20"/>
                <w:szCs w:val="20"/>
              </w:rPr>
              <w:t>21 609</w:t>
            </w:r>
          </w:p>
        </w:tc>
        <w:tc>
          <w:tcPr>
            <w:tcW w:w="1063" w:type="dxa"/>
            <w:tcBorders>
              <w:top w:val="nil"/>
              <w:left w:val="single" w:sz="4" w:space="0" w:color="auto"/>
              <w:bottom w:val="nil"/>
              <w:right w:val="single" w:sz="4"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1"/>
              <w:jc w:val="right"/>
              <w:rPr>
                <w:rFonts w:ascii="Arial" w:hAnsi="Arial" w:cs="Arial"/>
                <w:b/>
                <w:bCs/>
                <w:color w:val="000000"/>
                <w:sz w:val="20"/>
                <w:szCs w:val="20"/>
              </w:rPr>
            </w:pPr>
            <w:r>
              <w:rPr>
                <w:rFonts w:ascii="Arial" w:hAnsi="Arial" w:cs="Arial"/>
                <w:b/>
                <w:bCs/>
                <w:color w:val="000000"/>
                <w:sz w:val="20"/>
                <w:szCs w:val="20"/>
              </w:rPr>
              <w:t>24 189</w:t>
            </w:r>
          </w:p>
        </w:tc>
        <w:tc>
          <w:tcPr>
            <w:tcW w:w="1254" w:type="dxa"/>
            <w:tcBorders>
              <w:top w:val="nil"/>
              <w:left w:val="single" w:sz="4" w:space="0" w:color="auto"/>
              <w:bottom w:val="nil"/>
              <w:right w:val="single" w:sz="4"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0"/>
              <w:jc w:val="right"/>
              <w:rPr>
                <w:rFonts w:ascii="Arial" w:hAnsi="Arial" w:cs="Arial"/>
                <w:color w:val="000000"/>
                <w:sz w:val="20"/>
                <w:szCs w:val="20"/>
              </w:rPr>
            </w:pPr>
            <w:r>
              <w:rPr>
                <w:rFonts w:ascii="Arial" w:hAnsi="Arial" w:cs="Arial"/>
                <w:color w:val="000000"/>
                <w:sz w:val="20"/>
                <w:szCs w:val="20"/>
              </w:rPr>
              <w:t>21 295</w:t>
            </w:r>
          </w:p>
        </w:tc>
        <w:tc>
          <w:tcPr>
            <w:tcW w:w="1156" w:type="dxa"/>
            <w:tcBorders>
              <w:top w:val="nil"/>
              <w:left w:val="single" w:sz="4" w:space="0" w:color="auto"/>
              <w:bottom w:val="nil"/>
              <w:right w:val="single" w:sz="4" w:space="0" w:color="auto"/>
            </w:tcBorders>
            <w:shd w:val="clear" w:color="auto" w:fill="auto"/>
            <w:tcMar>
              <w:top w:w="15" w:type="dxa"/>
              <w:left w:w="15" w:type="dxa"/>
              <w:bottom w:w="0" w:type="dxa"/>
              <w:right w:w="85" w:type="dxa"/>
            </w:tcMar>
            <w:vAlign w:val="center"/>
            <w:hideMark/>
          </w:tcPr>
          <w:p w:rsidR="00730AC8" w:rsidRDefault="00730AC8" w:rsidP="002F5109">
            <w:pPr>
              <w:ind w:firstLineChars="100" w:firstLine="201"/>
              <w:jc w:val="right"/>
              <w:rPr>
                <w:rFonts w:ascii="Arial" w:hAnsi="Arial" w:cs="Arial"/>
                <w:b/>
                <w:bCs/>
                <w:color w:val="000000"/>
                <w:sz w:val="20"/>
                <w:szCs w:val="20"/>
              </w:rPr>
            </w:pPr>
            <w:r>
              <w:rPr>
                <w:rFonts w:ascii="Arial" w:hAnsi="Arial" w:cs="Arial"/>
                <w:b/>
                <w:bCs/>
                <w:color w:val="000000"/>
                <w:sz w:val="20"/>
                <w:szCs w:val="20"/>
              </w:rPr>
              <w:t>23 667</w:t>
            </w:r>
          </w:p>
        </w:tc>
        <w:tc>
          <w:tcPr>
            <w:tcW w:w="850" w:type="dxa"/>
            <w:tcBorders>
              <w:top w:val="nil"/>
              <w:left w:val="single" w:sz="4" w:space="0" w:color="auto"/>
              <w:bottom w:val="nil"/>
              <w:right w:val="single" w:sz="4"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0"/>
              <w:jc w:val="right"/>
              <w:rPr>
                <w:rFonts w:ascii="Arial" w:hAnsi="Arial" w:cs="Arial"/>
                <w:color w:val="000000"/>
                <w:sz w:val="20"/>
                <w:szCs w:val="20"/>
              </w:rPr>
            </w:pPr>
            <w:r>
              <w:rPr>
                <w:rFonts w:ascii="Arial" w:hAnsi="Arial" w:cs="Arial"/>
                <w:color w:val="000000"/>
                <w:sz w:val="20"/>
                <w:szCs w:val="20"/>
              </w:rPr>
              <w:t>6,1</w:t>
            </w:r>
          </w:p>
        </w:tc>
        <w:tc>
          <w:tcPr>
            <w:tcW w:w="850" w:type="dxa"/>
            <w:tcBorders>
              <w:top w:val="nil"/>
              <w:left w:val="nil"/>
              <w:bottom w:val="nil"/>
              <w:right w:val="double" w:sz="6"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1"/>
              <w:jc w:val="right"/>
              <w:rPr>
                <w:rFonts w:ascii="Arial" w:hAnsi="Arial" w:cs="Arial"/>
                <w:b/>
                <w:bCs/>
                <w:color w:val="000000"/>
                <w:sz w:val="20"/>
                <w:szCs w:val="20"/>
              </w:rPr>
            </w:pPr>
            <w:r>
              <w:rPr>
                <w:rFonts w:ascii="Arial" w:hAnsi="Arial" w:cs="Arial"/>
                <w:b/>
                <w:bCs/>
                <w:color w:val="000000"/>
                <w:sz w:val="20"/>
                <w:szCs w:val="20"/>
              </w:rPr>
              <w:t>6,8</w:t>
            </w:r>
          </w:p>
        </w:tc>
      </w:tr>
      <w:tr w:rsidR="00730AC8" w:rsidRPr="002936B7" w:rsidTr="002F5109">
        <w:trPr>
          <w:trHeight w:val="300"/>
          <w:jc w:val="center"/>
        </w:trPr>
        <w:tc>
          <w:tcPr>
            <w:tcW w:w="316" w:type="dxa"/>
            <w:tcBorders>
              <w:top w:val="nil"/>
              <w:left w:val="double" w:sz="6" w:space="0" w:color="auto"/>
              <w:bottom w:val="nil"/>
              <w:right w:val="single" w:sz="4" w:space="0" w:color="auto"/>
            </w:tcBorders>
            <w:shd w:val="clear" w:color="auto" w:fill="auto"/>
            <w:noWrap/>
            <w:tcMar>
              <w:top w:w="15" w:type="dxa"/>
              <w:left w:w="15" w:type="dxa"/>
              <w:bottom w:w="0" w:type="dxa"/>
              <w:right w:w="15" w:type="dxa"/>
            </w:tcMar>
            <w:vAlign w:val="center"/>
            <w:hideMark/>
          </w:tcPr>
          <w:p w:rsidR="00730AC8" w:rsidRPr="002936B7" w:rsidRDefault="00730AC8" w:rsidP="002F5109">
            <w:pPr>
              <w:spacing w:line="276" w:lineRule="auto"/>
              <w:jc w:val="center"/>
              <w:rPr>
                <w:rFonts w:ascii="Arial" w:eastAsia="Arial Unicode MS" w:hAnsi="Arial" w:cs="Arial"/>
                <w:color w:val="000000"/>
                <w:sz w:val="20"/>
                <w:szCs w:val="20"/>
                <w:lang w:eastAsia="en-US"/>
              </w:rPr>
            </w:pPr>
            <w:r w:rsidRPr="002936B7">
              <w:rPr>
                <w:rFonts w:ascii="Arial" w:hAnsi="Arial" w:cs="Arial"/>
                <w:color w:val="000000"/>
                <w:sz w:val="20"/>
                <w:szCs w:val="20"/>
                <w:lang w:eastAsia="en-US"/>
              </w:rPr>
              <w:t>9.</w:t>
            </w:r>
          </w:p>
        </w:tc>
        <w:tc>
          <w:tcPr>
            <w:tcW w:w="2075" w:type="dxa"/>
            <w:tcBorders>
              <w:top w:val="nil"/>
              <w:left w:val="nil"/>
              <w:bottom w:val="nil"/>
              <w:right w:val="single" w:sz="4" w:space="0" w:color="auto"/>
            </w:tcBorders>
            <w:shd w:val="clear" w:color="auto" w:fill="auto"/>
            <w:noWrap/>
            <w:tcMar>
              <w:top w:w="15" w:type="dxa"/>
              <w:left w:w="113" w:type="dxa"/>
              <w:bottom w:w="0" w:type="dxa"/>
              <w:right w:w="15" w:type="dxa"/>
            </w:tcMar>
            <w:vAlign w:val="center"/>
            <w:hideMark/>
          </w:tcPr>
          <w:p w:rsidR="00730AC8" w:rsidRDefault="00730AC8" w:rsidP="002F5109">
            <w:pPr>
              <w:rPr>
                <w:rFonts w:ascii="Arial" w:hAnsi="Arial" w:cs="Arial"/>
                <w:color w:val="000000"/>
                <w:sz w:val="20"/>
                <w:szCs w:val="20"/>
              </w:rPr>
            </w:pPr>
            <w:r>
              <w:rPr>
                <w:rFonts w:ascii="Arial" w:hAnsi="Arial" w:cs="Arial"/>
                <w:color w:val="000000"/>
                <w:sz w:val="20"/>
                <w:szCs w:val="20"/>
              </w:rPr>
              <w:t>Pardubický kraj</w:t>
            </w:r>
          </w:p>
        </w:tc>
        <w:tc>
          <w:tcPr>
            <w:tcW w:w="1224" w:type="dxa"/>
            <w:shd w:val="clear" w:color="auto" w:fill="auto"/>
            <w:noWrap/>
            <w:tcMar>
              <w:top w:w="15" w:type="dxa"/>
              <w:left w:w="15" w:type="dxa"/>
              <w:bottom w:w="0" w:type="dxa"/>
              <w:right w:w="85" w:type="dxa"/>
            </w:tcMar>
            <w:vAlign w:val="center"/>
            <w:hideMark/>
          </w:tcPr>
          <w:p w:rsidR="00730AC8" w:rsidRDefault="00730AC8" w:rsidP="002F5109">
            <w:pPr>
              <w:ind w:firstLineChars="100" w:firstLine="200"/>
              <w:jc w:val="right"/>
              <w:rPr>
                <w:rFonts w:ascii="Arial" w:hAnsi="Arial" w:cs="Arial"/>
                <w:color w:val="000000"/>
                <w:sz w:val="20"/>
                <w:szCs w:val="20"/>
              </w:rPr>
            </w:pPr>
            <w:r>
              <w:rPr>
                <w:rFonts w:ascii="Arial" w:hAnsi="Arial" w:cs="Arial"/>
                <w:color w:val="000000"/>
                <w:sz w:val="20"/>
                <w:szCs w:val="20"/>
              </w:rPr>
              <w:t>20 326</w:t>
            </w:r>
          </w:p>
        </w:tc>
        <w:tc>
          <w:tcPr>
            <w:tcW w:w="1063" w:type="dxa"/>
            <w:tcBorders>
              <w:top w:val="nil"/>
              <w:left w:val="single" w:sz="4" w:space="0" w:color="auto"/>
              <w:bottom w:val="nil"/>
              <w:right w:val="single" w:sz="4"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1"/>
              <w:jc w:val="right"/>
              <w:rPr>
                <w:rFonts w:ascii="Arial" w:hAnsi="Arial" w:cs="Arial"/>
                <w:b/>
                <w:bCs/>
                <w:color w:val="000000"/>
                <w:sz w:val="20"/>
                <w:szCs w:val="20"/>
              </w:rPr>
            </w:pPr>
            <w:r>
              <w:rPr>
                <w:rFonts w:ascii="Arial" w:hAnsi="Arial" w:cs="Arial"/>
                <w:b/>
                <w:bCs/>
                <w:color w:val="000000"/>
                <w:sz w:val="20"/>
                <w:szCs w:val="20"/>
              </w:rPr>
              <w:t>23 312</w:t>
            </w:r>
          </w:p>
        </w:tc>
        <w:tc>
          <w:tcPr>
            <w:tcW w:w="1254" w:type="dxa"/>
            <w:tcBorders>
              <w:top w:val="nil"/>
              <w:left w:val="single" w:sz="4" w:space="0" w:color="auto"/>
              <w:bottom w:val="nil"/>
              <w:right w:val="single" w:sz="4"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0"/>
              <w:jc w:val="right"/>
              <w:rPr>
                <w:rFonts w:ascii="Arial" w:hAnsi="Arial" w:cs="Arial"/>
                <w:color w:val="000000"/>
                <w:sz w:val="20"/>
                <w:szCs w:val="20"/>
              </w:rPr>
            </w:pPr>
            <w:r>
              <w:rPr>
                <w:rFonts w:ascii="Arial" w:hAnsi="Arial" w:cs="Arial"/>
                <w:color w:val="000000"/>
                <w:sz w:val="20"/>
                <w:szCs w:val="20"/>
              </w:rPr>
              <w:t>19 790</w:t>
            </w:r>
          </w:p>
        </w:tc>
        <w:tc>
          <w:tcPr>
            <w:tcW w:w="1156" w:type="dxa"/>
            <w:tcBorders>
              <w:top w:val="nil"/>
              <w:left w:val="single" w:sz="4" w:space="0" w:color="auto"/>
              <w:bottom w:val="nil"/>
              <w:right w:val="single" w:sz="4" w:space="0" w:color="auto"/>
            </w:tcBorders>
            <w:shd w:val="clear" w:color="auto" w:fill="auto"/>
            <w:tcMar>
              <w:top w:w="15" w:type="dxa"/>
              <w:left w:w="15" w:type="dxa"/>
              <w:bottom w:w="0" w:type="dxa"/>
              <w:right w:w="85" w:type="dxa"/>
            </w:tcMar>
            <w:vAlign w:val="center"/>
            <w:hideMark/>
          </w:tcPr>
          <w:p w:rsidR="00730AC8" w:rsidRDefault="00730AC8" w:rsidP="002F5109">
            <w:pPr>
              <w:ind w:firstLineChars="100" w:firstLine="201"/>
              <w:jc w:val="right"/>
              <w:rPr>
                <w:rFonts w:ascii="Arial" w:hAnsi="Arial" w:cs="Arial"/>
                <w:b/>
                <w:bCs/>
                <w:color w:val="000000"/>
                <w:sz w:val="20"/>
                <w:szCs w:val="20"/>
              </w:rPr>
            </w:pPr>
            <w:r>
              <w:rPr>
                <w:rFonts w:ascii="Arial" w:hAnsi="Arial" w:cs="Arial"/>
                <w:b/>
                <w:bCs/>
                <w:color w:val="000000"/>
                <w:sz w:val="20"/>
                <w:szCs w:val="20"/>
              </w:rPr>
              <w:t>22 797</w:t>
            </w:r>
          </w:p>
        </w:tc>
        <w:tc>
          <w:tcPr>
            <w:tcW w:w="850" w:type="dxa"/>
            <w:tcBorders>
              <w:top w:val="nil"/>
              <w:left w:val="single" w:sz="4" w:space="0" w:color="auto"/>
              <w:bottom w:val="nil"/>
              <w:right w:val="single" w:sz="4"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0"/>
              <w:jc w:val="right"/>
              <w:rPr>
                <w:rFonts w:ascii="Arial" w:hAnsi="Arial" w:cs="Arial"/>
                <w:color w:val="000000"/>
                <w:sz w:val="20"/>
                <w:szCs w:val="20"/>
              </w:rPr>
            </w:pPr>
            <w:r>
              <w:rPr>
                <w:rFonts w:ascii="Arial" w:hAnsi="Arial" w:cs="Arial"/>
                <w:color w:val="000000"/>
                <w:sz w:val="20"/>
                <w:szCs w:val="20"/>
              </w:rPr>
              <w:t>5,6</w:t>
            </w:r>
          </w:p>
        </w:tc>
        <w:tc>
          <w:tcPr>
            <w:tcW w:w="850" w:type="dxa"/>
            <w:tcBorders>
              <w:top w:val="nil"/>
              <w:left w:val="nil"/>
              <w:bottom w:val="nil"/>
              <w:right w:val="double" w:sz="6"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1"/>
              <w:jc w:val="right"/>
              <w:rPr>
                <w:rFonts w:ascii="Arial" w:hAnsi="Arial" w:cs="Arial"/>
                <w:b/>
                <w:bCs/>
                <w:color w:val="000000"/>
                <w:sz w:val="20"/>
                <w:szCs w:val="20"/>
              </w:rPr>
            </w:pPr>
            <w:r>
              <w:rPr>
                <w:rFonts w:ascii="Arial" w:hAnsi="Arial" w:cs="Arial"/>
                <w:b/>
                <w:bCs/>
                <w:color w:val="000000"/>
                <w:sz w:val="20"/>
                <w:szCs w:val="20"/>
              </w:rPr>
              <w:t>6,5</w:t>
            </w:r>
          </w:p>
        </w:tc>
      </w:tr>
      <w:tr w:rsidR="00730AC8" w:rsidRPr="002936B7" w:rsidTr="002F5109">
        <w:trPr>
          <w:trHeight w:val="300"/>
          <w:jc w:val="center"/>
        </w:trPr>
        <w:tc>
          <w:tcPr>
            <w:tcW w:w="316" w:type="dxa"/>
            <w:tcBorders>
              <w:top w:val="nil"/>
              <w:left w:val="double" w:sz="6" w:space="0" w:color="auto"/>
              <w:bottom w:val="nil"/>
              <w:right w:val="single" w:sz="4" w:space="0" w:color="auto"/>
            </w:tcBorders>
            <w:shd w:val="clear" w:color="auto" w:fill="auto"/>
            <w:noWrap/>
            <w:tcMar>
              <w:top w:w="15" w:type="dxa"/>
              <w:left w:w="15" w:type="dxa"/>
              <w:bottom w:w="0" w:type="dxa"/>
              <w:right w:w="15" w:type="dxa"/>
            </w:tcMar>
            <w:vAlign w:val="center"/>
            <w:hideMark/>
          </w:tcPr>
          <w:p w:rsidR="00730AC8" w:rsidRPr="002936B7" w:rsidRDefault="00730AC8" w:rsidP="002F5109">
            <w:pPr>
              <w:spacing w:line="276" w:lineRule="auto"/>
              <w:jc w:val="center"/>
              <w:rPr>
                <w:rFonts w:ascii="Arial" w:eastAsia="Arial Unicode MS" w:hAnsi="Arial" w:cs="Arial"/>
                <w:color w:val="000000"/>
                <w:sz w:val="20"/>
                <w:szCs w:val="20"/>
                <w:lang w:eastAsia="en-US"/>
              </w:rPr>
            </w:pPr>
            <w:r w:rsidRPr="002936B7">
              <w:rPr>
                <w:rFonts w:ascii="Arial" w:hAnsi="Arial" w:cs="Arial"/>
                <w:color w:val="000000"/>
                <w:sz w:val="20"/>
                <w:szCs w:val="20"/>
                <w:lang w:eastAsia="en-US"/>
              </w:rPr>
              <w:t>10.</w:t>
            </w:r>
          </w:p>
        </w:tc>
        <w:tc>
          <w:tcPr>
            <w:tcW w:w="2075" w:type="dxa"/>
            <w:tcBorders>
              <w:top w:val="nil"/>
              <w:left w:val="nil"/>
              <w:bottom w:val="nil"/>
              <w:right w:val="single" w:sz="4" w:space="0" w:color="auto"/>
            </w:tcBorders>
            <w:shd w:val="clear" w:color="auto" w:fill="auto"/>
            <w:noWrap/>
            <w:tcMar>
              <w:top w:w="15" w:type="dxa"/>
              <w:left w:w="113" w:type="dxa"/>
              <w:bottom w:w="0" w:type="dxa"/>
              <w:right w:w="15" w:type="dxa"/>
            </w:tcMar>
            <w:vAlign w:val="center"/>
            <w:hideMark/>
          </w:tcPr>
          <w:p w:rsidR="00730AC8" w:rsidRDefault="00730AC8" w:rsidP="002F5109">
            <w:pPr>
              <w:rPr>
                <w:rFonts w:ascii="Arial" w:hAnsi="Arial" w:cs="Arial"/>
                <w:color w:val="000000"/>
                <w:sz w:val="20"/>
                <w:szCs w:val="20"/>
              </w:rPr>
            </w:pPr>
            <w:r>
              <w:rPr>
                <w:rFonts w:ascii="Arial" w:hAnsi="Arial" w:cs="Arial"/>
                <w:color w:val="000000"/>
                <w:sz w:val="20"/>
                <w:szCs w:val="20"/>
              </w:rPr>
              <w:t>Královéhradecký kraj</w:t>
            </w:r>
          </w:p>
        </w:tc>
        <w:tc>
          <w:tcPr>
            <w:tcW w:w="1224" w:type="dxa"/>
            <w:shd w:val="clear" w:color="auto" w:fill="auto"/>
            <w:noWrap/>
            <w:tcMar>
              <w:top w:w="15" w:type="dxa"/>
              <w:left w:w="15" w:type="dxa"/>
              <w:bottom w:w="0" w:type="dxa"/>
              <w:right w:w="85" w:type="dxa"/>
            </w:tcMar>
            <w:vAlign w:val="center"/>
            <w:hideMark/>
          </w:tcPr>
          <w:p w:rsidR="00730AC8" w:rsidRDefault="00730AC8" w:rsidP="002F5109">
            <w:pPr>
              <w:ind w:firstLineChars="100" w:firstLine="200"/>
              <w:jc w:val="right"/>
              <w:rPr>
                <w:rFonts w:ascii="Arial" w:hAnsi="Arial" w:cs="Arial"/>
                <w:color w:val="000000"/>
                <w:sz w:val="20"/>
                <w:szCs w:val="20"/>
              </w:rPr>
            </w:pPr>
            <w:r>
              <w:rPr>
                <w:rFonts w:ascii="Arial" w:hAnsi="Arial" w:cs="Arial"/>
                <w:color w:val="000000"/>
                <w:sz w:val="20"/>
                <w:szCs w:val="20"/>
              </w:rPr>
              <w:t>20 340</w:t>
            </w:r>
          </w:p>
        </w:tc>
        <w:tc>
          <w:tcPr>
            <w:tcW w:w="1063" w:type="dxa"/>
            <w:tcBorders>
              <w:top w:val="nil"/>
              <w:left w:val="single" w:sz="4" w:space="0" w:color="auto"/>
              <w:bottom w:val="nil"/>
              <w:right w:val="single" w:sz="4"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1"/>
              <w:jc w:val="right"/>
              <w:rPr>
                <w:rFonts w:ascii="Arial" w:hAnsi="Arial" w:cs="Arial"/>
                <w:b/>
                <w:bCs/>
                <w:color w:val="000000"/>
                <w:sz w:val="20"/>
                <w:szCs w:val="20"/>
              </w:rPr>
            </w:pPr>
            <w:r>
              <w:rPr>
                <w:rFonts w:ascii="Arial" w:hAnsi="Arial" w:cs="Arial"/>
                <w:b/>
                <w:bCs/>
                <w:color w:val="000000"/>
                <w:sz w:val="20"/>
                <w:szCs w:val="20"/>
              </w:rPr>
              <w:t>24 598</w:t>
            </w:r>
          </w:p>
        </w:tc>
        <w:tc>
          <w:tcPr>
            <w:tcW w:w="1254" w:type="dxa"/>
            <w:tcBorders>
              <w:top w:val="nil"/>
              <w:left w:val="single" w:sz="4" w:space="0" w:color="auto"/>
              <w:bottom w:val="nil"/>
              <w:right w:val="single" w:sz="4"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0"/>
              <w:jc w:val="right"/>
              <w:rPr>
                <w:rFonts w:ascii="Arial" w:hAnsi="Arial" w:cs="Arial"/>
                <w:color w:val="000000"/>
                <w:sz w:val="20"/>
                <w:szCs w:val="20"/>
              </w:rPr>
            </w:pPr>
            <w:r>
              <w:rPr>
                <w:rFonts w:ascii="Arial" w:hAnsi="Arial" w:cs="Arial"/>
                <w:color w:val="000000"/>
                <w:sz w:val="20"/>
                <w:szCs w:val="20"/>
              </w:rPr>
              <w:t>19 604</w:t>
            </w:r>
          </w:p>
        </w:tc>
        <w:tc>
          <w:tcPr>
            <w:tcW w:w="1156" w:type="dxa"/>
            <w:tcBorders>
              <w:top w:val="nil"/>
              <w:left w:val="single" w:sz="4" w:space="0" w:color="auto"/>
              <w:bottom w:val="nil"/>
              <w:right w:val="single" w:sz="4" w:space="0" w:color="auto"/>
            </w:tcBorders>
            <w:shd w:val="clear" w:color="auto" w:fill="auto"/>
            <w:tcMar>
              <w:top w:w="15" w:type="dxa"/>
              <w:left w:w="15" w:type="dxa"/>
              <w:bottom w:w="0" w:type="dxa"/>
              <w:right w:w="85" w:type="dxa"/>
            </w:tcMar>
            <w:vAlign w:val="center"/>
            <w:hideMark/>
          </w:tcPr>
          <w:p w:rsidR="00730AC8" w:rsidRDefault="00730AC8" w:rsidP="002F5109">
            <w:pPr>
              <w:ind w:firstLineChars="100" w:firstLine="201"/>
              <w:jc w:val="right"/>
              <w:rPr>
                <w:rFonts w:ascii="Arial" w:hAnsi="Arial" w:cs="Arial"/>
                <w:b/>
                <w:bCs/>
                <w:color w:val="000000"/>
                <w:sz w:val="20"/>
                <w:szCs w:val="20"/>
              </w:rPr>
            </w:pPr>
            <w:r>
              <w:rPr>
                <w:rFonts w:ascii="Arial" w:hAnsi="Arial" w:cs="Arial"/>
                <w:b/>
                <w:bCs/>
                <w:color w:val="000000"/>
                <w:sz w:val="20"/>
                <w:szCs w:val="20"/>
              </w:rPr>
              <w:t>23 900</w:t>
            </w:r>
          </w:p>
        </w:tc>
        <w:tc>
          <w:tcPr>
            <w:tcW w:w="850" w:type="dxa"/>
            <w:tcBorders>
              <w:top w:val="nil"/>
              <w:left w:val="single" w:sz="4" w:space="0" w:color="auto"/>
              <w:bottom w:val="nil"/>
              <w:right w:val="single" w:sz="4"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0"/>
              <w:jc w:val="right"/>
              <w:rPr>
                <w:rFonts w:ascii="Arial" w:hAnsi="Arial" w:cs="Arial"/>
                <w:color w:val="000000"/>
                <w:sz w:val="20"/>
                <w:szCs w:val="20"/>
              </w:rPr>
            </w:pPr>
            <w:r>
              <w:rPr>
                <w:rFonts w:ascii="Arial" w:hAnsi="Arial" w:cs="Arial"/>
                <w:color w:val="000000"/>
                <w:sz w:val="20"/>
                <w:szCs w:val="20"/>
              </w:rPr>
              <w:t>5,2</w:t>
            </w:r>
          </w:p>
        </w:tc>
        <w:tc>
          <w:tcPr>
            <w:tcW w:w="850" w:type="dxa"/>
            <w:tcBorders>
              <w:top w:val="nil"/>
              <w:left w:val="nil"/>
              <w:bottom w:val="nil"/>
              <w:right w:val="double" w:sz="6"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1"/>
              <w:jc w:val="right"/>
              <w:rPr>
                <w:rFonts w:ascii="Arial" w:hAnsi="Arial" w:cs="Arial"/>
                <w:b/>
                <w:bCs/>
                <w:color w:val="000000"/>
                <w:sz w:val="20"/>
                <w:szCs w:val="20"/>
              </w:rPr>
            </w:pPr>
            <w:r>
              <w:rPr>
                <w:rFonts w:ascii="Arial" w:hAnsi="Arial" w:cs="Arial"/>
                <w:b/>
                <w:bCs/>
                <w:color w:val="000000"/>
                <w:sz w:val="20"/>
                <w:szCs w:val="20"/>
              </w:rPr>
              <w:t>6,4</w:t>
            </w:r>
          </w:p>
        </w:tc>
      </w:tr>
      <w:tr w:rsidR="00730AC8" w:rsidRPr="002936B7" w:rsidTr="002F5109">
        <w:trPr>
          <w:trHeight w:val="300"/>
          <w:jc w:val="center"/>
        </w:trPr>
        <w:tc>
          <w:tcPr>
            <w:tcW w:w="316" w:type="dxa"/>
            <w:tcBorders>
              <w:top w:val="nil"/>
              <w:left w:val="double" w:sz="6" w:space="0" w:color="auto"/>
              <w:bottom w:val="nil"/>
              <w:right w:val="single" w:sz="4" w:space="0" w:color="auto"/>
            </w:tcBorders>
            <w:shd w:val="clear" w:color="auto" w:fill="auto"/>
            <w:noWrap/>
            <w:tcMar>
              <w:top w:w="15" w:type="dxa"/>
              <w:left w:w="15" w:type="dxa"/>
              <w:bottom w:w="0" w:type="dxa"/>
              <w:right w:w="15" w:type="dxa"/>
            </w:tcMar>
            <w:vAlign w:val="center"/>
            <w:hideMark/>
          </w:tcPr>
          <w:p w:rsidR="00730AC8" w:rsidRPr="002936B7" w:rsidRDefault="00730AC8" w:rsidP="002F5109">
            <w:pPr>
              <w:spacing w:line="276" w:lineRule="auto"/>
              <w:jc w:val="center"/>
              <w:rPr>
                <w:rFonts w:ascii="Arial" w:eastAsia="Arial Unicode MS" w:hAnsi="Arial" w:cs="Arial"/>
                <w:color w:val="000000"/>
                <w:sz w:val="20"/>
                <w:szCs w:val="20"/>
                <w:lang w:eastAsia="en-US"/>
              </w:rPr>
            </w:pPr>
            <w:r w:rsidRPr="002936B7">
              <w:rPr>
                <w:rFonts w:ascii="Arial" w:hAnsi="Arial" w:cs="Arial"/>
                <w:color w:val="000000"/>
                <w:sz w:val="20"/>
                <w:szCs w:val="20"/>
                <w:lang w:eastAsia="en-US"/>
              </w:rPr>
              <w:t>11.</w:t>
            </w:r>
          </w:p>
        </w:tc>
        <w:tc>
          <w:tcPr>
            <w:tcW w:w="2075" w:type="dxa"/>
            <w:tcBorders>
              <w:top w:val="nil"/>
              <w:left w:val="nil"/>
              <w:bottom w:val="nil"/>
              <w:right w:val="single" w:sz="4" w:space="0" w:color="auto"/>
            </w:tcBorders>
            <w:shd w:val="clear" w:color="auto" w:fill="auto"/>
            <w:noWrap/>
            <w:tcMar>
              <w:top w:w="15" w:type="dxa"/>
              <w:left w:w="113" w:type="dxa"/>
              <w:bottom w:w="0" w:type="dxa"/>
              <w:right w:w="15" w:type="dxa"/>
            </w:tcMar>
            <w:vAlign w:val="center"/>
            <w:hideMark/>
          </w:tcPr>
          <w:p w:rsidR="00730AC8" w:rsidRDefault="00730AC8" w:rsidP="002F5109">
            <w:pPr>
              <w:rPr>
                <w:rFonts w:ascii="Arial" w:hAnsi="Arial" w:cs="Arial"/>
                <w:color w:val="000000"/>
                <w:sz w:val="20"/>
                <w:szCs w:val="20"/>
              </w:rPr>
            </w:pPr>
            <w:r>
              <w:rPr>
                <w:rFonts w:ascii="Arial" w:hAnsi="Arial" w:cs="Arial"/>
                <w:color w:val="000000"/>
                <w:sz w:val="20"/>
                <w:szCs w:val="20"/>
              </w:rPr>
              <w:t>Středočeský kraj</w:t>
            </w:r>
          </w:p>
        </w:tc>
        <w:tc>
          <w:tcPr>
            <w:tcW w:w="1224" w:type="dxa"/>
            <w:shd w:val="clear" w:color="auto" w:fill="auto"/>
            <w:noWrap/>
            <w:tcMar>
              <w:top w:w="15" w:type="dxa"/>
              <w:left w:w="15" w:type="dxa"/>
              <w:bottom w:w="0" w:type="dxa"/>
              <w:right w:w="85" w:type="dxa"/>
            </w:tcMar>
            <w:vAlign w:val="center"/>
            <w:hideMark/>
          </w:tcPr>
          <w:p w:rsidR="00730AC8" w:rsidRDefault="00730AC8" w:rsidP="002F5109">
            <w:pPr>
              <w:ind w:firstLineChars="100" w:firstLine="200"/>
              <w:jc w:val="right"/>
              <w:rPr>
                <w:rFonts w:ascii="Arial" w:hAnsi="Arial" w:cs="Arial"/>
                <w:color w:val="000000"/>
                <w:sz w:val="20"/>
                <w:szCs w:val="20"/>
              </w:rPr>
            </w:pPr>
            <w:r>
              <w:rPr>
                <w:rFonts w:ascii="Arial" w:hAnsi="Arial" w:cs="Arial"/>
                <w:color w:val="000000"/>
                <w:sz w:val="20"/>
                <w:szCs w:val="20"/>
              </w:rPr>
              <w:t>48 074</w:t>
            </w:r>
          </w:p>
        </w:tc>
        <w:tc>
          <w:tcPr>
            <w:tcW w:w="1063" w:type="dxa"/>
            <w:tcBorders>
              <w:top w:val="nil"/>
              <w:left w:val="single" w:sz="4" w:space="0" w:color="auto"/>
              <w:bottom w:val="nil"/>
              <w:right w:val="single" w:sz="4"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1"/>
              <w:jc w:val="right"/>
              <w:rPr>
                <w:rFonts w:ascii="Arial" w:hAnsi="Arial" w:cs="Arial"/>
                <w:b/>
                <w:bCs/>
                <w:color w:val="000000"/>
                <w:sz w:val="20"/>
                <w:szCs w:val="20"/>
              </w:rPr>
            </w:pPr>
            <w:r>
              <w:rPr>
                <w:rFonts w:ascii="Arial" w:hAnsi="Arial" w:cs="Arial"/>
                <w:b/>
                <w:bCs/>
                <w:color w:val="000000"/>
                <w:sz w:val="20"/>
                <w:szCs w:val="20"/>
              </w:rPr>
              <w:t>55 399</w:t>
            </w:r>
          </w:p>
        </w:tc>
        <w:tc>
          <w:tcPr>
            <w:tcW w:w="1254" w:type="dxa"/>
            <w:tcBorders>
              <w:top w:val="nil"/>
              <w:left w:val="single" w:sz="4" w:space="0" w:color="auto"/>
              <w:bottom w:val="nil"/>
              <w:right w:val="single" w:sz="4"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0"/>
              <w:jc w:val="right"/>
              <w:rPr>
                <w:rFonts w:ascii="Arial" w:hAnsi="Arial" w:cs="Arial"/>
                <w:color w:val="000000"/>
                <w:sz w:val="20"/>
                <w:szCs w:val="20"/>
              </w:rPr>
            </w:pPr>
            <w:r>
              <w:rPr>
                <w:rFonts w:ascii="Arial" w:hAnsi="Arial" w:cs="Arial"/>
                <w:color w:val="000000"/>
                <w:sz w:val="20"/>
                <w:szCs w:val="20"/>
              </w:rPr>
              <w:t>47 171</w:t>
            </w:r>
          </w:p>
        </w:tc>
        <w:tc>
          <w:tcPr>
            <w:tcW w:w="1156" w:type="dxa"/>
            <w:tcBorders>
              <w:top w:val="nil"/>
              <w:left w:val="single" w:sz="4" w:space="0" w:color="auto"/>
              <w:bottom w:val="nil"/>
              <w:right w:val="single" w:sz="4" w:space="0" w:color="auto"/>
            </w:tcBorders>
            <w:shd w:val="clear" w:color="auto" w:fill="auto"/>
            <w:tcMar>
              <w:top w:w="15" w:type="dxa"/>
              <w:left w:w="15" w:type="dxa"/>
              <w:bottom w:w="0" w:type="dxa"/>
              <w:right w:w="85" w:type="dxa"/>
            </w:tcMar>
            <w:vAlign w:val="center"/>
            <w:hideMark/>
          </w:tcPr>
          <w:p w:rsidR="00730AC8" w:rsidRDefault="00730AC8" w:rsidP="002F5109">
            <w:pPr>
              <w:ind w:firstLineChars="100" w:firstLine="201"/>
              <w:jc w:val="right"/>
              <w:rPr>
                <w:rFonts w:ascii="Arial" w:hAnsi="Arial" w:cs="Arial"/>
                <w:b/>
                <w:bCs/>
                <w:color w:val="000000"/>
                <w:sz w:val="20"/>
                <w:szCs w:val="20"/>
              </w:rPr>
            </w:pPr>
            <w:r>
              <w:rPr>
                <w:rFonts w:ascii="Arial" w:hAnsi="Arial" w:cs="Arial"/>
                <w:b/>
                <w:bCs/>
                <w:color w:val="000000"/>
                <w:sz w:val="20"/>
                <w:szCs w:val="20"/>
              </w:rPr>
              <w:t>54 411</w:t>
            </w:r>
          </w:p>
        </w:tc>
        <w:tc>
          <w:tcPr>
            <w:tcW w:w="850" w:type="dxa"/>
            <w:tcBorders>
              <w:top w:val="nil"/>
              <w:left w:val="single" w:sz="4" w:space="0" w:color="auto"/>
              <w:bottom w:val="nil"/>
              <w:right w:val="single" w:sz="4"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0"/>
              <w:jc w:val="right"/>
              <w:rPr>
                <w:rFonts w:ascii="Arial" w:hAnsi="Arial" w:cs="Arial"/>
                <w:color w:val="000000"/>
                <w:sz w:val="20"/>
                <w:szCs w:val="20"/>
              </w:rPr>
            </w:pPr>
            <w:r>
              <w:rPr>
                <w:rFonts w:ascii="Arial" w:hAnsi="Arial" w:cs="Arial"/>
                <w:color w:val="000000"/>
                <w:sz w:val="20"/>
                <w:szCs w:val="20"/>
              </w:rPr>
              <w:t>5,4</w:t>
            </w:r>
          </w:p>
        </w:tc>
        <w:tc>
          <w:tcPr>
            <w:tcW w:w="850" w:type="dxa"/>
            <w:tcBorders>
              <w:top w:val="nil"/>
              <w:left w:val="nil"/>
              <w:bottom w:val="nil"/>
              <w:right w:val="double" w:sz="6"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1"/>
              <w:jc w:val="right"/>
              <w:rPr>
                <w:rFonts w:ascii="Arial" w:hAnsi="Arial" w:cs="Arial"/>
                <w:b/>
                <w:bCs/>
                <w:color w:val="000000"/>
                <w:sz w:val="20"/>
                <w:szCs w:val="20"/>
              </w:rPr>
            </w:pPr>
            <w:r>
              <w:rPr>
                <w:rFonts w:ascii="Arial" w:hAnsi="Arial" w:cs="Arial"/>
                <w:b/>
                <w:bCs/>
                <w:color w:val="000000"/>
                <w:sz w:val="20"/>
                <w:szCs w:val="20"/>
              </w:rPr>
              <w:t>6,2</w:t>
            </w:r>
          </w:p>
        </w:tc>
      </w:tr>
      <w:tr w:rsidR="00730AC8" w:rsidRPr="002936B7" w:rsidTr="002F5109">
        <w:trPr>
          <w:trHeight w:val="300"/>
          <w:jc w:val="center"/>
        </w:trPr>
        <w:tc>
          <w:tcPr>
            <w:tcW w:w="316" w:type="dxa"/>
            <w:tcBorders>
              <w:top w:val="nil"/>
              <w:left w:val="double" w:sz="6" w:space="0" w:color="auto"/>
              <w:bottom w:val="nil"/>
              <w:right w:val="single" w:sz="4" w:space="0" w:color="auto"/>
            </w:tcBorders>
            <w:shd w:val="clear" w:color="auto" w:fill="auto"/>
            <w:noWrap/>
            <w:tcMar>
              <w:top w:w="15" w:type="dxa"/>
              <w:left w:w="15" w:type="dxa"/>
              <w:bottom w:w="0" w:type="dxa"/>
              <w:right w:w="15" w:type="dxa"/>
            </w:tcMar>
            <w:vAlign w:val="center"/>
            <w:hideMark/>
          </w:tcPr>
          <w:p w:rsidR="00730AC8" w:rsidRPr="002936B7" w:rsidRDefault="00730AC8" w:rsidP="002F5109">
            <w:pPr>
              <w:spacing w:line="276" w:lineRule="auto"/>
              <w:jc w:val="center"/>
              <w:rPr>
                <w:rFonts w:ascii="Arial" w:eastAsia="Arial Unicode MS" w:hAnsi="Arial" w:cs="Arial"/>
                <w:color w:val="000000"/>
                <w:sz w:val="20"/>
                <w:szCs w:val="20"/>
                <w:lang w:eastAsia="en-US"/>
              </w:rPr>
            </w:pPr>
            <w:r w:rsidRPr="002936B7">
              <w:rPr>
                <w:rFonts w:ascii="Arial" w:hAnsi="Arial" w:cs="Arial"/>
                <w:color w:val="000000"/>
                <w:sz w:val="20"/>
                <w:szCs w:val="20"/>
                <w:lang w:eastAsia="en-US"/>
              </w:rPr>
              <w:t>12.</w:t>
            </w:r>
          </w:p>
        </w:tc>
        <w:tc>
          <w:tcPr>
            <w:tcW w:w="2075" w:type="dxa"/>
            <w:tcBorders>
              <w:top w:val="nil"/>
              <w:left w:val="nil"/>
              <w:bottom w:val="nil"/>
              <w:right w:val="single" w:sz="4" w:space="0" w:color="auto"/>
            </w:tcBorders>
            <w:shd w:val="clear" w:color="auto" w:fill="auto"/>
            <w:noWrap/>
            <w:tcMar>
              <w:top w:w="15" w:type="dxa"/>
              <w:left w:w="113" w:type="dxa"/>
              <w:bottom w:w="0" w:type="dxa"/>
              <w:right w:w="15" w:type="dxa"/>
            </w:tcMar>
            <w:vAlign w:val="center"/>
            <w:hideMark/>
          </w:tcPr>
          <w:p w:rsidR="00730AC8" w:rsidRDefault="00730AC8" w:rsidP="002F5109">
            <w:pPr>
              <w:rPr>
                <w:rFonts w:ascii="Arial" w:hAnsi="Arial" w:cs="Arial"/>
                <w:color w:val="000000"/>
                <w:sz w:val="20"/>
                <w:szCs w:val="20"/>
              </w:rPr>
            </w:pPr>
            <w:r>
              <w:rPr>
                <w:rFonts w:ascii="Arial" w:hAnsi="Arial" w:cs="Arial"/>
                <w:color w:val="000000"/>
                <w:sz w:val="20"/>
                <w:szCs w:val="20"/>
              </w:rPr>
              <w:t>Jihočeský kraj</w:t>
            </w:r>
          </w:p>
        </w:tc>
        <w:tc>
          <w:tcPr>
            <w:tcW w:w="1224" w:type="dxa"/>
            <w:shd w:val="clear" w:color="auto" w:fill="auto"/>
            <w:noWrap/>
            <w:tcMar>
              <w:top w:w="15" w:type="dxa"/>
              <w:left w:w="15" w:type="dxa"/>
              <w:bottom w:w="0" w:type="dxa"/>
              <w:right w:w="85" w:type="dxa"/>
            </w:tcMar>
            <w:vAlign w:val="center"/>
            <w:hideMark/>
          </w:tcPr>
          <w:p w:rsidR="00730AC8" w:rsidRDefault="00730AC8" w:rsidP="002F5109">
            <w:pPr>
              <w:ind w:firstLineChars="100" w:firstLine="200"/>
              <w:jc w:val="right"/>
              <w:rPr>
                <w:rFonts w:ascii="Arial" w:hAnsi="Arial" w:cs="Arial"/>
                <w:color w:val="000000"/>
                <w:sz w:val="20"/>
                <w:szCs w:val="20"/>
              </w:rPr>
            </w:pPr>
            <w:r>
              <w:rPr>
                <w:rFonts w:ascii="Arial" w:hAnsi="Arial" w:cs="Arial"/>
                <w:color w:val="000000"/>
                <w:sz w:val="20"/>
                <w:szCs w:val="20"/>
              </w:rPr>
              <w:t>23 729</w:t>
            </w:r>
          </w:p>
        </w:tc>
        <w:tc>
          <w:tcPr>
            <w:tcW w:w="1063" w:type="dxa"/>
            <w:tcBorders>
              <w:top w:val="nil"/>
              <w:left w:val="single" w:sz="4" w:space="0" w:color="auto"/>
              <w:bottom w:val="nil"/>
              <w:right w:val="single" w:sz="4"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1"/>
              <w:jc w:val="right"/>
              <w:rPr>
                <w:rFonts w:ascii="Arial" w:hAnsi="Arial" w:cs="Arial"/>
                <w:b/>
                <w:bCs/>
                <w:color w:val="000000"/>
                <w:sz w:val="20"/>
                <w:szCs w:val="20"/>
              </w:rPr>
            </w:pPr>
            <w:r>
              <w:rPr>
                <w:rFonts w:ascii="Arial" w:hAnsi="Arial" w:cs="Arial"/>
                <w:b/>
                <w:bCs/>
                <w:color w:val="000000"/>
                <w:sz w:val="20"/>
                <w:szCs w:val="20"/>
              </w:rPr>
              <w:t>26 749</w:t>
            </w:r>
          </w:p>
        </w:tc>
        <w:tc>
          <w:tcPr>
            <w:tcW w:w="1254" w:type="dxa"/>
            <w:tcBorders>
              <w:top w:val="nil"/>
              <w:left w:val="single" w:sz="4" w:space="0" w:color="auto"/>
              <w:bottom w:val="nil"/>
              <w:right w:val="single" w:sz="4"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0"/>
              <w:jc w:val="right"/>
              <w:rPr>
                <w:rFonts w:ascii="Arial" w:hAnsi="Arial" w:cs="Arial"/>
                <w:color w:val="000000"/>
                <w:sz w:val="20"/>
                <w:szCs w:val="20"/>
              </w:rPr>
            </w:pPr>
            <w:r>
              <w:rPr>
                <w:rFonts w:ascii="Arial" w:hAnsi="Arial" w:cs="Arial"/>
                <w:color w:val="000000"/>
                <w:sz w:val="20"/>
                <w:szCs w:val="20"/>
              </w:rPr>
              <w:t>22 782</w:t>
            </w:r>
          </w:p>
        </w:tc>
        <w:tc>
          <w:tcPr>
            <w:tcW w:w="1156" w:type="dxa"/>
            <w:tcBorders>
              <w:top w:val="nil"/>
              <w:left w:val="single" w:sz="4" w:space="0" w:color="auto"/>
              <w:bottom w:val="nil"/>
              <w:right w:val="single" w:sz="4" w:space="0" w:color="auto"/>
            </w:tcBorders>
            <w:shd w:val="clear" w:color="auto" w:fill="auto"/>
            <w:tcMar>
              <w:top w:w="15" w:type="dxa"/>
              <w:left w:w="15" w:type="dxa"/>
              <w:bottom w:w="0" w:type="dxa"/>
              <w:right w:w="85" w:type="dxa"/>
            </w:tcMar>
            <w:vAlign w:val="center"/>
            <w:hideMark/>
          </w:tcPr>
          <w:p w:rsidR="00730AC8" w:rsidRDefault="00730AC8" w:rsidP="002F5109">
            <w:pPr>
              <w:ind w:firstLineChars="100" w:firstLine="201"/>
              <w:jc w:val="right"/>
              <w:rPr>
                <w:rFonts w:ascii="Arial" w:hAnsi="Arial" w:cs="Arial"/>
                <w:b/>
                <w:bCs/>
                <w:color w:val="000000"/>
                <w:sz w:val="20"/>
                <w:szCs w:val="20"/>
              </w:rPr>
            </w:pPr>
            <w:r>
              <w:rPr>
                <w:rFonts w:ascii="Arial" w:hAnsi="Arial" w:cs="Arial"/>
                <w:b/>
                <w:bCs/>
                <w:color w:val="000000"/>
                <w:sz w:val="20"/>
                <w:szCs w:val="20"/>
              </w:rPr>
              <w:t>25 677</w:t>
            </w:r>
          </w:p>
        </w:tc>
        <w:tc>
          <w:tcPr>
            <w:tcW w:w="850" w:type="dxa"/>
            <w:tcBorders>
              <w:top w:val="nil"/>
              <w:left w:val="single" w:sz="4" w:space="0" w:color="auto"/>
              <w:bottom w:val="nil"/>
              <w:right w:val="single" w:sz="4"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0"/>
              <w:jc w:val="right"/>
              <w:rPr>
                <w:rFonts w:ascii="Arial" w:hAnsi="Arial" w:cs="Arial"/>
                <w:color w:val="000000"/>
                <w:sz w:val="20"/>
                <w:szCs w:val="20"/>
              </w:rPr>
            </w:pPr>
            <w:r>
              <w:rPr>
                <w:rFonts w:ascii="Arial" w:hAnsi="Arial" w:cs="Arial"/>
                <w:color w:val="000000"/>
                <w:sz w:val="20"/>
                <w:szCs w:val="20"/>
              </w:rPr>
              <w:t>5,2</w:t>
            </w:r>
          </w:p>
        </w:tc>
        <w:tc>
          <w:tcPr>
            <w:tcW w:w="850" w:type="dxa"/>
            <w:tcBorders>
              <w:top w:val="nil"/>
              <w:left w:val="nil"/>
              <w:bottom w:val="nil"/>
              <w:right w:val="double" w:sz="6"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1"/>
              <w:jc w:val="right"/>
              <w:rPr>
                <w:rFonts w:ascii="Arial" w:hAnsi="Arial" w:cs="Arial"/>
                <w:b/>
                <w:bCs/>
                <w:color w:val="000000"/>
                <w:sz w:val="20"/>
                <w:szCs w:val="20"/>
              </w:rPr>
            </w:pPr>
            <w:r>
              <w:rPr>
                <w:rFonts w:ascii="Arial" w:hAnsi="Arial" w:cs="Arial"/>
                <w:b/>
                <w:bCs/>
                <w:color w:val="000000"/>
                <w:sz w:val="20"/>
                <w:szCs w:val="20"/>
              </w:rPr>
              <w:t>5,9</w:t>
            </w:r>
          </w:p>
        </w:tc>
      </w:tr>
      <w:tr w:rsidR="00730AC8" w:rsidRPr="002936B7" w:rsidTr="002F5109">
        <w:trPr>
          <w:trHeight w:val="300"/>
          <w:jc w:val="center"/>
        </w:trPr>
        <w:tc>
          <w:tcPr>
            <w:tcW w:w="316" w:type="dxa"/>
            <w:tcBorders>
              <w:top w:val="nil"/>
              <w:left w:val="double" w:sz="6" w:space="0" w:color="auto"/>
              <w:bottom w:val="nil"/>
              <w:right w:val="single" w:sz="4" w:space="0" w:color="auto"/>
            </w:tcBorders>
            <w:shd w:val="clear" w:color="auto" w:fill="auto"/>
            <w:noWrap/>
            <w:tcMar>
              <w:top w:w="15" w:type="dxa"/>
              <w:left w:w="15" w:type="dxa"/>
              <w:bottom w:w="0" w:type="dxa"/>
              <w:right w:w="15" w:type="dxa"/>
            </w:tcMar>
            <w:vAlign w:val="center"/>
            <w:hideMark/>
          </w:tcPr>
          <w:p w:rsidR="00730AC8" w:rsidRPr="002936B7" w:rsidRDefault="00730AC8" w:rsidP="002F5109">
            <w:pPr>
              <w:spacing w:line="276" w:lineRule="auto"/>
              <w:jc w:val="center"/>
              <w:rPr>
                <w:rFonts w:ascii="Arial" w:eastAsia="Arial Unicode MS" w:hAnsi="Arial" w:cs="Arial"/>
                <w:color w:val="000000"/>
                <w:sz w:val="20"/>
                <w:szCs w:val="20"/>
                <w:lang w:eastAsia="en-US"/>
              </w:rPr>
            </w:pPr>
            <w:r w:rsidRPr="002936B7">
              <w:rPr>
                <w:rFonts w:ascii="Arial" w:hAnsi="Arial" w:cs="Arial"/>
                <w:color w:val="000000"/>
                <w:sz w:val="20"/>
                <w:szCs w:val="20"/>
                <w:lang w:eastAsia="en-US"/>
              </w:rPr>
              <w:t>13.</w:t>
            </w:r>
          </w:p>
        </w:tc>
        <w:tc>
          <w:tcPr>
            <w:tcW w:w="2075" w:type="dxa"/>
            <w:tcBorders>
              <w:top w:val="nil"/>
              <w:left w:val="nil"/>
              <w:bottom w:val="nil"/>
              <w:right w:val="single" w:sz="4" w:space="0" w:color="auto"/>
            </w:tcBorders>
            <w:shd w:val="clear" w:color="auto" w:fill="auto"/>
            <w:noWrap/>
            <w:tcMar>
              <w:top w:w="15" w:type="dxa"/>
              <w:left w:w="113" w:type="dxa"/>
              <w:bottom w:w="0" w:type="dxa"/>
              <w:right w:w="15" w:type="dxa"/>
            </w:tcMar>
            <w:vAlign w:val="center"/>
            <w:hideMark/>
          </w:tcPr>
          <w:p w:rsidR="00730AC8" w:rsidRDefault="00730AC8" w:rsidP="002F5109">
            <w:pPr>
              <w:rPr>
                <w:rFonts w:ascii="Arial" w:hAnsi="Arial" w:cs="Arial"/>
                <w:color w:val="000000"/>
                <w:sz w:val="20"/>
                <w:szCs w:val="20"/>
              </w:rPr>
            </w:pPr>
            <w:r>
              <w:rPr>
                <w:rFonts w:ascii="Arial" w:hAnsi="Arial" w:cs="Arial"/>
                <w:color w:val="000000"/>
                <w:sz w:val="20"/>
                <w:szCs w:val="20"/>
              </w:rPr>
              <w:t>Plzeňský kraj</w:t>
            </w:r>
          </w:p>
        </w:tc>
        <w:tc>
          <w:tcPr>
            <w:tcW w:w="1224" w:type="dxa"/>
            <w:shd w:val="clear" w:color="auto" w:fill="auto"/>
            <w:noWrap/>
            <w:tcMar>
              <w:top w:w="15" w:type="dxa"/>
              <w:left w:w="15" w:type="dxa"/>
              <w:bottom w:w="0" w:type="dxa"/>
              <w:right w:w="85" w:type="dxa"/>
            </w:tcMar>
            <w:vAlign w:val="center"/>
            <w:hideMark/>
          </w:tcPr>
          <w:p w:rsidR="00730AC8" w:rsidRDefault="00730AC8" w:rsidP="002F5109">
            <w:pPr>
              <w:ind w:firstLineChars="100" w:firstLine="200"/>
              <w:jc w:val="right"/>
              <w:rPr>
                <w:rFonts w:ascii="Arial" w:hAnsi="Arial" w:cs="Arial"/>
                <w:color w:val="000000"/>
                <w:sz w:val="20"/>
                <w:szCs w:val="20"/>
              </w:rPr>
            </w:pPr>
            <w:r>
              <w:rPr>
                <w:rFonts w:ascii="Arial" w:hAnsi="Arial" w:cs="Arial"/>
                <w:color w:val="000000"/>
                <w:sz w:val="20"/>
                <w:szCs w:val="20"/>
              </w:rPr>
              <w:t>20 156</w:t>
            </w:r>
          </w:p>
        </w:tc>
        <w:tc>
          <w:tcPr>
            <w:tcW w:w="1063" w:type="dxa"/>
            <w:tcBorders>
              <w:top w:val="nil"/>
              <w:left w:val="single" w:sz="4" w:space="0" w:color="auto"/>
              <w:bottom w:val="nil"/>
              <w:right w:val="single" w:sz="4"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1"/>
              <w:jc w:val="right"/>
              <w:rPr>
                <w:rFonts w:ascii="Arial" w:hAnsi="Arial" w:cs="Arial"/>
                <w:b/>
                <w:bCs/>
                <w:color w:val="000000"/>
                <w:sz w:val="20"/>
                <w:szCs w:val="20"/>
              </w:rPr>
            </w:pPr>
            <w:r>
              <w:rPr>
                <w:rFonts w:ascii="Arial" w:hAnsi="Arial" w:cs="Arial"/>
                <w:b/>
                <w:bCs/>
                <w:color w:val="000000"/>
                <w:sz w:val="20"/>
                <w:szCs w:val="20"/>
              </w:rPr>
              <w:t>23 580</w:t>
            </w:r>
          </w:p>
        </w:tc>
        <w:tc>
          <w:tcPr>
            <w:tcW w:w="1254" w:type="dxa"/>
            <w:tcBorders>
              <w:top w:val="nil"/>
              <w:left w:val="single" w:sz="4" w:space="0" w:color="auto"/>
              <w:bottom w:val="nil"/>
              <w:right w:val="single" w:sz="4"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0"/>
              <w:jc w:val="right"/>
              <w:rPr>
                <w:rFonts w:ascii="Arial" w:hAnsi="Arial" w:cs="Arial"/>
                <w:color w:val="000000"/>
                <w:sz w:val="20"/>
                <w:szCs w:val="20"/>
              </w:rPr>
            </w:pPr>
            <w:r>
              <w:rPr>
                <w:rFonts w:ascii="Arial" w:hAnsi="Arial" w:cs="Arial"/>
                <w:color w:val="000000"/>
                <w:sz w:val="20"/>
                <w:szCs w:val="20"/>
              </w:rPr>
              <w:t>19 664</w:t>
            </w:r>
          </w:p>
        </w:tc>
        <w:tc>
          <w:tcPr>
            <w:tcW w:w="1156" w:type="dxa"/>
            <w:tcBorders>
              <w:top w:val="nil"/>
              <w:left w:val="single" w:sz="4" w:space="0" w:color="auto"/>
              <w:bottom w:val="nil"/>
              <w:right w:val="single" w:sz="4" w:space="0" w:color="auto"/>
            </w:tcBorders>
            <w:shd w:val="clear" w:color="auto" w:fill="auto"/>
            <w:tcMar>
              <w:top w:w="15" w:type="dxa"/>
              <w:left w:w="15" w:type="dxa"/>
              <w:bottom w:w="0" w:type="dxa"/>
              <w:right w:w="85" w:type="dxa"/>
            </w:tcMar>
            <w:vAlign w:val="center"/>
            <w:hideMark/>
          </w:tcPr>
          <w:p w:rsidR="00730AC8" w:rsidRDefault="00730AC8" w:rsidP="002F5109">
            <w:pPr>
              <w:ind w:firstLineChars="100" w:firstLine="201"/>
              <w:jc w:val="right"/>
              <w:rPr>
                <w:rFonts w:ascii="Arial" w:hAnsi="Arial" w:cs="Arial"/>
                <w:b/>
                <w:bCs/>
                <w:color w:val="000000"/>
                <w:sz w:val="20"/>
                <w:szCs w:val="20"/>
              </w:rPr>
            </w:pPr>
            <w:r>
              <w:rPr>
                <w:rFonts w:ascii="Arial" w:hAnsi="Arial" w:cs="Arial"/>
                <w:b/>
                <w:bCs/>
                <w:color w:val="000000"/>
                <w:sz w:val="20"/>
                <w:szCs w:val="20"/>
              </w:rPr>
              <w:t>22 856</w:t>
            </w:r>
          </w:p>
        </w:tc>
        <w:tc>
          <w:tcPr>
            <w:tcW w:w="850" w:type="dxa"/>
            <w:tcBorders>
              <w:top w:val="nil"/>
              <w:left w:val="single" w:sz="4" w:space="0" w:color="auto"/>
              <w:bottom w:val="nil"/>
              <w:right w:val="single" w:sz="4"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0"/>
              <w:jc w:val="right"/>
              <w:rPr>
                <w:rFonts w:ascii="Arial" w:hAnsi="Arial" w:cs="Arial"/>
                <w:color w:val="000000"/>
                <w:sz w:val="20"/>
                <w:szCs w:val="20"/>
              </w:rPr>
            </w:pPr>
            <w:r>
              <w:rPr>
                <w:rFonts w:ascii="Arial" w:hAnsi="Arial" w:cs="Arial"/>
                <w:color w:val="000000"/>
                <w:sz w:val="20"/>
                <w:szCs w:val="20"/>
              </w:rPr>
              <w:t>5,0</w:t>
            </w:r>
          </w:p>
        </w:tc>
        <w:tc>
          <w:tcPr>
            <w:tcW w:w="850" w:type="dxa"/>
            <w:tcBorders>
              <w:top w:val="nil"/>
              <w:left w:val="nil"/>
              <w:bottom w:val="nil"/>
              <w:right w:val="double" w:sz="6"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1"/>
              <w:jc w:val="right"/>
              <w:rPr>
                <w:rFonts w:ascii="Arial" w:hAnsi="Arial" w:cs="Arial"/>
                <w:b/>
                <w:bCs/>
                <w:color w:val="000000"/>
                <w:sz w:val="20"/>
                <w:szCs w:val="20"/>
              </w:rPr>
            </w:pPr>
            <w:r>
              <w:rPr>
                <w:rFonts w:ascii="Arial" w:hAnsi="Arial" w:cs="Arial"/>
                <w:b/>
                <w:bCs/>
                <w:color w:val="000000"/>
                <w:sz w:val="20"/>
                <w:szCs w:val="20"/>
              </w:rPr>
              <w:t>5,9</w:t>
            </w:r>
          </w:p>
        </w:tc>
      </w:tr>
      <w:tr w:rsidR="00730AC8" w:rsidRPr="002936B7" w:rsidTr="002F5109">
        <w:trPr>
          <w:trHeight w:val="300"/>
          <w:jc w:val="center"/>
        </w:trPr>
        <w:tc>
          <w:tcPr>
            <w:tcW w:w="316" w:type="dxa"/>
            <w:tcBorders>
              <w:top w:val="nil"/>
              <w:left w:val="double" w:sz="6" w:space="0" w:color="auto"/>
              <w:bottom w:val="single" w:sz="6" w:space="0" w:color="auto"/>
              <w:right w:val="single" w:sz="4" w:space="0" w:color="auto"/>
            </w:tcBorders>
            <w:shd w:val="clear" w:color="auto" w:fill="auto"/>
            <w:noWrap/>
            <w:tcMar>
              <w:top w:w="15" w:type="dxa"/>
              <w:left w:w="15" w:type="dxa"/>
              <w:bottom w:w="0" w:type="dxa"/>
              <w:right w:w="15" w:type="dxa"/>
            </w:tcMar>
            <w:vAlign w:val="center"/>
            <w:hideMark/>
          </w:tcPr>
          <w:p w:rsidR="00730AC8" w:rsidRPr="002936B7" w:rsidRDefault="00730AC8" w:rsidP="002F5109">
            <w:pPr>
              <w:spacing w:line="276" w:lineRule="auto"/>
              <w:jc w:val="center"/>
              <w:rPr>
                <w:rFonts w:ascii="Arial" w:eastAsia="Arial Unicode MS" w:hAnsi="Arial" w:cs="Arial"/>
                <w:color w:val="000000"/>
                <w:sz w:val="20"/>
                <w:szCs w:val="20"/>
                <w:lang w:eastAsia="en-US"/>
              </w:rPr>
            </w:pPr>
            <w:r w:rsidRPr="002936B7">
              <w:rPr>
                <w:rFonts w:ascii="Arial" w:hAnsi="Arial" w:cs="Arial"/>
                <w:color w:val="000000"/>
                <w:sz w:val="20"/>
                <w:szCs w:val="20"/>
                <w:lang w:eastAsia="en-US"/>
              </w:rPr>
              <w:t>14.</w:t>
            </w:r>
          </w:p>
        </w:tc>
        <w:tc>
          <w:tcPr>
            <w:tcW w:w="2075" w:type="dxa"/>
            <w:tcBorders>
              <w:top w:val="nil"/>
              <w:left w:val="nil"/>
              <w:bottom w:val="single" w:sz="6" w:space="0" w:color="auto"/>
              <w:right w:val="single" w:sz="4" w:space="0" w:color="auto"/>
            </w:tcBorders>
            <w:shd w:val="clear" w:color="auto" w:fill="auto"/>
            <w:noWrap/>
            <w:tcMar>
              <w:top w:w="15" w:type="dxa"/>
              <w:left w:w="113" w:type="dxa"/>
              <w:bottom w:w="0" w:type="dxa"/>
              <w:right w:w="15" w:type="dxa"/>
            </w:tcMar>
            <w:vAlign w:val="center"/>
            <w:hideMark/>
          </w:tcPr>
          <w:p w:rsidR="00730AC8" w:rsidRDefault="00730AC8" w:rsidP="002F5109">
            <w:pPr>
              <w:rPr>
                <w:rFonts w:ascii="Arial" w:hAnsi="Arial" w:cs="Arial"/>
                <w:color w:val="000000"/>
                <w:sz w:val="20"/>
                <w:szCs w:val="20"/>
              </w:rPr>
            </w:pPr>
            <w:r>
              <w:rPr>
                <w:rFonts w:ascii="Arial" w:hAnsi="Arial" w:cs="Arial"/>
                <w:color w:val="000000"/>
                <w:sz w:val="20"/>
                <w:szCs w:val="20"/>
              </w:rPr>
              <w:t>Hl. m. Praha</w:t>
            </w:r>
          </w:p>
        </w:tc>
        <w:tc>
          <w:tcPr>
            <w:tcW w:w="1224" w:type="dxa"/>
            <w:tcBorders>
              <w:top w:val="nil"/>
              <w:left w:val="nil"/>
              <w:bottom w:val="single" w:sz="6" w:space="0" w:color="auto"/>
              <w:right w:val="nil"/>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0"/>
              <w:jc w:val="right"/>
              <w:rPr>
                <w:rFonts w:ascii="Arial" w:hAnsi="Arial" w:cs="Arial"/>
                <w:color w:val="000000"/>
                <w:sz w:val="20"/>
                <w:szCs w:val="20"/>
              </w:rPr>
            </w:pPr>
            <w:r>
              <w:rPr>
                <w:rFonts w:ascii="Arial" w:hAnsi="Arial" w:cs="Arial"/>
                <w:color w:val="000000"/>
                <w:sz w:val="20"/>
                <w:szCs w:val="20"/>
              </w:rPr>
              <w:t>33 499</w:t>
            </w:r>
          </w:p>
        </w:tc>
        <w:tc>
          <w:tcPr>
            <w:tcW w:w="1063" w:type="dxa"/>
            <w:tcBorders>
              <w:top w:val="nil"/>
              <w:left w:val="single" w:sz="4" w:space="0" w:color="auto"/>
              <w:bottom w:val="single" w:sz="6" w:space="0" w:color="auto"/>
              <w:right w:val="single" w:sz="4"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1"/>
              <w:jc w:val="right"/>
              <w:rPr>
                <w:rFonts w:ascii="Arial" w:hAnsi="Arial" w:cs="Arial"/>
                <w:b/>
                <w:bCs/>
                <w:color w:val="000000"/>
                <w:sz w:val="20"/>
                <w:szCs w:val="20"/>
              </w:rPr>
            </w:pPr>
            <w:r>
              <w:rPr>
                <w:rFonts w:ascii="Arial" w:hAnsi="Arial" w:cs="Arial"/>
                <w:b/>
                <w:bCs/>
                <w:color w:val="000000"/>
                <w:sz w:val="20"/>
                <w:szCs w:val="20"/>
              </w:rPr>
              <w:t>41 690</w:t>
            </w:r>
          </w:p>
        </w:tc>
        <w:tc>
          <w:tcPr>
            <w:tcW w:w="1254" w:type="dxa"/>
            <w:tcBorders>
              <w:top w:val="nil"/>
              <w:left w:val="single" w:sz="4" w:space="0" w:color="auto"/>
              <w:bottom w:val="single" w:sz="6" w:space="0" w:color="auto"/>
              <w:right w:val="single" w:sz="4"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0"/>
              <w:jc w:val="right"/>
              <w:rPr>
                <w:rFonts w:ascii="Arial" w:hAnsi="Arial" w:cs="Arial"/>
                <w:color w:val="000000"/>
                <w:sz w:val="20"/>
                <w:szCs w:val="20"/>
              </w:rPr>
            </w:pPr>
            <w:r>
              <w:rPr>
                <w:rFonts w:ascii="Arial" w:hAnsi="Arial" w:cs="Arial"/>
                <w:color w:val="000000"/>
                <w:sz w:val="20"/>
                <w:szCs w:val="20"/>
              </w:rPr>
              <w:t>32 159</w:t>
            </w:r>
          </w:p>
        </w:tc>
        <w:tc>
          <w:tcPr>
            <w:tcW w:w="1156" w:type="dxa"/>
            <w:tcBorders>
              <w:top w:val="nil"/>
              <w:left w:val="single" w:sz="4" w:space="0" w:color="auto"/>
              <w:bottom w:val="single" w:sz="6" w:space="0" w:color="auto"/>
              <w:right w:val="single" w:sz="4" w:space="0" w:color="auto"/>
            </w:tcBorders>
            <w:shd w:val="clear" w:color="auto" w:fill="auto"/>
            <w:tcMar>
              <w:top w:w="15" w:type="dxa"/>
              <w:left w:w="15" w:type="dxa"/>
              <w:bottom w:w="0" w:type="dxa"/>
              <w:right w:w="85" w:type="dxa"/>
            </w:tcMar>
            <w:vAlign w:val="center"/>
            <w:hideMark/>
          </w:tcPr>
          <w:p w:rsidR="00730AC8" w:rsidRDefault="00730AC8" w:rsidP="002F5109">
            <w:pPr>
              <w:ind w:firstLineChars="100" w:firstLine="201"/>
              <w:jc w:val="right"/>
              <w:rPr>
                <w:rFonts w:ascii="Arial" w:hAnsi="Arial" w:cs="Arial"/>
                <w:b/>
                <w:bCs/>
                <w:color w:val="000000"/>
                <w:sz w:val="20"/>
                <w:szCs w:val="20"/>
              </w:rPr>
            </w:pPr>
            <w:r>
              <w:rPr>
                <w:rFonts w:ascii="Arial" w:hAnsi="Arial" w:cs="Arial"/>
                <w:b/>
                <w:bCs/>
                <w:color w:val="000000"/>
                <w:sz w:val="20"/>
                <w:szCs w:val="20"/>
              </w:rPr>
              <w:t>40 554</w:t>
            </w:r>
          </w:p>
        </w:tc>
        <w:tc>
          <w:tcPr>
            <w:tcW w:w="850" w:type="dxa"/>
            <w:tcBorders>
              <w:top w:val="nil"/>
              <w:left w:val="single" w:sz="4" w:space="0" w:color="auto"/>
              <w:bottom w:val="single" w:sz="6" w:space="0" w:color="auto"/>
              <w:right w:val="single" w:sz="4"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0"/>
              <w:jc w:val="right"/>
              <w:rPr>
                <w:rFonts w:ascii="Arial" w:hAnsi="Arial" w:cs="Arial"/>
                <w:color w:val="000000"/>
                <w:sz w:val="20"/>
                <w:szCs w:val="20"/>
              </w:rPr>
            </w:pPr>
            <w:r>
              <w:rPr>
                <w:rFonts w:ascii="Arial" w:hAnsi="Arial" w:cs="Arial"/>
                <w:color w:val="000000"/>
                <w:sz w:val="20"/>
                <w:szCs w:val="20"/>
              </w:rPr>
              <w:t>3,7</w:t>
            </w:r>
          </w:p>
        </w:tc>
        <w:tc>
          <w:tcPr>
            <w:tcW w:w="850" w:type="dxa"/>
            <w:tcBorders>
              <w:top w:val="nil"/>
              <w:left w:val="nil"/>
              <w:bottom w:val="single" w:sz="6" w:space="0" w:color="auto"/>
              <w:right w:val="double" w:sz="6"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1"/>
              <w:jc w:val="right"/>
              <w:rPr>
                <w:rFonts w:ascii="Arial" w:hAnsi="Arial" w:cs="Arial"/>
                <w:b/>
                <w:bCs/>
                <w:color w:val="000000"/>
                <w:sz w:val="20"/>
                <w:szCs w:val="20"/>
              </w:rPr>
            </w:pPr>
            <w:r>
              <w:rPr>
                <w:rFonts w:ascii="Arial" w:hAnsi="Arial" w:cs="Arial"/>
                <w:b/>
                <w:bCs/>
                <w:color w:val="000000"/>
                <w:sz w:val="20"/>
                <w:szCs w:val="20"/>
              </w:rPr>
              <w:t>4,7</w:t>
            </w:r>
          </w:p>
        </w:tc>
      </w:tr>
      <w:tr w:rsidR="00730AC8" w:rsidRPr="002936B7" w:rsidTr="002F5109">
        <w:trPr>
          <w:trHeight w:val="300"/>
          <w:jc w:val="center"/>
        </w:trPr>
        <w:tc>
          <w:tcPr>
            <w:tcW w:w="316" w:type="dxa"/>
            <w:tcBorders>
              <w:top w:val="single" w:sz="6" w:space="0" w:color="auto"/>
              <w:left w:val="double" w:sz="6" w:space="0" w:color="auto"/>
              <w:bottom w:val="double" w:sz="6" w:space="0" w:color="auto"/>
              <w:right w:val="single" w:sz="4" w:space="0" w:color="auto"/>
            </w:tcBorders>
            <w:shd w:val="clear" w:color="auto" w:fill="auto"/>
            <w:noWrap/>
            <w:tcMar>
              <w:top w:w="15" w:type="dxa"/>
              <w:left w:w="15" w:type="dxa"/>
              <w:bottom w:w="0" w:type="dxa"/>
              <w:right w:w="15" w:type="dxa"/>
            </w:tcMar>
            <w:vAlign w:val="center"/>
          </w:tcPr>
          <w:p w:rsidR="00730AC8" w:rsidRPr="002936B7" w:rsidRDefault="00730AC8" w:rsidP="002F5109">
            <w:pPr>
              <w:spacing w:line="276" w:lineRule="auto"/>
              <w:rPr>
                <w:rFonts w:ascii="Arial" w:hAnsi="Arial" w:cs="Arial"/>
                <w:color w:val="000000"/>
                <w:sz w:val="20"/>
                <w:szCs w:val="20"/>
                <w:lang w:eastAsia="en-US"/>
              </w:rPr>
            </w:pPr>
          </w:p>
        </w:tc>
        <w:tc>
          <w:tcPr>
            <w:tcW w:w="2075" w:type="dxa"/>
            <w:tcBorders>
              <w:top w:val="single" w:sz="6" w:space="0" w:color="auto"/>
              <w:left w:val="nil"/>
              <w:bottom w:val="double" w:sz="6" w:space="0" w:color="auto"/>
              <w:right w:val="single" w:sz="4" w:space="0" w:color="auto"/>
            </w:tcBorders>
            <w:shd w:val="clear" w:color="auto" w:fill="auto"/>
            <w:noWrap/>
            <w:tcMar>
              <w:top w:w="15" w:type="dxa"/>
              <w:left w:w="113" w:type="dxa"/>
              <w:bottom w:w="0" w:type="dxa"/>
              <w:right w:w="15" w:type="dxa"/>
            </w:tcMar>
            <w:vAlign w:val="center"/>
            <w:hideMark/>
          </w:tcPr>
          <w:p w:rsidR="00730AC8" w:rsidRPr="002936B7" w:rsidRDefault="00730AC8" w:rsidP="002F5109">
            <w:pPr>
              <w:spacing w:line="276" w:lineRule="auto"/>
              <w:rPr>
                <w:rFonts w:ascii="Arial" w:hAnsi="Arial"/>
                <w:b/>
                <w:color w:val="000000"/>
                <w:sz w:val="20"/>
                <w:szCs w:val="20"/>
                <w:lang w:eastAsia="en-US"/>
              </w:rPr>
            </w:pPr>
            <w:r w:rsidRPr="002936B7">
              <w:rPr>
                <w:rFonts w:ascii="Arial" w:hAnsi="Arial"/>
                <w:b/>
                <w:color w:val="000000"/>
                <w:sz w:val="20"/>
                <w:szCs w:val="20"/>
                <w:lang w:eastAsia="en-US"/>
              </w:rPr>
              <w:t>Celkem ČR</w:t>
            </w:r>
          </w:p>
        </w:tc>
        <w:tc>
          <w:tcPr>
            <w:tcW w:w="1224" w:type="dxa"/>
            <w:tcBorders>
              <w:top w:val="single" w:sz="6" w:space="0" w:color="auto"/>
              <w:left w:val="nil"/>
              <w:bottom w:val="double" w:sz="6" w:space="0" w:color="auto"/>
              <w:right w:val="nil"/>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0"/>
              <w:jc w:val="right"/>
              <w:rPr>
                <w:rFonts w:ascii="Arial" w:hAnsi="Arial" w:cs="Arial"/>
                <w:color w:val="000000"/>
                <w:sz w:val="20"/>
                <w:szCs w:val="20"/>
              </w:rPr>
            </w:pPr>
            <w:r>
              <w:rPr>
                <w:rFonts w:ascii="Arial" w:hAnsi="Arial" w:cs="Arial"/>
                <w:color w:val="000000"/>
                <w:sz w:val="20"/>
                <w:szCs w:val="20"/>
              </w:rPr>
              <w:t>474 586</w:t>
            </w:r>
          </w:p>
        </w:tc>
        <w:tc>
          <w:tcPr>
            <w:tcW w:w="1063" w:type="dxa"/>
            <w:tcBorders>
              <w:top w:val="single" w:sz="6" w:space="0" w:color="auto"/>
              <w:left w:val="single" w:sz="4" w:space="0" w:color="auto"/>
              <w:bottom w:val="double" w:sz="6" w:space="0" w:color="auto"/>
              <w:right w:val="single" w:sz="4"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1"/>
              <w:jc w:val="right"/>
              <w:rPr>
                <w:rFonts w:ascii="Arial" w:hAnsi="Arial" w:cs="Arial"/>
                <w:b/>
                <w:bCs/>
                <w:color w:val="000000"/>
                <w:sz w:val="20"/>
                <w:szCs w:val="20"/>
              </w:rPr>
            </w:pPr>
            <w:r>
              <w:rPr>
                <w:rFonts w:ascii="Arial" w:hAnsi="Arial" w:cs="Arial"/>
                <w:b/>
                <w:bCs/>
                <w:color w:val="000000"/>
                <w:sz w:val="20"/>
                <w:szCs w:val="20"/>
              </w:rPr>
              <w:t>540 473</w:t>
            </w:r>
          </w:p>
        </w:tc>
        <w:tc>
          <w:tcPr>
            <w:tcW w:w="1254" w:type="dxa"/>
            <w:tcBorders>
              <w:top w:val="single" w:sz="6" w:space="0" w:color="auto"/>
              <w:left w:val="single" w:sz="4" w:space="0" w:color="auto"/>
              <w:bottom w:val="double" w:sz="6" w:space="0" w:color="auto"/>
              <w:right w:val="single" w:sz="4"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0"/>
              <w:jc w:val="right"/>
              <w:rPr>
                <w:rFonts w:ascii="Arial" w:hAnsi="Arial" w:cs="Arial"/>
                <w:color w:val="000000"/>
                <w:sz w:val="20"/>
                <w:szCs w:val="20"/>
              </w:rPr>
            </w:pPr>
            <w:r>
              <w:rPr>
                <w:rFonts w:ascii="Arial" w:hAnsi="Arial" w:cs="Arial"/>
                <w:color w:val="000000"/>
                <w:sz w:val="20"/>
                <w:szCs w:val="20"/>
              </w:rPr>
              <w:t>459 497</w:t>
            </w:r>
          </w:p>
        </w:tc>
        <w:tc>
          <w:tcPr>
            <w:tcW w:w="1156" w:type="dxa"/>
            <w:tcBorders>
              <w:top w:val="single" w:sz="6" w:space="0" w:color="auto"/>
              <w:left w:val="single" w:sz="4" w:space="0" w:color="auto"/>
              <w:bottom w:val="double" w:sz="6" w:space="0" w:color="auto"/>
              <w:right w:val="single" w:sz="4" w:space="0" w:color="auto"/>
            </w:tcBorders>
            <w:shd w:val="clear" w:color="auto" w:fill="auto"/>
            <w:tcMar>
              <w:top w:w="15" w:type="dxa"/>
              <w:left w:w="15" w:type="dxa"/>
              <w:bottom w:w="0" w:type="dxa"/>
              <w:right w:w="85" w:type="dxa"/>
            </w:tcMar>
            <w:vAlign w:val="center"/>
            <w:hideMark/>
          </w:tcPr>
          <w:p w:rsidR="00730AC8" w:rsidRDefault="00730AC8" w:rsidP="002F5109">
            <w:pPr>
              <w:ind w:firstLineChars="100" w:firstLine="201"/>
              <w:jc w:val="right"/>
              <w:rPr>
                <w:rFonts w:ascii="Arial" w:hAnsi="Arial" w:cs="Arial"/>
                <w:b/>
                <w:bCs/>
                <w:color w:val="000000"/>
                <w:sz w:val="20"/>
                <w:szCs w:val="20"/>
              </w:rPr>
            </w:pPr>
            <w:r>
              <w:rPr>
                <w:rFonts w:ascii="Arial" w:hAnsi="Arial" w:cs="Arial"/>
                <w:b/>
                <w:bCs/>
                <w:color w:val="000000"/>
                <w:sz w:val="20"/>
                <w:szCs w:val="20"/>
              </w:rPr>
              <w:t>525 683</w:t>
            </w:r>
          </w:p>
        </w:tc>
        <w:tc>
          <w:tcPr>
            <w:tcW w:w="850" w:type="dxa"/>
            <w:tcBorders>
              <w:top w:val="single" w:sz="6" w:space="0" w:color="auto"/>
              <w:left w:val="single" w:sz="4" w:space="0" w:color="auto"/>
              <w:bottom w:val="double" w:sz="6" w:space="0" w:color="auto"/>
              <w:right w:val="single" w:sz="4"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0"/>
              <w:jc w:val="right"/>
              <w:rPr>
                <w:rFonts w:ascii="Arial" w:hAnsi="Arial" w:cs="Arial"/>
                <w:color w:val="000000"/>
                <w:sz w:val="20"/>
                <w:szCs w:val="20"/>
              </w:rPr>
            </w:pPr>
            <w:r>
              <w:rPr>
                <w:rFonts w:ascii="Arial" w:hAnsi="Arial" w:cs="Arial"/>
                <w:color w:val="000000"/>
                <w:sz w:val="20"/>
                <w:szCs w:val="20"/>
              </w:rPr>
              <w:t>6,4</w:t>
            </w:r>
          </w:p>
        </w:tc>
        <w:tc>
          <w:tcPr>
            <w:tcW w:w="850" w:type="dxa"/>
            <w:tcBorders>
              <w:top w:val="single" w:sz="6" w:space="0" w:color="auto"/>
              <w:left w:val="nil"/>
              <w:bottom w:val="double" w:sz="6" w:space="0" w:color="auto"/>
              <w:right w:val="double" w:sz="6" w:space="0" w:color="auto"/>
            </w:tcBorders>
            <w:shd w:val="clear" w:color="auto" w:fill="auto"/>
            <w:noWrap/>
            <w:tcMar>
              <w:top w:w="15" w:type="dxa"/>
              <w:left w:w="15" w:type="dxa"/>
              <w:bottom w:w="0" w:type="dxa"/>
              <w:right w:w="85" w:type="dxa"/>
            </w:tcMar>
            <w:vAlign w:val="center"/>
            <w:hideMark/>
          </w:tcPr>
          <w:p w:rsidR="00730AC8" w:rsidRDefault="00730AC8" w:rsidP="002F5109">
            <w:pPr>
              <w:ind w:firstLineChars="100" w:firstLine="201"/>
              <w:jc w:val="right"/>
              <w:rPr>
                <w:rFonts w:ascii="Arial" w:hAnsi="Arial" w:cs="Arial"/>
                <w:b/>
                <w:bCs/>
                <w:color w:val="000000"/>
                <w:sz w:val="20"/>
                <w:szCs w:val="20"/>
              </w:rPr>
            </w:pPr>
            <w:r>
              <w:rPr>
                <w:rFonts w:ascii="Arial" w:hAnsi="Arial" w:cs="Arial"/>
                <w:b/>
                <w:bCs/>
                <w:color w:val="000000"/>
                <w:sz w:val="20"/>
                <w:szCs w:val="20"/>
              </w:rPr>
              <w:t>7,3</w:t>
            </w:r>
          </w:p>
        </w:tc>
      </w:tr>
    </w:tbl>
    <w:p w:rsidR="00730AC8" w:rsidRPr="002936B7" w:rsidRDefault="00730AC8" w:rsidP="00730AC8">
      <w:pPr>
        <w:pStyle w:val="Zkladntext"/>
        <w:spacing w:line="360" w:lineRule="auto"/>
        <w:ind w:firstLine="708"/>
        <w:rPr>
          <w:b/>
          <w:szCs w:val="23"/>
          <w:highlight w:val="yellow"/>
        </w:rPr>
      </w:pPr>
    </w:p>
    <w:p w:rsidR="00730AC8" w:rsidRPr="00D36CDE" w:rsidRDefault="00730AC8" w:rsidP="00730AC8">
      <w:pPr>
        <w:spacing w:line="360" w:lineRule="auto"/>
        <w:ind w:firstLine="708"/>
        <w:jc w:val="both"/>
        <w:rPr>
          <w:rFonts w:ascii="Arial" w:hAnsi="Arial" w:cs="Arial"/>
        </w:rPr>
      </w:pPr>
      <w:r w:rsidRPr="00D36CDE">
        <w:rPr>
          <w:rFonts w:ascii="Arial" w:hAnsi="Arial" w:cs="Arial"/>
          <w:b/>
          <w:bCs/>
        </w:rPr>
        <w:t>V 1. pololetí 2013 nahlásilo</w:t>
      </w:r>
      <w:r w:rsidRPr="00D36CDE">
        <w:rPr>
          <w:rFonts w:ascii="Arial" w:hAnsi="Arial" w:cs="Arial"/>
        </w:rPr>
        <w:t xml:space="preserve"> Úřadu práce ČR prostřednictvím svých krajských poboček </w:t>
      </w:r>
      <w:r w:rsidR="002850F6" w:rsidRPr="002850F6">
        <w:rPr>
          <w:rFonts w:ascii="Arial" w:hAnsi="Arial" w:cs="Arial"/>
        </w:rPr>
        <w:t>ve smyslu § 62 zákona č. 262/2006 Sb., zákoník práce, ve znění pozdějších předpisů (dále jen „zákoník práce“)</w:t>
      </w:r>
      <w:r w:rsidR="002850F6">
        <w:rPr>
          <w:rFonts w:ascii="Arial" w:hAnsi="Arial" w:cs="Arial"/>
          <w:sz w:val="22"/>
          <w:szCs w:val="22"/>
        </w:rPr>
        <w:t xml:space="preserve"> </w:t>
      </w:r>
      <w:r w:rsidRPr="00D36CDE">
        <w:rPr>
          <w:rFonts w:ascii="Arial" w:hAnsi="Arial" w:cs="Arial"/>
          <w:b/>
          <w:bCs/>
        </w:rPr>
        <w:t>hromadné propouštění</w:t>
      </w:r>
      <w:r w:rsidRPr="00D36CDE">
        <w:rPr>
          <w:rFonts w:ascii="Arial" w:hAnsi="Arial" w:cs="Arial"/>
        </w:rPr>
        <w:t xml:space="preserve"> </w:t>
      </w:r>
      <w:r w:rsidRPr="00D36CDE">
        <w:rPr>
          <w:rFonts w:ascii="Arial" w:hAnsi="Arial" w:cs="Arial"/>
          <w:b/>
          <w:bCs/>
        </w:rPr>
        <w:t>213 zaměstnavatelů</w:t>
      </w:r>
      <w:r w:rsidRPr="00D36CDE">
        <w:rPr>
          <w:rFonts w:ascii="Arial" w:hAnsi="Arial" w:cs="Arial"/>
        </w:rPr>
        <w:t xml:space="preserve">. </w:t>
      </w:r>
      <w:r w:rsidRPr="00D36CDE">
        <w:rPr>
          <w:rFonts w:ascii="Arial" w:hAnsi="Arial" w:cs="Arial"/>
          <w:b/>
          <w:bCs/>
        </w:rPr>
        <w:t>Počet zaměstnanců</w:t>
      </w:r>
      <w:r w:rsidRPr="00D36CDE">
        <w:rPr>
          <w:rFonts w:ascii="Arial" w:hAnsi="Arial" w:cs="Arial"/>
        </w:rPr>
        <w:t xml:space="preserve">, kterých se hromadná propouštění měla týkat, </w:t>
      </w:r>
      <w:r w:rsidRPr="00D36CDE">
        <w:rPr>
          <w:rFonts w:ascii="Arial" w:hAnsi="Arial" w:cs="Arial"/>
          <w:b/>
          <w:bCs/>
        </w:rPr>
        <w:t>byl 8 </w:t>
      </w:r>
      <w:r w:rsidRPr="00835E5E">
        <w:rPr>
          <w:rFonts w:ascii="Arial" w:hAnsi="Arial" w:cs="Arial"/>
          <w:b/>
          <w:bCs/>
        </w:rPr>
        <w:t>773</w:t>
      </w:r>
      <w:r w:rsidRPr="00835E5E">
        <w:rPr>
          <w:rFonts w:ascii="Arial" w:hAnsi="Arial" w:cs="Arial"/>
        </w:rPr>
        <w:t xml:space="preserve">. </w:t>
      </w:r>
      <w:r w:rsidRPr="00D36CDE">
        <w:rPr>
          <w:rFonts w:ascii="Arial" w:hAnsi="Arial" w:cs="Arial"/>
        </w:rPr>
        <w:lastRenderedPageBreak/>
        <w:t xml:space="preserve">Z hlediska krajských poboček se nejvíce zaměstnavatelů s hlášením hromadného propouštění obrátilo na pražskou (72), středočeskou (21) a olomouckou pobočku (20). Nejvíce zaměstnanců, kterých se propouštění mělo týkat, bylo hlášeno také na krajskou pobočku v Praze (4 109), dále na moravskoslezskou (899) a středočeskou pobočku (808). Počet nahlášených hromadných propouštění se proti 1. pololetí 2012 zvýšil o 77, počet dotčených zaměstnanců se zvýšil o 1 115). </w:t>
      </w:r>
    </w:p>
    <w:p w:rsidR="00730AC8" w:rsidRDefault="00730AC8" w:rsidP="00730AC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60" w:lineRule="auto"/>
        <w:ind w:firstLine="720"/>
        <w:jc w:val="both"/>
        <w:rPr>
          <w:rFonts w:ascii="Arial" w:hAnsi="Arial" w:cs="Arial"/>
          <w:szCs w:val="23"/>
        </w:rPr>
      </w:pPr>
      <w:r>
        <w:rPr>
          <w:rFonts w:ascii="Arial" w:hAnsi="Arial" w:cs="Arial"/>
          <w:b/>
          <w:szCs w:val="23"/>
        </w:rPr>
        <w:t xml:space="preserve">Největší počet </w:t>
      </w:r>
      <w:r>
        <w:rPr>
          <w:rFonts w:ascii="Arial" w:hAnsi="Arial" w:cs="Arial"/>
          <w:b/>
          <w:bCs/>
          <w:szCs w:val="23"/>
        </w:rPr>
        <w:t>volných pracovních míst k</w:t>
      </w:r>
      <w:r>
        <w:rPr>
          <w:rFonts w:ascii="Arial" w:hAnsi="Arial" w:cs="Arial"/>
          <w:szCs w:val="23"/>
        </w:rPr>
        <w:t> </w:t>
      </w:r>
      <w:r>
        <w:rPr>
          <w:rFonts w:ascii="Arial" w:hAnsi="Arial" w:cs="Arial"/>
          <w:b/>
          <w:szCs w:val="23"/>
        </w:rPr>
        <w:t>30. 6. 2013</w:t>
      </w:r>
      <w:r>
        <w:rPr>
          <w:rFonts w:ascii="Arial" w:hAnsi="Arial" w:cs="Arial"/>
          <w:szCs w:val="23"/>
        </w:rPr>
        <w:t xml:space="preserve"> byl </w:t>
      </w:r>
      <w:r>
        <w:rPr>
          <w:rFonts w:ascii="Arial" w:hAnsi="Arial" w:cs="Arial"/>
          <w:b/>
          <w:szCs w:val="23"/>
        </w:rPr>
        <w:t xml:space="preserve">v Hl. m. Praze </w:t>
      </w:r>
      <w:r>
        <w:rPr>
          <w:rFonts w:ascii="Arial" w:hAnsi="Arial" w:cs="Arial"/>
          <w:szCs w:val="23"/>
        </w:rPr>
        <w:t xml:space="preserve">(9 342), Středočeském (5 355) a Moravskoslezském kraji (4 367). </w:t>
      </w:r>
      <w:r w:rsidRPr="00D70035">
        <w:rPr>
          <w:rFonts w:ascii="Arial" w:hAnsi="Arial" w:cs="Arial"/>
          <w:b/>
          <w:szCs w:val="23"/>
        </w:rPr>
        <w:t>V Hl. m. Praze</w:t>
      </w:r>
      <w:r>
        <w:rPr>
          <w:rFonts w:ascii="Arial" w:hAnsi="Arial" w:cs="Arial"/>
          <w:szCs w:val="23"/>
        </w:rPr>
        <w:t xml:space="preserve"> připadal také </w:t>
      </w:r>
      <w:r w:rsidRPr="00D70035">
        <w:rPr>
          <w:rFonts w:ascii="Arial" w:hAnsi="Arial" w:cs="Arial"/>
          <w:b/>
          <w:szCs w:val="23"/>
        </w:rPr>
        <w:t>na 1 nahlášené volné pracovní místo nejnižší počet uchazečů</w:t>
      </w:r>
      <w:r>
        <w:rPr>
          <w:rFonts w:ascii="Arial" w:hAnsi="Arial" w:cs="Arial"/>
          <w:szCs w:val="23"/>
        </w:rPr>
        <w:t xml:space="preserve"> o zaměstnání (4,5). Nižší než celorepublikový průměr (12,3) mělo dalších šest krajů, po Hl. m. Praze následoval Liberecký a Plzeňský kraj (8,1), Jihočeský (9,2), Pardubický (9,5), Středočeský (10,2) a Karlovarský kraj (12,2). Naproti tomu v Moravskoslezském kraji dosáhl tento ukazatel hodnoty 18,9 a ještě vyšší byl v Ústeckém (21,2), Jihomoravském kraji (23,2), kraji Vysočina (25,0) a Olomouckém kraji (27,7). </w:t>
      </w:r>
    </w:p>
    <w:p w:rsidR="00730AC8" w:rsidRPr="00B13219" w:rsidRDefault="00730AC8" w:rsidP="00730AC8">
      <w:pPr>
        <w:pStyle w:val="Zhlav"/>
        <w:tabs>
          <w:tab w:val="clear" w:pos="4536"/>
          <w:tab w:val="clear" w:pos="9072"/>
          <w:tab w:val="left" w:pos="0"/>
          <w:tab w:val="left" w:pos="72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line="360" w:lineRule="auto"/>
        <w:ind w:firstLine="720"/>
        <w:jc w:val="both"/>
        <w:rPr>
          <w:rFonts w:ascii="Arial" w:hAnsi="Arial"/>
          <w:color w:val="FF0000"/>
        </w:rPr>
      </w:pPr>
      <w:r w:rsidRPr="002E5181">
        <w:rPr>
          <w:rFonts w:ascii="Arial" w:hAnsi="Arial" w:cs="Arial"/>
          <w:sz w:val="24"/>
          <w:szCs w:val="24"/>
        </w:rPr>
        <w:t xml:space="preserve">Zastoupení rizikových </w:t>
      </w:r>
      <w:r>
        <w:rPr>
          <w:rFonts w:ascii="Arial" w:hAnsi="Arial" w:cs="Arial"/>
          <w:sz w:val="24"/>
          <w:szCs w:val="24"/>
        </w:rPr>
        <w:t xml:space="preserve">skupin uchazečů o zaměstnání </w:t>
      </w:r>
      <w:r w:rsidRPr="00D43B82">
        <w:rPr>
          <w:rFonts w:ascii="Arial" w:hAnsi="Arial"/>
          <w:sz w:val="24"/>
          <w:szCs w:val="24"/>
        </w:rPr>
        <w:t xml:space="preserve">za celou ČR (s výjimkou mladých lidí a dlouhodobě nezaměstnaných) na celkovém počtu nezaměstnaných poklesl, </w:t>
      </w:r>
      <w:r>
        <w:rPr>
          <w:rFonts w:ascii="Arial" w:hAnsi="Arial"/>
          <w:sz w:val="24"/>
          <w:szCs w:val="24"/>
        </w:rPr>
        <w:t xml:space="preserve">obdobný vývoj měl jejich vývoj i na úrovni krajů, </w:t>
      </w:r>
      <w:r w:rsidRPr="00D43B82">
        <w:rPr>
          <w:rFonts w:ascii="Arial" w:hAnsi="Arial"/>
          <w:sz w:val="24"/>
          <w:szCs w:val="24"/>
        </w:rPr>
        <w:t xml:space="preserve">i nadále </w:t>
      </w:r>
      <w:r>
        <w:rPr>
          <w:rFonts w:ascii="Arial" w:hAnsi="Arial"/>
          <w:sz w:val="24"/>
          <w:szCs w:val="24"/>
        </w:rPr>
        <w:t xml:space="preserve">však </w:t>
      </w:r>
      <w:r w:rsidRPr="00D43B82">
        <w:rPr>
          <w:rFonts w:ascii="Arial" w:hAnsi="Arial"/>
          <w:sz w:val="24"/>
          <w:szCs w:val="24"/>
        </w:rPr>
        <w:t>přetrvávají velké regionální rozdíly</w:t>
      </w:r>
      <w:r>
        <w:rPr>
          <w:rFonts w:ascii="Arial" w:hAnsi="Arial"/>
          <w:sz w:val="24"/>
          <w:szCs w:val="24"/>
        </w:rPr>
        <w:t>.</w:t>
      </w:r>
      <w:r w:rsidRPr="00D43B82">
        <w:rPr>
          <w:rFonts w:ascii="Arial" w:hAnsi="Arial"/>
        </w:rPr>
        <w:t xml:space="preserve"> </w:t>
      </w:r>
    </w:p>
    <w:p w:rsidR="00730AC8" w:rsidRPr="00263127" w:rsidRDefault="00730AC8" w:rsidP="00730AC8">
      <w:pPr>
        <w:tabs>
          <w:tab w:val="left" w:pos="0"/>
          <w:tab w:val="left" w:pos="72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line="360" w:lineRule="auto"/>
        <w:ind w:firstLine="720"/>
        <w:jc w:val="both"/>
        <w:rPr>
          <w:rFonts w:ascii="Arial" w:hAnsi="Arial"/>
          <w:b/>
        </w:rPr>
      </w:pPr>
      <w:r w:rsidRPr="00263127">
        <w:rPr>
          <w:rFonts w:ascii="Arial" w:hAnsi="Arial" w:cs="Arial"/>
          <w:b/>
        </w:rPr>
        <w:t>Podíl OZP</w:t>
      </w:r>
      <w:r w:rsidRPr="00263127">
        <w:rPr>
          <w:rFonts w:ascii="Arial" w:hAnsi="Arial" w:cs="Arial"/>
        </w:rPr>
        <w:t xml:space="preserve"> na celkovém počtu nezaměstnaných se </w:t>
      </w:r>
      <w:r>
        <w:rPr>
          <w:rFonts w:ascii="Arial" w:hAnsi="Arial" w:cs="Arial"/>
        </w:rPr>
        <w:t xml:space="preserve">celkově </w:t>
      </w:r>
      <w:r w:rsidRPr="00263127">
        <w:rPr>
          <w:rFonts w:ascii="Arial" w:hAnsi="Arial" w:cs="Arial"/>
          <w:b/>
        </w:rPr>
        <w:t>snížil</w:t>
      </w:r>
      <w:r w:rsidRPr="00263127">
        <w:rPr>
          <w:rFonts w:ascii="Arial" w:hAnsi="Arial" w:cs="Arial"/>
        </w:rPr>
        <w:t xml:space="preserve"> z 12,6 % </w:t>
      </w:r>
      <w:r w:rsidRPr="00263127">
        <w:rPr>
          <w:rFonts w:ascii="Arial" w:hAnsi="Arial" w:cs="Arial"/>
          <w:b/>
        </w:rPr>
        <w:t>na</w:t>
      </w:r>
      <w:r w:rsidRPr="00263127">
        <w:rPr>
          <w:rFonts w:ascii="Arial" w:hAnsi="Arial" w:cs="Arial"/>
        </w:rPr>
        <w:t xml:space="preserve"> </w:t>
      </w:r>
      <w:r w:rsidRPr="00263127">
        <w:rPr>
          <w:rFonts w:ascii="Arial" w:hAnsi="Arial" w:cs="Arial"/>
          <w:b/>
        </w:rPr>
        <w:t>11</w:t>
      </w:r>
      <w:r w:rsidRPr="00263127">
        <w:rPr>
          <w:rFonts w:ascii="Arial" w:hAnsi="Arial" w:cs="Arial"/>
          <w:b/>
          <w:bCs/>
        </w:rPr>
        <w:t xml:space="preserve">,4 %. Nadprůměrný podíl OZP </w:t>
      </w:r>
      <w:r w:rsidRPr="00263127">
        <w:rPr>
          <w:rFonts w:ascii="Arial" w:hAnsi="Arial" w:cs="Arial"/>
          <w:bCs/>
        </w:rPr>
        <w:t>byl na konci prvního pololetí</w:t>
      </w:r>
      <w:r w:rsidRPr="00263127">
        <w:rPr>
          <w:rFonts w:ascii="Arial" w:hAnsi="Arial" w:cs="Arial"/>
          <w:b/>
          <w:bCs/>
        </w:rPr>
        <w:t xml:space="preserve"> </w:t>
      </w:r>
      <w:r w:rsidRPr="00263127">
        <w:rPr>
          <w:rFonts w:ascii="Arial" w:hAnsi="Arial"/>
        </w:rPr>
        <w:t>zaznamenán v polovině krajů. Poklesl ve všech krajích</w:t>
      </w:r>
      <w:r w:rsidRPr="00263127">
        <w:rPr>
          <w:rFonts w:ascii="Arial" w:hAnsi="Arial"/>
          <w:b/>
        </w:rPr>
        <w:t xml:space="preserve">, nejvyšší zůstává </w:t>
      </w:r>
      <w:r w:rsidRPr="00263127">
        <w:rPr>
          <w:rFonts w:ascii="Arial" w:hAnsi="Arial"/>
        </w:rPr>
        <w:t>(podobně jako před rokem)</w:t>
      </w:r>
      <w:r w:rsidRPr="00263127">
        <w:rPr>
          <w:rFonts w:ascii="Arial" w:hAnsi="Arial"/>
          <w:b/>
        </w:rPr>
        <w:t xml:space="preserve"> v Kraji Vysočina (14,8 %), </w:t>
      </w:r>
      <w:r w:rsidRPr="00263127">
        <w:rPr>
          <w:rFonts w:ascii="Arial" w:hAnsi="Arial"/>
        </w:rPr>
        <w:t>Pardubickém (14,0 %), Jihočeské</w:t>
      </w:r>
      <w:r>
        <w:rPr>
          <w:rFonts w:ascii="Arial" w:hAnsi="Arial"/>
        </w:rPr>
        <w:t>m</w:t>
      </w:r>
      <w:r w:rsidRPr="00263127">
        <w:rPr>
          <w:rFonts w:ascii="Arial" w:hAnsi="Arial"/>
        </w:rPr>
        <w:t xml:space="preserve"> (13,8 %) a</w:t>
      </w:r>
      <w:r>
        <w:rPr>
          <w:rFonts w:ascii="Arial" w:hAnsi="Arial"/>
        </w:rPr>
        <w:t> </w:t>
      </w:r>
      <w:r w:rsidRPr="00263127">
        <w:rPr>
          <w:rFonts w:ascii="Arial" w:hAnsi="Arial"/>
        </w:rPr>
        <w:t>Zlínském kraji (13,4 %).</w:t>
      </w:r>
      <w:r w:rsidRPr="00263127">
        <w:rPr>
          <w:rFonts w:ascii="Arial" w:hAnsi="Arial"/>
          <w:b/>
        </w:rPr>
        <w:t xml:space="preserve"> </w:t>
      </w:r>
    </w:p>
    <w:p w:rsidR="00730AC8" w:rsidRPr="00EC70C4" w:rsidRDefault="00730AC8" w:rsidP="00730AC8">
      <w:pPr>
        <w:tabs>
          <w:tab w:val="left" w:pos="0"/>
          <w:tab w:val="left" w:pos="72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line="360" w:lineRule="auto"/>
        <w:ind w:firstLine="720"/>
        <w:jc w:val="both"/>
        <w:rPr>
          <w:rFonts w:ascii="Arial" w:hAnsi="Arial"/>
        </w:rPr>
      </w:pPr>
      <w:r w:rsidRPr="00EC70C4">
        <w:rPr>
          <w:rFonts w:ascii="Arial" w:hAnsi="Arial"/>
          <w:b/>
        </w:rPr>
        <w:t>Podíl</w:t>
      </w:r>
      <w:r w:rsidRPr="00EC70C4">
        <w:rPr>
          <w:rFonts w:ascii="Arial" w:hAnsi="Arial"/>
        </w:rPr>
        <w:t xml:space="preserve"> </w:t>
      </w:r>
      <w:r w:rsidRPr="00EC70C4">
        <w:rPr>
          <w:rFonts w:ascii="Arial" w:hAnsi="Arial"/>
          <w:b/>
        </w:rPr>
        <w:t xml:space="preserve">uchazečů </w:t>
      </w:r>
      <w:r w:rsidRPr="00EC70C4">
        <w:rPr>
          <w:rFonts w:ascii="Arial" w:hAnsi="Arial"/>
          <w:b/>
          <w:bCs/>
        </w:rPr>
        <w:t>o zaměstnání bez vzdělání nebo se základním vzděláním</w:t>
      </w:r>
      <w:r w:rsidRPr="00EC70C4">
        <w:rPr>
          <w:rFonts w:ascii="Arial" w:hAnsi="Arial"/>
        </w:rPr>
        <w:t xml:space="preserve"> </w:t>
      </w:r>
      <w:r w:rsidRPr="00D43B82">
        <w:rPr>
          <w:rFonts w:ascii="Arial" w:hAnsi="Arial"/>
          <w:b/>
        </w:rPr>
        <w:t>poklesl</w:t>
      </w:r>
      <w:r>
        <w:rPr>
          <w:rFonts w:ascii="Arial" w:hAnsi="Arial"/>
        </w:rPr>
        <w:t xml:space="preserve"> </w:t>
      </w:r>
      <w:r w:rsidRPr="00EC70C4">
        <w:rPr>
          <w:rFonts w:ascii="Arial" w:hAnsi="Arial"/>
        </w:rPr>
        <w:t xml:space="preserve">k 30. 6. 2013 </w:t>
      </w:r>
      <w:r>
        <w:rPr>
          <w:rFonts w:ascii="Arial" w:hAnsi="Arial"/>
        </w:rPr>
        <w:t xml:space="preserve">z 29,1 % </w:t>
      </w:r>
      <w:r w:rsidRPr="00D43B82">
        <w:rPr>
          <w:rFonts w:ascii="Arial" w:hAnsi="Arial"/>
          <w:b/>
        </w:rPr>
        <w:t>na 28,8 %</w:t>
      </w:r>
      <w:r w:rsidRPr="00EC70C4">
        <w:rPr>
          <w:rFonts w:ascii="Arial" w:hAnsi="Arial"/>
        </w:rPr>
        <w:t>, z pohledu krajů vzrostl pouze v Pardubickém kraji. Nejvyšší byl opět v Karlovarském (46,1 %) a Ústeckém kraji (42,4 %). Celorepubliková hodnota tohoto ukazatele byla překročena stejně jako před rokem i v Plzeňském, Moravskoslezském a Libereckém kraji.</w:t>
      </w:r>
    </w:p>
    <w:p w:rsidR="00730AC8" w:rsidRDefault="00730AC8" w:rsidP="00730AC8">
      <w:pPr>
        <w:pStyle w:val="Zkladntext"/>
        <w:spacing w:line="360" w:lineRule="auto"/>
        <w:ind w:firstLine="708"/>
        <w:rPr>
          <w:color w:val="auto"/>
          <w:szCs w:val="23"/>
          <w:lang w:val="cs-CZ"/>
        </w:rPr>
      </w:pPr>
      <w:r>
        <w:rPr>
          <w:b/>
          <w:color w:val="auto"/>
          <w:szCs w:val="23"/>
          <w:lang w:val="cs-CZ"/>
        </w:rPr>
        <w:t xml:space="preserve">Zastoupení osob starších 50 let kleslo </w:t>
      </w:r>
      <w:r w:rsidRPr="00B13219">
        <w:rPr>
          <w:color w:val="auto"/>
          <w:szCs w:val="23"/>
          <w:lang w:val="cs-CZ"/>
        </w:rPr>
        <w:t xml:space="preserve">z 27,5 % </w:t>
      </w:r>
      <w:r w:rsidRPr="00D43B82">
        <w:rPr>
          <w:b/>
          <w:color w:val="auto"/>
          <w:szCs w:val="23"/>
          <w:lang w:val="cs-CZ"/>
        </w:rPr>
        <w:t>na 27,0 %</w:t>
      </w:r>
      <w:r>
        <w:rPr>
          <w:b/>
          <w:color w:val="auto"/>
          <w:szCs w:val="23"/>
          <w:lang w:val="cs-CZ"/>
        </w:rPr>
        <w:t xml:space="preserve">, </w:t>
      </w:r>
      <w:r w:rsidRPr="00D43B82">
        <w:rPr>
          <w:color w:val="auto"/>
          <w:szCs w:val="23"/>
          <w:lang w:val="cs-CZ"/>
        </w:rPr>
        <w:t xml:space="preserve">podobně jako v ČR </w:t>
      </w:r>
      <w:r>
        <w:rPr>
          <w:b/>
          <w:color w:val="auto"/>
          <w:szCs w:val="23"/>
          <w:lang w:val="cs-CZ"/>
        </w:rPr>
        <w:t xml:space="preserve">se snížilo ve většině krajů, výjimkou byl Jihočeský kraj, </w:t>
      </w:r>
      <w:r w:rsidRPr="00B13219">
        <w:rPr>
          <w:color w:val="auto"/>
          <w:szCs w:val="23"/>
          <w:lang w:val="cs-CZ"/>
        </w:rPr>
        <w:t>kd</w:t>
      </w:r>
      <w:r>
        <w:rPr>
          <w:color w:val="auto"/>
          <w:szCs w:val="23"/>
          <w:lang w:val="cs-CZ"/>
        </w:rPr>
        <w:t>e</w:t>
      </w:r>
      <w:r w:rsidRPr="00B13219">
        <w:rPr>
          <w:color w:val="auto"/>
          <w:szCs w:val="23"/>
          <w:lang w:val="cs-CZ"/>
        </w:rPr>
        <w:t xml:space="preserve"> se jejich zastoupení nezměnilo</w:t>
      </w:r>
      <w:r>
        <w:rPr>
          <w:b/>
          <w:color w:val="auto"/>
          <w:szCs w:val="23"/>
          <w:lang w:val="cs-CZ"/>
        </w:rPr>
        <w:t xml:space="preserve">, a Ústecký kraj, </w:t>
      </w:r>
      <w:r w:rsidRPr="00B13219">
        <w:rPr>
          <w:color w:val="auto"/>
          <w:szCs w:val="23"/>
          <w:lang w:val="cs-CZ"/>
        </w:rPr>
        <w:t>kde vzrostlo o 0,1 p. b.</w:t>
      </w:r>
      <w:r>
        <w:rPr>
          <w:color w:val="auto"/>
          <w:szCs w:val="23"/>
          <w:lang w:val="cs-CZ"/>
        </w:rPr>
        <w:t xml:space="preserve"> (tento kraj však vykazuje i nadále nejnižší podíl – 24,5 %). </w:t>
      </w:r>
      <w:r>
        <w:rPr>
          <w:b/>
          <w:color w:val="auto"/>
          <w:szCs w:val="23"/>
          <w:lang w:val="cs-CZ"/>
        </w:rPr>
        <w:t xml:space="preserve"> Nadprůměrný podíl </w:t>
      </w:r>
      <w:r>
        <w:rPr>
          <w:color w:val="auto"/>
          <w:szCs w:val="23"/>
          <w:lang w:val="cs-CZ"/>
        </w:rPr>
        <w:t>byl</w:t>
      </w:r>
      <w:r w:rsidRPr="00B13219">
        <w:rPr>
          <w:color w:val="auto"/>
          <w:szCs w:val="23"/>
          <w:lang w:val="cs-CZ"/>
        </w:rPr>
        <w:t xml:space="preserve"> patrný v sedmi </w:t>
      </w:r>
      <w:r w:rsidRPr="00B13219">
        <w:rPr>
          <w:color w:val="auto"/>
          <w:szCs w:val="23"/>
          <w:lang w:val="cs-CZ"/>
        </w:rPr>
        <w:lastRenderedPageBreak/>
        <w:t>krajích, především</w:t>
      </w:r>
      <w:r>
        <w:rPr>
          <w:b/>
          <w:color w:val="auto"/>
          <w:szCs w:val="23"/>
          <w:lang w:val="cs-CZ"/>
        </w:rPr>
        <w:t xml:space="preserve"> v Moravskoslezském </w:t>
      </w:r>
      <w:r w:rsidRPr="00B13219">
        <w:rPr>
          <w:color w:val="auto"/>
          <w:szCs w:val="23"/>
          <w:lang w:val="cs-CZ"/>
        </w:rPr>
        <w:t>(28,8 %),</w:t>
      </w:r>
      <w:r>
        <w:rPr>
          <w:b/>
          <w:color w:val="auto"/>
          <w:szCs w:val="23"/>
          <w:lang w:val="cs-CZ"/>
        </w:rPr>
        <w:t xml:space="preserve"> Zlínském </w:t>
      </w:r>
      <w:r w:rsidRPr="00B13219">
        <w:rPr>
          <w:color w:val="auto"/>
          <w:szCs w:val="23"/>
          <w:lang w:val="cs-CZ"/>
        </w:rPr>
        <w:t>(28,3 %)</w:t>
      </w:r>
      <w:r>
        <w:rPr>
          <w:b/>
          <w:color w:val="auto"/>
          <w:szCs w:val="23"/>
          <w:lang w:val="cs-CZ"/>
        </w:rPr>
        <w:t xml:space="preserve">, Plzeňském </w:t>
      </w:r>
      <w:r w:rsidRPr="00B13219">
        <w:rPr>
          <w:color w:val="auto"/>
          <w:szCs w:val="23"/>
          <w:lang w:val="cs-CZ"/>
        </w:rPr>
        <w:t>(28,2 %)</w:t>
      </w:r>
      <w:r>
        <w:rPr>
          <w:b/>
          <w:color w:val="auto"/>
          <w:szCs w:val="23"/>
          <w:lang w:val="cs-CZ"/>
        </w:rPr>
        <w:t xml:space="preserve"> a Pardubickém kraji </w:t>
      </w:r>
      <w:r w:rsidRPr="00B13219">
        <w:rPr>
          <w:color w:val="auto"/>
          <w:szCs w:val="23"/>
          <w:lang w:val="cs-CZ"/>
        </w:rPr>
        <w:t>(28,1 %).</w:t>
      </w:r>
    </w:p>
    <w:p w:rsidR="00730AC8" w:rsidRPr="00FA7B07" w:rsidRDefault="00730AC8" w:rsidP="00730AC8">
      <w:pPr>
        <w:pStyle w:val="Zkladntext"/>
        <w:spacing w:line="360" w:lineRule="auto"/>
        <w:ind w:firstLine="708"/>
        <w:rPr>
          <w:color w:val="auto"/>
          <w:szCs w:val="23"/>
          <w:lang w:val="cs-CZ"/>
        </w:rPr>
      </w:pPr>
      <w:r w:rsidRPr="00D43B82">
        <w:rPr>
          <w:color w:val="auto"/>
          <w:szCs w:val="23"/>
          <w:lang w:val="cs-CZ"/>
        </w:rPr>
        <w:t>Naproti tomu</w:t>
      </w:r>
      <w:r>
        <w:rPr>
          <w:b/>
          <w:color w:val="auto"/>
          <w:szCs w:val="23"/>
          <w:lang w:val="cs-CZ"/>
        </w:rPr>
        <w:t xml:space="preserve"> </w:t>
      </w:r>
      <w:r w:rsidRPr="00D43B82">
        <w:rPr>
          <w:color w:val="auto"/>
          <w:szCs w:val="23"/>
          <w:lang w:val="cs-CZ"/>
        </w:rPr>
        <w:t>podíl uchazečů o zaměstnání v nejnižších věkových kategoriích vzrostl.</w:t>
      </w:r>
      <w:r>
        <w:rPr>
          <w:b/>
          <w:color w:val="auto"/>
          <w:szCs w:val="23"/>
          <w:lang w:val="cs-CZ"/>
        </w:rPr>
        <w:t xml:space="preserve"> Podíl mladých do 20 let vzrostl z 3,2 % na 3,4 %, do 25 let z 16,5 % na 16,8 %. </w:t>
      </w:r>
      <w:r w:rsidRPr="00FA7B07">
        <w:rPr>
          <w:color w:val="auto"/>
          <w:szCs w:val="23"/>
          <w:lang w:val="cs-CZ"/>
        </w:rPr>
        <w:t>Nejvyšší podíl mladých</w:t>
      </w:r>
      <w:r>
        <w:rPr>
          <w:b/>
          <w:color w:val="auto"/>
          <w:szCs w:val="23"/>
          <w:lang w:val="cs-CZ"/>
        </w:rPr>
        <w:t xml:space="preserve"> do 20 let </w:t>
      </w:r>
      <w:r w:rsidRPr="00FA7B07">
        <w:rPr>
          <w:color w:val="auto"/>
          <w:szCs w:val="23"/>
          <w:lang w:val="cs-CZ"/>
        </w:rPr>
        <w:t>evidují pracoviště ÚP</w:t>
      </w:r>
      <w:r w:rsidR="00484F19">
        <w:rPr>
          <w:color w:val="auto"/>
          <w:szCs w:val="23"/>
          <w:lang w:val="cs-CZ"/>
        </w:rPr>
        <w:t> ČR</w:t>
      </w:r>
      <w:r>
        <w:rPr>
          <w:b/>
          <w:color w:val="auto"/>
          <w:szCs w:val="23"/>
          <w:lang w:val="cs-CZ"/>
        </w:rPr>
        <w:t xml:space="preserve"> v Karlovarském </w:t>
      </w:r>
      <w:r w:rsidRPr="00FA7B07">
        <w:rPr>
          <w:color w:val="auto"/>
          <w:szCs w:val="23"/>
          <w:lang w:val="cs-CZ"/>
        </w:rPr>
        <w:t>(4,9 %)</w:t>
      </w:r>
      <w:r>
        <w:rPr>
          <w:b/>
          <w:color w:val="auto"/>
          <w:szCs w:val="23"/>
          <w:lang w:val="cs-CZ"/>
        </w:rPr>
        <w:t xml:space="preserve"> a Ústeckém kraji </w:t>
      </w:r>
      <w:r w:rsidRPr="00FA7B07">
        <w:rPr>
          <w:color w:val="auto"/>
          <w:szCs w:val="23"/>
          <w:lang w:val="cs-CZ"/>
        </w:rPr>
        <w:t>(4,3 %),</w:t>
      </w:r>
      <w:r>
        <w:rPr>
          <w:b/>
          <w:color w:val="auto"/>
          <w:szCs w:val="23"/>
          <w:lang w:val="cs-CZ"/>
        </w:rPr>
        <w:t xml:space="preserve"> </w:t>
      </w:r>
      <w:r w:rsidRPr="00FA7B07">
        <w:rPr>
          <w:color w:val="auto"/>
          <w:szCs w:val="23"/>
          <w:lang w:val="cs-CZ"/>
        </w:rPr>
        <w:t>nejvyšší zastoupení mají mladí</w:t>
      </w:r>
      <w:r>
        <w:rPr>
          <w:b/>
          <w:color w:val="auto"/>
          <w:szCs w:val="23"/>
          <w:lang w:val="cs-CZ"/>
        </w:rPr>
        <w:t xml:space="preserve"> do 25 let v Královéhradeckém </w:t>
      </w:r>
      <w:r w:rsidRPr="00FA7B07">
        <w:rPr>
          <w:color w:val="auto"/>
          <w:szCs w:val="23"/>
          <w:lang w:val="cs-CZ"/>
        </w:rPr>
        <w:t>(18,4 %)</w:t>
      </w:r>
      <w:r>
        <w:rPr>
          <w:b/>
          <w:color w:val="auto"/>
          <w:szCs w:val="23"/>
          <w:lang w:val="cs-CZ"/>
        </w:rPr>
        <w:t xml:space="preserve"> a Karlovarském kraji </w:t>
      </w:r>
      <w:r w:rsidRPr="00FA7B07">
        <w:rPr>
          <w:color w:val="auto"/>
          <w:szCs w:val="23"/>
          <w:lang w:val="cs-CZ"/>
        </w:rPr>
        <w:t>(18,2 %).</w:t>
      </w:r>
    </w:p>
    <w:p w:rsidR="00730AC8" w:rsidRPr="00296A7B" w:rsidRDefault="00730AC8" w:rsidP="00730AC8">
      <w:pPr>
        <w:pStyle w:val="Zkladntext"/>
        <w:spacing w:line="360" w:lineRule="auto"/>
        <w:ind w:firstLine="708"/>
        <w:rPr>
          <w:bCs/>
          <w:color w:val="auto"/>
          <w:szCs w:val="23"/>
        </w:rPr>
      </w:pPr>
      <w:r>
        <w:rPr>
          <w:b/>
          <w:color w:val="auto"/>
          <w:szCs w:val="23"/>
          <w:lang w:val="cs-CZ"/>
        </w:rPr>
        <w:t xml:space="preserve"> </w:t>
      </w:r>
      <w:r w:rsidRPr="00296A7B">
        <w:rPr>
          <w:b/>
          <w:color w:val="auto"/>
          <w:szCs w:val="23"/>
        </w:rPr>
        <w:t xml:space="preserve">V regionech s nadprůměrnou nezaměstnaností je vyšší </w:t>
      </w:r>
      <w:r w:rsidRPr="00296A7B">
        <w:rPr>
          <w:b/>
          <w:bCs/>
          <w:color w:val="auto"/>
          <w:szCs w:val="23"/>
        </w:rPr>
        <w:t>dlouhodobá nezaměstnanost</w:t>
      </w:r>
      <w:r>
        <w:rPr>
          <w:b/>
          <w:bCs/>
          <w:color w:val="auto"/>
          <w:szCs w:val="23"/>
          <w:lang w:val="cs-CZ"/>
        </w:rPr>
        <w:t xml:space="preserve"> </w:t>
      </w:r>
      <w:r w:rsidRPr="00C275FF">
        <w:rPr>
          <w:bCs/>
          <w:color w:val="auto"/>
          <w:szCs w:val="23"/>
          <w:lang w:val="cs-CZ"/>
        </w:rPr>
        <w:t>(nad 12 měsíců)</w:t>
      </w:r>
      <w:r w:rsidRPr="00C275FF">
        <w:rPr>
          <w:color w:val="auto"/>
          <w:szCs w:val="23"/>
        </w:rPr>
        <w:t>.</w:t>
      </w:r>
      <w:r w:rsidRPr="00296A7B">
        <w:rPr>
          <w:color w:val="auto"/>
          <w:szCs w:val="23"/>
        </w:rPr>
        <w:t xml:space="preserve"> Dlouhodobou nezaměstnaností jsou </w:t>
      </w:r>
      <w:r w:rsidRPr="00296A7B">
        <w:rPr>
          <w:b/>
          <w:color w:val="auto"/>
          <w:szCs w:val="23"/>
        </w:rPr>
        <w:t>nejvíce</w:t>
      </w:r>
      <w:r w:rsidRPr="00296A7B">
        <w:rPr>
          <w:color w:val="auto"/>
          <w:szCs w:val="23"/>
        </w:rPr>
        <w:t xml:space="preserve"> </w:t>
      </w:r>
      <w:r w:rsidRPr="00296A7B">
        <w:rPr>
          <w:color w:val="auto"/>
        </w:rPr>
        <w:t xml:space="preserve">postiženy </w:t>
      </w:r>
      <w:r w:rsidRPr="00F17C70">
        <w:rPr>
          <w:b/>
          <w:color w:val="auto"/>
        </w:rPr>
        <w:t>Ústeck</w:t>
      </w:r>
      <w:r w:rsidRPr="00F17C70">
        <w:rPr>
          <w:b/>
          <w:color w:val="auto"/>
          <w:lang w:val="cs-CZ"/>
        </w:rPr>
        <w:t>ý</w:t>
      </w:r>
      <w:r w:rsidRPr="00296A7B">
        <w:rPr>
          <w:color w:val="auto"/>
          <w:lang w:val="cs-CZ"/>
        </w:rPr>
        <w:t xml:space="preserve"> (4</w:t>
      </w:r>
      <w:r>
        <w:rPr>
          <w:color w:val="auto"/>
          <w:lang w:val="cs-CZ"/>
        </w:rPr>
        <w:t>4</w:t>
      </w:r>
      <w:r w:rsidRPr="00296A7B">
        <w:rPr>
          <w:color w:val="auto"/>
          <w:lang w:val="cs-CZ"/>
        </w:rPr>
        <w:t>,</w:t>
      </w:r>
      <w:r>
        <w:rPr>
          <w:color w:val="auto"/>
          <w:lang w:val="cs-CZ"/>
        </w:rPr>
        <w:t>6</w:t>
      </w:r>
      <w:r w:rsidRPr="00296A7B">
        <w:rPr>
          <w:color w:val="auto"/>
          <w:lang w:val="cs-CZ"/>
        </w:rPr>
        <w:t xml:space="preserve"> %), </w:t>
      </w:r>
      <w:r w:rsidRPr="00F17C70">
        <w:rPr>
          <w:b/>
          <w:color w:val="auto"/>
        </w:rPr>
        <w:t>Moravskoslezsk</w:t>
      </w:r>
      <w:r w:rsidRPr="00F17C70">
        <w:rPr>
          <w:b/>
          <w:color w:val="auto"/>
          <w:lang w:val="cs-CZ"/>
        </w:rPr>
        <w:t>ý</w:t>
      </w:r>
      <w:r w:rsidRPr="00296A7B">
        <w:rPr>
          <w:color w:val="auto"/>
          <w:lang w:val="cs-CZ"/>
        </w:rPr>
        <w:t xml:space="preserve"> (43,</w:t>
      </w:r>
      <w:r>
        <w:rPr>
          <w:color w:val="auto"/>
          <w:lang w:val="cs-CZ"/>
        </w:rPr>
        <w:t>6</w:t>
      </w:r>
      <w:r w:rsidRPr="00296A7B">
        <w:rPr>
          <w:color w:val="auto"/>
          <w:lang w:val="cs-CZ"/>
        </w:rPr>
        <w:t> %)</w:t>
      </w:r>
      <w:r w:rsidRPr="00296A7B">
        <w:rPr>
          <w:color w:val="auto"/>
        </w:rPr>
        <w:t xml:space="preserve">, </w:t>
      </w:r>
      <w:r w:rsidRPr="00F17C70">
        <w:rPr>
          <w:b/>
          <w:color w:val="auto"/>
          <w:lang w:val="cs-CZ"/>
        </w:rPr>
        <w:t>Olomoucký a</w:t>
      </w:r>
      <w:r>
        <w:rPr>
          <w:b/>
          <w:color w:val="auto"/>
          <w:lang w:val="cs-CZ"/>
        </w:rPr>
        <w:t> </w:t>
      </w:r>
      <w:r w:rsidRPr="00F17C70">
        <w:rPr>
          <w:b/>
          <w:color w:val="auto"/>
          <w:lang w:val="cs-CZ"/>
        </w:rPr>
        <w:t>Jihomoravský</w:t>
      </w:r>
      <w:r>
        <w:rPr>
          <w:color w:val="auto"/>
          <w:lang w:val="cs-CZ"/>
        </w:rPr>
        <w:t xml:space="preserve"> </w:t>
      </w:r>
      <w:r w:rsidRPr="00296A7B">
        <w:rPr>
          <w:color w:val="auto"/>
          <w:lang w:val="cs-CZ"/>
        </w:rPr>
        <w:t>(41,</w:t>
      </w:r>
      <w:r>
        <w:rPr>
          <w:color w:val="auto"/>
          <w:lang w:val="cs-CZ"/>
        </w:rPr>
        <w:t>5</w:t>
      </w:r>
      <w:r w:rsidRPr="00296A7B">
        <w:rPr>
          <w:color w:val="auto"/>
          <w:lang w:val="cs-CZ"/>
        </w:rPr>
        <w:t xml:space="preserve"> %), </w:t>
      </w:r>
      <w:r w:rsidRPr="00F17C70">
        <w:rPr>
          <w:b/>
          <w:color w:val="auto"/>
        </w:rPr>
        <w:t>Karlovarsk</w:t>
      </w:r>
      <w:r w:rsidRPr="00F17C70">
        <w:rPr>
          <w:b/>
          <w:color w:val="auto"/>
          <w:lang w:val="cs-CZ"/>
        </w:rPr>
        <w:t xml:space="preserve">ý </w:t>
      </w:r>
      <w:r w:rsidRPr="00F17C70">
        <w:rPr>
          <w:b/>
          <w:color w:val="auto"/>
        </w:rPr>
        <w:t>kraj</w:t>
      </w:r>
      <w:r w:rsidRPr="00296A7B">
        <w:rPr>
          <w:color w:val="auto"/>
          <w:lang w:val="cs-CZ"/>
        </w:rPr>
        <w:t xml:space="preserve"> (40,</w:t>
      </w:r>
      <w:r>
        <w:rPr>
          <w:color w:val="auto"/>
          <w:lang w:val="cs-CZ"/>
        </w:rPr>
        <w:t>7</w:t>
      </w:r>
      <w:r w:rsidRPr="00296A7B">
        <w:rPr>
          <w:color w:val="auto"/>
          <w:lang w:val="cs-CZ"/>
        </w:rPr>
        <w:t xml:space="preserve"> %) a </w:t>
      </w:r>
      <w:r w:rsidRPr="00F17C70">
        <w:rPr>
          <w:b/>
          <w:color w:val="auto"/>
          <w:lang w:val="cs-CZ"/>
        </w:rPr>
        <w:t>Kraj Vysočina</w:t>
      </w:r>
      <w:r w:rsidRPr="00296A7B">
        <w:rPr>
          <w:color w:val="auto"/>
          <w:lang w:val="cs-CZ"/>
        </w:rPr>
        <w:t xml:space="preserve"> (40,3 %</w:t>
      </w:r>
      <w:r>
        <w:rPr>
          <w:color w:val="auto"/>
          <w:lang w:val="cs-CZ"/>
        </w:rPr>
        <w:t xml:space="preserve"> všech uchazečů o zaměstnání</w:t>
      </w:r>
      <w:r w:rsidRPr="00296A7B">
        <w:rPr>
          <w:color w:val="auto"/>
          <w:lang w:val="cs-CZ"/>
        </w:rPr>
        <w:t>).</w:t>
      </w:r>
      <w:r w:rsidRPr="00296A7B">
        <w:rPr>
          <w:color w:val="auto"/>
        </w:rPr>
        <w:t xml:space="preserve"> </w:t>
      </w:r>
      <w:r w:rsidRPr="00296A7B">
        <w:rPr>
          <w:bCs/>
          <w:color w:val="auto"/>
          <w:szCs w:val="23"/>
        </w:rPr>
        <w:t xml:space="preserve">Nejnižší podíl </w:t>
      </w:r>
      <w:r w:rsidRPr="00296A7B">
        <w:rPr>
          <w:bCs/>
          <w:color w:val="auto"/>
          <w:szCs w:val="23"/>
          <w:lang w:val="cs-CZ"/>
        </w:rPr>
        <w:t>dlouhodobě nezaměstnaných</w:t>
      </w:r>
      <w:r w:rsidRPr="00296A7B">
        <w:rPr>
          <w:bCs/>
          <w:color w:val="auto"/>
          <w:szCs w:val="23"/>
        </w:rPr>
        <w:t xml:space="preserve"> </w:t>
      </w:r>
      <w:r w:rsidRPr="00296A7B">
        <w:rPr>
          <w:bCs/>
          <w:color w:val="auto"/>
          <w:szCs w:val="23"/>
          <w:lang w:val="cs-CZ"/>
        </w:rPr>
        <w:t>byl v</w:t>
      </w:r>
      <w:r w:rsidRPr="00296A7B">
        <w:rPr>
          <w:bCs/>
          <w:color w:val="auto"/>
          <w:szCs w:val="23"/>
        </w:rPr>
        <w:t> </w:t>
      </w:r>
      <w:r w:rsidRPr="00296A7B">
        <w:rPr>
          <w:bCs/>
          <w:color w:val="auto"/>
          <w:szCs w:val="23"/>
          <w:lang w:val="cs-CZ"/>
        </w:rPr>
        <w:t xml:space="preserve">krajích </w:t>
      </w:r>
      <w:r w:rsidRPr="00296A7B">
        <w:rPr>
          <w:bCs/>
          <w:color w:val="auto"/>
          <w:szCs w:val="23"/>
        </w:rPr>
        <w:t>s nízkou nezaměstnaností</w:t>
      </w:r>
      <w:r>
        <w:rPr>
          <w:bCs/>
          <w:color w:val="auto"/>
          <w:szCs w:val="23"/>
          <w:lang w:val="cs-CZ"/>
        </w:rPr>
        <w:t> – v </w:t>
      </w:r>
      <w:r w:rsidRPr="00296A7B">
        <w:rPr>
          <w:bCs/>
          <w:color w:val="auto"/>
          <w:szCs w:val="23"/>
          <w:lang w:val="cs-CZ"/>
        </w:rPr>
        <w:t>Hl.</w:t>
      </w:r>
      <w:r>
        <w:rPr>
          <w:bCs/>
          <w:color w:val="auto"/>
          <w:szCs w:val="23"/>
          <w:lang w:val="cs-CZ"/>
        </w:rPr>
        <w:t> </w:t>
      </w:r>
      <w:r w:rsidRPr="00296A7B">
        <w:rPr>
          <w:bCs/>
          <w:color w:val="auto"/>
          <w:szCs w:val="23"/>
          <w:lang w:val="cs-CZ"/>
        </w:rPr>
        <w:t xml:space="preserve">m. </w:t>
      </w:r>
      <w:r w:rsidRPr="00296A7B">
        <w:rPr>
          <w:bCs/>
          <w:color w:val="auto"/>
          <w:szCs w:val="23"/>
        </w:rPr>
        <w:t>Pra</w:t>
      </w:r>
      <w:r>
        <w:rPr>
          <w:bCs/>
          <w:color w:val="auto"/>
          <w:szCs w:val="23"/>
          <w:lang w:val="cs-CZ"/>
        </w:rPr>
        <w:t>ze (29,9 %)</w:t>
      </w:r>
      <w:r w:rsidRPr="00296A7B">
        <w:rPr>
          <w:bCs/>
          <w:color w:val="auto"/>
          <w:szCs w:val="23"/>
          <w:lang w:val="cs-CZ"/>
        </w:rPr>
        <w:t>,</w:t>
      </w:r>
      <w:r w:rsidRPr="00296A7B">
        <w:rPr>
          <w:bCs/>
          <w:color w:val="auto"/>
          <w:szCs w:val="23"/>
        </w:rPr>
        <w:t> Královéhradeck</w:t>
      </w:r>
      <w:r>
        <w:rPr>
          <w:bCs/>
          <w:color w:val="auto"/>
          <w:szCs w:val="23"/>
          <w:lang w:val="cs-CZ"/>
        </w:rPr>
        <w:t>ém</w:t>
      </w:r>
      <w:r w:rsidRPr="00296A7B">
        <w:rPr>
          <w:bCs/>
          <w:color w:val="auto"/>
          <w:szCs w:val="23"/>
          <w:lang w:val="cs-CZ"/>
        </w:rPr>
        <w:t xml:space="preserve"> a</w:t>
      </w:r>
      <w:r>
        <w:rPr>
          <w:bCs/>
          <w:color w:val="auto"/>
          <w:szCs w:val="23"/>
          <w:lang w:val="cs-CZ"/>
        </w:rPr>
        <w:t> </w:t>
      </w:r>
      <w:r w:rsidRPr="00296A7B">
        <w:rPr>
          <w:bCs/>
          <w:color w:val="auto"/>
          <w:szCs w:val="23"/>
          <w:lang w:val="cs-CZ"/>
        </w:rPr>
        <w:t>Jihočesk</w:t>
      </w:r>
      <w:r>
        <w:rPr>
          <w:bCs/>
          <w:color w:val="auto"/>
          <w:szCs w:val="23"/>
          <w:lang w:val="cs-CZ"/>
        </w:rPr>
        <w:t>ém</w:t>
      </w:r>
      <w:r w:rsidRPr="00296A7B">
        <w:rPr>
          <w:bCs/>
          <w:color w:val="auto"/>
          <w:szCs w:val="23"/>
          <w:lang w:val="cs-CZ"/>
        </w:rPr>
        <w:t xml:space="preserve"> kraj</w:t>
      </w:r>
      <w:r>
        <w:rPr>
          <w:bCs/>
          <w:color w:val="auto"/>
          <w:szCs w:val="23"/>
          <w:lang w:val="cs-CZ"/>
        </w:rPr>
        <w:t>i (32,6 %) a Plzeňském kraji (34,9 %).</w:t>
      </w:r>
      <w:r w:rsidRPr="00296A7B">
        <w:rPr>
          <w:bCs/>
          <w:color w:val="auto"/>
          <w:szCs w:val="23"/>
        </w:rPr>
        <w:t xml:space="preserve"> </w:t>
      </w:r>
    </w:p>
    <w:p w:rsidR="00730AC8" w:rsidRPr="002E5181" w:rsidRDefault="00730AC8" w:rsidP="00730AC8">
      <w:pPr>
        <w:pStyle w:val="Zhlav"/>
        <w:tabs>
          <w:tab w:val="clear" w:pos="4536"/>
          <w:tab w:val="clear" w:pos="9072"/>
          <w:tab w:val="left" w:pos="0"/>
          <w:tab w:val="left" w:pos="72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line="360" w:lineRule="auto"/>
        <w:ind w:firstLine="720"/>
        <w:jc w:val="both"/>
        <w:rPr>
          <w:rFonts w:ascii="Arial" w:hAnsi="Arial" w:cs="Arial"/>
          <w:sz w:val="24"/>
          <w:szCs w:val="23"/>
          <w:highlight w:val="yellow"/>
        </w:rPr>
      </w:pPr>
      <w:r>
        <w:rPr>
          <w:rFonts w:ascii="Arial" w:hAnsi="Arial" w:cs="Arial"/>
          <w:b/>
          <w:bCs/>
          <w:sz w:val="24"/>
          <w:szCs w:val="23"/>
        </w:rPr>
        <w:t>Průměrná d</w:t>
      </w:r>
      <w:r w:rsidRPr="002E5181">
        <w:rPr>
          <w:rFonts w:ascii="Arial" w:hAnsi="Arial" w:cs="Arial"/>
          <w:b/>
          <w:bCs/>
          <w:sz w:val="24"/>
          <w:szCs w:val="23"/>
        </w:rPr>
        <w:t xml:space="preserve">élka ukončené evidence </w:t>
      </w:r>
      <w:r w:rsidRPr="00F17C70">
        <w:rPr>
          <w:rFonts w:ascii="Arial" w:hAnsi="Arial" w:cs="Arial"/>
          <w:bCs/>
          <w:sz w:val="24"/>
          <w:szCs w:val="23"/>
        </w:rPr>
        <w:t>(</w:t>
      </w:r>
      <w:r w:rsidRPr="00F17C70">
        <w:rPr>
          <w:rFonts w:ascii="Arial" w:hAnsi="Arial" w:cs="Arial"/>
          <w:sz w:val="24"/>
          <w:szCs w:val="23"/>
        </w:rPr>
        <w:t>tj. </w:t>
      </w:r>
      <w:r w:rsidRPr="00F17C70">
        <w:rPr>
          <w:rFonts w:ascii="Arial" w:hAnsi="Arial" w:cs="Arial"/>
          <w:bCs/>
          <w:sz w:val="24"/>
          <w:szCs w:val="23"/>
        </w:rPr>
        <w:t>průměrná délka evidence uchazečů o zaměstnání, kteří byli vyřazeni z</w:t>
      </w:r>
      <w:r>
        <w:rPr>
          <w:rFonts w:ascii="Arial" w:hAnsi="Arial" w:cs="Arial"/>
          <w:bCs/>
          <w:sz w:val="24"/>
          <w:szCs w:val="23"/>
        </w:rPr>
        <w:t> </w:t>
      </w:r>
      <w:r w:rsidRPr="00F17C70">
        <w:rPr>
          <w:rFonts w:ascii="Arial" w:hAnsi="Arial" w:cs="Arial"/>
          <w:bCs/>
          <w:sz w:val="24"/>
          <w:szCs w:val="23"/>
        </w:rPr>
        <w:t>evidence</w:t>
      </w:r>
      <w:r>
        <w:rPr>
          <w:rFonts w:ascii="Arial" w:hAnsi="Arial" w:cs="Arial"/>
          <w:bCs/>
          <w:sz w:val="24"/>
          <w:szCs w:val="23"/>
        </w:rPr>
        <w:t>) v</w:t>
      </w:r>
      <w:r w:rsidRPr="002E5181">
        <w:rPr>
          <w:rFonts w:ascii="Arial" w:hAnsi="Arial" w:cs="Arial"/>
          <w:b/>
          <w:bCs/>
          <w:sz w:val="24"/>
          <w:szCs w:val="23"/>
        </w:rPr>
        <w:t xml:space="preserve"> krajích s vysokou nezaměstnaností</w:t>
      </w:r>
      <w:r w:rsidRPr="002E5181">
        <w:rPr>
          <w:rFonts w:ascii="Arial" w:hAnsi="Arial" w:cs="Arial"/>
          <w:bCs/>
          <w:sz w:val="24"/>
          <w:szCs w:val="23"/>
        </w:rPr>
        <w:t xml:space="preserve"> bývá </w:t>
      </w:r>
      <w:r>
        <w:rPr>
          <w:rFonts w:ascii="Arial" w:hAnsi="Arial" w:cs="Arial"/>
          <w:bCs/>
          <w:sz w:val="24"/>
          <w:szCs w:val="23"/>
        </w:rPr>
        <w:t xml:space="preserve">také nadprůměrná. </w:t>
      </w:r>
      <w:r w:rsidRPr="002E5181">
        <w:rPr>
          <w:rFonts w:ascii="Arial" w:hAnsi="Arial" w:cs="Arial"/>
          <w:sz w:val="24"/>
          <w:szCs w:val="23"/>
        </w:rPr>
        <w:t>Nejdéle byli vedeni v evidenci uchazeči o zaměstnání v Moravskoslezském (3</w:t>
      </w:r>
      <w:r>
        <w:rPr>
          <w:rFonts w:ascii="Arial" w:hAnsi="Arial" w:cs="Arial"/>
          <w:sz w:val="24"/>
          <w:szCs w:val="23"/>
        </w:rPr>
        <w:t>72</w:t>
      </w:r>
      <w:r w:rsidRPr="002E5181">
        <w:rPr>
          <w:rFonts w:ascii="Arial" w:hAnsi="Arial" w:cs="Arial"/>
          <w:sz w:val="24"/>
          <w:szCs w:val="23"/>
        </w:rPr>
        <w:t xml:space="preserve">), </w:t>
      </w:r>
      <w:r>
        <w:rPr>
          <w:rFonts w:ascii="Arial" w:hAnsi="Arial" w:cs="Arial"/>
          <w:sz w:val="24"/>
          <w:szCs w:val="23"/>
        </w:rPr>
        <w:t xml:space="preserve">Olomouckém </w:t>
      </w:r>
      <w:r w:rsidRPr="002E5181">
        <w:rPr>
          <w:rFonts w:ascii="Arial" w:hAnsi="Arial" w:cs="Arial"/>
          <w:sz w:val="24"/>
          <w:szCs w:val="23"/>
        </w:rPr>
        <w:t>(3</w:t>
      </w:r>
      <w:r>
        <w:rPr>
          <w:rFonts w:ascii="Arial" w:hAnsi="Arial" w:cs="Arial"/>
          <w:sz w:val="24"/>
          <w:szCs w:val="23"/>
        </w:rPr>
        <w:t>58</w:t>
      </w:r>
      <w:r w:rsidRPr="002E5181">
        <w:rPr>
          <w:rFonts w:ascii="Arial" w:hAnsi="Arial" w:cs="Arial"/>
          <w:sz w:val="24"/>
          <w:szCs w:val="23"/>
        </w:rPr>
        <w:t>)</w:t>
      </w:r>
      <w:r>
        <w:rPr>
          <w:rFonts w:ascii="Arial" w:hAnsi="Arial" w:cs="Arial"/>
          <w:sz w:val="24"/>
          <w:szCs w:val="23"/>
        </w:rPr>
        <w:t>,</w:t>
      </w:r>
      <w:r w:rsidRPr="002E5181">
        <w:rPr>
          <w:rFonts w:ascii="Arial" w:hAnsi="Arial" w:cs="Arial"/>
          <w:sz w:val="24"/>
          <w:szCs w:val="23"/>
        </w:rPr>
        <w:t xml:space="preserve"> Ústeckém </w:t>
      </w:r>
      <w:r>
        <w:rPr>
          <w:rFonts w:ascii="Arial" w:hAnsi="Arial" w:cs="Arial"/>
          <w:sz w:val="24"/>
          <w:szCs w:val="23"/>
        </w:rPr>
        <w:t xml:space="preserve">(354) </w:t>
      </w:r>
      <w:r w:rsidRPr="002E5181">
        <w:rPr>
          <w:rFonts w:ascii="Arial" w:hAnsi="Arial" w:cs="Arial"/>
          <w:sz w:val="24"/>
          <w:szCs w:val="23"/>
        </w:rPr>
        <w:t>a Zlínském kraji (3</w:t>
      </w:r>
      <w:r>
        <w:rPr>
          <w:rFonts w:ascii="Arial" w:hAnsi="Arial" w:cs="Arial"/>
          <w:sz w:val="24"/>
          <w:szCs w:val="23"/>
        </w:rPr>
        <w:t>38</w:t>
      </w:r>
      <w:r w:rsidRPr="002E5181">
        <w:rPr>
          <w:rFonts w:ascii="Arial" w:hAnsi="Arial" w:cs="Arial"/>
          <w:sz w:val="24"/>
          <w:szCs w:val="23"/>
        </w:rPr>
        <w:t xml:space="preserve"> dní). V krajích s nejnižší nezaměstnaností je délka nezaměstnanosti obvykle výrazně kratší, délk</w:t>
      </w:r>
      <w:r>
        <w:rPr>
          <w:rFonts w:ascii="Arial" w:hAnsi="Arial" w:cs="Arial"/>
          <w:sz w:val="24"/>
          <w:szCs w:val="23"/>
        </w:rPr>
        <w:t>a</w:t>
      </w:r>
      <w:r w:rsidRPr="002E5181">
        <w:rPr>
          <w:rFonts w:ascii="Arial" w:hAnsi="Arial" w:cs="Arial"/>
          <w:sz w:val="24"/>
          <w:szCs w:val="23"/>
        </w:rPr>
        <w:t xml:space="preserve"> ukončené evidence nižší než 2</w:t>
      </w:r>
      <w:r>
        <w:rPr>
          <w:rFonts w:ascii="Arial" w:hAnsi="Arial" w:cs="Arial"/>
          <w:sz w:val="24"/>
          <w:szCs w:val="23"/>
        </w:rPr>
        <w:t>7</w:t>
      </w:r>
      <w:r w:rsidRPr="002E5181">
        <w:rPr>
          <w:rFonts w:ascii="Arial" w:hAnsi="Arial" w:cs="Arial"/>
          <w:sz w:val="24"/>
          <w:szCs w:val="23"/>
        </w:rPr>
        <w:t>0 dní byla v Hl. m. Praze, Plzeňském</w:t>
      </w:r>
      <w:r>
        <w:rPr>
          <w:rFonts w:ascii="Arial" w:hAnsi="Arial" w:cs="Arial"/>
          <w:sz w:val="24"/>
          <w:szCs w:val="23"/>
        </w:rPr>
        <w:t>,</w:t>
      </w:r>
      <w:r w:rsidRPr="002E5181">
        <w:rPr>
          <w:rFonts w:ascii="Arial" w:hAnsi="Arial" w:cs="Arial"/>
          <w:sz w:val="24"/>
          <w:szCs w:val="23"/>
        </w:rPr>
        <w:t xml:space="preserve"> Jihočeském </w:t>
      </w:r>
      <w:r>
        <w:rPr>
          <w:rFonts w:ascii="Arial" w:hAnsi="Arial" w:cs="Arial"/>
          <w:sz w:val="24"/>
          <w:szCs w:val="23"/>
        </w:rPr>
        <w:t xml:space="preserve">a </w:t>
      </w:r>
      <w:r w:rsidRPr="002E5181">
        <w:rPr>
          <w:rFonts w:ascii="Arial" w:hAnsi="Arial" w:cs="Arial"/>
          <w:sz w:val="24"/>
          <w:szCs w:val="23"/>
        </w:rPr>
        <w:t xml:space="preserve">Královéhradeckém kraji. Celostátní průměr měl hodnotu </w:t>
      </w:r>
      <w:r>
        <w:rPr>
          <w:rFonts w:ascii="Arial" w:hAnsi="Arial" w:cs="Arial"/>
          <w:sz w:val="24"/>
          <w:szCs w:val="23"/>
        </w:rPr>
        <w:t>314</w:t>
      </w:r>
      <w:r w:rsidRPr="002E5181">
        <w:rPr>
          <w:rFonts w:ascii="Arial" w:hAnsi="Arial" w:cs="Arial"/>
          <w:sz w:val="24"/>
          <w:szCs w:val="23"/>
        </w:rPr>
        <w:t xml:space="preserve"> dní.</w:t>
      </w:r>
    </w:p>
    <w:p w:rsidR="00730AC8" w:rsidRPr="002E5181" w:rsidRDefault="00730AC8" w:rsidP="00730AC8">
      <w:pPr>
        <w:pStyle w:val="Zhlav"/>
        <w:tabs>
          <w:tab w:val="clear" w:pos="4536"/>
          <w:tab w:val="clear" w:pos="9072"/>
          <w:tab w:val="left" w:pos="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line="360" w:lineRule="auto"/>
        <w:ind w:firstLine="720"/>
        <w:jc w:val="both"/>
        <w:rPr>
          <w:rFonts w:ascii="Arial" w:hAnsi="Arial" w:cs="Arial"/>
          <w:sz w:val="24"/>
          <w:szCs w:val="24"/>
        </w:rPr>
      </w:pPr>
      <w:r w:rsidRPr="002E5181">
        <w:rPr>
          <w:rFonts w:ascii="Arial" w:hAnsi="Arial" w:cs="Arial"/>
          <w:sz w:val="24"/>
          <w:szCs w:val="23"/>
        </w:rPr>
        <w:t>Průměrná délka evidence uchazečů o zaměstnání, kteří byli v evidenci ÚP</w:t>
      </w:r>
      <w:r w:rsidR="00484F19">
        <w:rPr>
          <w:rFonts w:ascii="Arial" w:hAnsi="Arial" w:cs="Arial"/>
          <w:sz w:val="24"/>
          <w:szCs w:val="23"/>
        </w:rPr>
        <w:t xml:space="preserve"> ČR </w:t>
      </w:r>
      <w:r w:rsidRPr="002E5181">
        <w:rPr>
          <w:rFonts w:ascii="Arial" w:hAnsi="Arial" w:cs="Arial"/>
          <w:sz w:val="24"/>
          <w:szCs w:val="23"/>
        </w:rPr>
        <w:t>k 30. 6. 201</w:t>
      </w:r>
      <w:r>
        <w:rPr>
          <w:rFonts w:ascii="Arial" w:hAnsi="Arial" w:cs="Arial"/>
          <w:sz w:val="24"/>
          <w:szCs w:val="23"/>
        </w:rPr>
        <w:t>3</w:t>
      </w:r>
      <w:r w:rsidRPr="002E5181">
        <w:rPr>
          <w:rFonts w:ascii="Arial" w:hAnsi="Arial" w:cs="Arial"/>
          <w:sz w:val="24"/>
          <w:szCs w:val="23"/>
        </w:rPr>
        <w:t>, tzv. </w:t>
      </w:r>
      <w:r w:rsidRPr="002E5181">
        <w:rPr>
          <w:rFonts w:ascii="Arial" w:hAnsi="Arial" w:cs="Arial"/>
          <w:b/>
          <w:bCs/>
          <w:sz w:val="24"/>
          <w:szCs w:val="23"/>
        </w:rPr>
        <w:t>délka průběžné evidence</w:t>
      </w:r>
      <w:r w:rsidRPr="002E5181">
        <w:rPr>
          <w:rFonts w:ascii="Arial" w:hAnsi="Arial" w:cs="Arial"/>
          <w:sz w:val="24"/>
          <w:szCs w:val="23"/>
        </w:rPr>
        <w:t>,</w:t>
      </w:r>
      <w:r w:rsidRPr="002E5181">
        <w:rPr>
          <w:rFonts w:ascii="Arial" w:hAnsi="Arial" w:cs="Arial"/>
          <w:b/>
          <w:bCs/>
          <w:sz w:val="24"/>
          <w:szCs w:val="23"/>
        </w:rPr>
        <w:t xml:space="preserve"> </w:t>
      </w:r>
      <w:r w:rsidRPr="002E5181">
        <w:rPr>
          <w:rFonts w:ascii="Arial" w:hAnsi="Arial" w:cs="Arial"/>
          <w:sz w:val="24"/>
          <w:szCs w:val="23"/>
        </w:rPr>
        <w:t>dosahovala nejvyšších hodnot také v</w:t>
      </w:r>
      <w:r>
        <w:rPr>
          <w:rFonts w:ascii="Arial" w:hAnsi="Arial" w:cs="Arial"/>
          <w:sz w:val="24"/>
          <w:szCs w:val="23"/>
        </w:rPr>
        <w:t> </w:t>
      </w:r>
      <w:r w:rsidRPr="002E5181">
        <w:rPr>
          <w:rFonts w:ascii="Arial" w:hAnsi="Arial" w:cs="Arial"/>
          <w:sz w:val="24"/>
          <w:szCs w:val="23"/>
        </w:rPr>
        <w:t>Moravskoslezském</w:t>
      </w:r>
      <w:r>
        <w:rPr>
          <w:rFonts w:ascii="Arial" w:hAnsi="Arial" w:cs="Arial"/>
          <w:sz w:val="24"/>
          <w:szCs w:val="23"/>
        </w:rPr>
        <w:t xml:space="preserve"> (717)</w:t>
      </w:r>
      <w:r w:rsidRPr="002E5181">
        <w:rPr>
          <w:rFonts w:ascii="Arial" w:hAnsi="Arial" w:cs="Arial"/>
          <w:sz w:val="24"/>
          <w:szCs w:val="23"/>
        </w:rPr>
        <w:t>, Ústeckém</w:t>
      </w:r>
      <w:r>
        <w:rPr>
          <w:rFonts w:ascii="Arial" w:hAnsi="Arial" w:cs="Arial"/>
          <w:sz w:val="24"/>
          <w:szCs w:val="23"/>
        </w:rPr>
        <w:t xml:space="preserve"> (685)</w:t>
      </w:r>
      <w:r w:rsidRPr="002E5181">
        <w:rPr>
          <w:rFonts w:ascii="Arial" w:hAnsi="Arial" w:cs="Arial"/>
          <w:sz w:val="24"/>
          <w:szCs w:val="23"/>
        </w:rPr>
        <w:t>, Karlovarském kraji</w:t>
      </w:r>
      <w:r>
        <w:rPr>
          <w:rFonts w:ascii="Arial" w:hAnsi="Arial" w:cs="Arial"/>
          <w:sz w:val="24"/>
          <w:szCs w:val="23"/>
        </w:rPr>
        <w:t xml:space="preserve"> (614) a </w:t>
      </w:r>
      <w:r w:rsidRPr="002E5181">
        <w:rPr>
          <w:rFonts w:ascii="Arial" w:hAnsi="Arial" w:cs="Arial"/>
          <w:sz w:val="24"/>
          <w:szCs w:val="23"/>
        </w:rPr>
        <w:t>Kraji Vysočina</w:t>
      </w:r>
      <w:r>
        <w:rPr>
          <w:rFonts w:ascii="Arial" w:hAnsi="Arial" w:cs="Arial"/>
          <w:sz w:val="24"/>
          <w:szCs w:val="23"/>
        </w:rPr>
        <w:t xml:space="preserve"> (612 dní)</w:t>
      </w:r>
      <w:r w:rsidRPr="002E5181">
        <w:rPr>
          <w:rFonts w:ascii="Arial" w:hAnsi="Arial" w:cs="Arial"/>
          <w:sz w:val="24"/>
          <w:szCs w:val="23"/>
        </w:rPr>
        <w:t xml:space="preserve">, </w:t>
      </w:r>
      <w:r>
        <w:rPr>
          <w:rFonts w:ascii="Arial" w:hAnsi="Arial" w:cs="Arial"/>
          <w:sz w:val="24"/>
          <w:szCs w:val="23"/>
        </w:rPr>
        <w:t xml:space="preserve">nadprůměrná </w:t>
      </w:r>
      <w:r w:rsidRPr="002E5181">
        <w:rPr>
          <w:rFonts w:ascii="Arial" w:hAnsi="Arial" w:cs="Arial"/>
          <w:sz w:val="24"/>
          <w:szCs w:val="23"/>
        </w:rPr>
        <w:t>(ČR - 5</w:t>
      </w:r>
      <w:r>
        <w:rPr>
          <w:rFonts w:ascii="Arial" w:hAnsi="Arial" w:cs="Arial"/>
          <w:sz w:val="24"/>
          <w:szCs w:val="23"/>
        </w:rPr>
        <w:t>72</w:t>
      </w:r>
      <w:r w:rsidRPr="002E5181">
        <w:rPr>
          <w:rFonts w:ascii="Arial" w:hAnsi="Arial" w:cs="Arial"/>
          <w:sz w:val="24"/>
          <w:szCs w:val="23"/>
        </w:rPr>
        <w:t xml:space="preserve"> dní)</w:t>
      </w:r>
      <w:r>
        <w:rPr>
          <w:rFonts w:ascii="Arial" w:hAnsi="Arial" w:cs="Arial"/>
          <w:sz w:val="24"/>
          <w:szCs w:val="23"/>
        </w:rPr>
        <w:t xml:space="preserve"> byla v polovině krajů</w:t>
      </w:r>
      <w:r w:rsidRPr="002E5181">
        <w:rPr>
          <w:rFonts w:ascii="Arial" w:hAnsi="Arial" w:cs="Arial"/>
          <w:sz w:val="24"/>
          <w:szCs w:val="23"/>
        </w:rPr>
        <w:t xml:space="preserve">. Nejkratší délka průběžné evidence byla v Hl. m. Praze – </w:t>
      </w:r>
      <w:r>
        <w:rPr>
          <w:rFonts w:ascii="Arial" w:hAnsi="Arial" w:cs="Arial"/>
          <w:sz w:val="24"/>
          <w:szCs w:val="23"/>
        </w:rPr>
        <w:t>352</w:t>
      </w:r>
      <w:r w:rsidRPr="002E5181">
        <w:rPr>
          <w:rFonts w:ascii="Arial" w:hAnsi="Arial" w:cs="Arial"/>
          <w:sz w:val="24"/>
          <w:szCs w:val="23"/>
        </w:rPr>
        <w:t xml:space="preserve"> dní. </w:t>
      </w:r>
    </w:p>
    <w:p w:rsidR="00730AC8" w:rsidRPr="002E5181" w:rsidRDefault="00730AC8" w:rsidP="00730AC8">
      <w:pPr>
        <w:pStyle w:val="Zhlav"/>
        <w:tabs>
          <w:tab w:val="clear" w:pos="4536"/>
          <w:tab w:val="clear" w:pos="9072"/>
          <w:tab w:val="left" w:pos="0"/>
          <w:tab w:val="left" w:pos="72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s>
        <w:spacing w:line="360" w:lineRule="auto"/>
        <w:ind w:firstLine="720"/>
        <w:jc w:val="both"/>
        <w:rPr>
          <w:rFonts w:ascii="Arial" w:hAnsi="Arial" w:cs="Arial"/>
          <w:sz w:val="24"/>
          <w:szCs w:val="24"/>
        </w:rPr>
      </w:pPr>
      <w:r w:rsidRPr="002E5181">
        <w:rPr>
          <w:rFonts w:ascii="Arial" w:hAnsi="Arial" w:cs="Arial"/>
          <w:sz w:val="24"/>
          <w:szCs w:val="24"/>
        </w:rPr>
        <w:t xml:space="preserve">Podrobnější údaje o </w:t>
      </w:r>
      <w:r>
        <w:rPr>
          <w:rFonts w:ascii="Arial" w:hAnsi="Arial" w:cs="Arial"/>
          <w:sz w:val="24"/>
          <w:szCs w:val="24"/>
        </w:rPr>
        <w:t xml:space="preserve">zastoupení znevýhodněných skupin uchazečů o zaměstnání (včetně okresního hlediska) </w:t>
      </w:r>
      <w:r w:rsidRPr="002E5181">
        <w:rPr>
          <w:rFonts w:ascii="Arial" w:hAnsi="Arial" w:cs="Arial"/>
          <w:sz w:val="24"/>
          <w:szCs w:val="24"/>
        </w:rPr>
        <w:t>jsou uvedeny v</w:t>
      </w:r>
      <w:r>
        <w:rPr>
          <w:rFonts w:ascii="Arial" w:hAnsi="Arial" w:cs="Arial"/>
          <w:sz w:val="24"/>
          <w:szCs w:val="24"/>
        </w:rPr>
        <w:t> </w:t>
      </w:r>
      <w:r w:rsidRPr="002E5181">
        <w:rPr>
          <w:rFonts w:ascii="Arial" w:hAnsi="Arial" w:cs="Arial"/>
          <w:sz w:val="24"/>
          <w:szCs w:val="24"/>
        </w:rPr>
        <w:t>přílo</w:t>
      </w:r>
      <w:r>
        <w:rPr>
          <w:rFonts w:ascii="Arial" w:hAnsi="Arial" w:cs="Arial"/>
          <w:sz w:val="24"/>
          <w:szCs w:val="24"/>
        </w:rPr>
        <w:t>ze č. 13</w:t>
      </w:r>
      <w:r w:rsidRPr="002E5181">
        <w:rPr>
          <w:rFonts w:ascii="Arial" w:hAnsi="Arial" w:cs="Arial"/>
          <w:sz w:val="24"/>
          <w:szCs w:val="24"/>
        </w:rPr>
        <w:t>.</w:t>
      </w:r>
    </w:p>
    <w:p w:rsidR="00730AC8" w:rsidRDefault="00730AC8" w:rsidP="00730AC8"/>
    <w:p w:rsidR="00D046EC" w:rsidRPr="002F7B16" w:rsidRDefault="00730AC8" w:rsidP="004945EE">
      <w:pPr>
        <w:pStyle w:val="Nadpis1"/>
      </w:pPr>
      <w:r>
        <w:br w:type="column"/>
      </w:r>
      <w:bookmarkStart w:id="140" w:name="_Toc372530195"/>
      <w:r w:rsidR="00D046EC" w:rsidRPr="002F7B16">
        <w:lastRenderedPageBreak/>
        <w:t>Politika zaměstnanosti</w:t>
      </w:r>
      <w:bookmarkEnd w:id="112"/>
      <w:bookmarkEnd w:id="140"/>
    </w:p>
    <w:p w:rsidR="00D97578" w:rsidRPr="00145A9B" w:rsidRDefault="00D97578" w:rsidP="004945EE">
      <w:pPr>
        <w:pStyle w:val="Nadpis1"/>
        <w:numPr>
          <w:ilvl w:val="0"/>
          <w:numId w:val="0"/>
        </w:numPr>
        <w:ind w:left="720"/>
      </w:pPr>
    </w:p>
    <w:p w:rsidR="00145A9B" w:rsidRPr="003C5A12" w:rsidRDefault="00145A9B" w:rsidP="00614F36">
      <w:pPr>
        <w:pStyle w:val="Styl3"/>
      </w:pPr>
      <w:bookmarkStart w:id="141" w:name="_Toc372530196"/>
      <w:bookmarkStart w:id="142" w:name="_Toc102269857"/>
      <w:bookmarkStart w:id="143" w:name="_Toc116354715"/>
      <w:bookmarkStart w:id="144" w:name="_Toc116354804"/>
      <w:bookmarkStart w:id="145" w:name="_Toc116355040"/>
      <w:bookmarkStart w:id="146" w:name="_Toc149033465"/>
      <w:bookmarkStart w:id="147" w:name="_Toc179787912"/>
      <w:bookmarkStart w:id="148" w:name="_Toc258997898"/>
      <w:bookmarkStart w:id="149" w:name="_Toc85008460"/>
      <w:bookmarkStart w:id="150" w:name="_Toc116354719"/>
      <w:bookmarkStart w:id="151" w:name="_Toc116354808"/>
      <w:bookmarkStart w:id="152" w:name="_Toc116355044"/>
      <w:bookmarkStart w:id="153" w:name="_Toc149033469"/>
      <w:bookmarkStart w:id="154" w:name="_Toc179787916"/>
      <w:bookmarkStart w:id="155" w:name="_Toc102269855"/>
      <w:bookmarkStart w:id="156" w:name="_Toc116354713"/>
      <w:bookmarkStart w:id="157" w:name="_Toc116354802"/>
      <w:bookmarkStart w:id="158" w:name="_Toc116355038"/>
      <w:bookmarkStart w:id="159" w:name="_Toc179787918"/>
      <w:r w:rsidRPr="003C5A12">
        <w:t>Zaměření politiky zaměstnanosti</w:t>
      </w:r>
      <w:bookmarkEnd w:id="141"/>
    </w:p>
    <w:p w:rsidR="00145A9B" w:rsidRPr="003C5A12" w:rsidRDefault="00145A9B" w:rsidP="00614F36">
      <w:pPr>
        <w:pStyle w:val="Styl3"/>
        <w:numPr>
          <w:ilvl w:val="0"/>
          <w:numId w:val="0"/>
        </w:numPr>
        <w:ind w:left="900"/>
      </w:pPr>
    </w:p>
    <w:p w:rsidR="002F7B16" w:rsidRPr="00E46E3D" w:rsidRDefault="002F7B16" w:rsidP="002F7B16">
      <w:pPr>
        <w:spacing w:line="360" w:lineRule="auto"/>
        <w:ind w:firstLine="567"/>
        <w:jc w:val="both"/>
        <w:rPr>
          <w:rFonts w:ascii="Arial" w:hAnsi="Arial" w:cs="Arial"/>
        </w:rPr>
      </w:pPr>
      <w:r w:rsidRPr="00E46E3D">
        <w:rPr>
          <w:rFonts w:ascii="Arial" w:hAnsi="Arial" w:cs="Arial"/>
        </w:rPr>
        <w:t>Hlavním východiskem v oblasti zaměstnanosti pro rok 2013 je strategie „Evropa 2020“ a na ní navazující strategie Národní program reforem České republiky kladoucí si za cíl na národní úrovni dosáhnout do roku 2020 zvýšení celkové míry zaměstnanosti ve věkové skupině 20 - 64 let na 75 %, z čehož:</w:t>
      </w:r>
    </w:p>
    <w:p w:rsidR="002F7B16" w:rsidRPr="00124DFF" w:rsidRDefault="002F7B16" w:rsidP="002F7B16">
      <w:pPr>
        <w:numPr>
          <w:ilvl w:val="0"/>
          <w:numId w:val="20"/>
        </w:numPr>
        <w:spacing w:line="360" w:lineRule="auto"/>
        <w:jc w:val="both"/>
        <w:rPr>
          <w:rFonts w:ascii="Arial" w:hAnsi="Arial" w:cs="Arial"/>
        </w:rPr>
      </w:pPr>
      <w:r w:rsidRPr="00124DFF">
        <w:rPr>
          <w:rFonts w:ascii="Arial" w:hAnsi="Arial" w:cs="Arial"/>
        </w:rPr>
        <w:t>u žen ve věku 20 - 64 let na 65 %,</w:t>
      </w:r>
    </w:p>
    <w:p w:rsidR="002F7B16" w:rsidRPr="00124DFF" w:rsidRDefault="002F7B16" w:rsidP="002F7B16">
      <w:pPr>
        <w:numPr>
          <w:ilvl w:val="0"/>
          <w:numId w:val="20"/>
        </w:numPr>
        <w:spacing w:line="360" w:lineRule="auto"/>
        <w:jc w:val="both"/>
        <w:rPr>
          <w:rFonts w:ascii="Arial" w:hAnsi="Arial" w:cs="Arial"/>
        </w:rPr>
      </w:pPr>
      <w:r w:rsidRPr="00124DFF">
        <w:rPr>
          <w:rFonts w:ascii="Arial" w:hAnsi="Arial" w:cs="Arial"/>
        </w:rPr>
        <w:t>u starších pracovníků ve věku 55 - 64 let na 55 %,</w:t>
      </w:r>
    </w:p>
    <w:p w:rsidR="002F7B16" w:rsidRPr="00124DFF" w:rsidRDefault="002F7B16" w:rsidP="002F7B16">
      <w:pPr>
        <w:numPr>
          <w:ilvl w:val="0"/>
          <w:numId w:val="20"/>
        </w:numPr>
        <w:spacing w:line="360" w:lineRule="auto"/>
        <w:jc w:val="both"/>
        <w:rPr>
          <w:rFonts w:ascii="Arial" w:hAnsi="Arial" w:cs="Arial"/>
        </w:rPr>
      </w:pPr>
      <w:r w:rsidRPr="00124DFF">
        <w:rPr>
          <w:rFonts w:ascii="Arial" w:hAnsi="Arial" w:cs="Arial"/>
        </w:rPr>
        <w:t>snížit míru nezaměstnanosti u mladých osob 15 - 24 let o třetinu oproti roku 2010,</w:t>
      </w:r>
    </w:p>
    <w:p w:rsidR="002F7B16" w:rsidRPr="00886452" w:rsidRDefault="002F7B16" w:rsidP="002F7B16">
      <w:pPr>
        <w:numPr>
          <w:ilvl w:val="0"/>
          <w:numId w:val="20"/>
        </w:numPr>
        <w:spacing w:line="360" w:lineRule="auto"/>
        <w:jc w:val="both"/>
        <w:rPr>
          <w:rFonts w:ascii="Arial" w:hAnsi="Arial" w:cs="Arial"/>
        </w:rPr>
      </w:pPr>
      <w:r w:rsidRPr="00886452">
        <w:rPr>
          <w:rFonts w:ascii="Arial" w:hAnsi="Arial" w:cs="Arial"/>
        </w:rPr>
        <w:t>snížit míru nezaměstnanosti osob s nízkou kvalifikací o čtvrtinu oproti roku 2010.</w:t>
      </w:r>
    </w:p>
    <w:p w:rsidR="002F7B16" w:rsidRPr="009160FF" w:rsidRDefault="002F7B16" w:rsidP="002F7B16">
      <w:pPr>
        <w:autoSpaceDE w:val="0"/>
        <w:autoSpaceDN w:val="0"/>
        <w:adjustRightInd w:val="0"/>
        <w:jc w:val="both"/>
        <w:rPr>
          <w:rFonts w:ascii="Arial" w:hAnsi="Arial"/>
          <w:color w:val="0070C0"/>
          <w:sz w:val="16"/>
          <w:szCs w:val="16"/>
        </w:rPr>
      </w:pPr>
    </w:p>
    <w:p w:rsidR="002F7B16" w:rsidRPr="00980036" w:rsidRDefault="002F7B16" w:rsidP="002F7B16">
      <w:pPr>
        <w:autoSpaceDE w:val="0"/>
        <w:autoSpaceDN w:val="0"/>
        <w:adjustRightInd w:val="0"/>
        <w:spacing w:line="360" w:lineRule="auto"/>
        <w:ind w:firstLine="567"/>
        <w:jc w:val="both"/>
        <w:rPr>
          <w:rFonts w:ascii="Arial" w:hAnsi="Arial" w:cs="Arial"/>
        </w:rPr>
      </w:pPr>
      <w:r w:rsidRPr="00980036">
        <w:rPr>
          <w:rFonts w:ascii="Arial" w:hAnsi="Arial" w:cs="Arial"/>
        </w:rPr>
        <w:t>Tyto cíle navazují na předchozí strategické dokumenty v oblasti zaměstnanosti, zejména na usnesení vlády České republiky č. 434 ze dne 7. června 2010.</w:t>
      </w:r>
    </w:p>
    <w:p w:rsidR="002F7B16" w:rsidRPr="00A9563B" w:rsidRDefault="002F7B16" w:rsidP="002F7B16">
      <w:pPr>
        <w:autoSpaceDE w:val="0"/>
        <w:autoSpaceDN w:val="0"/>
        <w:adjustRightInd w:val="0"/>
        <w:spacing w:line="360" w:lineRule="auto"/>
        <w:ind w:firstLine="567"/>
        <w:jc w:val="both"/>
        <w:rPr>
          <w:rFonts w:ascii="Arial" w:hAnsi="Arial" w:cs="Arial"/>
          <w:strike/>
          <w:color w:val="0070C0"/>
        </w:rPr>
      </w:pPr>
      <w:r w:rsidRPr="00DE06BC">
        <w:rPr>
          <w:rFonts w:ascii="Arial" w:hAnsi="Arial" w:cs="Arial"/>
        </w:rPr>
        <w:t>Realizace politiky zaměstnanosti byla v 1. pololetí 2013 ovlivněna nestabilní situací na trhu práce.</w:t>
      </w:r>
      <w:r>
        <w:rPr>
          <w:rFonts w:ascii="Arial" w:hAnsi="Arial" w:cs="Arial"/>
        </w:rPr>
        <w:t xml:space="preserve"> Pokračovala ekonomická recese projevující se v </w:t>
      </w:r>
      <w:r w:rsidRPr="00DE06BC">
        <w:rPr>
          <w:rFonts w:ascii="Arial" w:hAnsi="Arial" w:cs="Arial"/>
        </w:rPr>
        <w:t>meziročn</w:t>
      </w:r>
      <w:r>
        <w:rPr>
          <w:rFonts w:ascii="Arial" w:hAnsi="Arial" w:cs="Arial"/>
        </w:rPr>
        <w:t>ím</w:t>
      </w:r>
      <w:r w:rsidRPr="00DE06BC">
        <w:rPr>
          <w:rFonts w:ascii="Arial" w:hAnsi="Arial" w:cs="Arial"/>
        </w:rPr>
        <w:t xml:space="preserve"> </w:t>
      </w:r>
      <w:r>
        <w:rPr>
          <w:rFonts w:ascii="Arial" w:hAnsi="Arial" w:cs="Arial"/>
        </w:rPr>
        <w:t>poklesu</w:t>
      </w:r>
      <w:r w:rsidRPr="00DE06BC">
        <w:rPr>
          <w:rFonts w:ascii="Arial" w:hAnsi="Arial" w:cs="Arial"/>
        </w:rPr>
        <w:t xml:space="preserve"> HDP</w:t>
      </w:r>
      <w:r>
        <w:rPr>
          <w:rFonts w:ascii="Arial" w:hAnsi="Arial" w:cs="Arial"/>
        </w:rPr>
        <w:t xml:space="preserve"> a nárůstu nezaměstnanosti</w:t>
      </w:r>
      <w:r w:rsidRPr="00DE06BC">
        <w:rPr>
          <w:rFonts w:ascii="Arial" w:hAnsi="Arial" w:cs="Arial"/>
        </w:rPr>
        <w:t xml:space="preserve">. </w:t>
      </w:r>
    </w:p>
    <w:p w:rsidR="002F7B16" w:rsidRPr="008F2CB3" w:rsidRDefault="002F7B16" w:rsidP="002F7B16">
      <w:pPr>
        <w:autoSpaceDE w:val="0"/>
        <w:autoSpaceDN w:val="0"/>
        <w:adjustRightInd w:val="0"/>
        <w:spacing w:line="360" w:lineRule="auto"/>
        <w:ind w:firstLine="567"/>
        <w:jc w:val="both"/>
        <w:rPr>
          <w:rFonts w:ascii="Arial" w:hAnsi="Arial" w:cs="Arial"/>
        </w:rPr>
      </w:pPr>
      <w:r w:rsidRPr="008F2CB3">
        <w:rPr>
          <w:rFonts w:ascii="Arial" w:hAnsi="Arial" w:cs="Arial"/>
        </w:rPr>
        <w:t>Vzhledem k úzkému propojení trhu práce s vývojem ekonomiky připravovalo MPSV od začátku roku 2012 ve spolupráci se sociálními partnery opatření ke stabilizaci trhu práce, zejména „příspěvek v době částečné nezaměstnanosti“, který byl v konečném důsledku transformován do nového projektu „Vzdělávejte se pro stabilitu!“, který je realizován od 17. 9. 2012.</w:t>
      </w:r>
    </w:p>
    <w:p w:rsidR="002F7B16" w:rsidRPr="000446C4" w:rsidRDefault="002F7B16" w:rsidP="002F7B16">
      <w:pPr>
        <w:spacing w:line="360" w:lineRule="auto"/>
        <w:ind w:firstLine="567"/>
        <w:jc w:val="both"/>
        <w:rPr>
          <w:rFonts w:ascii="Arial" w:hAnsi="Arial" w:cs="Arial"/>
        </w:rPr>
      </w:pPr>
      <w:r w:rsidRPr="00A9563B">
        <w:rPr>
          <w:rFonts w:ascii="Arial" w:hAnsi="Arial" w:cs="Arial"/>
          <w:b/>
        </w:rPr>
        <w:t>Poskytování příspěvků aktivní politiky zaměstnanosti</w:t>
      </w:r>
      <w:r w:rsidRPr="00A9563B">
        <w:rPr>
          <w:rFonts w:ascii="Arial" w:hAnsi="Arial" w:cs="Arial"/>
        </w:rPr>
        <w:t xml:space="preserve"> se řídí stanovenými kritérii, která jsou zakotvena v Normativní instrukci č. 2/2013 </w:t>
      </w:r>
      <w:r w:rsidR="004A144D">
        <w:rPr>
          <w:rFonts w:ascii="Arial" w:hAnsi="Arial" w:cs="Arial"/>
        </w:rPr>
        <w:t xml:space="preserve">Ministerstva práce a sociálních věcí určené ÚP ČR, </w:t>
      </w:r>
      <w:r w:rsidRPr="00A9563B">
        <w:rPr>
          <w:rFonts w:ascii="Arial" w:hAnsi="Arial" w:cs="Arial"/>
        </w:rPr>
        <w:t xml:space="preserve">a která stanoví, že </w:t>
      </w:r>
      <w:r w:rsidRPr="00F5338A">
        <w:rPr>
          <w:rFonts w:ascii="Arial" w:hAnsi="Arial" w:cs="Arial"/>
        </w:rPr>
        <w:t xml:space="preserve">nástroje aktivní politiky zaměstnanosti jsou primárně určeny uchazečům o zaměstnání, kterým není pro jejich individuální charakteristiky možné zajistit zaměstnání jiným způsobem. </w:t>
      </w:r>
      <w:r w:rsidRPr="000446C4">
        <w:rPr>
          <w:rFonts w:ascii="Arial" w:hAnsi="Arial" w:cs="Arial"/>
        </w:rPr>
        <w:t xml:space="preserve">Za nejvíce ohrožené osoby na trhu práce jsou považovány osoby zdravotně postižené. Dále pak mladí lidé do 25 let bez praxe, </w:t>
      </w:r>
      <w:r w:rsidRPr="0035673E">
        <w:rPr>
          <w:rFonts w:ascii="Arial" w:hAnsi="Arial" w:cs="Arial"/>
        </w:rPr>
        <w:t xml:space="preserve">jejichž ohrožení na trhu práce se v posledních letech zvyšuje, zejména z důvodu nedostatečné praxe a nevhodné kvalifikace. Výrazně </w:t>
      </w:r>
      <w:r w:rsidRPr="000446C4">
        <w:rPr>
          <w:rFonts w:ascii="Arial" w:hAnsi="Arial" w:cs="Arial"/>
        </w:rPr>
        <w:t xml:space="preserve">ohroženy jsou na trhu práce i osoby starší 55 let věku a rodiče, zejména matky vracející se z rodičovské dovolené. Nástroje aktivní politiky zaměstnanosti rovněž </w:t>
      </w:r>
      <w:r w:rsidRPr="000446C4">
        <w:rPr>
          <w:rFonts w:ascii="Arial" w:hAnsi="Arial" w:cs="Arial"/>
        </w:rPr>
        <w:lastRenderedPageBreak/>
        <w:t xml:space="preserve">slouží k boji se sociálním vyloučením a v neposlední řadě jsou určeny osobám vedeným v evidenci uchazečů o zaměstnání déle než 5 měsíců. </w:t>
      </w:r>
    </w:p>
    <w:p w:rsidR="002F7B16" w:rsidRPr="006A4F4B" w:rsidRDefault="002F7B16" w:rsidP="002F7B16">
      <w:pPr>
        <w:spacing w:line="360" w:lineRule="auto"/>
        <w:ind w:firstLine="567"/>
        <w:jc w:val="both"/>
        <w:rPr>
          <w:rFonts w:ascii="Arial" w:hAnsi="Arial" w:cs="Arial"/>
        </w:rPr>
      </w:pPr>
      <w:r w:rsidRPr="006A4F4B">
        <w:rPr>
          <w:rFonts w:ascii="Arial" w:hAnsi="Arial"/>
        </w:rPr>
        <w:t>V 1. pololetí 2013 nadále p</w:t>
      </w:r>
      <w:r w:rsidRPr="006A4F4B">
        <w:rPr>
          <w:rFonts w:ascii="Arial" w:hAnsi="Arial" w:cs="Arial"/>
        </w:rPr>
        <w:t xml:space="preserve">okračovala </w:t>
      </w:r>
      <w:r w:rsidRPr="006A4F4B">
        <w:rPr>
          <w:rFonts w:ascii="Arial" w:hAnsi="Arial" w:cs="Arial"/>
          <w:b/>
          <w:bCs/>
        </w:rPr>
        <w:t>podpora zaměstnavatelů v rámci systému investičních pobídek.</w:t>
      </w:r>
      <w:r w:rsidRPr="006A4F4B">
        <w:rPr>
          <w:rFonts w:ascii="Arial" w:hAnsi="Arial" w:cs="Arial"/>
        </w:rPr>
        <w:t xml:space="preserve"> Podpora je určena na vytvoření nových pracovních míst, k rekvalifikaci nebo školení zaměstnanců. </w:t>
      </w:r>
    </w:p>
    <w:p w:rsidR="002F7B16" w:rsidRPr="006A4F4B" w:rsidRDefault="002F7B16" w:rsidP="002F7B16">
      <w:pPr>
        <w:spacing w:line="360" w:lineRule="auto"/>
        <w:ind w:firstLine="567"/>
        <w:jc w:val="both"/>
        <w:rPr>
          <w:rFonts w:ascii="Arial" w:hAnsi="Arial" w:cs="Arial"/>
        </w:rPr>
      </w:pPr>
      <w:r w:rsidRPr="006A4F4B">
        <w:rPr>
          <w:rFonts w:ascii="Arial" w:hAnsi="Arial" w:cs="Arial"/>
        </w:rPr>
        <w:t xml:space="preserve">Důležitou pomocí byl </w:t>
      </w:r>
      <w:r w:rsidRPr="006A4F4B">
        <w:rPr>
          <w:rFonts w:ascii="Arial" w:hAnsi="Arial" w:cs="Arial"/>
          <w:b/>
          <w:bCs/>
        </w:rPr>
        <w:t>příspěvek na podporu zaměstnávání osob se zdravotním postižením</w:t>
      </w:r>
      <w:r w:rsidRPr="006A4F4B">
        <w:rPr>
          <w:rFonts w:ascii="Arial" w:hAnsi="Arial" w:cs="Arial"/>
        </w:rPr>
        <w:t xml:space="preserve"> (§ 78 zákona o zaměstnanosti). </w:t>
      </w:r>
    </w:p>
    <w:p w:rsidR="006B79C7" w:rsidRPr="00C35FF4" w:rsidRDefault="006B79C7" w:rsidP="006B79C7">
      <w:pPr>
        <w:autoSpaceDE w:val="0"/>
        <w:autoSpaceDN w:val="0"/>
        <w:adjustRightInd w:val="0"/>
        <w:spacing w:line="360" w:lineRule="auto"/>
        <w:ind w:firstLine="567"/>
        <w:jc w:val="both"/>
        <w:rPr>
          <w:rFonts w:ascii="Arial" w:hAnsi="Arial" w:cs="Arial"/>
          <w:highlight w:val="yellow"/>
        </w:rPr>
      </w:pPr>
    </w:p>
    <w:p w:rsidR="00145A9B" w:rsidRPr="00C35FF4" w:rsidRDefault="00145A9B" w:rsidP="00614F36">
      <w:pPr>
        <w:pStyle w:val="Styl3"/>
      </w:pPr>
      <w:bookmarkStart w:id="160" w:name="_Toc372530197"/>
      <w:r w:rsidRPr="00C35FF4">
        <w:t>Výdaje na politiku zaměstnanosti</w:t>
      </w:r>
      <w:bookmarkEnd w:id="160"/>
    </w:p>
    <w:p w:rsidR="00145A9B" w:rsidRPr="00C35FF4" w:rsidRDefault="00145A9B" w:rsidP="00145A9B">
      <w:pPr>
        <w:pStyle w:val="Styl4"/>
        <w:tabs>
          <w:tab w:val="clear" w:pos="720"/>
        </w:tabs>
        <w:spacing w:before="0" w:after="0"/>
        <w:ind w:left="1080" w:firstLine="0"/>
        <w:rPr>
          <w:b w:val="0"/>
          <w:highlight w:val="yellow"/>
        </w:rPr>
      </w:pPr>
    </w:p>
    <w:p w:rsidR="00C93B1B" w:rsidRPr="009160FF" w:rsidRDefault="00C93B1B" w:rsidP="00C93B1B">
      <w:pPr>
        <w:spacing w:line="360" w:lineRule="auto"/>
        <w:ind w:firstLine="567"/>
        <w:jc w:val="both"/>
        <w:rPr>
          <w:rFonts w:ascii="Arial" w:hAnsi="Arial" w:cs="Arial"/>
          <w:color w:val="0070C0"/>
        </w:rPr>
      </w:pPr>
      <w:r w:rsidRPr="00BE5390">
        <w:rPr>
          <w:rFonts w:ascii="Arial" w:hAnsi="Arial" w:cs="Arial"/>
        </w:rPr>
        <w:t xml:space="preserve">Výdaje </w:t>
      </w:r>
      <w:r w:rsidRPr="00BE5390">
        <w:rPr>
          <w:rFonts w:ascii="Arial" w:hAnsi="Arial" w:cs="Arial"/>
          <w:b/>
          <w:bCs/>
        </w:rPr>
        <w:t>ze státního rozpočtu (SR)</w:t>
      </w:r>
      <w:r w:rsidRPr="00BE5390">
        <w:rPr>
          <w:rFonts w:ascii="Arial" w:hAnsi="Arial" w:cs="Arial"/>
          <w:bCs/>
        </w:rPr>
        <w:t xml:space="preserve"> </w:t>
      </w:r>
      <w:r w:rsidRPr="00BE5390">
        <w:rPr>
          <w:rFonts w:ascii="Arial" w:hAnsi="Arial" w:cs="Arial"/>
          <w:b/>
        </w:rPr>
        <w:t xml:space="preserve">související </w:t>
      </w:r>
      <w:r w:rsidRPr="00BE5390">
        <w:rPr>
          <w:rFonts w:ascii="Arial" w:hAnsi="Arial" w:cs="Arial"/>
        </w:rPr>
        <w:t xml:space="preserve">s výplatou podpor v nezaměstnanosti </w:t>
      </w:r>
      <w:r w:rsidRPr="00BE5390">
        <w:rPr>
          <w:rFonts w:ascii="Arial" w:hAnsi="Arial" w:cs="Arial"/>
          <w:b/>
          <w:bCs/>
        </w:rPr>
        <w:t>v </w:t>
      </w:r>
      <w:r w:rsidRPr="00BE5390">
        <w:rPr>
          <w:rFonts w:ascii="Arial" w:hAnsi="Arial"/>
          <w:b/>
        </w:rPr>
        <w:t>1. pololetí 2013</w:t>
      </w:r>
      <w:r w:rsidRPr="00BE5390">
        <w:rPr>
          <w:rFonts w:ascii="Arial" w:hAnsi="Arial"/>
        </w:rPr>
        <w:t xml:space="preserve"> </w:t>
      </w:r>
      <w:r w:rsidRPr="00930800">
        <w:rPr>
          <w:rFonts w:ascii="Arial" w:hAnsi="Arial" w:cs="Arial"/>
          <w:bCs/>
        </w:rPr>
        <w:t xml:space="preserve">dosáhly </w:t>
      </w:r>
      <w:r w:rsidRPr="00930800">
        <w:rPr>
          <w:rFonts w:ascii="Arial" w:hAnsi="Arial" w:cs="Arial"/>
          <w:b/>
          <w:bCs/>
        </w:rPr>
        <w:t>5</w:t>
      </w:r>
      <w:r w:rsidRPr="00930800">
        <w:rPr>
          <w:rFonts w:ascii="Arial" w:hAnsi="Arial" w:cs="Arial"/>
          <w:b/>
        </w:rPr>
        <w:t> 358 348</w:t>
      </w:r>
      <w:r w:rsidRPr="00930800">
        <w:rPr>
          <w:rFonts w:ascii="Arial" w:hAnsi="Arial" w:cs="Arial"/>
          <w:b/>
          <w:bCs/>
        </w:rPr>
        <w:t> </w:t>
      </w:r>
      <w:r w:rsidRPr="00930800">
        <w:rPr>
          <w:rFonts w:ascii="Arial" w:hAnsi="Arial" w:cs="Arial"/>
          <w:b/>
        </w:rPr>
        <w:t>tis. Kč</w:t>
      </w:r>
      <w:r w:rsidRPr="00930800">
        <w:rPr>
          <w:rFonts w:ascii="Arial" w:hAnsi="Arial" w:cs="Arial"/>
        </w:rPr>
        <w:t xml:space="preserve"> </w:t>
      </w:r>
      <w:r w:rsidRPr="00BE5390">
        <w:rPr>
          <w:rFonts w:ascii="Arial" w:hAnsi="Arial" w:cs="Arial"/>
        </w:rPr>
        <w:t>a byly ve srovnání s výdaji v </w:t>
      </w:r>
      <w:r w:rsidRPr="00BE5390">
        <w:rPr>
          <w:rFonts w:ascii="Arial" w:hAnsi="Arial"/>
        </w:rPr>
        <w:t>1</w:t>
      </w:r>
      <w:r>
        <w:rPr>
          <w:rFonts w:ascii="Arial" w:hAnsi="Arial"/>
        </w:rPr>
        <w:t>. </w:t>
      </w:r>
      <w:r w:rsidRPr="00BE5390">
        <w:rPr>
          <w:rFonts w:ascii="Arial" w:hAnsi="Arial"/>
        </w:rPr>
        <w:t xml:space="preserve">pololetí </w:t>
      </w:r>
      <w:r w:rsidRPr="002D0469">
        <w:rPr>
          <w:rFonts w:ascii="Arial" w:hAnsi="Arial"/>
        </w:rPr>
        <w:t xml:space="preserve">2012 </w:t>
      </w:r>
      <w:r w:rsidRPr="002D0469">
        <w:rPr>
          <w:rFonts w:ascii="Arial" w:hAnsi="Arial" w:cs="Arial"/>
        </w:rPr>
        <w:t>(4 840 791</w:t>
      </w:r>
      <w:r w:rsidRPr="002D0469">
        <w:rPr>
          <w:rFonts w:ascii="Arial" w:hAnsi="Arial" w:cs="Arial"/>
          <w:bCs/>
        </w:rPr>
        <w:t> </w:t>
      </w:r>
      <w:r w:rsidRPr="002D0469">
        <w:rPr>
          <w:rFonts w:ascii="Arial" w:hAnsi="Arial" w:cs="Arial"/>
        </w:rPr>
        <w:t xml:space="preserve">tis. Kč) </w:t>
      </w:r>
      <w:r w:rsidRPr="00A06CDF">
        <w:rPr>
          <w:rFonts w:ascii="Arial" w:hAnsi="Arial" w:cs="Arial"/>
          <w:b/>
        </w:rPr>
        <w:t>o 517 557</w:t>
      </w:r>
      <w:r w:rsidRPr="00A06CDF">
        <w:rPr>
          <w:rFonts w:ascii="Arial" w:hAnsi="Arial" w:cs="Arial"/>
          <w:b/>
          <w:bCs/>
        </w:rPr>
        <w:t> </w:t>
      </w:r>
      <w:r w:rsidRPr="00A06CDF">
        <w:rPr>
          <w:rFonts w:ascii="Arial" w:hAnsi="Arial" w:cs="Arial"/>
          <w:b/>
        </w:rPr>
        <w:t xml:space="preserve">tis. </w:t>
      </w:r>
      <w:r w:rsidRPr="00902F24">
        <w:rPr>
          <w:rFonts w:ascii="Arial" w:hAnsi="Arial" w:cs="Arial"/>
          <w:b/>
        </w:rPr>
        <w:t xml:space="preserve">Kč, tj. </w:t>
      </w:r>
      <w:r w:rsidR="0028367C">
        <w:rPr>
          <w:rFonts w:ascii="Arial" w:hAnsi="Arial" w:cs="Arial"/>
          <w:b/>
        </w:rPr>
        <w:t>o </w:t>
      </w:r>
      <w:r w:rsidRPr="00902F24">
        <w:rPr>
          <w:rFonts w:ascii="Arial" w:hAnsi="Arial" w:cs="Arial"/>
          <w:b/>
        </w:rPr>
        <w:t>10,7 % vyšší</w:t>
      </w:r>
      <w:r w:rsidRPr="00601085">
        <w:rPr>
          <w:rFonts w:ascii="Arial" w:hAnsi="Arial" w:cs="Arial"/>
        </w:rPr>
        <w:t xml:space="preserve">. </w:t>
      </w:r>
    </w:p>
    <w:p w:rsidR="00C93B1B" w:rsidRPr="00906518" w:rsidRDefault="00C93B1B" w:rsidP="00C93B1B">
      <w:pPr>
        <w:spacing w:line="360" w:lineRule="auto"/>
        <w:ind w:right="-2" w:firstLine="567"/>
        <w:jc w:val="both"/>
        <w:rPr>
          <w:rFonts w:ascii="Arial" w:hAnsi="Arial" w:cs="Arial"/>
          <w:bCs/>
        </w:rPr>
      </w:pPr>
      <w:r w:rsidRPr="00906518">
        <w:rPr>
          <w:rFonts w:ascii="Arial" w:hAnsi="Arial" w:cs="Arial"/>
          <w:b/>
          <w:bCs/>
        </w:rPr>
        <w:t>Čerpání</w:t>
      </w:r>
      <w:r w:rsidRPr="00906518">
        <w:rPr>
          <w:rFonts w:ascii="Arial" w:hAnsi="Arial" w:cs="Arial"/>
          <w:bCs/>
        </w:rPr>
        <w:t xml:space="preserve"> finančních prostředků </w:t>
      </w:r>
      <w:r w:rsidRPr="00906518">
        <w:rPr>
          <w:rFonts w:ascii="Arial" w:hAnsi="Arial" w:cs="Arial"/>
          <w:b/>
          <w:bCs/>
        </w:rPr>
        <w:t xml:space="preserve">ovlivnil </w:t>
      </w:r>
      <w:r w:rsidR="00760E7D" w:rsidRPr="00906518">
        <w:rPr>
          <w:rFonts w:ascii="Arial" w:hAnsi="Arial" w:cs="Arial"/>
          <w:bCs/>
        </w:rPr>
        <w:t xml:space="preserve">zejména </w:t>
      </w:r>
      <w:r w:rsidRPr="00906518">
        <w:rPr>
          <w:rFonts w:ascii="Arial" w:hAnsi="Arial" w:cs="Arial"/>
          <w:b/>
          <w:bCs/>
        </w:rPr>
        <w:t>počet nově zaevidovaných uchazečů</w:t>
      </w:r>
      <w:r w:rsidRPr="00906518">
        <w:rPr>
          <w:rFonts w:ascii="Arial" w:hAnsi="Arial" w:cs="Arial"/>
          <w:bCs/>
        </w:rPr>
        <w:t xml:space="preserve"> o zaměstnání</w:t>
      </w:r>
      <w:r w:rsidR="00760E7D">
        <w:rPr>
          <w:rFonts w:ascii="Arial" w:hAnsi="Arial" w:cs="Arial"/>
          <w:bCs/>
        </w:rPr>
        <w:t xml:space="preserve">, </w:t>
      </w:r>
      <w:r w:rsidRPr="00906518">
        <w:rPr>
          <w:rFonts w:ascii="Arial" w:hAnsi="Arial" w:cs="Arial"/>
          <w:b/>
          <w:bCs/>
        </w:rPr>
        <w:t>počet</w:t>
      </w:r>
      <w:r w:rsidRPr="00906518">
        <w:rPr>
          <w:rFonts w:ascii="Arial" w:hAnsi="Arial" w:cs="Arial"/>
          <w:bCs/>
        </w:rPr>
        <w:t xml:space="preserve"> uchazečů o zaměstnání </w:t>
      </w:r>
      <w:r w:rsidRPr="00906518">
        <w:rPr>
          <w:rFonts w:ascii="Arial" w:hAnsi="Arial" w:cs="Arial"/>
          <w:b/>
          <w:bCs/>
        </w:rPr>
        <w:t>s podporu v</w:t>
      </w:r>
      <w:r w:rsidR="00760E7D">
        <w:rPr>
          <w:rFonts w:ascii="Arial" w:hAnsi="Arial" w:cs="Arial"/>
          <w:b/>
          <w:bCs/>
        </w:rPr>
        <w:t> </w:t>
      </w:r>
      <w:r w:rsidRPr="00906518">
        <w:rPr>
          <w:rFonts w:ascii="Arial" w:hAnsi="Arial" w:cs="Arial"/>
          <w:b/>
          <w:bCs/>
        </w:rPr>
        <w:t>nezaměstnanosti</w:t>
      </w:r>
      <w:r w:rsidR="00760E7D">
        <w:rPr>
          <w:rFonts w:ascii="Arial" w:hAnsi="Arial" w:cs="Arial"/>
          <w:b/>
          <w:bCs/>
        </w:rPr>
        <w:t xml:space="preserve"> </w:t>
      </w:r>
      <w:r w:rsidR="00760E7D" w:rsidRPr="00760E7D">
        <w:rPr>
          <w:rFonts w:ascii="Arial" w:hAnsi="Arial" w:cs="Arial"/>
          <w:bCs/>
        </w:rPr>
        <w:t>a její</w:t>
      </w:r>
      <w:r w:rsidR="00760E7D">
        <w:rPr>
          <w:rFonts w:ascii="Arial" w:hAnsi="Arial" w:cs="Arial"/>
          <w:b/>
          <w:bCs/>
        </w:rPr>
        <w:t xml:space="preserve"> průměrná výše</w:t>
      </w:r>
      <w:r w:rsidRPr="00906518">
        <w:rPr>
          <w:rFonts w:ascii="Arial" w:hAnsi="Arial" w:cs="Arial"/>
          <w:b/>
          <w:bCs/>
        </w:rPr>
        <w:t>:</w:t>
      </w:r>
      <w:r w:rsidRPr="00906518">
        <w:rPr>
          <w:rFonts w:ascii="Arial" w:hAnsi="Arial" w:cs="Arial"/>
          <w:bCs/>
        </w:rPr>
        <w:t xml:space="preserve"> </w:t>
      </w:r>
    </w:p>
    <w:p w:rsidR="00C93B1B" w:rsidRPr="00403D67" w:rsidRDefault="00C93B1B" w:rsidP="00C93B1B">
      <w:pPr>
        <w:numPr>
          <w:ilvl w:val="0"/>
          <w:numId w:val="21"/>
        </w:numPr>
        <w:spacing w:line="360" w:lineRule="auto"/>
        <w:ind w:right="-2"/>
        <w:jc w:val="both"/>
        <w:rPr>
          <w:rFonts w:ascii="Arial" w:hAnsi="Arial" w:cs="Arial"/>
          <w:bCs/>
        </w:rPr>
      </w:pPr>
      <w:r w:rsidRPr="00403D67">
        <w:rPr>
          <w:rFonts w:ascii="Arial" w:hAnsi="Arial" w:cs="Arial"/>
          <w:bCs/>
        </w:rPr>
        <w:t>v </w:t>
      </w:r>
      <w:r w:rsidRPr="00403D67">
        <w:rPr>
          <w:rFonts w:ascii="Arial" w:hAnsi="Arial" w:cs="Arial"/>
          <w:b/>
          <w:bCs/>
        </w:rPr>
        <w:t xml:space="preserve">1. pololetí 2013 </w:t>
      </w:r>
      <w:r w:rsidRPr="00403D67">
        <w:rPr>
          <w:rFonts w:ascii="Arial" w:hAnsi="Arial" w:cs="Arial"/>
          <w:bCs/>
        </w:rPr>
        <w:t xml:space="preserve">se </w:t>
      </w:r>
      <w:r w:rsidRPr="00403D67">
        <w:rPr>
          <w:rFonts w:ascii="Arial" w:hAnsi="Arial" w:cs="Arial"/>
          <w:b/>
          <w:bCs/>
        </w:rPr>
        <w:t>nově zaevidovalo</w:t>
      </w:r>
      <w:r w:rsidRPr="00403D67">
        <w:rPr>
          <w:rFonts w:ascii="Arial" w:hAnsi="Arial" w:cs="Arial"/>
          <w:bCs/>
        </w:rPr>
        <w:t xml:space="preserve"> na ÚP</w:t>
      </w:r>
      <w:r w:rsidR="0064194E">
        <w:rPr>
          <w:rFonts w:ascii="Arial" w:hAnsi="Arial" w:cs="Arial"/>
          <w:bCs/>
        </w:rPr>
        <w:t> ČR</w:t>
      </w:r>
      <w:r w:rsidRPr="00403D67">
        <w:rPr>
          <w:rFonts w:ascii="Arial" w:hAnsi="Arial" w:cs="Arial"/>
          <w:bCs/>
        </w:rPr>
        <w:t xml:space="preserve"> celkem </w:t>
      </w:r>
      <w:r w:rsidRPr="00C82A51">
        <w:rPr>
          <w:rFonts w:ascii="Arial" w:hAnsi="Arial" w:cs="Arial"/>
          <w:b/>
          <w:bCs/>
        </w:rPr>
        <w:t xml:space="preserve">297,8 tis. uchazečů, </w:t>
      </w:r>
      <w:r w:rsidRPr="002415E8">
        <w:rPr>
          <w:rFonts w:ascii="Arial" w:hAnsi="Arial" w:cs="Arial"/>
          <w:b/>
          <w:bCs/>
        </w:rPr>
        <w:t>tj. o 20,3 tis. více</w:t>
      </w:r>
      <w:r w:rsidRPr="002415E8">
        <w:rPr>
          <w:rFonts w:ascii="Arial" w:hAnsi="Arial" w:cs="Arial"/>
          <w:bCs/>
        </w:rPr>
        <w:t xml:space="preserve"> než </w:t>
      </w:r>
      <w:r w:rsidRPr="00403D67">
        <w:rPr>
          <w:rFonts w:ascii="Arial" w:hAnsi="Arial" w:cs="Arial"/>
          <w:bCs/>
        </w:rPr>
        <w:t>v 1. pololetí</w:t>
      </w:r>
      <w:r w:rsidRPr="00403D67">
        <w:rPr>
          <w:rFonts w:ascii="Arial" w:hAnsi="Arial" w:cs="Arial"/>
          <w:b/>
          <w:bCs/>
        </w:rPr>
        <w:t xml:space="preserve"> </w:t>
      </w:r>
      <w:r w:rsidRPr="00403D67">
        <w:rPr>
          <w:rFonts w:ascii="Arial" w:hAnsi="Arial" w:cs="Arial"/>
        </w:rPr>
        <w:t>2012</w:t>
      </w:r>
      <w:r w:rsidRPr="00403D67">
        <w:rPr>
          <w:rFonts w:ascii="Arial" w:hAnsi="Arial" w:cs="Arial"/>
          <w:bCs/>
        </w:rPr>
        <w:t>;</w:t>
      </w:r>
    </w:p>
    <w:p w:rsidR="00C93B1B" w:rsidRPr="00446113" w:rsidRDefault="00C93B1B" w:rsidP="00C93B1B">
      <w:pPr>
        <w:numPr>
          <w:ilvl w:val="0"/>
          <w:numId w:val="21"/>
        </w:numPr>
        <w:spacing w:line="360" w:lineRule="auto"/>
        <w:ind w:right="-2"/>
        <w:jc w:val="both"/>
        <w:rPr>
          <w:rFonts w:ascii="Arial" w:hAnsi="Arial" w:cs="Arial"/>
          <w:bCs/>
        </w:rPr>
      </w:pPr>
      <w:r w:rsidRPr="0029424F">
        <w:rPr>
          <w:rFonts w:ascii="Arial" w:hAnsi="Arial" w:cs="Arial"/>
          <w:bCs/>
        </w:rPr>
        <w:t xml:space="preserve">v důsledku vyššího počtu nově </w:t>
      </w:r>
      <w:r w:rsidRPr="00115432">
        <w:rPr>
          <w:rFonts w:ascii="Arial" w:hAnsi="Arial" w:cs="Arial"/>
          <w:bCs/>
        </w:rPr>
        <w:t xml:space="preserve">evidovaných se </w:t>
      </w:r>
      <w:r w:rsidRPr="00115432">
        <w:rPr>
          <w:rFonts w:ascii="Arial" w:hAnsi="Arial" w:cs="Arial"/>
          <w:b/>
          <w:bCs/>
        </w:rPr>
        <w:t xml:space="preserve">zvýšil </w:t>
      </w:r>
      <w:r w:rsidRPr="00136D37">
        <w:rPr>
          <w:rFonts w:ascii="Arial" w:hAnsi="Arial" w:cs="Arial"/>
          <w:b/>
          <w:bCs/>
        </w:rPr>
        <w:t>p</w:t>
      </w:r>
      <w:r w:rsidRPr="00136D37">
        <w:rPr>
          <w:rFonts w:ascii="Arial" w:hAnsi="Arial" w:cs="Arial"/>
          <w:b/>
        </w:rPr>
        <w:t xml:space="preserve">růměrný </w:t>
      </w:r>
      <w:r w:rsidRPr="00D16355">
        <w:rPr>
          <w:rFonts w:ascii="Arial" w:hAnsi="Arial" w:cs="Arial"/>
          <w:b/>
        </w:rPr>
        <w:t>počet uchazečů</w:t>
      </w:r>
      <w:r w:rsidRPr="00D16355">
        <w:rPr>
          <w:rFonts w:ascii="Arial" w:hAnsi="Arial" w:cs="Arial"/>
        </w:rPr>
        <w:t xml:space="preserve"> o zaměstnání </w:t>
      </w:r>
      <w:r w:rsidRPr="00D16355">
        <w:rPr>
          <w:rFonts w:ascii="Arial" w:hAnsi="Arial" w:cs="Arial"/>
          <w:b/>
        </w:rPr>
        <w:t>pobírajících podporu v </w:t>
      </w:r>
      <w:r w:rsidRPr="00D74BEE">
        <w:rPr>
          <w:rFonts w:ascii="Arial" w:hAnsi="Arial" w:cs="Arial"/>
          <w:b/>
        </w:rPr>
        <w:t>nezaměstnanosti</w:t>
      </w:r>
      <w:r w:rsidRPr="00D74BEE">
        <w:rPr>
          <w:rFonts w:ascii="Arial" w:hAnsi="Arial" w:cs="Arial"/>
        </w:rPr>
        <w:t xml:space="preserve">, a to z 115,6 tis. v 1. pololetí 2012 </w:t>
      </w:r>
      <w:r w:rsidRPr="00D74BEE">
        <w:rPr>
          <w:rFonts w:ascii="Arial" w:hAnsi="Arial" w:cs="Arial"/>
          <w:b/>
        </w:rPr>
        <w:t xml:space="preserve">na </w:t>
      </w:r>
      <w:r w:rsidRPr="00D16355">
        <w:rPr>
          <w:rFonts w:ascii="Arial" w:hAnsi="Arial" w:cs="Arial"/>
          <w:b/>
        </w:rPr>
        <w:t>127,2</w:t>
      </w:r>
      <w:r w:rsidRPr="00D16355">
        <w:rPr>
          <w:rFonts w:ascii="Arial" w:hAnsi="Arial" w:cs="Arial"/>
        </w:rPr>
        <w:t> </w:t>
      </w:r>
      <w:r w:rsidRPr="00D16355">
        <w:rPr>
          <w:rFonts w:ascii="Arial" w:hAnsi="Arial" w:cs="Arial"/>
          <w:b/>
          <w:bCs/>
        </w:rPr>
        <w:t>tis.</w:t>
      </w:r>
      <w:r w:rsidRPr="00D16355">
        <w:rPr>
          <w:rFonts w:ascii="Arial" w:hAnsi="Arial" w:cs="Arial"/>
        </w:rPr>
        <w:t xml:space="preserve">, jejich </w:t>
      </w:r>
      <w:r w:rsidRPr="00D16355">
        <w:rPr>
          <w:rFonts w:ascii="Arial" w:hAnsi="Arial" w:cs="Arial"/>
          <w:b/>
        </w:rPr>
        <w:t>podíl</w:t>
      </w:r>
      <w:r w:rsidRPr="00D16355">
        <w:rPr>
          <w:rFonts w:ascii="Arial" w:hAnsi="Arial" w:cs="Arial"/>
        </w:rPr>
        <w:t xml:space="preserve"> na celkovém počtu uchazečů o </w:t>
      </w:r>
      <w:r w:rsidRPr="00446113">
        <w:rPr>
          <w:rFonts w:ascii="Arial" w:hAnsi="Arial" w:cs="Arial"/>
        </w:rPr>
        <w:t xml:space="preserve">zaměstnání </w:t>
      </w:r>
      <w:r w:rsidRPr="00446113">
        <w:rPr>
          <w:rFonts w:ascii="Arial" w:hAnsi="Arial" w:cs="Arial"/>
          <w:b/>
        </w:rPr>
        <w:t>mírně</w:t>
      </w:r>
      <w:r w:rsidRPr="00446113">
        <w:rPr>
          <w:rFonts w:ascii="Arial" w:hAnsi="Arial" w:cs="Arial"/>
        </w:rPr>
        <w:t xml:space="preserve"> </w:t>
      </w:r>
      <w:r w:rsidRPr="00446113">
        <w:rPr>
          <w:rFonts w:ascii="Arial" w:hAnsi="Arial" w:cs="Arial"/>
          <w:b/>
        </w:rPr>
        <w:t xml:space="preserve">poklesl </w:t>
      </w:r>
      <w:r w:rsidRPr="00446113">
        <w:rPr>
          <w:rFonts w:ascii="Arial" w:hAnsi="Arial" w:cs="Arial"/>
        </w:rPr>
        <w:t>z </w:t>
      </w:r>
      <w:r w:rsidRPr="009D782F">
        <w:rPr>
          <w:rFonts w:ascii="Arial" w:hAnsi="Arial" w:cs="Arial"/>
        </w:rPr>
        <w:t xml:space="preserve">22,6 % </w:t>
      </w:r>
      <w:r w:rsidRPr="00446113">
        <w:rPr>
          <w:rFonts w:ascii="Arial" w:hAnsi="Arial" w:cs="Arial"/>
          <w:b/>
        </w:rPr>
        <w:t>na 22,3 %</w:t>
      </w:r>
      <w:r w:rsidRPr="00446113">
        <w:rPr>
          <w:rFonts w:ascii="Arial" w:hAnsi="Arial" w:cs="Arial"/>
        </w:rPr>
        <w:t>;</w:t>
      </w:r>
    </w:p>
    <w:p w:rsidR="00C93B1B" w:rsidRPr="00B52EC9" w:rsidRDefault="00C93B1B" w:rsidP="00C93B1B">
      <w:pPr>
        <w:numPr>
          <w:ilvl w:val="0"/>
          <w:numId w:val="21"/>
        </w:numPr>
        <w:spacing w:line="360" w:lineRule="auto"/>
        <w:ind w:right="-2"/>
        <w:jc w:val="both"/>
      </w:pPr>
      <w:r w:rsidRPr="00B52EC9">
        <w:rPr>
          <w:rFonts w:ascii="Arial" w:hAnsi="Arial" w:cs="Arial"/>
        </w:rPr>
        <w:t>průměr</w:t>
      </w:r>
      <w:r w:rsidRPr="00B52EC9">
        <w:rPr>
          <w:rFonts w:ascii="Arial" w:hAnsi="Arial" w:cs="Arial"/>
          <w:bCs/>
        </w:rPr>
        <w:t xml:space="preserve">ná měsíční </w:t>
      </w:r>
      <w:r w:rsidRPr="00B52EC9">
        <w:rPr>
          <w:rFonts w:ascii="Arial" w:hAnsi="Arial" w:cs="Arial"/>
          <w:b/>
          <w:bCs/>
        </w:rPr>
        <w:t xml:space="preserve">výše podpory </w:t>
      </w:r>
      <w:r w:rsidRPr="00B52EC9">
        <w:rPr>
          <w:rFonts w:ascii="Arial" w:hAnsi="Arial" w:cs="Arial"/>
          <w:bCs/>
        </w:rPr>
        <w:t xml:space="preserve">se </w:t>
      </w:r>
      <w:r w:rsidRPr="00B52EC9">
        <w:rPr>
          <w:rFonts w:ascii="Arial" w:hAnsi="Arial" w:cs="Arial"/>
          <w:b/>
          <w:bCs/>
        </w:rPr>
        <w:t>meziročně zvýšila</w:t>
      </w:r>
      <w:r w:rsidRPr="00B52EC9">
        <w:rPr>
          <w:rFonts w:ascii="Arial" w:hAnsi="Arial" w:cs="Arial"/>
          <w:bCs/>
        </w:rPr>
        <w:t xml:space="preserve"> z 5 790 Kč v 1. pololetí 2012 </w:t>
      </w:r>
      <w:r w:rsidRPr="00B52EC9">
        <w:rPr>
          <w:rFonts w:ascii="Arial" w:hAnsi="Arial" w:cs="Arial"/>
          <w:b/>
          <w:bCs/>
        </w:rPr>
        <w:t>na 6 211</w:t>
      </w:r>
      <w:r w:rsidRPr="00B52EC9">
        <w:rPr>
          <w:rFonts w:ascii="Arial CE" w:hAnsi="Arial CE" w:cs="Arial CE"/>
          <w:b/>
          <w:bCs/>
          <w:sz w:val="20"/>
          <w:szCs w:val="20"/>
        </w:rPr>
        <w:t> </w:t>
      </w:r>
      <w:r w:rsidRPr="00B52EC9">
        <w:rPr>
          <w:rFonts w:ascii="Arial" w:hAnsi="Arial" w:cs="Arial"/>
          <w:b/>
          <w:bCs/>
        </w:rPr>
        <w:t xml:space="preserve">Kč. </w:t>
      </w:r>
    </w:p>
    <w:p w:rsidR="00C93B1B" w:rsidRPr="00B52EC9" w:rsidRDefault="00C93B1B" w:rsidP="00C93B1B">
      <w:pPr>
        <w:spacing w:line="360" w:lineRule="auto"/>
        <w:ind w:left="720" w:right="-2"/>
        <w:jc w:val="both"/>
      </w:pPr>
    </w:p>
    <w:p w:rsidR="00C93B1B" w:rsidRPr="006B1905" w:rsidRDefault="00C93B1B" w:rsidP="00C93B1B">
      <w:pPr>
        <w:spacing w:line="360" w:lineRule="auto"/>
        <w:ind w:firstLine="567"/>
        <w:jc w:val="both"/>
        <w:rPr>
          <w:rFonts w:ascii="Arial" w:hAnsi="Arial" w:cs="Arial"/>
        </w:rPr>
      </w:pPr>
      <w:r w:rsidRPr="00BE5390">
        <w:rPr>
          <w:rFonts w:ascii="Arial" w:hAnsi="Arial" w:cs="Arial"/>
          <w:b/>
          <w:bCs/>
        </w:rPr>
        <w:t>Na aktivní politiku zaměstnanosti (APZ)</w:t>
      </w:r>
      <w:r w:rsidRPr="00BE5390">
        <w:rPr>
          <w:rFonts w:ascii="Arial" w:hAnsi="Arial" w:cs="Arial"/>
        </w:rPr>
        <w:t xml:space="preserve"> bylo </w:t>
      </w:r>
      <w:r w:rsidRPr="00BE5390">
        <w:rPr>
          <w:rFonts w:ascii="Arial" w:hAnsi="Arial"/>
        </w:rPr>
        <w:t xml:space="preserve">1. pololetí 2013 </w:t>
      </w:r>
      <w:r w:rsidRPr="00BE5390">
        <w:rPr>
          <w:rFonts w:ascii="Arial" w:hAnsi="Arial" w:cs="Arial"/>
        </w:rPr>
        <w:t>na MPSV a ÚP</w:t>
      </w:r>
      <w:r w:rsidR="0064194E">
        <w:rPr>
          <w:rFonts w:ascii="Arial" w:hAnsi="Arial" w:cs="Arial"/>
        </w:rPr>
        <w:t xml:space="preserve"> ČR </w:t>
      </w:r>
      <w:r w:rsidRPr="00BE5390">
        <w:rPr>
          <w:rFonts w:ascii="Arial" w:hAnsi="Arial" w:cs="Arial"/>
        </w:rPr>
        <w:t xml:space="preserve">(včetně mimorozpočtových zdrojů) vynaloženo </w:t>
      </w:r>
      <w:r w:rsidRPr="007A4FEA">
        <w:rPr>
          <w:rFonts w:ascii="Arial" w:hAnsi="Arial" w:cs="Arial"/>
          <w:b/>
        </w:rPr>
        <w:t>1</w:t>
      </w:r>
      <w:r w:rsidRPr="007A4FEA">
        <w:rPr>
          <w:rFonts w:ascii="Arial" w:hAnsi="Arial" w:cs="Arial"/>
          <w:b/>
          <w:bCs/>
        </w:rPr>
        <w:t> 475 229 tis. Kč</w:t>
      </w:r>
      <w:r w:rsidRPr="007A4FEA">
        <w:rPr>
          <w:rFonts w:ascii="Arial" w:hAnsi="Arial" w:cs="Arial"/>
          <w:bCs/>
        </w:rPr>
        <w:t>,</w:t>
      </w:r>
      <w:r w:rsidRPr="007A4FEA">
        <w:rPr>
          <w:rFonts w:ascii="Arial" w:hAnsi="Arial" w:cs="Arial"/>
          <w:b/>
          <w:bCs/>
        </w:rPr>
        <w:t xml:space="preserve"> </w:t>
      </w:r>
      <w:r w:rsidRPr="007A4FEA">
        <w:rPr>
          <w:rFonts w:ascii="Arial" w:hAnsi="Arial" w:cs="Arial"/>
          <w:bCs/>
        </w:rPr>
        <w:t xml:space="preserve">v tom MPSV 14,8 tis. Kč, </w:t>
      </w:r>
      <w:r w:rsidRPr="00D75760">
        <w:rPr>
          <w:rFonts w:ascii="Arial" w:hAnsi="Arial" w:cs="Arial"/>
          <w:bCs/>
        </w:rPr>
        <w:t>ÚP</w:t>
      </w:r>
      <w:r w:rsidR="00D5687C">
        <w:rPr>
          <w:rFonts w:ascii="Arial" w:hAnsi="Arial" w:cs="Arial"/>
          <w:bCs/>
        </w:rPr>
        <w:t> ČR</w:t>
      </w:r>
      <w:r w:rsidRPr="00D75760">
        <w:rPr>
          <w:rFonts w:ascii="Arial" w:hAnsi="Arial" w:cs="Arial"/>
          <w:bCs/>
        </w:rPr>
        <w:t xml:space="preserve"> 1 460 394 tis. Kč. </w:t>
      </w:r>
      <w:r w:rsidRPr="00BE5390">
        <w:rPr>
          <w:rFonts w:ascii="Arial" w:hAnsi="Arial" w:cs="Arial"/>
        </w:rPr>
        <w:t>Ve srovnání s </w:t>
      </w:r>
      <w:r>
        <w:rPr>
          <w:rFonts w:ascii="Arial" w:hAnsi="Arial"/>
        </w:rPr>
        <w:t>1. </w:t>
      </w:r>
      <w:r w:rsidRPr="00BE5390">
        <w:rPr>
          <w:rFonts w:ascii="Arial" w:hAnsi="Arial"/>
        </w:rPr>
        <w:t xml:space="preserve">pololetí </w:t>
      </w:r>
      <w:r w:rsidRPr="00D75760">
        <w:rPr>
          <w:rFonts w:ascii="Arial" w:hAnsi="Arial"/>
        </w:rPr>
        <w:t xml:space="preserve">2012 </w:t>
      </w:r>
      <w:r w:rsidRPr="00D75760">
        <w:rPr>
          <w:rFonts w:ascii="Arial" w:hAnsi="Arial" w:cs="Arial"/>
          <w:b/>
        </w:rPr>
        <w:t>vzrostly výdaje</w:t>
      </w:r>
      <w:r w:rsidRPr="00D75760">
        <w:rPr>
          <w:rFonts w:ascii="Arial" w:hAnsi="Arial" w:cs="Arial"/>
        </w:rPr>
        <w:t xml:space="preserve"> </w:t>
      </w:r>
      <w:r w:rsidRPr="00D75760">
        <w:rPr>
          <w:rFonts w:ascii="Arial" w:hAnsi="Arial" w:cs="Arial"/>
          <w:bCs/>
        </w:rPr>
        <w:t xml:space="preserve">na APZ </w:t>
      </w:r>
      <w:r w:rsidRPr="00D75760">
        <w:rPr>
          <w:rFonts w:ascii="Arial" w:hAnsi="Arial" w:cs="Arial"/>
          <w:b/>
          <w:bCs/>
        </w:rPr>
        <w:t>o </w:t>
      </w:r>
      <w:r w:rsidRPr="00512045">
        <w:rPr>
          <w:rFonts w:ascii="Arial" w:hAnsi="Arial" w:cs="Arial"/>
          <w:b/>
          <w:bCs/>
        </w:rPr>
        <w:t>3</w:t>
      </w:r>
      <w:r>
        <w:rPr>
          <w:rFonts w:ascii="Arial" w:hAnsi="Arial" w:cs="Arial"/>
          <w:b/>
          <w:bCs/>
        </w:rPr>
        <w:t>58</w:t>
      </w:r>
      <w:r w:rsidRPr="00512045">
        <w:rPr>
          <w:rFonts w:ascii="Arial" w:hAnsi="Arial" w:cs="Arial"/>
          <w:b/>
          <w:bCs/>
        </w:rPr>
        <w:t> 85</w:t>
      </w:r>
      <w:r>
        <w:rPr>
          <w:rFonts w:ascii="Arial" w:hAnsi="Arial" w:cs="Arial"/>
          <w:b/>
          <w:bCs/>
        </w:rPr>
        <w:t>1</w:t>
      </w:r>
      <w:r w:rsidRPr="00512045">
        <w:rPr>
          <w:rFonts w:ascii="Arial" w:hAnsi="Arial" w:cs="Arial"/>
          <w:b/>
          <w:bCs/>
        </w:rPr>
        <w:t> tis. Kč</w:t>
      </w:r>
      <w:r w:rsidRPr="00512045">
        <w:rPr>
          <w:rFonts w:ascii="Arial" w:hAnsi="Arial" w:cs="Arial"/>
        </w:rPr>
        <w:t>, tj. </w:t>
      </w:r>
      <w:r w:rsidRPr="00FA70D6">
        <w:rPr>
          <w:rFonts w:ascii="Arial" w:hAnsi="Arial" w:cs="Arial"/>
          <w:b/>
        </w:rPr>
        <w:t>o </w:t>
      </w:r>
      <w:r>
        <w:rPr>
          <w:rFonts w:ascii="Arial" w:hAnsi="Arial" w:cs="Arial"/>
          <w:b/>
        </w:rPr>
        <w:t>32</w:t>
      </w:r>
      <w:r w:rsidRPr="00FA70D6">
        <w:rPr>
          <w:rFonts w:ascii="Arial" w:hAnsi="Arial" w:cs="Arial"/>
          <w:b/>
        </w:rPr>
        <w:t>,</w:t>
      </w:r>
      <w:r>
        <w:rPr>
          <w:rFonts w:ascii="Arial" w:hAnsi="Arial" w:cs="Arial"/>
          <w:b/>
        </w:rPr>
        <w:t>1</w:t>
      </w:r>
      <w:r w:rsidRPr="00FA70D6">
        <w:rPr>
          <w:rFonts w:ascii="Arial" w:hAnsi="Arial" w:cs="Arial"/>
          <w:b/>
        </w:rPr>
        <w:t> </w:t>
      </w:r>
      <w:r w:rsidRPr="006B1905">
        <w:rPr>
          <w:rFonts w:ascii="Arial" w:hAnsi="Arial" w:cs="Arial"/>
          <w:b/>
        </w:rPr>
        <w:t>%</w:t>
      </w:r>
      <w:r w:rsidRPr="006B1905">
        <w:rPr>
          <w:rFonts w:ascii="Arial" w:hAnsi="Arial" w:cs="Arial"/>
        </w:rPr>
        <w:t>. V porovnání s </w:t>
      </w:r>
      <w:r w:rsidRPr="006B1905">
        <w:rPr>
          <w:rFonts w:ascii="Arial" w:hAnsi="Arial"/>
        </w:rPr>
        <w:t xml:space="preserve">1. pololetí 2012 </w:t>
      </w:r>
      <w:r w:rsidRPr="006B1905">
        <w:rPr>
          <w:rFonts w:ascii="Arial" w:hAnsi="Arial" w:cs="Arial"/>
        </w:rPr>
        <w:t>se zvýšil zejména objem výdajů aktivní politiky zaměstnanosti financovaných z Evropského sociálního fondu.</w:t>
      </w:r>
    </w:p>
    <w:p w:rsidR="00C93B1B" w:rsidRPr="00FB3826" w:rsidRDefault="00C93B1B" w:rsidP="00C93B1B">
      <w:pPr>
        <w:spacing w:line="360" w:lineRule="auto"/>
        <w:jc w:val="center"/>
        <w:rPr>
          <w:rFonts w:ascii="Arial" w:hAnsi="Arial" w:cs="Arial"/>
        </w:rPr>
      </w:pPr>
    </w:p>
    <w:p w:rsidR="00C93B1B" w:rsidRPr="007E79E6" w:rsidRDefault="00C93B1B" w:rsidP="00C93B1B">
      <w:pPr>
        <w:spacing w:line="360" w:lineRule="auto"/>
        <w:ind w:firstLine="567"/>
        <w:jc w:val="both"/>
        <w:rPr>
          <w:rFonts w:ascii="Arial" w:hAnsi="Arial" w:cs="Arial"/>
          <w:bCs/>
        </w:rPr>
      </w:pPr>
      <w:r w:rsidRPr="00BE5390">
        <w:rPr>
          <w:rFonts w:ascii="Arial" w:hAnsi="Arial" w:cs="Arial"/>
        </w:rPr>
        <w:t xml:space="preserve">Dále bylo v rámci státní politiky zaměstnanosti ze státního rozpočtu </w:t>
      </w:r>
      <w:r w:rsidRPr="00BE5390">
        <w:rPr>
          <w:rFonts w:ascii="Arial" w:hAnsi="Arial" w:cs="Arial"/>
          <w:b/>
        </w:rPr>
        <w:t xml:space="preserve">jako příspěvek zaměstnavatelům zaměstnávajícím více než 50 % osob se </w:t>
      </w:r>
      <w:r w:rsidRPr="00BE5390">
        <w:rPr>
          <w:rFonts w:ascii="Arial" w:hAnsi="Arial" w:cs="Arial"/>
          <w:b/>
        </w:rPr>
        <w:lastRenderedPageBreak/>
        <w:t>zdravotním postižením</w:t>
      </w:r>
      <w:r w:rsidRPr="00BE5390">
        <w:rPr>
          <w:rFonts w:ascii="Arial" w:hAnsi="Arial" w:cs="Arial"/>
        </w:rPr>
        <w:t xml:space="preserve"> </w:t>
      </w:r>
      <w:r w:rsidRPr="00BE5390">
        <w:rPr>
          <w:rFonts w:ascii="Arial" w:hAnsi="Arial" w:cs="Arial"/>
          <w:b/>
        </w:rPr>
        <w:t xml:space="preserve">podle § 78 zákona </w:t>
      </w:r>
      <w:r w:rsidRPr="008801CF">
        <w:rPr>
          <w:rFonts w:ascii="Arial" w:hAnsi="Arial" w:cs="Arial"/>
          <w:b/>
        </w:rPr>
        <w:t>o zaměstnanosti</w:t>
      </w:r>
      <w:r w:rsidRPr="00BE5390">
        <w:rPr>
          <w:rFonts w:ascii="Arial" w:hAnsi="Arial" w:cs="Arial"/>
        </w:rPr>
        <w:t xml:space="preserve">, </w:t>
      </w:r>
      <w:r w:rsidRPr="00ED433A">
        <w:rPr>
          <w:rFonts w:ascii="Arial" w:hAnsi="Arial" w:cs="Arial"/>
        </w:rPr>
        <w:t xml:space="preserve">vynaloženo </w:t>
      </w:r>
      <w:r w:rsidRPr="00ED433A">
        <w:rPr>
          <w:rFonts w:ascii="Arial" w:hAnsi="Arial" w:cs="Arial"/>
          <w:b/>
        </w:rPr>
        <w:t>1</w:t>
      </w:r>
      <w:r w:rsidRPr="00ED433A">
        <w:rPr>
          <w:rFonts w:ascii="Arial" w:hAnsi="Arial" w:cs="Arial"/>
          <w:b/>
          <w:bCs/>
        </w:rPr>
        <w:t> 690 691 </w:t>
      </w:r>
      <w:r w:rsidRPr="00ED433A">
        <w:rPr>
          <w:rFonts w:ascii="Arial" w:hAnsi="Arial" w:cs="Arial"/>
          <w:b/>
        </w:rPr>
        <w:t>tis. Kč</w:t>
      </w:r>
      <w:r>
        <w:rPr>
          <w:rFonts w:ascii="Arial" w:hAnsi="Arial" w:cs="Arial"/>
          <w:b/>
        </w:rPr>
        <w:t>.</w:t>
      </w:r>
      <w:r w:rsidRPr="007E79E6">
        <w:rPr>
          <w:rFonts w:ascii="Arial" w:hAnsi="Arial" w:cs="Arial"/>
        </w:rPr>
        <w:t xml:space="preserve"> Na příspěvek dle § 78 zákona o zaměstnanosti tedy bylo vynaloženo o 1 164</w:t>
      </w:r>
      <w:r w:rsidRPr="007E79E6">
        <w:rPr>
          <w:rFonts w:ascii="Arial" w:hAnsi="Arial" w:cs="Arial"/>
          <w:bCs/>
        </w:rPr>
        <w:t> tis. Kč, tj. 0,07 %, méně než v </w:t>
      </w:r>
      <w:r w:rsidRPr="007E79E6">
        <w:rPr>
          <w:rFonts w:ascii="Arial" w:hAnsi="Arial" w:cs="Arial"/>
        </w:rPr>
        <w:t>1. pololetí </w:t>
      </w:r>
      <w:r w:rsidRPr="007E79E6">
        <w:rPr>
          <w:rFonts w:ascii="Arial" w:hAnsi="Arial" w:cs="Arial"/>
          <w:bCs/>
        </w:rPr>
        <w:t>2012, a to i přesto, že od července 2012 lze tento příspěvek zvýšit o částku odpovídající zaměstnavatelem vynaloženým prostředkům na provozní náklady chráněných pracovních míst. Snížení příspěvku souvisí s tím, že od července 2012 je poskytován ve výši 75 % vynaložených mzdových nákladů (maximálně 8 tis. Kč měsíčně na jednu OZP). Byla tedy zavedena 25 % spoluúčast zaměstnavatele na vynaložených mzdových nákladech. Pokles vynaložených prostředků také souvisí se změnami v oblasti uznávání zaměstnanců osobami zdravotně znevýhodněnými.  U některých zaměstnanců došlo k tomu, že rozhodnutí o uznání osobou zdravotně znevýhodněnou pozbylo platnosti.</w:t>
      </w:r>
      <w:r>
        <w:rPr>
          <w:rFonts w:ascii="Arial" w:hAnsi="Arial" w:cs="Arial"/>
          <w:bCs/>
        </w:rPr>
        <w:t xml:space="preserve"> Důvody výše uvedených změn jsou popsány v kapitole 3., části týkající se vymezených chráněných pracovních míst.</w:t>
      </w:r>
    </w:p>
    <w:p w:rsidR="00C93B1B" w:rsidRDefault="00C93B1B" w:rsidP="00C93B1B">
      <w:pPr>
        <w:spacing w:line="360" w:lineRule="auto"/>
        <w:ind w:firstLine="567"/>
        <w:jc w:val="both"/>
        <w:rPr>
          <w:rFonts w:ascii="Arial" w:hAnsi="Arial" w:cs="Arial"/>
        </w:rPr>
      </w:pPr>
      <w:r>
        <w:rPr>
          <w:rFonts w:ascii="Arial" w:hAnsi="Arial" w:cs="Arial"/>
          <w:bCs/>
        </w:rPr>
        <w:t>N</w:t>
      </w:r>
      <w:r w:rsidRPr="00CE21AC">
        <w:rPr>
          <w:rFonts w:ascii="Arial" w:hAnsi="Arial" w:cs="Arial"/>
        </w:rPr>
        <w:t>a výplatu mzdových nároků zaměstnancům při plate</w:t>
      </w:r>
      <w:r w:rsidRPr="00BE5390">
        <w:rPr>
          <w:rFonts w:ascii="Arial" w:hAnsi="Arial" w:cs="Arial"/>
        </w:rPr>
        <w:t>bní n</w:t>
      </w:r>
      <w:r>
        <w:rPr>
          <w:rFonts w:ascii="Arial" w:hAnsi="Arial" w:cs="Arial"/>
        </w:rPr>
        <w:t>eschopnosti zaměstnavatele, tj. </w:t>
      </w:r>
      <w:r w:rsidRPr="00BE5390">
        <w:rPr>
          <w:rFonts w:ascii="Arial" w:hAnsi="Arial" w:cs="Arial"/>
          <w:b/>
        </w:rPr>
        <w:t>insolvenci</w:t>
      </w:r>
      <w:r w:rsidRPr="00104E36">
        <w:rPr>
          <w:rFonts w:ascii="Arial" w:hAnsi="Arial" w:cs="Arial"/>
        </w:rPr>
        <w:t>,</w:t>
      </w:r>
      <w:r w:rsidRPr="00BE5390">
        <w:rPr>
          <w:rFonts w:ascii="Arial" w:hAnsi="Arial" w:cs="Arial"/>
          <w:b/>
        </w:rPr>
        <w:t xml:space="preserve"> </w:t>
      </w:r>
      <w:r w:rsidRPr="00CE7289">
        <w:rPr>
          <w:rFonts w:ascii="Arial" w:hAnsi="Arial" w:cs="Arial"/>
        </w:rPr>
        <w:t>bylo vynaloženo</w:t>
      </w:r>
      <w:r>
        <w:rPr>
          <w:rFonts w:ascii="Arial" w:hAnsi="Arial" w:cs="Arial"/>
          <w:b/>
        </w:rPr>
        <w:t xml:space="preserve"> </w:t>
      </w:r>
      <w:r w:rsidRPr="00134192">
        <w:rPr>
          <w:rFonts w:ascii="Arial" w:hAnsi="Arial" w:cs="Arial"/>
          <w:b/>
        </w:rPr>
        <w:t>159</w:t>
      </w:r>
      <w:r w:rsidRPr="00134192">
        <w:rPr>
          <w:rFonts w:ascii="Arial" w:hAnsi="Arial" w:cs="Arial"/>
          <w:b/>
          <w:bCs/>
        </w:rPr>
        <w:t> 554</w:t>
      </w:r>
      <w:r w:rsidRPr="00134192">
        <w:rPr>
          <w:rFonts w:ascii="Arial" w:hAnsi="Arial" w:cs="Arial"/>
          <w:b/>
        </w:rPr>
        <w:t xml:space="preserve"> tis. Kč </w:t>
      </w:r>
      <w:r w:rsidRPr="005255B2">
        <w:rPr>
          <w:rFonts w:ascii="Arial" w:hAnsi="Arial" w:cs="Arial"/>
        </w:rPr>
        <w:t xml:space="preserve">(meziročně </w:t>
      </w:r>
      <w:r>
        <w:rPr>
          <w:rFonts w:ascii="Arial" w:hAnsi="Arial" w:cs="Arial"/>
        </w:rPr>
        <w:t>méně</w:t>
      </w:r>
      <w:r w:rsidRPr="005255B2">
        <w:rPr>
          <w:rFonts w:ascii="Arial" w:hAnsi="Arial" w:cs="Arial"/>
        </w:rPr>
        <w:t xml:space="preserve"> o 46</w:t>
      </w:r>
      <w:r>
        <w:rPr>
          <w:rFonts w:ascii="Arial" w:hAnsi="Arial" w:cs="Arial"/>
        </w:rPr>
        <w:t> 671</w:t>
      </w:r>
      <w:r w:rsidRPr="005255B2">
        <w:rPr>
          <w:rFonts w:ascii="Arial" w:hAnsi="Arial" w:cs="Arial"/>
          <w:bCs/>
        </w:rPr>
        <w:t xml:space="preserve"> tis. Kč, </w:t>
      </w:r>
      <w:r w:rsidRPr="002D7868">
        <w:rPr>
          <w:rFonts w:ascii="Arial" w:hAnsi="Arial" w:cs="Arial"/>
          <w:bCs/>
        </w:rPr>
        <w:t>tj. </w:t>
      </w:r>
      <w:r w:rsidRPr="002D7868">
        <w:rPr>
          <w:rFonts w:ascii="Arial" w:hAnsi="Arial" w:cs="Arial"/>
        </w:rPr>
        <w:t>o 22</w:t>
      </w:r>
      <w:r w:rsidRPr="002D7868">
        <w:rPr>
          <w:rFonts w:ascii="Arial" w:hAnsi="Arial" w:cs="Arial"/>
          <w:bCs/>
        </w:rPr>
        <w:t>,6 </w:t>
      </w:r>
      <w:r w:rsidRPr="002D7868">
        <w:rPr>
          <w:rFonts w:ascii="Arial" w:hAnsi="Arial" w:cs="Arial"/>
        </w:rPr>
        <w:t xml:space="preserve">%). </w:t>
      </w:r>
    </w:p>
    <w:p w:rsidR="00C93B1B" w:rsidRPr="00BE5390" w:rsidRDefault="00C93B1B" w:rsidP="00C93B1B">
      <w:pPr>
        <w:spacing w:line="360" w:lineRule="auto"/>
        <w:ind w:firstLine="567"/>
        <w:jc w:val="both"/>
        <w:rPr>
          <w:rFonts w:ascii="Arial CE" w:hAnsi="Arial CE" w:cs="Arial CE"/>
          <w:b/>
          <w:bCs/>
          <w:sz w:val="20"/>
          <w:szCs w:val="20"/>
        </w:rPr>
      </w:pPr>
      <w:r>
        <w:rPr>
          <w:rFonts w:ascii="Arial" w:hAnsi="Arial" w:cs="Arial"/>
          <w:b/>
        </w:rPr>
        <w:t>Uvedené</w:t>
      </w:r>
      <w:r w:rsidRPr="002D7868">
        <w:rPr>
          <w:rFonts w:ascii="Arial" w:hAnsi="Arial" w:cs="Arial"/>
          <w:b/>
        </w:rPr>
        <w:t xml:space="preserve"> </w:t>
      </w:r>
      <w:r w:rsidRPr="00BE5390">
        <w:rPr>
          <w:rFonts w:ascii="Arial" w:hAnsi="Arial" w:cs="Arial"/>
          <w:b/>
        </w:rPr>
        <w:t>nástroje a opatření nejsou součástí APZ.</w:t>
      </w:r>
    </w:p>
    <w:p w:rsidR="00145A9B" w:rsidRPr="00614F36" w:rsidRDefault="00145A9B" w:rsidP="00145A9B">
      <w:pPr>
        <w:spacing w:line="360" w:lineRule="auto"/>
        <w:jc w:val="both"/>
        <w:rPr>
          <w:rFonts w:ascii="Arial" w:hAnsi="Arial" w:cs="Arial"/>
          <w:b/>
        </w:rPr>
      </w:pPr>
    </w:p>
    <w:p w:rsidR="00862CD4" w:rsidRPr="001442D7" w:rsidRDefault="00145A9B" w:rsidP="00614F36">
      <w:pPr>
        <w:pStyle w:val="Styl3"/>
      </w:pPr>
      <w:bookmarkStart w:id="161" w:name="_Toc372530198"/>
      <w:r w:rsidRPr="001442D7">
        <w:t>Aktivní politika zaměstnanosti realizovaná ÚP</w:t>
      </w:r>
      <w:r w:rsidR="00651C1F">
        <w:t> ČR</w:t>
      </w:r>
      <w:bookmarkEnd w:id="161"/>
    </w:p>
    <w:p w:rsidR="00145A9B" w:rsidRPr="001442D7" w:rsidRDefault="00145A9B" w:rsidP="00614F36">
      <w:pPr>
        <w:pStyle w:val="Styl3"/>
        <w:numPr>
          <w:ilvl w:val="0"/>
          <w:numId w:val="0"/>
        </w:numPr>
        <w:ind w:left="900"/>
      </w:pPr>
      <w:r w:rsidRPr="001442D7">
        <w:tab/>
      </w:r>
    </w:p>
    <w:p w:rsidR="00651C1F" w:rsidRPr="001F3416" w:rsidRDefault="0083650B" w:rsidP="00651C1F">
      <w:pPr>
        <w:widowControl w:val="0"/>
        <w:tabs>
          <w:tab w:val="left" w:pos="0"/>
          <w:tab w:val="left" w:pos="567"/>
        </w:tabs>
        <w:suppressAutoHyphens/>
        <w:autoSpaceDE w:val="0"/>
        <w:autoSpaceDN w:val="0"/>
        <w:adjustRightInd w:val="0"/>
        <w:spacing w:line="360" w:lineRule="auto"/>
        <w:jc w:val="both"/>
        <w:rPr>
          <w:rFonts w:ascii="Arial" w:hAnsi="Arial" w:cs="Arial"/>
        </w:rPr>
      </w:pPr>
      <w:r w:rsidRPr="001442D7">
        <w:rPr>
          <w:rFonts w:ascii="Arial" w:hAnsi="Arial" w:cs="Arial"/>
          <w:color w:val="0070C0"/>
        </w:rPr>
        <w:tab/>
      </w:r>
      <w:r w:rsidR="00651C1F" w:rsidRPr="00DA00EF">
        <w:rPr>
          <w:rFonts w:ascii="Arial" w:hAnsi="Arial" w:cs="Arial"/>
        </w:rPr>
        <w:t xml:space="preserve">Od roku 2012 přiděluje finanční prostředky na jednotlivé krajské pobočky Úřadu práce ČR Generální ředitelství </w:t>
      </w:r>
      <w:r w:rsidR="00651C1F" w:rsidRPr="001F3416">
        <w:rPr>
          <w:rFonts w:ascii="Arial" w:hAnsi="Arial" w:cs="Arial"/>
        </w:rPr>
        <w:t>Úřadu práce ČR, a to obdobným způsobem, jakým alokovalo finanční prostředky v uplynulých letech MPSV, tedy na základě kombinace ukazatelů charakterizujících trh práce.</w:t>
      </w:r>
    </w:p>
    <w:p w:rsidR="00651C1F" w:rsidRPr="00340717" w:rsidRDefault="00651C1F" w:rsidP="00651C1F">
      <w:pPr>
        <w:widowControl w:val="0"/>
        <w:tabs>
          <w:tab w:val="left" w:pos="0"/>
          <w:tab w:val="left" w:pos="567"/>
        </w:tabs>
        <w:suppressAutoHyphens/>
        <w:autoSpaceDE w:val="0"/>
        <w:autoSpaceDN w:val="0"/>
        <w:adjustRightInd w:val="0"/>
        <w:spacing w:line="360" w:lineRule="auto"/>
        <w:jc w:val="both"/>
        <w:rPr>
          <w:rFonts w:cs="Arial"/>
        </w:rPr>
      </w:pPr>
      <w:r>
        <w:rPr>
          <w:rFonts w:ascii="Arial" w:hAnsi="Arial"/>
          <w:color w:val="0070C0"/>
        </w:rPr>
        <w:tab/>
      </w:r>
      <w:r w:rsidRPr="00136461">
        <w:rPr>
          <w:rFonts w:ascii="Arial" w:hAnsi="Arial"/>
        </w:rPr>
        <w:t xml:space="preserve">Nejvíce prostředků na APZ je směrováno do regionů s nejhorší bilancí těchto ukazatelů. Z celkového </w:t>
      </w:r>
      <w:r>
        <w:rPr>
          <w:rFonts w:ascii="Arial" w:hAnsi="Arial"/>
        </w:rPr>
        <w:t xml:space="preserve">objemu finančních prostředků ÚP ČR </w:t>
      </w:r>
      <w:r w:rsidRPr="00136461">
        <w:rPr>
          <w:rFonts w:ascii="Arial" w:hAnsi="Arial"/>
        </w:rPr>
        <w:t>na APZ (včetně prostř</w:t>
      </w:r>
      <w:r>
        <w:rPr>
          <w:rFonts w:ascii="Arial" w:hAnsi="Arial"/>
        </w:rPr>
        <w:t xml:space="preserve">edků ESF) bylo nejvíce </w:t>
      </w:r>
      <w:r w:rsidRPr="00BF4707">
        <w:rPr>
          <w:rFonts w:ascii="Arial" w:hAnsi="Arial"/>
        </w:rPr>
        <w:t>použito v Moravskoslezském, Jihomoravském a v</w:t>
      </w:r>
      <w:r>
        <w:rPr>
          <w:rFonts w:ascii="Arial" w:hAnsi="Arial"/>
        </w:rPr>
        <w:t> </w:t>
      </w:r>
      <w:r w:rsidRPr="00BF4707">
        <w:rPr>
          <w:rFonts w:ascii="Arial" w:hAnsi="Arial"/>
        </w:rPr>
        <w:t xml:space="preserve">Ústeckém kraji, </w:t>
      </w:r>
      <w:r w:rsidRPr="00136461">
        <w:rPr>
          <w:rFonts w:ascii="Arial" w:hAnsi="Arial"/>
        </w:rPr>
        <w:t xml:space="preserve">podrobněji </w:t>
      </w:r>
      <w:r w:rsidRPr="00340717">
        <w:rPr>
          <w:rFonts w:ascii="Arial" w:hAnsi="Arial"/>
        </w:rPr>
        <w:t>v</w:t>
      </w:r>
      <w:r>
        <w:rPr>
          <w:rFonts w:ascii="Arial" w:hAnsi="Arial"/>
        </w:rPr>
        <w:t xml:space="preserve"> příloze č. </w:t>
      </w:r>
      <w:r w:rsidRPr="00340717">
        <w:rPr>
          <w:rFonts w:ascii="Arial" w:hAnsi="Arial"/>
        </w:rPr>
        <w:t>17.</w:t>
      </w:r>
    </w:p>
    <w:p w:rsidR="00651C1F" w:rsidRPr="002E31B2" w:rsidRDefault="00651C1F" w:rsidP="00651C1F">
      <w:pPr>
        <w:widowControl w:val="0"/>
        <w:tabs>
          <w:tab w:val="left" w:pos="0"/>
          <w:tab w:val="left" w:pos="567"/>
        </w:tabs>
        <w:suppressAutoHyphens/>
        <w:autoSpaceDE w:val="0"/>
        <w:autoSpaceDN w:val="0"/>
        <w:adjustRightInd w:val="0"/>
        <w:spacing w:line="360" w:lineRule="auto"/>
        <w:jc w:val="both"/>
        <w:rPr>
          <w:rFonts w:cs="Arial"/>
        </w:rPr>
      </w:pPr>
    </w:p>
    <w:p w:rsidR="00651C1F" w:rsidRPr="00651C9E" w:rsidRDefault="00651C1F" w:rsidP="00651C1F">
      <w:pPr>
        <w:keepNext/>
        <w:spacing w:line="360" w:lineRule="auto"/>
        <w:ind w:left="360"/>
        <w:outlineLvl w:val="3"/>
        <w:rPr>
          <w:rFonts w:ascii="Arial" w:hAnsi="Arial" w:cs="Arial"/>
          <w:b/>
          <w:bCs/>
          <w:szCs w:val="20"/>
        </w:rPr>
      </w:pPr>
      <w:r w:rsidRPr="00651C9E">
        <w:rPr>
          <w:rFonts w:ascii="Arial" w:hAnsi="Arial" w:cs="Arial"/>
          <w:b/>
          <w:bCs/>
          <w:szCs w:val="20"/>
        </w:rPr>
        <w:t>Rekvalifikace a poradenství</w:t>
      </w:r>
    </w:p>
    <w:p w:rsidR="00651C1F" w:rsidRPr="00651C9E" w:rsidRDefault="00651C1F" w:rsidP="00651C1F">
      <w:pPr>
        <w:rPr>
          <w:sz w:val="16"/>
          <w:szCs w:val="16"/>
        </w:rPr>
      </w:pPr>
    </w:p>
    <w:p w:rsidR="00651C1F" w:rsidRPr="00651C9E" w:rsidRDefault="00651C1F" w:rsidP="002F4195">
      <w:pPr>
        <w:spacing w:line="360" w:lineRule="auto"/>
        <w:ind w:firstLine="567"/>
        <w:jc w:val="both"/>
        <w:rPr>
          <w:rFonts w:ascii="Arial" w:hAnsi="Arial" w:cs="Arial"/>
        </w:rPr>
      </w:pPr>
      <w:r w:rsidRPr="00651C9E">
        <w:rPr>
          <w:rFonts w:ascii="Arial" w:hAnsi="Arial" w:cs="Arial"/>
        </w:rPr>
        <w:t xml:space="preserve">Rekvalifikace se svým zaměřením, obdobně jako v uplynulých letech, přizpůsobovaly požadavkům trhu práce a struktuře volných pracovních míst. Využívaly se nejen pro získání nové nebo rozšíření stávající kvalifikace, ale také k jejímu zvýšení a prohloubení, včetně udržování a obnovování.  </w:t>
      </w:r>
    </w:p>
    <w:p w:rsidR="00651C1F" w:rsidRPr="00E5458F" w:rsidRDefault="00651C1F" w:rsidP="002F4195">
      <w:pPr>
        <w:spacing w:line="360" w:lineRule="auto"/>
        <w:ind w:firstLine="567"/>
        <w:jc w:val="both"/>
        <w:rPr>
          <w:rFonts w:ascii="Arial" w:hAnsi="Arial" w:cs="Arial"/>
        </w:rPr>
      </w:pPr>
      <w:r w:rsidRPr="00651C9E">
        <w:rPr>
          <w:rFonts w:ascii="Arial" w:hAnsi="Arial" w:cs="Arial"/>
          <w:b/>
        </w:rPr>
        <w:lastRenderedPageBreak/>
        <w:t>V 1. pololetí 2013 se rekvalifikovalo 1</w:t>
      </w:r>
      <w:r>
        <w:rPr>
          <w:rFonts w:ascii="Arial" w:hAnsi="Arial" w:cs="Arial"/>
          <w:b/>
        </w:rPr>
        <w:t>4</w:t>
      </w:r>
      <w:r w:rsidRPr="00651C9E">
        <w:rPr>
          <w:rFonts w:ascii="Arial" w:hAnsi="Arial" w:cs="Arial"/>
          <w:b/>
        </w:rPr>
        <w:t> </w:t>
      </w:r>
      <w:r>
        <w:rPr>
          <w:rFonts w:ascii="Arial" w:hAnsi="Arial" w:cs="Arial"/>
          <w:b/>
        </w:rPr>
        <w:t>8</w:t>
      </w:r>
      <w:r w:rsidRPr="00651C9E">
        <w:rPr>
          <w:rFonts w:ascii="Arial" w:hAnsi="Arial" w:cs="Arial"/>
          <w:b/>
        </w:rPr>
        <w:t>9</w:t>
      </w:r>
      <w:r>
        <w:rPr>
          <w:rFonts w:ascii="Arial" w:hAnsi="Arial" w:cs="Arial"/>
          <w:b/>
        </w:rPr>
        <w:t>4</w:t>
      </w:r>
      <w:r w:rsidRPr="00651C9E">
        <w:rPr>
          <w:rFonts w:ascii="Arial" w:hAnsi="Arial" w:cs="Arial"/>
          <w:b/>
        </w:rPr>
        <w:t> </w:t>
      </w:r>
      <w:r w:rsidRPr="00BF1773">
        <w:rPr>
          <w:rFonts w:ascii="Arial" w:hAnsi="Arial" w:cs="Arial"/>
          <w:b/>
        </w:rPr>
        <w:t xml:space="preserve">osob </w:t>
      </w:r>
      <w:r w:rsidRPr="00BF1773">
        <w:rPr>
          <w:rFonts w:ascii="Arial" w:hAnsi="Arial" w:cs="Arial"/>
        </w:rPr>
        <w:t>(o </w:t>
      </w:r>
      <w:r>
        <w:rPr>
          <w:rFonts w:ascii="Arial" w:hAnsi="Arial" w:cs="Arial"/>
        </w:rPr>
        <w:t>5</w:t>
      </w:r>
      <w:r w:rsidRPr="00BF1773">
        <w:rPr>
          <w:rFonts w:ascii="Arial" w:hAnsi="Arial" w:cs="Arial"/>
        </w:rPr>
        <w:t> </w:t>
      </w:r>
      <w:r>
        <w:rPr>
          <w:rFonts w:ascii="Arial" w:hAnsi="Arial" w:cs="Arial"/>
        </w:rPr>
        <w:t>192</w:t>
      </w:r>
      <w:r w:rsidRPr="00BF1773">
        <w:rPr>
          <w:rFonts w:ascii="Arial" w:hAnsi="Arial" w:cs="Arial"/>
        </w:rPr>
        <w:t xml:space="preserve"> více než </w:t>
      </w:r>
      <w:r w:rsidRPr="00153A67">
        <w:rPr>
          <w:rFonts w:ascii="Arial" w:hAnsi="Arial" w:cs="Arial"/>
        </w:rPr>
        <w:t xml:space="preserve">v 1. pololetí </w:t>
      </w:r>
      <w:r w:rsidRPr="00212D1D">
        <w:rPr>
          <w:rFonts w:ascii="Arial" w:hAnsi="Arial" w:cs="Arial"/>
        </w:rPr>
        <w:t>2012)</w:t>
      </w:r>
      <w:r>
        <w:rPr>
          <w:rFonts w:ascii="Arial" w:hAnsi="Arial" w:cs="Arial"/>
        </w:rPr>
        <w:t xml:space="preserve">, </w:t>
      </w:r>
      <w:r w:rsidRPr="00FC50D2">
        <w:rPr>
          <w:rFonts w:ascii="Arial" w:hAnsi="Arial" w:cs="Arial"/>
          <w:b/>
        </w:rPr>
        <w:t>z toho 1 822 účastníků pokračovalo v rekvalifikaci zahájené v roce 2012</w:t>
      </w:r>
      <w:r w:rsidRPr="00212D1D">
        <w:rPr>
          <w:rFonts w:ascii="Arial" w:hAnsi="Arial" w:cs="Arial"/>
        </w:rPr>
        <w:t xml:space="preserve">. </w:t>
      </w:r>
      <w:r>
        <w:rPr>
          <w:rFonts w:ascii="Arial" w:hAnsi="Arial" w:cs="Arial"/>
        </w:rPr>
        <w:t>Meziroční n</w:t>
      </w:r>
      <w:r w:rsidRPr="00212D1D">
        <w:rPr>
          <w:rFonts w:ascii="Arial" w:hAnsi="Arial" w:cs="Arial"/>
        </w:rPr>
        <w:t>árůst počtu účastníků rekvalifikace v průběhu 1. pololetí 2013</w:t>
      </w:r>
      <w:r w:rsidRPr="00212D1D">
        <w:rPr>
          <w:rFonts w:ascii="Arial" w:hAnsi="Arial" w:cs="Arial"/>
          <w:b/>
        </w:rPr>
        <w:t xml:space="preserve"> </w:t>
      </w:r>
      <w:r w:rsidRPr="00212D1D">
        <w:rPr>
          <w:rFonts w:ascii="Arial" w:hAnsi="Arial" w:cs="Arial"/>
        </w:rPr>
        <w:t>byl částečně ovlivněn</w:t>
      </w:r>
      <w:r>
        <w:rPr>
          <w:rFonts w:ascii="Arial" w:hAnsi="Arial" w:cs="Arial"/>
          <w:b/>
        </w:rPr>
        <w:t xml:space="preserve"> </w:t>
      </w:r>
      <w:r w:rsidRPr="00E5458F">
        <w:rPr>
          <w:rFonts w:ascii="Arial" w:hAnsi="Arial" w:cs="Arial"/>
        </w:rPr>
        <w:t>zpružněním procesu zařazování účastníků do rekvalifikačních kurzů v souvislosti s </w:t>
      </w:r>
      <w:proofErr w:type="spellStart"/>
      <w:r w:rsidRPr="00E5458F">
        <w:rPr>
          <w:rFonts w:ascii="Arial" w:hAnsi="Arial" w:cs="Arial"/>
        </w:rPr>
        <w:t>vysoutěženými</w:t>
      </w:r>
      <w:proofErr w:type="spellEnd"/>
      <w:r w:rsidRPr="00E5458F">
        <w:rPr>
          <w:rFonts w:ascii="Arial" w:hAnsi="Arial" w:cs="Arial"/>
        </w:rPr>
        <w:t xml:space="preserve"> veřejnými zakázkami na realizaci rekvalifikačních programů. S ohledem na stav volných pracovních míst byly mimo jiné přednostně podporovány rekvalifikace s praktickou částí výuky a  rekvalifikace směřující ke konkrétnímu pracovnímu uplatnění. </w:t>
      </w:r>
    </w:p>
    <w:p w:rsidR="00651C1F" w:rsidRDefault="00651C1F" w:rsidP="00651C1F">
      <w:pPr>
        <w:spacing w:line="360" w:lineRule="auto"/>
        <w:ind w:firstLine="567"/>
        <w:jc w:val="both"/>
        <w:rPr>
          <w:rFonts w:ascii="Arial" w:hAnsi="Arial" w:cs="Arial"/>
        </w:rPr>
      </w:pPr>
      <w:r w:rsidRPr="00AE54B1">
        <w:rPr>
          <w:rFonts w:ascii="Arial" w:hAnsi="Arial" w:cs="Arial"/>
        </w:rPr>
        <w:t>Nejpočetnější skupin</w:t>
      </w:r>
      <w:r>
        <w:rPr>
          <w:rFonts w:ascii="Arial" w:hAnsi="Arial" w:cs="Arial"/>
        </w:rPr>
        <w:t>ou</w:t>
      </w:r>
      <w:r w:rsidRPr="00AE54B1">
        <w:rPr>
          <w:rFonts w:ascii="Arial" w:hAnsi="Arial" w:cs="Arial"/>
        </w:rPr>
        <w:t xml:space="preserve"> v</w:t>
      </w:r>
      <w:r>
        <w:rPr>
          <w:rFonts w:ascii="Arial" w:hAnsi="Arial" w:cs="Arial"/>
        </w:rPr>
        <w:t> </w:t>
      </w:r>
      <w:r w:rsidRPr="00AE54B1">
        <w:rPr>
          <w:rFonts w:ascii="Arial" w:hAnsi="Arial" w:cs="Arial"/>
        </w:rPr>
        <w:t>rekvalifikaci</w:t>
      </w:r>
      <w:r>
        <w:rPr>
          <w:rFonts w:ascii="Arial" w:hAnsi="Arial" w:cs="Arial"/>
        </w:rPr>
        <w:t xml:space="preserve"> byly osoby ve věku </w:t>
      </w:r>
      <w:r w:rsidRPr="00760815">
        <w:rPr>
          <w:rFonts w:ascii="Arial" w:hAnsi="Arial" w:cs="Arial"/>
          <w:b/>
        </w:rPr>
        <w:t>20</w:t>
      </w:r>
      <w:r w:rsidR="00946994">
        <w:rPr>
          <w:rFonts w:ascii="Arial" w:hAnsi="Arial" w:cs="Arial"/>
          <w:b/>
        </w:rPr>
        <w:t> </w:t>
      </w:r>
      <w:r w:rsidRPr="00760815">
        <w:rPr>
          <w:rFonts w:ascii="Arial" w:hAnsi="Arial" w:cs="Arial"/>
          <w:b/>
        </w:rPr>
        <w:t>-</w:t>
      </w:r>
      <w:r w:rsidR="00946994">
        <w:rPr>
          <w:rFonts w:ascii="Arial" w:hAnsi="Arial" w:cs="Arial"/>
          <w:b/>
        </w:rPr>
        <w:t> </w:t>
      </w:r>
      <w:r w:rsidRPr="00760815">
        <w:rPr>
          <w:rFonts w:ascii="Arial" w:hAnsi="Arial" w:cs="Arial"/>
          <w:b/>
        </w:rPr>
        <w:t>24 let (17,6 %)</w:t>
      </w:r>
      <w:r w:rsidRPr="00760815">
        <w:rPr>
          <w:rFonts w:ascii="Arial" w:hAnsi="Arial" w:cs="Arial"/>
        </w:rPr>
        <w:t xml:space="preserve">, </w:t>
      </w:r>
      <w:r>
        <w:rPr>
          <w:rFonts w:ascii="Arial" w:hAnsi="Arial" w:cs="Arial"/>
        </w:rPr>
        <w:t xml:space="preserve">dále osoby ve věku </w:t>
      </w:r>
      <w:r w:rsidRPr="00760815">
        <w:rPr>
          <w:rFonts w:ascii="Arial" w:hAnsi="Arial" w:cs="Arial"/>
          <w:b/>
        </w:rPr>
        <w:t>35</w:t>
      </w:r>
      <w:r w:rsidR="00946994">
        <w:rPr>
          <w:rFonts w:ascii="Arial" w:hAnsi="Arial" w:cs="Arial"/>
          <w:b/>
        </w:rPr>
        <w:t> </w:t>
      </w:r>
      <w:r w:rsidRPr="00760815">
        <w:rPr>
          <w:rFonts w:ascii="Arial" w:hAnsi="Arial" w:cs="Arial"/>
          <w:b/>
        </w:rPr>
        <w:t>-</w:t>
      </w:r>
      <w:r w:rsidR="00946994">
        <w:rPr>
          <w:rFonts w:ascii="Arial" w:hAnsi="Arial" w:cs="Arial"/>
          <w:b/>
        </w:rPr>
        <w:t> </w:t>
      </w:r>
      <w:r w:rsidRPr="00760815">
        <w:rPr>
          <w:rFonts w:ascii="Arial" w:hAnsi="Arial" w:cs="Arial"/>
          <w:b/>
        </w:rPr>
        <w:t>39 let</w:t>
      </w:r>
      <w:r>
        <w:rPr>
          <w:rFonts w:ascii="Arial" w:hAnsi="Arial" w:cs="Arial"/>
        </w:rPr>
        <w:t xml:space="preserve"> (13,6 %) a </w:t>
      </w:r>
      <w:r w:rsidRPr="00760815">
        <w:rPr>
          <w:rFonts w:ascii="Arial" w:hAnsi="Arial" w:cs="Arial"/>
          <w:b/>
        </w:rPr>
        <w:t>25</w:t>
      </w:r>
      <w:r w:rsidR="00946994">
        <w:rPr>
          <w:rFonts w:ascii="Arial" w:hAnsi="Arial" w:cs="Arial"/>
          <w:b/>
        </w:rPr>
        <w:t> </w:t>
      </w:r>
      <w:r w:rsidRPr="00760815">
        <w:rPr>
          <w:rFonts w:ascii="Arial" w:hAnsi="Arial" w:cs="Arial"/>
          <w:b/>
        </w:rPr>
        <w:t>-</w:t>
      </w:r>
      <w:r w:rsidR="00946994">
        <w:rPr>
          <w:rFonts w:ascii="Arial" w:hAnsi="Arial" w:cs="Arial"/>
          <w:b/>
        </w:rPr>
        <w:t> </w:t>
      </w:r>
      <w:r w:rsidRPr="00760815">
        <w:rPr>
          <w:rFonts w:ascii="Arial" w:hAnsi="Arial" w:cs="Arial"/>
          <w:b/>
        </w:rPr>
        <w:t>29 let</w:t>
      </w:r>
      <w:r>
        <w:rPr>
          <w:rFonts w:ascii="Arial" w:hAnsi="Arial" w:cs="Arial"/>
        </w:rPr>
        <w:t xml:space="preserve"> a </w:t>
      </w:r>
      <w:r w:rsidRPr="00760815">
        <w:rPr>
          <w:rFonts w:ascii="Arial" w:hAnsi="Arial" w:cs="Arial"/>
          <w:b/>
        </w:rPr>
        <w:t>50</w:t>
      </w:r>
      <w:r w:rsidR="00946994">
        <w:rPr>
          <w:rFonts w:ascii="Arial" w:hAnsi="Arial" w:cs="Arial"/>
          <w:b/>
        </w:rPr>
        <w:t> </w:t>
      </w:r>
      <w:r w:rsidRPr="00760815">
        <w:rPr>
          <w:rFonts w:ascii="Arial" w:hAnsi="Arial" w:cs="Arial"/>
          <w:b/>
        </w:rPr>
        <w:t>-</w:t>
      </w:r>
      <w:r w:rsidR="00946994">
        <w:rPr>
          <w:rFonts w:ascii="Arial" w:hAnsi="Arial" w:cs="Arial"/>
          <w:b/>
        </w:rPr>
        <w:t> </w:t>
      </w:r>
      <w:r w:rsidRPr="00760815">
        <w:rPr>
          <w:rFonts w:ascii="Arial" w:hAnsi="Arial" w:cs="Arial"/>
          <w:b/>
        </w:rPr>
        <w:t>54 let</w:t>
      </w:r>
      <w:r>
        <w:rPr>
          <w:rFonts w:ascii="Arial" w:hAnsi="Arial" w:cs="Arial"/>
        </w:rPr>
        <w:t xml:space="preserve"> (obě věkové kategorie shodně 12,2 %).</w:t>
      </w:r>
    </w:p>
    <w:p w:rsidR="00651C1F" w:rsidRDefault="00651C1F" w:rsidP="00651C1F">
      <w:pPr>
        <w:spacing w:line="360" w:lineRule="auto"/>
        <w:ind w:firstLine="567"/>
        <w:jc w:val="both"/>
        <w:rPr>
          <w:rFonts w:ascii="Arial" w:hAnsi="Arial" w:cs="Arial"/>
        </w:rPr>
      </w:pPr>
      <w:r>
        <w:rPr>
          <w:rFonts w:ascii="Arial" w:hAnsi="Arial" w:cs="Arial"/>
        </w:rPr>
        <w:t xml:space="preserve">Rekvalifikací se nejčastěji účastnili </w:t>
      </w:r>
      <w:r w:rsidRPr="00D57E7A">
        <w:rPr>
          <w:rFonts w:ascii="Arial" w:hAnsi="Arial" w:cs="Arial"/>
          <w:b/>
        </w:rPr>
        <w:t>vyučení</w:t>
      </w:r>
      <w:r>
        <w:rPr>
          <w:rFonts w:ascii="Arial" w:hAnsi="Arial" w:cs="Arial"/>
        </w:rPr>
        <w:t xml:space="preserve"> (29,6 %) a lidé s </w:t>
      </w:r>
      <w:r w:rsidRPr="00E50160">
        <w:rPr>
          <w:rFonts w:ascii="Arial" w:hAnsi="Arial" w:cs="Arial"/>
          <w:b/>
        </w:rPr>
        <w:t>úplným středním odborným vzděláním s maturitou</w:t>
      </w:r>
      <w:r>
        <w:rPr>
          <w:rFonts w:ascii="Arial" w:hAnsi="Arial" w:cs="Arial"/>
        </w:rPr>
        <w:t xml:space="preserve"> (24,2 %).</w:t>
      </w:r>
    </w:p>
    <w:p w:rsidR="00651C1F" w:rsidRDefault="00651C1F" w:rsidP="00651C1F">
      <w:pPr>
        <w:spacing w:line="360" w:lineRule="auto"/>
        <w:ind w:firstLine="567"/>
        <w:jc w:val="both"/>
        <w:rPr>
          <w:rFonts w:ascii="Arial" w:hAnsi="Arial" w:cs="Arial"/>
        </w:rPr>
      </w:pPr>
      <w:r>
        <w:rPr>
          <w:rFonts w:ascii="Arial" w:hAnsi="Arial" w:cs="Arial"/>
        </w:rPr>
        <w:t xml:space="preserve">Z hlediska </w:t>
      </w:r>
      <w:r w:rsidRPr="003515CA">
        <w:rPr>
          <w:rFonts w:ascii="Arial" w:hAnsi="Arial" w:cs="Arial"/>
          <w:b/>
        </w:rPr>
        <w:t>typu rekvalifikace</w:t>
      </w:r>
      <w:r>
        <w:rPr>
          <w:rFonts w:ascii="Arial" w:hAnsi="Arial" w:cs="Arial"/>
        </w:rPr>
        <w:t xml:space="preserve"> byly nejvíce využívány „</w:t>
      </w:r>
      <w:r w:rsidRPr="003515CA">
        <w:rPr>
          <w:rFonts w:ascii="Arial" w:hAnsi="Arial" w:cs="Arial"/>
          <w:b/>
        </w:rPr>
        <w:t>počítačové rekvalifikace – základní dovednosti“</w:t>
      </w:r>
      <w:r>
        <w:rPr>
          <w:rFonts w:ascii="Arial" w:hAnsi="Arial" w:cs="Arial"/>
        </w:rPr>
        <w:t xml:space="preserve"> </w:t>
      </w:r>
      <w:r w:rsidRPr="003515CA">
        <w:rPr>
          <w:rFonts w:ascii="Arial" w:hAnsi="Arial" w:cs="Arial"/>
          <w:b/>
        </w:rPr>
        <w:t>(20,2 %)</w:t>
      </w:r>
      <w:r>
        <w:rPr>
          <w:rFonts w:ascii="Arial" w:hAnsi="Arial" w:cs="Arial"/>
        </w:rPr>
        <w:t xml:space="preserve"> a typ rekvalifikace „zdravotnictví a sociální oblast“ (11,9 %).</w:t>
      </w:r>
    </w:p>
    <w:p w:rsidR="00651C1F" w:rsidRDefault="00651C1F" w:rsidP="00651C1F">
      <w:pPr>
        <w:spacing w:line="360" w:lineRule="auto"/>
        <w:ind w:firstLine="567"/>
        <w:jc w:val="both"/>
        <w:rPr>
          <w:rFonts w:ascii="Arial" w:hAnsi="Arial" w:cs="Arial"/>
        </w:rPr>
      </w:pPr>
      <w:r>
        <w:rPr>
          <w:rFonts w:ascii="Arial" w:hAnsi="Arial" w:cs="Arial"/>
        </w:rPr>
        <w:t xml:space="preserve">V </w:t>
      </w:r>
      <w:r w:rsidRPr="000D0C9F">
        <w:rPr>
          <w:rFonts w:ascii="Arial" w:hAnsi="Arial" w:cs="Arial"/>
          <w:b/>
        </w:rPr>
        <w:t>1. pololetí 2013</w:t>
      </w:r>
      <w:r>
        <w:rPr>
          <w:rFonts w:ascii="Arial" w:hAnsi="Arial" w:cs="Arial"/>
        </w:rPr>
        <w:t xml:space="preserve"> našlo </w:t>
      </w:r>
      <w:r w:rsidRPr="009E324C">
        <w:rPr>
          <w:rFonts w:ascii="Arial" w:hAnsi="Arial" w:cs="Arial"/>
          <w:b/>
        </w:rPr>
        <w:t xml:space="preserve">zaměstnání </w:t>
      </w:r>
      <w:r w:rsidRPr="000D0C9F">
        <w:rPr>
          <w:rFonts w:ascii="Arial" w:hAnsi="Arial" w:cs="Arial"/>
          <w:b/>
        </w:rPr>
        <w:t>do 12 měsíců po úspěšné rekvalifikaci</w:t>
      </w:r>
      <w:r>
        <w:rPr>
          <w:rFonts w:ascii="Arial" w:hAnsi="Arial" w:cs="Arial"/>
        </w:rPr>
        <w:t xml:space="preserve"> </w:t>
      </w:r>
      <w:r w:rsidRPr="0010603D">
        <w:rPr>
          <w:rFonts w:ascii="Arial" w:hAnsi="Arial" w:cs="Arial"/>
          <w:b/>
        </w:rPr>
        <w:t>5 067 uchazečů o zaměstnání</w:t>
      </w:r>
      <w:r>
        <w:rPr>
          <w:rFonts w:ascii="Arial" w:hAnsi="Arial" w:cs="Arial"/>
        </w:rPr>
        <w:t>. Z nich se zaměstnalo do 3 měsíců po skončení rekvalifikace 67,6 % a do 6 měsíců 86,6 %.</w:t>
      </w:r>
    </w:p>
    <w:p w:rsidR="00651C1F" w:rsidRPr="005E4477" w:rsidRDefault="00651C1F" w:rsidP="00651C1F">
      <w:pPr>
        <w:spacing w:line="360" w:lineRule="auto"/>
        <w:ind w:firstLine="567"/>
        <w:jc w:val="both"/>
        <w:rPr>
          <w:rFonts w:ascii="Arial" w:hAnsi="Arial" w:cs="Arial"/>
        </w:rPr>
      </w:pPr>
      <w:r w:rsidRPr="005E4477">
        <w:rPr>
          <w:rFonts w:ascii="Arial" w:hAnsi="Arial" w:cs="Arial"/>
        </w:rPr>
        <w:t xml:space="preserve">V rámci </w:t>
      </w:r>
      <w:r w:rsidRPr="005E4477">
        <w:rPr>
          <w:rFonts w:ascii="Arial" w:hAnsi="Arial" w:cs="Arial"/>
          <w:b/>
        </w:rPr>
        <w:t xml:space="preserve">zvolené rekvalifikace </w:t>
      </w:r>
      <w:r w:rsidRPr="005E4477">
        <w:rPr>
          <w:rFonts w:ascii="Arial" w:hAnsi="Arial" w:cs="Arial"/>
        </w:rPr>
        <w:t xml:space="preserve">se v 1. pololetí 2013 </w:t>
      </w:r>
      <w:r w:rsidRPr="005C718A">
        <w:rPr>
          <w:rFonts w:ascii="Arial" w:hAnsi="Arial" w:cs="Arial"/>
          <w:b/>
        </w:rPr>
        <w:t xml:space="preserve">rekvalifikovalo 6 619 </w:t>
      </w:r>
      <w:r w:rsidRPr="005E4477">
        <w:rPr>
          <w:rFonts w:ascii="Arial" w:hAnsi="Arial" w:cs="Arial"/>
          <w:b/>
        </w:rPr>
        <w:t>uchazečů o zaměstnání</w:t>
      </w:r>
      <w:r w:rsidRPr="00956B89">
        <w:rPr>
          <w:rFonts w:ascii="Arial" w:hAnsi="Arial" w:cs="Arial"/>
        </w:rPr>
        <w:t>,</w:t>
      </w:r>
      <w:r>
        <w:rPr>
          <w:rFonts w:ascii="Arial" w:hAnsi="Arial" w:cs="Arial"/>
          <w:b/>
        </w:rPr>
        <w:t xml:space="preserve"> </w:t>
      </w:r>
      <w:r w:rsidRPr="00956B89">
        <w:rPr>
          <w:rFonts w:ascii="Arial" w:hAnsi="Arial" w:cs="Arial"/>
        </w:rPr>
        <w:t>což je oproti stejnému období minulého roku</w:t>
      </w:r>
      <w:r>
        <w:rPr>
          <w:rFonts w:ascii="Arial" w:hAnsi="Arial" w:cs="Arial"/>
        </w:rPr>
        <w:t>, kdy začala realizace tohoto nástroje</w:t>
      </w:r>
      <w:r w:rsidRPr="001A2520">
        <w:rPr>
          <w:rFonts w:ascii="Arial" w:hAnsi="Arial" w:cs="Arial"/>
        </w:rPr>
        <w:t>, o 4,3 tis.</w:t>
      </w:r>
      <w:r>
        <w:rPr>
          <w:rFonts w:ascii="Arial" w:hAnsi="Arial" w:cs="Arial"/>
        </w:rPr>
        <w:t xml:space="preserve"> </w:t>
      </w:r>
      <w:r w:rsidRPr="001A2520">
        <w:rPr>
          <w:rFonts w:ascii="Arial" w:hAnsi="Arial" w:cs="Arial"/>
        </w:rPr>
        <w:t>více.</w:t>
      </w:r>
    </w:p>
    <w:p w:rsidR="00651C1F" w:rsidRPr="00176564" w:rsidRDefault="00651C1F" w:rsidP="00651C1F">
      <w:pPr>
        <w:tabs>
          <w:tab w:val="left" w:pos="567"/>
        </w:tabs>
        <w:spacing w:line="360" w:lineRule="auto"/>
        <w:jc w:val="both"/>
        <w:rPr>
          <w:rFonts w:ascii="Arial" w:hAnsi="Arial" w:cs="Arial"/>
        </w:rPr>
      </w:pPr>
      <w:r w:rsidRPr="009160FF">
        <w:rPr>
          <w:rFonts w:ascii="Arial" w:hAnsi="Arial" w:cs="Arial"/>
          <w:color w:val="0070C0"/>
        </w:rPr>
        <w:tab/>
      </w:r>
      <w:r w:rsidRPr="00A17C6F">
        <w:rPr>
          <w:rFonts w:ascii="Arial" w:hAnsi="Arial" w:cs="Arial"/>
        </w:rPr>
        <w:t>V 1. pololetí 2013</w:t>
      </w:r>
      <w:r w:rsidRPr="00A17C6F">
        <w:rPr>
          <w:rFonts w:ascii="Arial" w:hAnsi="Arial" w:cs="Arial"/>
          <w:b/>
        </w:rPr>
        <w:t xml:space="preserve"> </w:t>
      </w:r>
      <w:r w:rsidRPr="00A17C6F">
        <w:rPr>
          <w:rFonts w:ascii="Arial" w:hAnsi="Arial" w:cs="Arial"/>
        </w:rPr>
        <w:t xml:space="preserve">bylo </w:t>
      </w:r>
      <w:r w:rsidRPr="00A17C6F">
        <w:rPr>
          <w:rFonts w:ascii="Arial" w:hAnsi="Arial" w:cs="Arial"/>
          <w:b/>
        </w:rPr>
        <w:t>n</w:t>
      </w:r>
      <w:r w:rsidRPr="00A17C6F">
        <w:rPr>
          <w:rFonts w:ascii="Arial" w:hAnsi="Arial" w:cs="Arial"/>
          <w:b/>
          <w:bCs/>
        </w:rPr>
        <w:t xml:space="preserve">a </w:t>
      </w:r>
      <w:r w:rsidRPr="00A17C6F">
        <w:rPr>
          <w:rFonts w:ascii="Arial" w:hAnsi="Arial" w:cs="Arial"/>
          <w:b/>
        </w:rPr>
        <w:t xml:space="preserve">rekvalifikace, vč. zvolených rekvalifikací, </w:t>
      </w:r>
      <w:r w:rsidRPr="00C004CE">
        <w:rPr>
          <w:rFonts w:ascii="Arial" w:hAnsi="Arial" w:cs="Arial"/>
          <w:b/>
        </w:rPr>
        <w:t>vyčerpáno 131 405 tis. </w:t>
      </w:r>
      <w:r w:rsidRPr="00C004CE">
        <w:rPr>
          <w:rFonts w:ascii="Arial" w:hAnsi="Arial" w:cs="Arial"/>
          <w:b/>
          <w:iCs/>
        </w:rPr>
        <w:t>Kč</w:t>
      </w:r>
      <w:r w:rsidRPr="00C004CE">
        <w:rPr>
          <w:rFonts w:ascii="Arial" w:hAnsi="Arial" w:cs="Arial"/>
        </w:rPr>
        <w:t>,</w:t>
      </w:r>
      <w:r w:rsidRPr="00C004CE">
        <w:rPr>
          <w:rFonts w:ascii="Arial" w:hAnsi="Arial" w:cs="Arial"/>
          <w:iCs/>
        </w:rPr>
        <w:t xml:space="preserve"> tj. </w:t>
      </w:r>
      <w:r w:rsidRPr="00FC1970">
        <w:rPr>
          <w:rFonts w:ascii="Arial" w:hAnsi="Arial" w:cs="Arial"/>
          <w:b/>
          <w:iCs/>
        </w:rPr>
        <w:t>9,0 % </w:t>
      </w:r>
      <w:r w:rsidRPr="00A17C6F">
        <w:rPr>
          <w:rFonts w:ascii="Arial" w:hAnsi="Arial" w:cs="Arial"/>
          <w:iCs/>
        </w:rPr>
        <w:t>všech prostředků ÚP</w:t>
      </w:r>
      <w:r>
        <w:rPr>
          <w:rFonts w:ascii="Arial" w:hAnsi="Arial" w:cs="Arial"/>
          <w:iCs/>
        </w:rPr>
        <w:t> ČR</w:t>
      </w:r>
      <w:r w:rsidRPr="00A17C6F">
        <w:rPr>
          <w:rFonts w:ascii="Arial" w:hAnsi="Arial" w:cs="Arial"/>
          <w:iCs/>
        </w:rPr>
        <w:t> vynaložených na APZ ze SR</w:t>
      </w:r>
      <w:r w:rsidRPr="00A17C6F">
        <w:rPr>
          <w:rFonts w:ascii="Arial" w:hAnsi="Arial" w:cs="Arial"/>
          <w:b/>
          <w:iCs/>
        </w:rPr>
        <w:t xml:space="preserve"> </w:t>
      </w:r>
      <w:r w:rsidRPr="00A17C6F">
        <w:rPr>
          <w:rFonts w:ascii="Arial" w:hAnsi="Arial" w:cs="Arial"/>
          <w:iCs/>
        </w:rPr>
        <w:t xml:space="preserve">(v </w:t>
      </w:r>
      <w:r w:rsidRPr="00A17C6F">
        <w:rPr>
          <w:rFonts w:ascii="Arial" w:hAnsi="Arial" w:cs="Arial"/>
        </w:rPr>
        <w:t>1. pololetí 2012</w:t>
      </w:r>
      <w:r w:rsidRPr="00A17C6F">
        <w:rPr>
          <w:rFonts w:ascii="Arial" w:hAnsi="Arial" w:cs="Arial"/>
          <w:b/>
        </w:rPr>
        <w:t xml:space="preserve"> </w:t>
      </w:r>
      <w:r w:rsidRPr="00A17C6F">
        <w:rPr>
          <w:rFonts w:ascii="Arial" w:hAnsi="Arial" w:cs="Arial"/>
          <w:iCs/>
        </w:rPr>
        <w:t xml:space="preserve">bylo </w:t>
      </w:r>
      <w:r w:rsidRPr="00176564">
        <w:rPr>
          <w:rFonts w:ascii="Arial" w:hAnsi="Arial" w:cs="Arial"/>
          <w:iCs/>
        </w:rPr>
        <w:t>vyčerpáno 50 231</w:t>
      </w:r>
      <w:r>
        <w:rPr>
          <w:rFonts w:ascii="Arial" w:hAnsi="Arial" w:cs="Arial"/>
          <w:iCs/>
        </w:rPr>
        <w:t> tis. </w:t>
      </w:r>
      <w:r w:rsidRPr="00176564">
        <w:rPr>
          <w:rFonts w:ascii="Arial" w:hAnsi="Arial" w:cs="Arial"/>
          <w:iCs/>
        </w:rPr>
        <w:t>Kč).</w:t>
      </w:r>
      <w:r w:rsidRPr="00176564">
        <w:rPr>
          <w:rFonts w:ascii="Arial" w:hAnsi="Arial" w:cs="Arial"/>
        </w:rPr>
        <w:t xml:space="preserve"> </w:t>
      </w:r>
    </w:p>
    <w:p w:rsidR="00651C1F" w:rsidRPr="00652397" w:rsidRDefault="00651C1F" w:rsidP="00651C1F">
      <w:pP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10620"/>
          <w:tab w:val="left" w:pos="11328"/>
          <w:tab w:val="left" w:pos="12036"/>
          <w:tab w:val="left" w:pos="12744"/>
        </w:tabs>
        <w:spacing w:line="360" w:lineRule="auto"/>
        <w:jc w:val="both"/>
        <w:rPr>
          <w:rFonts w:ascii="Arial" w:hAnsi="Arial"/>
          <w:bCs/>
        </w:rPr>
      </w:pPr>
      <w:r w:rsidRPr="009160FF">
        <w:rPr>
          <w:rFonts w:ascii="Arial" w:hAnsi="Arial" w:cs="Arial"/>
          <w:b/>
          <w:color w:val="0070C0"/>
        </w:rPr>
        <w:tab/>
      </w:r>
      <w:r w:rsidRPr="00B80E94">
        <w:rPr>
          <w:rFonts w:ascii="Arial" w:hAnsi="Arial" w:cs="Arial"/>
        </w:rPr>
        <w:t xml:space="preserve">Nejvíce prostředků </w:t>
      </w:r>
      <w:r w:rsidRPr="00B80E94">
        <w:rPr>
          <w:rFonts w:ascii="Arial" w:hAnsi="Arial" w:cs="Arial"/>
          <w:bCs/>
        </w:rPr>
        <w:t>z </w:t>
      </w:r>
      <w:r w:rsidRPr="00B80E94">
        <w:rPr>
          <w:rFonts w:ascii="Arial" w:hAnsi="Arial" w:cs="Arial"/>
        </w:rPr>
        <w:t>celkového objemu prostředků ÚP</w:t>
      </w:r>
      <w:r>
        <w:rPr>
          <w:rFonts w:ascii="Arial" w:hAnsi="Arial" w:cs="Arial"/>
        </w:rPr>
        <w:t> ČR</w:t>
      </w:r>
      <w:r w:rsidRPr="00B80E94">
        <w:rPr>
          <w:rFonts w:ascii="Arial" w:hAnsi="Arial" w:cs="Arial"/>
        </w:rPr>
        <w:t xml:space="preserve"> </w:t>
      </w:r>
      <w:r w:rsidRPr="00B80E94">
        <w:rPr>
          <w:rFonts w:ascii="Arial" w:hAnsi="Arial" w:cs="Arial"/>
          <w:iCs/>
        </w:rPr>
        <w:t xml:space="preserve">vynaložených </w:t>
      </w:r>
      <w:r w:rsidRPr="00B80E94">
        <w:rPr>
          <w:rFonts w:ascii="Arial" w:hAnsi="Arial" w:cs="Arial"/>
        </w:rPr>
        <w:t xml:space="preserve">na APZ čerpaných na rekvalifikace bylo na tento nástroj vynaloženo v Moravskoslezském </w:t>
      </w:r>
      <w:r w:rsidRPr="00652397">
        <w:rPr>
          <w:rFonts w:ascii="Arial" w:hAnsi="Arial" w:cs="Arial"/>
        </w:rPr>
        <w:t xml:space="preserve">kraji </w:t>
      </w:r>
      <w:r>
        <w:rPr>
          <w:rFonts w:ascii="Arial" w:hAnsi="Arial" w:cs="Arial"/>
        </w:rPr>
        <w:t>(17</w:t>
      </w:r>
      <w:r w:rsidRPr="00652397">
        <w:rPr>
          <w:rFonts w:ascii="Arial" w:hAnsi="Arial" w:cs="Arial"/>
        </w:rPr>
        <w:t>,</w:t>
      </w:r>
      <w:r>
        <w:rPr>
          <w:rFonts w:ascii="Arial" w:hAnsi="Arial" w:cs="Arial"/>
        </w:rPr>
        <w:t>2</w:t>
      </w:r>
      <w:r w:rsidRPr="00652397">
        <w:rPr>
          <w:rFonts w:ascii="Arial" w:hAnsi="Arial" w:cs="Arial"/>
        </w:rPr>
        <w:t> %) a </w:t>
      </w:r>
      <w:r>
        <w:rPr>
          <w:rFonts w:ascii="Arial" w:hAnsi="Arial" w:cs="Arial"/>
        </w:rPr>
        <w:t>ve Zlínském kraji</w:t>
      </w:r>
      <w:r w:rsidRPr="00652397">
        <w:rPr>
          <w:rFonts w:ascii="Arial" w:hAnsi="Arial" w:cs="Arial"/>
        </w:rPr>
        <w:t xml:space="preserve"> (11,7 %).</w:t>
      </w:r>
    </w:p>
    <w:p w:rsidR="00651C1F" w:rsidRPr="005237B7" w:rsidRDefault="00651C1F" w:rsidP="00651C1F">
      <w:pPr>
        <w:tabs>
          <w:tab w:val="left" w:pos="567"/>
        </w:tabs>
        <w:spacing w:line="360" w:lineRule="auto"/>
        <w:jc w:val="both"/>
        <w:rPr>
          <w:rFonts w:ascii="Arial" w:hAnsi="Arial"/>
          <w:bCs/>
        </w:rPr>
      </w:pPr>
      <w:r>
        <w:rPr>
          <w:rFonts w:ascii="Arial" w:hAnsi="Arial" w:cs="Arial"/>
          <w:color w:val="0070C0"/>
        </w:rPr>
        <w:tab/>
      </w:r>
      <w:r w:rsidRPr="00FA5689">
        <w:rPr>
          <w:rFonts w:ascii="Arial" w:hAnsi="Arial" w:cs="Arial"/>
        </w:rPr>
        <w:t>Poradenské činnosti byly v  1. </w:t>
      </w:r>
      <w:r>
        <w:rPr>
          <w:rFonts w:ascii="Arial" w:hAnsi="Arial" w:cs="Arial"/>
        </w:rPr>
        <w:t>pololetí </w:t>
      </w:r>
      <w:r w:rsidRPr="00FA5689">
        <w:rPr>
          <w:rFonts w:ascii="Arial" w:hAnsi="Arial" w:cs="Arial"/>
        </w:rPr>
        <w:t xml:space="preserve">2013 cíleny zejména na obtížně umístitelné </w:t>
      </w:r>
      <w:r w:rsidRPr="00B23DF2">
        <w:rPr>
          <w:rFonts w:ascii="Arial" w:hAnsi="Arial" w:cs="Arial"/>
        </w:rPr>
        <w:t>skupiny (osoby se zdravotním postižením, mladé do 20 let věku, dlouhodobě nezaměstnané, osoby s žádnou nebo nízkou úrovní kvalifikace, osoby nad 50 let, osoby pečující o děti do 15 let</w:t>
      </w:r>
      <w:r w:rsidRPr="007879EA">
        <w:rPr>
          <w:rFonts w:ascii="Arial" w:hAnsi="Arial" w:cs="Arial"/>
        </w:rPr>
        <w:t xml:space="preserve">, atd.) ve snaze pomoci jim při hledání nového pracovního uplatnění, umožnit návrat do školského systému nebo doplnit </w:t>
      </w:r>
      <w:r w:rsidRPr="007879EA">
        <w:rPr>
          <w:rFonts w:ascii="Arial" w:hAnsi="Arial" w:cs="Arial"/>
        </w:rPr>
        <w:lastRenderedPageBreak/>
        <w:t xml:space="preserve">vzdělání a zprostředkovat další sociální integraci. </w:t>
      </w:r>
      <w:r w:rsidRPr="005237B7">
        <w:rPr>
          <w:rFonts w:ascii="Arial" w:hAnsi="Arial" w:cs="Arial"/>
        </w:rPr>
        <w:t>Poradenské aktivity byly především v rámci projektů OP LZZ provázané s dalšími nástroji aktivní politiky zaměstnanosti.</w:t>
      </w:r>
    </w:p>
    <w:p w:rsidR="00651C1F" w:rsidRPr="009B6AC1" w:rsidRDefault="00651C1F" w:rsidP="00651C1F">
      <w:pPr>
        <w:tabs>
          <w:tab w:val="left" w:pos="567"/>
        </w:tabs>
        <w:spacing w:line="360" w:lineRule="auto"/>
        <w:jc w:val="both"/>
        <w:rPr>
          <w:rFonts w:ascii="Arial" w:hAnsi="Arial" w:cs="Arial"/>
        </w:rPr>
      </w:pPr>
      <w:r>
        <w:rPr>
          <w:rFonts w:ascii="Arial" w:hAnsi="Arial" w:cs="Arial"/>
          <w:color w:val="0070C0"/>
        </w:rPr>
        <w:tab/>
      </w:r>
      <w:r w:rsidRPr="009B6AC1">
        <w:rPr>
          <w:rFonts w:ascii="Arial" w:hAnsi="Arial" w:cs="Arial"/>
        </w:rPr>
        <w:t>Aktivity Informačních a poradenských středisek pro volbu a změnu povolání (IPS) jsou nedílnou součástí porad</w:t>
      </w:r>
      <w:r>
        <w:rPr>
          <w:rFonts w:ascii="Arial" w:hAnsi="Arial" w:cs="Arial"/>
        </w:rPr>
        <w:t xml:space="preserve">enských služeb poskytovaných ÚP ČR </w:t>
      </w:r>
      <w:r w:rsidRPr="009B6AC1">
        <w:rPr>
          <w:rFonts w:ascii="Arial" w:hAnsi="Arial" w:cs="Arial"/>
        </w:rPr>
        <w:t>jak uchazečům o zaměstnání a zájemcům o zaměstnání tak klientům široké veřejnosti. Tyto aktivity byly prioritně orientovány na prevenci nezaměstnanosti</w:t>
      </w:r>
      <w:r>
        <w:rPr>
          <w:rFonts w:ascii="Arial" w:hAnsi="Arial" w:cs="Arial"/>
        </w:rPr>
        <w:t>.</w:t>
      </w:r>
      <w:r w:rsidRPr="009B6AC1">
        <w:rPr>
          <w:rFonts w:ascii="Arial" w:hAnsi="Arial" w:cs="Arial"/>
        </w:rPr>
        <w:t xml:space="preserve"> V rámci poskytovaných poradenských služeb byla dále věnována pozornost obtížně umístitelným skupinám klientům ÚP</w:t>
      </w:r>
      <w:r>
        <w:rPr>
          <w:rFonts w:ascii="Arial" w:hAnsi="Arial" w:cs="Arial"/>
        </w:rPr>
        <w:t> ČR</w:t>
      </w:r>
      <w:r w:rsidRPr="009B6AC1">
        <w:rPr>
          <w:rFonts w:ascii="Arial" w:hAnsi="Arial" w:cs="Arial"/>
        </w:rPr>
        <w:t>, pro které byly mimo jiné realizovány skupinové poradenské programy (Job cluby).</w:t>
      </w:r>
    </w:p>
    <w:p w:rsidR="00651C1F" w:rsidRPr="008B1788" w:rsidRDefault="00651C1F" w:rsidP="00651C1F">
      <w:pPr>
        <w:tabs>
          <w:tab w:val="left" w:pos="567"/>
        </w:tabs>
        <w:spacing w:line="360" w:lineRule="auto"/>
        <w:jc w:val="both"/>
        <w:rPr>
          <w:rFonts w:ascii="Arial" w:hAnsi="Arial" w:cs="Arial"/>
        </w:rPr>
      </w:pPr>
      <w:r>
        <w:rPr>
          <w:rFonts w:ascii="Arial" w:hAnsi="Arial" w:cs="Arial"/>
          <w:color w:val="0070C0"/>
        </w:rPr>
        <w:tab/>
      </w:r>
      <w:r w:rsidRPr="008B1788">
        <w:rPr>
          <w:rFonts w:ascii="Arial" w:hAnsi="Arial" w:cs="Arial"/>
        </w:rPr>
        <w:t>Rekvalifikace a poradenské činnosti patřily k nejčastěji využívaným aktivitám v rámci Individuálních akčních plánů (IAP), které kontaktní pracoviště ÚP ČR sestavují v součinnosti s uchazeči o zaměstnání, kteří jsou v evidenci nepřetržitě déle než 5 měsíců. Vypracování tohoto dokumentu, který stanoví postup a časový harmonogram naplňování dohodnutých aktivit, včetně průběžné aktualizace a vyhodnocování, je jedním z nástrojů služeb zaměstnanosti, vedoucím k aktivizaci každého konkrétního uchazeče o zaměstnání na trhu práce, tj. k zaměstnání a ke zvýšení zaměstnatelnosti.</w:t>
      </w:r>
    </w:p>
    <w:p w:rsidR="00651C1F" w:rsidRDefault="00651C1F" w:rsidP="00651C1F">
      <w:pPr>
        <w:tabs>
          <w:tab w:val="left" w:pos="567"/>
        </w:tabs>
        <w:spacing w:line="360" w:lineRule="auto"/>
        <w:ind w:right="-709"/>
        <w:jc w:val="both"/>
        <w:rPr>
          <w:rFonts w:ascii="Arial" w:hAnsi="Arial" w:cs="Arial"/>
          <w:b/>
          <w:bCs/>
        </w:rPr>
      </w:pPr>
    </w:p>
    <w:p w:rsidR="00651C1F" w:rsidRPr="002555A8" w:rsidRDefault="00651C1F" w:rsidP="00651C1F">
      <w:pPr>
        <w:tabs>
          <w:tab w:val="left" w:pos="567"/>
        </w:tabs>
        <w:spacing w:line="360" w:lineRule="auto"/>
        <w:ind w:right="-709"/>
        <w:jc w:val="both"/>
        <w:rPr>
          <w:rFonts w:ascii="Arial" w:hAnsi="Arial" w:cs="Arial"/>
          <w:b/>
          <w:bCs/>
        </w:rPr>
      </w:pPr>
      <w:r w:rsidRPr="002555A8">
        <w:rPr>
          <w:rFonts w:ascii="Arial" w:hAnsi="Arial" w:cs="Arial"/>
          <w:b/>
          <w:bCs/>
        </w:rPr>
        <w:t>Veřejně prospěšné práce (VPP)</w:t>
      </w:r>
    </w:p>
    <w:p w:rsidR="00651C1F" w:rsidRPr="002555A8" w:rsidRDefault="00651C1F" w:rsidP="00651C1F">
      <w:pPr>
        <w:jc w:val="both"/>
        <w:rPr>
          <w:rFonts w:ascii="Arial" w:hAnsi="Arial" w:cs="Arial"/>
          <w:bCs/>
          <w:sz w:val="16"/>
          <w:szCs w:val="16"/>
        </w:rPr>
      </w:pPr>
    </w:p>
    <w:p w:rsidR="00651C1F" w:rsidRPr="002555A8" w:rsidRDefault="00651C1F" w:rsidP="00651C1F">
      <w:pPr>
        <w:jc w:val="both"/>
        <w:rPr>
          <w:bCs/>
          <w:sz w:val="16"/>
          <w:szCs w:val="16"/>
        </w:rPr>
      </w:pPr>
    </w:p>
    <w:p w:rsidR="00651C1F" w:rsidRDefault="00651C1F" w:rsidP="00651C1F">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60" w:lineRule="auto"/>
        <w:jc w:val="both"/>
        <w:rPr>
          <w:rFonts w:ascii="Arial" w:hAnsi="Arial" w:cs="Arial"/>
        </w:rPr>
      </w:pPr>
      <w:r w:rsidRPr="002555A8">
        <w:rPr>
          <w:rFonts w:ascii="Arial" w:hAnsi="Arial" w:cs="Arial"/>
          <w:b/>
          <w:bCs/>
        </w:rPr>
        <w:tab/>
        <w:t>VPP</w:t>
      </w:r>
      <w:r w:rsidRPr="002555A8">
        <w:rPr>
          <w:rFonts w:ascii="Arial" w:hAnsi="Arial" w:cs="Arial"/>
        </w:rPr>
        <w:t xml:space="preserve"> jako časově omezené pracovní příležitosti slouží zejména k aktivaci a získání či zachování pracovních návyků u té skupiny uchazečů o zaměstnání, kde z důvodu příslušnosti k rizikové skupině (nízká kvalifikace, uchazeči starší 55 let, dlouhodobě nezaměstnaní, atd. - kritéria se mohou regionálně mírně odlišovat) je vysoké riziko vzniku dlouhodobé nezaměstnanosti a ztráty kompetencí rozhodných k získání a udržení zaměstnání. Jedná se o práce spočívající v údržbě veřejného prostranství, úklidu a údržbě veřejných budov a komunikací nebo obdobných činnostech ve prospěch obcí, státních a obecně prospěšných institucí</w:t>
      </w:r>
      <w:r w:rsidRPr="00C72030">
        <w:rPr>
          <w:rFonts w:ascii="Arial" w:hAnsi="Arial" w:cs="Arial"/>
        </w:rPr>
        <w:t>.</w:t>
      </w:r>
    </w:p>
    <w:p w:rsidR="00651C1F" w:rsidRDefault="00651C1F" w:rsidP="00651C1F">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60" w:lineRule="auto"/>
        <w:jc w:val="both"/>
        <w:rPr>
          <w:rFonts w:ascii="Arial" w:hAnsi="Arial" w:cs="Arial"/>
        </w:rPr>
      </w:pPr>
    </w:p>
    <w:p w:rsidR="00651C1F" w:rsidRDefault="00651C1F" w:rsidP="00651C1F">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60" w:lineRule="auto"/>
        <w:jc w:val="both"/>
      </w:pPr>
    </w:p>
    <w:p w:rsidR="00651C1F" w:rsidRDefault="00651C1F" w:rsidP="00651C1F">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60" w:lineRule="auto"/>
        <w:jc w:val="both"/>
      </w:pPr>
    </w:p>
    <w:p w:rsidR="00651C1F" w:rsidRPr="00C72030" w:rsidRDefault="00651C1F" w:rsidP="00651C1F">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60" w:lineRule="auto"/>
        <w:jc w:val="both"/>
      </w:pPr>
    </w:p>
    <w:p w:rsidR="00651C1F" w:rsidRDefault="00651C1F" w:rsidP="00651C1F">
      <w:pPr>
        <w:tabs>
          <w:tab w:val="left" w:pos="567"/>
        </w:tabs>
        <w:spacing w:line="360" w:lineRule="auto"/>
        <w:jc w:val="both"/>
        <w:rPr>
          <w:rFonts w:ascii="Arial" w:hAnsi="Arial" w:cs="Arial"/>
        </w:rPr>
      </w:pPr>
    </w:p>
    <w:p w:rsidR="00D5687C" w:rsidRPr="008B1788" w:rsidRDefault="00D5687C" w:rsidP="00651C1F">
      <w:pPr>
        <w:tabs>
          <w:tab w:val="left" w:pos="567"/>
        </w:tabs>
        <w:spacing w:line="360" w:lineRule="auto"/>
        <w:jc w:val="both"/>
        <w:rPr>
          <w:rFonts w:ascii="Arial" w:hAnsi="Arial" w:cs="Arial"/>
        </w:rPr>
      </w:pPr>
    </w:p>
    <w:p w:rsidR="00651C1F" w:rsidRDefault="00651C1F" w:rsidP="00651C1F">
      <w:pPr>
        <w:tabs>
          <w:tab w:val="left" w:pos="567"/>
        </w:tabs>
        <w:jc w:val="center"/>
        <w:rPr>
          <w:rFonts w:ascii="Arial" w:hAnsi="Arial"/>
        </w:rPr>
      </w:pPr>
      <w:r w:rsidRPr="00807506">
        <w:rPr>
          <w:rFonts w:ascii="Arial" w:hAnsi="Arial"/>
          <w:b/>
          <w:bCs/>
        </w:rPr>
        <w:lastRenderedPageBreak/>
        <w:t xml:space="preserve">Struktura použitých nástrojů APZ v 1. pololetí 2012 a 2013 </w:t>
      </w:r>
      <w:r w:rsidRPr="00807506">
        <w:rPr>
          <w:rFonts w:ascii="Arial" w:hAnsi="Arial"/>
        </w:rPr>
        <w:t>(ÚP ČR a MPSV)</w:t>
      </w:r>
    </w:p>
    <w:tbl>
      <w:tblPr>
        <w:tblW w:w="10440" w:type="dxa"/>
        <w:tblInd w:w="-684" w:type="dxa"/>
        <w:tblCellMar>
          <w:left w:w="70" w:type="dxa"/>
          <w:right w:w="70" w:type="dxa"/>
        </w:tblCellMar>
        <w:tblLook w:val="04A0" w:firstRow="1" w:lastRow="0" w:firstColumn="1" w:lastColumn="0" w:noHBand="0" w:noVBand="1"/>
      </w:tblPr>
      <w:tblGrid>
        <w:gridCol w:w="2600"/>
        <w:gridCol w:w="740"/>
        <w:gridCol w:w="740"/>
        <w:gridCol w:w="740"/>
        <w:gridCol w:w="740"/>
        <w:gridCol w:w="740"/>
        <w:gridCol w:w="740"/>
        <w:gridCol w:w="740"/>
        <w:gridCol w:w="740"/>
        <w:gridCol w:w="960"/>
        <w:gridCol w:w="960"/>
      </w:tblGrid>
      <w:tr w:rsidR="0004239B" w:rsidRPr="0004239B" w:rsidTr="002F5109">
        <w:trPr>
          <w:trHeight w:val="330"/>
        </w:trPr>
        <w:tc>
          <w:tcPr>
            <w:tcW w:w="2600" w:type="dxa"/>
            <w:tcBorders>
              <w:top w:val="nil"/>
              <w:left w:val="nil"/>
              <w:bottom w:val="nil"/>
              <w:right w:val="nil"/>
            </w:tcBorders>
            <w:shd w:val="clear" w:color="auto" w:fill="auto"/>
            <w:hideMark/>
          </w:tcPr>
          <w:p w:rsidR="00651C1F" w:rsidRPr="001B6DA7" w:rsidRDefault="00651C1F" w:rsidP="002F5109">
            <w:pPr>
              <w:jc w:val="center"/>
              <w:rPr>
                <w:rFonts w:ascii="Arial" w:hAnsi="Arial" w:cs="Arial"/>
                <w:b/>
                <w:bCs/>
                <w:sz w:val="20"/>
                <w:szCs w:val="20"/>
              </w:rPr>
            </w:pPr>
          </w:p>
        </w:tc>
        <w:tc>
          <w:tcPr>
            <w:tcW w:w="740" w:type="dxa"/>
            <w:tcBorders>
              <w:top w:val="nil"/>
              <w:left w:val="nil"/>
              <w:bottom w:val="nil"/>
              <w:right w:val="nil"/>
            </w:tcBorders>
            <w:shd w:val="clear" w:color="auto" w:fill="auto"/>
            <w:hideMark/>
          </w:tcPr>
          <w:p w:rsidR="00651C1F" w:rsidRPr="001B6DA7" w:rsidRDefault="00651C1F" w:rsidP="002F5109">
            <w:pPr>
              <w:jc w:val="center"/>
              <w:rPr>
                <w:rFonts w:ascii="Arial" w:hAnsi="Arial" w:cs="Arial"/>
                <w:b/>
                <w:bCs/>
                <w:sz w:val="20"/>
                <w:szCs w:val="20"/>
              </w:rPr>
            </w:pPr>
          </w:p>
        </w:tc>
        <w:tc>
          <w:tcPr>
            <w:tcW w:w="740" w:type="dxa"/>
            <w:tcBorders>
              <w:top w:val="nil"/>
              <w:left w:val="nil"/>
              <w:bottom w:val="nil"/>
              <w:right w:val="nil"/>
            </w:tcBorders>
            <w:shd w:val="clear" w:color="auto" w:fill="auto"/>
            <w:hideMark/>
          </w:tcPr>
          <w:p w:rsidR="00651C1F" w:rsidRPr="001B6DA7" w:rsidRDefault="00651C1F" w:rsidP="002F5109">
            <w:pPr>
              <w:jc w:val="center"/>
              <w:rPr>
                <w:rFonts w:ascii="Arial" w:hAnsi="Arial" w:cs="Arial"/>
                <w:b/>
                <w:bCs/>
                <w:sz w:val="20"/>
                <w:szCs w:val="20"/>
              </w:rPr>
            </w:pPr>
          </w:p>
        </w:tc>
        <w:tc>
          <w:tcPr>
            <w:tcW w:w="740" w:type="dxa"/>
            <w:tcBorders>
              <w:top w:val="nil"/>
              <w:left w:val="nil"/>
              <w:bottom w:val="nil"/>
              <w:right w:val="nil"/>
            </w:tcBorders>
            <w:shd w:val="clear" w:color="auto" w:fill="auto"/>
            <w:hideMark/>
          </w:tcPr>
          <w:p w:rsidR="00651C1F" w:rsidRPr="001B6DA7" w:rsidRDefault="00651C1F" w:rsidP="002F5109">
            <w:pPr>
              <w:jc w:val="center"/>
              <w:rPr>
                <w:rFonts w:ascii="Arial" w:hAnsi="Arial" w:cs="Arial"/>
                <w:b/>
                <w:bCs/>
                <w:sz w:val="20"/>
                <w:szCs w:val="20"/>
              </w:rPr>
            </w:pPr>
          </w:p>
        </w:tc>
        <w:tc>
          <w:tcPr>
            <w:tcW w:w="740" w:type="dxa"/>
            <w:tcBorders>
              <w:top w:val="nil"/>
              <w:left w:val="nil"/>
              <w:bottom w:val="nil"/>
              <w:right w:val="nil"/>
            </w:tcBorders>
            <w:shd w:val="clear" w:color="auto" w:fill="auto"/>
            <w:hideMark/>
          </w:tcPr>
          <w:p w:rsidR="00651C1F" w:rsidRPr="001B6DA7" w:rsidRDefault="00651C1F" w:rsidP="002F5109">
            <w:pPr>
              <w:jc w:val="center"/>
              <w:rPr>
                <w:rFonts w:ascii="Arial" w:hAnsi="Arial" w:cs="Arial"/>
                <w:b/>
                <w:bCs/>
                <w:sz w:val="20"/>
                <w:szCs w:val="20"/>
              </w:rPr>
            </w:pPr>
          </w:p>
        </w:tc>
        <w:tc>
          <w:tcPr>
            <w:tcW w:w="740" w:type="dxa"/>
            <w:tcBorders>
              <w:top w:val="nil"/>
              <w:left w:val="nil"/>
              <w:bottom w:val="nil"/>
              <w:right w:val="nil"/>
            </w:tcBorders>
            <w:shd w:val="clear" w:color="auto" w:fill="auto"/>
            <w:hideMark/>
          </w:tcPr>
          <w:p w:rsidR="00651C1F" w:rsidRPr="001B6DA7" w:rsidRDefault="00651C1F" w:rsidP="002F5109">
            <w:pPr>
              <w:jc w:val="center"/>
              <w:rPr>
                <w:rFonts w:ascii="Arial" w:hAnsi="Arial" w:cs="Arial"/>
                <w:b/>
                <w:bCs/>
                <w:sz w:val="20"/>
                <w:szCs w:val="20"/>
              </w:rPr>
            </w:pPr>
          </w:p>
        </w:tc>
        <w:tc>
          <w:tcPr>
            <w:tcW w:w="740" w:type="dxa"/>
            <w:tcBorders>
              <w:top w:val="nil"/>
              <w:left w:val="nil"/>
              <w:bottom w:val="nil"/>
              <w:right w:val="nil"/>
            </w:tcBorders>
            <w:shd w:val="clear" w:color="auto" w:fill="auto"/>
            <w:hideMark/>
          </w:tcPr>
          <w:p w:rsidR="00651C1F" w:rsidRPr="001B6DA7" w:rsidRDefault="00651C1F" w:rsidP="002F5109">
            <w:pPr>
              <w:jc w:val="center"/>
              <w:rPr>
                <w:rFonts w:ascii="Arial" w:hAnsi="Arial" w:cs="Arial"/>
                <w:b/>
                <w:bCs/>
                <w:sz w:val="20"/>
                <w:szCs w:val="20"/>
              </w:rPr>
            </w:pPr>
          </w:p>
        </w:tc>
        <w:tc>
          <w:tcPr>
            <w:tcW w:w="740" w:type="dxa"/>
            <w:tcBorders>
              <w:top w:val="nil"/>
              <w:left w:val="nil"/>
              <w:bottom w:val="nil"/>
              <w:right w:val="nil"/>
            </w:tcBorders>
            <w:shd w:val="clear" w:color="auto" w:fill="auto"/>
            <w:hideMark/>
          </w:tcPr>
          <w:p w:rsidR="00651C1F" w:rsidRPr="001B6DA7" w:rsidRDefault="00651C1F" w:rsidP="002F5109">
            <w:pPr>
              <w:jc w:val="center"/>
              <w:rPr>
                <w:rFonts w:ascii="Arial" w:hAnsi="Arial" w:cs="Arial"/>
                <w:b/>
                <w:bCs/>
                <w:sz w:val="20"/>
                <w:szCs w:val="20"/>
              </w:rPr>
            </w:pPr>
          </w:p>
        </w:tc>
        <w:tc>
          <w:tcPr>
            <w:tcW w:w="740" w:type="dxa"/>
            <w:tcBorders>
              <w:top w:val="nil"/>
              <w:left w:val="nil"/>
              <w:bottom w:val="nil"/>
              <w:right w:val="nil"/>
            </w:tcBorders>
            <w:shd w:val="clear" w:color="auto" w:fill="auto"/>
            <w:hideMark/>
          </w:tcPr>
          <w:p w:rsidR="00651C1F" w:rsidRPr="001B6DA7" w:rsidRDefault="00651C1F" w:rsidP="002F5109">
            <w:pPr>
              <w:jc w:val="center"/>
              <w:rPr>
                <w:rFonts w:ascii="Arial" w:hAnsi="Arial" w:cs="Arial"/>
                <w:b/>
                <w:bCs/>
                <w:sz w:val="20"/>
                <w:szCs w:val="20"/>
              </w:rPr>
            </w:pPr>
          </w:p>
        </w:tc>
        <w:tc>
          <w:tcPr>
            <w:tcW w:w="960" w:type="dxa"/>
            <w:tcBorders>
              <w:top w:val="nil"/>
              <w:left w:val="nil"/>
              <w:bottom w:val="nil"/>
              <w:right w:val="nil"/>
            </w:tcBorders>
            <w:shd w:val="clear" w:color="auto" w:fill="auto"/>
            <w:hideMark/>
          </w:tcPr>
          <w:p w:rsidR="00651C1F" w:rsidRPr="001B6DA7" w:rsidRDefault="00651C1F" w:rsidP="002F5109">
            <w:pPr>
              <w:jc w:val="center"/>
              <w:rPr>
                <w:rFonts w:ascii="Arial" w:hAnsi="Arial" w:cs="Arial"/>
                <w:b/>
                <w:bCs/>
                <w:sz w:val="20"/>
                <w:szCs w:val="20"/>
              </w:rPr>
            </w:pPr>
          </w:p>
        </w:tc>
        <w:tc>
          <w:tcPr>
            <w:tcW w:w="960" w:type="dxa"/>
            <w:tcBorders>
              <w:top w:val="nil"/>
              <w:left w:val="nil"/>
              <w:bottom w:val="nil"/>
              <w:right w:val="nil"/>
            </w:tcBorders>
            <w:shd w:val="clear" w:color="auto" w:fill="auto"/>
            <w:vAlign w:val="bottom"/>
            <w:hideMark/>
          </w:tcPr>
          <w:p w:rsidR="00651C1F" w:rsidRPr="0004239B" w:rsidRDefault="00651C1F" w:rsidP="002F5109">
            <w:pPr>
              <w:jc w:val="center"/>
              <w:rPr>
                <w:rFonts w:ascii="Arial" w:hAnsi="Arial" w:cs="Arial"/>
                <w:sz w:val="20"/>
                <w:szCs w:val="20"/>
              </w:rPr>
            </w:pPr>
            <w:r w:rsidRPr="0004239B">
              <w:rPr>
                <w:rFonts w:ascii="Arial" w:hAnsi="Arial" w:cs="Arial"/>
                <w:sz w:val="20"/>
                <w:szCs w:val="20"/>
              </w:rPr>
              <w:t>tab.č.23</w:t>
            </w:r>
          </w:p>
        </w:tc>
      </w:tr>
      <w:tr w:rsidR="00651C1F" w:rsidRPr="001B6DA7" w:rsidTr="002F5109">
        <w:trPr>
          <w:trHeight w:val="1200"/>
        </w:trPr>
        <w:tc>
          <w:tcPr>
            <w:tcW w:w="2600" w:type="dxa"/>
            <w:vMerge w:val="restart"/>
            <w:tcBorders>
              <w:top w:val="double" w:sz="6" w:space="0" w:color="auto"/>
              <w:left w:val="double" w:sz="6" w:space="0" w:color="auto"/>
              <w:bottom w:val="single" w:sz="8" w:space="0" w:color="000000"/>
              <w:right w:val="single" w:sz="4" w:space="0" w:color="auto"/>
            </w:tcBorders>
            <w:shd w:val="clear" w:color="000000" w:fill="BFBFBF"/>
            <w:vAlign w:val="center"/>
            <w:hideMark/>
          </w:tcPr>
          <w:p w:rsidR="00651C1F" w:rsidRPr="001B6DA7" w:rsidRDefault="00651C1F" w:rsidP="002F5109">
            <w:pPr>
              <w:jc w:val="center"/>
              <w:rPr>
                <w:rFonts w:ascii="Arial" w:hAnsi="Arial" w:cs="Arial"/>
                <w:b/>
                <w:bCs/>
                <w:color w:val="000000"/>
                <w:sz w:val="18"/>
                <w:szCs w:val="18"/>
              </w:rPr>
            </w:pPr>
            <w:r w:rsidRPr="001B6DA7">
              <w:rPr>
                <w:rFonts w:ascii="Arial" w:hAnsi="Arial" w:cs="Arial"/>
                <w:b/>
                <w:bCs/>
                <w:color w:val="000000"/>
                <w:sz w:val="18"/>
                <w:szCs w:val="18"/>
              </w:rPr>
              <w:t>nástroj APZ</w:t>
            </w:r>
          </w:p>
        </w:tc>
        <w:tc>
          <w:tcPr>
            <w:tcW w:w="1480" w:type="dxa"/>
            <w:gridSpan w:val="2"/>
            <w:tcBorders>
              <w:top w:val="double" w:sz="6" w:space="0" w:color="auto"/>
              <w:left w:val="nil"/>
              <w:bottom w:val="nil"/>
              <w:right w:val="single" w:sz="4" w:space="0" w:color="auto"/>
            </w:tcBorders>
            <w:shd w:val="clear" w:color="000000" w:fill="BFBFBF"/>
            <w:vAlign w:val="center"/>
            <w:hideMark/>
          </w:tcPr>
          <w:p w:rsidR="00651C1F" w:rsidRPr="001B6DA7" w:rsidRDefault="00651C1F" w:rsidP="002F5109">
            <w:pPr>
              <w:jc w:val="center"/>
              <w:rPr>
                <w:rFonts w:ascii="Arial" w:hAnsi="Arial" w:cs="Arial"/>
                <w:b/>
                <w:bCs/>
                <w:color w:val="000000"/>
                <w:sz w:val="18"/>
                <w:szCs w:val="18"/>
              </w:rPr>
            </w:pPr>
            <w:r>
              <w:rPr>
                <w:rFonts w:ascii="Arial" w:hAnsi="Arial" w:cs="Arial"/>
                <w:b/>
                <w:bCs/>
                <w:color w:val="000000"/>
                <w:sz w:val="18"/>
                <w:szCs w:val="18"/>
              </w:rPr>
              <w:t>Počty vytvořených míst (stav)</w:t>
            </w:r>
            <w:r w:rsidRPr="001B6DA7">
              <w:rPr>
                <w:rFonts w:ascii="Arial" w:hAnsi="Arial" w:cs="Arial"/>
                <w:b/>
                <w:bCs/>
                <w:color w:val="000000"/>
                <w:sz w:val="18"/>
                <w:szCs w:val="18"/>
              </w:rPr>
              <w:t xml:space="preserve">              k</w:t>
            </w:r>
          </w:p>
        </w:tc>
        <w:tc>
          <w:tcPr>
            <w:tcW w:w="1480" w:type="dxa"/>
            <w:gridSpan w:val="2"/>
            <w:tcBorders>
              <w:top w:val="double" w:sz="6" w:space="0" w:color="auto"/>
              <w:left w:val="single" w:sz="4" w:space="0" w:color="auto"/>
              <w:bottom w:val="nil"/>
              <w:right w:val="single" w:sz="4" w:space="0" w:color="auto"/>
            </w:tcBorders>
            <w:shd w:val="clear" w:color="000000" w:fill="BFBFBF"/>
            <w:vAlign w:val="center"/>
            <w:hideMark/>
          </w:tcPr>
          <w:p w:rsidR="00651C1F" w:rsidRPr="001B6DA7" w:rsidRDefault="00651C1F" w:rsidP="002F5109">
            <w:pPr>
              <w:jc w:val="center"/>
              <w:rPr>
                <w:rFonts w:ascii="Arial" w:hAnsi="Arial" w:cs="Arial"/>
                <w:b/>
                <w:bCs/>
                <w:color w:val="000000"/>
                <w:sz w:val="18"/>
                <w:szCs w:val="18"/>
              </w:rPr>
            </w:pPr>
            <w:r w:rsidRPr="001B6DA7">
              <w:rPr>
                <w:rFonts w:ascii="Arial" w:hAnsi="Arial" w:cs="Arial"/>
                <w:b/>
                <w:bCs/>
                <w:color w:val="000000"/>
                <w:sz w:val="18"/>
                <w:szCs w:val="18"/>
              </w:rPr>
              <w:t xml:space="preserve">Počty vytvořených míst celkem v průběhu </w:t>
            </w:r>
          </w:p>
        </w:tc>
        <w:tc>
          <w:tcPr>
            <w:tcW w:w="1480" w:type="dxa"/>
            <w:gridSpan w:val="2"/>
            <w:tcBorders>
              <w:top w:val="double" w:sz="6" w:space="0" w:color="auto"/>
              <w:left w:val="nil"/>
              <w:bottom w:val="nil"/>
              <w:right w:val="single" w:sz="4" w:space="0" w:color="auto"/>
            </w:tcBorders>
            <w:shd w:val="clear" w:color="000000" w:fill="BFBFBF"/>
            <w:vAlign w:val="center"/>
            <w:hideMark/>
          </w:tcPr>
          <w:p w:rsidR="00651C1F" w:rsidRPr="001B6DA7" w:rsidRDefault="00651C1F" w:rsidP="002F5109">
            <w:pPr>
              <w:jc w:val="center"/>
              <w:rPr>
                <w:rFonts w:ascii="Arial" w:hAnsi="Arial" w:cs="Arial"/>
                <w:b/>
                <w:bCs/>
                <w:color w:val="000000"/>
                <w:sz w:val="18"/>
                <w:szCs w:val="18"/>
              </w:rPr>
            </w:pPr>
            <w:r w:rsidRPr="001B6DA7">
              <w:rPr>
                <w:rFonts w:ascii="Arial" w:hAnsi="Arial" w:cs="Arial"/>
                <w:b/>
                <w:bCs/>
                <w:color w:val="000000"/>
                <w:sz w:val="18"/>
                <w:szCs w:val="18"/>
              </w:rPr>
              <w:t>Počty podpořených uchazečů/osob (stav)                                                            k</w:t>
            </w:r>
          </w:p>
        </w:tc>
        <w:tc>
          <w:tcPr>
            <w:tcW w:w="1480" w:type="dxa"/>
            <w:gridSpan w:val="2"/>
            <w:tcBorders>
              <w:top w:val="double" w:sz="6" w:space="0" w:color="auto"/>
              <w:left w:val="nil"/>
              <w:bottom w:val="nil"/>
              <w:right w:val="single" w:sz="4" w:space="0" w:color="auto"/>
            </w:tcBorders>
            <w:shd w:val="clear" w:color="000000" w:fill="BFBFBF"/>
            <w:vAlign w:val="center"/>
            <w:hideMark/>
          </w:tcPr>
          <w:p w:rsidR="00651C1F" w:rsidRPr="001B6DA7" w:rsidRDefault="00651C1F" w:rsidP="002F5109">
            <w:pPr>
              <w:jc w:val="center"/>
              <w:rPr>
                <w:rFonts w:ascii="Arial" w:hAnsi="Arial" w:cs="Arial"/>
                <w:b/>
                <w:bCs/>
                <w:sz w:val="18"/>
                <w:szCs w:val="18"/>
              </w:rPr>
            </w:pPr>
            <w:r w:rsidRPr="001B6DA7">
              <w:rPr>
                <w:rFonts w:ascii="Arial" w:hAnsi="Arial" w:cs="Arial"/>
                <w:b/>
                <w:bCs/>
                <w:sz w:val="18"/>
                <w:szCs w:val="18"/>
              </w:rPr>
              <w:t>Počty podpořených uchazečů/osob celkem v průběhu</w:t>
            </w:r>
          </w:p>
        </w:tc>
        <w:tc>
          <w:tcPr>
            <w:tcW w:w="1920" w:type="dxa"/>
            <w:gridSpan w:val="2"/>
            <w:tcBorders>
              <w:top w:val="double" w:sz="6" w:space="0" w:color="auto"/>
              <w:left w:val="nil"/>
              <w:bottom w:val="nil"/>
              <w:right w:val="double" w:sz="6" w:space="0" w:color="000000"/>
            </w:tcBorders>
            <w:shd w:val="clear" w:color="000000" w:fill="BFBFBF"/>
            <w:vAlign w:val="center"/>
            <w:hideMark/>
          </w:tcPr>
          <w:p w:rsidR="00651C1F" w:rsidRPr="001B6DA7" w:rsidRDefault="00651C1F" w:rsidP="002F5109">
            <w:pPr>
              <w:jc w:val="center"/>
              <w:rPr>
                <w:rFonts w:ascii="Arial" w:hAnsi="Arial" w:cs="Arial"/>
                <w:b/>
                <w:bCs/>
                <w:sz w:val="18"/>
                <w:szCs w:val="18"/>
              </w:rPr>
            </w:pPr>
            <w:r w:rsidRPr="001B6DA7">
              <w:rPr>
                <w:rFonts w:ascii="Arial" w:hAnsi="Arial" w:cs="Arial"/>
                <w:b/>
                <w:bCs/>
                <w:sz w:val="18"/>
                <w:szCs w:val="18"/>
              </w:rPr>
              <w:t>Čerpání finančních prostředků od počátku roku                             (v tis. Kč)</w:t>
            </w:r>
          </w:p>
        </w:tc>
      </w:tr>
      <w:tr w:rsidR="00651C1F" w:rsidRPr="001B6DA7" w:rsidTr="002F5109">
        <w:trPr>
          <w:trHeight w:val="450"/>
        </w:trPr>
        <w:tc>
          <w:tcPr>
            <w:tcW w:w="2600" w:type="dxa"/>
            <w:vMerge/>
            <w:tcBorders>
              <w:top w:val="double" w:sz="6" w:space="0" w:color="auto"/>
              <w:left w:val="double" w:sz="6" w:space="0" w:color="auto"/>
              <w:bottom w:val="single" w:sz="8" w:space="0" w:color="000000"/>
              <w:right w:val="single" w:sz="4" w:space="0" w:color="auto"/>
            </w:tcBorders>
            <w:vAlign w:val="center"/>
            <w:hideMark/>
          </w:tcPr>
          <w:p w:rsidR="00651C1F" w:rsidRPr="001B6DA7" w:rsidRDefault="00651C1F" w:rsidP="002F5109">
            <w:pPr>
              <w:rPr>
                <w:rFonts w:ascii="Arial" w:hAnsi="Arial" w:cs="Arial"/>
                <w:b/>
                <w:bCs/>
                <w:color w:val="000000"/>
                <w:sz w:val="18"/>
                <w:szCs w:val="18"/>
              </w:rPr>
            </w:pPr>
          </w:p>
        </w:tc>
        <w:tc>
          <w:tcPr>
            <w:tcW w:w="740" w:type="dxa"/>
            <w:tcBorders>
              <w:top w:val="single" w:sz="4" w:space="0" w:color="auto"/>
              <w:left w:val="nil"/>
              <w:bottom w:val="single" w:sz="8" w:space="0" w:color="auto"/>
              <w:right w:val="single" w:sz="4" w:space="0" w:color="auto"/>
            </w:tcBorders>
            <w:shd w:val="clear" w:color="000000" w:fill="D9D9D9"/>
            <w:vAlign w:val="center"/>
            <w:hideMark/>
          </w:tcPr>
          <w:p w:rsidR="00651C1F" w:rsidRPr="001B6DA7" w:rsidRDefault="00651C1F" w:rsidP="002F5109">
            <w:pPr>
              <w:jc w:val="center"/>
              <w:rPr>
                <w:rFonts w:ascii="Arial" w:hAnsi="Arial" w:cs="Arial"/>
                <w:b/>
                <w:bCs/>
                <w:sz w:val="16"/>
                <w:szCs w:val="16"/>
              </w:rPr>
            </w:pPr>
            <w:r w:rsidRPr="001B6DA7">
              <w:rPr>
                <w:rFonts w:ascii="Arial" w:hAnsi="Arial" w:cs="Arial"/>
                <w:b/>
                <w:bCs/>
                <w:sz w:val="16"/>
                <w:szCs w:val="16"/>
              </w:rPr>
              <w:t>30.6. 2012</w:t>
            </w:r>
          </w:p>
        </w:tc>
        <w:tc>
          <w:tcPr>
            <w:tcW w:w="740" w:type="dxa"/>
            <w:tcBorders>
              <w:top w:val="single" w:sz="4" w:space="0" w:color="auto"/>
              <w:left w:val="nil"/>
              <w:bottom w:val="single" w:sz="8" w:space="0" w:color="auto"/>
              <w:right w:val="single" w:sz="4" w:space="0" w:color="auto"/>
            </w:tcBorders>
            <w:shd w:val="clear" w:color="000000" w:fill="D9D9D9"/>
            <w:vAlign w:val="center"/>
            <w:hideMark/>
          </w:tcPr>
          <w:p w:rsidR="00651C1F" w:rsidRPr="001B6DA7" w:rsidRDefault="00651C1F" w:rsidP="002F5109">
            <w:pPr>
              <w:jc w:val="center"/>
              <w:rPr>
                <w:rFonts w:ascii="Arial" w:hAnsi="Arial" w:cs="Arial"/>
                <w:b/>
                <w:bCs/>
                <w:sz w:val="16"/>
                <w:szCs w:val="16"/>
              </w:rPr>
            </w:pPr>
            <w:r w:rsidRPr="001B6DA7">
              <w:rPr>
                <w:rFonts w:ascii="Arial" w:hAnsi="Arial" w:cs="Arial"/>
                <w:b/>
                <w:bCs/>
                <w:sz w:val="16"/>
                <w:szCs w:val="16"/>
              </w:rPr>
              <w:t>30.6. 2013</w:t>
            </w:r>
          </w:p>
        </w:tc>
        <w:tc>
          <w:tcPr>
            <w:tcW w:w="740" w:type="dxa"/>
            <w:tcBorders>
              <w:top w:val="single" w:sz="4" w:space="0" w:color="auto"/>
              <w:left w:val="nil"/>
              <w:bottom w:val="single" w:sz="8" w:space="0" w:color="auto"/>
              <w:right w:val="single" w:sz="4" w:space="0" w:color="auto"/>
            </w:tcBorders>
            <w:shd w:val="clear" w:color="000000" w:fill="D9D9D9"/>
            <w:vAlign w:val="center"/>
            <w:hideMark/>
          </w:tcPr>
          <w:p w:rsidR="00651C1F" w:rsidRPr="001B6DA7" w:rsidRDefault="00651C1F" w:rsidP="002F5109">
            <w:pPr>
              <w:jc w:val="center"/>
              <w:rPr>
                <w:rFonts w:ascii="Arial" w:hAnsi="Arial" w:cs="Arial"/>
                <w:b/>
                <w:bCs/>
                <w:sz w:val="16"/>
                <w:szCs w:val="16"/>
              </w:rPr>
            </w:pPr>
            <w:r w:rsidRPr="001B6DA7">
              <w:rPr>
                <w:rFonts w:ascii="Arial" w:hAnsi="Arial" w:cs="Arial"/>
                <w:b/>
                <w:bCs/>
                <w:sz w:val="16"/>
                <w:szCs w:val="16"/>
              </w:rPr>
              <w:t>1.pol. 2012</w:t>
            </w:r>
          </w:p>
        </w:tc>
        <w:tc>
          <w:tcPr>
            <w:tcW w:w="740" w:type="dxa"/>
            <w:tcBorders>
              <w:top w:val="single" w:sz="4" w:space="0" w:color="auto"/>
              <w:left w:val="nil"/>
              <w:bottom w:val="single" w:sz="8" w:space="0" w:color="auto"/>
              <w:right w:val="single" w:sz="4" w:space="0" w:color="auto"/>
            </w:tcBorders>
            <w:shd w:val="clear" w:color="000000" w:fill="D9D9D9"/>
            <w:vAlign w:val="center"/>
            <w:hideMark/>
          </w:tcPr>
          <w:p w:rsidR="00651C1F" w:rsidRPr="001B6DA7" w:rsidRDefault="00651C1F" w:rsidP="002F5109">
            <w:pPr>
              <w:jc w:val="center"/>
              <w:rPr>
                <w:rFonts w:ascii="Arial" w:hAnsi="Arial" w:cs="Arial"/>
                <w:b/>
                <w:bCs/>
                <w:sz w:val="16"/>
                <w:szCs w:val="16"/>
              </w:rPr>
            </w:pPr>
            <w:r w:rsidRPr="001B6DA7">
              <w:rPr>
                <w:rFonts w:ascii="Arial" w:hAnsi="Arial" w:cs="Arial"/>
                <w:b/>
                <w:bCs/>
                <w:sz w:val="16"/>
                <w:szCs w:val="16"/>
              </w:rPr>
              <w:t>1.pol. 2013</w:t>
            </w:r>
          </w:p>
        </w:tc>
        <w:tc>
          <w:tcPr>
            <w:tcW w:w="740" w:type="dxa"/>
            <w:tcBorders>
              <w:top w:val="single" w:sz="4" w:space="0" w:color="auto"/>
              <w:left w:val="nil"/>
              <w:bottom w:val="single" w:sz="8" w:space="0" w:color="auto"/>
              <w:right w:val="single" w:sz="4" w:space="0" w:color="auto"/>
            </w:tcBorders>
            <w:shd w:val="clear" w:color="000000" w:fill="D9D9D9"/>
            <w:vAlign w:val="center"/>
            <w:hideMark/>
          </w:tcPr>
          <w:p w:rsidR="00651C1F" w:rsidRPr="001B6DA7" w:rsidRDefault="00651C1F" w:rsidP="002F5109">
            <w:pPr>
              <w:jc w:val="center"/>
              <w:rPr>
                <w:rFonts w:ascii="Arial" w:hAnsi="Arial" w:cs="Arial"/>
                <w:b/>
                <w:bCs/>
                <w:sz w:val="16"/>
                <w:szCs w:val="16"/>
              </w:rPr>
            </w:pPr>
            <w:r w:rsidRPr="001B6DA7">
              <w:rPr>
                <w:rFonts w:ascii="Arial" w:hAnsi="Arial" w:cs="Arial"/>
                <w:b/>
                <w:bCs/>
                <w:sz w:val="16"/>
                <w:szCs w:val="16"/>
              </w:rPr>
              <w:t>30.6. 2012</w:t>
            </w:r>
          </w:p>
        </w:tc>
        <w:tc>
          <w:tcPr>
            <w:tcW w:w="740" w:type="dxa"/>
            <w:tcBorders>
              <w:top w:val="single" w:sz="4" w:space="0" w:color="auto"/>
              <w:left w:val="nil"/>
              <w:bottom w:val="single" w:sz="8" w:space="0" w:color="auto"/>
              <w:right w:val="single" w:sz="4" w:space="0" w:color="auto"/>
            </w:tcBorders>
            <w:shd w:val="clear" w:color="000000" w:fill="D9D9D9"/>
            <w:vAlign w:val="center"/>
            <w:hideMark/>
          </w:tcPr>
          <w:p w:rsidR="00651C1F" w:rsidRPr="001B6DA7" w:rsidRDefault="00651C1F" w:rsidP="002F5109">
            <w:pPr>
              <w:jc w:val="center"/>
              <w:rPr>
                <w:rFonts w:ascii="Arial" w:hAnsi="Arial" w:cs="Arial"/>
                <w:b/>
                <w:bCs/>
                <w:sz w:val="16"/>
                <w:szCs w:val="16"/>
              </w:rPr>
            </w:pPr>
            <w:r w:rsidRPr="001B6DA7">
              <w:rPr>
                <w:rFonts w:ascii="Arial" w:hAnsi="Arial" w:cs="Arial"/>
                <w:b/>
                <w:bCs/>
                <w:sz w:val="16"/>
                <w:szCs w:val="16"/>
              </w:rPr>
              <w:t>30.6. 2013</w:t>
            </w:r>
          </w:p>
        </w:tc>
        <w:tc>
          <w:tcPr>
            <w:tcW w:w="740" w:type="dxa"/>
            <w:tcBorders>
              <w:top w:val="single" w:sz="4" w:space="0" w:color="auto"/>
              <w:left w:val="nil"/>
              <w:bottom w:val="single" w:sz="8" w:space="0" w:color="auto"/>
              <w:right w:val="single" w:sz="4" w:space="0" w:color="auto"/>
            </w:tcBorders>
            <w:shd w:val="clear" w:color="000000" w:fill="D9D9D9"/>
            <w:vAlign w:val="center"/>
            <w:hideMark/>
          </w:tcPr>
          <w:p w:rsidR="00651C1F" w:rsidRPr="001B6DA7" w:rsidRDefault="00651C1F" w:rsidP="002F5109">
            <w:pPr>
              <w:jc w:val="center"/>
              <w:rPr>
                <w:rFonts w:ascii="Arial" w:hAnsi="Arial" w:cs="Arial"/>
                <w:b/>
                <w:bCs/>
                <w:sz w:val="16"/>
                <w:szCs w:val="16"/>
              </w:rPr>
            </w:pPr>
            <w:r w:rsidRPr="001B6DA7">
              <w:rPr>
                <w:rFonts w:ascii="Arial" w:hAnsi="Arial" w:cs="Arial"/>
                <w:b/>
                <w:bCs/>
                <w:sz w:val="16"/>
                <w:szCs w:val="16"/>
              </w:rPr>
              <w:t>1.pol. 2012</w:t>
            </w:r>
          </w:p>
        </w:tc>
        <w:tc>
          <w:tcPr>
            <w:tcW w:w="740" w:type="dxa"/>
            <w:tcBorders>
              <w:top w:val="single" w:sz="4" w:space="0" w:color="auto"/>
              <w:left w:val="nil"/>
              <w:bottom w:val="single" w:sz="8" w:space="0" w:color="auto"/>
              <w:right w:val="single" w:sz="4" w:space="0" w:color="auto"/>
            </w:tcBorders>
            <w:shd w:val="clear" w:color="000000" w:fill="D9D9D9"/>
            <w:vAlign w:val="center"/>
            <w:hideMark/>
          </w:tcPr>
          <w:p w:rsidR="00651C1F" w:rsidRPr="001B6DA7" w:rsidRDefault="00651C1F" w:rsidP="002F5109">
            <w:pPr>
              <w:jc w:val="center"/>
              <w:rPr>
                <w:rFonts w:ascii="Arial" w:hAnsi="Arial" w:cs="Arial"/>
                <w:b/>
                <w:bCs/>
                <w:sz w:val="16"/>
                <w:szCs w:val="16"/>
              </w:rPr>
            </w:pPr>
            <w:r w:rsidRPr="001B6DA7">
              <w:rPr>
                <w:rFonts w:ascii="Arial" w:hAnsi="Arial" w:cs="Arial"/>
                <w:b/>
                <w:bCs/>
                <w:sz w:val="16"/>
                <w:szCs w:val="16"/>
              </w:rPr>
              <w:t>1.pol. 2013</w:t>
            </w:r>
          </w:p>
        </w:tc>
        <w:tc>
          <w:tcPr>
            <w:tcW w:w="960" w:type="dxa"/>
            <w:tcBorders>
              <w:top w:val="single" w:sz="4" w:space="0" w:color="auto"/>
              <w:left w:val="nil"/>
              <w:bottom w:val="single" w:sz="8" w:space="0" w:color="auto"/>
              <w:right w:val="single" w:sz="4" w:space="0" w:color="auto"/>
            </w:tcBorders>
            <w:shd w:val="clear" w:color="000000" w:fill="D9D9D9"/>
            <w:vAlign w:val="center"/>
            <w:hideMark/>
          </w:tcPr>
          <w:p w:rsidR="00651C1F" w:rsidRPr="001B6DA7" w:rsidRDefault="00651C1F" w:rsidP="002F5109">
            <w:pPr>
              <w:jc w:val="center"/>
              <w:rPr>
                <w:rFonts w:ascii="Arial" w:hAnsi="Arial" w:cs="Arial"/>
                <w:b/>
                <w:bCs/>
                <w:sz w:val="16"/>
                <w:szCs w:val="16"/>
              </w:rPr>
            </w:pPr>
            <w:r w:rsidRPr="001B6DA7">
              <w:rPr>
                <w:rFonts w:ascii="Arial" w:hAnsi="Arial" w:cs="Arial"/>
                <w:b/>
                <w:bCs/>
                <w:sz w:val="16"/>
                <w:szCs w:val="16"/>
              </w:rPr>
              <w:t>1.pol. 2012</w:t>
            </w:r>
          </w:p>
        </w:tc>
        <w:tc>
          <w:tcPr>
            <w:tcW w:w="960" w:type="dxa"/>
            <w:tcBorders>
              <w:top w:val="single" w:sz="4" w:space="0" w:color="auto"/>
              <w:left w:val="nil"/>
              <w:bottom w:val="single" w:sz="8" w:space="0" w:color="auto"/>
              <w:right w:val="double" w:sz="6" w:space="0" w:color="auto"/>
            </w:tcBorders>
            <w:shd w:val="clear" w:color="000000" w:fill="D9D9D9"/>
            <w:vAlign w:val="center"/>
            <w:hideMark/>
          </w:tcPr>
          <w:p w:rsidR="00651C1F" w:rsidRPr="001B6DA7" w:rsidRDefault="00651C1F" w:rsidP="002F5109">
            <w:pPr>
              <w:jc w:val="center"/>
              <w:rPr>
                <w:rFonts w:ascii="Arial" w:hAnsi="Arial" w:cs="Arial"/>
                <w:b/>
                <w:bCs/>
                <w:sz w:val="16"/>
                <w:szCs w:val="16"/>
              </w:rPr>
            </w:pPr>
            <w:r w:rsidRPr="001B6DA7">
              <w:rPr>
                <w:rFonts w:ascii="Arial" w:hAnsi="Arial" w:cs="Arial"/>
                <w:b/>
                <w:bCs/>
                <w:sz w:val="16"/>
                <w:szCs w:val="16"/>
              </w:rPr>
              <w:t>1.pol. 2013</w:t>
            </w:r>
          </w:p>
        </w:tc>
      </w:tr>
      <w:tr w:rsidR="00651C1F" w:rsidRPr="001B6DA7" w:rsidTr="002F5109">
        <w:trPr>
          <w:trHeight w:val="315"/>
        </w:trPr>
        <w:tc>
          <w:tcPr>
            <w:tcW w:w="2600" w:type="dxa"/>
            <w:tcBorders>
              <w:top w:val="nil"/>
              <w:left w:val="double" w:sz="6" w:space="0" w:color="auto"/>
              <w:bottom w:val="single" w:sz="4" w:space="0" w:color="auto"/>
              <w:right w:val="single" w:sz="4" w:space="0" w:color="auto"/>
            </w:tcBorders>
            <w:shd w:val="clear" w:color="auto" w:fill="auto"/>
            <w:vAlign w:val="center"/>
            <w:hideMark/>
          </w:tcPr>
          <w:p w:rsidR="00651C1F" w:rsidRPr="001B6DA7" w:rsidRDefault="00651C1F" w:rsidP="002F5109">
            <w:pPr>
              <w:rPr>
                <w:rFonts w:ascii="Arial" w:hAnsi="Arial" w:cs="Arial"/>
                <w:b/>
                <w:bCs/>
                <w:sz w:val="18"/>
                <w:szCs w:val="18"/>
              </w:rPr>
            </w:pPr>
            <w:r w:rsidRPr="001B6DA7">
              <w:rPr>
                <w:rFonts w:ascii="Arial" w:hAnsi="Arial" w:cs="Arial"/>
                <w:b/>
                <w:bCs/>
                <w:sz w:val="18"/>
                <w:szCs w:val="18"/>
              </w:rPr>
              <w:t xml:space="preserve">Rekvalifikace </w:t>
            </w:r>
            <w:r w:rsidRPr="001B6DA7">
              <w:rPr>
                <w:rFonts w:ascii="Arial" w:hAnsi="Arial" w:cs="Arial"/>
                <w:sz w:val="18"/>
                <w:szCs w:val="18"/>
                <w:vertAlign w:val="superscript"/>
              </w:rPr>
              <w:t>1)</w:t>
            </w:r>
          </w:p>
        </w:tc>
        <w:tc>
          <w:tcPr>
            <w:tcW w:w="740" w:type="dxa"/>
            <w:tcBorders>
              <w:top w:val="nil"/>
              <w:left w:val="nil"/>
              <w:bottom w:val="single" w:sz="4" w:space="0" w:color="auto"/>
              <w:right w:val="single" w:sz="4" w:space="0" w:color="auto"/>
            </w:tcBorders>
            <w:shd w:val="clear" w:color="auto" w:fill="auto"/>
            <w:vAlign w:val="center"/>
            <w:hideMark/>
          </w:tcPr>
          <w:p w:rsidR="00651C1F" w:rsidRPr="001B6DA7" w:rsidRDefault="00651C1F" w:rsidP="002F5109">
            <w:pPr>
              <w:jc w:val="center"/>
              <w:rPr>
                <w:rFonts w:ascii="Arial" w:hAnsi="Arial" w:cs="Arial"/>
                <w:b/>
                <w:bCs/>
                <w:sz w:val="18"/>
                <w:szCs w:val="18"/>
              </w:rPr>
            </w:pPr>
            <w:r w:rsidRPr="001B6DA7">
              <w:rPr>
                <w:rFonts w:ascii="Arial" w:hAnsi="Arial" w:cs="Arial"/>
                <w:b/>
                <w:bCs/>
                <w:sz w:val="18"/>
                <w:szCs w:val="18"/>
              </w:rPr>
              <w:t>x</w:t>
            </w:r>
          </w:p>
        </w:tc>
        <w:tc>
          <w:tcPr>
            <w:tcW w:w="740" w:type="dxa"/>
            <w:tcBorders>
              <w:top w:val="nil"/>
              <w:left w:val="nil"/>
              <w:bottom w:val="single" w:sz="4" w:space="0" w:color="auto"/>
              <w:right w:val="nil"/>
            </w:tcBorders>
            <w:shd w:val="clear" w:color="auto" w:fill="auto"/>
            <w:vAlign w:val="center"/>
            <w:hideMark/>
          </w:tcPr>
          <w:p w:rsidR="00651C1F" w:rsidRPr="001B6DA7" w:rsidRDefault="00651C1F" w:rsidP="002F5109">
            <w:pPr>
              <w:jc w:val="center"/>
              <w:rPr>
                <w:rFonts w:ascii="Arial" w:hAnsi="Arial" w:cs="Arial"/>
                <w:b/>
                <w:bCs/>
                <w:sz w:val="18"/>
                <w:szCs w:val="18"/>
              </w:rPr>
            </w:pPr>
            <w:r w:rsidRPr="001B6DA7">
              <w:rPr>
                <w:rFonts w:ascii="Arial" w:hAnsi="Arial" w:cs="Arial"/>
                <w:b/>
                <w:bCs/>
                <w:sz w:val="18"/>
                <w:szCs w:val="18"/>
              </w:rPr>
              <w:t>x</w:t>
            </w:r>
          </w:p>
        </w:tc>
        <w:tc>
          <w:tcPr>
            <w:tcW w:w="740" w:type="dxa"/>
            <w:tcBorders>
              <w:top w:val="nil"/>
              <w:left w:val="single" w:sz="4" w:space="0" w:color="auto"/>
              <w:bottom w:val="single" w:sz="4" w:space="0" w:color="auto"/>
              <w:right w:val="single" w:sz="4" w:space="0" w:color="auto"/>
            </w:tcBorders>
            <w:shd w:val="clear" w:color="auto" w:fill="auto"/>
            <w:vAlign w:val="center"/>
            <w:hideMark/>
          </w:tcPr>
          <w:p w:rsidR="00651C1F" w:rsidRPr="001B6DA7" w:rsidRDefault="00651C1F" w:rsidP="002F5109">
            <w:pPr>
              <w:jc w:val="center"/>
              <w:rPr>
                <w:rFonts w:ascii="Arial" w:hAnsi="Arial" w:cs="Arial"/>
                <w:b/>
                <w:bCs/>
                <w:sz w:val="18"/>
                <w:szCs w:val="18"/>
              </w:rPr>
            </w:pPr>
            <w:r w:rsidRPr="001B6DA7">
              <w:rPr>
                <w:rFonts w:ascii="Arial" w:hAnsi="Arial" w:cs="Arial"/>
                <w:b/>
                <w:bCs/>
                <w:sz w:val="18"/>
                <w:szCs w:val="18"/>
              </w:rPr>
              <w:t>x</w:t>
            </w:r>
          </w:p>
        </w:tc>
        <w:tc>
          <w:tcPr>
            <w:tcW w:w="740" w:type="dxa"/>
            <w:tcBorders>
              <w:top w:val="nil"/>
              <w:left w:val="nil"/>
              <w:bottom w:val="single" w:sz="4" w:space="0" w:color="auto"/>
              <w:right w:val="single" w:sz="4" w:space="0" w:color="auto"/>
            </w:tcBorders>
            <w:shd w:val="clear" w:color="auto" w:fill="auto"/>
            <w:vAlign w:val="center"/>
            <w:hideMark/>
          </w:tcPr>
          <w:p w:rsidR="00651C1F" w:rsidRPr="001B6DA7" w:rsidRDefault="00651C1F" w:rsidP="002F5109">
            <w:pPr>
              <w:jc w:val="center"/>
              <w:rPr>
                <w:rFonts w:ascii="Arial" w:hAnsi="Arial" w:cs="Arial"/>
                <w:b/>
                <w:bCs/>
                <w:sz w:val="18"/>
                <w:szCs w:val="18"/>
              </w:rPr>
            </w:pPr>
            <w:r w:rsidRPr="001B6DA7">
              <w:rPr>
                <w:rFonts w:ascii="Arial" w:hAnsi="Arial" w:cs="Arial"/>
                <w:b/>
                <w:bCs/>
                <w:sz w:val="18"/>
                <w:szCs w:val="18"/>
              </w:rPr>
              <w:t>x</w:t>
            </w:r>
          </w:p>
        </w:tc>
        <w:tc>
          <w:tcPr>
            <w:tcW w:w="740" w:type="dxa"/>
            <w:tcBorders>
              <w:top w:val="nil"/>
              <w:left w:val="nil"/>
              <w:bottom w:val="single" w:sz="4" w:space="0" w:color="auto"/>
              <w:right w:val="single" w:sz="4" w:space="0" w:color="auto"/>
            </w:tcBorders>
            <w:shd w:val="clear" w:color="auto" w:fill="auto"/>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2 492</w:t>
            </w:r>
          </w:p>
        </w:tc>
        <w:tc>
          <w:tcPr>
            <w:tcW w:w="740" w:type="dxa"/>
            <w:tcBorders>
              <w:top w:val="nil"/>
              <w:left w:val="nil"/>
              <w:bottom w:val="single" w:sz="4" w:space="0" w:color="auto"/>
              <w:right w:val="single" w:sz="4" w:space="0" w:color="auto"/>
            </w:tcBorders>
            <w:shd w:val="clear" w:color="auto" w:fill="auto"/>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5 348</w:t>
            </w:r>
          </w:p>
        </w:tc>
        <w:tc>
          <w:tcPr>
            <w:tcW w:w="740" w:type="dxa"/>
            <w:tcBorders>
              <w:top w:val="nil"/>
              <w:left w:val="nil"/>
              <w:bottom w:val="single" w:sz="4" w:space="0" w:color="auto"/>
              <w:right w:val="single" w:sz="4" w:space="0" w:color="auto"/>
            </w:tcBorders>
            <w:shd w:val="clear" w:color="auto" w:fill="auto"/>
            <w:noWrap/>
            <w:vAlign w:val="center"/>
            <w:hideMark/>
          </w:tcPr>
          <w:p w:rsidR="00651C1F" w:rsidRPr="00BB0572" w:rsidRDefault="00651C1F" w:rsidP="002F5109">
            <w:pPr>
              <w:jc w:val="right"/>
              <w:rPr>
                <w:rFonts w:ascii="Arial" w:hAnsi="Arial" w:cs="Arial"/>
                <w:b/>
                <w:bCs/>
                <w:sz w:val="18"/>
                <w:szCs w:val="18"/>
              </w:rPr>
            </w:pPr>
            <w:r w:rsidRPr="00AA3E9A">
              <w:rPr>
                <w:rFonts w:ascii="Arial" w:hAnsi="Arial" w:cs="Arial"/>
                <w:b/>
                <w:bCs/>
                <w:sz w:val="18"/>
                <w:szCs w:val="18"/>
              </w:rPr>
              <w:t>12 0</w:t>
            </w:r>
            <w:r>
              <w:rPr>
                <w:rFonts w:ascii="Arial" w:hAnsi="Arial" w:cs="Arial"/>
                <w:b/>
                <w:bCs/>
                <w:sz w:val="18"/>
                <w:szCs w:val="18"/>
              </w:rPr>
              <w:t>38</w:t>
            </w:r>
          </w:p>
        </w:tc>
        <w:tc>
          <w:tcPr>
            <w:tcW w:w="740" w:type="dxa"/>
            <w:tcBorders>
              <w:top w:val="nil"/>
              <w:left w:val="nil"/>
              <w:bottom w:val="single" w:sz="4" w:space="0" w:color="auto"/>
              <w:right w:val="single" w:sz="4" w:space="0" w:color="auto"/>
            </w:tcBorders>
            <w:shd w:val="clear" w:color="auto" w:fill="auto"/>
            <w:noWrap/>
            <w:vAlign w:val="center"/>
            <w:hideMark/>
          </w:tcPr>
          <w:p w:rsidR="00651C1F" w:rsidRPr="00BB0572" w:rsidRDefault="00651C1F" w:rsidP="002F5109">
            <w:pPr>
              <w:jc w:val="right"/>
              <w:rPr>
                <w:rFonts w:ascii="Arial" w:hAnsi="Arial" w:cs="Arial"/>
                <w:b/>
                <w:bCs/>
                <w:sz w:val="18"/>
                <w:szCs w:val="18"/>
              </w:rPr>
            </w:pPr>
            <w:r w:rsidRPr="00BB0572">
              <w:rPr>
                <w:rFonts w:ascii="Arial" w:hAnsi="Arial" w:cs="Arial"/>
                <w:b/>
                <w:bCs/>
                <w:sz w:val="18"/>
                <w:szCs w:val="18"/>
              </w:rPr>
              <w:t>2</w:t>
            </w:r>
            <w:r>
              <w:rPr>
                <w:rFonts w:ascii="Arial" w:hAnsi="Arial" w:cs="Arial"/>
                <w:b/>
                <w:bCs/>
                <w:sz w:val="18"/>
                <w:szCs w:val="18"/>
              </w:rPr>
              <w:t>1</w:t>
            </w:r>
            <w:r w:rsidRPr="00BB0572">
              <w:rPr>
                <w:rFonts w:ascii="Arial" w:hAnsi="Arial" w:cs="Arial"/>
                <w:b/>
                <w:bCs/>
                <w:sz w:val="18"/>
                <w:szCs w:val="18"/>
              </w:rPr>
              <w:t xml:space="preserve"> </w:t>
            </w:r>
            <w:r>
              <w:rPr>
                <w:rFonts w:ascii="Arial" w:hAnsi="Arial" w:cs="Arial"/>
                <w:b/>
                <w:bCs/>
                <w:sz w:val="18"/>
                <w:szCs w:val="18"/>
              </w:rPr>
              <w:t>513</w:t>
            </w:r>
          </w:p>
        </w:tc>
        <w:tc>
          <w:tcPr>
            <w:tcW w:w="960" w:type="dxa"/>
            <w:tcBorders>
              <w:top w:val="nil"/>
              <w:left w:val="nil"/>
              <w:bottom w:val="single" w:sz="4" w:space="0" w:color="auto"/>
              <w:right w:val="single" w:sz="4" w:space="0" w:color="auto"/>
            </w:tcBorders>
            <w:shd w:val="clear" w:color="auto" w:fill="auto"/>
            <w:noWrap/>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50 231</w:t>
            </w:r>
          </w:p>
        </w:tc>
        <w:tc>
          <w:tcPr>
            <w:tcW w:w="960" w:type="dxa"/>
            <w:tcBorders>
              <w:top w:val="nil"/>
              <w:left w:val="nil"/>
              <w:bottom w:val="single" w:sz="4" w:space="0" w:color="auto"/>
              <w:right w:val="double" w:sz="6" w:space="0" w:color="auto"/>
            </w:tcBorders>
            <w:shd w:val="clear" w:color="auto" w:fill="auto"/>
            <w:noWrap/>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131 405</w:t>
            </w:r>
          </w:p>
        </w:tc>
      </w:tr>
      <w:tr w:rsidR="00651C1F" w:rsidRPr="001B6DA7" w:rsidTr="002F5109">
        <w:trPr>
          <w:trHeight w:val="270"/>
        </w:trPr>
        <w:tc>
          <w:tcPr>
            <w:tcW w:w="2600" w:type="dxa"/>
            <w:tcBorders>
              <w:top w:val="nil"/>
              <w:left w:val="double" w:sz="6" w:space="0" w:color="auto"/>
              <w:bottom w:val="nil"/>
              <w:right w:val="single" w:sz="4" w:space="0" w:color="auto"/>
            </w:tcBorders>
            <w:shd w:val="clear" w:color="auto" w:fill="auto"/>
            <w:vAlign w:val="center"/>
            <w:hideMark/>
          </w:tcPr>
          <w:p w:rsidR="00651C1F" w:rsidRPr="001B6DA7" w:rsidRDefault="00651C1F" w:rsidP="002F5109">
            <w:pPr>
              <w:rPr>
                <w:rFonts w:ascii="Arial" w:hAnsi="Arial" w:cs="Arial"/>
                <w:b/>
                <w:bCs/>
                <w:sz w:val="18"/>
                <w:szCs w:val="18"/>
              </w:rPr>
            </w:pPr>
            <w:r w:rsidRPr="001B6DA7">
              <w:rPr>
                <w:rFonts w:ascii="Arial" w:hAnsi="Arial" w:cs="Arial"/>
                <w:b/>
                <w:bCs/>
                <w:sz w:val="18"/>
                <w:szCs w:val="18"/>
              </w:rPr>
              <w:t xml:space="preserve"> - rekvalifikace</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center"/>
              <w:rPr>
                <w:rFonts w:ascii="Arial" w:hAnsi="Arial" w:cs="Arial"/>
                <w:sz w:val="18"/>
                <w:szCs w:val="18"/>
              </w:rPr>
            </w:pPr>
            <w:r w:rsidRPr="001B6DA7">
              <w:rPr>
                <w:rFonts w:ascii="Arial" w:hAnsi="Arial" w:cs="Arial"/>
                <w:sz w:val="18"/>
                <w:szCs w:val="18"/>
              </w:rPr>
              <w:t>x</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center"/>
              <w:rPr>
                <w:rFonts w:ascii="Arial" w:hAnsi="Arial" w:cs="Arial"/>
                <w:sz w:val="18"/>
                <w:szCs w:val="18"/>
              </w:rPr>
            </w:pPr>
            <w:r w:rsidRPr="001B6DA7">
              <w:rPr>
                <w:rFonts w:ascii="Arial" w:hAnsi="Arial" w:cs="Arial"/>
                <w:sz w:val="18"/>
                <w:szCs w:val="18"/>
              </w:rPr>
              <w:t>x</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center"/>
              <w:rPr>
                <w:rFonts w:ascii="Arial" w:hAnsi="Arial" w:cs="Arial"/>
                <w:sz w:val="18"/>
                <w:szCs w:val="18"/>
              </w:rPr>
            </w:pPr>
            <w:r w:rsidRPr="001B6DA7">
              <w:rPr>
                <w:rFonts w:ascii="Arial" w:hAnsi="Arial" w:cs="Arial"/>
                <w:sz w:val="18"/>
                <w:szCs w:val="18"/>
              </w:rPr>
              <w:t>x</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center"/>
              <w:rPr>
                <w:rFonts w:ascii="Arial" w:hAnsi="Arial" w:cs="Arial"/>
                <w:sz w:val="18"/>
                <w:szCs w:val="18"/>
              </w:rPr>
            </w:pPr>
            <w:r w:rsidRPr="001B6DA7">
              <w:rPr>
                <w:rFonts w:ascii="Arial" w:hAnsi="Arial" w:cs="Arial"/>
                <w:sz w:val="18"/>
                <w:szCs w:val="18"/>
              </w:rPr>
              <w:t>x</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center"/>
              <w:rPr>
                <w:rFonts w:ascii="Arial" w:hAnsi="Arial" w:cs="Arial"/>
                <w:sz w:val="18"/>
                <w:szCs w:val="18"/>
              </w:rPr>
            </w:pPr>
            <w:r w:rsidRPr="001B6DA7">
              <w:rPr>
                <w:rFonts w:ascii="Arial" w:hAnsi="Arial" w:cs="Arial"/>
                <w:sz w:val="18"/>
                <w:szCs w:val="18"/>
              </w:rPr>
              <w:t>.</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center"/>
              <w:rPr>
                <w:rFonts w:ascii="Arial" w:hAnsi="Arial" w:cs="Arial"/>
                <w:sz w:val="18"/>
                <w:szCs w:val="18"/>
              </w:rPr>
            </w:pPr>
            <w:r w:rsidRPr="001B6DA7">
              <w:rPr>
                <w:rFonts w:ascii="Arial" w:hAnsi="Arial" w:cs="Arial"/>
                <w:sz w:val="18"/>
                <w:szCs w:val="18"/>
              </w:rPr>
              <w:t>.</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center"/>
              <w:rPr>
                <w:rFonts w:ascii="Arial" w:hAnsi="Arial" w:cs="Arial"/>
                <w:sz w:val="18"/>
                <w:szCs w:val="18"/>
              </w:rPr>
            </w:pPr>
            <w:r>
              <w:rPr>
                <w:rFonts w:ascii="Arial" w:hAnsi="Arial" w:cs="Arial"/>
                <w:sz w:val="18"/>
                <w:szCs w:val="18"/>
              </w:rPr>
              <w:t>.</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center"/>
              <w:rPr>
                <w:rFonts w:ascii="Arial" w:hAnsi="Arial" w:cs="Arial"/>
                <w:sz w:val="18"/>
                <w:szCs w:val="18"/>
              </w:rPr>
            </w:pPr>
            <w:r w:rsidRPr="001B6DA7">
              <w:rPr>
                <w:rFonts w:ascii="Arial" w:hAnsi="Arial" w:cs="Arial"/>
                <w:sz w:val="18"/>
                <w:szCs w:val="18"/>
              </w:rPr>
              <w:t>.</w:t>
            </w:r>
          </w:p>
        </w:tc>
        <w:tc>
          <w:tcPr>
            <w:tcW w:w="960" w:type="dxa"/>
            <w:tcBorders>
              <w:top w:val="nil"/>
              <w:left w:val="nil"/>
              <w:bottom w:val="nil"/>
              <w:right w:val="single" w:sz="4"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25 155</w:t>
            </w:r>
          </w:p>
        </w:tc>
        <w:tc>
          <w:tcPr>
            <w:tcW w:w="960" w:type="dxa"/>
            <w:tcBorders>
              <w:top w:val="nil"/>
              <w:left w:val="nil"/>
              <w:bottom w:val="nil"/>
              <w:right w:val="double" w:sz="6"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40 836</w:t>
            </w:r>
          </w:p>
        </w:tc>
      </w:tr>
      <w:tr w:rsidR="00651C1F" w:rsidRPr="001B6DA7" w:rsidTr="002F5109">
        <w:trPr>
          <w:trHeight w:val="270"/>
        </w:trPr>
        <w:tc>
          <w:tcPr>
            <w:tcW w:w="2600" w:type="dxa"/>
            <w:tcBorders>
              <w:top w:val="nil"/>
              <w:left w:val="double" w:sz="6" w:space="0" w:color="auto"/>
              <w:bottom w:val="nil"/>
              <w:right w:val="single" w:sz="4" w:space="0" w:color="auto"/>
            </w:tcBorders>
            <w:shd w:val="clear" w:color="auto" w:fill="auto"/>
            <w:vAlign w:val="center"/>
            <w:hideMark/>
          </w:tcPr>
          <w:p w:rsidR="00651C1F" w:rsidRPr="001B6DA7" w:rsidRDefault="00651C1F" w:rsidP="002F5109">
            <w:pPr>
              <w:rPr>
                <w:rFonts w:ascii="Arial" w:hAnsi="Arial" w:cs="Arial"/>
                <w:b/>
                <w:bCs/>
                <w:sz w:val="18"/>
                <w:szCs w:val="18"/>
              </w:rPr>
            </w:pPr>
            <w:r w:rsidRPr="001B6DA7">
              <w:rPr>
                <w:rFonts w:ascii="Arial" w:hAnsi="Arial" w:cs="Arial"/>
                <w:b/>
                <w:bCs/>
                <w:sz w:val="18"/>
                <w:szCs w:val="18"/>
              </w:rPr>
              <w:t xml:space="preserve"> - zvolená rekvalifikace (ZR)</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center"/>
              <w:rPr>
                <w:rFonts w:ascii="Arial" w:hAnsi="Arial" w:cs="Arial"/>
                <w:sz w:val="18"/>
                <w:szCs w:val="18"/>
              </w:rPr>
            </w:pPr>
            <w:r w:rsidRPr="001B6DA7">
              <w:rPr>
                <w:rFonts w:ascii="Arial" w:hAnsi="Arial" w:cs="Arial"/>
                <w:sz w:val="18"/>
                <w:szCs w:val="18"/>
              </w:rPr>
              <w:t>x</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center"/>
              <w:rPr>
                <w:rFonts w:ascii="Arial" w:hAnsi="Arial" w:cs="Arial"/>
                <w:sz w:val="18"/>
                <w:szCs w:val="18"/>
              </w:rPr>
            </w:pPr>
            <w:r w:rsidRPr="001B6DA7">
              <w:rPr>
                <w:rFonts w:ascii="Arial" w:hAnsi="Arial" w:cs="Arial"/>
                <w:sz w:val="18"/>
                <w:szCs w:val="18"/>
              </w:rPr>
              <w:t>x</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center"/>
              <w:rPr>
                <w:rFonts w:ascii="Arial" w:hAnsi="Arial" w:cs="Arial"/>
                <w:sz w:val="18"/>
                <w:szCs w:val="18"/>
              </w:rPr>
            </w:pPr>
            <w:r w:rsidRPr="001B6DA7">
              <w:rPr>
                <w:rFonts w:ascii="Arial" w:hAnsi="Arial" w:cs="Arial"/>
                <w:sz w:val="18"/>
                <w:szCs w:val="18"/>
              </w:rPr>
              <w:t>x</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center"/>
              <w:rPr>
                <w:rFonts w:ascii="Arial" w:hAnsi="Arial" w:cs="Arial"/>
                <w:sz w:val="18"/>
                <w:szCs w:val="18"/>
              </w:rPr>
            </w:pPr>
            <w:r w:rsidRPr="001B6DA7">
              <w:rPr>
                <w:rFonts w:ascii="Arial" w:hAnsi="Arial" w:cs="Arial"/>
                <w:sz w:val="18"/>
                <w:szCs w:val="18"/>
              </w:rPr>
              <w:t>x</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center"/>
              <w:rPr>
                <w:rFonts w:ascii="Arial" w:hAnsi="Arial" w:cs="Arial"/>
                <w:sz w:val="18"/>
                <w:szCs w:val="18"/>
              </w:rPr>
            </w:pPr>
            <w:r w:rsidRPr="001B6DA7">
              <w:rPr>
                <w:rFonts w:ascii="Arial" w:hAnsi="Arial" w:cs="Arial"/>
                <w:sz w:val="18"/>
                <w:szCs w:val="18"/>
              </w:rPr>
              <w:t>994</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center"/>
              <w:rPr>
                <w:rFonts w:ascii="Arial" w:hAnsi="Arial" w:cs="Arial"/>
                <w:sz w:val="18"/>
                <w:szCs w:val="18"/>
              </w:rPr>
            </w:pPr>
            <w:r w:rsidRPr="001B6DA7">
              <w:rPr>
                <w:rFonts w:ascii="Arial" w:hAnsi="Arial" w:cs="Arial"/>
                <w:sz w:val="18"/>
                <w:szCs w:val="18"/>
              </w:rPr>
              <w:t>2 887</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center"/>
              <w:rPr>
                <w:rFonts w:ascii="Arial" w:hAnsi="Arial" w:cs="Arial"/>
                <w:sz w:val="18"/>
                <w:szCs w:val="18"/>
              </w:rPr>
            </w:pPr>
            <w:r w:rsidRPr="001B6DA7">
              <w:rPr>
                <w:rFonts w:ascii="Arial" w:hAnsi="Arial" w:cs="Arial"/>
                <w:sz w:val="18"/>
                <w:szCs w:val="18"/>
              </w:rPr>
              <w:t>2 336</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center"/>
              <w:rPr>
                <w:rFonts w:ascii="Arial" w:hAnsi="Arial" w:cs="Arial"/>
                <w:sz w:val="18"/>
                <w:szCs w:val="18"/>
              </w:rPr>
            </w:pPr>
            <w:r w:rsidRPr="001B6DA7">
              <w:rPr>
                <w:rFonts w:ascii="Arial" w:hAnsi="Arial" w:cs="Arial"/>
                <w:sz w:val="18"/>
                <w:szCs w:val="18"/>
              </w:rPr>
              <w:t>6 619</w:t>
            </w:r>
          </w:p>
        </w:tc>
        <w:tc>
          <w:tcPr>
            <w:tcW w:w="960" w:type="dxa"/>
            <w:tcBorders>
              <w:top w:val="nil"/>
              <w:left w:val="nil"/>
              <w:bottom w:val="nil"/>
              <w:right w:val="single" w:sz="4"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6 876</w:t>
            </w:r>
          </w:p>
        </w:tc>
        <w:tc>
          <w:tcPr>
            <w:tcW w:w="960" w:type="dxa"/>
            <w:tcBorders>
              <w:top w:val="nil"/>
              <w:left w:val="nil"/>
              <w:bottom w:val="nil"/>
              <w:right w:val="double" w:sz="6"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50 099</w:t>
            </w:r>
          </w:p>
        </w:tc>
      </w:tr>
      <w:tr w:rsidR="00651C1F" w:rsidRPr="001B6DA7" w:rsidTr="002F5109">
        <w:trPr>
          <w:trHeight w:val="270"/>
        </w:trPr>
        <w:tc>
          <w:tcPr>
            <w:tcW w:w="2600" w:type="dxa"/>
            <w:tcBorders>
              <w:top w:val="nil"/>
              <w:left w:val="double" w:sz="6" w:space="0" w:color="auto"/>
              <w:bottom w:val="single" w:sz="4" w:space="0" w:color="auto"/>
              <w:right w:val="single" w:sz="4" w:space="0" w:color="auto"/>
            </w:tcBorders>
            <w:shd w:val="clear" w:color="auto" w:fill="auto"/>
            <w:vAlign w:val="center"/>
            <w:hideMark/>
          </w:tcPr>
          <w:p w:rsidR="00651C1F" w:rsidRPr="001B6DA7" w:rsidRDefault="00651C1F" w:rsidP="002F5109">
            <w:pPr>
              <w:rPr>
                <w:rFonts w:ascii="Arial" w:hAnsi="Arial" w:cs="Arial"/>
                <w:b/>
                <w:bCs/>
                <w:sz w:val="18"/>
                <w:szCs w:val="18"/>
              </w:rPr>
            </w:pPr>
            <w:r w:rsidRPr="001B6DA7">
              <w:rPr>
                <w:rFonts w:ascii="Arial" w:hAnsi="Arial" w:cs="Arial"/>
                <w:b/>
                <w:bCs/>
                <w:sz w:val="18"/>
                <w:szCs w:val="18"/>
              </w:rPr>
              <w:t xml:space="preserve"> - rekvalifikace OP LZZ</w:t>
            </w:r>
          </w:p>
        </w:tc>
        <w:tc>
          <w:tcPr>
            <w:tcW w:w="740" w:type="dxa"/>
            <w:tcBorders>
              <w:top w:val="nil"/>
              <w:left w:val="nil"/>
              <w:bottom w:val="single" w:sz="4" w:space="0" w:color="auto"/>
              <w:right w:val="single" w:sz="4" w:space="0" w:color="auto"/>
            </w:tcBorders>
            <w:shd w:val="clear" w:color="auto" w:fill="auto"/>
            <w:vAlign w:val="center"/>
            <w:hideMark/>
          </w:tcPr>
          <w:p w:rsidR="00651C1F" w:rsidRPr="001B6DA7" w:rsidRDefault="00651C1F" w:rsidP="002F5109">
            <w:pPr>
              <w:jc w:val="center"/>
              <w:rPr>
                <w:rFonts w:ascii="Arial" w:hAnsi="Arial" w:cs="Arial"/>
                <w:sz w:val="18"/>
                <w:szCs w:val="18"/>
              </w:rPr>
            </w:pPr>
            <w:r w:rsidRPr="001B6DA7">
              <w:rPr>
                <w:rFonts w:ascii="Arial" w:hAnsi="Arial" w:cs="Arial"/>
                <w:sz w:val="18"/>
                <w:szCs w:val="18"/>
              </w:rPr>
              <w:t>x</w:t>
            </w:r>
          </w:p>
        </w:tc>
        <w:tc>
          <w:tcPr>
            <w:tcW w:w="740" w:type="dxa"/>
            <w:tcBorders>
              <w:top w:val="nil"/>
              <w:left w:val="nil"/>
              <w:bottom w:val="single" w:sz="4" w:space="0" w:color="auto"/>
              <w:right w:val="single" w:sz="4" w:space="0" w:color="auto"/>
            </w:tcBorders>
            <w:shd w:val="clear" w:color="auto" w:fill="auto"/>
            <w:vAlign w:val="center"/>
            <w:hideMark/>
          </w:tcPr>
          <w:p w:rsidR="00651C1F" w:rsidRPr="001B6DA7" w:rsidRDefault="00651C1F" w:rsidP="002F5109">
            <w:pPr>
              <w:jc w:val="center"/>
              <w:rPr>
                <w:rFonts w:ascii="Arial" w:hAnsi="Arial" w:cs="Arial"/>
                <w:sz w:val="18"/>
                <w:szCs w:val="18"/>
              </w:rPr>
            </w:pPr>
            <w:r w:rsidRPr="001B6DA7">
              <w:rPr>
                <w:rFonts w:ascii="Arial" w:hAnsi="Arial" w:cs="Arial"/>
                <w:sz w:val="18"/>
                <w:szCs w:val="18"/>
              </w:rPr>
              <w:t>x</w:t>
            </w:r>
          </w:p>
        </w:tc>
        <w:tc>
          <w:tcPr>
            <w:tcW w:w="740" w:type="dxa"/>
            <w:tcBorders>
              <w:top w:val="nil"/>
              <w:left w:val="nil"/>
              <w:bottom w:val="single" w:sz="4" w:space="0" w:color="auto"/>
              <w:right w:val="single" w:sz="4" w:space="0" w:color="auto"/>
            </w:tcBorders>
            <w:shd w:val="clear" w:color="auto" w:fill="auto"/>
            <w:vAlign w:val="center"/>
            <w:hideMark/>
          </w:tcPr>
          <w:p w:rsidR="00651C1F" w:rsidRPr="001B6DA7" w:rsidRDefault="00651C1F" w:rsidP="002F5109">
            <w:pPr>
              <w:jc w:val="center"/>
              <w:rPr>
                <w:rFonts w:ascii="Arial" w:hAnsi="Arial" w:cs="Arial"/>
                <w:sz w:val="18"/>
                <w:szCs w:val="18"/>
              </w:rPr>
            </w:pPr>
            <w:r w:rsidRPr="001B6DA7">
              <w:rPr>
                <w:rFonts w:ascii="Arial" w:hAnsi="Arial" w:cs="Arial"/>
                <w:sz w:val="18"/>
                <w:szCs w:val="18"/>
              </w:rPr>
              <w:t>x</w:t>
            </w:r>
          </w:p>
        </w:tc>
        <w:tc>
          <w:tcPr>
            <w:tcW w:w="740" w:type="dxa"/>
            <w:tcBorders>
              <w:top w:val="nil"/>
              <w:left w:val="nil"/>
              <w:bottom w:val="single" w:sz="4" w:space="0" w:color="auto"/>
              <w:right w:val="single" w:sz="4" w:space="0" w:color="auto"/>
            </w:tcBorders>
            <w:shd w:val="clear" w:color="auto" w:fill="auto"/>
            <w:vAlign w:val="center"/>
            <w:hideMark/>
          </w:tcPr>
          <w:p w:rsidR="00651C1F" w:rsidRPr="001B6DA7" w:rsidRDefault="00651C1F" w:rsidP="002F5109">
            <w:pPr>
              <w:jc w:val="center"/>
              <w:rPr>
                <w:rFonts w:ascii="Arial" w:hAnsi="Arial" w:cs="Arial"/>
                <w:sz w:val="18"/>
                <w:szCs w:val="18"/>
              </w:rPr>
            </w:pPr>
            <w:r w:rsidRPr="001B6DA7">
              <w:rPr>
                <w:rFonts w:ascii="Arial" w:hAnsi="Arial" w:cs="Arial"/>
                <w:sz w:val="18"/>
                <w:szCs w:val="18"/>
              </w:rPr>
              <w:t>x</w:t>
            </w:r>
          </w:p>
        </w:tc>
        <w:tc>
          <w:tcPr>
            <w:tcW w:w="740" w:type="dxa"/>
            <w:tcBorders>
              <w:top w:val="nil"/>
              <w:left w:val="nil"/>
              <w:bottom w:val="single" w:sz="4" w:space="0" w:color="auto"/>
              <w:right w:val="single" w:sz="4" w:space="0" w:color="auto"/>
            </w:tcBorders>
            <w:shd w:val="clear" w:color="auto" w:fill="auto"/>
            <w:vAlign w:val="center"/>
            <w:hideMark/>
          </w:tcPr>
          <w:p w:rsidR="00651C1F" w:rsidRPr="001B6DA7" w:rsidRDefault="00651C1F" w:rsidP="002F5109">
            <w:pPr>
              <w:jc w:val="center"/>
              <w:rPr>
                <w:rFonts w:ascii="Arial" w:hAnsi="Arial" w:cs="Arial"/>
                <w:sz w:val="18"/>
                <w:szCs w:val="18"/>
              </w:rPr>
            </w:pPr>
            <w:r w:rsidRPr="001B6DA7">
              <w:rPr>
                <w:rFonts w:ascii="Arial" w:hAnsi="Arial" w:cs="Arial"/>
                <w:sz w:val="18"/>
                <w:szCs w:val="18"/>
              </w:rPr>
              <w:t>.</w:t>
            </w:r>
          </w:p>
        </w:tc>
        <w:tc>
          <w:tcPr>
            <w:tcW w:w="740" w:type="dxa"/>
            <w:tcBorders>
              <w:top w:val="nil"/>
              <w:left w:val="nil"/>
              <w:bottom w:val="single" w:sz="4" w:space="0" w:color="auto"/>
              <w:right w:val="single" w:sz="4" w:space="0" w:color="auto"/>
            </w:tcBorders>
            <w:shd w:val="clear" w:color="auto" w:fill="auto"/>
            <w:vAlign w:val="center"/>
            <w:hideMark/>
          </w:tcPr>
          <w:p w:rsidR="00651C1F" w:rsidRPr="001B6DA7" w:rsidRDefault="00651C1F" w:rsidP="002F5109">
            <w:pPr>
              <w:jc w:val="center"/>
              <w:rPr>
                <w:rFonts w:ascii="Arial" w:hAnsi="Arial" w:cs="Arial"/>
                <w:sz w:val="18"/>
                <w:szCs w:val="18"/>
              </w:rPr>
            </w:pPr>
            <w:r w:rsidRPr="001B6DA7">
              <w:rPr>
                <w:rFonts w:ascii="Arial" w:hAnsi="Arial" w:cs="Arial"/>
                <w:sz w:val="18"/>
                <w:szCs w:val="18"/>
              </w:rPr>
              <w:t>.</w:t>
            </w:r>
          </w:p>
        </w:tc>
        <w:tc>
          <w:tcPr>
            <w:tcW w:w="740" w:type="dxa"/>
            <w:tcBorders>
              <w:top w:val="nil"/>
              <w:left w:val="nil"/>
              <w:bottom w:val="single" w:sz="4" w:space="0" w:color="auto"/>
              <w:right w:val="single" w:sz="4" w:space="0" w:color="auto"/>
            </w:tcBorders>
            <w:shd w:val="clear" w:color="auto" w:fill="auto"/>
            <w:vAlign w:val="center"/>
            <w:hideMark/>
          </w:tcPr>
          <w:p w:rsidR="00651C1F" w:rsidRPr="001B6DA7" w:rsidRDefault="00651C1F" w:rsidP="002F5109">
            <w:pPr>
              <w:jc w:val="center"/>
              <w:rPr>
                <w:rFonts w:ascii="Arial" w:hAnsi="Arial" w:cs="Arial"/>
                <w:sz w:val="18"/>
                <w:szCs w:val="18"/>
              </w:rPr>
            </w:pPr>
            <w:r>
              <w:rPr>
                <w:rFonts w:ascii="Arial" w:hAnsi="Arial" w:cs="Arial"/>
                <w:sz w:val="18"/>
                <w:szCs w:val="18"/>
              </w:rPr>
              <w:t>.</w:t>
            </w:r>
          </w:p>
        </w:tc>
        <w:tc>
          <w:tcPr>
            <w:tcW w:w="740" w:type="dxa"/>
            <w:tcBorders>
              <w:top w:val="nil"/>
              <w:left w:val="nil"/>
              <w:bottom w:val="single" w:sz="4" w:space="0" w:color="auto"/>
              <w:right w:val="single" w:sz="4" w:space="0" w:color="auto"/>
            </w:tcBorders>
            <w:shd w:val="clear" w:color="auto" w:fill="auto"/>
            <w:vAlign w:val="center"/>
            <w:hideMark/>
          </w:tcPr>
          <w:p w:rsidR="00651C1F" w:rsidRPr="001B6DA7" w:rsidRDefault="00651C1F" w:rsidP="002F5109">
            <w:pPr>
              <w:jc w:val="center"/>
              <w:rPr>
                <w:rFonts w:ascii="Arial" w:hAnsi="Arial" w:cs="Arial"/>
                <w:sz w:val="18"/>
                <w:szCs w:val="18"/>
              </w:rPr>
            </w:pPr>
            <w:r w:rsidRPr="001B6DA7">
              <w:rPr>
                <w:rFonts w:ascii="Arial" w:hAnsi="Arial" w:cs="Arial"/>
                <w:sz w:val="18"/>
                <w:szCs w:val="18"/>
              </w:rPr>
              <w:t>.</w:t>
            </w:r>
          </w:p>
        </w:tc>
        <w:tc>
          <w:tcPr>
            <w:tcW w:w="960" w:type="dxa"/>
            <w:tcBorders>
              <w:top w:val="nil"/>
              <w:left w:val="nil"/>
              <w:bottom w:val="single" w:sz="4" w:space="0" w:color="auto"/>
              <w:right w:val="single" w:sz="4"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18 200</w:t>
            </w:r>
          </w:p>
        </w:tc>
        <w:tc>
          <w:tcPr>
            <w:tcW w:w="960" w:type="dxa"/>
            <w:tcBorders>
              <w:top w:val="nil"/>
              <w:left w:val="nil"/>
              <w:bottom w:val="single" w:sz="4" w:space="0" w:color="auto"/>
              <w:right w:val="double" w:sz="6"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40 470</w:t>
            </w:r>
          </w:p>
        </w:tc>
      </w:tr>
      <w:tr w:rsidR="00651C1F" w:rsidRPr="001B6DA7" w:rsidTr="002F5109">
        <w:trPr>
          <w:trHeight w:val="315"/>
        </w:trPr>
        <w:tc>
          <w:tcPr>
            <w:tcW w:w="2600" w:type="dxa"/>
            <w:tcBorders>
              <w:top w:val="nil"/>
              <w:left w:val="double" w:sz="6" w:space="0" w:color="auto"/>
              <w:bottom w:val="single" w:sz="4" w:space="0" w:color="auto"/>
              <w:right w:val="single" w:sz="4" w:space="0" w:color="auto"/>
            </w:tcBorders>
            <w:shd w:val="clear" w:color="auto" w:fill="auto"/>
            <w:vAlign w:val="center"/>
            <w:hideMark/>
          </w:tcPr>
          <w:p w:rsidR="00651C1F" w:rsidRPr="001B6DA7" w:rsidRDefault="00651C1F" w:rsidP="002F5109">
            <w:pPr>
              <w:rPr>
                <w:rFonts w:ascii="Arial" w:hAnsi="Arial" w:cs="Arial"/>
                <w:b/>
                <w:bCs/>
                <w:sz w:val="18"/>
                <w:szCs w:val="18"/>
              </w:rPr>
            </w:pPr>
            <w:r w:rsidRPr="001B6DA7">
              <w:rPr>
                <w:rFonts w:ascii="Arial" w:hAnsi="Arial" w:cs="Arial"/>
                <w:b/>
                <w:bCs/>
                <w:sz w:val="18"/>
                <w:szCs w:val="18"/>
              </w:rPr>
              <w:t>Veřejně prospěšné práce</w:t>
            </w:r>
          </w:p>
        </w:tc>
        <w:tc>
          <w:tcPr>
            <w:tcW w:w="740" w:type="dxa"/>
            <w:tcBorders>
              <w:top w:val="nil"/>
              <w:left w:val="nil"/>
              <w:bottom w:val="single" w:sz="4" w:space="0" w:color="auto"/>
              <w:right w:val="single" w:sz="4" w:space="0" w:color="auto"/>
            </w:tcBorders>
            <w:shd w:val="clear" w:color="auto" w:fill="auto"/>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7 165</w:t>
            </w:r>
          </w:p>
        </w:tc>
        <w:tc>
          <w:tcPr>
            <w:tcW w:w="740" w:type="dxa"/>
            <w:tcBorders>
              <w:top w:val="nil"/>
              <w:left w:val="nil"/>
              <w:bottom w:val="single" w:sz="4" w:space="0" w:color="auto"/>
              <w:right w:val="single" w:sz="4" w:space="0" w:color="auto"/>
            </w:tcBorders>
            <w:shd w:val="clear" w:color="auto" w:fill="auto"/>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19 783</w:t>
            </w:r>
          </w:p>
        </w:tc>
        <w:tc>
          <w:tcPr>
            <w:tcW w:w="740" w:type="dxa"/>
            <w:tcBorders>
              <w:top w:val="nil"/>
              <w:left w:val="nil"/>
              <w:bottom w:val="single" w:sz="4" w:space="0" w:color="auto"/>
              <w:right w:val="single" w:sz="4" w:space="0" w:color="auto"/>
            </w:tcBorders>
            <w:shd w:val="clear" w:color="auto" w:fill="auto"/>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7 532</w:t>
            </w:r>
          </w:p>
        </w:tc>
        <w:tc>
          <w:tcPr>
            <w:tcW w:w="740" w:type="dxa"/>
            <w:tcBorders>
              <w:top w:val="nil"/>
              <w:left w:val="nil"/>
              <w:bottom w:val="single" w:sz="4" w:space="0" w:color="auto"/>
              <w:right w:val="single" w:sz="4" w:space="0" w:color="auto"/>
            </w:tcBorders>
            <w:shd w:val="clear" w:color="auto" w:fill="auto"/>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16 730</w:t>
            </w:r>
          </w:p>
        </w:tc>
        <w:tc>
          <w:tcPr>
            <w:tcW w:w="740" w:type="dxa"/>
            <w:tcBorders>
              <w:top w:val="nil"/>
              <w:left w:val="nil"/>
              <w:bottom w:val="single" w:sz="4" w:space="0" w:color="auto"/>
              <w:right w:val="single" w:sz="4" w:space="0" w:color="auto"/>
            </w:tcBorders>
            <w:shd w:val="clear" w:color="auto" w:fill="auto"/>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6 418</w:t>
            </w:r>
          </w:p>
        </w:tc>
        <w:tc>
          <w:tcPr>
            <w:tcW w:w="740" w:type="dxa"/>
            <w:tcBorders>
              <w:top w:val="nil"/>
              <w:left w:val="nil"/>
              <w:bottom w:val="single" w:sz="4" w:space="0" w:color="auto"/>
              <w:right w:val="single" w:sz="4" w:space="0" w:color="auto"/>
            </w:tcBorders>
            <w:shd w:val="clear" w:color="auto" w:fill="auto"/>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18 629</w:t>
            </w:r>
          </w:p>
        </w:tc>
        <w:tc>
          <w:tcPr>
            <w:tcW w:w="740" w:type="dxa"/>
            <w:tcBorders>
              <w:top w:val="nil"/>
              <w:left w:val="nil"/>
              <w:bottom w:val="single" w:sz="4" w:space="0" w:color="auto"/>
              <w:right w:val="single" w:sz="4" w:space="0" w:color="auto"/>
            </w:tcBorders>
            <w:shd w:val="clear" w:color="auto" w:fill="auto"/>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7 173</w:t>
            </w:r>
          </w:p>
        </w:tc>
        <w:tc>
          <w:tcPr>
            <w:tcW w:w="740" w:type="dxa"/>
            <w:tcBorders>
              <w:top w:val="nil"/>
              <w:left w:val="nil"/>
              <w:bottom w:val="single" w:sz="4" w:space="0" w:color="auto"/>
              <w:right w:val="single" w:sz="4" w:space="0" w:color="auto"/>
            </w:tcBorders>
            <w:shd w:val="clear" w:color="auto" w:fill="auto"/>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16 341</w:t>
            </w:r>
          </w:p>
        </w:tc>
        <w:tc>
          <w:tcPr>
            <w:tcW w:w="960" w:type="dxa"/>
            <w:tcBorders>
              <w:top w:val="nil"/>
              <w:left w:val="nil"/>
              <w:bottom w:val="single" w:sz="4" w:space="0" w:color="auto"/>
              <w:right w:val="single" w:sz="4" w:space="0" w:color="auto"/>
            </w:tcBorders>
            <w:shd w:val="clear" w:color="auto" w:fill="auto"/>
            <w:noWrap/>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261 350</w:t>
            </w:r>
          </w:p>
        </w:tc>
        <w:tc>
          <w:tcPr>
            <w:tcW w:w="960" w:type="dxa"/>
            <w:tcBorders>
              <w:top w:val="nil"/>
              <w:left w:val="nil"/>
              <w:bottom w:val="single" w:sz="4" w:space="0" w:color="auto"/>
              <w:right w:val="double" w:sz="6" w:space="0" w:color="auto"/>
            </w:tcBorders>
            <w:shd w:val="clear" w:color="auto" w:fill="auto"/>
            <w:noWrap/>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496 282</w:t>
            </w:r>
          </w:p>
        </w:tc>
      </w:tr>
      <w:tr w:rsidR="00651C1F" w:rsidRPr="001B6DA7" w:rsidTr="002F5109">
        <w:trPr>
          <w:trHeight w:val="300"/>
        </w:trPr>
        <w:tc>
          <w:tcPr>
            <w:tcW w:w="2600" w:type="dxa"/>
            <w:tcBorders>
              <w:top w:val="nil"/>
              <w:left w:val="double" w:sz="6" w:space="0" w:color="auto"/>
              <w:bottom w:val="nil"/>
              <w:right w:val="single" w:sz="4" w:space="0" w:color="auto"/>
            </w:tcBorders>
            <w:shd w:val="clear" w:color="auto" w:fill="auto"/>
            <w:vAlign w:val="center"/>
            <w:hideMark/>
          </w:tcPr>
          <w:p w:rsidR="00651C1F" w:rsidRPr="001B6DA7" w:rsidRDefault="00651C1F" w:rsidP="002F5109">
            <w:pPr>
              <w:rPr>
                <w:rFonts w:ascii="Arial" w:hAnsi="Arial" w:cs="Arial"/>
                <w:sz w:val="18"/>
                <w:szCs w:val="18"/>
              </w:rPr>
            </w:pPr>
            <w:r w:rsidRPr="001B6DA7">
              <w:rPr>
                <w:rFonts w:ascii="Arial" w:hAnsi="Arial" w:cs="Arial"/>
                <w:sz w:val="18"/>
                <w:szCs w:val="18"/>
              </w:rPr>
              <w:t xml:space="preserve"> - vytvoření VPP</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3 488</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4 103</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3 642</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3 456</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3 228</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3 672</w:t>
            </w:r>
          </w:p>
        </w:tc>
        <w:tc>
          <w:tcPr>
            <w:tcW w:w="740" w:type="dxa"/>
            <w:tcBorders>
              <w:top w:val="nil"/>
              <w:left w:val="nil"/>
              <w:bottom w:val="nil"/>
              <w:right w:val="single" w:sz="4"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3 561</w:t>
            </w:r>
          </w:p>
        </w:tc>
        <w:tc>
          <w:tcPr>
            <w:tcW w:w="740" w:type="dxa"/>
            <w:tcBorders>
              <w:top w:val="nil"/>
              <w:left w:val="nil"/>
              <w:bottom w:val="nil"/>
              <w:right w:val="single" w:sz="4"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3 146</w:t>
            </w:r>
          </w:p>
        </w:tc>
        <w:tc>
          <w:tcPr>
            <w:tcW w:w="960" w:type="dxa"/>
            <w:tcBorders>
              <w:top w:val="nil"/>
              <w:left w:val="nil"/>
              <w:bottom w:val="nil"/>
              <w:right w:val="single" w:sz="4"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90 926</w:t>
            </w:r>
          </w:p>
        </w:tc>
        <w:tc>
          <w:tcPr>
            <w:tcW w:w="960" w:type="dxa"/>
            <w:tcBorders>
              <w:top w:val="nil"/>
              <w:left w:val="nil"/>
              <w:bottom w:val="nil"/>
              <w:right w:val="double" w:sz="6"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122 467</w:t>
            </w:r>
          </w:p>
        </w:tc>
      </w:tr>
      <w:tr w:rsidR="00651C1F" w:rsidRPr="001B6DA7" w:rsidTr="002F5109">
        <w:trPr>
          <w:trHeight w:val="300"/>
        </w:trPr>
        <w:tc>
          <w:tcPr>
            <w:tcW w:w="2600" w:type="dxa"/>
            <w:tcBorders>
              <w:top w:val="nil"/>
              <w:left w:val="double" w:sz="6" w:space="0" w:color="auto"/>
              <w:bottom w:val="nil"/>
              <w:right w:val="single" w:sz="4" w:space="0" w:color="auto"/>
            </w:tcBorders>
            <w:shd w:val="clear" w:color="auto" w:fill="auto"/>
            <w:vAlign w:val="center"/>
            <w:hideMark/>
          </w:tcPr>
          <w:p w:rsidR="00651C1F" w:rsidRPr="001B6DA7" w:rsidRDefault="00651C1F" w:rsidP="002F5109">
            <w:pPr>
              <w:rPr>
                <w:rFonts w:ascii="Arial" w:hAnsi="Arial" w:cs="Arial"/>
                <w:sz w:val="18"/>
                <w:szCs w:val="18"/>
              </w:rPr>
            </w:pPr>
            <w:r w:rsidRPr="001B6DA7">
              <w:rPr>
                <w:rFonts w:ascii="Arial" w:hAnsi="Arial" w:cs="Arial"/>
                <w:sz w:val="18"/>
                <w:szCs w:val="18"/>
              </w:rPr>
              <w:t xml:space="preserve"> - ESF - OP LZZ - VPP</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3 677</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15 680</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3 890</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13 274</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3 190</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14 957</w:t>
            </w:r>
          </w:p>
        </w:tc>
        <w:tc>
          <w:tcPr>
            <w:tcW w:w="740" w:type="dxa"/>
            <w:tcBorders>
              <w:top w:val="nil"/>
              <w:left w:val="nil"/>
              <w:bottom w:val="nil"/>
              <w:right w:val="single" w:sz="4"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3 612</w:t>
            </w:r>
          </w:p>
        </w:tc>
        <w:tc>
          <w:tcPr>
            <w:tcW w:w="740" w:type="dxa"/>
            <w:tcBorders>
              <w:top w:val="nil"/>
              <w:left w:val="nil"/>
              <w:bottom w:val="nil"/>
              <w:right w:val="single" w:sz="4"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13 195</w:t>
            </w:r>
          </w:p>
        </w:tc>
        <w:tc>
          <w:tcPr>
            <w:tcW w:w="960" w:type="dxa"/>
            <w:tcBorders>
              <w:top w:val="nil"/>
              <w:left w:val="nil"/>
              <w:bottom w:val="nil"/>
              <w:right w:val="single" w:sz="4"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170 425</w:t>
            </w:r>
          </w:p>
        </w:tc>
        <w:tc>
          <w:tcPr>
            <w:tcW w:w="960" w:type="dxa"/>
            <w:tcBorders>
              <w:top w:val="nil"/>
              <w:left w:val="nil"/>
              <w:bottom w:val="nil"/>
              <w:right w:val="double" w:sz="6"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373 814</w:t>
            </w:r>
          </w:p>
        </w:tc>
      </w:tr>
      <w:tr w:rsidR="00651C1F" w:rsidRPr="001B6DA7" w:rsidTr="002F5109">
        <w:trPr>
          <w:trHeight w:val="495"/>
        </w:trPr>
        <w:tc>
          <w:tcPr>
            <w:tcW w:w="2600" w:type="dxa"/>
            <w:tcBorders>
              <w:top w:val="single" w:sz="4" w:space="0" w:color="auto"/>
              <w:left w:val="double" w:sz="6" w:space="0" w:color="auto"/>
              <w:bottom w:val="single" w:sz="4" w:space="0" w:color="auto"/>
              <w:right w:val="single" w:sz="4" w:space="0" w:color="auto"/>
            </w:tcBorders>
            <w:shd w:val="clear" w:color="auto" w:fill="auto"/>
            <w:vAlign w:val="center"/>
            <w:hideMark/>
          </w:tcPr>
          <w:p w:rsidR="00651C1F" w:rsidRPr="001B6DA7" w:rsidRDefault="00651C1F" w:rsidP="002F5109">
            <w:pPr>
              <w:rPr>
                <w:rFonts w:ascii="Arial" w:hAnsi="Arial" w:cs="Arial"/>
                <w:b/>
                <w:bCs/>
                <w:sz w:val="18"/>
                <w:szCs w:val="18"/>
              </w:rPr>
            </w:pPr>
            <w:r w:rsidRPr="001B6DA7">
              <w:rPr>
                <w:rFonts w:ascii="Arial" w:hAnsi="Arial" w:cs="Arial"/>
                <w:b/>
                <w:bCs/>
                <w:sz w:val="18"/>
                <w:szCs w:val="18"/>
              </w:rPr>
              <w:t>Společensky účelná pracovní místa</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8 429</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12 325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5 592</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9 271</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8 227</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11 944</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5 585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9 077</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131 212</w:t>
            </w:r>
          </w:p>
        </w:tc>
        <w:tc>
          <w:tcPr>
            <w:tcW w:w="960" w:type="dxa"/>
            <w:tcBorders>
              <w:top w:val="single" w:sz="4" w:space="0" w:color="auto"/>
              <w:left w:val="nil"/>
              <w:bottom w:val="single" w:sz="4" w:space="0" w:color="auto"/>
              <w:right w:val="double" w:sz="6" w:space="0" w:color="auto"/>
            </w:tcBorders>
            <w:shd w:val="clear" w:color="auto" w:fill="auto"/>
            <w:noWrap/>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278 148</w:t>
            </w:r>
          </w:p>
        </w:tc>
      </w:tr>
      <w:tr w:rsidR="00651C1F" w:rsidRPr="001B6DA7" w:rsidTr="002F5109">
        <w:trPr>
          <w:trHeight w:val="315"/>
        </w:trPr>
        <w:tc>
          <w:tcPr>
            <w:tcW w:w="2600" w:type="dxa"/>
            <w:tcBorders>
              <w:top w:val="nil"/>
              <w:left w:val="double" w:sz="6" w:space="0" w:color="auto"/>
              <w:bottom w:val="nil"/>
              <w:right w:val="single" w:sz="4" w:space="0" w:color="auto"/>
            </w:tcBorders>
            <w:shd w:val="clear" w:color="auto" w:fill="auto"/>
            <w:vAlign w:val="center"/>
            <w:hideMark/>
          </w:tcPr>
          <w:p w:rsidR="00651C1F" w:rsidRPr="001B6DA7" w:rsidRDefault="00651C1F" w:rsidP="002F5109">
            <w:pPr>
              <w:rPr>
                <w:rFonts w:ascii="Arial" w:hAnsi="Arial" w:cs="Arial"/>
                <w:sz w:val="18"/>
                <w:szCs w:val="18"/>
              </w:rPr>
            </w:pPr>
            <w:r w:rsidRPr="001B6DA7">
              <w:rPr>
                <w:rFonts w:ascii="Arial" w:hAnsi="Arial" w:cs="Arial"/>
                <w:sz w:val="18"/>
                <w:szCs w:val="18"/>
              </w:rPr>
              <w:t xml:space="preserve"> - zřízená u zaměstnavatelů</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423</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289</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101</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93</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380</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242</w:t>
            </w:r>
          </w:p>
        </w:tc>
        <w:tc>
          <w:tcPr>
            <w:tcW w:w="740" w:type="dxa"/>
            <w:tcBorders>
              <w:top w:val="nil"/>
              <w:left w:val="nil"/>
              <w:bottom w:val="nil"/>
              <w:right w:val="single" w:sz="4"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143</w:t>
            </w:r>
          </w:p>
        </w:tc>
        <w:tc>
          <w:tcPr>
            <w:tcW w:w="740" w:type="dxa"/>
            <w:tcBorders>
              <w:top w:val="nil"/>
              <w:left w:val="nil"/>
              <w:bottom w:val="nil"/>
              <w:right w:val="single" w:sz="4"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108</w:t>
            </w:r>
          </w:p>
        </w:tc>
        <w:tc>
          <w:tcPr>
            <w:tcW w:w="960" w:type="dxa"/>
            <w:tcBorders>
              <w:top w:val="nil"/>
              <w:left w:val="nil"/>
              <w:bottom w:val="nil"/>
              <w:right w:val="single" w:sz="4"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1 983</w:t>
            </w:r>
          </w:p>
        </w:tc>
        <w:tc>
          <w:tcPr>
            <w:tcW w:w="960" w:type="dxa"/>
            <w:tcBorders>
              <w:top w:val="nil"/>
              <w:left w:val="nil"/>
              <w:bottom w:val="nil"/>
              <w:right w:val="double" w:sz="6"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10 115</w:t>
            </w:r>
          </w:p>
        </w:tc>
      </w:tr>
      <w:tr w:rsidR="00651C1F" w:rsidRPr="001B6DA7" w:rsidTr="002F5109">
        <w:trPr>
          <w:trHeight w:val="315"/>
        </w:trPr>
        <w:tc>
          <w:tcPr>
            <w:tcW w:w="2600" w:type="dxa"/>
            <w:tcBorders>
              <w:top w:val="nil"/>
              <w:left w:val="double" w:sz="6" w:space="0" w:color="auto"/>
              <w:bottom w:val="nil"/>
              <w:right w:val="single" w:sz="4" w:space="0" w:color="auto"/>
            </w:tcBorders>
            <w:shd w:val="clear" w:color="auto" w:fill="auto"/>
            <w:vAlign w:val="center"/>
            <w:hideMark/>
          </w:tcPr>
          <w:p w:rsidR="00651C1F" w:rsidRPr="001B6DA7" w:rsidRDefault="00651C1F" w:rsidP="002F5109">
            <w:pPr>
              <w:rPr>
                <w:rFonts w:ascii="Arial" w:hAnsi="Arial" w:cs="Arial"/>
                <w:sz w:val="18"/>
                <w:szCs w:val="18"/>
              </w:rPr>
            </w:pPr>
            <w:r w:rsidRPr="001B6DA7">
              <w:rPr>
                <w:rFonts w:ascii="Arial" w:hAnsi="Arial" w:cs="Arial"/>
                <w:sz w:val="18"/>
                <w:szCs w:val="18"/>
              </w:rPr>
              <w:t xml:space="preserve"> - zřízená u jednotlivců (OSVČ)</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3 463</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2 508</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905</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1 037</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3 463</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2 508</w:t>
            </w:r>
          </w:p>
        </w:tc>
        <w:tc>
          <w:tcPr>
            <w:tcW w:w="740" w:type="dxa"/>
            <w:tcBorders>
              <w:top w:val="nil"/>
              <w:left w:val="nil"/>
              <w:bottom w:val="nil"/>
              <w:right w:val="single" w:sz="4"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905</w:t>
            </w:r>
          </w:p>
        </w:tc>
        <w:tc>
          <w:tcPr>
            <w:tcW w:w="740" w:type="dxa"/>
            <w:tcBorders>
              <w:top w:val="nil"/>
              <w:left w:val="nil"/>
              <w:bottom w:val="nil"/>
              <w:right w:val="single" w:sz="4"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1 037</w:t>
            </w:r>
          </w:p>
        </w:tc>
        <w:tc>
          <w:tcPr>
            <w:tcW w:w="960" w:type="dxa"/>
            <w:tcBorders>
              <w:top w:val="nil"/>
              <w:left w:val="nil"/>
              <w:bottom w:val="nil"/>
              <w:right w:val="single" w:sz="4"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30 729</w:t>
            </w:r>
          </w:p>
        </w:tc>
        <w:tc>
          <w:tcPr>
            <w:tcW w:w="960" w:type="dxa"/>
            <w:tcBorders>
              <w:top w:val="nil"/>
              <w:left w:val="nil"/>
              <w:bottom w:val="nil"/>
              <w:right w:val="double" w:sz="6"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49 917</w:t>
            </w:r>
          </w:p>
        </w:tc>
      </w:tr>
      <w:tr w:rsidR="00651C1F" w:rsidRPr="001B6DA7" w:rsidTr="002F5109">
        <w:trPr>
          <w:trHeight w:val="495"/>
        </w:trPr>
        <w:tc>
          <w:tcPr>
            <w:tcW w:w="2600" w:type="dxa"/>
            <w:tcBorders>
              <w:top w:val="nil"/>
              <w:left w:val="double" w:sz="6" w:space="0" w:color="auto"/>
              <w:bottom w:val="nil"/>
              <w:right w:val="single" w:sz="4" w:space="0" w:color="auto"/>
            </w:tcBorders>
            <w:shd w:val="clear" w:color="auto" w:fill="auto"/>
            <w:vAlign w:val="center"/>
            <w:hideMark/>
          </w:tcPr>
          <w:p w:rsidR="00651C1F" w:rsidRPr="001B6DA7" w:rsidRDefault="00651C1F" w:rsidP="002F5109">
            <w:pPr>
              <w:rPr>
                <w:rFonts w:ascii="Arial" w:hAnsi="Arial" w:cs="Arial"/>
                <w:sz w:val="18"/>
                <w:szCs w:val="18"/>
              </w:rPr>
            </w:pPr>
            <w:r w:rsidRPr="001B6DA7">
              <w:rPr>
                <w:rFonts w:ascii="Arial" w:hAnsi="Arial" w:cs="Arial"/>
                <w:sz w:val="18"/>
                <w:szCs w:val="18"/>
              </w:rPr>
              <w:t xml:space="preserve"> - vyhrazená pro konkrétního uchazeče</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3 570</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2 333</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3 581</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1 430</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3 510</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2 144</w:t>
            </w:r>
          </w:p>
        </w:tc>
        <w:tc>
          <w:tcPr>
            <w:tcW w:w="740" w:type="dxa"/>
            <w:tcBorders>
              <w:top w:val="nil"/>
              <w:left w:val="nil"/>
              <w:bottom w:val="nil"/>
              <w:right w:val="single" w:sz="4"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3 630</w:t>
            </w:r>
          </w:p>
        </w:tc>
        <w:tc>
          <w:tcPr>
            <w:tcW w:w="740" w:type="dxa"/>
            <w:tcBorders>
              <w:top w:val="nil"/>
              <w:left w:val="nil"/>
              <w:bottom w:val="nil"/>
              <w:right w:val="single" w:sz="4"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1 264</w:t>
            </w:r>
          </w:p>
        </w:tc>
        <w:tc>
          <w:tcPr>
            <w:tcW w:w="960" w:type="dxa"/>
            <w:tcBorders>
              <w:top w:val="nil"/>
              <w:left w:val="nil"/>
              <w:bottom w:val="nil"/>
              <w:right w:val="single" w:sz="4"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94 478</w:t>
            </w:r>
          </w:p>
        </w:tc>
        <w:tc>
          <w:tcPr>
            <w:tcW w:w="960" w:type="dxa"/>
            <w:tcBorders>
              <w:top w:val="nil"/>
              <w:left w:val="nil"/>
              <w:bottom w:val="nil"/>
              <w:right w:val="double" w:sz="6"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71 906</w:t>
            </w:r>
          </w:p>
        </w:tc>
      </w:tr>
      <w:tr w:rsidR="00651C1F" w:rsidRPr="001B6DA7" w:rsidTr="002F5109">
        <w:trPr>
          <w:trHeight w:val="270"/>
        </w:trPr>
        <w:tc>
          <w:tcPr>
            <w:tcW w:w="2600" w:type="dxa"/>
            <w:tcBorders>
              <w:top w:val="nil"/>
              <w:left w:val="double" w:sz="6" w:space="0" w:color="auto"/>
              <w:bottom w:val="nil"/>
              <w:right w:val="single" w:sz="4" w:space="0" w:color="auto"/>
            </w:tcBorders>
            <w:shd w:val="clear" w:color="auto" w:fill="auto"/>
            <w:vAlign w:val="center"/>
            <w:hideMark/>
          </w:tcPr>
          <w:p w:rsidR="00651C1F" w:rsidRPr="001B6DA7" w:rsidRDefault="00651C1F" w:rsidP="002F5109">
            <w:pPr>
              <w:rPr>
                <w:rFonts w:ascii="Arial" w:hAnsi="Arial" w:cs="Arial"/>
                <w:sz w:val="18"/>
                <w:szCs w:val="18"/>
              </w:rPr>
            </w:pPr>
            <w:r w:rsidRPr="001B6DA7">
              <w:rPr>
                <w:rFonts w:ascii="Arial" w:hAnsi="Arial" w:cs="Arial"/>
                <w:sz w:val="18"/>
                <w:szCs w:val="18"/>
              </w:rPr>
              <w:t xml:space="preserve"> - ESF - OP LZZ - SÚPM</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973</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7 195</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1 005</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6 711</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874</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7 050</w:t>
            </w:r>
          </w:p>
        </w:tc>
        <w:tc>
          <w:tcPr>
            <w:tcW w:w="740" w:type="dxa"/>
            <w:tcBorders>
              <w:top w:val="nil"/>
              <w:left w:val="nil"/>
              <w:bottom w:val="nil"/>
              <w:right w:val="single" w:sz="4"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907</w:t>
            </w:r>
          </w:p>
        </w:tc>
        <w:tc>
          <w:tcPr>
            <w:tcW w:w="740" w:type="dxa"/>
            <w:tcBorders>
              <w:top w:val="nil"/>
              <w:left w:val="nil"/>
              <w:bottom w:val="nil"/>
              <w:right w:val="single" w:sz="4"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6 668</w:t>
            </w:r>
          </w:p>
        </w:tc>
        <w:tc>
          <w:tcPr>
            <w:tcW w:w="960" w:type="dxa"/>
            <w:tcBorders>
              <w:top w:val="nil"/>
              <w:left w:val="nil"/>
              <w:bottom w:val="nil"/>
              <w:right w:val="single" w:sz="4"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4 023</w:t>
            </w:r>
          </w:p>
        </w:tc>
        <w:tc>
          <w:tcPr>
            <w:tcW w:w="960" w:type="dxa"/>
            <w:tcBorders>
              <w:top w:val="nil"/>
              <w:left w:val="nil"/>
              <w:bottom w:val="nil"/>
              <w:right w:val="double" w:sz="6"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146 210</w:t>
            </w:r>
          </w:p>
        </w:tc>
      </w:tr>
      <w:tr w:rsidR="00651C1F" w:rsidRPr="001B6DA7" w:rsidTr="002F5109">
        <w:trPr>
          <w:trHeight w:val="495"/>
        </w:trPr>
        <w:tc>
          <w:tcPr>
            <w:tcW w:w="2600" w:type="dxa"/>
            <w:tcBorders>
              <w:top w:val="single" w:sz="4" w:space="0" w:color="auto"/>
              <w:left w:val="double" w:sz="6" w:space="0" w:color="auto"/>
              <w:bottom w:val="single" w:sz="4" w:space="0" w:color="auto"/>
              <w:right w:val="single" w:sz="4" w:space="0" w:color="auto"/>
            </w:tcBorders>
            <w:shd w:val="clear" w:color="auto" w:fill="auto"/>
            <w:vAlign w:val="center"/>
            <w:hideMark/>
          </w:tcPr>
          <w:p w:rsidR="00651C1F" w:rsidRPr="001B6DA7" w:rsidRDefault="00651C1F" w:rsidP="002F5109">
            <w:pPr>
              <w:rPr>
                <w:rFonts w:ascii="Arial" w:hAnsi="Arial" w:cs="Arial"/>
                <w:b/>
                <w:bCs/>
                <w:sz w:val="18"/>
                <w:szCs w:val="18"/>
              </w:rPr>
            </w:pPr>
            <w:r w:rsidRPr="001B6DA7">
              <w:rPr>
                <w:rFonts w:ascii="Arial" w:hAnsi="Arial" w:cs="Arial"/>
                <w:b/>
                <w:bCs/>
                <w:sz w:val="18"/>
                <w:szCs w:val="18"/>
              </w:rPr>
              <w:t>Zaměstnanost občanů se zdravotním postižením</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1 864</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1 259</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294</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292</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10 838</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1 294</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1 819</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458</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92 260</w:t>
            </w:r>
          </w:p>
        </w:tc>
        <w:tc>
          <w:tcPr>
            <w:tcW w:w="960" w:type="dxa"/>
            <w:tcBorders>
              <w:top w:val="single" w:sz="4" w:space="0" w:color="auto"/>
              <w:left w:val="nil"/>
              <w:bottom w:val="single" w:sz="4" w:space="0" w:color="auto"/>
              <w:right w:val="double" w:sz="6" w:space="0" w:color="auto"/>
            </w:tcBorders>
            <w:shd w:val="clear" w:color="auto" w:fill="auto"/>
            <w:noWrap/>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18 634</w:t>
            </w:r>
          </w:p>
        </w:tc>
      </w:tr>
      <w:tr w:rsidR="00651C1F" w:rsidRPr="001B6DA7" w:rsidTr="002F5109">
        <w:trPr>
          <w:trHeight w:val="480"/>
        </w:trPr>
        <w:tc>
          <w:tcPr>
            <w:tcW w:w="2600" w:type="dxa"/>
            <w:tcBorders>
              <w:top w:val="nil"/>
              <w:left w:val="double" w:sz="6" w:space="0" w:color="auto"/>
              <w:bottom w:val="nil"/>
              <w:right w:val="single" w:sz="4" w:space="0" w:color="auto"/>
            </w:tcBorders>
            <w:shd w:val="clear" w:color="auto" w:fill="auto"/>
            <w:vAlign w:val="center"/>
            <w:hideMark/>
          </w:tcPr>
          <w:p w:rsidR="00651C1F" w:rsidRPr="001B6DA7" w:rsidRDefault="00651C1F" w:rsidP="002F5109">
            <w:pPr>
              <w:rPr>
                <w:rFonts w:ascii="Arial" w:hAnsi="Arial" w:cs="Arial"/>
                <w:sz w:val="18"/>
                <w:szCs w:val="18"/>
              </w:rPr>
            </w:pPr>
            <w:r w:rsidRPr="001B6DA7">
              <w:rPr>
                <w:rFonts w:ascii="Arial" w:hAnsi="Arial" w:cs="Arial"/>
                <w:sz w:val="18"/>
                <w:szCs w:val="18"/>
              </w:rPr>
              <w:t xml:space="preserve"> - zřízení </w:t>
            </w:r>
            <w:proofErr w:type="spellStart"/>
            <w:r w:rsidRPr="001B6DA7">
              <w:rPr>
                <w:rFonts w:ascii="Arial" w:hAnsi="Arial" w:cs="Arial"/>
                <w:sz w:val="18"/>
                <w:szCs w:val="18"/>
              </w:rPr>
              <w:t>chrán</w:t>
            </w:r>
            <w:proofErr w:type="spellEnd"/>
            <w:r w:rsidRPr="001B6DA7">
              <w:rPr>
                <w:rFonts w:ascii="Arial" w:hAnsi="Arial" w:cs="Arial"/>
                <w:sz w:val="18"/>
                <w:szCs w:val="18"/>
              </w:rPr>
              <w:t xml:space="preserve">. pracovních míst </w:t>
            </w:r>
            <w:r w:rsidRPr="001B6DA7">
              <w:rPr>
                <w:rFonts w:ascii="Arial" w:hAnsi="Arial" w:cs="Arial"/>
                <w:sz w:val="18"/>
                <w:szCs w:val="18"/>
                <w:vertAlign w:val="superscript"/>
              </w:rPr>
              <w:t>2)</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1 864</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1 259</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294</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292</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1 564</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1 099</w:t>
            </w:r>
          </w:p>
        </w:tc>
        <w:tc>
          <w:tcPr>
            <w:tcW w:w="740" w:type="dxa"/>
            <w:tcBorders>
              <w:top w:val="nil"/>
              <w:left w:val="nil"/>
              <w:bottom w:val="nil"/>
              <w:right w:val="single" w:sz="4"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388</w:t>
            </w:r>
          </w:p>
        </w:tc>
        <w:tc>
          <w:tcPr>
            <w:tcW w:w="740" w:type="dxa"/>
            <w:tcBorders>
              <w:top w:val="nil"/>
              <w:left w:val="nil"/>
              <w:bottom w:val="nil"/>
              <w:right w:val="single" w:sz="4"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351</w:t>
            </w:r>
          </w:p>
        </w:tc>
        <w:tc>
          <w:tcPr>
            <w:tcW w:w="960" w:type="dxa"/>
            <w:tcBorders>
              <w:top w:val="nil"/>
              <w:left w:val="nil"/>
              <w:bottom w:val="nil"/>
              <w:right w:val="single" w:sz="4"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12 554</w:t>
            </w:r>
          </w:p>
        </w:tc>
        <w:tc>
          <w:tcPr>
            <w:tcW w:w="960" w:type="dxa"/>
            <w:tcBorders>
              <w:top w:val="nil"/>
              <w:left w:val="nil"/>
              <w:bottom w:val="nil"/>
              <w:right w:val="double" w:sz="6"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15 560</w:t>
            </w:r>
          </w:p>
        </w:tc>
      </w:tr>
      <w:tr w:rsidR="00651C1F" w:rsidRPr="001B6DA7" w:rsidTr="002F5109">
        <w:trPr>
          <w:trHeight w:val="450"/>
        </w:trPr>
        <w:tc>
          <w:tcPr>
            <w:tcW w:w="2600" w:type="dxa"/>
            <w:tcBorders>
              <w:top w:val="nil"/>
              <w:left w:val="double" w:sz="6" w:space="0" w:color="auto"/>
              <w:bottom w:val="nil"/>
              <w:right w:val="single" w:sz="4" w:space="0" w:color="auto"/>
            </w:tcBorders>
            <w:shd w:val="clear" w:color="auto" w:fill="auto"/>
            <w:vAlign w:val="center"/>
            <w:hideMark/>
          </w:tcPr>
          <w:p w:rsidR="00651C1F" w:rsidRPr="001B6DA7" w:rsidRDefault="00651C1F" w:rsidP="002F5109">
            <w:pPr>
              <w:rPr>
                <w:rFonts w:ascii="Arial" w:hAnsi="Arial" w:cs="Arial"/>
                <w:sz w:val="18"/>
                <w:szCs w:val="18"/>
              </w:rPr>
            </w:pPr>
            <w:r w:rsidRPr="001B6DA7">
              <w:rPr>
                <w:rFonts w:ascii="Arial" w:hAnsi="Arial" w:cs="Arial"/>
                <w:sz w:val="18"/>
                <w:szCs w:val="18"/>
              </w:rPr>
              <w:t xml:space="preserve"> - provoz </w:t>
            </w:r>
            <w:proofErr w:type="spellStart"/>
            <w:r w:rsidRPr="001B6DA7">
              <w:rPr>
                <w:rFonts w:ascii="Arial" w:hAnsi="Arial" w:cs="Arial"/>
                <w:sz w:val="18"/>
                <w:szCs w:val="18"/>
              </w:rPr>
              <w:t>chrán</w:t>
            </w:r>
            <w:proofErr w:type="spellEnd"/>
            <w:r w:rsidRPr="001B6DA7">
              <w:rPr>
                <w:rFonts w:ascii="Arial" w:hAnsi="Arial" w:cs="Arial"/>
                <w:sz w:val="18"/>
                <w:szCs w:val="18"/>
              </w:rPr>
              <w:t>. pracovních míst *)</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center"/>
              <w:rPr>
                <w:rFonts w:ascii="Arial" w:hAnsi="Arial" w:cs="Arial"/>
                <w:sz w:val="18"/>
                <w:szCs w:val="18"/>
              </w:rPr>
            </w:pPr>
            <w:r w:rsidRPr="001B6DA7">
              <w:rPr>
                <w:rFonts w:ascii="Arial" w:hAnsi="Arial" w:cs="Arial"/>
                <w:sz w:val="18"/>
                <w:szCs w:val="18"/>
              </w:rPr>
              <w:t>x</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center"/>
              <w:rPr>
                <w:rFonts w:ascii="Arial" w:hAnsi="Arial" w:cs="Arial"/>
                <w:sz w:val="18"/>
                <w:szCs w:val="18"/>
              </w:rPr>
            </w:pPr>
            <w:r w:rsidRPr="001B6DA7">
              <w:rPr>
                <w:rFonts w:ascii="Arial" w:hAnsi="Arial" w:cs="Arial"/>
                <w:sz w:val="18"/>
                <w:szCs w:val="18"/>
              </w:rPr>
              <w:t>x</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center"/>
              <w:rPr>
                <w:rFonts w:ascii="Arial" w:hAnsi="Arial" w:cs="Arial"/>
                <w:sz w:val="18"/>
                <w:szCs w:val="18"/>
              </w:rPr>
            </w:pPr>
            <w:r w:rsidRPr="001B6DA7">
              <w:rPr>
                <w:rFonts w:ascii="Arial" w:hAnsi="Arial" w:cs="Arial"/>
                <w:sz w:val="18"/>
                <w:szCs w:val="18"/>
              </w:rPr>
              <w:t>x</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center"/>
              <w:rPr>
                <w:rFonts w:ascii="Arial" w:hAnsi="Arial" w:cs="Arial"/>
                <w:sz w:val="18"/>
                <w:szCs w:val="18"/>
              </w:rPr>
            </w:pPr>
            <w:r w:rsidRPr="001B6DA7">
              <w:rPr>
                <w:rFonts w:ascii="Arial" w:hAnsi="Arial" w:cs="Arial"/>
                <w:sz w:val="18"/>
                <w:szCs w:val="18"/>
              </w:rPr>
              <w:t>x</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9 274</w:t>
            </w:r>
          </w:p>
        </w:tc>
        <w:tc>
          <w:tcPr>
            <w:tcW w:w="740" w:type="dxa"/>
            <w:tcBorders>
              <w:top w:val="nil"/>
              <w:left w:val="nil"/>
              <w:bottom w:val="nil"/>
              <w:right w:val="single" w:sz="4" w:space="0" w:color="auto"/>
            </w:tcBorders>
            <w:shd w:val="clear" w:color="auto" w:fill="auto"/>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195</w:t>
            </w:r>
          </w:p>
        </w:tc>
        <w:tc>
          <w:tcPr>
            <w:tcW w:w="740" w:type="dxa"/>
            <w:tcBorders>
              <w:top w:val="nil"/>
              <w:left w:val="nil"/>
              <w:bottom w:val="nil"/>
              <w:right w:val="single" w:sz="4"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1 410</w:t>
            </w:r>
          </w:p>
        </w:tc>
        <w:tc>
          <w:tcPr>
            <w:tcW w:w="740" w:type="dxa"/>
            <w:tcBorders>
              <w:top w:val="nil"/>
              <w:left w:val="nil"/>
              <w:bottom w:val="nil"/>
              <w:right w:val="single" w:sz="4"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81</w:t>
            </w:r>
          </w:p>
        </w:tc>
        <w:tc>
          <w:tcPr>
            <w:tcW w:w="960" w:type="dxa"/>
            <w:tcBorders>
              <w:top w:val="nil"/>
              <w:left w:val="nil"/>
              <w:bottom w:val="nil"/>
              <w:right w:val="single" w:sz="4"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78 785</w:t>
            </w:r>
          </w:p>
        </w:tc>
        <w:tc>
          <w:tcPr>
            <w:tcW w:w="960" w:type="dxa"/>
            <w:tcBorders>
              <w:top w:val="nil"/>
              <w:left w:val="nil"/>
              <w:bottom w:val="nil"/>
              <w:right w:val="double" w:sz="6"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1 909</w:t>
            </w:r>
          </w:p>
        </w:tc>
      </w:tr>
      <w:tr w:rsidR="00651C1F" w:rsidRPr="001B6DA7" w:rsidTr="002F5109">
        <w:trPr>
          <w:trHeight w:val="345"/>
        </w:trPr>
        <w:tc>
          <w:tcPr>
            <w:tcW w:w="2600" w:type="dxa"/>
            <w:tcBorders>
              <w:top w:val="nil"/>
              <w:left w:val="double" w:sz="6" w:space="0" w:color="auto"/>
              <w:bottom w:val="single" w:sz="4" w:space="0" w:color="auto"/>
              <w:right w:val="single" w:sz="4" w:space="0" w:color="auto"/>
            </w:tcBorders>
            <w:shd w:val="clear" w:color="auto" w:fill="auto"/>
            <w:vAlign w:val="center"/>
            <w:hideMark/>
          </w:tcPr>
          <w:p w:rsidR="00651C1F" w:rsidRPr="001B6DA7" w:rsidRDefault="00651C1F" w:rsidP="002F5109">
            <w:pPr>
              <w:rPr>
                <w:rFonts w:ascii="Arial" w:hAnsi="Arial" w:cs="Arial"/>
                <w:sz w:val="18"/>
                <w:szCs w:val="18"/>
              </w:rPr>
            </w:pPr>
            <w:r w:rsidRPr="001B6DA7">
              <w:rPr>
                <w:rFonts w:ascii="Arial" w:hAnsi="Arial" w:cs="Arial"/>
                <w:sz w:val="18"/>
                <w:szCs w:val="18"/>
              </w:rPr>
              <w:t xml:space="preserve"> - pracovní rehabilitace</w:t>
            </w:r>
          </w:p>
        </w:tc>
        <w:tc>
          <w:tcPr>
            <w:tcW w:w="740" w:type="dxa"/>
            <w:tcBorders>
              <w:top w:val="nil"/>
              <w:left w:val="nil"/>
              <w:bottom w:val="single" w:sz="4" w:space="0" w:color="auto"/>
              <w:right w:val="single" w:sz="4" w:space="0" w:color="auto"/>
            </w:tcBorders>
            <w:shd w:val="clear" w:color="auto" w:fill="auto"/>
            <w:vAlign w:val="center"/>
            <w:hideMark/>
          </w:tcPr>
          <w:p w:rsidR="00651C1F" w:rsidRPr="001B6DA7" w:rsidRDefault="00651C1F" w:rsidP="002F5109">
            <w:pPr>
              <w:jc w:val="center"/>
              <w:rPr>
                <w:rFonts w:ascii="Arial" w:hAnsi="Arial" w:cs="Arial"/>
                <w:sz w:val="18"/>
                <w:szCs w:val="18"/>
              </w:rPr>
            </w:pPr>
            <w:r w:rsidRPr="001B6DA7">
              <w:rPr>
                <w:rFonts w:ascii="Arial" w:hAnsi="Arial" w:cs="Arial"/>
                <w:sz w:val="18"/>
                <w:szCs w:val="18"/>
              </w:rPr>
              <w:t>x</w:t>
            </w:r>
          </w:p>
        </w:tc>
        <w:tc>
          <w:tcPr>
            <w:tcW w:w="740" w:type="dxa"/>
            <w:tcBorders>
              <w:top w:val="nil"/>
              <w:left w:val="nil"/>
              <w:bottom w:val="single" w:sz="4" w:space="0" w:color="auto"/>
              <w:right w:val="single" w:sz="4" w:space="0" w:color="auto"/>
            </w:tcBorders>
            <w:shd w:val="clear" w:color="auto" w:fill="auto"/>
            <w:vAlign w:val="center"/>
            <w:hideMark/>
          </w:tcPr>
          <w:p w:rsidR="00651C1F" w:rsidRPr="001B6DA7" w:rsidRDefault="00651C1F" w:rsidP="002F5109">
            <w:pPr>
              <w:jc w:val="center"/>
              <w:rPr>
                <w:rFonts w:ascii="Arial" w:hAnsi="Arial" w:cs="Arial"/>
                <w:sz w:val="18"/>
                <w:szCs w:val="18"/>
              </w:rPr>
            </w:pPr>
            <w:r w:rsidRPr="001B6DA7">
              <w:rPr>
                <w:rFonts w:ascii="Arial" w:hAnsi="Arial" w:cs="Arial"/>
                <w:sz w:val="18"/>
                <w:szCs w:val="18"/>
              </w:rPr>
              <w:t>x</w:t>
            </w:r>
          </w:p>
        </w:tc>
        <w:tc>
          <w:tcPr>
            <w:tcW w:w="740" w:type="dxa"/>
            <w:tcBorders>
              <w:top w:val="nil"/>
              <w:left w:val="nil"/>
              <w:bottom w:val="single" w:sz="4" w:space="0" w:color="auto"/>
              <w:right w:val="single" w:sz="4" w:space="0" w:color="auto"/>
            </w:tcBorders>
            <w:shd w:val="clear" w:color="auto" w:fill="auto"/>
            <w:vAlign w:val="center"/>
            <w:hideMark/>
          </w:tcPr>
          <w:p w:rsidR="00651C1F" w:rsidRPr="001B6DA7" w:rsidRDefault="00651C1F" w:rsidP="002F5109">
            <w:pPr>
              <w:jc w:val="center"/>
              <w:rPr>
                <w:rFonts w:ascii="Arial" w:hAnsi="Arial" w:cs="Arial"/>
                <w:sz w:val="18"/>
                <w:szCs w:val="18"/>
              </w:rPr>
            </w:pPr>
            <w:r w:rsidRPr="001B6DA7">
              <w:rPr>
                <w:rFonts w:ascii="Arial" w:hAnsi="Arial" w:cs="Arial"/>
                <w:sz w:val="18"/>
                <w:szCs w:val="18"/>
              </w:rPr>
              <w:t>x</w:t>
            </w:r>
          </w:p>
        </w:tc>
        <w:tc>
          <w:tcPr>
            <w:tcW w:w="740" w:type="dxa"/>
            <w:tcBorders>
              <w:top w:val="nil"/>
              <w:left w:val="nil"/>
              <w:bottom w:val="single" w:sz="4" w:space="0" w:color="auto"/>
              <w:right w:val="single" w:sz="4" w:space="0" w:color="auto"/>
            </w:tcBorders>
            <w:shd w:val="clear" w:color="auto" w:fill="auto"/>
            <w:vAlign w:val="center"/>
            <w:hideMark/>
          </w:tcPr>
          <w:p w:rsidR="00651C1F" w:rsidRPr="001B6DA7" w:rsidRDefault="00651C1F" w:rsidP="002F5109">
            <w:pPr>
              <w:jc w:val="center"/>
              <w:rPr>
                <w:rFonts w:ascii="Arial" w:hAnsi="Arial" w:cs="Arial"/>
                <w:sz w:val="18"/>
                <w:szCs w:val="18"/>
              </w:rPr>
            </w:pPr>
            <w:r w:rsidRPr="001B6DA7">
              <w:rPr>
                <w:rFonts w:ascii="Arial" w:hAnsi="Arial" w:cs="Arial"/>
                <w:sz w:val="18"/>
                <w:szCs w:val="18"/>
              </w:rPr>
              <w:t>x</w:t>
            </w:r>
          </w:p>
        </w:tc>
        <w:tc>
          <w:tcPr>
            <w:tcW w:w="740" w:type="dxa"/>
            <w:tcBorders>
              <w:top w:val="nil"/>
              <w:left w:val="nil"/>
              <w:bottom w:val="single" w:sz="4" w:space="0" w:color="auto"/>
              <w:right w:val="single" w:sz="4" w:space="0" w:color="auto"/>
            </w:tcBorders>
            <w:shd w:val="clear" w:color="auto" w:fill="auto"/>
            <w:vAlign w:val="center"/>
            <w:hideMark/>
          </w:tcPr>
          <w:p w:rsidR="00651C1F" w:rsidRPr="001B6DA7" w:rsidRDefault="00651C1F" w:rsidP="002F5109">
            <w:pPr>
              <w:jc w:val="center"/>
              <w:rPr>
                <w:rFonts w:ascii="Arial" w:hAnsi="Arial" w:cs="Arial"/>
                <w:sz w:val="18"/>
                <w:szCs w:val="18"/>
              </w:rPr>
            </w:pPr>
            <w:r w:rsidRPr="001B6DA7">
              <w:rPr>
                <w:rFonts w:ascii="Arial" w:hAnsi="Arial" w:cs="Arial"/>
                <w:sz w:val="18"/>
                <w:szCs w:val="18"/>
              </w:rPr>
              <w:t>.</w:t>
            </w:r>
          </w:p>
        </w:tc>
        <w:tc>
          <w:tcPr>
            <w:tcW w:w="740" w:type="dxa"/>
            <w:tcBorders>
              <w:top w:val="nil"/>
              <w:left w:val="nil"/>
              <w:bottom w:val="single" w:sz="4" w:space="0" w:color="auto"/>
              <w:right w:val="single" w:sz="4" w:space="0" w:color="auto"/>
            </w:tcBorders>
            <w:shd w:val="clear" w:color="auto" w:fill="auto"/>
            <w:vAlign w:val="center"/>
            <w:hideMark/>
          </w:tcPr>
          <w:p w:rsidR="00651C1F" w:rsidRPr="001B6DA7" w:rsidRDefault="00651C1F" w:rsidP="002F5109">
            <w:pPr>
              <w:jc w:val="center"/>
              <w:rPr>
                <w:rFonts w:ascii="Arial" w:hAnsi="Arial" w:cs="Arial"/>
                <w:sz w:val="18"/>
                <w:szCs w:val="18"/>
              </w:rPr>
            </w:pPr>
            <w:r w:rsidRPr="001B6DA7">
              <w:rPr>
                <w:rFonts w:ascii="Arial" w:hAnsi="Arial" w:cs="Arial"/>
                <w:sz w:val="18"/>
                <w:szCs w:val="18"/>
              </w:rPr>
              <w:t>.</w:t>
            </w:r>
          </w:p>
        </w:tc>
        <w:tc>
          <w:tcPr>
            <w:tcW w:w="740" w:type="dxa"/>
            <w:tcBorders>
              <w:top w:val="nil"/>
              <w:left w:val="nil"/>
              <w:bottom w:val="single" w:sz="4" w:space="0" w:color="auto"/>
              <w:right w:val="single" w:sz="4"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21</w:t>
            </w:r>
          </w:p>
        </w:tc>
        <w:tc>
          <w:tcPr>
            <w:tcW w:w="740" w:type="dxa"/>
            <w:tcBorders>
              <w:top w:val="nil"/>
              <w:left w:val="nil"/>
              <w:bottom w:val="single" w:sz="4" w:space="0" w:color="auto"/>
              <w:right w:val="single" w:sz="4"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26</w:t>
            </w:r>
          </w:p>
        </w:tc>
        <w:tc>
          <w:tcPr>
            <w:tcW w:w="960" w:type="dxa"/>
            <w:tcBorders>
              <w:top w:val="nil"/>
              <w:left w:val="nil"/>
              <w:bottom w:val="single" w:sz="4" w:space="0" w:color="auto"/>
              <w:right w:val="single" w:sz="4"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921</w:t>
            </w:r>
          </w:p>
        </w:tc>
        <w:tc>
          <w:tcPr>
            <w:tcW w:w="960" w:type="dxa"/>
            <w:tcBorders>
              <w:top w:val="nil"/>
              <w:left w:val="nil"/>
              <w:bottom w:val="single" w:sz="4" w:space="0" w:color="auto"/>
              <w:right w:val="double" w:sz="6"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1 165</w:t>
            </w:r>
          </w:p>
        </w:tc>
      </w:tr>
      <w:tr w:rsidR="00651C1F" w:rsidRPr="001B6DA7" w:rsidTr="002F5109">
        <w:trPr>
          <w:trHeight w:val="315"/>
        </w:trPr>
        <w:tc>
          <w:tcPr>
            <w:tcW w:w="2600" w:type="dxa"/>
            <w:tcBorders>
              <w:top w:val="nil"/>
              <w:left w:val="double" w:sz="6" w:space="0" w:color="auto"/>
              <w:bottom w:val="single" w:sz="4" w:space="0" w:color="auto"/>
              <w:right w:val="single" w:sz="4" w:space="0" w:color="auto"/>
            </w:tcBorders>
            <w:shd w:val="clear" w:color="auto" w:fill="auto"/>
            <w:vAlign w:val="center"/>
            <w:hideMark/>
          </w:tcPr>
          <w:p w:rsidR="00651C1F" w:rsidRPr="001B6DA7" w:rsidRDefault="00651C1F" w:rsidP="002F5109">
            <w:pPr>
              <w:rPr>
                <w:rFonts w:ascii="Arial" w:hAnsi="Arial" w:cs="Arial"/>
                <w:b/>
                <w:bCs/>
                <w:sz w:val="18"/>
                <w:szCs w:val="18"/>
              </w:rPr>
            </w:pPr>
            <w:r w:rsidRPr="001B6DA7">
              <w:rPr>
                <w:rFonts w:ascii="Arial" w:hAnsi="Arial" w:cs="Arial"/>
                <w:b/>
                <w:bCs/>
                <w:sz w:val="18"/>
                <w:szCs w:val="18"/>
              </w:rPr>
              <w:t>Cílené programy ESF - OP LZZ</w:t>
            </w:r>
          </w:p>
        </w:tc>
        <w:tc>
          <w:tcPr>
            <w:tcW w:w="740" w:type="dxa"/>
            <w:tcBorders>
              <w:top w:val="nil"/>
              <w:left w:val="nil"/>
              <w:bottom w:val="single" w:sz="4" w:space="0" w:color="auto"/>
              <w:right w:val="single" w:sz="4" w:space="0" w:color="auto"/>
            </w:tcBorders>
            <w:shd w:val="clear" w:color="auto" w:fill="auto"/>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344</w:t>
            </w:r>
          </w:p>
        </w:tc>
        <w:tc>
          <w:tcPr>
            <w:tcW w:w="740" w:type="dxa"/>
            <w:tcBorders>
              <w:top w:val="nil"/>
              <w:left w:val="nil"/>
              <w:bottom w:val="single" w:sz="4" w:space="0" w:color="auto"/>
              <w:right w:val="single" w:sz="4" w:space="0" w:color="auto"/>
            </w:tcBorders>
            <w:shd w:val="clear" w:color="auto" w:fill="auto"/>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751</w:t>
            </w:r>
          </w:p>
        </w:tc>
        <w:tc>
          <w:tcPr>
            <w:tcW w:w="740" w:type="dxa"/>
            <w:tcBorders>
              <w:top w:val="nil"/>
              <w:left w:val="nil"/>
              <w:bottom w:val="single" w:sz="4" w:space="0" w:color="auto"/>
              <w:right w:val="single" w:sz="4" w:space="0" w:color="auto"/>
            </w:tcBorders>
            <w:shd w:val="clear" w:color="auto" w:fill="auto"/>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152</w:t>
            </w:r>
          </w:p>
        </w:tc>
        <w:tc>
          <w:tcPr>
            <w:tcW w:w="740" w:type="dxa"/>
            <w:tcBorders>
              <w:top w:val="nil"/>
              <w:left w:val="nil"/>
              <w:bottom w:val="single" w:sz="4" w:space="0" w:color="auto"/>
              <w:right w:val="single" w:sz="4" w:space="0" w:color="auto"/>
            </w:tcBorders>
            <w:shd w:val="clear" w:color="auto" w:fill="auto"/>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612</w:t>
            </w:r>
          </w:p>
        </w:tc>
        <w:tc>
          <w:tcPr>
            <w:tcW w:w="740" w:type="dxa"/>
            <w:tcBorders>
              <w:top w:val="nil"/>
              <w:left w:val="nil"/>
              <w:bottom w:val="single" w:sz="4" w:space="0" w:color="auto"/>
              <w:right w:val="single" w:sz="4" w:space="0" w:color="auto"/>
            </w:tcBorders>
            <w:shd w:val="clear" w:color="auto" w:fill="auto"/>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385</w:t>
            </w:r>
          </w:p>
        </w:tc>
        <w:tc>
          <w:tcPr>
            <w:tcW w:w="740" w:type="dxa"/>
            <w:tcBorders>
              <w:top w:val="nil"/>
              <w:left w:val="nil"/>
              <w:bottom w:val="single" w:sz="4" w:space="0" w:color="auto"/>
              <w:right w:val="single" w:sz="4" w:space="0" w:color="auto"/>
            </w:tcBorders>
            <w:shd w:val="clear" w:color="auto" w:fill="auto"/>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896</w:t>
            </w:r>
          </w:p>
        </w:tc>
        <w:tc>
          <w:tcPr>
            <w:tcW w:w="740" w:type="dxa"/>
            <w:tcBorders>
              <w:top w:val="nil"/>
              <w:left w:val="nil"/>
              <w:bottom w:val="single" w:sz="4" w:space="0" w:color="auto"/>
              <w:right w:val="single" w:sz="4" w:space="0" w:color="auto"/>
            </w:tcBorders>
            <w:shd w:val="clear" w:color="auto" w:fill="auto"/>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227</w:t>
            </w:r>
          </w:p>
        </w:tc>
        <w:tc>
          <w:tcPr>
            <w:tcW w:w="740" w:type="dxa"/>
            <w:tcBorders>
              <w:top w:val="nil"/>
              <w:left w:val="nil"/>
              <w:bottom w:val="single" w:sz="4" w:space="0" w:color="auto"/>
              <w:right w:val="single" w:sz="4" w:space="0" w:color="auto"/>
            </w:tcBorders>
            <w:shd w:val="clear" w:color="auto" w:fill="auto"/>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714</w:t>
            </w:r>
          </w:p>
        </w:tc>
        <w:tc>
          <w:tcPr>
            <w:tcW w:w="960" w:type="dxa"/>
            <w:tcBorders>
              <w:top w:val="nil"/>
              <w:left w:val="nil"/>
              <w:bottom w:val="single" w:sz="4" w:space="0" w:color="auto"/>
              <w:right w:val="single" w:sz="4" w:space="0" w:color="auto"/>
            </w:tcBorders>
            <w:shd w:val="clear" w:color="auto" w:fill="auto"/>
            <w:noWrap/>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359 682</w:t>
            </w:r>
          </w:p>
        </w:tc>
        <w:tc>
          <w:tcPr>
            <w:tcW w:w="960" w:type="dxa"/>
            <w:tcBorders>
              <w:top w:val="nil"/>
              <w:left w:val="nil"/>
              <w:bottom w:val="single" w:sz="4" w:space="0" w:color="auto"/>
              <w:right w:val="double" w:sz="6" w:space="0" w:color="auto"/>
            </w:tcBorders>
            <w:shd w:val="clear" w:color="auto" w:fill="auto"/>
            <w:noWrap/>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269 493</w:t>
            </w:r>
          </w:p>
        </w:tc>
      </w:tr>
      <w:tr w:rsidR="00651C1F" w:rsidRPr="001B6DA7" w:rsidTr="002F5109">
        <w:trPr>
          <w:trHeight w:val="315"/>
        </w:trPr>
        <w:tc>
          <w:tcPr>
            <w:tcW w:w="8520" w:type="dxa"/>
            <w:gridSpan w:val="9"/>
            <w:tcBorders>
              <w:top w:val="single" w:sz="4" w:space="0" w:color="auto"/>
              <w:left w:val="double" w:sz="6" w:space="0" w:color="auto"/>
              <w:bottom w:val="single" w:sz="4" w:space="0" w:color="auto"/>
              <w:right w:val="single" w:sz="4" w:space="0" w:color="000000"/>
            </w:tcBorders>
            <w:shd w:val="clear" w:color="auto" w:fill="auto"/>
            <w:vAlign w:val="center"/>
            <w:hideMark/>
          </w:tcPr>
          <w:p w:rsidR="00651C1F" w:rsidRPr="001B6DA7" w:rsidRDefault="00651C1F" w:rsidP="002F5109">
            <w:pPr>
              <w:rPr>
                <w:rFonts w:ascii="Arial" w:hAnsi="Arial" w:cs="Arial"/>
                <w:b/>
                <w:bCs/>
                <w:sz w:val="18"/>
                <w:szCs w:val="18"/>
              </w:rPr>
            </w:pPr>
            <w:r w:rsidRPr="001B6DA7">
              <w:rPr>
                <w:rFonts w:ascii="Arial" w:hAnsi="Arial" w:cs="Arial"/>
                <w:b/>
                <w:bCs/>
                <w:sz w:val="18"/>
                <w:szCs w:val="18"/>
              </w:rPr>
              <w:t>Ostatní podpora zaměstnanosti</w:t>
            </w:r>
          </w:p>
        </w:tc>
        <w:tc>
          <w:tcPr>
            <w:tcW w:w="960" w:type="dxa"/>
            <w:tcBorders>
              <w:top w:val="nil"/>
              <w:left w:val="nil"/>
              <w:bottom w:val="single" w:sz="4" w:space="0" w:color="auto"/>
              <w:right w:val="single" w:sz="4" w:space="0" w:color="auto"/>
            </w:tcBorders>
            <w:shd w:val="clear" w:color="auto" w:fill="auto"/>
            <w:noWrap/>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184 017</w:t>
            </w:r>
          </w:p>
        </w:tc>
        <w:tc>
          <w:tcPr>
            <w:tcW w:w="960" w:type="dxa"/>
            <w:tcBorders>
              <w:top w:val="nil"/>
              <w:left w:val="nil"/>
              <w:bottom w:val="single" w:sz="4" w:space="0" w:color="auto"/>
              <w:right w:val="double" w:sz="6" w:space="0" w:color="auto"/>
            </w:tcBorders>
            <w:shd w:val="clear" w:color="auto" w:fill="auto"/>
            <w:noWrap/>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263 492</w:t>
            </w:r>
          </w:p>
        </w:tc>
      </w:tr>
      <w:tr w:rsidR="00651C1F" w:rsidRPr="001B6DA7" w:rsidTr="002F5109">
        <w:trPr>
          <w:trHeight w:val="285"/>
        </w:trPr>
        <w:tc>
          <w:tcPr>
            <w:tcW w:w="8520" w:type="dxa"/>
            <w:gridSpan w:val="9"/>
            <w:tcBorders>
              <w:top w:val="single" w:sz="4" w:space="0" w:color="auto"/>
              <w:left w:val="double" w:sz="6" w:space="0" w:color="auto"/>
              <w:bottom w:val="nil"/>
              <w:right w:val="single" w:sz="4" w:space="0" w:color="000000"/>
            </w:tcBorders>
            <w:shd w:val="clear" w:color="auto" w:fill="auto"/>
            <w:vAlign w:val="center"/>
            <w:hideMark/>
          </w:tcPr>
          <w:p w:rsidR="00651C1F" w:rsidRPr="001B6DA7" w:rsidRDefault="00651C1F" w:rsidP="002F5109">
            <w:pPr>
              <w:rPr>
                <w:rFonts w:ascii="Arial" w:hAnsi="Arial" w:cs="Arial"/>
                <w:sz w:val="18"/>
                <w:szCs w:val="18"/>
              </w:rPr>
            </w:pPr>
            <w:r w:rsidRPr="001B6DA7">
              <w:rPr>
                <w:rFonts w:ascii="Arial" w:hAnsi="Arial" w:cs="Arial"/>
                <w:sz w:val="18"/>
                <w:szCs w:val="18"/>
              </w:rPr>
              <w:t xml:space="preserve"> - programy pro podporu tvorby nových </w:t>
            </w:r>
            <w:proofErr w:type="spellStart"/>
            <w:r w:rsidRPr="001B6DA7">
              <w:rPr>
                <w:rFonts w:ascii="Arial" w:hAnsi="Arial" w:cs="Arial"/>
                <w:sz w:val="18"/>
                <w:szCs w:val="18"/>
              </w:rPr>
              <w:t>prac</w:t>
            </w:r>
            <w:proofErr w:type="spellEnd"/>
            <w:r w:rsidRPr="001B6DA7">
              <w:rPr>
                <w:rFonts w:ascii="Arial" w:hAnsi="Arial" w:cs="Arial"/>
                <w:sz w:val="18"/>
                <w:szCs w:val="18"/>
              </w:rPr>
              <w:t>. míst (vč. investičních pobídek)</w:t>
            </w:r>
          </w:p>
        </w:tc>
        <w:tc>
          <w:tcPr>
            <w:tcW w:w="960" w:type="dxa"/>
            <w:tcBorders>
              <w:top w:val="nil"/>
              <w:left w:val="nil"/>
              <w:bottom w:val="nil"/>
              <w:right w:val="single" w:sz="4"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63 985</w:t>
            </w:r>
          </w:p>
        </w:tc>
        <w:tc>
          <w:tcPr>
            <w:tcW w:w="960" w:type="dxa"/>
            <w:tcBorders>
              <w:top w:val="nil"/>
              <w:left w:val="nil"/>
              <w:bottom w:val="nil"/>
              <w:right w:val="double" w:sz="6"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757</w:t>
            </w:r>
          </w:p>
        </w:tc>
      </w:tr>
      <w:tr w:rsidR="00651C1F" w:rsidRPr="001B6DA7" w:rsidTr="002F5109">
        <w:trPr>
          <w:trHeight w:val="540"/>
        </w:trPr>
        <w:tc>
          <w:tcPr>
            <w:tcW w:w="8520" w:type="dxa"/>
            <w:gridSpan w:val="9"/>
            <w:tcBorders>
              <w:top w:val="nil"/>
              <w:left w:val="double" w:sz="6" w:space="0" w:color="auto"/>
              <w:bottom w:val="single" w:sz="4" w:space="0" w:color="auto"/>
              <w:right w:val="single" w:sz="4" w:space="0" w:color="000000"/>
            </w:tcBorders>
            <w:shd w:val="clear" w:color="auto" w:fill="auto"/>
            <w:vAlign w:val="center"/>
            <w:hideMark/>
          </w:tcPr>
          <w:p w:rsidR="00651C1F" w:rsidRPr="001B6DA7" w:rsidRDefault="00651C1F" w:rsidP="002F5109">
            <w:pPr>
              <w:rPr>
                <w:rFonts w:ascii="Arial" w:hAnsi="Arial" w:cs="Arial"/>
                <w:sz w:val="18"/>
                <w:szCs w:val="18"/>
              </w:rPr>
            </w:pPr>
            <w:r w:rsidRPr="001B6DA7">
              <w:rPr>
                <w:rFonts w:ascii="Arial" w:hAnsi="Arial" w:cs="Arial"/>
                <w:sz w:val="18"/>
                <w:szCs w:val="18"/>
              </w:rPr>
              <w:t xml:space="preserve"> - ESF OP LZZ ostatní (SIP </w:t>
            </w:r>
            <w:proofErr w:type="spellStart"/>
            <w:r w:rsidRPr="001B6DA7">
              <w:rPr>
                <w:rFonts w:ascii="Arial" w:hAnsi="Arial" w:cs="Arial"/>
                <w:sz w:val="18"/>
                <w:szCs w:val="18"/>
              </w:rPr>
              <w:t>SeZam</w:t>
            </w:r>
            <w:proofErr w:type="spellEnd"/>
            <w:r w:rsidRPr="001B6DA7">
              <w:rPr>
                <w:rFonts w:ascii="Arial" w:hAnsi="Arial" w:cs="Arial"/>
                <w:sz w:val="18"/>
                <w:szCs w:val="18"/>
              </w:rPr>
              <w:t>, SIP Real APZ, V</w:t>
            </w:r>
            <w:r>
              <w:rPr>
                <w:rFonts w:ascii="Arial" w:hAnsi="Arial" w:cs="Arial"/>
                <w:sz w:val="18"/>
                <w:szCs w:val="18"/>
              </w:rPr>
              <w:t xml:space="preserve">zdělávejte se!, VS pro růst!, v </w:t>
            </w:r>
            <w:r w:rsidRPr="001B6DA7">
              <w:rPr>
                <w:rFonts w:ascii="Arial" w:hAnsi="Arial" w:cs="Arial"/>
                <w:sz w:val="18"/>
                <w:szCs w:val="18"/>
              </w:rPr>
              <w:t>1.</w:t>
            </w:r>
            <w:r>
              <w:rPr>
                <w:rFonts w:ascii="Arial" w:hAnsi="Arial" w:cs="Arial"/>
                <w:sz w:val="18"/>
                <w:szCs w:val="18"/>
              </w:rPr>
              <w:t xml:space="preserve"> </w:t>
            </w:r>
            <w:r w:rsidRPr="001B6DA7">
              <w:rPr>
                <w:rFonts w:ascii="Arial" w:hAnsi="Arial" w:cs="Arial"/>
                <w:sz w:val="18"/>
                <w:szCs w:val="18"/>
              </w:rPr>
              <w:t>pol.</w:t>
            </w:r>
            <w:r>
              <w:rPr>
                <w:rFonts w:ascii="Arial" w:hAnsi="Arial" w:cs="Arial"/>
                <w:sz w:val="18"/>
                <w:szCs w:val="18"/>
              </w:rPr>
              <w:t xml:space="preserve"> </w:t>
            </w:r>
            <w:r w:rsidRPr="001B6DA7">
              <w:rPr>
                <w:rFonts w:ascii="Arial" w:hAnsi="Arial" w:cs="Arial"/>
                <w:sz w:val="18"/>
                <w:szCs w:val="18"/>
              </w:rPr>
              <w:t xml:space="preserve">2013 také VS pro stabilitu, Call centrum ÚP ČR a MIKOP) </w:t>
            </w:r>
          </w:p>
        </w:tc>
        <w:tc>
          <w:tcPr>
            <w:tcW w:w="960" w:type="dxa"/>
            <w:tcBorders>
              <w:top w:val="nil"/>
              <w:left w:val="nil"/>
              <w:bottom w:val="single" w:sz="4" w:space="0" w:color="auto"/>
              <w:right w:val="single" w:sz="4"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120 031</w:t>
            </w:r>
          </w:p>
        </w:tc>
        <w:tc>
          <w:tcPr>
            <w:tcW w:w="960" w:type="dxa"/>
            <w:tcBorders>
              <w:top w:val="nil"/>
              <w:left w:val="nil"/>
              <w:bottom w:val="single" w:sz="4" w:space="0" w:color="auto"/>
              <w:right w:val="double" w:sz="6"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262 735</w:t>
            </w:r>
          </w:p>
        </w:tc>
      </w:tr>
      <w:tr w:rsidR="00651C1F" w:rsidRPr="001B6DA7" w:rsidTr="002F5109">
        <w:trPr>
          <w:trHeight w:val="300"/>
        </w:trPr>
        <w:tc>
          <w:tcPr>
            <w:tcW w:w="8520" w:type="dxa"/>
            <w:gridSpan w:val="9"/>
            <w:tcBorders>
              <w:top w:val="single" w:sz="4" w:space="0" w:color="auto"/>
              <w:left w:val="double" w:sz="6" w:space="0" w:color="auto"/>
              <w:bottom w:val="single" w:sz="8" w:space="0" w:color="auto"/>
              <w:right w:val="single" w:sz="4" w:space="0" w:color="000000"/>
            </w:tcBorders>
            <w:shd w:val="clear" w:color="auto" w:fill="auto"/>
            <w:vAlign w:val="center"/>
            <w:hideMark/>
          </w:tcPr>
          <w:p w:rsidR="00651C1F" w:rsidRPr="001B6DA7" w:rsidRDefault="00651C1F" w:rsidP="002F5109">
            <w:pPr>
              <w:rPr>
                <w:rFonts w:ascii="Arial" w:hAnsi="Arial" w:cs="Arial"/>
                <w:b/>
                <w:bCs/>
                <w:sz w:val="18"/>
                <w:szCs w:val="18"/>
              </w:rPr>
            </w:pPr>
            <w:r w:rsidRPr="001B6DA7">
              <w:rPr>
                <w:rFonts w:ascii="Arial" w:hAnsi="Arial" w:cs="Arial"/>
                <w:b/>
                <w:bCs/>
                <w:sz w:val="18"/>
                <w:szCs w:val="18"/>
              </w:rPr>
              <w:t>Ostatní</w:t>
            </w:r>
            <w:r w:rsidRPr="001B6DA7">
              <w:rPr>
                <w:rFonts w:ascii="Arial" w:hAnsi="Arial" w:cs="Arial"/>
                <w:sz w:val="18"/>
                <w:szCs w:val="18"/>
              </w:rPr>
              <w:t xml:space="preserve"> </w:t>
            </w:r>
            <w:r w:rsidRPr="001B6DA7">
              <w:rPr>
                <w:rFonts w:ascii="Arial" w:hAnsi="Arial" w:cs="Arial"/>
                <w:sz w:val="18"/>
                <w:szCs w:val="18"/>
                <w:vertAlign w:val="superscript"/>
              </w:rPr>
              <w:t>3)</w:t>
            </w:r>
          </w:p>
        </w:tc>
        <w:tc>
          <w:tcPr>
            <w:tcW w:w="960" w:type="dxa"/>
            <w:tcBorders>
              <w:top w:val="nil"/>
              <w:left w:val="nil"/>
              <w:bottom w:val="single" w:sz="8" w:space="0" w:color="auto"/>
              <w:right w:val="single" w:sz="4" w:space="0" w:color="auto"/>
            </w:tcBorders>
            <w:shd w:val="clear" w:color="auto" w:fill="auto"/>
            <w:noWrap/>
            <w:vAlign w:val="center"/>
            <w:hideMark/>
          </w:tcPr>
          <w:p w:rsidR="00651C1F" w:rsidRPr="001B6DA7" w:rsidRDefault="00651C1F" w:rsidP="002F5109">
            <w:pPr>
              <w:jc w:val="right"/>
              <w:rPr>
                <w:rFonts w:ascii="Arial" w:hAnsi="Arial" w:cs="Arial"/>
                <w:b/>
                <w:bCs/>
                <w:sz w:val="18"/>
                <w:szCs w:val="18"/>
              </w:rPr>
            </w:pPr>
            <w:r>
              <w:rPr>
                <w:rFonts w:ascii="Arial" w:hAnsi="Arial" w:cs="Arial"/>
                <w:b/>
                <w:bCs/>
                <w:sz w:val="18"/>
                <w:szCs w:val="18"/>
              </w:rPr>
              <w:t>2</w:t>
            </w:r>
            <w:r w:rsidRPr="001B6DA7">
              <w:rPr>
                <w:rFonts w:ascii="Arial" w:hAnsi="Arial" w:cs="Arial"/>
                <w:b/>
                <w:bCs/>
                <w:sz w:val="18"/>
                <w:szCs w:val="18"/>
              </w:rPr>
              <w:t xml:space="preserve"> </w:t>
            </w:r>
            <w:r>
              <w:rPr>
                <w:rFonts w:ascii="Arial" w:hAnsi="Arial" w:cs="Arial"/>
                <w:b/>
                <w:bCs/>
                <w:sz w:val="18"/>
                <w:szCs w:val="18"/>
              </w:rPr>
              <w:t>209</w:t>
            </w:r>
          </w:p>
        </w:tc>
        <w:tc>
          <w:tcPr>
            <w:tcW w:w="960" w:type="dxa"/>
            <w:tcBorders>
              <w:top w:val="nil"/>
              <w:left w:val="nil"/>
              <w:bottom w:val="single" w:sz="8" w:space="0" w:color="auto"/>
              <w:right w:val="double" w:sz="6" w:space="0" w:color="auto"/>
            </w:tcBorders>
            <w:shd w:val="clear" w:color="auto" w:fill="auto"/>
            <w:noWrap/>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2 941</w:t>
            </w:r>
          </w:p>
        </w:tc>
      </w:tr>
      <w:tr w:rsidR="00651C1F" w:rsidRPr="001B6DA7" w:rsidTr="002F5109">
        <w:trPr>
          <w:trHeight w:val="330"/>
        </w:trPr>
        <w:tc>
          <w:tcPr>
            <w:tcW w:w="8520" w:type="dxa"/>
            <w:gridSpan w:val="9"/>
            <w:tcBorders>
              <w:top w:val="nil"/>
              <w:left w:val="double" w:sz="6" w:space="0" w:color="auto"/>
              <w:bottom w:val="double" w:sz="6" w:space="0" w:color="auto"/>
              <w:right w:val="single" w:sz="4" w:space="0" w:color="000000"/>
            </w:tcBorders>
            <w:shd w:val="clear" w:color="000000" w:fill="D9D9D9"/>
            <w:noWrap/>
            <w:vAlign w:val="center"/>
            <w:hideMark/>
          </w:tcPr>
          <w:p w:rsidR="00651C1F" w:rsidRPr="001B6DA7" w:rsidRDefault="00651C1F" w:rsidP="002F5109">
            <w:pPr>
              <w:rPr>
                <w:rFonts w:ascii="Arial" w:hAnsi="Arial" w:cs="Arial"/>
                <w:b/>
                <w:bCs/>
                <w:sz w:val="18"/>
                <w:szCs w:val="18"/>
              </w:rPr>
            </w:pPr>
            <w:r w:rsidRPr="001B6DA7">
              <w:rPr>
                <w:rFonts w:ascii="Arial" w:hAnsi="Arial" w:cs="Arial"/>
                <w:b/>
                <w:bCs/>
                <w:sz w:val="18"/>
                <w:szCs w:val="18"/>
              </w:rPr>
              <w:t>Aktivní politika čerpaná na ÚP</w:t>
            </w:r>
            <w:r>
              <w:rPr>
                <w:rFonts w:ascii="Arial" w:hAnsi="Arial" w:cs="Arial"/>
                <w:b/>
                <w:bCs/>
                <w:sz w:val="18"/>
                <w:szCs w:val="18"/>
              </w:rPr>
              <w:t xml:space="preserve"> ČR</w:t>
            </w:r>
          </w:p>
        </w:tc>
        <w:tc>
          <w:tcPr>
            <w:tcW w:w="960" w:type="dxa"/>
            <w:tcBorders>
              <w:top w:val="nil"/>
              <w:left w:val="nil"/>
              <w:bottom w:val="double" w:sz="6" w:space="0" w:color="auto"/>
              <w:right w:val="single" w:sz="4" w:space="0" w:color="auto"/>
            </w:tcBorders>
            <w:shd w:val="clear" w:color="000000" w:fill="D9D9D9"/>
            <w:noWrap/>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 xml:space="preserve">1 080 </w:t>
            </w:r>
            <w:r>
              <w:rPr>
                <w:rFonts w:ascii="Arial" w:hAnsi="Arial" w:cs="Arial"/>
                <w:b/>
                <w:bCs/>
                <w:sz w:val="18"/>
                <w:szCs w:val="18"/>
              </w:rPr>
              <w:t>961</w:t>
            </w:r>
          </w:p>
        </w:tc>
        <w:tc>
          <w:tcPr>
            <w:tcW w:w="960" w:type="dxa"/>
            <w:tcBorders>
              <w:top w:val="nil"/>
              <w:left w:val="nil"/>
              <w:bottom w:val="double" w:sz="6" w:space="0" w:color="auto"/>
              <w:right w:val="double" w:sz="6" w:space="0" w:color="auto"/>
            </w:tcBorders>
            <w:shd w:val="clear" w:color="000000" w:fill="D9D9D9"/>
            <w:noWrap/>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1 460 394</w:t>
            </w:r>
          </w:p>
        </w:tc>
      </w:tr>
      <w:tr w:rsidR="00651C1F" w:rsidRPr="001B6DA7" w:rsidTr="002F5109">
        <w:trPr>
          <w:trHeight w:val="285"/>
        </w:trPr>
        <w:tc>
          <w:tcPr>
            <w:tcW w:w="8520" w:type="dxa"/>
            <w:gridSpan w:val="9"/>
            <w:tcBorders>
              <w:top w:val="double" w:sz="6" w:space="0" w:color="auto"/>
              <w:left w:val="double" w:sz="6" w:space="0" w:color="auto"/>
              <w:bottom w:val="single" w:sz="4" w:space="0" w:color="auto"/>
              <w:right w:val="single" w:sz="4" w:space="0" w:color="000000"/>
            </w:tcBorders>
            <w:shd w:val="clear" w:color="auto" w:fill="auto"/>
            <w:noWrap/>
            <w:vAlign w:val="center"/>
            <w:hideMark/>
          </w:tcPr>
          <w:p w:rsidR="00651C1F" w:rsidRPr="001B6DA7" w:rsidRDefault="00651C1F" w:rsidP="002F5109">
            <w:pPr>
              <w:rPr>
                <w:rFonts w:ascii="Arial" w:hAnsi="Arial" w:cs="Arial"/>
                <w:sz w:val="18"/>
                <w:szCs w:val="18"/>
              </w:rPr>
            </w:pPr>
            <w:r w:rsidRPr="001B6DA7">
              <w:rPr>
                <w:rFonts w:ascii="Arial" w:hAnsi="Arial" w:cs="Arial"/>
                <w:sz w:val="18"/>
                <w:szCs w:val="18"/>
              </w:rPr>
              <w:t xml:space="preserve"> - investiční pobídky</w:t>
            </w:r>
          </w:p>
        </w:tc>
        <w:tc>
          <w:tcPr>
            <w:tcW w:w="960" w:type="dxa"/>
            <w:tcBorders>
              <w:top w:val="nil"/>
              <w:left w:val="nil"/>
              <w:bottom w:val="single" w:sz="4" w:space="0" w:color="auto"/>
              <w:right w:val="single" w:sz="4"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0</w:t>
            </w:r>
          </w:p>
        </w:tc>
        <w:tc>
          <w:tcPr>
            <w:tcW w:w="960" w:type="dxa"/>
            <w:tcBorders>
              <w:top w:val="nil"/>
              <w:left w:val="nil"/>
              <w:bottom w:val="single" w:sz="4" w:space="0" w:color="auto"/>
              <w:right w:val="double" w:sz="6"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0</w:t>
            </w:r>
          </w:p>
        </w:tc>
      </w:tr>
      <w:tr w:rsidR="00651C1F" w:rsidRPr="001B6DA7" w:rsidTr="002F5109">
        <w:trPr>
          <w:trHeight w:val="285"/>
        </w:trPr>
        <w:tc>
          <w:tcPr>
            <w:tcW w:w="8520" w:type="dxa"/>
            <w:gridSpan w:val="9"/>
            <w:tcBorders>
              <w:top w:val="single" w:sz="4" w:space="0" w:color="auto"/>
              <w:left w:val="double" w:sz="6" w:space="0" w:color="auto"/>
              <w:bottom w:val="single" w:sz="4" w:space="0" w:color="auto"/>
              <w:right w:val="single" w:sz="4" w:space="0" w:color="000000"/>
            </w:tcBorders>
            <w:shd w:val="clear" w:color="auto" w:fill="auto"/>
            <w:noWrap/>
            <w:vAlign w:val="center"/>
            <w:hideMark/>
          </w:tcPr>
          <w:p w:rsidR="00651C1F" w:rsidRPr="001B6DA7" w:rsidRDefault="00651C1F" w:rsidP="002F5109">
            <w:pPr>
              <w:rPr>
                <w:rFonts w:ascii="Arial" w:hAnsi="Arial" w:cs="Arial"/>
                <w:sz w:val="18"/>
                <w:szCs w:val="18"/>
              </w:rPr>
            </w:pPr>
            <w:r w:rsidRPr="001B6DA7">
              <w:rPr>
                <w:rFonts w:ascii="Arial" w:hAnsi="Arial" w:cs="Arial"/>
                <w:sz w:val="18"/>
                <w:szCs w:val="18"/>
              </w:rPr>
              <w:t xml:space="preserve"> - APZ  OP LZZ</w:t>
            </w:r>
          </w:p>
        </w:tc>
        <w:tc>
          <w:tcPr>
            <w:tcW w:w="960" w:type="dxa"/>
            <w:tcBorders>
              <w:top w:val="nil"/>
              <w:left w:val="nil"/>
              <w:bottom w:val="single" w:sz="4" w:space="0" w:color="auto"/>
              <w:right w:val="single" w:sz="4"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Pr>
                <w:rFonts w:ascii="Arial" w:hAnsi="Arial" w:cs="Arial"/>
                <w:sz w:val="18"/>
                <w:szCs w:val="18"/>
              </w:rPr>
              <w:t>25 661</w:t>
            </w:r>
          </w:p>
        </w:tc>
        <w:tc>
          <w:tcPr>
            <w:tcW w:w="960" w:type="dxa"/>
            <w:tcBorders>
              <w:top w:val="nil"/>
              <w:left w:val="nil"/>
              <w:bottom w:val="single" w:sz="4" w:space="0" w:color="auto"/>
              <w:right w:val="double" w:sz="6"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8 542</w:t>
            </w:r>
          </w:p>
        </w:tc>
      </w:tr>
      <w:tr w:rsidR="00651C1F" w:rsidRPr="001B6DA7" w:rsidTr="002F5109">
        <w:trPr>
          <w:trHeight w:val="285"/>
        </w:trPr>
        <w:tc>
          <w:tcPr>
            <w:tcW w:w="8520" w:type="dxa"/>
            <w:gridSpan w:val="9"/>
            <w:tcBorders>
              <w:top w:val="single" w:sz="4" w:space="0" w:color="auto"/>
              <w:left w:val="double" w:sz="6" w:space="0" w:color="auto"/>
              <w:bottom w:val="single" w:sz="8" w:space="0" w:color="auto"/>
              <w:right w:val="single" w:sz="4" w:space="0" w:color="000000"/>
            </w:tcBorders>
            <w:shd w:val="clear" w:color="auto" w:fill="auto"/>
            <w:noWrap/>
            <w:vAlign w:val="center"/>
            <w:hideMark/>
          </w:tcPr>
          <w:p w:rsidR="00651C1F" w:rsidRPr="001E4A1F" w:rsidRDefault="00651C1F" w:rsidP="002F5109">
            <w:pPr>
              <w:rPr>
                <w:rFonts w:ascii="Arial" w:hAnsi="Arial" w:cs="Arial"/>
                <w:sz w:val="18"/>
                <w:szCs w:val="18"/>
              </w:rPr>
            </w:pPr>
            <w:r w:rsidRPr="001B6DA7">
              <w:rPr>
                <w:rFonts w:ascii="Arial" w:hAnsi="Arial" w:cs="Arial"/>
                <w:sz w:val="18"/>
                <w:szCs w:val="18"/>
              </w:rPr>
              <w:t xml:space="preserve"> - ostatní </w:t>
            </w:r>
            <w:r w:rsidRPr="001B6DA7">
              <w:rPr>
                <w:rFonts w:ascii="Arial" w:hAnsi="Arial" w:cs="Arial"/>
                <w:sz w:val="18"/>
                <w:szCs w:val="18"/>
                <w:vertAlign w:val="superscript"/>
              </w:rPr>
              <w:t>3)</w:t>
            </w:r>
            <w:r w:rsidRPr="001E4A1F">
              <w:rPr>
                <w:rFonts w:ascii="Arial" w:hAnsi="Arial" w:cs="Arial"/>
                <w:sz w:val="18"/>
                <w:szCs w:val="18"/>
                <w:vertAlign w:val="superscript"/>
              </w:rPr>
              <w:t xml:space="preserve"> </w:t>
            </w:r>
          </w:p>
        </w:tc>
        <w:tc>
          <w:tcPr>
            <w:tcW w:w="960" w:type="dxa"/>
            <w:tcBorders>
              <w:top w:val="nil"/>
              <w:left w:val="nil"/>
              <w:bottom w:val="single" w:sz="8" w:space="0" w:color="auto"/>
              <w:right w:val="single" w:sz="4"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9 756</w:t>
            </w:r>
          </w:p>
        </w:tc>
        <w:tc>
          <w:tcPr>
            <w:tcW w:w="960" w:type="dxa"/>
            <w:tcBorders>
              <w:top w:val="nil"/>
              <w:left w:val="nil"/>
              <w:bottom w:val="single" w:sz="8" w:space="0" w:color="auto"/>
              <w:right w:val="double" w:sz="6"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6 293</w:t>
            </w:r>
          </w:p>
        </w:tc>
      </w:tr>
      <w:tr w:rsidR="00651C1F" w:rsidRPr="001B6DA7" w:rsidTr="002F5109">
        <w:trPr>
          <w:trHeight w:val="315"/>
        </w:trPr>
        <w:tc>
          <w:tcPr>
            <w:tcW w:w="8520" w:type="dxa"/>
            <w:gridSpan w:val="9"/>
            <w:tcBorders>
              <w:top w:val="nil"/>
              <w:left w:val="double" w:sz="6" w:space="0" w:color="auto"/>
              <w:bottom w:val="single" w:sz="4" w:space="0" w:color="auto"/>
              <w:right w:val="single" w:sz="4" w:space="0" w:color="000000"/>
            </w:tcBorders>
            <w:shd w:val="clear" w:color="000000" w:fill="D9D9D9"/>
            <w:noWrap/>
            <w:vAlign w:val="center"/>
            <w:hideMark/>
          </w:tcPr>
          <w:p w:rsidR="00651C1F" w:rsidRPr="001B6DA7" w:rsidRDefault="00651C1F" w:rsidP="002F5109">
            <w:pPr>
              <w:rPr>
                <w:rFonts w:ascii="Arial" w:hAnsi="Arial" w:cs="Arial"/>
                <w:b/>
                <w:bCs/>
                <w:sz w:val="18"/>
                <w:szCs w:val="18"/>
              </w:rPr>
            </w:pPr>
            <w:r w:rsidRPr="001B6DA7">
              <w:rPr>
                <w:rFonts w:ascii="Arial" w:hAnsi="Arial" w:cs="Arial"/>
                <w:b/>
                <w:bCs/>
                <w:sz w:val="18"/>
                <w:szCs w:val="18"/>
              </w:rPr>
              <w:t>Aktivní politika čerpaná na MPSV</w:t>
            </w:r>
          </w:p>
        </w:tc>
        <w:tc>
          <w:tcPr>
            <w:tcW w:w="960" w:type="dxa"/>
            <w:tcBorders>
              <w:top w:val="nil"/>
              <w:left w:val="nil"/>
              <w:bottom w:val="nil"/>
              <w:right w:val="single" w:sz="4" w:space="0" w:color="auto"/>
            </w:tcBorders>
            <w:shd w:val="clear" w:color="000000" w:fill="D9D9D9"/>
            <w:noWrap/>
            <w:vAlign w:val="center"/>
            <w:hideMark/>
          </w:tcPr>
          <w:p w:rsidR="00651C1F" w:rsidRPr="001B6DA7" w:rsidRDefault="00651C1F" w:rsidP="002F5109">
            <w:pPr>
              <w:jc w:val="right"/>
              <w:rPr>
                <w:rFonts w:ascii="Arial" w:hAnsi="Arial" w:cs="Arial"/>
                <w:b/>
                <w:bCs/>
                <w:sz w:val="18"/>
                <w:szCs w:val="18"/>
              </w:rPr>
            </w:pPr>
            <w:r>
              <w:rPr>
                <w:rFonts w:ascii="Arial" w:hAnsi="Arial" w:cs="Arial"/>
                <w:b/>
                <w:bCs/>
                <w:sz w:val="18"/>
                <w:szCs w:val="18"/>
              </w:rPr>
              <w:t>35</w:t>
            </w:r>
            <w:r w:rsidRPr="001B6DA7">
              <w:rPr>
                <w:rFonts w:ascii="Arial" w:hAnsi="Arial" w:cs="Arial"/>
                <w:b/>
                <w:bCs/>
                <w:sz w:val="18"/>
                <w:szCs w:val="18"/>
              </w:rPr>
              <w:t xml:space="preserve"> </w:t>
            </w:r>
            <w:r>
              <w:rPr>
                <w:rFonts w:ascii="Arial" w:hAnsi="Arial" w:cs="Arial"/>
                <w:b/>
                <w:bCs/>
                <w:sz w:val="18"/>
                <w:szCs w:val="18"/>
              </w:rPr>
              <w:t>41</w:t>
            </w:r>
            <w:r w:rsidRPr="001B6DA7">
              <w:rPr>
                <w:rFonts w:ascii="Arial" w:hAnsi="Arial" w:cs="Arial"/>
                <w:b/>
                <w:bCs/>
                <w:sz w:val="18"/>
                <w:szCs w:val="18"/>
              </w:rPr>
              <w:t>7</w:t>
            </w:r>
          </w:p>
        </w:tc>
        <w:tc>
          <w:tcPr>
            <w:tcW w:w="960" w:type="dxa"/>
            <w:tcBorders>
              <w:top w:val="nil"/>
              <w:left w:val="nil"/>
              <w:bottom w:val="nil"/>
              <w:right w:val="double" w:sz="6" w:space="0" w:color="auto"/>
            </w:tcBorders>
            <w:shd w:val="clear" w:color="000000" w:fill="D9D9D9"/>
            <w:noWrap/>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14 835</w:t>
            </w:r>
          </w:p>
        </w:tc>
      </w:tr>
      <w:tr w:rsidR="00651C1F" w:rsidRPr="001B6DA7" w:rsidTr="002F5109">
        <w:trPr>
          <w:trHeight w:val="315"/>
        </w:trPr>
        <w:tc>
          <w:tcPr>
            <w:tcW w:w="8520" w:type="dxa"/>
            <w:gridSpan w:val="9"/>
            <w:tcBorders>
              <w:top w:val="double" w:sz="6" w:space="0" w:color="auto"/>
              <w:left w:val="double" w:sz="6" w:space="0" w:color="auto"/>
              <w:bottom w:val="double" w:sz="6" w:space="0" w:color="auto"/>
              <w:right w:val="single" w:sz="4" w:space="0" w:color="000000"/>
            </w:tcBorders>
            <w:shd w:val="clear" w:color="000000" w:fill="BFBFBF"/>
            <w:noWrap/>
            <w:vAlign w:val="center"/>
            <w:hideMark/>
          </w:tcPr>
          <w:p w:rsidR="00651C1F" w:rsidRPr="001B6DA7" w:rsidRDefault="00651C1F" w:rsidP="002F5109">
            <w:pPr>
              <w:rPr>
                <w:rFonts w:ascii="Arial" w:hAnsi="Arial" w:cs="Arial"/>
                <w:b/>
                <w:bCs/>
                <w:sz w:val="18"/>
                <w:szCs w:val="18"/>
              </w:rPr>
            </w:pPr>
            <w:r w:rsidRPr="001B6DA7">
              <w:rPr>
                <w:rFonts w:ascii="Arial" w:hAnsi="Arial" w:cs="Arial"/>
                <w:b/>
                <w:bCs/>
                <w:sz w:val="18"/>
                <w:szCs w:val="18"/>
              </w:rPr>
              <w:t>Aktivní politika zaměstnanosti celkem</w:t>
            </w:r>
          </w:p>
        </w:tc>
        <w:tc>
          <w:tcPr>
            <w:tcW w:w="960" w:type="dxa"/>
            <w:tcBorders>
              <w:top w:val="double" w:sz="6" w:space="0" w:color="auto"/>
              <w:left w:val="nil"/>
              <w:bottom w:val="double" w:sz="6" w:space="0" w:color="auto"/>
              <w:right w:val="single" w:sz="4" w:space="0" w:color="auto"/>
            </w:tcBorders>
            <w:shd w:val="clear" w:color="000000" w:fill="BFBFBF"/>
            <w:noWrap/>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1 1</w:t>
            </w:r>
            <w:r>
              <w:rPr>
                <w:rFonts w:ascii="Arial" w:hAnsi="Arial" w:cs="Arial"/>
                <w:b/>
                <w:bCs/>
                <w:sz w:val="18"/>
                <w:szCs w:val="18"/>
              </w:rPr>
              <w:t>16</w:t>
            </w:r>
            <w:r w:rsidRPr="001B6DA7">
              <w:rPr>
                <w:rFonts w:ascii="Arial" w:hAnsi="Arial" w:cs="Arial"/>
                <w:b/>
                <w:bCs/>
                <w:sz w:val="18"/>
                <w:szCs w:val="18"/>
              </w:rPr>
              <w:t xml:space="preserve"> 3</w:t>
            </w:r>
            <w:r>
              <w:rPr>
                <w:rFonts w:ascii="Arial" w:hAnsi="Arial" w:cs="Arial"/>
                <w:b/>
                <w:bCs/>
                <w:sz w:val="18"/>
                <w:szCs w:val="18"/>
              </w:rPr>
              <w:t>78</w:t>
            </w:r>
          </w:p>
        </w:tc>
        <w:tc>
          <w:tcPr>
            <w:tcW w:w="960" w:type="dxa"/>
            <w:tcBorders>
              <w:top w:val="double" w:sz="6" w:space="0" w:color="auto"/>
              <w:left w:val="nil"/>
              <w:bottom w:val="double" w:sz="6" w:space="0" w:color="auto"/>
              <w:right w:val="double" w:sz="6" w:space="0" w:color="auto"/>
            </w:tcBorders>
            <w:shd w:val="clear" w:color="000000" w:fill="BFBFBF"/>
            <w:noWrap/>
            <w:vAlign w:val="center"/>
            <w:hideMark/>
          </w:tcPr>
          <w:p w:rsidR="00651C1F" w:rsidRPr="001B6DA7" w:rsidRDefault="00651C1F" w:rsidP="002F5109">
            <w:pPr>
              <w:jc w:val="right"/>
              <w:rPr>
                <w:rFonts w:ascii="Arial" w:hAnsi="Arial" w:cs="Arial"/>
                <w:b/>
                <w:bCs/>
                <w:sz w:val="18"/>
                <w:szCs w:val="18"/>
              </w:rPr>
            </w:pPr>
            <w:r w:rsidRPr="001B6DA7">
              <w:rPr>
                <w:rFonts w:ascii="Arial" w:hAnsi="Arial" w:cs="Arial"/>
                <w:b/>
                <w:bCs/>
                <w:sz w:val="18"/>
                <w:szCs w:val="18"/>
              </w:rPr>
              <w:t>1 475 229</w:t>
            </w:r>
          </w:p>
        </w:tc>
      </w:tr>
      <w:tr w:rsidR="00651C1F" w:rsidRPr="001B6DA7" w:rsidTr="002F5109">
        <w:trPr>
          <w:trHeight w:val="315"/>
        </w:trPr>
        <w:tc>
          <w:tcPr>
            <w:tcW w:w="8520" w:type="dxa"/>
            <w:gridSpan w:val="9"/>
            <w:tcBorders>
              <w:top w:val="nil"/>
              <w:left w:val="double" w:sz="6" w:space="0" w:color="auto"/>
              <w:bottom w:val="double" w:sz="6" w:space="0" w:color="auto"/>
              <w:right w:val="single" w:sz="4" w:space="0" w:color="000000"/>
            </w:tcBorders>
            <w:shd w:val="clear" w:color="auto" w:fill="auto"/>
            <w:vAlign w:val="center"/>
            <w:hideMark/>
          </w:tcPr>
          <w:p w:rsidR="00651C1F" w:rsidRPr="001B6DA7" w:rsidRDefault="00651C1F" w:rsidP="002F5109">
            <w:pPr>
              <w:rPr>
                <w:rFonts w:ascii="Arial" w:hAnsi="Arial" w:cs="Arial"/>
                <w:sz w:val="18"/>
                <w:szCs w:val="18"/>
              </w:rPr>
            </w:pPr>
            <w:r w:rsidRPr="001B6DA7">
              <w:rPr>
                <w:rFonts w:ascii="Arial" w:hAnsi="Arial" w:cs="Arial"/>
                <w:sz w:val="18"/>
                <w:szCs w:val="18"/>
              </w:rPr>
              <w:t>z  toho:  financování programů ESF celkem</w:t>
            </w:r>
          </w:p>
        </w:tc>
        <w:tc>
          <w:tcPr>
            <w:tcW w:w="960" w:type="dxa"/>
            <w:tcBorders>
              <w:top w:val="nil"/>
              <w:left w:val="nil"/>
              <w:bottom w:val="double" w:sz="6" w:space="0" w:color="auto"/>
              <w:right w:val="single" w:sz="4"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Pr>
                <w:rFonts w:ascii="Arial" w:hAnsi="Arial" w:cs="Arial"/>
                <w:sz w:val="18"/>
                <w:szCs w:val="18"/>
              </w:rPr>
              <w:t>698</w:t>
            </w:r>
            <w:r w:rsidRPr="001B6DA7">
              <w:rPr>
                <w:rFonts w:ascii="Arial" w:hAnsi="Arial" w:cs="Arial"/>
                <w:sz w:val="18"/>
                <w:szCs w:val="18"/>
              </w:rPr>
              <w:t xml:space="preserve"> </w:t>
            </w:r>
            <w:r>
              <w:rPr>
                <w:rFonts w:ascii="Arial" w:hAnsi="Arial" w:cs="Arial"/>
                <w:sz w:val="18"/>
                <w:szCs w:val="18"/>
              </w:rPr>
              <w:t>022</w:t>
            </w:r>
          </w:p>
        </w:tc>
        <w:tc>
          <w:tcPr>
            <w:tcW w:w="960" w:type="dxa"/>
            <w:tcBorders>
              <w:top w:val="nil"/>
              <w:left w:val="nil"/>
              <w:bottom w:val="double" w:sz="6" w:space="0" w:color="auto"/>
              <w:right w:val="double" w:sz="6" w:space="0" w:color="auto"/>
            </w:tcBorders>
            <w:shd w:val="clear" w:color="auto" w:fill="auto"/>
            <w:noWrap/>
            <w:vAlign w:val="center"/>
            <w:hideMark/>
          </w:tcPr>
          <w:p w:rsidR="00651C1F" w:rsidRPr="001B6DA7" w:rsidRDefault="00651C1F" w:rsidP="002F5109">
            <w:pPr>
              <w:jc w:val="right"/>
              <w:rPr>
                <w:rFonts w:ascii="Arial" w:hAnsi="Arial" w:cs="Arial"/>
                <w:sz w:val="18"/>
                <w:szCs w:val="18"/>
              </w:rPr>
            </w:pPr>
            <w:r w:rsidRPr="001B6DA7">
              <w:rPr>
                <w:rFonts w:ascii="Arial" w:hAnsi="Arial" w:cs="Arial"/>
                <w:sz w:val="18"/>
                <w:szCs w:val="18"/>
              </w:rPr>
              <w:t>1 101 264</w:t>
            </w:r>
          </w:p>
        </w:tc>
      </w:tr>
    </w:tbl>
    <w:p w:rsidR="00651C1F" w:rsidRPr="001E4A1F" w:rsidRDefault="00651C1F" w:rsidP="00651C1F">
      <w:pPr>
        <w:tabs>
          <w:tab w:val="left" w:pos="567"/>
        </w:tabs>
        <w:ind w:left="-709" w:right="-567"/>
        <w:jc w:val="both"/>
        <w:rPr>
          <w:rFonts w:ascii="Arial" w:hAnsi="Arial"/>
          <w:sz w:val="16"/>
          <w:szCs w:val="16"/>
        </w:rPr>
      </w:pPr>
      <w:r w:rsidRPr="001E4A1F">
        <w:rPr>
          <w:rFonts w:ascii="Arial" w:hAnsi="Arial"/>
          <w:i/>
          <w:sz w:val="16"/>
          <w:szCs w:val="16"/>
          <w:vertAlign w:val="superscript"/>
        </w:rPr>
        <w:t>1)</w:t>
      </w:r>
      <w:r w:rsidRPr="001E4A1F">
        <w:rPr>
          <w:rFonts w:ascii="Arial" w:hAnsi="Arial"/>
          <w:sz w:val="16"/>
          <w:szCs w:val="16"/>
        </w:rPr>
        <w:t xml:space="preserve"> statistiky o počtech uchazečů v rekvalifikaci nerozlišují, zda se jedná o rekvalifikace financované z prostředků na národní APZ nebo z</w:t>
      </w:r>
      <w:r>
        <w:rPr>
          <w:rFonts w:ascii="Arial" w:hAnsi="Arial"/>
          <w:sz w:val="16"/>
          <w:szCs w:val="16"/>
        </w:rPr>
        <w:t> </w:t>
      </w:r>
      <w:r w:rsidRPr="001E4A1F">
        <w:rPr>
          <w:rFonts w:ascii="Arial" w:hAnsi="Arial"/>
          <w:sz w:val="16"/>
          <w:szCs w:val="16"/>
        </w:rPr>
        <w:t>prostředků ESF</w:t>
      </w:r>
    </w:p>
    <w:p w:rsidR="00651C1F" w:rsidRPr="001E4A1F" w:rsidRDefault="00651C1F" w:rsidP="00651C1F">
      <w:pPr>
        <w:tabs>
          <w:tab w:val="left" w:pos="567"/>
        </w:tabs>
        <w:ind w:left="-709" w:right="-709"/>
        <w:jc w:val="both"/>
        <w:rPr>
          <w:rFonts w:ascii="Arial" w:hAnsi="Arial"/>
          <w:sz w:val="16"/>
          <w:szCs w:val="16"/>
        </w:rPr>
      </w:pPr>
      <w:r w:rsidRPr="001E4A1F">
        <w:rPr>
          <w:rFonts w:ascii="Arial" w:hAnsi="Arial"/>
          <w:i/>
          <w:sz w:val="16"/>
          <w:szCs w:val="16"/>
          <w:vertAlign w:val="superscript"/>
        </w:rPr>
        <w:t>2)</w:t>
      </w:r>
      <w:r w:rsidRPr="001E4A1F">
        <w:rPr>
          <w:rFonts w:ascii="Arial" w:hAnsi="Arial"/>
          <w:sz w:val="16"/>
          <w:szCs w:val="16"/>
        </w:rPr>
        <w:t xml:space="preserve"> včetně CHPM - SVČ OZP</w:t>
      </w:r>
    </w:p>
    <w:p w:rsidR="00651C1F" w:rsidRPr="001E4A1F" w:rsidRDefault="00651C1F" w:rsidP="00651C1F">
      <w:pPr>
        <w:tabs>
          <w:tab w:val="left" w:pos="567"/>
        </w:tabs>
        <w:ind w:left="-709" w:right="-567"/>
        <w:jc w:val="both"/>
        <w:rPr>
          <w:rFonts w:ascii="Arial" w:hAnsi="Arial"/>
          <w:sz w:val="16"/>
          <w:szCs w:val="16"/>
        </w:rPr>
      </w:pPr>
      <w:r w:rsidRPr="001E4A1F">
        <w:rPr>
          <w:rFonts w:ascii="Arial" w:hAnsi="Arial"/>
          <w:i/>
          <w:sz w:val="16"/>
          <w:szCs w:val="16"/>
          <w:vertAlign w:val="superscript"/>
        </w:rPr>
        <w:t>3)</w:t>
      </w:r>
      <w:r w:rsidRPr="001E4A1F">
        <w:rPr>
          <w:rFonts w:ascii="Arial" w:hAnsi="Arial"/>
          <w:sz w:val="16"/>
          <w:szCs w:val="16"/>
        </w:rPr>
        <w:t xml:space="preserve"> položky ostatní zahrnují APZ jinde nespecifikovanou (nákup služeb, ostatní nástroje – příspěvek na zapracování, překlenovací příspěvek) a čerpání z mimorozpočtových zdrojů</w:t>
      </w:r>
    </w:p>
    <w:p w:rsidR="00651C1F" w:rsidRDefault="00651C1F" w:rsidP="00651C1F">
      <w:pPr>
        <w:tabs>
          <w:tab w:val="left" w:pos="567"/>
        </w:tabs>
        <w:ind w:left="-709" w:right="-709"/>
        <w:jc w:val="both"/>
        <w:rPr>
          <w:rFonts w:ascii="Arial" w:hAnsi="Arial"/>
          <w:sz w:val="16"/>
          <w:szCs w:val="16"/>
        </w:rPr>
      </w:pPr>
      <w:r w:rsidRPr="001E4A1F">
        <w:rPr>
          <w:rFonts w:ascii="Arial" w:hAnsi="Arial"/>
          <w:sz w:val="16"/>
          <w:szCs w:val="16"/>
          <w:vertAlign w:val="superscript"/>
        </w:rPr>
        <w:t>*)</w:t>
      </w:r>
      <w:r w:rsidRPr="001E4A1F">
        <w:rPr>
          <w:rFonts w:ascii="Arial" w:hAnsi="Arial"/>
          <w:sz w:val="16"/>
          <w:szCs w:val="16"/>
        </w:rPr>
        <w:t xml:space="preserve"> počet osob (zaměstnanců)</w:t>
      </w:r>
    </w:p>
    <w:p w:rsidR="00651C1F" w:rsidRDefault="00651C1F" w:rsidP="00651C1F">
      <w:pPr>
        <w:tabs>
          <w:tab w:val="left" w:pos="567"/>
        </w:tabs>
        <w:ind w:left="-709" w:right="-709"/>
        <w:jc w:val="both"/>
        <w:rPr>
          <w:rFonts w:ascii="Arial" w:hAnsi="Arial"/>
          <w:sz w:val="16"/>
          <w:szCs w:val="16"/>
        </w:rPr>
      </w:pPr>
    </w:p>
    <w:p w:rsidR="00651C1F" w:rsidRPr="00096B6C" w:rsidRDefault="00651C1F" w:rsidP="00651C1F">
      <w:pPr>
        <w:tabs>
          <w:tab w:val="left" w:pos="567"/>
        </w:tabs>
        <w:ind w:left="-709"/>
        <w:rPr>
          <w:rFonts w:ascii="Arial" w:hAnsi="Arial"/>
          <w:i/>
          <w:sz w:val="16"/>
          <w:szCs w:val="16"/>
        </w:rPr>
      </w:pPr>
      <w:r w:rsidRPr="00096B6C">
        <w:rPr>
          <w:rFonts w:ascii="Arial" w:hAnsi="Arial"/>
          <w:i/>
          <w:sz w:val="16"/>
          <w:szCs w:val="16"/>
        </w:rPr>
        <w:t>Pozn.: Finanční prostředky na rekvalifikace zahrnují i rekvalifikace zaměstnanců (286 tis. Kč v 1.pol. 2012 a 64 tis. Kč v 1.pol.2013)</w:t>
      </w:r>
    </w:p>
    <w:p w:rsidR="00651C1F" w:rsidRPr="002555A8" w:rsidRDefault="00651C1F" w:rsidP="00651C1F">
      <w:pPr>
        <w:spacing w:line="360" w:lineRule="auto"/>
        <w:ind w:firstLine="567"/>
        <w:jc w:val="both"/>
        <w:rPr>
          <w:rFonts w:ascii="Arial" w:hAnsi="Arial"/>
          <w:bCs/>
        </w:rPr>
      </w:pPr>
      <w:r w:rsidRPr="009160FF">
        <w:rPr>
          <w:rFonts w:ascii="Arial" w:hAnsi="Arial" w:cs="Arial"/>
          <w:b/>
          <w:bCs/>
          <w:color w:val="0070C0"/>
        </w:rPr>
        <w:br w:type="column"/>
      </w:r>
      <w:r w:rsidRPr="002555A8">
        <w:rPr>
          <w:rFonts w:ascii="Arial" w:hAnsi="Arial"/>
          <w:b/>
        </w:rPr>
        <w:lastRenderedPageBreak/>
        <w:t xml:space="preserve">V 1. pololetí 2013 </w:t>
      </w:r>
      <w:r w:rsidRPr="002555A8">
        <w:rPr>
          <w:rFonts w:ascii="Arial" w:hAnsi="Arial"/>
          <w:bCs/>
        </w:rPr>
        <w:t xml:space="preserve">bylo vytvořeno </w:t>
      </w:r>
      <w:r w:rsidRPr="00C72030">
        <w:rPr>
          <w:rFonts w:ascii="Arial" w:hAnsi="Arial"/>
          <w:bCs/>
        </w:rPr>
        <w:t>celkem</w:t>
      </w:r>
      <w:r w:rsidRPr="00C72030">
        <w:rPr>
          <w:rFonts w:ascii="Arial" w:hAnsi="Arial"/>
          <w:b/>
        </w:rPr>
        <w:t xml:space="preserve"> 16 730 míst na VPP </w:t>
      </w:r>
      <w:r w:rsidRPr="00C72030">
        <w:rPr>
          <w:rFonts w:ascii="Arial" w:hAnsi="Arial"/>
        </w:rPr>
        <w:t>(z </w:t>
      </w:r>
      <w:r w:rsidRPr="00C327E3">
        <w:rPr>
          <w:rFonts w:ascii="Arial" w:hAnsi="Arial"/>
        </w:rPr>
        <w:t>toho 3 456 v rámci národních prostředků a 13 274 v rámci ESF)</w:t>
      </w:r>
      <w:r w:rsidRPr="00C327E3">
        <w:rPr>
          <w:rFonts w:ascii="Arial" w:hAnsi="Arial"/>
          <w:b/>
        </w:rPr>
        <w:t xml:space="preserve"> </w:t>
      </w:r>
      <w:r w:rsidRPr="00C327E3">
        <w:rPr>
          <w:rFonts w:ascii="Arial" w:hAnsi="Arial"/>
        </w:rPr>
        <w:t>a </w:t>
      </w:r>
      <w:r w:rsidRPr="002555A8">
        <w:rPr>
          <w:rFonts w:ascii="Arial" w:hAnsi="Arial"/>
          <w:bCs/>
        </w:rPr>
        <w:t>na nich</w:t>
      </w:r>
      <w:r w:rsidRPr="002555A8">
        <w:rPr>
          <w:rFonts w:ascii="Arial" w:hAnsi="Arial"/>
          <w:b/>
        </w:rPr>
        <w:t xml:space="preserve"> </w:t>
      </w:r>
      <w:r w:rsidRPr="00C327E3">
        <w:rPr>
          <w:rFonts w:ascii="Arial" w:hAnsi="Arial"/>
          <w:b/>
        </w:rPr>
        <w:t xml:space="preserve">umístěno </w:t>
      </w:r>
      <w:r w:rsidRPr="00C05FB8">
        <w:rPr>
          <w:rFonts w:ascii="Arial" w:hAnsi="Arial"/>
          <w:b/>
        </w:rPr>
        <w:t>16 341</w:t>
      </w:r>
      <w:r w:rsidRPr="00C327E3">
        <w:rPr>
          <w:rFonts w:ascii="Arial" w:hAnsi="Arial"/>
          <w:b/>
        </w:rPr>
        <w:t xml:space="preserve"> </w:t>
      </w:r>
      <w:r w:rsidRPr="002555A8">
        <w:rPr>
          <w:rFonts w:ascii="Arial" w:hAnsi="Arial"/>
          <w:b/>
        </w:rPr>
        <w:t>uchazečů o </w:t>
      </w:r>
      <w:r w:rsidRPr="0090455D">
        <w:rPr>
          <w:rFonts w:ascii="Arial" w:hAnsi="Arial"/>
          <w:b/>
        </w:rPr>
        <w:t xml:space="preserve">zaměstnání, </w:t>
      </w:r>
      <w:r w:rsidRPr="0090455D">
        <w:rPr>
          <w:rFonts w:ascii="Arial" w:hAnsi="Arial"/>
          <w:bCs/>
        </w:rPr>
        <w:t xml:space="preserve">což je o 9 168 více, </w:t>
      </w:r>
      <w:r w:rsidRPr="002555A8">
        <w:rPr>
          <w:rFonts w:ascii="Arial" w:hAnsi="Arial"/>
          <w:bCs/>
        </w:rPr>
        <w:t>než za stejné období předchozího roku.</w:t>
      </w:r>
    </w:p>
    <w:p w:rsidR="00651C1F" w:rsidRPr="00426536" w:rsidRDefault="00651C1F" w:rsidP="00651C1F">
      <w:pPr>
        <w:spacing w:line="360" w:lineRule="auto"/>
        <w:ind w:firstLine="567"/>
        <w:jc w:val="both"/>
        <w:rPr>
          <w:rFonts w:ascii="Arial" w:hAnsi="Arial"/>
          <w:bCs/>
        </w:rPr>
      </w:pPr>
      <w:r w:rsidRPr="00DC6459">
        <w:rPr>
          <w:rFonts w:ascii="Arial" w:hAnsi="Arial"/>
          <w:b/>
          <w:bCs/>
        </w:rPr>
        <w:t>V</w:t>
      </w:r>
      <w:r w:rsidRPr="00DC6459">
        <w:rPr>
          <w:rFonts w:ascii="Arial" w:hAnsi="Arial"/>
          <w:b/>
        </w:rPr>
        <w:t xml:space="preserve"> 1. pololetí 2013 bylo vynaloženo na VPP ze SR a ESF celkem </w:t>
      </w:r>
      <w:r w:rsidRPr="00C25CA7">
        <w:rPr>
          <w:rFonts w:ascii="Arial" w:hAnsi="Arial"/>
          <w:b/>
        </w:rPr>
        <w:t>496</w:t>
      </w:r>
      <w:r w:rsidRPr="00C25CA7">
        <w:rPr>
          <w:rFonts w:ascii="Arial" w:hAnsi="Arial" w:cs="Arial"/>
          <w:b/>
          <w:bCs/>
        </w:rPr>
        <w:t> 282 </w:t>
      </w:r>
      <w:r w:rsidRPr="00C25CA7">
        <w:rPr>
          <w:rFonts w:ascii="Arial" w:hAnsi="Arial"/>
          <w:b/>
        </w:rPr>
        <w:t xml:space="preserve">tis. Kč </w:t>
      </w:r>
      <w:r w:rsidRPr="00C25CA7">
        <w:rPr>
          <w:rFonts w:ascii="Arial" w:hAnsi="Arial"/>
        </w:rPr>
        <w:t>(</w:t>
      </w:r>
      <w:r w:rsidRPr="00CE6608">
        <w:rPr>
          <w:rFonts w:ascii="Arial" w:hAnsi="Arial"/>
        </w:rPr>
        <w:t>z toho 373</w:t>
      </w:r>
      <w:r w:rsidRPr="00CE6608">
        <w:rPr>
          <w:rFonts w:ascii="Arial" w:hAnsi="Arial" w:cs="Arial"/>
        </w:rPr>
        <w:t> 814</w:t>
      </w:r>
      <w:r w:rsidRPr="00CE6608">
        <w:rPr>
          <w:rFonts w:ascii="Arial" w:hAnsi="Arial"/>
        </w:rPr>
        <w:t xml:space="preserve"> tis. Kč v rámci </w:t>
      </w:r>
      <w:r w:rsidRPr="0051698C">
        <w:rPr>
          <w:rFonts w:ascii="Arial" w:hAnsi="Arial"/>
        </w:rPr>
        <w:t>prostředků ESF</w:t>
      </w:r>
      <w:r w:rsidRPr="00026EF0">
        <w:rPr>
          <w:rFonts w:ascii="Arial" w:hAnsi="Arial"/>
        </w:rPr>
        <w:t>)</w:t>
      </w:r>
      <w:r w:rsidRPr="00026EF0">
        <w:rPr>
          <w:rFonts w:ascii="Arial" w:hAnsi="Arial"/>
          <w:bCs/>
        </w:rPr>
        <w:t>, tj. o 234 931 tis. Kč více než v </w:t>
      </w:r>
      <w:r w:rsidRPr="00026EF0">
        <w:rPr>
          <w:rFonts w:ascii="Arial" w:hAnsi="Arial"/>
        </w:rPr>
        <w:t>1. pololetí</w:t>
      </w:r>
      <w:r w:rsidRPr="00026EF0">
        <w:rPr>
          <w:rFonts w:ascii="Arial" w:hAnsi="Arial" w:cs="Arial"/>
        </w:rPr>
        <w:t xml:space="preserve"> 2012</w:t>
      </w:r>
      <w:r w:rsidRPr="00026EF0">
        <w:rPr>
          <w:rFonts w:ascii="Arial" w:hAnsi="Arial"/>
          <w:bCs/>
        </w:rPr>
        <w:t xml:space="preserve">. </w:t>
      </w:r>
      <w:r w:rsidRPr="00026EF0">
        <w:rPr>
          <w:rFonts w:ascii="Arial" w:hAnsi="Arial"/>
          <w:b/>
          <w:bCs/>
        </w:rPr>
        <w:t>Podíl výdajů</w:t>
      </w:r>
      <w:r w:rsidRPr="00026EF0">
        <w:rPr>
          <w:rFonts w:ascii="Arial" w:hAnsi="Arial"/>
          <w:bCs/>
        </w:rPr>
        <w:t xml:space="preserve"> na realizaci VPP (</w:t>
      </w:r>
      <w:r>
        <w:rPr>
          <w:rFonts w:ascii="Arial" w:hAnsi="Arial"/>
          <w:b/>
          <w:bCs/>
        </w:rPr>
        <w:t>34</w:t>
      </w:r>
      <w:r w:rsidRPr="00026EF0">
        <w:rPr>
          <w:rFonts w:ascii="Arial" w:hAnsi="Arial"/>
          <w:b/>
          <w:bCs/>
        </w:rPr>
        <w:t>,</w:t>
      </w:r>
      <w:r>
        <w:rPr>
          <w:rFonts w:ascii="Arial" w:hAnsi="Arial"/>
          <w:b/>
          <w:bCs/>
        </w:rPr>
        <w:t>0</w:t>
      </w:r>
      <w:r w:rsidRPr="00026EF0">
        <w:rPr>
          <w:rFonts w:ascii="Arial" w:hAnsi="Arial"/>
          <w:b/>
          <w:bCs/>
        </w:rPr>
        <w:t xml:space="preserve"> % </w:t>
      </w:r>
      <w:r w:rsidRPr="00026EF0">
        <w:rPr>
          <w:rFonts w:ascii="Arial" w:hAnsi="Arial"/>
          <w:bCs/>
        </w:rPr>
        <w:t xml:space="preserve">celkových výdajů </w:t>
      </w:r>
      <w:r w:rsidRPr="0051698C">
        <w:rPr>
          <w:rFonts w:ascii="Arial" w:hAnsi="Arial"/>
          <w:bCs/>
        </w:rPr>
        <w:t>ÚP</w:t>
      </w:r>
      <w:r>
        <w:rPr>
          <w:rFonts w:ascii="Arial" w:hAnsi="Arial"/>
          <w:bCs/>
        </w:rPr>
        <w:t> ČR</w:t>
      </w:r>
      <w:r w:rsidRPr="0051698C">
        <w:rPr>
          <w:rFonts w:ascii="Arial" w:hAnsi="Arial"/>
          <w:bCs/>
        </w:rPr>
        <w:t xml:space="preserve">) </w:t>
      </w:r>
      <w:r w:rsidRPr="00426536">
        <w:rPr>
          <w:rFonts w:ascii="Arial" w:hAnsi="Arial"/>
          <w:bCs/>
        </w:rPr>
        <w:t>meziročně vzrostl (</w:t>
      </w:r>
      <w:r w:rsidRPr="00426536">
        <w:rPr>
          <w:rFonts w:ascii="Arial" w:hAnsi="Arial" w:cs="Arial"/>
        </w:rPr>
        <w:t xml:space="preserve">v </w:t>
      </w:r>
      <w:r w:rsidRPr="00426536">
        <w:rPr>
          <w:rFonts w:ascii="Arial" w:hAnsi="Arial"/>
        </w:rPr>
        <w:t>1. pololetí</w:t>
      </w:r>
      <w:r w:rsidRPr="00426536">
        <w:rPr>
          <w:rFonts w:ascii="Arial" w:hAnsi="Arial" w:cs="Arial"/>
        </w:rPr>
        <w:t xml:space="preserve"> 2012 </w:t>
      </w:r>
      <w:r w:rsidRPr="00426536">
        <w:rPr>
          <w:rFonts w:ascii="Arial" w:hAnsi="Arial"/>
          <w:bCs/>
        </w:rPr>
        <w:t>představoval 24,2 %).</w:t>
      </w:r>
    </w:p>
    <w:p w:rsidR="00651C1F" w:rsidRPr="00E35221" w:rsidRDefault="00651C1F" w:rsidP="00651C1F">
      <w:pPr>
        <w:spacing w:line="360" w:lineRule="auto"/>
        <w:ind w:firstLine="567"/>
        <w:jc w:val="both"/>
        <w:rPr>
          <w:rFonts w:ascii="Arial" w:hAnsi="Arial"/>
          <w:bCs/>
        </w:rPr>
      </w:pPr>
      <w:r w:rsidRPr="00D62BB3">
        <w:rPr>
          <w:rFonts w:ascii="Arial" w:hAnsi="Arial"/>
          <w:bCs/>
        </w:rPr>
        <w:t xml:space="preserve">Nárůst počtu podpořených osob nástrojem VPP v 1. pololetí 2013 mohl souviset </w:t>
      </w:r>
      <w:r w:rsidRPr="00E35221">
        <w:rPr>
          <w:rFonts w:ascii="Arial" w:hAnsi="Arial"/>
          <w:bCs/>
        </w:rPr>
        <w:t>s ukončením dočasné realizace institutu veřejné služby a transferem klientů, kteří vykonávali veřejnou službu do nástroje veřejně prospěšné práce. Zároveň v roce 2013 došlo k plošnému navýšení poskytovaných příspěvků, zejména u</w:t>
      </w:r>
      <w:r>
        <w:rPr>
          <w:rFonts w:ascii="Arial" w:hAnsi="Arial"/>
          <w:bCs/>
        </w:rPr>
        <w:t> </w:t>
      </w:r>
      <w:r w:rsidRPr="00E35221">
        <w:rPr>
          <w:rFonts w:ascii="Arial" w:hAnsi="Arial"/>
          <w:bCs/>
        </w:rPr>
        <w:t>nejrizikovějších skupin uchazečů o zaměstnání. Rovněž došlo k modifikaci poskytování příspěvků tak, aby zaměstnavatelé byli více motivováni k uzavírání zkrácených pracovních úvazků, resp. k zaměstnání dvou uchazečů o zaměstnání na jednom pracovním místě. Důvodem k tomuto kroku je jednak snaha o poskytnutí podpory co nejširšímu okruhu uchazečů o zaměstnání a jednak snaha optimalizovat podporu i pro ty uchazeče o zaměstnání, kteří z různých důvodů nejsou schopni vykonávat pracovní činnost na plný úvazek. K těmto důvodům se řadí nejenom objektivní důvody v podobě nutné péče o dítě či osobu blízkou či například časové důvody způsobené dojížďkou do zaměstnání, ale v případě nástroje VPP rovněž subjektivní příčiny na straně dlouhodobě nezaměstnaných uchazečů o zaměstnání, kteří po dlouhém vyloučení z trhu práce mají obtíže s pravidelnou docházkou do zaměstnání.</w:t>
      </w:r>
    </w:p>
    <w:p w:rsidR="00651C1F" w:rsidRPr="002B10E5" w:rsidRDefault="00651C1F" w:rsidP="00651C1F">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60" w:lineRule="auto"/>
        <w:jc w:val="both"/>
        <w:rPr>
          <w:rFonts w:ascii="Arial" w:hAnsi="Arial"/>
          <w:bCs/>
        </w:rPr>
      </w:pPr>
      <w:r w:rsidRPr="009160FF">
        <w:rPr>
          <w:rFonts w:ascii="Arial" w:hAnsi="Arial"/>
          <w:bCs/>
          <w:color w:val="0070C0"/>
        </w:rPr>
        <w:tab/>
      </w:r>
      <w:r w:rsidRPr="00755EC7">
        <w:rPr>
          <w:rFonts w:ascii="Arial" w:hAnsi="Arial"/>
          <w:bCs/>
        </w:rPr>
        <w:t xml:space="preserve">Tento nástroj APZ byl nejvíce </w:t>
      </w:r>
      <w:r w:rsidRPr="00E8742F">
        <w:rPr>
          <w:rFonts w:ascii="Arial" w:hAnsi="Arial"/>
          <w:bCs/>
        </w:rPr>
        <w:t xml:space="preserve">využíván </w:t>
      </w:r>
      <w:r w:rsidRPr="00E8742F">
        <w:rPr>
          <w:rFonts w:ascii="Arial" w:hAnsi="Arial"/>
          <w:b/>
        </w:rPr>
        <w:t xml:space="preserve">v Ústeckém </w:t>
      </w:r>
      <w:r w:rsidRPr="00E8742F">
        <w:rPr>
          <w:rFonts w:ascii="Arial" w:hAnsi="Arial"/>
        </w:rPr>
        <w:t>(17,5 %</w:t>
      </w:r>
      <w:r w:rsidRPr="00E8742F">
        <w:rPr>
          <w:rFonts w:ascii="Arial" w:hAnsi="Arial"/>
          <w:b/>
        </w:rPr>
        <w:t xml:space="preserve"> </w:t>
      </w:r>
      <w:r w:rsidRPr="00E8742F">
        <w:rPr>
          <w:rFonts w:ascii="Arial" w:hAnsi="Arial"/>
          <w:bCs/>
        </w:rPr>
        <w:t>prostředků ÚP</w:t>
      </w:r>
      <w:r>
        <w:rPr>
          <w:rFonts w:ascii="Arial" w:hAnsi="Arial"/>
          <w:bCs/>
        </w:rPr>
        <w:t> ČR</w:t>
      </w:r>
      <w:r w:rsidRPr="00E8742F">
        <w:rPr>
          <w:rFonts w:ascii="Arial" w:hAnsi="Arial"/>
          <w:bCs/>
        </w:rPr>
        <w:t xml:space="preserve"> čerpaných ze SR na VPP</w:t>
      </w:r>
      <w:r w:rsidRPr="002B10E5">
        <w:rPr>
          <w:rFonts w:ascii="Arial" w:hAnsi="Arial"/>
          <w:bCs/>
        </w:rPr>
        <w:t>) a v </w:t>
      </w:r>
      <w:r w:rsidRPr="002B10E5">
        <w:rPr>
          <w:rFonts w:ascii="Arial" w:hAnsi="Arial"/>
          <w:b/>
          <w:bCs/>
        </w:rPr>
        <w:t xml:space="preserve">Moravskoslezském </w:t>
      </w:r>
      <w:r w:rsidRPr="002B10E5">
        <w:rPr>
          <w:rFonts w:ascii="Arial" w:hAnsi="Arial"/>
          <w:b/>
        </w:rPr>
        <w:t xml:space="preserve">kraji </w:t>
      </w:r>
      <w:r w:rsidRPr="002B10E5">
        <w:rPr>
          <w:rFonts w:ascii="Arial" w:hAnsi="Arial"/>
          <w:bCs/>
        </w:rPr>
        <w:t>(13,6 %).</w:t>
      </w:r>
    </w:p>
    <w:p w:rsidR="00651C1F" w:rsidRPr="009160FF" w:rsidRDefault="00651C1F" w:rsidP="00651C1F">
      <w:pPr>
        <w:spacing w:line="360" w:lineRule="auto"/>
        <w:ind w:firstLine="567"/>
        <w:jc w:val="both"/>
        <w:rPr>
          <w:rFonts w:ascii="Arial" w:hAnsi="Arial"/>
          <w:b/>
          <w:bCs/>
          <w:color w:val="0070C0"/>
        </w:rPr>
      </w:pPr>
    </w:p>
    <w:p w:rsidR="00651C1F" w:rsidRPr="0018025F" w:rsidRDefault="00651C1F" w:rsidP="00651C1F">
      <w:pPr>
        <w:spacing w:line="360" w:lineRule="auto"/>
        <w:ind w:firstLine="567"/>
        <w:jc w:val="both"/>
        <w:rPr>
          <w:rFonts w:ascii="Arial" w:hAnsi="Arial"/>
          <w:b/>
          <w:bCs/>
        </w:rPr>
      </w:pPr>
      <w:r w:rsidRPr="0018025F">
        <w:rPr>
          <w:rFonts w:ascii="Arial" w:hAnsi="Arial"/>
          <w:b/>
          <w:bCs/>
        </w:rPr>
        <w:t>Společensky účelná pracovní místa (SÚPM)</w:t>
      </w:r>
    </w:p>
    <w:p w:rsidR="00651C1F" w:rsidRPr="009160FF" w:rsidRDefault="00651C1F" w:rsidP="00651C1F">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jc w:val="both"/>
        <w:rPr>
          <w:rFonts w:ascii="Arial" w:hAnsi="Arial"/>
          <w:bCs/>
          <w:color w:val="0070C0"/>
          <w:sz w:val="16"/>
          <w:szCs w:val="16"/>
        </w:rPr>
      </w:pPr>
    </w:p>
    <w:p w:rsidR="00651C1F" w:rsidRPr="009160FF" w:rsidRDefault="00651C1F" w:rsidP="00651C1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jc w:val="both"/>
        <w:rPr>
          <w:bCs/>
          <w:color w:val="0070C0"/>
          <w:sz w:val="16"/>
          <w:szCs w:val="16"/>
        </w:rPr>
      </w:pPr>
    </w:p>
    <w:p w:rsidR="00651C1F" w:rsidRPr="0051698C" w:rsidRDefault="00651C1F" w:rsidP="00651C1F">
      <w:pPr>
        <w:spacing w:line="360" w:lineRule="auto"/>
        <w:ind w:firstLine="567"/>
        <w:jc w:val="both"/>
        <w:rPr>
          <w:rFonts w:ascii="Arial" w:hAnsi="Arial" w:cs="Arial"/>
        </w:rPr>
      </w:pPr>
      <w:r w:rsidRPr="0051698C">
        <w:rPr>
          <w:rFonts w:ascii="Arial" w:hAnsi="Arial" w:cs="Arial"/>
        </w:rPr>
        <w:t>Společensky účelnými pracovními místy jsou pracovní místa, která zaměstnavatel zřizuje nebo vyhrazuje na základě dohody s</w:t>
      </w:r>
      <w:r>
        <w:rPr>
          <w:rFonts w:ascii="Arial" w:hAnsi="Arial" w:cs="Arial"/>
        </w:rPr>
        <w:t> </w:t>
      </w:r>
      <w:r w:rsidRPr="0051698C">
        <w:rPr>
          <w:rFonts w:ascii="Arial" w:hAnsi="Arial" w:cs="Arial"/>
        </w:rPr>
        <w:t>ÚP</w:t>
      </w:r>
      <w:r>
        <w:rPr>
          <w:rFonts w:ascii="Arial" w:hAnsi="Arial" w:cs="Arial"/>
        </w:rPr>
        <w:t> ČR</w:t>
      </w:r>
      <w:r w:rsidRPr="0051698C">
        <w:rPr>
          <w:rFonts w:ascii="Arial" w:hAnsi="Arial" w:cs="Arial"/>
        </w:rPr>
        <w:t xml:space="preserve"> a obsazuje je uchazeči o zaměstnání. K SÚPM patří též pracovní místo zřízené uchazečem o zaměstnání za účelem výkonu samostatné výdělečné činnosti. </w:t>
      </w:r>
    </w:p>
    <w:p w:rsidR="00651C1F" w:rsidRPr="0051698C" w:rsidRDefault="00651C1F" w:rsidP="00651C1F">
      <w:pPr>
        <w:spacing w:line="360" w:lineRule="auto"/>
        <w:ind w:firstLine="567"/>
        <w:jc w:val="both"/>
        <w:rPr>
          <w:rFonts w:ascii="Arial" w:hAnsi="Arial" w:cs="Arial"/>
        </w:rPr>
      </w:pPr>
      <w:r w:rsidRPr="0051698C">
        <w:rPr>
          <w:rFonts w:ascii="Arial" w:hAnsi="Arial" w:cs="Arial"/>
        </w:rPr>
        <w:lastRenderedPageBreak/>
        <w:t xml:space="preserve">Tato pracovní místa mají umožnit trvalé nebo dlouhodobější zaměstnání uchazečům o zaměstnání, kterým nelze v současné době zajistit pracovní uplatnění jiným způsobem. </w:t>
      </w:r>
    </w:p>
    <w:p w:rsidR="00651C1F" w:rsidRPr="00281369" w:rsidRDefault="00651C1F" w:rsidP="00651C1F">
      <w:pPr>
        <w:spacing w:line="360" w:lineRule="auto"/>
        <w:ind w:firstLine="567"/>
        <w:jc w:val="both"/>
        <w:rPr>
          <w:rFonts w:ascii="Arial" w:hAnsi="Arial" w:cs="Arial"/>
          <w:bCs/>
        </w:rPr>
      </w:pPr>
      <w:r w:rsidRPr="0051698C">
        <w:rPr>
          <w:rFonts w:ascii="Arial" w:hAnsi="Arial" w:cs="Arial"/>
          <w:b/>
        </w:rPr>
        <w:t>V </w:t>
      </w:r>
      <w:r w:rsidRPr="0051698C">
        <w:rPr>
          <w:rFonts w:ascii="Arial" w:hAnsi="Arial"/>
          <w:b/>
        </w:rPr>
        <w:t xml:space="preserve">1. pololetí 2013 </w:t>
      </w:r>
      <w:r w:rsidRPr="0051698C">
        <w:rPr>
          <w:rFonts w:ascii="Arial" w:hAnsi="Arial" w:cs="Arial"/>
        </w:rPr>
        <w:t>ÚP</w:t>
      </w:r>
      <w:r>
        <w:rPr>
          <w:rFonts w:ascii="Arial" w:hAnsi="Arial" w:cs="Arial"/>
        </w:rPr>
        <w:t> ČR</w:t>
      </w:r>
      <w:r w:rsidRPr="0051698C">
        <w:rPr>
          <w:rFonts w:ascii="Arial" w:hAnsi="Arial" w:cs="Arial"/>
        </w:rPr>
        <w:t xml:space="preserve"> přispěl na zřízení nebo </w:t>
      </w:r>
      <w:r w:rsidRPr="00071A6B">
        <w:rPr>
          <w:rFonts w:ascii="Arial" w:hAnsi="Arial" w:cs="Arial"/>
        </w:rPr>
        <w:t xml:space="preserve">vyhrazení </w:t>
      </w:r>
      <w:r w:rsidRPr="00071A6B">
        <w:rPr>
          <w:rFonts w:ascii="Arial" w:hAnsi="Arial" w:cs="Arial"/>
          <w:b/>
        </w:rPr>
        <w:t>9 271</w:t>
      </w:r>
      <w:r w:rsidRPr="00071A6B">
        <w:rPr>
          <w:rFonts w:ascii="Arial" w:hAnsi="Arial" w:cs="Arial"/>
          <w:b/>
          <w:bCs/>
        </w:rPr>
        <w:t xml:space="preserve"> pracovních </w:t>
      </w:r>
      <w:r w:rsidRPr="0051698C">
        <w:rPr>
          <w:rFonts w:ascii="Arial" w:hAnsi="Arial" w:cs="Arial"/>
          <w:b/>
          <w:bCs/>
        </w:rPr>
        <w:t>míst</w:t>
      </w:r>
      <w:r w:rsidRPr="0051698C">
        <w:rPr>
          <w:rFonts w:ascii="Arial" w:hAnsi="Arial" w:cs="Arial"/>
        </w:rPr>
        <w:t xml:space="preserve"> (z </w:t>
      </w:r>
      <w:r w:rsidRPr="00BB1634">
        <w:rPr>
          <w:rFonts w:ascii="Arial" w:hAnsi="Arial" w:cs="Arial"/>
        </w:rPr>
        <w:t xml:space="preserve">toho 2 560 v rámci </w:t>
      </w:r>
      <w:r w:rsidRPr="0051698C">
        <w:rPr>
          <w:rFonts w:ascii="Arial" w:hAnsi="Arial" w:cs="Arial"/>
        </w:rPr>
        <w:t xml:space="preserve">národních prostředků </w:t>
      </w:r>
      <w:r w:rsidRPr="000F1A84">
        <w:rPr>
          <w:rFonts w:ascii="Arial" w:hAnsi="Arial" w:cs="Arial"/>
        </w:rPr>
        <w:t xml:space="preserve">a 6 711 v rámci </w:t>
      </w:r>
      <w:r w:rsidRPr="0051698C">
        <w:rPr>
          <w:rFonts w:ascii="Arial" w:hAnsi="Arial" w:cs="Arial"/>
        </w:rPr>
        <w:t>prostředků ESF) a </w:t>
      </w:r>
      <w:r w:rsidRPr="0051698C">
        <w:rPr>
          <w:rFonts w:ascii="Arial" w:hAnsi="Arial" w:cs="Arial"/>
          <w:b/>
          <w:bCs/>
        </w:rPr>
        <w:t xml:space="preserve">na tato místa </w:t>
      </w:r>
      <w:r w:rsidRPr="00071A6B">
        <w:rPr>
          <w:rFonts w:ascii="Arial" w:hAnsi="Arial" w:cs="Arial"/>
          <w:b/>
          <w:bCs/>
        </w:rPr>
        <w:t xml:space="preserve">umístil 9 077 uchazečů </w:t>
      </w:r>
      <w:r w:rsidRPr="0051698C">
        <w:rPr>
          <w:rFonts w:ascii="Arial" w:hAnsi="Arial" w:cs="Arial"/>
          <w:b/>
          <w:bCs/>
        </w:rPr>
        <w:t xml:space="preserve">o </w:t>
      </w:r>
      <w:r w:rsidRPr="00281369">
        <w:rPr>
          <w:rFonts w:ascii="Arial" w:hAnsi="Arial" w:cs="Arial"/>
          <w:b/>
          <w:bCs/>
        </w:rPr>
        <w:t>zaměstnání,</w:t>
      </w:r>
      <w:r w:rsidRPr="00281369">
        <w:rPr>
          <w:rFonts w:ascii="Arial" w:hAnsi="Arial" w:cs="Arial"/>
          <w:bCs/>
        </w:rPr>
        <w:t xml:space="preserve"> což je o 3 492 více než ve stejném období předchozího roku.</w:t>
      </w:r>
    </w:p>
    <w:p w:rsidR="00651C1F" w:rsidRPr="00E46254" w:rsidRDefault="00651C1F" w:rsidP="00651C1F">
      <w:pPr>
        <w:spacing w:line="360" w:lineRule="auto"/>
        <w:ind w:firstLine="709"/>
        <w:jc w:val="both"/>
        <w:rPr>
          <w:rFonts w:ascii="Arial" w:hAnsi="Arial" w:cs="Arial"/>
          <w:bCs/>
        </w:rPr>
      </w:pPr>
      <w:r w:rsidRPr="0051698C">
        <w:rPr>
          <w:rFonts w:ascii="Arial" w:hAnsi="Arial" w:cs="Arial"/>
        </w:rPr>
        <w:t xml:space="preserve">Na tento nástroj bylo vyčerpáno celkem </w:t>
      </w:r>
      <w:r w:rsidRPr="001E34C0">
        <w:rPr>
          <w:rFonts w:ascii="Arial" w:hAnsi="Arial" w:cs="Arial"/>
          <w:b/>
        </w:rPr>
        <w:t>278</w:t>
      </w:r>
      <w:r w:rsidRPr="001E34C0">
        <w:rPr>
          <w:rFonts w:ascii="Arial" w:hAnsi="Arial" w:cs="Arial"/>
          <w:b/>
          <w:bCs/>
        </w:rPr>
        <w:t xml:space="preserve"> 148 tis. Kč </w:t>
      </w:r>
      <w:r w:rsidRPr="001E34C0">
        <w:rPr>
          <w:rFonts w:ascii="Arial" w:hAnsi="Arial" w:cs="Arial"/>
        </w:rPr>
        <w:t>(z</w:t>
      </w:r>
      <w:r>
        <w:rPr>
          <w:rFonts w:ascii="Arial" w:hAnsi="Arial" w:cs="Arial"/>
        </w:rPr>
        <w:t> </w:t>
      </w:r>
      <w:r w:rsidRPr="001E34C0">
        <w:rPr>
          <w:rFonts w:ascii="Arial" w:hAnsi="Arial" w:cs="Arial"/>
        </w:rPr>
        <w:t xml:space="preserve">toho 146 210 tis. Kč v rámci </w:t>
      </w:r>
      <w:r w:rsidRPr="0051698C">
        <w:rPr>
          <w:rFonts w:ascii="Arial" w:hAnsi="Arial" w:cs="Arial"/>
        </w:rPr>
        <w:t>ESF)</w:t>
      </w:r>
      <w:r w:rsidRPr="0051698C">
        <w:rPr>
          <w:rFonts w:ascii="Arial" w:hAnsi="Arial" w:cs="Arial"/>
          <w:bCs/>
        </w:rPr>
        <w:t xml:space="preserve">, </w:t>
      </w:r>
      <w:r w:rsidRPr="00EE7ACA">
        <w:rPr>
          <w:rFonts w:ascii="Arial" w:hAnsi="Arial" w:cs="Arial"/>
          <w:bCs/>
        </w:rPr>
        <w:t>meziročně o 146 935 tis. Kč více</w:t>
      </w:r>
      <w:r>
        <w:rPr>
          <w:rFonts w:ascii="Arial" w:hAnsi="Arial" w:cs="Arial"/>
          <w:bCs/>
        </w:rPr>
        <w:t>, tj. o 112,0 %</w:t>
      </w:r>
      <w:r w:rsidRPr="00EE7ACA">
        <w:rPr>
          <w:rFonts w:ascii="Arial" w:hAnsi="Arial" w:cs="Arial"/>
          <w:bCs/>
        </w:rPr>
        <w:t xml:space="preserve">. </w:t>
      </w:r>
      <w:r w:rsidRPr="00A70E98">
        <w:rPr>
          <w:rFonts w:ascii="Arial" w:hAnsi="Arial" w:cs="Arial"/>
          <w:bCs/>
        </w:rPr>
        <w:t xml:space="preserve">Uvedený </w:t>
      </w:r>
      <w:r w:rsidRPr="00E46254">
        <w:rPr>
          <w:rFonts w:ascii="Arial" w:hAnsi="Arial" w:cs="Arial"/>
          <w:bCs/>
        </w:rPr>
        <w:t>nárůst je obdobně jako u nástroje VPP způsoben optimalizací poskytování příspěvků a jejich výše a rovněž vyšším důrazem na realizaci nástrojů vytvářející nová pracovní místa. Do jisté míry může zejména ve 2</w:t>
      </w:r>
      <w:r>
        <w:rPr>
          <w:rFonts w:ascii="Arial" w:hAnsi="Arial" w:cs="Arial"/>
          <w:bCs/>
        </w:rPr>
        <w:t>. čtvrtletí</w:t>
      </w:r>
      <w:r w:rsidRPr="00E46254">
        <w:rPr>
          <w:rFonts w:ascii="Arial" w:hAnsi="Arial" w:cs="Arial"/>
          <w:bCs/>
        </w:rPr>
        <w:t xml:space="preserve"> roku 2013 hrát jistou roli velmi mírné oživení české ekonomiky (ve 2</w:t>
      </w:r>
      <w:r>
        <w:rPr>
          <w:rFonts w:ascii="Arial" w:hAnsi="Arial" w:cs="Arial"/>
          <w:bCs/>
        </w:rPr>
        <w:t>. čtvrtletí</w:t>
      </w:r>
      <w:r w:rsidRPr="00E46254">
        <w:rPr>
          <w:rFonts w:ascii="Arial" w:hAnsi="Arial" w:cs="Arial"/>
          <w:bCs/>
        </w:rPr>
        <w:t xml:space="preserve"> došlo po </w:t>
      </w:r>
      <w:r>
        <w:rPr>
          <w:rFonts w:ascii="Arial" w:hAnsi="Arial" w:cs="Arial"/>
          <w:bCs/>
        </w:rPr>
        <w:t>6</w:t>
      </w:r>
      <w:r w:rsidRPr="00E46254">
        <w:rPr>
          <w:rFonts w:ascii="Arial" w:hAnsi="Arial" w:cs="Arial"/>
          <w:bCs/>
        </w:rPr>
        <w:t xml:space="preserve"> předcházejících čtvr</w:t>
      </w:r>
      <w:r>
        <w:rPr>
          <w:rFonts w:ascii="Arial" w:hAnsi="Arial" w:cs="Arial"/>
          <w:bCs/>
        </w:rPr>
        <w:t>tletích k nárůstu HDP cca o 0,6 </w:t>
      </w:r>
      <w:r w:rsidRPr="00E46254">
        <w:rPr>
          <w:rFonts w:ascii="Arial" w:hAnsi="Arial" w:cs="Arial"/>
          <w:bCs/>
        </w:rPr>
        <w:t>%), které sice není dostatečné k tvorbě nedotovaných pracovních míst, nicméně může se projevit v případě rozhodování zaměstnavatelů při vytváření dotovaných pracovních míst.</w:t>
      </w:r>
    </w:p>
    <w:p w:rsidR="00651C1F" w:rsidRPr="00F54FC8" w:rsidRDefault="00651C1F" w:rsidP="00651C1F">
      <w:pPr>
        <w:spacing w:line="360" w:lineRule="auto"/>
        <w:ind w:firstLine="567"/>
        <w:jc w:val="both"/>
        <w:rPr>
          <w:rFonts w:ascii="Arial" w:hAnsi="Arial" w:cs="Arial"/>
          <w:bCs/>
        </w:rPr>
      </w:pPr>
      <w:r w:rsidRPr="0051698C">
        <w:rPr>
          <w:rFonts w:ascii="Arial" w:hAnsi="Arial" w:cs="Arial"/>
          <w:b/>
          <w:bCs/>
        </w:rPr>
        <w:t>Podíl výdajů</w:t>
      </w:r>
      <w:r w:rsidRPr="0051698C">
        <w:rPr>
          <w:rFonts w:ascii="Arial" w:hAnsi="Arial" w:cs="Arial"/>
          <w:bCs/>
        </w:rPr>
        <w:t xml:space="preserve"> na realizaci SÚPM z celkových výdajů ÚP</w:t>
      </w:r>
      <w:r>
        <w:rPr>
          <w:rFonts w:ascii="Arial" w:hAnsi="Arial" w:cs="Arial"/>
          <w:bCs/>
        </w:rPr>
        <w:t> ČR</w:t>
      </w:r>
      <w:r w:rsidRPr="0051698C">
        <w:rPr>
          <w:rFonts w:ascii="Arial" w:hAnsi="Arial" w:cs="Arial"/>
          <w:bCs/>
        </w:rPr>
        <w:t xml:space="preserve"> na </w:t>
      </w:r>
      <w:r w:rsidRPr="00A51623">
        <w:rPr>
          <w:rFonts w:ascii="Arial" w:hAnsi="Arial" w:cs="Arial"/>
          <w:bCs/>
        </w:rPr>
        <w:t xml:space="preserve">APZ </w:t>
      </w:r>
      <w:r w:rsidRPr="00A51623">
        <w:rPr>
          <w:rFonts w:ascii="Arial" w:hAnsi="Arial" w:cs="Arial"/>
          <w:b/>
          <w:bCs/>
        </w:rPr>
        <w:t>(19,</w:t>
      </w:r>
      <w:r>
        <w:rPr>
          <w:rFonts w:ascii="Arial" w:hAnsi="Arial" w:cs="Arial"/>
          <w:b/>
          <w:bCs/>
        </w:rPr>
        <w:t>0</w:t>
      </w:r>
      <w:r w:rsidRPr="00A51623">
        <w:rPr>
          <w:rFonts w:ascii="Arial" w:hAnsi="Arial" w:cs="Arial"/>
          <w:b/>
          <w:bCs/>
        </w:rPr>
        <w:t> %)</w:t>
      </w:r>
      <w:r w:rsidRPr="00A51623">
        <w:rPr>
          <w:rFonts w:ascii="Arial" w:hAnsi="Arial" w:cs="Arial"/>
          <w:bCs/>
        </w:rPr>
        <w:t xml:space="preserve"> byl </w:t>
      </w:r>
      <w:r w:rsidRPr="00F54FC8">
        <w:rPr>
          <w:rFonts w:ascii="Arial" w:hAnsi="Arial" w:cs="Arial"/>
          <w:bCs/>
        </w:rPr>
        <w:t>vyšší než v </w:t>
      </w:r>
      <w:r w:rsidRPr="00F54FC8">
        <w:rPr>
          <w:rFonts w:ascii="Arial" w:hAnsi="Arial"/>
        </w:rPr>
        <w:t>1. pololetí</w:t>
      </w:r>
      <w:r w:rsidRPr="00F54FC8">
        <w:rPr>
          <w:rFonts w:ascii="Arial" w:hAnsi="Arial" w:cs="Arial"/>
        </w:rPr>
        <w:t xml:space="preserve"> 2012 </w:t>
      </w:r>
      <w:r w:rsidRPr="00F54FC8">
        <w:rPr>
          <w:rFonts w:ascii="Arial" w:hAnsi="Arial" w:cs="Arial"/>
          <w:bCs/>
        </w:rPr>
        <w:t>(12,1 %).</w:t>
      </w:r>
    </w:p>
    <w:p w:rsidR="00651C1F" w:rsidRPr="00B41601" w:rsidRDefault="00651C1F" w:rsidP="00651C1F">
      <w:pPr>
        <w:spacing w:line="360" w:lineRule="auto"/>
        <w:ind w:firstLine="567"/>
        <w:jc w:val="both"/>
        <w:rPr>
          <w:rFonts w:ascii="Arial" w:hAnsi="Arial" w:cs="Arial"/>
        </w:rPr>
      </w:pPr>
      <w:r w:rsidRPr="00EC49B6">
        <w:rPr>
          <w:rFonts w:ascii="Arial" w:hAnsi="Arial" w:cs="Arial"/>
        </w:rPr>
        <w:t xml:space="preserve">Z regionálního pohledu byl nejvyšší podíl vyčerpaných finančních prostředků na </w:t>
      </w:r>
      <w:r w:rsidRPr="00211B20">
        <w:rPr>
          <w:rFonts w:ascii="Arial" w:hAnsi="Arial" w:cs="Arial"/>
        </w:rPr>
        <w:t xml:space="preserve">SÚPM </w:t>
      </w:r>
      <w:r w:rsidRPr="00211B20">
        <w:rPr>
          <w:rFonts w:ascii="Arial" w:hAnsi="Arial" w:cs="Arial"/>
          <w:b/>
        </w:rPr>
        <w:t>v Moravskoslezském</w:t>
      </w:r>
      <w:r w:rsidRPr="00211B20">
        <w:rPr>
          <w:rFonts w:ascii="Arial" w:hAnsi="Arial" w:cs="Arial"/>
        </w:rPr>
        <w:t xml:space="preserve"> (22,2 %), </w:t>
      </w:r>
      <w:r w:rsidRPr="005F73AC">
        <w:rPr>
          <w:rFonts w:ascii="Arial" w:hAnsi="Arial" w:cs="Arial"/>
          <w:b/>
          <w:bCs/>
        </w:rPr>
        <w:t>Jihomoravském</w:t>
      </w:r>
      <w:r w:rsidRPr="005F73AC">
        <w:rPr>
          <w:rFonts w:ascii="Arial" w:hAnsi="Arial" w:cs="Arial"/>
        </w:rPr>
        <w:t xml:space="preserve"> (13,8 </w:t>
      </w:r>
      <w:r w:rsidRPr="009B176C">
        <w:rPr>
          <w:rFonts w:ascii="Arial" w:hAnsi="Arial" w:cs="Arial"/>
        </w:rPr>
        <w:t>%) a </w:t>
      </w:r>
      <w:r w:rsidRPr="009B176C">
        <w:rPr>
          <w:rFonts w:ascii="Arial" w:hAnsi="Arial" w:cs="Arial"/>
          <w:b/>
          <w:bCs/>
        </w:rPr>
        <w:t xml:space="preserve">Olomouckém kraji </w:t>
      </w:r>
      <w:r w:rsidRPr="009B176C">
        <w:rPr>
          <w:rFonts w:ascii="Arial" w:hAnsi="Arial" w:cs="Arial"/>
          <w:bCs/>
        </w:rPr>
        <w:t xml:space="preserve">(13,0 % </w:t>
      </w:r>
      <w:r w:rsidRPr="009B176C">
        <w:rPr>
          <w:rFonts w:ascii="Arial" w:hAnsi="Arial" w:cs="Arial"/>
        </w:rPr>
        <w:t>z objemu prostředků vyčerpaných ÚP</w:t>
      </w:r>
      <w:r>
        <w:rPr>
          <w:rFonts w:ascii="Arial" w:hAnsi="Arial" w:cs="Arial"/>
        </w:rPr>
        <w:t> ČR</w:t>
      </w:r>
      <w:r w:rsidRPr="009B176C">
        <w:rPr>
          <w:rFonts w:ascii="Arial" w:hAnsi="Arial" w:cs="Arial"/>
        </w:rPr>
        <w:t xml:space="preserve"> ze státního rozpočtu </w:t>
      </w:r>
      <w:r w:rsidRPr="00EC49B6">
        <w:rPr>
          <w:rFonts w:ascii="Arial" w:hAnsi="Arial" w:cs="Arial"/>
        </w:rPr>
        <w:t>na tento nástroj APZ</w:t>
      </w:r>
      <w:r w:rsidRPr="00B41601">
        <w:rPr>
          <w:rFonts w:ascii="Arial" w:hAnsi="Arial" w:cs="Arial"/>
          <w:bCs/>
        </w:rPr>
        <w:t>)</w:t>
      </w:r>
      <w:r w:rsidRPr="00B41601">
        <w:rPr>
          <w:rFonts w:ascii="Arial" w:hAnsi="Arial" w:cs="Arial"/>
        </w:rPr>
        <w:t>,</w:t>
      </w:r>
      <w:r>
        <w:rPr>
          <w:rFonts w:ascii="Arial" w:hAnsi="Arial" w:cs="Arial"/>
        </w:rPr>
        <w:t xml:space="preserve"> viz příloha č. </w:t>
      </w:r>
      <w:r w:rsidRPr="00B41601">
        <w:rPr>
          <w:rFonts w:ascii="Arial" w:hAnsi="Arial" w:cs="Arial"/>
        </w:rPr>
        <w:t>17.</w:t>
      </w:r>
    </w:p>
    <w:p w:rsidR="00651C1F" w:rsidRPr="005B6CC4" w:rsidRDefault="00651C1F" w:rsidP="00651C1F">
      <w:pPr>
        <w:spacing w:line="360" w:lineRule="auto"/>
        <w:ind w:firstLine="567"/>
        <w:jc w:val="both"/>
        <w:rPr>
          <w:rFonts w:ascii="Arial" w:hAnsi="Arial" w:cs="Arial"/>
        </w:rPr>
      </w:pPr>
    </w:p>
    <w:p w:rsidR="00651C1F" w:rsidRPr="0018025F" w:rsidRDefault="00651C1F" w:rsidP="00651C1F">
      <w:pPr>
        <w:keepNext/>
        <w:ind w:left="360"/>
        <w:outlineLvl w:val="3"/>
        <w:rPr>
          <w:rFonts w:ascii="Arial" w:hAnsi="Arial" w:cs="Arial"/>
          <w:b/>
          <w:bCs/>
          <w:szCs w:val="20"/>
        </w:rPr>
      </w:pPr>
      <w:r w:rsidRPr="0018025F">
        <w:rPr>
          <w:rFonts w:ascii="Arial" w:hAnsi="Arial" w:cs="Arial"/>
          <w:b/>
          <w:bCs/>
          <w:szCs w:val="20"/>
        </w:rPr>
        <w:t>Chráněná pracovní místa (CHPM)</w:t>
      </w:r>
    </w:p>
    <w:p w:rsidR="00651C1F" w:rsidRPr="005B6CC4" w:rsidRDefault="00651C1F" w:rsidP="00651C1F">
      <w:pPr>
        <w:rPr>
          <w:sz w:val="16"/>
          <w:szCs w:val="16"/>
        </w:rPr>
      </w:pPr>
    </w:p>
    <w:p w:rsidR="00651C1F" w:rsidRPr="005B6CC4" w:rsidRDefault="00651C1F" w:rsidP="00651C1F">
      <w:pPr>
        <w:rPr>
          <w:sz w:val="20"/>
          <w:szCs w:val="20"/>
        </w:rPr>
      </w:pPr>
    </w:p>
    <w:p w:rsidR="00651C1F" w:rsidRDefault="00651C1F" w:rsidP="00651C1F">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60" w:lineRule="auto"/>
        <w:jc w:val="both"/>
        <w:rPr>
          <w:rFonts w:ascii="Arial" w:hAnsi="Arial" w:cs="Arial"/>
        </w:rPr>
      </w:pPr>
      <w:r w:rsidRPr="009160FF">
        <w:rPr>
          <w:rFonts w:ascii="Arial" w:hAnsi="Arial"/>
          <w:b/>
          <w:color w:val="0070C0"/>
        </w:rPr>
        <w:tab/>
      </w:r>
      <w:r w:rsidRPr="00C47FBF">
        <w:rPr>
          <w:rFonts w:ascii="Arial" w:hAnsi="Arial"/>
          <w:b/>
        </w:rPr>
        <w:t xml:space="preserve">V 1. pololetí 2013 </w:t>
      </w:r>
      <w:r w:rsidRPr="00FD226D">
        <w:rPr>
          <w:rFonts w:ascii="Arial" w:hAnsi="Arial"/>
        </w:rPr>
        <w:t>bylo finančně podpořeno</w:t>
      </w:r>
      <w:r w:rsidRPr="00C47FBF">
        <w:rPr>
          <w:rFonts w:ascii="Arial" w:hAnsi="Arial"/>
          <w:b/>
        </w:rPr>
        <w:t xml:space="preserve"> zřízení </w:t>
      </w:r>
      <w:r w:rsidRPr="00FD226D">
        <w:rPr>
          <w:rFonts w:ascii="Arial" w:hAnsi="Arial"/>
        </w:rPr>
        <w:t>celkem</w:t>
      </w:r>
      <w:r w:rsidRPr="00C47FBF">
        <w:rPr>
          <w:rFonts w:ascii="Arial" w:hAnsi="Arial"/>
          <w:b/>
        </w:rPr>
        <w:t xml:space="preserve"> 292 nových pracovních míst, </w:t>
      </w:r>
      <w:r w:rsidRPr="00C47FBF">
        <w:rPr>
          <w:rFonts w:ascii="Arial" w:hAnsi="Arial"/>
        </w:rPr>
        <w:t xml:space="preserve">na která bylo </w:t>
      </w:r>
      <w:r w:rsidRPr="00C47FBF">
        <w:rPr>
          <w:rFonts w:ascii="Arial" w:hAnsi="Arial"/>
          <w:b/>
        </w:rPr>
        <w:t xml:space="preserve">umístěno </w:t>
      </w:r>
      <w:r w:rsidRPr="00C47FBF">
        <w:rPr>
          <w:rFonts w:ascii="Arial" w:hAnsi="Arial"/>
          <w:bCs/>
        </w:rPr>
        <w:t xml:space="preserve">od počátku roku </w:t>
      </w:r>
      <w:r w:rsidRPr="00C47FBF">
        <w:rPr>
          <w:rFonts w:ascii="Arial" w:hAnsi="Arial"/>
          <w:b/>
          <w:bCs/>
        </w:rPr>
        <w:t>351 </w:t>
      </w:r>
      <w:r w:rsidRPr="00C47FBF">
        <w:rPr>
          <w:rFonts w:ascii="Arial" w:hAnsi="Arial"/>
          <w:b/>
        </w:rPr>
        <w:t xml:space="preserve">osob se zdravotním postižením </w:t>
      </w:r>
      <w:r w:rsidRPr="00C47FBF">
        <w:rPr>
          <w:rFonts w:ascii="Arial" w:hAnsi="Arial"/>
          <w:bCs/>
        </w:rPr>
        <w:t>(OZP</w:t>
      </w:r>
      <w:r w:rsidRPr="006137CD">
        <w:rPr>
          <w:rFonts w:ascii="Arial" w:hAnsi="Arial"/>
          <w:bCs/>
        </w:rPr>
        <w:t>)</w:t>
      </w:r>
      <w:r w:rsidRPr="006137CD">
        <w:rPr>
          <w:rFonts w:ascii="Arial" w:hAnsi="Arial"/>
        </w:rPr>
        <w:t xml:space="preserve">. V těchto počtech jsou zahrnuta i místa pro OZP, které se rozhodnou vykonávat samostatnou výdělečnou činnost. </w:t>
      </w:r>
      <w:r w:rsidRPr="006137CD">
        <w:rPr>
          <w:rFonts w:ascii="Arial" w:hAnsi="Arial" w:cs="Arial"/>
        </w:rPr>
        <w:t>Na zřízení CHPM bylo vynaloženo 15 560 tis. Kč</w:t>
      </w:r>
      <w:r w:rsidRPr="00AD15C6">
        <w:rPr>
          <w:rFonts w:ascii="Arial" w:hAnsi="Arial" w:cs="Arial"/>
        </w:rPr>
        <w:t xml:space="preserve">, což je o 3 006 tis. Kč více než v 1. pololetí 2012. </w:t>
      </w:r>
    </w:p>
    <w:p w:rsidR="00651C1F" w:rsidRPr="005B6C5F" w:rsidRDefault="00651C1F" w:rsidP="00651C1F">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60" w:lineRule="auto"/>
        <w:jc w:val="both"/>
        <w:rPr>
          <w:rFonts w:ascii="Arial" w:hAnsi="Arial" w:cs="Arial"/>
          <w:highlight w:val="yellow"/>
        </w:rPr>
      </w:pPr>
      <w:r>
        <w:rPr>
          <w:rFonts w:ascii="Arial" w:hAnsi="Arial" w:cs="Arial"/>
        </w:rPr>
        <w:tab/>
      </w:r>
      <w:r w:rsidRPr="006137CD">
        <w:rPr>
          <w:rFonts w:ascii="Arial" w:hAnsi="Arial" w:cs="Arial"/>
        </w:rPr>
        <w:t xml:space="preserve">Na </w:t>
      </w:r>
      <w:r w:rsidRPr="00FD226D">
        <w:rPr>
          <w:rFonts w:ascii="Arial" w:hAnsi="Arial" w:cs="Arial"/>
          <w:b/>
        </w:rPr>
        <w:t>částečnou úhradu provozních nákladů CHPM</w:t>
      </w:r>
      <w:r w:rsidRPr="006137CD">
        <w:rPr>
          <w:rFonts w:ascii="Arial" w:hAnsi="Arial" w:cs="Arial"/>
        </w:rPr>
        <w:t xml:space="preserve"> (na nichž bylo </w:t>
      </w:r>
      <w:r w:rsidRPr="00140895">
        <w:rPr>
          <w:rFonts w:ascii="Arial" w:hAnsi="Arial" w:cs="Arial"/>
        </w:rPr>
        <w:t>zaměstnáno 81 OZP) byly vynaloženy finanční prostředky ve výši 1 </w:t>
      </w:r>
      <w:r w:rsidRPr="005B6C5F">
        <w:rPr>
          <w:rFonts w:ascii="Arial" w:hAnsi="Arial" w:cs="Arial"/>
        </w:rPr>
        <w:t xml:space="preserve">909 tis. Kč. Výrazný meziroční pokles počtu podpořených osob i vynaložených finančních prostředků je způsoben tím, že příspěvek na provozní náklady chráněného pracovního místa je </w:t>
      </w:r>
      <w:r w:rsidRPr="005B6C5F">
        <w:rPr>
          <w:rFonts w:ascii="Arial" w:hAnsi="Arial" w:cs="Arial"/>
        </w:rPr>
        <w:lastRenderedPageBreak/>
        <w:t>zaměstnavatelům s více než 50</w:t>
      </w:r>
      <w:r>
        <w:rPr>
          <w:rFonts w:ascii="Arial" w:hAnsi="Arial" w:cs="Arial"/>
        </w:rPr>
        <w:t> </w:t>
      </w:r>
      <w:r w:rsidRPr="005B6C5F">
        <w:rPr>
          <w:rFonts w:ascii="Arial" w:hAnsi="Arial" w:cs="Arial"/>
        </w:rPr>
        <w:t xml:space="preserve">% OZP poskytován v rámci příspěvku </w:t>
      </w:r>
      <w:r>
        <w:rPr>
          <w:rFonts w:ascii="Arial" w:hAnsi="Arial" w:cs="Arial"/>
        </w:rPr>
        <w:t>po</w:t>
      </w:r>
      <w:r w:rsidRPr="005B6C5F">
        <w:rPr>
          <w:rFonts w:ascii="Arial" w:hAnsi="Arial" w:cs="Arial"/>
        </w:rPr>
        <w:t>dle §</w:t>
      </w:r>
      <w:r>
        <w:rPr>
          <w:rFonts w:ascii="Arial" w:hAnsi="Arial" w:cs="Arial"/>
        </w:rPr>
        <w:t> </w:t>
      </w:r>
      <w:r w:rsidRPr="005B6C5F">
        <w:rPr>
          <w:rFonts w:ascii="Arial" w:hAnsi="Arial" w:cs="Arial"/>
        </w:rPr>
        <w:t xml:space="preserve">78 zákona o zaměstnanosti. </w:t>
      </w:r>
    </w:p>
    <w:p w:rsidR="00651C1F" w:rsidRDefault="00651C1F" w:rsidP="00651C1F">
      <w:pPr>
        <w:spacing w:line="360" w:lineRule="auto"/>
        <w:ind w:firstLine="567"/>
        <w:jc w:val="both"/>
        <w:rPr>
          <w:rFonts w:ascii="Arial" w:hAnsi="Arial" w:cs="Arial"/>
        </w:rPr>
      </w:pPr>
      <w:r w:rsidRPr="008D415A">
        <w:rPr>
          <w:rFonts w:ascii="Arial" w:hAnsi="Arial" w:cs="Arial"/>
          <w:b/>
        </w:rPr>
        <w:t xml:space="preserve">Celková částka na zřízení CHPM a na provoz </w:t>
      </w:r>
      <w:r w:rsidRPr="00995EB7">
        <w:rPr>
          <w:rFonts w:ascii="Arial" w:hAnsi="Arial" w:cs="Arial"/>
          <w:b/>
        </w:rPr>
        <w:t xml:space="preserve">CHPM </w:t>
      </w:r>
      <w:r w:rsidRPr="00995EB7">
        <w:rPr>
          <w:rFonts w:ascii="Arial" w:hAnsi="Arial" w:cs="Arial"/>
        </w:rPr>
        <w:t xml:space="preserve">činila </w:t>
      </w:r>
      <w:r w:rsidRPr="00995EB7">
        <w:rPr>
          <w:rFonts w:ascii="Arial" w:hAnsi="Arial" w:cs="Arial"/>
          <w:b/>
        </w:rPr>
        <w:t>17 469 tis. Kč</w:t>
      </w:r>
      <w:r w:rsidRPr="00995EB7">
        <w:rPr>
          <w:rFonts w:ascii="Arial" w:hAnsi="Arial" w:cs="Arial"/>
        </w:rPr>
        <w:t xml:space="preserve">, </w:t>
      </w:r>
      <w:r w:rsidRPr="00425BBF">
        <w:rPr>
          <w:rFonts w:ascii="Arial" w:hAnsi="Arial" w:cs="Arial"/>
        </w:rPr>
        <w:t xml:space="preserve">což bylo o 73 870 tis. Kč méně než </w:t>
      </w:r>
      <w:r w:rsidRPr="00995EB7">
        <w:rPr>
          <w:rFonts w:ascii="Arial" w:hAnsi="Arial" w:cs="Arial"/>
        </w:rPr>
        <w:t>v 1. pololetí 2012.</w:t>
      </w:r>
      <w:r w:rsidRPr="00995EB7">
        <w:rPr>
          <w:rFonts w:ascii="Arial" w:hAnsi="Arial" w:cs="Arial"/>
          <w:b/>
        </w:rPr>
        <w:t xml:space="preserve"> </w:t>
      </w:r>
      <w:r w:rsidRPr="008D415A">
        <w:rPr>
          <w:rFonts w:ascii="Arial" w:hAnsi="Arial" w:cs="Arial"/>
        </w:rPr>
        <w:t>Jejich</w:t>
      </w:r>
      <w:r w:rsidRPr="008D415A">
        <w:rPr>
          <w:rFonts w:ascii="Arial" w:hAnsi="Arial" w:cs="Arial"/>
          <w:b/>
        </w:rPr>
        <w:t xml:space="preserve"> podíl </w:t>
      </w:r>
      <w:r w:rsidRPr="008D415A">
        <w:rPr>
          <w:rFonts w:ascii="Arial" w:hAnsi="Arial" w:cs="Arial"/>
        </w:rPr>
        <w:t>z celkových výdajů ÚP</w:t>
      </w:r>
      <w:r w:rsidR="00D5687C">
        <w:rPr>
          <w:rFonts w:ascii="Arial" w:hAnsi="Arial" w:cs="Arial"/>
        </w:rPr>
        <w:t> ČR</w:t>
      </w:r>
      <w:r w:rsidRPr="008D415A">
        <w:rPr>
          <w:rFonts w:ascii="Arial" w:hAnsi="Arial" w:cs="Arial"/>
        </w:rPr>
        <w:t xml:space="preserve"> na APZ </w:t>
      </w:r>
      <w:r w:rsidRPr="008D415A">
        <w:rPr>
          <w:rFonts w:ascii="Arial" w:hAnsi="Arial" w:cs="Arial"/>
          <w:b/>
        </w:rPr>
        <w:t xml:space="preserve">se </w:t>
      </w:r>
      <w:r w:rsidRPr="009C56B3">
        <w:rPr>
          <w:rFonts w:ascii="Arial" w:hAnsi="Arial" w:cs="Arial"/>
        </w:rPr>
        <w:t xml:space="preserve">meziročně </w:t>
      </w:r>
      <w:r w:rsidRPr="009C56B3">
        <w:rPr>
          <w:rFonts w:ascii="Arial" w:hAnsi="Arial" w:cs="Arial"/>
          <w:b/>
        </w:rPr>
        <w:t>snížil</w:t>
      </w:r>
      <w:r w:rsidRPr="009C56B3">
        <w:rPr>
          <w:rFonts w:ascii="Arial" w:hAnsi="Arial" w:cs="Arial"/>
        </w:rPr>
        <w:t xml:space="preserve"> z 8,4 % na </w:t>
      </w:r>
      <w:r w:rsidRPr="009C56B3">
        <w:rPr>
          <w:rFonts w:ascii="Arial" w:hAnsi="Arial" w:cs="Arial"/>
          <w:b/>
        </w:rPr>
        <w:t>1,2 %</w:t>
      </w:r>
      <w:r w:rsidRPr="009C56B3">
        <w:rPr>
          <w:rFonts w:ascii="Arial" w:hAnsi="Arial" w:cs="Arial"/>
        </w:rPr>
        <w:t xml:space="preserve">. </w:t>
      </w:r>
    </w:p>
    <w:p w:rsidR="00651C1F" w:rsidRPr="00E974CD" w:rsidRDefault="00651C1F" w:rsidP="00651C1F">
      <w:pPr>
        <w:spacing w:line="360" w:lineRule="auto"/>
        <w:ind w:firstLine="567"/>
        <w:jc w:val="both"/>
        <w:rPr>
          <w:rFonts w:ascii="Arial" w:hAnsi="Arial" w:cs="Arial"/>
          <w:b/>
        </w:rPr>
      </w:pPr>
      <w:r w:rsidRPr="00E974CD">
        <w:rPr>
          <w:rFonts w:ascii="Arial" w:hAnsi="Arial" w:cs="Arial"/>
        </w:rPr>
        <w:t xml:space="preserve">Další formou podpory osob se zdravotním postižením (OZP) je </w:t>
      </w:r>
      <w:r w:rsidRPr="00E974CD">
        <w:rPr>
          <w:rFonts w:ascii="Arial" w:hAnsi="Arial" w:cs="Arial"/>
          <w:b/>
        </w:rPr>
        <w:t xml:space="preserve">pracovní rehabilitace, </w:t>
      </w:r>
      <w:r w:rsidRPr="00E974CD">
        <w:rPr>
          <w:rFonts w:ascii="Arial" w:hAnsi="Arial" w:cs="Arial"/>
        </w:rPr>
        <w:t>která je uskutečňována na základě individuálního plánu pracovní rehabilitace. Individuální plán pracovní rehabilitace obsahuje mimo jiné i jednotlivé formy pracovní rehabilitace a je ve své podstatě harmonogramem naplňování dohodnutého postupu vedoucího k pracovnímu uplatnění OZP</w:t>
      </w:r>
      <w:r w:rsidRPr="00830479">
        <w:rPr>
          <w:rFonts w:ascii="Arial" w:hAnsi="Arial" w:cs="Arial"/>
        </w:rPr>
        <w:t xml:space="preserve">. Nejčastěji zabezpečovanou formou pracovní rehabilitace byla příprava k práci. </w:t>
      </w:r>
      <w:r w:rsidRPr="00830479">
        <w:rPr>
          <w:rFonts w:ascii="Arial" w:hAnsi="Arial" w:cs="Arial"/>
          <w:b/>
        </w:rPr>
        <w:t>Ro</w:t>
      </w:r>
      <w:r w:rsidRPr="00E974CD">
        <w:rPr>
          <w:rFonts w:ascii="Arial" w:hAnsi="Arial" w:cs="Arial"/>
          <w:b/>
        </w:rPr>
        <w:t>zsah</w:t>
      </w:r>
      <w:r w:rsidRPr="00E974CD">
        <w:rPr>
          <w:rFonts w:ascii="Arial" w:hAnsi="Arial" w:cs="Arial"/>
        </w:rPr>
        <w:t xml:space="preserve"> tohoto způsobu </w:t>
      </w:r>
      <w:r w:rsidRPr="00E974CD">
        <w:rPr>
          <w:rFonts w:ascii="Arial" w:hAnsi="Arial" w:cs="Arial"/>
          <w:b/>
        </w:rPr>
        <w:t>podpory</w:t>
      </w:r>
      <w:r w:rsidRPr="00E974CD">
        <w:rPr>
          <w:rFonts w:ascii="Arial" w:hAnsi="Arial" w:cs="Arial"/>
        </w:rPr>
        <w:t xml:space="preserve"> osob se zdravotním postižením </w:t>
      </w:r>
      <w:r w:rsidRPr="00E974CD">
        <w:rPr>
          <w:rFonts w:ascii="Arial" w:hAnsi="Arial" w:cs="Arial"/>
          <w:b/>
        </w:rPr>
        <w:t>představoval</w:t>
      </w:r>
      <w:r w:rsidRPr="00E974CD">
        <w:rPr>
          <w:rFonts w:ascii="Arial" w:hAnsi="Arial" w:cs="Arial"/>
        </w:rPr>
        <w:t xml:space="preserve"> </w:t>
      </w:r>
      <w:r w:rsidRPr="00E974CD">
        <w:rPr>
          <w:rFonts w:ascii="Arial" w:hAnsi="Arial"/>
          <w:b/>
        </w:rPr>
        <w:t xml:space="preserve">v 1. pololetí 2013 </w:t>
      </w:r>
      <w:r w:rsidRPr="00E974CD">
        <w:rPr>
          <w:rFonts w:ascii="Arial" w:hAnsi="Arial" w:cs="Arial"/>
        </w:rPr>
        <w:t xml:space="preserve">objem </w:t>
      </w:r>
      <w:r w:rsidRPr="004448EB">
        <w:rPr>
          <w:rFonts w:ascii="Arial" w:hAnsi="Arial" w:cs="Arial"/>
          <w:b/>
        </w:rPr>
        <w:t>1 165 tis. </w:t>
      </w:r>
      <w:r w:rsidRPr="00AE1676">
        <w:rPr>
          <w:rFonts w:ascii="Arial" w:hAnsi="Arial" w:cs="Arial"/>
          <w:b/>
        </w:rPr>
        <w:t xml:space="preserve">Kč, </w:t>
      </w:r>
      <w:r w:rsidRPr="00AE1676">
        <w:rPr>
          <w:rFonts w:ascii="Arial" w:hAnsi="Arial" w:cs="Arial"/>
        </w:rPr>
        <w:t xml:space="preserve">tj. o 244 tis. Kč </w:t>
      </w:r>
      <w:r>
        <w:rPr>
          <w:rFonts w:ascii="Arial" w:hAnsi="Arial" w:cs="Arial"/>
        </w:rPr>
        <w:t>více</w:t>
      </w:r>
      <w:r w:rsidRPr="00AE1676">
        <w:rPr>
          <w:rFonts w:ascii="Arial" w:hAnsi="Arial" w:cs="Arial"/>
        </w:rPr>
        <w:t xml:space="preserve"> než ve stejném období předchozího roku.</w:t>
      </w:r>
      <w:r w:rsidRPr="00AE1676">
        <w:rPr>
          <w:rFonts w:ascii="Arial" w:hAnsi="Arial" w:cs="Arial"/>
          <w:b/>
        </w:rPr>
        <w:t xml:space="preserve"> </w:t>
      </w:r>
    </w:p>
    <w:p w:rsidR="00651C1F" w:rsidRPr="00F8615C" w:rsidRDefault="00651C1F" w:rsidP="00651C1F">
      <w:pPr>
        <w:spacing w:line="360" w:lineRule="auto"/>
        <w:ind w:firstLine="567"/>
        <w:jc w:val="both"/>
        <w:rPr>
          <w:rFonts w:ascii="Arial" w:hAnsi="Arial" w:cs="Arial"/>
          <w:b/>
        </w:rPr>
      </w:pPr>
      <w:r w:rsidRPr="00F8615C">
        <w:rPr>
          <w:rFonts w:ascii="Arial" w:hAnsi="Arial" w:cs="Arial"/>
        </w:rPr>
        <w:t xml:space="preserve">Také čerpání finančních prostředků v rámci </w:t>
      </w:r>
      <w:r w:rsidRPr="00F8615C">
        <w:rPr>
          <w:rFonts w:ascii="Arial" w:hAnsi="Arial" w:cs="Arial"/>
          <w:bCs/>
        </w:rPr>
        <w:t>podpory zaměstnávání osob se zdravotním postižením</w:t>
      </w:r>
      <w:r w:rsidRPr="00F8615C">
        <w:rPr>
          <w:rFonts w:ascii="Arial" w:hAnsi="Arial" w:cs="Arial"/>
        </w:rPr>
        <w:t xml:space="preserve"> podle </w:t>
      </w:r>
      <w:r w:rsidRPr="00F8615C">
        <w:rPr>
          <w:rFonts w:ascii="Arial" w:hAnsi="Arial" w:cs="Arial"/>
          <w:b/>
        </w:rPr>
        <w:t>§ 78 zákona o zaměstnanosti</w:t>
      </w:r>
      <w:r w:rsidRPr="00F8615C">
        <w:rPr>
          <w:rFonts w:ascii="Arial" w:hAnsi="Arial" w:cs="Arial"/>
        </w:rPr>
        <w:t xml:space="preserve">, se meziročně mírně snížilo </w:t>
      </w:r>
      <w:r w:rsidRPr="00F8615C">
        <w:rPr>
          <w:rFonts w:ascii="Arial" w:hAnsi="Arial" w:cs="Arial"/>
          <w:b/>
        </w:rPr>
        <w:t>o 1 164</w:t>
      </w:r>
      <w:r w:rsidRPr="00F8615C">
        <w:rPr>
          <w:rFonts w:ascii="Arial" w:hAnsi="Arial" w:cs="Arial"/>
          <w:b/>
          <w:bCs/>
        </w:rPr>
        <w:t> tis. Kč</w:t>
      </w:r>
      <w:r w:rsidRPr="00F8615C">
        <w:rPr>
          <w:rFonts w:ascii="Arial" w:hAnsi="Arial" w:cs="Arial"/>
          <w:b/>
        </w:rPr>
        <w:t>.</w:t>
      </w:r>
    </w:p>
    <w:p w:rsidR="00651C1F" w:rsidRPr="009A6D0E" w:rsidRDefault="00651C1F" w:rsidP="00651C1F">
      <w:pPr>
        <w:spacing w:line="360" w:lineRule="auto"/>
        <w:ind w:firstLine="567"/>
        <w:jc w:val="both"/>
        <w:rPr>
          <w:rFonts w:ascii="Arial" w:hAnsi="Arial" w:cs="Arial"/>
          <w:sz w:val="18"/>
          <w:szCs w:val="18"/>
        </w:rPr>
      </w:pPr>
      <w:r w:rsidRPr="009A6D0E">
        <w:rPr>
          <w:rFonts w:ascii="Arial" w:hAnsi="Arial" w:cs="Arial"/>
        </w:rPr>
        <w:t>V </w:t>
      </w:r>
      <w:r>
        <w:rPr>
          <w:rFonts w:ascii="Arial" w:hAnsi="Arial" w:cs="Arial"/>
        </w:rPr>
        <w:t>1. </w:t>
      </w:r>
      <w:r w:rsidRPr="009A6D0E">
        <w:rPr>
          <w:rFonts w:ascii="Arial" w:hAnsi="Arial" w:cs="Arial"/>
        </w:rPr>
        <w:t xml:space="preserve">pololetí 2013 bylo dále </w:t>
      </w:r>
      <w:r w:rsidRPr="009A6D0E">
        <w:rPr>
          <w:rFonts w:ascii="Arial" w:hAnsi="Arial" w:cs="Arial"/>
          <w:b/>
        </w:rPr>
        <w:t>vymezeno 3 119 CHPM</w:t>
      </w:r>
      <w:r w:rsidRPr="009A6D0E">
        <w:rPr>
          <w:rFonts w:ascii="Arial" w:hAnsi="Arial" w:cs="Arial"/>
        </w:rPr>
        <w:t>. Vymezování CHPM bylo v </w:t>
      </w:r>
      <w:r>
        <w:rPr>
          <w:rFonts w:ascii="Arial" w:hAnsi="Arial" w:cs="Arial"/>
        </w:rPr>
        <w:t>1. </w:t>
      </w:r>
      <w:r w:rsidRPr="009A6D0E">
        <w:rPr>
          <w:rFonts w:ascii="Arial" w:hAnsi="Arial" w:cs="Arial"/>
        </w:rPr>
        <w:t xml:space="preserve">pololetí 2013 realizováno v souvislosti s </w:t>
      </w:r>
      <w:r w:rsidRPr="00002FF5">
        <w:rPr>
          <w:rFonts w:ascii="Arial" w:hAnsi="Arial" w:cs="Arial"/>
          <w:b/>
        </w:rPr>
        <w:t>novou právní úpravou účinnou od 1. 7. 2012.</w:t>
      </w:r>
      <w:r w:rsidRPr="009A6D0E">
        <w:rPr>
          <w:rFonts w:ascii="Arial" w:hAnsi="Arial" w:cs="Arial"/>
        </w:rPr>
        <w:t xml:space="preserve"> Dle nové právní úpravy vzniká nárok na příspěvek podle § 78 zákona o zaměstnanosti, zaměstnavatelům, kteří zaměstnávají zaměstnance se zdravotním postižením na CHPM. Účelem nové právní úpravy je </w:t>
      </w:r>
      <w:r w:rsidRPr="00002FF5">
        <w:rPr>
          <w:rFonts w:ascii="Arial" w:hAnsi="Arial" w:cs="Arial"/>
          <w:b/>
        </w:rPr>
        <w:t>zefektivnění podpory poskytované v rámci příspěvku na podporu zaměstnávání oso</w:t>
      </w:r>
      <w:r w:rsidR="00D5687C">
        <w:rPr>
          <w:rFonts w:ascii="Arial" w:hAnsi="Arial" w:cs="Arial"/>
          <w:b/>
        </w:rPr>
        <w:t>b se zdravotním postižením, tj. </w:t>
      </w:r>
      <w:r w:rsidRPr="00002FF5">
        <w:rPr>
          <w:rFonts w:ascii="Arial" w:hAnsi="Arial" w:cs="Arial"/>
          <w:b/>
        </w:rPr>
        <w:t>vyloučit z této podpory tzv.</w:t>
      </w:r>
      <w:r>
        <w:rPr>
          <w:rFonts w:ascii="Arial" w:hAnsi="Arial" w:cs="Arial"/>
          <w:b/>
        </w:rPr>
        <w:t> </w:t>
      </w:r>
      <w:r w:rsidRPr="00002FF5">
        <w:rPr>
          <w:rFonts w:ascii="Arial" w:hAnsi="Arial" w:cs="Arial"/>
          <w:b/>
        </w:rPr>
        <w:t>fiktivní zaměstnavatele</w:t>
      </w:r>
      <w:r w:rsidRPr="009A6D0E">
        <w:rPr>
          <w:rFonts w:ascii="Arial" w:hAnsi="Arial" w:cs="Arial"/>
        </w:rPr>
        <w:t xml:space="preserve">, kteří svoji činnost realizují jen za účelem čerpání příspěvku. </w:t>
      </w:r>
    </w:p>
    <w:p w:rsidR="00651C1F" w:rsidRPr="00BE46BE" w:rsidRDefault="00651C1F" w:rsidP="00651C1F">
      <w:pPr>
        <w:jc w:val="both"/>
        <w:rPr>
          <w:sz w:val="16"/>
          <w:szCs w:val="16"/>
        </w:rPr>
      </w:pPr>
    </w:p>
    <w:p w:rsidR="00651C1F" w:rsidRDefault="00651C1F" w:rsidP="00651C1F">
      <w:pPr>
        <w:spacing w:line="360" w:lineRule="auto"/>
        <w:ind w:firstLine="567"/>
        <w:jc w:val="both"/>
        <w:rPr>
          <w:rFonts w:ascii="Arial" w:hAnsi="Arial"/>
          <w:b/>
        </w:rPr>
      </w:pPr>
    </w:p>
    <w:p w:rsidR="00651C1F" w:rsidRPr="0018025F" w:rsidRDefault="00651C1F" w:rsidP="00651C1F">
      <w:pPr>
        <w:spacing w:line="360" w:lineRule="auto"/>
        <w:ind w:firstLine="567"/>
        <w:jc w:val="both"/>
        <w:rPr>
          <w:rFonts w:ascii="Arial" w:hAnsi="Arial"/>
          <w:b/>
        </w:rPr>
      </w:pPr>
      <w:r w:rsidRPr="0018025F">
        <w:rPr>
          <w:rFonts w:ascii="Arial" w:hAnsi="Arial"/>
          <w:b/>
        </w:rPr>
        <w:t>Méně využívané nástroje APZ</w:t>
      </w:r>
    </w:p>
    <w:p w:rsidR="00651C1F" w:rsidRPr="00BE46BE" w:rsidRDefault="00651C1F" w:rsidP="00651C1F">
      <w:pPr>
        <w:spacing w:line="360" w:lineRule="auto"/>
        <w:ind w:firstLine="708"/>
        <w:jc w:val="both"/>
        <w:rPr>
          <w:rFonts w:ascii="Arial" w:hAnsi="Arial"/>
        </w:rPr>
      </w:pPr>
    </w:p>
    <w:p w:rsidR="00651C1F" w:rsidRPr="00105805" w:rsidRDefault="00651C1F" w:rsidP="00651C1F">
      <w:pPr>
        <w:spacing w:line="360" w:lineRule="auto"/>
        <w:ind w:firstLine="567"/>
        <w:jc w:val="both"/>
        <w:rPr>
          <w:rFonts w:ascii="Arial" w:hAnsi="Arial" w:cs="Arial"/>
          <w:b/>
          <w:bCs/>
        </w:rPr>
      </w:pPr>
      <w:r w:rsidRPr="00105805">
        <w:rPr>
          <w:rFonts w:ascii="Arial" w:hAnsi="Arial"/>
        </w:rPr>
        <w:t xml:space="preserve">Méně využívanými nástroji aktivní politiky zaměstnanosti jsou </w:t>
      </w:r>
      <w:r w:rsidRPr="00105805">
        <w:rPr>
          <w:rFonts w:ascii="Arial" w:hAnsi="Arial"/>
          <w:b/>
        </w:rPr>
        <w:t>p</w:t>
      </w:r>
      <w:r w:rsidRPr="00105805">
        <w:rPr>
          <w:rFonts w:ascii="Arial" w:hAnsi="Arial"/>
          <w:b/>
          <w:bCs/>
        </w:rPr>
        <w:t xml:space="preserve">říspěvek na zapracování, </w:t>
      </w:r>
      <w:r w:rsidRPr="00105805">
        <w:rPr>
          <w:rFonts w:ascii="Arial" w:hAnsi="Arial"/>
          <w:b/>
        </w:rPr>
        <w:t>p</w:t>
      </w:r>
      <w:r w:rsidRPr="00105805">
        <w:rPr>
          <w:rFonts w:ascii="Arial" w:hAnsi="Arial"/>
          <w:b/>
          <w:bCs/>
        </w:rPr>
        <w:t>říspěvek při přechodu na nový podnikatelský program a p</w:t>
      </w:r>
      <w:r w:rsidRPr="00105805">
        <w:rPr>
          <w:rFonts w:ascii="Arial" w:hAnsi="Arial" w:cs="Arial"/>
          <w:b/>
          <w:bCs/>
        </w:rPr>
        <w:t>řeklenovací příspěvek.</w:t>
      </w:r>
    </w:p>
    <w:p w:rsidR="00651C1F" w:rsidRPr="00BE46BE" w:rsidRDefault="00651C1F" w:rsidP="00651C1F">
      <w:pPr>
        <w:numPr>
          <w:ilvl w:val="0"/>
          <w:numId w:val="22"/>
        </w:numPr>
        <w:spacing w:line="360" w:lineRule="auto"/>
        <w:jc w:val="both"/>
        <w:rPr>
          <w:rFonts w:ascii="Arial" w:hAnsi="Arial"/>
          <w:bCs/>
        </w:rPr>
      </w:pPr>
      <w:r w:rsidRPr="00105805">
        <w:rPr>
          <w:rFonts w:ascii="Arial" w:hAnsi="Arial"/>
          <w:b/>
          <w:bCs/>
        </w:rPr>
        <w:t xml:space="preserve">Příspěvek na zapracování </w:t>
      </w:r>
      <w:r w:rsidRPr="00105805">
        <w:rPr>
          <w:rFonts w:ascii="Arial" w:hAnsi="Arial"/>
        </w:rPr>
        <w:t>může ÚP</w:t>
      </w:r>
      <w:r>
        <w:rPr>
          <w:rFonts w:ascii="Arial" w:hAnsi="Arial"/>
        </w:rPr>
        <w:t> ČR</w:t>
      </w:r>
      <w:r w:rsidRPr="00105805">
        <w:rPr>
          <w:rFonts w:ascii="Arial" w:hAnsi="Arial"/>
        </w:rPr>
        <w:t xml:space="preserve"> poskytnout zaměstnavateli, který přijímá do pracovního poměru uchazeče o zaměstnání, kterému ÚP</w:t>
      </w:r>
      <w:r>
        <w:rPr>
          <w:rFonts w:ascii="Arial" w:hAnsi="Arial"/>
        </w:rPr>
        <w:t> ČR</w:t>
      </w:r>
      <w:r w:rsidRPr="00105805">
        <w:rPr>
          <w:rFonts w:ascii="Arial" w:hAnsi="Arial"/>
        </w:rPr>
        <w:t xml:space="preserve"> věnuje zvýšenou péči. Příspěvek lze poskytovat maximálně po dobu 3 měsíců </w:t>
      </w:r>
      <w:r w:rsidRPr="00105805">
        <w:rPr>
          <w:rFonts w:ascii="Arial" w:hAnsi="Arial"/>
        </w:rPr>
        <w:lastRenderedPageBreak/>
        <w:t xml:space="preserve">a může činit nejvýše polovinu minimální mzdy na jednu fyzickou osobu, která zapracovává přijatého uchazeče o zaměstnání. V 1. pololetí 2013 </w:t>
      </w:r>
      <w:r w:rsidRPr="00105805">
        <w:rPr>
          <w:rFonts w:ascii="Arial" w:hAnsi="Arial" w:cs="Arial"/>
        </w:rPr>
        <w:t xml:space="preserve">bylo </w:t>
      </w:r>
      <w:r w:rsidRPr="00105805">
        <w:rPr>
          <w:rFonts w:ascii="Arial" w:hAnsi="Arial"/>
        </w:rPr>
        <w:t xml:space="preserve">zaměstnavatelům z tohoto titulu vyplaceno </w:t>
      </w:r>
      <w:r w:rsidRPr="006B56CE">
        <w:rPr>
          <w:rFonts w:ascii="Arial" w:hAnsi="Arial"/>
          <w:b/>
        </w:rPr>
        <w:t>109</w:t>
      </w:r>
      <w:r w:rsidRPr="006B56CE">
        <w:rPr>
          <w:rFonts w:ascii="Arial" w:hAnsi="Arial"/>
          <w:b/>
          <w:bCs/>
        </w:rPr>
        <w:t> tis. Kč</w:t>
      </w:r>
      <w:r>
        <w:rPr>
          <w:rFonts w:ascii="Arial" w:hAnsi="Arial"/>
          <w:b/>
          <w:bCs/>
        </w:rPr>
        <w:t xml:space="preserve"> </w:t>
      </w:r>
      <w:r w:rsidRPr="00F24127">
        <w:rPr>
          <w:rFonts w:ascii="Arial" w:hAnsi="Arial"/>
          <w:bCs/>
        </w:rPr>
        <w:t>a podpořeno</w:t>
      </w:r>
      <w:r>
        <w:rPr>
          <w:rFonts w:ascii="Arial" w:hAnsi="Arial"/>
          <w:b/>
          <w:bCs/>
        </w:rPr>
        <w:t xml:space="preserve"> 30 osob</w:t>
      </w:r>
      <w:r w:rsidRPr="003F0FB4">
        <w:rPr>
          <w:rFonts w:ascii="Arial" w:hAnsi="Arial"/>
          <w:bCs/>
        </w:rPr>
        <w:t>.</w:t>
      </w:r>
    </w:p>
    <w:p w:rsidR="00651C1F" w:rsidRPr="00BE46BE" w:rsidRDefault="00651C1F" w:rsidP="00651C1F">
      <w:pPr>
        <w:jc w:val="both"/>
        <w:rPr>
          <w:b/>
          <w:bCs/>
          <w:sz w:val="16"/>
          <w:szCs w:val="16"/>
        </w:rPr>
      </w:pPr>
    </w:p>
    <w:p w:rsidR="00651C1F" w:rsidRPr="007B45AE" w:rsidRDefault="00651C1F" w:rsidP="00651C1F">
      <w:pPr>
        <w:numPr>
          <w:ilvl w:val="0"/>
          <w:numId w:val="22"/>
        </w:numPr>
        <w:spacing w:line="360" w:lineRule="auto"/>
        <w:jc w:val="both"/>
        <w:rPr>
          <w:rFonts w:ascii="Arial" w:hAnsi="Arial"/>
          <w:b/>
          <w:bCs/>
        </w:rPr>
      </w:pPr>
      <w:r w:rsidRPr="00BE46BE">
        <w:rPr>
          <w:rFonts w:ascii="Arial" w:hAnsi="Arial"/>
          <w:b/>
          <w:bCs/>
        </w:rPr>
        <w:t xml:space="preserve">Příspěvek při přechodu na nový podnikatelský program </w:t>
      </w:r>
      <w:r w:rsidRPr="00BE46BE">
        <w:rPr>
          <w:rFonts w:ascii="Arial" w:hAnsi="Arial"/>
          <w:bCs/>
        </w:rPr>
        <w:t xml:space="preserve">slouží k podpoře zaměstnavatelů, kteří z důvodu přechodu na nový podnikatelský </w:t>
      </w:r>
      <w:r w:rsidRPr="008A257A">
        <w:rPr>
          <w:rFonts w:ascii="Arial" w:hAnsi="Arial"/>
          <w:bCs/>
        </w:rPr>
        <w:t xml:space="preserve">program nemohou zabezpečit pro své zaměstnance práci v rozsahu stanovené týdenní pracovní doby. </w:t>
      </w:r>
      <w:r w:rsidRPr="008A257A">
        <w:rPr>
          <w:rFonts w:ascii="Arial" w:hAnsi="Arial"/>
        </w:rPr>
        <w:t xml:space="preserve">V 1. pololetí 2013 na </w:t>
      </w:r>
      <w:r w:rsidRPr="007B45AE">
        <w:rPr>
          <w:rFonts w:ascii="Arial" w:hAnsi="Arial"/>
        </w:rPr>
        <w:t xml:space="preserve">tento druh podpory </w:t>
      </w:r>
      <w:r w:rsidRPr="007B45AE">
        <w:rPr>
          <w:rFonts w:ascii="Arial" w:hAnsi="Arial"/>
          <w:b/>
        </w:rPr>
        <w:t>nebyly zaměstnavateli čerpány žádné finanční prostředky</w:t>
      </w:r>
      <w:r w:rsidRPr="007B45AE">
        <w:rPr>
          <w:rFonts w:ascii="Arial" w:hAnsi="Arial"/>
          <w:b/>
          <w:bCs/>
        </w:rPr>
        <w:t>.</w:t>
      </w:r>
    </w:p>
    <w:p w:rsidR="00651C1F" w:rsidRPr="009160FF" w:rsidRDefault="00651C1F" w:rsidP="00651C1F">
      <w:pPr>
        <w:ind w:left="708"/>
        <w:rPr>
          <w:rFonts w:ascii="Arial" w:hAnsi="Arial"/>
          <w:bCs/>
          <w:color w:val="0070C0"/>
        </w:rPr>
      </w:pPr>
    </w:p>
    <w:p w:rsidR="00651C1F" w:rsidRPr="00725953" w:rsidRDefault="00651C1F" w:rsidP="00651C1F">
      <w:pPr>
        <w:numPr>
          <w:ilvl w:val="0"/>
          <w:numId w:val="22"/>
        </w:numPr>
        <w:tabs>
          <w:tab w:val="clear" w:pos="720"/>
          <w:tab w:val="left" w:pos="709"/>
        </w:tabs>
        <w:spacing w:line="360" w:lineRule="auto"/>
        <w:jc w:val="both"/>
        <w:rPr>
          <w:rFonts w:ascii="Arial" w:hAnsi="Arial"/>
          <w:b/>
          <w:bCs/>
        </w:rPr>
      </w:pPr>
      <w:r w:rsidRPr="00981221">
        <w:rPr>
          <w:rFonts w:ascii="Arial" w:hAnsi="Arial" w:cs="Arial"/>
          <w:b/>
          <w:bCs/>
        </w:rPr>
        <w:t xml:space="preserve">Překlenovací příspěvek </w:t>
      </w:r>
      <w:r w:rsidRPr="00981221">
        <w:rPr>
          <w:rFonts w:ascii="Arial" w:hAnsi="Arial" w:cs="Arial"/>
          <w:highlight w:val="white"/>
        </w:rPr>
        <w:t>může Úřad práce</w:t>
      </w:r>
      <w:r>
        <w:rPr>
          <w:rFonts w:ascii="Arial" w:hAnsi="Arial" w:cs="Arial"/>
          <w:highlight w:val="white"/>
        </w:rPr>
        <w:t xml:space="preserve"> ČR</w:t>
      </w:r>
      <w:r w:rsidRPr="00981221">
        <w:rPr>
          <w:rFonts w:ascii="Arial" w:hAnsi="Arial" w:cs="Arial"/>
          <w:highlight w:val="white"/>
        </w:rPr>
        <w:t xml:space="preserve"> poskytnout osobě samostatně výdělečně činné, jíž byl ÚP</w:t>
      </w:r>
      <w:r>
        <w:rPr>
          <w:rFonts w:ascii="Arial" w:hAnsi="Arial" w:cs="Arial"/>
          <w:highlight w:val="white"/>
        </w:rPr>
        <w:t> ČR</w:t>
      </w:r>
      <w:r w:rsidRPr="00981221">
        <w:rPr>
          <w:rFonts w:ascii="Arial" w:hAnsi="Arial" w:cs="Arial"/>
          <w:highlight w:val="white"/>
        </w:rPr>
        <w:t xml:space="preserve"> poskytnut příspěvek na zřízení SÚPM za účelem výkonu samostatně výdělečné činnosti (SVČ). Poskytování tohoto příspěvku určeného ke krytí provozních nákladů začínajících OSVČ bylo obnoveno s platností od 1. ledna 2011.</w:t>
      </w:r>
      <w:r w:rsidRPr="00981221">
        <w:rPr>
          <w:rFonts w:ascii="Arial" w:hAnsi="Arial" w:cs="Arial"/>
        </w:rPr>
        <w:t xml:space="preserve"> Příspěvek je poskytován jednorázově na dobu max. 5 měsíců ve výši 0,25 násobku průměrné mzdy v národním hospodářství za první až třetí čtvrtletí předcházejícího roku. </w:t>
      </w:r>
      <w:r w:rsidRPr="00981221">
        <w:rPr>
          <w:rFonts w:ascii="Arial" w:hAnsi="Arial"/>
        </w:rPr>
        <w:t>V 1</w:t>
      </w:r>
      <w:r w:rsidRPr="00E74D08">
        <w:rPr>
          <w:rFonts w:ascii="Arial" w:hAnsi="Arial"/>
        </w:rPr>
        <w:t xml:space="preserve">. pololetí </w:t>
      </w:r>
      <w:r w:rsidRPr="00981221">
        <w:rPr>
          <w:rFonts w:ascii="Arial" w:hAnsi="Arial"/>
        </w:rPr>
        <w:t>2013 bylo na tento</w:t>
      </w:r>
      <w:r w:rsidRPr="00981221">
        <w:rPr>
          <w:rFonts w:ascii="Arial" w:hAnsi="Arial"/>
          <w:b/>
          <w:bCs/>
        </w:rPr>
        <w:t xml:space="preserve"> </w:t>
      </w:r>
      <w:r w:rsidRPr="00981221">
        <w:rPr>
          <w:rFonts w:ascii="Arial" w:hAnsi="Arial"/>
        </w:rPr>
        <w:t>příspěvek</w:t>
      </w:r>
      <w:r w:rsidRPr="00981221">
        <w:rPr>
          <w:rFonts w:ascii="Arial" w:hAnsi="Arial"/>
          <w:b/>
          <w:bCs/>
        </w:rPr>
        <w:t xml:space="preserve"> </w:t>
      </w:r>
      <w:r w:rsidRPr="00DB1A31">
        <w:rPr>
          <w:rFonts w:ascii="Arial" w:hAnsi="Arial"/>
          <w:b/>
          <w:bCs/>
        </w:rPr>
        <w:t xml:space="preserve">vynaloženo 1 695 tis. Kč </w:t>
      </w:r>
      <w:r w:rsidRPr="001A6B7D">
        <w:rPr>
          <w:rFonts w:ascii="Arial" w:hAnsi="Arial"/>
          <w:bCs/>
        </w:rPr>
        <w:t>a podpořeno bylo</w:t>
      </w:r>
      <w:r w:rsidRPr="00725953">
        <w:rPr>
          <w:rFonts w:ascii="Arial" w:hAnsi="Arial"/>
          <w:b/>
          <w:bCs/>
        </w:rPr>
        <w:t xml:space="preserve"> 112 osob.</w:t>
      </w:r>
      <w:r w:rsidRPr="00725953">
        <w:rPr>
          <w:rFonts w:ascii="Arial" w:hAnsi="Arial"/>
          <w:b/>
        </w:rPr>
        <w:t xml:space="preserve"> </w:t>
      </w:r>
    </w:p>
    <w:p w:rsidR="00651C1F" w:rsidRPr="009160FF" w:rsidRDefault="00651C1F" w:rsidP="00651C1F">
      <w:pPr>
        <w:ind w:firstLine="720"/>
        <w:jc w:val="both"/>
        <w:rPr>
          <w:color w:val="0070C0"/>
          <w:sz w:val="16"/>
          <w:szCs w:val="16"/>
        </w:rPr>
      </w:pPr>
    </w:p>
    <w:p w:rsidR="00651C1F" w:rsidRPr="00B6351F" w:rsidRDefault="00651C1F" w:rsidP="00651C1F">
      <w:pPr>
        <w:spacing w:line="360" w:lineRule="auto"/>
        <w:ind w:firstLine="567"/>
        <w:jc w:val="both"/>
        <w:rPr>
          <w:rFonts w:ascii="Arial" w:hAnsi="Arial"/>
          <w:b/>
        </w:rPr>
      </w:pPr>
      <w:r w:rsidRPr="00AA65C4">
        <w:rPr>
          <w:rFonts w:ascii="Arial" w:hAnsi="Arial"/>
          <w:b/>
        </w:rPr>
        <w:t>Informace o dalších opatřeních APZ realizovaných na úrovni MPSV i na ÚP</w:t>
      </w:r>
      <w:r>
        <w:rPr>
          <w:rFonts w:ascii="Arial" w:hAnsi="Arial"/>
          <w:b/>
        </w:rPr>
        <w:t xml:space="preserve"> ČR </w:t>
      </w:r>
      <w:r w:rsidRPr="00AA65C4">
        <w:rPr>
          <w:rFonts w:ascii="Arial" w:hAnsi="Arial"/>
        </w:rPr>
        <w:t xml:space="preserve">(systém investičních pobídek, projekty zaměstnanosti podporované Evropským sociálním fondem) </w:t>
      </w:r>
      <w:r w:rsidRPr="00AA65C4">
        <w:rPr>
          <w:rFonts w:ascii="Arial" w:hAnsi="Arial"/>
          <w:b/>
        </w:rPr>
        <w:t xml:space="preserve">jsou uvedeny samostatně v následujících </w:t>
      </w:r>
      <w:r w:rsidRPr="00B6351F">
        <w:rPr>
          <w:rFonts w:ascii="Arial" w:hAnsi="Arial"/>
          <w:b/>
        </w:rPr>
        <w:t>kapitolách 4. a 5.</w:t>
      </w:r>
    </w:p>
    <w:p w:rsidR="00651C1F" w:rsidRPr="001227AC" w:rsidRDefault="00651C1F" w:rsidP="00651C1F">
      <w:pPr>
        <w:widowControl w:val="0"/>
        <w:tabs>
          <w:tab w:val="left" w:pos="0"/>
          <w:tab w:val="left" w:pos="567"/>
        </w:tabs>
        <w:suppressAutoHyphens/>
        <w:autoSpaceDE w:val="0"/>
        <w:autoSpaceDN w:val="0"/>
        <w:adjustRightInd w:val="0"/>
        <w:spacing w:line="360" w:lineRule="auto"/>
        <w:jc w:val="both"/>
        <w:rPr>
          <w:rFonts w:ascii="Arial" w:hAnsi="Arial" w:cs="Arial"/>
          <w:sz w:val="16"/>
          <w:szCs w:val="16"/>
        </w:rPr>
      </w:pPr>
    </w:p>
    <w:p w:rsidR="00651C1F" w:rsidRPr="001227AC" w:rsidRDefault="00651C1F" w:rsidP="00651C1F">
      <w:pPr>
        <w:widowControl w:val="0"/>
        <w:tabs>
          <w:tab w:val="left" w:pos="0"/>
          <w:tab w:val="left" w:pos="567"/>
        </w:tabs>
        <w:suppressAutoHyphens/>
        <w:autoSpaceDE w:val="0"/>
        <w:autoSpaceDN w:val="0"/>
        <w:adjustRightInd w:val="0"/>
        <w:spacing w:line="360" w:lineRule="auto"/>
        <w:jc w:val="both"/>
        <w:rPr>
          <w:rFonts w:ascii="Arial" w:hAnsi="Arial" w:cs="Arial"/>
        </w:rPr>
      </w:pPr>
    </w:p>
    <w:p w:rsidR="00651C1F" w:rsidRPr="001227AC" w:rsidRDefault="00651C1F" w:rsidP="00651C1F">
      <w:pPr>
        <w:widowControl w:val="0"/>
        <w:tabs>
          <w:tab w:val="left" w:pos="0"/>
          <w:tab w:val="left" w:pos="567"/>
        </w:tabs>
        <w:suppressAutoHyphens/>
        <w:autoSpaceDE w:val="0"/>
        <w:autoSpaceDN w:val="0"/>
        <w:adjustRightInd w:val="0"/>
        <w:spacing w:line="360" w:lineRule="auto"/>
        <w:ind w:firstLine="567"/>
        <w:jc w:val="both"/>
        <w:rPr>
          <w:rFonts w:ascii="Arial" w:hAnsi="Arial" w:cs="Arial"/>
          <w:b/>
        </w:rPr>
      </w:pPr>
      <w:r w:rsidRPr="001227AC">
        <w:rPr>
          <w:rFonts w:ascii="Arial" w:hAnsi="Arial" w:cs="Arial"/>
          <w:b/>
        </w:rPr>
        <w:t>Plán ke zvýšení zaměstnanosti</w:t>
      </w:r>
    </w:p>
    <w:p w:rsidR="00651C1F" w:rsidRPr="001227AC" w:rsidRDefault="00651C1F" w:rsidP="00651C1F">
      <w:pPr>
        <w:widowControl w:val="0"/>
        <w:tabs>
          <w:tab w:val="left" w:pos="0"/>
          <w:tab w:val="left" w:pos="567"/>
        </w:tabs>
        <w:suppressAutoHyphens/>
        <w:autoSpaceDE w:val="0"/>
        <w:autoSpaceDN w:val="0"/>
        <w:adjustRightInd w:val="0"/>
        <w:spacing w:line="360" w:lineRule="auto"/>
        <w:jc w:val="both"/>
        <w:rPr>
          <w:rFonts w:ascii="Arial" w:hAnsi="Arial" w:cs="Arial"/>
        </w:rPr>
      </w:pPr>
      <w:r w:rsidRPr="001227AC">
        <w:rPr>
          <w:rFonts w:ascii="Arial" w:hAnsi="Arial" w:cs="Arial"/>
        </w:rPr>
        <w:tab/>
      </w:r>
    </w:p>
    <w:p w:rsidR="00651C1F" w:rsidRDefault="00651C1F" w:rsidP="00651C1F">
      <w:pPr>
        <w:widowControl w:val="0"/>
        <w:tabs>
          <w:tab w:val="left" w:pos="0"/>
          <w:tab w:val="left" w:pos="567"/>
        </w:tabs>
        <w:suppressAutoHyphens/>
        <w:autoSpaceDE w:val="0"/>
        <w:autoSpaceDN w:val="0"/>
        <w:adjustRightInd w:val="0"/>
        <w:spacing w:line="360" w:lineRule="auto"/>
        <w:jc w:val="both"/>
        <w:rPr>
          <w:rFonts w:ascii="Arial" w:hAnsi="Arial" w:cs="Arial"/>
          <w:b/>
        </w:rPr>
      </w:pPr>
      <w:r w:rsidRPr="001227AC">
        <w:rPr>
          <w:rFonts w:ascii="Arial" w:hAnsi="Arial" w:cs="Arial"/>
        </w:rPr>
        <w:tab/>
        <w:t xml:space="preserve">Ministerstvo práce a sociálních věcí realizuje od března 2013 opatření v rámci </w:t>
      </w:r>
      <w:r>
        <w:rPr>
          <w:rFonts w:ascii="Arial" w:hAnsi="Arial" w:cs="Arial"/>
        </w:rPr>
        <w:t xml:space="preserve">sedmibodového </w:t>
      </w:r>
      <w:r w:rsidRPr="001227AC">
        <w:rPr>
          <w:rFonts w:ascii="Arial" w:hAnsi="Arial" w:cs="Arial"/>
          <w:b/>
        </w:rPr>
        <w:t>Plán</w:t>
      </w:r>
      <w:r>
        <w:rPr>
          <w:rFonts w:ascii="Arial" w:hAnsi="Arial" w:cs="Arial"/>
          <w:b/>
        </w:rPr>
        <w:t>u</w:t>
      </w:r>
      <w:r w:rsidRPr="001227AC">
        <w:rPr>
          <w:rFonts w:ascii="Arial" w:hAnsi="Arial" w:cs="Arial"/>
          <w:b/>
        </w:rPr>
        <w:t xml:space="preserve"> ke zvýšení zaměstnanosti.</w:t>
      </w:r>
    </w:p>
    <w:p w:rsidR="00651C1F" w:rsidRDefault="00651C1F" w:rsidP="00651C1F">
      <w:pPr>
        <w:widowControl w:val="0"/>
        <w:tabs>
          <w:tab w:val="left" w:pos="0"/>
          <w:tab w:val="left" w:pos="567"/>
        </w:tabs>
        <w:suppressAutoHyphens/>
        <w:autoSpaceDE w:val="0"/>
        <w:autoSpaceDN w:val="0"/>
        <w:adjustRightInd w:val="0"/>
        <w:spacing w:line="360" w:lineRule="auto"/>
        <w:jc w:val="both"/>
        <w:rPr>
          <w:rFonts w:ascii="Arial" w:hAnsi="Arial" w:cs="Arial"/>
        </w:rPr>
      </w:pPr>
      <w:r>
        <w:rPr>
          <w:rFonts w:ascii="Arial" w:hAnsi="Arial" w:cs="Arial"/>
          <w:b/>
        </w:rPr>
        <w:tab/>
      </w:r>
      <w:r w:rsidRPr="00EB7528">
        <w:rPr>
          <w:rFonts w:ascii="Arial" w:hAnsi="Arial" w:cs="Arial"/>
        </w:rPr>
        <w:t>V rámci opatření</w:t>
      </w:r>
      <w:r>
        <w:rPr>
          <w:rFonts w:ascii="Arial" w:hAnsi="Arial" w:cs="Arial"/>
          <w:b/>
        </w:rPr>
        <w:t xml:space="preserve"> </w:t>
      </w:r>
      <w:r w:rsidR="004C562E">
        <w:rPr>
          <w:rFonts w:ascii="Arial" w:hAnsi="Arial" w:cs="Arial"/>
          <w:b/>
        </w:rPr>
        <w:t>„</w:t>
      </w:r>
      <w:r w:rsidRPr="00EB7528">
        <w:rPr>
          <w:rFonts w:ascii="Arial" w:hAnsi="Arial" w:cs="Arial"/>
          <w:b/>
        </w:rPr>
        <w:t>Podpora zaměstnávání mladých uchazečů do 30 let</w:t>
      </w:r>
      <w:r w:rsidR="004C562E">
        <w:rPr>
          <w:rFonts w:ascii="Arial" w:hAnsi="Arial" w:cs="Arial"/>
          <w:b/>
        </w:rPr>
        <w:t>“</w:t>
      </w:r>
      <w:r w:rsidRPr="00B90C67">
        <w:rPr>
          <w:rFonts w:ascii="Arial" w:hAnsi="Arial" w:cs="Arial"/>
        </w:rPr>
        <w:t xml:space="preserve"> mohou</w:t>
      </w:r>
      <w:r>
        <w:rPr>
          <w:rFonts w:ascii="Arial" w:hAnsi="Arial" w:cs="Arial"/>
          <w:b/>
        </w:rPr>
        <w:t xml:space="preserve"> </w:t>
      </w:r>
      <w:r>
        <w:rPr>
          <w:rFonts w:ascii="Arial" w:hAnsi="Arial" w:cs="Arial"/>
        </w:rPr>
        <w:t>z</w:t>
      </w:r>
      <w:r w:rsidRPr="00B90C67">
        <w:rPr>
          <w:rFonts w:ascii="Arial" w:hAnsi="Arial" w:cs="Arial"/>
        </w:rPr>
        <w:t xml:space="preserve">aměstnavatelé získat měsíční příspěvek od státu na tuto </w:t>
      </w:r>
      <w:r w:rsidR="00C1131F">
        <w:rPr>
          <w:rFonts w:ascii="Arial" w:hAnsi="Arial" w:cs="Arial"/>
        </w:rPr>
        <w:t>skupinu, a to až do výše 24 000</w:t>
      </w:r>
      <w:r w:rsidRPr="00B90C67">
        <w:rPr>
          <w:rFonts w:ascii="Arial" w:hAnsi="Arial" w:cs="Arial"/>
        </w:rPr>
        <w:t xml:space="preserve"> Kč (hrubá mzda plus odvody). Tento příspěvek může být poskytován až po dobu 12 měsíců. Vždy se musí jednat o nově přijatého mladého zaměstnance z</w:t>
      </w:r>
      <w:r>
        <w:rPr>
          <w:rFonts w:ascii="Arial" w:hAnsi="Arial" w:cs="Arial"/>
        </w:rPr>
        <w:t> </w:t>
      </w:r>
      <w:r w:rsidRPr="00B90C67">
        <w:rPr>
          <w:rFonts w:ascii="Arial" w:hAnsi="Arial" w:cs="Arial"/>
        </w:rPr>
        <w:t xml:space="preserve">evidence Úřadu práce ČR. Firmy také mohou získat jednorázově peníze na </w:t>
      </w:r>
      <w:r w:rsidRPr="00B90C67">
        <w:rPr>
          <w:rFonts w:ascii="Arial" w:hAnsi="Arial" w:cs="Arial"/>
        </w:rPr>
        <w:lastRenderedPageBreak/>
        <w:t>vybavení, které pro zřízení tohoto místa potřebují.</w:t>
      </w:r>
      <w:r>
        <w:rPr>
          <w:rFonts w:ascii="Arial" w:hAnsi="Arial" w:cs="Arial"/>
        </w:rPr>
        <w:t xml:space="preserve"> Do 30. 6. 2013 bylo takto podpořeno 5 851 uchazečů o zaměstnání.</w:t>
      </w:r>
    </w:p>
    <w:p w:rsidR="00651C1F" w:rsidRPr="001227AC" w:rsidRDefault="00651C1F" w:rsidP="00651C1F">
      <w:pPr>
        <w:widowControl w:val="0"/>
        <w:tabs>
          <w:tab w:val="left" w:pos="0"/>
          <w:tab w:val="left" w:pos="567"/>
        </w:tabs>
        <w:suppressAutoHyphens/>
        <w:autoSpaceDE w:val="0"/>
        <w:autoSpaceDN w:val="0"/>
        <w:adjustRightInd w:val="0"/>
        <w:spacing w:line="360" w:lineRule="auto"/>
        <w:jc w:val="both"/>
        <w:rPr>
          <w:rFonts w:ascii="Arial" w:hAnsi="Arial" w:cs="Arial"/>
        </w:rPr>
      </w:pPr>
      <w:r>
        <w:rPr>
          <w:rFonts w:ascii="Arial" w:hAnsi="Arial" w:cs="Arial"/>
        </w:rPr>
        <w:tab/>
        <w:t xml:space="preserve">V rámci opatření </w:t>
      </w:r>
      <w:r w:rsidR="004C562E">
        <w:rPr>
          <w:rFonts w:ascii="Arial" w:hAnsi="Arial" w:cs="Arial"/>
        </w:rPr>
        <w:t>„</w:t>
      </w:r>
      <w:r w:rsidRPr="002F73AC">
        <w:rPr>
          <w:rFonts w:ascii="Arial" w:hAnsi="Arial" w:cs="Arial"/>
          <w:b/>
        </w:rPr>
        <w:t>Zkrácené pracovní úvazky pro rodiče a dlouhodobě nezaměstnané</w:t>
      </w:r>
      <w:r w:rsidR="004C562E">
        <w:rPr>
          <w:rFonts w:ascii="Arial" w:hAnsi="Arial" w:cs="Arial"/>
          <w:b/>
        </w:rPr>
        <w:t>“</w:t>
      </w:r>
      <w:r>
        <w:rPr>
          <w:rFonts w:ascii="Arial" w:hAnsi="Arial" w:cs="Arial"/>
        </w:rPr>
        <w:t xml:space="preserve">, které má za cíl podpořit především </w:t>
      </w:r>
      <w:r w:rsidRPr="002B4DD4">
        <w:rPr>
          <w:rFonts w:ascii="Arial" w:hAnsi="Arial" w:cs="Arial"/>
        </w:rPr>
        <w:t>rodiče, kteří pečují o malé děti</w:t>
      </w:r>
      <w:r>
        <w:rPr>
          <w:rFonts w:ascii="Arial" w:hAnsi="Arial" w:cs="Arial"/>
        </w:rPr>
        <w:t xml:space="preserve"> a uchazeče o zaměstnání, kteří jsou </w:t>
      </w:r>
      <w:r w:rsidRPr="002B4DD4">
        <w:rPr>
          <w:rFonts w:ascii="Arial" w:hAnsi="Arial" w:cs="Arial"/>
        </w:rPr>
        <w:t xml:space="preserve">v evidenci </w:t>
      </w:r>
      <w:r>
        <w:rPr>
          <w:rFonts w:ascii="Arial" w:hAnsi="Arial" w:cs="Arial"/>
        </w:rPr>
        <w:t xml:space="preserve">ÚP ČR </w:t>
      </w:r>
      <w:r w:rsidRPr="002B4DD4">
        <w:rPr>
          <w:rFonts w:ascii="Arial" w:hAnsi="Arial" w:cs="Arial"/>
        </w:rPr>
        <w:t>déle než 1 rok</w:t>
      </w:r>
      <w:r>
        <w:rPr>
          <w:rFonts w:ascii="Arial" w:hAnsi="Arial" w:cs="Arial"/>
        </w:rPr>
        <w:t xml:space="preserve">. </w:t>
      </w:r>
      <w:r w:rsidRPr="002B4DD4">
        <w:rPr>
          <w:rFonts w:ascii="Arial" w:hAnsi="Arial" w:cs="Arial"/>
        </w:rPr>
        <w:t>Zaměstnavatelé, kteří budou pracovní příležitosti na zkrácené úvazky vytvářet, získají příspěvek až ve výši 12 000 Kč.</w:t>
      </w:r>
      <w:r>
        <w:rPr>
          <w:rFonts w:ascii="Arial" w:hAnsi="Arial" w:cs="Arial"/>
        </w:rPr>
        <w:t xml:space="preserve"> Do 30. 6. 2013 bylo takto podpořeno 1 048 uchazečů o zaměstnání.</w:t>
      </w:r>
    </w:p>
    <w:p w:rsidR="00651C1F" w:rsidRPr="001227AC" w:rsidRDefault="00651C1F" w:rsidP="00651C1F">
      <w:pPr>
        <w:widowControl w:val="0"/>
        <w:tabs>
          <w:tab w:val="left" w:pos="0"/>
          <w:tab w:val="left" w:pos="567"/>
        </w:tabs>
        <w:suppressAutoHyphens/>
        <w:autoSpaceDE w:val="0"/>
        <w:autoSpaceDN w:val="0"/>
        <w:adjustRightInd w:val="0"/>
        <w:spacing w:line="360" w:lineRule="auto"/>
        <w:jc w:val="both"/>
        <w:rPr>
          <w:rFonts w:ascii="Arial" w:hAnsi="Arial" w:cs="Arial"/>
        </w:rPr>
      </w:pPr>
      <w:r>
        <w:rPr>
          <w:rFonts w:ascii="Arial" w:hAnsi="Arial" w:cs="Arial"/>
        </w:rPr>
        <w:tab/>
      </w:r>
      <w:r w:rsidRPr="00D40733">
        <w:rPr>
          <w:rFonts w:ascii="Arial" w:hAnsi="Arial" w:cs="Arial"/>
        </w:rPr>
        <w:t xml:space="preserve">Opatření </w:t>
      </w:r>
      <w:r w:rsidR="00457931">
        <w:rPr>
          <w:rFonts w:ascii="Arial" w:hAnsi="Arial" w:cs="Arial"/>
        </w:rPr>
        <w:t>„</w:t>
      </w:r>
      <w:r w:rsidRPr="00D40733">
        <w:rPr>
          <w:rFonts w:ascii="Arial" w:hAnsi="Arial" w:cs="Arial"/>
          <w:b/>
          <w:bCs/>
          <w:color w:val="000000" w:themeColor="text1"/>
        </w:rPr>
        <w:t>Pomoc obcím a občanskému sektoru</w:t>
      </w:r>
      <w:r w:rsidR="00457931">
        <w:rPr>
          <w:rFonts w:ascii="Arial" w:hAnsi="Arial" w:cs="Arial"/>
          <w:b/>
          <w:bCs/>
          <w:color w:val="000000" w:themeColor="text1"/>
        </w:rPr>
        <w:t>“</w:t>
      </w:r>
      <w:r>
        <w:rPr>
          <w:rFonts w:ascii="Arial" w:hAnsi="Arial" w:cs="Arial"/>
          <w:b/>
          <w:bCs/>
          <w:color w:val="000000" w:themeColor="text1"/>
        </w:rPr>
        <w:t xml:space="preserve"> </w:t>
      </w:r>
      <w:r w:rsidRPr="00D40733">
        <w:rPr>
          <w:rFonts w:ascii="Arial" w:hAnsi="Arial" w:cs="Arial"/>
          <w:bCs/>
          <w:color w:val="000000" w:themeColor="text1"/>
        </w:rPr>
        <w:t xml:space="preserve">má za cíl </w:t>
      </w:r>
      <w:r>
        <w:rPr>
          <w:rFonts w:ascii="Arial" w:hAnsi="Arial" w:cs="Arial"/>
          <w:bCs/>
          <w:color w:val="000000" w:themeColor="text1"/>
        </w:rPr>
        <w:t xml:space="preserve">formou dotací na mzdy pomoci </w:t>
      </w:r>
      <w:r>
        <w:rPr>
          <w:rFonts w:ascii="Arial" w:hAnsi="Arial" w:cs="Arial"/>
        </w:rPr>
        <w:t>o</w:t>
      </w:r>
      <w:r w:rsidRPr="005E7A82">
        <w:rPr>
          <w:rFonts w:ascii="Arial" w:hAnsi="Arial" w:cs="Arial"/>
        </w:rPr>
        <w:t>bcím a</w:t>
      </w:r>
      <w:r>
        <w:rPr>
          <w:rFonts w:ascii="Arial" w:hAnsi="Arial" w:cs="Arial"/>
        </w:rPr>
        <w:t> </w:t>
      </w:r>
      <w:r w:rsidRPr="005E7A82">
        <w:rPr>
          <w:rFonts w:ascii="Arial" w:hAnsi="Arial" w:cs="Arial"/>
        </w:rPr>
        <w:t>neziskovým organizacím</w:t>
      </w:r>
      <w:r>
        <w:rPr>
          <w:rFonts w:ascii="Arial" w:hAnsi="Arial" w:cs="Arial"/>
        </w:rPr>
        <w:t xml:space="preserve"> vytvořit </w:t>
      </w:r>
      <w:r>
        <w:rPr>
          <w:rFonts w:ascii="Arial" w:hAnsi="Arial" w:cs="Arial"/>
          <w:color w:val="000000" w:themeColor="text1"/>
        </w:rPr>
        <w:t xml:space="preserve">veřejně prospěšné práce nebo společensky účelná pracovní místa pro uchazeče o zaměstnání. </w:t>
      </w:r>
      <w:r w:rsidRPr="002E3B9B">
        <w:rPr>
          <w:rFonts w:ascii="Arial" w:hAnsi="Arial" w:cs="Arial"/>
          <w:color w:val="000000" w:themeColor="text1"/>
        </w:rPr>
        <w:t xml:space="preserve">Příspěvek </w:t>
      </w:r>
      <w:r>
        <w:rPr>
          <w:rFonts w:ascii="Arial" w:hAnsi="Arial" w:cs="Arial"/>
          <w:color w:val="000000" w:themeColor="text1"/>
        </w:rPr>
        <w:t xml:space="preserve">se poskytuje </w:t>
      </w:r>
      <w:r w:rsidRPr="002E3B9B">
        <w:rPr>
          <w:rFonts w:ascii="Arial" w:hAnsi="Arial" w:cs="Arial"/>
          <w:color w:val="000000" w:themeColor="text1"/>
        </w:rPr>
        <w:t>až do výše 15</w:t>
      </w:r>
      <w:r w:rsidR="00C1131F">
        <w:rPr>
          <w:rFonts w:ascii="Arial" w:hAnsi="Arial" w:cs="Arial"/>
          <w:color w:val="000000" w:themeColor="text1"/>
        </w:rPr>
        <w:t> 000 Kč</w:t>
      </w:r>
      <w:r w:rsidRPr="002E3B9B">
        <w:rPr>
          <w:rFonts w:ascii="Arial" w:hAnsi="Arial" w:cs="Arial"/>
          <w:color w:val="000000" w:themeColor="text1"/>
        </w:rPr>
        <w:t xml:space="preserve"> (mzda plus odvody) na jednoho nezaměstnaného z</w:t>
      </w:r>
      <w:r>
        <w:rPr>
          <w:rFonts w:ascii="Arial" w:hAnsi="Arial" w:cs="Arial"/>
          <w:color w:val="000000" w:themeColor="text1"/>
        </w:rPr>
        <w:t> </w:t>
      </w:r>
      <w:r w:rsidRPr="002E3B9B">
        <w:rPr>
          <w:rFonts w:ascii="Arial" w:hAnsi="Arial" w:cs="Arial"/>
          <w:color w:val="000000" w:themeColor="text1"/>
        </w:rPr>
        <w:t>evidence</w:t>
      </w:r>
      <w:r>
        <w:rPr>
          <w:rFonts w:ascii="Arial" w:hAnsi="Arial" w:cs="Arial"/>
          <w:color w:val="000000" w:themeColor="text1"/>
        </w:rPr>
        <w:t xml:space="preserve"> ÚP ČR. </w:t>
      </w:r>
      <w:r>
        <w:rPr>
          <w:rFonts w:ascii="Arial" w:hAnsi="Arial" w:cs="Arial"/>
        </w:rPr>
        <w:t>Do 30. 6. 2013 bylo takto podpořeno 24 381 uchazečů o zaměstnání.</w:t>
      </w:r>
    </w:p>
    <w:p w:rsidR="00651C1F" w:rsidRPr="001227AC" w:rsidRDefault="00651C1F" w:rsidP="00651C1F">
      <w:pPr>
        <w:widowControl w:val="0"/>
        <w:tabs>
          <w:tab w:val="left" w:pos="0"/>
          <w:tab w:val="left" w:pos="567"/>
        </w:tabs>
        <w:suppressAutoHyphens/>
        <w:autoSpaceDE w:val="0"/>
        <w:autoSpaceDN w:val="0"/>
        <w:adjustRightInd w:val="0"/>
        <w:spacing w:line="360" w:lineRule="auto"/>
        <w:jc w:val="both"/>
        <w:rPr>
          <w:rFonts w:ascii="Arial" w:hAnsi="Arial" w:cs="Arial"/>
        </w:rPr>
      </w:pPr>
      <w:r>
        <w:rPr>
          <w:rFonts w:ascii="Arial" w:hAnsi="Arial" w:cs="Arial"/>
        </w:rPr>
        <w:tab/>
        <w:t xml:space="preserve">V rámci opatření </w:t>
      </w:r>
      <w:r w:rsidR="00457931">
        <w:rPr>
          <w:rFonts w:ascii="Arial" w:hAnsi="Arial" w:cs="Arial"/>
        </w:rPr>
        <w:t>„</w:t>
      </w:r>
      <w:r w:rsidR="00206B91">
        <w:rPr>
          <w:rFonts w:ascii="Arial" w:eastAsia="Calibri" w:hAnsi="Arial" w:cs="Arial"/>
          <w:b/>
          <w:bCs/>
          <w:color w:val="000000" w:themeColor="text1"/>
        </w:rPr>
        <w:t>Zaměstnej sám sebe.</w:t>
      </w:r>
      <w:r w:rsidR="001A308F">
        <w:rPr>
          <w:rFonts w:ascii="Arial" w:eastAsia="Calibri" w:hAnsi="Arial" w:cs="Arial"/>
          <w:b/>
          <w:bCs/>
          <w:color w:val="000000" w:themeColor="text1"/>
        </w:rPr>
        <w:t xml:space="preserve"> </w:t>
      </w:r>
      <w:r w:rsidRPr="00F96222">
        <w:rPr>
          <w:rFonts w:ascii="Arial" w:eastAsia="Calibri" w:hAnsi="Arial" w:cs="Arial"/>
          <w:b/>
          <w:bCs/>
          <w:color w:val="000000" w:themeColor="text1"/>
        </w:rPr>
        <w:t>Buď OSVČ</w:t>
      </w:r>
      <w:r w:rsidR="00457931">
        <w:rPr>
          <w:rFonts w:ascii="Arial" w:eastAsia="Calibri" w:hAnsi="Arial" w:cs="Arial"/>
          <w:b/>
          <w:bCs/>
          <w:color w:val="000000" w:themeColor="text1"/>
        </w:rPr>
        <w:t>“</w:t>
      </w:r>
      <w:r>
        <w:rPr>
          <w:rFonts w:ascii="Arial" w:eastAsia="Calibri" w:hAnsi="Arial" w:cs="Arial"/>
          <w:b/>
          <w:bCs/>
          <w:color w:val="000000" w:themeColor="text1"/>
        </w:rPr>
        <w:t xml:space="preserve"> </w:t>
      </w:r>
      <w:r>
        <w:rPr>
          <w:rFonts w:ascii="Arial" w:eastAsia="Calibri" w:hAnsi="Arial" w:cs="Arial"/>
          <w:bCs/>
          <w:color w:val="000000" w:themeColor="text1"/>
        </w:rPr>
        <w:t xml:space="preserve">podporuje ÚP ČR </w:t>
      </w:r>
      <w:r w:rsidRPr="005E7A82">
        <w:rPr>
          <w:rFonts w:ascii="Arial" w:hAnsi="Arial" w:cs="Arial"/>
        </w:rPr>
        <w:t>uchazeč</w:t>
      </w:r>
      <w:r>
        <w:rPr>
          <w:rFonts w:ascii="Arial" w:hAnsi="Arial" w:cs="Arial"/>
        </w:rPr>
        <w:t>e</w:t>
      </w:r>
      <w:r w:rsidRPr="005E7A82">
        <w:rPr>
          <w:rFonts w:ascii="Arial" w:hAnsi="Arial" w:cs="Arial"/>
        </w:rPr>
        <w:t xml:space="preserve"> o zaměstnání, kteří se rozhodnou podnikat.</w:t>
      </w:r>
      <w:r>
        <w:rPr>
          <w:rFonts w:ascii="Arial" w:hAnsi="Arial" w:cs="Arial"/>
        </w:rPr>
        <w:t xml:space="preserve"> </w:t>
      </w:r>
      <w:r w:rsidRPr="009A4CB3">
        <w:rPr>
          <w:rFonts w:ascii="Arial" w:hAnsi="Arial" w:cs="Arial"/>
        </w:rPr>
        <w:t xml:space="preserve">Budoucímu OSVČ lze poskytnout příspěvek na podnikání v průměru 40 až 80 </w:t>
      </w:r>
      <w:r w:rsidR="00C1131F">
        <w:rPr>
          <w:rFonts w:ascii="Arial" w:hAnsi="Arial" w:cs="Arial"/>
        </w:rPr>
        <w:t>tis. Kč</w:t>
      </w:r>
      <w:r w:rsidRPr="009A4CB3">
        <w:rPr>
          <w:rFonts w:ascii="Arial" w:hAnsi="Arial" w:cs="Arial"/>
        </w:rPr>
        <w:t xml:space="preserve">. Podmínkou poskytnutí </w:t>
      </w:r>
      <w:r>
        <w:rPr>
          <w:rFonts w:ascii="Arial" w:hAnsi="Arial" w:cs="Arial"/>
        </w:rPr>
        <w:t>finančních prostředků</w:t>
      </w:r>
      <w:r w:rsidRPr="009A4CB3">
        <w:rPr>
          <w:rFonts w:ascii="Arial" w:hAnsi="Arial" w:cs="Arial"/>
        </w:rPr>
        <w:t xml:space="preserve"> bude závazek, že nezaměstnaný bude svoji živnost provozovat po předem dohodnutou dobu, tj. obvykle 1 až 2 roky.  </w:t>
      </w:r>
      <w:r>
        <w:rPr>
          <w:rFonts w:ascii="Arial" w:hAnsi="Arial" w:cs="Arial"/>
        </w:rPr>
        <w:t>Do 30. 6. 2013 bylo takto podpořeno 1 037 uchazečů o zaměstnání.</w:t>
      </w:r>
    </w:p>
    <w:p w:rsidR="00651C1F" w:rsidRPr="00CF364C" w:rsidRDefault="00651C1F" w:rsidP="00651C1F">
      <w:pPr>
        <w:spacing w:line="360" w:lineRule="auto"/>
        <w:ind w:firstLine="708"/>
        <w:jc w:val="both"/>
        <w:rPr>
          <w:rFonts w:ascii="Arial" w:hAnsi="Arial" w:cs="Arial"/>
        </w:rPr>
      </w:pPr>
      <w:r w:rsidRPr="005E7A82">
        <w:rPr>
          <w:rFonts w:ascii="Arial" w:hAnsi="Arial" w:cs="Arial"/>
        </w:rPr>
        <w:t xml:space="preserve">V návaznosti na jednání s představiteli zaměstnavatelů a odborů </w:t>
      </w:r>
      <w:r>
        <w:rPr>
          <w:rFonts w:ascii="Arial" w:hAnsi="Arial" w:cs="Arial"/>
        </w:rPr>
        <w:t xml:space="preserve">Ministerstvo práce a sociálních věcí </w:t>
      </w:r>
      <w:r w:rsidRPr="005E7A82">
        <w:rPr>
          <w:rFonts w:ascii="Arial" w:hAnsi="Arial" w:cs="Arial"/>
        </w:rPr>
        <w:t>výrazně zjednoduš</w:t>
      </w:r>
      <w:r>
        <w:rPr>
          <w:rFonts w:ascii="Arial" w:hAnsi="Arial" w:cs="Arial"/>
        </w:rPr>
        <w:t>ilo</w:t>
      </w:r>
      <w:r w:rsidRPr="005E7A82">
        <w:rPr>
          <w:rFonts w:ascii="Arial" w:hAnsi="Arial" w:cs="Arial"/>
        </w:rPr>
        <w:t xml:space="preserve"> podmínky pro možnost vstupu zaměstnavatelů v přechodně obtížné hospodářské situaci do projektu</w:t>
      </w:r>
      <w:r>
        <w:rPr>
          <w:rFonts w:ascii="Arial" w:hAnsi="Arial" w:cs="Arial"/>
        </w:rPr>
        <w:t xml:space="preserve"> </w:t>
      </w:r>
      <w:r w:rsidRPr="00233B2D">
        <w:rPr>
          <w:rFonts w:ascii="Arial" w:hAnsi="Arial" w:cs="Arial"/>
          <w:b/>
        </w:rPr>
        <w:t>„</w:t>
      </w:r>
      <w:proofErr w:type="spellStart"/>
      <w:r w:rsidRPr="00233B2D">
        <w:rPr>
          <w:rFonts w:ascii="Arial" w:hAnsi="Arial" w:cs="Arial"/>
          <w:b/>
        </w:rPr>
        <w:t>Kurzarbeit</w:t>
      </w:r>
      <w:proofErr w:type="spellEnd"/>
      <w:r w:rsidRPr="00233B2D">
        <w:rPr>
          <w:rFonts w:ascii="Arial" w:hAnsi="Arial" w:cs="Arial"/>
          <w:b/>
        </w:rPr>
        <w:t xml:space="preserve"> - Projekt Vzdělávejte se pro stabilitu!</w:t>
      </w:r>
      <w:r w:rsidR="001004EA">
        <w:rPr>
          <w:rFonts w:ascii="Arial" w:hAnsi="Arial" w:cs="Arial"/>
          <w:b/>
        </w:rPr>
        <w:t>“</w:t>
      </w:r>
      <w:r w:rsidRPr="00233B2D">
        <w:rPr>
          <w:rFonts w:ascii="Arial" w:hAnsi="Arial" w:cs="Arial"/>
        </w:rPr>
        <w:t xml:space="preserve">. </w:t>
      </w:r>
      <w:r w:rsidRPr="00E95F17">
        <w:rPr>
          <w:rFonts w:ascii="Arial" w:hAnsi="Arial" w:cs="Arial"/>
        </w:rPr>
        <w:t xml:space="preserve">Zjednodušení spočívá v tom, že zaměstnavatel </w:t>
      </w:r>
      <w:r>
        <w:rPr>
          <w:rFonts w:ascii="Arial" w:hAnsi="Arial" w:cs="Arial"/>
        </w:rPr>
        <w:t>ne</w:t>
      </w:r>
      <w:r w:rsidRPr="00E95F17">
        <w:rPr>
          <w:rFonts w:ascii="Arial" w:hAnsi="Arial" w:cs="Arial"/>
        </w:rPr>
        <w:t>mus</w:t>
      </w:r>
      <w:r>
        <w:rPr>
          <w:rFonts w:ascii="Arial" w:hAnsi="Arial" w:cs="Arial"/>
        </w:rPr>
        <w:t>í</w:t>
      </w:r>
      <w:r w:rsidRPr="00E95F17">
        <w:rPr>
          <w:rFonts w:ascii="Arial" w:hAnsi="Arial" w:cs="Arial"/>
        </w:rPr>
        <w:t xml:space="preserve"> prokazovat pokles tržeb za celou společnost (IČ), ale pouze za konkrétní provozovnu, závod apod. Dále </w:t>
      </w:r>
      <w:r>
        <w:rPr>
          <w:rFonts w:ascii="Arial" w:hAnsi="Arial" w:cs="Arial"/>
        </w:rPr>
        <w:t>není</w:t>
      </w:r>
      <w:r w:rsidRPr="00E95F17">
        <w:rPr>
          <w:rFonts w:ascii="Arial" w:hAnsi="Arial" w:cs="Arial"/>
        </w:rPr>
        <w:t xml:space="preserve"> nutné, aby zaměs</w:t>
      </w:r>
      <w:r>
        <w:rPr>
          <w:rFonts w:ascii="Arial" w:hAnsi="Arial" w:cs="Arial"/>
        </w:rPr>
        <w:t>tnavatel aplikoval ustanovení § </w:t>
      </w:r>
      <w:r w:rsidRPr="00E95F17">
        <w:rPr>
          <w:rFonts w:ascii="Arial" w:hAnsi="Arial" w:cs="Arial"/>
        </w:rPr>
        <w:t>209 zákoníku práce, tj. deklaroval, že není schopen přidělovat zaměstnancům práci ve sjednaném rozsahu.</w:t>
      </w:r>
      <w:r>
        <w:rPr>
          <w:rFonts w:ascii="Arial" w:hAnsi="Arial" w:cs="Arial"/>
        </w:rPr>
        <w:t xml:space="preserve"> Do 30. 6. 2013 bylo v rámci tohoto projektu podpořeno 506 </w:t>
      </w:r>
      <w:r w:rsidRPr="00CF364C">
        <w:rPr>
          <w:rFonts w:ascii="Arial" w:eastAsia="Calibri" w:hAnsi="Arial" w:cs="Arial"/>
        </w:rPr>
        <w:t>zaměstnanců podniků v obtížné ekonomické situaci</w:t>
      </w:r>
      <w:r w:rsidRPr="00CF364C">
        <w:rPr>
          <w:rFonts w:ascii="Arial" w:hAnsi="Arial" w:cs="Arial"/>
        </w:rPr>
        <w:t>.</w:t>
      </w:r>
    </w:p>
    <w:p w:rsidR="00651C1F" w:rsidRPr="001227AC" w:rsidRDefault="00651C1F" w:rsidP="00651C1F">
      <w:pPr>
        <w:widowControl w:val="0"/>
        <w:tabs>
          <w:tab w:val="left" w:pos="0"/>
          <w:tab w:val="left" w:pos="567"/>
        </w:tabs>
        <w:suppressAutoHyphens/>
        <w:autoSpaceDE w:val="0"/>
        <w:autoSpaceDN w:val="0"/>
        <w:adjustRightInd w:val="0"/>
        <w:spacing w:line="360" w:lineRule="auto"/>
        <w:jc w:val="both"/>
        <w:rPr>
          <w:rFonts w:ascii="Arial" w:hAnsi="Arial" w:cs="Arial"/>
        </w:rPr>
      </w:pPr>
      <w:r>
        <w:rPr>
          <w:rFonts w:ascii="Arial" w:hAnsi="Arial" w:cs="Arial"/>
          <w:bCs/>
          <w:color w:val="000000" w:themeColor="text1"/>
        </w:rPr>
        <w:tab/>
      </w:r>
      <w:r w:rsidRPr="006C47B3">
        <w:rPr>
          <w:rFonts w:ascii="Arial" w:hAnsi="Arial" w:cs="Arial"/>
          <w:bCs/>
          <w:color w:val="000000" w:themeColor="text1"/>
        </w:rPr>
        <w:t>Opatření</w:t>
      </w:r>
      <w:r>
        <w:rPr>
          <w:rFonts w:ascii="Arial" w:hAnsi="Arial" w:cs="Arial"/>
          <w:b/>
          <w:bCs/>
          <w:color w:val="000000" w:themeColor="text1"/>
        </w:rPr>
        <w:t xml:space="preserve"> </w:t>
      </w:r>
      <w:r w:rsidR="00D25AA5">
        <w:rPr>
          <w:rFonts w:ascii="Arial" w:hAnsi="Arial" w:cs="Arial"/>
          <w:b/>
          <w:bCs/>
          <w:color w:val="000000" w:themeColor="text1"/>
        </w:rPr>
        <w:t>„</w:t>
      </w:r>
      <w:r w:rsidRPr="006C47B3">
        <w:rPr>
          <w:rFonts w:ascii="Arial" w:hAnsi="Arial" w:cs="Arial"/>
          <w:b/>
          <w:bCs/>
          <w:color w:val="000000" w:themeColor="text1"/>
        </w:rPr>
        <w:t>Chceš práci. Rekvalifikuj se!</w:t>
      </w:r>
      <w:r w:rsidR="00D25AA5">
        <w:rPr>
          <w:rFonts w:ascii="Arial" w:hAnsi="Arial" w:cs="Arial"/>
          <w:b/>
          <w:bCs/>
          <w:color w:val="000000" w:themeColor="text1"/>
        </w:rPr>
        <w:t>“</w:t>
      </w:r>
      <w:r>
        <w:rPr>
          <w:rFonts w:ascii="Arial" w:hAnsi="Arial" w:cs="Arial"/>
          <w:b/>
          <w:bCs/>
          <w:color w:val="000000" w:themeColor="text1"/>
        </w:rPr>
        <w:t xml:space="preserve"> </w:t>
      </w:r>
      <w:r w:rsidRPr="006C47B3">
        <w:rPr>
          <w:rFonts w:ascii="Arial" w:hAnsi="Arial" w:cs="Arial"/>
          <w:bCs/>
          <w:color w:val="000000" w:themeColor="text1"/>
        </w:rPr>
        <w:t>má za cíl</w:t>
      </w:r>
      <w:r>
        <w:rPr>
          <w:rFonts w:ascii="Arial" w:hAnsi="Arial" w:cs="Arial"/>
          <w:b/>
          <w:bCs/>
          <w:color w:val="000000" w:themeColor="text1"/>
        </w:rPr>
        <w:t xml:space="preserve"> </w:t>
      </w:r>
      <w:r w:rsidRPr="00822285">
        <w:rPr>
          <w:rFonts w:ascii="Arial" w:hAnsi="Arial" w:cs="Arial"/>
          <w:bCs/>
          <w:color w:val="000000" w:themeColor="text1"/>
        </w:rPr>
        <w:t>vycházet při zaměření rekvalifikací zejména z požadavků zaměstnavatelů</w:t>
      </w:r>
      <w:r>
        <w:rPr>
          <w:rFonts w:ascii="Arial" w:hAnsi="Arial" w:cs="Arial"/>
          <w:bCs/>
          <w:color w:val="000000" w:themeColor="text1"/>
        </w:rPr>
        <w:t xml:space="preserve">, a dále </w:t>
      </w:r>
      <w:r w:rsidRPr="000524CB">
        <w:rPr>
          <w:rFonts w:ascii="Arial" w:hAnsi="Arial" w:cs="Arial"/>
          <w:bCs/>
          <w:color w:val="000000" w:themeColor="text1"/>
        </w:rPr>
        <w:t>zabezpeč</w:t>
      </w:r>
      <w:r>
        <w:rPr>
          <w:rFonts w:ascii="Arial" w:hAnsi="Arial" w:cs="Arial"/>
          <w:bCs/>
          <w:color w:val="000000" w:themeColor="text1"/>
        </w:rPr>
        <w:t>it</w:t>
      </w:r>
      <w:r w:rsidRPr="000524CB">
        <w:rPr>
          <w:rFonts w:ascii="Arial" w:hAnsi="Arial" w:cs="Arial"/>
          <w:bCs/>
          <w:color w:val="000000" w:themeColor="text1"/>
        </w:rPr>
        <w:t xml:space="preserve"> odborně vzdělan</w:t>
      </w:r>
      <w:r>
        <w:rPr>
          <w:rFonts w:ascii="Arial" w:hAnsi="Arial" w:cs="Arial"/>
          <w:bCs/>
          <w:color w:val="000000" w:themeColor="text1"/>
        </w:rPr>
        <w:t>é</w:t>
      </w:r>
      <w:r w:rsidRPr="000524CB">
        <w:rPr>
          <w:rFonts w:ascii="Arial" w:hAnsi="Arial" w:cs="Arial"/>
          <w:bCs/>
          <w:color w:val="000000" w:themeColor="text1"/>
        </w:rPr>
        <w:t xml:space="preserve"> zaměstnanc</w:t>
      </w:r>
      <w:r>
        <w:rPr>
          <w:rFonts w:ascii="Arial" w:hAnsi="Arial" w:cs="Arial"/>
          <w:bCs/>
          <w:color w:val="000000" w:themeColor="text1"/>
        </w:rPr>
        <w:t>e</w:t>
      </w:r>
      <w:r w:rsidRPr="000524CB">
        <w:rPr>
          <w:rFonts w:ascii="Arial" w:hAnsi="Arial" w:cs="Arial"/>
          <w:bCs/>
          <w:color w:val="000000" w:themeColor="text1"/>
        </w:rPr>
        <w:t xml:space="preserve"> v oborech s dlouhodobým nedostatkem pracovní síly, tj.</w:t>
      </w:r>
      <w:r>
        <w:rPr>
          <w:rFonts w:ascii="Arial" w:hAnsi="Arial" w:cs="Arial"/>
          <w:bCs/>
          <w:color w:val="000000" w:themeColor="text1"/>
        </w:rPr>
        <w:t> </w:t>
      </w:r>
      <w:r w:rsidRPr="000524CB">
        <w:rPr>
          <w:rFonts w:ascii="Arial" w:hAnsi="Arial" w:cs="Arial"/>
          <w:bCs/>
          <w:color w:val="000000" w:themeColor="text1"/>
        </w:rPr>
        <w:t>zejména v</w:t>
      </w:r>
      <w:r>
        <w:rPr>
          <w:rFonts w:ascii="Arial" w:hAnsi="Arial" w:cs="Arial"/>
          <w:bCs/>
          <w:color w:val="000000" w:themeColor="text1"/>
        </w:rPr>
        <w:t> </w:t>
      </w:r>
      <w:r w:rsidRPr="000524CB">
        <w:rPr>
          <w:rFonts w:ascii="Arial" w:hAnsi="Arial" w:cs="Arial"/>
          <w:bCs/>
          <w:color w:val="000000" w:themeColor="text1"/>
        </w:rPr>
        <w:t>technických oborech a profesích.</w:t>
      </w:r>
      <w:r>
        <w:rPr>
          <w:rFonts w:ascii="Arial" w:hAnsi="Arial" w:cs="Arial"/>
          <w:bCs/>
          <w:color w:val="000000" w:themeColor="text1"/>
        </w:rPr>
        <w:t xml:space="preserve"> </w:t>
      </w:r>
      <w:r>
        <w:rPr>
          <w:rFonts w:ascii="Arial" w:hAnsi="Arial" w:cs="Arial"/>
        </w:rPr>
        <w:t>Do 30. 6. 2013 bylo takto podpořeno 21 513 uchazečů o zaměstnání.</w:t>
      </w:r>
    </w:p>
    <w:p w:rsidR="00651C1F" w:rsidRPr="00BC1D7F" w:rsidRDefault="00651C1F" w:rsidP="00651C1F">
      <w:pPr>
        <w:pStyle w:val="Odstavecseseznamem"/>
        <w:spacing w:line="360" w:lineRule="auto"/>
        <w:ind w:left="0" w:firstLine="567"/>
        <w:contextualSpacing/>
        <w:jc w:val="both"/>
        <w:rPr>
          <w:rFonts w:ascii="Arial" w:eastAsia="Calibri" w:hAnsi="Arial" w:cs="Arial"/>
          <w:bCs/>
          <w:color w:val="000000" w:themeColor="text1"/>
        </w:rPr>
      </w:pPr>
      <w:r w:rsidRPr="006E3FFE">
        <w:rPr>
          <w:rFonts w:ascii="Arial" w:eastAsia="Calibri" w:hAnsi="Arial" w:cs="Arial"/>
          <w:bCs/>
          <w:color w:val="000000" w:themeColor="text1"/>
        </w:rPr>
        <w:lastRenderedPageBreak/>
        <w:t>V rámci opatření</w:t>
      </w:r>
      <w:r>
        <w:rPr>
          <w:rFonts w:ascii="Arial" w:eastAsia="Calibri" w:hAnsi="Arial" w:cs="Arial"/>
          <w:b/>
          <w:bCs/>
          <w:color w:val="000000" w:themeColor="text1"/>
        </w:rPr>
        <w:t xml:space="preserve"> </w:t>
      </w:r>
      <w:r w:rsidR="00D25AA5">
        <w:rPr>
          <w:rFonts w:ascii="Arial" w:eastAsia="Calibri" w:hAnsi="Arial" w:cs="Arial"/>
          <w:b/>
          <w:bCs/>
          <w:color w:val="000000" w:themeColor="text1"/>
        </w:rPr>
        <w:t>„</w:t>
      </w:r>
      <w:r w:rsidRPr="005D6DB7">
        <w:rPr>
          <w:rFonts w:ascii="Arial" w:eastAsia="Calibri" w:hAnsi="Arial" w:cs="Arial"/>
          <w:b/>
          <w:bCs/>
          <w:color w:val="000000" w:themeColor="text1"/>
        </w:rPr>
        <w:t>Lepší rady a pomoc</w:t>
      </w:r>
      <w:r w:rsidR="00D25AA5">
        <w:rPr>
          <w:rFonts w:ascii="Arial" w:eastAsia="Calibri" w:hAnsi="Arial" w:cs="Arial"/>
          <w:b/>
          <w:bCs/>
          <w:color w:val="000000" w:themeColor="text1"/>
        </w:rPr>
        <w:t>“</w:t>
      </w:r>
      <w:r>
        <w:rPr>
          <w:rFonts w:ascii="Arial" w:eastAsia="Calibri" w:hAnsi="Arial" w:cs="Arial"/>
          <w:b/>
          <w:bCs/>
          <w:color w:val="000000" w:themeColor="text1"/>
        </w:rPr>
        <w:t xml:space="preserve"> </w:t>
      </w:r>
      <w:r>
        <w:rPr>
          <w:rFonts w:ascii="Arial" w:eastAsia="Calibri" w:hAnsi="Arial" w:cs="Arial"/>
          <w:bCs/>
          <w:color w:val="000000" w:themeColor="text1"/>
        </w:rPr>
        <w:t>ÚP </w:t>
      </w:r>
      <w:r w:rsidRPr="00BC1D7F">
        <w:rPr>
          <w:rFonts w:ascii="Arial" w:eastAsia="Calibri" w:hAnsi="Arial" w:cs="Arial"/>
          <w:bCs/>
          <w:color w:val="000000" w:themeColor="text1"/>
        </w:rPr>
        <w:t>ČR zabezpeč</w:t>
      </w:r>
      <w:r>
        <w:rPr>
          <w:rFonts w:ascii="Arial" w:eastAsia="Calibri" w:hAnsi="Arial" w:cs="Arial"/>
          <w:bCs/>
          <w:color w:val="000000" w:themeColor="text1"/>
        </w:rPr>
        <w:t xml:space="preserve">uje </w:t>
      </w:r>
      <w:r w:rsidRPr="00BC1D7F">
        <w:rPr>
          <w:rFonts w:ascii="Arial" w:eastAsia="Calibri" w:hAnsi="Arial" w:cs="Arial"/>
          <w:bCs/>
          <w:color w:val="000000" w:themeColor="text1"/>
        </w:rPr>
        <w:t>kvalitnější a</w:t>
      </w:r>
      <w:r>
        <w:rPr>
          <w:rFonts w:ascii="Arial" w:eastAsia="Calibri" w:hAnsi="Arial" w:cs="Arial"/>
          <w:bCs/>
          <w:color w:val="000000" w:themeColor="text1"/>
        </w:rPr>
        <w:t> </w:t>
      </w:r>
      <w:r w:rsidRPr="00BC1D7F">
        <w:rPr>
          <w:rFonts w:ascii="Arial" w:eastAsia="Calibri" w:hAnsi="Arial" w:cs="Arial"/>
          <w:bCs/>
          <w:color w:val="000000" w:themeColor="text1"/>
        </w:rPr>
        <w:t>rozsáhlejší poradenství uchazečům o zaměstnání, zaměstnavatelům, starostům měst a obcí a také sociálním partnerům. Taktéž byla přijata opatření, která vedou ke</w:t>
      </w:r>
      <w:r>
        <w:rPr>
          <w:rFonts w:ascii="Arial" w:eastAsia="Calibri" w:hAnsi="Arial" w:cs="Arial"/>
          <w:bCs/>
          <w:color w:val="000000" w:themeColor="text1"/>
        </w:rPr>
        <w:t> </w:t>
      </w:r>
      <w:r w:rsidRPr="00BC1D7F">
        <w:rPr>
          <w:rFonts w:ascii="Arial" w:eastAsia="Calibri" w:hAnsi="Arial" w:cs="Arial"/>
          <w:bCs/>
          <w:color w:val="000000" w:themeColor="text1"/>
        </w:rPr>
        <w:t xml:space="preserve">zlepšení komunikace a informovanosti mezi kontaktními a krajskými pracovišti </w:t>
      </w:r>
      <w:r>
        <w:rPr>
          <w:rFonts w:ascii="Arial" w:eastAsia="Calibri" w:hAnsi="Arial" w:cs="Arial"/>
          <w:bCs/>
          <w:color w:val="000000" w:themeColor="text1"/>
        </w:rPr>
        <w:t>ÚP </w:t>
      </w:r>
      <w:r w:rsidRPr="00BC1D7F">
        <w:rPr>
          <w:rFonts w:ascii="Arial" w:eastAsia="Calibri" w:hAnsi="Arial" w:cs="Arial"/>
          <w:bCs/>
          <w:color w:val="000000" w:themeColor="text1"/>
        </w:rPr>
        <w:t xml:space="preserve">ČR a zaměstnavateli. K tomuto opatření dochází zejména proto, že kontaktní pracoviště </w:t>
      </w:r>
      <w:r>
        <w:rPr>
          <w:rFonts w:ascii="Arial" w:eastAsia="Calibri" w:hAnsi="Arial" w:cs="Arial"/>
          <w:bCs/>
          <w:color w:val="000000" w:themeColor="text1"/>
        </w:rPr>
        <w:t>ÚP </w:t>
      </w:r>
      <w:r w:rsidRPr="00BC1D7F">
        <w:rPr>
          <w:rFonts w:ascii="Arial" w:eastAsia="Calibri" w:hAnsi="Arial" w:cs="Arial"/>
          <w:bCs/>
          <w:color w:val="000000" w:themeColor="text1"/>
        </w:rPr>
        <w:t>ČR jsou základním prvkem struktury služeb zaměstnanosti. Jedná se o výrazné zvýšení kontaktu mezi jednotlivými subjekty na trhu práce, čímž dochází ke stimulaci poptávky po pracovní síle.</w:t>
      </w:r>
      <w:r>
        <w:rPr>
          <w:rFonts w:ascii="Arial" w:eastAsia="Calibri" w:hAnsi="Arial" w:cs="Arial"/>
          <w:bCs/>
          <w:color w:val="000000" w:themeColor="text1"/>
        </w:rPr>
        <w:t xml:space="preserve"> Opatření zahrnuje </w:t>
      </w:r>
      <w:r w:rsidRPr="003E107A">
        <w:rPr>
          <w:rFonts w:ascii="Arial" w:eastAsia="Calibri" w:hAnsi="Arial" w:cs="Arial"/>
          <w:bCs/>
          <w:color w:val="000000" w:themeColor="text1"/>
        </w:rPr>
        <w:t>posílení personálních kapacit o 700 zaměstnanců ÚP ČR</w:t>
      </w:r>
      <w:r>
        <w:rPr>
          <w:rFonts w:ascii="Arial" w:eastAsia="Calibri" w:hAnsi="Arial" w:cs="Arial"/>
          <w:bCs/>
          <w:color w:val="000000" w:themeColor="text1"/>
        </w:rPr>
        <w:t>.</w:t>
      </w:r>
    </w:p>
    <w:p w:rsidR="001133FE" w:rsidRPr="00A7599D" w:rsidRDefault="001133FE" w:rsidP="0083650B">
      <w:pPr>
        <w:widowControl w:val="0"/>
        <w:tabs>
          <w:tab w:val="left" w:pos="0"/>
          <w:tab w:val="left" w:pos="567"/>
        </w:tabs>
        <w:suppressAutoHyphens/>
        <w:autoSpaceDE w:val="0"/>
        <w:autoSpaceDN w:val="0"/>
        <w:adjustRightInd w:val="0"/>
        <w:spacing w:line="360" w:lineRule="auto"/>
        <w:jc w:val="both"/>
        <w:rPr>
          <w:rFonts w:ascii="Arial" w:hAnsi="Arial" w:cs="Arial"/>
        </w:rPr>
      </w:pPr>
    </w:p>
    <w:p w:rsidR="00145A9B" w:rsidRPr="00A7599D" w:rsidRDefault="00145A9B" w:rsidP="00614F36">
      <w:pPr>
        <w:pStyle w:val="Styl3"/>
      </w:pPr>
      <w:bookmarkStart w:id="162" w:name="_Toc372530199"/>
      <w:r w:rsidRPr="00A7599D">
        <w:t>Systém investičních pobídek</w:t>
      </w:r>
      <w:bookmarkEnd w:id="162"/>
    </w:p>
    <w:p w:rsidR="00145A9B" w:rsidRPr="00A7599D" w:rsidRDefault="00145A9B" w:rsidP="00145A9B">
      <w:pPr>
        <w:pStyle w:val="Zkladntextodsazen"/>
        <w:spacing w:line="240" w:lineRule="auto"/>
        <w:ind w:firstLine="0"/>
      </w:pPr>
    </w:p>
    <w:bookmarkEnd w:id="142"/>
    <w:bookmarkEnd w:id="143"/>
    <w:bookmarkEnd w:id="144"/>
    <w:bookmarkEnd w:id="145"/>
    <w:bookmarkEnd w:id="146"/>
    <w:bookmarkEnd w:id="147"/>
    <w:bookmarkEnd w:id="148"/>
    <w:p w:rsidR="00E52164" w:rsidRPr="00251E77" w:rsidRDefault="00E52164" w:rsidP="00E52164">
      <w:pPr>
        <w:pStyle w:val="Zkladntextodsazen"/>
        <w:ind w:firstLine="567"/>
      </w:pPr>
      <w:r w:rsidRPr="00251E77">
        <w:rPr>
          <w:b/>
        </w:rPr>
        <w:t>Investiční pobídky</w:t>
      </w:r>
      <w:r w:rsidRPr="003C5A12">
        <w:t xml:space="preserve"> do zpracovatelského průmyslu v gesci </w:t>
      </w:r>
      <w:r>
        <w:rPr>
          <w:lang w:val="cs-CZ"/>
        </w:rPr>
        <w:t>Úřadu práce ČR</w:t>
      </w:r>
      <w:r w:rsidR="00321E86">
        <w:rPr>
          <w:lang w:val="cs-CZ"/>
        </w:rPr>
        <w:t xml:space="preserve">       - Generálního ředitelství </w:t>
      </w:r>
      <w:r>
        <w:rPr>
          <w:lang w:val="cs-CZ"/>
        </w:rPr>
        <w:t>(dále jen „</w:t>
      </w:r>
      <w:r w:rsidR="00321E86">
        <w:t>ÚP</w:t>
      </w:r>
      <w:r w:rsidR="00321E86">
        <w:rPr>
          <w:lang w:val="cs-CZ"/>
        </w:rPr>
        <w:t> </w:t>
      </w:r>
      <w:r>
        <w:t>ČR</w:t>
      </w:r>
      <w:r>
        <w:rPr>
          <w:lang w:val="cs-CZ"/>
        </w:rPr>
        <w:t> </w:t>
      </w:r>
      <w:r>
        <w:t>–</w:t>
      </w:r>
      <w:r>
        <w:rPr>
          <w:lang w:val="cs-CZ"/>
        </w:rPr>
        <w:t> </w:t>
      </w:r>
      <w:r>
        <w:t>GŘ</w:t>
      </w:r>
      <w:r>
        <w:rPr>
          <w:lang w:val="cs-CZ"/>
        </w:rPr>
        <w:t>“)</w:t>
      </w:r>
      <w:r w:rsidRPr="00251E77">
        <w:t xml:space="preserve"> </w:t>
      </w:r>
      <w:r w:rsidRPr="003C5A12">
        <w:t>jsou poskytovány</w:t>
      </w:r>
      <w:r w:rsidRPr="00251E77">
        <w:t xml:space="preserve"> </w:t>
      </w:r>
      <w:r w:rsidRPr="003C5A12">
        <w:t>na základě zákona č. 72/2000 Sb., o investičních pobídkách, v</w:t>
      </w:r>
      <w:r w:rsidR="00962DC2">
        <w:rPr>
          <w:lang w:val="cs-CZ"/>
        </w:rPr>
        <w:t>e</w:t>
      </w:r>
      <w:r w:rsidRPr="003C5A12">
        <w:t xml:space="preserve"> znění</w:t>
      </w:r>
      <w:r w:rsidR="00962DC2">
        <w:rPr>
          <w:lang w:val="cs-CZ"/>
        </w:rPr>
        <w:t xml:space="preserve"> pozdějších předpisů</w:t>
      </w:r>
      <w:r w:rsidRPr="003C5A12">
        <w:t xml:space="preserve">, a na základě zákona o </w:t>
      </w:r>
      <w:r>
        <w:t>zaměstnanosti</w:t>
      </w:r>
      <w:r>
        <w:rPr>
          <w:lang w:val="cs-CZ"/>
        </w:rPr>
        <w:t xml:space="preserve">. </w:t>
      </w:r>
      <w:r w:rsidR="00821E39">
        <w:t>ÚP</w:t>
      </w:r>
      <w:r w:rsidR="00821E39">
        <w:rPr>
          <w:lang w:val="cs-CZ"/>
        </w:rPr>
        <w:t> </w:t>
      </w:r>
      <w:r w:rsidRPr="00251E77">
        <w:t>ČR</w:t>
      </w:r>
      <w:r>
        <w:rPr>
          <w:lang w:val="cs-CZ"/>
        </w:rPr>
        <w:t> </w:t>
      </w:r>
      <w:r w:rsidRPr="00251E77">
        <w:t>–</w:t>
      </w:r>
      <w:r>
        <w:rPr>
          <w:lang w:val="cs-CZ"/>
        </w:rPr>
        <w:t> </w:t>
      </w:r>
      <w:r w:rsidRPr="00251E77">
        <w:t>GŘ</w:t>
      </w:r>
      <w:r>
        <w:rPr>
          <w:lang w:val="cs-CZ"/>
        </w:rPr>
        <w:t xml:space="preserve"> </w:t>
      </w:r>
      <w:r w:rsidRPr="003C5A12">
        <w:t>má v gesci dvě formy pobídek, tj.</w:t>
      </w:r>
      <w:r w:rsidR="00962DC2">
        <w:rPr>
          <w:lang w:val="cs-CZ"/>
        </w:rPr>
        <w:t> </w:t>
      </w:r>
      <w:r w:rsidRPr="003C5A12">
        <w:t xml:space="preserve">hmotnou podporu </w:t>
      </w:r>
      <w:r w:rsidRPr="00251E77">
        <w:rPr>
          <w:b/>
        </w:rPr>
        <w:t>vytváření nových pracovních míst</w:t>
      </w:r>
      <w:r w:rsidRPr="003C5A12">
        <w:t xml:space="preserve"> </w:t>
      </w:r>
      <w:r w:rsidRPr="00251E77">
        <w:rPr>
          <w:b/>
        </w:rPr>
        <w:t>a</w:t>
      </w:r>
      <w:r>
        <w:rPr>
          <w:b/>
          <w:lang w:val="cs-CZ"/>
        </w:rPr>
        <w:t> </w:t>
      </w:r>
      <w:r w:rsidRPr="003C5A12">
        <w:t xml:space="preserve">hmotnou podporu </w:t>
      </w:r>
      <w:r w:rsidRPr="00251E77">
        <w:rPr>
          <w:b/>
        </w:rPr>
        <w:t>rekvalifikace nebo školení zaměstnanců</w:t>
      </w:r>
      <w:r w:rsidRPr="003C5A12">
        <w:t xml:space="preserve">. Pobídky byly </w:t>
      </w:r>
      <w:r w:rsidRPr="00251E77">
        <w:t xml:space="preserve">v předchozích letech </w:t>
      </w:r>
      <w:r w:rsidRPr="003C5A12">
        <w:t>poskyt</w:t>
      </w:r>
      <w:r w:rsidRPr="00251E77">
        <w:t>ovány</w:t>
      </w:r>
      <w:r w:rsidRPr="003C5A12">
        <w:t xml:space="preserve"> </w:t>
      </w:r>
      <w:r w:rsidRPr="00251E77">
        <w:t>MPSV.</w:t>
      </w:r>
      <w:r w:rsidRPr="003C5A12">
        <w:t xml:space="preserve"> </w:t>
      </w:r>
      <w:r w:rsidR="001E397A">
        <w:t>Vznikem ÚP</w:t>
      </w:r>
      <w:r w:rsidR="001E397A">
        <w:rPr>
          <w:lang w:val="cs-CZ"/>
        </w:rPr>
        <w:t> </w:t>
      </w:r>
      <w:r w:rsidRPr="00251E77">
        <w:t>ČR</w:t>
      </w:r>
      <w:r>
        <w:rPr>
          <w:lang w:val="cs-CZ"/>
        </w:rPr>
        <w:t> </w:t>
      </w:r>
      <w:r w:rsidRPr="00251E77">
        <w:t>–</w:t>
      </w:r>
      <w:r>
        <w:rPr>
          <w:lang w:val="cs-CZ"/>
        </w:rPr>
        <w:t> </w:t>
      </w:r>
      <w:r w:rsidRPr="00251E77">
        <w:t>GŘ přešla práva a</w:t>
      </w:r>
      <w:r>
        <w:rPr>
          <w:lang w:val="cs-CZ"/>
        </w:rPr>
        <w:t> </w:t>
      </w:r>
      <w:r w:rsidRPr="00251E77">
        <w:t>povinnosti při uzavírání dohod a poskytování hmotné podpory z MPSV na ÚP ČR</w:t>
      </w:r>
      <w:r>
        <w:rPr>
          <w:lang w:val="cs-CZ"/>
        </w:rPr>
        <w:t> </w:t>
      </w:r>
      <w:r w:rsidRPr="00251E77">
        <w:t>–</w:t>
      </w:r>
      <w:r>
        <w:rPr>
          <w:lang w:val="cs-CZ"/>
        </w:rPr>
        <w:t> </w:t>
      </w:r>
      <w:r w:rsidRPr="00251E77">
        <w:t xml:space="preserve">GŘ. </w:t>
      </w:r>
    </w:p>
    <w:p w:rsidR="00E52164" w:rsidRPr="00750FE4" w:rsidRDefault="00E52164" w:rsidP="00E52164">
      <w:pPr>
        <w:pStyle w:val="Zkladntextodsazen"/>
        <w:tabs>
          <w:tab w:val="left" w:pos="360"/>
        </w:tabs>
        <w:ind w:firstLine="0"/>
      </w:pPr>
      <w:r w:rsidRPr="003C5A12">
        <w:rPr>
          <w:b/>
          <w:bCs/>
        </w:rPr>
        <w:t xml:space="preserve">          </w:t>
      </w:r>
      <w:r w:rsidRPr="00776278">
        <w:rPr>
          <w:bCs/>
        </w:rPr>
        <w:t>V</w:t>
      </w:r>
      <w:r w:rsidRPr="000772AA">
        <w:rPr>
          <w:b/>
          <w:bCs/>
        </w:rPr>
        <w:t> </w:t>
      </w:r>
      <w:r w:rsidRPr="000772AA">
        <w:rPr>
          <w:b/>
          <w:bCs/>
          <w:lang w:val="cs-CZ"/>
        </w:rPr>
        <w:t>1. </w:t>
      </w:r>
      <w:r>
        <w:rPr>
          <w:b/>
          <w:bCs/>
          <w:lang w:val="cs-CZ"/>
        </w:rPr>
        <w:t>pololetí </w:t>
      </w:r>
      <w:r w:rsidRPr="003C5A12">
        <w:rPr>
          <w:rFonts w:cs="Arial"/>
          <w:b/>
          <w:bCs/>
        </w:rPr>
        <w:t>201</w:t>
      </w:r>
      <w:r>
        <w:rPr>
          <w:rFonts w:cs="Arial"/>
          <w:b/>
          <w:bCs/>
          <w:lang w:val="cs-CZ"/>
        </w:rPr>
        <w:t>3</w:t>
      </w:r>
      <w:r w:rsidRPr="003C5A12">
        <w:rPr>
          <w:b/>
          <w:bCs/>
          <w:lang w:val="cs-CZ"/>
        </w:rPr>
        <w:t xml:space="preserve"> </w:t>
      </w:r>
      <w:r w:rsidRPr="00776278">
        <w:rPr>
          <w:bCs/>
          <w:lang w:val="cs-CZ"/>
        </w:rPr>
        <w:t>ÚP ČR - GŘ</w:t>
      </w:r>
      <w:r>
        <w:rPr>
          <w:b/>
          <w:bCs/>
          <w:lang w:val="cs-CZ"/>
        </w:rPr>
        <w:t xml:space="preserve"> </w:t>
      </w:r>
      <w:r w:rsidRPr="00776278">
        <w:rPr>
          <w:bCs/>
          <w:lang w:val="cs-CZ"/>
        </w:rPr>
        <w:t>poskytl</w:t>
      </w:r>
      <w:r>
        <w:rPr>
          <w:b/>
          <w:bCs/>
          <w:lang w:val="cs-CZ"/>
        </w:rPr>
        <w:t xml:space="preserve"> i</w:t>
      </w:r>
      <w:r w:rsidRPr="003C5A12">
        <w:rPr>
          <w:b/>
          <w:bCs/>
          <w:lang w:val="cs-CZ"/>
        </w:rPr>
        <w:t xml:space="preserve">nvestiční </w:t>
      </w:r>
      <w:r w:rsidRPr="008943CD">
        <w:rPr>
          <w:b/>
          <w:bCs/>
          <w:lang w:val="cs-CZ"/>
        </w:rPr>
        <w:t>pobídk</w:t>
      </w:r>
      <w:r>
        <w:rPr>
          <w:b/>
          <w:bCs/>
          <w:lang w:val="cs-CZ"/>
        </w:rPr>
        <w:t>u</w:t>
      </w:r>
      <w:r w:rsidRPr="008943CD">
        <w:rPr>
          <w:b/>
          <w:bCs/>
          <w:lang w:val="cs-CZ"/>
        </w:rPr>
        <w:t xml:space="preserve"> </w:t>
      </w:r>
      <w:r>
        <w:rPr>
          <w:b/>
          <w:bCs/>
          <w:lang w:val="cs-CZ"/>
        </w:rPr>
        <w:t>1</w:t>
      </w:r>
      <w:r w:rsidRPr="008943CD">
        <w:rPr>
          <w:b/>
          <w:bCs/>
          <w:lang w:val="cs-CZ"/>
        </w:rPr>
        <w:t xml:space="preserve"> investor</w:t>
      </w:r>
      <w:r>
        <w:rPr>
          <w:b/>
          <w:bCs/>
          <w:lang w:val="cs-CZ"/>
        </w:rPr>
        <w:t>ovi</w:t>
      </w:r>
      <w:r w:rsidRPr="008943CD">
        <w:rPr>
          <w:b/>
          <w:bCs/>
          <w:lang w:val="cs-CZ"/>
        </w:rPr>
        <w:t xml:space="preserve"> </w:t>
      </w:r>
      <w:r w:rsidR="00956B3D">
        <w:rPr>
          <w:b/>
          <w:bCs/>
          <w:lang w:val="cs-CZ"/>
        </w:rPr>
        <w:t xml:space="preserve">z Moravskoslezského kraje </w:t>
      </w:r>
      <w:r w:rsidRPr="008943CD">
        <w:rPr>
          <w:b/>
          <w:bCs/>
          <w:lang w:val="cs-CZ"/>
        </w:rPr>
        <w:t>v </w:t>
      </w:r>
      <w:r w:rsidRPr="00750FE4">
        <w:rPr>
          <w:b/>
          <w:bCs/>
          <w:lang w:val="cs-CZ"/>
        </w:rPr>
        <w:t>hodnotě 756,95 tis. Kč</w:t>
      </w:r>
      <w:r w:rsidR="00531B66" w:rsidRPr="00531B66">
        <w:rPr>
          <w:bCs/>
          <w:lang w:val="cs-CZ"/>
        </w:rPr>
        <w:t>, z</w:t>
      </w:r>
      <w:r w:rsidR="00531B66">
        <w:rPr>
          <w:bCs/>
          <w:lang w:val="cs-CZ"/>
        </w:rPr>
        <w:t> </w:t>
      </w:r>
      <w:r w:rsidR="00531B66" w:rsidRPr="00531B66">
        <w:rPr>
          <w:bCs/>
          <w:lang w:val="cs-CZ"/>
        </w:rPr>
        <w:t>toho</w:t>
      </w:r>
      <w:r w:rsidR="00531B66">
        <w:rPr>
          <w:rFonts w:cs="Arial"/>
          <w:lang w:val="cs-CZ"/>
        </w:rPr>
        <w:t xml:space="preserve"> </w:t>
      </w:r>
      <w:r w:rsidR="005C6668">
        <w:rPr>
          <w:rFonts w:cs="Arial"/>
          <w:lang w:val="cs-CZ"/>
        </w:rPr>
        <w:t xml:space="preserve">275,0 tis. </w:t>
      </w:r>
      <w:r w:rsidR="005D081E">
        <w:rPr>
          <w:rFonts w:cs="Arial"/>
          <w:lang w:val="cs-CZ"/>
        </w:rPr>
        <w:t xml:space="preserve">na podporu pracovních míst a </w:t>
      </w:r>
      <w:r w:rsidR="00877B13">
        <w:rPr>
          <w:rFonts w:cs="Arial"/>
          <w:lang w:val="cs-CZ"/>
        </w:rPr>
        <w:t xml:space="preserve">481,95 tis. na </w:t>
      </w:r>
      <w:r w:rsidR="009A76FC">
        <w:rPr>
          <w:rFonts w:cs="Arial"/>
          <w:lang w:val="cs-CZ"/>
        </w:rPr>
        <w:t>podporu rekvalifikace nebo školení zaměstnanců</w:t>
      </w:r>
      <w:r w:rsidRPr="00531B66">
        <w:rPr>
          <w:rFonts w:cs="Arial"/>
        </w:rPr>
        <w:t xml:space="preserve"> </w:t>
      </w:r>
      <w:r w:rsidRPr="00750FE4">
        <w:rPr>
          <w:rFonts w:cs="Arial"/>
        </w:rPr>
        <w:t xml:space="preserve">(viz </w:t>
      </w:r>
      <w:r w:rsidRPr="00750FE4">
        <w:rPr>
          <w:rFonts w:cs="Arial"/>
          <w:lang w:val="cs-CZ"/>
        </w:rPr>
        <w:t xml:space="preserve">příloha č. </w:t>
      </w:r>
      <w:r>
        <w:rPr>
          <w:rFonts w:cs="Arial"/>
          <w:lang w:val="cs-CZ"/>
        </w:rPr>
        <w:t>18</w:t>
      </w:r>
      <w:r w:rsidRPr="00750FE4">
        <w:rPr>
          <w:rFonts w:cs="Arial"/>
          <w:lang w:val="cs-CZ"/>
        </w:rPr>
        <w:t xml:space="preserve"> a 1</w:t>
      </w:r>
      <w:r>
        <w:rPr>
          <w:rFonts w:cs="Arial"/>
          <w:lang w:val="cs-CZ"/>
        </w:rPr>
        <w:t>9</w:t>
      </w:r>
      <w:r w:rsidRPr="00750FE4">
        <w:rPr>
          <w:rFonts w:cs="Arial"/>
          <w:lang w:val="cs-CZ"/>
        </w:rPr>
        <w:t>)</w:t>
      </w:r>
      <w:r w:rsidRPr="00750FE4">
        <w:rPr>
          <w:rFonts w:cs="Arial"/>
        </w:rPr>
        <w:t>.</w:t>
      </w:r>
      <w:r w:rsidRPr="00750FE4">
        <w:t xml:space="preserve"> </w:t>
      </w:r>
    </w:p>
    <w:p w:rsidR="00E52164" w:rsidRPr="00750FE4" w:rsidRDefault="00E52164" w:rsidP="00E52164">
      <w:pPr>
        <w:pStyle w:val="Zkladntextodsazen"/>
        <w:ind w:firstLine="567"/>
        <w:rPr>
          <w:b/>
          <w:bCs/>
          <w:lang w:val="cs-CZ"/>
        </w:rPr>
      </w:pPr>
      <w:r w:rsidRPr="00750FE4">
        <w:t xml:space="preserve">Na základě </w:t>
      </w:r>
      <w:r w:rsidRPr="00750FE4">
        <w:rPr>
          <w:lang w:val="cs-CZ"/>
        </w:rPr>
        <w:t xml:space="preserve">doplatku </w:t>
      </w:r>
      <w:r w:rsidRPr="00750FE4">
        <w:t xml:space="preserve">Dohod v rámci </w:t>
      </w:r>
      <w:r w:rsidRPr="00750FE4">
        <w:rPr>
          <w:bCs/>
        </w:rPr>
        <w:t>Investiční</w:t>
      </w:r>
      <w:r w:rsidRPr="00750FE4">
        <w:t xml:space="preserve">ch pobídek </w:t>
      </w:r>
      <w:r w:rsidRPr="00750FE4">
        <w:rPr>
          <w:lang w:val="cs-CZ"/>
        </w:rPr>
        <w:t xml:space="preserve">byla podpořena již vytvořená </w:t>
      </w:r>
      <w:r w:rsidRPr="00750FE4">
        <w:rPr>
          <w:b/>
          <w:bCs/>
        </w:rPr>
        <w:t>nov</w:t>
      </w:r>
      <w:r w:rsidRPr="00750FE4">
        <w:rPr>
          <w:b/>
          <w:bCs/>
          <w:lang w:val="cs-CZ"/>
        </w:rPr>
        <w:t>á</w:t>
      </w:r>
      <w:r w:rsidRPr="00750FE4">
        <w:rPr>
          <w:b/>
          <w:bCs/>
        </w:rPr>
        <w:t xml:space="preserve"> pracovní míst</w:t>
      </w:r>
      <w:r w:rsidRPr="00750FE4">
        <w:rPr>
          <w:b/>
          <w:bCs/>
          <w:lang w:val="cs-CZ"/>
        </w:rPr>
        <w:t>a</w:t>
      </w:r>
      <w:r w:rsidRPr="00750FE4">
        <w:rPr>
          <w:b/>
          <w:bCs/>
        </w:rPr>
        <w:t xml:space="preserve"> </w:t>
      </w:r>
      <w:r w:rsidRPr="00750FE4">
        <w:rPr>
          <w:b/>
          <w:bCs/>
          <w:lang w:val="cs-CZ"/>
        </w:rPr>
        <w:t>pro 11 zamě</w:t>
      </w:r>
      <w:r>
        <w:rPr>
          <w:b/>
          <w:bCs/>
          <w:lang w:val="cs-CZ"/>
        </w:rPr>
        <w:t>stnanců vedených dlouhodobě na Ú</w:t>
      </w:r>
      <w:r w:rsidRPr="00750FE4">
        <w:rPr>
          <w:b/>
          <w:bCs/>
          <w:lang w:val="cs-CZ"/>
        </w:rPr>
        <w:t>řadu práce</w:t>
      </w:r>
      <w:r>
        <w:rPr>
          <w:b/>
          <w:bCs/>
          <w:lang w:val="cs-CZ"/>
        </w:rPr>
        <w:t xml:space="preserve"> ČR</w:t>
      </w:r>
      <w:r w:rsidRPr="00750FE4">
        <w:rPr>
          <w:b/>
          <w:bCs/>
          <w:lang w:val="cs-CZ"/>
        </w:rPr>
        <w:t xml:space="preserve"> nebo se změněnou pracovní schopností. </w:t>
      </w:r>
    </w:p>
    <w:p w:rsidR="00680CA0" w:rsidRPr="00956B3D" w:rsidRDefault="00680CA0" w:rsidP="00956B3D">
      <w:pPr>
        <w:pStyle w:val="Zkladntextodsazen"/>
        <w:spacing w:line="240" w:lineRule="auto"/>
        <w:ind w:firstLine="540"/>
        <w:rPr>
          <w:b/>
          <w:sz w:val="16"/>
          <w:szCs w:val="16"/>
          <w:lang w:val="cs-CZ"/>
        </w:rPr>
      </w:pPr>
    </w:p>
    <w:p w:rsidR="00956B3D" w:rsidRPr="008F08EA" w:rsidRDefault="00956B3D" w:rsidP="00D35627">
      <w:pPr>
        <w:pStyle w:val="Zkladntextodsazen"/>
        <w:ind w:firstLine="540"/>
        <w:rPr>
          <w:b/>
          <w:lang w:val="cs-CZ"/>
        </w:rPr>
      </w:pPr>
    </w:p>
    <w:p w:rsidR="00D97578" w:rsidRPr="001442D7" w:rsidRDefault="00D97578" w:rsidP="00614F36">
      <w:pPr>
        <w:pStyle w:val="Styl3"/>
      </w:pPr>
      <w:bookmarkStart w:id="163" w:name="_Toc258997903"/>
      <w:bookmarkStart w:id="164" w:name="_Toc372530200"/>
      <w:r w:rsidRPr="001442D7">
        <w:t>Projekty financované z prostředků Evropského sociálního fondu</w:t>
      </w:r>
      <w:bookmarkEnd w:id="163"/>
      <w:bookmarkEnd w:id="164"/>
      <w:r w:rsidRPr="001442D7">
        <w:t xml:space="preserve"> </w:t>
      </w:r>
    </w:p>
    <w:p w:rsidR="00D97578" w:rsidRPr="001442D7" w:rsidRDefault="00D97578" w:rsidP="00614F36">
      <w:pPr>
        <w:pStyle w:val="Styl3"/>
        <w:numPr>
          <w:ilvl w:val="0"/>
          <w:numId w:val="0"/>
        </w:numPr>
        <w:ind w:left="900"/>
      </w:pPr>
    </w:p>
    <w:p w:rsidR="000F684F" w:rsidRPr="00FA596F" w:rsidRDefault="000F684F" w:rsidP="000F684F">
      <w:pPr>
        <w:spacing w:line="360" w:lineRule="auto"/>
        <w:ind w:firstLine="567"/>
        <w:jc w:val="both"/>
        <w:rPr>
          <w:rFonts w:ascii="Arial" w:hAnsi="Arial" w:cs="Arial"/>
        </w:rPr>
      </w:pPr>
      <w:bookmarkStart w:id="165" w:name="_Toc228001712"/>
      <w:bookmarkEnd w:id="149"/>
      <w:bookmarkEnd w:id="150"/>
      <w:bookmarkEnd w:id="151"/>
      <w:bookmarkEnd w:id="152"/>
      <w:bookmarkEnd w:id="153"/>
      <w:bookmarkEnd w:id="154"/>
      <w:r w:rsidRPr="00FA596F">
        <w:rPr>
          <w:rFonts w:ascii="Arial" w:hAnsi="Arial" w:cs="Arial"/>
        </w:rPr>
        <w:t xml:space="preserve">Významným zdrojem finančních prostředků na aktivity služeb zaměstnanosti  je Evropský sociální fond (ESF). Prostředky ESF jsou v roce 2013 čerpány na základě </w:t>
      </w:r>
      <w:r w:rsidRPr="00FA596F">
        <w:rPr>
          <w:rFonts w:ascii="Arial" w:hAnsi="Arial" w:cs="Arial"/>
          <w:b/>
        </w:rPr>
        <w:t>operačního programu Lidské zdroje a zaměstnanost (OP LZZ) programovacího období 2007 – 2013</w:t>
      </w:r>
      <w:r w:rsidRPr="00FA596F">
        <w:rPr>
          <w:rFonts w:ascii="Arial" w:hAnsi="Arial" w:cs="Arial"/>
        </w:rPr>
        <w:t xml:space="preserve">. Jeho globálním cílem je „Zvýšit zaměstnanost </w:t>
      </w:r>
      <w:r w:rsidRPr="00FA596F">
        <w:rPr>
          <w:rFonts w:ascii="Arial" w:hAnsi="Arial" w:cs="Arial"/>
        </w:rPr>
        <w:lastRenderedPageBreak/>
        <w:t>a zaměstnatelnost lidí v ČR na úroveň průměru 15 nejlepších zemí EU“. V souladu s tímto cílem a  s návrhy a strategiemi obsaženými v Národním strategickém referenčním rámci 2007 - 2013 (a dalších dokumentech) jsou koncipovány prioritní osy OP LZZ.</w:t>
      </w:r>
    </w:p>
    <w:p w:rsidR="000F684F" w:rsidRPr="00FA596F" w:rsidRDefault="000F684F" w:rsidP="000F684F">
      <w:pPr>
        <w:spacing w:line="360" w:lineRule="auto"/>
        <w:ind w:firstLine="567"/>
        <w:jc w:val="both"/>
        <w:rPr>
          <w:rFonts w:ascii="Arial" w:hAnsi="Arial" w:cs="Arial"/>
        </w:rPr>
      </w:pPr>
      <w:r w:rsidRPr="00FA596F">
        <w:rPr>
          <w:rFonts w:ascii="Arial" w:hAnsi="Arial" w:cs="Arial"/>
        </w:rPr>
        <w:t xml:space="preserve">Oblasti zaměstnanosti se týkají především tyto prioritní osy a oblasti podpory: </w:t>
      </w:r>
    </w:p>
    <w:p w:rsidR="000F684F" w:rsidRPr="000F684F" w:rsidRDefault="000F684F" w:rsidP="000F684F">
      <w:pPr>
        <w:jc w:val="both"/>
        <w:rPr>
          <w:rFonts w:ascii="Arial" w:hAnsi="Arial" w:cs="Arial"/>
        </w:rPr>
      </w:pPr>
    </w:p>
    <w:p w:rsidR="000F684F" w:rsidRPr="00391978" w:rsidRDefault="000F684F" w:rsidP="000F684F">
      <w:pPr>
        <w:jc w:val="center"/>
        <w:rPr>
          <w:rFonts w:ascii="Arial" w:hAnsi="Arial" w:cs="Arial"/>
          <w:b/>
        </w:rPr>
      </w:pPr>
      <w:r w:rsidRPr="00391978">
        <w:rPr>
          <w:rFonts w:ascii="Arial" w:hAnsi="Arial" w:cs="Arial"/>
          <w:b/>
        </w:rPr>
        <w:t>Prioritní osy a oblasti podpory OP LZZ</w:t>
      </w:r>
    </w:p>
    <w:p w:rsidR="000F684F" w:rsidRPr="00391978" w:rsidRDefault="000F684F" w:rsidP="000F684F">
      <w:pPr>
        <w:jc w:val="right"/>
        <w:rPr>
          <w:rFonts w:ascii="Arial" w:hAnsi="Arial" w:cs="Arial"/>
          <w:b/>
          <w:bCs/>
          <w:sz w:val="20"/>
        </w:rPr>
      </w:pPr>
      <w:r w:rsidRPr="007A108F">
        <w:rPr>
          <w:rFonts w:ascii="Arial" w:hAnsi="Arial" w:cs="Arial"/>
          <w:sz w:val="20"/>
        </w:rPr>
        <w:t>tab. č. 2</w:t>
      </w:r>
      <w:r w:rsidR="007A108F" w:rsidRPr="007A108F">
        <w:rPr>
          <w:rFonts w:ascii="Arial" w:hAnsi="Arial" w:cs="Arial"/>
          <w:sz w:val="20"/>
        </w:rPr>
        <w:t>4</w:t>
      </w:r>
    </w:p>
    <w:tbl>
      <w:tblPr>
        <w:tblW w:w="9180"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1188"/>
        <w:gridCol w:w="2052"/>
        <w:gridCol w:w="5940"/>
      </w:tblGrid>
      <w:tr w:rsidR="000F684F" w:rsidRPr="00391978" w:rsidTr="002F5109">
        <w:trPr>
          <w:trHeight w:val="479"/>
        </w:trPr>
        <w:tc>
          <w:tcPr>
            <w:tcW w:w="1188" w:type="dxa"/>
            <w:tcBorders>
              <w:top w:val="double" w:sz="4" w:space="0" w:color="auto"/>
            </w:tcBorders>
            <w:vAlign w:val="center"/>
          </w:tcPr>
          <w:p w:rsidR="000F684F" w:rsidRPr="00391978" w:rsidRDefault="000F684F" w:rsidP="002F5109">
            <w:pPr>
              <w:jc w:val="center"/>
              <w:rPr>
                <w:rFonts w:ascii="Arial" w:hAnsi="Arial" w:cs="Arial"/>
                <w:b/>
                <w:sz w:val="20"/>
                <w:szCs w:val="20"/>
              </w:rPr>
            </w:pPr>
            <w:r w:rsidRPr="00391978">
              <w:rPr>
                <w:rFonts w:ascii="Arial" w:hAnsi="Arial" w:cs="Arial"/>
                <w:b/>
                <w:sz w:val="20"/>
                <w:szCs w:val="20"/>
              </w:rPr>
              <w:t>Prioritní osa</w:t>
            </w:r>
          </w:p>
        </w:tc>
        <w:tc>
          <w:tcPr>
            <w:tcW w:w="7992" w:type="dxa"/>
            <w:gridSpan w:val="2"/>
            <w:tcBorders>
              <w:top w:val="double" w:sz="4" w:space="0" w:color="auto"/>
            </w:tcBorders>
            <w:vAlign w:val="center"/>
          </w:tcPr>
          <w:p w:rsidR="000F684F" w:rsidRPr="00391978" w:rsidRDefault="000F684F" w:rsidP="002F5109">
            <w:pPr>
              <w:jc w:val="center"/>
              <w:rPr>
                <w:rFonts w:ascii="Arial" w:hAnsi="Arial" w:cs="Arial"/>
                <w:b/>
                <w:sz w:val="20"/>
                <w:szCs w:val="20"/>
              </w:rPr>
            </w:pPr>
            <w:r w:rsidRPr="00391978">
              <w:rPr>
                <w:rFonts w:ascii="Arial" w:hAnsi="Arial" w:cs="Arial"/>
                <w:b/>
                <w:sz w:val="20"/>
                <w:szCs w:val="20"/>
              </w:rPr>
              <w:t>Oblast podpory</w:t>
            </w:r>
          </w:p>
        </w:tc>
      </w:tr>
      <w:tr w:rsidR="000F684F" w:rsidRPr="00391978" w:rsidTr="002F5109">
        <w:trPr>
          <w:cantSplit/>
          <w:trHeight w:val="335"/>
        </w:trPr>
        <w:tc>
          <w:tcPr>
            <w:tcW w:w="1188" w:type="dxa"/>
            <w:vMerge w:val="restart"/>
            <w:vAlign w:val="center"/>
          </w:tcPr>
          <w:p w:rsidR="000F684F" w:rsidRPr="00391978" w:rsidRDefault="000F684F" w:rsidP="002F5109">
            <w:pPr>
              <w:rPr>
                <w:rFonts w:ascii="Arial" w:hAnsi="Arial" w:cs="Arial"/>
                <w:sz w:val="20"/>
                <w:szCs w:val="20"/>
              </w:rPr>
            </w:pPr>
            <w:r w:rsidRPr="00391978">
              <w:rPr>
                <w:rFonts w:ascii="Arial" w:hAnsi="Arial" w:cs="Arial"/>
                <w:b/>
                <w:sz w:val="20"/>
                <w:szCs w:val="20"/>
              </w:rPr>
              <w:t>PO 1</w:t>
            </w:r>
          </w:p>
        </w:tc>
        <w:tc>
          <w:tcPr>
            <w:tcW w:w="7992" w:type="dxa"/>
            <w:gridSpan w:val="2"/>
            <w:vAlign w:val="center"/>
          </w:tcPr>
          <w:p w:rsidR="000F684F" w:rsidRPr="00391978" w:rsidRDefault="000F684F" w:rsidP="002F5109">
            <w:pPr>
              <w:rPr>
                <w:rFonts w:ascii="Arial" w:hAnsi="Arial" w:cs="Arial"/>
                <w:sz w:val="20"/>
                <w:szCs w:val="20"/>
              </w:rPr>
            </w:pPr>
            <w:r w:rsidRPr="00391978">
              <w:rPr>
                <w:rFonts w:ascii="Arial" w:hAnsi="Arial" w:cs="Arial"/>
                <w:b/>
                <w:sz w:val="20"/>
                <w:szCs w:val="20"/>
              </w:rPr>
              <w:t>Adaptabilita</w:t>
            </w:r>
          </w:p>
        </w:tc>
      </w:tr>
      <w:tr w:rsidR="000F684F" w:rsidRPr="00391978" w:rsidTr="002F5109">
        <w:trPr>
          <w:cantSplit/>
          <w:trHeight w:val="330"/>
        </w:trPr>
        <w:tc>
          <w:tcPr>
            <w:tcW w:w="1188" w:type="dxa"/>
            <w:vMerge/>
            <w:vAlign w:val="center"/>
          </w:tcPr>
          <w:p w:rsidR="000F684F" w:rsidRPr="00391978" w:rsidRDefault="000F684F" w:rsidP="002F5109">
            <w:pPr>
              <w:rPr>
                <w:rFonts w:ascii="Arial" w:hAnsi="Arial" w:cs="Arial"/>
                <w:sz w:val="20"/>
                <w:szCs w:val="20"/>
              </w:rPr>
            </w:pPr>
          </w:p>
        </w:tc>
        <w:tc>
          <w:tcPr>
            <w:tcW w:w="2052" w:type="dxa"/>
            <w:vAlign w:val="center"/>
          </w:tcPr>
          <w:p w:rsidR="000F684F" w:rsidRPr="00391978" w:rsidRDefault="000F684F" w:rsidP="002F5109">
            <w:pPr>
              <w:rPr>
                <w:rFonts w:ascii="Arial" w:hAnsi="Arial" w:cs="Arial"/>
                <w:sz w:val="20"/>
                <w:szCs w:val="20"/>
              </w:rPr>
            </w:pPr>
            <w:r w:rsidRPr="00391978">
              <w:rPr>
                <w:rFonts w:ascii="Arial" w:hAnsi="Arial" w:cs="Arial"/>
                <w:sz w:val="20"/>
                <w:szCs w:val="20"/>
              </w:rPr>
              <w:t xml:space="preserve">Oblast podpory 1.1 </w:t>
            </w:r>
          </w:p>
        </w:tc>
        <w:tc>
          <w:tcPr>
            <w:tcW w:w="5940" w:type="dxa"/>
            <w:vAlign w:val="center"/>
          </w:tcPr>
          <w:p w:rsidR="000F684F" w:rsidRPr="00391978" w:rsidRDefault="000F684F" w:rsidP="002F5109">
            <w:pPr>
              <w:rPr>
                <w:rFonts w:ascii="Arial" w:hAnsi="Arial" w:cs="Arial"/>
                <w:sz w:val="20"/>
                <w:szCs w:val="20"/>
                <w:lang w:eastAsia="sk-SK"/>
              </w:rPr>
            </w:pPr>
            <w:r w:rsidRPr="00391978">
              <w:rPr>
                <w:rFonts w:ascii="Arial" w:hAnsi="Arial" w:cs="Arial"/>
                <w:sz w:val="20"/>
                <w:szCs w:val="20"/>
                <w:lang w:val="sk-SK" w:eastAsia="sk-SK"/>
              </w:rPr>
              <w:t xml:space="preserve">Zvýšení adaptability </w:t>
            </w:r>
            <w:r w:rsidRPr="00391978">
              <w:rPr>
                <w:rFonts w:ascii="Arial" w:hAnsi="Arial" w:cs="Arial"/>
                <w:sz w:val="20"/>
                <w:szCs w:val="20"/>
                <w:lang w:eastAsia="sk-SK"/>
              </w:rPr>
              <w:t>zaměstnanců a konkurenceschopnosti podniků</w:t>
            </w:r>
          </w:p>
        </w:tc>
      </w:tr>
      <w:tr w:rsidR="000F684F" w:rsidRPr="00391978" w:rsidTr="002F5109">
        <w:trPr>
          <w:cantSplit/>
          <w:trHeight w:val="330"/>
        </w:trPr>
        <w:tc>
          <w:tcPr>
            <w:tcW w:w="1188" w:type="dxa"/>
            <w:vMerge/>
            <w:vAlign w:val="center"/>
          </w:tcPr>
          <w:p w:rsidR="000F684F" w:rsidRPr="00391978" w:rsidRDefault="000F684F" w:rsidP="002F5109">
            <w:pPr>
              <w:rPr>
                <w:rFonts w:ascii="Arial" w:hAnsi="Arial" w:cs="Arial"/>
                <w:sz w:val="20"/>
                <w:szCs w:val="20"/>
              </w:rPr>
            </w:pPr>
          </w:p>
        </w:tc>
        <w:tc>
          <w:tcPr>
            <w:tcW w:w="2052" w:type="dxa"/>
            <w:vAlign w:val="center"/>
          </w:tcPr>
          <w:p w:rsidR="000F684F" w:rsidRPr="00391978" w:rsidRDefault="000F684F" w:rsidP="002F5109">
            <w:pPr>
              <w:rPr>
                <w:rFonts w:ascii="Arial" w:hAnsi="Arial" w:cs="Arial"/>
                <w:sz w:val="20"/>
                <w:szCs w:val="20"/>
              </w:rPr>
            </w:pPr>
            <w:r w:rsidRPr="00391978">
              <w:rPr>
                <w:rFonts w:ascii="Arial" w:hAnsi="Arial" w:cs="Arial"/>
                <w:sz w:val="20"/>
                <w:szCs w:val="20"/>
              </w:rPr>
              <w:t xml:space="preserve">Oblast podpory 1.2 (část)  </w:t>
            </w:r>
          </w:p>
        </w:tc>
        <w:tc>
          <w:tcPr>
            <w:tcW w:w="5940" w:type="dxa"/>
            <w:vAlign w:val="center"/>
          </w:tcPr>
          <w:p w:rsidR="000F684F" w:rsidRPr="00391978" w:rsidRDefault="000F684F" w:rsidP="002F5109">
            <w:pPr>
              <w:rPr>
                <w:rFonts w:ascii="Arial" w:hAnsi="Arial" w:cs="Arial"/>
                <w:sz w:val="20"/>
                <w:szCs w:val="20"/>
                <w:lang w:eastAsia="sk-SK"/>
              </w:rPr>
            </w:pPr>
            <w:r w:rsidRPr="00391978">
              <w:rPr>
                <w:rFonts w:ascii="Arial" w:hAnsi="Arial" w:cs="Arial"/>
                <w:sz w:val="20"/>
                <w:szCs w:val="20"/>
                <w:lang w:val="sk-SK" w:eastAsia="sk-SK"/>
              </w:rPr>
              <w:t xml:space="preserve">Zvýšení adaptability </w:t>
            </w:r>
            <w:r w:rsidRPr="00391978">
              <w:rPr>
                <w:rFonts w:ascii="Arial" w:hAnsi="Arial" w:cs="Arial"/>
                <w:sz w:val="20"/>
                <w:szCs w:val="20"/>
                <w:lang w:eastAsia="sk-SK"/>
              </w:rPr>
              <w:t>zaměstnanců restrukturalizovaných podniků</w:t>
            </w:r>
          </w:p>
        </w:tc>
      </w:tr>
      <w:tr w:rsidR="000F684F" w:rsidRPr="00391978" w:rsidTr="002F5109">
        <w:trPr>
          <w:cantSplit/>
          <w:trHeight w:val="404"/>
        </w:trPr>
        <w:tc>
          <w:tcPr>
            <w:tcW w:w="1188" w:type="dxa"/>
            <w:vMerge w:val="restart"/>
            <w:vAlign w:val="center"/>
          </w:tcPr>
          <w:p w:rsidR="000F684F" w:rsidRPr="00391978" w:rsidRDefault="000F684F" w:rsidP="002F5109">
            <w:pPr>
              <w:rPr>
                <w:rFonts w:ascii="Arial" w:hAnsi="Arial" w:cs="Arial"/>
                <w:sz w:val="20"/>
                <w:szCs w:val="20"/>
              </w:rPr>
            </w:pPr>
            <w:r w:rsidRPr="00391978">
              <w:rPr>
                <w:rFonts w:ascii="Arial" w:hAnsi="Arial" w:cs="Arial"/>
                <w:b/>
                <w:sz w:val="20"/>
                <w:szCs w:val="20"/>
              </w:rPr>
              <w:t>PO 2</w:t>
            </w:r>
          </w:p>
        </w:tc>
        <w:tc>
          <w:tcPr>
            <w:tcW w:w="7992" w:type="dxa"/>
            <w:gridSpan w:val="2"/>
            <w:vAlign w:val="center"/>
          </w:tcPr>
          <w:p w:rsidR="000F684F" w:rsidRPr="00391978" w:rsidRDefault="000F684F" w:rsidP="002F5109">
            <w:pPr>
              <w:rPr>
                <w:rFonts w:ascii="Arial" w:hAnsi="Arial" w:cs="Arial"/>
                <w:sz w:val="20"/>
                <w:szCs w:val="20"/>
              </w:rPr>
            </w:pPr>
            <w:r w:rsidRPr="00391978">
              <w:rPr>
                <w:rFonts w:ascii="Arial" w:hAnsi="Arial" w:cs="Arial"/>
                <w:b/>
                <w:sz w:val="20"/>
                <w:szCs w:val="20"/>
              </w:rPr>
              <w:t>Aktivní politiky trhu práce</w:t>
            </w:r>
          </w:p>
        </w:tc>
      </w:tr>
      <w:tr w:rsidR="000F684F" w:rsidRPr="00391978" w:rsidTr="002F5109">
        <w:trPr>
          <w:cantSplit/>
          <w:trHeight w:val="477"/>
        </w:trPr>
        <w:tc>
          <w:tcPr>
            <w:tcW w:w="1188" w:type="dxa"/>
            <w:vMerge/>
            <w:vAlign w:val="center"/>
          </w:tcPr>
          <w:p w:rsidR="000F684F" w:rsidRPr="00391978" w:rsidRDefault="000F684F" w:rsidP="002F5109">
            <w:pPr>
              <w:rPr>
                <w:rFonts w:ascii="Arial" w:hAnsi="Arial" w:cs="Arial"/>
                <w:sz w:val="20"/>
                <w:szCs w:val="20"/>
              </w:rPr>
            </w:pPr>
          </w:p>
        </w:tc>
        <w:tc>
          <w:tcPr>
            <w:tcW w:w="2052" w:type="dxa"/>
            <w:vAlign w:val="center"/>
          </w:tcPr>
          <w:p w:rsidR="000F684F" w:rsidRPr="00391978" w:rsidRDefault="000F684F" w:rsidP="002F5109">
            <w:pPr>
              <w:rPr>
                <w:rFonts w:ascii="Arial" w:hAnsi="Arial" w:cs="Arial"/>
                <w:sz w:val="20"/>
                <w:szCs w:val="20"/>
              </w:rPr>
            </w:pPr>
            <w:r w:rsidRPr="00391978">
              <w:rPr>
                <w:rFonts w:ascii="Arial" w:hAnsi="Arial" w:cs="Arial"/>
                <w:sz w:val="20"/>
                <w:szCs w:val="20"/>
              </w:rPr>
              <w:t xml:space="preserve">Oblast podpory 2.1  </w:t>
            </w:r>
          </w:p>
        </w:tc>
        <w:tc>
          <w:tcPr>
            <w:tcW w:w="5940" w:type="dxa"/>
            <w:vAlign w:val="center"/>
          </w:tcPr>
          <w:p w:rsidR="000F684F" w:rsidRPr="00391978" w:rsidRDefault="000F684F" w:rsidP="002F5109">
            <w:pPr>
              <w:rPr>
                <w:rFonts w:ascii="Arial" w:hAnsi="Arial" w:cs="Arial"/>
                <w:bCs/>
                <w:sz w:val="20"/>
                <w:szCs w:val="20"/>
              </w:rPr>
            </w:pPr>
            <w:r w:rsidRPr="00391978">
              <w:rPr>
                <w:rFonts w:ascii="Arial" w:hAnsi="Arial" w:cs="Arial"/>
                <w:sz w:val="20"/>
                <w:szCs w:val="20"/>
              </w:rPr>
              <w:t>Posílení aktivních politik zaměstnanosti</w:t>
            </w:r>
          </w:p>
        </w:tc>
      </w:tr>
      <w:tr w:rsidR="000F684F" w:rsidRPr="00391978" w:rsidTr="002F5109">
        <w:trPr>
          <w:cantSplit/>
          <w:trHeight w:val="477"/>
        </w:trPr>
        <w:tc>
          <w:tcPr>
            <w:tcW w:w="1188" w:type="dxa"/>
            <w:vMerge/>
            <w:vAlign w:val="center"/>
          </w:tcPr>
          <w:p w:rsidR="000F684F" w:rsidRPr="00391978" w:rsidRDefault="000F684F" w:rsidP="002F5109">
            <w:pPr>
              <w:rPr>
                <w:rFonts w:ascii="Arial" w:hAnsi="Arial" w:cs="Arial"/>
                <w:sz w:val="20"/>
                <w:szCs w:val="20"/>
              </w:rPr>
            </w:pPr>
          </w:p>
        </w:tc>
        <w:tc>
          <w:tcPr>
            <w:tcW w:w="2052" w:type="dxa"/>
            <w:vAlign w:val="center"/>
          </w:tcPr>
          <w:p w:rsidR="000F684F" w:rsidRPr="00391978" w:rsidRDefault="000F684F" w:rsidP="002F5109">
            <w:pPr>
              <w:rPr>
                <w:rFonts w:ascii="Arial" w:hAnsi="Arial" w:cs="Arial"/>
                <w:sz w:val="20"/>
                <w:szCs w:val="20"/>
              </w:rPr>
            </w:pPr>
            <w:r w:rsidRPr="00391978">
              <w:rPr>
                <w:rFonts w:ascii="Arial" w:hAnsi="Arial" w:cs="Arial"/>
                <w:sz w:val="20"/>
                <w:szCs w:val="20"/>
              </w:rPr>
              <w:t xml:space="preserve">Oblast podpory 2.2  </w:t>
            </w:r>
          </w:p>
        </w:tc>
        <w:tc>
          <w:tcPr>
            <w:tcW w:w="5940" w:type="dxa"/>
            <w:vAlign w:val="center"/>
          </w:tcPr>
          <w:p w:rsidR="000F684F" w:rsidRPr="00391978" w:rsidRDefault="000F684F" w:rsidP="002F5109">
            <w:pPr>
              <w:rPr>
                <w:rFonts w:ascii="Arial" w:hAnsi="Arial" w:cs="Arial"/>
                <w:bCs/>
                <w:sz w:val="20"/>
                <w:szCs w:val="20"/>
              </w:rPr>
            </w:pPr>
            <w:r w:rsidRPr="00391978">
              <w:rPr>
                <w:rFonts w:ascii="Arial" w:hAnsi="Arial" w:cs="Arial"/>
                <w:sz w:val="20"/>
                <w:szCs w:val="20"/>
              </w:rPr>
              <w:t>Modernizace institucí a zavedení systému kvality služeb zaměstnanosti a jejich rozvoj</w:t>
            </w:r>
          </w:p>
        </w:tc>
      </w:tr>
      <w:tr w:rsidR="000F684F" w:rsidRPr="00391978" w:rsidTr="002F5109">
        <w:trPr>
          <w:cantSplit/>
          <w:trHeight w:val="299"/>
        </w:trPr>
        <w:tc>
          <w:tcPr>
            <w:tcW w:w="1188" w:type="dxa"/>
            <w:vMerge w:val="restart"/>
            <w:vAlign w:val="center"/>
          </w:tcPr>
          <w:p w:rsidR="000F684F" w:rsidRPr="00391978" w:rsidRDefault="000F684F" w:rsidP="002F5109">
            <w:pPr>
              <w:rPr>
                <w:rFonts w:ascii="Arial" w:hAnsi="Arial" w:cs="Arial"/>
                <w:sz w:val="20"/>
                <w:szCs w:val="20"/>
              </w:rPr>
            </w:pPr>
            <w:r w:rsidRPr="00391978">
              <w:rPr>
                <w:rFonts w:ascii="Arial" w:hAnsi="Arial" w:cs="Arial"/>
                <w:b/>
                <w:bCs/>
                <w:sz w:val="20"/>
                <w:szCs w:val="20"/>
              </w:rPr>
              <w:t xml:space="preserve">PO 3     </w:t>
            </w:r>
          </w:p>
        </w:tc>
        <w:tc>
          <w:tcPr>
            <w:tcW w:w="7992" w:type="dxa"/>
            <w:gridSpan w:val="2"/>
            <w:vAlign w:val="center"/>
          </w:tcPr>
          <w:p w:rsidR="000F684F" w:rsidRPr="00391978" w:rsidRDefault="000F684F" w:rsidP="002F5109">
            <w:pPr>
              <w:rPr>
                <w:rFonts w:ascii="Arial" w:hAnsi="Arial" w:cs="Arial"/>
                <w:sz w:val="20"/>
                <w:szCs w:val="20"/>
              </w:rPr>
            </w:pPr>
            <w:r w:rsidRPr="00391978">
              <w:rPr>
                <w:rFonts w:ascii="Arial" w:hAnsi="Arial" w:cs="Arial"/>
                <w:b/>
                <w:bCs/>
                <w:sz w:val="20"/>
                <w:szCs w:val="20"/>
              </w:rPr>
              <w:t>Sociální integrace a rovné příležitosti</w:t>
            </w:r>
          </w:p>
        </w:tc>
      </w:tr>
      <w:tr w:rsidR="000F684F" w:rsidRPr="00391978" w:rsidTr="002F5109">
        <w:trPr>
          <w:cantSplit/>
          <w:trHeight w:val="454"/>
        </w:trPr>
        <w:tc>
          <w:tcPr>
            <w:tcW w:w="1188" w:type="dxa"/>
            <w:vMerge/>
            <w:tcBorders>
              <w:bottom w:val="double" w:sz="4" w:space="0" w:color="auto"/>
            </w:tcBorders>
            <w:vAlign w:val="center"/>
          </w:tcPr>
          <w:p w:rsidR="000F684F" w:rsidRPr="00391978" w:rsidRDefault="000F684F" w:rsidP="002F5109">
            <w:pPr>
              <w:rPr>
                <w:rFonts w:ascii="Arial" w:hAnsi="Arial" w:cs="Arial"/>
                <w:sz w:val="20"/>
                <w:szCs w:val="20"/>
              </w:rPr>
            </w:pPr>
          </w:p>
        </w:tc>
        <w:tc>
          <w:tcPr>
            <w:tcW w:w="2052" w:type="dxa"/>
            <w:tcBorders>
              <w:bottom w:val="double" w:sz="4" w:space="0" w:color="auto"/>
            </w:tcBorders>
            <w:vAlign w:val="center"/>
          </w:tcPr>
          <w:p w:rsidR="000F684F" w:rsidRPr="00391978" w:rsidRDefault="000F684F" w:rsidP="002F5109">
            <w:pPr>
              <w:rPr>
                <w:rFonts w:ascii="Arial" w:hAnsi="Arial" w:cs="Arial"/>
                <w:sz w:val="20"/>
                <w:szCs w:val="20"/>
              </w:rPr>
            </w:pPr>
            <w:r w:rsidRPr="00391978">
              <w:rPr>
                <w:rFonts w:ascii="Arial" w:hAnsi="Arial" w:cs="Arial"/>
                <w:sz w:val="20"/>
                <w:szCs w:val="20"/>
              </w:rPr>
              <w:t>Oblast podpory 3.3</w:t>
            </w:r>
          </w:p>
        </w:tc>
        <w:tc>
          <w:tcPr>
            <w:tcW w:w="5940" w:type="dxa"/>
            <w:tcBorders>
              <w:bottom w:val="double" w:sz="4" w:space="0" w:color="auto"/>
            </w:tcBorders>
            <w:vAlign w:val="center"/>
          </w:tcPr>
          <w:p w:rsidR="000F684F" w:rsidRPr="00391978" w:rsidRDefault="000F684F" w:rsidP="002F5109">
            <w:pPr>
              <w:ind w:hanging="36"/>
              <w:rPr>
                <w:rFonts w:ascii="Arial" w:hAnsi="Arial" w:cs="Arial"/>
                <w:sz w:val="20"/>
                <w:szCs w:val="20"/>
              </w:rPr>
            </w:pPr>
            <w:r w:rsidRPr="00391978">
              <w:rPr>
                <w:rFonts w:ascii="Arial" w:hAnsi="Arial" w:cs="Arial"/>
                <w:sz w:val="20"/>
                <w:szCs w:val="20"/>
              </w:rPr>
              <w:t>Integrace sociálně vyloučených skupin na trhu práce</w:t>
            </w:r>
          </w:p>
        </w:tc>
      </w:tr>
    </w:tbl>
    <w:p w:rsidR="000F684F" w:rsidRDefault="000F684F" w:rsidP="000F684F">
      <w:pPr>
        <w:spacing w:line="360" w:lineRule="auto"/>
        <w:ind w:firstLine="708"/>
        <w:jc w:val="both"/>
        <w:rPr>
          <w:rFonts w:ascii="Arial" w:hAnsi="Arial" w:cs="Arial"/>
        </w:rPr>
      </w:pPr>
    </w:p>
    <w:p w:rsidR="000F684F" w:rsidRPr="00AC510D" w:rsidRDefault="000F684F" w:rsidP="000F684F">
      <w:pPr>
        <w:spacing w:line="360" w:lineRule="auto"/>
        <w:ind w:firstLine="708"/>
        <w:jc w:val="both"/>
        <w:rPr>
          <w:rFonts w:ascii="Arial" w:hAnsi="Arial" w:cs="Arial"/>
          <w:iCs/>
        </w:rPr>
      </w:pPr>
      <w:r w:rsidRPr="00AC510D">
        <w:rPr>
          <w:rFonts w:ascii="Arial" w:hAnsi="Arial" w:cs="Arial"/>
        </w:rPr>
        <w:t xml:space="preserve">Další oblasti podpory 3.1 a 3.2 jsou zaměřeny především na oblast sociálních služeb, 3.4 na rovné příležitosti a slaďování rodinného a pracovního života </w:t>
      </w:r>
      <w:r w:rsidRPr="00AC510D">
        <w:rPr>
          <w:rFonts w:ascii="Arial" w:hAnsi="Arial" w:cs="Arial"/>
          <w:vertAlign w:val="superscript"/>
        </w:rPr>
        <w:footnoteReference w:id="7"/>
      </w:r>
      <w:r w:rsidRPr="00AC510D">
        <w:rPr>
          <w:rFonts w:ascii="Arial" w:hAnsi="Arial" w:cs="Arial"/>
        </w:rPr>
        <w:t>, prioritní osa PO 5, o</w:t>
      </w:r>
      <w:r w:rsidRPr="00AC510D">
        <w:rPr>
          <w:rFonts w:ascii="Arial" w:hAnsi="Arial" w:cs="Arial"/>
          <w:iCs/>
        </w:rPr>
        <w:t>blast podpory 5.1 na mezinárodní spolupráci v oblasti rozvoje lidských zdrojů a zaměstnanosti.</w:t>
      </w:r>
    </w:p>
    <w:p w:rsidR="000F684F" w:rsidRPr="00AC510D" w:rsidRDefault="000F684F" w:rsidP="000F684F">
      <w:pPr>
        <w:spacing w:line="360" w:lineRule="auto"/>
        <w:ind w:firstLine="708"/>
        <w:jc w:val="both"/>
        <w:rPr>
          <w:rFonts w:ascii="Arial" w:hAnsi="Arial" w:cs="Arial"/>
          <w:iCs/>
        </w:rPr>
      </w:pPr>
      <w:r w:rsidRPr="00AC510D">
        <w:rPr>
          <w:rFonts w:ascii="Arial" w:hAnsi="Arial" w:cs="Arial"/>
          <w:iCs/>
        </w:rPr>
        <w:t>Tato část si neklade za cíl popsat všechny realizované projekty, její součástí jsou ty, které mají vazbu na prostředky vyčleněné na politiku zaměstnanosti (především individuální projekty realizované ÚP</w:t>
      </w:r>
      <w:r w:rsidR="008D77B7">
        <w:rPr>
          <w:rFonts w:ascii="Arial" w:hAnsi="Arial" w:cs="Arial"/>
          <w:iCs/>
        </w:rPr>
        <w:t> ČR</w:t>
      </w:r>
      <w:r w:rsidRPr="00AC510D">
        <w:rPr>
          <w:rFonts w:ascii="Arial" w:hAnsi="Arial" w:cs="Arial"/>
          <w:iCs/>
        </w:rPr>
        <w:t xml:space="preserve">, národní individuální projekty), grantové projekty vztahující se k aktivní politice zaměstnanosti a systémové projekty zaměřené na modernizaci služeb zaměstnanosti. </w:t>
      </w:r>
    </w:p>
    <w:p w:rsidR="000F684F" w:rsidRPr="00794103" w:rsidRDefault="000F684F" w:rsidP="000F684F">
      <w:pPr>
        <w:numPr>
          <w:ilvl w:val="0"/>
          <w:numId w:val="14"/>
        </w:numPr>
        <w:spacing w:after="120"/>
        <w:rPr>
          <w:rFonts w:ascii="Arial" w:hAnsi="Arial" w:cs="Arial"/>
          <w:b/>
          <w:bCs/>
        </w:rPr>
      </w:pPr>
      <w:r w:rsidRPr="00794103">
        <w:rPr>
          <w:rFonts w:ascii="Arial" w:hAnsi="Arial" w:cs="Arial"/>
          <w:b/>
          <w:bCs/>
        </w:rPr>
        <w:lastRenderedPageBreak/>
        <w:t>Prioritní osa 1 OP LZZ – Adaptabilita</w:t>
      </w:r>
    </w:p>
    <w:p w:rsidR="000F684F" w:rsidRPr="00EF43AE" w:rsidRDefault="000F684F" w:rsidP="000F684F">
      <w:pPr>
        <w:spacing w:line="360" w:lineRule="auto"/>
        <w:ind w:left="360" w:firstLine="709"/>
        <w:jc w:val="both"/>
        <w:rPr>
          <w:rFonts w:ascii="Arial" w:hAnsi="Arial"/>
          <w:b/>
          <w:bCs/>
          <w:sz w:val="16"/>
          <w:szCs w:val="16"/>
        </w:rPr>
      </w:pPr>
    </w:p>
    <w:p w:rsidR="000F684F" w:rsidRDefault="000F684F" w:rsidP="000F684F">
      <w:pPr>
        <w:spacing w:line="360" w:lineRule="auto"/>
        <w:ind w:firstLine="567"/>
        <w:jc w:val="both"/>
        <w:rPr>
          <w:rFonts w:ascii="Arial" w:hAnsi="Arial" w:cs="Arial"/>
        </w:rPr>
      </w:pPr>
      <w:r w:rsidRPr="00471A41">
        <w:rPr>
          <w:rFonts w:ascii="Arial" w:hAnsi="Arial" w:cs="Arial"/>
        </w:rPr>
        <w:t xml:space="preserve">V rámci </w:t>
      </w:r>
      <w:r w:rsidRPr="00471A41">
        <w:rPr>
          <w:rFonts w:ascii="Arial" w:hAnsi="Arial" w:cs="Arial"/>
          <w:b/>
        </w:rPr>
        <w:t>oblasti podpory 1.1</w:t>
      </w:r>
      <w:r w:rsidRPr="00471A41">
        <w:rPr>
          <w:rFonts w:ascii="Arial" w:hAnsi="Arial" w:cs="Arial"/>
        </w:rPr>
        <w:t xml:space="preserve"> </w:t>
      </w:r>
      <w:r w:rsidRPr="00471A41">
        <w:rPr>
          <w:rFonts w:ascii="Arial" w:hAnsi="Arial" w:cs="Arial"/>
          <w:b/>
        </w:rPr>
        <w:t>Zvýšení adaptability zaměstnanců a konkurenceschopnosti</w:t>
      </w:r>
      <w:r w:rsidRPr="00471A41">
        <w:rPr>
          <w:rFonts w:ascii="Arial" w:hAnsi="Arial" w:cs="Arial"/>
        </w:rPr>
        <w:t xml:space="preserve"> </w:t>
      </w:r>
      <w:r w:rsidRPr="00471A41">
        <w:rPr>
          <w:rFonts w:ascii="Arial" w:hAnsi="Arial" w:cs="Arial"/>
          <w:b/>
        </w:rPr>
        <w:t>podniků</w:t>
      </w:r>
      <w:r w:rsidRPr="00471A41">
        <w:rPr>
          <w:rFonts w:ascii="Arial" w:hAnsi="Arial" w:cs="Arial"/>
        </w:rPr>
        <w:t xml:space="preserve"> byla v první polovině roku 2013 zahájena realizace projektů z výzvy č. 94 zaměřené </w:t>
      </w:r>
      <w:r w:rsidRPr="00471A41">
        <w:rPr>
          <w:rFonts w:ascii="Arial" w:hAnsi="Arial" w:cs="Arial"/>
          <w:b/>
        </w:rPr>
        <w:t xml:space="preserve">převážně </w:t>
      </w:r>
      <w:r w:rsidR="00956B3D">
        <w:rPr>
          <w:rFonts w:ascii="Arial" w:hAnsi="Arial" w:cs="Arial"/>
          <w:b/>
        </w:rPr>
        <w:t xml:space="preserve">na </w:t>
      </w:r>
      <w:r w:rsidRPr="00471A41">
        <w:rPr>
          <w:rFonts w:ascii="Arial" w:hAnsi="Arial" w:cs="Arial"/>
          <w:b/>
        </w:rPr>
        <w:t xml:space="preserve">odborné vzdělávání zaměstnanců a vytváření/rozvoj podnikových systémů vzdělávání. </w:t>
      </w:r>
      <w:r w:rsidRPr="00471A41">
        <w:rPr>
          <w:rFonts w:ascii="Arial" w:hAnsi="Arial" w:cs="Arial"/>
        </w:rPr>
        <w:t>Celkem bylo v této výzvě podpořeno 372 projektů ve výši 1,1 mld. Kč.</w:t>
      </w:r>
      <w:r w:rsidRPr="00471A41">
        <w:rPr>
          <w:rFonts w:ascii="Arial" w:hAnsi="Arial" w:cs="Arial"/>
          <w:b/>
        </w:rPr>
        <w:t xml:space="preserve">  </w:t>
      </w:r>
      <w:r w:rsidRPr="00471A41">
        <w:rPr>
          <w:rFonts w:ascii="Arial" w:hAnsi="Arial" w:cs="Arial"/>
        </w:rPr>
        <w:t xml:space="preserve"> </w:t>
      </w:r>
    </w:p>
    <w:p w:rsidR="000F684F" w:rsidRPr="00CD5851" w:rsidRDefault="000F684F" w:rsidP="000F684F">
      <w:pPr>
        <w:pStyle w:val="call-perex"/>
        <w:spacing w:before="0" w:beforeAutospacing="0" w:after="0" w:afterAutospacing="0" w:line="360" w:lineRule="auto"/>
        <w:ind w:firstLine="567"/>
        <w:jc w:val="both"/>
        <w:rPr>
          <w:rFonts w:cs="Arial"/>
          <w:sz w:val="24"/>
          <w:szCs w:val="24"/>
        </w:rPr>
      </w:pPr>
      <w:r w:rsidRPr="00365284">
        <w:rPr>
          <w:rFonts w:cs="Arial"/>
          <w:sz w:val="24"/>
          <w:szCs w:val="24"/>
        </w:rPr>
        <w:t xml:space="preserve">V důsledku podpoření menšího počtu projektů než bylo předpokládáno v rámci výzvy „EDUCA III“ (předloženo 386 projektových žádostí, podpořeno 89), byla v březnu 2013 vyhlášena </w:t>
      </w:r>
      <w:r w:rsidRPr="00365284">
        <w:rPr>
          <w:sz w:val="24"/>
          <w:szCs w:val="24"/>
        </w:rPr>
        <w:t>výzva „EDUCA IV“ na podporu zvýšení kvalifikační úrovně, profesních dovedností a znalostí zaměstnanců a zaměstnavatelů, s cílem přispět ke zvýšení konkurenceschopnosti podnikatelských subjektů ve vybraných CZ - NACE. Výzva je zaměřena na podporu specifického vzdělávání, alokace výzvy je 200 mil. Kč.</w:t>
      </w:r>
    </w:p>
    <w:p w:rsidR="000F684F" w:rsidRPr="00907738" w:rsidRDefault="000F684F" w:rsidP="000F684F">
      <w:pPr>
        <w:spacing w:line="360" w:lineRule="auto"/>
        <w:ind w:firstLine="567"/>
        <w:jc w:val="both"/>
        <w:rPr>
          <w:rFonts w:ascii="Arial" w:hAnsi="Arial"/>
        </w:rPr>
      </w:pPr>
      <w:r w:rsidRPr="00B51156">
        <w:rPr>
          <w:rFonts w:ascii="Arial" w:hAnsi="Arial"/>
        </w:rPr>
        <w:t>V</w:t>
      </w:r>
      <w:r>
        <w:rPr>
          <w:rFonts w:ascii="Arial" w:hAnsi="Arial"/>
        </w:rPr>
        <w:t> 1. </w:t>
      </w:r>
      <w:r w:rsidRPr="00B51156">
        <w:rPr>
          <w:rFonts w:ascii="Arial" w:hAnsi="Arial"/>
        </w:rPr>
        <w:t>pololetí roku 2013</w:t>
      </w:r>
      <w:r w:rsidRPr="0053454F">
        <w:rPr>
          <w:rFonts w:ascii="Arial" w:hAnsi="Arial"/>
        </w:rPr>
        <w:t xml:space="preserve"> dále probíhala realizace projektu </w:t>
      </w:r>
      <w:r w:rsidRPr="0053454F">
        <w:rPr>
          <w:rFonts w:ascii="Arial" w:hAnsi="Arial"/>
          <w:b/>
        </w:rPr>
        <w:t>„Vzdělávejte se pro růst!“</w:t>
      </w:r>
      <w:r w:rsidRPr="0053454F">
        <w:rPr>
          <w:rFonts w:ascii="Arial" w:hAnsi="Arial"/>
        </w:rPr>
        <w:t xml:space="preserve">, který je určen zaměstnavatelům v odvětvích s předpokladem růstu a s významným podílem na tvorbě HDP. Jeho realizace byla zahájena 31. 5. 2011 </w:t>
      </w:r>
      <w:r w:rsidRPr="0053454F">
        <w:rPr>
          <w:rFonts w:ascii="Arial" w:hAnsi="Arial"/>
          <w:b/>
        </w:rPr>
        <w:t>s rozpočtem 850 000 tis. Kč</w:t>
      </w:r>
      <w:r w:rsidRPr="005A4E3A">
        <w:rPr>
          <w:rFonts w:ascii="Arial" w:hAnsi="Arial"/>
        </w:rPr>
        <w:t>. V červnu 2013 bylo rozhodnuto o prodloužení proje</w:t>
      </w:r>
      <w:r>
        <w:rPr>
          <w:rFonts w:ascii="Arial" w:hAnsi="Arial"/>
        </w:rPr>
        <w:t>ktu podstatnou změnou do 28. 2. </w:t>
      </w:r>
      <w:r w:rsidRPr="005A4E3A">
        <w:rPr>
          <w:rFonts w:ascii="Arial" w:hAnsi="Arial"/>
        </w:rPr>
        <w:t>2014, přičemž vzdělávací aktivity zaměstnavatelů skončí v prosinci 2013. J</w:t>
      </w:r>
      <w:r w:rsidRPr="0053454F">
        <w:rPr>
          <w:rFonts w:ascii="Arial" w:hAnsi="Arial"/>
        </w:rPr>
        <w:t xml:space="preserve">sou podporovány cílové skupiny zaměstnanců </w:t>
      </w:r>
      <w:r w:rsidRPr="00907738">
        <w:rPr>
          <w:rFonts w:ascii="Arial" w:hAnsi="Arial"/>
        </w:rPr>
        <w:t>a zaměstnavatelů v odvětvích:</w:t>
      </w:r>
    </w:p>
    <w:p w:rsidR="000F684F" w:rsidRPr="00907738" w:rsidRDefault="000F684F" w:rsidP="000F684F">
      <w:pPr>
        <w:numPr>
          <w:ilvl w:val="0"/>
          <w:numId w:val="18"/>
        </w:numPr>
        <w:autoSpaceDE w:val="0"/>
        <w:autoSpaceDN w:val="0"/>
        <w:adjustRightInd w:val="0"/>
        <w:spacing w:line="360" w:lineRule="auto"/>
        <w:ind w:left="360" w:hanging="180"/>
        <w:jc w:val="both"/>
        <w:rPr>
          <w:rFonts w:ascii="Arial" w:hAnsi="Arial"/>
        </w:rPr>
      </w:pPr>
      <w:r w:rsidRPr="00907738">
        <w:rPr>
          <w:rFonts w:ascii="Arial" w:hAnsi="Arial"/>
        </w:rPr>
        <w:t>zpracovatelský průmysl,</w:t>
      </w:r>
    </w:p>
    <w:p w:rsidR="000F684F" w:rsidRPr="00907738" w:rsidRDefault="000F684F" w:rsidP="000F684F">
      <w:pPr>
        <w:numPr>
          <w:ilvl w:val="0"/>
          <w:numId w:val="18"/>
        </w:numPr>
        <w:autoSpaceDE w:val="0"/>
        <w:autoSpaceDN w:val="0"/>
        <w:adjustRightInd w:val="0"/>
        <w:spacing w:line="360" w:lineRule="auto"/>
        <w:ind w:left="360" w:hanging="180"/>
        <w:jc w:val="both"/>
        <w:rPr>
          <w:rFonts w:ascii="Arial" w:hAnsi="Arial"/>
        </w:rPr>
      </w:pPr>
      <w:r w:rsidRPr="00907738">
        <w:rPr>
          <w:rFonts w:ascii="Arial" w:hAnsi="Arial"/>
        </w:rPr>
        <w:t>zásobování vodou; činnosti související s odpadními vodami, odpady a sanacemi,</w:t>
      </w:r>
    </w:p>
    <w:p w:rsidR="000F684F" w:rsidRPr="00907738" w:rsidRDefault="000F684F" w:rsidP="000F684F">
      <w:pPr>
        <w:numPr>
          <w:ilvl w:val="0"/>
          <w:numId w:val="18"/>
        </w:numPr>
        <w:autoSpaceDE w:val="0"/>
        <w:autoSpaceDN w:val="0"/>
        <w:adjustRightInd w:val="0"/>
        <w:spacing w:line="360" w:lineRule="auto"/>
        <w:ind w:left="360" w:hanging="180"/>
        <w:jc w:val="both"/>
        <w:rPr>
          <w:rFonts w:ascii="Arial" w:hAnsi="Arial"/>
        </w:rPr>
      </w:pPr>
      <w:r w:rsidRPr="00907738">
        <w:rPr>
          <w:rFonts w:ascii="Arial" w:hAnsi="Arial"/>
        </w:rPr>
        <w:t>stavebnictví,</w:t>
      </w:r>
    </w:p>
    <w:p w:rsidR="000F684F" w:rsidRPr="00907738" w:rsidRDefault="000F684F" w:rsidP="000F684F">
      <w:pPr>
        <w:numPr>
          <w:ilvl w:val="0"/>
          <w:numId w:val="18"/>
        </w:numPr>
        <w:autoSpaceDE w:val="0"/>
        <w:autoSpaceDN w:val="0"/>
        <w:adjustRightInd w:val="0"/>
        <w:spacing w:line="360" w:lineRule="auto"/>
        <w:ind w:left="360" w:hanging="180"/>
        <w:jc w:val="both"/>
        <w:rPr>
          <w:rFonts w:ascii="Arial" w:hAnsi="Arial"/>
        </w:rPr>
      </w:pPr>
      <w:r w:rsidRPr="00907738">
        <w:rPr>
          <w:rFonts w:ascii="Arial" w:hAnsi="Arial"/>
        </w:rPr>
        <w:t>velkoobchod a maloobchod; opravy a údržba,</w:t>
      </w:r>
    </w:p>
    <w:p w:rsidR="000F684F" w:rsidRPr="00907738" w:rsidRDefault="000F684F" w:rsidP="000F684F">
      <w:pPr>
        <w:numPr>
          <w:ilvl w:val="0"/>
          <w:numId w:val="18"/>
        </w:numPr>
        <w:autoSpaceDE w:val="0"/>
        <w:autoSpaceDN w:val="0"/>
        <w:adjustRightInd w:val="0"/>
        <w:spacing w:line="360" w:lineRule="auto"/>
        <w:ind w:left="360" w:hanging="180"/>
        <w:jc w:val="both"/>
        <w:rPr>
          <w:rFonts w:ascii="Arial" w:hAnsi="Arial"/>
        </w:rPr>
      </w:pPr>
      <w:r w:rsidRPr="00907738">
        <w:rPr>
          <w:rFonts w:ascii="Arial" w:hAnsi="Arial"/>
        </w:rPr>
        <w:t>ubytování, stravování a pohostinství (pouze žádosti podané do 30. 11. 2011),</w:t>
      </w:r>
    </w:p>
    <w:p w:rsidR="000F684F" w:rsidRPr="00907738" w:rsidRDefault="000F684F" w:rsidP="000F684F">
      <w:pPr>
        <w:numPr>
          <w:ilvl w:val="0"/>
          <w:numId w:val="18"/>
        </w:numPr>
        <w:autoSpaceDE w:val="0"/>
        <w:autoSpaceDN w:val="0"/>
        <w:adjustRightInd w:val="0"/>
        <w:spacing w:line="360" w:lineRule="auto"/>
        <w:ind w:left="360" w:hanging="180"/>
        <w:jc w:val="both"/>
        <w:rPr>
          <w:rFonts w:ascii="Arial" w:hAnsi="Arial"/>
        </w:rPr>
      </w:pPr>
      <w:r w:rsidRPr="00907738">
        <w:rPr>
          <w:rFonts w:ascii="Arial" w:hAnsi="Arial"/>
        </w:rPr>
        <w:t>zdravotní a sociální péče.</w:t>
      </w:r>
    </w:p>
    <w:p w:rsidR="000F684F" w:rsidRPr="006B718D" w:rsidRDefault="000F684F" w:rsidP="000F684F">
      <w:pPr>
        <w:autoSpaceDE w:val="0"/>
        <w:autoSpaceDN w:val="0"/>
        <w:adjustRightInd w:val="0"/>
        <w:spacing w:line="360" w:lineRule="auto"/>
        <w:ind w:firstLine="567"/>
        <w:jc w:val="both"/>
        <w:rPr>
          <w:rFonts w:ascii="Arial" w:hAnsi="Arial"/>
        </w:rPr>
      </w:pPr>
      <w:r>
        <w:rPr>
          <w:rFonts w:ascii="Arial" w:hAnsi="Arial"/>
        </w:rPr>
        <w:t>Celkem bylo k 30. 6. </w:t>
      </w:r>
      <w:r w:rsidRPr="006B718D">
        <w:rPr>
          <w:rFonts w:ascii="Arial" w:hAnsi="Arial"/>
        </w:rPr>
        <w:t>2013 v rámci tohoto projektu vyčerpáno 559 257 tis. Kč</w:t>
      </w:r>
      <w:r>
        <w:rPr>
          <w:rFonts w:ascii="Arial" w:hAnsi="Arial"/>
        </w:rPr>
        <w:t xml:space="preserve"> a podpořeno 20 123 zaměstnanců</w:t>
      </w:r>
      <w:r w:rsidRPr="006B718D">
        <w:rPr>
          <w:rFonts w:ascii="Arial" w:hAnsi="Arial"/>
        </w:rPr>
        <w:t>. Realizace projektu měla být původně ukončena k</w:t>
      </w:r>
      <w:r>
        <w:rPr>
          <w:rFonts w:ascii="Arial" w:hAnsi="Arial"/>
        </w:rPr>
        <w:t> </w:t>
      </w:r>
      <w:r w:rsidRPr="006B718D">
        <w:rPr>
          <w:rFonts w:ascii="Arial" w:hAnsi="Arial"/>
        </w:rPr>
        <w:t>31. 7. 2013, avšak dne 27. 6. 2013 byla prodloužena o 7 měsíců, tj. do 28. 2. 2014.</w:t>
      </w:r>
    </w:p>
    <w:p w:rsidR="000F684F" w:rsidRPr="00041589" w:rsidRDefault="000F684F" w:rsidP="000F684F">
      <w:pPr>
        <w:spacing w:line="360" w:lineRule="auto"/>
        <w:ind w:firstLine="567"/>
        <w:jc w:val="both"/>
        <w:rPr>
          <w:rFonts w:ascii="Arial" w:hAnsi="Arial"/>
        </w:rPr>
      </w:pPr>
      <w:r w:rsidRPr="00041589">
        <w:rPr>
          <w:rFonts w:ascii="Arial" w:hAnsi="Arial"/>
        </w:rPr>
        <w:t>Projekt „</w:t>
      </w:r>
      <w:r w:rsidRPr="00041589">
        <w:rPr>
          <w:rFonts w:ascii="Arial" w:hAnsi="Arial"/>
          <w:b/>
        </w:rPr>
        <w:t xml:space="preserve">Rozvoj kvalifikační úrovně a kompetencí pracovníků v cestovním ruchu“ (zkráceně „Vzdělávání v cestovním ruchu!“), </w:t>
      </w:r>
      <w:r w:rsidRPr="00041589">
        <w:rPr>
          <w:rFonts w:ascii="Arial" w:hAnsi="Arial"/>
        </w:rPr>
        <w:t xml:space="preserve">jehož příjemcem je Česká centrála cestovního ruchu - </w:t>
      </w:r>
      <w:proofErr w:type="spellStart"/>
      <w:r w:rsidRPr="00041589">
        <w:rPr>
          <w:rFonts w:ascii="Arial" w:hAnsi="Arial"/>
        </w:rPr>
        <w:t>CzechTourism</w:t>
      </w:r>
      <w:proofErr w:type="spellEnd"/>
      <w:r w:rsidRPr="00041589">
        <w:rPr>
          <w:rFonts w:ascii="Arial" w:hAnsi="Arial"/>
        </w:rPr>
        <w:t xml:space="preserve">, je realizován od 1. 11. 2011 a jeho </w:t>
      </w:r>
      <w:r w:rsidRPr="00041589">
        <w:rPr>
          <w:rFonts w:ascii="Arial" w:hAnsi="Arial"/>
          <w:b/>
        </w:rPr>
        <w:t>rozpočet je 133 969 tis. Kč</w:t>
      </w:r>
      <w:r w:rsidRPr="00041589">
        <w:rPr>
          <w:rFonts w:ascii="Arial" w:hAnsi="Arial"/>
        </w:rPr>
        <w:t xml:space="preserve">. Posláním projektu je zvýšení zaměstnatelnosti </w:t>
      </w:r>
      <w:r w:rsidRPr="00041589">
        <w:rPr>
          <w:rFonts w:ascii="Arial" w:hAnsi="Arial"/>
        </w:rPr>
        <w:lastRenderedPageBreak/>
        <w:t>pracovníků ve službách cestovního ruchu prostřednictvím rozšíření jejich znalostí a dovedností. Uvedeného cíle chce žadatel dosáhnout především realizací vzdělávacích aktivit cílených na jednotlivé podporované skupiny CZ-NACE. Vzhledem k rozdílným potřebám a úrovni odborných znalostí a kompetencí jsou vzdělávací aktivity připraveny specificky pro řadové zaměstnance, střední a vyšší management. Stěžejní součástí vzdělávacích aktivit je zaměření na zapojení odborníků z praxe, kteří mohou cílové skupině vedle odborných znalostí nabídnout i široké praktické zkušenosti. Pro ty zájemce z cílové skupiny, kterým prezenční forma nevyhovuje, jsou připraveny e-</w:t>
      </w:r>
      <w:proofErr w:type="spellStart"/>
      <w:r w:rsidRPr="00041589">
        <w:rPr>
          <w:rFonts w:ascii="Arial" w:hAnsi="Arial"/>
        </w:rPr>
        <w:t>learningové</w:t>
      </w:r>
      <w:proofErr w:type="spellEnd"/>
      <w:r w:rsidRPr="00041589">
        <w:rPr>
          <w:rFonts w:ascii="Arial" w:hAnsi="Arial"/>
        </w:rPr>
        <w:t xml:space="preserve"> moduly a e-knihovna</w:t>
      </w:r>
      <w:r w:rsidRPr="00041589">
        <w:t xml:space="preserve"> </w:t>
      </w:r>
      <w:r w:rsidRPr="00041589">
        <w:rPr>
          <w:rFonts w:ascii="Arial" w:hAnsi="Arial"/>
        </w:rPr>
        <w:t>obsahující odborné publikace</w:t>
      </w:r>
      <w:r>
        <w:t xml:space="preserve">. </w:t>
      </w:r>
      <w:r w:rsidRPr="00041589">
        <w:rPr>
          <w:rFonts w:ascii="Arial" w:hAnsi="Arial"/>
        </w:rPr>
        <w:t>V prvním pololetí roku 2013 pokračovala úspěšná realizace tohoto projektu.</w:t>
      </w:r>
    </w:p>
    <w:p w:rsidR="000F684F" w:rsidRPr="00A25500" w:rsidRDefault="000F684F" w:rsidP="000F684F">
      <w:pPr>
        <w:autoSpaceDE w:val="0"/>
        <w:autoSpaceDN w:val="0"/>
        <w:adjustRightInd w:val="0"/>
        <w:spacing w:line="360" w:lineRule="auto"/>
        <w:ind w:firstLine="567"/>
        <w:jc w:val="both"/>
        <w:rPr>
          <w:rFonts w:ascii="Arial" w:hAnsi="Arial"/>
        </w:rPr>
      </w:pPr>
      <w:r w:rsidRPr="00475EC4">
        <w:rPr>
          <w:rFonts w:ascii="Arial" w:hAnsi="Arial"/>
        </w:rPr>
        <w:t xml:space="preserve">Od 17. 9. 2012 probíhá realizace projektu </w:t>
      </w:r>
      <w:r w:rsidRPr="00475EC4">
        <w:rPr>
          <w:rFonts w:ascii="Arial" w:hAnsi="Arial"/>
          <w:b/>
        </w:rPr>
        <w:t>„Vzdělávejte se pro stabilitu!“</w:t>
      </w:r>
      <w:r w:rsidRPr="00475EC4">
        <w:rPr>
          <w:rFonts w:ascii="Arial" w:hAnsi="Arial"/>
        </w:rPr>
        <w:t>, který</w:t>
      </w:r>
      <w:r w:rsidRPr="00475EC4">
        <w:rPr>
          <w:rFonts w:ascii="Arial" w:hAnsi="Arial"/>
          <w:b/>
        </w:rPr>
        <w:t xml:space="preserve"> </w:t>
      </w:r>
      <w:r w:rsidRPr="00475EC4">
        <w:rPr>
          <w:rFonts w:ascii="Arial" w:hAnsi="Arial"/>
        </w:rPr>
        <w:t xml:space="preserve">navazuje na úspěšný projekt „Vzdělávejte se!“. Projekt je zaváděn jakožto opatření politiky zaměstnanosti na podporu udržení zaměstnanosti v podnicích postižených negativním vývojem ekonomiky. </w:t>
      </w:r>
      <w:r w:rsidRPr="00475EC4">
        <w:rPr>
          <w:rFonts w:ascii="Arial" w:hAnsi="Arial"/>
          <w:color w:val="000000"/>
        </w:rPr>
        <w:t xml:space="preserve">Podmínkou vstupu do projektu původně bylo, že firma musí na zapojené zaměstnance aplikovat § 209 </w:t>
      </w:r>
      <w:r w:rsidR="00CF5BD7">
        <w:rPr>
          <w:rFonts w:ascii="Arial" w:hAnsi="Arial"/>
          <w:color w:val="000000"/>
        </w:rPr>
        <w:t>z</w:t>
      </w:r>
      <w:r w:rsidRPr="00475EC4">
        <w:rPr>
          <w:rFonts w:ascii="Arial" w:hAnsi="Arial"/>
          <w:color w:val="000000"/>
        </w:rPr>
        <w:t>ákoníku práce. Vzhledem k nízkému zájmu zaměstnavatelů o vstup do projektu byly od 23. 5. 2013 podmínky vstupu upraveny. Postačující podmínkou je nyní to, že zaměstnavatel není schopen svým zaměstnancům přidělovat práci v rozsahu stanovené týdenní pracovní doby a zároveň prokáže meziroční propad tržeb o více než 20</w:t>
      </w:r>
      <w:r>
        <w:rPr>
          <w:rFonts w:ascii="Arial" w:hAnsi="Arial"/>
          <w:color w:val="000000"/>
        </w:rPr>
        <w:t> </w:t>
      </w:r>
      <w:r w:rsidRPr="00475EC4">
        <w:rPr>
          <w:rFonts w:ascii="Arial" w:hAnsi="Arial"/>
          <w:color w:val="000000"/>
        </w:rPr>
        <w:t xml:space="preserve">% (nově možno posuzovat i za dotčenou provozovnu). </w:t>
      </w:r>
      <w:r w:rsidRPr="009068AE">
        <w:rPr>
          <w:rFonts w:ascii="Arial" w:hAnsi="Arial"/>
        </w:rPr>
        <w:t xml:space="preserve">Zaměstnavatel v době, kdy není schopen svým zaměstnancům přidělovat práci, pro tyto zaměstnance zajišťuje odborný rozvoj, a to jak externím vzdělávacím zařízením, tak interními lektory zaměstnavatele. Odborný rozvoj může být realizován jako akreditovaný i neakreditovaný, jako obecné i specifické vzdělávání. V zájmu sladění kvalifikačních potřeb a získání dostatečné praxe na pracovišti je umožněno, aby výuka rovněž obsahovala praktickou část s možným průběhem přímo na pracovištích </w:t>
      </w:r>
      <w:r w:rsidRPr="00A25500">
        <w:rPr>
          <w:rFonts w:ascii="Arial" w:hAnsi="Arial"/>
        </w:rPr>
        <w:t xml:space="preserve">zaměstnavatele. Zaměstnavateli je v souladu s podmínkami veřejné podpory poskytován příspěvek na zajištění odborného rozvoje a na mzdové náklady, které vynaložil za dobu účasti zaměstnanců na odborném rozvoji. </w:t>
      </w:r>
      <w:r w:rsidRPr="00DD4F4D">
        <w:rPr>
          <w:rFonts w:ascii="Arial" w:hAnsi="Arial"/>
        </w:rPr>
        <w:t>Rozpočet projektu je 400 000 tis. Kč.</w:t>
      </w:r>
      <w:r>
        <w:rPr>
          <w:rFonts w:ascii="Arial" w:hAnsi="Arial"/>
        </w:rPr>
        <w:t xml:space="preserve"> Celkem bylo k 30. 6. </w:t>
      </w:r>
      <w:r w:rsidRPr="0067542D">
        <w:rPr>
          <w:rFonts w:ascii="Arial" w:hAnsi="Arial"/>
        </w:rPr>
        <w:t>2013 v rámci tohoto projektu vyčerpáno 14 627 tis. Kč a podpořeno 585</w:t>
      </w:r>
      <w:r>
        <w:rPr>
          <w:rFonts w:ascii="Arial" w:hAnsi="Arial"/>
        </w:rPr>
        <w:t> </w:t>
      </w:r>
      <w:r w:rsidRPr="0067542D">
        <w:rPr>
          <w:rFonts w:ascii="Arial" w:hAnsi="Arial"/>
        </w:rPr>
        <w:t>zaměstnanců.</w:t>
      </w:r>
    </w:p>
    <w:p w:rsidR="000F684F" w:rsidRDefault="000F684F" w:rsidP="000F684F">
      <w:pPr>
        <w:spacing w:line="360" w:lineRule="auto"/>
        <w:ind w:firstLine="567"/>
        <w:jc w:val="both"/>
        <w:rPr>
          <w:rFonts w:ascii="Arial" w:hAnsi="Arial"/>
        </w:rPr>
      </w:pPr>
      <w:r w:rsidRPr="008A32C1">
        <w:rPr>
          <w:rFonts w:ascii="Arial" w:hAnsi="Arial"/>
        </w:rPr>
        <w:t xml:space="preserve">Dne 30. 9. 2011 byla vyhlášena Zprostředkujícím subjektem výzva č. 82 k předkládání </w:t>
      </w:r>
      <w:r w:rsidRPr="008A32C1">
        <w:rPr>
          <w:rFonts w:ascii="Arial" w:hAnsi="Arial"/>
          <w:i/>
        </w:rPr>
        <w:t>regionálních individuálních projektů</w:t>
      </w:r>
      <w:r w:rsidRPr="008A32C1">
        <w:rPr>
          <w:rFonts w:ascii="Arial" w:hAnsi="Arial"/>
        </w:rPr>
        <w:t xml:space="preserve"> „</w:t>
      </w:r>
      <w:r w:rsidRPr="008A32C1">
        <w:rPr>
          <w:rFonts w:ascii="Arial" w:hAnsi="Arial"/>
          <w:b/>
        </w:rPr>
        <w:t>Vzdělávejte se pro růst! –</w:t>
      </w:r>
      <w:r w:rsidRPr="008A32C1">
        <w:rPr>
          <w:rFonts w:ascii="Arial" w:hAnsi="Arial"/>
          <w:b/>
        </w:rPr>
        <w:lastRenderedPageBreak/>
        <w:t> regiony</w:t>
      </w:r>
      <w:r w:rsidRPr="008A32C1">
        <w:rPr>
          <w:rFonts w:ascii="Arial" w:hAnsi="Arial"/>
        </w:rPr>
        <w:t xml:space="preserve">“ s celkovou alokací 600 000 tis. Kč. Výzva byla určena pro Úřad práce ČR a celkem bylo předloženo 13 projektů za cca 595 000 tis. Kč. Tyto projekty jsou v jednotlivých regionech </w:t>
      </w:r>
      <w:r w:rsidRPr="008A32C1">
        <w:rPr>
          <w:rFonts w:ascii="Arial" w:hAnsi="Arial"/>
          <w:b/>
        </w:rPr>
        <w:t>realizovány od 1. 5. 2012</w:t>
      </w:r>
      <w:r w:rsidRPr="008A32C1">
        <w:rPr>
          <w:rFonts w:ascii="Arial" w:hAnsi="Arial"/>
        </w:rPr>
        <w:t xml:space="preserve">. </w:t>
      </w:r>
    </w:p>
    <w:p w:rsidR="000F684F" w:rsidRDefault="000F684F" w:rsidP="000F684F">
      <w:pPr>
        <w:spacing w:line="360" w:lineRule="auto"/>
        <w:ind w:firstLine="567"/>
        <w:jc w:val="both"/>
        <w:rPr>
          <w:rFonts w:ascii="Arial" w:hAnsi="Arial"/>
        </w:rPr>
      </w:pPr>
      <w:r w:rsidRPr="00C638F7">
        <w:rPr>
          <w:rFonts w:ascii="Arial" w:hAnsi="Arial"/>
        </w:rPr>
        <w:t xml:space="preserve">Dne 22. 2. 2013 byla vyhlášena Zprostředkujícím subjektem výzva č. B1 k předkládání </w:t>
      </w:r>
      <w:r w:rsidRPr="00C638F7">
        <w:rPr>
          <w:rFonts w:ascii="Arial" w:hAnsi="Arial"/>
          <w:i/>
        </w:rPr>
        <w:t>regionálních individuálních projektů</w:t>
      </w:r>
      <w:r w:rsidRPr="00C638F7">
        <w:rPr>
          <w:rFonts w:ascii="Arial" w:hAnsi="Arial"/>
        </w:rPr>
        <w:t xml:space="preserve"> „</w:t>
      </w:r>
      <w:r w:rsidRPr="00C638F7">
        <w:rPr>
          <w:rFonts w:ascii="Arial" w:hAnsi="Arial"/>
          <w:b/>
        </w:rPr>
        <w:t>Vzdělávejte se pro růst! – regiony II.</w:t>
      </w:r>
      <w:r w:rsidRPr="00C638F7">
        <w:rPr>
          <w:rFonts w:ascii="Arial" w:hAnsi="Arial"/>
        </w:rPr>
        <w:t xml:space="preserve">“ s celkovou alokací 600 000 tis. Kč. Výzva byla určena pro Úřad práce ČR a celkem bylo předloženo 13 projektů za cca 596 000 tis. Kč. Tyto projekty jsou v jednotlivých regionech </w:t>
      </w:r>
      <w:r w:rsidRPr="00C638F7">
        <w:rPr>
          <w:rFonts w:ascii="Arial" w:hAnsi="Arial"/>
          <w:b/>
        </w:rPr>
        <w:t>realizovány od 1. 6. 2013</w:t>
      </w:r>
      <w:r w:rsidRPr="00C638F7">
        <w:rPr>
          <w:rFonts w:ascii="Arial" w:hAnsi="Arial"/>
        </w:rPr>
        <w:t>.</w:t>
      </w:r>
    </w:p>
    <w:p w:rsidR="000F684F" w:rsidRDefault="000F684F" w:rsidP="000F684F">
      <w:pPr>
        <w:spacing w:line="360" w:lineRule="auto"/>
        <w:ind w:firstLine="567"/>
        <w:jc w:val="both"/>
        <w:rPr>
          <w:rFonts w:ascii="Arial" w:hAnsi="Arial"/>
        </w:rPr>
      </w:pPr>
      <w:r w:rsidRPr="00F769C5">
        <w:rPr>
          <w:rFonts w:ascii="Arial" w:hAnsi="Arial"/>
        </w:rPr>
        <w:t xml:space="preserve">Dne 30. 11. 2012 byla dále vyhlášena výzva č. A5 k předložení </w:t>
      </w:r>
      <w:r w:rsidRPr="00F769C5">
        <w:rPr>
          <w:rFonts w:ascii="Arial" w:hAnsi="Arial"/>
          <w:b/>
        </w:rPr>
        <w:t>národního individuálního projektu zaměřeného na vzdělávání zaměstnanců – osob se zdravotním postižením</w:t>
      </w:r>
      <w:r w:rsidRPr="00F769C5">
        <w:rPr>
          <w:rFonts w:ascii="Arial" w:hAnsi="Arial"/>
        </w:rPr>
        <w:t>. Výzva je určena pro Fond dalšího vzdělávání s celkovou alokací 170 000 tis. Kč. Projekt je v realizaci od 1. 1. 2013.</w:t>
      </w:r>
    </w:p>
    <w:p w:rsidR="000F684F" w:rsidRPr="001E5E4A" w:rsidRDefault="000F684F" w:rsidP="000F684F">
      <w:pPr>
        <w:spacing w:line="360" w:lineRule="auto"/>
        <w:ind w:firstLine="567"/>
        <w:jc w:val="both"/>
        <w:rPr>
          <w:rFonts w:ascii="Arial" w:hAnsi="Arial"/>
        </w:rPr>
      </w:pPr>
      <w:r w:rsidRPr="00612E1C">
        <w:rPr>
          <w:rFonts w:ascii="Arial" w:hAnsi="Arial"/>
        </w:rPr>
        <w:t xml:space="preserve">V rámci oblasti podpory </w:t>
      </w:r>
      <w:r w:rsidRPr="00612E1C">
        <w:rPr>
          <w:rFonts w:ascii="Arial" w:hAnsi="Arial"/>
          <w:b/>
        </w:rPr>
        <w:t xml:space="preserve">1.2 Zvýšení adaptability zaměstnanců a zaměstnavatelů restrukturalizovaných podniků </w:t>
      </w:r>
      <w:r w:rsidRPr="00612E1C">
        <w:rPr>
          <w:rFonts w:ascii="Arial" w:hAnsi="Arial"/>
        </w:rPr>
        <w:t xml:space="preserve">pokračuje realizace posledního z </w:t>
      </w:r>
      <w:r w:rsidRPr="00612E1C">
        <w:rPr>
          <w:rFonts w:ascii="Arial" w:hAnsi="Arial"/>
          <w:b/>
        </w:rPr>
        <w:t xml:space="preserve">regionálních individuálních projektů </w:t>
      </w:r>
      <w:r w:rsidRPr="00612E1C">
        <w:rPr>
          <w:rFonts w:ascii="Arial" w:hAnsi="Arial"/>
        </w:rPr>
        <w:t xml:space="preserve">typu </w:t>
      </w:r>
      <w:r w:rsidRPr="00612E1C">
        <w:rPr>
          <w:rFonts w:ascii="Arial" w:hAnsi="Arial"/>
          <w:b/>
        </w:rPr>
        <w:t xml:space="preserve">RESTART </w:t>
      </w:r>
      <w:r w:rsidRPr="00612E1C">
        <w:rPr>
          <w:rFonts w:ascii="Arial" w:hAnsi="Arial"/>
        </w:rPr>
        <w:t xml:space="preserve">(jako jedno z opatření na potlačení dopadů krize). </w:t>
      </w:r>
      <w:r w:rsidRPr="001E5E4A">
        <w:rPr>
          <w:rFonts w:ascii="Arial" w:hAnsi="Arial"/>
        </w:rPr>
        <w:t>Hlavním cílem těchto projektů bylo podchycení zaměstnanců před tím, než s nimi zaměstnavatel rozváže pracovní poměr z organizačních důvodů. Podpora v rámci projektů má napomoci jejich dalšímu osobnímu a profesnímu rozvoji prostřednictvím širokého spektra poradenských a</w:t>
      </w:r>
      <w:r w:rsidR="00FE2CD8">
        <w:rPr>
          <w:rFonts w:ascii="Arial" w:hAnsi="Arial"/>
        </w:rPr>
        <w:t> </w:t>
      </w:r>
      <w:r w:rsidRPr="001E5E4A">
        <w:rPr>
          <w:rFonts w:ascii="Arial" w:hAnsi="Arial"/>
        </w:rPr>
        <w:t>vzdělávacích aktivit. Získaný kvalifikační profil by měl přispět ke snadnějšímu nalezení nového pracovního uplatnění na trhu práce, případně zahájení samostatné výdělečné činnosti</w:t>
      </w:r>
      <w:r w:rsidRPr="00E513EB">
        <w:rPr>
          <w:rFonts w:ascii="Arial" w:hAnsi="Arial"/>
        </w:rPr>
        <w:t xml:space="preserve">. V 1. polovině roku 2013 byl v realizaci </w:t>
      </w:r>
      <w:r w:rsidRPr="00E513EB">
        <w:rPr>
          <w:rFonts w:ascii="Arial" w:hAnsi="Arial"/>
          <w:b/>
        </w:rPr>
        <w:t>1 projekt</w:t>
      </w:r>
      <w:r w:rsidRPr="00E513EB">
        <w:rPr>
          <w:rFonts w:ascii="Arial" w:hAnsi="Arial"/>
        </w:rPr>
        <w:t xml:space="preserve"> ÚP ČR.</w:t>
      </w:r>
    </w:p>
    <w:p w:rsidR="000F684F" w:rsidRDefault="000F684F" w:rsidP="000F684F">
      <w:pPr>
        <w:spacing w:line="360" w:lineRule="auto"/>
        <w:ind w:firstLine="708"/>
        <w:jc w:val="both"/>
        <w:rPr>
          <w:rFonts w:ascii="Arial" w:hAnsi="Arial"/>
          <w:bCs/>
        </w:rPr>
      </w:pPr>
      <w:r w:rsidRPr="001E5E4A">
        <w:rPr>
          <w:rFonts w:ascii="Arial" w:hAnsi="Arial"/>
        </w:rPr>
        <w:t xml:space="preserve">V oblasti podpory 1.2 dále pokračuje realizace </w:t>
      </w:r>
      <w:r w:rsidRPr="001E5E4A">
        <w:rPr>
          <w:rFonts w:ascii="Arial" w:hAnsi="Arial"/>
          <w:b/>
        </w:rPr>
        <w:t>grantových projektů,</w:t>
      </w:r>
      <w:r w:rsidRPr="001E5E4A">
        <w:rPr>
          <w:rFonts w:ascii="Arial" w:hAnsi="Arial"/>
        </w:rPr>
        <w:t xml:space="preserve"> jejichž cílem je zajistit především vhodnou rekvalifikaci v době, kdy zaměstnancům běží výpovědní lhůta u stávajícího zaměstnavatele.</w:t>
      </w:r>
      <w:r w:rsidRPr="006A2C9B">
        <w:rPr>
          <w:rFonts w:ascii="Arial" w:hAnsi="Arial"/>
        </w:rPr>
        <w:t xml:space="preserve"> Rekvalifikace by měla vycházet z požadavků trhu práce s cílem nalézt nové pracovní uplatnění u nového zaměstnavatele nebo zahájení samostatné výdělečné činnosti. Projekty</w:t>
      </w:r>
      <w:r w:rsidRPr="006A2C9B">
        <w:rPr>
          <w:rFonts w:ascii="Arial" w:hAnsi="Arial"/>
          <w:bCs/>
        </w:rPr>
        <w:t xml:space="preserve"> jsou zaměřeny na rekvalifikaci, další profesní vzdělávání zaměstnanců, včetně </w:t>
      </w:r>
      <w:r w:rsidRPr="006A2C9B">
        <w:rPr>
          <w:rFonts w:ascii="Arial" w:hAnsi="Arial"/>
        </w:rPr>
        <w:t xml:space="preserve">aplikování moderních forem vzdělávání zaměstnanců, pracovně-profesní poradenství, poskytování mzdových příspěvků zaměstnavatelům, uplatňování pružných forem organizace práce a podporu zahájení podnikatelské činnosti přípravou nových </w:t>
      </w:r>
      <w:r w:rsidRPr="003137E2">
        <w:rPr>
          <w:rFonts w:ascii="Arial" w:hAnsi="Arial"/>
        </w:rPr>
        <w:t xml:space="preserve">podnikatelů. </w:t>
      </w:r>
      <w:r w:rsidRPr="003137E2">
        <w:rPr>
          <w:rFonts w:ascii="Arial" w:hAnsi="Arial"/>
          <w:bCs/>
        </w:rPr>
        <w:t xml:space="preserve">Objem finančních prostředků na schválené a úspěšně realizované projekty činí 141 mil. Kč. </w:t>
      </w:r>
    </w:p>
    <w:p w:rsidR="000F684F" w:rsidRPr="00C9140C" w:rsidRDefault="000F684F" w:rsidP="000F684F">
      <w:pPr>
        <w:spacing w:line="360" w:lineRule="auto"/>
        <w:ind w:firstLine="708"/>
        <w:jc w:val="both"/>
        <w:rPr>
          <w:rFonts w:ascii="Arial" w:hAnsi="Arial"/>
          <w:bCs/>
        </w:rPr>
      </w:pPr>
    </w:p>
    <w:p w:rsidR="000F684F" w:rsidRPr="00C9140C" w:rsidRDefault="000F684F" w:rsidP="000F684F">
      <w:pPr>
        <w:numPr>
          <w:ilvl w:val="0"/>
          <w:numId w:val="14"/>
        </w:numPr>
        <w:spacing w:line="360" w:lineRule="auto"/>
        <w:jc w:val="both"/>
        <w:rPr>
          <w:rFonts w:ascii="Arial" w:hAnsi="Arial" w:cs="Arial"/>
        </w:rPr>
      </w:pPr>
      <w:r w:rsidRPr="00C9140C">
        <w:rPr>
          <w:rFonts w:ascii="Arial" w:hAnsi="Arial" w:cs="Arial"/>
          <w:b/>
        </w:rPr>
        <w:lastRenderedPageBreak/>
        <w:t>Prioritní osa 2 OP LZZ – Aktivní politiky trhu práce</w:t>
      </w:r>
    </w:p>
    <w:p w:rsidR="000F684F" w:rsidRPr="00C9140C" w:rsidRDefault="000F684F" w:rsidP="000F684F">
      <w:pPr>
        <w:ind w:left="360"/>
        <w:jc w:val="both"/>
        <w:rPr>
          <w:sz w:val="16"/>
          <w:szCs w:val="16"/>
        </w:rPr>
      </w:pPr>
    </w:p>
    <w:p w:rsidR="000F684F" w:rsidRDefault="000F684F" w:rsidP="000F684F">
      <w:pPr>
        <w:spacing w:line="360" w:lineRule="auto"/>
        <w:ind w:firstLine="708"/>
        <w:jc w:val="both"/>
        <w:rPr>
          <w:rFonts w:ascii="Arial" w:hAnsi="Arial" w:cs="Arial"/>
        </w:rPr>
      </w:pPr>
      <w:r w:rsidRPr="00C9140C">
        <w:rPr>
          <w:rFonts w:ascii="Arial" w:hAnsi="Arial" w:cs="Arial"/>
          <w:b/>
        </w:rPr>
        <w:t xml:space="preserve">V rámci oblasti podpory 2.1 Posílení aktivních politik zaměstnanosti </w:t>
      </w:r>
      <w:r w:rsidRPr="00C9140C">
        <w:rPr>
          <w:rFonts w:ascii="Arial" w:hAnsi="Arial" w:cs="Arial"/>
        </w:rPr>
        <w:t xml:space="preserve">byly v 1. polovině </w:t>
      </w:r>
      <w:r>
        <w:rPr>
          <w:rFonts w:ascii="Arial" w:hAnsi="Arial" w:cs="Arial"/>
        </w:rPr>
        <w:t xml:space="preserve">roku </w:t>
      </w:r>
      <w:r w:rsidRPr="00DB18DC">
        <w:rPr>
          <w:rFonts w:ascii="Arial" w:hAnsi="Arial" w:cs="Arial"/>
        </w:rPr>
        <w:t xml:space="preserve">2013 realizovány </w:t>
      </w:r>
      <w:r w:rsidRPr="00DB18DC">
        <w:rPr>
          <w:rFonts w:ascii="Arial" w:hAnsi="Arial" w:cs="Arial"/>
          <w:b/>
        </w:rPr>
        <w:t>čtyři</w:t>
      </w:r>
      <w:r w:rsidRPr="00DB18DC">
        <w:rPr>
          <w:rFonts w:ascii="Arial" w:hAnsi="Arial" w:cs="Arial"/>
        </w:rPr>
        <w:t xml:space="preserve"> </w:t>
      </w:r>
      <w:r w:rsidRPr="00DB18DC">
        <w:rPr>
          <w:rFonts w:ascii="Arial" w:hAnsi="Arial" w:cs="Arial"/>
          <w:b/>
        </w:rPr>
        <w:t>národní individuální projekty</w:t>
      </w:r>
      <w:r w:rsidRPr="00DB18DC">
        <w:rPr>
          <w:rFonts w:ascii="Arial" w:hAnsi="Arial" w:cs="Arial"/>
        </w:rPr>
        <w:t xml:space="preserve"> </w:t>
      </w:r>
      <w:r w:rsidRPr="00DB18DC">
        <w:rPr>
          <w:rFonts w:ascii="Arial" w:hAnsi="Arial" w:cs="Arial"/>
          <w:b/>
        </w:rPr>
        <w:t>(NIP)</w:t>
      </w:r>
      <w:r w:rsidRPr="00DB18DC">
        <w:rPr>
          <w:rFonts w:ascii="Arial" w:hAnsi="Arial" w:cs="Arial"/>
        </w:rPr>
        <w:t xml:space="preserve"> – </w:t>
      </w:r>
      <w:r w:rsidRPr="00DB18DC">
        <w:rPr>
          <w:rFonts w:ascii="Arial" w:hAnsi="Arial" w:cs="Arial"/>
          <w:b/>
          <w:bCs/>
        </w:rPr>
        <w:t>„Vzdělávejte se pro růst! – rekvalifikace“</w:t>
      </w:r>
      <w:r w:rsidRPr="00DB18DC">
        <w:rPr>
          <w:rFonts w:ascii="Arial" w:hAnsi="Arial" w:cs="Arial"/>
          <w:bCs/>
        </w:rPr>
        <w:t>,  </w:t>
      </w:r>
      <w:r w:rsidRPr="00DB18DC">
        <w:rPr>
          <w:rFonts w:ascii="Arial" w:hAnsi="Arial" w:cs="Arial"/>
          <w:b/>
          <w:bCs/>
        </w:rPr>
        <w:t>„Vzdělávejte se pro růst! - pracovní příležitosti“</w:t>
      </w:r>
      <w:r w:rsidRPr="00DB18DC">
        <w:rPr>
          <w:rFonts w:ascii="Arial" w:hAnsi="Arial" w:cs="Arial"/>
          <w:bCs/>
        </w:rPr>
        <w:t xml:space="preserve">, který zahrnuje nástroje </w:t>
      </w:r>
      <w:r w:rsidRPr="00DB18DC">
        <w:rPr>
          <w:rFonts w:ascii="Arial" w:hAnsi="Arial" w:cs="Arial"/>
          <w:b/>
          <w:bCs/>
        </w:rPr>
        <w:t>VPP</w:t>
      </w:r>
      <w:r>
        <w:rPr>
          <w:rFonts w:ascii="Arial" w:hAnsi="Arial" w:cs="Arial"/>
          <w:bCs/>
        </w:rPr>
        <w:t xml:space="preserve"> a </w:t>
      </w:r>
      <w:r w:rsidRPr="00DB18DC">
        <w:rPr>
          <w:rFonts w:ascii="Arial" w:hAnsi="Arial" w:cs="Arial"/>
          <w:b/>
          <w:bCs/>
        </w:rPr>
        <w:t>vyhrazená SÚPM</w:t>
      </w:r>
      <w:r w:rsidRPr="000A4BB2">
        <w:rPr>
          <w:rFonts w:ascii="Arial" w:hAnsi="Arial" w:cs="Arial"/>
          <w:bCs/>
        </w:rPr>
        <w:t>,</w:t>
      </w:r>
      <w:r w:rsidRPr="00DB18DC">
        <w:rPr>
          <w:rFonts w:ascii="Arial" w:hAnsi="Arial" w:cs="Arial"/>
          <w:bCs/>
        </w:rPr>
        <w:t xml:space="preserve"> a od 1. 6. 2013 je v realizaci nový projekt </w:t>
      </w:r>
      <w:r w:rsidRPr="00DB18DC">
        <w:rPr>
          <w:rFonts w:ascii="Arial" w:hAnsi="Arial" w:cs="Arial"/>
          <w:b/>
          <w:bCs/>
        </w:rPr>
        <w:t>„Vzdělávání a dovednosti pro trh práce“</w:t>
      </w:r>
      <w:r w:rsidRPr="00DB18DC">
        <w:rPr>
          <w:rFonts w:ascii="Arial" w:hAnsi="Arial" w:cs="Arial"/>
          <w:bCs/>
        </w:rPr>
        <w:t xml:space="preserve">, který je zaměřen na rekvalifikace a poradenské činnosti. Inovativním prvkem v tomto projektu je především </w:t>
      </w:r>
      <w:r w:rsidRPr="002179FC">
        <w:rPr>
          <w:rFonts w:ascii="Arial" w:hAnsi="Arial" w:cs="Arial"/>
          <w:bCs/>
        </w:rPr>
        <w:t>možnost</w:t>
      </w:r>
      <w:r w:rsidRPr="002179FC">
        <w:rPr>
          <w:rFonts w:ascii="Arial" w:hAnsi="Arial" w:cs="Arial"/>
          <w:b/>
          <w:bCs/>
        </w:rPr>
        <w:t xml:space="preserve"> zvolených rekvalifikací</w:t>
      </w:r>
      <w:r w:rsidRPr="00DB18DC">
        <w:rPr>
          <w:rFonts w:ascii="Arial" w:hAnsi="Arial" w:cs="Arial"/>
          <w:bCs/>
        </w:rPr>
        <w:t>. Výše uvedené projekty j</w:t>
      </w:r>
      <w:r w:rsidRPr="00DB18DC">
        <w:rPr>
          <w:rFonts w:ascii="Arial" w:hAnsi="Arial" w:cs="Arial"/>
        </w:rPr>
        <w:t xml:space="preserve">sou zaměřeny na jednotlivé nástroje aktivní politiky zaměstnanosti jako doplnění národní APZ. </w:t>
      </w:r>
    </w:p>
    <w:p w:rsidR="000F684F" w:rsidRDefault="000F684F" w:rsidP="000F684F">
      <w:pPr>
        <w:spacing w:line="360" w:lineRule="auto"/>
        <w:ind w:firstLine="708"/>
        <w:jc w:val="both"/>
        <w:rPr>
          <w:rFonts w:ascii="Arial" w:hAnsi="Arial" w:cs="Arial"/>
        </w:rPr>
      </w:pPr>
      <w:r w:rsidRPr="001B02C0">
        <w:rPr>
          <w:rFonts w:ascii="Arial" w:hAnsi="Arial" w:cs="Arial"/>
        </w:rPr>
        <w:t>V rámci projektu „Vzdělávejte se pro růst! - pracovní příležitosti“ bylo do 30.</w:t>
      </w:r>
      <w:r>
        <w:rPr>
          <w:rFonts w:ascii="Arial" w:hAnsi="Arial" w:cs="Arial"/>
        </w:rPr>
        <w:t> </w:t>
      </w:r>
      <w:r w:rsidRPr="001B02C0">
        <w:rPr>
          <w:rFonts w:ascii="Arial" w:hAnsi="Arial" w:cs="Arial"/>
        </w:rPr>
        <w:t>6.</w:t>
      </w:r>
      <w:r>
        <w:rPr>
          <w:rFonts w:ascii="Arial" w:hAnsi="Arial" w:cs="Arial"/>
        </w:rPr>
        <w:t> </w:t>
      </w:r>
      <w:r w:rsidRPr="001B02C0">
        <w:rPr>
          <w:rFonts w:ascii="Arial" w:hAnsi="Arial" w:cs="Arial"/>
        </w:rPr>
        <w:t>2013 podpořeno 28</w:t>
      </w:r>
      <w:r>
        <w:rPr>
          <w:rFonts w:ascii="Arial" w:hAnsi="Arial" w:cs="Arial"/>
        </w:rPr>
        <w:t> </w:t>
      </w:r>
      <w:r w:rsidRPr="001B02C0">
        <w:rPr>
          <w:rFonts w:ascii="Arial" w:hAnsi="Arial" w:cs="Arial"/>
        </w:rPr>
        <w:t>567 osob, v rámci projektu „Vzdělávejte se pro růst! - rekvalifikace“ se pak jednalo o 17</w:t>
      </w:r>
      <w:r>
        <w:rPr>
          <w:rFonts w:ascii="Arial" w:hAnsi="Arial" w:cs="Arial"/>
        </w:rPr>
        <w:t> </w:t>
      </w:r>
      <w:r w:rsidRPr="001B02C0">
        <w:rPr>
          <w:rFonts w:ascii="Arial" w:hAnsi="Arial" w:cs="Arial"/>
        </w:rPr>
        <w:t>094 podpořených osob.</w:t>
      </w:r>
    </w:p>
    <w:p w:rsidR="000F684F" w:rsidRPr="0019781D" w:rsidRDefault="000F684F" w:rsidP="000F684F">
      <w:pPr>
        <w:spacing w:line="360" w:lineRule="auto"/>
        <w:ind w:firstLine="708"/>
        <w:jc w:val="both"/>
        <w:rPr>
          <w:rFonts w:ascii="Arial" w:hAnsi="Arial" w:cs="Arial"/>
        </w:rPr>
      </w:pPr>
      <w:r w:rsidRPr="00DB18DC">
        <w:rPr>
          <w:rFonts w:ascii="Arial" w:hAnsi="Arial" w:cs="Arial"/>
        </w:rPr>
        <w:t>Dále je také v realizaci projekt „</w:t>
      </w:r>
      <w:r w:rsidRPr="00DB18DC">
        <w:rPr>
          <w:rFonts w:ascii="Arial" w:hAnsi="Arial" w:cs="Arial"/>
          <w:b/>
        </w:rPr>
        <w:t>Vzdělávání uchazečů o zaměstnání v oblasti socioekonomických kompetencí (SEKO)</w:t>
      </w:r>
      <w:r w:rsidRPr="00DB18DC">
        <w:rPr>
          <w:rFonts w:ascii="Arial" w:hAnsi="Arial" w:cs="Arial"/>
        </w:rPr>
        <w:t xml:space="preserve">“, jehož příjemcem je Fond dalšího vzdělávání. Hlavním cílem projektu je zvýšit šance klientů Úřadu práce ČR na získání a udržení si zaměstnání prostřednictvím rozvoje jejich socioekonomických kompetencí, tedy finanční gramotnosti a dalších sociálních dovedností. Na tyto čtyři projekty je alokováno celkem </w:t>
      </w:r>
      <w:r>
        <w:rPr>
          <w:rFonts w:ascii="Arial" w:hAnsi="Arial" w:cs="Arial"/>
        </w:rPr>
        <w:t>4 747 977 tis. </w:t>
      </w:r>
      <w:r w:rsidRPr="00827610">
        <w:rPr>
          <w:rFonts w:ascii="Arial" w:hAnsi="Arial" w:cs="Arial"/>
        </w:rPr>
        <w:t>Kč</w:t>
      </w:r>
      <w:r w:rsidRPr="00DB18DC">
        <w:rPr>
          <w:rFonts w:ascii="Arial" w:hAnsi="Arial" w:cs="Arial"/>
        </w:rPr>
        <w:t>, celkem bylo k 30. 6. 2013 vyčerpáno 94</w:t>
      </w:r>
      <w:r w:rsidRPr="0019781D">
        <w:rPr>
          <w:rFonts w:ascii="Arial" w:hAnsi="Arial" w:cs="Arial"/>
        </w:rPr>
        <w:t>3 149 tis. Kč.</w:t>
      </w:r>
    </w:p>
    <w:p w:rsidR="000F684F" w:rsidRPr="0093005A" w:rsidRDefault="000F684F" w:rsidP="000F684F">
      <w:pPr>
        <w:spacing w:line="360" w:lineRule="auto"/>
        <w:ind w:firstLine="708"/>
        <w:jc w:val="both"/>
        <w:rPr>
          <w:rFonts w:ascii="Arial" w:hAnsi="Arial" w:cs="Arial"/>
        </w:rPr>
      </w:pPr>
      <w:r w:rsidRPr="0019781D">
        <w:rPr>
          <w:rFonts w:ascii="Arial" w:hAnsi="Arial" w:cs="Arial"/>
        </w:rPr>
        <w:t>V rámci této oblasti podpory předkládá Úřad práce ČR</w:t>
      </w:r>
      <w:r w:rsidRPr="0019781D">
        <w:rPr>
          <w:rFonts w:ascii="Arial" w:hAnsi="Arial" w:cs="Arial"/>
          <w:b/>
        </w:rPr>
        <w:t xml:space="preserve"> regionální individuální projekty (RIP)</w:t>
      </w:r>
      <w:r w:rsidRPr="0019781D">
        <w:rPr>
          <w:rFonts w:ascii="Arial" w:hAnsi="Arial" w:cs="Arial"/>
        </w:rPr>
        <w:t xml:space="preserve">. Akcentuje v nich problematiku daného regionu, a z tohoto důvodu má možnost vybrat do svých projektů potřebnou paletu nástrojů a opatření APZ. Jedná se o různé typy motivačních aktivit, poradenství pro uplatnění na trhu práce, přípravu na rekvalifikace, rekvalifikace, zprostředkování zaměstnání apod. RIP jsou zaměřeny zejména na cílové skupiny osob nad 50 let, mladých bez vzdělání, dlouhodobě a opakovaně nezaměstnaných, osob se zdravotním postižením, osob s nízkou kvalifikací apod. Na základě </w:t>
      </w:r>
      <w:r w:rsidRPr="0019781D">
        <w:rPr>
          <w:rFonts w:ascii="Arial" w:hAnsi="Arial" w:cs="Arial"/>
          <w:b/>
        </w:rPr>
        <w:t xml:space="preserve">první výzvy </w:t>
      </w:r>
      <w:r w:rsidRPr="0019781D">
        <w:rPr>
          <w:rFonts w:ascii="Arial" w:hAnsi="Arial" w:cs="Arial"/>
        </w:rPr>
        <w:t>(z roku 2008) bylo k 30. 6</w:t>
      </w:r>
      <w:r w:rsidRPr="00597DD7">
        <w:rPr>
          <w:rFonts w:ascii="Arial" w:hAnsi="Arial" w:cs="Arial"/>
        </w:rPr>
        <w:t xml:space="preserve">. 2013 </w:t>
      </w:r>
      <w:r w:rsidRPr="00597DD7">
        <w:rPr>
          <w:rFonts w:ascii="Arial" w:hAnsi="Arial" w:cs="Arial"/>
          <w:b/>
        </w:rPr>
        <w:t>v realizaci posledních 11 projektů</w:t>
      </w:r>
      <w:r w:rsidRPr="00597DD7">
        <w:rPr>
          <w:rFonts w:ascii="Arial" w:hAnsi="Arial" w:cs="Arial"/>
        </w:rPr>
        <w:t xml:space="preserve"> (z celkem 81 schválených projektů)</w:t>
      </w:r>
      <w:r w:rsidRPr="00597DD7">
        <w:rPr>
          <w:rFonts w:ascii="Arial" w:hAnsi="Arial" w:cs="Arial"/>
          <w:szCs w:val="18"/>
        </w:rPr>
        <w:t xml:space="preserve">. </w:t>
      </w:r>
      <w:r w:rsidRPr="00597DD7">
        <w:rPr>
          <w:rFonts w:ascii="Arial" w:hAnsi="Arial" w:cs="Arial"/>
          <w:b/>
        </w:rPr>
        <w:t xml:space="preserve">Druhá výzva </w:t>
      </w:r>
      <w:r w:rsidRPr="00597DD7">
        <w:rPr>
          <w:rFonts w:ascii="Arial" w:hAnsi="Arial" w:cs="Arial"/>
        </w:rPr>
        <w:t>(vyhlášena 15. 12. 2010) trvá do konce roku 2013. Celková alokace na tuto výzvu byla stanovena na 1,466 mld. Kč, následně byla alokace navýšena na celkových 2,793 mld. Kč. Výzva byla původně určena pověřeným ÚP</w:t>
      </w:r>
      <w:r w:rsidR="00206990">
        <w:rPr>
          <w:rFonts w:ascii="Arial" w:hAnsi="Arial" w:cs="Arial"/>
        </w:rPr>
        <w:t xml:space="preserve"> ČR </w:t>
      </w:r>
      <w:r w:rsidRPr="00597DD7">
        <w:rPr>
          <w:rFonts w:ascii="Arial" w:hAnsi="Arial" w:cs="Arial"/>
        </w:rPr>
        <w:t xml:space="preserve">(na rozdíl od první, v níž mohly projekty </w:t>
      </w:r>
      <w:r w:rsidRPr="000C699A">
        <w:rPr>
          <w:rFonts w:ascii="Arial" w:hAnsi="Arial" w:cs="Arial"/>
        </w:rPr>
        <w:t>předkládat i okresní ÚP</w:t>
      </w:r>
      <w:r w:rsidR="00206990">
        <w:rPr>
          <w:rFonts w:ascii="Arial" w:hAnsi="Arial" w:cs="Arial"/>
        </w:rPr>
        <w:t> ČR</w:t>
      </w:r>
      <w:r w:rsidRPr="000C699A">
        <w:rPr>
          <w:rFonts w:ascii="Arial" w:hAnsi="Arial" w:cs="Arial"/>
        </w:rPr>
        <w:t xml:space="preserve">). Od 1. 4. 2011 došlo ke změně, jediným příjemcem pro RIP se stal ÚP ČR, který </w:t>
      </w:r>
      <w:r w:rsidRPr="000C699A">
        <w:rPr>
          <w:rFonts w:ascii="Arial" w:hAnsi="Arial" w:cs="Arial"/>
        </w:rPr>
        <w:lastRenderedPageBreak/>
        <w:t>předkládá žádosti prostřednictvím Krajských poboček ÚP ČR. Na základě této výzvy bylo do 30. 6. 2013 předloženo celkem 73 projektů, z nichž bylo 68 schváleno k realizaci s celkovou alokací cca 2,807 mld. Kč</w:t>
      </w:r>
      <w:r>
        <w:rPr>
          <w:rFonts w:ascii="Arial" w:hAnsi="Arial" w:cs="Arial"/>
        </w:rPr>
        <w:t xml:space="preserve"> </w:t>
      </w:r>
      <w:r w:rsidRPr="000C699A">
        <w:rPr>
          <w:rFonts w:ascii="Arial" w:hAnsi="Arial" w:cs="Arial"/>
        </w:rPr>
        <w:t xml:space="preserve">(z toho 14 projektů jsou </w:t>
      </w:r>
      <w:r w:rsidRPr="000C699A">
        <w:rPr>
          <w:rFonts w:ascii="Arial" w:hAnsi="Arial" w:cs="Arial"/>
          <w:b/>
        </w:rPr>
        <w:t>Odborné praxe pro mladé do 30 let</w:t>
      </w:r>
      <w:r w:rsidRPr="000C699A">
        <w:rPr>
          <w:rFonts w:ascii="Arial" w:hAnsi="Arial" w:cs="Arial"/>
        </w:rPr>
        <w:t xml:space="preserve"> s celkovou alokací 1,034 mld. Kč), 2 RIP byly staženy žadatelem a 3 RIP byly ve fázi hodnocení.</w:t>
      </w:r>
      <w:r w:rsidRPr="0093005A">
        <w:rPr>
          <w:rFonts w:ascii="Arial" w:hAnsi="Arial" w:cs="Arial"/>
        </w:rPr>
        <w:t xml:space="preserve"> </w:t>
      </w:r>
    </w:p>
    <w:p w:rsidR="000F684F" w:rsidRPr="001E2F9A" w:rsidRDefault="000F684F" w:rsidP="000F684F">
      <w:pPr>
        <w:spacing w:line="360" w:lineRule="auto"/>
        <w:ind w:firstLine="708"/>
        <w:jc w:val="both"/>
        <w:rPr>
          <w:rFonts w:ascii="Arial" w:hAnsi="Arial" w:cs="Arial"/>
        </w:rPr>
      </w:pPr>
      <w:r w:rsidRPr="001E2F9A">
        <w:rPr>
          <w:rFonts w:ascii="Arial" w:hAnsi="Arial" w:cs="Arial"/>
        </w:rPr>
        <w:t xml:space="preserve">Dne 2. 7. 2012 byla vyhlášena výzva určená pro Fond dalšího vzdělávání a dne 3. 9. 2012 byl k realizaci schválen v jejím rámci předložený individuální projekt </w:t>
      </w:r>
      <w:r w:rsidRPr="001E2F9A">
        <w:rPr>
          <w:rFonts w:ascii="Arial" w:hAnsi="Arial" w:cs="Arial"/>
          <w:b/>
        </w:rPr>
        <w:t>Stáže pro mladé zájemce o zaměstnání</w:t>
      </w:r>
      <w:r w:rsidRPr="001E2F9A">
        <w:rPr>
          <w:rFonts w:ascii="Arial" w:hAnsi="Arial" w:cs="Arial"/>
        </w:rPr>
        <w:t xml:space="preserve">. </w:t>
      </w:r>
      <w:r w:rsidRPr="001E2F9A">
        <w:rPr>
          <w:rFonts w:ascii="Arial" w:hAnsi="Arial" w:cs="Arial"/>
          <w:b/>
        </w:rPr>
        <w:t>Realizace projektu začala 1. 9. 2012 a ukončena bude 31. 8. 2015.</w:t>
      </w:r>
      <w:r w:rsidRPr="001E2F9A">
        <w:rPr>
          <w:rFonts w:ascii="Arial" w:hAnsi="Arial" w:cs="Arial"/>
        </w:rPr>
        <w:t xml:space="preserve"> Celkový rozpočet projektu je ve výši 71,2 mil. Kč.</w:t>
      </w:r>
    </w:p>
    <w:p w:rsidR="000F684F" w:rsidRPr="001E2F9A" w:rsidRDefault="000F684F" w:rsidP="000F684F">
      <w:pPr>
        <w:spacing w:line="360" w:lineRule="auto"/>
        <w:ind w:firstLine="708"/>
        <w:jc w:val="both"/>
        <w:rPr>
          <w:rFonts w:ascii="Arial" w:hAnsi="Arial"/>
        </w:rPr>
      </w:pPr>
      <w:r w:rsidRPr="001E2F9A">
        <w:rPr>
          <w:rFonts w:ascii="Arial" w:hAnsi="Arial" w:cs="Arial"/>
        </w:rPr>
        <w:t xml:space="preserve">V rámci oblasti podpory 2.1 </w:t>
      </w:r>
      <w:r w:rsidRPr="001E2F9A">
        <w:rPr>
          <w:rFonts w:ascii="Arial" w:hAnsi="Arial"/>
        </w:rPr>
        <w:t xml:space="preserve">byly od začátku programového období do 31. 12. 2012 vyhlášeny čtyři výzvy na </w:t>
      </w:r>
      <w:r w:rsidRPr="001E2F9A">
        <w:rPr>
          <w:rFonts w:ascii="Arial" w:hAnsi="Arial"/>
          <w:b/>
        </w:rPr>
        <w:t>grantové projekty (GP)</w:t>
      </w:r>
      <w:r w:rsidRPr="001E2F9A">
        <w:rPr>
          <w:rFonts w:ascii="Arial" w:hAnsi="Arial"/>
        </w:rPr>
        <w:t xml:space="preserve">. Potenciálními žadateli v rámci výzev pro předkládání grantových projektů v této oblasti podpory jsou vzdělávací a poradenské instituce (fyzické nebo právnické osoby), organizace sociálních partnerů a neziskové organizace, přičemž okruh oprávněných žadatelů je vždy upřesněn v každé výzvě. </w:t>
      </w:r>
    </w:p>
    <w:p w:rsidR="000F684F" w:rsidRDefault="000F684F" w:rsidP="000F684F">
      <w:pPr>
        <w:spacing w:line="360" w:lineRule="auto"/>
        <w:ind w:firstLine="567"/>
        <w:jc w:val="both"/>
        <w:rPr>
          <w:rFonts w:ascii="Arial" w:hAnsi="Arial" w:cs="Arial"/>
        </w:rPr>
      </w:pPr>
      <w:r w:rsidRPr="00665DA6">
        <w:rPr>
          <w:rFonts w:ascii="Arial" w:hAnsi="Arial" w:cs="Arial"/>
        </w:rPr>
        <w:t xml:space="preserve">V rámci </w:t>
      </w:r>
      <w:r w:rsidRPr="00665DA6">
        <w:rPr>
          <w:rFonts w:ascii="Arial" w:hAnsi="Arial" w:cs="Arial"/>
          <w:b/>
        </w:rPr>
        <w:t>první</w:t>
      </w:r>
      <w:r w:rsidRPr="00665DA6">
        <w:rPr>
          <w:rFonts w:ascii="Arial" w:hAnsi="Arial" w:cs="Arial"/>
        </w:rPr>
        <w:t xml:space="preserve"> a </w:t>
      </w:r>
      <w:r w:rsidRPr="00665DA6">
        <w:rPr>
          <w:rFonts w:ascii="Arial" w:hAnsi="Arial" w:cs="Arial"/>
          <w:b/>
        </w:rPr>
        <w:t>druhé</w:t>
      </w:r>
      <w:r w:rsidRPr="00665DA6">
        <w:rPr>
          <w:rFonts w:ascii="Arial" w:hAnsi="Arial" w:cs="Arial"/>
        </w:rPr>
        <w:t xml:space="preserve"> výzvy bylo od roku 2010 (resp. 2011) v realizaci 123 grantových projektů (54 v první výzvě, 69 ve druhé výzvě), které u</w:t>
      </w:r>
      <w:r>
        <w:rPr>
          <w:rFonts w:ascii="Arial" w:hAnsi="Arial" w:cs="Arial"/>
        </w:rPr>
        <w:t>končily svou realizaci k 30. 6. </w:t>
      </w:r>
      <w:r w:rsidRPr="00665DA6">
        <w:rPr>
          <w:rFonts w:ascii="Arial" w:hAnsi="Arial" w:cs="Arial"/>
        </w:rPr>
        <w:t>2012 (první výzva),</w:t>
      </w:r>
      <w:r>
        <w:rPr>
          <w:rFonts w:ascii="Arial" w:hAnsi="Arial" w:cs="Arial"/>
        </w:rPr>
        <w:t xml:space="preserve"> resp. 30. </w:t>
      </w:r>
      <w:r w:rsidRPr="00665DA6">
        <w:rPr>
          <w:rFonts w:ascii="Arial" w:hAnsi="Arial" w:cs="Arial"/>
        </w:rPr>
        <w:t>6.</w:t>
      </w:r>
      <w:r>
        <w:rPr>
          <w:rFonts w:ascii="Arial" w:hAnsi="Arial" w:cs="Arial"/>
        </w:rPr>
        <w:t> </w:t>
      </w:r>
      <w:r w:rsidRPr="00665DA6">
        <w:rPr>
          <w:rFonts w:ascii="Arial" w:hAnsi="Arial" w:cs="Arial"/>
        </w:rPr>
        <w:t>2013 (druhá výzva). U těchto projektů dochází k jejich uzavírání a schvalování závěrečných monitorovacích zpráv.</w:t>
      </w:r>
    </w:p>
    <w:p w:rsidR="000F684F" w:rsidRPr="00665DA6" w:rsidRDefault="000F684F" w:rsidP="000F684F">
      <w:pPr>
        <w:spacing w:line="360" w:lineRule="auto"/>
        <w:ind w:firstLine="567"/>
        <w:jc w:val="both"/>
        <w:rPr>
          <w:rFonts w:ascii="Arial" w:hAnsi="Arial" w:cs="Arial"/>
        </w:rPr>
      </w:pPr>
      <w:r w:rsidRPr="00665DA6">
        <w:rPr>
          <w:rFonts w:ascii="Arial" w:hAnsi="Arial" w:cs="Arial"/>
        </w:rPr>
        <w:t xml:space="preserve">V rámci </w:t>
      </w:r>
      <w:r w:rsidRPr="00665DA6">
        <w:rPr>
          <w:rFonts w:ascii="Arial" w:hAnsi="Arial" w:cs="Arial"/>
          <w:b/>
        </w:rPr>
        <w:t xml:space="preserve">třetí výzvy </w:t>
      </w:r>
      <w:r w:rsidRPr="00665DA6">
        <w:rPr>
          <w:rFonts w:ascii="Arial" w:hAnsi="Arial" w:cs="Arial"/>
        </w:rPr>
        <w:t>je v současné době v realizaci 85 grantových projektů, které musí ukončit svou realizaci nejpozději do 30. 6. 2014.</w:t>
      </w:r>
    </w:p>
    <w:p w:rsidR="000F684F" w:rsidRDefault="000F684F" w:rsidP="000F684F">
      <w:pPr>
        <w:spacing w:line="360" w:lineRule="auto"/>
        <w:ind w:firstLine="567"/>
        <w:jc w:val="both"/>
        <w:rPr>
          <w:rFonts w:ascii="Arial" w:hAnsi="Arial" w:cs="Arial"/>
        </w:rPr>
      </w:pPr>
      <w:r w:rsidRPr="002E5A76">
        <w:rPr>
          <w:rFonts w:ascii="Arial" w:hAnsi="Arial" w:cs="Arial"/>
        </w:rPr>
        <w:t>V prvních třech výzvách bylo tedy kontrahováno 208 grantových projektů v celkové výši necelé 1,1 mld. Kč.</w:t>
      </w:r>
    </w:p>
    <w:p w:rsidR="000F684F" w:rsidRPr="002E5A76" w:rsidRDefault="000F684F" w:rsidP="000F684F">
      <w:pPr>
        <w:spacing w:line="360" w:lineRule="auto"/>
        <w:ind w:firstLine="567"/>
        <w:jc w:val="both"/>
        <w:rPr>
          <w:rFonts w:ascii="Arial" w:hAnsi="Arial" w:cs="Arial"/>
        </w:rPr>
      </w:pPr>
      <w:r w:rsidRPr="009172E1">
        <w:rPr>
          <w:rFonts w:ascii="Arial" w:hAnsi="Arial" w:cs="Arial"/>
        </w:rPr>
        <w:t>V rámci čtvrté výzvy za</w:t>
      </w:r>
      <w:r>
        <w:rPr>
          <w:rFonts w:ascii="Arial" w:hAnsi="Arial" w:cs="Arial"/>
        </w:rPr>
        <w:t>hájilo realizaci v období od 1. </w:t>
      </w:r>
      <w:r w:rsidRPr="009172E1">
        <w:rPr>
          <w:rFonts w:ascii="Arial" w:hAnsi="Arial" w:cs="Arial"/>
        </w:rPr>
        <w:t>12.</w:t>
      </w:r>
      <w:r>
        <w:rPr>
          <w:rFonts w:ascii="Arial" w:hAnsi="Arial" w:cs="Arial"/>
        </w:rPr>
        <w:t> </w:t>
      </w:r>
      <w:r w:rsidRPr="009172E1">
        <w:rPr>
          <w:rFonts w:ascii="Arial" w:hAnsi="Arial" w:cs="Arial"/>
        </w:rPr>
        <w:t>2012 do 1.</w:t>
      </w:r>
      <w:r>
        <w:rPr>
          <w:rFonts w:ascii="Arial" w:hAnsi="Arial" w:cs="Arial"/>
        </w:rPr>
        <w:t> </w:t>
      </w:r>
      <w:r w:rsidRPr="009172E1">
        <w:rPr>
          <w:rFonts w:ascii="Arial" w:hAnsi="Arial" w:cs="Arial"/>
        </w:rPr>
        <w:t>7.</w:t>
      </w:r>
      <w:r>
        <w:rPr>
          <w:rFonts w:ascii="Arial" w:hAnsi="Arial" w:cs="Arial"/>
        </w:rPr>
        <w:t> </w:t>
      </w:r>
      <w:r w:rsidRPr="009172E1">
        <w:rPr>
          <w:rFonts w:ascii="Arial" w:hAnsi="Arial" w:cs="Arial"/>
        </w:rPr>
        <w:t>2013 celkem 86 grantových projektů s alokací 445,2 mil. Kč. Projekty v rámci 4. výzvy musí ukončit svou realizaci nejpozději k 30. 6. 2015.</w:t>
      </w:r>
    </w:p>
    <w:p w:rsidR="000F684F" w:rsidRPr="006B4204" w:rsidRDefault="000F684F" w:rsidP="000F684F">
      <w:pPr>
        <w:spacing w:line="360" w:lineRule="auto"/>
        <w:ind w:firstLine="708"/>
        <w:jc w:val="both"/>
        <w:rPr>
          <w:rFonts w:ascii="Arial" w:hAnsi="Arial" w:cs="Arial"/>
        </w:rPr>
      </w:pPr>
      <w:r w:rsidRPr="006B4204">
        <w:rPr>
          <w:rFonts w:ascii="Arial" w:hAnsi="Arial" w:cs="Arial"/>
        </w:rPr>
        <w:t xml:space="preserve">Další výzva pro předkládání grantových projektů v oblasti podpory 2.1 nebude realizována.  </w:t>
      </w:r>
    </w:p>
    <w:p w:rsidR="000F684F" w:rsidRDefault="000F684F" w:rsidP="000F684F">
      <w:pPr>
        <w:tabs>
          <w:tab w:val="left" w:pos="567"/>
        </w:tabs>
        <w:spacing w:line="360" w:lineRule="auto"/>
        <w:jc w:val="both"/>
        <w:rPr>
          <w:rFonts w:ascii="Arial" w:hAnsi="Arial" w:cs="Arial"/>
          <w:bCs/>
        </w:rPr>
      </w:pPr>
      <w:r w:rsidRPr="006B4204">
        <w:rPr>
          <w:rFonts w:ascii="Arial" w:hAnsi="Arial" w:cs="Arial"/>
        </w:rPr>
        <w:tab/>
        <w:t xml:space="preserve">V rámci oblasti </w:t>
      </w:r>
      <w:r w:rsidRPr="003744C2">
        <w:rPr>
          <w:rFonts w:ascii="Arial" w:hAnsi="Arial" w:cs="Arial"/>
        </w:rPr>
        <w:t xml:space="preserve">podpory </w:t>
      </w:r>
      <w:r w:rsidRPr="003744C2">
        <w:rPr>
          <w:rFonts w:ascii="Arial" w:hAnsi="Arial" w:cs="Arial"/>
          <w:b/>
          <w:bCs/>
        </w:rPr>
        <w:t>2.2 Modernizace institucí a zavedení systému kvality služeb zam</w:t>
      </w:r>
      <w:r w:rsidRPr="003744C2">
        <w:rPr>
          <w:rFonts w:ascii="Arial" w:hAnsi="Arial" w:cs="Arial"/>
          <w:b/>
        </w:rPr>
        <w:t>ě</w:t>
      </w:r>
      <w:r w:rsidRPr="003744C2">
        <w:rPr>
          <w:rFonts w:ascii="Arial" w:hAnsi="Arial" w:cs="Arial"/>
          <w:b/>
          <w:bCs/>
        </w:rPr>
        <w:t xml:space="preserve">stnanosti a jejich rozvoj </w:t>
      </w:r>
      <w:r w:rsidRPr="003744C2">
        <w:rPr>
          <w:rFonts w:ascii="Arial" w:hAnsi="Arial" w:cs="Arial"/>
          <w:bCs/>
        </w:rPr>
        <w:t>probíhala v 1. polovině roku 2013</w:t>
      </w:r>
      <w:r w:rsidRPr="003744C2">
        <w:rPr>
          <w:rFonts w:ascii="Arial" w:hAnsi="Arial" w:cs="Arial"/>
        </w:rPr>
        <w:t xml:space="preserve"> realizace následujících systémových individuálních projektů </w:t>
      </w:r>
      <w:r w:rsidRPr="003744C2">
        <w:rPr>
          <w:rFonts w:ascii="Arial" w:hAnsi="Arial" w:cs="Arial"/>
          <w:bCs/>
        </w:rPr>
        <w:t>(SIP):</w:t>
      </w:r>
    </w:p>
    <w:p w:rsidR="000F684F" w:rsidRPr="003744C2" w:rsidRDefault="000F684F" w:rsidP="000F684F">
      <w:pPr>
        <w:numPr>
          <w:ilvl w:val="0"/>
          <w:numId w:val="19"/>
        </w:numPr>
        <w:spacing w:line="360" w:lineRule="auto"/>
        <w:jc w:val="both"/>
        <w:rPr>
          <w:rFonts w:ascii="Arial" w:hAnsi="Arial"/>
        </w:rPr>
      </w:pPr>
      <w:r w:rsidRPr="003744C2">
        <w:rPr>
          <w:rFonts w:ascii="Arial" w:hAnsi="Arial"/>
        </w:rPr>
        <w:t>Personální a odborné zajištění realizace aktivní politiky zaměstnanosti na Úřadu práce ČR (</w:t>
      </w:r>
      <w:proofErr w:type="spellStart"/>
      <w:r w:rsidRPr="003744C2">
        <w:rPr>
          <w:rFonts w:ascii="Arial" w:hAnsi="Arial"/>
        </w:rPr>
        <w:t>RealAPZ</w:t>
      </w:r>
      <w:proofErr w:type="spellEnd"/>
      <w:r w:rsidRPr="003744C2">
        <w:rPr>
          <w:rFonts w:ascii="Arial" w:hAnsi="Arial"/>
        </w:rPr>
        <w:t>)</w:t>
      </w:r>
      <w:r>
        <w:rPr>
          <w:rFonts w:ascii="Arial" w:hAnsi="Arial"/>
        </w:rPr>
        <w:t xml:space="preserve">, </w:t>
      </w:r>
      <w:r w:rsidRPr="00422F9C">
        <w:rPr>
          <w:rFonts w:ascii="Arial" w:hAnsi="Arial"/>
        </w:rPr>
        <w:t>realizace ukončena 31. 1. 2013</w:t>
      </w:r>
      <w:r w:rsidRPr="003744C2">
        <w:rPr>
          <w:rFonts w:ascii="Arial" w:hAnsi="Arial"/>
        </w:rPr>
        <w:t xml:space="preserve">, </w:t>
      </w:r>
    </w:p>
    <w:p w:rsidR="000F684F" w:rsidRPr="003744C2" w:rsidRDefault="000F684F" w:rsidP="000F684F">
      <w:pPr>
        <w:numPr>
          <w:ilvl w:val="0"/>
          <w:numId w:val="19"/>
        </w:numPr>
        <w:spacing w:line="360" w:lineRule="auto"/>
        <w:jc w:val="both"/>
        <w:rPr>
          <w:rFonts w:ascii="Arial" w:hAnsi="Arial"/>
        </w:rPr>
      </w:pPr>
      <w:r w:rsidRPr="003744C2">
        <w:rPr>
          <w:rFonts w:ascii="Arial" w:hAnsi="Arial"/>
        </w:rPr>
        <w:lastRenderedPageBreak/>
        <w:t>Rozvoj Národní soustavy povolání a sektorových rad jako nástroje zaměstnavatelů k ovlivňování rozvoje lidských zdrojů v ČR (NSP II),</w:t>
      </w:r>
    </w:p>
    <w:p w:rsidR="000F684F" w:rsidRPr="003744C2" w:rsidRDefault="000F684F" w:rsidP="000F684F">
      <w:pPr>
        <w:numPr>
          <w:ilvl w:val="0"/>
          <w:numId w:val="19"/>
        </w:numPr>
        <w:spacing w:line="360" w:lineRule="auto"/>
        <w:ind w:left="714" w:hanging="357"/>
        <w:jc w:val="both"/>
        <w:rPr>
          <w:rFonts w:ascii="Arial" w:hAnsi="Arial"/>
        </w:rPr>
      </w:pPr>
      <w:r w:rsidRPr="003744C2">
        <w:rPr>
          <w:rFonts w:ascii="Arial" w:hAnsi="Arial"/>
        </w:rPr>
        <w:t>Regionální sítě spolupráce v pracovní rehabilitaci (PREGNET),</w:t>
      </w:r>
    </w:p>
    <w:p w:rsidR="000F684F" w:rsidRPr="003744C2" w:rsidRDefault="000F684F" w:rsidP="000F684F">
      <w:pPr>
        <w:numPr>
          <w:ilvl w:val="0"/>
          <w:numId w:val="19"/>
        </w:numPr>
        <w:spacing w:line="360" w:lineRule="auto"/>
        <w:ind w:left="714" w:hanging="357"/>
        <w:jc w:val="both"/>
        <w:rPr>
          <w:rFonts w:ascii="Arial" w:hAnsi="Arial"/>
        </w:rPr>
      </w:pPr>
      <w:r w:rsidRPr="003744C2">
        <w:rPr>
          <w:rFonts w:ascii="Arial" w:hAnsi="Arial"/>
        </w:rPr>
        <w:t>Call centrum Úřadu</w:t>
      </w:r>
      <w:r>
        <w:rPr>
          <w:rFonts w:ascii="Arial" w:hAnsi="Arial"/>
        </w:rPr>
        <w:t xml:space="preserve"> práce ČR (Call centrum ÚP ČR),</w:t>
      </w:r>
    </w:p>
    <w:p w:rsidR="000F684F" w:rsidRPr="003744C2" w:rsidRDefault="000F684F" w:rsidP="000F684F">
      <w:pPr>
        <w:numPr>
          <w:ilvl w:val="0"/>
          <w:numId w:val="19"/>
        </w:numPr>
        <w:spacing w:line="360" w:lineRule="auto"/>
        <w:ind w:left="714" w:hanging="357"/>
        <w:jc w:val="both"/>
        <w:rPr>
          <w:rFonts w:ascii="Arial" w:hAnsi="Arial"/>
          <w:spacing w:val="-1"/>
        </w:rPr>
      </w:pPr>
      <w:r w:rsidRPr="003744C2">
        <w:rPr>
          <w:rFonts w:ascii="Arial" w:hAnsi="Arial" w:cs="Arial"/>
          <w:iCs/>
        </w:rPr>
        <w:t>Efektivní systém rozvoje zaměstnanosti, výkonu komplexních kontrol a potírání nelegálního zaměstnávání v ČR (Efektivní systém rozvoje),</w:t>
      </w:r>
    </w:p>
    <w:p w:rsidR="000F684F" w:rsidRPr="003744C2" w:rsidRDefault="000F684F" w:rsidP="000F684F">
      <w:pPr>
        <w:numPr>
          <w:ilvl w:val="0"/>
          <w:numId w:val="19"/>
        </w:numPr>
        <w:spacing w:line="360" w:lineRule="auto"/>
        <w:ind w:left="714" w:hanging="357"/>
        <w:jc w:val="both"/>
        <w:rPr>
          <w:rFonts w:ascii="Arial" w:hAnsi="Arial"/>
          <w:spacing w:val="-1"/>
        </w:rPr>
      </w:pPr>
      <w:r w:rsidRPr="003744C2">
        <w:rPr>
          <w:rFonts w:ascii="Arial" w:hAnsi="Arial"/>
        </w:rPr>
        <w:t xml:space="preserve">Zajištění pilotního provozu prostředí centralizované datové infrastruktury pro provoz </w:t>
      </w:r>
      <w:proofErr w:type="spellStart"/>
      <w:r w:rsidRPr="003744C2">
        <w:rPr>
          <w:rFonts w:ascii="Arial" w:hAnsi="Arial"/>
        </w:rPr>
        <w:t>agendových</w:t>
      </w:r>
      <w:proofErr w:type="spellEnd"/>
      <w:r w:rsidRPr="003744C2">
        <w:rPr>
          <w:rFonts w:ascii="Arial" w:hAnsi="Arial"/>
        </w:rPr>
        <w:t xml:space="preserve"> aplikací, pilotní provoz aplikací na podporu zaměstnanosti a zaškolení uživatelů pro jejich efektivní využívání (CEDAIN).  Cílem projektu je vybudování prostředí pro centralizovaný provoz systémů zaměstnanosti.</w:t>
      </w:r>
    </w:p>
    <w:p w:rsidR="000F684F" w:rsidRPr="003744C2" w:rsidRDefault="000F684F" w:rsidP="000F684F">
      <w:pPr>
        <w:numPr>
          <w:ilvl w:val="0"/>
          <w:numId w:val="19"/>
        </w:numPr>
        <w:spacing w:line="360" w:lineRule="auto"/>
        <w:jc w:val="both"/>
        <w:rPr>
          <w:rFonts w:ascii="Arial" w:hAnsi="Arial"/>
          <w:spacing w:val="-1"/>
        </w:rPr>
      </w:pPr>
      <w:r w:rsidRPr="003744C2">
        <w:rPr>
          <w:rFonts w:ascii="Arial" w:hAnsi="Arial"/>
          <w:spacing w:val="-1"/>
        </w:rPr>
        <w:t>Metodika individuální a komplexní práce s klienty ÚP ČR (MIKOP),</w:t>
      </w:r>
      <w:r>
        <w:rPr>
          <w:rFonts w:ascii="Arial" w:hAnsi="Arial"/>
          <w:spacing w:val="-1"/>
        </w:rPr>
        <w:t xml:space="preserve"> </w:t>
      </w:r>
      <w:r w:rsidRPr="00445C98">
        <w:rPr>
          <w:rFonts w:ascii="Arial" w:hAnsi="Arial"/>
          <w:spacing w:val="-1"/>
        </w:rPr>
        <w:t>realizován od 1. 1. 2013</w:t>
      </w:r>
      <w:r>
        <w:rPr>
          <w:rFonts w:ascii="Arial" w:hAnsi="Arial"/>
          <w:spacing w:val="-1"/>
        </w:rPr>
        <w:t>,</w:t>
      </w:r>
    </w:p>
    <w:p w:rsidR="000F684F" w:rsidRPr="003744C2" w:rsidRDefault="000F684F" w:rsidP="000F684F">
      <w:pPr>
        <w:numPr>
          <w:ilvl w:val="0"/>
          <w:numId w:val="19"/>
        </w:numPr>
        <w:spacing w:line="360" w:lineRule="auto"/>
        <w:jc w:val="both"/>
        <w:rPr>
          <w:rFonts w:ascii="Arial" w:hAnsi="Arial"/>
          <w:spacing w:val="-1"/>
        </w:rPr>
      </w:pPr>
      <w:r w:rsidRPr="003744C2">
        <w:rPr>
          <w:rFonts w:ascii="Arial" w:hAnsi="Arial"/>
          <w:spacing w:val="-1"/>
        </w:rPr>
        <w:t>Systém efektivního řízení lidských zdrojů Úřadu práce ČR (Řízení LZ ÚP ČR),</w:t>
      </w:r>
      <w:r>
        <w:rPr>
          <w:rFonts w:ascii="Arial" w:hAnsi="Arial"/>
          <w:spacing w:val="-1"/>
        </w:rPr>
        <w:t xml:space="preserve"> </w:t>
      </w:r>
      <w:r w:rsidRPr="00283711">
        <w:rPr>
          <w:rFonts w:ascii="Arial" w:hAnsi="Arial"/>
          <w:spacing w:val="-1"/>
        </w:rPr>
        <w:t>realizován od 1. 5. 2013</w:t>
      </w:r>
      <w:r>
        <w:rPr>
          <w:rFonts w:ascii="Arial" w:hAnsi="Arial"/>
          <w:spacing w:val="-1"/>
        </w:rPr>
        <w:t>,</w:t>
      </w:r>
    </w:p>
    <w:p w:rsidR="000F684F" w:rsidRPr="003744C2" w:rsidRDefault="000F684F" w:rsidP="000F684F">
      <w:pPr>
        <w:spacing w:line="360" w:lineRule="auto"/>
        <w:jc w:val="both"/>
        <w:rPr>
          <w:rFonts w:ascii="Arial" w:hAnsi="Arial"/>
          <w:spacing w:val="-1"/>
        </w:rPr>
      </w:pPr>
    </w:p>
    <w:p w:rsidR="000F684F" w:rsidRPr="003744C2" w:rsidRDefault="000F684F" w:rsidP="000F684F">
      <w:pPr>
        <w:spacing w:line="360" w:lineRule="auto"/>
        <w:ind w:firstLine="567"/>
        <w:jc w:val="both"/>
        <w:rPr>
          <w:rFonts w:ascii="Arial" w:hAnsi="Arial"/>
          <w:spacing w:val="-1"/>
        </w:rPr>
      </w:pPr>
      <w:r w:rsidRPr="003744C2">
        <w:rPr>
          <w:rFonts w:ascii="Arial" w:hAnsi="Arial"/>
          <w:spacing w:val="-1"/>
        </w:rPr>
        <w:t>V průběhu roku 2013 byly ukončeny dva z výše uvedených projektů, a to</w:t>
      </w:r>
      <w:r w:rsidRPr="003744C2">
        <w:t xml:space="preserve"> „</w:t>
      </w:r>
      <w:r w:rsidRPr="003744C2">
        <w:rPr>
          <w:rFonts w:ascii="Arial" w:hAnsi="Arial"/>
          <w:spacing w:val="-1"/>
        </w:rPr>
        <w:t>Personální a odborné zajištění realizace aktivní politiky zaměstnanosti na Úřadu práce ČR“ (</w:t>
      </w:r>
      <w:proofErr w:type="spellStart"/>
      <w:r w:rsidRPr="003744C2">
        <w:rPr>
          <w:rFonts w:ascii="Arial" w:hAnsi="Arial"/>
          <w:spacing w:val="-1"/>
        </w:rPr>
        <w:t>RealAPZ</w:t>
      </w:r>
      <w:proofErr w:type="spellEnd"/>
      <w:r w:rsidRPr="003744C2">
        <w:rPr>
          <w:rFonts w:ascii="Arial" w:hAnsi="Arial"/>
          <w:spacing w:val="-1"/>
        </w:rPr>
        <w:t xml:space="preserve">) a „Zajištění pilotního provozu prostředí centralizované datové infrastruktury pro provoz </w:t>
      </w:r>
      <w:proofErr w:type="spellStart"/>
      <w:r w:rsidRPr="003744C2">
        <w:rPr>
          <w:rFonts w:ascii="Arial" w:hAnsi="Arial"/>
          <w:spacing w:val="-1"/>
        </w:rPr>
        <w:t>agendových</w:t>
      </w:r>
      <w:proofErr w:type="spellEnd"/>
      <w:r w:rsidRPr="003744C2">
        <w:rPr>
          <w:rFonts w:ascii="Arial" w:hAnsi="Arial"/>
          <w:spacing w:val="-1"/>
        </w:rPr>
        <w:t xml:space="preserve"> aplikací, pilotní provoz aplikací na podporu zaměstnanosti a zaškolení uživatelů pro jejich efektivní využívání“ (CEDAIN). Poskytování poradenství v oblasti zaměstnanosti a sociálního zabezpečení skrze call centrum bylo zajištěno a rozšířeno o regionální rozměr poradenství v projektu „Call centrum Úřadu práce ČR“.</w:t>
      </w:r>
    </w:p>
    <w:p w:rsidR="000F684F" w:rsidRPr="003744C2" w:rsidRDefault="000F684F" w:rsidP="000F684F">
      <w:pPr>
        <w:spacing w:line="360" w:lineRule="auto"/>
        <w:ind w:firstLine="567"/>
        <w:jc w:val="both"/>
        <w:rPr>
          <w:rFonts w:ascii="Arial" w:hAnsi="Arial" w:cs="Arial"/>
          <w:bCs/>
        </w:rPr>
      </w:pPr>
    </w:p>
    <w:p w:rsidR="00067D9B" w:rsidRDefault="000F684F" w:rsidP="002E0C20">
      <w:pPr>
        <w:spacing w:line="360" w:lineRule="auto"/>
        <w:ind w:firstLine="567"/>
        <w:jc w:val="both"/>
        <w:rPr>
          <w:rFonts w:ascii="Arial" w:hAnsi="Arial" w:cs="Arial"/>
          <w:bCs/>
        </w:rPr>
      </w:pPr>
      <w:r w:rsidRPr="003744C2">
        <w:rPr>
          <w:rFonts w:ascii="Arial" w:hAnsi="Arial" w:cs="Arial"/>
          <w:bCs/>
        </w:rPr>
        <w:t>V rámci projektu</w:t>
      </w:r>
      <w:r w:rsidRPr="003744C2">
        <w:rPr>
          <w:rFonts w:ascii="Arial" w:hAnsi="Arial" w:cs="Arial"/>
        </w:rPr>
        <w:t xml:space="preserve"> „Efektivní systém rozvoje zaměstnanosti, výkonu komplexních kontrol a potírání nelegálního zaměstnávání v ČR“ </w:t>
      </w:r>
      <w:r w:rsidRPr="00ED5983">
        <w:rPr>
          <w:rFonts w:ascii="Arial" w:hAnsi="Arial" w:cs="Arial"/>
        </w:rPr>
        <w:t xml:space="preserve">byl </w:t>
      </w:r>
      <w:r w:rsidR="00205AE2" w:rsidRPr="00ED5983">
        <w:rPr>
          <w:rFonts w:ascii="Arial" w:hAnsi="Arial" w:cs="Arial"/>
        </w:rPr>
        <w:t xml:space="preserve">od roku </w:t>
      </w:r>
      <w:r w:rsidRPr="00ED5983">
        <w:rPr>
          <w:rFonts w:ascii="Arial" w:hAnsi="Arial" w:cs="Arial"/>
        </w:rPr>
        <w:t xml:space="preserve">2012 </w:t>
      </w:r>
      <w:r w:rsidR="00205AE2" w:rsidRPr="00ED5983">
        <w:rPr>
          <w:rFonts w:ascii="Arial" w:hAnsi="Arial" w:cs="Arial"/>
        </w:rPr>
        <w:t xml:space="preserve">(do září 2013) </w:t>
      </w:r>
      <w:r w:rsidRPr="00ED5983">
        <w:rPr>
          <w:rFonts w:ascii="Arial" w:hAnsi="Arial" w:cs="Arial"/>
        </w:rPr>
        <w:t>realizován systém</w:t>
      </w:r>
      <w:r w:rsidRPr="00ED5983">
        <w:rPr>
          <w:rFonts w:ascii="Arial" w:hAnsi="Arial" w:cs="Arial"/>
          <w:b/>
        </w:rPr>
        <w:t xml:space="preserve"> Docházky nezaměstnaných (</w:t>
      </w:r>
      <w:proofErr w:type="spellStart"/>
      <w:r w:rsidRPr="00ED5983">
        <w:rPr>
          <w:rFonts w:ascii="Arial" w:hAnsi="Arial" w:cs="Arial"/>
          <w:b/>
        </w:rPr>
        <w:t>DoNez</w:t>
      </w:r>
      <w:proofErr w:type="spellEnd"/>
      <w:r w:rsidR="00205AE2" w:rsidRPr="00ED5983">
        <w:rPr>
          <w:rFonts w:ascii="Arial" w:hAnsi="Arial" w:cs="Arial"/>
          <w:b/>
        </w:rPr>
        <w:t>)</w:t>
      </w:r>
      <w:r w:rsidRPr="00ED5983">
        <w:rPr>
          <w:rFonts w:ascii="Arial" w:hAnsi="Arial" w:cs="Arial"/>
        </w:rPr>
        <w:t xml:space="preserve"> jako </w:t>
      </w:r>
      <w:r w:rsidRPr="00ED5983">
        <w:rPr>
          <w:rFonts w:ascii="Arial" w:hAnsi="Arial" w:cs="Arial"/>
          <w:bCs/>
        </w:rPr>
        <w:t xml:space="preserve">pilotní opatření v souvislosti s dlouhodobým záměrem MPSV v boji s nelegálním zaměstnáváním. </w:t>
      </w:r>
    </w:p>
    <w:p w:rsidR="00067D9B" w:rsidRPr="00067D9B" w:rsidRDefault="00067D9B" w:rsidP="002E0C20">
      <w:pPr>
        <w:spacing w:line="360" w:lineRule="auto"/>
        <w:ind w:firstLine="567"/>
        <w:jc w:val="both"/>
        <w:rPr>
          <w:rFonts w:ascii="Arial" w:hAnsi="Arial" w:cs="Arial"/>
        </w:rPr>
      </w:pPr>
      <w:r w:rsidRPr="00067D9B">
        <w:rPr>
          <w:rFonts w:ascii="Arial" w:hAnsi="Arial" w:cs="Arial"/>
        </w:rPr>
        <w:t xml:space="preserve">Na základě </w:t>
      </w:r>
      <w:r w:rsidRPr="00D0787C">
        <w:rPr>
          <w:rFonts w:ascii="Arial" w:hAnsi="Arial" w:cs="Arial"/>
          <w:b/>
        </w:rPr>
        <w:t>vyhodnocení</w:t>
      </w:r>
      <w:r w:rsidRPr="00067D9B">
        <w:rPr>
          <w:rFonts w:ascii="Arial" w:hAnsi="Arial" w:cs="Arial"/>
        </w:rPr>
        <w:t xml:space="preserve"> klíčové aktivity projektu „Docházky nezaměstnaných“ došlo ke zjištění, že postup práce s uchazeči o zaměstnání byl výrazně represivní a</w:t>
      </w:r>
      <w:r w:rsidR="002E0C20">
        <w:rPr>
          <w:rFonts w:ascii="Arial" w:hAnsi="Arial" w:cs="Arial"/>
        </w:rPr>
        <w:t> </w:t>
      </w:r>
      <w:r w:rsidRPr="00067D9B">
        <w:rPr>
          <w:rFonts w:ascii="Arial" w:hAnsi="Arial" w:cs="Arial"/>
        </w:rPr>
        <w:t>nekomplexní</w:t>
      </w:r>
      <w:r w:rsidR="00FF0509">
        <w:rPr>
          <w:rFonts w:ascii="Arial" w:hAnsi="Arial" w:cs="Arial"/>
        </w:rPr>
        <w:t>.</w:t>
      </w:r>
    </w:p>
    <w:p w:rsidR="002E0C20" w:rsidRDefault="00067D9B" w:rsidP="002E0C20">
      <w:pPr>
        <w:spacing w:line="360" w:lineRule="auto"/>
        <w:ind w:firstLine="567"/>
        <w:jc w:val="both"/>
        <w:rPr>
          <w:rFonts w:ascii="Arial" w:hAnsi="Arial" w:cs="Arial"/>
        </w:rPr>
      </w:pPr>
      <w:r w:rsidRPr="002E0C20">
        <w:rPr>
          <w:rFonts w:ascii="Arial" w:hAnsi="Arial" w:cs="Arial"/>
          <w:bCs/>
        </w:rPr>
        <w:t>Nekomplexnost</w:t>
      </w:r>
      <w:r w:rsidRPr="002E0C20">
        <w:rPr>
          <w:rFonts w:ascii="Arial" w:hAnsi="Arial" w:cs="Arial"/>
        </w:rPr>
        <w:t xml:space="preserve"> </w:t>
      </w:r>
      <w:r w:rsidRPr="00067D9B">
        <w:rPr>
          <w:rFonts w:ascii="Arial" w:hAnsi="Arial" w:cs="Arial"/>
        </w:rPr>
        <w:t>byla spojována s omezeným přístupem ke zprostředkování</w:t>
      </w:r>
      <w:r w:rsidR="00C245DB">
        <w:rPr>
          <w:rFonts w:ascii="Arial" w:hAnsi="Arial" w:cs="Arial"/>
        </w:rPr>
        <w:t xml:space="preserve"> práce, se kterým se klienti ÚP </w:t>
      </w:r>
      <w:r w:rsidRPr="00067D9B">
        <w:rPr>
          <w:rFonts w:ascii="Arial" w:hAnsi="Arial" w:cs="Arial"/>
        </w:rPr>
        <w:t xml:space="preserve">ČR na pracovišti Czech Point setkávali. Předmětem kritiky ombudsmana bylo pouhé předání seznamu volných míst bez ohledu na </w:t>
      </w:r>
      <w:r w:rsidRPr="00067D9B">
        <w:rPr>
          <w:rFonts w:ascii="Arial" w:hAnsi="Arial" w:cs="Arial"/>
        </w:rPr>
        <w:lastRenderedPageBreak/>
        <w:t>potřeby a možnosti uchazečů. To bylo také důvodem připomínkování skutečnosti, že zprostředkování zaměstnání neprovádí odborný zprostředkovatel s plnou erudicí a</w:t>
      </w:r>
      <w:r w:rsidR="002E0C20">
        <w:rPr>
          <w:rFonts w:ascii="Arial" w:hAnsi="Arial" w:cs="Arial"/>
        </w:rPr>
        <w:t> </w:t>
      </w:r>
      <w:r w:rsidRPr="00067D9B">
        <w:rPr>
          <w:rFonts w:ascii="Arial" w:hAnsi="Arial" w:cs="Arial"/>
        </w:rPr>
        <w:t>znalostí postupu ÚP</w:t>
      </w:r>
      <w:r>
        <w:rPr>
          <w:rFonts w:ascii="Arial" w:hAnsi="Arial" w:cs="Arial"/>
        </w:rPr>
        <w:t> </w:t>
      </w:r>
      <w:r w:rsidRPr="00067D9B">
        <w:rPr>
          <w:rFonts w:ascii="Arial" w:hAnsi="Arial" w:cs="Arial"/>
        </w:rPr>
        <w:t xml:space="preserve">ČR.  </w:t>
      </w:r>
    </w:p>
    <w:p w:rsidR="00067D9B" w:rsidRPr="00067D9B" w:rsidRDefault="00067D9B" w:rsidP="002E0C20">
      <w:pPr>
        <w:spacing w:line="360" w:lineRule="auto"/>
        <w:ind w:firstLine="567"/>
        <w:jc w:val="both"/>
        <w:rPr>
          <w:rFonts w:ascii="Arial" w:hAnsi="Arial" w:cs="Arial"/>
        </w:rPr>
      </w:pPr>
      <w:r w:rsidRPr="00067D9B">
        <w:rPr>
          <w:rFonts w:ascii="Arial" w:hAnsi="Arial" w:cs="Arial"/>
        </w:rPr>
        <w:t>Po zhodnocení poznatků z uplatňování dosavadního postupu a metodik dospěl</w:t>
      </w:r>
      <w:r w:rsidR="002E0C20">
        <w:rPr>
          <w:rFonts w:ascii="Arial" w:hAnsi="Arial" w:cs="Arial"/>
        </w:rPr>
        <w:t>o</w:t>
      </w:r>
      <w:r w:rsidRPr="00067D9B">
        <w:rPr>
          <w:rFonts w:ascii="Arial" w:hAnsi="Arial" w:cs="Arial"/>
        </w:rPr>
        <w:t xml:space="preserve"> </w:t>
      </w:r>
      <w:r w:rsidR="002E0C20">
        <w:rPr>
          <w:rFonts w:ascii="Arial" w:hAnsi="Arial" w:cs="Arial"/>
        </w:rPr>
        <w:t>MPSV</w:t>
      </w:r>
      <w:r w:rsidRPr="00067D9B">
        <w:rPr>
          <w:rFonts w:ascii="Arial" w:hAnsi="Arial" w:cs="Arial"/>
        </w:rPr>
        <w:t xml:space="preserve"> k rozhodnutí </w:t>
      </w:r>
      <w:r w:rsidRPr="00067D9B">
        <w:rPr>
          <w:rFonts w:ascii="Arial" w:hAnsi="Arial" w:cs="Arial"/>
          <w:b/>
          <w:bCs/>
        </w:rPr>
        <w:t xml:space="preserve">změnit pouze represivní přístup při potírání nelegální práce na postup pozitivní s prvky inovativnosti. </w:t>
      </w:r>
      <w:r w:rsidRPr="00067D9B">
        <w:rPr>
          <w:rFonts w:ascii="Arial" w:hAnsi="Arial" w:cs="Arial"/>
        </w:rPr>
        <w:t> </w:t>
      </w:r>
    </w:p>
    <w:p w:rsidR="000F684F" w:rsidRDefault="00067D9B" w:rsidP="000F684F">
      <w:pPr>
        <w:spacing w:line="360" w:lineRule="auto"/>
        <w:ind w:firstLine="567"/>
        <w:jc w:val="both"/>
        <w:rPr>
          <w:rFonts w:ascii="Arial" w:hAnsi="Arial" w:cs="Arial"/>
          <w:bCs/>
        </w:rPr>
      </w:pPr>
      <w:r w:rsidRPr="00067D9B">
        <w:rPr>
          <w:rFonts w:ascii="Arial" w:hAnsi="Arial" w:cs="Arial"/>
          <w:b/>
          <w:bCs/>
        </w:rPr>
        <w:t>Toto rozhodnutí vedlo k návrhu vytvořit novou samostatnou</w:t>
      </w:r>
      <w:r w:rsidRPr="00067D9B">
        <w:rPr>
          <w:rFonts w:ascii="Arial" w:hAnsi="Arial" w:cs="Arial"/>
        </w:rPr>
        <w:t xml:space="preserve"> </w:t>
      </w:r>
      <w:r w:rsidRPr="00067D9B">
        <w:rPr>
          <w:rFonts w:ascii="Arial" w:hAnsi="Arial" w:cs="Arial"/>
          <w:b/>
          <w:bCs/>
        </w:rPr>
        <w:t>klíčovou aktivitu projektu „Činnost pracovního týmu poradců prevence nelegálního zaměstnávání ÚP ČR</w:t>
      </w:r>
      <w:r w:rsidRPr="00067D9B">
        <w:rPr>
          <w:rFonts w:ascii="Arial" w:hAnsi="Arial" w:cs="Arial"/>
        </w:rPr>
        <w:t>“. Jejím cílem bude využít dosavadních poznatků z realizace Docházky nezaměstnaných a vytvořit nové metodické postupy pro účinné potírání nelegální práce, ale současně pozitivně působit na klienty ÚP ČR tak, aby bylo dosaženo jejich většího uvědomění si škodlivosti nelegálního zaměstnávání a jeho dopadu na ně. Důraz nového přístupu je kladen na rozšíření prevence, při zachování intenzity práce s uchazečem o zaměstnání, která byla vyhodnocena jako vysoce účinná. Půjde tak o realizaci intenzivního vysoce odborného poradenství ve vztahu k vybraným uchazečům.</w:t>
      </w:r>
      <w:r w:rsidR="000F52CE">
        <w:rPr>
          <w:rFonts w:ascii="Arial" w:hAnsi="Arial" w:cs="Arial"/>
        </w:rPr>
        <w:t xml:space="preserve"> </w:t>
      </w:r>
      <w:r w:rsidR="000F52CE">
        <w:rPr>
          <w:rFonts w:ascii="Arial" w:hAnsi="Arial" w:cs="Arial"/>
          <w:bCs/>
        </w:rPr>
        <w:t>N</w:t>
      </w:r>
      <w:r w:rsidR="000F684F" w:rsidRPr="00ED5983">
        <w:rPr>
          <w:rFonts w:ascii="Arial" w:hAnsi="Arial" w:cs="Arial"/>
          <w:bCs/>
        </w:rPr>
        <w:t>ově byl sestaven</w:t>
      </w:r>
      <w:r w:rsidR="000F684F" w:rsidRPr="003744C2">
        <w:rPr>
          <w:rFonts w:ascii="Arial" w:hAnsi="Arial" w:cs="Arial"/>
          <w:bCs/>
        </w:rPr>
        <w:t xml:space="preserve"> tým 154 poradců prevence nelegálního zaměstnávání rozmístěných na pobočkách Úřadu práce ČR </w:t>
      </w:r>
      <w:r w:rsidR="000F684F">
        <w:rPr>
          <w:rFonts w:ascii="Arial" w:hAnsi="Arial" w:cs="Arial"/>
          <w:bCs/>
        </w:rPr>
        <w:t>po</w:t>
      </w:r>
      <w:r w:rsidR="000F684F" w:rsidRPr="003744C2">
        <w:rPr>
          <w:rFonts w:ascii="Arial" w:hAnsi="Arial" w:cs="Arial"/>
          <w:bCs/>
        </w:rPr>
        <w:t>dle počtu dlouhodobě nezaměstnaných uchazečů evidovaných nad 6</w:t>
      </w:r>
      <w:r w:rsidR="000F684F">
        <w:rPr>
          <w:rFonts w:ascii="Arial" w:hAnsi="Arial" w:cs="Arial"/>
          <w:bCs/>
        </w:rPr>
        <w:t> </w:t>
      </w:r>
      <w:r w:rsidR="000F684F" w:rsidRPr="003744C2">
        <w:rPr>
          <w:rFonts w:ascii="Arial" w:hAnsi="Arial" w:cs="Arial"/>
          <w:bCs/>
        </w:rPr>
        <w:t>měsíců na ÚP</w:t>
      </w:r>
      <w:r w:rsidR="000F684F">
        <w:rPr>
          <w:rFonts w:ascii="Arial" w:hAnsi="Arial" w:cs="Arial"/>
          <w:bCs/>
        </w:rPr>
        <w:t> </w:t>
      </w:r>
      <w:r w:rsidR="000F684F" w:rsidRPr="003744C2">
        <w:rPr>
          <w:rFonts w:ascii="Arial" w:hAnsi="Arial" w:cs="Arial"/>
          <w:bCs/>
        </w:rPr>
        <w:t>ČR. Tito poradci budou edukačně působit na dlouhodobě nezaměstnané formou intenzivní individuální a skupinové práce s klienty ÚP ČR.</w:t>
      </w:r>
    </w:p>
    <w:p w:rsidR="00946C4E" w:rsidRPr="007077CE" w:rsidRDefault="00946C4E" w:rsidP="000F684F">
      <w:pPr>
        <w:tabs>
          <w:tab w:val="left" w:pos="567"/>
        </w:tabs>
        <w:spacing w:line="360" w:lineRule="auto"/>
        <w:jc w:val="both"/>
        <w:rPr>
          <w:rFonts w:ascii="Arial" w:hAnsi="Arial"/>
          <w:spacing w:val="-1"/>
        </w:rPr>
      </w:pPr>
    </w:p>
    <w:p w:rsidR="000F684F" w:rsidRPr="007077CE" w:rsidRDefault="000F684F" w:rsidP="000F684F">
      <w:pPr>
        <w:numPr>
          <w:ilvl w:val="0"/>
          <w:numId w:val="14"/>
        </w:numPr>
        <w:spacing w:line="360" w:lineRule="auto"/>
        <w:jc w:val="both"/>
        <w:rPr>
          <w:rFonts w:ascii="Arial" w:hAnsi="Arial" w:cs="Arial"/>
          <w:b/>
        </w:rPr>
      </w:pPr>
      <w:r w:rsidRPr="007077CE">
        <w:rPr>
          <w:rFonts w:ascii="Arial" w:hAnsi="Arial" w:cs="Arial"/>
          <w:b/>
        </w:rPr>
        <w:t>Prioritní osa 3 OP LZZ – Sociální integrace a rovné příležitosti</w:t>
      </w:r>
    </w:p>
    <w:p w:rsidR="000F684F" w:rsidRPr="007077CE" w:rsidRDefault="000F684F" w:rsidP="000F684F">
      <w:pPr>
        <w:spacing w:line="360" w:lineRule="auto"/>
        <w:jc w:val="both"/>
        <w:rPr>
          <w:sz w:val="16"/>
          <w:szCs w:val="16"/>
        </w:rPr>
      </w:pPr>
    </w:p>
    <w:p w:rsidR="000F684F" w:rsidRDefault="000F684F" w:rsidP="000F684F">
      <w:pPr>
        <w:tabs>
          <w:tab w:val="left" w:pos="540"/>
        </w:tabs>
        <w:spacing w:line="360" w:lineRule="auto"/>
        <w:jc w:val="both"/>
        <w:rPr>
          <w:rFonts w:ascii="Arial" w:hAnsi="Arial"/>
        </w:rPr>
      </w:pPr>
      <w:r w:rsidRPr="007077CE">
        <w:rPr>
          <w:rFonts w:ascii="Arial" w:hAnsi="Arial"/>
        </w:rPr>
        <w:tab/>
        <w:t xml:space="preserve">V </w:t>
      </w:r>
      <w:r w:rsidRPr="007077CE">
        <w:rPr>
          <w:rFonts w:ascii="Arial" w:hAnsi="Arial"/>
          <w:b/>
        </w:rPr>
        <w:t>oblasti podpory 3.3 Integrace sociálně vyloučených skupin na trhu práce</w:t>
      </w:r>
      <w:r w:rsidRPr="007077CE">
        <w:rPr>
          <w:rFonts w:ascii="Arial" w:hAnsi="Arial"/>
        </w:rPr>
        <w:t xml:space="preserve"> bylo vyhlášeno pět výzev na </w:t>
      </w:r>
      <w:r w:rsidRPr="007077CE">
        <w:rPr>
          <w:rFonts w:ascii="Arial" w:hAnsi="Arial"/>
          <w:b/>
        </w:rPr>
        <w:t>grantové projekty.</w:t>
      </w:r>
      <w:r w:rsidRPr="007077CE">
        <w:rPr>
          <w:rFonts w:ascii="Arial" w:hAnsi="Arial"/>
        </w:rPr>
        <w:t xml:space="preserve"> Projekty jsou převážně dvouleté a jsou zaměřeny na integraci sociálně vyloučených skupin na trhu práce.</w:t>
      </w:r>
    </w:p>
    <w:p w:rsidR="000F684F" w:rsidRPr="008F5723" w:rsidRDefault="000F684F" w:rsidP="000F684F">
      <w:pPr>
        <w:tabs>
          <w:tab w:val="left" w:pos="540"/>
        </w:tabs>
        <w:spacing w:line="360" w:lineRule="auto"/>
        <w:jc w:val="both"/>
        <w:rPr>
          <w:rFonts w:ascii="Arial" w:hAnsi="Arial"/>
        </w:rPr>
      </w:pPr>
      <w:r w:rsidRPr="00631819">
        <w:rPr>
          <w:rFonts w:ascii="Arial" w:hAnsi="Arial"/>
        </w:rPr>
        <w:tab/>
        <w:t xml:space="preserve">Nejčastějšími aktivitami v projektech jsou motivační kurzy, pracovní diagnostika, vzdělávací kurzy a rekvalifikace, poradenství, odborné praxe, místa na zkoušku, zprostředkování zaměstnání a tvorba pracovních míst, nejčastěji s čerpáním mzdových příspěvků. Realizovány jsou projekty regionálního i nadregionálního charakteru, v části projektů probíhá realizace ve spolupráci s partnerskými organizacemi. Nejčastějšími žadateli a příjemci v projektech oblasti podpory 3.3 jsou neziskové organizace (občanská sdružení, obecně prospěšné společnosti, církevní </w:t>
      </w:r>
      <w:r w:rsidRPr="00631819">
        <w:rPr>
          <w:rFonts w:ascii="Arial" w:hAnsi="Arial"/>
        </w:rPr>
        <w:lastRenderedPageBreak/>
        <w:t xml:space="preserve">organizace) a vzdělávací organizace, v menší míře pak školy a obce. </w:t>
      </w:r>
      <w:r w:rsidRPr="00386E5E">
        <w:rPr>
          <w:rFonts w:ascii="Arial" w:hAnsi="Arial"/>
        </w:rPr>
        <w:t>K 31. 7. 2013 bylo v realizaci celkem 244 projektů a u 113 projektů již skončila realizace.</w:t>
      </w:r>
    </w:p>
    <w:p w:rsidR="000F684F" w:rsidRPr="004365CC" w:rsidRDefault="000F684F" w:rsidP="000F684F">
      <w:pPr>
        <w:tabs>
          <w:tab w:val="left" w:pos="540"/>
        </w:tabs>
        <w:spacing w:line="360" w:lineRule="auto"/>
        <w:jc w:val="both"/>
        <w:rPr>
          <w:rFonts w:ascii="Arial" w:hAnsi="Arial"/>
        </w:rPr>
      </w:pPr>
      <w:r w:rsidRPr="00457B18">
        <w:rPr>
          <w:rFonts w:ascii="Arial" w:hAnsi="Arial"/>
          <w:color w:val="FF00FF"/>
        </w:rPr>
        <w:tab/>
      </w:r>
      <w:r w:rsidRPr="00007DB5">
        <w:rPr>
          <w:rFonts w:ascii="Arial" w:hAnsi="Arial"/>
        </w:rPr>
        <w:t>V rámci</w:t>
      </w:r>
      <w:r w:rsidRPr="00007DB5">
        <w:rPr>
          <w:rFonts w:ascii="Arial" w:hAnsi="Arial"/>
          <w:b/>
        </w:rPr>
        <w:t xml:space="preserve"> první</w:t>
      </w:r>
      <w:r w:rsidRPr="00007DB5">
        <w:rPr>
          <w:rFonts w:ascii="Arial" w:hAnsi="Arial"/>
        </w:rPr>
        <w:t xml:space="preserve"> termínované </w:t>
      </w:r>
      <w:r w:rsidRPr="00007DB5">
        <w:rPr>
          <w:rFonts w:ascii="Arial" w:hAnsi="Arial"/>
          <w:b/>
        </w:rPr>
        <w:t>výzvy</w:t>
      </w:r>
      <w:r w:rsidRPr="00007DB5">
        <w:rPr>
          <w:rFonts w:ascii="Arial" w:hAnsi="Arial"/>
        </w:rPr>
        <w:t xml:space="preserve"> vyhlášené v listopadu 2008 bylo </w:t>
      </w:r>
      <w:r w:rsidRPr="00007DB5">
        <w:rPr>
          <w:rFonts w:ascii="Arial" w:hAnsi="Arial"/>
          <w:b/>
        </w:rPr>
        <w:t>schváleno 61</w:t>
      </w:r>
      <w:r w:rsidRPr="00007DB5">
        <w:rPr>
          <w:rFonts w:ascii="Arial" w:hAnsi="Arial"/>
        </w:rPr>
        <w:t xml:space="preserve"> projektů v celkové výši 277 980,6 tis. </w:t>
      </w:r>
      <w:r w:rsidRPr="00C33DEA">
        <w:rPr>
          <w:rFonts w:ascii="Arial" w:hAnsi="Arial"/>
        </w:rPr>
        <w:t>Kč. Všech 61 projektů již ukončilo realizaci.</w:t>
      </w:r>
      <w:r w:rsidRPr="00E00EB1">
        <w:rPr>
          <w:rFonts w:ascii="Arial" w:hAnsi="Arial"/>
          <w:highlight w:val="yellow"/>
        </w:rPr>
        <w:t xml:space="preserve"> </w:t>
      </w:r>
      <w:r w:rsidRPr="00E00EB1">
        <w:rPr>
          <w:rFonts w:ascii="Arial" w:hAnsi="Arial"/>
        </w:rPr>
        <w:t>V této výzvě bylo podpořeno 6 814 osob a bylo vytvořeno 400 nových pracovních míst.</w:t>
      </w:r>
    </w:p>
    <w:p w:rsidR="000F684F" w:rsidRDefault="000F684F" w:rsidP="000F684F">
      <w:pPr>
        <w:spacing w:line="360" w:lineRule="auto"/>
        <w:ind w:firstLine="540"/>
        <w:jc w:val="both"/>
        <w:rPr>
          <w:rFonts w:ascii="Arial" w:hAnsi="Arial"/>
        </w:rPr>
      </w:pPr>
      <w:r w:rsidRPr="00D00814">
        <w:rPr>
          <w:rFonts w:ascii="Arial" w:hAnsi="Arial"/>
          <w:b/>
        </w:rPr>
        <w:t>Druhá</w:t>
      </w:r>
      <w:r w:rsidRPr="00D00814">
        <w:rPr>
          <w:rFonts w:ascii="Arial" w:hAnsi="Arial"/>
        </w:rPr>
        <w:t xml:space="preserve"> </w:t>
      </w:r>
      <w:r w:rsidRPr="00D00814">
        <w:rPr>
          <w:rFonts w:ascii="Arial" w:hAnsi="Arial"/>
          <w:b/>
        </w:rPr>
        <w:t>výzva</w:t>
      </w:r>
      <w:r w:rsidRPr="00D00814">
        <w:rPr>
          <w:rFonts w:ascii="Arial" w:hAnsi="Arial"/>
        </w:rPr>
        <w:t xml:space="preserve"> z prosince 2009 byla z pohledu cílových skupin a oprávněných aktivit koncipována velmi podobně jako výzva předcházející. V rámci ní bylo výběrovou komisí </w:t>
      </w:r>
      <w:r w:rsidRPr="00D00814">
        <w:rPr>
          <w:rFonts w:ascii="Arial" w:hAnsi="Arial"/>
          <w:b/>
        </w:rPr>
        <w:t>schváleno</w:t>
      </w:r>
      <w:r w:rsidRPr="00D00814">
        <w:rPr>
          <w:rFonts w:ascii="Arial" w:hAnsi="Arial"/>
        </w:rPr>
        <w:t xml:space="preserve"> k realizaci </w:t>
      </w:r>
      <w:r w:rsidRPr="00D00814">
        <w:rPr>
          <w:rFonts w:ascii="Arial" w:hAnsi="Arial"/>
          <w:b/>
        </w:rPr>
        <w:t>48 projektů</w:t>
      </w:r>
      <w:r w:rsidRPr="00D00814">
        <w:rPr>
          <w:rFonts w:ascii="Arial" w:hAnsi="Arial"/>
        </w:rPr>
        <w:t xml:space="preserve"> s plánovanými náklady </w:t>
      </w:r>
      <w:r w:rsidRPr="00D00814">
        <w:rPr>
          <w:rFonts w:ascii="Arial" w:hAnsi="Arial"/>
          <w:bCs/>
        </w:rPr>
        <w:t>218 403,3 tis. Kč</w:t>
      </w:r>
      <w:r>
        <w:rPr>
          <w:rFonts w:ascii="Arial" w:hAnsi="Arial"/>
        </w:rPr>
        <w:t xml:space="preserve">. </w:t>
      </w:r>
      <w:r w:rsidRPr="00B62F3B">
        <w:rPr>
          <w:rFonts w:ascii="Arial" w:hAnsi="Arial"/>
        </w:rPr>
        <w:t>Jeden z úspěšných žadatelů od realizace odstoupil z</w:t>
      </w:r>
      <w:r>
        <w:rPr>
          <w:rFonts w:ascii="Arial" w:hAnsi="Arial"/>
        </w:rPr>
        <w:t> </w:t>
      </w:r>
      <w:r w:rsidRPr="00B62F3B">
        <w:rPr>
          <w:rFonts w:ascii="Arial" w:hAnsi="Arial"/>
        </w:rPr>
        <w:t>organizačních důvodů ještě před podpisem právního aktu, realizováno tedy bylo celkem 47. V průběhu první poloviny roku 2013 skončila realizace u zbývajících 9</w:t>
      </w:r>
      <w:r>
        <w:rPr>
          <w:rFonts w:ascii="Arial" w:hAnsi="Arial"/>
        </w:rPr>
        <w:t> </w:t>
      </w:r>
      <w:r w:rsidRPr="00B62F3B">
        <w:rPr>
          <w:rFonts w:ascii="Arial" w:hAnsi="Arial"/>
        </w:rPr>
        <w:t>projektů. V této výzvě bylo podpořeno 2</w:t>
      </w:r>
      <w:r>
        <w:rPr>
          <w:rFonts w:ascii="Arial" w:hAnsi="Arial"/>
        </w:rPr>
        <w:t> </w:t>
      </w:r>
      <w:r w:rsidRPr="00B62F3B">
        <w:rPr>
          <w:rFonts w:ascii="Arial" w:hAnsi="Arial"/>
        </w:rPr>
        <w:t>966 osob a bylo vytvořeno 439 nových pracovních míst.</w:t>
      </w:r>
    </w:p>
    <w:p w:rsidR="000F684F" w:rsidRDefault="000F684F" w:rsidP="000F684F">
      <w:pPr>
        <w:spacing w:line="360" w:lineRule="auto"/>
        <w:ind w:firstLine="540"/>
        <w:jc w:val="both"/>
        <w:rPr>
          <w:rFonts w:ascii="Arial" w:hAnsi="Arial"/>
        </w:rPr>
      </w:pPr>
      <w:r w:rsidRPr="00D551C9">
        <w:rPr>
          <w:rFonts w:ascii="Arial" w:hAnsi="Arial"/>
          <w:b/>
        </w:rPr>
        <w:t>Třetí</w:t>
      </w:r>
      <w:r w:rsidRPr="00D551C9">
        <w:rPr>
          <w:rFonts w:ascii="Arial" w:hAnsi="Arial"/>
        </w:rPr>
        <w:t xml:space="preserve"> </w:t>
      </w:r>
      <w:r w:rsidRPr="00D551C9">
        <w:rPr>
          <w:rFonts w:ascii="Arial" w:hAnsi="Arial"/>
          <w:b/>
        </w:rPr>
        <w:t>výzva</w:t>
      </w:r>
      <w:r w:rsidRPr="00D551C9">
        <w:rPr>
          <w:rFonts w:ascii="Arial" w:hAnsi="Arial"/>
        </w:rPr>
        <w:t xml:space="preserve"> z června 2010 byla rozšířena o možnost, kdy jeden žadatel směl předložit maximálně dva různě zaměřené projekty (v předchozích výzvách to mohl být pouze jeden projekt). Výběrová komise v této výzvě schválila k realizaci </w:t>
      </w:r>
      <w:r w:rsidRPr="00D551C9">
        <w:rPr>
          <w:rFonts w:ascii="Arial" w:hAnsi="Arial"/>
          <w:b/>
        </w:rPr>
        <w:t>60 </w:t>
      </w:r>
      <w:r w:rsidRPr="00D551C9">
        <w:rPr>
          <w:rFonts w:ascii="Arial" w:hAnsi="Arial"/>
        </w:rPr>
        <w:t xml:space="preserve">projektů. Před uzavřením právního aktu dva projekty odstoupily od realizace z organizačních důvodů, do realizace vstoupil jeden projekt ze zásobníku. Většina projektů z </w:t>
      </w:r>
      <w:r w:rsidRPr="00D551C9">
        <w:rPr>
          <w:rFonts w:ascii="Arial" w:hAnsi="Arial"/>
          <w:b/>
        </w:rPr>
        <w:t>59 </w:t>
      </w:r>
      <w:r w:rsidRPr="00D551C9">
        <w:rPr>
          <w:rFonts w:ascii="Arial" w:hAnsi="Arial"/>
        </w:rPr>
        <w:t xml:space="preserve">projektů s plánovanými náklady za 291 554,6 tis. Kč vstoupila do realizace v průběhu druhé poloviny roku </w:t>
      </w:r>
      <w:r w:rsidRPr="00893D3D">
        <w:rPr>
          <w:rFonts w:ascii="Arial" w:hAnsi="Arial"/>
        </w:rPr>
        <w:t xml:space="preserve">2011. Jeden projekt předčasně ukončil realizaci. Obsahové zaměření projektů je obdobné jako u předchozích dvou výzev. Během </w:t>
      </w:r>
      <w:r>
        <w:rPr>
          <w:rFonts w:ascii="Arial" w:hAnsi="Arial"/>
        </w:rPr>
        <w:t>1. </w:t>
      </w:r>
      <w:r w:rsidRPr="00893D3D">
        <w:rPr>
          <w:rFonts w:ascii="Arial" w:hAnsi="Arial"/>
        </w:rPr>
        <w:t>pololetí roku 2013 bylo 57 projektů v druhé části své realizace.</w:t>
      </w:r>
    </w:p>
    <w:p w:rsidR="000F684F" w:rsidRDefault="000F684F" w:rsidP="000F684F">
      <w:pPr>
        <w:spacing w:line="360" w:lineRule="auto"/>
        <w:ind w:firstLine="540"/>
        <w:jc w:val="both"/>
        <w:rPr>
          <w:rFonts w:ascii="Arial" w:hAnsi="Arial"/>
        </w:rPr>
      </w:pPr>
      <w:r w:rsidRPr="00EA7BAA">
        <w:rPr>
          <w:rFonts w:ascii="Arial" w:hAnsi="Arial"/>
        </w:rPr>
        <w:t xml:space="preserve"> </w:t>
      </w:r>
      <w:r w:rsidRPr="00CA7EA0">
        <w:rPr>
          <w:rFonts w:ascii="Arial" w:hAnsi="Arial"/>
        </w:rPr>
        <w:t xml:space="preserve">V rámci další </w:t>
      </w:r>
      <w:r w:rsidRPr="00CA7EA0">
        <w:rPr>
          <w:rFonts w:ascii="Arial" w:hAnsi="Arial"/>
          <w:b/>
        </w:rPr>
        <w:t>čtvrté</w:t>
      </w:r>
      <w:r w:rsidRPr="00CA7EA0">
        <w:rPr>
          <w:rFonts w:ascii="Arial" w:hAnsi="Arial"/>
        </w:rPr>
        <w:t xml:space="preserve"> </w:t>
      </w:r>
      <w:r w:rsidRPr="00CA7EA0">
        <w:rPr>
          <w:rFonts w:ascii="Arial" w:hAnsi="Arial"/>
          <w:b/>
        </w:rPr>
        <w:t xml:space="preserve">výzvy </w:t>
      </w:r>
      <w:r w:rsidRPr="00CA7EA0">
        <w:rPr>
          <w:rFonts w:ascii="Arial" w:hAnsi="Arial"/>
        </w:rPr>
        <w:t xml:space="preserve">z roku 2011, bylo schváleno k realizaci </w:t>
      </w:r>
      <w:r w:rsidRPr="00CA7EA0">
        <w:rPr>
          <w:rFonts w:ascii="Arial" w:hAnsi="Arial"/>
          <w:b/>
        </w:rPr>
        <w:t xml:space="preserve">80 </w:t>
      </w:r>
      <w:r w:rsidRPr="00CA7EA0">
        <w:rPr>
          <w:rFonts w:ascii="Arial" w:hAnsi="Arial"/>
        </w:rPr>
        <w:t>projektů s náklady za  394 304,2 tis. Kč</w:t>
      </w:r>
      <w:r w:rsidRPr="00CA7EA0">
        <w:rPr>
          <w:rFonts w:ascii="Arial" w:hAnsi="Arial" w:cs="Arial"/>
        </w:rPr>
        <w:t xml:space="preserve">. </w:t>
      </w:r>
      <w:r w:rsidRPr="00CA7EA0">
        <w:rPr>
          <w:rFonts w:ascii="Arial" w:hAnsi="Arial"/>
        </w:rPr>
        <w:t xml:space="preserve">Zaměření výzvy se zásadním způsobem neliší od výzev předcházejících, v některých dílčích aspektech byla výzva upravena v návaznosti na výstupy </w:t>
      </w:r>
      <w:proofErr w:type="spellStart"/>
      <w:r w:rsidRPr="00CA7EA0">
        <w:rPr>
          <w:rFonts w:ascii="Arial" w:hAnsi="Arial"/>
        </w:rPr>
        <w:t>fokusní</w:t>
      </w:r>
      <w:proofErr w:type="spellEnd"/>
      <w:r w:rsidRPr="00CA7EA0">
        <w:rPr>
          <w:rFonts w:ascii="Arial" w:hAnsi="Arial"/>
        </w:rPr>
        <w:t xml:space="preserve"> skupiny a na základě požadavků Řídicího orgánu OP LZZ byla zdůrazněna tvorba nových pracovních míst jako jedné z podporovaných aktivit. </w:t>
      </w:r>
      <w:r w:rsidRPr="003628B4">
        <w:rPr>
          <w:rFonts w:ascii="Arial" w:hAnsi="Arial"/>
        </w:rPr>
        <w:t xml:space="preserve">Před podpisem právního aktu od realizace odstoupily tři projekty, které byly nahrazeny třemi projekty ze zásobníku. V průběhu </w:t>
      </w:r>
      <w:r>
        <w:rPr>
          <w:rFonts w:ascii="Arial" w:hAnsi="Arial"/>
        </w:rPr>
        <w:t>1. </w:t>
      </w:r>
      <w:r w:rsidRPr="003628B4">
        <w:rPr>
          <w:rFonts w:ascii="Arial" w:hAnsi="Arial"/>
        </w:rPr>
        <w:t>pololetí roku 2013 bylo všech 80 projektů přibližně v půli své realizace.</w:t>
      </w:r>
    </w:p>
    <w:p w:rsidR="000F684F" w:rsidRPr="00FD49D3" w:rsidRDefault="000F684F" w:rsidP="000F684F">
      <w:pPr>
        <w:tabs>
          <w:tab w:val="left" w:pos="540"/>
        </w:tabs>
        <w:spacing w:line="360" w:lineRule="auto"/>
        <w:jc w:val="both"/>
        <w:rPr>
          <w:rFonts w:ascii="Arial" w:hAnsi="Arial"/>
        </w:rPr>
      </w:pPr>
      <w:r w:rsidRPr="00457B18">
        <w:rPr>
          <w:rFonts w:ascii="Arial" w:hAnsi="Arial"/>
          <w:color w:val="FF00FF"/>
        </w:rPr>
        <w:tab/>
      </w:r>
      <w:r w:rsidRPr="00E942D7">
        <w:rPr>
          <w:rFonts w:ascii="Arial" w:hAnsi="Arial"/>
        </w:rPr>
        <w:t xml:space="preserve">Poslední </w:t>
      </w:r>
      <w:r w:rsidRPr="00E942D7">
        <w:rPr>
          <w:rFonts w:ascii="Arial" w:hAnsi="Arial"/>
          <w:b/>
        </w:rPr>
        <w:t>pátá výzva</w:t>
      </w:r>
      <w:r w:rsidRPr="00E942D7">
        <w:rPr>
          <w:rFonts w:ascii="Arial" w:hAnsi="Arial"/>
        </w:rPr>
        <w:t xml:space="preserve"> byla vyhlášena v roce 2012. Alokace prostředků na tuto výzvu činila v době jejího vyhlášení 335 597 tis. </w:t>
      </w:r>
      <w:r w:rsidRPr="00E942D7">
        <w:rPr>
          <w:rFonts w:ascii="Arial" w:hAnsi="Arial" w:cs="Arial"/>
        </w:rPr>
        <w:t xml:space="preserve">Kč, tato částka však byla v listopadu 2012 navýšena na 557 000 tis. Kč. Obsahově je poslední výzva zaměřena velmi </w:t>
      </w:r>
      <w:r w:rsidRPr="00E942D7">
        <w:rPr>
          <w:rFonts w:ascii="Arial" w:hAnsi="Arial" w:cs="Arial"/>
        </w:rPr>
        <w:lastRenderedPageBreak/>
        <w:t xml:space="preserve">podobně jako předcházející výzvy, pouze na základě závěrů </w:t>
      </w:r>
      <w:proofErr w:type="spellStart"/>
      <w:r w:rsidRPr="00E942D7">
        <w:rPr>
          <w:rFonts w:ascii="Arial" w:hAnsi="Arial" w:cs="Arial"/>
        </w:rPr>
        <w:t>fokusní</w:t>
      </w:r>
      <w:proofErr w:type="spellEnd"/>
      <w:r w:rsidRPr="00E942D7">
        <w:rPr>
          <w:rFonts w:ascii="Arial" w:hAnsi="Arial" w:cs="Arial"/>
        </w:rPr>
        <w:t xml:space="preserve"> skupiny a</w:t>
      </w:r>
      <w:r>
        <w:rPr>
          <w:rFonts w:ascii="Arial" w:hAnsi="Arial" w:cs="Arial"/>
        </w:rPr>
        <w:t> </w:t>
      </w:r>
      <w:r w:rsidRPr="00E942D7">
        <w:rPr>
          <w:rFonts w:ascii="Arial" w:hAnsi="Arial" w:cs="Arial"/>
        </w:rPr>
        <w:t>výsledků hodnocení předchozích výzev</w:t>
      </w:r>
      <w:r w:rsidRPr="00E942D7">
        <w:rPr>
          <w:rFonts w:ascii="Arial" w:hAnsi="Arial"/>
        </w:rPr>
        <w:t xml:space="preserve"> byla doplněna o přesnější vymezení cílových skupin a popis podporovaných klíčových aktivit. K realizaci bylo výběrovou komisí schváleno 112 projektů, 111 projektů zahájilo realizaci, a to převážně v</w:t>
      </w:r>
      <w:r>
        <w:rPr>
          <w:rFonts w:ascii="Arial" w:hAnsi="Arial"/>
        </w:rPr>
        <w:t> </w:t>
      </w:r>
      <w:r w:rsidRPr="00E942D7">
        <w:rPr>
          <w:rFonts w:ascii="Arial" w:hAnsi="Arial"/>
        </w:rPr>
        <w:t>březnu a dubnu 2013.</w:t>
      </w:r>
      <w:r w:rsidRPr="00FD49D3">
        <w:rPr>
          <w:rFonts w:ascii="Arial" w:hAnsi="Arial"/>
        </w:rPr>
        <w:t xml:space="preserve"> </w:t>
      </w:r>
    </w:p>
    <w:p w:rsidR="000F684F" w:rsidRPr="0085166A" w:rsidRDefault="000F684F" w:rsidP="000F684F">
      <w:pPr>
        <w:tabs>
          <w:tab w:val="left" w:pos="540"/>
        </w:tabs>
        <w:spacing w:line="360" w:lineRule="auto"/>
        <w:jc w:val="both"/>
        <w:rPr>
          <w:rFonts w:ascii="Arial" w:hAnsi="Arial"/>
        </w:rPr>
      </w:pPr>
      <w:r w:rsidRPr="00457B18">
        <w:rPr>
          <w:rFonts w:ascii="Arial" w:hAnsi="Arial"/>
          <w:color w:val="FF00FF"/>
        </w:rPr>
        <w:tab/>
        <w:t xml:space="preserve"> </w:t>
      </w:r>
      <w:r w:rsidRPr="0085166A">
        <w:rPr>
          <w:rFonts w:ascii="Arial" w:hAnsi="Arial"/>
        </w:rPr>
        <w:t xml:space="preserve">V rámci oblasti podpory 3.3 byla v roce 2010 rovněž vyhlášena výzva č. 61 s alokací ve výši 100 000 tis. Kč pro příjemce – Ministerstvo obrany, Ministerstvo vnitra a Probační a mediační službu. Celkem jsou v realizaci 3 individuální projekty: </w:t>
      </w:r>
    </w:p>
    <w:p w:rsidR="000F684F" w:rsidRPr="0085166A" w:rsidRDefault="000F684F" w:rsidP="000F684F">
      <w:pPr>
        <w:numPr>
          <w:ilvl w:val="0"/>
          <w:numId w:val="14"/>
        </w:numPr>
        <w:spacing w:line="360" w:lineRule="auto"/>
        <w:ind w:left="357" w:hanging="357"/>
        <w:jc w:val="both"/>
        <w:rPr>
          <w:rFonts w:ascii="Arial" w:hAnsi="Arial"/>
        </w:rPr>
      </w:pPr>
      <w:r w:rsidRPr="0085166A">
        <w:rPr>
          <w:rFonts w:ascii="Arial" w:hAnsi="Arial"/>
        </w:rPr>
        <w:t xml:space="preserve">Projekt Začleňování válečných veteránů do civilního života s důrazem na uplatnění na trhu práce (MO) </w:t>
      </w:r>
    </w:p>
    <w:p w:rsidR="000F684F" w:rsidRPr="0085166A" w:rsidRDefault="000F684F" w:rsidP="000F684F">
      <w:pPr>
        <w:numPr>
          <w:ilvl w:val="0"/>
          <w:numId w:val="14"/>
        </w:numPr>
        <w:spacing w:line="360" w:lineRule="auto"/>
        <w:ind w:left="357" w:hanging="357"/>
        <w:jc w:val="both"/>
        <w:rPr>
          <w:rFonts w:ascii="Arial" w:hAnsi="Arial"/>
        </w:rPr>
      </w:pPr>
      <w:r w:rsidRPr="0085166A">
        <w:rPr>
          <w:rFonts w:ascii="Arial" w:hAnsi="Arial"/>
        </w:rPr>
        <w:t xml:space="preserve">Projekt Per </w:t>
      </w:r>
      <w:proofErr w:type="spellStart"/>
      <w:r w:rsidRPr="0085166A">
        <w:rPr>
          <w:rFonts w:ascii="Arial" w:hAnsi="Arial"/>
        </w:rPr>
        <w:t>Aspera</w:t>
      </w:r>
      <w:proofErr w:type="spellEnd"/>
      <w:r w:rsidRPr="0085166A">
        <w:rPr>
          <w:rFonts w:ascii="Arial" w:hAnsi="Arial"/>
        </w:rPr>
        <w:t xml:space="preserve"> (PMS) – projekt je zaměřen na podporu zaměstnávání OZP ve struktuře v Probační a mediační služby</w:t>
      </w:r>
    </w:p>
    <w:p w:rsidR="000F684F" w:rsidRPr="0085166A" w:rsidRDefault="000F684F" w:rsidP="000F684F">
      <w:pPr>
        <w:numPr>
          <w:ilvl w:val="0"/>
          <w:numId w:val="14"/>
        </w:numPr>
        <w:spacing w:line="360" w:lineRule="auto"/>
        <w:ind w:left="357" w:hanging="357"/>
        <w:jc w:val="both"/>
        <w:rPr>
          <w:rFonts w:ascii="Arial" w:hAnsi="Arial"/>
        </w:rPr>
      </w:pPr>
      <w:r w:rsidRPr="0085166A">
        <w:rPr>
          <w:rFonts w:ascii="Arial" w:hAnsi="Arial"/>
        </w:rPr>
        <w:t>Projekt Asistent prevence kriminality (MV).</w:t>
      </w:r>
    </w:p>
    <w:p w:rsidR="000F684F" w:rsidRPr="001C148B" w:rsidRDefault="000F684F" w:rsidP="000F684F">
      <w:pPr>
        <w:spacing w:line="360" w:lineRule="auto"/>
        <w:jc w:val="both"/>
        <w:rPr>
          <w:rFonts w:ascii="Arial" w:hAnsi="Arial" w:cs="Arial"/>
          <w:highlight w:val="yellow"/>
        </w:rPr>
      </w:pPr>
    </w:p>
    <w:p w:rsidR="000F684F" w:rsidRDefault="000F684F" w:rsidP="000F684F">
      <w:pPr>
        <w:spacing w:line="360" w:lineRule="auto"/>
        <w:ind w:firstLine="567"/>
        <w:jc w:val="both"/>
        <w:rPr>
          <w:rFonts w:ascii="Arial" w:hAnsi="Arial" w:cs="Arial"/>
        </w:rPr>
      </w:pPr>
      <w:r w:rsidRPr="001C148B">
        <w:rPr>
          <w:rFonts w:ascii="Arial" w:hAnsi="Arial" w:cs="Arial"/>
        </w:rPr>
        <w:t xml:space="preserve">Realizace projektu </w:t>
      </w:r>
      <w:r w:rsidRPr="001C148B">
        <w:rPr>
          <w:rFonts w:ascii="Arial" w:hAnsi="Arial" w:cs="Arial"/>
          <w:b/>
        </w:rPr>
        <w:t>„</w:t>
      </w:r>
      <w:r w:rsidRPr="001C148B">
        <w:rPr>
          <w:rFonts w:ascii="Arial" w:hAnsi="Arial" w:cs="Arial"/>
          <w:b/>
          <w:bCs/>
        </w:rPr>
        <w:t>Asistent prevence kriminality“</w:t>
      </w:r>
      <w:r w:rsidRPr="001C148B">
        <w:rPr>
          <w:rFonts w:ascii="Arial" w:hAnsi="Arial" w:cs="Arial"/>
          <w:bCs/>
        </w:rPr>
        <w:t xml:space="preserve"> </w:t>
      </w:r>
      <w:r w:rsidRPr="001C148B">
        <w:rPr>
          <w:rFonts w:ascii="Arial" w:hAnsi="Arial" w:cs="Arial"/>
        </w:rPr>
        <w:t xml:space="preserve">probíhá dle plánu a očekáváme bezproblémové dosažení jeho cílů ve stanoveném časovém harmonogramu. Realizace projektu </w:t>
      </w:r>
      <w:r w:rsidRPr="001C148B">
        <w:rPr>
          <w:rFonts w:ascii="Arial" w:hAnsi="Arial" w:cs="Arial"/>
          <w:b/>
        </w:rPr>
        <w:t>„</w:t>
      </w:r>
      <w:r w:rsidRPr="001C148B">
        <w:rPr>
          <w:rFonts w:ascii="Arial" w:hAnsi="Arial" w:cs="Arial"/>
          <w:b/>
          <w:bCs/>
        </w:rPr>
        <w:t>Začleňování válečných veteránů do civilního života s důrazem na uplatnění na trhu práce“</w:t>
      </w:r>
      <w:r w:rsidRPr="001C148B">
        <w:rPr>
          <w:rFonts w:ascii="Arial" w:hAnsi="Arial" w:cs="Arial"/>
          <w:bCs/>
        </w:rPr>
        <w:t xml:space="preserve"> </w:t>
      </w:r>
      <w:r w:rsidRPr="001C148B">
        <w:rPr>
          <w:rFonts w:ascii="Arial" w:hAnsi="Arial" w:cs="Arial"/>
        </w:rPr>
        <w:t>probíhá dle harmonogramu, ale z informací uvedených v</w:t>
      </w:r>
      <w:r>
        <w:rPr>
          <w:rFonts w:ascii="Arial" w:hAnsi="Arial" w:cs="Arial"/>
        </w:rPr>
        <w:t> monitorovací zprávě (</w:t>
      </w:r>
      <w:r w:rsidRPr="001C148B">
        <w:rPr>
          <w:rFonts w:ascii="Arial" w:hAnsi="Arial" w:cs="Arial"/>
        </w:rPr>
        <w:t>MZ</w:t>
      </w:r>
      <w:r>
        <w:rPr>
          <w:rFonts w:ascii="Arial" w:hAnsi="Arial" w:cs="Arial"/>
        </w:rPr>
        <w:t>)</w:t>
      </w:r>
      <w:r w:rsidRPr="001C148B">
        <w:rPr>
          <w:rFonts w:ascii="Arial" w:hAnsi="Arial" w:cs="Arial"/>
        </w:rPr>
        <w:t xml:space="preserve"> za období </w:t>
      </w:r>
      <w:r w:rsidR="00D80C49">
        <w:rPr>
          <w:rFonts w:ascii="Arial" w:hAnsi="Arial" w:cs="Arial"/>
        </w:rPr>
        <w:t xml:space="preserve">                    </w:t>
      </w:r>
      <w:r w:rsidRPr="001C148B">
        <w:rPr>
          <w:rFonts w:ascii="Arial" w:hAnsi="Arial" w:cs="Arial"/>
        </w:rPr>
        <w:t>1.</w:t>
      </w:r>
      <w:r>
        <w:rPr>
          <w:rFonts w:ascii="Arial" w:hAnsi="Arial" w:cs="Arial"/>
        </w:rPr>
        <w:t> </w:t>
      </w:r>
      <w:r w:rsidRPr="001C148B">
        <w:rPr>
          <w:rFonts w:ascii="Arial" w:hAnsi="Arial" w:cs="Arial"/>
        </w:rPr>
        <w:t>1.</w:t>
      </w:r>
      <w:r>
        <w:rPr>
          <w:rFonts w:ascii="Arial" w:hAnsi="Arial" w:cs="Arial"/>
        </w:rPr>
        <w:t> </w:t>
      </w:r>
      <w:r w:rsidR="00D80C49">
        <w:rPr>
          <w:rFonts w:ascii="Arial" w:hAnsi="Arial" w:cs="Arial"/>
        </w:rPr>
        <w:t>2013 </w:t>
      </w:r>
      <w:r w:rsidRPr="001C148B">
        <w:rPr>
          <w:rFonts w:ascii="Arial" w:hAnsi="Arial" w:cs="Arial"/>
        </w:rPr>
        <w:t>–</w:t>
      </w:r>
      <w:r w:rsidR="00D80C49">
        <w:rPr>
          <w:rFonts w:ascii="Arial" w:hAnsi="Arial" w:cs="Arial"/>
        </w:rPr>
        <w:t> </w:t>
      </w:r>
      <w:r w:rsidRPr="001C148B">
        <w:rPr>
          <w:rFonts w:ascii="Arial" w:hAnsi="Arial" w:cs="Arial"/>
        </w:rPr>
        <w:t>30.</w:t>
      </w:r>
      <w:r>
        <w:rPr>
          <w:rFonts w:ascii="Arial" w:hAnsi="Arial" w:cs="Arial"/>
        </w:rPr>
        <w:t> </w:t>
      </w:r>
      <w:r w:rsidRPr="001C148B">
        <w:rPr>
          <w:rFonts w:ascii="Arial" w:hAnsi="Arial" w:cs="Arial"/>
        </w:rPr>
        <w:t>6.</w:t>
      </w:r>
      <w:r>
        <w:rPr>
          <w:rFonts w:ascii="Arial" w:hAnsi="Arial" w:cs="Arial"/>
        </w:rPr>
        <w:t> </w:t>
      </w:r>
      <w:r w:rsidRPr="001C148B">
        <w:rPr>
          <w:rFonts w:ascii="Arial" w:hAnsi="Arial" w:cs="Arial"/>
        </w:rPr>
        <w:t xml:space="preserve">2013 je zřejmé, že příjemce začíná mít problémy s naplňováním </w:t>
      </w:r>
      <w:r>
        <w:rPr>
          <w:rFonts w:ascii="Arial" w:hAnsi="Arial" w:cs="Arial"/>
        </w:rPr>
        <w:t>monitorovacích indikátorů</w:t>
      </w:r>
      <w:r w:rsidRPr="001C148B">
        <w:rPr>
          <w:rFonts w:ascii="Arial" w:hAnsi="Arial" w:cs="Arial"/>
        </w:rPr>
        <w:t xml:space="preserve"> </w:t>
      </w:r>
      <w:r>
        <w:rPr>
          <w:rFonts w:ascii="Arial" w:hAnsi="Arial" w:cs="Arial"/>
        </w:rPr>
        <w:t xml:space="preserve">(MI) </w:t>
      </w:r>
      <w:r w:rsidRPr="001C148B">
        <w:rPr>
          <w:rFonts w:ascii="Arial" w:hAnsi="Arial" w:cs="Arial"/>
        </w:rPr>
        <w:t>a pravděpodobně bude nucen požádat o jejich snížení. Předložení žádosti o</w:t>
      </w:r>
      <w:r>
        <w:rPr>
          <w:rFonts w:ascii="Arial" w:hAnsi="Arial" w:cs="Arial"/>
        </w:rPr>
        <w:t> </w:t>
      </w:r>
      <w:r w:rsidRPr="001C148B">
        <w:rPr>
          <w:rFonts w:ascii="Arial" w:hAnsi="Arial" w:cs="Arial"/>
        </w:rPr>
        <w:t>podstatnou změnu očekáváme před konce</w:t>
      </w:r>
      <w:r>
        <w:rPr>
          <w:rFonts w:ascii="Arial" w:hAnsi="Arial" w:cs="Arial"/>
        </w:rPr>
        <w:t>m</w:t>
      </w:r>
      <w:r w:rsidRPr="001C148B">
        <w:rPr>
          <w:rFonts w:ascii="Arial" w:hAnsi="Arial" w:cs="Arial"/>
        </w:rPr>
        <w:t xml:space="preserve"> druhého pololetí 2013. Realizace projektu </w:t>
      </w:r>
      <w:r w:rsidRPr="001C148B">
        <w:rPr>
          <w:rFonts w:ascii="Arial" w:hAnsi="Arial" w:cs="Arial"/>
          <w:b/>
        </w:rPr>
        <w:t>„</w:t>
      </w:r>
      <w:r w:rsidRPr="001C148B">
        <w:rPr>
          <w:rFonts w:ascii="Arial" w:hAnsi="Arial" w:cs="Arial"/>
          <w:b/>
          <w:bCs/>
        </w:rPr>
        <w:t xml:space="preserve">Per </w:t>
      </w:r>
      <w:proofErr w:type="spellStart"/>
      <w:r w:rsidRPr="001C148B">
        <w:rPr>
          <w:rFonts w:ascii="Arial" w:hAnsi="Arial" w:cs="Arial"/>
          <w:b/>
          <w:bCs/>
        </w:rPr>
        <w:t>Aspera</w:t>
      </w:r>
      <w:proofErr w:type="spellEnd"/>
      <w:r w:rsidRPr="001C148B">
        <w:rPr>
          <w:rFonts w:ascii="Arial" w:hAnsi="Arial" w:cs="Arial"/>
          <w:b/>
          <w:bCs/>
        </w:rPr>
        <w:t>“</w:t>
      </w:r>
      <w:r w:rsidRPr="001C148B">
        <w:rPr>
          <w:rFonts w:ascii="Arial" w:hAnsi="Arial" w:cs="Arial"/>
          <w:bCs/>
        </w:rPr>
        <w:t xml:space="preserve"> </w:t>
      </w:r>
      <w:r w:rsidRPr="001C148B">
        <w:rPr>
          <w:rFonts w:ascii="Arial" w:hAnsi="Arial" w:cs="Arial"/>
        </w:rPr>
        <w:t>bylo nutné ukončit před naplněním jeho cílů v souvislosti se změnou zákona o zaměstnanosti a nemožností realizovat zaměstnávání zdravotně postižených přes agentury práce, s čímž projekt počítal. Projekt byl ukončen k termínu 22.</w:t>
      </w:r>
      <w:r>
        <w:rPr>
          <w:rFonts w:ascii="Arial" w:hAnsi="Arial" w:cs="Arial"/>
        </w:rPr>
        <w:t> </w:t>
      </w:r>
      <w:r w:rsidRPr="001C148B">
        <w:rPr>
          <w:rFonts w:ascii="Arial" w:hAnsi="Arial" w:cs="Arial"/>
        </w:rPr>
        <w:t>4.</w:t>
      </w:r>
      <w:r>
        <w:rPr>
          <w:rFonts w:ascii="Arial" w:hAnsi="Arial" w:cs="Arial"/>
        </w:rPr>
        <w:t> </w:t>
      </w:r>
      <w:r w:rsidRPr="001C148B">
        <w:rPr>
          <w:rFonts w:ascii="Arial" w:hAnsi="Arial" w:cs="Arial"/>
        </w:rPr>
        <w:t>2013 s tím, že náklady vynaložené příjemcem a</w:t>
      </w:r>
      <w:r>
        <w:rPr>
          <w:rFonts w:ascii="Arial" w:hAnsi="Arial" w:cs="Arial"/>
        </w:rPr>
        <w:t> </w:t>
      </w:r>
      <w:r w:rsidRPr="001C148B">
        <w:rPr>
          <w:rFonts w:ascii="Arial" w:hAnsi="Arial" w:cs="Arial"/>
        </w:rPr>
        <w:t>schválené v rámci předložených MZ budou posouzeny jako uznatelné, neboť v průběhu realizace bylo dosaženo alespoň částečných výsledků projektu. Navíc příjemce nemohl očekávat změnu zákona o zaměstnanosti a nemohl ji ani nijak ovlivnit. Závěrečná MZ bude schválena v průběhu druhého pololetí 2013 a ihned poté bude vydáno změnové rozhodnutí a projekt bude ukončen i formálně.</w:t>
      </w:r>
      <w:r>
        <w:rPr>
          <w:rFonts w:ascii="Arial" w:hAnsi="Arial" w:cs="Arial"/>
        </w:rPr>
        <w:t xml:space="preserve">  </w:t>
      </w:r>
    </w:p>
    <w:p w:rsidR="000F684F" w:rsidRPr="006859ED" w:rsidRDefault="000F684F" w:rsidP="000F684F">
      <w:pPr>
        <w:spacing w:line="360" w:lineRule="auto"/>
        <w:ind w:firstLine="567"/>
        <w:jc w:val="both"/>
        <w:rPr>
          <w:rFonts w:ascii="Arial" w:hAnsi="Arial" w:cs="Arial"/>
        </w:rPr>
      </w:pPr>
      <w:r w:rsidRPr="00E62356">
        <w:rPr>
          <w:rFonts w:ascii="Arial" w:hAnsi="Arial" w:cs="Arial"/>
        </w:rPr>
        <w:t xml:space="preserve">Dále je v realizaci individuální projekt MPSV </w:t>
      </w:r>
      <w:r w:rsidRPr="00342429">
        <w:rPr>
          <w:rFonts w:ascii="Arial" w:hAnsi="Arial" w:cs="Arial"/>
          <w:b/>
        </w:rPr>
        <w:t>„Podpora pracovního uplatnění starších osob v souvislosti s vyhlášením roku 2012 Evropským rokem aktivního stárnutí a mezigenerační solidarity“</w:t>
      </w:r>
      <w:r w:rsidRPr="00E62356">
        <w:rPr>
          <w:rFonts w:ascii="Arial" w:hAnsi="Arial" w:cs="Arial"/>
        </w:rPr>
        <w:t xml:space="preserve">, který byl předložen v rámci výzvy </w:t>
      </w:r>
      <w:r w:rsidRPr="00E62356">
        <w:rPr>
          <w:rFonts w:ascii="Arial" w:hAnsi="Arial" w:cs="Arial"/>
        </w:rPr>
        <w:lastRenderedPageBreak/>
        <w:t xml:space="preserve">vyhlášené dne 12. 10. 2011. </w:t>
      </w:r>
      <w:r w:rsidRPr="001704FD">
        <w:rPr>
          <w:rFonts w:ascii="Arial" w:hAnsi="Arial" w:cs="Arial"/>
        </w:rPr>
        <w:t>Jeho realizace byla zahájena 1. 6. 2012, ale v</w:t>
      </w:r>
      <w:r>
        <w:rPr>
          <w:rFonts w:ascii="Arial" w:hAnsi="Arial" w:cs="Arial"/>
        </w:rPr>
        <w:t> </w:t>
      </w:r>
      <w:r w:rsidRPr="001704FD">
        <w:rPr>
          <w:rFonts w:ascii="Arial" w:hAnsi="Arial" w:cs="Arial"/>
        </w:rPr>
        <w:t>jejím průběhu se vyskytlo několik problémů, které způsobily pozdější zahájení projektových aktivit, a na základě toho byla na žádost příjemce sloučena první dvě monitorovací období.</w:t>
      </w:r>
      <w:r>
        <w:rPr>
          <w:rFonts w:ascii="Arial" w:hAnsi="Arial" w:cs="Arial"/>
        </w:rPr>
        <w:t xml:space="preserve"> </w:t>
      </w:r>
      <w:r w:rsidRPr="008A49C6">
        <w:rPr>
          <w:rFonts w:ascii="Arial" w:hAnsi="Arial" w:cs="Arial"/>
        </w:rPr>
        <w:t>V prvním pololetí 2013 byla podstatnou změnou prodloužena realizace projektu o 6 měsíců do 30.</w:t>
      </w:r>
      <w:r>
        <w:rPr>
          <w:rFonts w:ascii="Arial" w:hAnsi="Arial" w:cs="Arial"/>
        </w:rPr>
        <w:t> </w:t>
      </w:r>
      <w:r w:rsidRPr="008A49C6">
        <w:rPr>
          <w:rFonts w:ascii="Arial" w:hAnsi="Arial" w:cs="Arial"/>
        </w:rPr>
        <w:t>11.</w:t>
      </w:r>
      <w:r>
        <w:rPr>
          <w:rFonts w:ascii="Arial" w:hAnsi="Arial" w:cs="Arial"/>
        </w:rPr>
        <w:t> </w:t>
      </w:r>
      <w:r w:rsidRPr="008A49C6">
        <w:rPr>
          <w:rFonts w:ascii="Arial" w:hAnsi="Arial" w:cs="Arial"/>
        </w:rPr>
        <w:t xml:space="preserve">2014 tak, aby bylo možné dosáhnout plánovaných </w:t>
      </w:r>
      <w:r w:rsidRPr="006859ED">
        <w:rPr>
          <w:rFonts w:ascii="Arial" w:hAnsi="Arial" w:cs="Arial"/>
        </w:rPr>
        <w:t>výsledků.</w:t>
      </w:r>
    </w:p>
    <w:p w:rsidR="000F684F" w:rsidRPr="006859ED" w:rsidRDefault="000F684F" w:rsidP="000F684F">
      <w:pPr>
        <w:spacing w:line="360" w:lineRule="auto"/>
        <w:ind w:firstLine="567"/>
        <w:jc w:val="both"/>
        <w:rPr>
          <w:rFonts w:ascii="Arial" w:hAnsi="Arial" w:cs="Arial"/>
        </w:rPr>
      </w:pPr>
      <w:r w:rsidRPr="006859ED">
        <w:rPr>
          <w:rFonts w:ascii="Arial" w:hAnsi="Arial" w:cs="Arial"/>
        </w:rPr>
        <w:t xml:space="preserve">V rámci výzvy vyhlášené dne 30. 3. 2012 byl předložen projekt </w:t>
      </w:r>
      <w:r w:rsidRPr="006859ED">
        <w:rPr>
          <w:rFonts w:ascii="Arial" w:hAnsi="Arial" w:cs="Arial"/>
          <w:b/>
        </w:rPr>
        <w:t>„Reintegrace“</w:t>
      </w:r>
      <w:r w:rsidRPr="006859ED">
        <w:rPr>
          <w:rFonts w:ascii="Arial" w:hAnsi="Arial" w:cs="Arial"/>
        </w:rPr>
        <w:t xml:space="preserve">, jehož příjemcem je Vězeňská služba ČR. Jeho realizace měla být po změně harmonogramu zahájena 1. 3. 2013. Příjemce však neakceptoval Podmínky použití prostředků z OP LZZ a vlastní realizaci projektu nezahájil. Ve 2. pololetí 2013 bude na žádost příjemce předčasně ukončena realizace projektu. </w:t>
      </w:r>
    </w:p>
    <w:p w:rsidR="000F684F" w:rsidRDefault="000F684F" w:rsidP="00A60F1F">
      <w:pPr>
        <w:spacing w:line="360" w:lineRule="auto"/>
        <w:ind w:firstLine="567"/>
        <w:jc w:val="both"/>
        <w:rPr>
          <w:rFonts w:ascii="Arial" w:hAnsi="Arial" w:cs="Arial"/>
          <w:highlight w:val="yellow"/>
        </w:rPr>
      </w:pPr>
    </w:p>
    <w:p w:rsidR="000E1CB4" w:rsidRPr="001B48C2" w:rsidRDefault="00ED4155" w:rsidP="004945EE">
      <w:pPr>
        <w:pStyle w:val="Nadpis1"/>
      </w:pPr>
      <w:bookmarkStart w:id="166" w:name="_Toc274310706"/>
      <w:bookmarkEnd w:id="165"/>
      <w:r>
        <w:br w:type="column"/>
      </w:r>
      <w:bookmarkStart w:id="167" w:name="_Toc372530201"/>
      <w:r w:rsidR="00DF036C" w:rsidRPr="001B48C2">
        <w:lastRenderedPageBreak/>
        <w:t>Mezinárodní srovnání zaměstnanosti a nezaměstnanosti</w:t>
      </w:r>
      <w:bookmarkEnd w:id="166"/>
      <w:bookmarkEnd w:id="167"/>
    </w:p>
    <w:p w:rsidR="000E1CB4" w:rsidRPr="004246D1" w:rsidRDefault="000E1CB4" w:rsidP="000E1CB4"/>
    <w:p w:rsidR="00C2357B" w:rsidRPr="004246D1" w:rsidRDefault="00C2357B" w:rsidP="00C2357B">
      <w:bookmarkStart w:id="168" w:name="_Toc226958966"/>
      <w:bookmarkStart w:id="169" w:name="_Toc258997905"/>
      <w:bookmarkEnd w:id="155"/>
      <w:bookmarkEnd w:id="156"/>
      <w:bookmarkEnd w:id="157"/>
      <w:bookmarkEnd w:id="158"/>
      <w:bookmarkEnd w:id="159"/>
    </w:p>
    <w:p w:rsidR="001B48C2" w:rsidRPr="000931CD" w:rsidRDefault="001B48C2" w:rsidP="001B48C2">
      <w:pPr>
        <w:widowControl w:val="0"/>
        <w:autoSpaceDE w:val="0"/>
        <w:autoSpaceDN w:val="0"/>
        <w:adjustRightInd w:val="0"/>
        <w:spacing w:line="360" w:lineRule="auto"/>
        <w:ind w:firstLine="567"/>
        <w:jc w:val="both"/>
        <w:rPr>
          <w:rFonts w:ascii="Arial" w:hAnsi="Arial" w:cs="Arial"/>
        </w:rPr>
      </w:pPr>
      <w:r w:rsidRPr="000931CD">
        <w:rPr>
          <w:rFonts w:ascii="Arial" w:hAnsi="Arial" w:cs="Arial"/>
        </w:rPr>
        <w:t xml:space="preserve">V této části jsou shrnuty poslední dostupné </w:t>
      </w:r>
      <w:r w:rsidRPr="000931CD">
        <w:rPr>
          <w:rFonts w:ascii="Arial" w:hAnsi="Arial" w:cs="Arial"/>
          <w:b/>
        </w:rPr>
        <w:t>vybrané ukazatele trhu práce</w:t>
      </w:r>
      <w:r w:rsidRPr="000931CD">
        <w:rPr>
          <w:rFonts w:ascii="Arial" w:hAnsi="Arial" w:cs="Arial"/>
        </w:rPr>
        <w:t xml:space="preserve"> podle </w:t>
      </w:r>
      <w:proofErr w:type="spellStart"/>
      <w:r w:rsidRPr="000931CD">
        <w:rPr>
          <w:rFonts w:ascii="Arial" w:hAnsi="Arial" w:cs="Arial"/>
        </w:rPr>
        <w:t>EUROSTATu</w:t>
      </w:r>
      <w:proofErr w:type="spellEnd"/>
      <w:r w:rsidRPr="000931CD">
        <w:rPr>
          <w:rFonts w:ascii="Arial" w:hAnsi="Arial" w:cs="Arial"/>
        </w:rPr>
        <w:t xml:space="preserve"> (Statistický úřad Evropského společenství)</w:t>
      </w:r>
      <w:r w:rsidRPr="000931CD">
        <w:rPr>
          <w:rStyle w:val="Znakapoznpodarou"/>
          <w:rFonts w:ascii="Arial" w:hAnsi="Arial" w:cs="Arial"/>
        </w:rPr>
        <w:footnoteReference w:id="8"/>
      </w:r>
      <w:r w:rsidRPr="000931CD">
        <w:rPr>
          <w:rFonts w:ascii="Arial" w:hAnsi="Arial" w:cs="Arial"/>
          <w:vertAlign w:val="superscript"/>
        </w:rPr>
        <w:t>)</w:t>
      </w:r>
      <w:r w:rsidRPr="000931CD">
        <w:rPr>
          <w:rFonts w:ascii="Arial" w:hAnsi="Arial" w:cs="Arial"/>
        </w:rPr>
        <w:t>. S ohledem na termín zpracování toho materiál</w:t>
      </w:r>
      <w:r>
        <w:rPr>
          <w:rFonts w:ascii="Arial" w:hAnsi="Arial" w:cs="Arial"/>
        </w:rPr>
        <w:t>u jsou použitá data aktuální k 1</w:t>
      </w:r>
      <w:r w:rsidRPr="000931CD">
        <w:rPr>
          <w:rFonts w:ascii="Arial" w:hAnsi="Arial" w:cs="Arial"/>
        </w:rPr>
        <w:t xml:space="preserve">0. </w:t>
      </w:r>
      <w:r>
        <w:rPr>
          <w:rFonts w:ascii="Arial" w:hAnsi="Arial" w:cs="Arial"/>
        </w:rPr>
        <w:t>říjnu</w:t>
      </w:r>
      <w:r w:rsidRPr="000931CD">
        <w:rPr>
          <w:rFonts w:ascii="Arial" w:hAnsi="Arial" w:cs="Arial"/>
        </w:rPr>
        <w:t xml:space="preserve"> 2013. </w:t>
      </w:r>
    </w:p>
    <w:p w:rsidR="001B48C2" w:rsidRDefault="001B48C2" w:rsidP="001B48C2">
      <w:pPr>
        <w:spacing w:line="360" w:lineRule="auto"/>
        <w:ind w:firstLine="567"/>
        <w:jc w:val="both"/>
        <w:rPr>
          <w:rFonts w:ascii="Arial" w:hAnsi="Arial" w:cs="Arial"/>
        </w:rPr>
      </w:pPr>
      <w:r w:rsidRPr="0011173C">
        <w:rPr>
          <w:rFonts w:ascii="Arial" w:hAnsi="Arial" w:cs="Arial"/>
        </w:rPr>
        <w:t xml:space="preserve">Zatímco v roce 2011 </w:t>
      </w:r>
      <w:r w:rsidRPr="0011173C">
        <w:rPr>
          <w:rFonts w:ascii="Arial" w:hAnsi="Arial" w:cs="Arial"/>
          <w:b/>
        </w:rPr>
        <w:t>zaměstnanost EU27</w:t>
      </w:r>
      <w:r w:rsidRPr="0011173C">
        <w:rPr>
          <w:rFonts w:ascii="Arial" w:hAnsi="Arial" w:cs="Arial"/>
        </w:rPr>
        <w:t xml:space="preserve"> meziročně vzrostla o 0,3 %, </w:t>
      </w:r>
      <w:r w:rsidRPr="0011173C">
        <w:rPr>
          <w:rFonts w:ascii="Arial" w:hAnsi="Arial" w:cs="Arial"/>
          <w:b/>
        </w:rPr>
        <w:t xml:space="preserve">v roce 2012 </w:t>
      </w:r>
      <w:r w:rsidRPr="0011173C">
        <w:rPr>
          <w:rFonts w:ascii="Arial" w:hAnsi="Arial" w:cs="Arial"/>
        </w:rPr>
        <w:t xml:space="preserve">byl zaznamenán </w:t>
      </w:r>
      <w:r w:rsidRPr="00FF39FF">
        <w:rPr>
          <w:rFonts w:ascii="Arial" w:hAnsi="Arial" w:cs="Arial"/>
          <w:b/>
        </w:rPr>
        <w:t>pokles o 0,5 %</w:t>
      </w:r>
      <w:r w:rsidRPr="00FF39FF">
        <w:rPr>
          <w:rFonts w:ascii="Arial" w:hAnsi="Arial" w:cs="Arial"/>
        </w:rPr>
        <w:t xml:space="preserve">. </w:t>
      </w:r>
      <w:r>
        <w:rPr>
          <w:rFonts w:ascii="Arial" w:hAnsi="Arial" w:cs="Arial"/>
        </w:rPr>
        <w:t>V </w:t>
      </w:r>
      <w:r w:rsidRPr="00FF39FF">
        <w:rPr>
          <w:rFonts w:ascii="Arial" w:hAnsi="Arial" w:cs="Arial"/>
          <w:b/>
        </w:rPr>
        <w:t>ČR</w:t>
      </w:r>
      <w:r>
        <w:rPr>
          <w:rFonts w:ascii="Arial" w:hAnsi="Arial" w:cs="Arial"/>
        </w:rPr>
        <w:t xml:space="preserve"> naopak zaměstnanost v roce 2012 </w:t>
      </w:r>
      <w:r w:rsidRPr="00FF39FF">
        <w:rPr>
          <w:rFonts w:ascii="Arial" w:hAnsi="Arial" w:cs="Arial"/>
          <w:b/>
        </w:rPr>
        <w:t>vzrostla o 0,4 %</w:t>
      </w:r>
      <w:r w:rsidRPr="00FF39FF">
        <w:rPr>
          <w:rFonts w:ascii="Arial" w:hAnsi="Arial" w:cs="Arial"/>
        </w:rPr>
        <w:t>.</w:t>
      </w:r>
      <w:r>
        <w:rPr>
          <w:rFonts w:ascii="Arial" w:hAnsi="Arial" w:cs="Arial"/>
        </w:rPr>
        <w:t xml:space="preserve"> Ve </w:t>
      </w:r>
      <w:r w:rsidRPr="007A6917">
        <w:rPr>
          <w:rFonts w:ascii="Arial" w:hAnsi="Arial" w:cs="Arial"/>
          <w:b/>
        </w:rPr>
        <w:t>2. čtvrtletí 2013</w:t>
      </w:r>
      <w:r>
        <w:rPr>
          <w:rFonts w:ascii="Arial" w:hAnsi="Arial" w:cs="Arial"/>
        </w:rPr>
        <w:t xml:space="preserve"> pokračoval v </w:t>
      </w:r>
      <w:r w:rsidRPr="007A6917">
        <w:rPr>
          <w:rFonts w:ascii="Arial" w:hAnsi="Arial" w:cs="Arial"/>
          <w:b/>
        </w:rPr>
        <w:t>EU27</w:t>
      </w:r>
      <w:r>
        <w:rPr>
          <w:rFonts w:ascii="Arial" w:hAnsi="Arial" w:cs="Arial"/>
        </w:rPr>
        <w:t xml:space="preserve"> </w:t>
      </w:r>
      <w:r w:rsidRPr="008E66D7">
        <w:rPr>
          <w:rFonts w:ascii="Arial" w:hAnsi="Arial" w:cs="Arial"/>
          <w:b/>
        </w:rPr>
        <w:t>pokles</w:t>
      </w:r>
      <w:r>
        <w:rPr>
          <w:rFonts w:ascii="Arial" w:hAnsi="Arial" w:cs="Arial"/>
        </w:rPr>
        <w:t xml:space="preserve"> zaměstnanosti (o 0,4 %), v </w:t>
      </w:r>
      <w:r w:rsidRPr="008E66D7">
        <w:rPr>
          <w:rFonts w:ascii="Arial" w:hAnsi="Arial" w:cs="Arial"/>
          <w:b/>
        </w:rPr>
        <w:t>ČR</w:t>
      </w:r>
      <w:r>
        <w:rPr>
          <w:rFonts w:ascii="Arial" w:hAnsi="Arial" w:cs="Arial"/>
        </w:rPr>
        <w:t xml:space="preserve"> pokračoval </w:t>
      </w:r>
      <w:r w:rsidRPr="008E66D7">
        <w:rPr>
          <w:rFonts w:ascii="Arial" w:hAnsi="Arial" w:cs="Arial"/>
          <w:b/>
        </w:rPr>
        <w:t>nárůst</w:t>
      </w:r>
      <w:r>
        <w:rPr>
          <w:rFonts w:ascii="Arial" w:hAnsi="Arial" w:cs="Arial"/>
        </w:rPr>
        <w:t xml:space="preserve"> zaměstnanosti (o 1,3 %). Nejvyšší nárůst zaměstnanosti ve 2. čtvrtletí 2013 byl zaznamenán na Maltě (3,6 %), v Estonsku a Lotyšsku (obě země shodně nárůst o 3,0 %). Naopak nejvyšší pokles zaměstnanosti byl patrný na Kypru (pokles o 6,1 %), v Řecku (pokles o 4,3 %) a Portugalsku (pokles o 4,0 %).</w:t>
      </w:r>
    </w:p>
    <w:p w:rsidR="001B48C2" w:rsidRPr="003D0AAE" w:rsidRDefault="001B48C2" w:rsidP="001B48C2">
      <w:pPr>
        <w:spacing w:line="360" w:lineRule="auto"/>
        <w:ind w:firstLine="567"/>
        <w:jc w:val="both"/>
        <w:rPr>
          <w:rFonts w:ascii="Arial" w:hAnsi="Arial" w:cs="Arial"/>
        </w:rPr>
      </w:pPr>
      <w:r w:rsidRPr="00A06278">
        <w:rPr>
          <w:rFonts w:ascii="Arial" w:hAnsi="Arial" w:cs="Arial"/>
          <w:color w:val="0070C0"/>
        </w:rPr>
        <w:tab/>
      </w:r>
      <w:r w:rsidRPr="000931CD">
        <w:rPr>
          <w:rFonts w:ascii="Arial" w:hAnsi="Arial" w:cs="Arial"/>
          <w:b/>
        </w:rPr>
        <w:t>Celková míra zaměstnanosti</w:t>
      </w:r>
      <w:r w:rsidRPr="000931CD">
        <w:rPr>
          <w:rFonts w:ascii="Arial" w:hAnsi="Arial" w:cs="Arial"/>
        </w:rPr>
        <w:t xml:space="preserve"> </w:t>
      </w:r>
      <w:r w:rsidRPr="00ED3B90">
        <w:rPr>
          <w:rFonts w:ascii="Arial" w:hAnsi="Arial" w:cs="Arial"/>
          <w:b/>
        </w:rPr>
        <w:t>(MZ)</w:t>
      </w:r>
      <w:r>
        <w:rPr>
          <w:rFonts w:ascii="Arial" w:hAnsi="Arial" w:cs="Arial"/>
        </w:rPr>
        <w:t xml:space="preserve"> </w:t>
      </w:r>
      <w:r w:rsidRPr="000931CD">
        <w:rPr>
          <w:rFonts w:ascii="Arial" w:hAnsi="Arial" w:cs="Arial"/>
        </w:rPr>
        <w:t>osob ve věku 20 – 64 let (MZ) v </w:t>
      </w:r>
      <w:r w:rsidRPr="00E93028">
        <w:rPr>
          <w:rFonts w:ascii="Arial" w:hAnsi="Arial" w:cs="Arial"/>
          <w:b/>
        </w:rPr>
        <w:t>EU 27</w:t>
      </w:r>
      <w:r w:rsidRPr="00E93028">
        <w:rPr>
          <w:rFonts w:ascii="Arial" w:hAnsi="Arial" w:cs="Arial"/>
        </w:rPr>
        <w:t xml:space="preserve"> </w:t>
      </w:r>
      <w:r w:rsidRPr="0018578A">
        <w:rPr>
          <w:rFonts w:ascii="Arial" w:hAnsi="Arial" w:cs="Arial"/>
          <w:b/>
        </w:rPr>
        <w:t>v roce 2012</w:t>
      </w:r>
      <w:r w:rsidRPr="00E93028">
        <w:rPr>
          <w:rFonts w:ascii="Arial" w:hAnsi="Arial" w:cs="Arial"/>
        </w:rPr>
        <w:t xml:space="preserve"> činila </w:t>
      </w:r>
      <w:r w:rsidRPr="0061433B">
        <w:rPr>
          <w:rFonts w:ascii="Arial" w:hAnsi="Arial" w:cs="Arial"/>
          <w:b/>
        </w:rPr>
        <w:t>68,5</w:t>
      </w:r>
      <w:r>
        <w:rPr>
          <w:rFonts w:ascii="Arial" w:hAnsi="Arial" w:cs="Arial"/>
          <w:b/>
        </w:rPr>
        <w:t> </w:t>
      </w:r>
      <w:r w:rsidRPr="0061433B">
        <w:rPr>
          <w:rFonts w:ascii="Arial" w:hAnsi="Arial" w:cs="Arial"/>
          <w:b/>
        </w:rPr>
        <w:t>%</w:t>
      </w:r>
      <w:r w:rsidRPr="0061433B">
        <w:rPr>
          <w:rFonts w:ascii="Arial" w:hAnsi="Arial" w:cs="Arial"/>
        </w:rPr>
        <w:t>,</w:t>
      </w:r>
      <w:r w:rsidRPr="00E93028">
        <w:rPr>
          <w:rFonts w:ascii="Arial" w:hAnsi="Arial" w:cs="Arial"/>
        </w:rPr>
        <w:t xml:space="preserve"> což bylo meziročně o 0,1 </w:t>
      </w:r>
      <w:r w:rsidR="00E3619C">
        <w:rPr>
          <w:rFonts w:ascii="Arial" w:hAnsi="Arial" w:cs="Arial"/>
        </w:rPr>
        <w:t>p. b.</w:t>
      </w:r>
      <w:r w:rsidRPr="00E93028">
        <w:rPr>
          <w:rFonts w:ascii="Arial" w:hAnsi="Arial" w:cs="Arial"/>
        </w:rPr>
        <w:t xml:space="preserve"> </w:t>
      </w:r>
      <w:r w:rsidRPr="00E93028">
        <w:rPr>
          <w:rFonts w:ascii="Arial" w:hAnsi="Arial" w:cs="Arial"/>
          <w:b/>
        </w:rPr>
        <w:t>méně</w:t>
      </w:r>
      <w:r w:rsidRPr="00E93028">
        <w:rPr>
          <w:rFonts w:ascii="Arial" w:hAnsi="Arial" w:cs="Arial"/>
        </w:rPr>
        <w:t>. V </w:t>
      </w:r>
      <w:r w:rsidRPr="00E93028">
        <w:rPr>
          <w:rFonts w:ascii="Arial" w:hAnsi="Arial" w:cs="Arial"/>
          <w:b/>
        </w:rPr>
        <w:t>ČR</w:t>
      </w:r>
      <w:r w:rsidRPr="00E93028">
        <w:rPr>
          <w:rFonts w:ascii="Arial" w:hAnsi="Arial" w:cs="Arial"/>
        </w:rPr>
        <w:t xml:space="preserve"> v roce 2012 meziročně </w:t>
      </w:r>
      <w:r w:rsidRPr="004E1F55">
        <w:rPr>
          <w:rFonts w:ascii="Arial" w:hAnsi="Arial" w:cs="Arial"/>
          <w:b/>
        </w:rPr>
        <w:t>vzrostla</w:t>
      </w:r>
      <w:r w:rsidRPr="004E1F55">
        <w:rPr>
          <w:rFonts w:ascii="Arial" w:hAnsi="Arial" w:cs="Arial"/>
        </w:rPr>
        <w:t xml:space="preserve"> o 0,6 p. b</w:t>
      </w:r>
      <w:r w:rsidRPr="008374B0">
        <w:rPr>
          <w:rFonts w:ascii="Arial" w:hAnsi="Arial" w:cs="Arial"/>
        </w:rPr>
        <w:t xml:space="preserve">. na </w:t>
      </w:r>
      <w:r w:rsidRPr="008374B0">
        <w:rPr>
          <w:rFonts w:ascii="Arial" w:hAnsi="Arial" w:cs="Arial"/>
          <w:b/>
        </w:rPr>
        <w:t>71,5</w:t>
      </w:r>
      <w:r>
        <w:rPr>
          <w:rFonts w:ascii="Arial" w:hAnsi="Arial" w:cs="Arial"/>
          <w:b/>
        </w:rPr>
        <w:t> </w:t>
      </w:r>
      <w:r w:rsidRPr="008374B0">
        <w:rPr>
          <w:rFonts w:ascii="Arial" w:hAnsi="Arial" w:cs="Arial"/>
          <w:b/>
        </w:rPr>
        <w:t>%</w:t>
      </w:r>
      <w:r w:rsidRPr="008374B0">
        <w:rPr>
          <w:rFonts w:ascii="Arial" w:hAnsi="Arial" w:cs="Arial"/>
        </w:rPr>
        <w:t xml:space="preserve">. </w:t>
      </w:r>
      <w:r>
        <w:rPr>
          <w:rFonts w:ascii="Arial" w:hAnsi="Arial" w:cs="Arial"/>
        </w:rPr>
        <w:t xml:space="preserve">Ve </w:t>
      </w:r>
      <w:r w:rsidRPr="001329D9">
        <w:rPr>
          <w:rFonts w:ascii="Arial" w:hAnsi="Arial" w:cs="Arial"/>
          <w:b/>
        </w:rPr>
        <w:t>2. čtvrtletí 2013</w:t>
      </w:r>
      <w:r>
        <w:rPr>
          <w:rFonts w:ascii="Arial" w:hAnsi="Arial" w:cs="Arial"/>
        </w:rPr>
        <w:t xml:space="preserve"> míra zaměstnanosti v </w:t>
      </w:r>
      <w:r w:rsidRPr="002F153F">
        <w:rPr>
          <w:rFonts w:ascii="Arial" w:hAnsi="Arial" w:cs="Arial"/>
          <w:b/>
        </w:rPr>
        <w:t>ČR</w:t>
      </w:r>
      <w:r>
        <w:rPr>
          <w:rFonts w:ascii="Arial" w:hAnsi="Arial" w:cs="Arial"/>
        </w:rPr>
        <w:t xml:space="preserve"> meziročně </w:t>
      </w:r>
      <w:r w:rsidRPr="002F153F">
        <w:rPr>
          <w:rFonts w:ascii="Arial" w:hAnsi="Arial" w:cs="Arial"/>
          <w:b/>
        </w:rPr>
        <w:t>vzrostla</w:t>
      </w:r>
      <w:r>
        <w:rPr>
          <w:rFonts w:ascii="Arial" w:hAnsi="Arial" w:cs="Arial"/>
        </w:rPr>
        <w:t xml:space="preserve"> o 1,2 </w:t>
      </w:r>
      <w:r w:rsidR="00E3619C">
        <w:rPr>
          <w:rFonts w:ascii="Arial" w:hAnsi="Arial" w:cs="Arial"/>
        </w:rPr>
        <w:t>p. b</w:t>
      </w:r>
      <w:r>
        <w:rPr>
          <w:rFonts w:ascii="Arial" w:hAnsi="Arial" w:cs="Arial"/>
        </w:rPr>
        <w:t xml:space="preserve">. na </w:t>
      </w:r>
      <w:r w:rsidRPr="001F333F">
        <w:rPr>
          <w:rFonts w:ascii="Arial" w:hAnsi="Arial" w:cs="Arial"/>
          <w:b/>
        </w:rPr>
        <w:t>72,7 %</w:t>
      </w:r>
      <w:r w:rsidRPr="001F333F">
        <w:rPr>
          <w:rFonts w:ascii="Arial" w:hAnsi="Arial" w:cs="Arial"/>
        </w:rPr>
        <w:t>.</w:t>
      </w:r>
      <w:r>
        <w:rPr>
          <w:rFonts w:ascii="Arial" w:hAnsi="Arial" w:cs="Arial"/>
        </w:rPr>
        <w:t xml:space="preserve"> V </w:t>
      </w:r>
      <w:r w:rsidRPr="002F153F">
        <w:rPr>
          <w:rFonts w:ascii="Arial" w:hAnsi="Arial" w:cs="Arial"/>
          <w:b/>
        </w:rPr>
        <w:t>EU 27</w:t>
      </w:r>
      <w:r>
        <w:rPr>
          <w:rFonts w:ascii="Arial" w:hAnsi="Arial" w:cs="Arial"/>
        </w:rPr>
        <w:t xml:space="preserve"> pokračoval </w:t>
      </w:r>
      <w:r w:rsidRPr="002F153F">
        <w:rPr>
          <w:rFonts w:ascii="Arial" w:hAnsi="Arial" w:cs="Arial"/>
          <w:b/>
        </w:rPr>
        <w:t>pokles</w:t>
      </w:r>
      <w:r>
        <w:rPr>
          <w:rFonts w:ascii="Arial" w:hAnsi="Arial" w:cs="Arial"/>
        </w:rPr>
        <w:t xml:space="preserve"> o</w:t>
      </w:r>
      <w:r w:rsidR="00E3619C">
        <w:rPr>
          <w:rFonts w:ascii="Arial" w:hAnsi="Arial" w:cs="Arial"/>
        </w:rPr>
        <w:t> </w:t>
      </w:r>
      <w:r>
        <w:rPr>
          <w:rFonts w:ascii="Arial" w:hAnsi="Arial" w:cs="Arial"/>
        </w:rPr>
        <w:t>0,2 </w:t>
      </w:r>
      <w:r w:rsidR="00E3619C">
        <w:rPr>
          <w:rFonts w:ascii="Arial" w:hAnsi="Arial" w:cs="Arial"/>
        </w:rPr>
        <w:t>p. b</w:t>
      </w:r>
      <w:r>
        <w:rPr>
          <w:rFonts w:ascii="Arial" w:hAnsi="Arial" w:cs="Arial"/>
        </w:rPr>
        <w:t xml:space="preserve">. na </w:t>
      </w:r>
      <w:r w:rsidRPr="001F333F">
        <w:rPr>
          <w:rFonts w:ascii="Arial" w:hAnsi="Arial" w:cs="Arial"/>
          <w:b/>
        </w:rPr>
        <w:t>68,5 %</w:t>
      </w:r>
      <w:r w:rsidRPr="001F333F">
        <w:rPr>
          <w:rFonts w:ascii="Arial" w:hAnsi="Arial" w:cs="Arial"/>
        </w:rPr>
        <w:t>.</w:t>
      </w:r>
      <w:r>
        <w:rPr>
          <w:rFonts w:ascii="Arial" w:hAnsi="Arial" w:cs="Arial"/>
        </w:rPr>
        <w:t xml:space="preserve"> </w:t>
      </w:r>
      <w:r w:rsidRPr="003D0AAE">
        <w:rPr>
          <w:rFonts w:ascii="Arial" w:hAnsi="Arial" w:cs="Arial"/>
        </w:rPr>
        <w:t xml:space="preserve">K nejvyššímu meziročnímu nárůstu </w:t>
      </w:r>
      <w:r>
        <w:rPr>
          <w:rFonts w:ascii="Arial" w:hAnsi="Arial" w:cs="Arial"/>
        </w:rPr>
        <w:t xml:space="preserve">míry zaměstnanosti </w:t>
      </w:r>
      <w:r w:rsidRPr="003D0AAE">
        <w:rPr>
          <w:rFonts w:ascii="Arial" w:hAnsi="Arial" w:cs="Arial"/>
        </w:rPr>
        <w:t>došlo ve</w:t>
      </w:r>
      <w:r>
        <w:rPr>
          <w:rFonts w:ascii="Arial" w:hAnsi="Arial" w:cs="Arial"/>
        </w:rPr>
        <w:t> </w:t>
      </w:r>
      <w:r w:rsidRPr="003D0AAE">
        <w:rPr>
          <w:rFonts w:ascii="Arial" w:hAnsi="Arial" w:cs="Arial"/>
        </w:rPr>
        <w:t>2.</w:t>
      </w:r>
      <w:r>
        <w:rPr>
          <w:rFonts w:ascii="Arial" w:hAnsi="Arial" w:cs="Arial"/>
        </w:rPr>
        <w:t> </w:t>
      </w:r>
      <w:r w:rsidRPr="003D0AAE">
        <w:rPr>
          <w:rFonts w:ascii="Arial" w:hAnsi="Arial" w:cs="Arial"/>
        </w:rPr>
        <w:t>čtvrtletí 2013 v Lotyšsku (</w:t>
      </w:r>
      <w:r>
        <w:rPr>
          <w:rFonts w:ascii="Arial" w:hAnsi="Arial" w:cs="Arial"/>
        </w:rPr>
        <w:t>o 2,1 </w:t>
      </w:r>
      <w:r w:rsidR="00E3619C">
        <w:rPr>
          <w:rFonts w:ascii="Arial" w:hAnsi="Arial" w:cs="Arial"/>
        </w:rPr>
        <w:t>p. b</w:t>
      </w:r>
      <w:r>
        <w:rPr>
          <w:rFonts w:ascii="Arial" w:hAnsi="Arial" w:cs="Arial"/>
        </w:rPr>
        <w:t>.), na Maltě a v Estonsku (nárůst shodně o 1,9 </w:t>
      </w:r>
      <w:r w:rsidR="00E3619C">
        <w:rPr>
          <w:rFonts w:ascii="Arial" w:hAnsi="Arial" w:cs="Arial"/>
        </w:rPr>
        <w:t>p. b</w:t>
      </w:r>
      <w:r>
        <w:rPr>
          <w:rFonts w:ascii="Arial" w:hAnsi="Arial" w:cs="Arial"/>
        </w:rPr>
        <w:t>.). Nejvyšší pokles byl zaznamenán na Kypru (3,4 </w:t>
      </w:r>
      <w:r w:rsidR="00E3619C">
        <w:rPr>
          <w:rFonts w:ascii="Arial" w:hAnsi="Arial" w:cs="Arial"/>
        </w:rPr>
        <w:t>p. b</w:t>
      </w:r>
      <w:r>
        <w:rPr>
          <w:rFonts w:ascii="Arial" w:hAnsi="Arial" w:cs="Arial"/>
        </w:rPr>
        <w:t>.), v Řecku (2,2 </w:t>
      </w:r>
      <w:r w:rsidR="00E3619C">
        <w:rPr>
          <w:rFonts w:ascii="Arial" w:hAnsi="Arial" w:cs="Arial"/>
        </w:rPr>
        <w:t>p. b</w:t>
      </w:r>
      <w:r>
        <w:rPr>
          <w:rFonts w:ascii="Arial" w:hAnsi="Arial" w:cs="Arial"/>
        </w:rPr>
        <w:t>.) a v Portugalsku (1,9 </w:t>
      </w:r>
      <w:r w:rsidR="00E3619C">
        <w:rPr>
          <w:rFonts w:ascii="Arial" w:hAnsi="Arial" w:cs="Arial"/>
        </w:rPr>
        <w:t>p. b</w:t>
      </w:r>
      <w:r>
        <w:rPr>
          <w:rFonts w:ascii="Arial" w:hAnsi="Arial" w:cs="Arial"/>
        </w:rPr>
        <w:t xml:space="preserve">.). </w:t>
      </w:r>
      <w:r w:rsidRPr="0021062C">
        <w:rPr>
          <w:rFonts w:ascii="Arial" w:hAnsi="Arial" w:cs="Arial"/>
          <w:b/>
        </w:rPr>
        <w:t>Nejvyšší míru zaměstnanosti ve 2. čtvrtletí 2013</w:t>
      </w:r>
      <w:r>
        <w:rPr>
          <w:rFonts w:ascii="Arial" w:hAnsi="Arial" w:cs="Arial"/>
        </w:rPr>
        <w:t xml:space="preserve"> naměřili ve </w:t>
      </w:r>
      <w:r w:rsidRPr="0021062C">
        <w:rPr>
          <w:rFonts w:ascii="Arial" w:hAnsi="Arial" w:cs="Arial"/>
          <w:b/>
        </w:rPr>
        <w:t>Švédsku (80,0 %)</w:t>
      </w:r>
      <w:r w:rsidRPr="0021062C">
        <w:rPr>
          <w:rFonts w:ascii="Arial" w:hAnsi="Arial" w:cs="Arial"/>
        </w:rPr>
        <w:t>,</w:t>
      </w:r>
      <w:r>
        <w:rPr>
          <w:rFonts w:ascii="Arial" w:hAnsi="Arial" w:cs="Arial"/>
        </w:rPr>
        <w:t xml:space="preserve"> nejnižší v Řecku (53,5 %). Česká republika má 9. nejvyšší míru zaměstnanosti v rámci EU27 (72,7 %). V rámci </w:t>
      </w:r>
      <w:r w:rsidRPr="00786876">
        <w:rPr>
          <w:rFonts w:ascii="Arial" w:hAnsi="Arial" w:cs="Arial"/>
        </w:rPr>
        <w:t>Strategie Evropa 2020</w:t>
      </w:r>
      <w:r>
        <w:rPr>
          <w:rFonts w:ascii="Arial" w:hAnsi="Arial" w:cs="Arial"/>
        </w:rPr>
        <w:t xml:space="preserve"> je stanoven n</w:t>
      </w:r>
      <w:r w:rsidRPr="00786876">
        <w:rPr>
          <w:rFonts w:ascii="Arial" w:hAnsi="Arial" w:cs="Arial"/>
        </w:rPr>
        <w:t xml:space="preserve">árodní cíl </w:t>
      </w:r>
      <w:r>
        <w:rPr>
          <w:rFonts w:ascii="Arial" w:hAnsi="Arial" w:cs="Arial"/>
        </w:rPr>
        <w:t xml:space="preserve">ČR dosáhnout do roku 2020 zvýšení </w:t>
      </w:r>
      <w:r w:rsidRPr="00786876">
        <w:rPr>
          <w:rFonts w:ascii="Arial" w:hAnsi="Arial" w:cs="Arial"/>
        </w:rPr>
        <w:t xml:space="preserve">celkové míry zaměstnanosti </w:t>
      </w:r>
      <w:r>
        <w:rPr>
          <w:rFonts w:ascii="Arial" w:hAnsi="Arial" w:cs="Arial"/>
        </w:rPr>
        <w:t>ve věkové skupině 20 – 64 let na</w:t>
      </w:r>
      <w:r w:rsidRPr="00786876">
        <w:rPr>
          <w:rFonts w:ascii="Arial" w:hAnsi="Arial" w:cs="Arial"/>
        </w:rPr>
        <w:t xml:space="preserve"> 75</w:t>
      </w:r>
      <w:r>
        <w:rPr>
          <w:rFonts w:ascii="Arial" w:hAnsi="Arial" w:cs="Arial"/>
        </w:rPr>
        <w:t> </w:t>
      </w:r>
      <w:r w:rsidRPr="00786876">
        <w:rPr>
          <w:rFonts w:ascii="Arial" w:hAnsi="Arial" w:cs="Arial"/>
        </w:rPr>
        <w:t>%.</w:t>
      </w:r>
    </w:p>
    <w:p w:rsidR="001B48C2" w:rsidRPr="008D19FA" w:rsidRDefault="001B48C2" w:rsidP="001B48C2">
      <w:pPr>
        <w:spacing w:line="360" w:lineRule="auto"/>
        <w:ind w:firstLine="567"/>
        <w:jc w:val="both"/>
        <w:rPr>
          <w:rFonts w:ascii="Arial" w:hAnsi="Arial" w:cs="Arial"/>
        </w:rPr>
      </w:pPr>
      <w:r w:rsidRPr="00520F63">
        <w:rPr>
          <w:rFonts w:ascii="Arial" w:hAnsi="Arial" w:cs="Arial"/>
        </w:rPr>
        <w:t xml:space="preserve">V roce 2012 </w:t>
      </w:r>
      <w:r>
        <w:rPr>
          <w:rFonts w:ascii="Arial" w:hAnsi="Arial" w:cs="Arial"/>
          <w:b/>
        </w:rPr>
        <w:t>míra zaměstnanosti</w:t>
      </w:r>
      <w:r w:rsidRPr="00520F63">
        <w:rPr>
          <w:rFonts w:ascii="Arial" w:hAnsi="Arial" w:cs="Arial"/>
          <w:b/>
        </w:rPr>
        <w:t xml:space="preserve"> žen</w:t>
      </w:r>
      <w:r w:rsidRPr="00520F63">
        <w:rPr>
          <w:rFonts w:ascii="Arial" w:hAnsi="Arial" w:cs="Arial"/>
        </w:rPr>
        <w:t xml:space="preserve"> </w:t>
      </w:r>
      <w:r w:rsidRPr="00520F63">
        <w:rPr>
          <w:rFonts w:ascii="Arial" w:hAnsi="Arial" w:cs="Arial"/>
          <w:b/>
        </w:rPr>
        <w:t>ve věku 20 – 64 let v EU27</w:t>
      </w:r>
      <w:r w:rsidRPr="00520F63">
        <w:rPr>
          <w:rFonts w:ascii="Arial" w:hAnsi="Arial" w:cs="Arial"/>
        </w:rPr>
        <w:t xml:space="preserve"> </w:t>
      </w:r>
      <w:r w:rsidRPr="00BE14D1">
        <w:rPr>
          <w:rFonts w:ascii="Arial" w:hAnsi="Arial" w:cs="Arial"/>
        </w:rPr>
        <w:t xml:space="preserve">činila </w:t>
      </w:r>
      <w:r w:rsidRPr="00CB5C64">
        <w:rPr>
          <w:rFonts w:ascii="Arial" w:hAnsi="Arial" w:cs="Arial"/>
          <w:b/>
        </w:rPr>
        <w:t>62,4 %</w:t>
      </w:r>
      <w:r w:rsidRPr="00CB5C64">
        <w:rPr>
          <w:rFonts w:ascii="Arial" w:hAnsi="Arial" w:cs="Arial"/>
        </w:rPr>
        <w:t>,</w:t>
      </w:r>
      <w:r w:rsidRPr="00950C20">
        <w:rPr>
          <w:rFonts w:ascii="Arial" w:hAnsi="Arial" w:cs="Arial"/>
        </w:rPr>
        <w:t xml:space="preserve"> což je o</w:t>
      </w:r>
      <w:r>
        <w:rPr>
          <w:rFonts w:ascii="Arial" w:hAnsi="Arial" w:cs="Arial"/>
        </w:rPr>
        <w:t xml:space="preserve"> 0,1 </w:t>
      </w:r>
      <w:r w:rsidR="00E3619C">
        <w:rPr>
          <w:rFonts w:ascii="Arial" w:hAnsi="Arial" w:cs="Arial"/>
        </w:rPr>
        <w:t>p. b</w:t>
      </w:r>
      <w:r>
        <w:rPr>
          <w:rFonts w:ascii="Arial" w:hAnsi="Arial" w:cs="Arial"/>
        </w:rPr>
        <w:t xml:space="preserve">. </w:t>
      </w:r>
      <w:r w:rsidRPr="0018578A">
        <w:rPr>
          <w:rFonts w:ascii="Arial" w:hAnsi="Arial" w:cs="Arial"/>
          <w:b/>
        </w:rPr>
        <w:t>více</w:t>
      </w:r>
      <w:r>
        <w:rPr>
          <w:rFonts w:ascii="Arial" w:hAnsi="Arial" w:cs="Arial"/>
        </w:rPr>
        <w:t xml:space="preserve"> než v roce 2011.</w:t>
      </w:r>
      <w:r w:rsidRPr="00950C20">
        <w:rPr>
          <w:rFonts w:ascii="Arial" w:hAnsi="Arial" w:cs="Arial"/>
        </w:rPr>
        <w:t xml:space="preserve"> </w:t>
      </w:r>
      <w:r w:rsidRPr="00CB5C64">
        <w:rPr>
          <w:rFonts w:ascii="Arial" w:hAnsi="Arial" w:cs="Arial"/>
        </w:rPr>
        <w:t>Ve</w:t>
      </w:r>
      <w:r w:rsidRPr="00CB5C64">
        <w:rPr>
          <w:rFonts w:ascii="Arial" w:hAnsi="Arial" w:cs="Arial"/>
          <w:b/>
        </w:rPr>
        <w:t> 2. čtvrtletí 2013</w:t>
      </w:r>
      <w:r w:rsidRPr="00CB5C64">
        <w:rPr>
          <w:rFonts w:ascii="Arial" w:hAnsi="Arial" w:cs="Arial"/>
        </w:rPr>
        <w:t xml:space="preserve"> došlo k meziročnímu</w:t>
      </w:r>
      <w:r>
        <w:rPr>
          <w:rFonts w:ascii="Arial" w:hAnsi="Arial" w:cs="Arial"/>
          <w:b/>
          <w:color w:val="0070C0"/>
        </w:rPr>
        <w:t xml:space="preserve"> </w:t>
      </w:r>
      <w:r w:rsidRPr="0071411C">
        <w:rPr>
          <w:rFonts w:ascii="Arial" w:hAnsi="Arial" w:cs="Arial"/>
          <w:b/>
        </w:rPr>
        <w:t xml:space="preserve">nárůstu </w:t>
      </w:r>
      <w:r w:rsidRPr="0071411C">
        <w:rPr>
          <w:rFonts w:ascii="Arial" w:hAnsi="Arial" w:cs="Arial"/>
        </w:rPr>
        <w:t>o 0,1 </w:t>
      </w:r>
      <w:r w:rsidR="00E3619C">
        <w:rPr>
          <w:rFonts w:ascii="Arial" w:hAnsi="Arial" w:cs="Arial"/>
        </w:rPr>
        <w:t>p. b</w:t>
      </w:r>
      <w:r w:rsidRPr="0071411C">
        <w:rPr>
          <w:rFonts w:ascii="Arial" w:hAnsi="Arial" w:cs="Arial"/>
        </w:rPr>
        <w:t>.</w:t>
      </w:r>
      <w:r w:rsidRPr="0071411C">
        <w:rPr>
          <w:rFonts w:ascii="Arial" w:hAnsi="Arial" w:cs="Arial"/>
          <w:b/>
        </w:rPr>
        <w:t xml:space="preserve"> na </w:t>
      </w:r>
      <w:r w:rsidRPr="00CF2C39">
        <w:rPr>
          <w:rFonts w:ascii="Arial" w:hAnsi="Arial" w:cs="Arial"/>
          <w:b/>
        </w:rPr>
        <w:t>62,7 %</w:t>
      </w:r>
      <w:r w:rsidRPr="00CF2C39">
        <w:rPr>
          <w:rFonts w:ascii="Arial" w:hAnsi="Arial" w:cs="Arial"/>
        </w:rPr>
        <w:t>.  </w:t>
      </w:r>
      <w:r w:rsidRPr="00FC0A4A">
        <w:rPr>
          <w:rFonts w:ascii="Arial" w:hAnsi="Arial" w:cs="Arial"/>
        </w:rPr>
        <w:t>V </w:t>
      </w:r>
      <w:r w:rsidRPr="003F0B9B">
        <w:rPr>
          <w:rFonts w:ascii="Arial" w:hAnsi="Arial" w:cs="Arial"/>
          <w:b/>
        </w:rPr>
        <w:t>ČR</w:t>
      </w:r>
      <w:r w:rsidRPr="00FC0A4A">
        <w:rPr>
          <w:rFonts w:ascii="Arial" w:hAnsi="Arial" w:cs="Arial"/>
        </w:rPr>
        <w:t xml:space="preserve"> hodnota tohoto ukazatele </w:t>
      </w:r>
      <w:r w:rsidRPr="003B7797">
        <w:rPr>
          <w:rFonts w:ascii="Arial" w:hAnsi="Arial" w:cs="Arial"/>
          <w:b/>
        </w:rPr>
        <w:t>v roce 2012</w:t>
      </w:r>
      <w:r>
        <w:rPr>
          <w:rFonts w:ascii="Arial" w:hAnsi="Arial" w:cs="Arial"/>
        </w:rPr>
        <w:t xml:space="preserve"> meziročně </w:t>
      </w:r>
      <w:r w:rsidRPr="0018578A">
        <w:rPr>
          <w:rFonts w:ascii="Arial" w:hAnsi="Arial" w:cs="Arial"/>
          <w:b/>
        </w:rPr>
        <w:t>vzrostla</w:t>
      </w:r>
      <w:r w:rsidRPr="00FC0A4A">
        <w:rPr>
          <w:rFonts w:ascii="Arial" w:hAnsi="Arial" w:cs="Arial"/>
        </w:rPr>
        <w:t xml:space="preserve"> o 0,8 </w:t>
      </w:r>
      <w:r w:rsidR="00E3619C">
        <w:rPr>
          <w:rFonts w:ascii="Arial" w:hAnsi="Arial" w:cs="Arial"/>
        </w:rPr>
        <w:t>p. b</w:t>
      </w:r>
      <w:r w:rsidRPr="00FC0A4A">
        <w:rPr>
          <w:rFonts w:ascii="Arial" w:hAnsi="Arial" w:cs="Arial"/>
        </w:rPr>
        <w:t>. na</w:t>
      </w:r>
      <w:r>
        <w:rPr>
          <w:rFonts w:ascii="Arial" w:hAnsi="Arial" w:cs="Arial"/>
        </w:rPr>
        <w:t xml:space="preserve"> </w:t>
      </w:r>
      <w:r w:rsidRPr="003F0B9B">
        <w:rPr>
          <w:rFonts w:ascii="Arial" w:hAnsi="Arial" w:cs="Arial"/>
          <w:b/>
        </w:rPr>
        <w:t>62,5 %</w:t>
      </w:r>
      <w:r w:rsidRPr="00132A21">
        <w:rPr>
          <w:rFonts w:ascii="Arial" w:hAnsi="Arial" w:cs="Arial"/>
        </w:rPr>
        <w:t>.</w:t>
      </w:r>
      <w:r>
        <w:rPr>
          <w:rFonts w:ascii="Arial" w:hAnsi="Arial" w:cs="Arial"/>
          <w:color w:val="0070C0"/>
        </w:rPr>
        <w:t xml:space="preserve"> </w:t>
      </w:r>
      <w:r w:rsidRPr="00CB5C64">
        <w:rPr>
          <w:rFonts w:ascii="Arial" w:hAnsi="Arial" w:cs="Arial"/>
        </w:rPr>
        <w:t>Ve</w:t>
      </w:r>
      <w:r w:rsidRPr="00CB5C64">
        <w:rPr>
          <w:rFonts w:ascii="Arial" w:hAnsi="Arial" w:cs="Arial"/>
          <w:b/>
        </w:rPr>
        <w:t> 2. čtvrtletí 2013</w:t>
      </w:r>
      <w:r w:rsidRPr="00CB5C64">
        <w:rPr>
          <w:rFonts w:ascii="Arial" w:hAnsi="Arial" w:cs="Arial"/>
        </w:rPr>
        <w:t xml:space="preserve"> došlo k meziročnímu</w:t>
      </w:r>
      <w:r>
        <w:rPr>
          <w:rFonts w:ascii="Arial" w:hAnsi="Arial" w:cs="Arial"/>
          <w:b/>
          <w:color w:val="0070C0"/>
        </w:rPr>
        <w:t xml:space="preserve"> </w:t>
      </w:r>
      <w:r w:rsidRPr="0071411C">
        <w:rPr>
          <w:rFonts w:ascii="Arial" w:hAnsi="Arial" w:cs="Arial"/>
          <w:b/>
        </w:rPr>
        <w:t xml:space="preserve">nárůstu </w:t>
      </w:r>
      <w:r w:rsidRPr="0071411C">
        <w:rPr>
          <w:rFonts w:ascii="Arial" w:hAnsi="Arial" w:cs="Arial"/>
        </w:rPr>
        <w:t xml:space="preserve">o </w:t>
      </w:r>
      <w:r>
        <w:rPr>
          <w:rFonts w:ascii="Arial" w:hAnsi="Arial" w:cs="Arial"/>
        </w:rPr>
        <w:t>1,4 </w:t>
      </w:r>
      <w:r w:rsidR="00E3619C">
        <w:rPr>
          <w:rFonts w:ascii="Arial" w:hAnsi="Arial" w:cs="Arial"/>
        </w:rPr>
        <w:t>p. b</w:t>
      </w:r>
      <w:r>
        <w:rPr>
          <w:rFonts w:ascii="Arial" w:hAnsi="Arial" w:cs="Arial"/>
        </w:rPr>
        <w:t xml:space="preserve">. na </w:t>
      </w:r>
      <w:r w:rsidRPr="00913F61">
        <w:rPr>
          <w:rFonts w:ascii="Arial" w:hAnsi="Arial" w:cs="Arial"/>
          <w:b/>
        </w:rPr>
        <w:t>63,9 </w:t>
      </w:r>
      <w:r w:rsidRPr="00E75762">
        <w:rPr>
          <w:rFonts w:ascii="Arial" w:hAnsi="Arial" w:cs="Arial"/>
          <w:b/>
        </w:rPr>
        <w:t>%</w:t>
      </w:r>
      <w:r w:rsidRPr="00E75762">
        <w:rPr>
          <w:rFonts w:ascii="Arial" w:hAnsi="Arial" w:cs="Arial"/>
        </w:rPr>
        <w:t>. Mezi státy s </w:t>
      </w:r>
      <w:r w:rsidRPr="00E75762">
        <w:rPr>
          <w:rFonts w:ascii="Arial" w:hAnsi="Arial" w:cs="Arial"/>
          <w:b/>
        </w:rPr>
        <w:t xml:space="preserve">nejvyšší mírou </w:t>
      </w:r>
      <w:r w:rsidRPr="00E75762">
        <w:rPr>
          <w:rFonts w:ascii="Arial" w:hAnsi="Arial" w:cs="Arial"/>
          <w:b/>
        </w:rPr>
        <w:lastRenderedPageBreak/>
        <w:t>zaměstnaností žen</w:t>
      </w:r>
      <w:r w:rsidRPr="00E75762">
        <w:rPr>
          <w:rFonts w:ascii="Arial" w:hAnsi="Arial" w:cs="Arial"/>
        </w:rPr>
        <w:t xml:space="preserve"> patří Švédsko (77,7 %), Dánsko</w:t>
      </w:r>
      <w:r>
        <w:rPr>
          <w:rFonts w:ascii="Arial" w:hAnsi="Arial" w:cs="Arial"/>
        </w:rPr>
        <w:t xml:space="preserve"> (73,0 %)</w:t>
      </w:r>
      <w:r w:rsidRPr="00E75762">
        <w:rPr>
          <w:rFonts w:ascii="Arial" w:hAnsi="Arial" w:cs="Arial"/>
        </w:rPr>
        <w:t xml:space="preserve"> a Finsko</w:t>
      </w:r>
      <w:r>
        <w:rPr>
          <w:rFonts w:ascii="Arial" w:hAnsi="Arial" w:cs="Arial"/>
        </w:rPr>
        <w:t xml:space="preserve"> (72,8 %)</w:t>
      </w:r>
      <w:r w:rsidRPr="00E75762">
        <w:rPr>
          <w:rFonts w:ascii="Arial" w:hAnsi="Arial" w:cs="Arial"/>
        </w:rPr>
        <w:t xml:space="preserve">. </w:t>
      </w:r>
      <w:r>
        <w:rPr>
          <w:rFonts w:ascii="Arial" w:hAnsi="Arial" w:cs="Arial"/>
        </w:rPr>
        <w:t xml:space="preserve">Nejnižší míra zaměstnanosti žen byla zaznamenána v Řecku (43,6 %). </w:t>
      </w:r>
      <w:r w:rsidRPr="00E75762">
        <w:rPr>
          <w:rFonts w:ascii="Arial" w:hAnsi="Arial" w:cs="Arial"/>
        </w:rPr>
        <w:t xml:space="preserve">ČR </w:t>
      </w:r>
      <w:r>
        <w:rPr>
          <w:rFonts w:ascii="Arial" w:hAnsi="Arial" w:cs="Arial"/>
        </w:rPr>
        <w:t>vykázala</w:t>
      </w:r>
      <w:r w:rsidRPr="00E75762">
        <w:rPr>
          <w:rFonts w:ascii="Arial" w:hAnsi="Arial" w:cs="Arial"/>
        </w:rPr>
        <w:t xml:space="preserve"> v rámci </w:t>
      </w:r>
      <w:r w:rsidRPr="008D19FA">
        <w:rPr>
          <w:rFonts w:ascii="Arial" w:hAnsi="Arial" w:cs="Arial"/>
        </w:rPr>
        <w:t>EU27 13. nejvyšší míru zaměstnanosti žen</w:t>
      </w:r>
      <w:r>
        <w:rPr>
          <w:rFonts w:ascii="Arial" w:hAnsi="Arial" w:cs="Arial"/>
        </w:rPr>
        <w:t xml:space="preserve"> (63,9 %)</w:t>
      </w:r>
      <w:r w:rsidRPr="008D19FA">
        <w:rPr>
          <w:rFonts w:ascii="Arial" w:hAnsi="Arial" w:cs="Arial"/>
        </w:rPr>
        <w:t>.</w:t>
      </w:r>
      <w:r>
        <w:rPr>
          <w:rFonts w:ascii="Arial" w:hAnsi="Arial" w:cs="Arial"/>
        </w:rPr>
        <w:t xml:space="preserve"> V rámci </w:t>
      </w:r>
      <w:r w:rsidRPr="00786876">
        <w:rPr>
          <w:rFonts w:ascii="Arial" w:hAnsi="Arial" w:cs="Arial"/>
        </w:rPr>
        <w:t>Strategie Evropa 2020</w:t>
      </w:r>
      <w:r>
        <w:rPr>
          <w:rFonts w:ascii="Arial" w:hAnsi="Arial" w:cs="Arial"/>
        </w:rPr>
        <w:t xml:space="preserve"> je stanoven n</w:t>
      </w:r>
      <w:r w:rsidRPr="00786876">
        <w:rPr>
          <w:rFonts w:ascii="Arial" w:hAnsi="Arial" w:cs="Arial"/>
        </w:rPr>
        <w:t xml:space="preserve">árodní cíl </w:t>
      </w:r>
      <w:r>
        <w:rPr>
          <w:rFonts w:ascii="Arial" w:hAnsi="Arial" w:cs="Arial"/>
        </w:rPr>
        <w:t xml:space="preserve">ČR </w:t>
      </w:r>
      <w:r w:rsidRPr="00786876">
        <w:rPr>
          <w:rFonts w:ascii="Arial" w:hAnsi="Arial" w:cs="Arial"/>
        </w:rPr>
        <w:t xml:space="preserve">míry zaměstnanosti </w:t>
      </w:r>
      <w:r>
        <w:rPr>
          <w:rFonts w:ascii="Arial" w:hAnsi="Arial" w:cs="Arial"/>
        </w:rPr>
        <w:t>žen ve věku 20 – 64 let na 6</w:t>
      </w:r>
      <w:r w:rsidRPr="00786876">
        <w:rPr>
          <w:rFonts w:ascii="Arial" w:hAnsi="Arial" w:cs="Arial"/>
        </w:rPr>
        <w:t>5</w:t>
      </w:r>
      <w:r>
        <w:rPr>
          <w:rFonts w:ascii="Arial" w:hAnsi="Arial" w:cs="Arial"/>
        </w:rPr>
        <w:t> </w:t>
      </w:r>
      <w:r w:rsidRPr="00786876">
        <w:rPr>
          <w:rFonts w:ascii="Arial" w:hAnsi="Arial" w:cs="Arial"/>
        </w:rPr>
        <w:t>%.</w:t>
      </w:r>
    </w:p>
    <w:p w:rsidR="001B48C2" w:rsidRDefault="001B48C2" w:rsidP="001B48C2">
      <w:pPr>
        <w:spacing w:line="360" w:lineRule="auto"/>
        <w:ind w:firstLine="567"/>
        <w:jc w:val="both"/>
        <w:rPr>
          <w:rFonts w:ascii="Arial" w:hAnsi="Arial" w:cs="Arial"/>
        </w:rPr>
      </w:pPr>
      <w:r w:rsidRPr="0018578A">
        <w:rPr>
          <w:rFonts w:ascii="Arial" w:hAnsi="Arial" w:cs="Arial"/>
        </w:rPr>
        <w:t xml:space="preserve">Trend míry zaměstnanosti </w:t>
      </w:r>
      <w:r w:rsidRPr="0018578A">
        <w:rPr>
          <w:rFonts w:ascii="Arial" w:hAnsi="Arial" w:cs="Arial"/>
          <w:b/>
        </w:rPr>
        <w:t>mužů</w:t>
      </w:r>
      <w:r w:rsidRPr="0018578A">
        <w:rPr>
          <w:rFonts w:ascii="Arial" w:hAnsi="Arial" w:cs="Arial"/>
        </w:rPr>
        <w:t xml:space="preserve"> ve stejném věku byl za EU 27 i v ČR rozdílný</w:t>
      </w:r>
      <w:r>
        <w:rPr>
          <w:rFonts w:ascii="Arial" w:hAnsi="Arial" w:cs="Arial"/>
        </w:rPr>
        <w:t>.</w:t>
      </w:r>
      <w:r w:rsidRPr="0018578A">
        <w:rPr>
          <w:rFonts w:ascii="Arial" w:hAnsi="Arial" w:cs="Arial"/>
        </w:rPr>
        <w:t xml:space="preserve"> </w:t>
      </w:r>
      <w:r>
        <w:rPr>
          <w:rFonts w:ascii="Arial" w:hAnsi="Arial" w:cs="Arial"/>
        </w:rPr>
        <w:t>V</w:t>
      </w:r>
      <w:r w:rsidRPr="0018578A">
        <w:rPr>
          <w:rFonts w:ascii="Arial" w:hAnsi="Arial" w:cs="Arial"/>
          <w:b/>
        </w:rPr>
        <w:t> EU 27 pokles</w:t>
      </w:r>
      <w:r>
        <w:rPr>
          <w:rFonts w:ascii="Arial" w:hAnsi="Arial" w:cs="Arial"/>
          <w:b/>
        </w:rPr>
        <w:t>la míra zaměstnanosti mužů</w:t>
      </w:r>
      <w:r w:rsidRPr="0018578A">
        <w:rPr>
          <w:rFonts w:ascii="Arial" w:hAnsi="Arial" w:cs="Arial"/>
        </w:rPr>
        <w:t xml:space="preserve"> </w:t>
      </w:r>
      <w:r w:rsidRPr="00505E03">
        <w:rPr>
          <w:rFonts w:ascii="Arial" w:hAnsi="Arial" w:cs="Arial"/>
          <w:b/>
        </w:rPr>
        <w:t>v roce 2012</w:t>
      </w:r>
      <w:r>
        <w:rPr>
          <w:rFonts w:ascii="Arial" w:hAnsi="Arial" w:cs="Arial"/>
        </w:rPr>
        <w:t xml:space="preserve"> </w:t>
      </w:r>
      <w:r w:rsidRPr="0018578A">
        <w:rPr>
          <w:rFonts w:ascii="Arial" w:hAnsi="Arial" w:cs="Arial"/>
          <w:b/>
        </w:rPr>
        <w:t>na 74,6 %</w:t>
      </w:r>
      <w:r w:rsidRPr="0093085E">
        <w:rPr>
          <w:rFonts w:ascii="Arial" w:hAnsi="Arial" w:cs="Arial"/>
        </w:rPr>
        <w:t>, zatímco</w:t>
      </w:r>
      <w:r>
        <w:rPr>
          <w:rFonts w:ascii="Arial" w:hAnsi="Arial" w:cs="Arial"/>
          <w:b/>
        </w:rPr>
        <w:t xml:space="preserve"> v ČR vzrostla na 80,2 %</w:t>
      </w:r>
      <w:r w:rsidRPr="00132A21">
        <w:rPr>
          <w:rFonts w:ascii="Arial" w:hAnsi="Arial" w:cs="Arial"/>
        </w:rPr>
        <w:t>.</w:t>
      </w:r>
      <w:r>
        <w:rPr>
          <w:rFonts w:ascii="Arial" w:hAnsi="Arial" w:cs="Arial"/>
          <w:b/>
        </w:rPr>
        <w:t xml:space="preserve"> </w:t>
      </w:r>
      <w:r w:rsidRPr="0093085E">
        <w:rPr>
          <w:rFonts w:ascii="Arial" w:hAnsi="Arial" w:cs="Arial"/>
        </w:rPr>
        <w:t xml:space="preserve">Ve </w:t>
      </w:r>
      <w:r>
        <w:rPr>
          <w:rFonts w:ascii="Arial" w:hAnsi="Arial" w:cs="Arial"/>
          <w:b/>
        </w:rPr>
        <w:t xml:space="preserve">2. čtvrtletí 2013 </w:t>
      </w:r>
      <w:r w:rsidRPr="009C2287">
        <w:rPr>
          <w:rFonts w:ascii="Arial" w:hAnsi="Arial" w:cs="Arial"/>
        </w:rPr>
        <w:t>hodnota tohoto ukazatele v </w:t>
      </w:r>
      <w:r w:rsidRPr="009C2287">
        <w:rPr>
          <w:rFonts w:ascii="Arial" w:hAnsi="Arial" w:cs="Arial"/>
          <w:b/>
        </w:rPr>
        <w:t>EU27</w:t>
      </w:r>
      <w:r w:rsidRPr="009C2287">
        <w:rPr>
          <w:rFonts w:ascii="Arial" w:hAnsi="Arial" w:cs="Arial"/>
        </w:rPr>
        <w:t xml:space="preserve"> meziročně </w:t>
      </w:r>
      <w:r w:rsidRPr="00BD629A">
        <w:rPr>
          <w:rFonts w:ascii="Arial" w:hAnsi="Arial" w:cs="Arial"/>
          <w:b/>
        </w:rPr>
        <w:t>klesla</w:t>
      </w:r>
      <w:r w:rsidRPr="009C2287">
        <w:rPr>
          <w:rFonts w:ascii="Arial" w:hAnsi="Arial" w:cs="Arial"/>
        </w:rPr>
        <w:t xml:space="preserve"> o </w:t>
      </w:r>
      <w:r>
        <w:rPr>
          <w:rFonts w:ascii="Arial" w:hAnsi="Arial" w:cs="Arial"/>
        </w:rPr>
        <w:t>0,4 </w:t>
      </w:r>
      <w:r w:rsidR="00E3619C">
        <w:rPr>
          <w:rFonts w:ascii="Arial" w:hAnsi="Arial" w:cs="Arial"/>
        </w:rPr>
        <w:t>p. b</w:t>
      </w:r>
      <w:r>
        <w:rPr>
          <w:rFonts w:ascii="Arial" w:hAnsi="Arial" w:cs="Arial"/>
        </w:rPr>
        <w:t xml:space="preserve">. na </w:t>
      </w:r>
      <w:r w:rsidRPr="005953C8">
        <w:rPr>
          <w:rFonts w:ascii="Arial" w:hAnsi="Arial" w:cs="Arial"/>
          <w:b/>
        </w:rPr>
        <w:t>74,4 %</w:t>
      </w:r>
      <w:r w:rsidRPr="005953C8">
        <w:rPr>
          <w:rFonts w:ascii="Arial" w:hAnsi="Arial" w:cs="Arial"/>
        </w:rPr>
        <w:t>,</w:t>
      </w:r>
      <w:r>
        <w:rPr>
          <w:rFonts w:ascii="Arial" w:hAnsi="Arial" w:cs="Arial"/>
        </w:rPr>
        <w:t xml:space="preserve"> v </w:t>
      </w:r>
      <w:r w:rsidRPr="005953C8">
        <w:rPr>
          <w:rFonts w:ascii="Arial" w:hAnsi="Arial" w:cs="Arial"/>
          <w:b/>
        </w:rPr>
        <w:t>ČR</w:t>
      </w:r>
      <w:r>
        <w:rPr>
          <w:rFonts w:ascii="Arial" w:hAnsi="Arial" w:cs="Arial"/>
        </w:rPr>
        <w:t xml:space="preserve"> byl zaznamenán </w:t>
      </w:r>
      <w:r w:rsidRPr="00BD629A">
        <w:rPr>
          <w:rFonts w:ascii="Arial" w:hAnsi="Arial" w:cs="Arial"/>
          <w:b/>
        </w:rPr>
        <w:t>nárůst</w:t>
      </w:r>
      <w:r>
        <w:rPr>
          <w:rFonts w:ascii="Arial" w:hAnsi="Arial" w:cs="Arial"/>
        </w:rPr>
        <w:t xml:space="preserve"> o 0,9 </w:t>
      </w:r>
      <w:r w:rsidR="00E3619C">
        <w:rPr>
          <w:rFonts w:ascii="Arial" w:hAnsi="Arial" w:cs="Arial"/>
        </w:rPr>
        <w:t>p. b</w:t>
      </w:r>
      <w:r>
        <w:rPr>
          <w:rFonts w:ascii="Arial" w:hAnsi="Arial" w:cs="Arial"/>
        </w:rPr>
        <w:t xml:space="preserve">. na </w:t>
      </w:r>
      <w:r w:rsidRPr="00BD629A">
        <w:rPr>
          <w:rFonts w:ascii="Arial" w:hAnsi="Arial" w:cs="Arial"/>
          <w:b/>
        </w:rPr>
        <w:t>81,2 %</w:t>
      </w:r>
      <w:r w:rsidRPr="00BD629A">
        <w:rPr>
          <w:rFonts w:ascii="Arial" w:hAnsi="Arial" w:cs="Arial"/>
        </w:rPr>
        <w:t>.</w:t>
      </w:r>
    </w:p>
    <w:p w:rsidR="001B48C2" w:rsidRDefault="001B48C2" w:rsidP="001B48C2">
      <w:pPr>
        <w:spacing w:line="360" w:lineRule="auto"/>
        <w:ind w:firstLine="567"/>
        <w:jc w:val="both"/>
        <w:rPr>
          <w:rFonts w:ascii="Arial" w:hAnsi="Arial" w:cs="Arial"/>
        </w:rPr>
      </w:pPr>
    </w:p>
    <w:p w:rsidR="001B48C2" w:rsidRPr="00487D7E" w:rsidRDefault="001B48C2" w:rsidP="001B48C2">
      <w:pPr>
        <w:spacing w:line="360" w:lineRule="auto"/>
        <w:jc w:val="right"/>
        <w:rPr>
          <w:rFonts w:ascii="Arial" w:hAnsi="Arial" w:cs="Arial"/>
          <w:sz w:val="20"/>
          <w:szCs w:val="20"/>
        </w:rPr>
      </w:pPr>
      <w:r w:rsidRPr="00487D7E">
        <w:rPr>
          <w:rFonts w:ascii="Arial" w:hAnsi="Arial" w:cs="Arial"/>
          <w:sz w:val="20"/>
          <w:szCs w:val="20"/>
        </w:rPr>
        <w:t xml:space="preserve">graf č. 15 </w:t>
      </w:r>
    </w:p>
    <w:p w:rsidR="001B48C2" w:rsidRPr="006D2AC0" w:rsidRDefault="001B48C2" w:rsidP="001B48C2">
      <w:pPr>
        <w:spacing w:line="360" w:lineRule="auto"/>
        <w:jc w:val="center"/>
      </w:pPr>
      <w:r w:rsidRPr="00487D7E">
        <w:rPr>
          <w:rFonts w:ascii="Arial" w:hAnsi="Arial" w:cs="Arial"/>
          <w:b/>
        </w:rPr>
        <w:t>Srovnání vývoje míry zaměstnanosti v EU 27 a ČR</w:t>
      </w:r>
      <w:r w:rsidRPr="00487D7E">
        <w:rPr>
          <w:noProof/>
        </w:rPr>
        <w:t xml:space="preserve"> </w:t>
      </w:r>
      <w:r>
        <w:rPr>
          <w:noProof/>
        </w:rPr>
        <w:drawing>
          <wp:inline distT="0" distB="0" distL="0" distR="0" wp14:anchorId="5B0F1FA5" wp14:editId="6E3DEE3B">
            <wp:extent cx="2609849" cy="2024063"/>
            <wp:effectExtent l="0" t="0" r="635" b="0"/>
            <wp:docPr id="14" name="Graf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r w:rsidRPr="00A06278">
        <w:rPr>
          <w:noProof/>
          <w:color w:val="0070C0"/>
        </w:rPr>
        <w:t xml:space="preserve"> </w:t>
      </w:r>
      <w:r>
        <w:rPr>
          <w:noProof/>
        </w:rPr>
        <w:drawing>
          <wp:inline distT="0" distB="0" distL="0" distR="0" wp14:anchorId="58E93FD9" wp14:editId="07434FC3">
            <wp:extent cx="2609849" cy="2024063"/>
            <wp:effectExtent l="0" t="0" r="635" b="0"/>
            <wp:docPr id="21" name="Graf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1B48C2" w:rsidRPr="006D2AC0" w:rsidRDefault="001B48C2" w:rsidP="001B48C2">
      <w:pPr>
        <w:spacing w:line="360" w:lineRule="auto"/>
        <w:jc w:val="center"/>
      </w:pPr>
      <w:r>
        <w:rPr>
          <w:noProof/>
        </w:rPr>
        <w:drawing>
          <wp:inline distT="0" distB="0" distL="0" distR="0" wp14:anchorId="3C579CD8" wp14:editId="0828DC5E">
            <wp:extent cx="2609849" cy="2024063"/>
            <wp:effectExtent l="0" t="0" r="635" b="0"/>
            <wp:docPr id="22" name="Graf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r w:rsidRPr="00A06278">
        <w:rPr>
          <w:noProof/>
          <w:color w:val="0070C0"/>
        </w:rPr>
        <w:t xml:space="preserve"> </w:t>
      </w:r>
      <w:r>
        <w:rPr>
          <w:noProof/>
        </w:rPr>
        <w:drawing>
          <wp:inline distT="0" distB="0" distL="0" distR="0" wp14:anchorId="229ACA15" wp14:editId="2747497E">
            <wp:extent cx="2609849" cy="2024063"/>
            <wp:effectExtent l="0" t="0" r="635" b="0"/>
            <wp:docPr id="23" name="Graf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1B48C2" w:rsidRDefault="001B48C2" w:rsidP="001B48C2">
      <w:pPr>
        <w:spacing w:line="360" w:lineRule="auto"/>
        <w:ind w:firstLine="567"/>
        <w:jc w:val="both"/>
        <w:rPr>
          <w:rFonts w:ascii="Arial" w:hAnsi="Arial" w:cs="Arial"/>
        </w:rPr>
      </w:pPr>
    </w:p>
    <w:p w:rsidR="001B48C2" w:rsidRDefault="001B48C2" w:rsidP="001B48C2">
      <w:pPr>
        <w:spacing w:line="360" w:lineRule="auto"/>
        <w:ind w:firstLine="567"/>
        <w:jc w:val="both"/>
        <w:rPr>
          <w:rFonts w:ascii="Arial" w:hAnsi="Arial" w:cs="Arial"/>
        </w:rPr>
      </w:pPr>
      <w:r w:rsidRPr="0018578A">
        <w:rPr>
          <w:rFonts w:ascii="Arial" w:hAnsi="Arial" w:cs="Arial"/>
          <w:b/>
        </w:rPr>
        <w:t>Míra zaměstnanosti</w:t>
      </w:r>
      <w:r w:rsidRPr="0018578A">
        <w:rPr>
          <w:rFonts w:ascii="Arial" w:hAnsi="Arial" w:cs="Arial"/>
        </w:rPr>
        <w:t xml:space="preserve"> </w:t>
      </w:r>
      <w:r w:rsidRPr="0018578A">
        <w:rPr>
          <w:rFonts w:ascii="Arial" w:hAnsi="Arial" w:cs="Arial"/>
          <w:b/>
        </w:rPr>
        <w:t>osob ve věku 55 - 64 let</w:t>
      </w:r>
      <w:r w:rsidRPr="0018578A">
        <w:rPr>
          <w:rFonts w:ascii="Arial" w:hAnsi="Arial" w:cs="Arial"/>
        </w:rPr>
        <w:t xml:space="preserve"> se po nárůstu v roce 2011 zvyšovala i </w:t>
      </w:r>
      <w:r>
        <w:rPr>
          <w:rFonts w:ascii="Arial" w:hAnsi="Arial" w:cs="Arial"/>
        </w:rPr>
        <w:t>v </w:t>
      </w:r>
      <w:r w:rsidRPr="0018578A">
        <w:rPr>
          <w:rFonts w:ascii="Arial" w:hAnsi="Arial" w:cs="Arial"/>
        </w:rPr>
        <w:t xml:space="preserve">následujícím období. </w:t>
      </w:r>
      <w:r w:rsidRPr="0018578A">
        <w:rPr>
          <w:rFonts w:ascii="Arial" w:hAnsi="Arial" w:cs="Arial"/>
          <w:b/>
        </w:rPr>
        <w:t>V roce</w:t>
      </w:r>
      <w:r w:rsidRPr="0018578A">
        <w:rPr>
          <w:rFonts w:ascii="Arial" w:hAnsi="Arial" w:cs="Arial"/>
        </w:rPr>
        <w:t xml:space="preserve"> </w:t>
      </w:r>
      <w:r w:rsidRPr="0018578A">
        <w:rPr>
          <w:rFonts w:ascii="Arial" w:hAnsi="Arial" w:cs="Arial"/>
          <w:b/>
        </w:rPr>
        <w:t>2012 za EU</w:t>
      </w:r>
      <w:r>
        <w:rPr>
          <w:rFonts w:ascii="Arial" w:hAnsi="Arial" w:cs="Arial"/>
          <w:b/>
        </w:rPr>
        <w:t> </w:t>
      </w:r>
      <w:r w:rsidRPr="0018578A">
        <w:rPr>
          <w:rFonts w:ascii="Arial" w:hAnsi="Arial" w:cs="Arial"/>
          <w:b/>
        </w:rPr>
        <w:t xml:space="preserve">27 </w:t>
      </w:r>
      <w:r w:rsidRPr="0018578A">
        <w:rPr>
          <w:rFonts w:ascii="Arial" w:hAnsi="Arial" w:cs="Arial"/>
        </w:rPr>
        <w:t xml:space="preserve">činila </w:t>
      </w:r>
      <w:r w:rsidRPr="0018578A">
        <w:rPr>
          <w:rFonts w:ascii="Arial" w:hAnsi="Arial" w:cs="Arial"/>
          <w:b/>
        </w:rPr>
        <w:t>48,</w:t>
      </w:r>
      <w:r w:rsidRPr="00520DD6">
        <w:rPr>
          <w:rFonts w:ascii="Arial" w:hAnsi="Arial" w:cs="Arial"/>
          <w:b/>
        </w:rPr>
        <w:t>9 %</w:t>
      </w:r>
      <w:r w:rsidRPr="00520DD6">
        <w:rPr>
          <w:rFonts w:ascii="Arial" w:hAnsi="Arial" w:cs="Arial"/>
        </w:rPr>
        <w:t>, ve </w:t>
      </w:r>
      <w:r w:rsidRPr="00520DD6">
        <w:rPr>
          <w:rFonts w:ascii="Arial" w:hAnsi="Arial" w:cs="Arial"/>
          <w:b/>
        </w:rPr>
        <w:t>2. čtvrtletí 2013</w:t>
      </w:r>
      <w:r w:rsidRPr="00520DD6">
        <w:rPr>
          <w:rFonts w:ascii="Arial" w:hAnsi="Arial" w:cs="Arial"/>
        </w:rPr>
        <w:t xml:space="preserve"> dosáhla hodnoty </w:t>
      </w:r>
      <w:r w:rsidRPr="00520DD6">
        <w:rPr>
          <w:rFonts w:ascii="Arial" w:hAnsi="Arial" w:cs="Arial"/>
          <w:b/>
        </w:rPr>
        <w:t>50,1 %</w:t>
      </w:r>
      <w:r w:rsidRPr="00520DD6">
        <w:rPr>
          <w:rFonts w:ascii="Arial" w:hAnsi="Arial" w:cs="Arial"/>
        </w:rPr>
        <w:t>. V roce 2012</w:t>
      </w:r>
      <w:r>
        <w:rPr>
          <w:rFonts w:ascii="Arial" w:hAnsi="Arial" w:cs="Arial"/>
        </w:rPr>
        <w:t xml:space="preserve"> byla </w:t>
      </w:r>
      <w:r w:rsidRPr="00DE5B38">
        <w:rPr>
          <w:rFonts w:ascii="Arial" w:hAnsi="Arial" w:cs="Arial"/>
        </w:rPr>
        <w:t xml:space="preserve">míra zaměstnanosti starších osob </w:t>
      </w:r>
      <w:r w:rsidRPr="0018578A">
        <w:rPr>
          <w:rFonts w:ascii="Arial" w:hAnsi="Arial" w:cs="Arial"/>
          <w:b/>
        </w:rPr>
        <w:t>v</w:t>
      </w:r>
      <w:r>
        <w:rPr>
          <w:rFonts w:ascii="Arial" w:hAnsi="Arial" w:cs="Arial"/>
          <w:b/>
        </w:rPr>
        <w:t> </w:t>
      </w:r>
      <w:r w:rsidRPr="0018578A">
        <w:rPr>
          <w:rFonts w:ascii="Arial" w:hAnsi="Arial" w:cs="Arial"/>
          <w:b/>
        </w:rPr>
        <w:t>ČR</w:t>
      </w:r>
      <w:r w:rsidRPr="0018578A">
        <w:rPr>
          <w:rFonts w:ascii="Arial" w:hAnsi="Arial" w:cs="Arial"/>
        </w:rPr>
        <w:t xml:space="preserve"> </w:t>
      </w:r>
      <w:r>
        <w:rPr>
          <w:rFonts w:ascii="Arial" w:hAnsi="Arial" w:cs="Arial"/>
        </w:rPr>
        <w:t xml:space="preserve">stejně jako v předešlých letech vyšší než v EU 27 a dosáhla </w:t>
      </w:r>
      <w:r>
        <w:rPr>
          <w:rFonts w:ascii="Arial" w:hAnsi="Arial" w:cs="Arial"/>
        </w:rPr>
        <w:lastRenderedPageBreak/>
        <w:t xml:space="preserve">hodnoty </w:t>
      </w:r>
      <w:r w:rsidRPr="00272EDE">
        <w:rPr>
          <w:rFonts w:ascii="Arial" w:hAnsi="Arial" w:cs="Arial"/>
          <w:b/>
        </w:rPr>
        <w:t>49,3 %</w:t>
      </w:r>
      <w:r w:rsidRPr="001875B6">
        <w:rPr>
          <w:rFonts w:ascii="Arial" w:hAnsi="Arial" w:cs="Arial"/>
        </w:rPr>
        <w:t xml:space="preserve">, </w:t>
      </w:r>
      <w:r w:rsidRPr="00520DD6">
        <w:rPr>
          <w:rFonts w:ascii="Arial" w:hAnsi="Arial" w:cs="Arial"/>
        </w:rPr>
        <w:t>ve </w:t>
      </w:r>
      <w:r w:rsidRPr="00520DD6">
        <w:rPr>
          <w:rFonts w:ascii="Arial" w:hAnsi="Arial" w:cs="Arial"/>
          <w:b/>
        </w:rPr>
        <w:t>2. čtvrtletí 2013</w:t>
      </w:r>
      <w:r>
        <w:rPr>
          <w:rFonts w:ascii="Arial" w:hAnsi="Arial" w:cs="Arial"/>
          <w:b/>
        </w:rPr>
        <w:t xml:space="preserve"> meziročně vzrostla </w:t>
      </w:r>
      <w:r w:rsidRPr="001875B6">
        <w:rPr>
          <w:rFonts w:ascii="Arial" w:hAnsi="Arial" w:cs="Arial"/>
        </w:rPr>
        <w:t>o 2,3 </w:t>
      </w:r>
      <w:r w:rsidR="00E3619C">
        <w:rPr>
          <w:rFonts w:ascii="Arial" w:hAnsi="Arial" w:cs="Arial"/>
        </w:rPr>
        <w:t>p. b</w:t>
      </w:r>
      <w:r w:rsidRPr="001875B6">
        <w:rPr>
          <w:rFonts w:ascii="Arial" w:hAnsi="Arial" w:cs="Arial"/>
        </w:rPr>
        <w:t>.</w:t>
      </w:r>
      <w:r>
        <w:rPr>
          <w:rFonts w:ascii="Arial" w:hAnsi="Arial" w:cs="Arial"/>
          <w:b/>
        </w:rPr>
        <w:t xml:space="preserve"> na 51,4 %</w:t>
      </w:r>
      <w:r>
        <w:rPr>
          <w:rFonts w:ascii="Arial" w:hAnsi="Arial" w:cs="Arial"/>
        </w:rPr>
        <w:t xml:space="preserve">. Nejvyšší míra zaměstnanosti starších osob byla ve 2. čtvrtletí 2013 naměřena ve Švédsku (73,3 %), ČR vykázala 10. nejvyšší MZ starších osob v rámci EU27 (51,4 %). V rámci </w:t>
      </w:r>
      <w:r w:rsidRPr="00786876">
        <w:rPr>
          <w:rFonts w:ascii="Arial" w:hAnsi="Arial" w:cs="Arial"/>
        </w:rPr>
        <w:t>Strategie Evropa 2020</w:t>
      </w:r>
      <w:r>
        <w:rPr>
          <w:rFonts w:ascii="Arial" w:hAnsi="Arial" w:cs="Arial"/>
        </w:rPr>
        <w:t xml:space="preserve"> je stanoven n</w:t>
      </w:r>
      <w:r w:rsidRPr="00786876">
        <w:rPr>
          <w:rFonts w:ascii="Arial" w:hAnsi="Arial" w:cs="Arial"/>
        </w:rPr>
        <w:t xml:space="preserve">árodní cíl </w:t>
      </w:r>
      <w:r>
        <w:rPr>
          <w:rFonts w:ascii="Arial" w:hAnsi="Arial" w:cs="Arial"/>
        </w:rPr>
        <w:t xml:space="preserve">ČR </w:t>
      </w:r>
      <w:r w:rsidRPr="00786876">
        <w:rPr>
          <w:rFonts w:ascii="Arial" w:hAnsi="Arial" w:cs="Arial"/>
        </w:rPr>
        <w:t xml:space="preserve">míry zaměstnanosti </w:t>
      </w:r>
      <w:r w:rsidRPr="00275F71">
        <w:rPr>
          <w:rFonts w:ascii="Arial" w:hAnsi="Arial" w:cs="Arial"/>
        </w:rPr>
        <w:t xml:space="preserve">starších pracovníků </w:t>
      </w:r>
      <w:r>
        <w:rPr>
          <w:rFonts w:ascii="Arial" w:hAnsi="Arial" w:cs="Arial"/>
        </w:rPr>
        <w:t>ve věku 55 – 64 let na 5</w:t>
      </w:r>
      <w:r w:rsidRPr="00786876">
        <w:rPr>
          <w:rFonts w:ascii="Arial" w:hAnsi="Arial" w:cs="Arial"/>
        </w:rPr>
        <w:t>5</w:t>
      </w:r>
      <w:r>
        <w:rPr>
          <w:rFonts w:ascii="Arial" w:hAnsi="Arial" w:cs="Arial"/>
        </w:rPr>
        <w:t> </w:t>
      </w:r>
      <w:r w:rsidRPr="006D2AC0">
        <w:rPr>
          <w:rFonts w:ascii="Arial" w:hAnsi="Arial" w:cs="Arial"/>
        </w:rPr>
        <w:t xml:space="preserve">%. </w:t>
      </w:r>
    </w:p>
    <w:p w:rsidR="001B48C2" w:rsidRPr="0069167E" w:rsidRDefault="001B48C2" w:rsidP="001B48C2">
      <w:pPr>
        <w:widowControl w:val="0"/>
        <w:autoSpaceDE w:val="0"/>
        <w:autoSpaceDN w:val="0"/>
        <w:adjustRightInd w:val="0"/>
        <w:ind w:firstLine="709"/>
        <w:jc w:val="right"/>
        <w:rPr>
          <w:rFonts w:ascii="Arial" w:hAnsi="Arial" w:cs="Arial"/>
          <w:sz w:val="20"/>
          <w:szCs w:val="20"/>
        </w:rPr>
      </w:pPr>
      <w:r w:rsidRPr="0069167E">
        <w:rPr>
          <w:rFonts w:ascii="Arial" w:hAnsi="Arial" w:cs="Arial"/>
          <w:sz w:val="20"/>
          <w:szCs w:val="20"/>
        </w:rPr>
        <w:t>graf č. 16</w:t>
      </w:r>
    </w:p>
    <w:p w:rsidR="001B48C2" w:rsidRPr="0069167E" w:rsidRDefault="001B48C2" w:rsidP="001B48C2">
      <w:pPr>
        <w:widowControl w:val="0"/>
        <w:autoSpaceDE w:val="0"/>
        <w:autoSpaceDN w:val="0"/>
        <w:adjustRightInd w:val="0"/>
        <w:jc w:val="center"/>
        <w:rPr>
          <w:rFonts w:ascii="Arial" w:hAnsi="Arial" w:cs="Arial"/>
          <w:b/>
        </w:rPr>
      </w:pPr>
      <w:r w:rsidRPr="0069167E">
        <w:rPr>
          <w:rFonts w:ascii="Arial" w:hAnsi="Arial" w:cs="Arial"/>
          <w:b/>
        </w:rPr>
        <w:t>Srovnání sektorové struktury</w:t>
      </w:r>
    </w:p>
    <w:p w:rsidR="001B48C2" w:rsidRPr="0069167E" w:rsidRDefault="001B48C2" w:rsidP="001B48C2">
      <w:pPr>
        <w:widowControl w:val="0"/>
        <w:autoSpaceDE w:val="0"/>
        <w:autoSpaceDN w:val="0"/>
        <w:adjustRightInd w:val="0"/>
        <w:jc w:val="center"/>
        <w:rPr>
          <w:rFonts w:ascii="Arial" w:hAnsi="Arial" w:cs="Arial"/>
        </w:rPr>
      </w:pPr>
    </w:p>
    <w:p w:rsidR="001B48C2" w:rsidRPr="00B6743A" w:rsidRDefault="001B48C2" w:rsidP="001B48C2">
      <w:pPr>
        <w:spacing w:line="360" w:lineRule="auto"/>
        <w:jc w:val="both"/>
        <w:rPr>
          <w:noProof/>
        </w:rPr>
      </w:pPr>
      <w:r>
        <w:rPr>
          <w:noProof/>
        </w:rPr>
        <w:drawing>
          <wp:inline distT="0" distB="0" distL="0" distR="0" wp14:anchorId="74DB33A6" wp14:editId="18594F15">
            <wp:extent cx="2619375" cy="1981200"/>
            <wp:effectExtent l="0" t="0" r="0" b="0"/>
            <wp:docPr id="24" name="Graf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r w:rsidRPr="00B6743A">
        <w:rPr>
          <w:noProof/>
        </w:rPr>
        <w:t xml:space="preserve">         </w:t>
      </w:r>
      <w:r>
        <w:rPr>
          <w:noProof/>
        </w:rPr>
        <w:drawing>
          <wp:inline distT="0" distB="0" distL="0" distR="0" wp14:anchorId="353BA222" wp14:editId="4BC7D375">
            <wp:extent cx="2752725" cy="1914525"/>
            <wp:effectExtent l="0" t="0" r="0" b="0"/>
            <wp:docPr id="25" name="Graf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1B48C2" w:rsidRPr="006D2AC0" w:rsidRDefault="001B48C2" w:rsidP="001B48C2">
      <w:pPr>
        <w:spacing w:line="360" w:lineRule="auto"/>
        <w:ind w:firstLine="567"/>
        <w:jc w:val="both"/>
        <w:rPr>
          <w:rFonts w:ascii="Arial" w:hAnsi="Arial" w:cs="Arial"/>
        </w:rPr>
      </w:pPr>
    </w:p>
    <w:p w:rsidR="001B48C2" w:rsidRDefault="001B48C2" w:rsidP="001B48C2">
      <w:pPr>
        <w:spacing w:line="360" w:lineRule="auto"/>
        <w:ind w:firstLine="567"/>
        <w:jc w:val="both"/>
        <w:rPr>
          <w:rFonts w:ascii="Arial" w:hAnsi="Arial" w:cs="Arial"/>
        </w:rPr>
      </w:pPr>
      <w:r w:rsidRPr="0054337E">
        <w:rPr>
          <w:rFonts w:ascii="Arial" w:hAnsi="Arial" w:cs="Arial"/>
        </w:rPr>
        <w:t xml:space="preserve">Přes probíhající </w:t>
      </w:r>
      <w:r w:rsidRPr="0054337E">
        <w:rPr>
          <w:rFonts w:ascii="Arial" w:hAnsi="Arial" w:cs="Arial"/>
          <w:b/>
          <w:bCs/>
        </w:rPr>
        <w:t>sektorové změny v zaměstnanosti</w:t>
      </w:r>
      <w:r w:rsidRPr="0054337E">
        <w:rPr>
          <w:rFonts w:ascii="Arial" w:hAnsi="Arial" w:cs="Arial"/>
        </w:rPr>
        <w:t xml:space="preserve"> je v ČR ve srovnání s průměrem EU 27 stále </w:t>
      </w:r>
      <w:r w:rsidRPr="0054337E">
        <w:rPr>
          <w:rFonts w:ascii="Arial" w:hAnsi="Arial" w:cs="Arial"/>
          <w:bCs/>
        </w:rPr>
        <w:t>vysoké zastoupení sekundárního a nižší zastoupení terciárního sektoru</w:t>
      </w:r>
      <w:r w:rsidRPr="0054337E">
        <w:rPr>
          <w:rFonts w:ascii="Arial" w:hAnsi="Arial" w:cs="Arial"/>
        </w:rPr>
        <w:t xml:space="preserve"> na celkové zaměstnanosti. </w:t>
      </w:r>
      <w:r>
        <w:rPr>
          <w:rFonts w:ascii="Arial" w:hAnsi="Arial" w:cs="Arial"/>
        </w:rPr>
        <w:t>V</w:t>
      </w:r>
      <w:r w:rsidRPr="00331829">
        <w:rPr>
          <w:rFonts w:ascii="Arial" w:hAnsi="Arial" w:cs="Arial"/>
        </w:rPr>
        <w:t> </w:t>
      </w:r>
      <w:r w:rsidRPr="000A21C3">
        <w:rPr>
          <w:rFonts w:ascii="Arial" w:hAnsi="Arial" w:cs="Arial"/>
          <w:b/>
        </w:rPr>
        <w:t>roce 2012</w:t>
      </w:r>
      <w:r w:rsidRPr="00331829">
        <w:rPr>
          <w:rFonts w:ascii="Arial" w:hAnsi="Arial" w:cs="Arial"/>
        </w:rPr>
        <w:t xml:space="preserve"> </w:t>
      </w:r>
      <w:r w:rsidRPr="00331829">
        <w:rPr>
          <w:rFonts w:ascii="Arial" w:hAnsi="Arial" w:cs="Arial"/>
          <w:bCs/>
        </w:rPr>
        <w:t>v EU 27</w:t>
      </w:r>
      <w:r w:rsidRPr="00331829">
        <w:rPr>
          <w:rFonts w:ascii="Arial" w:hAnsi="Arial" w:cs="Arial"/>
        </w:rPr>
        <w:t xml:space="preserve"> </w:t>
      </w:r>
      <w:r w:rsidRPr="00331829">
        <w:rPr>
          <w:rFonts w:ascii="Arial" w:hAnsi="Arial" w:cs="Arial"/>
          <w:b/>
        </w:rPr>
        <w:t xml:space="preserve">podíl </w:t>
      </w:r>
      <w:r w:rsidRPr="00484A94">
        <w:rPr>
          <w:rFonts w:ascii="Arial" w:hAnsi="Arial" w:cs="Arial"/>
          <w:b/>
        </w:rPr>
        <w:t>sekundárního sektoru</w:t>
      </w:r>
      <w:r w:rsidRPr="00484A94">
        <w:rPr>
          <w:rFonts w:ascii="Arial" w:hAnsi="Arial" w:cs="Arial"/>
        </w:rPr>
        <w:t xml:space="preserve"> poklesl na </w:t>
      </w:r>
      <w:r w:rsidRPr="00484A94">
        <w:rPr>
          <w:rFonts w:ascii="Arial" w:hAnsi="Arial" w:cs="Arial"/>
          <w:bCs/>
        </w:rPr>
        <w:t xml:space="preserve">22,6 %, v ČR poklesl na 36,1 %, </w:t>
      </w:r>
      <w:r w:rsidRPr="00484A94">
        <w:rPr>
          <w:rFonts w:ascii="Arial" w:hAnsi="Arial" w:cs="Arial"/>
          <w:b/>
          <w:bCs/>
        </w:rPr>
        <w:t>ve 2. čtvrtletí 2013 </w:t>
      </w:r>
      <w:r w:rsidRPr="00C40BBA">
        <w:rPr>
          <w:rFonts w:ascii="Arial" w:hAnsi="Arial" w:cs="Arial"/>
          <w:b/>
          <w:bCs/>
        </w:rPr>
        <w:t xml:space="preserve">v EU 27 </w:t>
      </w:r>
      <w:r w:rsidRPr="00C40BBA">
        <w:rPr>
          <w:rFonts w:ascii="Arial" w:hAnsi="Arial" w:cs="Arial"/>
          <w:bCs/>
        </w:rPr>
        <w:t xml:space="preserve">meziročně </w:t>
      </w:r>
      <w:r w:rsidRPr="00C40BBA">
        <w:rPr>
          <w:rFonts w:ascii="Arial" w:hAnsi="Arial" w:cs="Arial"/>
          <w:b/>
          <w:bCs/>
        </w:rPr>
        <w:t xml:space="preserve">poklesl na </w:t>
      </w:r>
      <w:r w:rsidRPr="008D601B">
        <w:rPr>
          <w:rFonts w:ascii="Arial" w:hAnsi="Arial" w:cs="Arial"/>
          <w:b/>
          <w:bCs/>
        </w:rPr>
        <w:t>22,3 %</w:t>
      </w:r>
      <w:r w:rsidRPr="008D601B">
        <w:rPr>
          <w:rFonts w:ascii="Arial" w:hAnsi="Arial" w:cs="Arial"/>
          <w:bCs/>
        </w:rPr>
        <w:t xml:space="preserve">, </w:t>
      </w:r>
      <w:r w:rsidRPr="008D601B">
        <w:rPr>
          <w:rFonts w:ascii="Arial" w:hAnsi="Arial" w:cs="Arial"/>
          <w:b/>
          <w:bCs/>
        </w:rPr>
        <w:t xml:space="preserve">v ČR na </w:t>
      </w:r>
      <w:r w:rsidRPr="00885F87">
        <w:rPr>
          <w:rFonts w:ascii="Arial" w:hAnsi="Arial" w:cs="Arial"/>
          <w:b/>
          <w:bCs/>
        </w:rPr>
        <w:t>36</w:t>
      </w:r>
      <w:r w:rsidRPr="00861C11">
        <w:rPr>
          <w:rFonts w:ascii="Arial" w:hAnsi="Arial" w:cs="Arial"/>
          <w:b/>
          <w:bCs/>
        </w:rPr>
        <w:t>,3 %</w:t>
      </w:r>
      <w:r w:rsidRPr="00861C11">
        <w:rPr>
          <w:rFonts w:ascii="Arial" w:hAnsi="Arial" w:cs="Arial"/>
          <w:bCs/>
        </w:rPr>
        <w:t xml:space="preserve">, </w:t>
      </w:r>
      <w:r w:rsidRPr="00861C11">
        <w:rPr>
          <w:rFonts w:ascii="Arial" w:hAnsi="Arial" w:cs="Arial"/>
        </w:rPr>
        <w:t xml:space="preserve">přesto je to stále </w:t>
      </w:r>
      <w:r w:rsidRPr="00861C11">
        <w:rPr>
          <w:rFonts w:ascii="Arial" w:hAnsi="Arial" w:cs="Arial"/>
          <w:b/>
          <w:bCs/>
        </w:rPr>
        <w:t xml:space="preserve">nejvyšší hodnota </w:t>
      </w:r>
      <w:r w:rsidRPr="00861C11">
        <w:rPr>
          <w:rFonts w:ascii="Arial" w:hAnsi="Arial" w:cs="Arial"/>
          <w:b/>
        </w:rPr>
        <w:t>ze všech států EU 27</w:t>
      </w:r>
      <w:r w:rsidRPr="000A21C3">
        <w:rPr>
          <w:rFonts w:ascii="Arial" w:hAnsi="Arial" w:cs="Arial"/>
        </w:rPr>
        <w:t>. Kromě ČR si hodnotu vyšší než 30</w:t>
      </w:r>
      <w:r>
        <w:rPr>
          <w:rFonts w:ascii="Arial" w:hAnsi="Arial" w:cs="Arial"/>
        </w:rPr>
        <w:t>,0</w:t>
      </w:r>
      <w:r w:rsidRPr="000A21C3">
        <w:rPr>
          <w:rFonts w:ascii="Arial" w:hAnsi="Arial" w:cs="Arial"/>
        </w:rPr>
        <w:t xml:space="preserve"> % udržuje </w:t>
      </w:r>
      <w:r w:rsidRPr="00600ACA">
        <w:rPr>
          <w:rFonts w:ascii="Arial" w:hAnsi="Arial" w:cs="Arial"/>
        </w:rPr>
        <w:t xml:space="preserve">ještě Slovensko a Polsko, podle posledních aktuálních dat za 1. čtvrtletí 2013 také </w:t>
      </w:r>
      <w:r w:rsidRPr="00D710CB">
        <w:rPr>
          <w:rFonts w:ascii="Arial" w:hAnsi="Arial" w:cs="Arial"/>
        </w:rPr>
        <w:t xml:space="preserve">Maďarsko. </w:t>
      </w:r>
      <w:r w:rsidRPr="003D497B">
        <w:rPr>
          <w:rFonts w:ascii="Arial" w:hAnsi="Arial" w:cs="Arial"/>
        </w:rPr>
        <w:t xml:space="preserve">Naopak mezi země s nejnižším podílem tohoto sektoru patří Řecko, Nizozemsko, Velká </w:t>
      </w:r>
      <w:r w:rsidRPr="00F73EDA">
        <w:rPr>
          <w:rFonts w:ascii="Arial" w:hAnsi="Arial" w:cs="Arial"/>
        </w:rPr>
        <w:t>Británie a Kypr (pod 17</w:t>
      </w:r>
      <w:r>
        <w:rPr>
          <w:rFonts w:ascii="Arial" w:hAnsi="Arial" w:cs="Arial"/>
        </w:rPr>
        <w:t>,0</w:t>
      </w:r>
      <w:r w:rsidRPr="00F73EDA">
        <w:rPr>
          <w:rFonts w:ascii="Arial" w:hAnsi="Arial" w:cs="Arial"/>
        </w:rPr>
        <w:t xml:space="preserve"> %). </w:t>
      </w:r>
      <w:r w:rsidRPr="00F73EDA">
        <w:rPr>
          <w:rFonts w:ascii="Arial" w:hAnsi="Arial" w:cs="Arial"/>
          <w:b/>
          <w:bCs/>
        </w:rPr>
        <w:t>Podíl terciárního sektoru</w:t>
      </w:r>
      <w:r w:rsidRPr="00F73EDA">
        <w:rPr>
          <w:rFonts w:ascii="Arial" w:hAnsi="Arial" w:cs="Arial"/>
        </w:rPr>
        <w:t xml:space="preserve"> </w:t>
      </w:r>
      <w:r w:rsidRPr="00F73EDA">
        <w:rPr>
          <w:rFonts w:ascii="Arial" w:hAnsi="Arial" w:cs="Arial"/>
          <w:b/>
          <w:bCs/>
        </w:rPr>
        <w:t>v EU 27</w:t>
      </w:r>
      <w:r w:rsidRPr="00F73EDA">
        <w:rPr>
          <w:rFonts w:ascii="Arial" w:hAnsi="Arial" w:cs="Arial"/>
          <w:bCs/>
        </w:rPr>
        <w:t xml:space="preserve"> v roce 2012 </w:t>
      </w:r>
      <w:r w:rsidRPr="00B6783A">
        <w:rPr>
          <w:rFonts w:ascii="Arial" w:hAnsi="Arial" w:cs="Arial"/>
        </w:rPr>
        <w:t>představoval</w:t>
      </w:r>
      <w:r w:rsidRPr="00B6783A">
        <w:rPr>
          <w:rFonts w:ascii="Arial" w:hAnsi="Arial" w:cs="Arial"/>
          <w:bCs/>
        </w:rPr>
        <w:t xml:space="preserve"> </w:t>
      </w:r>
      <w:r w:rsidRPr="00B6783A">
        <w:rPr>
          <w:rFonts w:ascii="Arial" w:hAnsi="Arial" w:cs="Arial"/>
          <w:b/>
          <w:bCs/>
        </w:rPr>
        <w:t>72,2 %</w:t>
      </w:r>
      <w:r w:rsidRPr="00B6783A">
        <w:rPr>
          <w:rFonts w:ascii="Arial" w:hAnsi="Arial" w:cs="Arial"/>
        </w:rPr>
        <w:t xml:space="preserve">, </w:t>
      </w:r>
      <w:r w:rsidRPr="00B6783A">
        <w:rPr>
          <w:rFonts w:ascii="Arial" w:hAnsi="Arial" w:cs="Arial"/>
          <w:b/>
        </w:rPr>
        <w:t xml:space="preserve">ve 2. čtvrtletí </w:t>
      </w:r>
      <w:r w:rsidRPr="00AF239F">
        <w:rPr>
          <w:rFonts w:ascii="Arial" w:hAnsi="Arial" w:cs="Arial"/>
          <w:b/>
        </w:rPr>
        <w:t xml:space="preserve">2013 </w:t>
      </w:r>
      <w:r w:rsidRPr="00AF239F">
        <w:rPr>
          <w:rFonts w:ascii="Arial" w:hAnsi="Arial" w:cs="Arial"/>
        </w:rPr>
        <w:t>meziročně</w:t>
      </w:r>
      <w:r w:rsidRPr="00AF239F">
        <w:rPr>
          <w:rFonts w:ascii="Arial" w:hAnsi="Arial" w:cs="Arial"/>
          <w:b/>
        </w:rPr>
        <w:t xml:space="preserve"> </w:t>
      </w:r>
      <w:r w:rsidRPr="00ED7805">
        <w:rPr>
          <w:rFonts w:ascii="Arial" w:hAnsi="Arial" w:cs="Arial"/>
          <w:b/>
        </w:rPr>
        <w:t>vzrostl na 72,5 %</w:t>
      </w:r>
      <w:r>
        <w:rPr>
          <w:rFonts w:ascii="Arial" w:hAnsi="Arial" w:cs="Arial"/>
        </w:rPr>
        <w:t>.</w:t>
      </w:r>
      <w:r w:rsidRPr="00ED7805">
        <w:rPr>
          <w:rFonts w:ascii="Arial" w:hAnsi="Arial" w:cs="Arial"/>
        </w:rPr>
        <w:t xml:space="preserve"> </w:t>
      </w:r>
      <w:r w:rsidRPr="00113085">
        <w:rPr>
          <w:rFonts w:ascii="Arial" w:hAnsi="Arial" w:cs="Arial"/>
          <w:bCs/>
        </w:rPr>
        <w:t>V ČR</w:t>
      </w:r>
      <w:r w:rsidRPr="00113085">
        <w:rPr>
          <w:rFonts w:ascii="Arial" w:hAnsi="Arial" w:cs="Arial"/>
        </w:rPr>
        <w:t xml:space="preserve"> je zastoupení tohoto sektoru podprůměrné, a </w:t>
      </w:r>
      <w:r w:rsidRPr="009D7661">
        <w:rPr>
          <w:rFonts w:ascii="Arial" w:hAnsi="Arial" w:cs="Arial"/>
        </w:rPr>
        <w:t xml:space="preserve">to </w:t>
      </w:r>
      <w:r w:rsidRPr="009D7661">
        <w:rPr>
          <w:rFonts w:ascii="Arial" w:hAnsi="Arial" w:cs="Arial"/>
          <w:bCs/>
        </w:rPr>
        <w:t xml:space="preserve">60,6 % v roce 2012, resp. </w:t>
      </w:r>
      <w:r w:rsidRPr="009D7661">
        <w:rPr>
          <w:rFonts w:ascii="Arial" w:hAnsi="Arial" w:cs="Arial"/>
          <w:b/>
          <w:bCs/>
        </w:rPr>
        <w:t>60,4 % ve 2. čtvrtletí 2013</w:t>
      </w:r>
      <w:r>
        <w:rPr>
          <w:rFonts w:ascii="Arial" w:hAnsi="Arial" w:cs="Arial"/>
          <w:bCs/>
        </w:rPr>
        <w:t xml:space="preserve">. </w:t>
      </w:r>
      <w:r w:rsidRPr="000E7090">
        <w:rPr>
          <w:rFonts w:ascii="Arial" w:hAnsi="Arial" w:cs="Arial"/>
        </w:rPr>
        <w:t xml:space="preserve">Nižší podíl než ČR byl zaznamenán pouze v Polsku, Bulharsku a Rumunsku, naopak nejvyšší </w:t>
      </w:r>
      <w:r w:rsidRPr="0068213B">
        <w:rPr>
          <w:rFonts w:ascii="Arial" w:hAnsi="Arial" w:cs="Arial"/>
        </w:rPr>
        <w:t>podíl (více než 80 %) v Dánsku, na Kypru</w:t>
      </w:r>
      <w:r>
        <w:rPr>
          <w:rFonts w:ascii="Arial" w:hAnsi="Arial" w:cs="Arial"/>
        </w:rPr>
        <w:t>, v </w:t>
      </w:r>
      <w:r w:rsidRPr="0017370F">
        <w:rPr>
          <w:rFonts w:ascii="Arial" w:hAnsi="Arial" w:cs="Arial"/>
        </w:rPr>
        <w:t>Nizozemsku a Velké Británii</w:t>
      </w:r>
      <w:r w:rsidRPr="00980C54">
        <w:rPr>
          <w:rFonts w:ascii="Arial" w:hAnsi="Arial" w:cs="Arial"/>
        </w:rPr>
        <w:t xml:space="preserve">. Zastoupení </w:t>
      </w:r>
      <w:r w:rsidRPr="00980C54">
        <w:rPr>
          <w:rFonts w:ascii="Arial" w:hAnsi="Arial" w:cs="Arial"/>
          <w:b/>
          <w:bCs/>
        </w:rPr>
        <w:t>primárního sektoru</w:t>
      </w:r>
      <w:r w:rsidRPr="00980C54">
        <w:rPr>
          <w:rFonts w:ascii="Arial" w:hAnsi="Arial" w:cs="Arial"/>
        </w:rPr>
        <w:t xml:space="preserve"> se </w:t>
      </w:r>
      <w:r w:rsidRPr="00980C54">
        <w:rPr>
          <w:rFonts w:ascii="Arial" w:hAnsi="Arial" w:cs="Arial"/>
          <w:b/>
          <w:bCs/>
        </w:rPr>
        <w:t>v ČR</w:t>
      </w:r>
      <w:r w:rsidRPr="00980C54">
        <w:rPr>
          <w:rFonts w:ascii="Arial" w:hAnsi="Arial" w:cs="Arial"/>
          <w:bCs/>
        </w:rPr>
        <w:t xml:space="preserve"> v </w:t>
      </w:r>
      <w:r w:rsidRPr="00980C54">
        <w:rPr>
          <w:rFonts w:ascii="Arial" w:hAnsi="Arial" w:cs="Arial"/>
          <w:b/>
          <w:bCs/>
        </w:rPr>
        <w:t>roce 2012</w:t>
      </w:r>
      <w:r w:rsidRPr="00980C54">
        <w:rPr>
          <w:rFonts w:ascii="Arial" w:hAnsi="Arial" w:cs="Arial"/>
          <w:bCs/>
        </w:rPr>
        <w:t xml:space="preserve"> nezměnilo, stejně jako v roce 2011 </w:t>
      </w:r>
      <w:r>
        <w:rPr>
          <w:rFonts w:ascii="Arial" w:hAnsi="Arial" w:cs="Arial"/>
          <w:bCs/>
        </w:rPr>
        <w:t>byl</w:t>
      </w:r>
      <w:r w:rsidRPr="00980C54">
        <w:rPr>
          <w:rFonts w:ascii="Arial" w:hAnsi="Arial" w:cs="Arial"/>
          <w:bCs/>
        </w:rPr>
        <w:t xml:space="preserve"> podíl primárního sektoru v ČR </w:t>
      </w:r>
      <w:r w:rsidRPr="00980C54">
        <w:rPr>
          <w:rFonts w:ascii="Arial" w:hAnsi="Arial" w:cs="Arial"/>
          <w:b/>
          <w:bCs/>
        </w:rPr>
        <w:t>3,3 %</w:t>
      </w:r>
      <w:r>
        <w:rPr>
          <w:rFonts w:ascii="Arial" w:hAnsi="Arial" w:cs="Arial"/>
          <w:bCs/>
        </w:rPr>
        <w:t>, ve </w:t>
      </w:r>
      <w:r w:rsidRPr="00265B57">
        <w:rPr>
          <w:rFonts w:ascii="Arial" w:hAnsi="Arial" w:cs="Arial"/>
          <w:b/>
          <w:bCs/>
        </w:rPr>
        <w:t>2. </w:t>
      </w:r>
      <w:r w:rsidRPr="00C6796F">
        <w:rPr>
          <w:rFonts w:ascii="Arial" w:hAnsi="Arial" w:cs="Arial"/>
          <w:b/>
          <w:bCs/>
        </w:rPr>
        <w:t>čtvrtletí 2013</w:t>
      </w:r>
      <w:r w:rsidRPr="00C6796F">
        <w:rPr>
          <w:rFonts w:ascii="Arial" w:hAnsi="Arial" w:cs="Arial"/>
          <w:bCs/>
        </w:rPr>
        <w:t xml:space="preserve"> se podíl mírně meziročně snížil ze 3,3 % na </w:t>
      </w:r>
      <w:r w:rsidRPr="00C6796F">
        <w:rPr>
          <w:rFonts w:ascii="Arial" w:hAnsi="Arial" w:cs="Arial"/>
          <w:b/>
          <w:bCs/>
        </w:rPr>
        <w:t>3,2 %</w:t>
      </w:r>
      <w:r w:rsidRPr="00C6796F">
        <w:rPr>
          <w:rFonts w:ascii="Arial" w:hAnsi="Arial" w:cs="Arial"/>
          <w:bCs/>
        </w:rPr>
        <w:t xml:space="preserve">. V </w:t>
      </w:r>
      <w:r w:rsidRPr="00C6796F">
        <w:rPr>
          <w:rFonts w:ascii="Arial" w:hAnsi="Arial" w:cs="Arial"/>
          <w:b/>
          <w:bCs/>
        </w:rPr>
        <w:t>EU 27</w:t>
      </w:r>
      <w:r w:rsidRPr="00C6796F">
        <w:rPr>
          <w:rFonts w:ascii="Arial" w:hAnsi="Arial" w:cs="Arial"/>
          <w:bCs/>
        </w:rPr>
        <w:t xml:space="preserve"> se hodnota podílu primárního sektoru v roce 2012 nezměnila (5,2 %), ve </w:t>
      </w:r>
      <w:r w:rsidRPr="006F3C04">
        <w:rPr>
          <w:rFonts w:ascii="Arial" w:hAnsi="Arial" w:cs="Arial"/>
          <w:b/>
          <w:bCs/>
        </w:rPr>
        <w:t>2. čtvrtletí 2013</w:t>
      </w:r>
      <w:r w:rsidRPr="00C6796F">
        <w:rPr>
          <w:rFonts w:ascii="Arial" w:hAnsi="Arial" w:cs="Arial"/>
          <w:bCs/>
        </w:rPr>
        <w:t xml:space="preserve"> také nedošlo k meziroční </w:t>
      </w:r>
      <w:r w:rsidRPr="00AE5624">
        <w:rPr>
          <w:rFonts w:ascii="Arial" w:hAnsi="Arial" w:cs="Arial"/>
          <w:bCs/>
        </w:rPr>
        <w:t xml:space="preserve">změně a stejně jako ve 2. čtvrtletí 2012 byl podíl </w:t>
      </w:r>
      <w:r w:rsidRPr="00AE5624">
        <w:rPr>
          <w:rFonts w:ascii="Arial" w:hAnsi="Arial" w:cs="Arial"/>
          <w:bCs/>
        </w:rPr>
        <w:lastRenderedPageBreak/>
        <w:t xml:space="preserve">primárního sektoru </w:t>
      </w:r>
      <w:r w:rsidRPr="00AE5624">
        <w:rPr>
          <w:rFonts w:ascii="Arial" w:hAnsi="Arial" w:cs="Arial"/>
          <w:b/>
          <w:bCs/>
        </w:rPr>
        <w:t>5,3 %</w:t>
      </w:r>
      <w:r w:rsidRPr="00AE5624">
        <w:rPr>
          <w:rFonts w:ascii="Arial" w:hAnsi="Arial" w:cs="Arial"/>
          <w:bCs/>
        </w:rPr>
        <w:t>.</w:t>
      </w:r>
      <w:r w:rsidRPr="00AE5624">
        <w:rPr>
          <w:rFonts w:ascii="Arial" w:hAnsi="Arial" w:cs="Arial"/>
        </w:rPr>
        <w:t xml:space="preserve"> Nejvyšší podíl tohoto sektoru připadá na Rumunsko, Bulharsko, Řecko, Polsko a </w:t>
      </w:r>
      <w:r w:rsidRPr="00544F66">
        <w:rPr>
          <w:rFonts w:ascii="Arial" w:hAnsi="Arial" w:cs="Arial"/>
        </w:rPr>
        <w:t>Portugalsko. Nejnižší podíl tohoto sektoru setrvává ve</w:t>
      </w:r>
      <w:r>
        <w:rPr>
          <w:rFonts w:ascii="Arial" w:hAnsi="Arial" w:cs="Arial"/>
        </w:rPr>
        <w:t> </w:t>
      </w:r>
      <w:r w:rsidRPr="00544F66">
        <w:rPr>
          <w:rFonts w:ascii="Arial" w:hAnsi="Arial" w:cs="Arial"/>
        </w:rPr>
        <w:t>Velké Británii, Lucembursku, Belgii a Německu.</w:t>
      </w:r>
    </w:p>
    <w:p w:rsidR="001B48C2" w:rsidRPr="005A05B7" w:rsidRDefault="001B48C2" w:rsidP="001B48C2">
      <w:pPr>
        <w:widowControl w:val="0"/>
        <w:autoSpaceDE w:val="0"/>
        <w:autoSpaceDN w:val="0"/>
        <w:adjustRightInd w:val="0"/>
        <w:spacing w:line="360" w:lineRule="auto"/>
        <w:ind w:firstLine="567"/>
        <w:jc w:val="both"/>
        <w:rPr>
          <w:rFonts w:ascii="Arial" w:hAnsi="Arial" w:cs="Arial"/>
        </w:rPr>
      </w:pPr>
      <w:r w:rsidRPr="009221F6">
        <w:rPr>
          <w:rFonts w:ascii="Arial" w:hAnsi="Arial" w:cs="Arial"/>
        </w:rPr>
        <w:t>V </w:t>
      </w:r>
      <w:r w:rsidRPr="009221F6">
        <w:rPr>
          <w:rFonts w:ascii="Arial" w:hAnsi="Arial" w:cs="Arial"/>
          <w:b/>
          <w:bCs/>
        </w:rPr>
        <w:t>EU 27</w:t>
      </w:r>
      <w:r w:rsidRPr="009221F6">
        <w:rPr>
          <w:rFonts w:ascii="Arial" w:hAnsi="Arial" w:cs="Arial"/>
        </w:rPr>
        <w:t xml:space="preserve"> v </w:t>
      </w:r>
      <w:r w:rsidRPr="00BF461C">
        <w:rPr>
          <w:rFonts w:ascii="Arial" w:hAnsi="Arial" w:cs="Arial"/>
          <w:b/>
        </w:rPr>
        <w:t>roce 2012</w:t>
      </w:r>
      <w:r w:rsidRPr="009221F6">
        <w:rPr>
          <w:rFonts w:ascii="Arial" w:hAnsi="Arial" w:cs="Arial"/>
        </w:rPr>
        <w:t xml:space="preserve"> pracovalo</w:t>
      </w:r>
      <w:r w:rsidRPr="009221F6">
        <w:rPr>
          <w:rFonts w:ascii="Arial" w:hAnsi="Arial" w:cs="Arial"/>
          <w:b/>
        </w:rPr>
        <w:t xml:space="preserve"> </w:t>
      </w:r>
      <w:r w:rsidRPr="009221F6">
        <w:rPr>
          <w:rFonts w:ascii="Arial" w:hAnsi="Arial" w:cs="Arial"/>
          <w:b/>
          <w:bCs/>
        </w:rPr>
        <w:t>na vlastní účet</w:t>
      </w:r>
      <w:r w:rsidRPr="009221F6">
        <w:rPr>
          <w:rFonts w:ascii="Arial" w:hAnsi="Arial" w:cs="Arial"/>
        </w:rPr>
        <w:t xml:space="preserve"> (podnikatelé bez zaměstnanců, OSVČ) </w:t>
      </w:r>
      <w:r w:rsidRPr="00013824">
        <w:rPr>
          <w:rFonts w:ascii="Arial" w:hAnsi="Arial" w:cs="Arial"/>
          <w:bCs/>
        </w:rPr>
        <w:t>15,5 %</w:t>
      </w:r>
      <w:r w:rsidRPr="009221F6">
        <w:rPr>
          <w:rFonts w:ascii="Arial" w:hAnsi="Arial" w:cs="Arial"/>
        </w:rPr>
        <w:t xml:space="preserve"> zaměstnaných, stejně jako v roce 2011. </w:t>
      </w:r>
      <w:r>
        <w:rPr>
          <w:rFonts w:ascii="Arial" w:hAnsi="Arial" w:cs="Arial"/>
        </w:rPr>
        <w:t xml:space="preserve">Ve </w:t>
      </w:r>
      <w:r w:rsidRPr="00BF461C">
        <w:rPr>
          <w:rFonts w:ascii="Arial" w:hAnsi="Arial" w:cs="Arial"/>
          <w:b/>
        </w:rPr>
        <w:t>2. čtvrtletí 2013</w:t>
      </w:r>
      <w:r>
        <w:rPr>
          <w:rFonts w:ascii="Arial" w:hAnsi="Arial" w:cs="Arial"/>
        </w:rPr>
        <w:t xml:space="preserve"> podíl pracujících na vlastní účet dosahoval hodnoty </w:t>
      </w:r>
      <w:r w:rsidRPr="00A2478E">
        <w:rPr>
          <w:rFonts w:ascii="Arial" w:hAnsi="Arial" w:cs="Arial"/>
          <w:b/>
        </w:rPr>
        <w:t>15,6 </w:t>
      </w:r>
      <w:r w:rsidRPr="00013824">
        <w:rPr>
          <w:rFonts w:ascii="Arial" w:hAnsi="Arial" w:cs="Arial"/>
          <w:b/>
        </w:rPr>
        <w:t>%</w:t>
      </w:r>
      <w:r w:rsidRPr="00013824">
        <w:rPr>
          <w:rFonts w:ascii="Arial" w:hAnsi="Arial" w:cs="Arial"/>
        </w:rPr>
        <w:t xml:space="preserve">. </w:t>
      </w:r>
      <w:r w:rsidRPr="00013824">
        <w:rPr>
          <w:rFonts w:ascii="Arial" w:hAnsi="Arial" w:cs="Arial"/>
          <w:b/>
        </w:rPr>
        <w:t xml:space="preserve">ČR </w:t>
      </w:r>
      <w:r w:rsidRPr="00013824">
        <w:rPr>
          <w:rFonts w:ascii="Arial" w:hAnsi="Arial" w:cs="Arial"/>
        </w:rPr>
        <w:t xml:space="preserve">svým podílem </w:t>
      </w:r>
      <w:r w:rsidRPr="00013824">
        <w:rPr>
          <w:rFonts w:ascii="Arial" w:hAnsi="Arial" w:cs="Arial"/>
          <w:bCs/>
        </w:rPr>
        <w:t>17,9 %</w:t>
      </w:r>
      <w:r w:rsidRPr="00013824">
        <w:rPr>
          <w:rFonts w:ascii="Arial" w:hAnsi="Arial" w:cs="Arial"/>
        </w:rPr>
        <w:t xml:space="preserve"> v roce 2012</w:t>
      </w:r>
      <w:r>
        <w:rPr>
          <w:rFonts w:ascii="Arial" w:hAnsi="Arial" w:cs="Arial"/>
        </w:rPr>
        <w:t xml:space="preserve">, i přes meziroční pokles na </w:t>
      </w:r>
      <w:r w:rsidRPr="00015D52">
        <w:rPr>
          <w:rFonts w:ascii="Arial" w:hAnsi="Arial" w:cs="Arial"/>
          <w:b/>
        </w:rPr>
        <w:t>17,3 %</w:t>
      </w:r>
      <w:r>
        <w:rPr>
          <w:rFonts w:ascii="Arial" w:hAnsi="Arial" w:cs="Arial"/>
        </w:rPr>
        <w:t xml:space="preserve"> ve </w:t>
      </w:r>
      <w:r w:rsidRPr="00015D52">
        <w:rPr>
          <w:rFonts w:ascii="Arial" w:hAnsi="Arial" w:cs="Arial"/>
        </w:rPr>
        <w:t xml:space="preserve">2. čtvrtletí 2013 převyšuje průměr EU 27. Mezi zeměmi s nejvyšším </w:t>
      </w:r>
      <w:r w:rsidRPr="00FE49BE">
        <w:rPr>
          <w:rFonts w:ascii="Arial" w:hAnsi="Arial" w:cs="Arial"/>
        </w:rPr>
        <w:t>podílem stále zůstává Řecko a Rumunsko (více než 30</w:t>
      </w:r>
      <w:r>
        <w:rPr>
          <w:rFonts w:ascii="Arial" w:hAnsi="Arial" w:cs="Arial"/>
        </w:rPr>
        <w:t>,0</w:t>
      </w:r>
      <w:r w:rsidRPr="00FE49BE">
        <w:rPr>
          <w:rFonts w:ascii="Arial" w:hAnsi="Arial" w:cs="Arial"/>
        </w:rPr>
        <w:t> </w:t>
      </w:r>
      <w:r w:rsidRPr="005A05B7">
        <w:rPr>
          <w:rFonts w:ascii="Arial" w:hAnsi="Arial" w:cs="Arial"/>
        </w:rPr>
        <w:t>%), dále Bulharsko, Itálie a Polsko (více než 20 %), nejnižší podíl pak měli ve Švédsku, Lucembursku, Dánsku, Estonsku a Francii (nižší než 10 %).</w:t>
      </w:r>
    </w:p>
    <w:p w:rsidR="001B48C2" w:rsidRPr="000F5468" w:rsidRDefault="001B48C2" w:rsidP="001B48C2">
      <w:pPr>
        <w:widowControl w:val="0"/>
        <w:autoSpaceDE w:val="0"/>
        <w:autoSpaceDN w:val="0"/>
        <w:adjustRightInd w:val="0"/>
        <w:spacing w:line="360" w:lineRule="auto"/>
        <w:ind w:firstLine="567"/>
        <w:jc w:val="both"/>
        <w:rPr>
          <w:rFonts w:ascii="Arial" w:hAnsi="Arial" w:cs="Arial"/>
        </w:rPr>
      </w:pPr>
      <w:r w:rsidRPr="00B96333">
        <w:rPr>
          <w:rFonts w:ascii="Arial" w:hAnsi="Arial" w:cs="Arial"/>
        </w:rPr>
        <w:t>Výrazně podprůměrný je v ČR podíl osob s pracovními úvazky na dobu určitou</w:t>
      </w:r>
      <w:r w:rsidRPr="00A06278">
        <w:rPr>
          <w:rFonts w:ascii="Arial" w:hAnsi="Arial" w:cs="Arial"/>
          <w:color w:val="0070C0"/>
        </w:rPr>
        <w:t xml:space="preserve"> </w:t>
      </w:r>
      <w:r w:rsidRPr="004D4614">
        <w:rPr>
          <w:rFonts w:ascii="Arial" w:hAnsi="Arial" w:cs="Arial"/>
        </w:rPr>
        <w:t>a podíl zaměstnaných na kratší pracovní dobu.</w:t>
      </w:r>
      <w:r w:rsidRPr="00A06278">
        <w:rPr>
          <w:rFonts w:ascii="Arial" w:hAnsi="Arial" w:cs="Arial"/>
          <w:color w:val="0070C0"/>
        </w:rPr>
        <w:t xml:space="preserve"> </w:t>
      </w:r>
      <w:r w:rsidRPr="00D85E4B">
        <w:rPr>
          <w:rFonts w:ascii="Arial" w:hAnsi="Arial" w:cs="Arial"/>
          <w:b/>
        </w:rPr>
        <w:t>Pracovní úvazky na dobu určitou</w:t>
      </w:r>
      <w:r>
        <w:rPr>
          <w:rFonts w:ascii="Arial" w:hAnsi="Arial" w:cs="Arial"/>
        </w:rPr>
        <w:t xml:space="preserve"> </w:t>
      </w:r>
      <w:r w:rsidRPr="00D85E4B">
        <w:rPr>
          <w:rFonts w:ascii="Arial" w:hAnsi="Arial" w:cs="Arial"/>
        </w:rPr>
        <w:t xml:space="preserve">mělo </w:t>
      </w:r>
      <w:r w:rsidRPr="00D85E4B">
        <w:rPr>
          <w:rFonts w:ascii="Arial" w:hAnsi="Arial" w:cs="Arial"/>
          <w:b/>
        </w:rPr>
        <w:t>v EU 27</w:t>
      </w:r>
      <w:r w:rsidRPr="00D85E4B">
        <w:rPr>
          <w:rFonts w:ascii="Arial" w:hAnsi="Arial" w:cs="Arial"/>
        </w:rPr>
        <w:t xml:space="preserve"> v roce 2012</w:t>
      </w:r>
      <w:r w:rsidRPr="00A06278">
        <w:rPr>
          <w:rFonts w:ascii="Arial" w:hAnsi="Arial" w:cs="Arial"/>
          <w:b/>
          <w:color w:val="0070C0"/>
        </w:rPr>
        <w:t xml:space="preserve"> </w:t>
      </w:r>
      <w:r w:rsidRPr="004D4614">
        <w:rPr>
          <w:rFonts w:ascii="Arial" w:hAnsi="Arial" w:cs="Arial"/>
        </w:rPr>
        <w:t>13,7 %</w:t>
      </w:r>
      <w:r w:rsidRPr="00A06278">
        <w:rPr>
          <w:rFonts w:ascii="Arial" w:hAnsi="Arial" w:cs="Arial"/>
          <w:color w:val="0070C0"/>
        </w:rPr>
        <w:t xml:space="preserve"> </w:t>
      </w:r>
      <w:r w:rsidRPr="00B33022">
        <w:rPr>
          <w:rFonts w:ascii="Arial" w:hAnsi="Arial" w:cs="Arial"/>
        </w:rPr>
        <w:t>zaměstnaných, v</w:t>
      </w:r>
      <w:r>
        <w:rPr>
          <w:rFonts w:ascii="Arial" w:hAnsi="Arial" w:cs="Arial"/>
        </w:rPr>
        <w:t>e</w:t>
      </w:r>
      <w:r w:rsidRPr="00B33022">
        <w:rPr>
          <w:rFonts w:ascii="Arial" w:hAnsi="Arial" w:cs="Arial"/>
        </w:rPr>
        <w:t> </w:t>
      </w:r>
      <w:r w:rsidRPr="00880877">
        <w:rPr>
          <w:rFonts w:ascii="Arial" w:hAnsi="Arial" w:cs="Arial"/>
          <w:b/>
        </w:rPr>
        <w:t>2. čtvrtletí 2013</w:t>
      </w:r>
      <w:r>
        <w:rPr>
          <w:rFonts w:ascii="Arial" w:hAnsi="Arial" w:cs="Arial"/>
        </w:rPr>
        <w:t xml:space="preserve"> podíl osob </w:t>
      </w:r>
      <w:r w:rsidRPr="00C00BD6">
        <w:rPr>
          <w:rFonts w:ascii="Arial" w:hAnsi="Arial" w:cs="Arial"/>
        </w:rPr>
        <w:t>s pracovními úvazky na dobu určitou</w:t>
      </w:r>
      <w:r>
        <w:rPr>
          <w:rFonts w:ascii="Arial" w:hAnsi="Arial" w:cs="Arial"/>
        </w:rPr>
        <w:t xml:space="preserve"> meziročně </w:t>
      </w:r>
      <w:r w:rsidRPr="00880877">
        <w:rPr>
          <w:rFonts w:ascii="Arial" w:hAnsi="Arial" w:cs="Arial"/>
          <w:b/>
        </w:rPr>
        <w:t>klesl</w:t>
      </w:r>
      <w:r>
        <w:rPr>
          <w:rFonts w:ascii="Arial" w:hAnsi="Arial" w:cs="Arial"/>
        </w:rPr>
        <w:t xml:space="preserve"> o 0,1 </w:t>
      </w:r>
      <w:r w:rsidR="00E3619C">
        <w:rPr>
          <w:rFonts w:ascii="Arial" w:hAnsi="Arial" w:cs="Arial"/>
        </w:rPr>
        <w:t>p. b</w:t>
      </w:r>
      <w:r>
        <w:rPr>
          <w:rFonts w:ascii="Arial" w:hAnsi="Arial" w:cs="Arial"/>
        </w:rPr>
        <w:t>.</w:t>
      </w:r>
      <w:r>
        <w:rPr>
          <w:rFonts w:ascii="Arial" w:hAnsi="Arial" w:cs="Arial"/>
          <w:color w:val="0070C0"/>
        </w:rPr>
        <w:t xml:space="preserve"> </w:t>
      </w:r>
      <w:r w:rsidRPr="00880877">
        <w:rPr>
          <w:rFonts w:ascii="Arial" w:hAnsi="Arial" w:cs="Arial"/>
          <w:b/>
        </w:rPr>
        <w:t>na</w:t>
      </w:r>
      <w:r w:rsidRPr="00C00BD6">
        <w:rPr>
          <w:rFonts w:ascii="Arial" w:hAnsi="Arial" w:cs="Arial"/>
        </w:rPr>
        <w:t xml:space="preserve"> </w:t>
      </w:r>
      <w:r w:rsidRPr="00C00BD6">
        <w:rPr>
          <w:rFonts w:ascii="Arial" w:hAnsi="Arial" w:cs="Arial"/>
          <w:b/>
        </w:rPr>
        <w:t>13,8 </w:t>
      </w:r>
      <w:r w:rsidRPr="009D6F02">
        <w:rPr>
          <w:rFonts w:ascii="Arial" w:hAnsi="Arial" w:cs="Arial"/>
          <w:b/>
        </w:rPr>
        <w:t>%</w:t>
      </w:r>
      <w:r w:rsidRPr="009D6F02">
        <w:rPr>
          <w:rFonts w:ascii="Arial" w:hAnsi="Arial" w:cs="Arial"/>
        </w:rPr>
        <w:t xml:space="preserve">.  </w:t>
      </w:r>
      <w:r w:rsidRPr="00C00BD6">
        <w:rPr>
          <w:rFonts w:ascii="Arial" w:hAnsi="Arial" w:cs="Arial"/>
          <w:b/>
        </w:rPr>
        <w:t>V ČR</w:t>
      </w:r>
      <w:r w:rsidRPr="00C00BD6">
        <w:rPr>
          <w:rFonts w:ascii="Arial" w:hAnsi="Arial" w:cs="Arial"/>
        </w:rPr>
        <w:t xml:space="preserve"> jejich podíl v roce 2012 činil </w:t>
      </w:r>
      <w:r w:rsidRPr="00A2567A">
        <w:rPr>
          <w:rFonts w:ascii="Arial" w:hAnsi="Arial" w:cs="Arial"/>
        </w:rPr>
        <w:t>8,8 </w:t>
      </w:r>
      <w:r>
        <w:rPr>
          <w:rFonts w:ascii="Arial" w:hAnsi="Arial" w:cs="Arial"/>
        </w:rPr>
        <w:t xml:space="preserve">%. Ve </w:t>
      </w:r>
      <w:r w:rsidRPr="00C00BD6">
        <w:rPr>
          <w:rFonts w:ascii="Arial" w:hAnsi="Arial" w:cs="Arial"/>
          <w:b/>
        </w:rPr>
        <w:t>2. čtvrtletí 2013</w:t>
      </w:r>
      <w:r>
        <w:rPr>
          <w:rFonts w:ascii="Arial" w:hAnsi="Arial" w:cs="Arial"/>
        </w:rPr>
        <w:t xml:space="preserve"> došlo k meziročnímu </w:t>
      </w:r>
      <w:r w:rsidRPr="00C00BD6">
        <w:rPr>
          <w:rFonts w:ascii="Arial" w:hAnsi="Arial" w:cs="Arial"/>
          <w:b/>
        </w:rPr>
        <w:t>nárůstu</w:t>
      </w:r>
      <w:r>
        <w:rPr>
          <w:rFonts w:ascii="Arial" w:hAnsi="Arial" w:cs="Arial"/>
        </w:rPr>
        <w:t xml:space="preserve"> o 1,0 </w:t>
      </w:r>
      <w:r w:rsidR="00E3619C">
        <w:rPr>
          <w:rFonts w:ascii="Arial" w:hAnsi="Arial" w:cs="Arial"/>
        </w:rPr>
        <w:t>p. b</w:t>
      </w:r>
      <w:r>
        <w:rPr>
          <w:rFonts w:ascii="Arial" w:hAnsi="Arial" w:cs="Arial"/>
        </w:rPr>
        <w:t xml:space="preserve">. </w:t>
      </w:r>
      <w:r w:rsidRPr="00880877">
        <w:rPr>
          <w:rFonts w:ascii="Arial" w:hAnsi="Arial" w:cs="Arial"/>
          <w:b/>
        </w:rPr>
        <w:t>na</w:t>
      </w:r>
      <w:r>
        <w:rPr>
          <w:rFonts w:ascii="Arial" w:hAnsi="Arial" w:cs="Arial"/>
        </w:rPr>
        <w:t xml:space="preserve"> </w:t>
      </w:r>
      <w:r w:rsidRPr="003429B7">
        <w:rPr>
          <w:rFonts w:ascii="Arial" w:hAnsi="Arial" w:cs="Arial"/>
          <w:b/>
        </w:rPr>
        <w:t>9,7 </w:t>
      </w:r>
      <w:r w:rsidRPr="00213E47">
        <w:rPr>
          <w:rFonts w:ascii="Arial" w:hAnsi="Arial" w:cs="Arial"/>
          <w:b/>
        </w:rPr>
        <w:t>%</w:t>
      </w:r>
      <w:r w:rsidRPr="00213E47">
        <w:rPr>
          <w:rFonts w:ascii="Arial" w:hAnsi="Arial" w:cs="Arial"/>
        </w:rPr>
        <w:t>. Největší podíl byl v</w:t>
      </w:r>
      <w:r>
        <w:rPr>
          <w:rFonts w:ascii="Arial" w:hAnsi="Arial" w:cs="Arial"/>
        </w:rPr>
        <w:t> </w:t>
      </w:r>
      <w:r w:rsidRPr="00213E47">
        <w:rPr>
          <w:rFonts w:ascii="Arial" w:hAnsi="Arial" w:cs="Arial"/>
        </w:rPr>
        <w:t>Polsku</w:t>
      </w:r>
      <w:r>
        <w:rPr>
          <w:rFonts w:ascii="Arial" w:hAnsi="Arial" w:cs="Arial"/>
        </w:rPr>
        <w:t>,</w:t>
      </w:r>
      <w:r w:rsidRPr="00213E47">
        <w:rPr>
          <w:rFonts w:ascii="Arial" w:hAnsi="Arial" w:cs="Arial"/>
        </w:rPr>
        <w:t xml:space="preserve"> </w:t>
      </w:r>
      <w:r>
        <w:rPr>
          <w:rFonts w:ascii="Arial" w:hAnsi="Arial" w:cs="Arial"/>
        </w:rPr>
        <w:t>Španělsku</w:t>
      </w:r>
      <w:r w:rsidRPr="00213E47">
        <w:rPr>
          <w:rFonts w:ascii="Arial" w:hAnsi="Arial" w:cs="Arial"/>
        </w:rPr>
        <w:t xml:space="preserve"> a Portugalsku, </w:t>
      </w:r>
      <w:r w:rsidRPr="000F5468">
        <w:rPr>
          <w:rFonts w:ascii="Arial" w:hAnsi="Arial" w:cs="Arial"/>
        </w:rPr>
        <w:t xml:space="preserve">nejnižší v Rumunsku, Litvě a Estonsku. </w:t>
      </w:r>
    </w:p>
    <w:p w:rsidR="001B48C2" w:rsidRPr="009B660B" w:rsidRDefault="001B48C2" w:rsidP="001B48C2">
      <w:pPr>
        <w:spacing w:line="360" w:lineRule="auto"/>
        <w:ind w:firstLine="567"/>
        <w:jc w:val="both"/>
        <w:rPr>
          <w:rFonts w:ascii="Arial" w:hAnsi="Arial" w:cs="Arial"/>
        </w:rPr>
      </w:pPr>
      <w:r w:rsidRPr="009A76E2">
        <w:rPr>
          <w:rFonts w:ascii="Arial" w:hAnsi="Arial" w:cs="Arial"/>
          <w:bCs/>
        </w:rPr>
        <w:t xml:space="preserve">Ještě výraznější je rozdíl mezi průměrem EU 27 a ČR v podílu pracujících </w:t>
      </w:r>
      <w:r w:rsidRPr="009A76E2">
        <w:rPr>
          <w:rFonts w:ascii="Arial" w:hAnsi="Arial" w:cs="Arial"/>
          <w:b/>
          <w:bCs/>
        </w:rPr>
        <w:t>na kratší pracovní dobu</w:t>
      </w:r>
      <w:r w:rsidRPr="00E26DBA">
        <w:rPr>
          <w:rFonts w:ascii="Arial" w:hAnsi="Arial" w:cs="Arial"/>
          <w:bCs/>
        </w:rPr>
        <w:t>.</w:t>
      </w:r>
      <w:r w:rsidRPr="00E26DBA">
        <w:rPr>
          <w:rFonts w:ascii="Arial" w:hAnsi="Arial" w:cs="Arial"/>
          <w:b/>
          <w:bCs/>
        </w:rPr>
        <w:t xml:space="preserve"> </w:t>
      </w:r>
      <w:r w:rsidRPr="009A76E2">
        <w:rPr>
          <w:rFonts w:ascii="Arial" w:hAnsi="Arial" w:cs="Arial"/>
          <w:bCs/>
        </w:rPr>
        <w:t>Tato forma</w:t>
      </w:r>
      <w:r w:rsidRPr="009A76E2">
        <w:rPr>
          <w:rFonts w:ascii="Arial" w:hAnsi="Arial" w:cs="Arial"/>
          <w:b/>
          <w:bCs/>
        </w:rPr>
        <w:t xml:space="preserve"> </w:t>
      </w:r>
      <w:r w:rsidRPr="009A76E2">
        <w:rPr>
          <w:rFonts w:ascii="Arial" w:hAnsi="Arial" w:cs="Arial"/>
          <w:bCs/>
        </w:rPr>
        <w:t>pracovního úvazku má v </w:t>
      </w:r>
      <w:r w:rsidRPr="009A76E2">
        <w:rPr>
          <w:rFonts w:ascii="Arial" w:hAnsi="Arial" w:cs="Arial"/>
          <w:b/>
          <w:bCs/>
        </w:rPr>
        <w:t>EU 27</w:t>
      </w:r>
      <w:r w:rsidRPr="009A76E2">
        <w:rPr>
          <w:rFonts w:ascii="Arial" w:hAnsi="Arial" w:cs="Arial"/>
        </w:rPr>
        <w:t xml:space="preserve"> stoupající tenden</w:t>
      </w:r>
      <w:r w:rsidRPr="002049E6">
        <w:rPr>
          <w:rFonts w:ascii="Arial" w:hAnsi="Arial" w:cs="Arial"/>
        </w:rPr>
        <w:t>ci, v roce 2010</w:t>
      </w:r>
      <w:r w:rsidRPr="002049E6">
        <w:rPr>
          <w:rFonts w:ascii="Arial" w:hAnsi="Arial" w:cs="Arial"/>
          <w:b/>
        </w:rPr>
        <w:t xml:space="preserve"> </w:t>
      </w:r>
      <w:r w:rsidRPr="002049E6">
        <w:rPr>
          <w:rFonts w:ascii="Arial" w:hAnsi="Arial" w:cs="Arial"/>
        </w:rPr>
        <w:t>představovala 19,2 % zaměstnaných, v roce 2011 19,5</w:t>
      </w:r>
      <w:r>
        <w:rPr>
          <w:rFonts w:ascii="Arial" w:hAnsi="Arial" w:cs="Arial"/>
        </w:rPr>
        <w:t> </w:t>
      </w:r>
      <w:r w:rsidRPr="002049E6">
        <w:rPr>
          <w:rFonts w:ascii="Arial" w:hAnsi="Arial" w:cs="Arial"/>
        </w:rPr>
        <w:t xml:space="preserve">% a v roce 2012 již </w:t>
      </w:r>
      <w:r w:rsidRPr="002049E6">
        <w:rPr>
          <w:rFonts w:ascii="Arial" w:hAnsi="Arial" w:cs="Arial"/>
          <w:b/>
        </w:rPr>
        <w:t>19,9 %</w:t>
      </w:r>
      <w:r>
        <w:rPr>
          <w:rFonts w:ascii="Arial" w:hAnsi="Arial" w:cs="Arial"/>
          <w:b/>
        </w:rPr>
        <w:t xml:space="preserve">. Ve 2. čtvrtletí 2013 </w:t>
      </w:r>
      <w:r w:rsidRPr="00E40C1C">
        <w:rPr>
          <w:rFonts w:ascii="Arial" w:hAnsi="Arial" w:cs="Arial"/>
        </w:rPr>
        <w:t>tento podíl dosáhl hodnoty</w:t>
      </w:r>
      <w:r>
        <w:rPr>
          <w:rFonts w:ascii="Arial" w:hAnsi="Arial" w:cs="Arial"/>
        </w:rPr>
        <w:t xml:space="preserve"> </w:t>
      </w:r>
      <w:r w:rsidRPr="00BC0F2F">
        <w:rPr>
          <w:rFonts w:ascii="Arial" w:hAnsi="Arial" w:cs="Arial"/>
          <w:b/>
        </w:rPr>
        <w:t>20,4 %</w:t>
      </w:r>
      <w:r>
        <w:rPr>
          <w:rFonts w:ascii="Arial" w:hAnsi="Arial" w:cs="Arial"/>
        </w:rPr>
        <w:t xml:space="preserve"> </w:t>
      </w:r>
      <w:r w:rsidRPr="00C51D80">
        <w:rPr>
          <w:rFonts w:ascii="Arial" w:hAnsi="Arial" w:cs="Arial"/>
        </w:rPr>
        <w:t>(ženy 33,0 % a </w:t>
      </w:r>
      <w:r w:rsidRPr="00A73BFE">
        <w:rPr>
          <w:rFonts w:ascii="Arial" w:hAnsi="Arial" w:cs="Arial"/>
        </w:rPr>
        <w:t>muži 9,7</w:t>
      </w:r>
      <w:r>
        <w:rPr>
          <w:rFonts w:ascii="Arial" w:hAnsi="Arial" w:cs="Arial"/>
        </w:rPr>
        <w:t> </w:t>
      </w:r>
      <w:r w:rsidRPr="00A73BFE">
        <w:rPr>
          <w:rFonts w:ascii="Arial" w:hAnsi="Arial" w:cs="Arial"/>
        </w:rPr>
        <w:t xml:space="preserve">%). </w:t>
      </w:r>
      <w:r w:rsidRPr="00E900DC">
        <w:rPr>
          <w:rFonts w:ascii="Arial" w:hAnsi="Arial" w:cs="Arial"/>
          <w:b/>
        </w:rPr>
        <w:t>V ČR</w:t>
      </w:r>
      <w:r w:rsidRPr="00E900DC">
        <w:rPr>
          <w:rFonts w:ascii="Arial" w:hAnsi="Arial" w:cs="Arial"/>
        </w:rPr>
        <w:t xml:space="preserve"> tento ukazatel po nárůstu v době propuknutí celosvětové hospodářské a finanční krize v letech 2009 a 2010 poklesl </w:t>
      </w:r>
      <w:r>
        <w:rPr>
          <w:rFonts w:ascii="Arial" w:hAnsi="Arial" w:cs="Arial"/>
        </w:rPr>
        <w:t>v roce 2011 na 5,4 %, v roce 2012 vzrostl na 5,7 %.</w:t>
      </w:r>
      <w:r>
        <w:rPr>
          <w:rFonts w:ascii="Arial" w:hAnsi="Arial" w:cs="Arial"/>
          <w:color w:val="0070C0"/>
        </w:rPr>
        <w:t xml:space="preserve"> </w:t>
      </w:r>
      <w:r>
        <w:rPr>
          <w:rFonts w:ascii="Arial" w:hAnsi="Arial" w:cs="Arial"/>
          <w:b/>
        </w:rPr>
        <w:t xml:space="preserve">Ve 2. čtvrtletí 2013 </w:t>
      </w:r>
      <w:r w:rsidRPr="003424D9">
        <w:rPr>
          <w:rFonts w:ascii="Arial" w:hAnsi="Arial" w:cs="Arial"/>
        </w:rPr>
        <w:t xml:space="preserve">meziročně </w:t>
      </w:r>
      <w:r w:rsidRPr="003424D9">
        <w:rPr>
          <w:rFonts w:ascii="Arial" w:hAnsi="Arial" w:cs="Arial"/>
          <w:b/>
        </w:rPr>
        <w:t>vzrostla</w:t>
      </w:r>
      <w:r w:rsidRPr="003424D9">
        <w:rPr>
          <w:rFonts w:ascii="Arial" w:hAnsi="Arial" w:cs="Arial"/>
        </w:rPr>
        <w:t xml:space="preserve"> hodnota tohoto ukazatele o 1,1 </w:t>
      </w:r>
      <w:r w:rsidR="00E3619C">
        <w:rPr>
          <w:rFonts w:ascii="Arial" w:hAnsi="Arial" w:cs="Arial"/>
        </w:rPr>
        <w:t>p. b</w:t>
      </w:r>
      <w:r w:rsidRPr="003424D9">
        <w:rPr>
          <w:rFonts w:ascii="Arial" w:hAnsi="Arial" w:cs="Arial"/>
        </w:rPr>
        <w:t>. na</w:t>
      </w:r>
      <w:r>
        <w:rPr>
          <w:rFonts w:ascii="Arial" w:hAnsi="Arial" w:cs="Arial"/>
        </w:rPr>
        <w:t xml:space="preserve"> </w:t>
      </w:r>
      <w:r w:rsidRPr="00D52558">
        <w:rPr>
          <w:rFonts w:ascii="Arial" w:hAnsi="Arial" w:cs="Arial"/>
          <w:b/>
        </w:rPr>
        <w:t>6,7 %</w:t>
      </w:r>
      <w:r>
        <w:rPr>
          <w:rFonts w:ascii="Arial" w:hAnsi="Arial" w:cs="Arial"/>
        </w:rPr>
        <w:t xml:space="preserve"> </w:t>
      </w:r>
      <w:r w:rsidRPr="006925FA">
        <w:rPr>
          <w:rFonts w:ascii="Arial" w:hAnsi="Arial" w:cs="Arial"/>
        </w:rPr>
        <w:t>(ženy 11,3 </w:t>
      </w:r>
      <w:r w:rsidRPr="00EA2CB0">
        <w:rPr>
          <w:rFonts w:ascii="Arial" w:hAnsi="Arial" w:cs="Arial"/>
        </w:rPr>
        <w:t>% a muži 3,1 %).</w:t>
      </w:r>
      <w:r w:rsidRPr="00A06278">
        <w:rPr>
          <w:rFonts w:ascii="Arial" w:hAnsi="Arial" w:cs="Arial"/>
          <w:color w:val="0070C0"/>
        </w:rPr>
        <w:t xml:space="preserve"> </w:t>
      </w:r>
      <w:r w:rsidRPr="004C0198">
        <w:rPr>
          <w:rFonts w:ascii="Arial" w:hAnsi="Arial" w:cs="Arial"/>
        </w:rPr>
        <w:t xml:space="preserve">Aktuálně je podíl kratší pracovní doby nižší než v ČR pouze v Bulharsku a na </w:t>
      </w:r>
      <w:r w:rsidRPr="00677784">
        <w:rPr>
          <w:rFonts w:ascii="Arial" w:hAnsi="Arial" w:cs="Arial"/>
        </w:rPr>
        <w:t xml:space="preserve">Slovensku. Více než 25 % dosahují v Dánsku, </w:t>
      </w:r>
      <w:r w:rsidRPr="00C5193B">
        <w:rPr>
          <w:rFonts w:ascii="Arial" w:hAnsi="Arial" w:cs="Arial"/>
        </w:rPr>
        <w:t xml:space="preserve">Švédsku, Rakousku, Velké Británii, </w:t>
      </w:r>
      <w:r w:rsidRPr="00C65509">
        <w:rPr>
          <w:rFonts w:ascii="Arial" w:hAnsi="Arial" w:cs="Arial"/>
        </w:rPr>
        <w:t>Německu a</w:t>
      </w:r>
      <w:r>
        <w:rPr>
          <w:rFonts w:ascii="Arial" w:hAnsi="Arial" w:cs="Arial"/>
        </w:rPr>
        <w:t> </w:t>
      </w:r>
      <w:r w:rsidRPr="00C65509">
        <w:rPr>
          <w:rFonts w:ascii="Arial" w:hAnsi="Arial" w:cs="Arial"/>
        </w:rPr>
        <w:t>v</w:t>
      </w:r>
      <w:r>
        <w:rPr>
          <w:rFonts w:ascii="Arial" w:hAnsi="Arial" w:cs="Arial"/>
        </w:rPr>
        <w:t> </w:t>
      </w:r>
      <w:r w:rsidRPr="00C65509">
        <w:rPr>
          <w:rFonts w:ascii="Arial" w:hAnsi="Arial" w:cs="Arial"/>
        </w:rPr>
        <w:t xml:space="preserve">Nizozemsku. V Nizozemsku tvoří podíl kratších úvazků 50,8 %, což je 2,5 krát více než průměr EU 27, u žen dokonce </w:t>
      </w:r>
      <w:r w:rsidRPr="009B660B">
        <w:rPr>
          <w:rFonts w:ascii="Arial" w:hAnsi="Arial" w:cs="Arial"/>
        </w:rPr>
        <w:t xml:space="preserve">77,3 %. </w:t>
      </w:r>
    </w:p>
    <w:p w:rsidR="001B48C2" w:rsidRPr="009B660B" w:rsidRDefault="001B48C2" w:rsidP="001B48C2">
      <w:pPr>
        <w:spacing w:line="360" w:lineRule="auto"/>
        <w:ind w:firstLine="567"/>
        <w:jc w:val="both"/>
        <w:rPr>
          <w:rFonts w:ascii="Arial" w:hAnsi="Arial" w:cs="Arial"/>
        </w:rPr>
      </w:pPr>
    </w:p>
    <w:p w:rsidR="001B48C2" w:rsidRPr="009B660B" w:rsidRDefault="001B48C2" w:rsidP="001B48C2">
      <w:pPr>
        <w:spacing w:line="360" w:lineRule="auto"/>
        <w:ind w:firstLine="567"/>
        <w:jc w:val="both"/>
        <w:rPr>
          <w:rFonts w:ascii="Arial" w:hAnsi="Arial" w:cs="Arial"/>
        </w:rPr>
      </w:pPr>
    </w:p>
    <w:p w:rsidR="001B48C2" w:rsidRPr="009B660B" w:rsidRDefault="001B48C2" w:rsidP="001B48C2">
      <w:pPr>
        <w:spacing w:line="360" w:lineRule="auto"/>
        <w:ind w:firstLine="567"/>
        <w:jc w:val="both"/>
        <w:rPr>
          <w:rFonts w:ascii="Arial" w:hAnsi="Arial" w:cs="Arial"/>
        </w:rPr>
      </w:pPr>
    </w:p>
    <w:p w:rsidR="001B48C2" w:rsidRPr="009B660B" w:rsidRDefault="001B48C2" w:rsidP="001B48C2">
      <w:pPr>
        <w:spacing w:line="360" w:lineRule="auto"/>
        <w:ind w:firstLine="567"/>
        <w:jc w:val="both"/>
        <w:rPr>
          <w:rFonts w:ascii="Arial" w:hAnsi="Arial" w:cs="Arial"/>
        </w:rPr>
      </w:pPr>
    </w:p>
    <w:p w:rsidR="001B48C2" w:rsidRPr="009B660B" w:rsidRDefault="001B48C2" w:rsidP="001B48C2">
      <w:pPr>
        <w:spacing w:line="360" w:lineRule="auto"/>
        <w:ind w:firstLine="567"/>
        <w:jc w:val="both"/>
        <w:rPr>
          <w:rFonts w:ascii="Arial" w:hAnsi="Arial" w:cs="Arial"/>
        </w:rPr>
      </w:pPr>
    </w:p>
    <w:p w:rsidR="001B48C2" w:rsidRPr="00487D7E" w:rsidRDefault="001B48C2" w:rsidP="001B48C2">
      <w:pPr>
        <w:spacing w:line="360" w:lineRule="auto"/>
        <w:jc w:val="right"/>
        <w:rPr>
          <w:rFonts w:ascii="Arial" w:hAnsi="Arial" w:cs="Arial"/>
          <w:sz w:val="20"/>
          <w:szCs w:val="20"/>
        </w:rPr>
      </w:pPr>
      <w:r w:rsidRPr="00487D7E">
        <w:rPr>
          <w:rFonts w:ascii="Arial" w:hAnsi="Arial" w:cs="Arial"/>
          <w:sz w:val="20"/>
          <w:szCs w:val="20"/>
        </w:rPr>
        <w:lastRenderedPageBreak/>
        <w:t>graf č. 1</w:t>
      </w:r>
      <w:r>
        <w:rPr>
          <w:rFonts w:ascii="Arial" w:hAnsi="Arial" w:cs="Arial"/>
          <w:sz w:val="20"/>
          <w:szCs w:val="20"/>
        </w:rPr>
        <w:t>7</w:t>
      </w:r>
      <w:r w:rsidRPr="00487D7E">
        <w:rPr>
          <w:rFonts w:ascii="Arial" w:hAnsi="Arial" w:cs="Arial"/>
          <w:sz w:val="20"/>
          <w:szCs w:val="20"/>
        </w:rPr>
        <w:t xml:space="preserve"> </w:t>
      </w:r>
    </w:p>
    <w:p w:rsidR="001B48C2" w:rsidRDefault="001B48C2" w:rsidP="001B48C2">
      <w:pPr>
        <w:spacing w:line="360" w:lineRule="auto"/>
        <w:jc w:val="center"/>
        <w:rPr>
          <w:rFonts w:ascii="Arial" w:hAnsi="Arial" w:cs="Arial"/>
          <w:b/>
        </w:rPr>
      </w:pPr>
      <w:r w:rsidRPr="00487D7E">
        <w:rPr>
          <w:rFonts w:ascii="Arial" w:hAnsi="Arial" w:cs="Arial"/>
          <w:b/>
        </w:rPr>
        <w:t xml:space="preserve">Srovnání </w:t>
      </w:r>
      <w:r>
        <w:rPr>
          <w:rFonts w:ascii="Arial" w:hAnsi="Arial" w:cs="Arial"/>
          <w:b/>
        </w:rPr>
        <w:t>kratší pracovní doby</w:t>
      </w:r>
      <w:r w:rsidRPr="00487D7E">
        <w:rPr>
          <w:rFonts w:ascii="Arial" w:hAnsi="Arial" w:cs="Arial"/>
          <w:b/>
        </w:rPr>
        <w:t xml:space="preserve"> v EU 27 a ČR</w:t>
      </w:r>
    </w:p>
    <w:p w:rsidR="001B48C2" w:rsidRPr="009B660B" w:rsidRDefault="001B48C2" w:rsidP="001B48C2">
      <w:pPr>
        <w:spacing w:line="360" w:lineRule="auto"/>
        <w:jc w:val="center"/>
      </w:pPr>
      <w:r w:rsidRPr="00487D7E">
        <w:rPr>
          <w:noProof/>
        </w:rPr>
        <w:t xml:space="preserve"> </w:t>
      </w:r>
      <w:r>
        <w:rPr>
          <w:noProof/>
        </w:rPr>
        <w:drawing>
          <wp:inline distT="0" distB="0" distL="0" distR="0" wp14:anchorId="4C0818ED" wp14:editId="6DB12BBD">
            <wp:extent cx="2609849" cy="2024063"/>
            <wp:effectExtent l="0" t="0" r="19685" b="14605"/>
            <wp:docPr id="26" name="Graf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r w:rsidRPr="00A06278">
        <w:rPr>
          <w:noProof/>
          <w:color w:val="0070C0"/>
        </w:rPr>
        <w:t xml:space="preserve"> </w:t>
      </w:r>
      <w:r>
        <w:rPr>
          <w:noProof/>
        </w:rPr>
        <w:drawing>
          <wp:inline distT="0" distB="0" distL="0" distR="0" wp14:anchorId="40E7E43A" wp14:editId="1B2B5492">
            <wp:extent cx="2609849" cy="2024063"/>
            <wp:effectExtent l="0" t="0" r="19685" b="14605"/>
            <wp:docPr id="27" name="Graf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1B48C2" w:rsidRPr="009B660B" w:rsidRDefault="001B48C2" w:rsidP="001B48C2">
      <w:pPr>
        <w:spacing w:line="360" w:lineRule="auto"/>
        <w:ind w:firstLine="567"/>
        <w:jc w:val="both"/>
        <w:rPr>
          <w:rFonts w:ascii="Arial" w:hAnsi="Arial" w:cs="Arial"/>
        </w:rPr>
      </w:pPr>
    </w:p>
    <w:p w:rsidR="001B48C2" w:rsidRPr="00406C61" w:rsidRDefault="001B48C2" w:rsidP="001B48C2">
      <w:pPr>
        <w:spacing w:line="360" w:lineRule="auto"/>
        <w:ind w:firstLine="567"/>
        <w:jc w:val="both"/>
        <w:rPr>
          <w:rFonts w:ascii="Arial" w:hAnsi="Arial" w:cs="Arial"/>
        </w:rPr>
      </w:pPr>
      <w:r w:rsidRPr="00671690">
        <w:rPr>
          <w:rFonts w:ascii="Arial" w:hAnsi="Arial" w:cs="Arial"/>
          <w:b/>
          <w:bCs/>
        </w:rPr>
        <w:t>Míra nezaměstnanosti</w:t>
      </w:r>
      <w:r w:rsidRPr="00671690">
        <w:rPr>
          <w:rFonts w:ascii="Arial" w:hAnsi="Arial" w:cs="Arial"/>
          <w:bCs/>
        </w:rPr>
        <w:t xml:space="preserve"> (MN) </w:t>
      </w:r>
      <w:r w:rsidRPr="00671690">
        <w:rPr>
          <w:rFonts w:ascii="Arial" w:hAnsi="Arial" w:cs="Arial"/>
          <w:b/>
          <w:bCs/>
        </w:rPr>
        <w:t>v EU 27</w:t>
      </w:r>
      <w:r w:rsidRPr="00671690">
        <w:rPr>
          <w:rFonts w:ascii="Arial" w:hAnsi="Arial" w:cs="Arial"/>
          <w:bCs/>
        </w:rPr>
        <w:t xml:space="preserve"> po stagnaci v roce 2011 (9,7 %) </w:t>
      </w:r>
      <w:r w:rsidRPr="00671690">
        <w:rPr>
          <w:rFonts w:ascii="Arial" w:hAnsi="Arial" w:cs="Arial"/>
          <w:b/>
          <w:bCs/>
        </w:rPr>
        <w:t>v roce 2012</w:t>
      </w:r>
      <w:r w:rsidRPr="00671690">
        <w:rPr>
          <w:rFonts w:ascii="Arial" w:hAnsi="Arial" w:cs="Arial"/>
          <w:bCs/>
        </w:rPr>
        <w:t xml:space="preserve"> výrazně </w:t>
      </w:r>
      <w:r w:rsidRPr="00671690">
        <w:rPr>
          <w:rFonts w:ascii="Arial" w:hAnsi="Arial" w:cs="Arial"/>
          <w:b/>
          <w:bCs/>
        </w:rPr>
        <w:t>vzrostla na</w:t>
      </w:r>
      <w:r w:rsidRPr="00671690">
        <w:rPr>
          <w:rFonts w:ascii="Arial" w:hAnsi="Arial" w:cs="Arial"/>
          <w:bCs/>
        </w:rPr>
        <w:t xml:space="preserve"> </w:t>
      </w:r>
      <w:r w:rsidRPr="00671690">
        <w:rPr>
          <w:rFonts w:ascii="Arial" w:hAnsi="Arial" w:cs="Arial"/>
          <w:b/>
          <w:bCs/>
        </w:rPr>
        <w:t>10,5 %</w:t>
      </w:r>
      <w:r w:rsidRPr="00671690">
        <w:rPr>
          <w:rFonts w:ascii="Arial" w:hAnsi="Arial" w:cs="Arial"/>
          <w:bCs/>
        </w:rPr>
        <w:t xml:space="preserve">. </w:t>
      </w:r>
      <w:r w:rsidRPr="00EA3752">
        <w:rPr>
          <w:rFonts w:ascii="Arial" w:hAnsi="Arial" w:cs="Arial"/>
          <w:bCs/>
        </w:rPr>
        <w:t>V </w:t>
      </w:r>
      <w:r w:rsidRPr="00EA3752">
        <w:rPr>
          <w:rFonts w:ascii="Arial" w:hAnsi="Arial" w:cs="Arial"/>
          <w:b/>
          <w:bCs/>
        </w:rPr>
        <w:t>ČR</w:t>
      </w:r>
      <w:r w:rsidRPr="00EA3752">
        <w:rPr>
          <w:rFonts w:ascii="Arial" w:hAnsi="Arial" w:cs="Arial"/>
        </w:rPr>
        <w:t xml:space="preserve"> klesla v roce 2011 meziročně ze 7,3 % na 6,7 %</w:t>
      </w:r>
      <w:r w:rsidRPr="001A6BEA">
        <w:rPr>
          <w:rFonts w:ascii="Arial" w:hAnsi="Arial" w:cs="Arial"/>
        </w:rPr>
        <w:t>,</w:t>
      </w:r>
      <w:r w:rsidRPr="00EA3752">
        <w:rPr>
          <w:rFonts w:ascii="Arial" w:hAnsi="Arial" w:cs="Arial"/>
          <w:b/>
        </w:rPr>
        <w:t xml:space="preserve"> </w:t>
      </w:r>
      <w:r w:rsidRPr="00EA3752">
        <w:rPr>
          <w:rFonts w:ascii="Arial" w:hAnsi="Arial" w:cs="Arial"/>
        </w:rPr>
        <w:t>nárůst míry nezaměstnanosti</w:t>
      </w:r>
      <w:r>
        <w:rPr>
          <w:rFonts w:ascii="Arial" w:hAnsi="Arial" w:cs="Arial"/>
          <w:b/>
        </w:rPr>
        <w:t xml:space="preserve"> </w:t>
      </w:r>
      <w:r w:rsidRPr="00EA3752">
        <w:rPr>
          <w:rFonts w:ascii="Arial" w:hAnsi="Arial" w:cs="Arial"/>
          <w:b/>
        </w:rPr>
        <w:t>v</w:t>
      </w:r>
      <w:r w:rsidRPr="00EA3752">
        <w:rPr>
          <w:rFonts w:ascii="Arial" w:hAnsi="Arial" w:cs="Arial"/>
          <w:b/>
          <w:bCs/>
        </w:rPr>
        <w:t xml:space="preserve"> roce 2012</w:t>
      </w:r>
      <w:r w:rsidRPr="00EA3752">
        <w:rPr>
          <w:rFonts w:ascii="Arial" w:hAnsi="Arial" w:cs="Arial"/>
          <w:bCs/>
        </w:rPr>
        <w:t xml:space="preserve"> </w:t>
      </w:r>
      <w:r>
        <w:rPr>
          <w:rFonts w:ascii="Arial" w:hAnsi="Arial" w:cs="Arial"/>
          <w:bCs/>
        </w:rPr>
        <w:t xml:space="preserve">nebyl tak výrazný jako za EU 27, hodnota MN </w:t>
      </w:r>
      <w:r w:rsidRPr="00EA3752">
        <w:rPr>
          <w:rFonts w:ascii="Arial" w:hAnsi="Arial" w:cs="Arial"/>
          <w:b/>
          <w:bCs/>
        </w:rPr>
        <w:t xml:space="preserve">vzrostla </w:t>
      </w:r>
      <w:r w:rsidRPr="00EA3752">
        <w:rPr>
          <w:rFonts w:ascii="Arial" w:hAnsi="Arial" w:cs="Arial"/>
          <w:b/>
        </w:rPr>
        <w:t>na 7,0 %</w:t>
      </w:r>
      <w:r w:rsidRPr="00EA3752">
        <w:rPr>
          <w:rFonts w:ascii="Arial" w:hAnsi="Arial" w:cs="Arial"/>
        </w:rPr>
        <w:t xml:space="preserve">. </w:t>
      </w:r>
      <w:r w:rsidRPr="00AB3A14">
        <w:rPr>
          <w:rFonts w:ascii="Arial" w:hAnsi="Arial" w:cs="Arial"/>
        </w:rPr>
        <w:t>Ve</w:t>
      </w:r>
      <w:r w:rsidRPr="00AB3A14">
        <w:rPr>
          <w:rFonts w:ascii="Arial" w:hAnsi="Arial" w:cs="Arial"/>
          <w:b/>
        </w:rPr>
        <w:t xml:space="preserve"> 2. čtvrtletí 2013</w:t>
      </w:r>
      <w:r w:rsidRPr="00AB3A14">
        <w:rPr>
          <w:rFonts w:ascii="Arial" w:hAnsi="Arial" w:cs="Arial"/>
        </w:rPr>
        <w:t xml:space="preserve"> </w:t>
      </w:r>
      <w:r>
        <w:rPr>
          <w:rFonts w:ascii="Arial" w:hAnsi="Arial" w:cs="Arial"/>
        </w:rPr>
        <w:t>byl meziroční nárůst míry nezaměstnanosti v ČR nižší než v EU 27. V </w:t>
      </w:r>
      <w:r w:rsidRPr="005801E2">
        <w:rPr>
          <w:rFonts w:ascii="Arial" w:hAnsi="Arial" w:cs="Arial"/>
          <w:b/>
        </w:rPr>
        <w:t>ČR</w:t>
      </w:r>
      <w:r>
        <w:rPr>
          <w:rFonts w:ascii="Arial" w:hAnsi="Arial" w:cs="Arial"/>
        </w:rPr>
        <w:t xml:space="preserve"> vzrostla o 0,1 </w:t>
      </w:r>
      <w:r w:rsidR="00E3619C">
        <w:rPr>
          <w:rFonts w:ascii="Arial" w:hAnsi="Arial" w:cs="Arial"/>
        </w:rPr>
        <w:t>p. b</w:t>
      </w:r>
      <w:r>
        <w:rPr>
          <w:rFonts w:ascii="Arial" w:hAnsi="Arial" w:cs="Arial"/>
        </w:rPr>
        <w:t xml:space="preserve">. na </w:t>
      </w:r>
      <w:r w:rsidRPr="00680702">
        <w:rPr>
          <w:rFonts w:ascii="Arial" w:hAnsi="Arial" w:cs="Arial"/>
          <w:b/>
        </w:rPr>
        <w:t>6,8 %</w:t>
      </w:r>
      <w:r w:rsidRPr="00680702">
        <w:rPr>
          <w:rFonts w:ascii="Arial" w:hAnsi="Arial" w:cs="Arial"/>
        </w:rPr>
        <w:t>,</w:t>
      </w:r>
      <w:r>
        <w:rPr>
          <w:rFonts w:ascii="Arial" w:hAnsi="Arial" w:cs="Arial"/>
        </w:rPr>
        <w:t xml:space="preserve"> v EU 27 o 0,6 </w:t>
      </w:r>
      <w:r w:rsidR="00E3619C">
        <w:rPr>
          <w:rFonts w:ascii="Arial" w:hAnsi="Arial" w:cs="Arial"/>
        </w:rPr>
        <w:t>p. b</w:t>
      </w:r>
      <w:r>
        <w:rPr>
          <w:rFonts w:ascii="Arial" w:hAnsi="Arial" w:cs="Arial"/>
        </w:rPr>
        <w:t xml:space="preserve">. na </w:t>
      </w:r>
      <w:r w:rsidRPr="00680702">
        <w:rPr>
          <w:rFonts w:ascii="Arial" w:hAnsi="Arial" w:cs="Arial"/>
          <w:b/>
        </w:rPr>
        <w:t>10,9 %</w:t>
      </w:r>
      <w:r w:rsidRPr="00680702">
        <w:rPr>
          <w:rFonts w:ascii="Arial" w:hAnsi="Arial" w:cs="Arial"/>
        </w:rPr>
        <w:t>.</w:t>
      </w:r>
      <w:r>
        <w:rPr>
          <w:rFonts w:ascii="Arial" w:hAnsi="Arial" w:cs="Arial"/>
        </w:rPr>
        <w:t xml:space="preserve"> </w:t>
      </w:r>
      <w:r w:rsidRPr="00BD09C5">
        <w:rPr>
          <w:rFonts w:ascii="Arial" w:hAnsi="Arial" w:cs="Arial"/>
          <w:b/>
        </w:rPr>
        <w:t>V</w:t>
      </w:r>
      <w:r w:rsidRPr="00BD09C5">
        <w:rPr>
          <w:rFonts w:ascii="Arial" w:hAnsi="Arial" w:cs="Arial"/>
        </w:rPr>
        <w:t> </w:t>
      </w:r>
      <w:r w:rsidRPr="00BD09C5">
        <w:rPr>
          <w:rFonts w:ascii="Arial" w:hAnsi="Arial" w:cs="Arial"/>
          <w:b/>
        </w:rPr>
        <w:t>porovnání s ostatními státy EU 27</w:t>
      </w:r>
      <w:r w:rsidRPr="00BD09C5">
        <w:rPr>
          <w:rFonts w:ascii="Arial" w:hAnsi="Arial" w:cs="Arial"/>
        </w:rPr>
        <w:t xml:space="preserve"> </w:t>
      </w:r>
      <w:r w:rsidRPr="00BD09C5">
        <w:rPr>
          <w:rFonts w:ascii="Arial" w:hAnsi="Arial" w:cs="Arial"/>
          <w:b/>
        </w:rPr>
        <w:t>byla pozice ČR ve</w:t>
      </w:r>
      <w:r>
        <w:rPr>
          <w:rFonts w:ascii="Arial" w:hAnsi="Arial" w:cs="Arial"/>
          <w:b/>
        </w:rPr>
        <w:t> </w:t>
      </w:r>
      <w:r w:rsidRPr="00BD09C5">
        <w:rPr>
          <w:rFonts w:ascii="Arial" w:hAnsi="Arial" w:cs="Arial"/>
          <w:b/>
        </w:rPr>
        <w:t>2. </w:t>
      </w:r>
      <w:r w:rsidRPr="008269D1">
        <w:rPr>
          <w:rFonts w:ascii="Arial" w:hAnsi="Arial" w:cs="Arial"/>
          <w:b/>
        </w:rPr>
        <w:t>čtvrtletí 2013 velmi dobrá.</w:t>
      </w:r>
      <w:r w:rsidRPr="008269D1">
        <w:rPr>
          <w:rFonts w:ascii="Arial" w:hAnsi="Arial" w:cs="Arial"/>
        </w:rPr>
        <w:t xml:space="preserve"> MN nižší než ČR měli pouze v Dánsku, </w:t>
      </w:r>
      <w:r w:rsidRPr="00E6025E">
        <w:rPr>
          <w:rFonts w:ascii="Arial" w:hAnsi="Arial" w:cs="Arial"/>
        </w:rPr>
        <w:t xml:space="preserve">Nizozemsku, na Maltě, v Německu a Lucembursku. Výsledek za Rakousko sice není zatím známý, ale podle výsledků v předchozích čtvrtletí je evidentní, že bude nižší než v ČR (v 1. čtvrtletí 2013 5,4 %). Nejvyšší </w:t>
      </w:r>
      <w:r w:rsidRPr="006572CB">
        <w:rPr>
          <w:rFonts w:ascii="Arial" w:hAnsi="Arial" w:cs="Arial"/>
        </w:rPr>
        <w:t xml:space="preserve">hodnota </w:t>
      </w:r>
      <w:r w:rsidRPr="00D712CA">
        <w:rPr>
          <w:rFonts w:ascii="Arial" w:hAnsi="Arial" w:cs="Arial"/>
        </w:rPr>
        <w:t xml:space="preserve">celkové MN byla ve 2. čtvrtletí 2013 </w:t>
      </w:r>
      <w:r w:rsidRPr="00406C61">
        <w:rPr>
          <w:rFonts w:ascii="Arial" w:hAnsi="Arial" w:cs="Arial"/>
        </w:rPr>
        <w:t>v Řecku a Španělsku (více než 25 %).</w:t>
      </w:r>
    </w:p>
    <w:p w:rsidR="001B48C2" w:rsidRPr="009B660B" w:rsidRDefault="001B48C2" w:rsidP="001B48C2">
      <w:pPr>
        <w:spacing w:line="360" w:lineRule="auto"/>
        <w:ind w:firstLine="567"/>
        <w:jc w:val="both"/>
        <w:rPr>
          <w:rFonts w:ascii="Arial" w:hAnsi="Arial" w:cs="Arial"/>
        </w:rPr>
      </w:pPr>
      <w:r w:rsidRPr="00FF2C73">
        <w:rPr>
          <w:rFonts w:ascii="Arial" w:hAnsi="Arial" w:cs="Arial"/>
        </w:rPr>
        <w:t xml:space="preserve">Zatímco </w:t>
      </w:r>
      <w:r w:rsidRPr="00FF2C73">
        <w:rPr>
          <w:rFonts w:ascii="Arial" w:hAnsi="Arial" w:cs="Arial"/>
          <w:b/>
        </w:rPr>
        <w:t>MN žen</w:t>
      </w:r>
      <w:r w:rsidRPr="00FF2C73">
        <w:rPr>
          <w:rFonts w:ascii="Arial" w:hAnsi="Arial" w:cs="Arial"/>
        </w:rPr>
        <w:t xml:space="preserve"> má v </w:t>
      </w:r>
      <w:r w:rsidRPr="00FF2C73">
        <w:rPr>
          <w:rFonts w:ascii="Arial" w:hAnsi="Arial" w:cs="Arial"/>
          <w:b/>
        </w:rPr>
        <w:t>EU 27</w:t>
      </w:r>
      <w:r w:rsidRPr="00FF2C73">
        <w:rPr>
          <w:rFonts w:ascii="Arial" w:hAnsi="Arial" w:cs="Arial"/>
        </w:rPr>
        <w:t xml:space="preserve"> rostoucí tendenci </w:t>
      </w:r>
      <w:r>
        <w:rPr>
          <w:rFonts w:ascii="Arial" w:hAnsi="Arial" w:cs="Arial"/>
        </w:rPr>
        <w:t xml:space="preserve">(v roce 2012 </w:t>
      </w:r>
      <w:r w:rsidRPr="00FF2C73">
        <w:rPr>
          <w:rFonts w:ascii="Arial" w:hAnsi="Arial" w:cs="Arial"/>
        </w:rPr>
        <w:t xml:space="preserve">činila </w:t>
      </w:r>
      <w:r w:rsidRPr="00FF2C73">
        <w:rPr>
          <w:rFonts w:ascii="Arial" w:hAnsi="Arial" w:cs="Arial"/>
          <w:b/>
        </w:rPr>
        <w:t>10,5 </w:t>
      </w:r>
      <w:r w:rsidRPr="002773F6">
        <w:rPr>
          <w:rFonts w:ascii="Arial" w:hAnsi="Arial" w:cs="Arial"/>
          <w:b/>
        </w:rPr>
        <w:t>%</w:t>
      </w:r>
      <w:r w:rsidRPr="002773F6">
        <w:rPr>
          <w:rFonts w:ascii="Arial" w:hAnsi="Arial" w:cs="Arial"/>
        </w:rPr>
        <w:t xml:space="preserve">), </w:t>
      </w:r>
      <w:r w:rsidRPr="002773F6">
        <w:rPr>
          <w:rFonts w:ascii="Arial" w:hAnsi="Arial" w:cs="Arial"/>
          <w:b/>
        </w:rPr>
        <w:t>v ČR</w:t>
      </w:r>
      <w:r w:rsidRPr="002773F6">
        <w:rPr>
          <w:rFonts w:ascii="Arial" w:hAnsi="Arial" w:cs="Arial"/>
        </w:rPr>
        <w:t xml:space="preserve"> po nárůstu v roce 2010 a poklesu v roce 2011 na 7,9 % </w:t>
      </w:r>
      <w:r w:rsidRPr="002773F6">
        <w:rPr>
          <w:rFonts w:ascii="Arial" w:hAnsi="Arial" w:cs="Arial"/>
          <w:b/>
        </w:rPr>
        <w:t>v roce 2012</w:t>
      </w:r>
      <w:r w:rsidRPr="002773F6">
        <w:rPr>
          <w:rFonts w:ascii="Arial" w:hAnsi="Arial" w:cs="Arial"/>
        </w:rPr>
        <w:t xml:space="preserve"> meziročně </w:t>
      </w:r>
      <w:r w:rsidRPr="002773F6">
        <w:rPr>
          <w:rFonts w:ascii="Arial" w:hAnsi="Arial" w:cs="Arial"/>
          <w:b/>
        </w:rPr>
        <w:t>vzrostla</w:t>
      </w:r>
      <w:r w:rsidRPr="002773F6">
        <w:rPr>
          <w:rFonts w:ascii="Arial" w:hAnsi="Arial" w:cs="Arial"/>
        </w:rPr>
        <w:t xml:space="preserve"> na </w:t>
      </w:r>
      <w:r w:rsidRPr="002773F6">
        <w:rPr>
          <w:rFonts w:ascii="Arial" w:hAnsi="Arial" w:cs="Arial"/>
          <w:b/>
        </w:rPr>
        <w:t>8,2 %</w:t>
      </w:r>
      <w:r w:rsidRPr="002773F6">
        <w:rPr>
          <w:rFonts w:ascii="Arial" w:hAnsi="Arial" w:cs="Arial"/>
        </w:rPr>
        <w:t>. I přes tento nárůst zůstala MN žen</w:t>
      </w:r>
      <w:r>
        <w:rPr>
          <w:rFonts w:ascii="Arial" w:hAnsi="Arial" w:cs="Arial"/>
        </w:rPr>
        <w:t xml:space="preserve"> v ČR </w:t>
      </w:r>
      <w:r w:rsidRPr="002773F6">
        <w:rPr>
          <w:rFonts w:ascii="Arial" w:hAnsi="Arial" w:cs="Arial"/>
        </w:rPr>
        <w:t xml:space="preserve">nižší než v roce 2010. </w:t>
      </w:r>
      <w:r w:rsidRPr="00AB3A14">
        <w:rPr>
          <w:rFonts w:ascii="Arial" w:hAnsi="Arial" w:cs="Arial"/>
        </w:rPr>
        <w:t>Ve</w:t>
      </w:r>
      <w:r>
        <w:rPr>
          <w:rFonts w:ascii="Arial" w:hAnsi="Arial" w:cs="Arial"/>
        </w:rPr>
        <w:t> </w:t>
      </w:r>
      <w:r w:rsidRPr="00AB3A14">
        <w:rPr>
          <w:rFonts w:ascii="Arial" w:hAnsi="Arial" w:cs="Arial"/>
          <w:b/>
        </w:rPr>
        <w:t>2. čtvrtletí 2013</w:t>
      </w:r>
      <w:r w:rsidRPr="00AB3A14">
        <w:rPr>
          <w:rFonts w:ascii="Arial" w:hAnsi="Arial" w:cs="Arial"/>
        </w:rPr>
        <w:t xml:space="preserve"> </w:t>
      </w:r>
      <w:r w:rsidRPr="004E4860">
        <w:rPr>
          <w:rFonts w:ascii="Arial" w:hAnsi="Arial" w:cs="Arial"/>
          <w:b/>
        </w:rPr>
        <w:t>MN žen</w:t>
      </w:r>
      <w:r w:rsidRPr="004E4860">
        <w:rPr>
          <w:rFonts w:ascii="Arial" w:hAnsi="Arial" w:cs="Arial"/>
        </w:rPr>
        <w:t xml:space="preserve"> </w:t>
      </w:r>
      <w:r w:rsidRPr="004E4860">
        <w:rPr>
          <w:rFonts w:ascii="Arial" w:hAnsi="Arial" w:cs="Arial"/>
          <w:b/>
        </w:rPr>
        <w:t>v ČR</w:t>
      </w:r>
      <w:r>
        <w:rPr>
          <w:rFonts w:ascii="Arial" w:hAnsi="Arial" w:cs="Arial"/>
        </w:rPr>
        <w:t xml:space="preserve"> </w:t>
      </w:r>
      <w:r w:rsidRPr="004E4860">
        <w:rPr>
          <w:rFonts w:ascii="Arial" w:hAnsi="Arial" w:cs="Arial"/>
        </w:rPr>
        <w:t>meziročně vzrostla</w:t>
      </w:r>
      <w:r>
        <w:rPr>
          <w:rFonts w:ascii="Arial" w:hAnsi="Arial" w:cs="Arial"/>
        </w:rPr>
        <w:t xml:space="preserve"> o 0,2 </w:t>
      </w:r>
      <w:r w:rsidR="00E3619C">
        <w:rPr>
          <w:rFonts w:ascii="Arial" w:hAnsi="Arial" w:cs="Arial"/>
        </w:rPr>
        <w:t>p. b</w:t>
      </w:r>
      <w:r>
        <w:rPr>
          <w:rFonts w:ascii="Arial" w:hAnsi="Arial" w:cs="Arial"/>
        </w:rPr>
        <w:t xml:space="preserve">. na </w:t>
      </w:r>
      <w:r w:rsidRPr="00B102AF">
        <w:rPr>
          <w:rFonts w:ascii="Arial" w:hAnsi="Arial" w:cs="Arial"/>
          <w:b/>
        </w:rPr>
        <w:t>8,1 %</w:t>
      </w:r>
      <w:r w:rsidRPr="00B102AF">
        <w:rPr>
          <w:rFonts w:ascii="Arial" w:hAnsi="Arial" w:cs="Arial"/>
        </w:rPr>
        <w:t>,</w:t>
      </w:r>
      <w:r>
        <w:rPr>
          <w:rFonts w:ascii="Arial" w:hAnsi="Arial" w:cs="Arial"/>
        </w:rPr>
        <w:t xml:space="preserve"> MN žen </w:t>
      </w:r>
      <w:r w:rsidRPr="004E4860">
        <w:rPr>
          <w:rFonts w:ascii="Arial" w:hAnsi="Arial" w:cs="Arial"/>
          <w:b/>
        </w:rPr>
        <w:t>v EU 27</w:t>
      </w:r>
      <w:r>
        <w:rPr>
          <w:rFonts w:ascii="Arial" w:hAnsi="Arial" w:cs="Arial"/>
        </w:rPr>
        <w:t xml:space="preserve"> vzrostla o 0,6 </w:t>
      </w:r>
      <w:r w:rsidR="00E3619C">
        <w:rPr>
          <w:rFonts w:ascii="Arial" w:hAnsi="Arial" w:cs="Arial"/>
        </w:rPr>
        <w:t>p. b</w:t>
      </w:r>
      <w:r>
        <w:rPr>
          <w:rFonts w:ascii="Arial" w:hAnsi="Arial" w:cs="Arial"/>
        </w:rPr>
        <w:t xml:space="preserve">. na </w:t>
      </w:r>
      <w:r w:rsidRPr="00B74F39">
        <w:rPr>
          <w:rFonts w:ascii="Arial" w:hAnsi="Arial" w:cs="Arial"/>
          <w:b/>
        </w:rPr>
        <w:t>10,9 </w:t>
      </w:r>
      <w:r w:rsidRPr="009B660B">
        <w:rPr>
          <w:rFonts w:ascii="Arial" w:hAnsi="Arial" w:cs="Arial"/>
          <w:b/>
        </w:rPr>
        <w:t>%</w:t>
      </w:r>
      <w:r w:rsidRPr="009B660B">
        <w:rPr>
          <w:rFonts w:ascii="Arial" w:hAnsi="Arial" w:cs="Arial"/>
        </w:rPr>
        <w:t>.</w:t>
      </w:r>
    </w:p>
    <w:p w:rsidR="001B48C2" w:rsidRPr="009B660B" w:rsidRDefault="001B48C2" w:rsidP="001B48C2">
      <w:pPr>
        <w:spacing w:line="360" w:lineRule="auto"/>
        <w:ind w:firstLine="567"/>
        <w:jc w:val="both"/>
        <w:rPr>
          <w:rFonts w:ascii="Arial" w:hAnsi="Arial" w:cs="Arial"/>
        </w:rPr>
      </w:pPr>
      <w:r w:rsidRPr="009B660B">
        <w:rPr>
          <w:rFonts w:ascii="Arial" w:hAnsi="Arial" w:cs="Arial"/>
        </w:rPr>
        <w:t xml:space="preserve">Zatímco </w:t>
      </w:r>
      <w:r w:rsidRPr="009B660B">
        <w:rPr>
          <w:rFonts w:ascii="Arial" w:hAnsi="Arial" w:cs="Arial"/>
          <w:b/>
        </w:rPr>
        <w:t>MN mužů</w:t>
      </w:r>
      <w:r w:rsidRPr="009B660B">
        <w:rPr>
          <w:rFonts w:ascii="Arial" w:hAnsi="Arial" w:cs="Arial"/>
        </w:rPr>
        <w:t xml:space="preserve"> </w:t>
      </w:r>
      <w:r w:rsidRPr="009B660B">
        <w:rPr>
          <w:rFonts w:ascii="Arial" w:hAnsi="Arial" w:cs="Arial"/>
          <w:b/>
        </w:rPr>
        <w:t xml:space="preserve">v EU 27 ve 2. čtvrtletí 2013 </w:t>
      </w:r>
      <w:r w:rsidRPr="009B660B">
        <w:rPr>
          <w:rFonts w:ascii="Arial" w:hAnsi="Arial" w:cs="Arial"/>
        </w:rPr>
        <w:t xml:space="preserve">meziročně </w:t>
      </w:r>
      <w:r w:rsidRPr="009B660B">
        <w:rPr>
          <w:rFonts w:ascii="Arial" w:hAnsi="Arial" w:cs="Arial"/>
          <w:b/>
        </w:rPr>
        <w:t>vzrostla</w:t>
      </w:r>
      <w:r w:rsidRPr="009B660B">
        <w:rPr>
          <w:rFonts w:ascii="Arial" w:hAnsi="Arial" w:cs="Arial"/>
        </w:rPr>
        <w:t xml:space="preserve"> o 0,6 </w:t>
      </w:r>
      <w:r w:rsidR="00E3619C">
        <w:rPr>
          <w:rFonts w:ascii="Arial" w:hAnsi="Arial" w:cs="Arial"/>
        </w:rPr>
        <w:t>p. b</w:t>
      </w:r>
      <w:r w:rsidRPr="009B660B">
        <w:rPr>
          <w:rFonts w:ascii="Arial" w:hAnsi="Arial" w:cs="Arial"/>
        </w:rPr>
        <w:t xml:space="preserve">. na </w:t>
      </w:r>
      <w:r w:rsidRPr="009B660B">
        <w:rPr>
          <w:rFonts w:ascii="Arial" w:hAnsi="Arial" w:cs="Arial"/>
          <w:b/>
        </w:rPr>
        <w:t>10,9 %</w:t>
      </w:r>
      <w:r w:rsidRPr="009B660B">
        <w:rPr>
          <w:rFonts w:ascii="Arial" w:hAnsi="Arial" w:cs="Arial"/>
        </w:rPr>
        <w:t xml:space="preserve">, </w:t>
      </w:r>
      <w:r w:rsidRPr="009B660B">
        <w:rPr>
          <w:rFonts w:ascii="Arial" w:hAnsi="Arial" w:cs="Arial"/>
          <w:b/>
        </w:rPr>
        <w:t>v ČR</w:t>
      </w:r>
      <w:r w:rsidRPr="009B660B">
        <w:rPr>
          <w:rFonts w:ascii="Arial" w:hAnsi="Arial" w:cs="Arial"/>
        </w:rPr>
        <w:t xml:space="preserve"> se nezměnila a zůstala na úrovni </w:t>
      </w:r>
      <w:r w:rsidRPr="009B660B">
        <w:rPr>
          <w:rFonts w:ascii="Arial" w:hAnsi="Arial" w:cs="Arial"/>
          <w:b/>
        </w:rPr>
        <w:t>5,8 %</w:t>
      </w:r>
      <w:r w:rsidRPr="009B660B">
        <w:rPr>
          <w:rFonts w:ascii="Arial" w:hAnsi="Arial" w:cs="Arial"/>
        </w:rPr>
        <w:t xml:space="preserve">.  </w:t>
      </w:r>
    </w:p>
    <w:p w:rsidR="001B48C2" w:rsidRPr="00CD1D98" w:rsidRDefault="001B48C2" w:rsidP="001B48C2">
      <w:pPr>
        <w:spacing w:line="360" w:lineRule="auto"/>
        <w:ind w:firstLine="567"/>
        <w:jc w:val="both"/>
        <w:rPr>
          <w:rFonts w:ascii="Arial" w:hAnsi="Arial" w:cs="Arial"/>
          <w:b/>
        </w:rPr>
      </w:pPr>
      <w:r w:rsidRPr="006572CB">
        <w:rPr>
          <w:rFonts w:ascii="Arial" w:hAnsi="Arial" w:cs="Arial"/>
          <w:b/>
          <w:bCs/>
        </w:rPr>
        <w:t>Míra nezaměstnanosti mladých ve věku 15 – 24 let</w:t>
      </w:r>
      <w:r w:rsidRPr="006572CB">
        <w:rPr>
          <w:rFonts w:ascii="Arial" w:hAnsi="Arial" w:cs="Arial"/>
        </w:rPr>
        <w:t xml:space="preserve"> (vztažená k pracovní síle ve stejném věku</w:t>
      </w:r>
      <w:r w:rsidRPr="000D0461">
        <w:rPr>
          <w:rFonts w:ascii="Arial" w:hAnsi="Arial" w:cs="Arial"/>
        </w:rPr>
        <w:t xml:space="preserve">) </w:t>
      </w:r>
      <w:r w:rsidRPr="003D150B">
        <w:rPr>
          <w:rFonts w:ascii="Arial" w:hAnsi="Arial" w:cs="Arial"/>
          <w:b/>
        </w:rPr>
        <w:t>v roce 2012</w:t>
      </w:r>
      <w:r w:rsidRPr="000D0461">
        <w:rPr>
          <w:rFonts w:ascii="Arial" w:hAnsi="Arial" w:cs="Arial"/>
        </w:rPr>
        <w:t xml:space="preserve"> v EU 27 i v ČR </w:t>
      </w:r>
      <w:r w:rsidRPr="003D150B">
        <w:rPr>
          <w:rFonts w:ascii="Arial" w:hAnsi="Arial" w:cs="Arial"/>
          <w:b/>
        </w:rPr>
        <w:t>meziročně vzrostla</w:t>
      </w:r>
      <w:r w:rsidRPr="000D0461">
        <w:rPr>
          <w:rFonts w:ascii="Arial" w:hAnsi="Arial" w:cs="Arial"/>
        </w:rPr>
        <w:t xml:space="preserve">, </w:t>
      </w:r>
      <w:r w:rsidRPr="003D150B">
        <w:rPr>
          <w:rFonts w:ascii="Arial" w:hAnsi="Arial" w:cs="Arial"/>
          <w:b/>
        </w:rPr>
        <w:t>v EU 27</w:t>
      </w:r>
      <w:r w:rsidRPr="000D0461">
        <w:rPr>
          <w:rFonts w:ascii="Arial" w:hAnsi="Arial" w:cs="Arial"/>
        </w:rPr>
        <w:t xml:space="preserve"> o</w:t>
      </w:r>
      <w:r>
        <w:rPr>
          <w:rFonts w:ascii="Arial" w:hAnsi="Arial" w:cs="Arial"/>
        </w:rPr>
        <w:t> </w:t>
      </w:r>
      <w:r w:rsidRPr="000D0461">
        <w:rPr>
          <w:rFonts w:ascii="Arial" w:hAnsi="Arial" w:cs="Arial"/>
        </w:rPr>
        <w:t>1,5 </w:t>
      </w:r>
      <w:r w:rsidR="00E3619C">
        <w:rPr>
          <w:rFonts w:ascii="Arial" w:hAnsi="Arial" w:cs="Arial"/>
        </w:rPr>
        <w:t>p. b</w:t>
      </w:r>
      <w:r w:rsidRPr="000D0461">
        <w:rPr>
          <w:rFonts w:ascii="Arial" w:hAnsi="Arial" w:cs="Arial"/>
        </w:rPr>
        <w:t xml:space="preserve">. na </w:t>
      </w:r>
      <w:r w:rsidRPr="003D150B">
        <w:rPr>
          <w:rFonts w:ascii="Arial" w:hAnsi="Arial" w:cs="Arial"/>
          <w:b/>
        </w:rPr>
        <w:t>22,8 %</w:t>
      </w:r>
      <w:r w:rsidRPr="003D150B">
        <w:rPr>
          <w:rFonts w:ascii="Arial" w:hAnsi="Arial" w:cs="Arial"/>
        </w:rPr>
        <w:t xml:space="preserve">, </w:t>
      </w:r>
      <w:r w:rsidRPr="003D150B">
        <w:rPr>
          <w:rFonts w:ascii="Arial" w:hAnsi="Arial" w:cs="Arial"/>
          <w:b/>
        </w:rPr>
        <w:t>v ČR</w:t>
      </w:r>
      <w:r w:rsidRPr="000D0461">
        <w:rPr>
          <w:rFonts w:ascii="Arial" w:hAnsi="Arial" w:cs="Arial"/>
        </w:rPr>
        <w:t xml:space="preserve"> o 1,4 </w:t>
      </w:r>
      <w:r w:rsidR="00E3619C">
        <w:rPr>
          <w:rFonts w:ascii="Arial" w:hAnsi="Arial" w:cs="Arial"/>
        </w:rPr>
        <w:t>p. b</w:t>
      </w:r>
      <w:r w:rsidRPr="000D0461">
        <w:rPr>
          <w:rFonts w:ascii="Arial" w:hAnsi="Arial" w:cs="Arial"/>
        </w:rPr>
        <w:t xml:space="preserve">. na </w:t>
      </w:r>
      <w:r w:rsidRPr="003D150B">
        <w:rPr>
          <w:rFonts w:ascii="Arial" w:hAnsi="Arial" w:cs="Arial"/>
          <w:b/>
        </w:rPr>
        <w:t>19,5 %</w:t>
      </w:r>
      <w:r w:rsidRPr="003D150B">
        <w:rPr>
          <w:rFonts w:ascii="Arial" w:hAnsi="Arial" w:cs="Arial"/>
        </w:rPr>
        <w:t>.</w:t>
      </w:r>
      <w:r>
        <w:rPr>
          <w:rFonts w:ascii="Arial" w:hAnsi="Arial" w:cs="Arial"/>
        </w:rPr>
        <w:t xml:space="preserve"> Ve </w:t>
      </w:r>
      <w:r w:rsidRPr="00F95A58">
        <w:rPr>
          <w:rFonts w:ascii="Arial" w:hAnsi="Arial" w:cs="Arial"/>
          <w:b/>
        </w:rPr>
        <w:t>2. </w:t>
      </w:r>
      <w:r>
        <w:rPr>
          <w:rFonts w:ascii="Arial" w:hAnsi="Arial" w:cs="Arial"/>
          <w:b/>
        </w:rPr>
        <w:t>č</w:t>
      </w:r>
      <w:r w:rsidRPr="00F95A58">
        <w:rPr>
          <w:rFonts w:ascii="Arial" w:hAnsi="Arial" w:cs="Arial"/>
          <w:b/>
        </w:rPr>
        <w:t>tvrtletí 2013</w:t>
      </w:r>
      <w:r>
        <w:rPr>
          <w:rFonts w:ascii="Arial" w:hAnsi="Arial" w:cs="Arial"/>
        </w:rPr>
        <w:t xml:space="preserve"> byl </w:t>
      </w:r>
      <w:r w:rsidRPr="00F95A58">
        <w:rPr>
          <w:rFonts w:ascii="Arial" w:hAnsi="Arial" w:cs="Arial"/>
          <w:b/>
        </w:rPr>
        <w:t>v EU 27</w:t>
      </w:r>
      <w:r>
        <w:rPr>
          <w:rFonts w:ascii="Arial" w:hAnsi="Arial" w:cs="Arial"/>
        </w:rPr>
        <w:t xml:space="preserve"> zaznamenán meziroční nárůst o 0,6 </w:t>
      </w:r>
      <w:r w:rsidR="00E3619C">
        <w:rPr>
          <w:rFonts w:ascii="Arial" w:hAnsi="Arial" w:cs="Arial"/>
        </w:rPr>
        <w:t>p. b</w:t>
      </w:r>
      <w:r>
        <w:rPr>
          <w:rFonts w:ascii="Arial" w:hAnsi="Arial" w:cs="Arial"/>
        </w:rPr>
        <w:t xml:space="preserve">. na </w:t>
      </w:r>
      <w:r w:rsidRPr="00F95A58">
        <w:rPr>
          <w:rFonts w:ascii="Arial" w:hAnsi="Arial" w:cs="Arial"/>
          <w:b/>
        </w:rPr>
        <w:t>23,1 %</w:t>
      </w:r>
      <w:r w:rsidRPr="00F95A58">
        <w:rPr>
          <w:rFonts w:ascii="Arial" w:hAnsi="Arial" w:cs="Arial"/>
        </w:rPr>
        <w:t>.</w:t>
      </w:r>
      <w:r>
        <w:rPr>
          <w:rFonts w:ascii="Arial" w:hAnsi="Arial" w:cs="Arial"/>
        </w:rPr>
        <w:t xml:space="preserve"> </w:t>
      </w:r>
      <w:r w:rsidRPr="00F95A58">
        <w:rPr>
          <w:rFonts w:ascii="Arial" w:hAnsi="Arial" w:cs="Arial"/>
          <w:b/>
        </w:rPr>
        <w:t>V ČR</w:t>
      </w:r>
      <w:r>
        <w:rPr>
          <w:rFonts w:ascii="Arial" w:hAnsi="Arial" w:cs="Arial"/>
        </w:rPr>
        <w:t xml:space="preserve"> MN mladých meziročně klesla o 1,7 </w:t>
      </w:r>
      <w:r w:rsidR="00E3619C">
        <w:rPr>
          <w:rFonts w:ascii="Arial" w:hAnsi="Arial" w:cs="Arial"/>
        </w:rPr>
        <w:t>p. b</w:t>
      </w:r>
      <w:r>
        <w:rPr>
          <w:rFonts w:ascii="Arial" w:hAnsi="Arial" w:cs="Arial"/>
        </w:rPr>
        <w:t xml:space="preserve">. na </w:t>
      </w:r>
      <w:r w:rsidRPr="006704CF">
        <w:rPr>
          <w:rFonts w:ascii="Arial" w:hAnsi="Arial" w:cs="Arial"/>
          <w:b/>
        </w:rPr>
        <w:t>17,4 %</w:t>
      </w:r>
      <w:r w:rsidRPr="006704CF">
        <w:rPr>
          <w:rFonts w:ascii="Arial" w:hAnsi="Arial" w:cs="Arial"/>
        </w:rPr>
        <w:t>.</w:t>
      </w:r>
      <w:r w:rsidRPr="006704CF">
        <w:rPr>
          <w:rFonts w:ascii="Arial" w:hAnsi="Arial" w:cs="Arial"/>
          <w:color w:val="0070C0"/>
        </w:rPr>
        <w:t xml:space="preserve"> </w:t>
      </w:r>
      <w:r w:rsidRPr="00556612">
        <w:rPr>
          <w:rFonts w:ascii="Arial" w:hAnsi="Arial" w:cs="Arial"/>
        </w:rPr>
        <w:t xml:space="preserve">K zemím s nejvyšší hodnotou MN mladých patří </w:t>
      </w:r>
      <w:r w:rsidRPr="00556612">
        <w:rPr>
          <w:rFonts w:ascii="Arial" w:hAnsi="Arial" w:cs="Arial"/>
        </w:rPr>
        <w:lastRenderedPageBreak/>
        <w:t>Španělsko a Řecko, kde je jejich MN vyšší než 50</w:t>
      </w:r>
      <w:r>
        <w:rPr>
          <w:rFonts w:ascii="Arial" w:hAnsi="Arial" w:cs="Arial"/>
        </w:rPr>
        <w:t>,0</w:t>
      </w:r>
      <w:r w:rsidRPr="00556612">
        <w:rPr>
          <w:rFonts w:ascii="Arial" w:hAnsi="Arial" w:cs="Arial"/>
        </w:rPr>
        <w:t xml:space="preserve"> %, </w:t>
      </w:r>
      <w:r w:rsidRPr="00CD1D98">
        <w:rPr>
          <w:rFonts w:ascii="Arial" w:hAnsi="Arial" w:cs="Arial"/>
        </w:rPr>
        <w:t>zatímco na hodnotě pod 10 % se nachází v </w:t>
      </w:r>
      <w:r>
        <w:rPr>
          <w:rFonts w:ascii="Arial" w:hAnsi="Arial" w:cs="Arial"/>
        </w:rPr>
        <w:t>Německu a Rakousku.</w:t>
      </w:r>
    </w:p>
    <w:p w:rsidR="001B48C2" w:rsidRDefault="001B48C2" w:rsidP="001B48C2">
      <w:pPr>
        <w:spacing w:line="360" w:lineRule="auto"/>
        <w:ind w:firstLine="567"/>
        <w:jc w:val="both"/>
        <w:rPr>
          <w:rFonts w:ascii="Arial" w:hAnsi="Arial" w:cs="Arial"/>
        </w:rPr>
      </w:pPr>
      <w:r w:rsidRPr="00240DC3">
        <w:rPr>
          <w:rFonts w:ascii="Arial" w:hAnsi="Arial" w:cs="Arial"/>
          <w:b/>
        </w:rPr>
        <w:t>Pokud jde o míru nezaměstnanosti osob s nízkou kvalifikací</w:t>
      </w:r>
      <w:r w:rsidRPr="00240DC3">
        <w:rPr>
          <w:rFonts w:ascii="Arial" w:hAnsi="Arial" w:cs="Arial"/>
        </w:rPr>
        <w:t xml:space="preserve"> (stupeň ISCED 0-2 mezinárodní klasifikace </w:t>
      </w:r>
      <w:r w:rsidRPr="00FD0C38">
        <w:rPr>
          <w:rFonts w:ascii="Arial" w:hAnsi="Arial" w:cs="Arial"/>
        </w:rPr>
        <w:t xml:space="preserve">vzdělání), situace v ČR je na rozdíl od celkové MN a MN mladých výrazně horší než průměr EU 27. V EU 27 dosáhla v roce 2012 18,2 %, v ČR hodnota tohoto ukazatele </w:t>
      </w:r>
      <w:r w:rsidRPr="00AA37D6">
        <w:rPr>
          <w:rFonts w:ascii="Arial" w:hAnsi="Arial" w:cs="Arial"/>
        </w:rPr>
        <w:t>činila 28,5</w:t>
      </w:r>
      <w:r>
        <w:rPr>
          <w:rFonts w:ascii="Arial" w:hAnsi="Arial" w:cs="Arial"/>
        </w:rPr>
        <w:t xml:space="preserve"> %. Aktuálně ve </w:t>
      </w:r>
      <w:r w:rsidRPr="00AA37D6">
        <w:rPr>
          <w:rFonts w:ascii="Arial" w:hAnsi="Arial" w:cs="Arial"/>
          <w:b/>
        </w:rPr>
        <w:t>2. čtvrtletí 2013</w:t>
      </w:r>
      <w:r>
        <w:rPr>
          <w:rFonts w:ascii="Arial" w:hAnsi="Arial" w:cs="Arial"/>
        </w:rPr>
        <w:t xml:space="preserve"> míra</w:t>
      </w:r>
      <w:r w:rsidRPr="00AA37D6">
        <w:rPr>
          <w:rFonts w:ascii="Arial" w:hAnsi="Arial" w:cs="Arial"/>
        </w:rPr>
        <w:t xml:space="preserve"> </w:t>
      </w:r>
      <w:r w:rsidRPr="00394581">
        <w:rPr>
          <w:rFonts w:ascii="Arial" w:hAnsi="Arial" w:cs="Arial"/>
        </w:rPr>
        <w:t xml:space="preserve">nezaměstnanosti osob s nízkou kvalifikací v </w:t>
      </w:r>
      <w:r w:rsidRPr="00394581">
        <w:rPr>
          <w:rFonts w:ascii="Arial" w:hAnsi="Arial" w:cs="Arial"/>
          <w:b/>
        </w:rPr>
        <w:t>EU27</w:t>
      </w:r>
      <w:r w:rsidRPr="00394581">
        <w:rPr>
          <w:rFonts w:ascii="Arial" w:hAnsi="Arial" w:cs="Arial"/>
        </w:rPr>
        <w:t xml:space="preserve"> meziročně vzrostla o 1,2 </w:t>
      </w:r>
      <w:r w:rsidR="00E3619C">
        <w:rPr>
          <w:rFonts w:ascii="Arial" w:hAnsi="Arial" w:cs="Arial"/>
        </w:rPr>
        <w:t>p. b</w:t>
      </w:r>
      <w:r w:rsidRPr="00394581">
        <w:rPr>
          <w:rFonts w:ascii="Arial" w:hAnsi="Arial" w:cs="Arial"/>
        </w:rPr>
        <w:t xml:space="preserve">. na </w:t>
      </w:r>
      <w:r w:rsidRPr="00394581">
        <w:rPr>
          <w:rFonts w:ascii="Arial" w:hAnsi="Arial" w:cs="Arial"/>
          <w:b/>
        </w:rPr>
        <w:t>19,3 %</w:t>
      </w:r>
      <w:r w:rsidRPr="00394581">
        <w:rPr>
          <w:rFonts w:ascii="Arial" w:hAnsi="Arial" w:cs="Arial"/>
        </w:rPr>
        <w:t>,</w:t>
      </w:r>
      <w:r w:rsidRPr="00394581">
        <w:rPr>
          <w:rFonts w:ascii="Arial" w:hAnsi="Arial" w:cs="Arial"/>
          <w:b/>
        </w:rPr>
        <w:t xml:space="preserve"> </w:t>
      </w:r>
      <w:r w:rsidRPr="00394581">
        <w:rPr>
          <w:rFonts w:ascii="Arial" w:hAnsi="Arial" w:cs="Arial"/>
        </w:rPr>
        <w:t>v </w:t>
      </w:r>
      <w:r w:rsidRPr="00394581">
        <w:rPr>
          <w:rFonts w:ascii="Arial" w:hAnsi="Arial" w:cs="Arial"/>
          <w:b/>
        </w:rPr>
        <w:t>ČR</w:t>
      </w:r>
      <w:r w:rsidRPr="00394581">
        <w:rPr>
          <w:rFonts w:ascii="Arial" w:hAnsi="Arial" w:cs="Arial"/>
        </w:rPr>
        <w:t xml:space="preserve"> </w:t>
      </w:r>
      <w:r w:rsidRPr="00754E4B">
        <w:rPr>
          <w:rFonts w:ascii="Arial" w:hAnsi="Arial" w:cs="Arial"/>
        </w:rPr>
        <w:t>meziročně poklesla o 2,2 </w:t>
      </w:r>
      <w:r w:rsidR="00E3619C">
        <w:rPr>
          <w:rFonts w:ascii="Arial" w:hAnsi="Arial" w:cs="Arial"/>
        </w:rPr>
        <w:t>p. b</w:t>
      </w:r>
      <w:r w:rsidRPr="00754E4B">
        <w:rPr>
          <w:rFonts w:ascii="Arial" w:hAnsi="Arial" w:cs="Arial"/>
        </w:rPr>
        <w:t xml:space="preserve">. na </w:t>
      </w:r>
      <w:r w:rsidRPr="00B45E48">
        <w:rPr>
          <w:rFonts w:ascii="Arial" w:hAnsi="Arial" w:cs="Arial"/>
        </w:rPr>
        <w:t xml:space="preserve">hodnotu </w:t>
      </w:r>
      <w:r w:rsidRPr="00B45E48">
        <w:rPr>
          <w:rFonts w:ascii="Arial" w:hAnsi="Arial" w:cs="Arial"/>
          <w:b/>
        </w:rPr>
        <w:t>26,1</w:t>
      </w:r>
      <w:r>
        <w:rPr>
          <w:rFonts w:ascii="Arial" w:hAnsi="Arial" w:cs="Arial"/>
          <w:b/>
        </w:rPr>
        <w:t xml:space="preserve"> %</w:t>
      </w:r>
      <w:r w:rsidRPr="00B45E48">
        <w:rPr>
          <w:rFonts w:ascii="Arial" w:hAnsi="Arial" w:cs="Arial"/>
        </w:rPr>
        <w:t>.</w:t>
      </w:r>
      <w:r>
        <w:rPr>
          <w:rFonts w:ascii="Arial" w:hAnsi="Arial" w:cs="Arial"/>
          <w:b/>
        </w:rPr>
        <w:t xml:space="preserve"> </w:t>
      </w:r>
      <w:r w:rsidRPr="00B45E48">
        <w:rPr>
          <w:rFonts w:ascii="Arial" w:hAnsi="Arial" w:cs="Arial"/>
        </w:rPr>
        <w:t>Vyšší MN osob s</w:t>
      </w:r>
      <w:r>
        <w:rPr>
          <w:rFonts w:ascii="Arial" w:hAnsi="Arial" w:cs="Arial"/>
        </w:rPr>
        <w:t> </w:t>
      </w:r>
      <w:r w:rsidRPr="00B45E48">
        <w:rPr>
          <w:rFonts w:ascii="Arial" w:hAnsi="Arial" w:cs="Arial"/>
        </w:rPr>
        <w:t xml:space="preserve">nízkou kvalifikací než ČR </w:t>
      </w:r>
      <w:r w:rsidRPr="00D12CBB">
        <w:rPr>
          <w:rFonts w:ascii="Arial" w:hAnsi="Arial" w:cs="Arial"/>
        </w:rPr>
        <w:t xml:space="preserve">je v Litvě, Španělsku a </w:t>
      </w:r>
      <w:r>
        <w:rPr>
          <w:rFonts w:ascii="Arial" w:hAnsi="Arial" w:cs="Arial"/>
        </w:rPr>
        <w:t xml:space="preserve">na </w:t>
      </w:r>
      <w:r w:rsidRPr="00D12CBB">
        <w:rPr>
          <w:rFonts w:ascii="Arial" w:hAnsi="Arial" w:cs="Arial"/>
        </w:rPr>
        <w:t>Slovensku, kde přesahuje 30</w:t>
      </w:r>
      <w:r>
        <w:rPr>
          <w:rFonts w:ascii="Arial" w:hAnsi="Arial" w:cs="Arial"/>
        </w:rPr>
        <w:t>,0</w:t>
      </w:r>
      <w:r w:rsidRPr="00D12CBB">
        <w:rPr>
          <w:rFonts w:ascii="Arial" w:hAnsi="Arial" w:cs="Arial"/>
        </w:rPr>
        <w:t> % (na Slovensku dosahuje úrovně 41,2 </w:t>
      </w:r>
      <w:r w:rsidRPr="003A752C">
        <w:rPr>
          <w:rFonts w:ascii="Arial" w:hAnsi="Arial" w:cs="Arial"/>
        </w:rPr>
        <w:t>%)</w:t>
      </w:r>
      <w:r>
        <w:rPr>
          <w:rFonts w:ascii="Arial" w:hAnsi="Arial" w:cs="Arial"/>
        </w:rPr>
        <w:t>, a dále v Bulharsku a Řecku</w:t>
      </w:r>
      <w:r w:rsidRPr="003A752C">
        <w:rPr>
          <w:rFonts w:ascii="Arial" w:hAnsi="Arial" w:cs="Arial"/>
        </w:rPr>
        <w:t>. Nejpříznivější situace byla v </w:t>
      </w:r>
      <w:r w:rsidRPr="003763AA">
        <w:rPr>
          <w:rFonts w:ascii="Arial" w:hAnsi="Arial" w:cs="Arial"/>
        </w:rPr>
        <w:t>Rumunsku, na Maltě</w:t>
      </w:r>
      <w:r>
        <w:rPr>
          <w:rFonts w:ascii="Arial" w:hAnsi="Arial" w:cs="Arial"/>
        </w:rPr>
        <w:t>,</w:t>
      </w:r>
      <w:r w:rsidRPr="003763AA">
        <w:rPr>
          <w:rFonts w:ascii="Arial" w:hAnsi="Arial" w:cs="Arial"/>
        </w:rPr>
        <w:t xml:space="preserve"> </w:t>
      </w:r>
      <w:r>
        <w:rPr>
          <w:rFonts w:ascii="Arial" w:hAnsi="Arial" w:cs="Arial"/>
        </w:rPr>
        <w:t>v </w:t>
      </w:r>
      <w:r w:rsidRPr="003763AA">
        <w:rPr>
          <w:rFonts w:ascii="Arial" w:hAnsi="Arial" w:cs="Arial"/>
        </w:rPr>
        <w:t xml:space="preserve">Rakousku a Lucembursku, kde byl tento ukazatel pod úrovní 10,0 %. </w:t>
      </w:r>
    </w:p>
    <w:p w:rsidR="001B48C2" w:rsidRDefault="001B48C2" w:rsidP="001B48C2">
      <w:pPr>
        <w:spacing w:line="360" w:lineRule="auto"/>
        <w:ind w:firstLine="567"/>
        <w:jc w:val="both"/>
        <w:rPr>
          <w:rFonts w:ascii="Arial" w:hAnsi="Arial" w:cs="Arial"/>
        </w:rPr>
      </w:pPr>
    </w:p>
    <w:p w:rsidR="001B48C2" w:rsidRPr="00206A2E" w:rsidRDefault="001B48C2" w:rsidP="001B48C2">
      <w:pPr>
        <w:jc w:val="right"/>
        <w:rPr>
          <w:rFonts w:ascii="Arial" w:hAnsi="Arial" w:cs="Arial"/>
          <w:sz w:val="20"/>
          <w:szCs w:val="20"/>
        </w:rPr>
      </w:pPr>
      <w:r w:rsidRPr="00206A2E">
        <w:rPr>
          <w:rFonts w:ascii="Arial" w:hAnsi="Arial" w:cs="Arial"/>
          <w:sz w:val="20"/>
          <w:szCs w:val="20"/>
        </w:rPr>
        <w:t xml:space="preserve">graf č. 18 </w:t>
      </w:r>
    </w:p>
    <w:p w:rsidR="001B48C2" w:rsidRPr="00A06278" w:rsidRDefault="001B48C2" w:rsidP="001B48C2">
      <w:pPr>
        <w:spacing w:line="360" w:lineRule="auto"/>
        <w:jc w:val="center"/>
        <w:rPr>
          <w:color w:val="0070C0"/>
        </w:rPr>
      </w:pPr>
      <w:r w:rsidRPr="00206A2E">
        <w:rPr>
          <w:rFonts w:ascii="Arial" w:hAnsi="Arial" w:cs="Arial"/>
          <w:b/>
        </w:rPr>
        <w:t>Srovnání míry nezaměstnanosti v EU 27 a ČR</w:t>
      </w:r>
      <w:r w:rsidRPr="00A06278">
        <w:rPr>
          <w:noProof/>
          <w:color w:val="0070C0"/>
        </w:rPr>
        <w:t xml:space="preserve"> </w:t>
      </w:r>
      <w:r>
        <w:rPr>
          <w:noProof/>
        </w:rPr>
        <w:drawing>
          <wp:inline distT="0" distB="0" distL="0" distR="0" wp14:anchorId="68583429" wp14:editId="1AD601E8">
            <wp:extent cx="2609849" cy="2024063"/>
            <wp:effectExtent l="0" t="0" r="19685" b="14605"/>
            <wp:docPr id="28" name="Graf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r w:rsidRPr="00A06278">
        <w:rPr>
          <w:noProof/>
          <w:color w:val="0070C0"/>
        </w:rPr>
        <w:t xml:space="preserve"> </w:t>
      </w:r>
      <w:r>
        <w:rPr>
          <w:noProof/>
        </w:rPr>
        <w:drawing>
          <wp:inline distT="0" distB="0" distL="0" distR="0" wp14:anchorId="1F13E22C" wp14:editId="58D870FF">
            <wp:extent cx="2609849" cy="2024063"/>
            <wp:effectExtent l="0" t="0" r="19685" b="14605"/>
            <wp:docPr id="29" name="Graf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1B48C2" w:rsidRPr="00A06278" w:rsidRDefault="001B48C2" w:rsidP="001B48C2">
      <w:pPr>
        <w:spacing w:line="360" w:lineRule="auto"/>
        <w:jc w:val="center"/>
        <w:rPr>
          <w:color w:val="0070C0"/>
        </w:rPr>
      </w:pPr>
      <w:r>
        <w:rPr>
          <w:noProof/>
        </w:rPr>
        <w:drawing>
          <wp:inline distT="0" distB="0" distL="0" distR="0" wp14:anchorId="0273DDA0" wp14:editId="320A07B0">
            <wp:extent cx="2609849" cy="2024063"/>
            <wp:effectExtent l="0" t="0" r="19685" b="14605"/>
            <wp:docPr id="30" name="Graf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r w:rsidRPr="00A06278">
        <w:rPr>
          <w:noProof/>
          <w:color w:val="0070C0"/>
        </w:rPr>
        <w:t xml:space="preserve"> </w:t>
      </w:r>
      <w:r>
        <w:rPr>
          <w:noProof/>
        </w:rPr>
        <w:drawing>
          <wp:inline distT="0" distB="0" distL="0" distR="0" wp14:anchorId="45D5A622" wp14:editId="305343DD">
            <wp:extent cx="2609849" cy="2024063"/>
            <wp:effectExtent l="0" t="0" r="19685" b="14605"/>
            <wp:docPr id="31" name="Graf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1B48C2" w:rsidRDefault="001B48C2" w:rsidP="001B48C2">
      <w:pPr>
        <w:spacing w:line="360" w:lineRule="auto"/>
        <w:ind w:firstLine="567"/>
        <w:jc w:val="both"/>
        <w:rPr>
          <w:rFonts w:ascii="Arial" w:hAnsi="Arial" w:cs="Arial"/>
        </w:rPr>
      </w:pPr>
    </w:p>
    <w:p w:rsidR="001B48C2" w:rsidRDefault="001B48C2" w:rsidP="001B48C2">
      <w:pPr>
        <w:spacing w:line="360" w:lineRule="auto"/>
        <w:ind w:firstLine="567"/>
        <w:jc w:val="both"/>
        <w:rPr>
          <w:rFonts w:ascii="Arial" w:hAnsi="Arial" w:cs="Arial"/>
        </w:rPr>
      </w:pPr>
    </w:p>
    <w:p w:rsidR="001B48C2" w:rsidRDefault="001B48C2" w:rsidP="001B48C2">
      <w:pPr>
        <w:spacing w:line="360" w:lineRule="auto"/>
        <w:ind w:firstLine="567"/>
        <w:jc w:val="both"/>
        <w:rPr>
          <w:rFonts w:ascii="Arial" w:hAnsi="Arial" w:cs="Arial"/>
        </w:rPr>
      </w:pPr>
    </w:p>
    <w:p w:rsidR="001B48C2" w:rsidRDefault="001B48C2" w:rsidP="001B48C2">
      <w:pPr>
        <w:widowControl w:val="0"/>
        <w:autoSpaceDE w:val="0"/>
        <w:autoSpaceDN w:val="0"/>
        <w:adjustRightInd w:val="0"/>
        <w:spacing w:line="360" w:lineRule="auto"/>
        <w:ind w:firstLine="567"/>
        <w:jc w:val="both"/>
        <w:rPr>
          <w:rFonts w:ascii="Arial" w:hAnsi="Arial" w:cs="Arial"/>
          <w:bCs/>
        </w:rPr>
      </w:pPr>
      <w:r w:rsidRPr="006B2793">
        <w:rPr>
          <w:rFonts w:ascii="Arial" w:hAnsi="Arial" w:cs="Arial"/>
        </w:rPr>
        <w:lastRenderedPageBreak/>
        <w:t xml:space="preserve">Dle údajů za rok 2012 byla průměrná hodnota </w:t>
      </w:r>
      <w:r w:rsidRPr="006B2793">
        <w:rPr>
          <w:rFonts w:ascii="Arial" w:hAnsi="Arial" w:cs="Arial"/>
          <w:b/>
          <w:bCs/>
        </w:rPr>
        <w:t>míry dlouhodobé nezaměstnanosti</w:t>
      </w:r>
      <w:r w:rsidRPr="006B2793">
        <w:rPr>
          <w:rFonts w:ascii="Arial" w:hAnsi="Arial" w:cs="Arial"/>
        </w:rPr>
        <w:t xml:space="preserve"> (podíl nezaměstnaných déle než 12 měsíců na pracovní síle) za EU 27 </w:t>
      </w:r>
      <w:r w:rsidRPr="006B2793">
        <w:rPr>
          <w:rFonts w:ascii="Arial" w:hAnsi="Arial" w:cs="Arial"/>
          <w:bCs/>
        </w:rPr>
        <w:t xml:space="preserve">4,6 % </w:t>
      </w:r>
      <w:r>
        <w:rPr>
          <w:rFonts w:ascii="Arial" w:hAnsi="Arial" w:cs="Arial"/>
          <w:bCs/>
        </w:rPr>
        <w:t>(nárůst oproti roku 2011 o 0,5 </w:t>
      </w:r>
      <w:r w:rsidR="00E3619C">
        <w:rPr>
          <w:rFonts w:ascii="Arial" w:hAnsi="Arial" w:cs="Arial"/>
          <w:bCs/>
        </w:rPr>
        <w:t>p. b</w:t>
      </w:r>
      <w:r w:rsidRPr="00257482">
        <w:rPr>
          <w:rFonts w:ascii="Arial" w:hAnsi="Arial" w:cs="Arial"/>
          <w:bCs/>
        </w:rPr>
        <w:t>.), v ČR v roce 2012 vzrostla o</w:t>
      </w:r>
      <w:r w:rsidR="00E3619C">
        <w:rPr>
          <w:rFonts w:ascii="Arial" w:hAnsi="Arial" w:cs="Arial"/>
          <w:bCs/>
        </w:rPr>
        <w:t> </w:t>
      </w:r>
      <w:r w:rsidRPr="00257482">
        <w:rPr>
          <w:rFonts w:ascii="Arial" w:hAnsi="Arial" w:cs="Arial"/>
          <w:bCs/>
        </w:rPr>
        <w:t>0,3 </w:t>
      </w:r>
      <w:r w:rsidR="00E3619C">
        <w:rPr>
          <w:rFonts w:ascii="Arial" w:hAnsi="Arial" w:cs="Arial"/>
          <w:bCs/>
        </w:rPr>
        <w:t>p. b</w:t>
      </w:r>
      <w:r w:rsidRPr="00257482">
        <w:rPr>
          <w:rFonts w:ascii="Arial" w:hAnsi="Arial" w:cs="Arial"/>
          <w:bCs/>
        </w:rPr>
        <w:t xml:space="preserve">. </w:t>
      </w:r>
      <w:r>
        <w:rPr>
          <w:rFonts w:ascii="Arial" w:hAnsi="Arial" w:cs="Arial"/>
          <w:bCs/>
        </w:rPr>
        <w:t xml:space="preserve">na 3,0 </w:t>
      </w:r>
      <w:r w:rsidRPr="00D85B5B">
        <w:rPr>
          <w:rFonts w:ascii="Arial" w:hAnsi="Arial" w:cs="Arial"/>
          <w:bCs/>
        </w:rPr>
        <w:t xml:space="preserve">%. Podle </w:t>
      </w:r>
      <w:r>
        <w:rPr>
          <w:rFonts w:ascii="Arial" w:hAnsi="Arial" w:cs="Arial"/>
          <w:bCs/>
        </w:rPr>
        <w:t xml:space="preserve">aktuálních </w:t>
      </w:r>
      <w:r w:rsidRPr="00D85B5B">
        <w:rPr>
          <w:rFonts w:ascii="Arial" w:hAnsi="Arial" w:cs="Arial"/>
          <w:bCs/>
        </w:rPr>
        <w:t xml:space="preserve">informací za </w:t>
      </w:r>
      <w:r w:rsidRPr="00D85B5B">
        <w:rPr>
          <w:rFonts w:ascii="Arial" w:hAnsi="Arial" w:cs="Arial"/>
          <w:b/>
        </w:rPr>
        <w:t>2. čtvrtletí 2013</w:t>
      </w:r>
      <w:r w:rsidRPr="00D85B5B">
        <w:rPr>
          <w:rFonts w:ascii="Arial" w:hAnsi="Arial" w:cs="Arial"/>
          <w:bCs/>
        </w:rPr>
        <w:t xml:space="preserve"> je </w:t>
      </w:r>
      <w:r w:rsidRPr="00C62C84">
        <w:rPr>
          <w:rFonts w:ascii="Arial" w:hAnsi="Arial" w:cs="Arial"/>
          <w:bCs/>
        </w:rPr>
        <w:t>patrná</w:t>
      </w:r>
      <w:r>
        <w:rPr>
          <w:rFonts w:ascii="Arial" w:hAnsi="Arial" w:cs="Arial"/>
          <w:bCs/>
        </w:rPr>
        <w:t xml:space="preserve"> </w:t>
      </w:r>
      <w:r w:rsidRPr="001E23EB">
        <w:rPr>
          <w:rFonts w:ascii="Arial" w:hAnsi="Arial" w:cs="Arial"/>
          <w:b/>
          <w:bCs/>
        </w:rPr>
        <w:t>rostoucí tendence</w:t>
      </w:r>
      <w:r w:rsidRPr="001E23EB">
        <w:rPr>
          <w:rFonts w:ascii="Arial" w:hAnsi="Arial" w:cs="Arial"/>
          <w:bCs/>
        </w:rPr>
        <w:t xml:space="preserve"> v</w:t>
      </w:r>
      <w:r w:rsidRPr="001E23EB">
        <w:rPr>
          <w:rFonts w:ascii="Arial" w:hAnsi="Arial" w:cs="Arial"/>
          <w:b/>
          <w:bCs/>
        </w:rPr>
        <w:t> EU 27</w:t>
      </w:r>
      <w:r w:rsidRPr="001E23EB">
        <w:rPr>
          <w:rFonts w:ascii="Arial" w:hAnsi="Arial" w:cs="Arial"/>
          <w:bCs/>
        </w:rPr>
        <w:t>.</w:t>
      </w:r>
      <w:r w:rsidRPr="001E23EB">
        <w:rPr>
          <w:rFonts w:ascii="Arial" w:hAnsi="Arial" w:cs="Arial"/>
          <w:b/>
          <w:bCs/>
        </w:rPr>
        <w:t xml:space="preserve"> Míra dlouhodobé nezaměstnanosti</w:t>
      </w:r>
      <w:r w:rsidRPr="001E23EB">
        <w:rPr>
          <w:rFonts w:ascii="Arial" w:hAnsi="Arial" w:cs="Arial"/>
          <w:bCs/>
        </w:rPr>
        <w:t xml:space="preserve"> se zde od 2. čtvrtletí 2011, kdy činila </w:t>
      </w:r>
      <w:r>
        <w:rPr>
          <w:rFonts w:ascii="Arial" w:hAnsi="Arial" w:cs="Arial"/>
          <w:bCs/>
        </w:rPr>
        <w:t>4,0 %,</w:t>
      </w:r>
      <w:r w:rsidRPr="001E23EB">
        <w:rPr>
          <w:rFonts w:ascii="Arial" w:hAnsi="Arial" w:cs="Arial"/>
          <w:bCs/>
        </w:rPr>
        <w:t xml:space="preserve"> plynule zvyšuje. </w:t>
      </w:r>
      <w:r>
        <w:rPr>
          <w:rFonts w:ascii="Arial" w:hAnsi="Arial" w:cs="Arial"/>
          <w:bCs/>
        </w:rPr>
        <w:t xml:space="preserve">Ve </w:t>
      </w:r>
      <w:r w:rsidRPr="001E23EB">
        <w:rPr>
          <w:rFonts w:ascii="Arial" w:hAnsi="Arial" w:cs="Arial"/>
          <w:b/>
          <w:bCs/>
        </w:rPr>
        <w:t>2. čtvrtletí 2013</w:t>
      </w:r>
      <w:r>
        <w:rPr>
          <w:rFonts w:ascii="Arial" w:hAnsi="Arial" w:cs="Arial"/>
          <w:bCs/>
        </w:rPr>
        <w:t xml:space="preserve"> se meziročně zvýšila ze 4,6 % na </w:t>
      </w:r>
      <w:r w:rsidRPr="00AA2122">
        <w:rPr>
          <w:rFonts w:ascii="Arial" w:hAnsi="Arial" w:cs="Arial"/>
          <w:b/>
          <w:bCs/>
        </w:rPr>
        <w:t>5,1 %</w:t>
      </w:r>
      <w:r w:rsidRPr="00AA2122">
        <w:rPr>
          <w:rFonts w:ascii="Arial" w:hAnsi="Arial" w:cs="Arial"/>
          <w:bCs/>
        </w:rPr>
        <w:t>. V</w:t>
      </w:r>
      <w:r w:rsidRPr="00AA2122">
        <w:rPr>
          <w:rFonts w:ascii="Arial" w:hAnsi="Arial" w:cs="Arial"/>
          <w:b/>
          <w:bCs/>
        </w:rPr>
        <w:t> ČR</w:t>
      </w:r>
      <w:r w:rsidRPr="00AA2122">
        <w:rPr>
          <w:rFonts w:ascii="Arial" w:hAnsi="Arial" w:cs="Arial"/>
          <w:bCs/>
        </w:rPr>
        <w:t xml:space="preserve"> </w:t>
      </w:r>
      <w:r>
        <w:rPr>
          <w:rFonts w:ascii="Arial" w:hAnsi="Arial" w:cs="Arial"/>
          <w:bCs/>
        </w:rPr>
        <w:t xml:space="preserve">tento ukazatel dlouhodobě kolísá kolem 3,0 %, ve </w:t>
      </w:r>
      <w:r w:rsidRPr="001E23EB">
        <w:rPr>
          <w:rFonts w:ascii="Arial" w:hAnsi="Arial" w:cs="Arial"/>
          <w:b/>
          <w:bCs/>
        </w:rPr>
        <w:t>2. čtvrtletí 2013</w:t>
      </w:r>
      <w:r>
        <w:rPr>
          <w:rFonts w:ascii="Arial" w:hAnsi="Arial" w:cs="Arial"/>
          <w:bCs/>
        </w:rPr>
        <w:t xml:space="preserve"> </w:t>
      </w:r>
      <w:r w:rsidRPr="00661B31">
        <w:rPr>
          <w:rFonts w:ascii="Arial" w:hAnsi="Arial" w:cs="Arial"/>
          <w:bCs/>
        </w:rPr>
        <w:t xml:space="preserve">se meziročně nezměnil a dosáhl hodnoty </w:t>
      </w:r>
      <w:r w:rsidRPr="00661B31">
        <w:rPr>
          <w:rFonts w:ascii="Arial" w:hAnsi="Arial" w:cs="Arial"/>
          <w:b/>
          <w:bCs/>
        </w:rPr>
        <w:t>3</w:t>
      </w:r>
      <w:r w:rsidRPr="008D3427">
        <w:rPr>
          <w:rFonts w:ascii="Arial" w:hAnsi="Arial" w:cs="Arial"/>
          <w:b/>
          <w:bCs/>
        </w:rPr>
        <w:t>,0 %</w:t>
      </w:r>
      <w:r w:rsidRPr="008D3427">
        <w:rPr>
          <w:rFonts w:ascii="Arial" w:hAnsi="Arial" w:cs="Arial"/>
          <w:bCs/>
        </w:rPr>
        <w:t>. Hodnota nad 10</w:t>
      </w:r>
      <w:r>
        <w:rPr>
          <w:rFonts w:ascii="Arial" w:hAnsi="Arial" w:cs="Arial"/>
          <w:bCs/>
        </w:rPr>
        <w:t>,0</w:t>
      </w:r>
      <w:r w:rsidRPr="008D3427">
        <w:rPr>
          <w:rFonts w:ascii="Arial" w:hAnsi="Arial" w:cs="Arial"/>
          <w:bCs/>
        </w:rPr>
        <w:t> % byla zaznamenána ve Španělsku a Řecku</w:t>
      </w:r>
      <w:r w:rsidRPr="00B65CFA">
        <w:rPr>
          <w:rFonts w:ascii="Arial" w:hAnsi="Arial" w:cs="Arial"/>
          <w:bCs/>
        </w:rPr>
        <w:t xml:space="preserve">. Nejnižší hodnota tohoto ukazatele byla zjištěna </w:t>
      </w:r>
      <w:r w:rsidRPr="007655B6">
        <w:rPr>
          <w:rFonts w:ascii="Arial" w:hAnsi="Arial" w:cs="Arial"/>
          <w:bCs/>
        </w:rPr>
        <w:t>v Rakousku, Lucembursku, Švédsku</w:t>
      </w:r>
      <w:r w:rsidRPr="00CB341A">
        <w:rPr>
          <w:rFonts w:ascii="Arial" w:hAnsi="Arial" w:cs="Arial"/>
          <w:bCs/>
        </w:rPr>
        <w:t xml:space="preserve">, Finsku a Dánsku (1,1 % </w:t>
      </w:r>
      <w:r w:rsidRPr="00CB341A">
        <w:rPr>
          <w:rFonts w:ascii="Arial" w:hAnsi="Arial" w:cs="Arial"/>
          <w:bCs/>
        </w:rPr>
        <w:noBreakHyphen/>
        <w:t xml:space="preserve"> 1,9 %). </w:t>
      </w:r>
    </w:p>
    <w:p w:rsidR="001B48C2" w:rsidRPr="002D7D72" w:rsidRDefault="001B48C2" w:rsidP="001B48C2">
      <w:pPr>
        <w:widowControl w:val="0"/>
        <w:autoSpaceDE w:val="0"/>
        <w:autoSpaceDN w:val="0"/>
        <w:adjustRightInd w:val="0"/>
        <w:spacing w:line="360" w:lineRule="auto"/>
        <w:ind w:firstLine="567"/>
        <w:jc w:val="both"/>
        <w:rPr>
          <w:rFonts w:ascii="Arial" w:hAnsi="Arial" w:cs="Arial"/>
        </w:rPr>
      </w:pPr>
      <w:r w:rsidRPr="001D3701">
        <w:rPr>
          <w:rFonts w:ascii="Arial" w:hAnsi="Arial" w:cs="Arial"/>
        </w:rPr>
        <w:t xml:space="preserve">Vývoj poptávky po pracovnících místech popisuje ukazatel </w:t>
      </w:r>
      <w:r w:rsidRPr="001D3701">
        <w:rPr>
          <w:rFonts w:ascii="Arial" w:hAnsi="Arial" w:cs="Arial"/>
          <w:b/>
        </w:rPr>
        <w:t xml:space="preserve">míry volných míst </w:t>
      </w:r>
      <w:r w:rsidRPr="001D3701">
        <w:rPr>
          <w:rFonts w:ascii="Arial" w:hAnsi="Arial" w:cs="Arial"/>
        </w:rPr>
        <w:t>(vyjadřující procentní podíl volných míst k součtu volných a </w:t>
      </w:r>
      <w:r w:rsidRPr="00141CE9">
        <w:rPr>
          <w:rFonts w:ascii="Arial" w:hAnsi="Arial" w:cs="Arial"/>
        </w:rPr>
        <w:t>obsazených míst). V roce 2012 dosáhl tento ukazatel za EU 27 hodnoty 1,5 % (průměr EU 27 vykazuje EUROSTAT pouze bez zahrnutí primárního sektoru),</w:t>
      </w:r>
      <w:r w:rsidRPr="00141CE9">
        <w:rPr>
          <w:rFonts w:ascii="Arial" w:hAnsi="Arial" w:cs="Arial"/>
          <w:color w:val="0070C0"/>
        </w:rPr>
        <w:t xml:space="preserve"> </w:t>
      </w:r>
      <w:r w:rsidRPr="005A205B">
        <w:rPr>
          <w:rFonts w:ascii="Arial" w:hAnsi="Arial" w:cs="Arial"/>
        </w:rPr>
        <w:t xml:space="preserve">ve </w:t>
      </w:r>
      <w:r w:rsidRPr="005A205B">
        <w:rPr>
          <w:rFonts w:ascii="Arial" w:hAnsi="Arial" w:cs="Arial"/>
          <w:b/>
        </w:rPr>
        <w:t>2. čtvrtletí 2013</w:t>
      </w:r>
      <w:r w:rsidRPr="005A205B">
        <w:rPr>
          <w:rFonts w:ascii="Arial" w:hAnsi="Arial" w:cs="Arial"/>
        </w:rPr>
        <w:t xml:space="preserve"> se míra volných pracovních míst v </w:t>
      </w:r>
      <w:r w:rsidRPr="005A205B">
        <w:rPr>
          <w:rFonts w:ascii="Arial" w:hAnsi="Arial" w:cs="Arial"/>
          <w:b/>
        </w:rPr>
        <w:t>EU 27</w:t>
      </w:r>
      <w:r w:rsidRPr="005A205B">
        <w:rPr>
          <w:rFonts w:ascii="Arial" w:hAnsi="Arial" w:cs="Arial"/>
        </w:rPr>
        <w:t xml:space="preserve"> </w:t>
      </w:r>
      <w:r w:rsidRPr="005A205B">
        <w:rPr>
          <w:rFonts w:ascii="Arial" w:hAnsi="Arial" w:cs="Arial"/>
          <w:b/>
        </w:rPr>
        <w:t xml:space="preserve">nezměnila </w:t>
      </w:r>
      <w:r w:rsidRPr="005A205B">
        <w:rPr>
          <w:rFonts w:ascii="Arial" w:hAnsi="Arial" w:cs="Arial"/>
        </w:rPr>
        <w:t xml:space="preserve">a zůstala na úrovni </w:t>
      </w:r>
      <w:r w:rsidRPr="005A205B">
        <w:rPr>
          <w:rFonts w:ascii="Arial" w:hAnsi="Arial" w:cs="Arial"/>
          <w:b/>
        </w:rPr>
        <w:t xml:space="preserve">1,5 </w:t>
      </w:r>
      <w:r w:rsidRPr="00DE58DB">
        <w:rPr>
          <w:rFonts w:ascii="Arial" w:hAnsi="Arial" w:cs="Arial"/>
          <w:b/>
        </w:rPr>
        <w:t>%</w:t>
      </w:r>
      <w:r w:rsidRPr="00DE58DB">
        <w:rPr>
          <w:rFonts w:ascii="Arial" w:hAnsi="Arial" w:cs="Arial"/>
        </w:rPr>
        <w:t xml:space="preserve">. Míra volných </w:t>
      </w:r>
      <w:r w:rsidRPr="00685FCD">
        <w:rPr>
          <w:rFonts w:ascii="Arial" w:hAnsi="Arial" w:cs="Arial"/>
        </w:rPr>
        <w:t xml:space="preserve">míst </w:t>
      </w:r>
      <w:r w:rsidRPr="00685FCD">
        <w:rPr>
          <w:rFonts w:ascii="Arial" w:hAnsi="Arial" w:cs="Arial"/>
          <w:b/>
        </w:rPr>
        <w:t xml:space="preserve">v ČR </w:t>
      </w:r>
      <w:r w:rsidRPr="00685FCD">
        <w:rPr>
          <w:rFonts w:ascii="Arial" w:hAnsi="Arial" w:cs="Arial"/>
        </w:rPr>
        <w:t>v roce 2012</w:t>
      </w:r>
      <w:r w:rsidRPr="00685FCD">
        <w:rPr>
          <w:rFonts w:ascii="Arial" w:hAnsi="Arial" w:cs="Arial"/>
          <w:b/>
        </w:rPr>
        <w:t xml:space="preserve"> </w:t>
      </w:r>
      <w:r w:rsidRPr="00685FCD">
        <w:rPr>
          <w:rFonts w:ascii="Arial" w:hAnsi="Arial" w:cs="Arial"/>
        </w:rPr>
        <w:t>dosáhla hodnoty 1,0 %, ve</w:t>
      </w:r>
      <w:r w:rsidRPr="00685FCD">
        <w:rPr>
          <w:rFonts w:ascii="Arial" w:hAnsi="Arial" w:cs="Arial"/>
          <w:b/>
        </w:rPr>
        <w:t xml:space="preserve"> 2. </w:t>
      </w:r>
      <w:r w:rsidRPr="005A205B">
        <w:rPr>
          <w:rFonts w:ascii="Arial" w:hAnsi="Arial" w:cs="Arial"/>
          <w:b/>
        </w:rPr>
        <w:t>čtvrtletí 2013</w:t>
      </w:r>
      <w:r>
        <w:rPr>
          <w:rFonts w:ascii="Arial" w:hAnsi="Arial" w:cs="Arial"/>
          <w:b/>
        </w:rPr>
        <w:t xml:space="preserve"> </w:t>
      </w:r>
      <w:r w:rsidRPr="00DA143B">
        <w:rPr>
          <w:rFonts w:ascii="Arial" w:hAnsi="Arial" w:cs="Arial"/>
        </w:rPr>
        <w:t>meziročně</w:t>
      </w:r>
      <w:r>
        <w:rPr>
          <w:rFonts w:ascii="Arial" w:hAnsi="Arial" w:cs="Arial"/>
          <w:b/>
        </w:rPr>
        <w:t xml:space="preserve"> poklesla </w:t>
      </w:r>
      <w:r w:rsidRPr="00DA143B">
        <w:rPr>
          <w:rFonts w:ascii="Arial" w:hAnsi="Arial" w:cs="Arial"/>
        </w:rPr>
        <w:t>o 0,2 </w:t>
      </w:r>
      <w:r w:rsidR="00E3619C">
        <w:rPr>
          <w:rFonts w:ascii="Arial" w:hAnsi="Arial" w:cs="Arial"/>
        </w:rPr>
        <w:t>p. b</w:t>
      </w:r>
      <w:r w:rsidRPr="00DA143B">
        <w:rPr>
          <w:rFonts w:ascii="Arial" w:hAnsi="Arial" w:cs="Arial"/>
        </w:rPr>
        <w:t xml:space="preserve">. </w:t>
      </w:r>
      <w:r w:rsidRPr="00DA143B">
        <w:rPr>
          <w:rFonts w:ascii="Arial" w:hAnsi="Arial" w:cs="Arial"/>
          <w:b/>
        </w:rPr>
        <w:t>na</w:t>
      </w:r>
      <w:r>
        <w:rPr>
          <w:rFonts w:ascii="Arial" w:hAnsi="Arial" w:cs="Arial"/>
          <w:b/>
        </w:rPr>
        <w:t xml:space="preserve"> 0,9 </w:t>
      </w:r>
      <w:r w:rsidRPr="004D0616">
        <w:rPr>
          <w:rFonts w:ascii="Arial" w:hAnsi="Arial" w:cs="Arial"/>
          <w:b/>
        </w:rPr>
        <w:t>%</w:t>
      </w:r>
      <w:r w:rsidRPr="004D0616">
        <w:rPr>
          <w:rFonts w:ascii="Arial" w:hAnsi="Arial" w:cs="Arial"/>
        </w:rPr>
        <w:t xml:space="preserve">. Z jednotlivých zemí, které data pro tuto statistiku poskytují, mělo nejvyšší míru volných </w:t>
      </w:r>
      <w:r w:rsidRPr="00983786">
        <w:rPr>
          <w:rFonts w:ascii="Arial" w:hAnsi="Arial" w:cs="Arial"/>
        </w:rPr>
        <w:t>pracovních míst v tomto období Německo a</w:t>
      </w:r>
      <w:r>
        <w:rPr>
          <w:rFonts w:ascii="Arial" w:hAnsi="Arial" w:cs="Arial"/>
        </w:rPr>
        <w:t> </w:t>
      </w:r>
      <w:r w:rsidRPr="00983786">
        <w:rPr>
          <w:rFonts w:ascii="Arial" w:hAnsi="Arial" w:cs="Arial"/>
        </w:rPr>
        <w:t>Švédsko (více než 1,5 </w:t>
      </w:r>
      <w:r w:rsidRPr="00CA3F5D">
        <w:rPr>
          <w:rFonts w:ascii="Arial" w:hAnsi="Arial" w:cs="Arial"/>
        </w:rPr>
        <w:t xml:space="preserve">%), nižší hodnotu než ČR </w:t>
      </w:r>
      <w:r w:rsidRPr="00B30C26">
        <w:rPr>
          <w:rFonts w:ascii="Arial" w:hAnsi="Arial" w:cs="Arial"/>
        </w:rPr>
        <w:t xml:space="preserve">zaznamenalo 8 zemí, nejnižší byla </w:t>
      </w:r>
      <w:r w:rsidRPr="002D7D72">
        <w:rPr>
          <w:rFonts w:ascii="Arial" w:hAnsi="Arial" w:cs="Arial"/>
        </w:rPr>
        <w:t>v Polsku a Lotyšsku.</w:t>
      </w:r>
    </w:p>
    <w:p w:rsidR="001B48C2" w:rsidRPr="003E0BEF" w:rsidRDefault="001B48C2" w:rsidP="001B48C2">
      <w:pPr>
        <w:spacing w:line="360" w:lineRule="auto"/>
        <w:ind w:firstLine="567"/>
        <w:jc w:val="both"/>
        <w:rPr>
          <w:rFonts w:ascii="Arial" w:hAnsi="Arial" w:cs="Arial"/>
        </w:rPr>
      </w:pPr>
      <w:r w:rsidRPr="00704798">
        <w:rPr>
          <w:rFonts w:ascii="Arial" w:hAnsi="Arial" w:cs="Arial"/>
        </w:rPr>
        <w:t xml:space="preserve">Z výše uvedeného vyplývá, že </w:t>
      </w:r>
      <w:r w:rsidRPr="00320E53">
        <w:rPr>
          <w:rFonts w:ascii="Arial" w:hAnsi="Arial" w:cs="Arial"/>
          <w:b/>
        </w:rPr>
        <w:t>ČR vykazuje vyšší hodnoty než průměr EU 27 u míry zaměstnanosti všech kategorií sledovaných ve Strategii 2020</w:t>
      </w:r>
      <w:r w:rsidRPr="003E0BEF">
        <w:rPr>
          <w:rFonts w:ascii="Arial" w:hAnsi="Arial" w:cs="Arial"/>
        </w:rPr>
        <w:t xml:space="preserve"> a </w:t>
      </w:r>
      <w:r w:rsidRPr="00320E53">
        <w:rPr>
          <w:rFonts w:ascii="Arial" w:hAnsi="Arial" w:cs="Arial"/>
          <w:b/>
        </w:rPr>
        <w:t>zaostává ve využívání kratší pracovní doby</w:t>
      </w:r>
      <w:r w:rsidRPr="003E0BEF">
        <w:rPr>
          <w:rFonts w:ascii="Arial" w:hAnsi="Arial" w:cs="Arial"/>
        </w:rPr>
        <w:t>.</w:t>
      </w:r>
    </w:p>
    <w:p w:rsidR="001B48C2" w:rsidRDefault="001B48C2" w:rsidP="001B48C2">
      <w:pPr>
        <w:spacing w:line="360" w:lineRule="auto"/>
        <w:ind w:firstLine="567"/>
        <w:jc w:val="both"/>
        <w:rPr>
          <w:rFonts w:ascii="Arial" w:hAnsi="Arial" w:cs="Arial"/>
        </w:rPr>
      </w:pPr>
      <w:r w:rsidRPr="0004411C">
        <w:rPr>
          <w:rFonts w:ascii="Arial" w:hAnsi="Arial" w:cs="Arial"/>
          <w:b/>
        </w:rPr>
        <w:t>Celková míra nezaměstnanosti, míra nezaměstnanosti mladých a</w:t>
      </w:r>
      <w:r>
        <w:rPr>
          <w:rFonts w:ascii="Arial" w:hAnsi="Arial" w:cs="Arial"/>
          <w:b/>
        </w:rPr>
        <w:t> </w:t>
      </w:r>
      <w:r w:rsidRPr="0004411C">
        <w:rPr>
          <w:rFonts w:ascii="Arial" w:hAnsi="Arial" w:cs="Arial"/>
          <w:b/>
        </w:rPr>
        <w:t>dlouhodobě nezaměstnaných je pod průměrem EU 27</w:t>
      </w:r>
      <w:r w:rsidRPr="008C6814">
        <w:rPr>
          <w:rFonts w:ascii="Arial" w:hAnsi="Arial" w:cs="Arial"/>
        </w:rPr>
        <w:t xml:space="preserve">, </w:t>
      </w:r>
      <w:r w:rsidRPr="0004411C">
        <w:rPr>
          <w:rFonts w:ascii="Arial" w:hAnsi="Arial" w:cs="Arial"/>
          <w:b/>
        </w:rPr>
        <w:t>znepokojující je v ČR nezaměstnanost osob s nízkou kvalifikací</w:t>
      </w:r>
      <w:r w:rsidRPr="008C6814">
        <w:rPr>
          <w:rFonts w:ascii="Arial" w:hAnsi="Arial" w:cs="Arial"/>
        </w:rPr>
        <w:t xml:space="preserve">, jejichž MN je ve srovnání s průměrem </w:t>
      </w:r>
      <w:r w:rsidRPr="0041787B">
        <w:rPr>
          <w:rFonts w:ascii="Arial" w:hAnsi="Arial" w:cs="Arial"/>
        </w:rPr>
        <w:t>EU</w:t>
      </w:r>
      <w:r>
        <w:rPr>
          <w:rFonts w:ascii="Arial" w:hAnsi="Arial" w:cs="Arial"/>
        </w:rPr>
        <w:t> </w:t>
      </w:r>
      <w:r w:rsidRPr="0041787B">
        <w:rPr>
          <w:rFonts w:ascii="Arial" w:hAnsi="Arial" w:cs="Arial"/>
        </w:rPr>
        <w:t>27 1,4 krát vyšší</w:t>
      </w:r>
      <w:r>
        <w:rPr>
          <w:rFonts w:ascii="Arial" w:hAnsi="Arial" w:cs="Arial"/>
        </w:rPr>
        <w:t>.</w:t>
      </w:r>
    </w:p>
    <w:p w:rsidR="006460DD" w:rsidRDefault="006460DD" w:rsidP="001B48C2">
      <w:pPr>
        <w:spacing w:line="360" w:lineRule="auto"/>
        <w:ind w:firstLine="567"/>
        <w:jc w:val="both"/>
        <w:rPr>
          <w:rFonts w:ascii="Arial" w:hAnsi="Arial" w:cs="Arial"/>
        </w:rPr>
      </w:pPr>
    </w:p>
    <w:p w:rsidR="006460DD" w:rsidRDefault="006460DD" w:rsidP="001B48C2">
      <w:pPr>
        <w:spacing w:line="360" w:lineRule="auto"/>
        <w:ind w:firstLine="567"/>
        <w:jc w:val="both"/>
        <w:rPr>
          <w:rFonts w:ascii="Arial" w:hAnsi="Arial" w:cs="Arial"/>
        </w:rPr>
      </w:pPr>
    </w:p>
    <w:p w:rsidR="006460DD" w:rsidRDefault="006460DD" w:rsidP="001B48C2">
      <w:pPr>
        <w:spacing w:line="360" w:lineRule="auto"/>
        <w:ind w:firstLine="567"/>
        <w:jc w:val="both"/>
        <w:rPr>
          <w:rFonts w:ascii="Arial" w:hAnsi="Arial" w:cs="Arial"/>
        </w:rPr>
      </w:pPr>
    </w:p>
    <w:p w:rsidR="006460DD" w:rsidRDefault="006460DD" w:rsidP="001B48C2">
      <w:pPr>
        <w:spacing w:line="360" w:lineRule="auto"/>
        <w:ind w:firstLine="567"/>
        <w:jc w:val="both"/>
        <w:rPr>
          <w:rFonts w:ascii="Arial" w:hAnsi="Arial" w:cs="Arial"/>
        </w:rPr>
      </w:pPr>
    </w:p>
    <w:p w:rsidR="006460DD" w:rsidRDefault="006460DD" w:rsidP="001B48C2">
      <w:pPr>
        <w:spacing w:line="360" w:lineRule="auto"/>
        <w:ind w:firstLine="567"/>
        <w:jc w:val="both"/>
        <w:rPr>
          <w:rFonts w:ascii="Arial" w:hAnsi="Arial" w:cs="Arial"/>
        </w:rPr>
      </w:pPr>
    </w:p>
    <w:p w:rsidR="006460DD" w:rsidRPr="009B660B" w:rsidRDefault="006460DD" w:rsidP="001B48C2">
      <w:pPr>
        <w:spacing w:line="360" w:lineRule="auto"/>
        <w:ind w:firstLine="567"/>
        <w:jc w:val="both"/>
        <w:rPr>
          <w:rFonts w:ascii="Arial" w:hAnsi="Arial" w:cs="Arial"/>
        </w:rPr>
      </w:pPr>
    </w:p>
    <w:p w:rsidR="001B48C2" w:rsidRDefault="001B48C2" w:rsidP="00B9705B">
      <w:pPr>
        <w:widowControl w:val="0"/>
        <w:autoSpaceDE w:val="0"/>
        <w:autoSpaceDN w:val="0"/>
        <w:adjustRightInd w:val="0"/>
        <w:spacing w:line="360" w:lineRule="auto"/>
        <w:ind w:firstLine="567"/>
        <w:jc w:val="both"/>
        <w:rPr>
          <w:rFonts w:ascii="Arial" w:hAnsi="Arial" w:cs="Arial"/>
          <w:color w:val="000000" w:themeColor="text1"/>
          <w:highlight w:val="yellow"/>
        </w:rPr>
      </w:pPr>
    </w:p>
    <w:p w:rsidR="00D046EC" w:rsidRPr="00D15A4E" w:rsidRDefault="00D046EC" w:rsidP="004945EE">
      <w:pPr>
        <w:pStyle w:val="Nadpis1"/>
        <w:rPr>
          <w:szCs w:val="20"/>
        </w:rPr>
      </w:pPr>
      <w:bookmarkStart w:id="170" w:name="_Toc372530202"/>
      <w:r w:rsidRPr="00D15A4E">
        <w:lastRenderedPageBreak/>
        <w:t>Očekávání ve vývoji zaměstnanosti a nezaměstnanosti</w:t>
      </w:r>
      <w:bookmarkEnd w:id="168"/>
      <w:bookmarkEnd w:id="169"/>
      <w:bookmarkEnd w:id="170"/>
      <w:r w:rsidRPr="00D15A4E">
        <w:t xml:space="preserve">  </w:t>
      </w:r>
    </w:p>
    <w:p w:rsidR="002D5575" w:rsidRPr="00D92515" w:rsidRDefault="002D5575" w:rsidP="004945EE">
      <w:pPr>
        <w:pStyle w:val="Nadpis1"/>
        <w:numPr>
          <w:ilvl w:val="0"/>
          <w:numId w:val="0"/>
        </w:numPr>
        <w:ind w:left="426"/>
      </w:pPr>
    </w:p>
    <w:p w:rsidR="001500D1" w:rsidRPr="00586F21" w:rsidRDefault="001500D1" w:rsidP="001500D1">
      <w:pPr>
        <w:spacing w:line="360" w:lineRule="auto"/>
        <w:ind w:firstLine="567"/>
        <w:jc w:val="both"/>
        <w:rPr>
          <w:rFonts w:ascii="Arial" w:hAnsi="Arial" w:cs="Arial"/>
        </w:rPr>
      </w:pPr>
      <w:r w:rsidRPr="00A3622E">
        <w:rPr>
          <w:rFonts w:ascii="Arial" w:hAnsi="Arial" w:cs="Arial"/>
        </w:rPr>
        <w:t>Zpomalující růst ekonomiky v roce 2011, kdy meziroční růst HDP (v s. c.) poklesl na 1,8 % (z 2,5 % v roce 2010) a jeho přechod do poklesu v roce 2012 (</w:t>
      </w:r>
      <w:r>
        <w:rPr>
          <w:rFonts w:ascii="Arial" w:hAnsi="Arial" w:cs="Arial"/>
        </w:rPr>
        <w:t xml:space="preserve">podle upravených údajů ČSÚ z 1. 10. 2013 </w:t>
      </w:r>
      <w:r w:rsidRPr="00A3622E">
        <w:rPr>
          <w:rFonts w:ascii="Arial" w:hAnsi="Arial" w:cs="Arial"/>
        </w:rPr>
        <w:t>o 0,9 %), který pokračoval i v 1. čtvrtletí 2013</w:t>
      </w:r>
      <w:r>
        <w:rPr>
          <w:rFonts w:ascii="Arial" w:hAnsi="Arial" w:cs="Arial"/>
        </w:rPr>
        <w:t xml:space="preserve"> (</w:t>
      </w:r>
      <w:r w:rsidRPr="00A3622E">
        <w:rPr>
          <w:rFonts w:ascii="Arial" w:hAnsi="Arial" w:cs="Arial"/>
        </w:rPr>
        <w:t>o</w:t>
      </w:r>
      <w:r>
        <w:rPr>
          <w:rFonts w:ascii="Arial" w:hAnsi="Arial" w:cs="Arial"/>
        </w:rPr>
        <w:t> </w:t>
      </w:r>
      <w:r w:rsidRPr="00A3622E">
        <w:rPr>
          <w:rFonts w:ascii="Arial" w:hAnsi="Arial" w:cs="Arial"/>
        </w:rPr>
        <w:t xml:space="preserve">1,3 %), se zastavil až ve 2. čtvrtletí (nárůst o 0,6 %), </w:t>
      </w:r>
      <w:r w:rsidRPr="00586F21">
        <w:rPr>
          <w:rFonts w:ascii="Arial" w:hAnsi="Arial" w:cs="Arial"/>
        </w:rPr>
        <w:t>se na trhu práce projevil pokračujícím nárůstem nezaměstnanosti</w:t>
      </w:r>
      <w:r>
        <w:rPr>
          <w:rFonts w:ascii="Arial" w:hAnsi="Arial" w:cs="Arial"/>
        </w:rPr>
        <w:t xml:space="preserve">. Naproti tomu </w:t>
      </w:r>
      <w:r w:rsidRPr="00586F21">
        <w:rPr>
          <w:rFonts w:ascii="Arial" w:hAnsi="Arial" w:cs="Arial"/>
        </w:rPr>
        <w:t xml:space="preserve">zaměstnanost dále meziročně rostla, což </w:t>
      </w:r>
      <w:r>
        <w:rPr>
          <w:rFonts w:ascii="Arial" w:hAnsi="Arial" w:cs="Arial"/>
        </w:rPr>
        <w:t>dokládají</w:t>
      </w:r>
      <w:r w:rsidRPr="00586F21">
        <w:rPr>
          <w:rFonts w:ascii="Arial" w:hAnsi="Arial" w:cs="Arial"/>
        </w:rPr>
        <w:t xml:space="preserve"> výsledky Výběrových šetření pracovních sil, ale také údaje o</w:t>
      </w:r>
      <w:r>
        <w:rPr>
          <w:rFonts w:ascii="Arial" w:hAnsi="Arial" w:cs="Arial"/>
        </w:rPr>
        <w:t> </w:t>
      </w:r>
      <w:r w:rsidRPr="00586F21">
        <w:rPr>
          <w:rFonts w:ascii="Arial" w:hAnsi="Arial" w:cs="Arial"/>
        </w:rPr>
        <w:t xml:space="preserve">vývoji zaměstnanosti ze statistky národních účtů. Nárůst zaměstnanosti doprovázený poklesem ekonomiky si lze vysvětlit snahou zaměstnavatelů o udržení kmenových zaměstnanců i za cenu kratších pracovních úvazků nebo menšího počtu odpracovaných hodin. Zaměstnanost zvyšuje i nárůst pracujících důchodců. </w:t>
      </w:r>
    </w:p>
    <w:p w:rsidR="001500D1" w:rsidRPr="00076C1B" w:rsidRDefault="001500D1" w:rsidP="001500D1">
      <w:pPr>
        <w:spacing w:line="360" w:lineRule="auto"/>
        <w:ind w:firstLine="567"/>
        <w:jc w:val="both"/>
        <w:rPr>
          <w:rFonts w:ascii="Arial" w:hAnsi="Arial" w:cs="Arial"/>
        </w:rPr>
      </w:pPr>
      <w:r>
        <w:rPr>
          <w:rFonts w:ascii="Arial" w:hAnsi="Arial" w:cs="Arial"/>
        </w:rPr>
        <w:t xml:space="preserve">Další vývoj na trhu práce </w:t>
      </w:r>
      <w:r w:rsidRPr="0001284E">
        <w:rPr>
          <w:rFonts w:ascii="Arial" w:hAnsi="Arial" w:cs="Arial"/>
        </w:rPr>
        <w:t xml:space="preserve">podle Výběrových šetření pracovních sil </w:t>
      </w:r>
      <w:r>
        <w:rPr>
          <w:rFonts w:ascii="Arial" w:hAnsi="Arial" w:cs="Arial"/>
        </w:rPr>
        <w:t xml:space="preserve">bude známý až začátkem listopadu, kdy ČSÚ </w:t>
      </w:r>
      <w:r w:rsidRPr="0001284E">
        <w:rPr>
          <w:rFonts w:ascii="Arial" w:hAnsi="Arial" w:cs="Arial"/>
        </w:rPr>
        <w:t xml:space="preserve">zveřejní formou Rychlé informace </w:t>
      </w:r>
      <w:r>
        <w:rPr>
          <w:rFonts w:ascii="Arial" w:hAnsi="Arial" w:cs="Arial"/>
        </w:rPr>
        <w:t xml:space="preserve">výsledky </w:t>
      </w:r>
      <w:r w:rsidRPr="0001284E">
        <w:rPr>
          <w:rFonts w:ascii="Arial" w:hAnsi="Arial" w:cs="Arial"/>
        </w:rPr>
        <w:t>za 3. čtvrtletí 2013 (</w:t>
      </w:r>
      <w:r>
        <w:rPr>
          <w:rFonts w:ascii="Arial" w:hAnsi="Arial" w:cs="Arial"/>
        </w:rPr>
        <w:t>podrobné výsledky formou publikace budou zveřejněny až koncem prosince). Podle výsledků</w:t>
      </w:r>
      <w:r w:rsidRPr="00973992">
        <w:rPr>
          <w:rFonts w:ascii="Arial" w:hAnsi="Arial" w:cs="Arial"/>
        </w:rPr>
        <w:t xml:space="preserve"> z odvětvových statistik</w:t>
      </w:r>
      <w:r>
        <w:rPr>
          <w:rFonts w:ascii="Arial" w:hAnsi="Arial" w:cs="Arial"/>
        </w:rPr>
        <w:t xml:space="preserve"> (</w:t>
      </w:r>
      <w:r w:rsidRPr="003C3115">
        <w:rPr>
          <w:rFonts w:ascii="Arial" w:hAnsi="Arial" w:cs="Arial"/>
        </w:rPr>
        <w:t>které v 1.pololetí 2013 vykázaly v průmyslu a stavebnictví obdobný vývo</w:t>
      </w:r>
      <w:r>
        <w:rPr>
          <w:rFonts w:ascii="Arial" w:hAnsi="Arial" w:cs="Arial"/>
        </w:rPr>
        <w:t>j</w:t>
      </w:r>
      <w:r w:rsidRPr="003C3115">
        <w:rPr>
          <w:rFonts w:ascii="Arial" w:hAnsi="Arial" w:cs="Arial"/>
        </w:rPr>
        <w:t xml:space="preserve"> zaměstnanosti jako VŠPS)</w:t>
      </w:r>
      <w:r>
        <w:rPr>
          <w:rFonts w:ascii="Arial" w:hAnsi="Arial" w:cs="Arial"/>
        </w:rPr>
        <w:t xml:space="preserve"> </w:t>
      </w:r>
      <w:r w:rsidRPr="00973992">
        <w:rPr>
          <w:rFonts w:ascii="Arial" w:hAnsi="Arial" w:cs="Arial"/>
          <w:b/>
        </w:rPr>
        <w:t xml:space="preserve">poklesl </w:t>
      </w:r>
      <w:r w:rsidRPr="00973992">
        <w:rPr>
          <w:rFonts w:ascii="Arial" w:hAnsi="Arial" w:cs="Arial"/>
        </w:rPr>
        <w:t xml:space="preserve">meziročně </w:t>
      </w:r>
      <w:r w:rsidRPr="00973992">
        <w:rPr>
          <w:rFonts w:ascii="Arial" w:hAnsi="Arial" w:cs="Arial"/>
          <w:b/>
        </w:rPr>
        <w:t>průměrný evidenční počet zaměstnanců</w:t>
      </w:r>
      <w:r w:rsidRPr="00973992">
        <w:rPr>
          <w:rFonts w:ascii="Arial" w:hAnsi="Arial" w:cs="Arial"/>
        </w:rPr>
        <w:t xml:space="preserve"> v</w:t>
      </w:r>
      <w:r>
        <w:rPr>
          <w:rFonts w:ascii="Arial" w:hAnsi="Arial" w:cs="Arial"/>
        </w:rPr>
        <w:t> </w:t>
      </w:r>
      <w:r w:rsidRPr="00973992">
        <w:rPr>
          <w:rFonts w:ascii="Arial" w:hAnsi="Arial" w:cs="Arial"/>
        </w:rPr>
        <w:t xml:space="preserve">podnicích s 50 a více zaměstnanci </w:t>
      </w:r>
      <w:r w:rsidRPr="00973992">
        <w:rPr>
          <w:rFonts w:ascii="Arial" w:hAnsi="Arial" w:cs="Arial"/>
          <w:b/>
        </w:rPr>
        <w:t>v průmyslu</w:t>
      </w:r>
      <w:r w:rsidRPr="00973992">
        <w:rPr>
          <w:rFonts w:ascii="Arial" w:hAnsi="Arial" w:cs="Arial"/>
        </w:rPr>
        <w:t xml:space="preserve"> </w:t>
      </w:r>
      <w:r w:rsidRPr="00973992">
        <w:rPr>
          <w:rFonts w:ascii="Arial" w:hAnsi="Arial" w:cs="Arial"/>
          <w:b/>
        </w:rPr>
        <w:t>v červenci o 1,3 %,</w:t>
      </w:r>
      <w:r w:rsidRPr="00973992">
        <w:rPr>
          <w:rFonts w:ascii="Arial" w:hAnsi="Arial" w:cs="Arial"/>
        </w:rPr>
        <w:t xml:space="preserve"> </w:t>
      </w:r>
      <w:r w:rsidRPr="00973992">
        <w:rPr>
          <w:rFonts w:ascii="Arial" w:hAnsi="Arial" w:cs="Arial"/>
          <w:b/>
        </w:rPr>
        <w:t>v srpnu o</w:t>
      </w:r>
      <w:r>
        <w:rPr>
          <w:rFonts w:ascii="Arial" w:hAnsi="Arial" w:cs="Arial"/>
          <w:b/>
        </w:rPr>
        <w:t> </w:t>
      </w:r>
      <w:r w:rsidRPr="00973992">
        <w:rPr>
          <w:rFonts w:ascii="Arial" w:hAnsi="Arial" w:cs="Arial"/>
          <w:b/>
        </w:rPr>
        <w:t>1,2</w:t>
      </w:r>
      <w:r>
        <w:rPr>
          <w:rFonts w:ascii="Arial" w:hAnsi="Arial" w:cs="Arial"/>
          <w:b/>
        </w:rPr>
        <w:t> </w:t>
      </w:r>
      <w:r w:rsidRPr="00973992">
        <w:rPr>
          <w:rFonts w:ascii="Arial" w:hAnsi="Arial" w:cs="Arial"/>
          <w:b/>
        </w:rPr>
        <w:t>%</w:t>
      </w:r>
      <w:r w:rsidRPr="00973992">
        <w:t xml:space="preserve"> </w:t>
      </w:r>
      <w:r w:rsidRPr="00973992">
        <w:rPr>
          <w:rFonts w:ascii="Arial" w:hAnsi="Arial" w:cs="Arial"/>
        </w:rPr>
        <w:t>a</w:t>
      </w:r>
      <w:r>
        <w:rPr>
          <w:rFonts w:ascii="Arial" w:hAnsi="Arial" w:cs="Arial"/>
        </w:rPr>
        <w:t> </w:t>
      </w:r>
      <w:r w:rsidRPr="00973992">
        <w:rPr>
          <w:rFonts w:ascii="Arial" w:hAnsi="Arial" w:cs="Arial"/>
        </w:rPr>
        <w:t>prohloubil se pokles z</w:t>
      </w:r>
      <w:r>
        <w:rPr>
          <w:rFonts w:ascii="Arial" w:hAnsi="Arial" w:cs="Arial"/>
        </w:rPr>
        <w:t> 1. a 2. </w:t>
      </w:r>
      <w:r w:rsidRPr="00973992">
        <w:rPr>
          <w:rFonts w:ascii="Arial" w:hAnsi="Arial" w:cs="Arial"/>
        </w:rPr>
        <w:t xml:space="preserve">čtvrtletí 2013, který činil </w:t>
      </w:r>
      <w:r>
        <w:rPr>
          <w:rFonts w:ascii="Arial" w:hAnsi="Arial" w:cs="Arial"/>
        </w:rPr>
        <w:t xml:space="preserve">v průměru </w:t>
      </w:r>
      <w:r w:rsidRPr="00973992">
        <w:rPr>
          <w:rFonts w:ascii="Arial" w:hAnsi="Arial" w:cs="Arial"/>
        </w:rPr>
        <w:t xml:space="preserve">0,7 %. </w:t>
      </w:r>
      <w:r w:rsidRPr="00076C1B">
        <w:rPr>
          <w:rFonts w:ascii="Arial" w:hAnsi="Arial" w:cs="Arial"/>
        </w:rPr>
        <w:t xml:space="preserve">Přitom </w:t>
      </w:r>
      <w:r w:rsidRPr="00076C1B">
        <w:rPr>
          <w:rFonts w:ascii="Arial" w:hAnsi="Arial" w:cs="Arial"/>
          <w:b/>
        </w:rPr>
        <w:t>p</w:t>
      </w:r>
      <w:r w:rsidRPr="00076C1B">
        <w:rPr>
          <w:rFonts w:ascii="Arial" w:hAnsi="Arial" w:cs="Arial"/>
          <w:b/>
          <w:bCs/>
        </w:rPr>
        <w:t>růmyslová produkce</w:t>
      </w:r>
      <w:r w:rsidRPr="00076C1B">
        <w:rPr>
          <w:rFonts w:ascii="Arial" w:hAnsi="Arial" w:cs="Arial"/>
          <w:bCs/>
        </w:rPr>
        <w:t xml:space="preserve"> </w:t>
      </w:r>
      <w:r w:rsidRPr="00076C1B">
        <w:rPr>
          <w:rFonts w:ascii="Arial" w:hAnsi="Arial" w:cs="Arial"/>
        </w:rPr>
        <w:t>v červenci meziročně reálně vzrostla o 2,1 %, v srpnu o 1,6</w:t>
      </w:r>
      <w:r>
        <w:rPr>
          <w:rFonts w:ascii="Arial" w:hAnsi="Arial" w:cs="Arial"/>
        </w:rPr>
        <w:t> </w:t>
      </w:r>
      <w:r w:rsidRPr="00076C1B">
        <w:rPr>
          <w:rFonts w:ascii="Arial" w:hAnsi="Arial" w:cs="Arial"/>
        </w:rPr>
        <w:t>%. Po očištění od sezónních vlivů (včetně vlivu počtu pracovních dnů) byla průmyslová produkce v červenci nižší o 2,8 %</w:t>
      </w:r>
      <w:r>
        <w:rPr>
          <w:rFonts w:ascii="Arial" w:hAnsi="Arial" w:cs="Arial"/>
        </w:rPr>
        <w:t>, v srpnu naopak vzrostla o 4,2 </w:t>
      </w:r>
      <w:r w:rsidRPr="00076C1B">
        <w:rPr>
          <w:rFonts w:ascii="Arial" w:hAnsi="Arial" w:cs="Arial"/>
        </w:rPr>
        <w:t xml:space="preserve">%. </w:t>
      </w:r>
      <w:r w:rsidRPr="00076C1B">
        <w:rPr>
          <w:rFonts w:ascii="Arial" w:hAnsi="Arial" w:cs="Arial"/>
          <w:bCs/>
        </w:rPr>
        <w:t>Tržby z průmyslové činnosti v běžných cenách</w:t>
      </w:r>
      <w:r w:rsidRPr="00076C1B">
        <w:rPr>
          <w:rFonts w:ascii="Arial" w:hAnsi="Arial" w:cs="Arial"/>
        </w:rPr>
        <w:t xml:space="preserve"> v </w:t>
      </w:r>
      <w:r>
        <w:rPr>
          <w:rFonts w:ascii="Arial" w:hAnsi="Arial" w:cs="Arial"/>
        </w:rPr>
        <w:t>červenci meziročně vzrostly 3,7 </w:t>
      </w:r>
      <w:r w:rsidRPr="00076C1B">
        <w:rPr>
          <w:rFonts w:ascii="Arial" w:hAnsi="Arial" w:cs="Arial"/>
        </w:rPr>
        <w:t xml:space="preserve">%, v srpnu o 4,8 % (především díky tržbám z přímého vývozu průmyslových produktů). </w:t>
      </w:r>
    </w:p>
    <w:p w:rsidR="001500D1" w:rsidRPr="00A54566" w:rsidRDefault="001500D1" w:rsidP="001500D1">
      <w:pPr>
        <w:spacing w:line="360" w:lineRule="auto"/>
        <w:ind w:firstLine="567"/>
        <w:jc w:val="both"/>
        <w:rPr>
          <w:rFonts w:ascii="Arial" w:hAnsi="Arial" w:cs="Arial"/>
          <w:color w:val="0070C0"/>
        </w:rPr>
      </w:pPr>
      <w:r>
        <w:rPr>
          <w:rFonts w:ascii="Arial" w:hAnsi="Arial" w:cs="Arial"/>
        </w:rPr>
        <w:t>Ještě h</w:t>
      </w:r>
      <w:r w:rsidRPr="009726CB">
        <w:rPr>
          <w:rFonts w:ascii="Arial" w:hAnsi="Arial" w:cs="Arial"/>
        </w:rPr>
        <w:t xml:space="preserve">orší je situace </w:t>
      </w:r>
      <w:r w:rsidRPr="00076C1B">
        <w:rPr>
          <w:rFonts w:ascii="Arial" w:hAnsi="Arial" w:cs="Arial"/>
          <w:b/>
        </w:rPr>
        <w:t>ve stavebnictví</w:t>
      </w:r>
      <w:r>
        <w:rPr>
          <w:rFonts w:ascii="Arial" w:hAnsi="Arial" w:cs="Arial"/>
        </w:rPr>
        <w:t xml:space="preserve">, kde </w:t>
      </w:r>
      <w:r w:rsidRPr="00973992">
        <w:rPr>
          <w:rFonts w:ascii="Arial" w:hAnsi="Arial" w:cs="Arial"/>
        </w:rPr>
        <w:t xml:space="preserve">byl </w:t>
      </w:r>
      <w:r w:rsidRPr="00973992">
        <w:rPr>
          <w:rFonts w:ascii="Arial" w:hAnsi="Arial" w:cs="Arial"/>
          <w:b/>
        </w:rPr>
        <w:t xml:space="preserve">v červenci </w:t>
      </w:r>
      <w:r w:rsidRPr="00973992">
        <w:rPr>
          <w:rFonts w:ascii="Arial" w:hAnsi="Arial" w:cs="Arial"/>
        </w:rPr>
        <w:t xml:space="preserve">zaznamenán </w:t>
      </w:r>
      <w:r w:rsidRPr="001D716C">
        <w:rPr>
          <w:rFonts w:ascii="Arial" w:hAnsi="Arial" w:cs="Arial"/>
          <w:b/>
        </w:rPr>
        <w:t>meziroční</w:t>
      </w:r>
      <w:r w:rsidRPr="00973992">
        <w:rPr>
          <w:rFonts w:ascii="Arial" w:hAnsi="Arial" w:cs="Arial"/>
        </w:rPr>
        <w:t xml:space="preserve"> </w:t>
      </w:r>
      <w:r w:rsidRPr="00973992">
        <w:rPr>
          <w:rFonts w:ascii="Arial" w:hAnsi="Arial" w:cs="Arial"/>
          <w:b/>
        </w:rPr>
        <w:t xml:space="preserve">pokles </w:t>
      </w:r>
      <w:r w:rsidRPr="001D716C">
        <w:rPr>
          <w:rFonts w:ascii="Arial" w:hAnsi="Arial" w:cs="Arial"/>
        </w:rPr>
        <w:t xml:space="preserve">zaměstnanců </w:t>
      </w:r>
      <w:r w:rsidRPr="00973992">
        <w:rPr>
          <w:rFonts w:ascii="Arial" w:hAnsi="Arial" w:cs="Arial"/>
          <w:b/>
        </w:rPr>
        <w:t>o</w:t>
      </w:r>
      <w:r>
        <w:rPr>
          <w:rFonts w:ascii="Arial" w:hAnsi="Arial" w:cs="Arial"/>
          <w:b/>
        </w:rPr>
        <w:t> </w:t>
      </w:r>
      <w:r w:rsidRPr="00973992">
        <w:rPr>
          <w:rFonts w:ascii="Arial" w:hAnsi="Arial" w:cs="Arial"/>
          <w:b/>
        </w:rPr>
        <w:t>9,0 %, v srpnu o 8,8 %</w:t>
      </w:r>
      <w:r>
        <w:rPr>
          <w:rFonts w:ascii="Arial" w:hAnsi="Arial" w:cs="Arial"/>
          <w:b/>
        </w:rPr>
        <w:t xml:space="preserve">, </w:t>
      </w:r>
      <w:r w:rsidRPr="001D716C">
        <w:rPr>
          <w:rFonts w:ascii="Arial" w:hAnsi="Arial" w:cs="Arial"/>
        </w:rPr>
        <w:t>přitom pokles byl výraznější než v 1. a</w:t>
      </w:r>
      <w:r>
        <w:rPr>
          <w:rFonts w:ascii="Arial" w:hAnsi="Arial" w:cs="Arial"/>
        </w:rPr>
        <w:t> </w:t>
      </w:r>
      <w:r w:rsidRPr="001D716C">
        <w:rPr>
          <w:rFonts w:ascii="Arial" w:hAnsi="Arial" w:cs="Arial"/>
        </w:rPr>
        <w:t>2. čtvrtletí, kdy představoval v průměru 2,8 %,</w:t>
      </w:r>
      <w:r>
        <w:rPr>
          <w:rFonts w:ascii="Arial" w:hAnsi="Arial" w:cs="Arial"/>
        </w:rPr>
        <w:t xml:space="preserve"> </w:t>
      </w:r>
      <w:r w:rsidRPr="001D716C">
        <w:rPr>
          <w:rFonts w:ascii="Arial" w:hAnsi="Arial" w:cs="Arial"/>
        </w:rPr>
        <w:t>resp. 4,7 %.</w:t>
      </w:r>
      <w:r>
        <w:rPr>
          <w:rFonts w:ascii="Arial" w:hAnsi="Arial" w:cs="Arial"/>
        </w:rPr>
        <w:t xml:space="preserve"> </w:t>
      </w:r>
      <w:r w:rsidRPr="00076C1B">
        <w:rPr>
          <w:rFonts w:ascii="Arial" w:hAnsi="Arial" w:cs="Arial"/>
          <w:b/>
        </w:rPr>
        <w:t>S</w:t>
      </w:r>
      <w:r w:rsidRPr="009726CB">
        <w:rPr>
          <w:rFonts w:ascii="Arial" w:hAnsi="Arial" w:cs="Arial"/>
          <w:b/>
          <w:bCs/>
        </w:rPr>
        <w:t>tavební produkce</w:t>
      </w:r>
      <w:r w:rsidRPr="009726CB">
        <w:rPr>
          <w:rFonts w:ascii="Arial" w:hAnsi="Arial" w:cs="Arial"/>
        </w:rPr>
        <w:t xml:space="preserve"> v červenci vzrostla meziročně o 0,2 %, ale po očištění od vlivu počtu pracovních dnů se snížila o 2,7 %, v srpnu poklesla o 8,1 %, po očištění o</w:t>
      </w:r>
      <w:r>
        <w:rPr>
          <w:rFonts w:ascii="Arial" w:hAnsi="Arial" w:cs="Arial"/>
        </w:rPr>
        <w:t> </w:t>
      </w:r>
      <w:r w:rsidRPr="009726CB">
        <w:rPr>
          <w:rFonts w:ascii="Arial" w:hAnsi="Arial" w:cs="Arial"/>
        </w:rPr>
        <w:t>6,9 %</w:t>
      </w:r>
      <w:r>
        <w:rPr>
          <w:rFonts w:ascii="Arial" w:hAnsi="Arial" w:cs="Arial"/>
        </w:rPr>
        <w:t xml:space="preserve"> (jednalo se především o pokles produkce inženýrského stavitelství, v srpnu také pozemního stavitelství)</w:t>
      </w:r>
      <w:r w:rsidRPr="009726CB">
        <w:rPr>
          <w:rFonts w:ascii="Arial" w:hAnsi="Arial" w:cs="Arial"/>
        </w:rPr>
        <w:t>.</w:t>
      </w:r>
      <w:r>
        <w:rPr>
          <w:rFonts w:ascii="Arial" w:hAnsi="Arial" w:cs="Arial"/>
        </w:rPr>
        <w:t xml:space="preserve"> </w:t>
      </w:r>
    </w:p>
    <w:p w:rsidR="001500D1" w:rsidRPr="00795EAA" w:rsidRDefault="001500D1" w:rsidP="001500D1">
      <w:pPr>
        <w:pStyle w:val="Zkladntextodsazen3"/>
        <w:spacing w:after="0" w:line="360" w:lineRule="auto"/>
        <w:ind w:left="0" w:firstLine="567"/>
        <w:jc w:val="both"/>
        <w:rPr>
          <w:rFonts w:ascii="Arial" w:hAnsi="Arial" w:cs="Arial"/>
          <w:sz w:val="24"/>
          <w:szCs w:val="24"/>
          <w:lang w:val="cs-CZ"/>
        </w:rPr>
      </w:pPr>
      <w:r w:rsidRPr="00795EAA">
        <w:rPr>
          <w:rFonts w:ascii="Arial" w:hAnsi="Arial" w:cs="Arial"/>
          <w:b/>
          <w:sz w:val="24"/>
          <w:szCs w:val="24"/>
        </w:rPr>
        <w:t>Z konjunkturního očekávání ekonomické situace</w:t>
      </w:r>
      <w:r w:rsidRPr="00795EAA">
        <w:rPr>
          <w:rFonts w:ascii="Arial" w:hAnsi="Arial" w:cs="Arial"/>
          <w:sz w:val="24"/>
          <w:szCs w:val="24"/>
        </w:rPr>
        <w:t xml:space="preserve"> respondentů </w:t>
      </w:r>
      <w:r w:rsidRPr="00795EAA">
        <w:rPr>
          <w:rFonts w:ascii="Arial" w:hAnsi="Arial" w:cs="Arial"/>
          <w:b/>
          <w:sz w:val="24"/>
          <w:szCs w:val="24"/>
        </w:rPr>
        <w:t xml:space="preserve">v průmyslu </w:t>
      </w:r>
      <w:r w:rsidRPr="00795EAA">
        <w:rPr>
          <w:rFonts w:ascii="Arial" w:hAnsi="Arial" w:cs="Arial"/>
          <w:sz w:val="24"/>
          <w:szCs w:val="24"/>
        </w:rPr>
        <w:t>je zřejmé</w:t>
      </w:r>
      <w:r w:rsidRPr="00795EAA">
        <w:rPr>
          <w:rFonts w:ascii="Arial" w:hAnsi="Arial" w:cs="Arial"/>
          <w:sz w:val="24"/>
          <w:szCs w:val="24"/>
          <w:lang w:val="cs-CZ"/>
        </w:rPr>
        <w:t xml:space="preserve">, že se hodnocení celkové </w:t>
      </w:r>
      <w:r w:rsidRPr="00795EAA">
        <w:rPr>
          <w:rFonts w:ascii="Arial" w:hAnsi="Arial" w:cs="Arial"/>
          <w:sz w:val="24"/>
          <w:szCs w:val="24"/>
        </w:rPr>
        <w:t>ekonomické situace</w:t>
      </w:r>
      <w:r w:rsidRPr="00795EAA">
        <w:rPr>
          <w:rFonts w:ascii="Arial" w:hAnsi="Arial" w:cs="Arial"/>
          <w:sz w:val="24"/>
          <w:szCs w:val="24"/>
          <w:lang w:val="cs-CZ"/>
        </w:rPr>
        <w:t xml:space="preserve">, celkové poptávky </w:t>
      </w:r>
      <w:r w:rsidRPr="00795EAA">
        <w:rPr>
          <w:rFonts w:ascii="Arial" w:hAnsi="Arial" w:cs="Arial"/>
          <w:sz w:val="24"/>
          <w:szCs w:val="24"/>
          <w:lang w:val="cs-CZ"/>
        </w:rPr>
        <w:lastRenderedPageBreak/>
        <w:t xml:space="preserve">a zahraniční poptávky v srpnu zvýšilo, v září zůstalo nezměněné. </w:t>
      </w:r>
      <w:r w:rsidRPr="00795EAA">
        <w:rPr>
          <w:rFonts w:ascii="Arial" w:hAnsi="Arial" w:cs="Arial"/>
          <w:sz w:val="24"/>
          <w:szCs w:val="24"/>
        </w:rPr>
        <w:t xml:space="preserve">Respondenti očekávají pro příští měsíce růst tempa výrobní činnosti a téměř neměnnost zaměstnanosti. Celkově se důvěra v průmyslu oproti </w:t>
      </w:r>
      <w:r w:rsidRPr="00795EAA">
        <w:rPr>
          <w:rFonts w:ascii="Arial" w:hAnsi="Arial" w:cs="Arial"/>
          <w:sz w:val="24"/>
          <w:szCs w:val="24"/>
          <w:lang w:val="cs-CZ"/>
        </w:rPr>
        <w:t>srpnu</w:t>
      </w:r>
      <w:r w:rsidRPr="00795EAA">
        <w:rPr>
          <w:rFonts w:ascii="Arial" w:hAnsi="Arial" w:cs="Arial"/>
          <w:sz w:val="24"/>
          <w:szCs w:val="24"/>
        </w:rPr>
        <w:t xml:space="preserve"> zvýšila a</w:t>
      </w:r>
      <w:r w:rsidRPr="00795EAA">
        <w:rPr>
          <w:rFonts w:ascii="Arial" w:hAnsi="Arial" w:cs="Arial"/>
          <w:sz w:val="24"/>
          <w:szCs w:val="24"/>
          <w:lang w:val="cs-CZ"/>
        </w:rPr>
        <w:t xml:space="preserve"> je vyšší i </w:t>
      </w:r>
      <w:r w:rsidRPr="00795EAA">
        <w:rPr>
          <w:rFonts w:ascii="Arial" w:hAnsi="Arial" w:cs="Arial"/>
          <w:sz w:val="24"/>
          <w:szCs w:val="24"/>
        </w:rPr>
        <w:t xml:space="preserve">oproti hodnotám ze září 2012. </w:t>
      </w:r>
    </w:p>
    <w:p w:rsidR="001500D1" w:rsidRPr="00795EAA" w:rsidRDefault="001500D1" w:rsidP="001500D1">
      <w:pPr>
        <w:spacing w:line="360" w:lineRule="auto"/>
        <w:ind w:firstLine="567"/>
        <w:jc w:val="both"/>
        <w:rPr>
          <w:rFonts w:ascii="Arial" w:hAnsi="Arial" w:cs="Arial"/>
          <w:szCs w:val="20"/>
        </w:rPr>
      </w:pPr>
      <w:r w:rsidRPr="00795EAA">
        <w:rPr>
          <w:rFonts w:ascii="Arial" w:hAnsi="Arial" w:cs="Arial"/>
        </w:rPr>
        <w:t xml:space="preserve">Ve </w:t>
      </w:r>
      <w:r w:rsidRPr="00795EAA">
        <w:rPr>
          <w:rFonts w:ascii="Arial" w:hAnsi="Arial" w:cs="Arial"/>
          <w:b/>
        </w:rPr>
        <w:t>stavebních podnicích</w:t>
      </w:r>
      <w:r w:rsidRPr="00795EAA">
        <w:rPr>
          <w:rFonts w:ascii="Arial" w:hAnsi="Arial" w:cs="Arial"/>
        </w:rPr>
        <w:t xml:space="preserve"> se hodnocení současné ekonomické situace v posledních dvou měsících snížilo, ale u celkové poptávky je v září vyšší. Respondenti očekávají pro příští měsíce zlepšení ve vývoji stavební činnosti i zaměstnanosti. </w:t>
      </w:r>
      <w:r w:rsidRPr="00795EAA">
        <w:rPr>
          <w:rFonts w:ascii="Arial" w:hAnsi="Arial" w:cs="Arial"/>
          <w:szCs w:val="20"/>
        </w:rPr>
        <w:t>Celkově se důvěra ve stavebnictví zvýšila, ale je nižší než před rokem.</w:t>
      </w:r>
    </w:p>
    <w:p w:rsidR="001500D1" w:rsidRDefault="001500D1" w:rsidP="001500D1">
      <w:pPr>
        <w:pStyle w:val="Zkladntextodsazen3"/>
        <w:spacing w:after="0" w:line="360" w:lineRule="auto"/>
        <w:ind w:left="0" w:firstLine="567"/>
        <w:jc w:val="both"/>
        <w:rPr>
          <w:rFonts w:ascii="Arial" w:hAnsi="Arial" w:cs="Arial"/>
          <w:sz w:val="24"/>
          <w:szCs w:val="24"/>
          <w:lang w:val="cs-CZ"/>
        </w:rPr>
      </w:pPr>
      <w:r w:rsidRPr="00795EAA">
        <w:rPr>
          <w:rFonts w:ascii="Arial" w:hAnsi="Arial" w:cs="Arial"/>
          <w:sz w:val="24"/>
          <w:szCs w:val="24"/>
        </w:rPr>
        <w:t>V </w:t>
      </w:r>
      <w:r w:rsidRPr="00795EAA">
        <w:rPr>
          <w:rFonts w:ascii="Arial" w:hAnsi="Arial" w:cs="Arial"/>
          <w:b/>
          <w:sz w:val="24"/>
          <w:szCs w:val="24"/>
        </w:rPr>
        <w:t>odvětví obchodu</w:t>
      </w:r>
      <w:r w:rsidRPr="00795EAA">
        <w:rPr>
          <w:rFonts w:ascii="Arial" w:hAnsi="Arial" w:cs="Arial"/>
          <w:sz w:val="24"/>
          <w:szCs w:val="24"/>
        </w:rPr>
        <w:t xml:space="preserve"> se hodnocení ekonomické situace</w:t>
      </w:r>
      <w:r w:rsidRPr="00795EAA">
        <w:rPr>
          <w:rFonts w:ascii="Arial" w:hAnsi="Arial" w:cs="Arial"/>
          <w:sz w:val="24"/>
          <w:szCs w:val="24"/>
          <w:lang w:val="cs-CZ"/>
        </w:rPr>
        <w:t xml:space="preserve"> v posledních dvou měsících mírně zvýšilo a je stejné i pro </w:t>
      </w:r>
      <w:r w:rsidRPr="00795EAA">
        <w:rPr>
          <w:rFonts w:ascii="Arial" w:hAnsi="Arial" w:cs="Arial"/>
          <w:sz w:val="24"/>
          <w:szCs w:val="24"/>
        </w:rPr>
        <w:t xml:space="preserve">období příštích měsíců. </w:t>
      </w:r>
      <w:r w:rsidRPr="00795EAA">
        <w:rPr>
          <w:rFonts w:ascii="Arial" w:hAnsi="Arial" w:cs="Arial"/>
          <w:sz w:val="24"/>
          <w:szCs w:val="24"/>
          <w:lang w:val="cs-CZ"/>
        </w:rPr>
        <w:t xml:space="preserve">Také celková důvěra v obchodě vzrostla, v meziročním srovnání je ale nižší. </w:t>
      </w:r>
    </w:p>
    <w:p w:rsidR="001500D1" w:rsidRPr="00383E38" w:rsidRDefault="001500D1" w:rsidP="001500D1">
      <w:pPr>
        <w:pStyle w:val="Zkladntextodsazen3"/>
        <w:spacing w:after="0" w:line="360" w:lineRule="auto"/>
        <w:ind w:left="0" w:firstLine="567"/>
        <w:jc w:val="both"/>
        <w:rPr>
          <w:rFonts w:ascii="Arial" w:hAnsi="Arial" w:cs="Arial"/>
          <w:sz w:val="24"/>
          <w:szCs w:val="24"/>
        </w:rPr>
      </w:pPr>
      <w:r w:rsidRPr="00383E38">
        <w:rPr>
          <w:rFonts w:ascii="Arial" w:hAnsi="Arial" w:cs="Arial"/>
          <w:sz w:val="24"/>
          <w:szCs w:val="24"/>
          <w:lang w:val="cs-CZ"/>
        </w:rPr>
        <w:t>Po srpnovém poklesu hodnocení celkové situace v</w:t>
      </w:r>
      <w:r w:rsidRPr="00383E38">
        <w:rPr>
          <w:rFonts w:ascii="Arial" w:hAnsi="Arial" w:cs="Arial"/>
          <w:sz w:val="24"/>
          <w:szCs w:val="24"/>
        </w:rPr>
        <w:t xml:space="preserve">e </w:t>
      </w:r>
      <w:r w:rsidRPr="00383E38">
        <w:rPr>
          <w:rFonts w:ascii="Arial" w:hAnsi="Arial" w:cs="Arial"/>
          <w:b/>
          <w:sz w:val="24"/>
          <w:szCs w:val="24"/>
        </w:rPr>
        <w:t>vybraných odvětvích služeb</w:t>
      </w:r>
      <w:r w:rsidRPr="00383E38">
        <w:rPr>
          <w:rFonts w:ascii="Arial" w:hAnsi="Arial" w:cs="Arial"/>
          <w:sz w:val="24"/>
          <w:szCs w:val="24"/>
        </w:rPr>
        <w:t xml:space="preserve"> </w:t>
      </w:r>
      <w:r w:rsidRPr="00383E38">
        <w:rPr>
          <w:rFonts w:ascii="Arial" w:hAnsi="Arial" w:cs="Arial"/>
          <w:sz w:val="24"/>
          <w:szCs w:val="24"/>
          <w:lang w:val="cs-CZ"/>
        </w:rPr>
        <w:t xml:space="preserve">(vč. bankovního sektoru) se v září hodnocení zvýšilo, stejně i </w:t>
      </w:r>
      <w:r w:rsidRPr="00383E38">
        <w:rPr>
          <w:rFonts w:ascii="Arial" w:hAnsi="Arial" w:cs="Arial"/>
          <w:sz w:val="24"/>
          <w:szCs w:val="24"/>
        </w:rPr>
        <w:t xml:space="preserve">hodnocení </w:t>
      </w:r>
      <w:r w:rsidRPr="00383E38">
        <w:rPr>
          <w:rFonts w:ascii="Arial" w:hAnsi="Arial" w:cs="Arial"/>
          <w:sz w:val="24"/>
          <w:szCs w:val="24"/>
          <w:lang w:val="cs-CZ"/>
        </w:rPr>
        <w:t xml:space="preserve">poptávky. Hodnocení </w:t>
      </w:r>
      <w:r w:rsidRPr="00383E38">
        <w:rPr>
          <w:rFonts w:ascii="Arial" w:hAnsi="Arial" w:cs="Arial"/>
          <w:sz w:val="24"/>
          <w:szCs w:val="24"/>
        </w:rPr>
        <w:t xml:space="preserve">ekonomické situace </w:t>
      </w:r>
      <w:r w:rsidRPr="00383E38">
        <w:rPr>
          <w:rFonts w:ascii="Arial" w:hAnsi="Arial" w:cs="Arial"/>
          <w:sz w:val="24"/>
          <w:szCs w:val="24"/>
          <w:lang w:val="cs-CZ"/>
        </w:rPr>
        <w:t>v následujících měsících se zvýšilo.</w:t>
      </w:r>
      <w:r>
        <w:rPr>
          <w:rFonts w:ascii="Arial" w:hAnsi="Arial" w:cs="Arial"/>
          <w:sz w:val="24"/>
          <w:szCs w:val="24"/>
          <w:lang w:val="cs-CZ"/>
        </w:rPr>
        <w:t xml:space="preserve"> Celkově je důvěra v těchto odvětvích oproti předchozím měsícům také vyšší, ale ve srovnání se zářím 2012 je nižší. </w:t>
      </w:r>
      <w:r w:rsidRPr="00383E38">
        <w:rPr>
          <w:rFonts w:ascii="Arial" w:hAnsi="Arial" w:cs="Arial"/>
          <w:sz w:val="24"/>
          <w:szCs w:val="24"/>
          <w:lang w:val="cs-CZ"/>
        </w:rPr>
        <w:t xml:space="preserve"> </w:t>
      </w:r>
    </w:p>
    <w:p w:rsidR="001500D1" w:rsidRDefault="001500D1" w:rsidP="001500D1">
      <w:pPr>
        <w:pStyle w:val="Zkladntext"/>
        <w:spacing w:line="360" w:lineRule="auto"/>
        <w:ind w:firstLine="567"/>
        <w:rPr>
          <w:rFonts w:cs="Arial"/>
        </w:rPr>
      </w:pPr>
      <w:r w:rsidRPr="00B10EAD">
        <w:rPr>
          <w:rFonts w:cs="Arial"/>
        </w:rPr>
        <w:t>Podle doposud zveřejněných predikcí makroekonomických indikátorů Ministerstva financí ČR Makroekonomická predikce červenec 2013</w:t>
      </w:r>
      <w:r>
        <w:rPr>
          <w:rFonts w:cs="Arial"/>
        </w:rPr>
        <w:t xml:space="preserve"> a České národní banky </w:t>
      </w:r>
      <w:r w:rsidRPr="00B10EAD">
        <w:rPr>
          <w:rFonts w:cs="Arial"/>
        </w:rPr>
        <w:t>Zpráva o inflaci III/2013</w:t>
      </w:r>
      <w:r>
        <w:rPr>
          <w:rFonts w:cs="Arial"/>
        </w:rPr>
        <w:t xml:space="preserve"> (které zatím ale neodrážejí korigované výsledky ČSÚ z počátku října) </w:t>
      </w:r>
      <w:r w:rsidRPr="00B10EAD">
        <w:rPr>
          <w:rFonts w:cs="Arial"/>
        </w:rPr>
        <w:t xml:space="preserve">je patrné, že </w:t>
      </w:r>
      <w:r>
        <w:rPr>
          <w:rFonts w:cs="Arial"/>
        </w:rPr>
        <w:t xml:space="preserve">doposud </w:t>
      </w:r>
      <w:r w:rsidRPr="00B10EAD">
        <w:rPr>
          <w:rFonts w:cs="Arial"/>
        </w:rPr>
        <w:t>pan</w:t>
      </w:r>
      <w:r>
        <w:rPr>
          <w:rFonts w:cs="Arial"/>
        </w:rPr>
        <w:t>ovala</w:t>
      </w:r>
      <w:r w:rsidRPr="00B10EAD">
        <w:rPr>
          <w:rFonts w:cs="Arial"/>
        </w:rPr>
        <w:t xml:space="preserve"> shoda v očekáváních vývoje ekonomiky</w:t>
      </w:r>
      <w:r w:rsidRPr="00D90A53">
        <w:rPr>
          <w:rFonts w:cs="Arial"/>
          <w:b/>
        </w:rPr>
        <w:t xml:space="preserve"> </w:t>
      </w:r>
      <w:r w:rsidRPr="00B10EAD">
        <w:rPr>
          <w:rFonts w:cs="Arial"/>
          <w:b/>
        </w:rPr>
        <w:t>v letošním roce</w:t>
      </w:r>
      <w:r w:rsidRPr="00B10EAD">
        <w:rPr>
          <w:rFonts w:cs="Arial"/>
        </w:rPr>
        <w:t>, obě instituce se shod</w:t>
      </w:r>
      <w:r>
        <w:rPr>
          <w:rFonts w:cs="Arial"/>
        </w:rPr>
        <w:t>ly</w:t>
      </w:r>
      <w:r w:rsidRPr="00B10EAD">
        <w:rPr>
          <w:rFonts w:cs="Arial"/>
        </w:rPr>
        <w:t xml:space="preserve"> na poklesu hrubého domácího produktu o 1,5 %, v roce 2014 jsou očekávání ČNB optimističtější – nárůst o 2,1 %, zatímco MF ČR předpokládá nárůst mírnější – o 0,8 %. MPSV v letošním roce odhaduje meziroční vývoj HDP v intervalu od -1,5 % do - 0,5 %, v roce 2014 nárůst v intervalu 1,0 – 2,0 %</w:t>
      </w:r>
      <w:r w:rsidRPr="00D80C5C">
        <w:rPr>
          <w:rFonts w:cs="Arial"/>
        </w:rPr>
        <w:t xml:space="preserve">. </w:t>
      </w:r>
    </w:p>
    <w:p w:rsidR="001500D1" w:rsidRPr="001C472A" w:rsidRDefault="001500D1" w:rsidP="001500D1">
      <w:pPr>
        <w:pStyle w:val="Zkladntext"/>
        <w:spacing w:line="360" w:lineRule="auto"/>
        <w:ind w:firstLine="567"/>
        <w:rPr>
          <w:rFonts w:cs="Arial"/>
          <w:bCs/>
        </w:rPr>
      </w:pPr>
      <w:r w:rsidRPr="001C472A">
        <w:rPr>
          <w:rFonts w:cs="Arial"/>
          <w:bCs/>
        </w:rPr>
        <w:t xml:space="preserve">Po zohlednění neobvyklého vývoje </w:t>
      </w:r>
      <w:r>
        <w:rPr>
          <w:rFonts w:cs="Arial"/>
          <w:bCs/>
        </w:rPr>
        <w:t xml:space="preserve">na trhu práce </w:t>
      </w:r>
      <w:r w:rsidRPr="001C472A">
        <w:rPr>
          <w:rFonts w:cs="Arial"/>
          <w:b/>
          <w:bCs/>
        </w:rPr>
        <w:t xml:space="preserve">MF ČR </w:t>
      </w:r>
      <w:r w:rsidRPr="001C472A">
        <w:rPr>
          <w:rFonts w:cs="Arial"/>
          <w:bCs/>
        </w:rPr>
        <w:t xml:space="preserve">přehodnotilo </w:t>
      </w:r>
      <w:r>
        <w:rPr>
          <w:rFonts w:cs="Arial"/>
          <w:bCs/>
        </w:rPr>
        <w:t xml:space="preserve">v poslední predikci </w:t>
      </w:r>
      <w:r w:rsidRPr="001C472A">
        <w:rPr>
          <w:rFonts w:cs="Arial"/>
          <w:bCs/>
        </w:rPr>
        <w:t xml:space="preserve">očekávání </w:t>
      </w:r>
      <w:r>
        <w:rPr>
          <w:rFonts w:cs="Arial"/>
          <w:bCs/>
        </w:rPr>
        <w:t xml:space="preserve">ve vývoji zaměstnanosti </w:t>
      </w:r>
      <w:r w:rsidRPr="001C472A">
        <w:rPr>
          <w:rFonts w:cs="Arial"/>
          <w:b/>
          <w:bCs/>
        </w:rPr>
        <w:t>v roce 2013</w:t>
      </w:r>
      <w:r w:rsidRPr="001C472A">
        <w:rPr>
          <w:rFonts w:cs="Arial"/>
          <w:bCs/>
        </w:rPr>
        <w:t xml:space="preserve"> z poklesu o 0,2 % na </w:t>
      </w:r>
      <w:r w:rsidRPr="001C472A">
        <w:rPr>
          <w:rFonts w:cs="Arial"/>
          <w:b/>
          <w:bCs/>
        </w:rPr>
        <w:t>nárůst o 0,5 %</w:t>
      </w:r>
      <w:r w:rsidRPr="001C472A">
        <w:rPr>
          <w:rFonts w:cs="Arial"/>
          <w:bCs/>
        </w:rPr>
        <w:t xml:space="preserve">, </w:t>
      </w:r>
      <w:r w:rsidRPr="001C472A">
        <w:rPr>
          <w:rFonts w:cs="Arial"/>
          <w:b/>
          <w:bCs/>
        </w:rPr>
        <w:t>v roce 2014</w:t>
      </w:r>
      <w:r w:rsidRPr="001C472A">
        <w:rPr>
          <w:rFonts w:cs="Arial"/>
          <w:bCs/>
        </w:rPr>
        <w:t xml:space="preserve"> předpokládá </w:t>
      </w:r>
      <w:r w:rsidRPr="001C472A">
        <w:rPr>
          <w:rFonts w:cs="Arial"/>
          <w:b/>
          <w:bCs/>
        </w:rPr>
        <w:t>pokles o 0,2 %</w:t>
      </w:r>
      <w:r w:rsidRPr="001C472A">
        <w:rPr>
          <w:rFonts w:cs="Arial"/>
          <w:bCs/>
        </w:rPr>
        <w:t xml:space="preserve"> a opětovný mírný nárůst až v dalších letech. </w:t>
      </w:r>
      <w:r w:rsidRPr="001C472A">
        <w:rPr>
          <w:rFonts w:cs="Arial"/>
          <w:b/>
          <w:bCs/>
        </w:rPr>
        <w:t>ČNB</w:t>
      </w:r>
      <w:r w:rsidRPr="001C472A">
        <w:rPr>
          <w:rFonts w:cs="Arial"/>
          <w:bCs/>
        </w:rPr>
        <w:t xml:space="preserve"> ve své predikci neuvádí předpokládaný vývoj celkové zaměstnanosti, ale pouze </w:t>
      </w:r>
      <w:r w:rsidRPr="001C472A">
        <w:rPr>
          <w:rFonts w:cs="Arial"/>
          <w:b/>
          <w:bCs/>
        </w:rPr>
        <w:t>počtu zaměstnanců</w:t>
      </w:r>
      <w:r w:rsidRPr="001C472A">
        <w:rPr>
          <w:rFonts w:cs="Arial"/>
          <w:bCs/>
        </w:rPr>
        <w:t xml:space="preserve">. Po stabilní hodnotě v letech 2011 a 2012 předpokládá v roce 2013 jejich </w:t>
      </w:r>
      <w:r w:rsidRPr="001C472A">
        <w:rPr>
          <w:rFonts w:cs="Arial"/>
          <w:b/>
          <w:bCs/>
        </w:rPr>
        <w:t>nárůst o 1,3 %</w:t>
      </w:r>
      <w:r w:rsidRPr="001C472A">
        <w:rPr>
          <w:rFonts w:cs="Arial"/>
          <w:bCs/>
        </w:rPr>
        <w:t xml:space="preserve">, </w:t>
      </w:r>
      <w:r w:rsidRPr="001C472A">
        <w:rPr>
          <w:rFonts w:cs="Arial"/>
          <w:b/>
          <w:bCs/>
        </w:rPr>
        <w:t>v roce 2014 pokles o 1,5 %</w:t>
      </w:r>
      <w:r w:rsidRPr="001C472A">
        <w:rPr>
          <w:rFonts w:cs="Arial"/>
          <w:bCs/>
        </w:rPr>
        <w:t xml:space="preserve">, v roce 2015 pokles o 0,3 %. </w:t>
      </w:r>
      <w:r w:rsidRPr="001C472A">
        <w:rPr>
          <w:rFonts w:cs="Arial"/>
          <w:b/>
          <w:bCs/>
        </w:rPr>
        <w:t>MPSV</w:t>
      </w:r>
      <w:r w:rsidRPr="001C472A">
        <w:rPr>
          <w:rFonts w:cs="Arial"/>
          <w:bCs/>
        </w:rPr>
        <w:t xml:space="preserve"> se přiklání spíše k předpokladům MF ČR </w:t>
      </w:r>
      <w:r w:rsidRPr="001C472A">
        <w:rPr>
          <w:rFonts w:cs="Arial"/>
          <w:bCs/>
        </w:rPr>
        <w:lastRenderedPageBreak/>
        <w:t xml:space="preserve">a s ohledem na dosavadní vývoj v roce 2013 odhaduje </w:t>
      </w:r>
      <w:r w:rsidRPr="001C472A">
        <w:rPr>
          <w:rFonts w:cs="Arial"/>
          <w:b/>
          <w:bCs/>
        </w:rPr>
        <w:t>nárůst zaměstnanosti o</w:t>
      </w:r>
      <w:r>
        <w:rPr>
          <w:rFonts w:cs="Arial"/>
          <w:b/>
          <w:bCs/>
        </w:rPr>
        <w:t> </w:t>
      </w:r>
      <w:r w:rsidRPr="001C472A">
        <w:rPr>
          <w:rFonts w:cs="Arial"/>
          <w:b/>
          <w:bCs/>
        </w:rPr>
        <w:t>0,5 %</w:t>
      </w:r>
      <w:r w:rsidRPr="001C472A">
        <w:rPr>
          <w:rFonts w:cs="Arial"/>
          <w:bCs/>
        </w:rPr>
        <w:t xml:space="preserve"> a stabilní hodnotu v roce 2014. </w:t>
      </w:r>
    </w:p>
    <w:p w:rsidR="001500D1" w:rsidRPr="00242831" w:rsidRDefault="001500D1" w:rsidP="001500D1">
      <w:pPr>
        <w:pStyle w:val="Seznam"/>
        <w:spacing w:line="360" w:lineRule="auto"/>
        <w:ind w:left="0" w:firstLine="567"/>
        <w:jc w:val="both"/>
        <w:rPr>
          <w:rFonts w:ascii="Arial" w:hAnsi="Arial" w:cs="Arial"/>
        </w:rPr>
      </w:pPr>
      <w:r w:rsidRPr="00242831">
        <w:rPr>
          <w:rFonts w:ascii="Arial" w:hAnsi="Arial" w:cs="Arial"/>
        </w:rPr>
        <w:t>Trh práce je stále poznamenán slabým výkonem ekonomiky, který negeneruje dostatečný počet pracovních míst.</w:t>
      </w:r>
      <w:r w:rsidRPr="00242831">
        <w:t xml:space="preserve"> </w:t>
      </w:r>
      <w:r w:rsidRPr="00242831">
        <w:rPr>
          <w:rFonts w:ascii="Arial" w:hAnsi="Arial" w:cs="Arial"/>
        </w:rPr>
        <w:t xml:space="preserve">Na trhu práce výrazně převládá nabídka pracovní síly nad poptávkou po ní. Po výrazném propadu počtu volných pracovních míst v letech 2009 a 2010 a nepatrném zvýšení v roce 2011 se jejich počet udržuje na úrovni cca 40 tis. </w:t>
      </w:r>
    </w:p>
    <w:p w:rsidR="001500D1" w:rsidRPr="00242831" w:rsidRDefault="001500D1" w:rsidP="001500D1">
      <w:pPr>
        <w:pStyle w:val="Seznam"/>
        <w:spacing w:line="360" w:lineRule="auto"/>
        <w:ind w:left="0" w:firstLine="567"/>
        <w:jc w:val="both"/>
        <w:rPr>
          <w:rFonts w:ascii="Arial" w:hAnsi="Arial" w:cs="Arial"/>
        </w:rPr>
      </w:pPr>
      <w:r w:rsidRPr="00242831">
        <w:rPr>
          <w:rFonts w:ascii="Arial" w:hAnsi="Arial" w:cs="Arial"/>
        </w:rPr>
        <w:t>Naproti tomu v prvních měsících roku 2013 dosáhl počet evidovaných uchazečů o zaměstnání rekordních hodnot (v únoru doposud nejvyšší hodnota od roku 1990 - 593,7 tis.). Po celé první pololetí pokračoval meziroční růst nezaměstnanosti z druhé poloviny roku 2012 a v červnu tento rozdíl představoval již 65,9 tis. Počty uchazečů o zaměstnání v červenci (551,1 tis.), srpnu (551,7 tis.) a září (557,1 tis.) naznačují zmírnění růstu nezaměstnanosti (v září se snížil meziroční rozdíl na 63,9 tis.). Na jedno volné místo stále připadá v průměru 13,7 – 13,4 uchazečů o zaměstnání.</w:t>
      </w:r>
    </w:p>
    <w:p w:rsidR="001500D1" w:rsidRPr="00242831" w:rsidRDefault="001500D1" w:rsidP="001500D1">
      <w:pPr>
        <w:spacing w:line="360" w:lineRule="auto"/>
        <w:ind w:firstLine="567"/>
        <w:jc w:val="both"/>
        <w:rPr>
          <w:rFonts w:ascii="Arial" w:hAnsi="Arial" w:cs="Arial"/>
          <w:color w:val="0070C0"/>
        </w:rPr>
      </w:pPr>
      <w:r w:rsidRPr="00242831">
        <w:rPr>
          <w:rFonts w:ascii="Arial" w:hAnsi="Arial" w:cs="Arial"/>
        </w:rPr>
        <w:t xml:space="preserve">Nový ukazatel registrované nezaměstnanosti - </w:t>
      </w:r>
      <w:r w:rsidRPr="00242831">
        <w:rPr>
          <w:rFonts w:ascii="Arial" w:hAnsi="Arial" w:cs="Arial"/>
          <w:b/>
        </w:rPr>
        <w:t>podíl nezaměstnaných na obyvatelstvu</w:t>
      </w:r>
      <w:r w:rsidRPr="00242831">
        <w:rPr>
          <w:rFonts w:ascii="Arial" w:hAnsi="Arial" w:cs="Arial"/>
        </w:rPr>
        <w:t xml:space="preserve"> (který od ledna 2013 nahradil míru registrované nezaměstnanosti)</w:t>
      </w:r>
      <w:r w:rsidRPr="00242831">
        <w:rPr>
          <w:rFonts w:ascii="Arial" w:hAnsi="Arial" w:cs="Arial"/>
          <w:b/>
        </w:rPr>
        <w:t xml:space="preserve"> dosáhl v roce 2012 průměrnou hodnotu 6,8 %</w:t>
      </w:r>
      <w:r w:rsidRPr="00242831">
        <w:rPr>
          <w:rFonts w:ascii="Arial" w:hAnsi="Arial" w:cs="Arial"/>
        </w:rPr>
        <w:t xml:space="preserve">. V únoru </w:t>
      </w:r>
      <w:r>
        <w:rPr>
          <w:rFonts w:ascii="Arial" w:hAnsi="Arial" w:cs="Arial"/>
        </w:rPr>
        <w:t>představoval</w:t>
      </w:r>
      <w:r w:rsidRPr="00242831">
        <w:rPr>
          <w:rFonts w:ascii="Arial" w:hAnsi="Arial" w:cs="Arial"/>
        </w:rPr>
        <w:t xml:space="preserve"> 8,1 % (tomu by odpovídala míra registrované nezaměstnanosti cca 10,2 %), v současné době (červenec až září) se pohybuje na úrovni 7,5 – 7,6 %. </w:t>
      </w:r>
      <w:r>
        <w:rPr>
          <w:rFonts w:ascii="Arial" w:hAnsi="Arial" w:cs="Arial"/>
        </w:rPr>
        <w:t xml:space="preserve">Očekáváme, že na konci roku vlivem sezónních faktorů bude mírně nad hodnotou 8,0 %. Průměrná </w:t>
      </w:r>
      <w:r w:rsidRPr="00B92CAC">
        <w:rPr>
          <w:rFonts w:ascii="Arial" w:hAnsi="Arial" w:cs="Arial"/>
          <w:b/>
        </w:rPr>
        <w:t>n</w:t>
      </w:r>
      <w:r w:rsidRPr="00242831">
        <w:rPr>
          <w:rFonts w:ascii="Arial" w:hAnsi="Arial" w:cs="Arial"/>
          <w:b/>
        </w:rPr>
        <w:t>ezaměstnanost za celý rok 2013</w:t>
      </w:r>
      <w:r w:rsidRPr="00242831">
        <w:rPr>
          <w:rFonts w:ascii="Arial" w:hAnsi="Arial" w:cs="Arial"/>
        </w:rPr>
        <w:t xml:space="preserve"> dosáhne </w:t>
      </w:r>
      <w:r>
        <w:rPr>
          <w:rFonts w:ascii="Arial" w:hAnsi="Arial" w:cs="Arial"/>
        </w:rPr>
        <w:t xml:space="preserve">podle našich předpokladů </w:t>
      </w:r>
      <w:r w:rsidRPr="00242831">
        <w:rPr>
          <w:rFonts w:ascii="Arial" w:hAnsi="Arial" w:cs="Arial"/>
        </w:rPr>
        <w:t xml:space="preserve">hodnoty </w:t>
      </w:r>
      <w:r w:rsidRPr="00242831">
        <w:rPr>
          <w:rFonts w:ascii="Arial" w:hAnsi="Arial" w:cs="Arial"/>
          <w:b/>
        </w:rPr>
        <w:t xml:space="preserve">7,7 %. </w:t>
      </w:r>
      <w:r w:rsidRPr="004C2935">
        <w:rPr>
          <w:rFonts w:ascii="Arial" w:hAnsi="Arial" w:cs="Arial"/>
        </w:rPr>
        <w:t xml:space="preserve">Vzhledem ke zpožďování vývoje na trhu práce za vývojem ekonomiky </w:t>
      </w:r>
      <w:r w:rsidRPr="00242831">
        <w:rPr>
          <w:rFonts w:ascii="Arial" w:hAnsi="Arial" w:cs="Arial"/>
        </w:rPr>
        <w:t xml:space="preserve">lze </w:t>
      </w:r>
      <w:r w:rsidRPr="00D90A53">
        <w:rPr>
          <w:rFonts w:ascii="Arial" w:hAnsi="Arial" w:cs="Arial"/>
          <w:b/>
        </w:rPr>
        <w:t>pokles</w:t>
      </w:r>
      <w:r w:rsidRPr="00242831">
        <w:rPr>
          <w:rFonts w:ascii="Arial" w:hAnsi="Arial" w:cs="Arial"/>
        </w:rPr>
        <w:t xml:space="preserve"> očekávat </w:t>
      </w:r>
      <w:r>
        <w:rPr>
          <w:rFonts w:ascii="Arial" w:hAnsi="Arial" w:cs="Arial"/>
        </w:rPr>
        <w:t xml:space="preserve">spíše </w:t>
      </w:r>
      <w:r w:rsidRPr="00242831">
        <w:rPr>
          <w:rFonts w:ascii="Arial" w:hAnsi="Arial" w:cs="Arial"/>
        </w:rPr>
        <w:t xml:space="preserve">až </w:t>
      </w:r>
      <w:r w:rsidRPr="00242831">
        <w:rPr>
          <w:rFonts w:ascii="Arial" w:hAnsi="Arial" w:cs="Arial"/>
          <w:b/>
        </w:rPr>
        <w:t>v roce 201</w:t>
      </w:r>
      <w:r>
        <w:rPr>
          <w:rFonts w:ascii="Arial" w:hAnsi="Arial" w:cs="Arial"/>
          <w:b/>
        </w:rPr>
        <w:t>5.</w:t>
      </w:r>
      <w:r w:rsidRPr="00242831">
        <w:rPr>
          <w:rFonts w:ascii="Arial" w:hAnsi="Arial" w:cs="Arial"/>
          <w:color w:val="0070C0"/>
        </w:rPr>
        <w:t xml:space="preserve"> </w:t>
      </w:r>
    </w:p>
    <w:p w:rsidR="001500D1" w:rsidRDefault="001500D1" w:rsidP="0087442F">
      <w:pPr>
        <w:spacing w:line="360" w:lineRule="auto"/>
        <w:ind w:firstLine="567"/>
        <w:jc w:val="both"/>
        <w:rPr>
          <w:rFonts w:ascii="Arial" w:hAnsi="Arial" w:cs="Arial"/>
          <w:highlight w:val="yellow"/>
        </w:rPr>
      </w:pPr>
    </w:p>
    <w:p w:rsidR="001500D1" w:rsidRDefault="001500D1" w:rsidP="0087442F">
      <w:pPr>
        <w:spacing w:line="360" w:lineRule="auto"/>
        <w:ind w:firstLine="567"/>
        <w:jc w:val="both"/>
        <w:rPr>
          <w:rFonts w:ascii="Arial" w:hAnsi="Arial" w:cs="Arial"/>
          <w:highlight w:val="yellow"/>
        </w:rPr>
      </w:pPr>
    </w:p>
    <w:p w:rsidR="001500D1" w:rsidRDefault="001500D1" w:rsidP="0087442F">
      <w:pPr>
        <w:spacing w:line="360" w:lineRule="auto"/>
        <w:ind w:firstLine="567"/>
        <w:jc w:val="both"/>
        <w:rPr>
          <w:rFonts w:ascii="Arial" w:hAnsi="Arial" w:cs="Arial"/>
          <w:highlight w:val="yellow"/>
        </w:rPr>
      </w:pPr>
    </w:p>
    <w:p w:rsidR="001D4116" w:rsidRPr="00057716" w:rsidRDefault="0013517D" w:rsidP="001D4116">
      <w:pPr>
        <w:pStyle w:val="Nzev"/>
        <w:rPr>
          <w:rFonts w:ascii="Arial" w:hAnsi="Arial" w:cs="Arial"/>
          <w:sz w:val="28"/>
          <w:szCs w:val="28"/>
        </w:rPr>
      </w:pPr>
      <w:r w:rsidRPr="00D92515">
        <w:rPr>
          <w:rFonts w:ascii="Arial" w:hAnsi="Arial" w:cs="Arial"/>
          <w:color w:val="FF00FF"/>
          <w:sz w:val="28"/>
          <w:szCs w:val="28"/>
        </w:rPr>
        <w:br w:type="column"/>
      </w:r>
      <w:r w:rsidR="001D4116" w:rsidRPr="00057716">
        <w:rPr>
          <w:rFonts w:ascii="Arial" w:hAnsi="Arial" w:cs="Arial"/>
          <w:sz w:val="28"/>
          <w:szCs w:val="28"/>
        </w:rPr>
        <w:lastRenderedPageBreak/>
        <w:t>Metodické poznámky</w:t>
      </w:r>
    </w:p>
    <w:p w:rsidR="001D4116" w:rsidRPr="00057716" w:rsidRDefault="001D4116" w:rsidP="001D4116">
      <w:pPr>
        <w:rPr>
          <w:rFonts w:ascii="Arial" w:hAnsi="Arial" w:cs="Arial"/>
          <w:b/>
        </w:rPr>
      </w:pPr>
      <w:r w:rsidRPr="00057716">
        <w:rPr>
          <w:rFonts w:ascii="Arial" w:hAnsi="Arial" w:cs="Arial"/>
          <w:b/>
        </w:rPr>
        <w:t>Zaměstnanost</w:t>
      </w:r>
    </w:p>
    <w:p w:rsidR="001D4116" w:rsidRPr="00057716" w:rsidRDefault="001D4116" w:rsidP="001D4116">
      <w:pPr>
        <w:pStyle w:val="Zkladntextodsazen"/>
        <w:spacing w:line="240" w:lineRule="auto"/>
        <w:rPr>
          <w:rFonts w:cs="Arial"/>
        </w:rPr>
      </w:pPr>
    </w:p>
    <w:p w:rsidR="001D4116" w:rsidRPr="00057716" w:rsidRDefault="001D4116" w:rsidP="001D4116">
      <w:pPr>
        <w:pStyle w:val="Zkladntextodsazen"/>
        <w:spacing w:line="240" w:lineRule="auto"/>
        <w:rPr>
          <w:rFonts w:cs="Arial"/>
        </w:rPr>
      </w:pPr>
      <w:r w:rsidRPr="00057716">
        <w:rPr>
          <w:rFonts w:cs="Arial"/>
        </w:rPr>
        <w:t>MPSV pro hodnocení vývoje na trhu práce využívá pro oblast zaměstnanosti údaje ČSÚ především z Výběrových šetření pracovních sil (VŠPS).</w:t>
      </w:r>
    </w:p>
    <w:p w:rsidR="001D4116" w:rsidRPr="00057716" w:rsidRDefault="001D4116" w:rsidP="001D4116">
      <w:pPr>
        <w:pStyle w:val="Zkladntextodsazen"/>
        <w:spacing w:line="240" w:lineRule="auto"/>
        <w:rPr>
          <w:rFonts w:cs="Arial"/>
        </w:rPr>
      </w:pPr>
    </w:p>
    <w:p w:rsidR="001D4116" w:rsidRPr="00057716" w:rsidRDefault="001D4116" w:rsidP="001D4116">
      <w:pPr>
        <w:rPr>
          <w:rFonts w:ascii="Arial" w:hAnsi="Arial" w:cs="Arial"/>
          <w:u w:val="single"/>
        </w:rPr>
      </w:pPr>
      <w:r w:rsidRPr="00057716">
        <w:rPr>
          <w:rFonts w:ascii="Arial" w:hAnsi="Arial" w:cs="Arial"/>
          <w:u w:val="single"/>
        </w:rPr>
        <w:t>Výběrové šetření pracovních sil (VŠPS)</w:t>
      </w:r>
    </w:p>
    <w:p w:rsidR="001D4116" w:rsidRPr="00057716" w:rsidRDefault="001D4116" w:rsidP="001D4116">
      <w:pPr>
        <w:pStyle w:val="Normlnweb"/>
        <w:ind w:firstLine="708"/>
        <w:jc w:val="both"/>
        <w:rPr>
          <w:rFonts w:ascii="Arial" w:hAnsi="Arial" w:cs="Arial"/>
        </w:rPr>
      </w:pPr>
      <w:r w:rsidRPr="00057716">
        <w:rPr>
          <w:rFonts w:ascii="Arial" w:hAnsi="Arial" w:cs="Arial"/>
          <w:szCs w:val="20"/>
        </w:rPr>
        <w:t xml:space="preserve">Předmětem šetření ve VŠPS jsou domácnosti bydlící v náhodně vybraných bytech. Šetření podléhají všechny osoby obvykle bydlící ve vybraném bytě, přičemž není rozhodující a není ani sledováno, mají-li zde pobyt trvalý, přechodný, dlouhodobý nebo nehlášený. U osob mladších než 15 let se sledují základní údaje týkající se vztahu k osobě v čele domácnosti, věku, pohlaví, národnosti a státní příslušnosti. Za osoby starší 15 let se vyplňují další otázky, které popisují jejich uplatnění na trhu práce. Šetření se nevztahuje na osoby bydlící dlouhodobě v hromadných ubytovacích zařízeních. Z toho důvodu jsou údaje za určité skupiny obyvatelstva, zejména za cizí státní příslušníky žijící a pracující na území republiky, k dispozici v omezené míře. Podle doporučení </w:t>
      </w:r>
      <w:proofErr w:type="spellStart"/>
      <w:r w:rsidRPr="00057716">
        <w:rPr>
          <w:rFonts w:ascii="Arial" w:hAnsi="Arial" w:cs="Arial"/>
          <w:szCs w:val="20"/>
        </w:rPr>
        <w:t>EUROSTATu</w:t>
      </w:r>
      <w:proofErr w:type="spellEnd"/>
      <w:r w:rsidRPr="00057716">
        <w:rPr>
          <w:rFonts w:ascii="Arial" w:hAnsi="Arial" w:cs="Arial"/>
          <w:szCs w:val="20"/>
        </w:rPr>
        <w:t xml:space="preserve"> lze údaje za tyto osoby získat buď z administrativních zdrojů, nebo zvláštním šetřením organizovaným zásadně mimo rámec VŠPS.</w:t>
      </w:r>
      <w:r w:rsidRPr="00057716">
        <w:rPr>
          <w:rFonts w:ascii="Arial" w:hAnsi="Arial" w:cs="Arial"/>
        </w:rPr>
        <w:t xml:space="preserve"> </w:t>
      </w:r>
    </w:p>
    <w:p w:rsidR="001D4116" w:rsidRPr="00057716" w:rsidRDefault="001D4116" w:rsidP="001D4116">
      <w:pPr>
        <w:pStyle w:val="Normlnweb"/>
        <w:ind w:firstLine="708"/>
        <w:jc w:val="both"/>
        <w:rPr>
          <w:rFonts w:ascii="Arial" w:hAnsi="Arial" w:cs="Arial"/>
        </w:rPr>
      </w:pPr>
      <w:r w:rsidRPr="00057716">
        <w:rPr>
          <w:rFonts w:ascii="Arial" w:hAnsi="Arial" w:cs="Arial"/>
          <w:b/>
          <w:szCs w:val="20"/>
        </w:rPr>
        <w:t>Zaměstnaní</w:t>
      </w:r>
      <w:r w:rsidRPr="00057716">
        <w:rPr>
          <w:rFonts w:ascii="Arial" w:hAnsi="Arial" w:cs="Arial"/>
          <w:szCs w:val="20"/>
        </w:rPr>
        <w:t xml:space="preserve"> jsou všichni ve věku 15 a více let, kteří během referenčního týdne příslušeli do kategorie placení zaměstnaní nebo zaměstnaní ve vlastním podniku. Pro účely zjišťování je pojem práce interpretován jako práce </w:t>
      </w:r>
      <w:r w:rsidRPr="00057716">
        <w:rPr>
          <w:rFonts w:ascii="Arial" w:hAnsi="Arial" w:cs="Arial"/>
          <w:b/>
          <w:szCs w:val="20"/>
        </w:rPr>
        <w:t>alespoň po dobu jedné hodiny</w:t>
      </w:r>
      <w:r w:rsidRPr="00057716">
        <w:rPr>
          <w:rFonts w:ascii="Arial" w:hAnsi="Arial" w:cs="Arial"/>
          <w:szCs w:val="20"/>
        </w:rPr>
        <w:t xml:space="preserve"> v referenčním týdnu. Za zaměstnané jsou považováni i </w:t>
      </w:r>
      <w:r w:rsidRPr="00057716">
        <w:rPr>
          <w:rFonts w:ascii="Arial" w:hAnsi="Arial" w:cs="Arial"/>
          <w:b/>
          <w:szCs w:val="20"/>
        </w:rPr>
        <w:t>učni</w:t>
      </w:r>
      <w:r w:rsidRPr="00057716">
        <w:rPr>
          <w:rFonts w:ascii="Arial" w:hAnsi="Arial" w:cs="Arial"/>
          <w:szCs w:val="20"/>
        </w:rPr>
        <w:t xml:space="preserve">, kteří dostávají mzdu, plat nebo odměnu podle stejného principu jako jiné osoby. Obdobně </w:t>
      </w:r>
      <w:r w:rsidRPr="00057716">
        <w:rPr>
          <w:rFonts w:ascii="Arial" w:hAnsi="Arial" w:cs="Arial"/>
          <w:b/>
          <w:szCs w:val="20"/>
        </w:rPr>
        <w:t>studenti</w:t>
      </w:r>
      <w:r w:rsidRPr="00057716">
        <w:rPr>
          <w:rFonts w:ascii="Arial" w:hAnsi="Arial" w:cs="Arial"/>
          <w:szCs w:val="20"/>
        </w:rPr>
        <w:t xml:space="preserve">, osoby </w:t>
      </w:r>
      <w:r w:rsidRPr="00057716">
        <w:rPr>
          <w:rFonts w:ascii="Arial" w:hAnsi="Arial" w:cs="Arial"/>
          <w:b/>
          <w:szCs w:val="20"/>
        </w:rPr>
        <w:t>pobírající důchod</w:t>
      </w:r>
      <w:r w:rsidRPr="00057716">
        <w:rPr>
          <w:rFonts w:ascii="Arial" w:hAnsi="Arial" w:cs="Arial"/>
          <w:szCs w:val="20"/>
        </w:rPr>
        <w:t xml:space="preserve">, osoby v domácnosti a další osoby zabývající se především mimoekonomickými aktivitami, </w:t>
      </w:r>
      <w:r w:rsidRPr="00057716">
        <w:rPr>
          <w:rFonts w:ascii="Arial" w:hAnsi="Arial" w:cs="Arial"/>
          <w:b/>
          <w:szCs w:val="20"/>
        </w:rPr>
        <w:t>kteří</w:t>
      </w:r>
      <w:r w:rsidRPr="00057716">
        <w:rPr>
          <w:rFonts w:ascii="Arial" w:hAnsi="Arial" w:cs="Arial"/>
          <w:szCs w:val="20"/>
        </w:rPr>
        <w:t xml:space="preserve"> však v referenčním období </w:t>
      </w:r>
      <w:r w:rsidRPr="00057716">
        <w:rPr>
          <w:rFonts w:ascii="Arial" w:hAnsi="Arial" w:cs="Arial"/>
          <w:b/>
          <w:szCs w:val="20"/>
        </w:rPr>
        <w:t>byli navíc v zaměstnání, jsou</w:t>
      </w:r>
      <w:r w:rsidRPr="00057716">
        <w:rPr>
          <w:rFonts w:ascii="Arial" w:hAnsi="Arial" w:cs="Arial"/>
          <w:szCs w:val="20"/>
        </w:rPr>
        <w:t xml:space="preserve"> také </w:t>
      </w:r>
      <w:r w:rsidRPr="00057716">
        <w:rPr>
          <w:rFonts w:ascii="Arial" w:hAnsi="Arial" w:cs="Arial"/>
          <w:b/>
          <w:szCs w:val="20"/>
        </w:rPr>
        <w:t>považováni za zaměstnané</w:t>
      </w:r>
      <w:r w:rsidRPr="00057716">
        <w:rPr>
          <w:rFonts w:ascii="Arial" w:hAnsi="Arial" w:cs="Arial"/>
          <w:szCs w:val="20"/>
        </w:rPr>
        <w:t>. Do skupiny zaměstnaných naopak nejsou automaticky zahrnovány osoby na rodičovské dovolené, jejichž postavení má podle metodiky Mezinárodní organizace práce (ILO) odlišný charakter.</w:t>
      </w:r>
      <w:r w:rsidRPr="00057716">
        <w:rPr>
          <w:rFonts w:ascii="Arial" w:hAnsi="Arial" w:cs="Arial"/>
        </w:rPr>
        <w:t xml:space="preserve"> </w:t>
      </w:r>
    </w:p>
    <w:p w:rsidR="001D4116" w:rsidRPr="00057716" w:rsidRDefault="001D4116" w:rsidP="001D4116">
      <w:pPr>
        <w:pStyle w:val="Nadpis3"/>
      </w:pPr>
    </w:p>
    <w:p w:rsidR="001D4116" w:rsidRPr="00057716" w:rsidRDefault="001D4116" w:rsidP="001D4116">
      <w:pPr>
        <w:rPr>
          <w:rFonts w:ascii="Arial" w:hAnsi="Arial" w:cs="Arial"/>
          <w:b/>
        </w:rPr>
      </w:pPr>
      <w:r w:rsidRPr="00057716">
        <w:rPr>
          <w:rFonts w:ascii="Arial" w:hAnsi="Arial" w:cs="Arial"/>
          <w:b/>
        </w:rPr>
        <w:t>Nezaměstnanost</w:t>
      </w:r>
    </w:p>
    <w:p w:rsidR="001D4116" w:rsidRPr="00057716" w:rsidRDefault="001D4116" w:rsidP="001D4116">
      <w:pPr>
        <w:pStyle w:val="Zkladntextodsazen"/>
        <w:spacing w:line="240" w:lineRule="auto"/>
        <w:rPr>
          <w:rFonts w:cs="Arial"/>
        </w:rPr>
      </w:pPr>
      <w:r w:rsidRPr="00057716">
        <w:rPr>
          <w:rFonts w:cs="Arial"/>
        </w:rPr>
        <w:t>Pro nezaměstnanost MPSV využívá údaje ČSÚ z VŠPS a statistiky MPSV z administrativních dat úřadů práce.</w:t>
      </w:r>
    </w:p>
    <w:p w:rsidR="001D4116" w:rsidRPr="00057716" w:rsidRDefault="001D4116" w:rsidP="001D4116">
      <w:pPr>
        <w:pStyle w:val="Zkladntextodsazen"/>
        <w:spacing w:line="240" w:lineRule="auto"/>
      </w:pPr>
      <w:r w:rsidRPr="00057716">
        <w:t>Rozdíly v metodě zjišťování údajů o počtu registrovaných uchazečů o zaměstnání po linii úřadů práce a zjišťování počtu nezaměstnaných podle výsledků VŠPS:</w:t>
      </w:r>
    </w:p>
    <w:p w:rsidR="001D4116" w:rsidRPr="00057716" w:rsidRDefault="001D4116" w:rsidP="001D4116">
      <w:pPr>
        <w:outlineLvl w:val="0"/>
        <w:rPr>
          <w:rFonts w:ascii="Arial" w:hAnsi="Arial" w:cs="Arial"/>
          <w:u w:val="single"/>
        </w:rPr>
      </w:pPr>
    </w:p>
    <w:p w:rsidR="001D4116" w:rsidRPr="00057716" w:rsidRDefault="001D4116" w:rsidP="001D4116">
      <w:pPr>
        <w:pStyle w:val="Zkladntext3"/>
        <w:spacing w:line="240" w:lineRule="auto"/>
        <w:rPr>
          <w:u w:val="single"/>
        </w:rPr>
      </w:pPr>
      <w:r w:rsidRPr="00057716">
        <w:rPr>
          <w:u w:val="single"/>
        </w:rPr>
        <w:t>Velikost souboru</w:t>
      </w:r>
    </w:p>
    <w:p w:rsidR="001D4116" w:rsidRPr="00057716" w:rsidRDefault="001D4116" w:rsidP="001D4116">
      <w:pPr>
        <w:numPr>
          <w:ilvl w:val="0"/>
          <w:numId w:val="4"/>
        </w:numPr>
        <w:tabs>
          <w:tab w:val="clear" w:pos="720"/>
          <w:tab w:val="num" w:pos="426"/>
          <w:tab w:val="num" w:pos="1080"/>
        </w:tabs>
        <w:ind w:left="426" w:hanging="426"/>
        <w:jc w:val="both"/>
        <w:rPr>
          <w:rFonts w:ascii="Arial" w:hAnsi="Arial" w:cs="Arial"/>
        </w:rPr>
      </w:pPr>
      <w:r w:rsidRPr="00057716">
        <w:rPr>
          <w:rFonts w:ascii="Arial" w:hAnsi="Arial" w:cs="Arial"/>
        </w:rPr>
        <w:t>MPSV - úplná evidence registrovaných uchazečů o zaměstnání.</w:t>
      </w:r>
    </w:p>
    <w:p w:rsidR="001D4116" w:rsidRPr="00057716" w:rsidRDefault="001D4116" w:rsidP="001D4116">
      <w:pPr>
        <w:numPr>
          <w:ilvl w:val="0"/>
          <w:numId w:val="4"/>
        </w:numPr>
        <w:tabs>
          <w:tab w:val="clear" w:pos="720"/>
          <w:tab w:val="num" w:pos="426"/>
          <w:tab w:val="num" w:pos="1080"/>
        </w:tabs>
        <w:ind w:left="426" w:hanging="426"/>
        <w:jc w:val="both"/>
        <w:rPr>
          <w:rFonts w:ascii="Arial" w:hAnsi="Arial" w:cs="Arial"/>
          <w:u w:val="single"/>
        </w:rPr>
      </w:pPr>
      <w:r w:rsidRPr="00057716">
        <w:rPr>
          <w:rFonts w:ascii="Arial" w:hAnsi="Arial" w:cs="Arial"/>
        </w:rPr>
        <w:t xml:space="preserve">ČSÚ VŠPS - výběrový soubor zahrnuje osoby bydlící v 0,6 % všech trvale obydlených bytů ČR (jedná se o necelých 51 tis. osob </w:t>
      </w:r>
      <w:r w:rsidRPr="00057716">
        <w:rPr>
          <w:rFonts w:ascii="Arial" w:hAnsi="Arial" w:cs="Arial"/>
          <w:szCs w:val="20"/>
        </w:rPr>
        <w:t>ve věku 15 a více let</w:t>
      </w:r>
      <w:r w:rsidRPr="00057716">
        <w:rPr>
          <w:rFonts w:ascii="Arial" w:hAnsi="Arial" w:cs="Arial"/>
        </w:rPr>
        <w:t xml:space="preserve">). Všechny údaje z výběrového souboru jsou převáženy na věkovou strukturu obyvatelstva podle demografické projekce středních čtvrtletních stavů pro výběrové šetření pracovních sil. </w:t>
      </w:r>
    </w:p>
    <w:p w:rsidR="001D4116" w:rsidRPr="00057716" w:rsidRDefault="001D4116" w:rsidP="001D4116">
      <w:pPr>
        <w:pStyle w:val="Zkladntext3"/>
        <w:spacing w:line="240" w:lineRule="auto"/>
        <w:rPr>
          <w:u w:val="single"/>
        </w:rPr>
      </w:pPr>
      <w:r w:rsidRPr="00057716">
        <w:rPr>
          <w:u w:val="single"/>
        </w:rPr>
        <w:t>Způsob zjišťování</w:t>
      </w:r>
    </w:p>
    <w:p w:rsidR="001D4116" w:rsidRPr="00057716" w:rsidRDefault="001D4116" w:rsidP="001D4116">
      <w:pPr>
        <w:numPr>
          <w:ilvl w:val="0"/>
          <w:numId w:val="7"/>
        </w:numPr>
        <w:tabs>
          <w:tab w:val="clear" w:pos="720"/>
          <w:tab w:val="num" w:pos="426"/>
          <w:tab w:val="num" w:pos="1786"/>
        </w:tabs>
        <w:ind w:left="426" w:hanging="426"/>
        <w:jc w:val="both"/>
        <w:rPr>
          <w:rFonts w:ascii="Arial" w:hAnsi="Arial" w:cs="Arial"/>
        </w:rPr>
      </w:pPr>
      <w:r w:rsidRPr="00057716">
        <w:rPr>
          <w:rFonts w:ascii="Arial" w:hAnsi="Arial" w:cs="Arial"/>
        </w:rPr>
        <w:t>MPSV - podmínky registrace a vyřazování uchazečů o zaměstnání jsou spolu s</w:t>
      </w:r>
      <w:r w:rsidR="00E3619C">
        <w:rPr>
          <w:rFonts w:ascii="Arial" w:hAnsi="Arial" w:cs="Arial"/>
        </w:rPr>
        <w:t> </w:t>
      </w:r>
      <w:r w:rsidRPr="00057716">
        <w:rPr>
          <w:rFonts w:ascii="Arial" w:hAnsi="Arial" w:cs="Arial"/>
        </w:rPr>
        <w:t>definicí uchazeče o zaměstnání stanoveny zákonem o zaměstnanosti</w:t>
      </w:r>
      <w:r w:rsidR="00ED4155">
        <w:rPr>
          <w:rFonts w:ascii="Arial" w:hAnsi="Arial" w:cs="Arial"/>
        </w:rPr>
        <w:t xml:space="preserve">. </w:t>
      </w:r>
      <w:r w:rsidRPr="00057716">
        <w:rPr>
          <w:rFonts w:ascii="Arial" w:hAnsi="Arial" w:cs="Arial"/>
        </w:rPr>
        <w:t>O</w:t>
      </w:r>
      <w:r w:rsidR="00ED4155">
        <w:rPr>
          <w:rFonts w:ascii="Arial" w:hAnsi="Arial" w:cs="Arial"/>
        </w:rPr>
        <w:t> </w:t>
      </w:r>
      <w:r w:rsidRPr="00057716">
        <w:rPr>
          <w:rFonts w:ascii="Arial" w:hAnsi="Arial" w:cs="Arial"/>
        </w:rPr>
        <w:t>zprostředkování se občan uchází u krajské pobočky Úřadu práce, v jejímž správním obvodu má bydliště.</w:t>
      </w:r>
    </w:p>
    <w:p w:rsidR="001D4116" w:rsidRPr="00057716" w:rsidRDefault="001D4116" w:rsidP="001D4116">
      <w:pPr>
        <w:numPr>
          <w:ilvl w:val="0"/>
          <w:numId w:val="7"/>
        </w:numPr>
        <w:tabs>
          <w:tab w:val="clear" w:pos="720"/>
          <w:tab w:val="num" w:pos="426"/>
          <w:tab w:val="num" w:pos="1786"/>
        </w:tabs>
        <w:ind w:left="426" w:hanging="426"/>
        <w:jc w:val="both"/>
        <w:rPr>
          <w:rFonts w:ascii="Arial" w:hAnsi="Arial" w:cs="Arial"/>
        </w:rPr>
      </w:pPr>
      <w:r w:rsidRPr="00057716">
        <w:rPr>
          <w:rFonts w:ascii="Arial" w:hAnsi="Arial" w:cs="Arial"/>
        </w:rPr>
        <w:lastRenderedPageBreak/>
        <w:t xml:space="preserve">ČSÚ VŠPS - dobrovolné anonymní zjišťování za osoby obvykle bydlící (nikoliv trvale bydlící) ve vybraných bytech. Shodně s metodikou </w:t>
      </w:r>
      <w:proofErr w:type="spellStart"/>
      <w:r w:rsidRPr="00057716">
        <w:rPr>
          <w:rFonts w:ascii="Arial" w:hAnsi="Arial" w:cs="Arial"/>
        </w:rPr>
        <w:t>EUROSTATu</w:t>
      </w:r>
      <w:proofErr w:type="spellEnd"/>
      <w:r w:rsidRPr="00057716">
        <w:rPr>
          <w:rFonts w:ascii="Arial" w:hAnsi="Arial" w:cs="Arial"/>
        </w:rPr>
        <w:t xml:space="preserve">  nejsou zjišťovány údaje za osoby bydlící mimo byty, tedy ani za osoby bydlící v hromadných ubytovacích zařízeních.</w:t>
      </w:r>
    </w:p>
    <w:p w:rsidR="001D4116" w:rsidRPr="00057716" w:rsidRDefault="001D4116" w:rsidP="001D4116">
      <w:pPr>
        <w:rPr>
          <w:rFonts w:ascii="Arial" w:hAnsi="Arial" w:cs="Arial"/>
          <w:u w:val="single"/>
        </w:rPr>
      </w:pPr>
      <w:r w:rsidRPr="00057716">
        <w:rPr>
          <w:rFonts w:ascii="Arial" w:hAnsi="Arial" w:cs="Arial"/>
          <w:u w:val="single"/>
        </w:rPr>
        <w:t>Obsah ukazatelů</w:t>
      </w:r>
    </w:p>
    <w:p w:rsidR="001D4116" w:rsidRPr="00057716" w:rsidRDefault="001D4116" w:rsidP="001D4116">
      <w:pPr>
        <w:numPr>
          <w:ilvl w:val="0"/>
          <w:numId w:val="8"/>
        </w:numPr>
        <w:tabs>
          <w:tab w:val="clear" w:pos="720"/>
          <w:tab w:val="num" w:pos="426"/>
        </w:tabs>
        <w:ind w:left="426" w:hanging="426"/>
        <w:jc w:val="both"/>
        <w:rPr>
          <w:rFonts w:ascii="Arial" w:hAnsi="Arial" w:cs="Arial"/>
        </w:rPr>
      </w:pPr>
      <w:r w:rsidRPr="00057716">
        <w:rPr>
          <w:rFonts w:ascii="Arial" w:hAnsi="Arial" w:cs="Arial"/>
        </w:rPr>
        <w:t xml:space="preserve">MPSV - uchazeč o zaměstnání je podrobně vymezen zákonem o zaměstnanosti. </w:t>
      </w:r>
    </w:p>
    <w:p w:rsidR="001D4116" w:rsidRPr="00057716" w:rsidRDefault="001D4116" w:rsidP="001D4116">
      <w:pPr>
        <w:numPr>
          <w:ilvl w:val="0"/>
          <w:numId w:val="8"/>
        </w:numPr>
        <w:tabs>
          <w:tab w:val="clear" w:pos="720"/>
          <w:tab w:val="num" w:pos="426"/>
        </w:tabs>
        <w:ind w:left="426" w:hanging="426"/>
        <w:jc w:val="both"/>
        <w:rPr>
          <w:rFonts w:ascii="Arial" w:hAnsi="Arial" w:cs="Arial"/>
        </w:rPr>
      </w:pPr>
      <w:r w:rsidRPr="00057716">
        <w:rPr>
          <w:rFonts w:ascii="Arial" w:hAnsi="Arial" w:cs="Arial"/>
          <w:b/>
          <w:bCs/>
        </w:rPr>
        <w:t>Uchazečem o zaměstnání</w:t>
      </w:r>
      <w:r w:rsidRPr="00057716">
        <w:rPr>
          <w:rFonts w:ascii="Arial" w:hAnsi="Arial" w:cs="Arial"/>
        </w:rPr>
        <w:t xml:space="preserve"> může být  (pokud zákon nestanoví jinak ) pouze fyzická osoba s trvalým bydlištěm na území ČR, která osobně požádá o zprostředkování vhodného zaměstnání krajskou pobočku Úřadu práce ČR a které nebrání v zařazení do této evidence překážky uvedené v ustanovení § 25 zákona o zaměstnanosti,  např. není v pracovním  nebo obdobném vztahu nebo nevykonává  samostatnou  výdělečnou  činnost. Z evidence uchazečů o</w:t>
      </w:r>
      <w:r w:rsidR="00E3619C">
        <w:rPr>
          <w:rFonts w:ascii="Arial" w:hAnsi="Arial" w:cs="Arial"/>
        </w:rPr>
        <w:t> </w:t>
      </w:r>
      <w:r w:rsidRPr="00057716">
        <w:rPr>
          <w:rFonts w:ascii="Arial" w:hAnsi="Arial" w:cs="Arial"/>
        </w:rPr>
        <w:t>zaměstnání je uchazeč o zaměstnání vyřazen,</w:t>
      </w:r>
      <w:r w:rsidRPr="00057716" w:rsidDel="00EB126F">
        <w:rPr>
          <w:rFonts w:ascii="Arial" w:hAnsi="Arial" w:cs="Arial"/>
        </w:rPr>
        <w:t xml:space="preserve"> </w:t>
      </w:r>
      <w:r w:rsidRPr="00057716">
        <w:rPr>
          <w:rFonts w:ascii="Arial" w:hAnsi="Arial" w:cs="Arial"/>
        </w:rPr>
        <w:t xml:space="preserve">mimo jiné, jestliže bez vážných  důvodů odmítne nastoupit do vhodného zaměstnání nebo úmyslně maří součinnost s krajskou pobočkou Úřadu práce ČR při zprostředkování zaměstnání. Evidence na Úřadu práce ČR je ukončena např. nástupem do zaměstnání nebo na základě vlastní žádosti uchazeče o zaměstnání. Zákon nevylučuje, aby uchazeči o zaměstnání byli např. osoby dočasně práce neschopné, na  rodičovské dovolené, nebo ti, jimž byl přiznán starobní důchod. </w:t>
      </w:r>
    </w:p>
    <w:p w:rsidR="001D4116" w:rsidRPr="00057716" w:rsidRDefault="001D4116" w:rsidP="001D4116">
      <w:pPr>
        <w:numPr>
          <w:ilvl w:val="0"/>
          <w:numId w:val="8"/>
        </w:numPr>
        <w:tabs>
          <w:tab w:val="clear" w:pos="720"/>
          <w:tab w:val="num" w:pos="426"/>
        </w:tabs>
        <w:ind w:left="426" w:hanging="426"/>
        <w:jc w:val="both"/>
        <w:rPr>
          <w:rFonts w:ascii="Arial" w:hAnsi="Arial" w:cs="Arial"/>
        </w:rPr>
      </w:pPr>
      <w:r w:rsidRPr="00057716">
        <w:rPr>
          <w:rFonts w:ascii="Arial" w:hAnsi="Arial" w:cs="Arial"/>
        </w:rPr>
        <w:t xml:space="preserve">MPSV ve snaze maximálně přiblížit metodiku registrované nezaměstnanosti metodice ILO zavedlo ukazatel tzv. </w:t>
      </w:r>
      <w:r w:rsidRPr="00057716">
        <w:rPr>
          <w:rFonts w:ascii="Arial" w:hAnsi="Arial" w:cs="Arial"/>
          <w:b/>
          <w:bCs/>
        </w:rPr>
        <w:t>dosažitelní uchazeči o zaměstnání</w:t>
      </w:r>
      <w:r w:rsidRPr="00057716">
        <w:rPr>
          <w:rFonts w:ascii="Arial" w:hAnsi="Arial" w:cs="Arial"/>
        </w:rPr>
        <w:t>. Jedná se o uchazeče o zaměstnání, kteří mohou bezprostředně nastoupit do zaměstnání při nabídce vhodného pracovního místa, tj. evidovaní nezaměstnaní, kteří nemají žádnou objektivní překážku pro přijetí zaměstnání. Za dosažitelné se nepovažují uchazeči o zaměstnání ve vazbě, ve výkonu trestu, v pracovní neschopnosti, uchazeči o zaměstnání zařazeni na rekvalifikační kurzy nebo vykonávající krátkodobé zaměstnání, a dále uchazeči o zaměstnání, kteří pobírají peněžitou pomoc v mateřství nebo kterým je poskytována podpora v</w:t>
      </w:r>
      <w:r w:rsidR="005723A4">
        <w:rPr>
          <w:rFonts w:ascii="Arial" w:hAnsi="Arial" w:cs="Arial"/>
        </w:rPr>
        <w:t> </w:t>
      </w:r>
      <w:r w:rsidRPr="00057716">
        <w:rPr>
          <w:rFonts w:ascii="Arial" w:hAnsi="Arial" w:cs="Arial"/>
        </w:rPr>
        <w:t xml:space="preserve">nezaměstnanosti po dobu mateřské dovolené.  </w:t>
      </w:r>
    </w:p>
    <w:p w:rsidR="001D4116" w:rsidRPr="00057716" w:rsidRDefault="001D4116" w:rsidP="001D4116">
      <w:pPr>
        <w:numPr>
          <w:ilvl w:val="0"/>
          <w:numId w:val="8"/>
        </w:numPr>
        <w:tabs>
          <w:tab w:val="clear" w:pos="720"/>
          <w:tab w:val="num" w:pos="426"/>
        </w:tabs>
        <w:ind w:left="426" w:hanging="426"/>
        <w:jc w:val="both"/>
        <w:rPr>
          <w:rFonts w:ascii="Arial" w:hAnsi="Arial" w:cs="Arial"/>
          <w:szCs w:val="32"/>
        </w:rPr>
      </w:pPr>
      <w:r w:rsidRPr="00057716">
        <w:rPr>
          <w:rFonts w:ascii="Arial" w:hAnsi="Arial" w:cs="Arial"/>
        </w:rPr>
        <w:t>ČSÚ VŠPS - n</w:t>
      </w:r>
      <w:r w:rsidRPr="00057716">
        <w:rPr>
          <w:rFonts w:ascii="Arial" w:hAnsi="Arial" w:cs="Arial"/>
          <w:szCs w:val="32"/>
        </w:rPr>
        <w:t xml:space="preserve">ezaměstnaní jsou podle metodiky ILO a metodiky </w:t>
      </w:r>
      <w:proofErr w:type="spellStart"/>
      <w:r w:rsidRPr="00057716">
        <w:rPr>
          <w:rFonts w:ascii="Arial" w:hAnsi="Arial" w:cs="Arial"/>
          <w:szCs w:val="32"/>
        </w:rPr>
        <w:t>EUROSTATu</w:t>
      </w:r>
      <w:proofErr w:type="spellEnd"/>
      <w:r w:rsidRPr="00057716">
        <w:rPr>
          <w:rFonts w:ascii="Arial" w:hAnsi="Arial" w:cs="Arial"/>
          <w:szCs w:val="32"/>
        </w:rPr>
        <w:t xml:space="preserve"> všichni </w:t>
      </w:r>
      <w:r w:rsidRPr="00057716">
        <w:rPr>
          <w:rFonts w:ascii="Arial" w:hAnsi="Arial" w:cs="Arial"/>
          <w:szCs w:val="20"/>
        </w:rPr>
        <w:t>ve věku 15 a více let</w:t>
      </w:r>
      <w:r w:rsidRPr="00057716">
        <w:rPr>
          <w:rFonts w:ascii="Arial" w:hAnsi="Arial" w:cs="Arial"/>
          <w:szCs w:val="32"/>
        </w:rPr>
        <w:t>, kteří ve sledovaném období (referenčním týdnu) souběžně splňovali tři nutné podmínky:</w:t>
      </w:r>
      <w:r w:rsidRPr="00057716">
        <w:rPr>
          <w:rFonts w:ascii="Arial" w:hAnsi="Arial" w:cs="Arial"/>
          <w:szCs w:val="32"/>
        </w:rPr>
        <w:tab/>
      </w:r>
    </w:p>
    <w:p w:rsidR="001D4116" w:rsidRPr="00057716" w:rsidRDefault="001D4116" w:rsidP="001D4116">
      <w:pPr>
        <w:tabs>
          <w:tab w:val="num" w:pos="720"/>
        </w:tabs>
        <w:ind w:left="720" w:hanging="900"/>
        <w:jc w:val="both"/>
        <w:rPr>
          <w:rFonts w:ascii="Arial" w:hAnsi="Arial" w:cs="Arial"/>
          <w:szCs w:val="32"/>
        </w:rPr>
      </w:pPr>
      <w:r w:rsidRPr="00057716">
        <w:rPr>
          <w:rFonts w:ascii="Arial" w:hAnsi="Arial" w:cs="Arial"/>
          <w:szCs w:val="32"/>
        </w:rPr>
        <w:tab/>
        <w:t>-  nebyli zaměstnaní,</w:t>
      </w:r>
    </w:p>
    <w:p w:rsidR="001D4116" w:rsidRPr="00057716" w:rsidRDefault="001D4116" w:rsidP="001D4116">
      <w:pPr>
        <w:tabs>
          <w:tab w:val="num" w:pos="720"/>
        </w:tabs>
        <w:ind w:left="720" w:hanging="900"/>
        <w:jc w:val="both"/>
        <w:rPr>
          <w:rFonts w:ascii="Arial" w:hAnsi="Arial" w:cs="Arial"/>
        </w:rPr>
      </w:pPr>
      <w:r w:rsidRPr="00057716">
        <w:rPr>
          <w:rFonts w:ascii="Arial" w:hAnsi="Arial" w:cs="Arial"/>
        </w:rPr>
        <w:tab/>
        <w:t>-  hledali aktivně práci,</w:t>
      </w:r>
    </w:p>
    <w:p w:rsidR="001D4116" w:rsidRPr="00057716" w:rsidRDefault="001D4116" w:rsidP="001D4116">
      <w:pPr>
        <w:tabs>
          <w:tab w:val="num" w:pos="720"/>
        </w:tabs>
        <w:ind w:left="720" w:hanging="900"/>
        <w:jc w:val="both"/>
        <w:rPr>
          <w:rFonts w:ascii="Arial" w:hAnsi="Arial" w:cs="Arial"/>
        </w:rPr>
      </w:pPr>
      <w:r w:rsidRPr="00057716">
        <w:rPr>
          <w:rFonts w:ascii="Arial" w:hAnsi="Arial" w:cs="Arial"/>
        </w:rPr>
        <w:tab/>
        <w:t>- byli připraveni k nástupu do práce, t.j., během referenčního období byli k dispozici okamžitě nebo nejpozději do 14 dnů pro výkon placeného zaměstnání nebo zaměstnání ve vlastním podniku.</w:t>
      </w:r>
    </w:p>
    <w:p w:rsidR="001D4116" w:rsidRPr="00057716" w:rsidRDefault="001D4116" w:rsidP="001D4116">
      <w:pPr>
        <w:tabs>
          <w:tab w:val="num" w:pos="0"/>
        </w:tabs>
        <w:ind w:firstLine="720"/>
        <w:jc w:val="both"/>
        <w:rPr>
          <w:rFonts w:ascii="Arial" w:hAnsi="Arial" w:cs="Arial"/>
          <w:szCs w:val="32"/>
        </w:rPr>
      </w:pPr>
      <w:r w:rsidRPr="00057716">
        <w:rPr>
          <w:rFonts w:ascii="Arial" w:hAnsi="Arial" w:cs="Arial"/>
          <w:b/>
          <w:bCs/>
          <w:szCs w:val="32"/>
        </w:rPr>
        <w:t>Pokud osoby nesplňují alespoň jednu ze tří uvedených podmínek, jsou klasifikovány jako zaměstnané nebo ekonomicky neaktivní</w:t>
      </w:r>
      <w:r w:rsidRPr="00057716">
        <w:rPr>
          <w:rFonts w:ascii="Arial" w:hAnsi="Arial" w:cs="Arial"/>
          <w:szCs w:val="32"/>
        </w:rPr>
        <w:t xml:space="preserve">. Jedinou výjimkou je skupina osob, které práci nehledají, protože ji našly a jsou schopny nástupu nejpozději do 3 měsíců. Tyto osoby jsou podle definice </w:t>
      </w:r>
      <w:proofErr w:type="spellStart"/>
      <w:r w:rsidRPr="00057716">
        <w:rPr>
          <w:rFonts w:ascii="Arial" w:hAnsi="Arial" w:cs="Arial"/>
          <w:szCs w:val="32"/>
        </w:rPr>
        <w:t>EUROSTATu</w:t>
      </w:r>
      <w:proofErr w:type="spellEnd"/>
      <w:r w:rsidRPr="00057716">
        <w:rPr>
          <w:rFonts w:ascii="Arial" w:hAnsi="Arial" w:cs="Arial"/>
          <w:szCs w:val="32"/>
        </w:rPr>
        <w:t xml:space="preserve"> zařazeny rovněž mezi nezaměstnané.</w:t>
      </w:r>
    </w:p>
    <w:p w:rsidR="001D4116" w:rsidRPr="00057716" w:rsidRDefault="001D4116" w:rsidP="001D4116">
      <w:pPr>
        <w:tabs>
          <w:tab w:val="num" w:pos="0"/>
        </w:tabs>
        <w:ind w:firstLine="720"/>
        <w:jc w:val="both"/>
        <w:rPr>
          <w:rFonts w:ascii="Arial" w:hAnsi="Arial" w:cs="Arial"/>
          <w:szCs w:val="16"/>
        </w:rPr>
      </w:pPr>
      <w:r w:rsidRPr="00057716">
        <w:rPr>
          <w:rFonts w:ascii="Arial" w:hAnsi="Arial" w:cs="Arial"/>
        </w:rPr>
        <w:t xml:space="preserve">Jestliže do konce roku 1997 převyšoval počet nezaměstnaných vymezených podle mezinárodní definice počet registrovaných uchazečů o zaměstnání na </w:t>
      </w:r>
      <w:r w:rsidR="002B4CB7">
        <w:rPr>
          <w:rFonts w:ascii="Arial" w:hAnsi="Arial" w:cs="Arial"/>
        </w:rPr>
        <w:t>úřadech</w:t>
      </w:r>
      <w:r w:rsidRPr="00057716">
        <w:rPr>
          <w:rFonts w:ascii="Arial" w:hAnsi="Arial" w:cs="Arial"/>
        </w:rPr>
        <w:t xml:space="preserve"> a od roku 2000 do 3. čtvrtletí roku 2001 byl rozdíl mezi oběma ukazateli minimální, tak od 4. čtvrtletí 2001 počet registrovaných uchazečů o zaměstnání na </w:t>
      </w:r>
      <w:r w:rsidR="002B4CB7">
        <w:rPr>
          <w:rFonts w:ascii="Arial" w:hAnsi="Arial" w:cs="Arial"/>
        </w:rPr>
        <w:t>úřadech práce</w:t>
      </w:r>
      <w:r w:rsidRPr="00057716">
        <w:rPr>
          <w:rFonts w:ascii="Arial" w:hAnsi="Arial" w:cs="Arial"/>
        </w:rPr>
        <w:t xml:space="preserve"> výrazně převyšoval počet nezaměstnaných zjišťovaných ve výběrovém šetření statistiky podle ILO.</w:t>
      </w:r>
    </w:p>
    <w:p w:rsidR="001D4116" w:rsidRPr="00057716" w:rsidRDefault="001D4116" w:rsidP="001D4116">
      <w:pPr>
        <w:ind w:firstLine="708"/>
        <w:jc w:val="both"/>
        <w:rPr>
          <w:rFonts w:ascii="Arial" w:hAnsi="Arial" w:cs="Arial"/>
          <w:sz w:val="20"/>
          <w:szCs w:val="20"/>
        </w:rPr>
      </w:pPr>
      <w:r w:rsidRPr="00057716">
        <w:rPr>
          <w:rFonts w:ascii="Arial" w:hAnsi="Arial" w:cs="Arial"/>
        </w:rPr>
        <w:t xml:space="preserve">Ve </w:t>
      </w:r>
      <w:r w:rsidR="005723A4">
        <w:rPr>
          <w:rFonts w:ascii="Arial" w:hAnsi="Arial" w:cs="Arial"/>
        </w:rPr>
        <w:t>2</w:t>
      </w:r>
      <w:r w:rsidRPr="00057716">
        <w:rPr>
          <w:rFonts w:ascii="Arial" w:hAnsi="Arial" w:cs="Arial"/>
        </w:rPr>
        <w:t>. čtvrtletí 201</w:t>
      </w:r>
      <w:r w:rsidR="005723A4">
        <w:rPr>
          <w:rFonts w:ascii="Arial" w:hAnsi="Arial" w:cs="Arial"/>
        </w:rPr>
        <w:t>3</w:t>
      </w:r>
      <w:r w:rsidRPr="00057716">
        <w:rPr>
          <w:rFonts w:ascii="Arial" w:hAnsi="Arial" w:cs="Arial"/>
        </w:rPr>
        <w:t xml:space="preserve"> činil průměrný počet registrovaných uchazečů o zaměstnání podle skutečné evidence na ÚP</w:t>
      </w:r>
      <w:r w:rsidR="00206990">
        <w:rPr>
          <w:rFonts w:ascii="Arial" w:hAnsi="Arial" w:cs="Arial"/>
        </w:rPr>
        <w:t> ČR</w:t>
      </w:r>
      <w:r w:rsidRPr="00057716">
        <w:rPr>
          <w:rFonts w:ascii="Arial" w:hAnsi="Arial" w:cs="Arial"/>
        </w:rPr>
        <w:t xml:space="preserve"> 5</w:t>
      </w:r>
      <w:r w:rsidR="005723A4">
        <w:rPr>
          <w:rFonts w:ascii="Arial" w:hAnsi="Arial" w:cs="Arial"/>
        </w:rPr>
        <w:t>70</w:t>
      </w:r>
      <w:r w:rsidRPr="00057716">
        <w:rPr>
          <w:rFonts w:ascii="Arial" w:hAnsi="Arial" w:cs="Arial"/>
        </w:rPr>
        <w:t>,</w:t>
      </w:r>
      <w:r w:rsidR="005723A4">
        <w:rPr>
          <w:rFonts w:ascii="Arial" w:hAnsi="Arial" w:cs="Arial"/>
        </w:rPr>
        <w:t>8</w:t>
      </w:r>
      <w:r w:rsidRPr="00057716">
        <w:rPr>
          <w:rFonts w:ascii="Arial" w:hAnsi="Arial" w:cs="Arial"/>
        </w:rPr>
        <w:t xml:space="preserve"> tis. osob, z toho </w:t>
      </w:r>
      <w:r w:rsidR="005723A4">
        <w:rPr>
          <w:rFonts w:ascii="Arial" w:hAnsi="Arial" w:cs="Arial"/>
        </w:rPr>
        <w:t>557</w:t>
      </w:r>
      <w:r w:rsidRPr="00057716">
        <w:rPr>
          <w:rFonts w:ascii="Arial" w:hAnsi="Arial" w:cs="Arial"/>
        </w:rPr>
        <w:t>,</w:t>
      </w:r>
      <w:r w:rsidR="005723A4">
        <w:rPr>
          <w:rFonts w:ascii="Arial" w:hAnsi="Arial" w:cs="Arial"/>
        </w:rPr>
        <w:t>0</w:t>
      </w:r>
      <w:r w:rsidRPr="00057716">
        <w:rPr>
          <w:rFonts w:ascii="Arial" w:hAnsi="Arial" w:cs="Arial"/>
        </w:rPr>
        <w:t xml:space="preserve"> tis. </w:t>
      </w:r>
      <w:r w:rsidRPr="00057716">
        <w:rPr>
          <w:rFonts w:ascii="Arial" w:hAnsi="Arial" w:cs="Arial"/>
        </w:rPr>
        <w:lastRenderedPageBreak/>
        <w:t xml:space="preserve">dosažitelných uchazečů o zaměstnání, srovnatelný ukazatel zjištěný výběrovým šetřením (počet </w:t>
      </w:r>
      <w:r w:rsidR="003C52A4">
        <w:rPr>
          <w:rFonts w:ascii="Arial" w:hAnsi="Arial" w:cs="Arial"/>
        </w:rPr>
        <w:t>nezaměstnaných</w:t>
      </w:r>
      <w:r w:rsidRPr="00057716">
        <w:rPr>
          <w:rFonts w:ascii="Arial" w:hAnsi="Arial" w:cs="Arial"/>
        </w:rPr>
        <w:t xml:space="preserve"> dle VŠPS </w:t>
      </w:r>
      <w:r w:rsidR="003C52A4">
        <w:rPr>
          <w:rFonts w:ascii="Arial" w:hAnsi="Arial" w:cs="Arial"/>
        </w:rPr>
        <w:t>358</w:t>
      </w:r>
      <w:r w:rsidRPr="00057716">
        <w:rPr>
          <w:rFonts w:ascii="Arial" w:hAnsi="Arial" w:cs="Arial"/>
        </w:rPr>
        <w:t>,</w:t>
      </w:r>
      <w:r w:rsidR="003C52A4">
        <w:rPr>
          <w:rFonts w:ascii="Arial" w:hAnsi="Arial" w:cs="Arial"/>
        </w:rPr>
        <w:t>0</w:t>
      </w:r>
      <w:r w:rsidRPr="00057716">
        <w:rPr>
          <w:rFonts w:ascii="Arial" w:hAnsi="Arial" w:cs="Arial"/>
        </w:rPr>
        <w:t xml:space="preserve"> tis.) se tedy lišil o </w:t>
      </w:r>
      <w:r w:rsidR="005723A4">
        <w:rPr>
          <w:rFonts w:ascii="Arial" w:hAnsi="Arial" w:cs="Arial"/>
        </w:rPr>
        <w:t>2</w:t>
      </w:r>
      <w:r w:rsidR="003C52A4">
        <w:rPr>
          <w:rFonts w:ascii="Arial" w:hAnsi="Arial" w:cs="Arial"/>
        </w:rPr>
        <w:t>12</w:t>
      </w:r>
      <w:r w:rsidRPr="00057716">
        <w:rPr>
          <w:rFonts w:ascii="Arial" w:hAnsi="Arial" w:cs="Arial"/>
        </w:rPr>
        <w:t>,</w:t>
      </w:r>
      <w:r w:rsidR="005E43E7">
        <w:rPr>
          <w:rFonts w:ascii="Arial" w:hAnsi="Arial" w:cs="Arial"/>
        </w:rPr>
        <w:t>8</w:t>
      </w:r>
      <w:r w:rsidRPr="00057716">
        <w:rPr>
          <w:rFonts w:ascii="Arial" w:hAnsi="Arial" w:cs="Arial"/>
        </w:rPr>
        <w:t xml:space="preserve"> tis. resp. o </w:t>
      </w:r>
      <w:r w:rsidR="005E43E7">
        <w:rPr>
          <w:rFonts w:ascii="Arial" w:hAnsi="Arial" w:cs="Arial"/>
        </w:rPr>
        <w:t>199</w:t>
      </w:r>
      <w:r w:rsidRPr="00057716">
        <w:rPr>
          <w:rFonts w:ascii="Arial" w:hAnsi="Arial" w:cs="Arial"/>
        </w:rPr>
        <w:t>,</w:t>
      </w:r>
      <w:r w:rsidR="005E43E7">
        <w:rPr>
          <w:rFonts w:ascii="Arial" w:hAnsi="Arial" w:cs="Arial"/>
        </w:rPr>
        <w:t>0</w:t>
      </w:r>
      <w:r w:rsidRPr="00057716">
        <w:rPr>
          <w:rFonts w:ascii="Arial" w:hAnsi="Arial" w:cs="Arial"/>
        </w:rPr>
        <w:t xml:space="preserve"> tis. </w:t>
      </w:r>
    </w:p>
    <w:p w:rsidR="001D4116" w:rsidRPr="00057716" w:rsidRDefault="001D4116" w:rsidP="001D4116">
      <w:pPr>
        <w:pStyle w:val="Zkladntextodsazen2"/>
        <w:spacing w:line="240" w:lineRule="auto"/>
        <w:rPr>
          <w:rFonts w:cs="Arial"/>
          <w:i w:val="0"/>
        </w:rPr>
      </w:pPr>
      <w:r w:rsidRPr="00057716">
        <w:rPr>
          <w:rFonts w:cs="Arial"/>
          <w:i w:val="0"/>
        </w:rPr>
        <w:t xml:space="preserve">Rozdíly jsou jednak v jiném způsobu zjišťování po obou liniích, odlišném metodickém vymezení registrovaných uchazečů o zaměstnání a nezaměstnaných podle mezinárodní definice ILO a v tzv. nevýběrové chybě, která je průvodním znakem prakticky všech statistických zjišťování u domácností. Je nutné zdůraznit diferenci mezi pojmem registrovaný uchazeč o zaměstnání a nezaměstnaným podle mezinárodní definice ILO. Zatímco registrovaný uchazeč o zaměstnání je vždy definován národní legislativou, nezaměstnaný podle definice ILO je vymezen jasnými kritérii, která umožňují mezinárodní srovnatelnost výše zjištěných výsledků šetření. Vazba mezi oběma ukazateli není bezprostřední. Na jedné straně se vyskytují případy nezaměstnaných, kteří nejsou evidováni na úřadech práce </w:t>
      </w:r>
      <w:r w:rsidR="005E43E7">
        <w:rPr>
          <w:rFonts w:cs="Arial"/>
          <w:i w:val="0"/>
        </w:rPr>
        <w:t xml:space="preserve">(ve 2. Čtvrtletí 2013 to bylo 64,3 tis. osob) </w:t>
      </w:r>
      <w:r w:rsidRPr="00057716">
        <w:rPr>
          <w:rFonts w:cs="Arial"/>
          <w:i w:val="0"/>
        </w:rPr>
        <w:t xml:space="preserve">a na druhé straně značná část registrovaných uchazečů o zaměstnání nesplňuje podmínky dané mezinárodní definicí. </w:t>
      </w:r>
    </w:p>
    <w:p w:rsidR="001D4116" w:rsidRPr="00057716" w:rsidRDefault="001D4116" w:rsidP="001D4116">
      <w:pPr>
        <w:ind w:firstLine="708"/>
        <w:jc w:val="both"/>
        <w:rPr>
          <w:rFonts w:ascii="Arial" w:hAnsi="Arial" w:cs="Arial"/>
        </w:rPr>
      </w:pPr>
      <w:r w:rsidRPr="00057716">
        <w:rPr>
          <w:rFonts w:ascii="Arial" w:hAnsi="Arial" w:cs="Arial"/>
        </w:rPr>
        <w:t>Zásadní diference mezi oběma zdroji je v absolutní hodnotě počtu registrovaných uchazečů o zaměstnání a počtu nezaměstnaných. Projevuje se několik faktorů:</w:t>
      </w:r>
    </w:p>
    <w:p w:rsidR="001D4116" w:rsidRPr="00057716" w:rsidRDefault="001D4116" w:rsidP="001D4116">
      <w:pPr>
        <w:numPr>
          <w:ilvl w:val="0"/>
          <w:numId w:val="6"/>
        </w:numPr>
        <w:tabs>
          <w:tab w:val="clear" w:pos="720"/>
          <w:tab w:val="num" w:pos="426"/>
        </w:tabs>
        <w:ind w:left="426" w:hanging="426"/>
        <w:jc w:val="both"/>
        <w:rPr>
          <w:rFonts w:ascii="Arial" w:hAnsi="Arial" w:cs="Arial"/>
        </w:rPr>
      </w:pPr>
      <w:r w:rsidRPr="00057716">
        <w:rPr>
          <w:rFonts w:ascii="Arial" w:hAnsi="Arial" w:cs="Arial"/>
        </w:rPr>
        <w:t xml:space="preserve">Od roku 2002 byl plně </w:t>
      </w:r>
      <w:r w:rsidRPr="00057716">
        <w:rPr>
          <w:rFonts w:ascii="Arial" w:hAnsi="Arial" w:cs="Arial"/>
          <w:b/>
          <w:bCs/>
        </w:rPr>
        <w:t xml:space="preserve">harmonizován dotazník VŠPS se standardem </w:t>
      </w:r>
      <w:proofErr w:type="spellStart"/>
      <w:r w:rsidRPr="00057716">
        <w:rPr>
          <w:rFonts w:ascii="Arial" w:hAnsi="Arial" w:cs="Arial"/>
          <w:b/>
          <w:bCs/>
        </w:rPr>
        <w:t>EUROSTATu</w:t>
      </w:r>
      <w:proofErr w:type="spellEnd"/>
      <w:r w:rsidRPr="00057716">
        <w:rPr>
          <w:rFonts w:ascii="Arial" w:hAnsi="Arial" w:cs="Arial"/>
          <w:b/>
          <w:bCs/>
        </w:rPr>
        <w:t xml:space="preserve"> včetně pořadí otázek</w:t>
      </w:r>
      <w:r w:rsidRPr="00057716">
        <w:rPr>
          <w:rFonts w:ascii="Arial" w:hAnsi="Arial" w:cs="Arial"/>
        </w:rPr>
        <w:t xml:space="preserve"> kladených respondentovi. Prioritou je dotaz na </w:t>
      </w:r>
      <w:r w:rsidRPr="00057716">
        <w:rPr>
          <w:rFonts w:ascii="Arial" w:hAnsi="Arial" w:cs="Arial"/>
          <w:b/>
          <w:bCs/>
        </w:rPr>
        <w:t>ekonomickou aktivitu respondentů v referenčním týdnu</w:t>
      </w:r>
      <w:r w:rsidRPr="00057716">
        <w:rPr>
          <w:rFonts w:ascii="Arial" w:hAnsi="Arial" w:cs="Arial"/>
        </w:rPr>
        <w:t xml:space="preserve">. Jestliže respondent uvedl, že v tomto týdnu </w:t>
      </w:r>
      <w:r w:rsidRPr="00057716">
        <w:rPr>
          <w:rFonts w:ascii="Arial" w:hAnsi="Arial" w:cs="Arial"/>
          <w:b/>
          <w:bCs/>
        </w:rPr>
        <w:t>pracoval alespoň 1 hodinu, je striktně podle metodiky ILO klasifikován jako osoba v zaměstnání</w:t>
      </w:r>
      <w:r w:rsidRPr="00057716">
        <w:rPr>
          <w:rFonts w:ascii="Arial" w:hAnsi="Arial" w:cs="Arial"/>
        </w:rPr>
        <w:t xml:space="preserve">. </w:t>
      </w:r>
      <w:r w:rsidR="005E43E7">
        <w:rPr>
          <w:rFonts w:ascii="Arial" w:hAnsi="Arial" w:cs="Arial"/>
        </w:rPr>
        <w:t xml:space="preserve">Teprve poté následuje otázka o registraci na úřadu práce. </w:t>
      </w:r>
      <w:r w:rsidRPr="00057716">
        <w:rPr>
          <w:rFonts w:ascii="Arial" w:hAnsi="Arial" w:cs="Arial"/>
        </w:rPr>
        <w:t>ČSÚ nemá možnost vzhledem k nutnosti dodržení anonymity a dobrovolnosti účasti ve</w:t>
      </w:r>
      <w:r w:rsidR="001C0331">
        <w:rPr>
          <w:rFonts w:ascii="Arial" w:hAnsi="Arial" w:cs="Arial"/>
        </w:rPr>
        <w:t> </w:t>
      </w:r>
      <w:r w:rsidRPr="00057716">
        <w:rPr>
          <w:rFonts w:ascii="Arial" w:hAnsi="Arial" w:cs="Arial"/>
        </w:rPr>
        <w:t>výběrovém šetření porovnávat zjištěné údaje s jinými zdroji, např. s evidencí ÚP</w:t>
      </w:r>
      <w:r w:rsidR="001C0331">
        <w:rPr>
          <w:rFonts w:ascii="Arial" w:hAnsi="Arial" w:cs="Arial"/>
        </w:rPr>
        <w:t> ČR</w:t>
      </w:r>
      <w:r w:rsidRPr="00057716">
        <w:rPr>
          <w:rFonts w:ascii="Arial" w:hAnsi="Arial" w:cs="Arial"/>
        </w:rPr>
        <w:t xml:space="preserve">. </w:t>
      </w:r>
    </w:p>
    <w:p w:rsidR="001D4116" w:rsidRPr="00057716" w:rsidRDefault="001D4116" w:rsidP="001D4116">
      <w:pPr>
        <w:numPr>
          <w:ilvl w:val="0"/>
          <w:numId w:val="6"/>
        </w:numPr>
        <w:tabs>
          <w:tab w:val="clear" w:pos="720"/>
          <w:tab w:val="num" w:pos="426"/>
        </w:tabs>
        <w:ind w:left="426" w:hanging="426"/>
        <w:jc w:val="both"/>
        <w:rPr>
          <w:rFonts w:ascii="Arial" w:hAnsi="Arial" w:cs="Arial"/>
        </w:rPr>
      </w:pPr>
      <w:r w:rsidRPr="00057716">
        <w:rPr>
          <w:rFonts w:ascii="Arial" w:hAnsi="Arial" w:cs="Arial"/>
          <w:szCs w:val="20"/>
        </w:rPr>
        <w:t xml:space="preserve">Relativně vyšší </w:t>
      </w:r>
      <w:r w:rsidRPr="00057716">
        <w:rPr>
          <w:rFonts w:ascii="Arial" w:hAnsi="Arial" w:cs="Arial"/>
          <w:b/>
          <w:bCs/>
          <w:szCs w:val="20"/>
        </w:rPr>
        <w:t xml:space="preserve">míra neodpovědí </w:t>
      </w:r>
      <w:r w:rsidRPr="00057716">
        <w:rPr>
          <w:rFonts w:ascii="Arial" w:hAnsi="Arial" w:cs="Arial"/>
          <w:szCs w:val="20"/>
        </w:rPr>
        <w:t>je způsobena vysokým podílem prázdných bytů ve výběrovém souboru a hlavně kategorickým odmítnutím spolupráce. Na základě struktury odmítnutých odpovědí při opakovaných návštěvách je třeba předpokládat, že sociální skladba domácností, které nechtěly spolupracovat, se částečně liší od sociální struktury vyšetřených domácností a je v nich nadprůměrně zastoupena skupina nezaměstnaných, kteří odmítají komunikovat v</w:t>
      </w:r>
      <w:r w:rsidR="00E3619C">
        <w:rPr>
          <w:rFonts w:ascii="Arial" w:hAnsi="Arial" w:cs="Arial"/>
          <w:szCs w:val="20"/>
        </w:rPr>
        <w:t> </w:t>
      </w:r>
      <w:r w:rsidRPr="00057716">
        <w:rPr>
          <w:rFonts w:ascii="Arial" w:hAnsi="Arial" w:cs="Arial"/>
          <w:szCs w:val="20"/>
        </w:rPr>
        <w:t xml:space="preserve">rámci výběrového šetření. </w:t>
      </w:r>
    </w:p>
    <w:p w:rsidR="001D4116" w:rsidRPr="00057716" w:rsidRDefault="001D4116" w:rsidP="00E71062">
      <w:pPr>
        <w:ind w:firstLine="567"/>
        <w:jc w:val="both"/>
        <w:rPr>
          <w:rFonts w:ascii="Arial" w:hAnsi="Arial" w:cs="Arial"/>
        </w:rPr>
      </w:pPr>
      <w:r w:rsidRPr="00057716">
        <w:rPr>
          <w:rFonts w:ascii="Arial" w:hAnsi="Arial" w:cs="Arial"/>
        </w:rPr>
        <w:t>Rozdíly údajů o nezaměstnanosti mezi oběma zdroji jsou obvyklé. Z porovnání s členskými a ostatními kandidátskými zeměmi EU vyplývá, že diference mezi obecnou mírou nezaměstnanosti z VŠPS a registrovanou mírou nezaměstnanosti v ČR je nižší než ve většině těchto zemí. Rozdíl mezi obecnou mírou nezaměstnanosti a mírou registrované nezaměstnanosti je v řadě zemí značný a lze z toho usuzovat, že oboustranné statistické odchýlení je důsledkem především odlišností v legislativě a míře aktivní politiky zaměstnanosti a dalších oblastí sociální politiky jednotlivých zemí. Přitom je třeba poznamenat, že řada členských zemí EU obě míry nezaměstnanosti oficiálně nepublikuje.</w:t>
      </w:r>
    </w:p>
    <w:p w:rsidR="001D4116" w:rsidRPr="00B4423D" w:rsidRDefault="001D4116" w:rsidP="001D4116">
      <w:pPr>
        <w:jc w:val="both"/>
        <w:rPr>
          <w:rFonts w:ascii="Arial" w:hAnsi="Arial" w:cs="Arial"/>
        </w:rPr>
      </w:pPr>
      <w:r w:rsidRPr="00057716">
        <w:rPr>
          <w:rFonts w:ascii="Arial" w:hAnsi="Arial" w:cs="Arial"/>
        </w:rPr>
        <w:tab/>
        <w:t>V rámci výběrového šetření jsou zjišťovány údaje i za </w:t>
      </w:r>
      <w:r w:rsidRPr="00057716">
        <w:rPr>
          <w:rFonts w:ascii="Arial" w:hAnsi="Arial" w:cs="Arial"/>
          <w:b/>
          <w:bCs/>
        </w:rPr>
        <w:t>osoby, které nepracují, aktivně práci nehledají a nesplňují tak podmínky ILO pro nezaměstnané,</w:t>
      </w:r>
      <w:r w:rsidRPr="00057716">
        <w:rPr>
          <w:rFonts w:ascii="Arial" w:hAnsi="Arial" w:cs="Arial"/>
        </w:rPr>
        <w:t xml:space="preserve"> ale přitom uvádějí, že by chtěly pracovat. </w:t>
      </w:r>
      <w:r w:rsidR="00B4423D" w:rsidRPr="00B4423D">
        <w:rPr>
          <w:rFonts w:ascii="Arial" w:hAnsi="Arial" w:cs="Arial"/>
        </w:rPr>
        <w:t>Ve 2. čtvrtletí roku 2013 činil jejich počet 147,2 tis. osob, tj. o 29,3 tis. méně než ve stejném období roku 2012. Většina osob, které by chtěly pracovat, však nemůže ihned nastoupit do případného zaměstnání. Nejpozději do 14 dnů je schopno nastoupit 67,6 tis. osob.</w:t>
      </w:r>
    </w:p>
    <w:p w:rsidR="001D4116" w:rsidRPr="00057716" w:rsidRDefault="001D4116" w:rsidP="00E71062">
      <w:pPr>
        <w:ind w:firstLine="567"/>
        <w:jc w:val="both"/>
        <w:rPr>
          <w:rFonts w:ascii="Arial" w:hAnsi="Arial" w:cs="Arial"/>
        </w:rPr>
      </w:pPr>
      <w:r w:rsidRPr="00057716">
        <w:rPr>
          <w:rFonts w:ascii="Arial" w:hAnsi="Arial" w:cs="Arial"/>
        </w:rPr>
        <w:t xml:space="preserve">Základem pro rozhodování v oblasti nezaměstnanosti je zásadně úplná evidence úřadů práce. Výběrové šetření pracovních sil, které je pro členské země EU </w:t>
      </w:r>
      <w:r w:rsidRPr="00057716">
        <w:rPr>
          <w:rFonts w:ascii="Arial" w:hAnsi="Arial" w:cs="Arial"/>
        </w:rPr>
        <w:lastRenderedPageBreak/>
        <w:t>závazné, tyto administrativní údaje doplňuje a poskytuje mezinárodně srovnatelné ukazatele v požadovaném rozsahu a frekvenci.</w:t>
      </w:r>
    </w:p>
    <w:p w:rsidR="001D4116" w:rsidRPr="00057716" w:rsidRDefault="001D4116" w:rsidP="001D4116">
      <w:pPr>
        <w:pStyle w:val="Textpoznpodarou"/>
        <w:jc w:val="both"/>
        <w:rPr>
          <w:rFonts w:ascii="Arial" w:hAnsi="Arial" w:cs="Arial"/>
          <w:b/>
          <w:bCs/>
          <w:sz w:val="24"/>
          <w:szCs w:val="24"/>
        </w:rPr>
      </w:pPr>
    </w:p>
    <w:p w:rsidR="001D4116" w:rsidRPr="00B4423D" w:rsidRDefault="00B4423D" w:rsidP="00E71062">
      <w:pPr>
        <w:pStyle w:val="Textpoznpodarou"/>
        <w:ind w:firstLine="567"/>
        <w:jc w:val="both"/>
        <w:rPr>
          <w:rFonts w:ascii="Arial" w:hAnsi="Arial" w:cs="Arial"/>
          <w:sz w:val="24"/>
          <w:szCs w:val="24"/>
        </w:rPr>
      </w:pPr>
      <w:r>
        <w:rPr>
          <w:rFonts w:ascii="Arial" w:hAnsi="Arial" w:cs="Arial"/>
          <w:bCs/>
          <w:sz w:val="24"/>
          <w:szCs w:val="24"/>
        </w:rPr>
        <w:t>O</w:t>
      </w:r>
      <w:r w:rsidRPr="00057716">
        <w:rPr>
          <w:rFonts w:ascii="Arial" w:hAnsi="Arial" w:cs="Arial"/>
          <w:bCs/>
          <w:sz w:val="24"/>
          <w:szCs w:val="24"/>
        </w:rPr>
        <w:t>d července 2004 do prosince 2012</w:t>
      </w:r>
      <w:r>
        <w:rPr>
          <w:rFonts w:ascii="Arial" w:hAnsi="Arial" w:cs="Arial"/>
          <w:bCs/>
          <w:sz w:val="24"/>
          <w:szCs w:val="24"/>
        </w:rPr>
        <w:t xml:space="preserve"> počítalo MPSV </w:t>
      </w:r>
      <w:r w:rsidR="001D4116" w:rsidRPr="00B4423D">
        <w:rPr>
          <w:rFonts w:ascii="Arial" w:hAnsi="Arial" w:cs="Arial"/>
          <w:bCs/>
          <w:sz w:val="24"/>
          <w:szCs w:val="24"/>
        </w:rPr>
        <w:t>mír</w:t>
      </w:r>
      <w:r w:rsidRPr="00B4423D">
        <w:rPr>
          <w:rFonts w:ascii="Arial" w:hAnsi="Arial" w:cs="Arial"/>
          <w:bCs/>
          <w:sz w:val="24"/>
          <w:szCs w:val="24"/>
        </w:rPr>
        <w:t>u</w:t>
      </w:r>
      <w:r w:rsidR="001D4116" w:rsidRPr="00B4423D">
        <w:rPr>
          <w:rFonts w:ascii="Arial" w:hAnsi="Arial" w:cs="Arial"/>
          <w:bCs/>
          <w:sz w:val="24"/>
          <w:szCs w:val="24"/>
        </w:rPr>
        <w:t xml:space="preserve"> </w:t>
      </w:r>
      <w:r w:rsidRPr="00B4423D">
        <w:rPr>
          <w:rFonts w:ascii="Arial" w:hAnsi="Arial" w:cs="Arial"/>
          <w:bCs/>
          <w:sz w:val="24"/>
          <w:szCs w:val="24"/>
        </w:rPr>
        <w:t xml:space="preserve">registrované </w:t>
      </w:r>
      <w:r w:rsidR="001D4116" w:rsidRPr="00B4423D">
        <w:rPr>
          <w:rFonts w:ascii="Arial" w:hAnsi="Arial" w:cs="Arial"/>
          <w:bCs/>
          <w:sz w:val="24"/>
          <w:szCs w:val="24"/>
        </w:rPr>
        <w:t>nezaměstnanosti</w:t>
      </w:r>
      <w:r w:rsidR="001D4116" w:rsidRPr="00057716">
        <w:rPr>
          <w:rFonts w:ascii="Arial" w:hAnsi="Arial" w:cs="Arial"/>
          <w:b/>
          <w:bCs/>
          <w:sz w:val="24"/>
          <w:szCs w:val="24"/>
        </w:rPr>
        <w:t xml:space="preserve"> </w:t>
      </w:r>
      <w:r>
        <w:rPr>
          <w:rFonts w:ascii="Arial" w:hAnsi="Arial" w:cs="Arial"/>
          <w:bCs/>
          <w:sz w:val="24"/>
          <w:szCs w:val="24"/>
        </w:rPr>
        <w:t xml:space="preserve">jako podíl </w:t>
      </w:r>
      <w:r w:rsidRPr="00057716">
        <w:rPr>
          <w:rFonts w:ascii="Arial" w:hAnsi="Arial" w:cs="Arial"/>
          <w:sz w:val="24"/>
          <w:szCs w:val="24"/>
        </w:rPr>
        <w:t>dosažiteln</w:t>
      </w:r>
      <w:r>
        <w:rPr>
          <w:rFonts w:ascii="Arial" w:hAnsi="Arial" w:cs="Arial"/>
          <w:sz w:val="24"/>
          <w:szCs w:val="24"/>
        </w:rPr>
        <w:t>ých uchazečů</w:t>
      </w:r>
      <w:r w:rsidRPr="00057716">
        <w:rPr>
          <w:rFonts w:ascii="Arial" w:hAnsi="Arial" w:cs="Arial"/>
          <w:sz w:val="24"/>
          <w:szCs w:val="24"/>
        </w:rPr>
        <w:t xml:space="preserve"> o zaměstnání evidovan</w:t>
      </w:r>
      <w:r>
        <w:rPr>
          <w:rFonts w:ascii="Arial" w:hAnsi="Arial" w:cs="Arial"/>
          <w:sz w:val="24"/>
          <w:szCs w:val="24"/>
        </w:rPr>
        <w:t xml:space="preserve">ých </w:t>
      </w:r>
      <w:r w:rsidRPr="00057716">
        <w:rPr>
          <w:rFonts w:ascii="Arial" w:hAnsi="Arial" w:cs="Arial"/>
          <w:sz w:val="24"/>
          <w:szCs w:val="24"/>
        </w:rPr>
        <w:t xml:space="preserve">na </w:t>
      </w:r>
      <w:r>
        <w:rPr>
          <w:rFonts w:ascii="Arial" w:hAnsi="Arial" w:cs="Arial"/>
          <w:sz w:val="24"/>
          <w:szCs w:val="24"/>
        </w:rPr>
        <w:t>Ú</w:t>
      </w:r>
      <w:r w:rsidRPr="00057716">
        <w:rPr>
          <w:rFonts w:ascii="Arial" w:hAnsi="Arial" w:cs="Arial"/>
          <w:sz w:val="24"/>
          <w:szCs w:val="24"/>
        </w:rPr>
        <w:t>P</w:t>
      </w:r>
      <w:r w:rsidR="00E71062">
        <w:rPr>
          <w:rFonts w:ascii="Arial" w:hAnsi="Arial" w:cs="Arial"/>
          <w:sz w:val="24"/>
          <w:szCs w:val="24"/>
        </w:rPr>
        <w:t> ČR</w:t>
      </w:r>
      <w:r>
        <w:rPr>
          <w:rFonts w:ascii="Arial" w:hAnsi="Arial" w:cs="Arial"/>
          <w:sz w:val="24"/>
          <w:szCs w:val="24"/>
        </w:rPr>
        <w:t xml:space="preserve"> k </w:t>
      </w:r>
      <w:r w:rsidR="001D4116" w:rsidRPr="00057716">
        <w:rPr>
          <w:rFonts w:ascii="Arial" w:hAnsi="Arial" w:cs="Arial"/>
          <w:sz w:val="24"/>
          <w:szCs w:val="24"/>
        </w:rPr>
        <w:t>pracovní síl</w:t>
      </w:r>
      <w:r>
        <w:rPr>
          <w:rFonts w:ascii="Arial" w:hAnsi="Arial" w:cs="Arial"/>
          <w:sz w:val="24"/>
          <w:szCs w:val="24"/>
        </w:rPr>
        <w:t>e</w:t>
      </w:r>
      <w:r w:rsidR="001D4116" w:rsidRPr="00057716">
        <w:rPr>
          <w:rFonts w:ascii="Arial" w:hAnsi="Arial" w:cs="Arial"/>
          <w:sz w:val="24"/>
          <w:szCs w:val="24"/>
        </w:rPr>
        <w:t xml:space="preserve">, tj. </w:t>
      </w:r>
      <w:r>
        <w:rPr>
          <w:rFonts w:ascii="Arial" w:hAnsi="Arial" w:cs="Arial"/>
          <w:sz w:val="24"/>
          <w:szCs w:val="24"/>
        </w:rPr>
        <w:t xml:space="preserve">součtu </w:t>
      </w:r>
      <w:r w:rsidR="001D4116" w:rsidRPr="00057716">
        <w:rPr>
          <w:rFonts w:ascii="Arial" w:hAnsi="Arial" w:cs="Arial"/>
          <w:sz w:val="24"/>
          <w:szCs w:val="24"/>
        </w:rPr>
        <w:t>počt</w:t>
      </w:r>
      <w:r>
        <w:rPr>
          <w:rFonts w:ascii="Arial" w:hAnsi="Arial" w:cs="Arial"/>
          <w:sz w:val="24"/>
          <w:szCs w:val="24"/>
        </w:rPr>
        <w:t>u</w:t>
      </w:r>
      <w:r w:rsidR="001D4116" w:rsidRPr="00057716">
        <w:rPr>
          <w:rFonts w:ascii="Arial" w:hAnsi="Arial" w:cs="Arial"/>
          <w:sz w:val="24"/>
          <w:szCs w:val="24"/>
        </w:rPr>
        <w:t xml:space="preserve"> zaměstnaných v národním hospodářství s jediným nebo hlavním zaměstnáním podle výsledků výběrových šetření pracovních sil </w:t>
      </w:r>
      <w:r>
        <w:rPr>
          <w:rFonts w:ascii="Arial" w:hAnsi="Arial" w:cs="Arial"/>
          <w:sz w:val="24"/>
          <w:szCs w:val="24"/>
        </w:rPr>
        <w:t>–</w:t>
      </w:r>
      <w:r w:rsidR="001D4116" w:rsidRPr="00057716">
        <w:rPr>
          <w:rFonts w:ascii="Arial" w:hAnsi="Arial" w:cs="Arial"/>
          <w:sz w:val="24"/>
          <w:szCs w:val="24"/>
        </w:rPr>
        <w:t xml:space="preserve"> VŠPS</w:t>
      </w:r>
      <w:r>
        <w:rPr>
          <w:rFonts w:ascii="Arial" w:hAnsi="Arial" w:cs="Arial"/>
          <w:sz w:val="24"/>
          <w:szCs w:val="24"/>
        </w:rPr>
        <w:t xml:space="preserve">, </w:t>
      </w:r>
      <w:r w:rsidR="001D4116" w:rsidRPr="00057716">
        <w:rPr>
          <w:rFonts w:ascii="Arial" w:hAnsi="Arial" w:cs="Arial"/>
          <w:sz w:val="24"/>
          <w:szCs w:val="24"/>
        </w:rPr>
        <w:t>počt</w:t>
      </w:r>
      <w:r>
        <w:rPr>
          <w:rFonts w:ascii="Arial" w:hAnsi="Arial" w:cs="Arial"/>
          <w:sz w:val="24"/>
          <w:szCs w:val="24"/>
        </w:rPr>
        <w:t>u</w:t>
      </w:r>
      <w:r w:rsidR="001D4116" w:rsidRPr="00057716">
        <w:rPr>
          <w:rFonts w:ascii="Arial" w:hAnsi="Arial" w:cs="Arial"/>
          <w:sz w:val="24"/>
          <w:szCs w:val="24"/>
        </w:rPr>
        <w:t xml:space="preserve"> pracujících cizinců ze třetích zemí s platným povolením k zaměstnávání, zaměstnaných občanů EU registrovaných ÚP</w:t>
      </w:r>
      <w:r w:rsidR="00E71062">
        <w:rPr>
          <w:rFonts w:ascii="Arial" w:hAnsi="Arial" w:cs="Arial"/>
          <w:sz w:val="24"/>
          <w:szCs w:val="24"/>
        </w:rPr>
        <w:t> ČR</w:t>
      </w:r>
      <w:r w:rsidR="001D4116" w:rsidRPr="00057716">
        <w:rPr>
          <w:rFonts w:ascii="Arial" w:hAnsi="Arial" w:cs="Arial"/>
          <w:sz w:val="24"/>
          <w:szCs w:val="24"/>
        </w:rPr>
        <w:t xml:space="preserve"> a cizinců s platným živnostenským oprávněním</w:t>
      </w:r>
      <w:r>
        <w:rPr>
          <w:rFonts w:ascii="Arial" w:hAnsi="Arial" w:cs="Arial"/>
          <w:sz w:val="24"/>
          <w:szCs w:val="24"/>
        </w:rPr>
        <w:t xml:space="preserve">, </w:t>
      </w:r>
      <w:r w:rsidR="001D4116" w:rsidRPr="00057716">
        <w:rPr>
          <w:rFonts w:ascii="Arial" w:hAnsi="Arial" w:cs="Arial"/>
          <w:sz w:val="24"/>
          <w:szCs w:val="24"/>
        </w:rPr>
        <w:t>registrovaných dosažitelných neumístěných uchazečů o</w:t>
      </w:r>
      <w:r>
        <w:rPr>
          <w:rFonts w:ascii="Arial" w:hAnsi="Arial" w:cs="Arial"/>
          <w:sz w:val="24"/>
          <w:szCs w:val="24"/>
        </w:rPr>
        <w:t> </w:t>
      </w:r>
      <w:r w:rsidR="001D4116" w:rsidRPr="00057716">
        <w:rPr>
          <w:rFonts w:ascii="Arial" w:hAnsi="Arial" w:cs="Arial"/>
          <w:sz w:val="24"/>
          <w:szCs w:val="24"/>
        </w:rPr>
        <w:t>zaměstnání</w:t>
      </w:r>
      <w:r>
        <w:rPr>
          <w:rFonts w:ascii="Arial" w:hAnsi="Arial" w:cs="Arial"/>
          <w:sz w:val="24"/>
          <w:szCs w:val="24"/>
        </w:rPr>
        <w:t xml:space="preserve"> (</w:t>
      </w:r>
      <w:r w:rsidR="001D4116" w:rsidRPr="00057716">
        <w:rPr>
          <w:rFonts w:ascii="Arial" w:hAnsi="Arial" w:cs="Arial"/>
          <w:sz w:val="24"/>
          <w:szCs w:val="24"/>
        </w:rPr>
        <w:t>občanů ČR a občanů EU(EHP)</w:t>
      </w:r>
      <w:r>
        <w:rPr>
          <w:rFonts w:ascii="Arial" w:hAnsi="Arial" w:cs="Arial"/>
          <w:sz w:val="24"/>
          <w:szCs w:val="24"/>
        </w:rPr>
        <w:t>)</w:t>
      </w:r>
      <w:r w:rsidR="001D4116" w:rsidRPr="00057716">
        <w:rPr>
          <w:rFonts w:ascii="Arial" w:hAnsi="Arial" w:cs="Arial"/>
          <w:sz w:val="24"/>
          <w:szCs w:val="24"/>
        </w:rPr>
        <w:t>, veden</w:t>
      </w:r>
      <w:r>
        <w:rPr>
          <w:rFonts w:ascii="Arial" w:hAnsi="Arial" w:cs="Arial"/>
          <w:sz w:val="24"/>
          <w:szCs w:val="24"/>
        </w:rPr>
        <w:t>ých</w:t>
      </w:r>
      <w:r w:rsidR="001D4116" w:rsidRPr="00057716">
        <w:rPr>
          <w:rFonts w:ascii="Arial" w:hAnsi="Arial" w:cs="Arial"/>
          <w:sz w:val="24"/>
          <w:szCs w:val="24"/>
        </w:rPr>
        <w:t xml:space="preserve"> úřady práce</w:t>
      </w:r>
      <w:r>
        <w:rPr>
          <w:rFonts w:ascii="Arial" w:hAnsi="Arial" w:cs="Arial"/>
          <w:sz w:val="24"/>
          <w:szCs w:val="24"/>
        </w:rPr>
        <w:t>.</w:t>
      </w:r>
      <w:r w:rsidR="001D4116" w:rsidRPr="00057716">
        <w:rPr>
          <w:rFonts w:ascii="Arial" w:hAnsi="Arial" w:cs="Arial"/>
          <w:sz w:val="24"/>
          <w:szCs w:val="24"/>
        </w:rPr>
        <w:t xml:space="preserve"> </w:t>
      </w:r>
    </w:p>
    <w:p w:rsidR="001D4116" w:rsidRPr="00B4423D" w:rsidRDefault="001D4116" w:rsidP="00762696">
      <w:pPr>
        <w:pStyle w:val="Textpoznpodarou"/>
        <w:spacing w:after="200"/>
        <w:ind w:firstLine="567"/>
        <w:jc w:val="both"/>
        <w:rPr>
          <w:rFonts w:ascii="Arial" w:hAnsi="Arial" w:cs="Arial"/>
          <w:b/>
          <w:sz w:val="24"/>
          <w:szCs w:val="24"/>
          <w:highlight w:val="yellow"/>
        </w:rPr>
      </w:pPr>
      <w:r w:rsidRPr="00057716">
        <w:rPr>
          <w:rFonts w:ascii="Arial" w:hAnsi="Arial" w:cs="Arial"/>
          <w:sz w:val="24"/>
          <w:szCs w:val="24"/>
        </w:rPr>
        <w:t xml:space="preserve">Srovnávání nebo záměna obecné míry nezaměstnanosti ČSÚ a míry registrované nezaměstnanosti MPSV a jejich nesprávná interpretace, pracovní síla pro výpočet míry registrované nezaměstnanosti tvořená kombinací údajů z více zdrojů, patřily mezi důvody pro vytvoření </w:t>
      </w:r>
      <w:r w:rsidRPr="00057716">
        <w:rPr>
          <w:rFonts w:ascii="Arial" w:hAnsi="Arial" w:cs="Arial"/>
          <w:b/>
          <w:sz w:val="24"/>
          <w:szCs w:val="24"/>
        </w:rPr>
        <w:t>nového relativního ukazatele registrované nezaměstnanosti, podílu nezaměstnaných osob</w:t>
      </w:r>
      <w:r w:rsidR="00B4423D">
        <w:rPr>
          <w:rFonts w:ascii="Arial" w:hAnsi="Arial" w:cs="Arial"/>
          <w:b/>
          <w:sz w:val="24"/>
          <w:szCs w:val="24"/>
        </w:rPr>
        <w:t xml:space="preserve">, který </w:t>
      </w:r>
      <w:r w:rsidR="00B4423D" w:rsidRPr="00B4423D">
        <w:rPr>
          <w:rFonts w:ascii="Arial" w:hAnsi="Arial" w:cs="Arial"/>
          <w:b/>
          <w:sz w:val="24"/>
          <w:szCs w:val="24"/>
        </w:rPr>
        <w:t>srovnává počty dosažitelných uchazečů k obyvatelstvu ve věku 15 – 64 let.</w:t>
      </w:r>
    </w:p>
    <w:p w:rsidR="001D4116" w:rsidRPr="00057716" w:rsidRDefault="001D4116" w:rsidP="001D4116">
      <w:pPr>
        <w:pStyle w:val="Textpoznpodarou"/>
        <w:jc w:val="both"/>
        <w:rPr>
          <w:rFonts w:ascii="Arial" w:hAnsi="Arial" w:cs="Arial"/>
          <w:bCs/>
          <w:sz w:val="24"/>
          <w:szCs w:val="24"/>
        </w:rPr>
      </w:pPr>
      <w:r w:rsidRPr="00057716">
        <w:rPr>
          <w:rFonts w:ascii="Arial" w:hAnsi="Arial" w:cs="Arial"/>
          <w:b/>
          <w:bCs/>
          <w:sz w:val="24"/>
          <w:szCs w:val="24"/>
        </w:rPr>
        <w:t>Definice výpočtu podílu nezaměstnaných osob</w:t>
      </w:r>
      <w:r w:rsidR="00B4423D">
        <w:rPr>
          <w:rFonts w:ascii="Arial" w:hAnsi="Arial" w:cs="Arial"/>
          <w:b/>
          <w:bCs/>
          <w:sz w:val="24"/>
          <w:szCs w:val="24"/>
        </w:rPr>
        <w:t xml:space="preserve">: </w:t>
      </w:r>
    </w:p>
    <w:p w:rsidR="001D4116" w:rsidRPr="00057716" w:rsidRDefault="001D4116" w:rsidP="001D4116">
      <w:pPr>
        <w:rPr>
          <w:highlight w:val="yellow"/>
        </w:rPr>
      </w:pPr>
    </w:p>
    <w:p w:rsidR="001D4116" w:rsidRPr="00057716" w:rsidRDefault="001D4116" w:rsidP="001D4116">
      <w:pPr>
        <w:ind w:firstLine="708"/>
        <w:jc w:val="both"/>
        <w:rPr>
          <w:rFonts w:ascii="Arial" w:hAnsi="Arial" w:cs="Arial"/>
          <w:b/>
        </w:rPr>
      </w:pPr>
      <w:r w:rsidRPr="00057716">
        <w:rPr>
          <w:rFonts w:ascii="Arial" w:hAnsi="Arial" w:cs="Arial"/>
        </w:rPr>
        <w:tab/>
      </w:r>
      <w:r w:rsidRPr="00057716">
        <w:rPr>
          <w:rFonts w:ascii="Arial" w:hAnsi="Arial" w:cs="Arial"/>
        </w:rPr>
        <w:tab/>
      </w:r>
      <w:r w:rsidRPr="00057716">
        <w:rPr>
          <w:rFonts w:ascii="Arial" w:hAnsi="Arial" w:cs="Arial"/>
        </w:rPr>
        <w:tab/>
      </w:r>
      <w:r w:rsidRPr="00057716">
        <w:rPr>
          <w:rFonts w:ascii="Arial" w:hAnsi="Arial" w:cs="Arial"/>
        </w:rPr>
        <w:tab/>
      </w:r>
      <w:r w:rsidRPr="00057716">
        <w:rPr>
          <w:rFonts w:ascii="Arial" w:hAnsi="Arial" w:cs="Arial"/>
        </w:rPr>
        <w:tab/>
      </w:r>
      <w:r w:rsidRPr="00057716">
        <w:rPr>
          <w:rFonts w:ascii="Arial" w:hAnsi="Arial" w:cs="Arial"/>
        </w:rPr>
        <w:tab/>
      </w:r>
      <w:r w:rsidRPr="00057716">
        <w:rPr>
          <w:rFonts w:ascii="Arial" w:hAnsi="Arial" w:cs="Arial"/>
        </w:rPr>
        <w:tab/>
      </w:r>
      <w:r w:rsidRPr="00057716">
        <w:rPr>
          <w:rFonts w:ascii="Arial" w:hAnsi="Arial" w:cs="Arial"/>
        </w:rPr>
        <w:tab/>
      </w:r>
      <w:r w:rsidRPr="00057716">
        <w:rPr>
          <w:rFonts w:ascii="Arial" w:hAnsi="Arial" w:cs="Arial"/>
          <w:b/>
        </w:rPr>
        <w:t>UoZ</w:t>
      </w:r>
      <w:r w:rsidRPr="00057716">
        <w:rPr>
          <w:rFonts w:ascii="Arial" w:hAnsi="Arial" w:cs="Arial"/>
          <w:b/>
          <w:vertAlign w:val="subscript"/>
        </w:rPr>
        <w:t>15-64 let</w:t>
      </w:r>
    </w:p>
    <w:p w:rsidR="001D4116" w:rsidRPr="00057716" w:rsidRDefault="001D4116" w:rsidP="001D4116">
      <w:pPr>
        <w:jc w:val="both"/>
        <w:rPr>
          <w:rFonts w:ascii="Arial" w:hAnsi="Arial" w:cs="Arial"/>
          <w:b/>
          <w:vertAlign w:val="subscript"/>
        </w:rPr>
      </w:pPr>
      <w:r w:rsidRPr="00057716">
        <w:rPr>
          <w:rFonts w:ascii="Arial" w:hAnsi="Arial" w:cs="Arial"/>
          <w:b/>
          <w:sz w:val="22"/>
          <w:szCs w:val="22"/>
        </w:rPr>
        <w:t>Podíl nezaměstnaných osob ve věku 15 – 64 let</w:t>
      </w:r>
      <w:r w:rsidRPr="00057716">
        <w:rPr>
          <w:rFonts w:ascii="Arial" w:hAnsi="Arial" w:cs="Arial"/>
          <w:b/>
        </w:rPr>
        <w:t xml:space="preserve">   =   ------------------------------------</w:t>
      </w:r>
      <w:r w:rsidRPr="00057716">
        <w:rPr>
          <w:rFonts w:ascii="Arial" w:hAnsi="Arial" w:cs="Arial"/>
          <w:b/>
        </w:rPr>
        <w:tab/>
      </w:r>
      <w:r w:rsidRPr="00057716">
        <w:rPr>
          <w:rFonts w:ascii="Arial" w:hAnsi="Arial" w:cs="Arial"/>
          <w:b/>
        </w:rPr>
        <w:tab/>
      </w:r>
      <w:r w:rsidRPr="00057716">
        <w:rPr>
          <w:rFonts w:ascii="Arial" w:hAnsi="Arial" w:cs="Arial"/>
          <w:b/>
        </w:rPr>
        <w:tab/>
      </w:r>
      <w:r w:rsidRPr="00057716">
        <w:rPr>
          <w:rFonts w:ascii="Arial" w:hAnsi="Arial" w:cs="Arial"/>
          <w:b/>
        </w:rPr>
        <w:tab/>
      </w:r>
      <w:r w:rsidRPr="00057716">
        <w:rPr>
          <w:rFonts w:ascii="Arial" w:hAnsi="Arial" w:cs="Arial"/>
          <w:b/>
        </w:rPr>
        <w:tab/>
      </w:r>
      <w:r w:rsidRPr="00057716">
        <w:rPr>
          <w:rFonts w:ascii="Arial" w:hAnsi="Arial" w:cs="Arial"/>
          <w:b/>
        </w:rPr>
        <w:tab/>
      </w:r>
      <w:r w:rsidRPr="00057716">
        <w:rPr>
          <w:rFonts w:ascii="Arial" w:hAnsi="Arial" w:cs="Arial"/>
          <w:b/>
        </w:rPr>
        <w:tab/>
      </w:r>
      <w:r w:rsidRPr="00057716">
        <w:rPr>
          <w:rFonts w:ascii="Arial" w:hAnsi="Arial" w:cs="Arial"/>
          <w:b/>
        </w:rPr>
        <w:tab/>
      </w:r>
      <w:r w:rsidRPr="00057716">
        <w:rPr>
          <w:rFonts w:ascii="Arial" w:hAnsi="Arial" w:cs="Arial"/>
          <w:b/>
        </w:rPr>
        <w:tab/>
      </w:r>
      <w:r w:rsidRPr="00057716">
        <w:rPr>
          <w:rFonts w:ascii="Arial" w:hAnsi="Arial" w:cs="Arial"/>
          <w:b/>
        </w:rPr>
        <w:tab/>
        <w:t>P</w:t>
      </w:r>
      <w:r w:rsidRPr="00057716">
        <w:rPr>
          <w:rFonts w:ascii="Arial" w:hAnsi="Arial" w:cs="Arial"/>
          <w:b/>
          <w:vertAlign w:val="subscript"/>
        </w:rPr>
        <w:t>15–64 let</w:t>
      </w:r>
    </w:p>
    <w:p w:rsidR="001D4116" w:rsidRPr="00057716" w:rsidRDefault="001D4116" w:rsidP="001D4116">
      <w:pPr>
        <w:jc w:val="both"/>
        <w:rPr>
          <w:rFonts w:ascii="Arial" w:hAnsi="Arial" w:cs="Arial"/>
        </w:rPr>
      </w:pPr>
    </w:p>
    <w:p w:rsidR="001D4116" w:rsidRPr="00057716" w:rsidRDefault="001D4116" w:rsidP="001D4116">
      <w:pPr>
        <w:jc w:val="both"/>
        <w:rPr>
          <w:rFonts w:ascii="Arial" w:hAnsi="Arial" w:cs="Arial"/>
          <w:sz w:val="22"/>
          <w:szCs w:val="22"/>
        </w:rPr>
      </w:pPr>
      <w:r w:rsidRPr="00057716">
        <w:rPr>
          <w:rFonts w:ascii="Arial" w:hAnsi="Arial" w:cs="Arial"/>
          <w:sz w:val="22"/>
          <w:szCs w:val="22"/>
        </w:rPr>
        <w:t>UoZ</w:t>
      </w:r>
      <w:r w:rsidRPr="00057716">
        <w:rPr>
          <w:rFonts w:ascii="Arial" w:hAnsi="Arial" w:cs="Arial"/>
          <w:vertAlign w:val="subscript"/>
        </w:rPr>
        <w:t>15-64 let</w:t>
      </w:r>
      <w:r w:rsidRPr="00057716">
        <w:rPr>
          <w:rFonts w:ascii="Arial" w:hAnsi="Arial" w:cs="Arial"/>
        </w:rPr>
        <w:t xml:space="preserve"> </w:t>
      </w:r>
      <w:r w:rsidRPr="00057716">
        <w:rPr>
          <w:rFonts w:ascii="Arial" w:hAnsi="Arial" w:cs="Arial"/>
          <w:sz w:val="22"/>
          <w:szCs w:val="22"/>
        </w:rPr>
        <w:t>– počet dosažitelných uchazečů o zaměstnání ve věku 15 - 64 let</w:t>
      </w:r>
    </w:p>
    <w:p w:rsidR="001D4116" w:rsidRPr="00057716" w:rsidRDefault="001D4116" w:rsidP="001D4116">
      <w:pPr>
        <w:jc w:val="both"/>
        <w:rPr>
          <w:rFonts w:ascii="Arial" w:hAnsi="Arial" w:cs="Arial"/>
          <w:sz w:val="22"/>
          <w:szCs w:val="22"/>
        </w:rPr>
      </w:pPr>
      <w:r w:rsidRPr="00057716">
        <w:rPr>
          <w:rFonts w:ascii="Arial" w:hAnsi="Arial" w:cs="Arial"/>
          <w:sz w:val="22"/>
          <w:szCs w:val="22"/>
        </w:rPr>
        <w:t>P</w:t>
      </w:r>
      <w:r w:rsidRPr="00057716">
        <w:rPr>
          <w:rFonts w:ascii="Arial" w:hAnsi="Arial" w:cs="Arial"/>
          <w:vertAlign w:val="subscript"/>
        </w:rPr>
        <w:t>15-64 let</w:t>
      </w:r>
      <w:r w:rsidRPr="00057716">
        <w:rPr>
          <w:rFonts w:ascii="Arial" w:hAnsi="Arial" w:cs="Arial"/>
        </w:rPr>
        <w:t xml:space="preserve"> – </w:t>
      </w:r>
      <w:r w:rsidRPr="00057716">
        <w:rPr>
          <w:rFonts w:ascii="Arial" w:hAnsi="Arial" w:cs="Arial"/>
          <w:sz w:val="22"/>
          <w:szCs w:val="22"/>
        </w:rPr>
        <w:t>počet obyvatel ve věku 15-64 let</w:t>
      </w:r>
    </w:p>
    <w:p w:rsidR="001D4116" w:rsidRPr="00057716" w:rsidRDefault="001D4116" w:rsidP="001D4116">
      <w:pPr>
        <w:ind w:firstLine="708"/>
        <w:jc w:val="both"/>
        <w:rPr>
          <w:rFonts w:ascii="Arial" w:hAnsi="Arial" w:cs="Arial"/>
        </w:rPr>
      </w:pPr>
    </w:p>
    <w:p w:rsidR="009D541D" w:rsidRPr="00057716" w:rsidRDefault="001D4116" w:rsidP="009D541D">
      <w:pPr>
        <w:widowControl w:val="0"/>
        <w:ind w:firstLine="708"/>
        <w:jc w:val="both"/>
        <w:rPr>
          <w:rFonts w:ascii="Arial" w:hAnsi="Arial" w:cs="Arial"/>
          <w:highlight w:val="yellow"/>
        </w:rPr>
      </w:pPr>
      <w:r w:rsidRPr="00057716">
        <w:rPr>
          <w:rFonts w:ascii="Arial" w:hAnsi="Arial" w:cs="Arial"/>
        </w:rPr>
        <w:t>Změna se týká pouze ukazatele míry registrované nezaměstnanosti</w:t>
      </w:r>
      <w:r w:rsidR="009D541D">
        <w:rPr>
          <w:rFonts w:ascii="Arial" w:hAnsi="Arial" w:cs="Arial"/>
        </w:rPr>
        <w:t>.</w:t>
      </w:r>
      <w:r w:rsidRPr="00057716">
        <w:rPr>
          <w:rFonts w:ascii="Arial" w:hAnsi="Arial" w:cs="Arial"/>
        </w:rPr>
        <w:t xml:space="preserve"> </w:t>
      </w:r>
      <w:r w:rsidRPr="009D541D">
        <w:rPr>
          <w:rFonts w:ascii="Arial" w:hAnsi="Arial" w:cs="Arial"/>
          <w:b/>
        </w:rPr>
        <w:t>MPSV i</w:t>
      </w:r>
      <w:r w:rsidR="009D541D">
        <w:rPr>
          <w:rFonts w:ascii="Arial" w:hAnsi="Arial" w:cs="Arial"/>
          <w:b/>
        </w:rPr>
        <w:t> </w:t>
      </w:r>
      <w:r w:rsidRPr="009D541D">
        <w:rPr>
          <w:rFonts w:ascii="Arial" w:hAnsi="Arial" w:cs="Arial"/>
          <w:b/>
        </w:rPr>
        <w:t>nadále jako doposud vykaz</w:t>
      </w:r>
      <w:r w:rsidR="009D541D" w:rsidRPr="009D541D">
        <w:rPr>
          <w:rFonts w:ascii="Arial" w:hAnsi="Arial" w:cs="Arial"/>
          <w:b/>
        </w:rPr>
        <w:t>uje</w:t>
      </w:r>
      <w:r w:rsidRPr="009D541D">
        <w:rPr>
          <w:rFonts w:ascii="Arial" w:hAnsi="Arial" w:cs="Arial"/>
          <w:b/>
        </w:rPr>
        <w:t xml:space="preserve"> celkové počty uchazečů o zaměstnání a počty dosažitelných uchazečů</w:t>
      </w:r>
      <w:r w:rsidRPr="00057716">
        <w:rPr>
          <w:rFonts w:ascii="Arial" w:hAnsi="Arial" w:cs="Arial"/>
        </w:rPr>
        <w:t xml:space="preserve">. </w:t>
      </w:r>
      <w:r w:rsidR="009D541D">
        <w:rPr>
          <w:rFonts w:ascii="Arial" w:hAnsi="Arial" w:cs="Arial"/>
        </w:rPr>
        <w:t>Vzhledem k tomu, že</w:t>
      </w:r>
      <w:r w:rsidR="009D541D" w:rsidRPr="00057716">
        <w:rPr>
          <w:rFonts w:ascii="Arial" w:hAnsi="Arial" w:cs="Arial"/>
        </w:rPr>
        <w:t xml:space="preserve"> nový ukazatel má kvůli odlišné definici jinou úroveň a je s původním ukazatelem </w:t>
      </w:r>
      <w:r w:rsidR="009D541D">
        <w:rPr>
          <w:rFonts w:ascii="Arial" w:hAnsi="Arial" w:cs="Arial"/>
        </w:rPr>
        <w:t xml:space="preserve">registrované nezaměstnanosti i obecné míry nezaměstnanosti </w:t>
      </w:r>
      <w:r w:rsidR="009D541D" w:rsidRPr="00057716">
        <w:rPr>
          <w:rFonts w:ascii="Arial" w:hAnsi="Arial" w:cs="Arial"/>
        </w:rPr>
        <w:t>nesrovnatelný</w:t>
      </w:r>
      <w:r w:rsidR="009D541D">
        <w:rPr>
          <w:rFonts w:ascii="Arial" w:hAnsi="Arial" w:cs="Arial"/>
        </w:rPr>
        <w:t>, p</w:t>
      </w:r>
      <w:r w:rsidR="009D541D" w:rsidRPr="00057716">
        <w:rPr>
          <w:rFonts w:ascii="Arial" w:hAnsi="Arial" w:cs="Arial"/>
        </w:rPr>
        <w:t xml:space="preserve">ro sledování </w:t>
      </w:r>
      <w:r w:rsidR="009D541D">
        <w:rPr>
          <w:rFonts w:ascii="Arial" w:hAnsi="Arial" w:cs="Arial"/>
        </w:rPr>
        <w:t xml:space="preserve">jejího </w:t>
      </w:r>
      <w:r w:rsidR="009D541D" w:rsidRPr="00057716">
        <w:rPr>
          <w:rFonts w:ascii="Arial" w:hAnsi="Arial" w:cs="Arial"/>
        </w:rPr>
        <w:t xml:space="preserve">vývoje byla </w:t>
      </w:r>
      <w:r w:rsidR="009D541D">
        <w:rPr>
          <w:rFonts w:ascii="Arial" w:hAnsi="Arial" w:cs="Arial"/>
        </w:rPr>
        <w:t>do úrovně okresů</w:t>
      </w:r>
      <w:r w:rsidR="009D541D" w:rsidRPr="00057716">
        <w:rPr>
          <w:rFonts w:ascii="Arial" w:hAnsi="Arial" w:cs="Arial"/>
        </w:rPr>
        <w:t xml:space="preserve"> zpětně dopočtena časová řada od roku 2005 </w:t>
      </w:r>
      <w:r w:rsidR="009D541D">
        <w:rPr>
          <w:rFonts w:ascii="Arial" w:hAnsi="Arial" w:cs="Arial"/>
        </w:rPr>
        <w:t xml:space="preserve">(viz </w:t>
      </w:r>
      <w:hyperlink r:id="rId35" w:history="1">
        <w:r w:rsidR="009D541D" w:rsidRPr="009D541D">
          <w:rPr>
            <w:rStyle w:val="Hypertextovodkaz"/>
            <w:rFonts w:ascii="Arial" w:hAnsi="Arial" w:cs="Arial"/>
          </w:rPr>
          <w:t>http://portal.mpsv.cz/sz/stat/nz/casove_rady</w:t>
        </w:r>
      </w:hyperlink>
      <w:r w:rsidR="009D541D">
        <w:rPr>
          <w:rFonts w:ascii="Arial" w:hAnsi="Arial" w:cs="Arial"/>
        </w:rPr>
        <w:t>)</w:t>
      </w:r>
      <w:r w:rsidR="009D541D" w:rsidRPr="00057716">
        <w:rPr>
          <w:rFonts w:ascii="Arial" w:hAnsi="Arial" w:cs="Arial"/>
        </w:rPr>
        <w:t xml:space="preserve">. </w:t>
      </w:r>
    </w:p>
    <w:p w:rsidR="009D541D" w:rsidRDefault="009D541D" w:rsidP="001D4116">
      <w:pPr>
        <w:widowControl w:val="0"/>
        <w:ind w:firstLine="708"/>
        <w:jc w:val="both"/>
        <w:rPr>
          <w:rFonts w:ascii="Arial" w:hAnsi="Arial" w:cs="Arial"/>
        </w:rPr>
      </w:pPr>
    </w:p>
    <w:p w:rsidR="00D046EC" w:rsidRPr="00D92515" w:rsidRDefault="00D046EC" w:rsidP="00D046EC">
      <w:pPr>
        <w:pStyle w:val="Textpoznpodarou"/>
        <w:spacing w:after="200"/>
        <w:jc w:val="both"/>
        <w:rPr>
          <w:rFonts w:ascii="Arial" w:hAnsi="Arial" w:cs="Arial"/>
          <w:color w:val="FF00FF"/>
          <w:sz w:val="24"/>
          <w:szCs w:val="24"/>
          <w:highlight w:val="yellow"/>
        </w:rPr>
        <w:sectPr w:rsidR="00D046EC" w:rsidRPr="00D92515" w:rsidSect="00A4292B">
          <w:footerReference w:type="even" r:id="rId36"/>
          <w:footerReference w:type="default" r:id="rId37"/>
          <w:pgSz w:w="11906" w:h="16838"/>
          <w:pgMar w:top="1417" w:right="1417" w:bottom="1417" w:left="1417" w:header="708" w:footer="708" w:gutter="0"/>
          <w:pgNumType w:start="1"/>
          <w:cols w:space="708"/>
          <w:docGrid w:linePitch="360"/>
        </w:sectPr>
      </w:pPr>
    </w:p>
    <w:tbl>
      <w:tblPr>
        <w:tblW w:w="9109" w:type="dxa"/>
        <w:tblInd w:w="55" w:type="dxa"/>
        <w:tblCellMar>
          <w:left w:w="70" w:type="dxa"/>
          <w:right w:w="70" w:type="dxa"/>
        </w:tblCellMar>
        <w:tblLook w:val="04A0" w:firstRow="1" w:lastRow="0" w:firstColumn="1" w:lastColumn="0" w:noHBand="0" w:noVBand="1"/>
      </w:tblPr>
      <w:tblGrid>
        <w:gridCol w:w="1554"/>
        <w:gridCol w:w="7276"/>
        <w:gridCol w:w="279"/>
      </w:tblGrid>
      <w:tr w:rsidR="00D92515" w:rsidRPr="00D92515" w:rsidTr="0043255D">
        <w:trPr>
          <w:gridAfter w:val="1"/>
          <w:wAfter w:w="279" w:type="dxa"/>
          <w:trHeight w:val="255"/>
        </w:trPr>
        <w:tc>
          <w:tcPr>
            <w:tcW w:w="8830" w:type="dxa"/>
            <w:gridSpan w:val="2"/>
            <w:tcBorders>
              <w:top w:val="nil"/>
              <w:left w:val="nil"/>
              <w:bottom w:val="nil"/>
              <w:right w:val="nil"/>
            </w:tcBorders>
            <w:shd w:val="clear" w:color="auto" w:fill="auto"/>
            <w:noWrap/>
            <w:vAlign w:val="bottom"/>
          </w:tcPr>
          <w:p w:rsidR="00D046EC" w:rsidRDefault="00D046EC" w:rsidP="00907587">
            <w:pPr>
              <w:rPr>
                <w:rFonts w:ascii="Arial" w:hAnsi="Arial"/>
                <w:b/>
                <w:bCs/>
                <w:sz w:val="22"/>
                <w:szCs w:val="22"/>
              </w:rPr>
            </w:pPr>
            <w:r w:rsidRPr="008801CF">
              <w:rPr>
                <w:rFonts w:ascii="Arial" w:hAnsi="Arial"/>
                <w:b/>
                <w:bCs/>
                <w:sz w:val="22"/>
                <w:szCs w:val="22"/>
              </w:rPr>
              <w:lastRenderedPageBreak/>
              <w:t>Seznam použitých zkratek:</w:t>
            </w:r>
          </w:p>
          <w:p w:rsidR="0043255D" w:rsidRPr="008801CF" w:rsidRDefault="0043255D" w:rsidP="00907587">
            <w:pPr>
              <w:rPr>
                <w:rFonts w:ascii="Arial" w:hAnsi="Arial" w:cs="Arial"/>
                <w:b/>
                <w:bCs/>
                <w:sz w:val="22"/>
                <w:szCs w:val="22"/>
              </w:rPr>
            </w:pPr>
          </w:p>
        </w:tc>
      </w:tr>
      <w:tr w:rsidR="00D92515" w:rsidRPr="00D92515" w:rsidTr="0043255D">
        <w:trPr>
          <w:trHeight w:val="255"/>
        </w:trPr>
        <w:tc>
          <w:tcPr>
            <w:tcW w:w="1554" w:type="dxa"/>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APZ</w:t>
            </w:r>
          </w:p>
        </w:tc>
        <w:tc>
          <w:tcPr>
            <w:tcW w:w="7555" w:type="dxa"/>
            <w:gridSpan w:val="2"/>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 xml:space="preserve">aktivní politika zaměstnanosti </w:t>
            </w:r>
          </w:p>
        </w:tc>
      </w:tr>
      <w:tr w:rsidR="008801CF" w:rsidRPr="00D92515" w:rsidTr="0043255D">
        <w:trPr>
          <w:trHeight w:val="255"/>
        </w:trPr>
        <w:tc>
          <w:tcPr>
            <w:tcW w:w="1554" w:type="dxa"/>
            <w:tcBorders>
              <w:top w:val="nil"/>
              <w:left w:val="nil"/>
              <w:bottom w:val="nil"/>
              <w:right w:val="nil"/>
            </w:tcBorders>
            <w:shd w:val="clear" w:color="auto" w:fill="auto"/>
            <w:noWrap/>
            <w:vAlign w:val="bottom"/>
          </w:tcPr>
          <w:p w:rsidR="008801CF" w:rsidRPr="008801CF" w:rsidRDefault="008801CF" w:rsidP="008801CF">
            <w:pPr>
              <w:rPr>
                <w:rFonts w:ascii="Arial" w:hAnsi="Arial" w:cs="Arial"/>
                <w:sz w:val="18"/>
                <w:szCs w:val="18"/>
              </w:rPr>
            </w:pPr>
            <w:r w:rsidRPr="008801CF">
              <w:rPr>
                <w:rFonts w:ascii="Arial" w:hAnsi="Arial" w:cs="Arial"/>
                <w:sz w:val="18"/>
                <w:szCs w:val="18"/>
              </w:rPr>
              <w:t>ČNB</w:t>
            </w:r>
          </w:p>
        </w:tc>
        <w:tc>
          <w:tcPr>
            <w:tcW w:w="7555" w:type="dxa"/>
            <w:gridSpan w:val="2"/>
            <w:tcBorders>
              <w:top w:val="nil"/>
              <w:left w:val="nil"/>
              <w:bottom w:val="nil"/>
              <w:right w:val="nil"/>
            </w:tcBorders>
            <w:shd w:val="clear" w:color="auto" w:fill="auto"/>
            <w:noWrap/>
            <w:vAlign w:val="bottom"/>
          </w:tcPr>
          <w:p w:rsidR="008801CF" w:rsidRPr="008801CF" w:rsidRDefault="008801CF" w:rsidP="008801CF">
            <w:pPr>
              <w:rPr>
                <w:rFonts w:ascii="Arial" w:hAnsi="Arial" w:cs="Arial"/>
                <w:sz w:val="18"/>
                <w:szCs w:val="18"/>
              </w:rPr>
            </w:pPr>
            <w:r w:rsidRPr="008801CF">
              <w:rPr>
                <w:rFonts w:ascii="Arial" w:hAnsi="Arial" w:cs="Arial"/>
                <w:sz w:val="18"/>
                <w:szCs w:val="18"/>
              </w:rPr>
              <w:t>Česká národní banka</w:t>
            </w:r>
          </w:p>
        </w:tc>
      </w:tr>
      <w:tr w:rsidR="00D92515" w:rsidRPr="00D92515" w:rsidTr="0043255D">
        <w:trPr>
          <w:trHeight w:val="255"/>
        </w:trPr>
        <w:tc>
          <w:tcPr>
            <w:tcW w:w="1554" w:type="dxa"/>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ČSÚ</w:t>
            </w:r>
          </w:p>
        </w:tc>
        <w:tc>
          <w:tcPr>
            <w:tcW w:w="7555" w:type="dxa"/>
            <w:gridSpan w:val="2"/>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Český statistický úřad</w:t>
            </w:r>
          </w:p>
        </w:tc>
      </w:tr>
      <w:tr w:rsidR="00D92515" w:rsidRPr="00D92515" w:rsidTr="0043255D">
        <w:trPr>
          <w:trHeight w:val="255"/>
        </w:trPr>
        <w:tc>
          <w:tcPr>
            <w:tcW w:w="1554" w:type="dxa"/>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EAO</w:t>
            </w:r>
          </w:p>
        </w:tc>
        <w:tc>
          <w:tcPr>
            <w:tcW w:w="7555" w:type="dxa"/>
            <w:gridSpan w:val="2"/>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ekonomicky aktivní obyvatelstvo</w:t>
            </w:r>
          </w:p>
        </w:tc>
      </w:tr>
      <w:tr w:rsidR="00D92515" w:rsidRPr="00D92515" w:rsidTr="0043255D">
        <w:trPr>
          <w:trHeight w:val="255"/>
        </w:trPr>
        <w:tc>
          <w:tcPr>
            <w:tcW w:w="1554" w:type="dxa"/>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EHP</w:t>
            </w:r>
          </w:p>
        </w:tc>
        <w:tc>
          <w:tcPr>
            <w:tcW w:w="7555" w:type="dxa"/>
            <w:gridSpan w:val="2"/>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Evropský hospodářský prostor</w:t>
            </w:r>
          </w:p>
        </w:tc>
      </w:tr>
      <w:tr w:rsidR="00D92515" w:rsidRPr="00D92515" w:rsidTr="0043255D">
        <w:trPr>
          <w:trHeight w:val="255"/>
        </w:trPr>
        <w:tc>
          <w:tcPr>
            <w:tcW w:w="1554" w:type="dxa"/>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ESF</w:t>
            </w:r>
          </w:p>
        </w:tc>
        <w:tc>
          <w:tcPr>
            <w:tcW w:w="7555" w:type="dxa"/>
            <w:gridSpan w:val="2"/>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Evropský sociální fond</w:t>
            </w:r>
          </w:p>
        </w:tc>
      </w:tr>
      <w:tr w:rsidR="00D92515" w:rsidRPr="00D92515" w:rsidTr="0043255D">
        <w:trPr>
          <w:trHeight w:val="255"/>
        </w:trPr>
        <w:tc>
          <w:tcPr>
            <w:tcW w:w="1554" w:type="dxa"/>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EU</w:t>
            </w:r>
          </w:p>
        </w:tc>
        <w:tc>
          <w:tcPr>
            <w:tcW w:w="7555" w:type="dxa"/>
            <w:gridSpan w:val="2"/>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Evropská unie</w:t>
            </w:r>
          </w:p>
        </w:tc>
      </w:tr>
      <w:tr w:rsidR="00D92515" w:rsidRPr="00D92515" w:rsidTr="0043255D">
        <w:trPr>
          <w:trHeight w:val="255"/>
        </w:trPr>
        <w:tc>
          <w:tcPr>
            <w:tcW w:w="1554" w:type="dxa"/>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EUROSTAT</w:t>
            </w:r>
          </w:p>
        </w:tc>
        <w:tc>
          <w:tcPr>
            <w:tcW w:w="7555" w:type="dxa"/>
            <w:gridSpan w:val="2"/>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Statistický úřad Evropského společenství</w:t>
            </w:r>
          </w:p>
        </w:tc>
      </w:tr>
      <w:tr w:rsidR="008801CF" w:rsidRPr="00D92515" w:rsidTr="0043255D">
        <w:trPr>
          <w:trHeight w:val="255"/>
        </w:trPr>
        <w:tc>
          <w:tcPr>
            <w:tcW w:w="1554" w:type="dxa"/>
            <w:tcBorders>
              <w:top w:val="nil"/>
              <w:left w:val="nil"/>
              <w:bottom w:val="nil"/>
              <w:right w:val="nil"/>
            </w:tcBorders>
            <w:shd w:val="clear" w:color="auto" w:fill="auto"/>
            <w:noWrap/>
            <w:vAlign w:val="bottom"/>
          </w:tcPr>
          <w:p w:rsidR="008801CF" w:rsidRPr="008801CF" w:rsidRDefault="008801CF" w:rsidP="008801CF">
            <w:pPr>
              <w:rPr>
                <w:rFonts w:ascii="Arial" w:hAnsi="Arial" w:cs="Arial"/>
                <w:sz w:val="18"/>
                <w:szCs w:val="18"/>
              </w:rPr>
            </w:pPr>
            <w:r w:rsidRPr="008801CF">
              <w:rPr>
                <w:rFonts w:ascii="Arial" w:hAnsi="Arial" w:cs="Arial"/>
                <w:sz w:val="18"/>
                <w:szCs w:val="18"/>
              </w:rPr>
              <w:t>GP</w:t>
            </w:r>
          </w:p>
        </w:tc>
        <w:tc>
          <w:tcPr>
            <w:tcW w:w="7555" w:type="dxa"/>
            <w:gridSpan w:val="2"/>
            <w:tcBorders>
              <w:top w:val="nil"/>
              <w:left w:val="nil"/>
              <w:bottom w:val="nil"/>
              <w:right w:val="nil"/>
            </w:tcBorders>
            <w:shd w:val="clear" w:color="auto" w:fill="auto"/>
            <w:noWrap/>
            <w:vAlign w:val="bottom"/>
          </w:tcPr>
          <w:p w:rsidR="008801CF" w:rsidRPr="008801CF" w:rsidRDefault="008801CF" w:rsidP="008801CF">
            <w:pPr>
              <w:rPr>
                <w:rFonts w:ascii="Arial" w:hAnsi="Arial" w:cs="Arial"/>
                <w:sz w:val="18"/>
                <w:szCs w:val="18"/>
              </w:rPr>
            </w:pPr>
            <w:r w:rsidRPr="008801CF">
              <w:rPr>
                <w:rFonts w:ascii="Arial" w:hAnsi="Arial" w:cs="Arial"/>
                <w:sz w:val="18"/>
                <w:szCs w:val="18"/>
              </w:rPr>
              <w:t>grantový projekt</w:t>
            </w:r>
          </w:p>
        </w:tc>
      </w:tr>
      <w:tr w:rsidR="00D92515" w:rsidRPr="00D92515" w:rsidTr="0043255D">
        <w:trPr>
          <w:trHeight w:val="255"/>
        </w:trPr>
        <w:tc>
          <w:tcPr>
            <w:tcW w:w="1554" w:type="dxa"/>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HDP</w:t>
            </w:r>
          </w:p>
        </w:tc>
        <w:tc>
          <w:tcPr>
            <w:tcW w:w="7555" w:type="dxa"/>
            <w:gridSpan w:val="2"/>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hrubý domácí produkt</w:t>
            </w:r>
          </w:p>
        </w:tc>
      </w:tr>
      <w:tr w:rsidR="00D92515" w:rsidRPr="00D92515" w:rsidTr="0043255D">
        <w:trPr>
          <w:trHeight w:val="255"/>
        </w:trPr>
        <w:tc>
          <w:tcPr>
            <w:tcW w:w="1554" w:type="dxa"/>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CHPM</w:t>
            </w:r>
          </w:p>
        </w:tc>
        <w:tc>
          <w:tcPr>
            <w:tcW w:w="7555" w:type="dxa"/>
            <w:gridSpan w:val="2"/>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chráněné pracovní místo</w:t>
            </w:r>
          </w:p>
        </w:tc>
      </w:tr>
      <w:tr w:rsidR="00D92515" w:rsidRPr="00D92515" w:rsidTr="0043255D">
        <w:trPr>
          <w:trHeight w:val="255"/>
        </w:trPr>
        <w:tc>
          <w:tcPr>
            <w:tcW w:w="1554" w:type="dxa"/>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ILO</w:t>
            </w:r>
          </w:p>
        </w:tc>
        <w:tc>
          <w:tcPr>
            <w:tcW w:w="7555" w:type="dxa"/>
            <w:gridSpan w:val="2"/>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Mezinárodní organizace práce</w:t>
            </w:r>
          </w:p>
        </w:tc>
      </w:tr>
      <w:tr w:rsidR="00D92515" w:rsidRPr="00D92515" w:rsidTr="0043255D">
        <w:trPr>
          <w:trHeight w:val="255"/>
        </w:trPr>
        <w:tc>
          <w:tcPr>
            <w:tcW w:w="1554" w:type="dxa"/>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IPS</w:t>
            </w:r>
          </w:p>
        </w:tc>
        <w:tc>
          <w:tcPr>
            <w:tcW w:w="7555" w:type="dxa"/>
            <w:gridSpan w:val="2"/>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informačně poradenské středisko</w:t>
            </w:r>
          </w:p>
        </w:tc>
      </w:tr>
      <w:tr w:rsidR="00D92515" w:rsidRPr="00D92515" w:rsidTr="0043255D">
        <w:trPr>
          <w:trHeight w:val="255"/>
        </w:trPr>
        <w:tc>
          <w:tcPr>
            <w:tcW w:w="1554" w:type="dxa"/>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KZAM/CZ-ISCO</w:t>
            </w:r>
          </w:p>
        </w:tc>
        <w:tc>
          <w:tcPr>
            <w:tcW w:w="7555" w:type="dxa"/>
            <w:gridSpan w:val="2"/>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Klasifikace zaměstnání</w:t>
            </w:r>
          </w:p>
        </w:tc>
      </w:tr>
      <w:tr w:rsidR="00D92515" w:rsidRPr="00D92515" w:rsidTr="0043255D">
        <w:trPr>
          <w:trHeight w:val="255"/>
        </w:trPr>
        <w:tc>
          <w:tcPr>
            <w:tcW w:w="1554" w:type="dxa"/>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LFS</w:t>
            </w:r>
          </w:p>
        </w:tc>
        <w:tc>
          <w:tcPr>
            <w:tcW w:w="7555" w:type="dxa"/>
            <w:gridSpan w:val="2"/>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proofErr w:type="spellStart"/>
            <w:r w:rsidRPr="008801CF">
              <w:rPr>
                <w:rFonts w:ascii="Arial" w:hAnsi="Arial" w:cs="Arial"/>
                <w:sz w:val="18"/>
                <w:szCs w:val="18"/>
              </w:rPr>
              <w:t>Labour</w:t>
            </w:r>
            <w:proofErr w:type="spellEnd"/>
            <w:r w:rsidRPr="008801CF">
              <w:rPr>
                <w:rFonts w:ascii="Arial" w:hAnsi="Arial" w:cs="Arial"/>
                <w:sz w:val="18"/>
                <w:szCs w:val="18"/>
              </w:rPr>
              <w:t xml:space="preserve"> </w:t>
            </w:r>
            <w:proofErr w:type="spellStart"/>
            <w:r w:rsidRPr="008801CF">
              <w:rPr>
                <w:rFonts w:ascii="Arial" w:hAnsi="Arial" w:cs="Arial"/>
                <w:sz w:val="18"/>
                <w:szCs w:val="18"/>
              </w:rPr>
              <w:t>Force</w:t>
            </w:r>
            <w:proofErr w:type="spellEnd"/>
            <w:r w:rsidRPr="008801CF">
              <w:rPr>
                <w:rFonts w:ascii="Arial" w:hAnsi="Arial" w:cs="Arial"/>
                <w:sz w:val="18"/>
                <w:szCs w:val="18"/>
              </w:rPr>
              <w:t xml:space="preserve"> </w:t>
            </w:r>
            <w:proofErr w:type="spellStart"/>
            <w:r w:rsidRPr="008801CF">
              <w:rPr>
                <w:rFonts w:ascii="Arial" w:hAnsi="Arial" w:cs="Arial"/>
                <w:sz w:val="18"/>
                <w:szCs w:val="18"/>
              </w:rPr>
              <w:t>Survey</w:t>
            </w:r>
            <w:proofErr w:type="spellEnd"/>
            <w:r w:rsidRPr="008801CF">
              <w:rPr>
                <w:rFonts w:ascii="Arial" w:hAnsi="Arial" w:cs="Arial"/>
                <w:sz w:val="18"/>
                <w:szCs w:val="18"/>
              </w:rPr>
              <w:t xml:space="preserve"> (VŠPS – Výběrové šetření pracovních sil)</w:t>
            </w:r>
          </w:p>
        </w:tc>
      </w:tr>
      <w:tr w:rsidR="00D92515" w:rsidRPr="00D92515" w:rsidTr="0043255D">
        <w:trPr>
          <w:trHeight w:val="255"/>
        </w:trPr>
        <w:tc>
          <w:tcPr>
            <w:tcW w:w="1554" w:type="dxa"/>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MEA</w:t>
            </w:r>
          </w:p>
        </w:tc>
        <w:tc>
          <w:tcPr>
            <w:tcW w:w="7555" w:type="dxa"/>
            <w:gridSpan w:val="2"/>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míra ekonomické aktivity</w:t>
            </w:r>
          </w:p>
        </w:tc>
      </w:tr>
      <w:tr w:rsidR="00D92515" w:rsidRPr="00D92515" w:rsidTr="0043255D">
        <w:trPr>
          <w:trHeight w:val="255"/>
        </w:trPr>
        <w:tc>
          <w:tcPr>
            <w:tcW w:w="1554" w:type="dxa"/>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MN</w:t>
            </w:r>
          </w:p>
        </w:tc>
        <w:tc>
          <w:tcPr>
            <w:tcW w:w="7555" w:type="dxa"/>
            <w:gridSpan w:val="2"/>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míra nezaměstnanosti</w:t>
            </w:r>
          </w:p>
        </w:tc>
      </w:tr>
      <w:tr w:rsidR="00D92515" w:rsidRPr="00D92515" w:rsidTr="0043255D">
        <w:trPr>
          <w:trHeight w:val="255"/>
        </w:trPr>
        <w:tc>
          <w:tcPr>
            <w:tcW w:w="1554" w:type="dxa"/>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MPO</w:t>
            </w:r>
          </w:p>
        </w:tc>
        <w:tc>
          <w:tcPr>
            <w:tcW w:w="7555" w:type="dxa"/>
            <w:gridSpan w:val="2"/>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Ministerstvo průmyslu a obchodu</w:t>
            </w:r>
          </w:p>
        </w:tc>
      </w:tr>
      <w:tr w:rsidR="00D92515" w:rsidRPr="00D92515" w:rsidTr="0043255D">
        <w:trPr>
          <w:trHeight w:val="255"/>
        </w:trPr>
        <w:tc>
          <w:tcPr>
            <w:tcW w:w="1554" w:type="dxa"/>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MPSV</w:t>
            </w:r>
          </w:p>
        </w:tc>
        <w:tc>
          <w:tcPr>
            <w:tcW w:w="7555" w:type="dxa"/>
            <w:gridSpan w:val="2"/>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Ministerstvo práce a sociálních věcí</w:t>
            </w:r>
          </w:p>
        </w:tc>
      </w:tr>
      <w:tr w:rsidR="00D92515" w:rsidRPr="00D92515" w:rsidTr="0043255D">
        <w:trPr>
          <w:trHeight w:val="255"/>
        </w:trPr>
        <w:tc>
          <w:tcPr>
            <w:tcW w:w="1554" w:type="dxa"/>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MZ</w:t>
            </w:r>
          </w:p>
        </w:tc>
        <w:tc>
          <w:tcPr>
            <w:tcW w:w="7555" w:type="dxa"/>
            <w:gridSpan w:val="2"/>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míra zaměstnanosti</w:t>
            </w:r>
          </w:p>
        </w:tc>
      </w:tr>
      <w:tr w:rsidR="00D92515" w:rsidRPr="00D92515" w:rsidTr="0043255D">
        <w:trPr>
          <w:trHeight w:val="255"/>
        </w:trPr>
        <w:tc>
          <w:tcPr>
            <w:tcW w:w="1554" w:type="dxa"/>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NH</w:t>
            </w:r>
          </w:p>
        </w:tc>
        <w:tc>
          <w:tcPr>
            <w:tcW w:w="7555" w:type="dxa"/>
            <w:gridSpan w:val="2"/>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národní hospodářství</w:t>
            </w:r>
          </w:p>
        </w:tc>
      </w:tr>
      <w:tr w:rsidR="00D92515" w:rsidRPr="00D92515" w:rsidTr="0043255D">
        <w:trPr>
          <w:trHeight w:val="255"/>
        </w:trPr>
        <w:tc>
          <w:tcPr>
            <w:tcW w:w="1554" w:type="dxa"/>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NIP</w:t>
            </w:r>
          </w:p>
        </w:tc>
        <w:tc>
          <w:tcPr>
            <w:tcW w:w="7555" w:type="dxa"/>
            <w:gridSpan w:val="2"/>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národní individuální projekt</w:t>
            </w:r>
          </w:p>
        </w:tc>
      </w:tr>
      <w:tr w:rsidR="00D92515" w:rsidRPr="00D92515" w:rsidTr="0043255D">
        <w:trPr>
          <w:trHeight w:val="255"/>
        </w:trPr>
        <w:tc>
          <w:tcPr>
            <w:tcW w:w="1554" w:type="dxa"/>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NUTS2</w:t>
            </w:r>
          </w:p>
        </w:tc>
        <w:tc>
          <w:tcPr>
            <w:tcW w:w="7555" w:type="dxa"/>
            <w:gridSpan w:val="2"/>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Nomenklatura územních statistických jednotek - pro potřeby regionální politiky EU</w:t>
            </w:r>
          </w:p>
        </w:tc>
      </w:tr>
      <w:tr w:rsidR="00D92515" w:rsidRPr="00D92515" w:rsidTr="0043255D">
        <w:trPr>
          <w:trHeight w:val="255"/>
        </w:trPr>
        <w:tc>
          <w:tcPr>
            <w:tcW w:w="1554" w:type="dxa"/>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NUTS3</w:t>
            </w:r>
          </w:p>
        </w:tc>
        <w:tc>
          <w:tcPr>
            <w:tcW w:w="7555" w:type="dxa"/>
            <w:gridSpan w:val="2"/>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Nomenklatura územních statistických jednotek, úroveň kraj</w:t>
            </w:r>
          </w:p>
        </w:tc>
      </w:tr>
      <w:tr w:rsidR="00D92515" w:rsidRPr="00D92515" w:rsidTr="0043255D">
        <w:trPr>
          <w:trHeight w:val="255"/>
        </w:trPr>
        <w:tc>
          <w:tcPr>
            <w:tcW w:w="1554" w:type="dxa"/>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OKEČ/NACE</w:t>
            </w:r>
          </w:p>
        </w:tc>
        <w:tc>
          <w:tcPr>
            <w:tcW w:w="7555" w:type="dxa"/>
            <w:gridSpan w:val="2"/>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 xml:space="preserve">Odvětvová klasifikace ekonomických činností </w:t>
            </w:r>
          </w:p>
        </w:tc>
      </w:tr>
      <w:tr w:rsidR="00D92515" w:rsidRPr="00D92515" w:rsidTr="0043255D">
        <w:trPr>
          <w:trHeight w:val="255"/>
        </w:trPr>
        <w:tc>
          <w:tcPr>
            <w:tcW w:w="1554" w:type="dxa"/>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OP LZZ</w:t>
            </w:r>
          </w:p>
        </w:tc>
        <w:tc>
          <w:tcPr>
            <w:tcW w:w="7555" w:type="dxa"/>
            <w:gridSpan w:val="2"/>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Operační program Lidské zdroje a zaměstnanost</w:t>
            </w:r>
          </w:p>
        </w:tc>
      </w:tr>
      <w:tr w:rsidR="00D92515" w:rsidRPr="00D92515" w:rsidTr="0043255D">
        <w:trPr>
          <w:trHeight w:val="255"/>
        </w:trPr>
        <w:tc>
          <w:tcPr>
            <w:tcW w:w="1554" w:type="dxa"/>
            <w:tcBorders>
              <w:top w:val="nil"/>
              <w:left w:val="nil"/>
              <w:bottom w:val="nil"/>
              <w:right w:val="nil"/>
            </w:tcBorders>
            <w:shd w:val="clear" w:color="auto" w:fill="auto"/>
            <w:noWrap/>
            <w:vAlign w:val="bottom"/>
          </w:tcPr>
          <w:p w:rsidR="007744C4" w:rsidRPr="008801CF" w:rsidRDefault="00ED4155" w:rsidP="008801CF">
            <w:pPr>
              <w:rPr>
                <w:rFonts w:ascii="Arial" w:hAnsi="Arial" w:cs="Arial"/>
                <w:sz w:val="18"/>
                <w:szCs w:val="18"/>
              </w:rPr>
            </w:pPr>
            <w:r w:rsidRPr="008801CF">
              <w:rPr>
                <w:rFonts w:ascii="Arial" w:hAnsi="Arial" w:cs="Arial"/>
                <w:sz w:val="18"/>
                <w:szCs w:val="18"/>
              </w:rPr>
              <w:t>OSVČ</w:t>
            </w:r>
          </w:p>
        </w:tc>
        <w:tc>
          <w:tcPr>
            <w:tcW w:w="7555" w:type="dxa"/>
            <w:gridSpan w:val="2"/>
            <w:tcBorders>
              <w:top w:val="nil"/>
              <w:left w:val="nil"/>
              <w:bottom w:val="nil"/>
              <w:right w:val="nil"/>
            </w:tcBorders>
            <w:shd w:val="clear" w:color="auto" w:fill="auto"/>
            <w:noWrap/>
            <w:vAlign w:val="bottom"/>
          </w:tcPr>
          <w:p w:rsidR="007744C4" w:rsidRPr="008801CF" w:rsidRDefault="008801CF" w:rsidP="008801CF">
            <w:pPr>
              <w:rPr>
                <w:rFonts w:ascii="Arial" w:hAnsi="Arial" w:cs="Arial"/>
                <w:sz w:val="18"/>
                <w:szCs w:val="18"/>
              </w:rPr>
            </w:pPr>
            <w:r w:rsidRPr="008801CF">
              <w:rPr>
                <w:rFonts w:ascii="Arial" w:hAnsi="Arial" w:cs="Arial"/>
                <w:sz w:val="18"/>
                <w:szCs w:val="18"/>
              </w:rPr>
              <w:t>osoba samostatně výdělečně činná</w:t>
            </w:r>
          </w:p>
        </w:tc>
      </w:tr>
      <w:tr w:rsidR="00D92515" w:rsidRPr="00D92515" w:rsidTr="0043255D">
        <w:trPr>
          <w:trHeight w:val="255"/>
        </w:trPr>
        <w:tc>
          <w:tcPr>
            <w:tcW w:w="1554" w:type="dxa"/>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OZP</w:t>
            </w:r>
          </w:p>
        </w:tc>
        <w:tc>
          <w:tcPr>
            <w:tcW w:w="7555" w:type="dxa"/>
            <w:gridSpan w:val="2"/>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osoba se zdravotním postižením</w:t>
            </w:r>
          </w:p>
        </w:tc>
      </w:tr>
      <w:tr w:rsidR="00D92515" w:rsidRPr="00D92515" w:rsidTr="0043255D">
        <w:trPr>
          <w:trHeight w:val="255"/>
        </w:trPr>
        <w:tc>
          <w:tcPr>
            <w:tcW w:w="1554" w:type="dxa"/>
            <w:tcBorders>
              <w:top w:val="nil"/>
              <w:left w:val="nil"/>
              <w:bottom w:val="nil"/>
              <w:right w:val="nil"/>
            </w:tcBorders>
            <w:shd w:val="clear" w:color="auto" w:fill="auto"/>
            <w:noWrap/>
            <w:vAlign w:val="bottom"/>
          </w:tcPr>
          <w:p w:rsidR="007744C4" w:rsidRPr="008801CF" w:rsidRDefault="00E3619C" w:rsidP="008801CF">
            <w:pPr>
              <w:rPr>
                <w:rFonts w:ascii="Arial" w:hAnsi="Arial" w:cs="Arial"/>
                <w:sz w:val="18"/>
                <w:szCs w:val="18"/>
              </w:rPr>
            </w:pPr>
            <w:r w:rsidRPr="008801CF">
              <w:rPr>
                <w:rFonts w:ascii="Arial" w:hAnsi="Arial" w:cs="Arial"/>
                <w:sz w:val="18"/>
                <w:szCs w:val="18"/>
              </w:rPr>
              <w:t>p. b</w:t>
            </w:r>
            <w:r w:rsidR="00D92515" w:rsidRPr="008801CF">
              <w:rPr>
                <w:rFonts w:ascii="Arial" w:hAnsi="Arial" w:cs="Arial"/>
                <w:sz w:val="18"/>
                <w:szCs w:val="18"/>
              </w:rPr>
              <w:t>.</w:t>
            </w:r>
          </w:p>
        </w:tc>
        <w:tc>
          <w:tcPr>
            <w:tcW w:w="7555" w:type="dxa"/>
            <w:gridSpan w:val="2"/>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procentní bod</w:t>
            </w:r>
          </w:p>
        </w:tc>
      </w:tr>
      <w:tr w:rsidR="00D92515" w:rsidRPr="00D92515" w:rsidTr="0043255D">
        <w:trPr>
          <w:trHeight w:val="255"/>
        </w:trPr>
        <w:tc>
          <w:tcPr>
            <w:tcW w:w="1554" w:type="dxa"/>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proofErr w:type="spellStart"/>
            <w:r w:rsidRPr="008801CF">
              <w:rPr>
                <w:rFonts w:ascii="Arial" w:hAnsi="Arial" w:cs="Arial"/>
                <w:sz w:val="18"/>
                <w:szCs w:val="18"/>
              </w:rPr>
              <w:t>PvN</w:t>
            </w:r>
            <w:proofErr w:type="spellEnd"/>
          </w:p>
        </w:tc>
        <w:tc>
          <w:tcPr>
            <w:tcW w:w="7555" w:type="dxa"/>
            <w:gridSpan w:val="2"/>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podpora v nezaměstnanosti</w:t>
            </w:r>
          </w:p>
        </w:tc>
      </w:tr>
      <w:tr w:rsidR="00D92515" w:rsidRPr="00D92515" w:rsidTr="0043255D">
        <w:trPr>
          <w:trHeight w:val="255"/>
        </w:trPr>
        <w:tc>
          <w:tcPr>
            <w:tcW w:w="1554" w:type="dxa"/>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RIP</w:t>
            </w:r>
          </w:p>
        </w:tc>
        <w:tc>
          <w:tcPr>
            <w:tcW w:w="7555" w:type="dxa"/>
            <w:gridSpan w:val="2"/>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regionální individuální projekt</w:t>
            </w:r>
          </w:p>
        </w:tc>
      </w:tr>
      <w:tr w:rsidR="00D92515" w:rsidRPr="00D92515" w:rsidTr="0043255D">
        <w:trPr>
          <w:trHeight w:val="255"/>
        </w:trPr>
        <w:tc>
          <w:tcPr>
            <w:tcW w:w="1554" w:type="dxa"/>
            <w:tcBorders>
              <w:top w:val="nil"/>
              <w:left w:val="nil"/>
              <w:bottom w:val="nil"/>
              <w:right w:val="nil"/>
            </w:tcBorders>
            <w:shd w:val="clear" w:color="auto" w:fill="auto"/>
            <w:noWrap/>
            <w:vAlign w:val="bottom"/>
          </w:tcPr>
          <w:p w:rsidR="007744C4" w:rsidRPr="008801CF" w:rsidRDefault="007744C4" w:rsidP="008801CF">
            <w:pPr>
              <w:jc w:val="both"/>
              <w:rPr>
                <w:rFonts w:ascii="Arial" w:hAnsi="Arial" w:cs="Arial"/>
                <w:sz w:val="18"/>
                <w:szCs w:val="18"/>
              </w:rPr>
            </w:pPr>
            <w:r w:rsidRPr="008801CF">
              <w:rPr>
                <w:rFonts w:ascii="Arial" w:hAnsi="Arial" w:cs="Arial"/>
                <w:sz w:val="18"/>
                <w:szCs w:val="18"/>
              </w:rPr>
              <w:t>SIP</w:t>
            </w:r>
          </w:p>
        </w:tc>
        <w:tc>
          <w:tcPr>
            <w:tcW w:w="7555" w:type="dxa"/>
            <w:gridSpan w:val="2"/>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systémový individuální projekt</w:t>
            </w:r>
            <w:r w:rsidR="0070609D" w:rsidRPr="008801CF">
              <w:rPr>
                <w:rFonts w:ascii="Arial" w:hAnsi="Arial" w:cs="Arial"/>
                <w:sz w:val="18"/>
                <w:szCs w:val="18"/>
              </w:rPr>
              <w:t>/systém investičních pobídek</w:t>
            </w:r>
          </w:p>
        </w:tc>
      </w:tr>
      <w:tr w:rsidR="00D92515" w:rsidRPr="00D92515" w:rsidTr="0043255D">
        <w:trPr>
          <w:trHeight w:val="255"/>
        </w:trPr>
        <w:tc>
          <w:tcPr>
            <w:tcW w:w="1554" w:type="dxa"/>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SPZ</w:t>
            </w:r>
          </w:p>
        </w:tc>
        <w:tc>
          <w:tcPr>
            <w:tcW w:w="7555" w:type="dxa"/>
            <w:gridSpan w:val="2"/>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státní politika zaměstnanosti</w:t>
            </w:r>
          </w:p>
        </w:tc>
      </w:tr>
      <w:tr w:rsidR="00ED4155" w:rsidRPr="00D92515" w:rsidTr="0043255D">
        <w:trPr>
          <w:trHeight w:val="255"/>
        </w:trPr>
        <w:tc>
          <w:tcPr>
            <w:tcW w:w="1554" w:type="dxa"/>
            <w:tcBorders>
              <w:top w:val="nil"/>
              <w:left w:val="nil"/>
              <w:bottom w:val="nil"/>
              <w:right w:val="nil"/>
            </w:tcBorders>
            <w:shd w:val="clear" w:color="auto" w:fill="auto"/>
            <w:noWrap/>
            <w:vAlign w:val="bottom"/>
          </w:tcPr>
          <w:p w:rsidR="00ED4155" w:rsidRPr="008801CF" w:rsidRDefault="00ED4155" w:rsidP="008801CF">
            <w:pPr>
              <w:jc w:val="both"/>
              <w:rPr>
                <w:rFonts w:ascii="Arial" w:hAnsi="Arial" w:cs="Arial"/>
                <w:sz w:val="18"/>
                <w:szCs w:val="18"/>
              </w:rPr>
            </w:pPr>
            <w:r w:rsidRPr="008801CF">
              <w:rPr>
                <w:rFonts w:ascii="Arial" w:hAnsi="Arial" w:cs="Arial"/>
                <w:sz w:val="18"/>
                <w:szCs w:val="18"/>
              </w:rPr>
              <w:t>SR</w:t>
            </w:r>
          </w:p>
        </w:tc>
        <w:tc>
          <w:tcPr>
            <w:tcW w:w="7555" w:type="dxa"/>
            <w:gridSpan w:val="2"/>
            <w:tcBorders>
              <w:top w:val="nil"/>
              <w:left w:val="nil"/>
              <w:bottom w:val="nil"/>
              <w:right w:val="nil"/>
            </w:tcBorders>
            <w:shd w:val="clear" w:color="auto" w:fill="auto"/>
            <w:noWrap/>
            <w:vAlign w:val="bottom"/>
          </w:tcPr>
          <w:p w:rsidR="00ED4155" w:rsidRPr="008801CF" w:rsidRDefault="00ED4155" w:rsidP="008801CF">
            <w:pPr>
              <w:rPr>
                <w:rFonts w:ascii="Arial" w:hAnsi="Arial" w:cs="Arial"/>
                <w:sz w:val="18"/>
                <w:szCs w:val="18"/>
              </w:rPr>
            </w:pPr>
            <w:r w:rsidRPr="008801CF">
              <w:rPr>
                <w:rFonts w:ascii="Arial" w:hAnsi="Arial" w:cs="Arial"/>
                <w:sz w:val="18"/>
                <w:szCs w:val="18"/>
              </w:rPr>
              <w:t>státní rozpočet</w:t>
            </w:r>
          </w:p>
        </w:tc>
      </w:tr>
      <w:tr w:rsidR="00D92515" w:rsidRPr="00D92515" w:rsidTr="0043255D">
        <w:trPr>
          <w:trHeight w:val="255"/>
        </w:trPr>
        <w:tc>
          <w:tcPr>
            <w:tcW w:w="1554" w:type="dxa"/>
            <w:tcBorders>
              <w:top w:val="nil"/>
              <w:left w:val="nil"/>
              <w:bottom w:val="nil"/>
              <w:right w:val="nil"/>
            </w:tcBorders>
            <w:shd w:val="clear" w:color="auto" w:fill="auto"/>
            <w:noWrap/>
            <w:vAlign w:val="bottom"/>
          </w:tcPr>
          <w:p w:rsidR="007744C4" w:rsidRPr="008801CF" w:rsidRDefault="007744C4" w:rsidP="008801CF">
            <w:pPr>
              <w:jc w:val="both"/>
              <w:rPr>
                <w:rFonts w:ascii="Arial" w:hAnsi="Arial" w:cs="Arial"/>
                <w:sz w:val="18"/>
                <w:szCs w:val="18"/>
              </w:rPr>
            </w:pPr>
            <w:r w:rsidRPr="008801CF">
              <w:rPr>
                <w:rFonts w:ascii="Arial" w:hAnsi="Arial" w:cs="Arial"/>
                <w:sz w:val="18"/>
                <w:szCs w:val="18"/>
              </w:rPr>
              <w:t>SÚPM</w:t>
            </w:r>
          </w:p>
        </w:tc>
        <w:tc>
          <w:tcPr>
            <w:tcW w:w="7555" w:type="dxa"/>
            <w:gridSpan w:val="2"/>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společensky účelná pracovní místa</w:t>
            </w:r>
          </w:p>
        </w:tc>
      </w:tr>
      <w:tr w:rsidR="00ED4155" w:rsidRPr="00D92515" w:rsidTr="0043255D">
        <w:trPr>
          <w:trHeight w:val="255"/>
        </w:trPr>
        <w:tc>
          <w:tcPr>
            <w:tcW w:w="1554" w:type="dxa"/>
            <w:tcBorders>
              <w:top w:val="nil"/>
              <w:left w:val="nil"/>
              <w:bottom w:val="nil"/>
              <w:right w:val="nil"/>
            </w:tcBorders>
            <w:shd w:val="clear" w:color="auto" w:fill="auto"/>
            <w:noWrap/>
            <w:vAlign w:val="bottom"/>
          </w:tcPr>
          <w:p w:rsidR="00ED4155" w:rsidRPr="008801CF" w:rsidRDefault="00ED4155" w:rsidP="008801CF">
            <w:pPr>
              <w:jc w:val="both"/>
              <w:rPr>
                <w:rFonts w:ascii="Arial" w:hAnsi="Arial" w:cs="Arial"/>
                <w:sz w:val="18"/>
                <w:szCs w:val="18"/>
              </w:rPr>
            </w:pPr>
            <w:r w:rsidRPr="008801CF">
              <w:rPr>
                <w:rFonts w:ascii="Arial" w:hAnsi="Arial" w:cs="Arial"/>
                <w:sz w:val="18"/>
                <w:szCs w:val="18"/>
              </w:rPr>
              <w:t>SVČ</w:t>
            </w:r>
          </w:p>
        </w:tc>
        <w:tc>
          <w:tcPr>
            <w:tcW w:w="7555" w:type="dxa"/>
            <w:gridSpan w:val="2"/>
            <w:tcBorders>
              <w:top w:val="nil"/>
              <w:left w:val="nil"/>
              <w:bottom w:val="nil"/>
              <w:right w:val="nil"/>
            </w:tcBorders>
            <w:shd w:val="clear" w:color="auto" w:fill="auto"/>
            <w:noWrap/>
            <w:vAlign w:val="bottom"/>
          </w:tcPr>
          <w:p w:rsidR="00ED4155" w:rsidRPr="008801CF" w:rsidRDefault="00ED4155" w:rsidP="008801CF">
            <w:pPr>
              <w:rPr>
                <w:rFonts w:ascii="Arial" w:hAnsi="Arial" w:cs="Arial"/>
                <w:sz w:val="18"/>
                <w:szCs w:val="18"/>
              </w:rPr>
            </w:pPr>
            <w:r w:rsidRPr="008801CF">
              <w:rPr>
                <w:rFonts w:ascii="Arial" w:hAnsi="Arial" w:cs="Arial"/>
                <w:sz w:val="18"/>
                <w:szCs w:val="18"/>
              </w:rPr>
              <w:t>samostatná výdělečná činnost</w:t>
            </w:r>
          </w:p>
        </w:tc>
      </w:tr>
      <w:tr w:rsidR="00D92515" w:rsidRPr="00D92515" w:rsidTr="0043255D">
        <w:trPr>
          <w:trHeight w:val="255"/>
        </w:trPr>
        <w:tc>
          <w:tcPr>
            <w:tcW w:w="1554" w:type="dxa"/>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ÚP ČR</w:t>
            </w:r>
            <w:r w:rsidR="002B4CB7">
              <w:rPr>
                <w:rFonts w:ascii="Arial" w:hAnsi="Arial" w:cs="Arial"/>
                <w:sz w:val="18"/>
                <w:szCs w:val="18"/>
              </w:rPr>
              <w:t xml:space="preserve"> </w:t>
            </w:r>
          </w:p>
        </w:tc>
        <w:tc>
          <w:tcPr>
            <w:tcW w:w="7555" w:type="dxa"/>
            <w:gridSpan w:val="2"/>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Úřad práce České republiky</w:t>
            </w:r>
          </w:p>
        </w:tc>
      </w:tr>
      <w:tr w:rsidR="00D92515" w:rsidRPr="00D92515" w:rsidTr="0043255D">
        <w:trPr>
          <w:trHeight w:val="255"/>
        </w:trPr>
        <w:tc>
          <w:tcPr>
            <w:tcW w:w="1554" w:type="dxa"/>
            <w:tcBorders>
              <w:top w:val="nil"/>
              <w:left w:val="nil"/>
              <w:bottom w:val="nil"/>
              <w:right w:val="nil"/>
            </w:tcBorders>
            <w:shd w:val="clear" w:color="auto" w:fill="auto"/>
            <w:noWrap/>
            <w:vAlign w:val="bottom"/>
          </w:tcPr>
          <w:p w:rsidR="007744C4" w:rsidRPr="008801CF" w:rsidRDefault="007744C4" w:rsidP="002B4CB7">
            <w:pPr>
              <w:rPr>
                <w:rFonts w:ascii="Arial" w:hAnsi="Arial" w:cs="Arial"/>
                <w:sz w:val="18"/>
                <w:szCs w:val="18"/>
              </w:rPr>
            </w:pPr>
            <w:r w:rsidRPr="008801CF">
              <w:rPr>
                <w:rFonts w:ascii="Arial" w:hAnsi="Arial" w:cs="Arial"/>
                <w:sz w:val="18"/>
                <w:szCs w:val="18"/>
              </w:rPr>
              <w:t>ÚP ČR</w:t>
            </w:r>
            <w:r w:rsidR="002B4CB7">
              <w:rPr>
                <w:rFonts w:ascii="Arial" w:hAnsi="Arial" w:cs="Arial"/>
                <w:sz w:val="18"/>
                <w:szCs w:val="18"/>
              </w:rPr>
              <w:t xml:space="preserve"> - GŘ</w:t>
            </w:r>
          </w:p>
        </w:tc>
        <w:tc>
          <w:tcPr>
            <w:tcW w:w="7555" w:type="dxa"/>
            <w:gridSpan w:val="2"/>
            <w:tcBorders>
              <w:top w:val="nil"/>
              <w:left w:val="nil"/>
              <w:bottom w:val="nil"/>
              <w:right w:val="nil"/>
            </w:tcBorders>
            <w:shd w:val="clear" w:color="auto" w:fill="auto"/>
            <w:noWrap/>
            <w:vAlign w:val="bottom"/>
          </w:tcPr>
          <w:p w:rsidR="007744C4" w:rsidRPr="008801CF" w:rsidRDefault="002B4CB7" w:rsidP="008801CF">
            <w:pPr>
              <w:rPr>
                <w:rFonts w:ascii="Arial" w:hAnsi="Arial" w:cs="Arial"/>
                <w:sz w:val="18"/>
                <w:szCs w:val="18"/>
              </w:rPr>
            </w:pPr>
            <w:r w:rsidRPr="008801CF">
              <w:rPr>
                <w:rFonts w:ascii="Arial" w:hAnsi="Arial" w:cs="Arial"/>
                <w:sz w:val="18"/>
                <w:szCs w:val="18"/>
              </w:rPr>
              <w:t xml:space="preserve">Úřad práce České republiky </w:t>
            </w:r>
            <w:r>
              <w:rPr>
                <w:rFonts w:ascii="Arial" w:hAnsi="Arial" w:cs="Arial"/>
                <w:sz w:val="18"/>
                <w:szCs w:val="18"/>
              </w:rPr>
              <w:t xml:space="preserve"> - </w:t>
            </w:r>
            <w:r w:rsidRPr="008801CF">
              <w:rPr>
                <w:rFonts w:ascii="Arial" w:hAnsi="Arial" w:cs="Arial"/>
                <w:sz w:val="18"/>
                <w:szCs w:val="18"/>
              </w:rPr>
              <w:t>Generální ředitelství</w:t>
            </w:r>
          </w:p>
        </w:tc>
      </w:tr>
      <w:tr w:rsidR="00D92515" w:rsidRPr="00D92515" w:rsidTr="0043255D">
        <w:trPr>
          <w:trHeight w:val="255"/>
        </w:trPr>
        <w:tc>
          <w:tcPr>
            <w:tcW w:w="1554" w:type="dxa"/>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VPM</w:t>
            </w:r>
          </w:p>
        </w:tc>
        <w:tc>
          <w:tcPr>
            <w:tcW w:w="7555" w:type="dxa"/>
            <w:gridSpan w:val="2"/>
            <w:tcBorders>
              <w:top w:val="nil"/>
              <w:left w:val="nil"/>
              <w:bottom w:val="nil"/>
              <w:right w:val="nil"/>
            </w:tcBorders>
            <w:shd w:val="clear" w:color="auto" w:fill="auto"/>
            <w:noWrap/>
            <w:vAlign w:val="bottom"/>
          </w:tcPr>
          <w:p w:rsidR="007744C4" w:rsidRPr="008801CF" w:rsidRDefault="007744C4" w:rsidP="008801CF">
            <w:pPr>
              <w:rPr>
                <w:rFonts w:ascii="Arial" w:hAnsi="Arial" w:cs="Arial"/>
                <w:sz w:val="18"/>
                <w:szCs w:val="18"/>
              </w:rPr>
            </w:pPr>
            <w:r w:rsidRPr="008801CF">
              <w:rPr>
                <w:rFonts w:ascii="Arial" w:hAnsi="Arial" w:cs="Arial"/>
                <w:sz w:val="18"/>
                <w:szCs w:val="18"/>
              </w:rPr>
              <w:t>volné pracovní místo</w:t>
            </w:r>
          </w:p>
        </w:tc>
      </w:tr>
      <w:tr w:rsidR="00945D8D" w:rsidRPr="00D92515" w:rsidTr="0043255D">
        <w:trPr>
          <w:trHeight w:val="255"/>
        </w:trPr>
        <w:tc>
          <w:tcPr>
            <w:tcW w:w="1554" w:type="dxa"/>
            <w:tcBorders>
              <w:top w:val="nil"/>
              <w:left w:val="nil"/>
              <w:bottom w:val="nil"/>
              <w:right w:val="nil"/>
            </w:tcBorders>
            <w:shd w:val="clear" w:color="auto" w:fill="auto"/>
            <w:noWrap/>
            <w:vAlign w:val="bottom"/>
          </w:tcPr>
          <w:p w:rsidR="00945D8D" w:rsidRPr="008801CF" w:rsidRDefault="00945D8D" w:rsidP="008801CF">
            <w:pPr>
              <w:rPr>
                <w:rFonts w:ascii="Arial" w:hAnsi="Arial" w:cs="Arial"/>
                <w:sz w:val="18"/>
                <w:szCs w:val="18"/>
              </w:rPr>
            </w:pPr>
            <w:r>
              <w:rPr>
                <w:rFonts w:ascii="Arial" w:hAnsi="Arial" w:cs="Arial"/>
                <w:sz w:val="18"/>
                <w:szCs w:val="18"/>
              </w:rPr>
              <w:t>VPP</w:t>
            </w:r>
          </w:p>
        </w:tc>
        <w:tc>
          <w:tcPr>
            <w:tcW w:w="7555" w:type="dxa"/>
            <w:gridSpan w:val="2"/>
            <w:tcBorders>
              <w:top w:val="nil"/>
              <w:left w:val="nil"/>
              <w:bottom w:val="nil"/>
              <w:right w:val="nil"/>
            </w:tcBorders>
            <w:shd w:val="clear" w:color="auto" w:fill="auto"/>
            <w:noWrap/>
            <w:vAlign w:val="bottom"/>
          </w:tcPr>
          <w:p w:rsidR="00945D8D" w:rsidRPr="008801CF" w:rsidRDefault="00945D8D" w:rsidP="008801CF">
            <w:pPr>
              <w:rPr>
                <w:rFonts w:ascii="Arial" w:hAnsi="Arial" w:cs="Arial"/>
                <w:sz w:val="18"/>
                <w:szCs w:val="18"/>
              </w:rPr>
            </w:pPr>
            <w:r>
              <w:rPr>
                <w:rFonts w:ascii="Arial" w:hAnsi="Arial" w:cs="Arial"/>
                <w:sz w:val="18"/>
                <w:szCs w:val="18"/>
              </w:rPr>
              <w:t>Veřejně prospěšné práce</w:t>
            </w:r>
          </w:p>
        </w:tc>
      </w:tr>
      <w:tr w:rsidR="008801CF" w:rsidRPr="00D92515" w:rsidTr="0043255D">
        <w:trPr>
          <w:trHeight w:val="255"/>
        </w:trPr>
        <w:tc>
          <w:tcPr>
            <w:tcW w:w="1554" w:type="dxa"/>
            <w:tcBorders>
              <w:top w:val="nil"/>
              <w:left w:val="nil"/>
              <w:bottom w:val="nil"/>
              <w:right w:val="nil"/>
            </w:tcBorders>
            <w:shd w:val="clear" w:color="auto" w:fill="auto"/>
            <w:noWrap/>
            <w:vAlign w:val="bottom"/>
          </w:tcPr>
          <w:p w:rsidR="008801CF" w:rsidRPr="008801CF" w:rsidRDefault="008801CF" w:rsidP="008801CF">
            <w:pPr>
              <w:rPr>
                <w:rFonts w:ascii="Arial" w:hAnsi="Arial" w:cs="Arial"/>
                <w:sz w:val="18"/>
                <w:szCs w:val="18"/>
              </w:rPr>
            </w:pPr>
            <w:r w:rsidRPr="008801CF">
              <w:rPr>
                <w:rFonts w:ascii="Arial" w:hAnsi="Arial" w:cs="Arial"/>
                <w:sz w:val="18"/>
                <w:szCs w:val="18"/>
              </w:rPr>
              <w:t>VŠPS</w:t>
            </w:r>
          </w:p>
        </w:tc>
        <w:tc>
          <w:tcPr>
            <w:tcW w:w="7555" w:type="dxa"/>
            <w:gridSpan w:val="2"/>
            <w:tcBorders>
              <w:top w:val="nil"/>
              <w:left w:val="nil"/>
              <w:bottom w:val="nil"/>
              <w:right w:val="nil"/>
            </w:tcBorders>
            <w:shd w:val="clear" w:color="auto" w:fill="auto"/>
            <w:noWrap/>
            <w:vAlign w:val="bottom"/>
          </w:tcPr>
          <w:p w:rsidR="008801CF" w:rsidRPr="008801CF" w:rsidRDefault="008801CF" w:rsidP="008801CF">
            <w:pPr>
              <w:rPr>
                <w:rFonts w:ascii="Arial" w:hAnsi="Arial" w:cs="Arial"/>
                <w:sz w:val="18"/>
                <w:szCs w:val="18"/>
              </w:rPr>
            </w:pPr>
            <w:r w:rsidRPr="008801CF">
              <w:rPr>
                <w:rFonts w:ascii="Arial" w:hAnsi="Arial" w:cs="Arial"/>
                <w:sz w:val="18"/>
                <w:szCs w:val="18"/>
              </w:rPr>
              <w:t>Výběrové šetření pracovních sil</w:t>
            </w:r>
          </w:p>
        </w:tc>
      </w:tr>
      <w:tr w:rsidR="008801CF" w:rsidRPr="00D92515" w:rsidTr="0043255D">
        <w:trPr>
          <w:trHeight w:val="255"/>
        </w:trPr>
        <w:tc>
          <w:tcPr>
            <w:tcW w:w="1554" w:type="dxa"/>
            <w:tcBorders>
              <w:top w:val="nil"/>
              <w:left w:val="nil"/>
              <w:bottom w:val="nil"/>
              <w:right w:val="nil"/>
            </w:tcBorders>
            <w:shd w:val="clear" w:color="auto" w:fill="auto"/>
            <w:noWrap/>
            <w:vAlign w:val="bottom"/>
          </w:tcPr>
          <w:p w:rsidR="008801CF" w:rsidRPr="008801CF" w:rsidRDefault="008801CF" w:rsidP="008801CF">
            <w:pPr>
              <w:rPr>
                <w:rFonts w:ascii="Arial" w:hAnsi="Arial" w:cs="Arial"/>
                <w:sz w:val="18"/>
                <w:szCs w:val="18"/>
              </w:rPr>
            </w:pPr>
            <w:r w:rsidRPr="008801CF">
              <w:rPr>
                <w:rFonts w:ascii="Arial" w:hAnsi="Arial" w:cs="Arial"/>
                <w:sz w:val="18"/>
                <w:szCs w:val="18"/>
              </w:rPr>
              <w:t>MF ČR</w:t>
            </w:r>
          </w:p>
        </w:tc>
        <w:tc>
          <w:tcPr>
            <w:tcW w:w="7555" w:type="dxa"/>
            <w:gridSpan w:val="2"/>
            <w:tcBorders>
              <w:top w:val="nil"/>
              <w:left w:val="nil"/>
              <w:bottom w:val="nil"/>
              <w:right w:val="nil"/>
            </w:tcBorders>
            <w:shd w:val="clear" w:color="auto" w:fill="auto"/>
            <w:noWrap/>
            <w:vAlign w:val="bottom"/>
          </w:tcPr>
          <w:p w:rsidR="008801CF" w:rsidRPr="008801CF" w:rsidRDefault="008801CF" w:rsidP="008801CF">
            <w:pPr>
              <w:rPr>
                <w:rFonts w:ascii="Arial" w:hAnsi="Arial" w:cs="Arial"/>
                <w:sz w:val="18"/>
                <w:szCs w:val="18"/>
              </w:rPr>
            </w:pPr>
            <w:r w:rsidRPr="008801CF">
              <w:rPr>
                <w:rFonts w:ascii="Arial" w:hAnsi="Arial" w:cs="Arial"/>
                <w:sz w:val="18"/>
                <w:szCs w:val="18"/>
              </w:rPr>
              <w:t>Ministerstvo financí České republiky</w:t>
            </w:r>
          </w:p>
        </w:tc>
      </w:tr>
      <w:tr w:rsidR="00D92515" w:rsidRPr="00D92515" w:rsidTr="0043255D">
        <w:trPr>
          <w:trHeight w:val="255"/>
        </w:trPr>
        <w:tc>
          <w:tcPr>
            <w:tcW w:w="1554" w:type="dxa"/>
            <w:tcBorders>
              <w:top w:val="nil"/>
              <w:left w:val="nil"/>
              <w:bottom w:val="nil"/>
              <w:right w:val="nil"/>
            </w:tcBorders>
            <w:shd w:val="clear" w:color="auto" w:fill="auto"/>
            <w:noWrap/>
            <w:vAlign w:val="bottom"/>
          </w:tcPr>
          <w:p w:rsidR="0037169F" w:rsidRPr="008801CF" w:rsidRDefault="00307170" w:rsidP="008801CF">
            <w:pPr>
              <w:rPr>
                <w:rFonts w:ascii="Arial" w:hAnsi="Arial" w:cs="Arial"/>
                <w:sz w:val="18"/>
                <w:szCs w:val="18"/>
              </w:rPr>
            </w:pPr>
            <w:r w:rsidRPr="008801CF">
              <w:rPr>
                <w:rFonts w:ascii="Arial" w:hAnsi="Arial" w:cs="Arial"/>
                <w:sz w:val="18"/>
                <w:szCs w:val="18"/>
              </w:rPr>
              <w:t>MO</w:t>
            </w:r>
          </w:p>
        </w:tc>
        <w:tc>
          <w:tcPr>
            <w:tcW w:w="7555" w:type="dxa"/>
            <w:gridSpan w:val="2"/>
            <w:tcBorders>
              <w:top w:val="nil"/>
              <w:left w:val="nil"/>
              <w:bottom w:val="nil"/>
              <w:right w:val="nil"/>
            </w:tcBorders>
            <w:shd w:val="clear" w:color="auto" w:fill="auto"/>
            <w:noWrap/>
            <w:vAlign w:val="bottom"/>
          </w:tcPr>
          <w:p w:rsidR="0037169F" w:rsidRPr="008801CF" w:rsidRDefault="00307170" w:rsidP="008801CF">
            <w:pPr>
              <w:rPr>
                <w:rFonts w:ascii="Arial" w:hAnsi="Arial" w:cs="Arial"/>
                <w:sz w:val="18"/>
                <w:szCs w:val="18"/>
              </w:rPr>
            </w:pPr>
            <w:r w:rsidRPr="008801CF">
              <w:rPr>
                <w:rFonts w:ascii="Arial" w:hAnsi="Arial" w:cs="Arial"/>
                <w:sz w:val="18"/>
                <w:szCs w:val="18"/>
              </w:rPr>
              <w:t>Ministerstvo obrany</w:t>
            </w:r>
          </w:p>
        </w:tc>
      </w:tr>
      <w:tr w:rsidR="00CC4822" w:rsidRPr="00CC4822" w:rsidTr="0043255D">
        <w:trPr>
          <w:trHeight w:val="255"/>
        </w:trPr>
        <w:tc>
          <w:tcPr>
            <w:tcW w:w="1554" w:type="dxa"/>
            <w:tcBorders>
              <w:top w:val="nil"/>
              <w:left w:val="nil"/>
              <w:bottom w:val="nil"/>
              <w:right w:val="nil"/>
            </w:tcBorders>
            <w:shd w:val="clear" w:color="auto" w:fill="auto"/>
            <w:noWrap/>
            <w:vAlign w:val="bottom"/>
          </w:tcPr>
          <w:p w:rsidR="0037169F" w:rsidRPr="008801CF" w:rsidRDefault="00CC4822" w:rsidP="008801CF">
            <w:pPr>
              <w:rPr>
                <w:rFonts w:ascii="Arial" w:hAnsi="Arial" w:cs="Arial"/>
                <w:sz w:val="18"/>
                <w:szCs w:val="18"/>
              </w:rPr>
            </w:pPr>
            <w:r w:rsidRPr="008801CF">
              <w:rPr>
                <w:rFonts w:ascii="Arial" w:hAnsi="Arial" w:cs="Arial"/>
                <w:sz w:val="18"/>
                <w:szCs w:val="18"/>
              </w:rPr>
              <w:t>MV</w:t>
            </w:r>
          </w:p>
        </w:tc>
        <w:tc>
          <w:tcPr>
            <w:tcW w:w="7555" w:type="dxa"/>
            <w:gridSpan w:val="2"/>
            <w:tcBorders>
              <w:top w:val="nil"/>
              <w:left w:val="nil"/>
              <w:bottom w:val="nil"/>
              <w:right w:val="nil"/>
            </w:tcBorders>
            <w:shd w:val="clear" w:color="auto" w:fill="auto"/>
            <w:noWrap/>
            <w:vAlign w:val="bottom"/>
          </w:tcPr>
          <w:p w:rsidR="0037169F" w:rsidRPr="008801CF" w:rsidRDefault="00CC4822" w:rsidP="008801CF">
            <w:pPr>
              <w:rPr>
                <w:rFonts w:ascii="Arial" w:hAnsi="Arial" w:cs="Arial"/>
                <w:sz w:val="18"/>
                <w:szCs w:val="18"/>
              </w:rPr>
            </w:pPr>
            <w:r w:rsidRPr="008801CF">
              <w:rPr>
                <w:rFonts w:ascii="Arial" w:hAnsi="Arial" w:cs="Arial"/>
                <w:sz w:val="18"/>
                <w:szCs w:val="18"/>
              </w:rPr>
              <w:t>Ministerstvo vnitra</w:t>
            </w:r>
          </w:p>
        </w:tc>
      </w:tr>
      <w:tr w:rsidR="00CC4822" w:rsidRPr="00CC4822" w:rsidTr="0043255D">
        <w:trPr>
          <w:trHeight w:val="255"/>
        </w:trPr>
        <w:tc>
          <w:tcPr>
            <w:tcW w:w="1554" w:type="dxa"/>
            <w:tcBorders>
              <w:top w:val="nil"/>
              <w:left w:val="nil"/>
              <w:bottom w:val="nil"/>
              <w:right w:val="nil"/>
            </w:tcBorders>
            <w:shd w:val="clear" w:color="auto" w:fill="auto"/>
            <w:noWrap/>
            <w:vAlign w:val="bottom"/>
          </w:tcPr>
          <w:p w:rsidR="00CC4822" w:rsidRPr="008801CF" w:rsidRDefault="00CC4822" w:rsidP="008801CF">
            <w:pPr>
              <w:rPr>
                <w:rFonts w:ascii="Arial" w:hAnsi="Arial" w:cs="Arial"/>
                <w:sz w:val="18"/>
                <w:szCs w:val="18"/>
              </w:rPr>
            </w:pPr>
            <w:r w:rsidRPr="008801CF">
              <w:rPr>
                <w:rFonts w:ascii="Arial" w:hAnsi="Arial" w:cs="Arial"/>
                <w:sz w:val="18"/>
                <w:szCs w:val="18"/>
              </w:rPr>
              <w:t>PMS</w:t>
            </w:r>
          </w:p>
        </w:tc>
        <w:tc>
          <w:tcPr>
            <w:tcW w:w="7555" w:type="dxa"/>
            <w:gridSpan w:val="2"/>
            <w:tcBorders>
              <w:top w:val="nil"/>
              <w:left w:val="nil"/>
              <w:bottom w:val="nil"/>
              <w:right w:val="nil"/>
            </w:tcBorders>
            <w:shd w:val="clear" w:color="auto" w:fill="auto"/>
            <w:noWrap/>
            <w:vAlign w:val="bottom"/>
          </w:tcPr>
          <w:p w:rsidR="00CC4822" w:rsidRPr="008801CF" w:rsidRDefault="00CC4822" w:rsidP="008801CF">
            <w:pPr>
              <w:rPr>
                <w:rFonts w:ascii="Arial" w:hAnsi="Arial" w:cs="Arial"/>
                <w:sz w:val="18"/>
                <w:szCs w:val="18"/>
              </w:rPr>
            </w:pPr>
            <w:r w:rsidRPr="008801CF">
              <w:rPr>
                <w:rFonts w:ascii="Arial" w:hAnsi="Arial" w:cs="Arial"/>
                <w:sz w:val="18"/>
                <w:szCs w:val="18"/>
              </w:rPr>
              <w:t>Probačně mediační služba</w:t>
            </w:r>
          </w:p>
        </w:tc>
      </w:tr>
    </w:tbl>
    <w:p w:rsidR="001C7E59" w:rsidRPr="00CC4822" w:rsidRDefault="001C7E59" w:rsidP="0043255D">
      <w:pPr>
        <w:spacing w:line="360" w:lineRule="auto"/>
        <w:jc w:val="both"/>
      </w:pPr>
    </w:p>
    <w:sectPr w:rsidR="001C7E59" w:rsidRPr="00CC4822" w:rsidSect="004B4524">
      <w:footerReference w:type="even" r:id="rId38"/>
      <w:footerReference w:type="default" r:id="rId39"/>
      <w:pgSz w:w="11906" w:h="16838"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2725" w:rsidRDefault="00172725">
      <w:r>
        <w:separator/>
      </w:r>
    </w:p>
  </w:endnote>
  <w:endnote w:type="continuationSeparator" w:id="0">
    <w:p w:rsidR="00172725" w:rsidRDefault="00172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7" w:usb1="00000000" w:usb2="00000000" w:usb3="00000000" w:csb0="00000003" w:csb1="00000000"/>
  </w:font>
  <w:font w:name="Arial CE">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725" w:rsidRDefault="0017272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172725" w:rsidRDefault="00172725">
    <w:pPr>
      <w:pStyle w:val="Zpat"/>
      <w:ind w:right="360"/>
    </w:pPr>
  </w:p>
  <w:p w:rsidR="00172725" w:rsidRDefault="0017272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725" w:rsidRDefault="0017272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0177EE">
      <w:rPr>
        <w:rStyle w:val="slostrnky"/>
        <w:noProof/>
      </w:rPr>
      <w:t>81</w:t>
    </w:r>
    <w:r>
      <w:rPr>
        <w:rStyle w:val="slostrnky"/>
      </w:rPr>
      <w:fldChar w:fldCharType="end"/>
    </w:r>
  </w:p>
  <w:p w:rsidR="00172725" w:rsidRDefault="00172725"/>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725" w:rsidRDefault="0017272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172725" w:rsidRDefault="00172725">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725" w:rsidRDefault="0017272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0177EE">
      <w:rPr>
        <w:rStyle w:val="slostrnky"/>
        <w:noProof/>
      </w:rPr>
      <w:t>82</w:t>
    </w:r>
    <w:r>
      <w:rPr>
        <w:rStyle w:val="slostrnk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2725" w:rsidRDefault="00172725">
      <w:r>
        <w:separator/>
      </w:r>
    </w:p>
  </w:footnote>
  <w:footnote w:type="continuationSeparator" w:id="0">
    <w:p w:rsidR="00172725" w:rsidRDefault="00172725">
      <w:r>
        <w:continuationSeparator/>
      </w:r>
    </w:p>
  </w:footnote>
  <w:footnote w:id="1">
    <w:p w:rsidR="00172725" w:rsidRPr="008C67D5" w:rsidRDefault="00172725" w:rsidP="007A49EF">
      <w:pPr>
        <w:pStyle w:val="Textpoznpodarou"/>
        <w:jc w:val="both"/>
        <w:rPr>
          <w:rFonts w:ascii="Arial" w:hAnsi="Arial" w:cs="Arial"/>
          <w:i/>
          <w:sz w:val="16"/>
          <w:szCs w:val="16"/>
        </w:rPr>
      </w:pPr>
      <w:r w:rsidRPr="008C67D5">
        <w:rPr>
          <w:rStyle w:val="Znakapoznpodarou"/>
          <w:i/>
          <w:sz w:val="16"/>
          <w:szCs w:val="16"/>
        </w:rPr>
        <w:footnoteRef/>
      </w:r>
      <w:r w:rsidRPr="008C67D5">
        <w:rPr>
          <w:rFonts w:ascii="Arial" w:hAnsi="Arial" w:cs="Arial"/>
          <w:i/>
          <w:sz w:val="16"/>
          <w:szCs w:val="16"/>
        </w:rPr>
        <w:t xml:space="preserve">  Některé údaje nemusí odpovídat hodnotám obdobných ukazatelů z jiných statistických zdrojů. Např. údaje o ekonomicky neaktivních přesně nekorespondují s údaji podle statistiky MŠMT, resp. MPSV – ČSSZ zejména proto, že žáci, studenti nebo důchodci, kteří v referenčním týdnu splňovali krit</w:t>
      </w:r>
      <w:r>
        <w:rPr>
          <w:rFonts w:ascii="Arial" w:hAnsi="Arial" w:cs="Arial"/>
          <w:i/>
          <w:sz w:val="16"/>
          <w:szCs w:val="16"/>
        </w:rPr>
        <w:t>é</w:t>
      </w:r>
      <w:r w:rsidRPr="008C67D5">
        <w:rPr>
          <w:rFonts w:ascii="Arial" w:hAnsi="Arial" w:cs="Arial"/>
          <w:i/>
          <w:sz w:val="16"/>
          <w:szCs w:val="16"/>
        </w:rPr>
        <w:t>rium pro zařazení mezi osoby v zaměstnání nebo nezaměstnané, nejsou vykazováni jako ekonomicky neaktivní (viz Metodické poznámky).</w:t>
      </w:r>
    </w:p>
    <w:p w:rsidR="00172725" w:rsidRPr="008C67D5" w:rsidRDefault="00172725" w:rsidP="007A49EF">
      <w:pPr>
        <w:tabs>
          <w:tab w:val="center" w:pos="720"/>
        </w:tabs>
        <w:jc w:val="both"/>
        <w:rPr>
          <w:rFonts w:ascii="Arial" w:hAnsi="Arial" w:cs="Arial"/>
          <w:i/>
          <w:sz w:val="16"/>
          <w:szCs w:val="16"/>
        </w:rPr>
      </w:pPr>
      <w:r w:rsidRPr="008C67D5">
        <w:rPr>
          <w:rFonts w:ascii="Arial" w:hAnsi="Arial" w:cs="Arial"/>
          <w:i/>
          <w:sz w:val="16"/>
          <w:szCs w:val="16"/>
        </w:rPr>
        <w:t>Pozn.: odchylky součtu osob v jednotlivých kategoriích celkového počtu souvisejí se zaokrouhlováním hodnot na jedno desetinné místo.</w:t>
      </w:r>
    </w:p>
  </w:footnote>
  <w:footnote w:id="2">
    <w:p w:rsidR="00172725" w:rsidRDefault="00172725" w:rsidP="007A49EF">
      <w:pPr>
        <w:pStyle w:val="Textpoznpodarou"/>
      </w:pPr>
      <w:r w:rsidRPr="004E3AA9">
        <w:rPr>
          <w:rStyle w:val="Znakapoznpodarou"/>
          <w:i/>
          <w:iCs/>
          <w:sz w:val="18"/>
          <w:szCs w:val="18"/>
        </w:rPr>
        <w:footnoteRef/>
      </w:r>
      <w:r w:rsidRPr="004E3AA9">
        <w:rPr>
          <w:rFonts w:ascii="Arial" w:hAnsi="Arial" w:cs="Arial"/>
          <w:i/>
          <w:iCs/>
          <w:sz w:val="18"/>
          <w:szCs w:val="18"/>
        </w:rPr>
        <w:t xml:space="preserve"> Podrobnější</w:t>
      </w:r>
      <w:r>
        <w:rPr>
          <w:rFonts w:ascii="Arial" w:hAnsi="Arial" w:cs="Arial"/>
          <w:i/>
          <w:iCs/>
          <w:sz w:val="18"/>
        </w:rPr>
        <w:t xml:space="preserve"> údaje o struktuře </w:t>
      </w:r>
      <w:r w:rsidRPr="007D6B5D">
        <w:rPr>
          <w:rFonts w:ascii="Arial" w:hAnsi="Arial" w:cs="Arial"/>
          <w:i/>
          <w:iCs/>
          <w:sz w:val="18"/>
        </w:rPr>
        <w:t>zaměstnaných mužů a žen jsou v příloze č. 4</w:t>
      </w:r>
    </w:p>
  </w:footnote>
  <w:footnote w:id="3">
    <w:p w:rsidR="00172725" w:rsidRPr="002E2FCD" w:rsidRDefault="00172725" w:rsidP="00730AC8">
      <w:pPr>
        <w:pStyle w:val="Textpoznpodarou"/>
        <w:jc w:val="both"/>
        <w:rPr>
          <w:i/>
        </w:rPr>
      </w:pPr>
      <w:r>
        <w:rPr>
          <w:rStyle w:val="Znakapoznpodarou"/>
        </w:rPr>
        <w:footnoteRef/>
      </w:r>
      <w:r>
        <w:t xml:space="preserve"> </w:t>
      </w:r>
      <w:r w:rsidRPr="0045098B">
        <w:rPr>
          <w:rFonts w:ascii="Arial" w:hAnsi="Arial" w:cs="Arial"/>
          <w:b/>
          <w:i/>
        </w:rPr>
        <w:t>Podíl nezaměstnaných osob</w:t>
      </w:r>
      <w:r>
        <w:rPr>
          <w:rFonts w:ascii="Arial" w:hAnsi="Arial" w:cs="Arial"/>
          <w:b/>
          <w:i/>
        </w:rPr>
        <w:t xml:space="preserve">, </w:t>
      </w:r>
      <w:r w:rsidRPr="0045098B">
        <w:rPr>
          <w:rFonts w:ascii="Arial" w:hAnsi="Arial" w:cs="Arial"/>
          <w:i/>
        </w:rPr>
        <w:t>tj.</w:t>
      </w:r>
      <w:r>
        <w:rPr>
          <w:rFonts w:ascii="Arial" w:hAnsi="Arial" w:cs="Arial"/>
          <w:i/>
        </w:rPr>
        <w:t xml:space="preserve"> </w:t>
      </w:r>
      <w:r w:rsidRPr="002E2FCD">
        <w:rPr>
          <w:rFonts w:ascii="Arial" w:hAnsi="Arial" w:cs="Arial"/>
          <w:i/>
        </w:rPr>
        <w:t xml:space="preserve">počet dosažitelných uchazečů o zaměstnání ve věku 15 – 64 let k obyvatelstvu stejného věku, počínaje lednem 2013 nahradil míru registrované nezaměstnanosti, viz Metodické poznámky; důvody změny ukazatele a zpětně spočtená časová řada od roku 2005 je na adrese </w:t>
      </w:r>
      <w:hyperlink r:id="rId1" w:history="1">
        <w:r w:rsidRPr="002E2FCD">
          <w:rPr>
            <w:rStyle w:val="Hypertextovodkaz"/>
            <w:rFonts w:ascii="Arial" w:hAnsi="Arial" w:cs="Arial"/>
            <w:i/>
          </w:rPr>
          <w:t>http://portal.mpsv.cz/sz/stat/nz/zmena_metodiky</w:t>
        </w:r>
      </w:hyperlink>
      <w:r w:rsidRPr="002E2FCD">
        <w:rPr>
          <w:rFonts w:ascii="Arial" w:hAnsi="Arial" w:cs="Arial"/>
          <w:i/>
        </w:rPr>
        <w:t xml:space="preserve"> </w:t>
      </w:r>
    </w:p>
  </w:footnote>
  <w:footnote w:id="4">
    <w:p w:rsidR="00172725" w:rsidRDefault="00172725" w:rsidP="00730AC8">
      <w:pPr>
        <w:pStyle w:val="Textpoznpodarou"/>
        <w:rPr>
          <w:rFonts w:ascii="Arial" w:hAnsi="Arial" w:cs="Arial"/>
          <w:i/>
          <w:iCs/>
          <w:sz w:val="18"/>
        </w:rPr>
      </w:pPr>
      <w:r>
        <w:rPr>
          <w:rStyle w:val="Znakapoznpodarou"/>
          <w:i/>
          <w:iCs/>
          <w:sz w:val="18"/>
        </w:rPr>
        <w:footnoteRef/>
      </w:r>
      <w:r>
        <w:rPr>
          <w:rFonts w:ascii="Arial" w:hAnsi="Arial" w:cs="Arial"/>
          <w:i/>
          <w:iCs/>
          <w:sz w:val="18"/>
        </w:rPr>
        <w:t xml:space="preserve"> Zákon č. 435/2004 Sb., o zaměstnanosti rozlišuje v § 29 ukončení evidence a v § 30 vyřazení z evidence. V tomto materiálu jsou pod pojmem </w:t>
      </w:r>
      <w:r>
        <w:rPr>
          <w:rFonts w:ascii="Arial" w:hAnsi="Arial" w:cs="Arial"/>
          <w:b/>
          <w:bCs/>
          <w:i/>
          <w:iCs/>
          <w:sz w:val="18"/>
        </w:rPr>
        <w:t>vyřazení z evidence</w:t>
      </w:r>
      <w:r>
        <w:rPr>
          <w:rFonts w:ascii="Arial" w:hAnsi="Arial" w:cs="Arial"/>
          <w:i/>
          <w:iCs/>
          <w:sz w:val="18"/>
        </w:rPr>
        <w:t xml:space="preserve"> považovány obě formy odchodu z evidence. </w:t>
      </w:r>
    </w:p>
  </w:footnote>
  <w:footnote w:id="5">
    <w:p w:rsidR="00172725" w:rsidRPr="00D66852" w:rsidRDefault="00172725" w:rsidP="00730AC8">
      <w:pPr>
        <w:pStyle w:val="Textpoznpodarou"/>
        <w:jc w:val="both"/>
        <w:rPr>
          <w:rFonts w:ascii="Arial" w:hAnsi="Arial" w:cs="Arial"/>
        </w:rPr>
      </w:pPr>
      <w:r>
        <w:rPr>
          <w:rStyle w:val="Znakapoznpodarou"/>
        </w:rPr>
        <w:footnoteRef/>
      </w:r>
      <w:r>
        <w:t xml:space="preserve"> </w:t>
      </w:r>
      <w:r w:rsidRPr="00D66852">
        <w:rPr>
          <w:rFonts w:ascii="Arial" w:hAnsi="Arial" w:cs="Arial"/>
          <w:bCs/>
          <w:i/>
          <w:sz w:val="18"/>
          <w:szCs w:val="18"/>
        </w:rPr>
        <w:t xml:space="preserve">např. odmítnutí nástupu vhodného zaměstnání, dohodnuté rekvalifikace, neposkytnutí součinnosti při vypracování individuálního akčního plánu, jeho neplnění, odmítnutí vykonávat veřejnou službu, odmítnutí podrobit se vyšetření zdravotního stavu, </w:t>
      </w:r>
      <w:r>
        <w:rPr>
          <w:rFonts w:ascii="Arial" w:hAnsi="Arial" w:cs="Arial"/>
          <w:i/>
          <w:iCs/>
          <w:sz w:val="18"/>
        </w:rPr>
        <w:t xml:space="preserve">výkon nelegální práce, </w:t>
      </w:r>
      <w:r w:rsidRPr="00D66852">
        <w:rPr>
          <w:rFonts w:ascii="Arial" w:hAnsi="Arial" w:cs="Arial"/>
          <w:bCs/>
          <w:i/>
          <w:sz w:val="18"/>
          <w:szCs w:val="18"/>
        </w:rPr>
        <w:t>maření součinnosti s krajskou pobočkou ÚP</w:t>
      </w:r>
      <w:r>
        <w:rPr>
          <w:rFonts w:ascii="Arial" w:hAnsi="Arial" w:cs="Arial"/>
          <w:bCs/>
          <w:i/>
          <w:sz w:val="18"/>
          <w:szCs w:val="18"/>
        </w:rPr>
        <w:t xml:space="preserve"> ČR </w:t>
      </w:r>
      <w:r w:rsidRPr="00D66852">
        <w:rPr>
          <w:rFonts w:ascii="Arial" w:hAnsi="Arial" w:cs="Arial"/>
          <w:bCs/>
          <w:i/>
          <w:sz w:val="18"/>
          <w:szCs w:val="18"/>
        </w:rPr>
        <w:t>(§30 (2),</w:t>
      </w:r>
      <w:r>
        <w:rPr>
          <w:rFonts w:ascii="Arial" w:hAnsi="Arial" w:cs="Arial"/>
          <w:bCs/>
          <w:i/>
          <w:sz w:val="18"/>
          <w:szCs w:val="18"/>
        </w:rPr>
        <w:t xml:space="preserve"> </w:t>
      </w:r>
      <w:r w:rsidRPr="00D66852">
        <w:rPr>
          <w:rFonts w:ascii="Arial" w:hAnsi="Arial" w:cs="Arial"/>
          <w:bCs/>
          <w:i/>
          <w:sz w:val="18"/>
          <w:szCs w:val="18"/>
        </w:rPr>
        <w:t>§31 zákona o</w:t>
      </w:r>
      <w:r>
        <w:rPr>
          <w:rFonts w:ascii="Arial" w:hAnsi="Arial" w:cs="Arial"/>
          <w:bCs/>
          <w:i/>
          <w:sz w:val="18"/>
          <w:szCs w:val="18"/>
        </w:rPr>
        <w:t> </w:t>
      </w:r>
      <w:r w:rsidRPr="00D66852">
        <w:rPr>
          <w:rFonts w:ascii="Arial" w:hAnsi="Arial" w:cs="Arial"/>
          <w:bCs/>
          <w:i/>
          <w:sz w:val="18"/>
          <w:szCs w:val="18"/>
        </w:rPr>
        <w:t>zaměstnanosti).</w:t>
      </w:r>
    </w:p>
  </w:footnote>
  <w:footnote w:id="6">
    <w:p w:rsidR="00172725" w:rsidRDefault="00172725" w:rsidP="00730AC8">
      <w:pPr>
        <w:pStyle w:val="Textpoznpodarou"/>
        <w:jc w:val="both"/>
        <w:rPr>
          <w:rFonts w:ascii="Arial" w:hAnsi="Arial" w:cs="Arial"/>
          <w:i/>
          <w:iCs/>
          <w:sz w:val="18"/>
        </w:rPr>
      </w:pPr>
      <w:r>
        <w:rPr>
          <w:rStyle w:val="Znakapoznpodarou"/>
          <w:i/>
          <w:sz w:val="18"/>
          <w:szCs w:val="18"/>
        </w:rPr>
        <w:footnoteRef/>
      </w:r>
      <w:r>
        <w:rPr>
          <w:rFonts w:ascii="Arial" w:hAnsi="Arial" w:cs="Arial"/>
          <w:i/>
          <w:sz w:val="18"/>
          <w:szCs w:val="18"/>
        </w:rPr>
        <w:t xml:space="preserve"> </w:t>
      </w:r>
      <w:r>
        <w:rPr>
          <w:rFonts w:ascii="Arial" w:hAnsi="Arial" w:cs="Arial"/>
          <w:i/>
          <w:iCs/>
          <w:sz w:val="18"/>
          <w:szCs w:val="18"/>
        </w:rPr>
        <w:t>tj.</w:t>
      </w:r>
      <w:r>
        <w:rPr>
          <w:rFonts w:ascii="Arial" w:hAnsi="Arial" w:cs="Arial"/>
          <w:i/>
          <w:iCs/>
          <w:sz w:val="18"/>
        </w:rPr>
        <w:t xml:space="preserve"> uchazeči o zaměstnání, kteří písemně požádali o ukončení evidence na ÚP ČR (např. z důvodu nástupu na rodičovskou dovolenou nebo odchodu do důchodu), vyřazení z důvodu nástupu na soustavnou přípravu na povolání, ve vazbě po dobu delší než 6 měsíců nebo nastoupili výkon trestu odnětí svobody, </w:t>
      </w:r>
      <w:r w:rsidRPr="00EE0CCF">
        <w:rPr>
          <w:rFonts w:ascii="Arial" w:hAnsi="Arial" w:cs="Arial"/>
          <w:i/>
          <w:iCs/>
          <w:sz w:val="18"/>
          <w:szCs w:val="18"/>
        </w:rPr>
        <w:t xml:space="preserve">stali se </w:t>
      </w:r>
      <w:r w:rsidRPr="00EE0CCF">
        <w:rPr>
          <w:rFonts w:ascii="Arial" w:hAnsi="Arial" w:cs="Arial"/>
          <w:i/>
          <w:sz w:val="18"/>
          <w:szCs w:val="18"/>
        </w:rPr>
        <w:t xml:space="preserve"> invalidními  ve třetím stupni podle </w:t>
      </w:r>
      <w:hyperlink r:id="rId2" w:history="1">
        <w:r w:rsidRPr="00EE0CCF">
          <w:rPr>
            <w:rFonts w:ascii="Arial" w:hAnsi="Arial" w:cs="Arial"/>
            <w:i/>
            <w:sz w:val="18"/>
            <w:szCs w:val="18"/>
          </w:rPr>
          <w:t>§ 39 odst. 2 písm. c) zákona č. 155/1995 Sb.</w:t>
        </w:r>
      </w:hyperlink>
      <w:r w:rsidRPr="00EE0CCF">
        <w:rPr>
          <w:rFonts w:ascii="Arial" w:hAnsi="Arial" w:cs="Arial"/>
          <w:i/>
          <w:sz w:val="18"/>
          <w:szCs w:val="18"/>
        </w:rPr>
        <w:t xml:space="preserve">, </w:t>
      </w:r>
      <w:r>
        <w:rPr>
          <w:rFonts w:ascii="Arial" w:hAnsi="Arial" w:cs="Arial"/>
          <w:i/>
          <w:sz w:val="18"/>
          <w:szCs w:val="18"/>
        </w:rPr>
        <w:t xml:space="preserve">o důchodovém pojištění, </w:t>
      </w:r>
      <w:r w:rsidRPr="00EE0CCF">
        <w:rPr>
          <w:rFonts w:ascii="Arial" w:hAnsi="Arial" w:cs="Arial"/>
          <w:i/>
          <w:sz w:val="18"/>
          <w:szCs w:val="18"/>
        </w:rPr>
        <w:t>ve znění pozdějších</w:t>
      </w:r>
      <w:r>
        <w:rPr>
          <w:rFonts w:ascii="Arial" w:hAnsi="Arial" w:cs="Arial"/>
          <w:i/>
          <w:sz w:val="18"/>
          <w:szCs w:val="18"/>
        </w:rPr>
        <w:t xml:space="preserve"> </w:t>
      </w:r>
      <w:r w:rsidRPr="00EE0CCF">
        <w:rPr>
          <w:rFonts w:ascii="Arial" w:hAnsi="Arial" w:cs="Arial"/>
          <w:i/>
          <w:sz w:val="18"/>
          <w:szCs w:val="18"/>
        </w:rPr>
        <w:t>předpisů</w:t>
      </w:r>
      <w:r>
        <w:rPr>
          <w:rFonts w:ascii="Arial" w:hAnsi="Arial" w:cs="Arial"/>
          <w:i/>
          <w:sz w:val="18"/>
          <w:szCs w:val="18"/>
        </w:rPr>
        <w:t xml:space="preserve"> </w:t>
      </w:r>
      <w:r w:rsidRPr="00EE0CCF">
        <w:rPr>
          <w:rFonts w:ascii="Arial" w:hAnsi="Arial" w:cs="Arial"/>
          <w:i/>
          <w:sz w:val="18"/>
          <w:szCs w:val="18"/>
        </w:rPr>
        <w:t>(s výjimkou fyzických osob, které jsou invalidní ve třetím stupni a jsou schopni výdělečné činnosti za zcela mimořádných podmínek)</w:t>
      </w:r>
      <w:r w:rsidRPr="00EE0CCF">
        <w:rPr>
          <w:rFonts w:ascii="Arial" w:hAnsi="Arial" w:cs="Arial"/>
          <w:i/>
          <w:iCs/>
          <w:sz w:val="18"/>
          <w:szCs w:val="18"/>
        </w:rPr>
        <w:t xml:space="preserve">, </w:t>
      </w:r>
      <w:r>
        <w:rPr>
          <w:rFonts w:ascii="Arial" w:hAnsi="Arial" w:cs="Arial"/>
          <w:i/>
          <w:iCs/>
          <w:sz w:val="18"/>
        </w:rPr>
        <w:t>písemně požádali o ukončení evidence na ÚP ČR, změnili trvalé bydliště, dále přirozený úbytek, apod.</w:t>
      </w:r>
    </w:p>
  </w:footnote>
  <w:footnote w:id="7">
    <w:p w:rsidR="00172725" w:rsidRPr="0025090F" w:rsidRDefault="00172725" w:rsidP="000F684F">
      <w:pPr>
        <w:jc w:val="both"/>
        <w:rPr>
          <w:i/>
          <w:sz w:val="18"/>
          <w:szCs w:val="18"/>
        </w:rPr>
      </w:pPr>
      <w:r w:rsidRPr="00F0451C">
        <w:rPr>
          <w:rStyle w:val="Znakapoznpodarou"/>
          <w:i/>
        </w:rPr>
        <w:footnoteRef/>
      </w:r>
      <w:r>
        <w:t xml:space="preserve"> </w:t>
      </w:r>
      <w:r w:rsidRPr="0025090F">
        <w:rPr>
          <w:rFonts w:ascii="Arial" w:hAnsi="Arial" w:cs="Arial"/>
          <w:b/>
          <w:i/>
          <w:sz w:val="18"/>
          <w:szCs w:val="18"/>
        </w:rPr>
        <w:t>Oblast podpory 3.1</w:t>
      </w:r>
      <w:r w:rsidRPr="0025090F">
        <w:rPr>
          <w:rFonts w:ascii="Arial" w:hAnsi="Arial" w:cs="Arial"/>
          <w:i/>
          <w:sz w:val="18"/>
          <w:szCs w:val="18"/>
        </w:rPr>
        <w:t xml:space="preserve"> - </w:t>
      </w:r>
      <w:r w:rsidRPr="0025090F">
        <w:rPr>
          <w:rFonts w:ascii="Arial" w:hAnsi="Arial" w:cs="Arial"/>
          <w:b/>
          <w:i/>
          <w:sz w:val="18"/>
          <w:szCs w:val="18"/>
        </w:rPr>
        <w:t>Podpora sociální integrace a sociálních služeb</w:t>
      </w:r>
      <w:r w:rsidRPr="0025090F">
        <w:rPr>
          <w:i/>
          <w:sz w:val="18"/>
          <w:szCs w:val="18"/>
        </w:rPr>
        <w:t xml:space="preserve"> </w:t>
      </w:r>
      <w:r w:rsidRPr="0025090F">
        <w:rPr>
          <w:rFonts w:ascii="Arial" w:hAnsi="Arial" w:cs="Arial"/>
          <w:i/>
          <w:sz w:val="18"/>
          <w:szCs w:val="18"/>
        </w:rPr>
        <w:t xml:space="preserve">je zaměřena na cílové skupiny v ohrožení sociálním vyloučením či přímo sociálně vyloučené; jedním z nástrojů pro prevenci nebo boj proti sociálnímu vyloučení je zvyšování kompetencí příslušníků cílových skupin a zlepšování jejich situace na trhu práce. V této oblasti se realizují </w:t>
      </w:r>
      <w:r w:rsidRPr="0025090F">
        <w:rPr>
          <w:rFonts w:ascii="Arial" w:hAnsi="Arial" w:cs="Arial"/>
          <w:b/>
          <w:i/>
          <w:sz w:val="18"/>
          <w:szCs w:val="18"/>
        </w:rPr>
        <w:t>projekty zaměřené</w:t>
      </w:r>
      <w:r w:rsidRPr="0025090F">
        <w:rPr>
          <w:rFonts w:ascii="Arial" w:hAnsi="Arial" w:cs="Arial"/>
          <w:i/>
          <w:sz w:val="18"/>
          <w:szCs w:val="18"/>
        </w:rPr>
        <w:t xml:space="preserve"> </w:t>
      </w:r>
      <w:r w:rsidRPr="0025090F">
        <w:rPr>
          <w:rFonts w:ascii="Arial" w:hAnsi="Arial" w:cs="Arial"/>
          <w:b/>
          <w:i/>
          <w:sz w:val="18"/>
          <w:szCs w:val="18"/>
        </w:rPr>
        <w:t>na kvalitu a dostupnost sociálních služeb</w:t>
      </w:r>
      <w:r w:rsidRPr="0025090F">
        <w:rPr>
          <w:rFonts w:ascii="Arial" w:hAnsi="Arial" w:cs="Arial"/>
          <w:i/>
          <w:sz w:val="18"/>
          <w:szCs w:val="18"/>
        </w:rPr>
        <w:t xml:space="preserve">, případně na vzdělávání jejich pracovníků, ale </w:t>
      </w:r>
      <w:r w:rsidRPr="0025090F">
        <w:rPr>
          <w:rFonts w:ascii="Arial" w:hAnsi="Arial" w:cs="Arial"/>
          <w:b/>
          <w:i/>
          <w:sz w:val="18"/>
          <w:szCs w:val="18"/>
        </w:rPr>
        <w:t>také</w:t>
      </w:r>
      <w:r w:rsidRPr="0025090F">
        <w:rPr>
          <w:rFonts w:ascii="Arial" w:hAnsi="Arial" w:cs="Arial"/>
          <w:i/>
          <w:sz w:val="18"/>
          <w:szCs w:val="18"/>
        </w:rPr>
        <w:t xml:space="preserve"> projekty </w:t>
      </w:r>
      <w:r w:rsidRPr="0025090F">
        <w:rPr>
          <w:rFonts w:ascii="Arial" w:hAnsi="Arial" w:cs="Arial"/>
          <w:b/>
          <w:i/>
          <w:sz w:val="18"/>
          <w:szCs w:val="18"/>
        </w:rPr>
        <w:t>zaměřené přímo na uplatnitelnost cílových skupin na trhu práce</w:t>
      </w:r>
      <w:r w:rsidRPr="0025090F">
        <w:rPr>
          <w:rFonts w:ascii="Arial" w:hAnsi="Arial" w:cs="Arial"/>
          <w:i/>
          <w:sz w:val="18"/>
          <w:szCs w:val="18"/>
        </w:rPr>
        <w:t xml:space="preserve"> nebo přímo na rozvoj sociálního podnikání.</w:t>
      </w:r>
    </w:p>
    <w:p w:rsidR="00172725" w:rsidRDefault="00172725" w:rsidP="000F684F">
      <w:pPr>
        <w:jc w:val="both"/>
        <w:rPr>
          <w:rFonts w:ascii="Arial" w:hAnsi="Arial" w:cs="Arial"/>
          <w:i/>
          <w:sz w:val="18"/>
          <w:szCs w:val="18"/>
        </w:rPr>
      </w:pPr>
      <w:r w:rsidRPr="0025090F">
        <w:rPr>
          <w:rFonts w:ascii="Arial" w:hAnsi="Arial" w:cs="Arial"/>
          <w:b/>
          <w:i/>
          <w:sz w:val="18"/>
          <w:szCs w:val="18"/>
        </w:rPr>
        <w:t>Oblast podpory 3.2</w:t>
      </w:r>
      <w:r w:rsidRPr="0025090F">
        <w:rPr>
          <w:rFonts w:ascii="Arial" w:hAnsi="Arial" w:cs="Arial"/>
          <w:i/>
          <w:sz w:val="18"/>
          <w:szCs w:val="18"/>
        </w:rPr>
        <w:t xml:space="preserve"> - </w:t>
      </w:r>
      <w:r w:rsidRPr="0025090F">
        <w:rPr>
          <w:rFonts w:ascii="Arial" w:hAnsi="Arial" w:cs="Arial"/>
          <w:b/>
          <w:i/>
          <w:sz w:val="18"/>
          <w:szCs w:val="18"/>
        </w:rPr>
        <w:t>Podpora sociální integrace příslušníků romských lokalit</w:t>
      </w:r>
      <w:r w:rsidRPr="0025090F">
        <w:rPr>
          <w:i/>
          <w:sz w:val="18"/>
          <w:szCs w:val="18"/>
        </w:rPr>
        <w:t xml:space="preserve"> </w:t>
      </w:r>
      <w:r w:rsidRPr="0025090F">
        <w:rPr>
          <w:rFonts w:ascii="Arial" w:hAnsi="Arial" w:cs="Arial"/>
          <w:i/>
          <w:sz w:val="18"/>
          <w:szCs w:val="18"/>
        </w:rPr>
        <w:t>je zaměřena stejným</w:t>
      </w:r>
      <w:r>
        <w:rPr>
          <w:rFonts w:ascii="Arial" w:hAnsi="Arial" w:cs="Arial"/>
          <w:i/>
          <w:sz w:val="18"/>
          <w:szCs w:val="18"/>
        </w:rPr>
        <w:t xml:space="preserve"> směrem, jako oblast podpory 3.1</w:t>
      </w:r>
      <w:r w:rsidRPr="0025090F">
        <w:rPr>
          <w:rFonts w:ascii="Arial" w:hAnsi="Arial" w:cs="Arial"/>
          <w:i/>
          <w:sz w:val="18"/>
          <w:szCs w:val="18"/>
        </w:rPr>
        <w:t xml:space="preserve"> cílovou skupinou jsou přímo příslušníci romských lokalit. </w:t>
      </w:r>
    </w:p>
    <w:p w:rsidR="00172725" w:rsidRDefault="00172725" w:rsidP="000F684F">
      <w:pPr>
        <w:jc w:val="both"/>
      </w:pPr>
      <w:r w:rsidRPr="000E01AD">
        <w:rPr>
          <w:rFonts w:ascii="Arial" w:hAnsi="Arial" w:cs="Arial"/>
          <w:b/>
          <w:i/>
          <w:sz w:val="18"/>
          <w:szCs w:val="18"/>
        </w:rPr>
        <w:t xml:space="preserve">Oblast podpory 3.4 </w:t>
      </w:r>
      <w:r w:rsidRPr="00BE6860">
        <w:rPr>
          <w:rFonts w:ascii="Arial" w:hAnsi="Arial" w:cs="Arial"/>
          <w:i/>
          <w:sz w:val="18"/>
          <w:szCs w:val="18"/>
        </w:rPr>
        <w:t>-</w:t>
      </w:r>
      <w:r w:rsidRPr="000E01AD">
        <w:rPr>
          <w:rFonts w:ascii="Arial" w:hAnsi="Arial" w:cs="Arial"/>
          <w:b/>
          <w:i/>
          <w:sz w:val="18"/>
          <w:szCs w:val="18"/>
        </w:rPr>
        <w:t xml:space="preserve"> Rovné příležitosti žen a mužů na trhu práce a sladění pracovního a rodinného života</w:t>
      </w:r>
      <w:r w:rsidRPr="000E01AD">
        <w:rPr>
          <w:rFonts w:ascii="Arial" w:hAnsi="Arial" w:cs="Arial"/>
          <w:i/>
          <w:sz w:val="18"/>
          <w:szCs w:val="18"/>
        </w:rPr>
        <w:t xml:space="preserve"> - nejčastějšími aktivitami </w:t>
      </w:r>
      <w:r w:rsidRPr="00EB1623">
        <w:rPr>
          <w:rFonts w:ascii="Arial" w:hAnsi="Arial" w:cs="Arial"/>
          <w:i/>
          <w:sz w:val="18"/>
          <w:szCs w:val="18"/>
        </w:rPr>
        <w:t>jsou příprava na SVČ, kvalifikační a rekvalifikační programy, motivační kurzy, kariérní poradenství a bilanční diagnostika, v oblasti slaďování pracovního a rodinného života je to zejména zavádění flexibilních forem práce</w:t>
      </w:r>
      <w:r w:rsidRPr="00D47CEE">
        <w:rPr>
          <w:rFonts w:ascii="Arial" w:hAnsi="Arial" w:cs="Arial"/>
          <w:i/>
          <w:sz w:val="18"/>
          <w:szCs w:val="18"/>
        </w:rPr>
        <w:t>, podnikových služeb péče o děti, motivace a vzdělávání zaměstnavatelů v této oblasti.</w:t>
      </w:r>
    </w:p>
  </w:footnote>
  <w:footnote w:id="8">
    <w:p w:rsidR="00172725" w:rsidRDefault="00172725" w:rsidP="001B48C2">
      <w:pPr>
        <w:pStyle w:val="Textpoznpodarou"/>
        <w:rPr>
          <w:rFonts w:ascii="Arial" w:hAnsi="Arial" w:cs="Arial"/>
          <w:i/>
        </w:rPr>
      </w:pPr>
      <w:r>
        <w:rPr>
          <w:rStyle w:val="Znakapoznpodarou"/>
          <w:rFonts w:ascii="Arial" w:hAnsi="Arial" w:cs="Arial"/>
          <w:i/>
          <w:sz w:val="18"/>
          <w:szCs w:val="18"/>
        </w:rPr>
        <w:footnoteRef/>
      </w:r>
      <w:r>
        <w:rPr>
          <w:rFonts w:ascii="Arial" w:hAnsi="Arial" w:cs="Arial"/>
          <w:i/>
          <w:sz w:val="18"/>
          <w:szCs w:val="18"/>
        </w:rPr>
        <w:t xml:space="preserve"> Údaje </w:t>
      </w:r>
      <w:proofErr w:type="spellStart"/>
      <w:r>
        <w:rPr>
          <w:rFonts w:ascii="Arial" w:hAnsi="Arial" w:cs="Arial"/>
          <w:i/>
          <w:sz w:val="18"/>
          <w:szCs w:val="18"/>
        </w:rPr>
        <w:t>EUROSTATu</w:t>
      </w:r>
      <w:proofErr w:type="spellEnd"/>
      <w:r>
        <w:rPr>
          <w:rFonts w:ascii="Arial" w:hAnsi="Arial" w:cs="Arial"/>
          <w:i/>
          <w:sz w:val="18"/>
          <w:szCs w:val="18"/>
        </w:rPr>
        <w:t xml:space="preserve"> ze sekce Obyvatelstvo a sociální podmínky – převážně se jedná o data zpracované na základě primárních dat z LFSS jednotlivých členských zemí  (</w:t>
      </w:r>
      <w:proofErr w:type="spellStart"/>
      <w:r>
        <w:rPr>
          <w:rFonts w:ascii="Arial" w:hAnsi="Arial" w:cs="Arial"/>
          <w:i/>
          <w:sz w:val="18"/>
          <w:szCs w:val="18"/>
        </w:rPr>
        <w:t>Labour</w:t>
      </w:r>
      <w:proofErr w:type="spellEnd"/>
      <w:r>
        <w:rPr>
          <w:rFonts w:ascii="Arial" w:hAnsi="Arial" w:cs="Arial"/>
          <w:i/>
          <w:sz w:val="18"/>
          <w:szCs w:val="18"/>
        </w:rPr>
        <w:t xml:space="preserve"> </w:t>
      </w:r>
      <w:proofErr w:type="spellStart"/>
      <w:r>
        <w:rPr>
          <w:rFonts w:ascii="Arial" w:hAnsi="Arial" w:cs="Arial"/>
          <w:i/>
          <w:sz w:val="18"/>
          <w:szCs w:val="18"/>
        </w:rPr>
        <w:t>Force</w:t>
      </w:r>
      <w:proofErr w:type="spellEnd"/>
      <w:r>
        <w:rPr>
          <w:rFonts w:ascii="Arial" w:hAnsi="Arial" w:cs="Arial"/>
          <w:i/>
          <w:sz w:val="18"/>
          <w:szCs w:val="18"/>
        </w:rPr>
        <w:t xml:space="preserve"> Sample </w:t>
      </w:r>
      <w:proofErr w:type="spellStart"/>
      <w:r>
        <w:rPr>
          <w:rFonts w:ascii="Arial" w:hAnsi="Arial" w:cs="Arial"/>
          <w:i/>
          <w:sz w:val="18"/>
          <w:szCs w:val="18"/>
        </w:rPr>
        <w:t>Survey</w:t>
      </w:r>
      <w:proofErr w:type="spellEnd"/>
      <w:r>
        <w:rPr>
          <w:rFonts w:ascii="Arial" w:hAnsi="Arial" w:cs="Arial"/>
          <w:i/>
          <w:sz w:val="18"/>
          <w:szCs w:val="18"/>
        </w:rPr>
        <w:t xml:space="preserve">), viz </w:t>
      </w:r>
      <w:hyperlink r:id="rId3" w:history="1">
        <w:r>
          <w:rPr>
            <w:rStyle w:val="Hypertextovodkaz"/>
            <w:rFonts w:ascii="Arial" w:hAnsi="Arial" w:cs="Arial"/>
            <w:i/>
          </w:rPr>
          <w:t>http://epp.eurostat.ec.europa.eu/portal/page/portal/statistics/search_database</w:t>
        </w:r>
      </w:hyperlink>
      <w:r>
        <w:rPr>
          <w:rFonts w:ascii="Arial" w:hAnsi="Arial" w:cs="Arial"/>
          <w:i/>
        </w:rPr>
        <w:t>.</w:t>
      </w:r>
    </w:p>
    <w:p w:rsidR="00172725" w:rsidRDefault="00172725" w:rsidP="001B48C2">
      <w:pPr>
        <w:pStyle w:val="Textpoznpodarou"/>
        <w:rPr>
          <w:rFonts w:ascii="Arial" w:hAnsi="Arial" w:cs="Arial"/>
          <w:i/>
          <w:sz w:val="18"/>
          <w:szCs w:val="18"/>
        </w:rPr>
      </w:pPr>
      <w:r>
        <w:rPr>
          <w:rFonts w:ascii="Arial" w:hAnsi="Arial" w:cs="Arial"/>
          <w:i/>
          <w:sz w:val="18"/>
          <w:szCs w:val="18"/>
        </w:rPr>
        <w:t>Ukazatele zpracovává EUROSTAT na základě primárních dat z LFS jednotlivých členských států EU tak, aby zabezpečovaly mezinárodní srovnání mezi jednotlivými členskými státy. Údaje za ČR v této části se proto mohou lišit od údajů z VŠPS ČSÚ použitých v analýze.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67554"/>
    <w:multiLevelType w:val="hybridMultilevel"/>
    <w:tmpl w:val="B3D81A18"/>
    <w:lvl w:ilvl="0" w:tplc="3FB08D94">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DB47175"/>
    <w:multiLevelType w:val="hybridMultilevel"/>
    <w:tmpl w:val="D14859A0"/>
    <w:lvl w:ilvl="0" w:tplc="04050003">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52C6743"/>
    <w:multiLevelType w:val="hybridMultilevel"/>
    <w:tmpl w:val="9A32D8B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188F4BF7"/>
    <w:multiLevelType w:val="hybridMultilevel"/>
    <w:tmpl w:val="291CA5DA"/>
    <w:lvl w:ilvl="0" w:tplc="313C0FAA">
      <w:start w:val="1"/>
      <w:numFmt w:val="upperRoman"/>
      <w:lvlText w:val="%1."/>
      <w:lvlJc w:val="left"/>
      <w:pPr>
        <w:tabs>
          <w:tab w:val="num" w:pos="1117"/>
        </w:tabs>
        <w:ind w:left="737" w:hanging="34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20080FBC"/>
    <w:multiLevelType w:val="multilevel"/>
    <w:tmpl w:val="FB6C1808"/>
    <w:lvl w:ilvl="0">
      <w:start w:val="1"/>
      <w:numFmt w:val="decimal"/>
      <w:pStyle w:val="Nadpis5"/>
      <w:lvlText w:val="%1."/>
      <w:lvlJc w:val="left"/>
      <w:pPr>
        <w:tabs>
          <w:tab w:val="num" w:pos="1788"/>
        </w:tabs>
        <w:ind w:left="1788" w:hanging="360"/>
      </w:pPr>
    </w:lvl>
    <w:lvl w:ilvl="1">
      <w:start w:val="1"/>
      <w:numFmt w:val="decimal"/>
      <w:lvlText w:val="%2."/>
      <w:lvlJc w:val="left"/>
      <w:pPr>
        <w:tabs>
          <w:tab w:val="num" w:pos="1788"/>
        </w:tabs>
        <w:ind w:left="1428"/>
      </w:pPr>
    </w:lvl>
    <w:lvl w:ilvl="2">
      <w:start w:val="1"/>
      <w:numFmt w:val="decimal"/>
      <w:lvlText w:val="%3."/>
      <w:lvlJc w:val="left"/>
      <w:pPr>
        <w:tabs>
          <w:tab w:val="num" w:pos="2508"/>
        </w:tabs>
        <w:ind w:left="2148"/>
      </w:pPr>
    </w:lvl>
    <w:lvl w:ilvl="3">
      <w:start w:val="1"/>
      <w:numFmt w:val="lowerLetter"/>
      <w:lvlText w:val="%4)"/>
      <w:lvlJc w:val="left"/>
      <w:pPr>
        <w:tabs>
          <w:tab w:val="num" w:pos="3228"/>
        </w:tabs>
        <w:ind w:left="2868"/>
      </w:pPr>
    </w:lvl>
    <w:lvl w:ilvl="4">
      <w:start w:val="1"/>
      <w:numFmt w:val="decimal"/>
      <w:lvlText w:val="(%5)"/>
      <w:lvlJc w:val="left"/>
      <w:pPr>
        <w:tabs>
          <w:tab w:val="num" w:pos="3948"/>
        </w:tabs>
        <w:ind w:left="3588"/>
      </w:pPr>
    </w:lvl>
    <w:lvl w:ilvl="5">
      <w:start w:val="1"/>
      <w:numFmt w:val="lowerLetter"/>
      <w:pStyle w:val="Nadpis6"/>
      <w:lvlText w:val="(%6)"/>
      <w:lvlJc w:val="left"/>
      <w:pPr>
        <w:tabs>
          <w:tab w:val="num" w:pos="4668"/>
        </w:tabs>
        <w:ind w:left="4308"/>
      </w:pPr>
    </w:lvl>
    <w:lvl w:ilvl="6">
      <w:start w:val="1"/>
      <w:numFmt w:val="lowerRoman"/>
      <w:pStyle w:val="Nadpis7"/>
      <w:lvlText w:val="(%7)"/>
      <w:lvlJc w:val="left"/>
      <w:pPr>
        <w:tabs>
          <w:tab w:val="num" w:pos="5388"/>
        </w:tabs>
        <w:ind w:left="5028"/>
      </w:pPr>
    </w:lvl>
    <w:lvl w:ilvl="7">
      <w:start w:val="1"/>
      <w:numFmt w:val="lowerLetter"/>
      <w:pStyle w:val="Nadpis8"/>
      <w:lvlText w:val="(%8)"/>
      <w:lvlJc w:val="left"/>
      <w:pPr>
        <w:tabs>
          <w:tab w:val="num" w:pos="6108"/>
        </w:tabs>
        <w:ind w:left="5748"/>
      </w:pPr>
    </w:lvl>
    <w:lvl w:ilvl="8">
      <w:start w:val="1"/>
      <w:numFmt w:val="lowerRoman"/>
      <w:pStyle w:val="Nadpis9"/>
      <w:lvlText w:val="(%9)"/>
      <w:lvlJc w:val="left"/>
      <w:pPr>
        <w:tabs>
          <w:tab w:val="num" w:pos="6828"/>
        </w:tabs>
        <w:ind w:left="6468"/>
      </w:pPr>
    </w:lvl>
  </w:abstractNum>
  <w:abstractNum w:abstractNumId="5">
    <w:nsid w:val="21A5649C"/>
    <w:multiLevelType w:val="hybridMultilevel"/>
    <w:tmpl w:val="25C42C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CD74F9"/>
    <w:multiLevelType w:val="hybridMultilevel"/>
    <w:tmpl w:val="50F429BA"/>
    <w:lvl w:ilvl="0" w:tplc="04050001">
      <w:start w:val="1"/>
      <w:numFmt w:val="bullet"/>
      <w:lvlText w:val=""/>
      <w:lvlJc w:val="left"/>
      <w:pPr>
        <w:tabs>
          <w:tab w:val="num" w:pos="720"/>
        </w:tabs>
        <w:ind w:left="720" w:hanging="360"/>
      </w:pPr>
      <w:rPr>
        <w:rFonts w:ascii="Symbol" w:hAnsi="Symbol" w:hint="default"/>
      </w:rPr>
    </w:lvl>
    <w:lvl w:ilvl="1" w:tplc="4FD28200">
      <w:numFmt w:val="bullet"/>
      <w:lvlText w:val="-"/>
      <w:lvlJc w:val="left"/>
      <w:pPr>
        <w:tabs>
          <w:tab w:val="num" w:pos="1785"/>
        </w:tabs>
        <w:ind w:left="1785" w:hanging="705"/>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4771D53"/>
    <w:multiLevelType w:val="hybridMultilevel"/>
    <w:tmpl w:val="3EC441F6"/>
    <w:lvl w:ilvl="0" w:tplc="3C2CC06A">
      <w:numFmt w:val="bullet"/>
      <w:lvlText w:val="-"/>
      <w:lvlJc w:val="left"/>
      <w:pPr>
        <w:tabs>
          <w:tab w:val="num" w:pos="720"/>
        </w:tabs>
        <w:ind w:left="720" w:hanging="360"/>
      </w:pPr>
      <w:rPr>
        <w:rFonts w:ascii="Times New Roman" w:eastAsia="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EA944FD"/>
    <w:multiLevelType w:val="hybridMultilevel"/>
    <w:tmpl w:val="B18A77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F6562E6"/>
    <w:multiLevelType w:val="hybridMultilevel"/>
    <w:tmpl w:val="F920E9F6"/>
    <w:lvl w:ilvl="0" w:tplc="C4DEF6A4">
      <w:start w:val="1"/>
      <w:numFmt w:val="bullet"/>
      <w:lvlText w:val=""/>
      <w:lvlJc w:val="left"/>
      <w:pPr>
        <w:tabs>
          <w:tab w:val="num" w:pos="2160"/>
        </w:tabs>
        <w:ind w:left="2160" w:hanging="360"/>
      </w:pPr>
      <w:rPr>
        <w:rFonts w:ascii="Symbol" w:hAnsi="Symbol" w:hint="default"/>
        <w:color w:val="auto"/>
      </w:rPr>
    </w:lvl>
    <w:lvl w:ilvl="1" w:tplc="C4DEF6A4">
      <w:start w:val="1"/>
      <w:numFmt w:val="bullet"/>
      <w:lvlText w:val=""/>
      <w:lvlJc w:val="left"/>
      <w:pPr>
        <w:tabs>
          <w:tab w:val="num" w:pos="2160"/>
        </w:tabs>
        <w:ind w:left="2160" w:hanging="360"/>
      </w:pPr>
      <w:rPr>
        <w:rFonts w:ascii="Symbol" w:hAnsi="Symbol" w:hint="default"/>
        <w:color w:val="auto"/>
      </w:rPr>
    </w:lvl>
    <w:lvl w:ilvl="2" w:tplc="04050005" w:tentative="1">
      <w:start w:val="1"/>
      <w:numFmt w:val="bullet"/>
      <w:lvlText w:val=""/>
      <w:lvlJc w:val="left"/>
      <w:pPr>
        <w:tabs>
          <w:tab w:val="num" w:pos="2880"/>
        </w:tabs>
        <w:ind w:left="2880" w:hanging="360"/>
      </w:pPr>
      <w:rPr>
        <w:rFonts w:ascii="Wingdings" w:hAnsi="Wingdings" w:hint="default"/>
      </w:rPr>
    </w:lvl>
    <w:lvl w:ilvl="3" w:tplc="04050001">
      <w:start w:val="1"/>
      <w:numFmt w:val="bullet"/>
      <w:lvlText w:val=""/>
      <w:lvlJc w:val="left"/>
      <w:pPr>
        <w:tabs>
          <w:tab w:val="num" w:pos="3600"/>
        </w:tabs>
        <w:ind w:left="3600" w:hanging="360"/>
      </w:pPr>
      <w:rPr>
        <w:rFonts w:ascii="Symbol" w:hAnsi="Symbol" w:hint="default"/>
      </w:rPr>
    </w:lvl>
    <w:lvl w:ilvl="4" w:tplc="04050003">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start w:val="1"/>
      <w:numFmt w:val="bullet"/>
      <w:lvlText w:val=""/>
      <w:lvlJc w:val="left"/>
      <w:pPr>
        <w:tabs>
          <w:tab w:val="num" w:pos="5760"/>
        </w:tabs>
        <w:ind w:left="5760" w:hanging="360"/>
      </w:pPr>
      <w:rPr>
        <w:rFonts w:ascii="Symbol" w:hAnsi="Symbol" w:hint="default"/>
        <w:color w:val="auto"/>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0">
    <w:nsid w:val="2F947C44"/>
    <w:multiLevelType w:val="hybridMultilevel"/>
    <w:tmpl w:val="3BB640D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1984CA7"/>
    <w:multiLevelType w:val="hybridMultilevel"/>
    <w:tmpl w:val="AB28D188"/>
    <w:lvl w:ilvl="0" w:tplc="0D62AE28">
      <w:start w:val="1"/>
      <w:numFmt w:val="bullet"/>
      <w:lvlText w:val=""/>
      <w:lvlJc w:val="left"/>
      <w:pPr>
        <w:tabs>
          <w:tab w:val="num" w:pos="720"/>
        </w:tabs>
        <w:ind w:left="720" w:hanging="360"/>
      </w:pPr>
      <w:rPr>
        <w:rFonts w:ascii="Symbol" w:hAnsi="Symbol" w:hint="default"/>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398859C2"/>
    <w:multiLevelType w:val="hybridMultilevel"/>
    <w:tmpl w:val="6FA0CFB0"/>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3">
    <w:nsid w:val="3DD84D93"/>
    <w:multiLevelType w:val="hybridMultilevel"/>
    <w:tmpl w:val="8F8EE6F0"/>
    <w:lvl w:ilvl="0" w:tplc="3F76FF8A">
      <w:start w:val="1"/>
      <w:numFmt w:val="decimal"/>
      <w:pStyle w:val="Styl3"/>
      <w:lvlText w:val="%1."/>
      <w:lvlJc w:val="left"/>
      <w:pPr>
        <w:tabs>
          <w:tab w:val="num" w:pos="900"/>
        </w:tabs>
        <w:ind w:left="900" w:hanging="360"/>
      </w:pPr>
    </w:lvl>
    <w:lvl w:ilvl="1" w:tplc="04050019">
      <w:start w:val="1"/>
      <w:numFmt w:val="bullet"/>
      <w:lvlText w:val=""/>
      <w:lvlJc w:val="left"/>
      <w:pPr>
        <w:tabs>
          <w:tab w:val="num" w:pos="1440"/>
        </w:tabs>
        <w:ind w:left="1440" w:hanging="360"/>
      </w:pPr>
      <w:rPr>
        <w:rFonts w:ascii="Symbol" w:hAnsi="Symbol" w:hint="default"/>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3E7A7F38"/>
    <w:multiLevelType w:val="hybridMultilevel"/>
    <w:tmpl w:val="CD001C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2115766"/>
    <w:multiLevelType w:val="hybridMultilevel"/>
    <w:tmpl w:val="726C00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45C4BB1"/>
    <w:multiLevelType w:val="hybridMultilevel"/>
    <w:tmpl w:val="6D2CB444"/>
    <w:lvl w:ilvl="0" w:tplc="0540DCE4">
      <w:start w:val="1"/>
      <w:numFmt w:val="upperRoman"/>
      <w:lvlText w:val="%1."/>
      <w:lvlJc w:val="left"/>
      <w:pPr>
        <w:tabs>
          <w:tab w:val="num" w:pos="1117"/>
        </w:tabs>
        <w:ind w:left="737" w:hanging="340"/>
      </w:pPr>
      <w:rPr>
        <w:rFonts w:hint="default"/>
      </w:rPr>
    </w:lvl>
    <w:lvl w:ilvl="1" w:tplc="04050003">
      <w:start w:val="1"/>
      <w:numFmt w:val="bullet"/>
      <w:lvlText w:val=""/>
      <w:lvlJc w:val="left"/>
      <w:pPr>
        <w:tabs>
          <w:tab w:val="num" w:pos="1440"/>
        </w:tabs>
        <w:ind w:left="1440" w:hanging="360"/>
      </w:pPr>
      <w:rPr>
        <w:rFonts w:ascii="Symbol" w:hAnsi="Symbol" w:hint="default"/>
      </w:r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17">
    <w:nsid w:val="46155AD3"/>
    <w:multiLevelType w:val="hybridMultilevel"/>
    <w:tmpl w:val="4F027EA6"/>
    <w:lvl w:ilvl="0" w:tplc="04050005">
      <w:start w:val="1"/>
      <w:numFmt w:val="bullet"/>
      <w:lvlText w:val=""/>
      <w:lvlJc w:val="left"/>
      <w:pPr>
        <w:tabs>
          <w:tab w:val="num" w:pos="720"/>
        </w:tabs>
        <w:ind w:left="720" w:hanging="360"/>
      </w:pPr>
      <w:rPr>
        <w:rFonts w:ascii="Wingdings" w:hAnsi="Wingdings" w:hint="default"/>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nsid w:val="5048312D"/>
    <w:multiLevelType w:val="hybridMultilevel"/>
    <w:tmpl w:val="D0DC0876"/>
    <w:lvl w:ilvl="0" w:tplc="49A48980">
      <w:start w:val="1"/>
      <w:numFmt w:val="decimal"/>
      <w:lvlText w:val="%1."/>
      <w:lvlJc w:val="left"/>
      <w:pPr>
        <w:tabs>
          <w:tab w:val="num" w:pos="2868"/>
        </w:tabs>
        <w:ind w:left="2868" w:hanging="360"/>
      </w:pPr>
      <w:rPr>
        <w:rFonts w:hint="default"/>
      </w:rPr>
    </w:lvl>
    <w:lvl w:ilvl="1" w:tplc="C4DEF6A4" w:tentative="1">
      <w:start w:val="1"/>
      <w:numFmt w:val="lowerLetter"/>
      <w:lvlText w:val="%2."/>
      <w:lvlJc w:val="left"/>
      <w:pPr>
        <w:tabs>
          <w:tab w:val="num" w:pos="2508"/>
        </w:tabs>
        <w:ind w:left="2508" w:hanging="360"/>
      </w:pPr>
    </w:lvl>
    <w:lvl w:ilvl="2" w:tplc="0405001B" w:tentative="1">
      <w:start w:val="1"/>
      <w:numFmt w:val="lowerRoman"/>
      <w:lvlText w:val="%3."/>
      <w:lvlJc w:val="right"/>
      <w:pPr>
        <w:tabs>
          <w:tab w:val="num" w:pos="3228"/>
        </w:tabs>
        <w:ind w:left="3228" w:hanging="180"/>
      </w:pPr>
    </w:lvl>
    <w:lvl w:ilvl="3" w:tplc="0405000F" w:tentative="1">
      <w:start w:val="1"/>
      <w:numFmt w:val="decimal"/>
      <w:lvlText w:val="%4."/>
      <w:lvlJc w:val="left"/>
      <w:pPr>
        <w:tabs>
          <w:tab w:val="num" w:pos="3948"/>
        </w:tabs>
        <w:ind w:left="3948" w:hanging="360"/>
      </w:pPr>
    </w:lvl>
    <w:lvl w:ilvl="4" w:tplc="04050019" w:tentative="1">
      <w:start w:val="1"/>
      <w:numFmt w:val="lowerLetter"/>
      <w:lvlText w:val="%5."/>
      <w:lvlJc w:val="left"/>
      <w:pPr>
        <w:tabs>
          <w:tab w:val="num" w:pos="4668"/>
        </w:tabs>
        <w:ind w:left="4668" w:hanging="360"/>
      </w:pPr>
    </w:lvl>
    <w:lvl w:ilvl="5" w:tplc="0405001B" w:tentative="1">
      <w:start w:val="1"/>
      <w:numFmt w:val="lowerRoman"/>
      <w:lvlText w:val="%6."/>
      <w:lvlJc w:val="right"/>
      <w:pPr>
        <w:tabs>
          <w:tab w:val="num" w:pos="5388"/>
        </w:tabs>
        <w:ind w:left="5388" w:hanging="180"/>
      </w:pPr>
    </w:lvl>
    <w:lvl w:ilvl="6" w:tplc="0405000F" w:tentative="1">
      <w:start w:val="1"/>
      <w:numFmt w:val="decimal"/>
      <w:lvlText w:val="%7."/>
      <w:lvlJc w:val="left"/>
      <w:pPr>
        <w:tabs>
          <w:tab w:val="num" w:pos="6108"/>
        </w:tabs>
        <w:ind w:left="6108" w:hanging="360"/>
      </w:pPr>
    </w:lvl>
    <w:lvl w:ilvl="7" w:tplc="04050019" w:tentative="1">
      <w:start w:val="1"/>
      <w:numFmt w:val="lowerLetter"/>
      <w:lvlText w:val="%8."/>
      <w:lvlJc w:val="left"/>
      <w:pPr>
        <w:tabs>
          <w:tab w:val="num" w:pos="6828"/>
        </w:tabs>
        <w:ind w:left="6828" w:hanging="360"/>
      </w:pPr>
    </w:lvl>
    <w:lvl w:ilvl="8" w:tplc="0405001B" w:tentative="1">
      <w:start w:val="1"/>
      <w:numFmt w:val="lowerRoman"/>
      <w:lvlText w:val="%9."/>
      <w:lvlJc w:val="right"/>
      <w:pPr>
        <w:tabs>
          <w:tab w:val="num" w:pos="7548"/>
        </w:tabs>
        <w:ind w:left="7548" w:hanging="180"/>
      </w:pPr>
    </w:lvl>
  </w:abstractNum>
  <w:abstractNum w:abstractNumId="19">
    <w:nsid w:val="505355D4"/>
    <w:multiLevelType w:val="hybridMultilevel"/>
    <w:tmpl w:val="8764676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nsid w:val="5126705B"/>
    <w:multiLevelType w:val="hybridMultilevel"/>
    <w:tmpl w:val="3348C7E2"/>
    <w:lvl w:ilvl="0" w:tplc="C4DEF6A4">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5376240D"/>
    <w:multiLevelType w:val="hybridMultilevel"/>
    <w:tmpl w:val="C76E7A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nsid w:val="55DE63E3"/>
    <w:multiLevelType w:val="hybridMultilevel"/>
    <w:tmpl w:val="9BC68F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7452864"/>
    <w:multiLevelType w:val="hybridMultilevel"/>
    <w:tmpl w:val="7F22D28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4">
    <w:nsid w:val="62A64C95"/>
    <w:multiLevelType w:val="hybridMultilevel"/>
    <w:tmpl w:val="45BCC3F8"/>
    <w:lvl w:ilvl="0" w:tplc="7AF0BA92">
      <w:start w:val="1"/>
      <w:numFmt w:val="bullet"/>
      <w:lvlText w:val=""/>
      <w:lvlJc w:val="left"/>
      <w:pPr>
        <w:tabs>
          <w:tab w:val="num" w:pos="399"/>
        </w:tabs>
        <w:ind w:left="1136" w:hanging="236"/>
      </w:pPr>
      <w:rPr>
        <w:rFonts w:ascii="Symbol" w:hAnsi="Symbol" w:hint="default"/>
        <w:color w:val="auto"/>
      </w:rPr>
    </w:lvl>
    <w:lvl w:ilvl="1" w:tplc="04050003" w:tentative="1">
      <w:start w:val="1"/>
      <w:numFmt w:val="bullet"/>
      <w:lvlText w:val="o"/>
      <w:lvlJc w:val="left"/>
      <w:pPr>
        <w:tabs>
          <w:tab w:val="num" w:pos="2160"/>
        </w:tabs>
        <w:ind w:left="2160" w:hanging="360"/>
      </w:pPr>
      <w:rPr>
        <w:rFonts w:ascii="Courier New" w:hAnsi="Courier New" w:cs="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25">
    <w:nsid w:val="62D41D0E"/>
    <w:multiLevelType w:val="hybridMultilevel"/>
    <w:tmpl w:val="8F46D86C"/>
    <w:lvl w:ilvl="0" w:tplc="04050001">
      <w:start w:val="1"/>
      <w:numFmt w:val="bullet"/>
      <w:lvlText w:val=""/>
      <w:lvlJc w:val="left"/>
      <w:pPr>
        <w:tabs>
          <w:tab w:val="num" w:pos="1117"/>
        </w:tabs>
        <w:ind w:left="737" w:hanging="340"/>
      </w:pPr>
      <w:rPr>
        <w:rFonts w:ascii="Symbol" w:hAnsi="Symbol" w:hint="default"/>
      </w:rPr>
    </w:lvl>
    <w:lvl w:ilvl="1" w:tplc="04050003">
      <w:start w:val="1"/>
      <w:numFmt w:val="bullet"/>
      <w:lvlText w:val=""/>
      <w:lvlJc w:val="left"/>
      <w:pPr>
        <w:tabs>
          <w:tab w:val="num" w:pos="1440"/>
        </w:tabs>
        <w:ind w:left="1440" w:hanging="360"/>
      </w:pPr>
      <w:rPr>
        <w:rFonts w:ascii="Symbol" w:hAnsi="Symbol" w:hint="default"/>
      </w:r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26">
    <w:nsid w:val="63CC51C7"/>
    <w:multiLevelType w:val="hybridMultilevel"/>
    <w:tmpl w:val="14763540"/>
    <w:lvl w:ilvl="0" w:tplc="68D89ABA">
      <w:start w:val="1"/>
      <w:numFmt w:val="bullet"/>
      <w:pStyle w:val="Styl5"/>
      <w:lvlText w:val=""/>
      <w:lvlJc w:val="left"/>
      <w:pPr>
        <w:tabs>
          <w:tab w:val="num" w:pos="2160"/>
        </w:tabs>
        <w:ind w:left="2160" w:hanging="360"/>
      </w:pPr>
      <w:rPr>
        <w:rFonts w:ascii="Symbol" w:hAnsi="Symbol" w:hint="default"/>
        <w:color w:val="auto"/>
      </w:rPr>
    </w:lvl>
    <w:lvl w:ilvl="1" w:tplc="04050003">
      <w:start w:val="1"/>
      <w:numFmt w:val="bullet"/>
      <w:lvlText w:val=""/>
      <w:lvlJc w:val="left"/>
      <w:pPr>
        <w:tabs>
          <w:tab w:val="num" w:pos="2160"/>
        </w:tabs>
        <w:ind w:left="2160" w:hanging="360"/>
      </w:pPr>
      <w:rPr>
        <w:rFonts w:ascii="Symbol" w:hAnsi="Symbol" w:hint="default"/>
        <w:color w:val="auto"/>
      </w:rPr>
    </w:lvl>
    <w:lvl w:ilvl="2" w:tplc="04050005" w:tentative="1">
      <w:start w:val="1"/>
      <w:numFmt w:val="bullet"/>
      <w:lvlText w:val=""/>
      <w:lvlJc w:val="left"/>
      <w:pPr>
        <w:tabs>
          <w:tab w:val="num" w:pos="2880"/>
        </w:tabs>
        <w:ind w:left="2880" w:hanging="360"/>
      </w:pPr>
      <w:rPr>
        <w:rFonts w:ascii="Wingdings" w:hAnsi="Wingdings" w:hint="default"/>
      </w:rPr>
    </w:lvl>
    <w:lvl w:ilvl="3" w:tplc="04050001">
      <w:start w:val="1"/>
      <w:numFmt w:val="bullet"/>
      <w:lvlText w:val=""/>
      <w:lvlJc w:val="left"/>
      <w:pPr>
        <w:tabs>
          <w:tab w:val="num" w:pos="3600"/>
        </w:tabs>
        <w:ind w:left="3600" w:hanging="360"/>
      </w:pPr>
      <w:rPr>
        <w:rFonts w:ascii="Symbol" w:hAnsi="Symbol" w:hint="default"/>
      </w:rPr>
    </w:lvl>
    <w:lvl w:ilvl="4" w:tplc="04050003">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27">
    <w:nsid w:val="66EF2C16"/>
    <w:multiLevelType w:val="hybridMultilevel"/>
    <w:tmpl w:val="71A8D53C"/>
    <w:lvl w:ilvl="0" w:tplc="04050001">
      <w:start w:val="1"/>
      <w:numFmt w:val="decimal"/>
      <w:lvlText w:val="%1."/>
      <w:lvlJc w:val="left"/>
      <w:pPr>
        <w:tabs>
          <w:tab w:val="num" w:pos="720"/>
        </w:tabs>
        <w:ind w:left="720" w:hanging="360"/>
      </w:pPr>
    </w:lvl>
    <w:lvl w:ilvl="1" w:tplc="04050003">
      <w:start w:val="1"/>
      <w:numFmt w:val="decimal"/>
      <w:lvlText w:val="%2."/>
      <w:lvlJc w:val="left"/>
      <w:pPr>
        <w:tabs>
          <w:tab w:val="num" w:pos="720"/>
        </w:tabs>
        <w:ind w:left="720" w:hanging="360"/>
      </w:p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nsid w:val="6EB57189"/>
    <w:multiLevelType w:val="hybridMultilevel"/>
    <w:tmpl w:val="D0421C14"/>
    <w:lvl w:ilvl="0" w:tplc="04DCE9D2">
      <w:start w:val="1"/>
      <w:numFmt w:val="decimal"/>
      <w:pStyle w:val="Styl2"/>
      <w:lvlText w:val="%1."/>
      <w:lvlJc w:val="left"/>
      <w:pPr>
        <w:tabs>
          <w:tab w:val="num" w:pos="360"/>
        </w:tabs>
        <w:ind w:left="360" w:hanging="360"/>
      </w:pPr>
      <w:rPr>
        <w:rFonts w:hint="default"/>
      </w:rPr>
    </w:lvl>
    <w:lvl w:ilvl="1" w:tplc="C4DEF6A4"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76252DBE"/>
    <w:multiLevelType w:val="hybridMultilevel"/>
    <w:tmpl w:val="F8F0ACA4"/>
    <w:lvl w:ilvl="0" w:tplc="04050001">
      <w:start w:val="1"/>
      <w:numFmt w:val="bullet"/>
      <w:lvlText w:val=""/>
      <w:lvlJc w:val="left"/>
      <w:pPr>
        <w:tabs>
          <w:tab w:val="num" w:pos="1117"/>
        </w:tabs>
        <w:ind w:left="737" w:hanging="340"/>
      </w:pPr>
      <w:rPr>
        <w:rFonts w:ascii="Symbol" w:hAnsi="Symbol" w:hint="default"/>
      </w:rPr>
    </w:lvl>
    <w:lvl w:ilvl="1" w:tplc="04050003">
      <w:start w:val="1"/>
      <w:numFmt w:val="bullet"/>
      <w:lvlText w:val=""/>
      <w:lvlJc w:val="left"/>
      <w:pPr>
        <w:tabs>
          <w:tab w:val="num" w:pos="1440"/>
        </w:tabs>
        <w:ind w:left="1440" w:hanging="360"/>
      </w:pPr>
      <w:rPr>
        <w:rFonts w:ascii="Symbol" w:hAnsi="Symbol" w:hint="default"/>
      </w:r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30">
    <w:nsid w:val="77D5086F"/>
    <w:multiLevelType w:val="hybridMultilevel"/>
    <w:tmpl w:val="595EDA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8F21C6D"/>
    <w:multiLevelType w:val="hybridMultilevel"/>
    <w:tmpl w:val="E0945164"/>
    <w:lvl w:ilvl="0" w:tplc="E84890AA">
      <w:start w:val="1"/>
      <w:numFmt w:val="upperRoman"/>
      <w:pStyle w:val="Nadpis1"/>
      <w:lvlText w:val="%1."/>
      <w:lvlJc w:val="right"/>
      <w:pPr>
        <w:ind w:left="1221" w:hanging="360"/>
      </w:pPr>
    </w:lvl>
    <w:lvl w:ilvl="1" w:tplc="04050019">
      <w:start w:val="1"/>
      <w:numFmt w:val="lowerLetter"/>
      <w:lvlText w:val="%2."/>
      <w:lvlJc w:val="left"/>
      <w:pPr>
        <w:ind w:left="1941" w:hanging="360"/>
      </w:pPr>
    </w:lvl>
    <w:lvl w:ilvl="2" w:tplc="0405001B" w:tentative="1">
      <w:start w:val="1"/>
      <w:numFmt w:val="lowerRoman"/>
      <w:lvlText w:val="%3."/>
      <w:lvlJc w:val="right"/>
      <w:pPr>
        <w:ind w:left="2661" w:hanging="180"/>
      </w:pPr>
    </w:lvl>
    <w:lvl w:ilvl="3" w:tplc="0405000F" w:tentative="1">
      <w:start w:val="1"/>
      <w:numFmt w:val="decimal"/>
      <w:lvlText w:val="%4."/>
      <w:lvlJc w:val="left"/>
      <w:pPr>
        <w:ind w:left="3381" w:hanging="360"/>
      </w:pPr>
    </w:lvl>
    <w:lvl w:ilvl="4" w:tplc="04050019" w:tentative="1">
      <w:start w:val="1"/>
      <w:numFmt w:val="lowerLetter"/>
      <w:lvlText w:val="%5."/>
      <w:lvlJc w:val="left"/>
      <w:pPr>
        <w:ind w:left="4101" w:hanging="360"/>
      </w:pPr>
    </w:lvl>
    <w:lvl w:ilvl="5" w:tplc="0405001B" w:tentative="1">
      <w:start w:val="1"/>
      <w:numFmt w:val="lowerRoman"/>
      <w:lvlText w:val="%6."/>
      <w:lvlJc w:val="right"/>
      <w:pPr>
        <w:ind w:left="4821" w:hanging="180"/>
      </w:pPr>
    </w:lvl>
    <w:lvl w:ilvl="6" w:tplc="0405000F" w:tentative="1">
      <w:start w:val="1"/>
      <w:numFmt w:val="decimal"/>
      <w:lvlText w:val="%7."/>
      <w:lvlJc w:val="left"/>
      <w:pPr>
        <w:ind w:left="5541" w:hanging="360"/>
      </w:pPr>
    </w:lvl>
    <w:lvl w:ilvl="7" w:tplc="04050019" w:tentative="1">
      <w:start w:val="1"/>
      <w:numFmt w:val="lowerLetter"/>
      <w:lvlText w:val="%8."/>
      <w:lvlJc w:val="left"/>
      <w:pPr>
        <w:ind w:left="6261" w:hanging="360"/>
      </w:pPr>
    </w:lvl>
    <w:lvl w:ilvl="8" w:tplc="0405001B" w:tentative="1">
      <w:start w:val="1"/>
      <w:numFmt w:val="lowerRoman"/>
      <w:lvlText w:val="%9."/>
      <w:lvlJc w:val="right"/>
      <w:pPr>
        <w:ind w:left="6981" w:hanging="180"/>
      </w:pPr>
    </w:lvl>
  </w:abstractNum>
  <w:abstractNum w:abstractNumId="32">
    <w:nsid w:val="7D3D6AB9"/>
    <w:multiLevelType w:val="hybridMultilevel"/>
    <w:tmpl w:val="BA9A3324"/>
    <w:lvl w:ilvl="0" w:tplc="0405000F">
      <w:start w:val="1"/>
      <w:numFmt w:val="decimal"/>
      <w:pStyle w:val="Styl1"/>
      <w:lvlText w:val="%1."/>
      <w:lvlJc w:val="left"/>
      <w:pPr>
        <w:tabs>
          <w:tab w:val="num" w:pos="900"/>
        </w:tabs>
        <w:ind w:left="881" w:hanging="341"/>
      </w:pPr>
      <w:rPr>
        <w:rFonts w:hint="default"/>
        <w:b/>
        <w:i w:val="0"/>
        <w:sz w:val="26"/>
      </w:rPr>
    </w:lvl>
    <w:lvl w:ilvl="1" w:tplc="0405000F" w:tentative="1">
      <w:start w:val="1"/>
      <w:numFmt w:val="lowerLetter"/>
      <w:lvlText w:val="%2."/>
      <w:lvlJc w:val="left"/>
      <w:pPr>
        <w:tabs>
          <w:tab w:val="num" w:pos="2703"/>
        </w:tabs>
        <w:ind w:left="2703" w:hanging="360"/>
      </w:pPr>
    </w:lvl>
    <w:lvl w:ilvl="2" w:tplc="04050005" w:tentative="1">
      <w:start w:val="1"/>
      <w:numFmt w:val="lowerRoman"/>
      <w:lvlText w:val="%3."/>
      <w:lvlJc w:val="right"/>
      <w:pPr>
        <w:tabs>
          <w:tab w:val="num" w:pos="3423"/>
        </w:tabs>
        <w:ind w:left="3423" w:hanging="180"/>
      </w:pPr>
    </w:lvl>
    <w:lvl w:ilvl="3" w:tplc="04050001" w:tentative="1">
      <w:start w:val="1"/>
      <w:numFmt w:val="decimal"/>
      <w:lvlText w:val="%4."/>
      <w:lvlJc w:val="left"/>
      <w:pPr>
        <w:tabs>
          <w:tab w:val="num" w:pos="4143"/>
        </w:tabs>
        <w:ind w:left="4143" w:hanging="360"/>
      </w:pPr>
    </w:lvl>
    <w:lvl w:ilvl="4" w:tplc="04050003" w:tentative="1">
      <w:start w:val="1"/>
      <w:numFmt w:val="lowerLetter"/>
      <w:lvlText w:val="%5."/>
      <w:lvlJc w:val="left"/>
      <w:pPr>
        <w:tabs>
          <w:tab w:val="num" w:pos="4863"/>
        </w:tabs>
        <w:ind w:left="4863" w:hanging="360"/>
      </w:pPr>
    </w:lvl>
    <w:lvl w:ilvl="5" w:tplc="04050005" w:tentative="1">
      <w:start w:val="1"/>
      <w:numFmt w:val="lowerRoman"/>
      <w:lvlText w:val="%6."/>
      <w:lvlJc w:val="right"/>
      <w:pPr>
        <w:tabs>
          <w:tab w:val="num" w:pos="5583"/>
        </w:tabs>
        <w:ind w:left="5583" w:hanging="180"/>
      </w:pPr>
    </w:lvl>
    <w:lvl w:ilvl="6" w:tplc="04050001" w:tentative="1">
      <w:start w:val="1"/>
      <w:numFmt w:val="decimal"/>
      <w:lvlText w:val="%7."/>
      <w:lvlJc w:val="left"/>
      <w:pPr>
        <w:tabs>
          <w:tab w:val="num" w:pos="6303"/>
        </w:tabs>
        <w:ind w:left="6303" w:hanging="360"/>
      </w:pPr>
    </w:lvl>
    <w:lvl w:ilvl="7" w:tplc="04050003" w:tentative="1">
      <w:start w:val="1"/>
      <w:numFmt w:val="lowerLetter"/>
      <w:lvlText w:val="%8."/>
      <w:lvlJc w:val="left"/>
      <w:pPr>
        <w:tabs>
          <w:tab w:val="num" w:pos="7023"/>
        </w:tabs>
        <w:ind w:left="7023" w:hanging="360"/>
      </w:pPr>
    </w:lvl>
    <w:lvl w:ilvl="8" w:tplc="04050005" w:tentative="1">
      <w:start w:val="1"/>
      <w:numFmt w:val="lowerRoman"/>
      <w:lvlText w:val="%9."/>
      <w:lvlJc w:val="right"/>
      <w:pPr>
        <w:tabs>
          <w:tab w:val="num" w:pos="7743"/>
        </w:tabs>
        <w:ind w:left="7743" w:hanging="180"/>
      </w:pPr>
    </w:lvl>
  </w:abstractNum>
  <w:num w:numId="1">
    <w:abstractNumId w:val="13"/>
  </w:num>
  <w:num w:numId="2">
    <w:abstractNumId w:val="16"/>
  </w:num>
  <w:num w:numId="3">
    <w:abstractNumId w:val="26"/>
  </w:num>
  <w:num w:numId="4">
    <w:abstractNumId w:val="2"/>
  </w:num>
  <w:num w:numId="5">
    <w:abstractNumId w:val="4"/>
  </w:num>
  <w:num w:numId="6">
    <w:abstractNumId w:val="27"/>
  </w:num>
  <w:num w:numId="7">
    <w:abstractNumId w:val="6"/>
  </w:num>
  <w:num w:numId="8">
    <w:abstractNumId w:val="20"/>
  </w:num>
  <w:num w:numId="9">
    <w:abstractNumId w:val="32"/>
  </w:num>
  <w:num w:numId="10">
    <w:abstractNumId w:val="28"/>
  </w:num>
  <w:num w:numId="11">
    <w:abstractNumId w:val="3"/>
  </w:num>
  <w:num w:numId="12">
    <w:abstractNumId w:val="18"/>
  </w:num>
  <w:num w:numId="13">
    <w:abstractNumId w:val="11"/>
  </w:num>
  <w:num w:numId="14">
    <w:abstractNumId w:val="21"/>
  </w:num>
  <w:num w:numId="15">
    <w:abstractNumId w:val="15"/>
  </w:num>
  <w:num w:numId="16">
    <w:abstractNumId w:val="31"/>
  </w:num>
  <w:num w:numId="17">
    <w:abstractNumId w:val="14"/>
  </w:num>
  <w:num w:numId="18">
    <w:abstractNumId w:val="7"/>
  </w:num>
  <w:num w:numId="19">
    <w:abstractNumId w:val="0"/>
  </w:num>
  <w:num w:numId="20">
    <w:abstractNumId w:val="8"/>
  </w:num>
  <w:num w:numId="21">
    <w:abstractNumId w:val="22"/>
  </w:num>
  <w:num w:numId="22">
    <w:abstractNumId w:val="17"/>
  </w:num>
  <w:num w:numId="23">
    <w:abstractNumId w:val="9"/>
  </w:num>
  <w:num w:numId="24">
    <w:abstractNumId w:val="24"/>
  </w:num>
  <w:num w:numId="25">
    <w:abstractNumId w:val="12"/>
  </w:num>
  <w:num w:numId="26">
    <w:abstractNumId w:val="5"/>
  </w:num>
  <w:num w:numId="27">
    <w:abstractNumId w:val="30"/>
  </w:num>
  <w:num w:numId="28">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num>
  <w:num w:numId="35">
    <w:abstractNumId w:val="19"/>
  </w:num>
  <w:num w:numId="36">
    <w:abstractNumId w:val="10"/>
  </w:num>
  <w:num w:numId="37">
    <w:abstractNumId w:val="29"/>
  </w:num>
  <w:num w:numId="38">
    <w:abstractNumId w:val="25"/>
  </w:num>
  <w:num w:numId="39">
    <w:abstractNumId w:val="2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37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670"/>
    <w:rsid w:val="000015BD"/>
    <w:rsid w:val="0000166F"/>
    <w:rsid w:val="0000183B"/>
    <w:rsid w:val="00003225"/>
    <w:rsid w:val="000054CA"/>
    <w:rsid w:val="000055C0"/>
    <w:rsid w:val="000108A5"/>
    <w:rsid w:val="00010E98"/>
    <w:rsid w:val="00010EDD"/>
    <w:rsid w:val="0001194B"/>
    <w:rsid w:val="00011A38"/>
    <w:rsid w:val="00011FBD"/>
    <w:rsid w:val="00012053"/>
    <w:rsid w:val="00014F6D"/>
    <w:rsid w:val="00015C12"/>
    <w:rsid w:val="00016286"/>
    <w:rsid w:val="00016849"/>
    <w:rsid w:val="00016927"/>
    <w:rsid w:val="0001696E"/>
    <w:rsid w:val="000177EE"/>
    <w:rsid w:val="00017BFA"/>
    <w:rsid w:val="00017D78"/>
    <w:rsid w:val="0002009D"/>
    <w:rsid w:val="00020674"/>
    <w:rsid w:val="00020935"/>
    <w:rsid w:val="0002176C"/>
    <w:rsid w:val="00023305"/>
    <w:rsid w:val="0002412F"/>
    <w:rsid w:val="00024B34"/>
    <w:rsid w:val="0002509E"/>
    <w:rsid w:val="000252B9"/>
    <w:rsid w:val="000254DE"/>
    <w:rsid w:val="00025C33"/>
    <w:rsid w:val="0002624B"/>
    <w:rsid w:val="00026833"/>
    <w:rsid w:val="00030C18"/>
    <w:rsid w:val="00030F83"/>
    <w:rsid w:val="0003143E"/>
    <w:rsid w:val="0003149B"/>
    <w:rsid w:val="000343E6"/>
    <w:rsid w:val="0003503C"/>
    <w:rsid w:val="00036028"/>
    <w:rsid w:val="00037057"/>
    <w:rsid w:val="000371BB"/>
    <w:rsid w:val="000373FD"/>
    <w:rsid w:val="00037C89"/>
    <w:rsid w:val="00037EB3"/>
    <w:rsid w:val="00040773"/>
    <w:rsid w:val="00041FC2"/>
    <w:rsid w:val="0004239B"/>
    <w:rsid w:val="000425F5"/>
    <w:rsid w:val="000434D5"/>
    <w:rsid w:val="000445F1"/>
    <w:rsid w:val="00044C52"/>
    <w:rsid w:val="000470EC"/>
    <w:rsid w:val="000475DA"/>
    <w:rsid w:val="00047CA1"/>
    <w:rsid w:val="00051A82"/>
    <w:rsid w:val="0005324D"/>
    <w:rsid w:val="0005350A"/>
    <w:rsid w:val="00053B5F"/>
    <w:rsid w:val="00055104"/>
    <w:rsid w:val="000556FD"/>
    <w:rsid w:val="00055E2B"/>
    <w:rsid w:val="000568D4"/>
    <w:rsid w:val="00057AB2"/>
    <w:rsid w:val="00060407"/>
    <w:rsid w:val="000605C3"/>
    <w:rsid w:val="00060D02"/>
    <w:rsid w:val="00066C82"/>
    <w:rsid w:val="00067507"/>
    <w:rsid w:val="00067D9B"/>
    <w:rsid w:val="000708C2"/>
    <w:rsid w:val="00070A54"/>
    <w:rsid w:val="00070CB5"/>
    <w:rsid w:val="000714E2"/>
    <w:rsid w:val="0007284A"/>
    <w:rsid w:val="000742F2"/>
    <w:rsid w:val="000750F7"/>
    <w:rsid w:val="00075152"/>
    <w:rsid w:val="00075225"/>
    <w:rsid w:val="00075665"/>
    <w:rsid w:val="00075CD9"/>
    <w:rsid w:val="00076011"/>
    <w:rsid w:val="000772AA"/>
    <w:rsid w:val="00077EF1"/>
    <w:rsid w:val="000834D2"/>
    <w:rsid w:val="00083CF5"/>
    <w:rsid w:val="00084903"/>
    <w:rsid w:val="0008519F"/>
    <w:rsid w:val="000857E9"/>
    <w:rsid w:val="00085B16"/>
    <w:rsid w:val="0008636D"/>
    <w:rsid w:val="00087C6E"/>
    <w:rsid w:val="00090086"/>
    <w:rsid w:val="00092117"/>
    <w:rsid w:val="0009450C"/>
    <w:rsid w:val="000949C8"/>
    <w:rsid w:val="000954EF"/>
    <w:rsid w:val="000957C9"/>
    <w:rsid w:val="00095B01"/>
    <w:rsid w:val="00095DEB"/>
    <w:rsid w:val="00096C1D"/>
    <w:rsid w:val="000A0459"/>
    <w:rsid w:val="000A0603"/>
    <w:rsid w:val="000A0EBE"/>
    <w:rsid w:val="000A0F43"/>
    <w:rsid w:val="000A19A2"/>
    <w:rsid w:val="000A20CD"/>
    <w:rsid w:val="000A2FB8"/>
    <w:rsid w:val="000A372F"/>
    <w:rsid w:val="000A4166"/>
    <w:rsid w:val="000A6569"/>
    <w:rsid w:val="000A7662"/>
    <w:rsid w:val="000A7C47"/>
    <w:rsid w:val="000B043E"/>
    <w:rsid w:val="000B2376"/>
    <w:rsid w:val="000B3A19"/>
    <w:rsid w:val="000B3D4A"/>
    <w:rsid w:val="000B4A80"/>
    <w:rsid w:val="000B5449"/>
    <w:rsid w:val="000B6FAA"/>
    <w:rsid w:val="000B7C59"/>
    <w:rsid w:val="000C12E8"/>
    <w:rsid w:val="000C4C80"/>
    <w:rsid w:val="000C6486"/>
    <w:rsid w:val="000C6E5E"/>
    <w:rsid w:val="000C7753"/>
    <w:rsid w:val="000C78B7"/>
    <w:rsid w:val="000D004A"/>
    <w:rsid w:val="000D0B54"/>
    <w:rsid w:val="000D0C24"/>
    <w:rsid w:val="000D20F8"/>
    <w:rsid w:val="000D3AAE"/>
    <w:rsid w:val="000D3E38"/>
    <w:rsid w:val="000D3E3A"/>
    <w:rsid w:val="000D4B4C"/>
    <w:rsid w:val="000D4E7C"/>
    <w:rsid w:val="000D5F18"/>
    <w:rsid w:val="000D61F6"/>
    <w:rsid w:val="000D6450"/>
    <w:rsid w:val="000D6991"/>
    <w:rsid w:val="000D75E0"/>
    <w:rsid w:val="000E15A2"/>
    <w:rsid w:val="000E1701"/>
    <w:rsid w:val="000E1CB4"/>
    <w:rsid w:val="000E28D4"/>
    <w:rsid w:val="000E2DD8"/>
    <w:rsid w:val="000E3188"/>
    <w:rsid w:val="000E5C35"/>
    <w:rsid w:val="000E6497"/>
    <w:rsid w:val="000E7274"/>
    <w:rsid w:val="000F035E"/>
    <w:rsid w:val="000F12D6"/>
    <w:rsid w:val="000F2994"/>
    <w:rsid w:val="000F368C"/>
    <w:rsid w:val="000F3792"/>
    <w:rsid w:val="000F3E66"/>
    <w:rsid w:val="000F470E"/>
    <w:rsid w:val="000F52CE"/>
    <w:rsid w:val="000F684F"/>
    <w:rsid w:val="000F6CC3"/>
    <w:rsid w:val="000F6E2B"/>
    <w:rsid w:val="000F6EAB"/>
    <w:rsid w:val="000F75FB"/>
    <w:rsid w:val="000F76A9"/>
    <w:rsid w:val="000F7883"/>
    <w:rsid w:val="000F7EC8"/>
    <w:rsid w:val="001004EA"/>
    <w:rsid w:val="00100552"/>
    <w:rsid w:val="00100D48"/>
    <w:rsid w:val="00100D86"/>
    <w:rsid w:val="00101AA5"/>
    <w:rsid w:val="00101AA8"/>
    <w:rsid w:val="00101CE7"/>
    <w:rsid w:val="00102436"/>
    <w:rsid w:val="00102521"/>
    <w:rsid w:val="0010398E"/>
    <w:rsid w:val="001042AA"/>
    <w:rsid w:val="00104B3B"/>
    <w:rsid w:val="00106211"/>
    <w:rsid w:val="0010635D"/>
    <w:rsid w:val="0011070E"/>
    <w:rsid w:val="00110753"/>
    <w:rsid w:val="001108AE"/>
    <w:rsid w:val="00111455"/>
    <w:rsid w:val="00112D43"/>
    <w:rsid w:val="00113212"/>
    <w:rsid w:val="001133FE"/>
    <w:rsid w:val="001149AC"/>
    <w:rsid w:val="0011731F"/>
    <w:rsid w:val="00117DAA"/>
    <w:rsid w:val="001202B0"/>
    <w:rsid w:val="00120D59"/>
    <w:rsid w:val="001240BA"/>
    <w:rsid w:val="00126486"/>
    <w:rsid w:val="00126AD7"/>
    <w:rsid w:val="00127262"/>
    <w:rsid w:val="001324E6"/>
    <w:rsid w:val="00133417"/>
    <w:rsid w:val="0013517D"/>
    <w:rsid w:val="00135679"/>
    <w:rsid w:val="001367CF"/>
    <w:rsid w:val="00137CE1"/>
    <w:rsid w:val="001407A1"/>
    <w:rsid w:val="001423E1"/>
    <w:rsid w:val="001429ED"/>
    <w:rsid w:val="001433DF"/>
    <w:rsid w:val="001442D7"/>
    <w:rsid w:val="00145A9B"/>
    <w:rsid w:val="00147AF7"/>
    <w:rsid w:val="001500D1"/>
    <w:rsid w:val="00150BA9"/>
    <w:rsid w:val="00150DE7"/>
    <w:rsid w:val="001517D1"/>
    <w:rsid w:val="00151D98"/>
    <w:rsid w:val="00152154"/>
    <w:rsid w:val="001525C4"/>
    <w:rsid w:val="001546F7"/>
    <w:rsid w:val="001556D0"/>
    <w:rsid w:val="00155D56"/>
    <w:rsid w:val="0016012F"/>
    <w:rsid w:val="00161CFF"/>
    <w:rsid w:val="00162F14"/>
    <w:rsid w:val="001631A4"/>
    <w:rsid w:val="00164508"/>
    <w:rsid w:val="00164610"/>
    <w:rsid w:val="00164F84"/>
    <w:rsid w:val="00164FB6"/>
    <w:rsid w:val="0016604B"/>
    <w:rsid w:val="00167B83"/>
    <w:rsid w:val="00170807"/>
    <w:rsid w:val="001714E9"/>
    <w:rsid w:val="00171DD4"/>
    <w:rsid w:val="00172725"/>
    <w:rsid w:val="00175300"/>
    <w:rsid w:val="00176107"/>
    <w:rsid w:val="00177359"/>
    <w:rsid w:val="00177595"/>
    <w:rsid w:val="00177D0C"/>
    <w:rsid w:val="0018243A"/>
    <w:rsid w:val="001838AE"/>
    <w:rsid w:val="0018482E"/>
    <w:rsid w:val="0018499E"/>
    <w:rsid w:val="00184E53"/>
    <w:rsid w:val="00185AC8"/>
    <w:rsid w:val="00187F30"/>
    <w:rsid w:val="00192F7F"/>
    <w:rsid w:val="0019337B"/>
    <w:rsid w:val="00197618"/>
    <w:rsid w:val="00197756"/>
    <w:rsid w:val="00197DF1"/>
    <w:rsid w:val="001A08E3"/>
    <w:rsid w:val="001A0DAE"/>
    <w:rsid w:val="001A18F0"/>
    <w:rsid w:val="001A223B"/>
    <w:rsid w:val="001A308F"/>
    <w:rsid w:val="001A3918"/>
    <w:rsid w:val="001A3FCA"/>
    <w:rsid w:val="001A41A2"/>
    <w:rsid w:val="001A54AA"/>
    <w:rsid w:val="001A5C5E"/>
    <w:rsid w:val="001A63C9"/>
    <w:rsid w:val="001A7B35"/>
    <w:rsid w:val="001A7B37"/>
    <w:rsid w:val="001B48C2"/>
    <w:rsid w:val="001B6650"/>
    <w:rsid w:val="001C0321"/>
    <w:rsid w:val="001C0331"/>
    <w:rsid w:val="001C09EE"/>
    <w:rsid w:val="001C3565"/>
    <w:rsid w:val="001C35E0"/>
    <w:rsid w:val="001C5C3C"/>
    <w:rsid w:val="001C6145"/>
    <w:rsid w:val="001C7E59"/>
    <w:rsid w:val="001D0E47"/>
    <w:rsid w:val="001D14FF"/>
    <w:rsid w:val="001D15E2"/>
    <w:rsid w:val="001D4116"/>
    <w:rsid w:val="001D4364"/>
    <w:rsid w:val="001D45A0"/>
    <w:rsid w:val="001D6BB2"/>
    <w:rsid w:val="001E0815"/>
    <w:rsid w:val="001E0A2A"/>
    <w:rsid w:val="001E3115"/>
    <w:rsid w:val="001E397A"/>
    <w:rsid w:val="001E574F"/>
    <w:rsid w:val="001E5FBB"/>
    <w:rsid w:val="001E6B23"/>
    <w:rsid w:val="001E6D85"/>
    <w:rsid w:val="001F15A0"/>
    <w:rsid w:val="001F2245"/>
    <w:rsid w:val="001F310E"/>
    <w:rsid w:val="001F38D3"/>
    <w:rsid w:val="001F5251"/>
    <w:rsid w:val="001F55D7"/>
    <w:rsid w:val="001F5CC7"/>
    <w:rsid w:val="001F6607"/>
    <w:rsid w:val="001F6EB3"/>
    <w:rsid w:val="001F77DB"/>
    <w:rsid w:val="0020529D"/>
    <w:rsid w:val="002059FC"/>
    <w:rsid w:val="00205AE2"/>
    <w:rsid w:val="00206623"/>
    <w:rsid w:val="00206990"/>
    <w:rsid w:val="00206B91"/>
    <w:rsid w:val="00207D91"/>
    <w:rsid w:val="002105BF"/>
    <w:rsid w:val="002107F1"/>
    <w:rsid w:val="002110DB"/>
    <w:rsid w:val="00211B7C"/>
    <w:rsid w:val="0021216D"/>
    <w:rsid w:val="002151AD"/>
    <w:rsid w:val="0021552D"/>
    <w:rsid w:val="002160D1"/>
    <w:rsid w:val="00220FE2"/>
    <w:rsid w:val="00221AFD"/>
    <w:rsid w:val="002237E8"/>
    <w:rsid w:val="002241F5"/>
    <w:rsid w:val="00224ACC"/>
    <w:rsid w:val="0023066A"/>
    <w:rsid w:val="00231485"/>
    <w:rsid w:val="00233CBD"/>
    <w:rsid w:val="00233D4F"/>
    <w:rsid w:val="00234C6D"/>
    <w:rsid w:val="0023552D"/>
    <w:rsid w:val="002367EE"/>
    <w:rsid w:val="00237E2B"/>
    <w:rsid w:val="00241045"/>
    <w:rsid w:val="002411AA"/>
    <w:rsid w:val="00241F1A"/>
    <w:rsid w:val="00243275"/>
    <w:rsid w:val="002436BA"/>
    <w:rsid w:val="002438CF"/>
    <w:rsid w:val="00243DB8"/>
    <w:rsid w:val="00245018"/>
    <w:rsid w:val="00245A23"/>
    <w:rsid w:val="002464F5"/>
    <w:rsid w:val="0025090F"/>
    <w:rsid w:val="0025135C"/>
    <w:rsid w:val="00251B9D"/>
    <w:rsid w:val="00251E77"/>
    <w:rsid w:val="00253380"/>
    <w:rsid w:val="002534E8"/>
    <w:rsid w:val="00255571"/>
    <w:rsid w:val="0025592D"/>
    <w:rsid w:val="00256D25"/>
    <w:rsid w:val="00257A8C"/>
    <w:rsid w:val="00257B11"/>
    <w:rsid w:val="002631F8"/>
    <w:rsid w:val="00265238"/>
    <w:rsid w:val="00270E25"/>
    <w:rsid w:val="00271085"/>
    <w:rsid w:val="00272040"/>
    <w:rsid w:val="00272269"/>
    <w:rsid w:val="00273691"/>
    <w:rsid w:val="00273A50"/>
    <w:rsid w:val="00277C10"/>
    <w:rsid w:val="00280402"/>
    <w:rsid w:val="00281674"/>
    <w:rsid w:val="0028259B"/>
    <w:rsid w:val="00282BA8"/>
    <w:rsid w:val="0028367C"/>
    <w:rsid w:val="00284537"/>
    <w:rsid w:val="00284911"/>
    <w:rsid w:val="002850F6"/>
    <w:rsid w:val="00285E18"/>
    <w:rsid w:val="00285F55"/>
    <w:rsid w:val="00287D30"/>
    <w:rsid w:val="00287DDC"/>
    <w:rsid w:val="00287E45"/>
    <w:rsid w:val="002905F0"/>
    <w:rsid w:val="002907B7"/>
    <w:rsid w:val="00290837"/>
    <w:rsid w:val="002918D8"/>
    <w:rsid w:val="002936B7"/>
    <w:rsid w:val="002936BE"/>
    <w:rsid w:val="00293A81"/>
    <w:rsid w:val="0029404B"/>
    <w:rsid w:val="002943CF"/>
    <w:rsid w:val="00294989"/>
    <w:rsid w:val="002955DE"/>
    <w:rsid w:val="00295D8D"/>
    <w:rsid w:val="00295FFF"/>
    <w:rsid w:val="002965BD"/>
    <w:rsid w:val="002970C1"/>
    <w:rsid w:val="00297CFF"/>
    <w:rsid w:val="002A087B"/>
    <w:rsid w:val="002A12CB"/>
    <w:rsid w:val="002A1610"/>
    <w:rsid w:val="002A1EFB"/>
    <w:rsid w:val="002A202B"/>
    <w:rsid w:val="002A24FE"/>
    <w:rsid w:val="002A256A"/>
    <w:rsid w:val="002A46C2"/>
    <w:rsid w:val="002A5228"/>
    <w:rsid w:val="002A6D79"/>
    <w:rsid w:val="002A7F04"/>
    <w:rsid w:val="002B1D18"/>
    <w:rsid w:val="002B24A3"/>
    <w:rsid w:val="002B3A64"/>
    <w:rsid w:val="002B4B1D"/>
    <w:rsid w:val="002B4CB7"/>
    <w:rsid w:val="002B6252"/>
    <w:rsid w:val="002B6713"/>
    <w:rsid w:val="002C021C"/>
    <w:rsid w:val="002C1693"/>
    <w:rsid w:val="002C16B4"/>
    <w:rsid w:val="002C17EE"/>
    <w:rsid w:val="002C1D45"/>
    <w:rsid w:val="002C2C12"/>
    <w:rsid w:val="002C2E5E"/>
    <w:rsid w:val="002C3BB1"/>
    <w:rsid w:val="002C44AD"/>
    <w:rsid w:val="002C47CF"/>
    <w:rsid w:val="002C4F25"/>
    <w:rsid w:val="002C558A"/>
    <w:rsid w:val="002C55FF"/>
    <w:rsid w:val="002C5977"/>
    <w:rsid w:val="002C5EC9"/>
    <w:rsid w:val="002C5F01"/>
    <w:rsid w:val="002C6FBE"/>
    <w:rsid w:val="002D080E"/>
    <w:rsid w:val="002D0821"/>
    <w:rsid w:val="002D18F5"/>
    <w:rsid w:val="002D2710"/>
    <w:rsid w:val="002D3ADB"/>
    <w:rsid w:val="002D3E64"/>
    <w:rsid w:val="002D52BF"/>
    <w:rsid w:val="002D5575"/>
    <w:rsid w:val="002D5C6B"/>
    <w:rsid w:val="002D5F15"/>
    <w:rsid w:val="002D6F60"/>
    <w:rsid w:val="002D75B8"/>
    <w:rsid w:val="002E0C20"/>
    <w:rsid w:val="002E0C74"/>
    <w:rsid w:val="002E0FA1"/>
    <w:rsid w:val="002E1378"/>
    <w:rsid w:val="002E1E39"/>
    <w:rsid w:val="002E233B"/>
    <w:rsid w:val="002E242D"/>
    <w:rsid w:val="002E3628"/>
    <w:rsid w:val="002E4112"/>
    <w:rsid w:val="002E63CF"/>
    <w:rsid w:val="002E7649"/>
    <w:rsid w:val="002E79C6"/>
    <w:rsid w:val="002F3DD0"/>
    <w:rsid w:val="002F4195"/>
    <w:rsid w:val="002F5109"/>
    <w:rsid w:val="002F51DE"/>
    <w:rsid w:val="002F557E"/>
    <w:rsid w:val="002F5FF5"/>
    <w:rsid w:val="002F6720"/>
    <w:rsid w:val="002F6ADD"/>
    <w:rsid w:val="002F7359"/>
    <w:rsid w:val="002F7B16"/>
    <w:rsid w:val="00300C0C"/>
    <w:rsid w:val="00301001"/>
    <w:rsid w:val="0030178E"/>
    <w:rsid w:val="00302460"/>
    <w:rsid w:val="00304042"/>
    <w:rsid w:val="00306190"/>
    <w:rsid w:val="00306EEB"/>
    <w:rsid w:val="00307170"/>
    <w:rsid w:val="0031061C"/>
    <w:rsid w:val="00311849"/>
    <w:rsid w:val="003120B0"/>
    <w:rsid w:val="00312800"/>
    <w:rsid w:val="00312A57"/>
    <w:rsid w:val="0031333A"/>
    <w:rsid w:val="0031340D"/>
    <w:rsid w:val="00313FA8"/>
    <w:rsid w:val="00314B89"/>
    <w:rsid w:val="00314E76"/>
    <w:rsid w:val="00316234"/>
    <w:rsid w:val="003174A4"/>
    <w:rsid w:val="0032014A"/>
    <w:rsid w:val="00321E86"/>
    <w:rsid w:val="00322651"/>
    <w:rsid w:val="00323047"/>
    <w:rsid w:val="003255E6"/>
    <w:rsid w:val="003265E6"/>
    <w:rsid w:val="00326E00"/>
    <w:rsid w:val="003274B4"/>
    <w:rsid w:val="0033097F"/>
    <w:rsid w:val="00331500"/>
    <w:rsid w:val="00331A43"/>
    <w:rsid w:val="00332506"/>
    <w:rsid w:val="00333E41"/>
    <w:rsid w:val="00335726"/>
    <w:rsid w:val="003357A1"/>
    <w:rsid w:val="003358C2"/>
    <w:rsid w:val="00336381"/>
    <w:rsid w:val="00337C5A"/>
    <w:rsid w:val="00340B86"/>
    <w:rsid w:val="0034138E"/>
    <w:rsid w:val="003420A5"/>
    <w:rsid w:val="00342121"/>
    <w:rsid w:val="00343749"/>
    <w:rsid w:val="0034745A"/>
    <w:rsid w:val="0035052F"/>
    <w:rsid w:val="00351B46"/>
    <w:rsid w:val="00351DD9"/>
    <w:rsid w:val="003526C7"/>
    <w:rsid w:val="00352ADD"/>
    <w:rsid w:val="00352FA0"/>
    <w:rsid w:val="003531EE"/>
    <w:rsid w:val="00353EC6"/>
    <w:rsid w:val="003543DC"/>
    <w:rsid w:val="00354659"/>
    <w:rsid w:val="00354AED"/>
    <w:rsid w:val="003567B4"/>
    <w:rsid w:val="003579D9"/>
    <w:rsid w:val="003611D5"/>
    <w:rsid w:val="00362EDB"/>
    <w:rsid w:val="00364405"/>
    <w:rsid w:val="003644CA"/>
    <w:rsid w:val="00364BDF"/>
    <w:rsid w:val="0036634F"/>
    <w:rsid w:val="00366535"/>
    <w:rsid w:val="00366839"/>
    <w:rsid w:val="0036787D"/>
    <w:rsid w:val="0037005F"/>
    <w:rsid w:val="003710DE"/>
    <w:rsid w:val="0037169F"/>
    <w:rsid w:val="00371F12"/>
    <w:rsid w:val="00373558"/>
    <w:rsid w:val="00373DAB"/>
    <w:rsid w:val="00373E99"/>
    <w:rsid w:val="00374FB5"/>
    <w:rsid w:val="00375331"/>
    <w:rsid w:val="00376B5F"/>
    <w:rsid w:val="003778B8"/>
    <w:rsid w:val="003801A3"/>
    <w:rsid w:val="00380380"/>
    <w:rsid w:val="00380389"/>
    <w:rsid w:val="00382A64"/>
    <w:rsid w:val="00384504"/>
    <w:rsid w:val="003877E0"/>
    <w:rsid w:val="00387FF4"/>
    <w:rsid w:val="00390053"/>
    <w:rsid w:val="00390351"/>
    <w:rsid w:val="003904D5"/>
    <w:rsid w:val="003925F1"/>
    <w:rsid w:val="0039395B"/>
    <w:rsid w:val="00393DCB"/>
    <w:rsid w:val="003943EE"/>
    <w:rsid w:val="0039478E"/>
    <w:rsid w:val="00396569"/>
    <w:rsid w:val="00397028"/>
    <w:rsid w:val="003A00CF"/>
    <w:rsid w:val="003A0B6E"/>
    <w:rsid w:val="003A178C"/>
    <w:rsid w:val="003A1D3A"/>
    <w:rsid w:val="003A2C30"/>
    <w:rsid w:val="003A4FCD"/>
    <w:rsid w:val="003A61B5"/>
    <w:rsid w:val="003A6CBB"/>
    <w:rsid w:val="003A7719"/>
    <w:rsid w:val="003B1A34"/>
    <w:rsid w:val="003B2151"/>
    <w:rsid w:val="003B2AA3"/>
    <w:rsid w:val="003B2F86"/>
    <w:rsid w:val="003B6E38"/>
    <w:rsid w:val="003C0590"/>
    <w:rsid w:val="003C0B5A"/>
    <w:rsid w:val="003C1434"/>
    <w:rsid w:val="003C22FB"/>
    <w:rsid w:val="003C3643"/>
    <w:rsid w:val="003C3E53"/>
    <w:rsid w:val="003C52A4"/>
    <w:rsid w:val="003C546A"/>
    <w:rsid w:val="003C5495"/>
    <w:rsid w:val="003C627F"/>
    <w:rsid w:val="003C7099"/>
    <w:rsid w:val="003D04E9"/>
    <w:rsid w:val="003D0A85"/>
    <w:rsid w:val="003D270F"/>
    <w:rsid w:val="003D3943"/>
    <w:rsid w:val="003D3A3F"/>
    <w:rsid w:val="003D3DAE"/>
    <w:rsid w:val="003D403C"/>
    <w:rsid w:val="003D4344"/>
    <w:rsid w:val="003D504F"/>
    <w:rsid w:val="003D617B"/>
    <w:rsid w:val="003D6272"/>
    <w:rsid w:val="003D6F01"/>
    <w:rsid w:val="003E0573"/>
    <w:rsid w:val="003E101F"/>
    <w:rsid w:val="003E1068"/>
    <w:rsid w:val="003E1A28"/>
    <w:rsid w:val="003E67A5"/>
    <w:rsid w:val="003E6A91"/>
    <w:rsid w:val="003F0D4E"/>
    <w:rsid w:val="003F15A6"/>
    <w:rsid w:val="003F259A"/>
    <w:rsid w:val="003F2EBD"/>
    <w:rsid w:val="003F4003"/>
    <w:rsid w:val="003F5F1D"/>
    <w:rsid w:val="003F6408"/>
    <w:rsid w:val="003F71A0"/>
    <w:rsid w:val="00400BFE"/>
    <w:rsid w:val="00401D75"/>
    <w:rsid w:val="004030B0"/>
    <w:rsid w:val="0040410F"/>
    <w:rsid w:val="00404167"/>
    <w:rsid w:val="0040500B"/>
    <w:rsid w:val="00405555"/>
    <w:rsid w:val="004065A5"/>
    <w:rsid w:val="00410252"/>
    <w:rsid w:val="00411001"/>
    <w:rsid w:val="004112D2"/>
    <w:rsid w:val="00411832"/>
    <w:rsid w:val="00412391"/>
    <w:rsid w:val="00413152"/>
    <w:rsid w:val="00414182"/>
    <w:rsid w:val="00423A83"/>
    <w:rsid w:val="00423A92"/>
    <w:rsid w:val="00424605"/>
    <w:rsid w:val="004246D1"/>
    <w:rsid w:val="00425043"/>
    <w:rsid w:val="00426BA7"/>
    <w:rsid w:val="004300D6"/>
    <w:rsid w:val="004308F2"/>
    <w:rsid w:val="00430937"/>
    <w:rsid w:val="00431796"/>
    <w:rsid w:val="00432177"/>
    <w:rsid w:val="0043255D"/>
    <w:rsid w:val="00432785"/>
    <w:rsid w:val="0043288F"/>
    <w:rsid w:val="00432EF6"/>
    <w:rsid w:val="00433ADC"/>
    <w:rsid w:val="00433EAA"/>
    <w:rsid w:val="00434FF0"/>
    <w:rsid w:val="00435A64"/>
    <w:rsid w:val="00435E9E"/>
    <w:rsid w:val="00440979"/>
    <w:rsid w:val="00440BDC"/>
    <w:rsid w:val="00441AE7"/>
    <w:rsid w:val="00443FCC"/>
    <w:rsid w:val="0044419A"/>
    <w:rsid w:val="00444AC0"/>
    <w:rsid w:val="00444CF4"/>
    <w:rsid w:val="00445017"/>
    <w:rsid w:val="00446224"/>
    <w:rsid w:val="004470A2"/>
    <w:rsid w:val="00450F39"/>
    <w:rsid w:val="00451CE6"/>
    <w:rsid w:val="00454D8E"/>
    <w:rsid w:val="00455FF6"/>
    <w:rsid w:val="00457821"/>
    <w:rsid w:val="00457931"/>
    <w:rsid w:val="00460241"/>
    <w:rsid w:val="00460890"/>
    <w:rsid w:val="00462EC2"/>
    <w:rsid w:val="00463695"/>
    <w:rsid w:val="004659FF"/>
    <w:rsid w:val="00466B9D"/>
    <w:rsid w:val="00466E88"/>
    <w:rsid w:val="004673E3"/>
    <w:rsid w:val="0046788B"/>
    <w:rsid w:val="004678B4"/>
    <w:rsid w:val="00470D24"/>
    <w:rsid w:val="00471A8C"/>
    <w:rsid w:val="00471E7B"/>
    <w:rsid w:val="00473898"/>
    <w:rsid w:val="0047397E"/>
    <w:rsid w:val="00473F71"/>
    <w:rsid w:val="004740DB"/>
    <w:rsid w:val="0047573C"/>
    <w:rsid w:val="00475C55"/>
    <w:rsid w:val="004806E9"/>
    <w:rsid w:val="00483DE9"/>
    <w:rsid w:val="004844ED"/>
    <w:rsid w:val="00484A15"/>
    <w:rsid w:val="00484F19"/>
    <w:rsid w:val="004879BC"/>
    <w:rsid w:val="00487B22"/>
    <w:rsid w:val="0049014B"/>
    <w:rsid w:val="00490E4D"/>
    <w:rsid w:val="00490F35"/>
    <w:rsid w:val="00493108"/>
    <w:rsid w:val="004945EE"/>
    <w:rsid w:val="0049698E"/>
    <w:rsid w:val="00496CBF"/>
    <w:rsid w:val="00496D93"/>
    <w:rsid w:val="00497F3A"/>
    <w:rsid w:val="004A0906"/>
    <w:rsid w:val="004A1066"/>
    <w:rsid w:val="004A144D"/>
    <w:rsid w:val="004A18C4"/>
    <w:rsid w:val="004A348A"/>
    <w:rsid w:val="004A35A0"/>
    <w:rsid w:val="004A4765"/>
    <w:rsid w:val="004A4DD5"/>
    <w:rsid w:val="004A73AF"/>
    <w:rsid w:val="004A751E"/>
    <w:rsid w:val="004B17D3"/>
    <w:rsid w:val="004B187F"/>
    <w:rsid w:val="004B2591"/>
    <w:rsid w:val="004B282B"/>
    <w:rsid w:val="004B29DF"/>
    <w:rsid w:val="004B3FB2"/>
    <w:rsid w:val="004B4524"/>
    <w:rsid w:val="004B4F90"/>
    <w:rsid w:val="004B65B6"/>
    <w:rsid w:val="004B65BB"/>
    <w:rsid w:val="004B69A4"/>
    <w:rsid w:val="004C0385"/>
    <w:rsid w:val="004C0D3B"/>
    <w:rsid w:val="004C1EAF"/>
    <w:rsid w:val="004C36F5"/>
    <w:rsid w:val="004C3B7E"/>
    <w:rsid w:val="004C3D55"/>
    <w:rsid w:val="004C474B"/>
    <w:rsid w:val="004C562E"/>
    <w:rsid w:val="004C66E0"/>
    <w:rsid w:val="004C671D"/>
    <w:rsid w:val="004C6B32"/>
    <w:rsid w:val="004D017A"/>
    <w:rsid w:val="004D2D66"/>
    <w:rsid w:val="004D3298"/>
    <w:rsid w:val="004D3E37"/>
    <w:rsid w:val="004D4E4A"/>
    <w:rsid w:val="004D53DD"/>
    <w:rsid w:val="004D61E6"/>
    <w:rsid w:val="004E07CF"/>
    <w:rsid w:val="004E13F6"/>
    <w:rsid w:val="004E179B"/>
    <w:rsid w:val="004E3AA9"/>
    <w:rsid w:val="004E3BAC"/>
    <w:rsid w:val="004E3F3A"/>
    <w:rsid w:val="004E4D7B"/>
    <w:rsid w:val="004E54F0"/>
    <w:rsid w:val="004E5B29"/>
    <w:rsid w:val="004E5E61"/>
    <w:rsid w:val="004E66C8"/>
    <w:rsid w:val="004E6785"/>
    <w:rsid w:val="004E682F"/>
    <w:rsid w:val="004E7AD7"/>
    <w:rsid w:val="004F08B3"/>
    <w:rsid w:val="004F176A"/>
    <w:rsid w:val="004F2A3D"/>
    <w:rsid w:val="004F49B8"/>
    <w:rsid w:val="004F523E"/>
    <w:rsid w:val="004F525C"/>
    <w:rsid w:val="004F6583"/>
    <w:rsid w:val="004F6B33"/>
    <w:rsid w:val="004F6BC0"/>
    <w:rsid w:val="004F7079"/>
    <w:rsid w:val="0050074D"/>
    <w:rsid w:val="0050263E"/>
    <w:rsid w:val="0050554D"/>
    <w:rsid w:val="00505F44"/>
    <w:rsid w:val="00506B05"/>
    <w:rsid w:val="00507637"/>
    <w:rsid w:val="0050781B"/>
    <w:rsid w:val="00510DC0"/>
    <w:rsid w:val="0051253C"/>
    <w:rsid w:val="00514B87"/>
    <w:rsid w:val="00514D18"/>
    <w:rsid w:val="00514E08"/>
    <w:rsid w:val="00516E7B"/>
    <w:rsid w:val="00521106"/>
    <w:rsid w:val="0052273D"/>
    <w:rsid w:val="00522B31"/>
    <w:rsid w:val="00523D14"/>
    <w:rsid w:val="00524047"/>
    <w:rsid w:val="005253C1"/>
    <w:rsid w:val="00525657"/>
    <w:rsid w:val="005257C9"/>
    <w:rsid w:val="00525C41"/>
    <w:rsid w:val="005273F1"/>
    <w:rsid w:val="00527784"/>
    <w:rsid w:val="00527DAF"/>
    <w:rsid w:val="00527E57"/>
    <w:rsid w:val="00531B66"/>
    <w:rsid w:val="005322EC"/>
    <w:rsid w:val="00534747"/>
    <w:rsid w:val="0053482E"/>
    <w:rsid w:val="00535EF5"/>
    <w:rsid w:val="00537EFB"/>
    <w:rsid w:val="005470EB"/>
    <w:rsid w:val="005504B2"/>
    <w:rsid w:val="00550A6B"/>
    <w:rsid w:val="00550CFF"/>
    <w:rsid w:val="005517D3"/>
    <w:rsid w:val="005528E2"/>
    <w:rsid w:val="00553DF0"/>
    <w:rsid w:val="00553EC3"/>
    <w:rsid w:val="0055459B"/>
    <w:rsid w:val="00554FFA"/>
    <w:rsid w:val="00555446"/>
    <w:rsid w:val="00555991"/>
    <w:rsid w:val="00557144"/>
    <w:rsid w:val="00560483"/>
    <w:rsid w:val="0056171C"/>
    <w:rsid w:val="00564AD0"/>
    <w:rsid w:val="005651F0"/>
    <w:rsid w:val="005656CF"/>
    <w:rsid w:val="0056580B"/>
    <w:rsid w:val="00565BEC"/>
    <w:rsid w:val="00565DB2"/>
    <w:rsid w:val="00571A41"/>
    <w:rsid w:val="00571DA9"/>
    <w:rsid w:val="005723A4"/>
    <w:rsid w:val="00573E4D"/>
    <w:rsid w:val="0057786A"/>
    <w:rsid w:val="005810F2"/>
    <w:rsid w:val="00582045"/>
    <w:rsid w:val="0058326E"/>
    <w:rsid w:val="0058359B"/>
    <w:rsid w:val="005839E7"/>
    <w:rsid w:val="00584309"/>
    <w:rsid w:val="00584483"/>
    <w:rsid w:val="00586BB3"/>
    <w:rsid w:val="00587EA6"/>
    <w:rsid w:val="00590247"/>
    <w:rsid w:val="005903FB"/>
    <w:rsid w:val="00590E54"/>
    <w:rsid w:val="00590EA1"/>
    <w:rsid w:val="0059101E"/>
    <w:rsid w:val="00591C89"/>
    <w:rsid w:val="00592001"/>
    <w:rsid w:val="00592F14"/>
    <w:rsid w:val="0059330A"/>
    <w:rsid w:val="005939A2"/>
    <w:rsid w:val="00593D93"/>
    <w:rsid w:val="0059463E"/>
    <w:rsid w:val="00594CEC"/>
    <w:rsid w:val="00594EEC"/>
    <w:rsid w:val="005A06EB"/>
    <w:rsid w:val="005A0886"/>
    <w:rsid w:val="005A08C1"/>
    <w:rsid w:val="005A1724"/>
    <w:rsid w:val="005A18A0"/>
    <w:rsid w:val="005A3ACF"/>
    <w:rsid w:val="005A47BE"/>
    <w:rsid w:val="005A48B5"/>
    <w:rsid w:val="005A572B"/>
    <w:rsid w:val="005A5959"/>
    <w:rsid w:val="005A7B44"/>
    <w:rsid w:val="005B0CF1"/>
    <w:rsid w:val="005B1528"/>
    <w:rsid w:val="005B16FD"/>
    <w:rsid w:val="005B3CD5"/>
    <w:rsid w:val="005B4D13"/>
    <w:rsid w:val="005B4E1F"/>
    <w:rsid w:val="005B5185"/>
    <w:rsid w:val="005B53CB"/>
    <w:rsid w:val="005B5802"/>
    <w:rsid w:val="005B63DD"/>
    <w:rsid w:val="005B6913"/>
    <w:rsid w:val="005C13B4"/>
    <w:rsid w:val="005C1525"/>
    <w:rsid w:val="005C3409"/>
    <w:rsid w:val="005C36E5"/>
    <w:rsid w:val="005C6668"/>
    <w:rsid w:val="005C6A77"/>
    <w:rsid w:val="005C7160"/>
    <w:rsid w:val="005C76E7"/>
    <w:rsid w:val="005D081E"/>
    <w:rsid w:val="005D1028"/>
    <w:rsid w:val="005D3051"/>
    <w:rsid w:val="005D32D7"/>
    <w:rsid w:val="005D3384"/>
    <w:rsid w:val="005D4D3F"/>
    <w:rsid w:val="005D52C3"/>
    <w:rsid w:val="005D6097"/>
    <w:rsid w:val="005D7276"/>
    <w:rsid w:val="005D7F36"/>
    <w:rsid w:val="005E0CB5"/>
    <w:rsid w:val="005E0D35"/>
    <w:rsid w:val="005E13BE"/>
    <w:rsid w:val="005E14DE"/>
    <w:rsid w:val="005E172C"/>
    <w:rsid w:val="005E27B8"/>
    <w:rsid w:val="005E2B48"/>
    <w:rsid w:val="005E3C5D"/>
    <w:rsid w:val="005E43E7"/>
    <w:rsid w:val="005E4E51"/>
    <w:rsid w:val="005E62C7"/>
    <w:rsid w:val="005E6EE7"/>
    <w:rsid w:val="005F063B"/>
    <w:rsid w:val="005F0B87"/>
    <w:rsid w:val="005F0F3F"/>
    <w:rsid w:val="005F1654"/>
    <w:rsid w:val="005F347F"/>
    <w:rsid w:val="005F3F54"/>
    <w:rsid w:val="005F413A"/>
    <w:rsid w:val="005F5ED8"/>
    <w:rsid w:val="005F76FE"/>
    <w:rsid w:val="005F79EF"/>
    <w:rsid w:val="006002FC"/>
    <w:rsid w:val="00600DCD"/>
    <w:rsid w:val="006022DC"/>
    <w:rsid w:val="00605A00"/>
    <w:rsid w:val="00605C0F"/>
    <w:rsid w:val="00605D4C"/>
    <w:rsid w:val="00605E87"/>
    <w:rsid w:val="00605E91"/>
    <w:rsid w:val="00606446"/>
    <w:rsid w:val="00606E4E"/>
    <w:rsid w:val="0061060D"/>
    <w:rsid w:val="00610DE8"/>
    <w:rsid w:val="00613267"/>
    <w:rsid w:val="00613480"/>
    <w:rsid w:val="0061400C"/>
    <w:rsid w:val="00614ABA"/>
    <w:rsid w:val="00614F36"/>
    <w:rsid w:val="00615F06"/>
    <w:rsid w:val="00616AC3"/>
    <w:rsid w:val="00617353"/>
    <w:rsid w:val="00617D4C"/>
    <w:rsid w:val="00621A43"/>
    <w:rsid w:val="0062256D"/>
    <w:rsid w:val="00622FD7"/>
    <w:rsid w:val="00624FDB"/>
    <w:rsid w:val="00626D3E"/>
    <w:rsid w:val="006277FF"/>
    <w:rsid w:val="006305AE"/>
    <w:rsid w:val="00630744"/>
    <w:rsid w:val="00630A69"/>
    <w:rsid w:val="00630BB0"/>
    <w:rsid w:val="00631FF6"/>
    <w:rsid w:val="006320A7"/>
    <w:rsid w:val="006333F1"/>
    <w:rsid w:val="006357EF"/>
    <w:rsid w:val="0063797C"/>
    <w:rsid w:val="0064194E"/>
    <w:rsid w:val="006424E7"/>
    <w:rsid w:val="00642850"/>
    <w:rsid w:val="00642898"/>
    <w:rsid w:val="00643A72"/>
    <w:rsid w:val="00643C32"/>
    <w:rsid w:val="00644A8A"/>
    <w:rsid w:val="006460DD"/>
    <w:rsid w:val="00646CFF"/>
    <w:rsid w:val="0064738E"/>
    <w:rsid w:val="00651C1F"/>
    <w:rsid w:val="00651CCF"/>
    <w:rsid w:val="0065220F"/>
    <w:rsid w:val="00652753"/>
    <w:rsid w:val="00652EE4"/>
    <w:rsid w:val="006545F1"/>
    <w:rsid w:val="00654D22"/>
    <w:rsid w:val="0065665A"/>
    <w:rsid w:val="00656D90"/>
    <w:rsid w:val="00656FD8"/>
    <w:rsid w:val="006570E2"/>
    <w:rsid w:val="00657A53"/>
    <w:rsid w:val="00660C69"/>
    <w:rsid w:val="00661AB6"/>
    <w:rsid w:val="0066293A"/>
    <w:rsid w:val="00662A51"/>
    <w:rsid w:val="00662CD1"/>
    <w:rsid w:val="00663354"/>
    <w:rsid w:val="00665BCC"/>
    <w:rsid w:val="00667635"/>
    <w:rsid w:val="00667D4C"/>
    <w:rsid w:val="00667E67"/>
    <w:rsid w:val="006703D6"/>
    <w:rsid w:val="00671522"/>
    <w:rsid w:val="00671634"/>
    <w:rsid w:val="00671C10"/>
    <w:rsid w:val="00671D43"/>
    <w:rsid w:val="00672505"/>
    <w:rsid w:val="00672750"/>
    <w:rsid w:val="006736BC"/>
    <w:rsid w:val="00673814"/>
    <w:rsid w:val="006740AC"/>
    <w:rsid w:val="006744E9"/>
    <w:rsid w:val="00674B82"/>
    <w:rsid w:val="0067537D"/>
    <w:rsid w:val="006754AA"/>
    <w:rsid w:val="00677A1B"/>
    <w:rsid w:val="00680CA0"/>
    <w:rsid w:val="00680F05"/>
    <w:rsid w:val="00682231"/>
    <w:rsid w:val="0068297C"/>
    <w:rsid w:val="00684B54"/>
    <w:rsid w:val="00685350"/>
    <w:rsid w:val="00685619"/>
    <w:rsid w:val="00685F14"/>
    <w:rsid w:val="00685FEB"/>
    <w:rsid w:val="006870BA"/>
    <w:rsid w:val="00687C98"/>
    <w:rsid w:val="006907F6"/>
    <w:rsid w:val="00690919"/>
    <w:rsid w:val="0069310B"/>
    <w:rsid w:val="00693585"/>
    <w:rsid w:val="006944B2"/>
    <w:rsid w:val="00695C1F"/>
    <w:rsid w:val="00695D3F"/>
    <w:rsid w:val="00696DDB"/>
    <w:rsid w:val="0069782A"/>
    <w:rsid w:val="006A2D72"/>
    <w:rsid w:val="006A4449"/>
    <w:rsid w:val="006A46D3"/>
    <w:rsid w:val="006A4BBA"/>
    <w:rsid w:val="006A4D9C"/>
    <w:rsid w:val="006A6AF1"/>
    <w:rsid w:val="006A6B75"/>
    <w:rsid w:val="006A7127"/>
    <w:rsid w:val="006A789A"/>
    <w:rsid w:val="006B3202"/>
    <w:rsid w:val="006B5A33"/>
    <w:rsid w:val="006B60B7"/>
    <w:rsid w:val="006B6367"/>
    <w:rsid w:val="006B79C7"/>
    <w:rsid w:val="006B7AE5"/>
    <w:rsid w:val="006B7E4B"/>
    <w:rsid w:val="006C06CE"/>
    <w:rsid w:val="006C0814"/>
    <w:rsid w:val="006C0931"/>
    <w:rsid w:val="006C0BB5"/>
    <w:rsid w:val="006C35E7"/>
    <w:rsid w:val="006C508E"/>
    <w:rsid w:val="006C6293"/>
    <w:rsid w:val="006C6727"/>
    <w:rsid w:val="006D15E6"/>
    <w:rsid w:val="006D3B3D"/>
    <w:rsid w:val="006D3DC7"/>
    <w:rsid w:val="006D41BB"/>
    <w:rsid w:val="006D5003"/>
    <w:rsid w:val="006D55BE"/>
    <w:rsid w:val="006D5C00"/>
    <w:rsid w:val="006E00B7"/>
    <w:rsid w:val="006E098F"/>
    <w:rsid w:val="006E0AF7"/>
    <w:rsid w:val="006E19C8"/>
    <w:rsid w:val="006E29A3"/>
    <w:rsid w:val="006E372F"/>
    <w:rsid w:val="006E4F26"/>
    <w:rsid w:val="006E56A2"/>
    <w:rsid w:val="006E615E"/>
    <w:rsid w:val="006E6C75"/>
    <w:rsid w:val="006E71CF"/>
    <w:rsid w:val="006E7241"/>
    <w:rsid w:val="006F0815"/>
    <w:rsid w:val="006F156C"/>
    <w:rsid w:val="006F196E"/>
    <w:rsid w:val="006F1E71"/>
    <w:rsid w:val="006F26A8"/>
    <w:rsid w:val="006F337E"/>
    <w:rsid w:val="006F5ED1"/>
    <w:rsid w:val="006F7622"/>
    <w:rsid w:val="00700A40"/>
    <w:rsid w:val="00701773"/>
    <w:rsid w:val="00701933"/>
    <w:rsid w:val="00702623"/>
    <w:rsid w:val="00702F60"/>
    <w:rsid w:val="00704519"/>
    <w:rsid w:val="00705EF9"/>
    <w:rsid w:val="0070609D"/>
    <w:rsid w:val="007106F4"/>
    <w:rsid w:val="00710EE3"/>
    <w:rsid w:val="00712B00"/>
    <w:rsid w:val="00715965"/>
    <w:rsid w:val="00716DA2"/>
    <w:rsid w:val="00717664"/>
    <w:rsid w:val="007211FC"/>
    <w:rsid w:val="00721758"/>
    <w:rsid w:val="00722B3D"/>
    <w:rsid w:val="00722FD3"/>
    <w:rsid w:val="00724F5F"/>
    <w:rsid w:val="007252B3"/>
    <w:rsid w:val="007268BA"/>
    <w:rsid w:val="00730A55"/>
    <w:rsid w:val="00730AC8"/>
    <w:rsid w:val="007339C3"/>
    <w:rsid w:val="007353B6"/>
    <w:rsid w:val="007369C7"/>
    <w:rsid w:val="007370C1"/>
    <w:rsid w:val="0074074B"/>
    <w:rsid w:val="007409CE"/>
    <w:rsid w:val="00741133"/>
    <w:rsid w:val="00741136"/>
    <w:rsid w:val="007425D3"/>
    <w:rsid w:val="00742D5F"/>
    <w:rsid w:val="00742F16"/>
    <w:rsid w:val="007454F7"/>
    <w:rsid w:val="00746DC1"/>
    <w:rsid w:val="00746E95"/>
    <w:rsid w:val="00752317"/>
    <w:rsid w:val="007574D7"/>
    <w:rsid w:val="00757E2D"/>
    <w:rsid w:val="00760564"/>
    <w:rsid w:val="00760E7D"/>
    <w:rsid w:val="007620B1"/>
    <w:rsid w:val="00762551"/>
    <w:rsid w:val="00762696"/>
    <w:rsid w:val="00763657"/>
    <w:rsid w:val="007639FE"/>
    <w:rsid w:val="00763D0C"/>
    <w:rsid w:val="00765450"/>
    <w:rsid w:val="0076614F"/>
    <w:rsid w:val="00766194"/>
    <w:rsid w:val="00771714"/>
    <w:rsid w:val="00771ABA"/>
    <w:rsid w:val="00771E3E"/>
    <w:rsid w:val="007727A6"/>
    <w:rsid w:val="0077379B"/>
    <w:rsid w:val="00773A2D"/>
    <w:rsid w:val="00774459"/>
    <w:rsid w:val="007744C4"/>
    <w:rsid w:val="007754C8"/>
    <w:rsid w:val="00777393"/>
    <w:rsid w:val="00777ABB"/>
    <w:rsid w:val="0078255F"/>
    <w:rsid w:val="007832BE"/>
    <w:rsid w:val="0078368B"/>
    <w:rsid w:val="0078390F"/>
    <w:rsid w:val="00783B37"/>
    <w:rsid w:val="0078432D"/>
    <w:rsid w:val="007851D6"/>
    <w:rsid w:val="007855C3"/>
    <w:rsid w:val="00785A43"/>
    <w:rsid w:val="007870CD"/>
    <w:rsid w:val="00790AC3"/>
    <w:rsid w:val="007923D1"/>
    <w:rsid w:val="007931B6"/>
    <w:rsid w:val="00793611"/>
    <w:rsid w:val="00793B7F"/>
    <w:rsid w:val="007942BE"/>
    <w:rsid w:val="00794C23"/>
    <w:rsid w:val="00796317"/>
    <w:rsid w:val="007965AE"/>
    <w:rsid w:val="007969B0"/>
    <w:rsid w:val="0079778C"/>
    <w:rsid w:val="007A108F"/>
    <w:rsid w:val="007A1551"/>
    <w:rsid w:val="007A22C3"/>
    <w:rsid w:val="007A2926"/>
    <w:rsid w:val="007A36F8"/>
    <w:rsid w:val="007A40EF"/>
    <w:rsid w:val="007A49EF"/>
    <w:rsid w:val="007A53D0"/>
    <w:rsid w:val="007A6707"/>
    <w:rsid w:val="007A7C09"/>
    <w:rsid w:val="007B254B"/>
    <w:rsid w:val="007B5406"/>
    <w:rsid w:val="007B54F2"/>
    <w:rsid w:val="007B661B"/>
    <w:rsid w:val="007B69DA"/>
    <w:rsid w:val="007B76E1"/>
    <w:rsid w:val="007C26DE"/>
    <w:rsid w:val="007C5053"/>
    <w:rsid w:val="007C550A"/>
    <w:rsid w:val="007D0BEE"/>
    <w:rsid w:val="007D245C"/>
    <w:rsid w:val="007D272F"/>
    <w:rsid w:val="007D2CD2"/>
    <w:rsid w:val="007D2E88"/>
    <w:rsid w:val="007D3506"/>
    <w:rsid w:val="007D3533"/>
    <w:rsid w:val="007D35E3"/>
    <w:rsid w:val="007D5117"/>
    <w:rsid w:val="007D58C3"/>
    <w:rsid w:val="007D65C5"/>
    <w:rsid w:val="007D6A41"/>
    <w:rsid w:val="007D6B5D"/>
    <w:rsid w:val="007D7B21"/>
    <w:rsid w:val="007D7DEA"/>
    <w:rsid w:val="007E0C40"/>
    <w:rsid w:val="007E146E"/>
    <w:rsid w:val="007E147B"/>
    <w:rsid w:val="007E1495"/>
    <w:rsid w:val="007E14BE"/>
    <w:rsid w:val="007E2297"/>
    <w:rsid w:val="007E26C8"/>
    <w:rsid w:val="007E374F"/>
    <w:rsid w:val="007E4000"/>
    <w:rsid w:val="007E4933"/>
    <w:rsid w:val="007E6886"/>
    <w:rsid w:val="007E721B"/>
    <w:rsid w:val="007F10B8"/>
    <w:rsid w:val="007F3737"/>
    <w:rsid w:val="007F3AE3"/>
    <w:rsid w:val="007F4395"/>
    <w:rsid w:val="007F462E"/>
    <w:rsid w:val="007F4740"/>
    <w:rsid w:val="007F49BB"/>
    <w:rsid w:val="007F4BBD"/>
    <w:rsid w:val="007F518C"/>
    <w:rsid w:val="007F561A"/>
    <w:rsid w:val="007F5972"/>
    <w:rsid w:val="007F599E"/>
    <w:rsid w:val="007F5EBC"/>
    <w:rsid w:val="0080237A"/>
    <w:rsid w:val="00802FF6"/>
    <w:rsid w:val="008054EE"/>
    <w:rsid w:val="008056C0"/>
    <w:rsid w:val="008063FD"/>
    <w:rsid w:val="0080647D"/>
    <w:rsid w:val="00810BAC"/>
    <w:rsid w:val="00812156"/>
    <w:rsid w:val="00812C7A"/>
    <w:rsid w:val="0081369A"/>
    <w:rsid w:val="00813763"/>
    <w:rsid w:val="00814BD6"/>
    <w:rsid w:val="0081593F"/>
    <w:rsid w:val="00815F36"/>
    <w:rsid w:val="00815FF2"/>
    <w:rsid w:val="00816329"/>
    <w:rsid w:val="00816E88"/>
    <w:rsid w:val="00821E39"/>
    <w:rsid w:val="00821F51"/>
    <w:rsid w:val="008221FF"/>
    <w:rsid w:val="008232E5"/>
    <w:rsid w:val="00823348"/>
    <w:rsid w:val="00823955"/>
    <w:rsid w:val="00825682"/>
    <w:rsid w:val="00825E1E"/>
    <w:rsid w:val="0082668E"/>
    <w:rsid w:val="00826775"/>
    <w:rsid w:val="00827DD0"/>
    <w:rsid w:val="0083006B"/>
    <w:rsid w:val="00832630"/>
    <w:rsid w:val="008358B7"/>
    <w:rsid w:val="00835D77"/>
    <w:rsid w:val="00835E5E"/>
    <w:rsid w:val="0083650B"/>
    <w:rsid w:val="00836A65"/>
    <w:rsid w:val="008401BF"/>
    <w:rsid w:val="0084080B"/>
    <w:rsid w:val="00841481"/>
    <w:rsid w:val="00841D43"/>
    <w:rsid w:val="008463B7"/>
    <w:rsid w:val="00851375"/>
    <w:rsid w:val="0085174C"/>
    <w:rsid w:val="00851C34"/>
    <w:rsid w:val="00852A65"/>
    <w:rsid w:val="00856CBA"/>
    <w:rsid w:val="00860DB1"/>
    <w:rsid w:val="008620C9"/>
    <w:rsid w:val="00862CD4"/>
    <w:rsid w:val="00862F56"/>
    <w:rsid w:val="0086393C"/>
    <w:rsid w:val="008645A3"/>
    <w:rsid w:val="00865252"/>
    <w:rsid w:val="00866489"/>
    <w:rsid w:val="008673D7"/>
    <w:rsid w:val="00867DBB"/>
    <w:rsid w:val="0087003A"/>
    <w:rsid w:val="00871719"/>
    <w:rsid w:val="00871E35"/>
    <w:rsid w:val="00871F73"/>
    <w:rsid w:val="00872FE1"/>
    <w:rsid w:val="00873F54"/>
    <w:rsid w:val="00874302"/>
    <w:rsid w:val="0087442F"/>
    <w:rsid w:val="00874EB6"/>
    <w:rsid w:val="008751AE"/>
    <w:rsid w:val="00877B13"/>
    <w:rsid w:val="00877D96"/>
    <w:rsid w:val="008801CF"/>
    <w:rsid w:val="008801FD"/>
    <w:rsid w:val="0088052E"/>
    <w:rsid w:val="008823CD"/>
    <w:rsid w:val="00882D8A"/>
    <w:rsid w:val="008834E1"/>
    <w:rsid w:val="00884BFF"/>
    <w:rsid w:val="00886B23"/>
    <w:rsid w:val="00886CA5"/>
    <w:rsid w:val="0088734A"/>
    <w:rsid w:val="00891AEC"/>
    <w:rsid w:val="00893116"/>
    <w:rsid w:val="008948CE"/>
    <w:rsid w:val="008950B8"/>
    <w:rsid w:val="00896148"/>
    <w:rsid w:val="00896B9D"/>
    <w:rsid w:val="00897912"/>
    <w:rsid w:val="008A161A"/>
    <w:rsid w:val="008A177D"/>
    <w:rsid w:val="008A2D83"/>
    <w:rsid w:val="008A39AC"/>
    <w:rsid w:val="008A5932"/>
    <w:rsid w:val="008A75DE"/>
    <w:rsid w:val="008B0819"/>
    <w:rsid w:val="008B08BC"/>
    <w:rsid w:val="008B3440"/>
    <w:rsid w:val="008B3828"/>
    <w:rsid w:val="008B40E5"/>
    <w:rsid w:val="008B5071"/>
    <w:rsid w:val="008B7124"/>
    <w:rsid w:val="008C01AA"/>
    <w:rsid w:val="008C0EEE"/>
    <w:rsid w:val="008C2C11"/>
    <w:rsid w:val="008C49A6"/>
    <w:rsid w:val="008C572C"/>
    <w:rsid w:val="008C656E"/>
    <w:rsid w:val="008C731E"/>
    <w:rsid w:val="008D2E90"/>
    <w:rsid w:val="008D4439"/>
    <w:rsid w:val="008D77B7"/>
    <w:rsid w:val="008E170B"/>
    <w:rsid w:val="008E1BA1"/>
    <w:rsid w:val="008E1E67"/>
    <w:rsid w:val="008E2305"/>
    <w:rsid w:val="008E2823"/>
    <w:rsid w:val="008E288D"/>
    <w:rsid w:val="008E2FD5"/>
    <w:rsid w:val="008E3055"/>
    <w:rsid w:val="008E3343"/>
    <w:rsid w:val="008E4E9C"/>
    <w:rsid w:val="008E65D2"/>
    <w:rsid w:val="008E688F"/>
    <w:rsid w:val="008E7B40"/>
    <w:rsid w:val="008F02EB"/>
    <w:rsid w:val="008F08D9"/>
    <w:rsid w:val="008F08EA"/>
    <w:rsid w:val="008F235E"/>
    <w:rsid w:val="008F26C6"/>
    <w:rsid w:val="008F307A"/>
    <w:rsid w:val="008F3B55"/>
    <w:rsid w:val="008F435A"/>
    <w:rsid w:val="008F61B7"/>
    <w:rsid w:val="008F6979"/>
    <w:rsid w:val="008F6B1B"/>
    <w:rsid w:val="009003D6"/>
    <w:rsid w:val="00900400"/>
    <w:rsid w:val="009005EC"/>
    <w:rsid w:val="009007C8"/>
    <w:rsid w:val="00901122"/>
    <w:rsid w:val="0090356F"/>
    <w:rsid w:val="00904691"/>
    <w:rsid w:val="0090533D"/>
    <w:rsid w:val="0090542D"/>
    <w:rsid w:val="0090576B"/>
    <w:rsid w:val="0090669B"/>
    <w:rsid w:val="0090698A"/>
    <w:rsid w:val="00907587"/>
    <w:rsid w:val="00907EC0"/>
    <w:rsid w:val="009102E0"/>
    <w:rsid w:val="00910FBF"/>
    <w:rsid w:val="00911235"/>
    <w:rsid w:val="0091170E"/>
    <w:rsid w:val="00911EB4"/>
    <w:rsid w:val="00911ED8"/>
    <w:rsid w:val="00912502"/>
    <w:rsid w:val="00912E10"/>
    <w:rsid w:val="00913CC0"/>
    <w:rsid w:val="00914589"/>
    <w:rsid w:val="00914B32"/>
    <w:rsid w:val="00914E47"/>
    <w:rsid w:val="00915AA3"/>
    <w:rsid w:val="009162A3"/>
    <w:rsid w:val="00917254"/>
    <w:rsid w:val="009206D2"/>
    <w:rsid w:val="0092095D"/>
    <w:rsid w:val="009209FB"/>
    <w:rsid w:val="0092286B"/>
    <w:rsid w:val="00923EA9"/>
    <w:rsid w:val="00924555"/>
    <w:rsid w:val="009245EE"/>
    <w:rsid w:val="00924AF8"/>
    <w:rsid w:val="0092587F"/>
    <w:rsid w:val="00925963"/>
    <w:rsid w:val="00926217"/>
    <w:rsid w:val="009273D7"/>
    <w:rsid w:val="009302FA"/>
    <w:rsid w:val="009308B4"/>
    <w:rsid w:val="00931331"/>
    <w:rsid w:val="009313B1"/>
    <w:rsid w:val="00932208"/>
    <w:rsid w:val="009324BB"/>
    <w:rsid w:val="00932628"/>
    <w:rsid w:val="009329ED"/>
    <w:rsid w:val="00932FE1"/>
    <w:rsid w:val="009352D0"/>
    <w:rsid w:val="00935A36"/>
    <w:rsid w:val="00937899"/>
    <w:rsid w:val="00937D2E"/>
    <w:rsid w:val="00940111"/>
    <w:rsid w:val="0094087A"/>
    <w:rsid w:val="009431BF"/>
    <w:rsid w:val="0094351D"/>
    <w:rsid w:val="00943AEB"/>
    <w:rsid w:val="00943F40"/>
    <w:rsid w:val="00945D8D"/>
    <w:rsid w:val="00946994"/>
    <w:rsid w:val="00946C4E"/>
    <w:rsid w:val="00947432"/>
    <w:rsid w:val="00947EB2"/>
    <w:rsid w:val="00952E5E"/>
    <w:rsid w:val="009535E5"/>
    <w:rsid w:val="00953CBB"/>
    <w:rsid w:val="00956285"/>
    <w:rsid w:val="00956B3D"/>
    <w:rsid w:val="009578DF"/>
    <w:rsid w:val="00961E2D"/>
    <w:rsid w:val="009627F6"/>
    <w:rsid w:val="00962A90"/>
    <w:rsid w:val="00962DC2"/>
    <w:rsid w:val="00962E2B"/>
    <w:rsid w:val="00962F7E"/>
    <w:rsid w:val="009632AA"/>
    <w:rsid w:val="00963F2E"/>
    <w:rsid w:val="00964D37"/>
    <w:rsid w:val="009650A5"/>
    <w:rsid w:val="009656C5"/>
    <w:rsid w:val="0096774F"/>
    <w:rsid w:val="00967AC5"/>
    <w:rsid w:val="0097135C"/>
    <w:rsid w:val="00971502"/>
    <w:rsid w:val="0097219D"/>
    <w:rsid w:val="00972EA8"/>
    <w:rsid w:val="009753E9"/>
    <w:rsid w:val="0097595F"/>
    <w:rsid w:val="00976F19"/>
    <w:rsid w:val="0097792C"/>
    <w:rsid w:val="009779C7"/>
    <w:rsid w:val="00977C73"/>
    <w:rsid w:val="00980604"/>
    <w:rsid w:val="00980F29"/>
    <w:rsid w:val="00981C17"/>
    <w:rsid w:val="00983053"/>
    <w:rsid w:val="00983319"/>
    <w:rsid w:val="00983BA9"/>
    <w:rsid w:val="0098489B"/>
    <w:rsid w:val="009850C9"/>
    <w:rsid w:val="00985A29"/>
    <w:rsid w:val="0098605B"/>
    <w:rsid w:val="009860CA"/>
    <w:rsid w:val="0098720C"/>
    <w:rsid w:val="00991440"/>
    <w:rsid w:val="009918C5"/>
    <w:rsid w:val="0099212A"/>
    <w:rsid w:val="009924B8"/>
    <w:rsid w:val="009936DF"/>
    <w:rsid w:val="00994ABB"/>
    <w:rsid w:val="00995682"/>
    <w:rsid w:val="009957D8"/>
    <w:rsid w:val="00995AE3"/>
    <w:rsid w:val="00995B3F"/>
    <w:rsid w:val="00995C58"/>
    <w:rsid w:val="00995CB9"/>
    <w:rsid w:val="009964F7"/>
    <w:rsid w:val="009965AA"/>
    <w:rsid w:val="009A060F"/>
    <w:rsid w:val="009A08E6"/>
    <w:rsid w:val="009A0D36"/>
    <w:rsid w:val="009A0E74"/>
    <w:rsid w:val="009A10D0"/>
    <w:rsid w:val="009A28D2"/>
    <w:rsid w:val="009A2E50"/>
    <w:rsid w:val="009A356A"/>
    <w:rsid w:val="009A3CEF"/>
    <w:rsid w:val="009A42FD"/>
    <w:rsid w:val="009A6AA1"/>
    <w:rsid w:val="009A76FC"/>
    <w:rsid w:val="009B035B"/>
    <w:rsid w:val="009B049B"/>
    <w:rsid w:val="009B0D99"/>
    <w:rsid w:val="009B2CFE"/>
    <w:rsid w:val="009B3957"/>
    <w:rsid w:val="009B44F5"/>
    <w:rsid w:val="009B47EA"/>
    <w:rsid w:val="009B4D70"/>
    <w:rsid w:val="009B536B"/>
    <w:rsid w:val="009B551F"/>
    <w:rsid w:val="009B61D3"/>
    <w:rsid w:val="009B630B"/>
    <w:rsid w:val="009B701B"/>
    <w:rsid w:val="009B74A8"/>
    <w:rsid w:val="009B7F59"/>
    <w:rsid w:val="009C032B"/>
    <w:rsid w:val="009C08EA"/>
    <w:rsid w:val="009C0DCA"/>
    <w:rsid w:val="009C3D0F"/>
    <w:rsid w:val="009C63D8"/>
    <w:rsid w:val="009C74D6"/>
    <w:rsid w:val="009C7BD1"/>
    <w:rsid w:val="009D1946"/>
    <w:rsid w:val="009D19B2"/>
    <w:rsid w:val="009D21B3"/>
    <w:rsid w:val="009D28B8"/>
    <w:rsid w:val="009D297E"/>
    <w:rsid w:val="009D3AF8"/>
    <w:rsid w:val="009D3EF1"/>
    <w:rsid w:val="009D415B"/>
    <w:rsid w:val="009D461A"/>
    <w:rsid w:val="009D50D1"/>
    <w:rsid w:val="009D541D"/>
    <w:rsid w:val="009D6661"/>
    <w:rsid w:val="009D6B6C"/>
    <w:rsid w:val="009D6EA1"/>
    <w:rsid w:val="009E0DF2"/>
    <w:rsid w:val="009E1409"/>
    <w:rsid w:val="009E2072"/>
    <w:rsid w:val="009E3122"/>
    <w:rsid w:val="009E3174"/>
    <w:rsid w:val="009E36BE"/>
    <w:rsid w:val="009E4DB9"/>
    <w:rsid w:val="009E577F"/>
    <w:rsid w:val="009E6502"/>
    <w:rsid w:val="009E6700"/>
    <w:rsid w:val="009E74BA"/>
    <w:rsid w:val="009E78E8"/>
    <w:rsid w:val="009E7A70"/>
    <w:rsid w:val="009F1051"/>
    <w:rsid w:val="009F1B3F"/>
    <w:rsid w:val="009F28A5"/>
    <w:rsid w:val="009F4BEC"/>
    <w:rsid w:val="009F5BBA"/>
    <w:rsid w:val="009F5FFA"/>
    <w:rsid w:val="009F61A7"/>
    <w:rsid w:val="009F6699"/>
    <w:rsid w:val="009F7FE1"/>
    <w:rsid w:val="00A00AA4"/>
    <w:rsid w:val="00A01A00"/>
    <w:rsid w:val="00A02AE4"/>
    <w:rsid w:val="00A033B7"/>
    <w:rsid w:val="00A03FE9"/>
    <w:rsid w:val="00A04678"/>
    <w:rsid w:val="00A05ED0"/>
    <w:rsid w:val="00A06510"/>
    <w:rsid w:val="00A0770B"/>
    <w:rsid w:val="00A10A41"/>
    <w:rsid w:val="00A10BC2"/>
    <w:rsid w:val="00A11BF1"/>
    <w:rsid w:val="00A11E70"/>
    <w:rsid w:val="00A1242B"/>
    <w:rsid w:val="00A12E50"/>
    <w:rsid w:val="00A143E2"/>
    <w:rsid w:val="00A14EFD"/>
    <w:rsid w:val="00A15879"/>
    <w:rsid w:val="00A17046"/>
    <w:rsid w:val="00A2019C"/>
    <w:rsid w:val="00A20E9B"/>
    <w:rsid w:val="00A21473"/>
    <w:rsid w:val="00A22047"/>
    <w:rsid w:val="00A23F76"/>
    <w:rsid w:val="00A24A16"/>
    <w:rsid w:val="00A25075"/>
    <w:rsid w:val="00A2532B"/>
    <w:rsid w:val="00A27A6F"/>
    <w:rsid w:val="00A3007B"/>
    <w:rsid w:val="00A3056A"/>
    <w:rsid w:val="00A305B1"/>
    <w:rsid w:val="00A30B65"/>
    <w:rsid w:val="00A32B2F"/>
    <w:rsid w:val="00A33F76"/>
    <w:rsid w:val="00A34325"/>
    <w:rsid w:val="00A352A9"/>
    <w:rsid w:val="00A35446"/>
    <w:rsid w:val="00A35454"/>
    <w:rsid w:val="00A35AFD"/>
    <w:rsid w:val="00A36024"/>
    <w:rsid w:val="00A36E10"/>
    <w:rsid w:val="00A373FF"/>
    <w:rsid w:val="00A375FC"/>
    <w:rsid w:val="00A40A42"/>
    <w:rsid w:val="00A4292B"/>
    <w:rsid w:val="00A43980"/>
    <w:rsid w:val="00A43CD2"/>
    <w:rsid w:val="00A45529"/>
    <w:rsid w:val="00A45C62"/>
    <w:rsid w:val="00A45DC2"/>
    <w:rsid w:val="00A47EC6"/>
    <w:rsid w:val="00A50686"/>
    <w:rsid w:val="00A527B0"/>
    <w:rsid w:val="00A53227"/>
    <w:rsid w:val="00A53EF7"/>
    <w:rsid w:val="00A55557"/>
    <w:rsid w:val="00A55934"/>
    <w:rsid w:val="00A60F1F"/>
    <w:rsid w:val="00A61316"/>
    <w:rsid w:val="00A61CC4"/>
    <w:rsid w:val="00A624AA"/>
    <w:rsid w:val="00A62901"/>
    <w:rsid w:val="00A63E11"/>
    <w:rsid w:val="00A65E7D"/>
    <w:rsid w:val="00A7026E"/>
    <w:rsid w:val="00A704AE"/>
    <w:rsid w:val="00A706AB"/>
    <w:rsid w:val="00A70CDE"/>
    <w:rsid w:val="00A70F2E"/>
    <w:rsid w:val="00A735F1"/>
    <w:rsid w:val="00A74971"/>
    <w:rsid w:val="00A74FA8"/>
    <w:rsid w:val="00A7560F"/>
    <w:rsid w:val="00A757D8"/>
    <w:rsid w:val="00A75972"/>
    <w:rsid w:val="00A7599D"/>
    <w:rsid w:val="00A77F1E"/>
    <w:rsid w:val="00A804FD"/>
    <w:rsid w:val="00A805F8"/>
    <w:rsid w:val="00A80989"/>
    <w:rsid w:val="00A813E3"/>
    <w:rsid w:val="00A81D0C"/>
    <w:rsid w:val="00A83609"/>
    <w:rsid w:val="00A84CCB"/>
    <w:rsid w:val="00A84CD7"/>
    <w:rsid w:val="00A85935"/>
    <w:rsid w:val="00A85FCF"/>
    <w:rsid w:val="00A878F6"/>
    <w:rsid w:val="00A9023D"/>
    <w:rsid w:val="00A90D08"/>
    <w:rsid w:val="00A9123D"/>
    <w:rsid w:val="00A914BD"/>
    <w:rsid w:val="00A91B86"/>
    <w:rsid w:val="00A91E34"/>
    <w:rsid w:val="00A921EF"/>
    <w:rsid w:val="00A9278C"/>
    <w:rsid w:val="00A93198"/>
    <w:rsid w:val="00A932B9"/>
    <w:rsid w:val="00A93F7C"/>
    <w:rsid w:val="00A95534"/>
    <w:rsid w:val="00A971C7"/>
    <w:rsid w:val="00A971F8"/>
    <w:rsid w:val="00A97A24"/>
    <w:rsid w:val="00A97E09"/>
    <w:rsid w:val="00AA00EB"/>
    <w:rsid w:val="00AA03D6"/>
    <w:rsid w:val="00AA06AD"/>
    <w:rsid w:val="00AA48F5"/>
    <w:rsid w:val="00AA70A6"/>
    <w:rsid w:val="00AB11EA"/>
    <w:rsid w:val="00AB31A4"/>
    <w:rsid w:val="00AB379C"/>
    <w:rsid w:val="00AB4FF4"/>
    <w:rsid w:val="00AB5D25"/>
    <w:rsid w:val="00AB5DA1"/>
    <w:rsid w:val="00AC03DA"/>
    <w:rsid w:val="00AC043D"/>
    <w:rsid w:val="00AC1110"/>
    <w:rsid w:val="00AC1E7D"/>
    <w:rsid w:val="00AC21CC"/>
    <w:rsid w:val="00AC272F"/>
    <w:rsid w:val="00AC3C02"/>
    <w:rsid w:val="00AC4C74"/>
    <w:rsid w:val="00AC5913"/>
    <w:rsid w:val="00AC7C91"/>
    <w:rsid w:val="00AD0B32"/>
    <w:rsid w:val="00AD0BBD"/>
    <w:rsid w:val="00AD16B1"/>
    <w:rsid w:val="00AD18B4"/>
    <w:rsid w:val="00AD2965"/>
    <w:rsid w:val="00AD396D"/>
    <w:rsid w:val="00AD3E3A"/>
    <w:rsid w:val="00AD3EE2"/>
    <w:rsid w:val="00AD4141"/>
    <w:rsid w:val="00AD47B9"/>
    <w:rsid w:val="00AD4800"/>
    <w:rsid w:val="00AD5972"/>
    <w:rsid w:val="00AD6556"/>
    <w:rsid w:val="00AD705E"/>
    <w:rsid w:val="00AE04A2"/>
    <w:rsid w:val="00AE1D83"/>
    <w:rsid w:val="00AE2AB1"/>
    <w:rsid w:val="00AE42D5"/>
    <w:rsid w:val="00AE4E02"/>
    <w:rsid w:val="00AE4E5C"/>
    <w:rsid w:val="00AE6400"/>
    <w:rsid w:val="00AE6437"/>
    <w:rsid w:val="00AE68F8"/>
    <w:rsid w:val="00AE7720"/>
    <w:rsid w:val="00AF01BC"/>
    <w:rsid w:val="00AF1DF3"/>
    <w:rsid w:val="00AF28E3"/>
    <w:rsid w:val="00AF5E77"/>
    <w:rsid w:val="00AF5F29"/>
    <w:rsid w:val="00AF6B93"/>
    <w:rsid w:val="00AF7405"/>
    <w:rsid w:val="00AF79C5"/>
    <w:rsid w:val="00B008FD"/>
    <w:rsid w:val="00B00B7E"/>
    <w:rsid w:val="00B01856"/>
    <w:rsid w:val="00B03196"/>
    <w:rsid w:val="00B038C8"/>
    <w:rsid w:val="00B0422E"/>
    <w:rsid w:val="00B05019"/>
    <w:rsid w:val="00B0573F"/>
    <w:rsid w:val="00B05784"/>
    <w:rsid w:val="00B073EE"/>
    <w:rsid w:val="00B07EC9"/>
    <w:rsid w:val="00B07F38"/>
    <w:rsid w:val="00B10226"/>
    <w:rsid w:val="00B102EF"/>
    <w:rsid w:val="00B11265"/>
    <w:rsid w:val="00B122D6"/>
    <w:rsid w:val="00B14885"/>
    <w:rsid w:val="00B153F5"/>
    <w:rsid w:val="00B169BE"/>
    <w:rsid w:val="00B16AD7"/>
    <w:rsid w:val="00B2121B"/>
    <w:rsid w:val="00B21BDD"/>
    <w:rsid w:val="00B221E9"/>
    <w:rsid w:val="00B25800"/>
    <w:rsid w:val="00B26312"/>
    <w:rsid w:val="00B26B6E"/>
    <w:rsid w:val="00B35CA7"/>
    <w:rsid w:val="00B37141"/>
    <w:rsid w:val="00B37F4D"/>
    <w:rsid w:val="00B40347"/>
    <w:rsid w:val="00B42508"/>
    <w:rsid w:val="00B428EB"/>
    <w:rsid w:val="00B42C1B"/>
    <w:rsid w:val="00B438B3"/>
    <w:rsid w:val="00B4423D"/>
    <w:rsid w:val="00B44671"/>
    <w:rsid w:val="00B46572"/>
    <w:rsid w:val="00B46648"/>
    <w:rsid w:val="00B4711F"/>
    <w:rsid w:val="00B47232"/>
    <w:rsid w:val="00B47E71"/>
    <w:rsid w:val="00B514DB"/>
    <w:rsid w:val="00B52230"/>
    <w:rsid w:val="00B52F53"/>
    <w:rsid w:val="00B536D3"/>
    <w:rsid w:val="00B53E43"/>
    <w:rsid w:val="00B5408F"/>
    <w:rsid w:val="00B54704"/>
    <w:rsid w:val="00B56421"/>
    <w:rsid w:val="00B56548"/>
    <w:rsid w:val="00B56635"/>
    <w:rsid w:val="00B60618"/>
    <w:rsid w:val="00B60ADC"/>
    <w:rsid w:val="00B612C0"/>
    <w:rsid w:val="00B61AC2"/>
    <w:rsid w:val="00B62442"/>
    <w:rsid w:val="00B6310A"/>
    <w:rsid w:val="00B65A8B"/>
    <w:rsid w:val="00B66EB4"/>
    <w:rsid w:val="00B672FD"/>
    <w:rsid w:val="00B7087B"/>
    <w:rsid w:val="00B70A95"/>
    <w:rsid w:val="00B71A3C"/>
    <w:rsid w:val="00B71CB2"/>
    <w:rsid w:val="00B73021"/>
    <w:rsid w:val="00B733C9"/>
    <w:rsid w:val="00B73670"/>
    <w:rsid w:val="00B755B6"/>
    <w:rsid w:val="00B75A1B"/>
    <w:rsid w:val="00B7626E"/>
    <w:rsid w:val="00B762EA"/>
    <w:rsid w:val="00B77B07"/>
    <w:rsid w:val="00B80396"/>
    <w:rsid w:val="00B80A55"/>
    <w:rsid w:val="00B814FF"/>
    <w:rsid w:val="00B815B2"/>
    <w:rsid w:val="00B84D49"/>
    <w:rsid w:val="00B84E12"/>
    <w:rsid w:val="00B85A2B"/>
    <w:rsid w:val="00B861B4"/>
    <w:rsid w:val="00B87227"/>
    <w:rsid w:val="00B87300"/>
    <w:rsid w:val="00B87FEF"/>
    <w:rsid w:val="00B90927"/>
    <w:rsid w:val="00B9225D"/>
    <w:rsid w:val="00B92812"/>
    <w:rsid w:val="00B928DF"/>
    <w:rsid w:val="00B93432"/>
    <w:rsid w:val="00B934B7"/>
    <w:rsid w:val="00B93B23"/>
    <w:rsid w:val="00B94148"/>
    <w:rsid w:val="00B946F3"/>
    <w:rsid w:val="00B95D4F"/>
    <w:rsid w:val="00B961BE"/>
    <w:rsid w:val="00B9705B"/>
    <w:rsid w:val="00BA122A"/>
    <w:rsid w:val="00BA1B01"/>
    <w:rsid w:val="00BA401B"/>
    <w:rsid w:val="00BA41C9"/>
    <w:rsid w:val="00BA51E4"/>
    <w:rsid w:val="00BB0B0B"/>
    <w:rsid w:val="00BB0CE0"/>
    <w:rsid w:val="00BB2364"/>
    <w:rsid w:val="00BB3A98"/>
    <w:rsid w:val="00BB3E9B"/>
    <w:rsid w:val="00BB3FE6"/>
    <w:rsid w:val="00BB5E31"/>
    <w:rsid w:val="00BB6796"/>
    <w:rsid w:val="00BB7451"/>
    <w:rsid w:val="00BB7768"/>
    <w:rsid w:val="00BB78B6"/>
    <w:rsid w:val="00BB7AD8"/>
    <w:rsid w:val="00BC04CD"/>
    <w:rsid w:val="00BC243E"/>
    <w:rsid w:val="00BC2CBF"/>
    <w:rsid w:val="00BC2F86"/>
    <w:rsid w:val="00BC3139"/>
    <w:rsid w:val="00BC323B"/>
    <w:rsid w:val="00BC3654"/>
    <w:rsid w:val="00BC44EF"/>
    <w:rsid w:val="00BC612A"/>
    <w:rsid w:val="00BC6704"/>
    <w:rsid w:val="00BD0612"/>
    <w:rsid w:val="00BD0B3A"/>
    <w:rsid w:val="00BD1315"/>
    <w:rsid w:val="00BD155E"/>
    <w:rsid w:val="00BD23B4"/>
    <w:rsid w:val="00BD2A3B"/>
    <w:rsid w:val="00BD2B8B"/>
    <w:rsid w:val="00BD2D66"/>
    <w:rsid w:val="00BD333D"/>
    <w:rsid w:val="00BD33C0"/>
    <w:rsid w:val="00BD3EEB"/>
    <w:rsid w:val="00BD594D"/>
    <w:rsid w:val="00BD6DFD"/>
    <w:rsid w:val="00BD79E5"/>
    <w:rsid w:val="00BD7C0E"/>
    <w:rsid w:val="00BE0F20"/>
    <w:rsid w:val="00BE1517"/>
    <w:rsid w:val="00BE2474"/>
    <w:rsid w:val="00BE262D"/>
    <w:rsid w:val="00BE3099"/>
    <w:rsid w:val="00BE35EA"/>
    <w:rsid w:val="00BE4484"/>
    <w:rsid w:val="00BE7A9A"/>
    <w:rsid w:val="00BE7E39"/>
    <w:rsid w:val="00BE7F00"/>
    <w:rsid w:val="00BF0355"/>
    <w:rsid w:val="00BF0551"/>
    <w:rsid w:val="00BF0C2B"/>
    <w:rsid w:val="00BF1227"/>
    <w:rsid w:val="00BF154F"/>
    <w:rsid w:val="00BF1947"/>
    <w:rsid w:val="00BF2113"/>
    <w:rsid w:val="00BF353D"/>
    <w:rsid w:val="00BF369D"/>
    <w:rsid w:val="00BF56B2"/>
    <w:rsid w:val="00BF6354"/>
    <w:rsid w:val="00BF641C"/>
    <w:rsid w:val="00BF7BFF"/>
    <w:rsid w:val="00C000D7"/>
    <w:rsid w:val="00C05426"/>
    <w:rsid w:val="00C061BA"/>
    <w:rsid w:val="00C06E17"/>
    <w:rsid w:val="00C1131F"/>
    <w:rsid w:val="00C11B8A"/>
    <w:rsid w:val="00C12983"/>
    <w:rsid w:val="00C13AA9"/>
    <w:rsid w:val="00C13B0A"/>
    <w:rsid w:val="00C15EFF"/>
    <w:rsid w:val="00C161E7"/>
    <w:rsid w:val="00C16397"/>
    <w:rsid w:val="00C16A22"/>
    <w:rsid w:val="00C17DDF"/>
    <w:rsid w:val="00C2004E"/>
    <w:rsid w:val="00C21CD2"/>
    <w:rsid w:val="00C2357B"/>
    <w:rsid w:val="00C244C5"/>
    <w:rsid w:val="00C245DB"/>
    <w:rsid w:val="00C264E7"/>
    <w:rsid w:val="00C27AB6"/>
    <w:rsid w:val="00C30355"/>
    <w:rsid w:val="00C30B7B"/>
    <w:rsid w:val="00C3113B"/>
    <w:rsid w:val="00C31239"/>
    <w:rsid w:val="00C3172F"/>
    <w:rsid w:val="00C31EAB"/>
    <w:rsid w:val="00C326A7"/>
    <w:rsid w:val="00C3352D"/>
    <w:rsid w:val="00C3373C"/>
    <w:rsid w:val="00C33C99"/>
    <w:rsid w:val="00C33DBC"/>
    <w:rsid w:val="00C35CB5"/>
    <w:rsid w:val="00C35FF4"/>
    <w:rsid w:val="00C37734"/>
    <w:rsid w:val="00C40B07"/>
    <w:rsid w:val="00C422FF"/>
    <w:rsid w:val="00C427AA"/>
    <w:rsid w:val="00C4658B"/>
    <w:rsid w:val="00C4707D"/>
    <w:rsid w:val="00C47FC6"/>
    <w:rsid w:val="00C514E9"/>
    <w:rsid w:val="00C51BA9"/>
    <w:rsid w:val="00C51F90"/>
    <w:rsid w:val="00C5206F"/>
    <w:rsid w:val="00C521DC"/>
    <w:rsid w:val="00C56C7B"/>
    <w:rsid w:val="00C56DCD"/>
    <w:rsid w:val="00C57189"/>
    <w:rsid w:val="00C57B8E"/>
    <w:rsid w:val="00C57E19"/>
    <w:rsid w:val="00C60FF6"/>
    <w:rsid w:val="00C615DE"/>
    <w:rsid w:val="00C63144"/>
    <w:rsid w:val="00C64688"/>
    <w:rsid w:val="00C64761"/>
    <w:rsid w:val="00C64E42"/>
    <w:rsid w:val="00C653CC"/>
    <w:rsid w:val="00C661A6"/>
    <w:rsid w:val="00C66CBE"/>
    <w:rsid w:val="00C67517"/>
    <w:rsid w:val="00C678A3"/>
    <w:rsid w:val="00C6793D"/>
    <w:rsid w:val="00C71165"/>
    <w:rsid w:val="00C71A20"/>
    <w:rsid w:val="00C745D3"/>
    <w:rsid w:val="00C75220"/>
    <w:rsid w:val="00C7597F"/>
    <w:rsid w:val="00C76ED6"/>
    <w:rsid w:val="00C771B6"/>
    <w:rsid w:val="00C801DE"/>
    <w:rsid w:val="00C8189B"/>
    <w:rsid w:val="00C81EB8"/>
    <w:rsid w:val="00C82374"/>
    <w:rsid w:val="00C8328A"/>
    <w:rsid w:val="00C8350F"/>
    <w:rsid w:val="00C83A26"/>
    <w:rsid w:val="00C856BE"/>
    <w:rsid w:val="00C8667F"/>
    <w:rsid w:val="00C87A09"/>
    <w:rsid w:val="00C91E9D"/>
    <w:rsid w:val="00C93531"/>
    <w:rsid w:val="00C93B1B"/>
    <w:rsid w:val="00C95683"/>
    <w:rsid w:val="00C95DBB"/>
    <w:rsid w:val="00C9620A"/>
    <w:rsid w:val="00CA0859"/>
    <w:rsid w:val="00CA0888"/>
    <w:rsid w:val="00CA1544"/>
    <w:rsid w:val="00CA1BAA"/>
    <w:rsid w:val="00CA4D06"/>
    <w:rsid w:val="00CA574F"/>
    <w:rsid w:val="00CA6BBC"/>
    <w:rsid w:val="00CA728E"/>
    <w:rsid w:val="00CA7682"/>
    <w:rsid w:val="00CB2F1D"/>
    <w:rsid w:val="00CB32DD"/>
    <w:rsid w:val="00CB3D3E"/>
    <w:rsid w:val="00CB4731"/>
    <w:rsid w:val="00CC00D5"/>
    <w:rsid w:val="00CC0C9A"/>
    <w:rsid w:val="00CC12D9"/>
    <w:rsid w:val="00CC196B"/>
    <w:rsid w:val="00CC1CCE"/>
    <w:rsid w:val="00CC286F"/>
    <w:rsid w:val="00CC2BA2"/>
    <w:rsid w:val="00CC3FD8"/>
    <w:rsid w:val="00CC40DF"/>
    <w:rsid w:val="00CC4822"/>
    <w:rsid w:val="00CC5573"/>
    <w:rsid w:val="00CC58BA"/>
    <w:rsid w:val="00CC6BC5"/>
    <w:rsid w:val="00CC7847"/>
    <w:rsid w:val="00CD10BB"/>
    <w:rsid w:val="00CD1EF9"/>
    <w:rsid w:val="00CD24BB"/>
    <w:rsid w:val="00CD2FF0"/>
    <w:rsid w:val="00CD38EC"/>
    <w:rsid w:val="00CD3964"/>
    <w:rsid w:val="00CD59C0"/>
    <w:rsid w:val="00CD6B66"/>
    <w:rsid w:val="00CD6C8E"/>
    <w:rsid w:val="00CE0E51"/>
    <w:rsid w:val="00CE2EC3"/>
    <w:rsid w:val="00CE409C"/>
    <w:rsid w:val="00CE4817"/>
    <w:rsid w:val="00CE50CB"/>
    <w:rsid w:val="00CE658B"/>
    <w:rsid w:val="00CE66E2"/>
    <w:rsid w:val="00CF020C"/>
    <w:rsid w:val="00CF0845"/>
    <w:rsid w:val="00CF181F"/>
    <w:rsid w:val="00CF2057"/>
    <w:rsid w:val="00CF3328"/>
    <w:rsid w:val="00CF5BD7"/>
    <w:rsid w:val="00CF647D"/>
    <w:rsid w:val="00CF65EA"/>
    <w:rsid w:val="00CF772B"/>
    <w:rsid w:val="00D00D93"/>
    <w:rsid w:val="00D02200"/>
    <w:rsid w:val="00D046EC"/>
    <w:rsid w:val="00D047DC"/>
    <w:rsid w:val="00D05C9B"/>
    <w:rsid w:val="00D0623D"/>
    <w:rsid w:val="00D0787C"/>
    <w:rsid w:val="00D07FEC"/>
    <w:rsid w:val="00D112B8"/>
    <w:rsid w:val="00D12ED5"/>
    <w:rsid w:val="00D131B7"/>
    <w:rsid w:val="00D1425B"/>
    <w:rsid w:val="00D146A8"/>
    <w:rsid w:val="00D15A4E"/>
    <w:rsid w:val="00D162B9"/>
    <w:rsid w:val="00D163A5"/>
    <w:rsid w:val="00D1747A"/>
    <w:rsid w:val="00D2000F"/>
    <w:rsid w:val="00D2123A"/>
    <w:rsid w:val="00D21254"/>
    <w:rsid w:val="00D21E58"/>
    <w:rsid w:val="00D220A2"/>
    <w:rsid w:val="00D23445"/>
    <w:rsid w:val="00D25AA5"/>
    <w:rsid w:val="00D26421"/>
    <w:rsid w:val="00D30183"/>
    <w:rsid w:val="00D319BF"/>
    <w:rsid w:val="00D31CC6"/>
    <w:rsid w:val="00D32634"/>
    <w:rsid w:val="00D339BE"/>
    <w:rsid w:val="00D34278"/>
    <w:rsid w:val="00D342F8"/>
    <w:rsid w:val="00D35627"/>
    <w:rsid w:val="00D37F66"/>
    <w:rsid w:val="00D408E5"/>
    <w:rsid w:val="00D40FE6"/>
    <w:rsid w:val="00D4120E"/>
    <w:rsid w:val="00D44DC8"/>
    <w:rsid w:val="00D451BA"/>
    <w:rsid w:val="00D45547"/>
    <w:rsid w:val="00D45D3D"/>
    <w:rsid w:val="00D45E5E"/>
    <w:rsid w:val="00D4618F"/>
    <w:rsid w:val="00D46AB5"/>
    <w:rsid w:val="00D4778F"/>
    <w:rsid w:val="00D5037B"/>
    <w:rsid w:val="00D51B14"/>
    <w:rsid w:val="00D521B7"/>
    <w:rsid w:val="00D522C8"/>
    <w:rsid w:val="00D52356"/>
    <w:rsid w:val="00D52FA8"/>
    <w:rsid w:val="00D53195"/>
    <w:rsid w:val="00D538F2"/>
    <w:rsid w:val="00D53A3B"/>
    <w:rsid w:val="00D53E9E"/>
    <w:rsid w:val="00D5409F"/>
    <w:rsid w:val="00D54CA4"/>
    <w:rsid w:val="00D5572E"/>
    <w:rsid w:val="00D55C35"/>
    <w:rsid w:val="00D5687C"/>
    <w:rsid w:val="00D57147"/>
    <w:rsid w:val="00D57528"/>
    <w:rsid w:val="00D60F9E"/>
    <w:rsid w:val="00D632F2"/>
    <w:rsid w:val="00D65502"/>
    <w:rsid w:val="00D65939"/>
    <w:rsid w:val="00D65E35"/>
    <w:rsid w:val="00D66852"/>
    <w:rsid w:val="00D70DCF"/>
    <w:rsid w:val="00D73593"/>
    <w:rsid w:val="00D752B4"/>
    <w:rsid w:val="00D75DE4"/>
    <w:rsid w:val="00D76175"/>
    <w:rsid w:val="00D768AC"/>
    <w:rsid w:val="00D8060A"/>
    <w:rsid w:val="00D80708"/>
    <w:rsid w:val="00D80C49"/>
    <w:rsid w:val="00D81493"/>
    <w:rsid w:val="00D8353B"/>
    <w:rsid w:val="00D84BE3"/>
    <w:rsid w:val="00D84F8F"/>
    <w:rsid w:val="00D8690C"/>
    <w:rsid w:val="00D86AE5"/>
    <w:rsid w:val="00D87429"/>
    <w:rsid w:val="00D9193A"/>
    <w:rsid w:val="00D91E7A"/>
    <w:rsid w:val="00D920BD"/>
    <w:rsid w:val="00D92515"/>
    <w:rsid w:val="00D92E55"/>
    <w:rsid w:val="00D92FDA"/>
    <w:rsid w:val="00D932CD"/>
    <w:rsid w:val="00D940C7"/>
    <w:rsid w:val="00D95AED"/>
    <w:rsid w:val="00D97578"/>
    <w:rsid w:val="00D97D43"/>
    <w:rsid w:val="00DA0474"/>
    <w:rsid w:val="00DA2F9A"/>
    <w:rsid w:val="00DA31F0"/>
    <w:rsid w:val="00DA3366"/>
    <w:rsid w:val="00DA4415"/>
    <w:rsid w:val="00DA4E61"/>
    <w:rsid w:val="00DA57B6"/>
    <w:rsid w:val="00DA5BA0"/>
    <w:rsid w:val="00DA6153"/>
    <w:rsid w:val="00DB06BD"/>
    <w:rsid w:val="00DB0BB7"/>
    <w:rsid w:val="00DB1663"/>
    <w:rsid w:val="00DB1F59"/>
    <w:rsid w:val="00DB303A"/>
    <w:rsid w:val="00DB36A5"/>
    <w:rsid w:val="00DB4365"/>
    <w:rsid w:val="00DB5FC3"/>
    <w:rsid w:val="00DB60F4"/>
    <w:rsid w:val="00DB6FF2"/>
    <w:rsid w:val="00DB72E8"/>
    <w:rsid w:val="00DC0160"/>
    <w:rsid w:val="00DC0657"/>
    <w:rsid w:val="00DC40F3"/>
    <w:rsid w:val="00DC597B"/>
    <w:rsid w:val="00DC5DA1"/>
    <w:rsid w:val="00DC6145"/>
    <w:rsid w:val="00DC643B"/>
    <w:rsid w:val="00DC73B4"/>
    <w:rsid w:val="00DD046B"/>
    <w:rsid w:val="00DD30B0"/>
    <w:rsid w:val="00DD51EB"/>
    <w:rsid w:val="00DD529D"/>
    <w:rsid w:val="00DD6EDE"/>
    <w:rsid w:val="00DD75E2"/>
    <w:rsid w:val="00DD7700"/>
    <w:rsid w:val="00DD7A02"/>
    <w:rsid w:val="00DE0752"/>
    <w:rsid w:val="00DE0A23"/>
    <w:rsid w:val="00DE20B3"/>
    <w:rsid w:val="00DE449C"/>
    <w:rsid w:val="00DE49B9"/>
    <w:rsid w:val="00DE49E3"/>
    <w:rsid w:val="00DE54EC"/>
    <w:rsid w:val="00DE7A45"/>
    <w:rsid w:val="00DF036C"/>
    <w:rsid w:val="00DF09DD"/>
    <w:rsid w:val="00DF1002"/>
    <w:rsid w:val="00DF16E8"/>
    <w:rsid w:val="00DF2CF4"/>
    <w:rsid w:val="00DF3C71"/>
    <w:rsid w:val="00DF4DEF"/>
    <w:rsid w:val="00DF6277"/>
    <w:rsid w:val="00DF64C5"/>
    <w:rsid w:val="00E0054B"/>
    <w:rsid w:val="00E00B25"/>
    <w:rsid w:val="00E00DFC"/>
    <w:rsid w:val="00E04EC2"/>
    <w:rsid w:val="00E05348"/>
    <w:rsid w:val="00E07F9A"/>
    <w:rsid w:val="00E1018D"/>
    <w:rsid w:val="00E11227"/>
    <w:rsid w:val="00E1260E"/>
    <w:rsid w:val="00E12C2C"/>
    <w:rsid w:val="00E13AA6"/>
    <w:rsid w:val="00E13CA1"/>
    <w:rsid w:val="00E15080"/>
    <w:rsid w:val="00E15462"/>
    <w:rsid w:val="00E157C9"/>
    <w:rsid w:val="00E15A69"/>
    <w:rsid w:val="00E165A1"/>
    <w:rsid w:val="00E16C62"/>
    <w:rsid w:val="00E17AA5"/>
    <w:rsid w:val="00E21A31"/>
    <w:rsid w:val="00E22209"/>
    <w:rsid w:val="00E22BB6"/>
    <w:rsid w:val="00E23EFC"/>
    <w:rsid w:val="00E251E7"/>
    <w:rsid w:val="00E2625C"/>
    <w:rsid w:val="00E26602"/>
    <w:rsid w:val="00E26820"/>
    <w:rsid w:val="00E26878"/>
    <w:rsid w:val="00E26993"/>
    <w:rsid w:val="00E275B0"/>
    <w:rsid w:val="00E2774C"/>
    <w:rsid w:val="00E30E51"/>
    <w:rsid w:val="00E32891"/>
    <w:rsid w:val="00E32D6F"/>
    <w:rsid w:val="00E3429E"/>
    <w:rsid w:val="00E34C24"/>
    <w:rsid w:val="00E359A4"/>
    <w:rsid w:val="00E3619C"/>
    <w:rsid w:val="00E369AF"/>
    <w:rsid w:val="00E37B3F"/>
    <w:rsid w:val="00E403FE"/>
    <w:rsid w:val="00E40B7F"/>
    <w:rsid w:val="00E412EC"/>
    <w:rsid w:val="00E426DE"/>
    <w:rsid w:val="00E432F5"/>
    <w:rsid w:val="00E441AD"/>
    <w:rsid w:val="00E45402"/>
    <w:rsid w:val="00E46329"/>
    <w:rsid w:val="00E47C0B"/>
    <w:rsid w:val="00E513BC"/>
    <w:rsid w:val="00E52164"/>
    <w:rsid w:val="00E53D61"/>
    <w:rsid w:val="00E54CB1"/>
    <w:rsid w:val="00E57381"/>
    <w:rsid w:val="00E57E19"/>
    <w:rsid w:val="00E6082C"/>
    <w:rsid w:val="00E60844"/>
    <w:rsid w:val="00E62240"/>
    <w:rsid w:val="00E64242"/>
    <w:rsid w:val="00E67822"/>
    <w:rsid w:val="00E71062"/>
    <w:rsid w:val="00E71401"/>
    <w:rsid w:val="00E722F4"/>
    <w:rsid w:val="00E72ABA"/>
    <w:rsid w:val="00E72D8E"/>
    <w:rsid w:val="00E73686"/>
    <w:rsid w:val="00E73F9A"/>
    <w:rsid w:val="00E74A46"/>
    <w:rsid w:val="00E7503C"/>
    <w:rsid w:val="00E7533B"/>
    <w:rsid w:val="00E760E8"/>
    <w:rsid w:val="00E7766D"/>
    <w:rsid w:val="00E80E20"/>
    <w:rsid w:val="00E82112"/>
    <w:rsid w:val="00E821EF"/>
    <w:rsid w:val="00E82D77"/>
    <w:rsid w:val="00E86129"/>
    <w:rsid w:val="00E8664D"/>
    <w:rsid w:val="00E871EE"/>
    <w:rsid w:val="00E87252"/>
    <w:rsid w:val="00E87307"/>
    <w:rsid w:val="00E87564"/>
    <w:rsid w:val="00E918E2"/>
    <w:rsid w:val="00E91E69"/>
    <w:rsid w:val="00E93ACA"/>
    <w:rsid w:val="00E9506F"/>
    <w:rsid w:val="00E95138"/>
    <w:rsid w:val="00E957C3"/>
    <w:rsid w:val="00E958FD"/>
    <w:rsid w:val="00E96F55"/>
    <w:rsid w:val="00EA02A8"/>
    <w:rsid w:val="00EA07F3"/>
    <w:rsid w:val="00EA11E0"/>
    <w:rsid w:val="00EA2242"/>
    <w:rsid w:val="00EA26E9"/>
    <w:rsid w:val="00EA2E9B"/>
    <w:rsid w:val="00EA60D5"/>
    <w:rsid w:val="00EA634B"/>
    <w:rsid w:val="00EA6AAB"/>
    <w:rsid w:val="00EA6E0B"/>
    <w:rsid w:val="00EB239B"/>
    <w:rsid w:val="00EB24F4"/>
    <w:rsid w:val="00EB33A6"/>
    <w:rsid w:val="00EB35B8"/>
    <w:rsid w:val="00EB5577"/>
    <w:rsid w:val="00EB594F"/>
    <w:rsid w:val="00EB60C3"/>
    <w:rsid w:val="00EB6184"/>
    <w:rsid w:val="00EB61F6"/>
    <w:rsid w:val="00EB6220"/>
    <w:rsid w:val="00EB68DA"/>
    <w:rsid w:val="00EC2AD7"/>
    <w:rsid w:val="00EC2ED0"/>
    <w:rsid w:val="00EC38C1"/>
    <w:rsid w:val="00EC3ECD"/>
    <w:rsid w:val="00EC41DA"/>
    <w:rsid w:val="00EC45B3"/>
    <w:rsid w:val="00EC56F9"/>
    <w:rsid w:val="00EC5DC0"/>
    <w:rsid w:val="00EC5E28"/>
    <w:rsid w:val="00EC6727"/>
    <w:rsid w:val="00EC69C5"/>
    <w:rsid w:val="00EC6E01"/>
    <w:rsid w:val="00EC6E6C"/>
    <w:rsid w:val="00EC7833"/>
    <w:rsid w:val="00EC7DE2"/>
    <w:rsid w:val="00ED2325"/>
    <w:rsid w:val="00ED3965"/>
    <w:rsid w:val="00ED4155"/>
    <w:rsid w:val="00ED4456"/>
    <w:rsid w:val="00ED46F4"/>
    <w:rsid w:val="00ED4897"/>
    <w:rsid w:val="00ED5983"/>
    <w:rsid w:val="00ED5CA5"/>
    <w:rsid w:val="00ED6DD3"/>
    <w:rsid w:val="00ED7B0E"/>
    <w:rsid w:val="00ED7CF5"/>
    <w:rsid w:val="00EE027D"/>
    <w:rsid w:val="00EE042A"/>
    <w:rsid w:val="00EE0CCF"/>
    <w:rsid w:val="00EE119D"/>
    <w:rsid w:val="00EE1C78"/>
    <w:rsid w:val="00EE29FE"/>
    <w:rsid w:val="00EE30EE"/>
    <w:rsid w:val="00EE3383"/>
    <w:rsid w:val="00EE3A6A"/>
    <w:rsid w:val="00EE3B12"/>
    <w:rsid w:val="00EE3E2F"/>
    <w:rsid w:val="00EE433E"/>
    <w:rsid w:val="00EE5D64"/>
    <w:rsid w:val="00EF03B0"/>
    <w:rsid w:val="00EF1594"/>
    <w:rsid w:val="00EF1EBA"/>
    <w:rsid w:val="00EF2EEE"/>
    <w:rsid w:val="00EF43AE"/>
    <w:rsid w:val="00EF5264"/>
    <w:rsid w:val="00EF557C"/>
    <w:rsid w:val="00EF60F3"/>
    <w:rsid w:val="00EF653D"/>
    <w:rsid w:val="00EF6A9D"/>
    <w:rsid w:val="00EF7385"/>
    <w:rsid w:val="00F007C1"/>
    <w:rsid w:val="00F00ACA"/>
    <w:rsid w:val="00F02E71"/>
    <w:rsid w:val="00F0451C"/>
    <w:rsid w:val="00F054CB"/>
    <w:rsid w:val="00F05E7F"/>
    <w:rsid w:val="00F11C72"/>
    <w:rsid w:val="00F1263B"/>
    <w:rsid w:val="00F13371"/>
    <w:rsid w:val="00F14F19"/>
    <w:rsid w:val="00F155D7"/>
    <w:rsid w:val="00F15D69"/>
    <w:rsid w:val="00F2062C"/>
    <w:rsid w:val="00F22D35"/>
    <w:rsid w:val="00F246E2"/>
    <w:rsid w:val="00F24718"/>
    <w:rsid w:val="00F258B4"/>
    <w:rsid w:val="00F266D1"/>
    <w:rsid w:val="00F26EA4"/>
    <w:rsid w:val="00F2780C"/>
    <w:rsid w:val="00F3044C"/>
    <w:rsid w:val="00F317A3"/>
    <w:rsid w:val="00F32B3A"/>
    <w:rsid w:val="00F32C4A"/>
    <w:rsid w:val="00F345D4"/>
    <w:rsid w:val="00F3477E"/>
    <w:rsid w:val="00F3489F"/>
    <w:rsid w:val="00F35FD1"/>
    <w:rsid w:val="00F3676B"/>
    <w:rsid w:val="00F36C37"/>
    <w:rsid w:val="00F41512"/>
    <w:rsid w:val="00F42583"/>
    <w:rsid w:val="00F45080"/>
    <w:rsid w:val="00F464A3"/>
    <w:rsid w:val="00F47E7B"/>
    <w:rsid w:val="00F50A95"/>
    <w:rsid w:val="00F512B1"/>
    <w:rsid w:val="00F51F17"/>
    <w:rsid w:val="00F538DE"/>
    <w:rsid w:val="00F53D6A"/>
    <w:rsid w:val="00F53FB1"/>
    <w:rsid w:val="00F541D8"/>
    <w:rsid w:val="00F5527F"/>
    <w:rsid w:val="00F556D4"/>
    <w:rsid w:val="00F55EF6"/>
    <w:rsid w:val="00F562B9"/>
    <w:rsid w:val="00F56646"/>
    <w:rsid w:val="00F56854"/>
    <w:rsid w:val="00F579AA"/>
    <w:rsid w:val="00F620C0"/>
    <w:rsid w:val="00F623D4"/>
    <w:rsid w:val="00F62D49"/>
    <w:rsid w:val="00F6473C"/>
    <w:rsid w:val="00F67A66"/>
    <w:rsid w:val="00F67FEB"/>
    <w:rsid w:val="00F7232F"/>
    <w:rsid w:val="00F72439"/>
    <w:rsid w:val="00F734A9"/>
    <w:rsid w:val="00F7370D"/>
    <w:rsid w:val="00F73ABC"/>
    <w:rsid w:val="00F753EE"/>
    <w:rsid w:val="00F75EA9"/>
    <w:rsid w:val="00F764F4"/>
    <w:rsid w:val="00F76D86"/>
    <w:rsid w:val="00F770C9"/>
    <w:rsid w:val="00F81358"/>
    <w:rsid w:val="00F8180E"/>
    <w:rsid w:val="00F81C91"/>
    <w:rsid w:val="00F8279C"/>
    <w:rsid w:val="00F83E99"/>
    <w:rsid w:val="00F840AB"/>
    <w:rsid w:val="00F8472C"/>
    <w:rsid w:val="00F8583D"/>
    <w:rsid w:val="00F86640"/>
    <w:rsid w:val="00F86A5E"/>
    <w:rsid w:val="00F90202"/>
    <w:rsid w:val="00F90E90"/>
    <w:rsid w:val="00F91495"/>
    <w:rsid w:val="00F92F99"/>
    <w:rsid w:val="00F959BF"/>
    <w:rsid w:val="00F966CC"/>
    <w:rsid w:val="00F97704"/>
    <w:rsid w:val="00F97A6F"/>
    <w:rsid w:val="00F97F39"/>
    <w:rsid w:val="00F97F9A"/>
    <w:rsid w:val="00FA0FFD"/>
    <w:rsid w:val="00FA2086"/>
    <w:rsid w:val="00FA21E8"/>
    <w:rsid w:val="00FA2781"/>
    <w:rsid w:val="00FA2B08"/>
    <w:rsid w:val="00FA7595"/>
    <w:rsid w:val="00FB0A08"/>
    <w:rsid w:val="00FB2F0C"/>
    <w:rsid w:val="00FB3225"/>
    <w:rsid w:val="00FB40FA"/>
    <w:rsid w:val="00FB4A39"/>
    <w:rsid w:val="00FB4F7A"/>
    <w:rsid w:val="00FB5381"/>
    <w:rsid w:val="00FB5964"/>
    <w:rsid w:val="00FB701C"/>
    <w:rsid w:val="00FC04B8"/>
    <w:rsid w:val="00FC12AA"/>
    <w:rsid w:val="00FC34B6"/>
    <w:rsid w:val="00FC3C24"/>
    <w:rsid w:val="00FC4875"/>
    <w:rsid w:val="00FC50C4"/>
    <w:rsid w:val="00FC6917"/>
    <w:rsid w:val="00FC71B8"/>
    <w:rsid w:val="00FC7777"/>
    <w:rsid w:val="00FC7830"/>
    <w:rsid w:val="00FD109F"/>
    <w:rsid w:val="00FD1B66"/>
    <w:rsid w:val="00FD30A9"/>
    <w:rsid w:val="00FD563C"/>
    <w:rsid w:val="00FD770B"/>
    <w:rsid w:val="00FE2376"/>
    <w:rsid w:val="00FE2750"/>
    <w:rsid w:val="00FE2A71"/>
    <w:rsid w:val="00FE2CD8"/>
    <w:rsid w:val="00FE563F"/>
    <w:rsid w:val="00FF0509"/>
    <w:rsid w:val="00FF0B80"/>
    <w:rsid w:val="00FF1E62"/>
    <w:rsid w:val="00FF23B2"/>
    <w:rsid w:val="00FF2AEE"/>
    <w:rsid w:val="00FF3ED9"/>
    <w:rsid w:val="00FF3FE8"/>
    <w:rsid w:val="00FF47A9"/>
    <w:rsid w:val="00FF6669"/>
    <w:rsid w:val="00FF72EA"/>
    <w:rsid w:val="00FF79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qFormat="1"/>
    <w:lsdException w:name="List"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B1F59"/>
    <w:rPr>
      <w:sz w:val="24"/>
      <w:szCs w:val="24"/>
    </w:rPr>
  </w:style>
  <w:style w:type="paragraph" w:styleId="Nadpis1">
    <w:name w:val="heading 1"/>
    <w:basedOn w:val="Normln"/>
    <w:link w:val="Nadpis1Char"/>
    <w:autoRedefine/>
    <w:qFormat/>
    <w:rsid w:val="004945EE"/>
    <w:pPr>
      <w:numPr>
        <w:numId w:val="16"/>
      </w:numPr>
      <w:tabs>
        <w:tab w:val="left" w:pos="426"/>
      </w:tabs>
      <w:ind w:left="426" w:hanging="426"/>
      <w:outlineLvl w:val="0"/>
    </w:pPr>
    <w:rPr>
      <w:rFonts w:ascii="Arial" w:hAnsi="Arial" w:cs="Arial"/>
      <w:b/>
      <w:bCs/>
      <w:spacing w:val="-3"/>
      <w:kern w:val="32"/>
      <w:sz w:val="28"/>
      <w:szCs w:val="32"/>
    </w:rPr>
  </w:style>
  <w:style w:type="paragraph" w:styleId="Nadpis2">
    <w:name w:val="heading 2"/>
    <w:basedOn w:val="Normln"/>
    <w:next w:val="Normln"/>
    <w:link w:val="Nadpis2Char"/>
    <w:autoRedefine/>
    <w:qFormat/>
    <w:rsid w:val="00E37B3F"/>
    <w:pPr>
      <w:keepNext/>
      <w:tabs>
        <w:tab w:val="center" w:pos="720"/>
      </w:tabs>
      <w:spacing w:before="240" w:after="60"/>
      <w:ind w:left="1428" w:hanging="360"/>
      <w:outlineLvl w:val="1"/>
    </w:pPr>
    <w:rPr>
      <w:rFonts w:ascii="Arial" w:hAnsi="Arial" w:cs="Arial"/>
      <w:b/>
      <w:bCs/>
      <w:color w:val="000000"/>
      <w:sz w:val="26"/>
      <w:szCs w:val="26"/>
    </w:rPr>
  </w:style>
  <w:style w:type="paragraph" w:styleId="Nadpis3">
    <w:name w:val="heading 3"/>
    <w:basedOn w:val="Normln"/>
    <w:next w:val="Normln"/>
    <w:link w:val="Nadpis3Char"/>
    <w:qFormat/>
    <w:rsid w:val="00B73670"/>
    <w:pPr>
      <w:keepNext/>
      <w:tabs>
        <w:tab w:val="center" w:pos="720"/>
      </w:tabs>
      <w:ind w:firstLine="374"/>
      <w:jc w:val="center"/>
      <w:outlineLvl w:val="2"/>
    </w:pPr>
    <w:rPr>
      <w:rFonts w:ascii="Arial" w:hAnsi="Arial" w:cs="Arial"/>
      <w:b/>
      <w:bCs/>
    </w:rPr>
  </w:style>
  <w:style w:type="paragraph" w:styleId="Nadpis4">
    <w:name w:val="heading 4"/>
    <w:basedOn w:val="Normln"/>
    <w:next w:val="Normln"/>
    <w:link w:val="Nadpis4Char"/>
    <w:qFormat/>
    <w:rsid w:val="00B73670"/>
    <w:pPr>
      <w:keepNext/>
      <w:outlineLvl w:val="3"/>
    </w:pPr>
    <w:rPr>
      <w:rFonts w:ascii="Arial Narrow" w:hAnsi="Arial Narrow" w:cs="Arial"/>
      <w:b/>
      <w:bCs/>
      <w:color w:val="000000"/>
      <w:sz w:val="20"/>
      <w:szCs w:val="20"/>
    </w:rPr>
  </w:style>
  <w:style w:type="paragraph" w:styleId="Nadpis5">
    <w:name w:val="heading 5"/>
    <w:basedOn w:val="Normln"/>
    <w:next w:val="Normln"/>
    <w:link w:val="Nadpis5Char"/>
    <w:autoRedefine/>
    <w:qFormat/>
    <w:rsid w:val="00E37B3F"/>
    <w:pPr>
      <w:numPr>
        <w:numId w:val="5"/>
      </w:numPr>
      <w:tabs>
        <w:tab w:val="clear" w:pos="1788"/>
        <w:tab w:val="left" w:pos="0"/>
        <w:tab w:val="num" w:pos="1607"/>
        <w:tab w:val="center" w:pos="1644"/>
      </w:tabs>
      <w:spacing w:before="240" w:after="60"/>
      <w:ind w:left="1588" w:hanging="341"/>
      <w:outlineLvl w:val="4"/>
    </w:pPr>
    <w:rPr>
      <w:rFonts w:ascii="Arial" w:hAnsi="Arial"/>
      <w:b/>
      <w:bCs/>
      <w:iCs/>
      <w:sz w:val="26"/>
      <w:szCs w:val="26"/>
    </w:rPr>
  </w:style>
  <w:style w:type="paragraph" w:styleId="Nadpis6">
    <w:name w:val="heading 6"/>
    <w:basedOn w:val="Normln"/>
    <w:next w:val="Normln"/>
    <w:link w:val="Nadpis6Char"/>
    <w:qFormat/>
    <w:rsid w:val="00E37B3F"/>
    <w:pPr>
      <w:numPr>
        <w:ilvl w:val="5"/>
        <w:numId w:val="5"/>
      </w:numPr>
      <w:tabs>
        <w:tab w:val="clear" w:pos="4668"/>
        <w:tab w:val="num" w:pos="4244"/>
      </w:tabs>
      <w:spacing w:before="240" w:after="60"/>
      <w:ind w:left="3884"/>
      <w:outlineLvl w:val="5"/>
    </w:pPr>
    <w:rPr>
      <w:b/>
      <w:bCs/>
      <w:sz w:val="22"/>
      <w:szCs w:val="22"/>
    </w:rPr>
  </w:style>
  <w:style w:type="paragraph" w:styleId="Nadpis7">
    <w:name w:val="heading 7"/>
    <w:basedOn w:val="Normln"/>
    <w:next w:val="Normln"/>
    <w:link w:val="Nadpis7Char"/>
    <w:qFormat/>
    <w:rsid w:val="00E37B3F"/>
    <w:pPr>
      <w:numPr>
        <w:ilvl w:val="6"/>
        <w:numId w:val="5"/>
      </w:numPr>
      <w:tabs>
        <w:tab w:val="clear" w:pos="5388"/>
        <w:tab w:val="num" w:pos="4964"/>
      </w:tabs>
      <w:spacing w:before="240" w:after="60"/>
      <w:ind w:left="4604"/>
      <w:outlineLvl w:val="6"/>
    </w:pPr>
  </w:style>
  <w:style w:type="paragraph" w:styleId="Nadpis8">
    <w:name w:val="heading 8"/>
    <w:basedOn w:val="Normln"/>
    <w:next w:val="Normln"/>
    <w:link w:val="Nadpis8Char"/>
    <w:qFormat/>
    <w:rsid w:val="00E37B3F"/>
    <w:pPr>
      <w:numPr>
        <w:ilvl w:val="7"/>
        <w:numId w:val="5"/>
      </w:numPr>
      <w:tabs>
        <w:tab w:val="clear" w:pos="6108"/>
        <w:tab w:val="num" w:pos="5684"/>
      </w:tabs>
      <w:spacing w:before="240" w:after="60"/>
      <w:ind w:left="5324"/>
      <w:outlineLvl w:val="7"/>
    </w:pPr>
    <w:rPr>
      <w:i/>
      <w:iCs/>
    </w:rPr>
  </w:style>
  <w:style w:type="paragraph" w:styleId="Nadpis9">
    <w:name w:val="heading 9"/>
    <w:basedOn w:val="Normln"/>
    <w:next w:val="Normln"/>
    <w:link w:val="Nadpis9Char"/>
    <w:qFormat/>
    <w:rsid w:val="00E37B3F"/>
    <w:pPr>
      <w:numPr>
        <w:ilvl w:val="8"/>
        <w:numId w:val="5"/>
      </w:numPr>
      <w:tabs>
        <w:tab w:val="clear" w:pos="6828"/>
        <w:tab w:val="num" w:pos="6404"/>
      </w:tabs>
      <w:spacing w:before="240" w:after="60"/>
      <w:ind w:left="6044"/>
      <w:outlineLvl w:val="8"/>
    </w:pPr>
    <w:rPr>
      <w:rFonts w:ascii="Arial" w:hAnsi="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3">
    <w:name w:val="Styl3"/>
    <w:basedOn w:val="Normln"/>
    <w:autoRedefine/>
    <w:rsid w:val="00614F36"/>
    <w:pPr>
      <w:keepNext/>
      <w:numPr>
        <w:numId w:val="1"/>
      </w:numPr>
      <w:outlineLvl w:val="1"/>
    </w:pPr>
    <w:rPr>
      <w:rFonts w:ascii="Arial" w:hAnsi="Arial" w:cs="Arial"/>
      <w:b/>
      <w:bCs/>
      <w:sz w:val="26"/>
      <w:szCs w:val="26"/>
    </w:rPr>
  </w:style>
  <w:style w:type="paragraph" w:styleId="Textpoznpodarou">
    <w:name w:val="footnote text"/>
    <w:aliases w:val="Schriftart: 9 pt,Schriftart: 10 pt,Schriftart: 8 pt"/>
    <w:basedOn w:val="Normln"/>
    <w:link w:val="TextpoznpodarouChar"/>
    <w:semiHidden/>
    <w:rsid w:val="00B73670"/>
    <w:rPr>
      <w:sz w:val="20"/>
      <w:szCs w:val="20"/>
    </w:rPr>
  </w:style>
  <w:style w:type="paragraph" w:styleId="Zhlav">
    <w:name w:val="header"/>
    <w:basedOn w:val="Normln"/>
    <w:link w:val="ZhlavChar"/>
    <w:rsid w:val="00B73670"/>
    <w:pPr>
      <w:widowControl w:val="0"/>
      <w:tabs>
        <w:tab w:val="center" w:pos="4536"/>
        <w:tab w:val="right" w:pos="9072"/>
      </w:tabs>
      <w:overflowPunct w:val="0"/>
      <w:autoSpaceDE w:val="0"/>
      <w:autoSpaceDN w:val="0"/>
      <w:adjustRightInd w:val="0"/>
    </w:pPr>
    <w:rPr>
      <w:sz w:val="20"/>
      <w:szCs w:val="20"/>
    </w:rPr>
  </w:style>
  <w:style w:type="paragraph" w:styleId="Zkladntext">
    <w:name w:val="Body Text"/>
    <w:aliases w:val="Standard paragraph"/>
    <w:basedOn w:val="Normln"/>
    <w:link w:val="ZkladntextChar"/>
    <w:rsid w:val="00B73670"/>
    <w:pPr>
      <w:jc w:val="both"/>
    </w:pPr>
    <w:rPr>
      <w:rFonts w:ascii="Arial" w:hAnsi="Arial"/>
      <w:color w:val="000000"/>
      <w:lang w:val="x-none" w:eastAsia="x-none"/>
    </w:rPr>
  </w:style>
  <w:style w:type="paragraph" w:styleId="Zkladntextodsazen">
    <w:name w:val="Body Text Indent"/>
    <w:basedOn w:val="Normln"/>
    <w:link w:val="ZkladntextodsazenChar"/>
    <w:rsid w:val="00B73670"/>
    <w:pPr>
      <w:spacing w:line="360" w:lineRule="auto"/>
      <w:ind w:firstLine="709"/>
      <w:jc w:val="both"/>
    </w:pPr>
    <w:rPr>
      <w:rFonts w:ascii="Arial" w:hAnsi="Arial"/>
      <w:lang w:val="x-none" w:eastAsia="x-none"/>
    </w:rPr>
  </w:style>
  <w:style w:type="paragraph" w:customStyle="1" w:styleId="xl36">
    <w:name w:val="xl36"/>
    <w:basedOn w:val="Normln"/>
    <w:rsid w:val="00B73670"/>
    <w:pPr>
      <w:spacing w:before="100" w:beforeAutospacing="1" w:after="100" w:afterAutospacing="1"/>
      <w:jc w:val="right"/>
    </w:pPr>
    <w:rPr>
      <w:rFonts w:eastAsia="Arial Unicode MS"/>
    </w:rPr>
  </w:style>
  <w:style w:type="paragraph" w:styleId="Zkladntext2">
    <w:name w:val="Body Text 2"/>
    <w:basedOn w:val="Normln"/>
    <w:link w:val="Zkladntext2Char"/>
    <w:rsid w:val="00B73670"/>
    <w:pPr>
      <w:jc w:val="center"/>
    </w:pPr>
    <w:rPr>
      <w:rFonts w:ascii="Arial" w:hAnsi="Arial" w:cs="Arial"/>
      <w:b/>
      <w:bCs/>
      <w:sz w:val="20"/>
      <w:szCs w:val="22"/>
    </w:rPr>
  </w:style>
  <w:style w:type="paragraph" w:styleId="Zkladntext3">
    <w:name w:val="Body Text 3"/>
    <w:basedOn w:val="Normln"/>
    <w:link w:val="Zkladntext3Char"/>
    <w:rsid w:val="00B73670"/>
    <w:pPr>
      <w:spacing w:line="360" w:lineRule="auto"/>
      <w:jc w:val="both"/>
    </w:pPr>
    <w:rPr>
      <w:rFonts w:ascii="Arial" w:hAnsi="Arial" w:cs="Arial"/>
    </w:rPr>
  </w:style>
  <w:style w:type="paragraph" w:customStyle="1" w:styleId="Textbodu">
    <w:name w:val="Text bodu"/>
    <w:basedOn w:val="Normln"/>
    <w:rsid w:val="00B73670"/>
    <w:pPr>
      <w:jc w:val="both"/>
      <w:outlineLvl w:val="8"/>
    </w:pPr>
    <w:rPr>
      <w:szCs w:val="20"/>
    </w:rPr>
  </w:style>
  <w:style w:type="paragraph" w:customStyle="1" w:styleId="Prosttext1">
    <w:name w:val="Prostý text1"/>
    <w:basedOn w:val="Normln"/>
    <w:rsid w:val="00B73670"/>
    <w:pPr>
      <w:overflowPunct w:val="0"/>
      <w:autoSpaceDE w:val="0"/>
      <w:autoSpaceDN w:val="0"/>
      <w:adjustRightInd w:val="0"/>
      <w:textAlignment w:val="baseline"/>
    </w:pPr>
    <w:rPr>
      <w:rFonts w:ascii="Courier New" w:hAnsi="Courier New"/>
      <w:sz w:val="20"/>
      <w:szCs w:val="20"/>
    </w:rPr>
  </w:style>
  <w:style w:type="paragraph" w:customStyle="1" w:styleId="Styl4">
    <w:name w:val="Styl4"/>
    <w:basedOn w:val="Normln"/>
    <w:rsid w:val="00B73670"/>
    <w:pPr>
      <w:keepNext/>
      <w:tabs>
        <w:tab w:val="num" w:pos="720"/>
      </w:tabs>
      <w:spacing w:before="120" w:after="60"/>
      <w:ind w:left="720" w:hanging="360"/>
      <w:outlineLvl w:val="1"/>
    </w:pPr>
    <w:rPr>
      <w:rFonts w:ascii="Arial" w:hAnsi="Arial" w:cs="Arial"/>
      <w:b/>
      <w:bCs/>
      <w:sz w:val="26"/>
      <w:szCs w:val="26"/>
    </w:rPr>
  </w:style>
  <w:style w:type="paragraph" w:styleId="Textbubliny">
    <w:name w:val="Balloon Text"/>
    <w:basedOn w:val="Normln"/>
    <w:link w:val="TextbublinyChar"/>
    <w:rsid w:val="00B73670"/>
    <w:rPr>
      <w:rFonts w:ascii="Tahoma" w:hAnsi="Tahoma" w:cs="Tahoma"/>
      <w:sz w:val="16"/>
      <w:szCs w:val="16"/>
    </w:rPr>
  </w:style>
  <w:style w:type="paragraph" w:styleId="Textkomente">
    <w:name w:val="annotation text"/>
    <w:basedOn w:val="Normln"/>
    <w:link w:val="TextkomenteChar"/>
    <w:semiHidden/>
    <w:rsid w:val="00B52230"/>
    <w:rPr>
      <w:sz w:val="20"/>
      <w:szCs w:val="20"/>
    </w:rPr>
  </w:style>
  <w:style w:type="paragraph" w:styleId="Pedmtkomente">
    <w:name w:val="annotation subject"/>
    <w:basedOn w:val="Textkomente"/>
    <w:next w:val="Textkomente"/>
    <w:link w:val="PedmtkomenteChar"/>
    <w:semiHidden/>
    <w:rsid w:val="00B52230"/>
    <w:rPr>
      <w:b/>
      <w:bCs/>
    </w:rPr>
  </w:style>
  <w:style w:type="character" w:styleId="Hypertextovodkaz">
    <w:name w:val="Hyperlink"/>
    <w:uiPriority w:val="99"/>
    <w:rsid w:val="00E05348"/>
    <w:rPr>
      <w:color w:val="0000FF"/>
      <w:u w:val="single"/>
    </w:rPr>
  </w:style>
  <w:style w:type="paragraph" w:styleId="Zpat">
    <w:name w:val="footer"/>
    <w:basedOn w:val="Normln"/>
    <w:link w:val="ZpatChar"/>
    <w:uiPriority w:val="99"/>
    <w:rsid w:val="00F62D49"/>
    <w:pPr>
      <w:tabs>
        <w:tab w:val="center" w:pos="4536"/>
        <w:tab w:val="right" w:pos="9072"/>
      </w:tabs>
    </w:pPr>
    <w:rPr>
      <w:lang w:val="x-none" w:eastAsia="x-none"/>
    </w:rPr>
  </w:style>
  <w:style w:type="paragraph" w:customStyle="1" w:styleId="Default">
    <w:name w:val="Default"/>
    <w:rsid w:val="00F62D49"/>
    <w:pPr>
      <w:autoSpaceDE w:val="0"/>
      <w:autoSpaceDN w:val="0"/>
      <w:adjustRightInd w:val="0"/>
    </w:pPr>
    <w:rPr>
      <w:rFonts w:ascii="Arial,Bold" w:hAnsi="Arial,Bold"/>
      <w:lang w:val="sk-SK" w:eastAsia="sk-SK"/>
    </w:rPr>
  </w:style>
  <w:style w:type="character" w:customStyle="1" w:styleId="Styl12b">
    <w:name w:val="Styl 12 b."/>
    <w:semiHidden/>
    <w:rsid w:val="00F62D49"/>
    <w:rPr>
      <w:smallCaps/>
      <w:sz w:val="24"/>
    </w:rPr>
  </w:style>
  <w:style w:type="paragraph" w:customStyle="1" w:styleId="Nadpis3a">
    <w:name w:val="Nadpis3a"/>
    <w:basedOn w:val="Normln"/>
    <w:semiHidden/>
    <w:rsid w:val="00F62D49"/>
    <w:pPr>
      <w:keepNext/>
      <w:tabs>
        <w:tab w:val="left" w:pos="900"/>
        <w:tab w:val="left" w:pos="3576"/>
      </w:tabs>
      <w:overflowPunct w:val="0"/>
      <w:autoSpaceDE w:val="0"/>
      <w:autoSpaceDN w:val="0"/>
      <w:adjustRightInd w:val="0"/>
      <w:spacing w:before="240" w:after="60"/>
      <w:ind w:left="3576" w:hanging="360"/>
      <w:textAlignment w:val="baseline"/>
    </w:pPr>
    <w:rPr>
      <w:b/>
      <w:szCs w:val="20"/>
    </w:rPr>
  </w:style>
  <w:style w:type="paragraph" w:customStyle="1" w:styleId="normln0">
    <w:name w:val="normální"/>
    <w:basedOn w:val="Normln"/>
    <w:link w:val="normlnChar"/>
    <w:rsid w:val="00F62D49"/>
    <w:pPr>
      <w:jc w:val="both"/>
    </w:pPr>
  </w:style>
  <w:style w:type="character" w:styleId="Znakapoznpodarou">
    <w:name w:val="footnote reference"/>
    <w:semiHidden/>
    <w:rsid w:val="003531EE"/>
    <w:rPr>
      <w:vertAlign w:val="superscript"/>
    </w:rPr>
  </w:style>
  <w:style w:type="paragraph" w:styleId="Zkladntextodsazen3">
    <w:name w:val="Body Text Indent 3"/>
    <w:basedOn w:val="Normln"/>
    <w:link w:val="Zkladntextodsazen3Char"/>
    <w:rsid w:val="00E37B3F"/>
    <w:pPr>
      <w:spacing w:after="120"/>
      <w:ind w:left="283"/>
    </w:pPr>
    <w:rPr>
      <w:sz w:val="16"/>
      <w:szCs w:val="16"/>
      <w:lang w:val="x-none" w:eastAsia="x-none"/>
    </w:rPr>
  </w:style>
  <w:style w:type="paragraph" w:customStyle="1" w:styleId="Styl1">
    <w:name w:val="Styl1"/>
    <w:basedOn w:val="Styl2"/>
    <w:rsid w:val="00E37B3F"/>
    <w:pPr>
      <w:numPr>
        <w:numId w:val="9"/>
      </w:numPr>
      <w:tabs>
        <w:tab w:val="left" w:pos="1259"/>
      </w:tabs>
    </w:pPr>
    <w:rPr>
      <w:iCs/>
      <w:color w:val="auto"/>
      <w:szCs w:val="28"/>
    </w:rPr>
  </w:style>
  <w:style w:type="paragraph" w:customStyle="1" w:styleId="Styl2">
    <w:name w:val="Styl2"/>
    <w:basedOn w:val="Nadpis2"/>
    <w:rsid w:val="00E37B3F"/>
    <w:pPr>
      <w:numPr>
        <w:numId w:val="10"/>
      </w:numPr>
      <w:tabs>
        <w:tab w:val="left" w:pos="720"/>
      </w:tabs>
      <w:spacing w:before="120"/>
      <w:ind w:left="714" w:hanging="357"/>
    </w:pPr>
  </w:style>
  <w:style w:type="paragraph" w:styleId="Rejstk1">
    <w:name w:val="index 1"/>
    <w:basedOn w:val="Normln"/>
    <w:next w:val="Normln"/>
    <w:autoRedefine/>
    <w:semiHidden/>
    <w:rsid w:val="00E37B3F"/>
    <w:pPr>
      <w:ind w:left="240" w:hanging="240"/>
    </w:pPr>
  </w:style>
  <w:style w:type="paragraph" w:styleId="Hlavikarejstku">
    <w:name w:val="index heading"/>
    <w:basedOn w:val="Normln"/>
    <w:next w:val="Rejstk1"/>
    <w:semiHidden/>
    <w:rsid w:val="00E37B3F"/>
  </w:style>
  <w:style w:type="paragraph" w:customStyle="1" w:styleId="xl53">
    <w:name w:val="xl53"/>
    <w:basedOn w:val="Normln"/>
    <w:rsid w:val="00E37B3F"/>
    <w:pPr>
      <w:pBdr>
        <w:bottom w:val="single" w:sz="4" w:space="0" w:color="auto"/>
        <w:right w:val="single" w:sz="4" w:space="0" w:color="auto"/>
      </w:pBdr>
      <w:spacing w:before="100" w:beforeAutospacing="1" w:after="100" w:afterAutospacing="1"/>
      <w:jc w:val="center"/>
      <w:textAlignment w:val="center"/>
    </w:pPr>
  </w:style>
  <w:style w:type="paragraph" w:styleId="Zkladntextodsazen2">
    <w:name w:val="Body Text Indent 2"/>
    <w:basedOn w:val="Normln"/>
    <w:link w:val="Zkladntextodsazen2Char"/>
    <w:rsid w:val="00E37B3F"/>
    <w:pPr>
      <w:spacing w:line="360" w:lineRule="auto"/>
      <w:ind w:firstLine="708"/>
      <w:jc w:val="both"/>
    </w:pPr>
    <w:rPr>
      <w:rFonts w:ascii="Arial" w:hAnsi="Arial"/>
      <w:i/>
    </w:rPr>
  </w:style>
  <w:style w:type="paragraph" w:customStyle="1" w:styleId="xl24">
    <w:name w:val="xl24"/>
    <w:basedOn w:val="Normln"/>
    <w:rsid w:val="00E37B3F"/>
    <w:pPr>
      <w:pBdr>
        <w:left w:val="single" w:sz="4" w:space="0" w:color="auto"/>
      </w:pBdr>
      <w:spacing w:before="100" w:beforeAutospacing="1" w:after="100" w:afterAutospacing="1"/>
      <w:jc w:val="center"/>
    </w:pPr>
    <w:rPr>
      <w:rFonts w:ascii="Arial Narrow" w:eastAsia="Arial Unicode MS" w:hAnsi="Arial Narrow" w:cs="Arial Unicode MS"/>
      <w:b/>
      <w:bCs/>
      <w:color w:val="000000"/>
    </w:rPr>
  </w:style>
  <w:style w:type="paragraph" w:customStyle="1" w:styleId="xl25">
    <w:name w:val="xl25"/>
    <w:basedOn w:val="Normln"/>
    <w:rsid w:val="00E37B3F"/>
    <w:pPr>
      <w:spacing w:before="100" w:beforeAutospacing="1" w:after="100" w:afterAutospacing="1"/>
      <w:jc w:val="center"/>
    </w:pPr>
    <w:rPr>
      <w:rFonts w:ascii="Arial Narrow" w:eastAsia="Arial Unicode MS" w:hAnsi="Arial Narrow" w:cs="Arial Unicode MS"/>
      <w:b/>
      <w:bCs/>
      <w:color w:val="000000"/>
    </w:rPr>
  </w:style>
  <w:style w:type="paragraph" w:customStyle="1" w:styleId="xl26">
    <w:name w:val="xl26"/>
    <w:basedOn w:val="Normln"/>
    <w:rsid w:val="00E37B3F"/>
    <w:pPr>
      <w:pBdr>
        <w:right w:val="single" w:sz="4" w:space="0" w:color="auto"/>
      </w:pBdr>
      <w:spacing w:before="100" w:beforeAutospacing="1" w:after="100" w:afterAutospacing="1"/>
      <w:jc w:val="center"/>
    </w:pPr>
    <w:rPr>
      <w:rFonts w:ascii="Arial Narrow" w:eastAsia="Arial Unicode MS" w:hAnsi="Arial Narrow" w:cs="Arial Unicode MS"/>
      <w:b/>
      <w:bCs/>
      <w:color w:val="000000"/>
    </w:rPr>
  </w:style>
  <w:style w:type="paragraph" w:customStyle="1" w:styleId="xl27">
    <w:name w:val="xl27"/>
    <w:basedOn w:val="Normln"/>
    <w:rsid w:val="00E37B3F"/>
    <w:pPr>
      <w:pBdr>
        <w:left w:val="single" w:sz="4" w:space="0" w:color="auto"/>
        <w:right w:val="double" w:sz="6" w:space="0" w:color="auto"/>
      </w:pBdr>
      <w:spacing w:before="100" w:beforeAutospacing="1" w:after="100" w:afterAutospacing="1"/>
      <w:jc w:val="center"/>
    </w:pPr>
    <w:rPr>
      <w:rFonts w:ascii="Arial Narrow" w:eastAsia="Arial Unicode MS" w:hAnsi="Arial Narrow" w:cs="Arial Unicode MS"/>
      <w:b/>
      <w:bCs/>
      <w:color w:val="000000"/>
    </w:rPr>
  </w:style>
  <w:style w:type="paragraph" w:customStyle="1" w:styleId="xl28">
    <w:name w:val="xl28"/>
    <w:basedOn w:val="Normln"/>
    <w:rsid w:val="00E37B3F"/>
    <w:pPr>
      <w:pBdr>
        <w:top w:val="single" w:sz="4" w:space="0" w:color="auto"/>
        <w:left w:val="single" w:sz="4" w:space="0" w:color="auto"/>
      </w:pBdr>
      <w:spacing w:before="100" w:beforeAutospacing="1" w:after="100" w:afterAutospacing="1"/>
      <w:jc w:val="right"/>
    </w:pPr>
    <w:rPr>
      <w:rFonts w:ascii="Arial Narrow" w:eastAsia="Arial Unicode MS" w:hAnsi="Arial Narrow" w:cs="Arial Unicode MS"/>
      <w:color w:val="000000"/>
    </w:rPr>
  </w:style>
  <w:style w:type="paragraph" w:customStyle="1" w:styleId="xl29">
    <w:name w:val="xl29"/>
    <w:basedOn w:val="Normln"/>
    <w:rsid w:val="00E37B3F"/>
    <w:pPr>
      <w:pBdr>
        <w:top w:val="single" w:sz="4" w:space="0" w:color="auto"/>
      </w:pBdr>
      <w:spacing w:before="100" w:beforeAutospacing="1" w:after="100" w:afterAutospacing="1"/>
      <w:jc w:val="right"/>
    </w:pPr>
    <w:rPr>
      <w:rFonts w:ascii="Arial Narrow" w:eastAsia="Arial Unicode MS" w:hAnsi="Arial Narrow" w:cs="Arial Unicode MS"/>
      <w:color w:val="000000"/>
    </w:rPr>
  </w:style>
  <w:style w:type="paragraph" w:customStyle="1" w:styleId="xl30">
    <w:name w:val="xl30"/>
    <w:basedOn w:val="Normln"/>
    <w:rsid w:val="00E37B3F"/>
    <w:pPr>
      <w:pBdr>
        <w:top w:val="single" w:sz="4" w:space="0" w:color="auto"/>
        <w:right w:val="single" w:sz="4" w:space="0" w:color="auto"/>
      </w:pBdr>
      <w:spacing w:before="100" w:beforeAutospacing="1" w:after="100" w:afterAutospacing="1"/>
      <w:jc w:val="right"/>
    </w:pPr>
    <w:rPr>
      <w:rFonts w:ascii="Arial Narrow" w:eastAsia="Arial Unicode MS" w:hAnsi="Arial Narrow" w:cs="Arial Unicode MS"/>
      <w:color w:val="000000"/>
    </w:rPr>
  </w:style>
  <w:style w:type="paragraph" w:customStyle="1" w:styleId="xl31">
    <w:name w:val="xl31"/>
    <w:basedOn w:val="Normln"/>
    <w:rsid w:val="00E37B3F"/>
    <w:pPr>
      <w:pBdr>
        <w:top w:val="single" w:sz="4" w:space="0" w:color="auto"/>
        <w:left w:val="single" w:sz="4" w:space="0" w:color="auto"/>
        <w:right w:val="double" w:sz="6" w:space="0" w:color="auto"/>
      </w:pBdr>
      <w:spacing w:before="100" w:beforeAutospacing="1" w:after="100" w:afterAutospacing="1"/>
      <w:jc w:val="right"/>
    </w:pPr>
    <w:rPr>
      <w:rFonts w:ascii="Arial Narrow" w:eastAsia="Arial Unicode MS" w:hAnsi="Arial Narrow" w:cs="Arial Unicode MS"/>
      <w:color w:val="000000"/>
    </w:rPr>
  </w:style>
  <w:style w:type="paragraph" w:customStyle="1" w:styleId="xl32">
    <w:name w:val="xl32"/>
    <w:basedOn w:val="Normln"/>
    <w:rsid w:val="00E37B3F"/>
    <w:pPr>
      <w:pBdr>
        <w:left w:val="single" w:sz="4" w:space="0" w:color="auto"/>
      </w:pBdr>
      <w:spacing w:before="100" w:beforeAutospacing="1" w:after="100" w:afterAutospacing="1"/>
      <w:jc w:val="right"/>
    </w:pPr>
    <w:rPr>
      <w:rFonts w:ascii="Arial Narrow" w:eastAsia="Arial Unicode MS" w:hAnsi="Arial Narrow" w:cs="Arial Unicode MS"/>
      <w:color w:val="000000"/>
    </w:rPr>
  </w:style>
  <w:style w:type="paragraph" w:customStyle="1" w:styleId="xl33">
    <w:name w:val="xl33"/>
    <w:basedOn w:val="Normln"/>
    <w:rsid w:val="00E37B3F"/>
    <w:pPr>
      <w:spacing w:before="100" w:beforeAutospacing="1" w:after="100" w:afterAutospacing="1"/>
      <w:jc w:val="right"/>
    </w:pPr>
    <w:rPr>
      <w:rFonts w:ascii="Arial Narrow" w:eastAsia="Arial Unicode MS" w:hAnsi="Arial Narrow" w:cs="Arial Unicode MS"/>
      <w:color w:val="000000"/>
    </w:rPr>
  </w:style>
  <w:style w:type="paragraph" w:customStyle="1" w:styleId="xl34">
    <w:name w:val="xl34"/>
    <w:basedOn w:val="Normln"/>
    <w:rsid w:val="00E37B3F"/>
    <w:pPr>
      <w:pBdr>
        <w:right w:val="single" w:sz="4" w:space="0" w:color="auto"/>
      </w:pBdr>
      <w:spacing w:before="100" w:beforeAutospacing="1" w:after="100" w:afterAutospacing="1"/>
      <w:jc w:val="right"/>
    </w:pPr>
    <w:rPr>
      <w:rFonts w:ascii="Arial Narrow" w:eastAsia="Arial Unicode MS" w:hAnsi="Arial Narrow" w:cs="Arial Unicode MS"/>
      <w:color w:val="000000"/>
    </w:rPr>
  </w:style>
  <w:style w:type="paragraph" w:customStyle="1" w:styleId="xl35">
    <w:name w:val="xl35"/>
    <w:basedOn w:val="Normln"/>
    <w:rsid w:val="00E37B3F"/>
    <w:pPr>
      <w:pBdr>
        <w:left w:val="single" w:sz="4" w:space="0" w:color="auto"/>
        <w:right w:val="double" w:sz="6" w:space="0" w:color="auto"/>
      </w:pBdr>
      <w:spacing w:before="100" w:beforeAutospacing="1" w:after="100" w:afterAutospacing="1"/>
      <w:jc w:val="right"/>
    </w:pPr>
    <w:rPr>
      <w:rFonts w:ascii="Arial Narrow" w:eastAsia="Arial Unicode MS" w:hAnsi="Arial Narrow" w:cs="Arial Unicode MS"/>
      <w:color w:val="000000"/>
    </w:rPr>
  </w:style>
  <w:style w:type="paragraph" w:customStyle="1" w:styleId="xl37">
    <w:name w:val="xl37"/>
    <w:basedOn w:val="Normln"/>
    <w:rsid w:val="00E37B3F"/>
    <w:pPr>
      <w:pBdr>
        <w:right w:val="double" w:sz="6" w:space="0" w:color="auto"/>
      </w:pBdr>
      <w:spacing w:before="100" w:beforeAutospacing="1" w:after="100" w:afterAutospacing="1"/>
      <w:jc w:val="right"/>
    </w:pPr>
    <w:rPr>
      <w:rFonts w:ascii="Arial Narrow" w:eastAsia="Arial Unicode MS" w:hAnsi="Arial Narrow" w:cs="Arial Unicode MS"/>
      <w:color w:val="000000"/>
    </w:rPr>
  </w:style>
  <w:style w:type="paragraph" w:customStyle="1" w:styleId="xl38">
    <w:name w:val="xl38"/>
    <w:basedOn w:val="Normln"/>
    <w:rsid w:val="00E37B3F"/>
    <w:pPr>
      <w:shd w:val="clear" w:color="auto" w:fill="FFFFFF"/>
      <w:spacing w:before="100" w:beforeAutospacing="1" w:after="100" w:afterAutospacing="1"/>
      <w:jc w:val="right"/>
    </w:pPr>
    <w:rPr>
      <w:rFonts w:ascii="Arial Narrow" w:eastAsia="Arial Unicode MS" w:hAnsi="Arial Narrow" w:cs="Arial Unicode MS"/>
    </w:rPr>
  </w:style>
  <w:style w:type="paragraph" w:customStyle="1" w:styleId="xl39">
    <w:name w:val="xl39"/>
    <w:basedOn w:val="Normln"/>
    <w:rsid w:val="00E37B3F"/>
    <w:pPr>
      <w:pBdr>
        <w:left w:val="single" w:sz="4" w:space="0" w:color="auto"/>
        <w:bottom w:val="double" w:sz="6" w:space="0" w:color="auto"/>
      </w:pBdr>
      <w:spacing w:before="100" w:beforeAutospacing="1" w:after="100" w:afterAutospacing="1"/>
      <w:jc w:val="right"/>
    </w:pPr>
    <w:rPr>
      <w:rFonts w:ascii="Arial Narrow" w:eastAsia="Arial Unicode MS" w:hAnsi="Arial Narrow" w:cs="Arial Unicode MS"/>
      <w:color w:val="000000"/>
    </w:rPr>
  </w:style>
  <w:style w:type="paragraph" w:customStyle="1" w:styleId="xl40">
    <w:name w:val="xl40"/>
    <w:basedOn w:val="Normln"/>
    <w:rsid w:val="00E37B3F"/>
    <w:pPr>
      <w:pBdr>
        <w:bottom w:val="double" w:sz="6" w:space="0" w:color="auto"/>
      </w:pBdr>
      <w:spacing w:before="100" w:beforeAutospacing="1" w:after="100" w:afterAutospacing="1"/>
      <w:jc w:val="right"/>
    </w:pPr>
    <w:rPr>
      <w:rFonts w:ascii="Arial Narrow" w:eastAsia="Arial Unicode MS" w:hAnsi="Arial Narrow" w:cs="Arial Unicode MS"/>
      <w:color w:val="000000"/>
    </w:rPr>
  </w:style>
  <w:style w:type="paragraph" w:customStyle="1" w:styleId="xl41">
    <w:name w:val="xl41"/>
    <w:basedOn w:val="Normln"/>
    <w:rsid w:val="00E37B3F"/>
    <w:pPr>
      <w:pBdr>
        <w:bottom w:val="double" w:sz="6" w:space="0" w:color="auto"/>
        <w:right w:val="single" w:sz="4" w:space="0" w:color="auto"/>
      </w:pBdr>
      <w:spacing w:before="100" w:beforeAutospacing="1" w:after="100" w:afterAutospacing="1"/>
      <w:jc w:val="right"/>
    </w:pPr>
    <w:rPr>
      <w:rFonts w:ascii="Arial Narrow" w:eastAsia="Arial Unicode MS" w:hAnsi="Arial Narrow" w:cs="Arial Unicode MS"/>
      <w:color w:val="000000"/>
    </w:rPr>
  </w:style>
  <w:style w:type="paragraph" w:customStyle="1" w:styleId="xl42">
    <w:name w:val="xl42"/>
    <w:basedOn w:val="Normln"/>
    <w:rsid w:val="00E37B3F"/>
    <w:pPr>
      <w:pBdr>
        <w:bottom w:val="double" w:sz="6" w:space="0" w:color="auto"/>
        <w:right w:val="double" w:sz="6" w:space="0" w:color="auto"/>
      </w:pBdr>
      <w:spacing w:before="100" w:beforeAutospacing="1" w:after="100" w:afterAutospacing="1"/>
      <w:jc w:val="right"/>
    </w:pPr>
    <w:rPr>
      <w:rFonts w:ascii="Arial Narrow" w:eastAsia="Arial Unicode MS" w:hAnsi="Arial Narrow" w:cs="Arial Unicode MS"/>
      <w:color w:val="000000"/>
    </w:rPr>
  </w:style>
  <w:style w:type="paragraph" w:customStyle="1" w:styleId="xl43">
    <w:name w:val="xl43"/>
    <w:basedOn w:val="Normln"/>
    <w:rsid w:val="00E37B3F"/>
    <w:pPr>
      <w:pBdr>
        <w:top w:val="double" w:sz="6" w:space="0" w:color="auto"/>
        <w:left w:val="single" w:sz="4" w:space="0" w:color="auto"/>
      </w:pBdr>
      <w:spacing w:before="100" w:beforeAutospacing="1" w:after="100" w:afterAutospacing="1"/>
      <w:jc w:val="center"/>
    </w:pPr>
    <w:rPr>
      <w:rFonts w:ascii="Arial Narrow" w:eastAsia="Arial Unicode MS" w:hAnsi="Arial Narrow" w:cs="Arial Unicode MS"/>
      <w:b/>
      <w:bCs/>
      <w:color w:val="000000"/>
    </w:rPr>
  </w:style>
  <w:style w:type="paragraph" w:customStyle="1" w:styleId="xl44">
    <w:name w:val="xl44"/>
    <w:basedOn w:val="Normln"/>
    <w:rsid w:val="00E37B3F"/>
    <w:pPr>
      <w:pBdr>
        <w:top w:val="double" w:sz="6" w:space="0" w:color="auto"/>
      </w:pBdr>
      <w:spacing w:before="100" w:beforeAutospacing="1" w:after="100" w:afterAutospacing="1"/>
      <w:jc w:val="center"/>
    </w:pPr>
    <w:rPr>
      <w:rFonts w:ascii="Arial Narrow" w:eastAsia="Arial Unicode MS" w:hAnsi="Arial Narrow" w:cs="Arial Unicode MS"/>
      <w:b/>
      <w:bCs/>
      <w:color w:val="000000"/>
    </w:rPr>
  </w:style>
  <w:style w:type="paragraph" w:customStyle="1" w:styleId="xl45">
    <w:name w:val="xl45"/>
    <w:basedOn w:val="Normln"/>
    <w:rsid w:val="00E37B3F"/>
    <w:pPr>
      <w:pBdr>
        <w:top w:val="double" w:sz="6" w:space="0" w:color="auto"/>
        <w:right w:val="single" w:sz="4" w:space="0" w:color="auto"/>
      </w:pBdr>
      <w:spacing w:before="100" w:beforeAutospacing="1" w:after="100" w:afterAutospacing="1"/>
      <w:jc w:val="center"/>
    </w:pPr>
    <w:rPr>
      <w:rFonts w:ascii="Arial Narrow" w:eastAsia="Arial Unicode MS" w:hAnsi="Arial Narrow" w:cs="Arial Unicode MS"/>
      <w:b/>
      <w:bCs/>
      <w:color w:val="000000"/>
    </w:rPr>
  </w:style>
  <w:style w:type="paragraph" w:customStyle="1" w:styleId="xl46">
    <w:name w:val="xl46"/>
    <w:basedOn w:val="Normln"/>
    <w:rsid w:val="00E37B3F"/>
    <w:pPr>
      <w:pBdr>
        <w:top w:val="double" w:sz="6" w:space="0" w:color="auto"/>
        <w:right w:val="single" w:sz="4" w:space="0" w:color="000000"/>
      </w:pBdr>
      <w:spacing w:before="100" w:beforeAutospacing="1" w:after="100" w:afterAutospacing="1"/>
      <w:jc w:val="center"/>
    </w:pPr>
    <w:rPr>
      <w:rFonts w:ascii="Arial Narrow" w:eastAsia="Arial Unicode MS" w:hAnsi="Arial Narrow" w:cs="Arial Unicode MS"/>
      <w:b/>
      <w:bCs/>
      <w:color w:val="000000"/>
    </w:rPr>
  </w:style>
  <w:style w:type="paragraph" w:customStyle="1" w:styleId="xl47">
    <w:name w:val="xl47"/>
    <w:basedOn w:val="Normln"/>
    <w:rsid w:val="00E37B3F"/>
    <w:pPr>
      <w:pBdr>
        <w:top w:val="double" w:sz="6" w:space="0" w:color="auto"/>
        <w:left w:val="single" w:sz="4" w:space="0" w:color="000000"/>
      </w:pBdr>
      <w:spacing w:before="100" w:beforeAutospacing="1" w:after="100" w:afterAutospacing="1"/>
      <w:jc w:val="center"/>
    </w:pPr>
    <w:rPr>
      <w:rFonts w:ascii="Arial Narrow" w:eastAsia="Arial Unicode MS" w:hAnsi="Arial Narrow" w:cs="Arial Unicode MS"/>
      <w:b/>
      <w:bCs/>
      <w:color w:val="000000"/>
    </w:rPr>
  </w:style>
  <w:style w:type="paragraph" w:customStyle="1" w:styleId="xl48">
    <w:name w:val="xl48"/>
    <w:basedOn w:val="Normln"/>
    <w:rsid w:val="00E37B3F"/>
    <w:pPr>
      <w:pBdr>
        <w:top w:val="single" w:sz="4" w:space="0" w:color="auto"/>
        <w:left w:val="double" w:sz="6" w:space="0" w:color="auto"/>
      </w:pBdr>
      <w:spacing w:before="100" w:beforeAutospacing="1" w:after="100" w:afterAutospacing="1"/>
    </w:pPr>
    <w:rPr>
      <w:rFonts w:ascii="Arial Narrow" w:eastAsia="Arial Unicode MS" w:hAnsi="Arial Narrow" w:cs="Arial Unicode MS"/>
      <w:color w:val="000000"/>
    </w:rPr>
  </w:style>
  <w:style w:type="paragraph" w:customStyle="1" w:styleId="xl49">
    <w:name w:val="xl49"/>
    <w:basedOn w:val="Normln"/>
    <w:rsid w:val="00E37B3F"/>
    <w:pPr>
      <w:spacing w:before="100" w:beforeAutospacing="1" w:after="100" w:afterAutospacing="1"/>
    </w:pPr>
    <w:rPr>
      <w:rFonts w:ascii="Arial Narrow" w:eastAsia="Arial Unicode MS" w:hAnsi="Arial Narrow" w:cs="Arial Unicode MS"/>
      <w:color w:val="000000"/>
    </w:rPr>
  </w:style>
  <w:style w:type="paragraph" w:customStyle="1" w:styleId="xl50">
    <w:name w:val="xl50"/>
    <w:basedOn w:val="Normln"/>
    <w:rsid w:val="00E37B3F"/>
    <w:pPr>
      <w:pBdr>
        <w:left w:val="double" w:sz="6" w:space="0" w:color="auto"/>
      </w:pBdr>
      <w:spacing w:before="100" w:beforeAutospacing="1" w:after="100" w:afterAutospacing="1"/>
    </w:pPr>
    <w:rPr>
      <w:rFonts w:ascii="Arial Narrow" w:eastAsia="Arial Unicode MS" w:hAnsi="Arial Narrow" w:cs="Arial Unicode MS"/>
      <w:color w:val="000000"/>
    </w:rPr>
  </w:style>
  <w:style w:type="paragraph" w:customStyle="1" w:styleId="xl51">
    <w:name w:val="xl51"/>
    <w:basedOn w:val="Normln"/>
    <w:rsid w:val="00E37B3F"/>
    <w:pPr>
      <w:pBdr>
        <w:bottom w:val="double" w:sz="6" w:space="0" w:color="auto"/>
      </w:pBdr>
      <w:spacing w:before="100" w:beforeAutospacing="1" w:after="100" w:afterAutospacing="1"/>
    </w:pPr>
    <w:rPr>
      <w:rFonts w:ascii="Arial Narrow" w:eastAsia="Arial Unicode MS" w:hAnsi="Arial Narrow" w:cs="Arial Unicode MS"/>
      <w:color w:val="000000"/>
    </w:rPr>
  </w:style>
  <w:style w:type="paragraph" w:customStyle="1" w:styleId="xl52">
    <w:name w:val="xl52"/>
    <w:basedOn w:val="Normln"/>
    <w:rsid w:val="00E37B3F"/>
    <w:pPr>
      <w:pBdr>
        <w:left w:val="double" w:sz="6" w:space="0" w:color="auto"/>
        <w:bottom w:val="single" w:sz="4" w:space="0" w:color="auto"/>
      </w:pBdr>
      <w:spacing w:before="100" w:beforeAutospacing="1" w:after="100" w:afterAutospacing="1"/>
    </w:pPr>
    <w:rPr>
      <w:rFonts w:ascii="Arial Narrow" w:eastAsia="Arial Unicode MS" w:hAnsi="Arial Narrow" w:cs="Arial Unicode MS"/>
      <w:color w:val="000000"/>
    </w:rPr>
  </w:style>
  <w:style w:type="character" w:styleId="slostrnky">
    <w:name w:val="page number"/>
    <w:basedOn w:val="Standardnpsmoodstavce"/>
    <w:rsid w:val="00E37B3F"/>
  </w:style>
  <w:style w:type="paragraph" w:customStyle="1" w:styleId="Normlnweb1">
    <w:name w:val="Normální (web)1"/>
    <w:basedOn w:val="Normln"/>
    <w:rsid w:val="00E37B3F"/>
    <w:pPr>
      <w:spacing w:before="100" w:after="100"/>
    </w:pPr>
    <w:rPr>
      <w:szCs w:val="20"/>
    </w:rPr>
  </w:style>
  <w:style w:type="paragraph" w:styleId="Normlnweb">
    <w:name w:val="Normal (Web)"/>
    <w:basedOn w:val="Normln"/>
    <w:link w:val="NormlnwebChar"/>
    <w:rsid w:val="00E37B3F"/>
  </w:style>
  <w:style w:type="paragraph" w:styleId="Nzev">
    <w:name w:val="Title"/>
    <w:basedOn w:val="Normln"/>
    <w:link w:val="NzevChar"/>
    <w:qFormat/>
    <w:rsid w:val="00E37B3F"/>
    <w:pPr>
      <w:overflowPunct w:val="0"/>
      <w:autoSpaceDE w:val="0"/>
      <w:autoSpaceDN w:val="0"/>
      <w:adjustRightInd w:val="0"/>
      <w:jc w:val="center"/>
      <w:textAlignment w:val="baseline"/>
    </w:pPr>
    <w:rPr>
      <w:b/>
      <w:szCs w:val="20"/>
    </w:rPr>
  </w:style>
  <w:style w:type="character" w:customStyle="1" w:styleId="text5">
    <w:name w:val="text5"/>
    <w:rsid w:val="00E37B3F"/>
    <w:rPr>
      <w:b w:val="0"/>
      <w:bCs w:val="0"/>
      <w:color w:val="000000"/>
      <w:sz w:val="18"/>
      <w:szCs w:val="18"/>
    </w:rPr>
  </w:style>
  <w:style w:type="paragraph" w:customStyle="1" w:styleId="Styl5">
    <w:name w:val="Styl5"/>
    <w:basedOn w:val="Nadpis2"/>
    <w:rsid w:val="00E37B3F"/>
    <w:pPr>
      <w:numPr>
        <w:numId w:val="3"/>
      </w:numPr>
      <w:spacing w:before="120" w:line="360" w:lineRule="auto"/>
      <w:ind w:left="714" w:hanging="357"/>
    </w:pPr>
  </w:style>
  <w:style w:type="character" w:styleId="Sledovanodkaz">
    <w:name w:val="FollowedHyperlink"/>
    <w:rsid w:val="00E37B3F"/>
    <w:rPr>
      <w:color w:val="800080"/>
      <w:u w:val="single"/>
    </w:rPr>
  </w:style>
  <w:style w:type="character" w:styleId="Siln">
    <w:name w:val="Strong"/>
    <w:qFormat/>
    <w:rsid w:val="00E37B3F"/>
    <w:rPr>
      <w:b/>
      <w:bCs/>
    </w:rPr>
  </w:style>
  <w:style w:type="paragraph" w:customStyle="1" w:styleId="Zkladntext21">
    <w:name w:val="Základní text 21"/>
    <w:basedOn w:val="Normln"/>
    <w:rsid w:val="00E37B3F"/>
    <w:pPr>
      <w:widowControl w:val="0"/>
      <w:tabs>
        <w:tab w:val="left" w:pos="-720"/>
      </w:tabs>
      <w:suppressAutoHyphens/>
      <w:overflowPunct w:val="0"/>
      <w:autoSpaceDE w:val="0"/>
      <w:autoSpaceDN w:val="0"/>
      <w:adjustRightInd w:val="0"/>
      <w:spacing w:line="360" w:lineRule="auto"/>
      <w:jc w:val="both"/>
      <w:textAlignment w:val="baseline"/>
    </w:pPr>
    <w:rPr>
      <w:rFonts w:ascii="Arial" w:hAnsi="Arial"/>
      <w:szCs w:val="20"/>
    </w:rPr>
  </w:style>
  <w:style w:type="character" w:customStyle="1" w:styleId="okbasic21">
    <w:name w:val="okbasic21"/>
    <w:rsid w:val="00E37B3F"/>
    <w:rPr>
      <w:rFonts w:ascii="Arial" w:hAnsi="Arial" w:cs="Arial" w:hint="default"/>
      <w:color w:val="000000"/>
      <w:sz w:val="24"/>
      <w:szCs w:val="24"/>
    </w:rPr>
  </w:style>
  <w:style w:type="paragraph" w:styleId="Obsah1">
    <w:name w:val="toc 1"/>
    <w:basedOn w:val="Normln"/>
    <w:next w:val="Normln"/>
    <w:autoRedefine/>
    <w:uiPriority w:val="39"/>
    <w:rsid w:val="00765450"/>
    <w:pPr>
      <w:tabs>
        <w:tab w:val="left" w:pos="480"/>
        <w:tab w:val="right" w:leader="dot" w:pos="9062"/>
      </w:tabs>
      <w:spacing w:line="360" w:lineRule="auto"/>
      <w:ind w:left="482" w:hanging="482"/>
      <w:jc w:val="center"/>
    </w:pPr>
    <w:rPr>
      <w:rFonts w:ascii="Arial" w:hAnsi="Arial" w:cs="Arial"/>
      <w:b/>
      <w:bCs/>
      <w:noProof/>
      <w:color w:val="000000" w:themeColor="text1"/>
      <w:sz w:val="28"/>
      <w:szCs w:val="28"/>
    </w:rPr>
  </w:style>
  <w:style w:type="paragraph" w:styleId="Obsah2">
    <w:name w:val="toc 2"/>
    <w:basedOn w:val="Normln"/>
    <w:next w:val="Normln"/>
    <w:autoRedefine/>
    <w:uiPriority w:val="39"/>
    <w:rsid w:val="00514B87"/>
    <w:pPr>
      <w:tabs>
        <w:tab w:val="left" w:pos="720"/>
        <w:tab w:val="right" w:leader="dot" w:pos="9062"/>
      </w:tabs>
      <w:spacing w:line="360" w:lineRule="auto"/>
      <w:ind w:left="240"/>
    </w:pPr>
    <w:rPr>
      <w:rFonts w:ascii="Arial" w:hAnsi="Arial" w:cs="Arial"/>
      <w:smallCaps/>
      <w:noProof/>
    </w:rPr>
  </w:style>
  <w:style w:type="paragraph" w:styleId="Obsah3">
    <w:name w:val="toc 3"/>
    <w:basedOn w:val="Normln"/>
    <w:next w:val="Normln"/>
    <w:autoRedefine/>
    <w:rsid w:val="00404167"/>
    <w:pPr>
      <w:ind w:left="480"/>
    </w:pPr>
    <w:rPr>
      <w:rFonts w:ascii="Calibri" w:hAnsi="Calibri"/>
      <w:i/>
      <w:iCs/>
      <w:sz w:val="20"/>
      <w:szCs w:val="20"/>
    </w:rPr>
  </w:style>
  <w:style w:type="paragraph" w:styleId="Titulek">
    <w:name w:val="caption"/>
    <w:basedOn w:val="Normln"/>
    <w:next w:val="Normln"/>
    <w:qFormat/>
    <w:rsid w:val="002A7F04"/>
    <w:pPr>
      <w:tabs>
        <w:tab w:val="left" w:pos="720"/>
      </w:tabs>
      <w:jc w:val="center"/>
    </w:pPr>
    <w:rPr>
      <w:rFonts w:ascii="Arial" w:hAnsi="Arial" w:cs="Arial"/>
      <w:b/>
      <w:bCs/>
    </w:rPr>
  </w:style>
  <w:style w:type="paragraph" w:styleId="Seznamsodrkami">
    <w:name w:val="List Bullet"/>
    <w:basedOn w:val="Normln"/>
    <w:autoRedefine/>
    <w:rsid w:val="008F435A"/>
    <w:pPr>
      <w:widowControl w:val="0"/>
      <w:suppressAutoHyphens/>
      <w:spacing w:after="120"/>
      <w:jc w:val="both"/>
    </w:pPr>
    <w:rPr>
      <w:rFonts w:ascii="Arial" w:hAnsi="Arial" w:cs="Arial"/>
      <w:iCs/>
      <w:noProof/>
      <w:sz w:val="18"/>
      <w:szCs w:val="18"/>
    </w:rPr>
  </w:style>
  <w:style w:type="character" w:styleId="Odkaznakoment">
    <w:name w:val="annotation reference"/>
    <w:semiHidden/>
    <w:rsid w:val="00860DB1"/>
    <w:rPr>
      <w:sz w:val="16"/>
      <w:szCs w:val="16"/>
    </w:rPr>
  </w:style>
  <w:style w:type="paragraph" w:styleId="Rozloendokumentu">
    <w:name w:val="Document Map"/>
    <w:basedOn w:val="Normln"/>
    <w:link w:val="RozloendokumentuChar"/>
    <w:semiHidden/>
    <w:rsid w:val="00BF6354"/>
    <w:pPr>
      <w:shd w:val="clear" w:color="auto" w:fill="000080"/>
    </w:pPr>
    <w:rPr>
      <w:rFonts w:ascii="Tahoma" w:hAnsi="Tahoma" w:cs="Tahoma"/>
      <w:sz w:val="20"/>
      <w:szCs w:val="20"/>
    </w:rPr>
  </w:style>
  <w:style w:type="character" w:customStyle="1" w:styleId="NormlnwebChar">
    <w:name w:val="Normální (web) Char"/>
    <w:link w:val="Normlnweb"/>
    <w:rsid w:val="00DA57B6"/>
    <w:rPr>
      <w:sz w:val="24"/>
      <w:szCs w:val="24"/>
      <w:lang w:val="cs-CZ" w:eastAsia="cs-CZ" w:bidi="ar-SA"/>
    </w:rPr>
  </w:style>
  <w:style w:type="character" w:customStyle="1" w:styleId="style-mailovzprvy18">
    <w:name w:val="style-mailovzprvy18"/>
    <w:semiHidden/>
    <w:rsid w:val="005F76FE"/>
    <w:rPr>
      <w:rFonts w:ascii="Arial" w:hAnsi="Arial" w:cs="Arial" w:hint="default"/>
      <w:color w:val="993366"/>
    </w:rPr>
  </w:style>
  <w:style w:type="character" w:customStyle="1" w:styleId="stylzprvyelektronickpoty21">
    <w:name w:val="stylzprvyelektronickpoty21"/>
    <w:semiHidden/>
    <w:rsid w:val="00DC6145"/>
    <w:rPr>
      <w:rFonts w:ascii="Arial" w:hAnsi="Arial" w:cs="Arial"/>
      <w:color w:val="993366"/>
      <w:sz w:val="20"/>
    </w:rPr>
  </w:style>
  <w:style w:type="character" w:customStyle="1" w:styleId="normlnChar">
    <w:name w:val="normální Char"/>
    <w:link w:val="normln0"/>
    <w:rsid w:val="00651CCF"/>
    <w:rPr>
      <w:sz w:val="24"/>
      <w:szCs w:val="24"/>
      <w:lang w:val="cs-CZ" w:eastAsia="cs-CZ" w:bidi="ar-SA"/>
    </w:rPr>
  </w:style>
  <w:style w:type="paragraph" w:customStyle="1" w:styleId="Dvousloupcov">
    <w:name w:val="Dvousloupcový"/>
    <w:basedOn w:val="Normln"/>
    <w:rsid w:val="00652753"/>
    <w:pPr>
      <w:spacing w:after="120" w:line="264" w:lineRule="auto"/>
      <w:jc w:val="both"/>
    </w:pPr>
    <w:rPr>
      <w:rFonts w:ascii="Calibri" w:hAnsi="Calibri"/>
      <w:sz w:val="19"/>
    </w:rPr>
  </w:style>
  <w:style w:type="character" w:customStyle="1" w:styleId="TextpoznpodarouChar">
    <w:name w:val="Text pozn. pod čarou Char"/>
    <w:aliases w:val="Schriftart: 9 pt Char,Schriftart: 10 pt Char,Schriftart: 8 pt Char"/>
    <w:basedOn w:val="Standardnpsmoodstavce"/>
    <w:link w:val="Textpoznpodarou"/>
    <w:semiHidden/>
    <w:locked/>
    <w:rsid w:val="000D6450"/>
  </w:style>
  <w:style w:type="paragraph" w:customStyle="1" w:styleId="Zkladntext210">
    <w:name w:val="Základní text 21"/>
    <w:basedOn w:val="Normln"/>
    <w:rsid w:val="000D6450"/>
    <w:pPr>
      <w:widowControl w:val="0"/>
      <w:tabs>
        <w:tab w:val="left" w:pos="-720"/>
      </w:tabs>
      <w:suppressAutoHyphens/>
      <w:overflowPunct w:val="0"/>
      <w:autoSpaceDE w:val="0"/>
      <w:autoSpaceDN w:val="0"/>
      <w:adjustRightInd w:val="0"/>
      <w:spacing w:line="360" w:lineRule="auto"/>
      <w:jc w:val="both"/>
      <w:textAlignment w:val="baseline"/>
    </w:pPr>
    <w:rPr>
      <w:rFonts w:ascii="Arial" w:eastAsia="Calibri" w:hAnsi="Arial"/>
      <w:szCs w:val="20"/>
    </w:rPr>
  </w:style>
  <w:style w:type="character" w:customStyle="1" w:styleId="ZhlavChar">
    <w:name w:val="Záhlaví Char"/>
    <w:basedOn w:val="Standardnpsmoodstavce"/>
    <w:link w:val="Zhlav"/>
    <w:locked/>
    <w:rsid w:val="000D6450"/>
  </w:style>
  <w:style w:type="paragraph" w:customStyle="1" w:styleId="Normlnweb10">
    <w:name w:val="Normální (web)1"/>
    <w:basedOn w:val="Normln"/>
    <w:rsid w:val="000D6450"/>
    <w:pPr>
      <w:spacing w:before="100" w:after="100"/>
    </w:pPr>
    <w:rPr>
      <w:rFonts w:eastAsia="Calibri"/>
      <w:szCs w:val="20"/>
    </w:rPr>
  </w:style>
  <w:style w:type="paragraph" w:customStyle="1" w:styleId="Texttabulky">
    <w:name w:val="Text tabulky"/>
    <w:rsid w:val="000D6450"/>
    <w:rPr>
      <w:rFonts w:eastAsia="Calibri"/>
      <w:color w:val="000000"/>
      <w:sz w:val="24"/>
    </w:rPr>
  </w:style>
  <w:style w:type="character" w:customStyle="1" w:styleId="ZpatChar">
    <w:name w:val="Zápatí Char"/>
    <w:link w:val="Zpat"/>
    <w:uiPriority w:val="99"/>
    <w:rsid w:val="00AB379C"/>
    <w:rPr>
      <w:sz w:val="24"/>
      <w:szCs w:val="24"/>
    </w:rPr>
  </w:style>
  <w:style w:type="paragraph" w:styleId="Odstavecseseznamem">
    <w:name w:val="List Paragraph"/>
    <w:basedOn w:val="Normln"/>
    <w:uiPriority w:val="34"/>
    <w:qFormat/>
    <w:rsid w:val="009779C7"/>
    <w:pPr>
      <w:ind w:left="708"/>
    </w:pPr>
  </w:style>
  <w:style w:type="character" w:customStyle="1" w:styleId="Zkladntextodsazen3Char">
    <w:name w:val="Základní text odsazený 3 Char"/>
    <w:link w:val="Zkladntextodsazen3"/>
    <w:rsid w:val="00C6793D"/>
    <w:rPr>
      <w:sz w:val="16"/>
      <w:szCs w:val="16"/>
    </w:rPr>
  </w:style>
  <w:style w:type="character" w:customStyle="1" w:styleId="ZkladntextodsazenChar">
    <w:name w:val="Základní text odsazený Char"/>
    <w:link w:val="Zkladntextodsazen"/>
    <w:rsid w:val="00C6793D"/>
    <w:rPr>
      <w:rFonts w:ascii="Arial" w:hAnsi="Arial"/>
      <w:sz w:val="24"/>
      <w:szCs w:val="24"/>
    </w:rPr>
  </w:style>
  <w:style w:type="character" w:customStyle="1" w:styleId="ZkladntextChar">
    <w:name w:val="Základní text Char"/>
    <w:aliases w:val="Standard paragraph Char"/>
    <w:link w:val="Zkladntext"/>
    <w:rsid w:val="00C6793D"/>
    <w:rPr>
      <w:rFonts w:ascii="Arial" w:hAnsi="Arial" w:cs="Arial"/>
      <w:color w:val="000000"/>
      <w:sz w:val="24"/>
      <w:szCs w:val="24"/>
    </w:rPr>
  </w:style>
  <w:style w:type="character" w:customStyle="1" w:styleId="CharChar3">
    <w:name w:val="Char Char3"/>
    <w:rsid w:val="00D046EC"/>
    <w:rPr>
      <w:sz w:val="24"/>
      <w:szCs w:val="24"/>
    </w:rPr>
  </w:style>
  <w:style w:type="paragraph" w:styleId="Obsah4">
    <w:name w:val="toc 4"/>
    <w:basedOn w:val="Normln"/>
    <w:next w:val="Normln"/>
    <w:autoRedefine/>
    <w:rsid w:val="0000183B"/>
    <w:pPr>
      <w:ind w:left="720"/>
    </w:pPr>
    <w:rPr>
      <w:rFonts w:ascii="Calibri" w:hAnsi="Calibri"/>
      <w:sz w:val="18"/>
      <w:szCs w:val="18"/>
    </w:rPr>
  </w:style>
  <w:style w:type="paragraph" w:styleId="Obsah5">
    <w:name w:val="toc 5"/>
    <w:basedOn w:val="Normln"/>
    <w:next w:val="Normln"/>
    <w:autoRedefine/>
    <w:rsid w:val="0000183B"/>
    <w:pPr>
      <w:ind w:left="960"/>
    </w:pPr>
    <w:rPr>
      <w:rFonts w:ascii="Calibri" w:hAnsi="Calibri"/>
      <w:sz w:val="18"/>
      <w:szCs w:val="18"/>
    </w:rPr>
  </w:style>
  <w:style w:type="paragraph" w:styleId="Obsah6">
    <w:name w:val="toc 6"/>
    <w:basedOn w:val="Normln"/>
    <w:next w:val="Normln"/>
    <w:autoRedefine/>
    <w:rsid w:val="0000183B"/>
    <w:pPr>
      <w:ind w:left="1200"/>
    </w:pPr>
    <w:rPr>
      <w:rFonts w:ascii="Calibri" w:hAnsi="Calibri"/>
      <w:sz w:val="18"/>
      <w:szCs w:val="18"/>
    </w:rPr>
  </w:style>
  <w:style w:type="paragraph" w:styleId="Obsah7">
    <w:name w:val="toc 7"/>
    <w:basedOn w:val="Normln"/>
    <w:next w:val="Normln"/>
    <w:autoRedefine/>
    <w:rsid w:val="0000183B"/>
    <w:pPr>
      <w:ind w:left="1440"/>
    </w:pPr>
    <w:rPr>
      <w:rFonts w:ascii="Calibri" w:hAnsi="Calibri"/>
      <w:sz w:val="18"/>
      <w:szCs w:val="18"/>
    </w:rPr>
  </w:style>
  <w:style w:type="paragraph" w:styleId="Obsah8">
    <w:name w:val="toc 8"/>
    <w:basedOn w:val="Normln"/>
    <w:next w:val="Normln"/>
    <w:autoRedefine/>
    <w:rsid w:val="0000183B"/>
    <w:pPr>
      <w:ind w:left="1680"/>
    </w:pPr>
    <w:rPr>
      <w:rFonts w:ascii="Calibri" w:hAnsi="Calibri"/>
      <w:sz w:val="18"/>
      <w:szCs w:val="18"/>
    </w:rPr>
  </w:style>
  <w:style w:type="paragraph" w:styleId="Obsah9">
    <w:name w:val="toc 9"/>
    <w:basedOn w:val="Normln"/>
    <w:next w:val="Normln"/>
    <w:autoRedefine/>
    <w:rsid w:val="0000183B"/>
    <w:pPr>
      <w:ind w:left="1920"/>
    </w:pPr>
    <w:rPr>
      <w:rFonts w:ascii="Calibri" w:hAnsi="Calibri"/>
      <w:sz w:val="18"/>
      <w:szCs w:val="18"/>
    </w:rPr>
  </w:style>
  <w:style w:type="character" w:customStyle="1" w:styleId="style-mailovzprvy21">
    <w:name w:val="style-mailovzprvy21"/>
    <w:semiHidden/>
    <w:rsid w:val="00913CC0"/>
    <w:rPr>
      <w:rFonts w:ascii="Arial" w:hAnsi="Arial" w:cs="Arial" w:hint="default"/>
      <w:color w:val="993366"/>
    </w:rPr>
  </w:style>
  <w:style w:type="character" w:customStyle="1" w:styleId="prochazkovae">
    <w:name w:val="prochazkovae"/>
    <w:semiHidden/>
    <w:rsid w:val="00E82112"/>
    <w:rPr>
      <w:rFonts w:ascii="Arial" w:hAnsi="Arial" w:cs="Arial"/>
      <w:color w:val="000080"/>
      <w:sz w:val="20"/>
      <w:szCs w:val="20"/>
    </w:rPr>
  </w:style>
  <w:style w:type="character" w:styleId="slodku">
    <w:name w:val="line number"/>
    <w:basedOn w:val="Standardnpsmoodstavce"/>
    <w:rsid w:val="00584309"/>
  </w:style>
  <w:style w:type="character" w:customStyle="1" w:styleId="NormalWebChar">
    <w:name w:val="Normal (Web) Char"/>
    <w:locked/>
    <w:rsid w:val="009B2CFE"/>
    <w:rPr>
      <w:rFonts w:ascii="Times New Roman" w:hAnsi="Times New Roman" w:cs="Times New Roman"/>
      <w:sz w:val="24"/>
      <w:szCs w:val="24"/>
      <w:lang w:val="x-none" w:eastAsia="cs-CZ"/>
    </w:rPr>
  </w:style>
  <w:style w:type="character" w:customStyle="1" w:styleId="HeaderChar">
    <w:name w:val="Header Char"/>
    <w:locked/>
    <w:rsid w:val="009B2CFE"/>
    <w:rPr>
      <w:rFonts w:ascii="Times New Roman" w:hAnsi="Times New Roman" w:cs="Times New Roman"/>
      <w:sz w:val="20"/>
      <w:szCs w:val="20"/>
      <w:lang w:val="x-none" w:eastAsia="cs-CZ"/>
    </w:rPr>
  </w:style>
  <w:style w:type="paragraph" w:customStyle="1" w:styleId="Normlnweb11">
    <w:name w:val="Normální (web)11"/>
    <w:basedOn w:val="Normln"/>
    <w:rsid w:val="009B2CFE"/>
    <w:pPr>
      <w:spacing w:before="100" w:after="100"/>
    </w:pPr>
    <w:rPr>
      <w:szCs w:val="20"/>
    </w:rPr>
  </w:style>
  <w:style w:type="character" w:customStyle="1" w:styleId="Nadpis1Char">
    <w:name w:val="Nadpis 1 Char"/>
    <w:link w:val="Nadpis1"/>
    <w:rsid w:val="004945EE"/>
    <w:rPr>
      <w:rFonts w:ascii="Arial" w:hAnsi="Arial" w:cs="Arial"/>
      <w:b/>
      <w:bCs/>
      <w:spacing w:val="-3"/>
      <w:kern w:val="32"/>
      <w:sz w:val="28"/>
      <w:szCs w:val="32"/>
    </w:rPr>
  </w:style>
  <w:style w:type="character" w:customStyle="1" w:styleId="Nadpis2Char">
    <w:name w:val="Nadpis 2 Char"/>
    <w:link w:val="Nadpis2"/>
    <w:rsid w:val="009D6B6C"/>
    <w:rPr>
      <w:rFonts w:ascii="Arial" w:hAnsi="Arial" w:cs="Arial"/>
      <w:b/>
      <w:bCs/>
      <w:color w:val="000000"/>
      <w:sz w:val="26"/>
      <w:szCs w:val="26"/>
    </w:rPr>
  </w:style>
  <w:style w:type="character" w:customStyle="1" w:styleId="Nadpis3Char">
    <w:name w:val="Nadpis 3 Char"/>
    <w:link w:val="Nadpis3"/>
    <w:rsid w:val="009D6B6C"/>
    <w:rPr>
      <w:rFonts w:ascii="Arial" w:hAnsi="Arial" w:cs="Arial"/>
      <w:b/>
      <w:bCs/>
      <w:sz w:val="24"/>
      <w:szCs w:val="24"/>
    </w:rPr>
  </w:style>
  <w:style w:type="character" w:customStyle="1" w:styleId="Nadpis4Char">
    <w:name w:val="Nadpis 4 Char"/>
    <w:link w:val="Nadpis4"/>
    <w:rsid w:val="009D6B6C"/>
    <w:rPr>
      <w:rFonts w:ascii="Arial Narrow" w:hAnsi="Arial Narrow" w:cs="Arial"/>
      <w:b/>
      <w:bCs/>
      <w:color w:val="000000"/>
    </w:rPr>
  </w:style>
  <w:style w:type="character" w:customStyle="1" w:styleId="Nadpis5Char">
    <w:name w:val="Nadpis 5 Char"/>
    <w:link w:val="Nadpis5"/>
    <w:rsid w:val="009D6B6C"/>
    <w:rPr>
      <w:rFonts w:ascii="Arial" w:hAnsi="Arial"/>
      <w:b/>
      <w:bCs/>
      <w:iCs/>
      <w:sz w:val="26"/>
      <w:szCs w:val="26"/>
    </w:rPr>
  </w:style>
  <w:style w:type="character" w:customStyle="1" w:styleId="Nadpis6Char">
    <w:name w:val="Nadpis 6 Char"/>
    <w:link w:val="Nadpis6"/>
    <w:rsid w:val="009D6B6C"/>
    <w:rPr>
      <w:b/>
      <w:bCs/>
      <w:sz w:val="22"/>
      <w:szCs w:val="22"/>
    </w:rPr>
  </w:style>
  <w:style w:type="character" w:customStyle="1" w:styleId="Nadpis7Char">
    <w:name w:val="Nadpis 7 Char"/>
    <w:link w:val="Nadpis7"/>
    <w:rsid w:val="009D6B6C"/>
    <w:rPr>
      <w:sz w:val="24"/>
      <w:szCs w:val="24"/>
    </w:rPr>
  </w:style>
  <w:style w:type="character" w:customStyle="1" w:styleId="Nadpis8Char">
    <w:name w:val="Nadpis 8 Char"/>
    <w:link w:val="Nadpis8"/>
    <w:rsid w:val="009D6B6C"/>
    <w:rPr>
      <w:i/>
      <w:iCs/>
      <w:sz w:val="24"/>
      <w:szCs w:val="24"/>
    </w:rPr>
  </w:style>
  <w:style w:type="character" w:customStyle="1" w:styleId="Nadpis9Char">
    <w:name w:val="Nadpis 9 Char"/>
    <w:link w:val="Nadpis9"/>
    <w:rsid w:val="009D6B6C"/>
    <w:rPr>
      <w:rFonts w:ascii="Arial" w:hAnsi="Arial"/>
      <w:sz w:val="22"/>
      <w:szCs w:val="22"/>
    </w:rPr>
  </w:style>
  <w:style w:type="character" w:customStyle="1" w:styleId="Zkladntext2Char">
    <w:name w:val="Základní text 2 Char"/>
    <w:link w:val="Zkladntext2"/>
    <w:rsid w:val="009D6B6C"/>
    <w:rPr>
      <w:rFonts w:ascii="Arial" w:hAnsi="Arial" w:cs="Arial"/>
      <w:b/>
      <w:bCs/>
      <w:szCs w:val="22"/>
    </w:rPr>
  </w:style>
  <w:style w:type="character" w:customStyle="1" w:styleId="Zkladntext3Char">
    <w:name w:val="Základní text 3 Char"/>
    <w:link w:val="Zkladntext3"/>
    <w:rsid w:val="009D6B6C"/>
    <w:rPr>
      <w:rFonts w:ascii="Arial" w:hAnsi="Arial" w:cs="Arial"/>
      <w:sz w:val="24"/>
      <w:szCs w:val="24"/>
    </w:rPr>
  </w:style>
  <w:style w:type="paragraph" w:customStyle="1" w:styleId="Prosttext10">
    <w:name w:val="Prostý text1"/>
    <w:basedOn w:val="Normln"/>
    <w:rsid w:val="009D6B6C"/>
    <w:pPr>
      <w:overflowPunct w:val="0"/>
      <w:autoSpaceDE w:val="0"/>
      <w:autoSpaceDN w:val="0"/>
      <w:adjustRightInd w:val="0"/>
      <w:textAlignment w:val="baseline"/>
    </w:pPr>
    <w:rPr>
      <w:rFonts w:ascii="Courier New" w:hAnsi="Courier New"/>
      <w:sz w:val="20"/>
      <w:szCs w:val="20"/>
    </w:rPr>
  </w:style>
  <w:style w:type="character" w:customStyle="1" w:styleId="TextbublinyChar">
    <w:name w:val="Text bubliny Char"/>
    <w:link w:val="Textbubliny"/>
    <w:rsid w:val="009D6B6C"/>
    <w:rPr>
      <w:rFonts w:ascii="Tahoma" w:hAnsi="Tahoma" w:cs="Tahoma"/>
      <w:sz w:val="16"/>
      <w:szCs w:val="16"/>
    </w:rPr>
  </w:style>
  <w:style w:type="character" w:customStyle="1" w:styleId="TextkomenteChar">
    <w:name w:val="Text komentáře Char"/>
    <w:link w:val="Textkomente"/>
    <w:semiHidden/>
    <w:rsid w:val="009D6B6C"/>
  </w:style>
  <w:style w:type="character" w:customStyle="1" w:styleId="PedmtkomenteChar">
    <w:name w:val="Předmět komentáře Char"/>
    <w:link w:val="Pedmtkomente"/>
    <w:semiHidden/>
    <w:rsid w:val="009D6B6C"/>
    <w:rPr>
      <w:b/>
      <w:bCs/>
    </w:rPr>
  </w:style>
  <w:style w:type="character" w:customStyle="1" w:styleId="Zkladntextodsazen2Char">
    <w:name w:val="Základní text odsazený 2 Char"/>
    <w:link w:val="Zkladntextodsazen2"/>
    <w:rsid w:val="009D6B6C"/>
    <w:rPr>
      <w:rFonts w:ascii="Arial" w:hAnsi="Arial"/>
      <w:i/>
      <w:sz w:val="24"/>
      <w:szCs w:val="24"/>
    </w:rPr>
  </w:style>
  <w:style w:type="character" w:customStyle="1" w:styleId="NzevChar">
    <w:name w:val="Název Char"/>
    <w:link w:val="Nzev"/>
    <w:rsid w:val="009D6B6C"/>
    <w:rPr>
      <w:b/>
      <w:sz w:val="24"/>
    </w:rPr>
  </w:style>
  <w:style w:type="character" w:customStyle="1" w:styleId="RozloendokumentuChar">
    <w:name w:val="Rozložení dokumentu Char"/>
    <w:link w:val="Rozloendokumentu"/>
    <w:semiHidden/>
    <w:rsid w:val="009D6B6C"/>
    <w:rPr>
      <w:rFonts w:ascii="Tahoma" w:hAnsi="Tahoma" w:cs="Tahoma"/>
      <w:shd w:val="clear" w:color="auto" w:fill="000080"/>
    </w:rPr>
  </w:style>
  <w:style w:type="character" w:customStyle="1" w:styleId="CharChar30">
    <w:name w:val="Char Char3"/>
    <w:rsid w:val="009D6B6C"/>
    <w:rPr>
      <w:sz w:val="24"/>
      <w:szCs w:val="24"/>
    </w:rPr>
  </w:style>
  <w:style w:type="character" w:customStyle="1" w:styleId="TextpoznpodarouChar1">
    <w:name w:val="Text pozn. pod čarou Char1"/>
    <w:aliases w:val="Schriftart: 9 pt Char1,Schriftart: 10 pt Char1,Schriftart: 8 pt Char1"/>
    <w:semiHidden/>
    <w:rsid w:val="009B0D99"/>
  </w:style>
  <w:style w:type="character" w:customStyle="1" w:styleId="ZkladntextChar1">
    <w:name w:val="Základní text Char1"/>
    <w:aliases w:val="Standard paragraph Char1"/>
    <w:semiHidden/>
    <w:rsid w:val="009B0D99"/>
    <w:rPr>
      <w:sz w:val="24"/>
      <w:szCs w:val="24"/>
    </w:rPr>
  </w:style>
  <w:style w:type="paragraph" w:customStyle="1" w:styleId="Zkladntext211">
    <w:name w:val="Základní text 211"/>
    <w:basedOn w:val="Normln"/>
    <w:rsid w:val="000A372F"/>
    <w:pPr>
      <w:widowControl w:val="0"/>
      <w:tabs>
        <w:tab w:val="left" w:pos="-720"/>
      </w:tabs>
      <w:suppressAutoHyphens/>
      <w:overflowPunct w:val="0"/>
      <w:autoSpaceDE w:val="0"/>
      <w:autoSpaceDN w:val="0"/>
      <w:adjustRightInd w:val="0"/>
      <w:spacing w:line="360" w:lineRule="auto"/>
      <w:jc w:val="both"/>
      <w:textAlignment w:val="baseline"/>
    </w:pPr>
    <w:rPr>
      <w:rFonts w:ascii="Arial" w:eastAsia="Calibri" w:hAnsi="Arial"/>
      <w:szCs w:val="20"/>
    </w:rPr>
  </w:style>
  <w:style w:type="paragraph" w:customStyle="1" w:styleId="Zkladntext212">
    <w:name w:val="Základní text 212"/>
    <w:basedOn w:val="Normln"/>
    <w:rsid w:val="00B672FD"/>
    <w:pPr>
      <w:widowControl w:val="0"/>
      <w:tabs>
        <w:tab w:val="left" w:pos="-720"/>
      </w:tabs>
      <w:suppressAutoHyphens/>
      <w:overflowPunct w:val="0"/>
      <w:autoSpaceDE w:val="0"/>
      <w:autoSpaceDN w:val="0"/>
      <w:adjustRightInd w:val="0"/>
      <w:spacing w:line="360" w:lineRule="auto"/>
      <w:jc w:val="both"/>
      <w:textAlignment w:val="baseline"/>
    </w:pPr>
    <w:rPr>
      <w:rFonts w:ascii="Arial" w:eastAsia="Calibri" w:hAnsi="Arial"/>
      <w:szCs w:val="20"/>
    </w:rPr>
  </w:style>
  <w:style w:type="paragraph" w:customStyle="1" w:styleId="Normlnweb12">
    <w:name w:val="Normální (web)12"/>
    <w:basedOn w:val="Normln"/>
    <w:rsid w:val="00B672FD"/>
    <w:pPr>
      <w:spacing w:before="100" w:after="100"/>
    </w:pPr>
    <w:rPr>
      <w:rFonts w:eastAsia="Calibri"/>
      <w:szCs w:val="20"/>
    </w:rPr>
  </w:style>
  <w:style w:type="paragraph" w:customStyle="1" w:styleId="Prosttext11">
    <w:name w:val="Prostý text11"/>
    <w:basedOn w:val="Normln"/>
    <w:rsid w:val="00B672FD"/>
    <w:pPr>
      <w:overflowPunct w:val="0"/>
      <w:autoSpaceDE w:val="0"/>
      <w:autoSpaceDN w:val="0"/>
      <w:adjustRightInd w:val="0"/>
      <w:textAlignment w:val="baseline"/>
    </w:pPr>
    <w:rPr>
      <w:rFonts w:ascii="Courier New" w:hAnsi="Courier New"/>
      <w:sz w:val="20"/>
      <w:szCs w:val="20"/>
    </w:rPr>
  </w:style>
  <w:style w:type="character" w:customStyle="1" w:styleId="CharChar31">
    <w:name w:val="Char Char31"/>
    <w:rsid w:val="00B672FD"/>
    <w:rPr>
      <w:sz w:val="24"/>
      <w:szCs w:val="24"/>
    </w:rPr>
  </w:style>
  <w:style w:type="paragraph" w:styleId="Seznam">
    <w:name w:val="List"/>
    <w:basedOn w:val="Normln"/>
    <w:uiPriority w:val="99"/>
    <w:unhideWhenUsed/>
    <w:rsid w:val="00B672FD"/>
    <w:pPr>
      <w:ind w:left="283" w:hanging="283"/>
    </w:pPr>
    <w:rPr>
      <w:rFonts w:eastAsiaTheme="minorHAnsi"/>
    </w:rPr>
  </w:style>
  <w:style w:type="table" w:styleId="Mkatabulky">
    <w:name w:val="Table Grid"/>
    <w:basedOn w:val="Normlntabulka"/>
    <w:rsid w:val="007A49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ll-perex">
    <w:name w:val="call-perex"/>
    <w:basedOn w:val="Normln"/>
    <w:rsid w:val="000F684F"/>
    <w:pPr>
      <w:spacing w:before="100" w:beforeAutospacing="1" w:after="100" w:afterAutospacing="1"/>
    </w:pPr>
    <w:rPr>
      <w:rFonts w:ascii="Arial" w:hAnsi="Arial"/>
      <w:sz w:val="2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qFormat="1"/>
    <w:lsdException w:name="List"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B1F59"/>
    <w:rPr>
      <w:sz w:val="24"/>
      <w:szCs w:val="24"/>
    </w:rPr>
  </w:style>
  <w:style w:type="paragraph" w:styleId="Nadpis1">
    <w:name w:val="heading 1"/>
    <w:basedOn w:val="Normln"/>
    <w:link w:val="Nadpis1Char"/>
    <w:autoRedefine/>
    <w:qFormat/>
    <w:rsid w:val="004945EE"/>
    <w:pPr>
      <w:numPr>
        <w:numId w:val="16"/>
      </w:numPr>
      <w:tabs>
        <w:tab w:val="left" w:pos="426"/>
      </w:tabs>
      <w:ind w:left="426" w:hanging="426"/>
      <w:outlineLvl w:val="0"/>
    </w:pPr>
    <w:rPr>
      <w:rFonts w:ascii="Arial" w:hAnsi="Arial" w:cs="Arial"/>
      <w:b/>
      <w:bCs/>
      <w:spacing w:val="-3"/>
      <w:kern w:val="32"/>
      <w:sz w:val="28"/>
      <w:szCs w:val="32"/>
    </w:rPr>
  </w:style>
  <w:style w:type="paragraph" w:styleId="Nadpis2">
    <w:name w:val="heading 2"/>
    <w:basedOn w:val="Normln"/>
    <w:next w:val="Normln"/>
    <w:link w:val="Nadpis2Char"/>
    <w:autoRedefine/>
    <w:qFormat/>
    <w:rsid w:val="00E37B3F"/>
    <w:pPr>
      <w:keepNext/>
      <w:tabs>
        <w:tab w:val="center" w:pos="720"/>
      </w:tabs>
      <w:spacing w:before="240" w:after="60"/>
      <w:ind w:left="1428" w:hanging="360"/>
      <w:outlineLvl w:val="1"/>
    </w:pPr>
    <w:rPr>
      <w:rFonts w:ascii="Arial" w:hAnsi="Arial" w:cs="Arial"/>
      <w:b/>
      <w:bCs/>
      <w:color w:val="000000"/>
      <w:sz w:val="26"/>
      <w:szCs w:val="26"/>
    </w:rPr>
  </w:style>
  <w:style w:type="paragraph" w:styleId="Nadpis3">
    <w:name w:val="heading 3"/>
    <w:basedOn w:val="Normln"/>
    <w:next w:val="Normln"/>
    <w:link w:val="Nadpis3Char"/>
    <w:qFormat/>
    <w:rsid w:val="00B73670"/>
    <w:pPr>
      <w:keepNext/>
      <w:tabs>
        <w:tab w:val="center" w:pos="720"/>
      </w:tabs>
      <w:ind w:firstLine="374"/>
      <w:jc w:val="center"/>
      <w:outlineLvl w:val="2"/>
    </w:pPr>
    <w:rPr>
      <w:rFonts w:ascii="Arial" w:hAnsi="Arial" w:cs="Arial"/>
      <w:b/>
      <w:bCs/>
    </w:rPr>
  </w:style>
  <w:style w:type="paragraph" w:styleId="Nadpis4">
    <w:name w:val="heading 4"/>
    <w:basedOn w:val="Normln"/>
    <w:next w:val="Normln"/>
    <w:link w:val="Nadpis4Char"/>
    <w:qFormat/>
    <w:rsid w:val="00B73670"/>
    <w:pPr>
      <w:keepNext/>
      <w:outlineLvl w:val="3"/>
    </w:pPr>
    <w:rPr>
      <w:rFonts w:ascii="Arial Narrow" w:hAnsi="Arial Narrow" w:cs="Arial"/>
      <w:b/>
      <w:bCs/>
      <w:color w:val="000000"/>
      <w:sz w:val="20"/>
      <w:szCs w:val="20"/>
    </w:rPr>
  </w:style>
  <w:style w:type="paragraph" w:styleId="Nadpis5">
    <w:name w:val="heading 5"/>
    <w:basedOn w:val="Normln"/>
    <w:next w:val="Normln"/>
    <w:link w:val="Nadpis5Char"/>
    <w:autoRedefine/>
    <w:qFormat/>
    <w:rsid w:val="00E37B3F"/>
    <w:pPr>
      <w:numPr>
        <w:numId w:val="5"/>
      </w:numPr>
      <w:tabs>
        <w:tab w:val="clear" w:pos="1788"/>
        <w:tab w:val="left" w:pos="0"/>
        <w:tab w:val="num" w:pos="1607"/>
        <w:tab w:val="center" w:pos="1644"/>
      </w:tabs>
      <w:spacing w:before="240" w:after="60"/>
      <w:ind w:left="1588" w:hanging="341"/>
      <w:outlineLvl w:val="4"/>
    </w:pPr>
    <w:rPr>
      <w:rFonts w:ascii="Arial" w:hAnsi="Arial"/>
      <w:b/>
      <w:bCs/>
      <w:iCs/>
      <w:sz w:val="26"/>
      <w:szCs w:val="26"/>
    </w:rPr>
  </w:style>
  <w:style w:type="paragraph" w:styleId="Nadpis6">
    <w:name w:val="heading 6"/>
    <w:basedOn w:val="Normln"/>
    <w:next w:val="Normln"/>
    <w:link w:val="Nadpis6Char"/>
    <w:qFormat/>
    <w:rsid w:val="00E37B3F"/>
    <w:pPr>
      <w:numPr>
        <w:ilvl w:val="5"/>
        <w:numId w:val="5"/>
      </w:numPr>
      <w:tabs>
        <w:tab w:val="clear" w:pos="4668"/>
        <w:tab w:val="num" w:pos="4244"/>
      </w:tabs>
      <w:spacing w:before="240" w:after="60"/>
      <w:ind w:left="3884"/>
      <w:outlineLvl w:val="5"/>
    </w:pPr>
    <w:rPr>
      <w:b/>
      <w:bCs/>
      <w:sz w:val="22"/>
      <w:szCs w:val="22"/>
    </w:rPr>
  </w:style>
  <w:style w:type="paragraph" w:styleId="Nadpis7">
    <w:name w:val="heading 7"/>
    <w:basedOn w:val="Normln"/>
    <w:next w:val="Normln"/>
    <w:link w:val="Nadpis7Char"/>
    <w:qFormat/>
    <w:rsid w:val="00E37B3F"/>
    <w:pPr>
      <w:numPr>
        <w:ilvl w:val="6"/>
        <w:numId w:val="5"/>
      </w:numPr>
      <w:tabs>
        <w:tab w:val="clear" w:pos="5388"/>
        <w:tab w:val="num" w:pos="4964"/>
      </w:tabs>
      <w:spacing w:before="240" w:after="60"/>
      <w:ind w:left="4604"/>
      <w:outlineLvl w:val="6"/>
    </w:pPr>
  </w:style>
  <w:style w:type="paragraph" w:styleId="Nadpis8">
    <w:name w:val="heading 8"/>
    <w:basedOn w:val="Normln"/>
    <w:next w:val="Normln"/>
    <w:link w:val="Nadpis8Char"/>
    <w:qFormat/>
    <w:rsid w:val="00E37B3F"/>
    <w:pPr>
      <w:numPr>
        <w:ilvl w:val="7"/>
        <w:numId w:val="5"/>
      </w:numPr>
      <w:tabs>
        <w:tab w:val="clear" w:pos="6108"/>
        <w:tab w:val="num" w:pos="5684"/>
      </w:tabs>
      <w:spacing w:before="240" w:after="60"/>
      <w:ind w:left="5324"/>
      <w:outlineLvl w:val="7"/>
    </w:pPr>
    <w:rPr>
      <w:i/>
      <w:iCs/>
    </w:rPr>
  </w:style>
  <w:style w:type="paragraph" w:styleId="Nadpis9">
    <w:name w:val="heading 9"/>
    <w:basedOn w:val="Normln"/>
    <w:next w:val="Normln"/>
    <w:link w:val="Nadpis9Char"/>
    <w:qFormat/>
    <w:rsid w:val="00E37B3F"/>
    <w:pPr>
      <w:numPr>
        <w:ilvl w:val="8"/>
        <w:numId w:val="5"/>
      </w:numPr>
      <w:tabs>
        <w:tab w:val="clear" w:pos="6828"/>
        <w:tab w:val="num" w:pos="6404"/>
      </w:tabs>
      <w:spacing w:before="240" w:after="60"/>
      <w:ind w:left="6044"/>
      <w:outlineLvl w:val="8"/>
    </w:pPr>
    <w:rPr>
      <w:rFonts w:ascii="Arial" w:hAnsi="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3">
    <w:name w:val="Styl3"/>
    <w:basedOn w:val="Normln"/>
    <w:autoRedefine/>
    <w:rsid w:val="00614F36"/>
    <w:pPr>
      <w:keepNext/>
      <w:numPr>
        <w:numId w:val="1"/>
      </w:numPr>
      <w:outlineLvl w:val="1"/>
    </w:pPr>
    <w:rPr>
      <w:rFonts w:ascii="Arial" w:hAnsi="Arial" w:cs="Arial"/>
      <w:b/>
      <w:bCs/>
      <w:sz w:val="26"/>
      <w:szCs w:val="26"/>
    </w:rPr>
  </w:style>
  <w:style w:type="paragraph" w:styleId="Textpoznpodarou">
    <w:name w:val="footnote text"/>
    <w:aliases w:val="Schriftart: 9 pt,Schriftart: 10 pt,Schriftart: 8 pt"/>
    <w:basedOn w:val="Normln"/>
    <w:link w:val="TextpoznpodarouChar"/>
    <w:semiHidden/>
    <w:rsid w:val="00B73670"/>
    <w:rPr>
      <w:sz w:val="20"/>
      <w:szCs w:val="20"/>
    </w:rPr>
  </w:style>
  <w:style w:type="paragraph" w:styleId="Zhlav">
    <w:name w:val="header"/>
    <w:basedOn w:val="Normln"/>
    <w:link w:val="ZhlavChar"/>
    <w:rsid w:val="00B73670"/>
    <w:pPr>
      <w:widowControl w:val="0"/>
      <w:tabs>
        <w:tab w:val="center" w:pos="4536"/>
        <w:tab w:val="right" w:pos="9072"/>
      </w:tabs>
      <w:overflowPunct w:val="0"/>
      <w:autoSpaceDE w:val="0"/>
      <w:autoSpaceDN w:val="0"/>
      <w:adjustRightInd w:val="0"/>
    </w:pPr>
    <w:rPr>
      <w:sz w:val="20"/>
      <w:szCs w:val="20"/>
    </w:rPr>
  </w:style>
  <w:style w:type="paragraph" w:styleId="Zkladntext">
    <w:name w:val="Body Text"/>
    <w:aliases w:val="Standard paragraph"/>
    <w:basedOn w:val="Normln"/>
    <w:link w:val="ZkladntextChar"/>
    <w:rsid w:val="00B73670"/>
    <w:pPr>
      <w:jc w:val="both"/>
    </w:pPr>
    <w:rPr>
      <w:rFonts w:ascii="Arial" w:hAnsi="Arial"/>
      <w:color w:val="000000"/>
      <w:lang w:val="x-none" w:eastAsia="x-none"/>
    </w:rPr>
  </w:style>
  <w:style w:type="paragraph" w:styleId="Zkladntextodsazen">
    <w:name w:val="Body Text Indent"/>
    <w:basedOn w:val="Normln"/>
    <w:link w:val="ZkladntextodsazenChar"/>
    <w:rsid w:val="00B73670"/>
    <w:pPr>
      <w:spacing w:line="360" w:lineRule="auto"/>
      <w:ind w:firstLine="709"/>
      <w:jc w:val="both"/>
    </w:pPr>
    <w:rPr>
      <w:rFonts w:ascii="Arial" w:hAnsi="Arial"/>
      <w:lang w:val="x-none" w:eastAsia="x-none"/>
    </w:rPr>
  </w:style>
  <w:style w:type="paragraph" w:customStyle="1" w:styleId="xl36">
    <w:name w:val="xl36"/>
    <w:basedOn w:val="Normln"/>
    <w:rsid w:val="00B73670"/>
    <w:pPr>
      <w:spacing w:before="100" w:beforeAutospacing="1" w:after="100" w:afterAutospacing="1"/>
      <w:jc w:val="right"/>
    </w:pPr>
    <w:rPr>
      <w:rFonts w:eastAsia="Arial Unicode MS"/>
    </w:rPr>
  </w:style>
  <w:style w:type="paragraph" w:styleId="Zkladntext2">
    <w:name w:val="Body Text 2"/>
    <w:basedOn w:val="Normln"/>
    <w:link w:val="Zkladntext2Char"/>
    <w:rsid w:val="00B73670"/>
    <w:pPr>
      <w:jc w:val="center"/>
    </w:pPr>
    <w:rPr>
      <w:rFonts w:ascii="Arial" w:hAnsi="Arial" w:cs="Arial"/>
      <w:b/>
      <w:bCs/>
      <w:sz w:val="20"/>
      <w:szCs w:val="22"/>
    </w:rPr>
  </w:style>
  <w:style w:type="paragraph" w:styleId="Zkladntext3">
    <w:name w:val="Body Text 3"/>
    <w:basedOn w:val="Normln"/>
    <w:link w:val="Zkladntext3Char"/>
    <w:rsid w:val="00B73670"/>
    <w:pPr>
      <w:spacing w:line="360" w:lineRule="auto"/>
      <w:jc w:val="both"/>
    </w:pPr>
    <w:rPr>
      <w:rFonts w:ascii="Arial" w:hAnsi="Arial" w:cs="Arial"/>
    </w:rPr>
  </w:style>
  <w:style w:type="paragraph" w:customStyle="1" w:styleId="Textbodu">
    <w:name w:val="Text bodu"/>
    <w:basedOn w:val="Normln"/>
    <w:rsid w:val="00B73670"/>
    <w:pPr>
      <w:jc w:val="both"/>
      <w:outlineLvl w:val="8"/>
    </w:pPr>
    <w:rPr>
      <w:szCs w:val="20"/>
    </w:rPr>
  </w:style>
  <w:style w:type="paragraph" w:customStyle="1" w:styleId="Prosttext1">
    <w:name w:val="Prostý text1"/>
    <w:basedOn w:val="Normln"/>
    <w:rsid w:val="00B73670"/>
    <w:pPr>
      <w:overflowPunct w:val="0"/>
      <w:autoSpaceDE w:val="0"/>
      <w:autoSpaceDN w:val="0"/>
      <w:adjustRightInd w:val="0"/>
      <w:textAlignment w:val="baseline"/>
    </w:pPr>
    <w:rPr>
      <w:rFonts w:ascii="Courier New" w:hAnsi="Courier New"/>
      <w:sz w:val="20"/>
      <w:szCs w:val="20"/>
    </w:rPr>
  </w:style>
  <w:style w:type="paragraph" w:customStyle="1" w:styleId="Styl4">
    <w:name w:val="Styl4"/>
    <w:basedOn w:val="Normln"/>
    <w:rsid w:val="00B73670"/>
    <w:pPr>
      <w:keepNext/>
      <w:tabs>
        <w:tab w:val="num" w:pos="720"/>
      </w:tabs>
      <w:spacing w:before="120" w:after="60"/>
      <w:ind w:left="720" w:hanging="360"/>
      <w:outlineLvl w:val="1"/>
    </w:pPr>
    <w:rPr>
      <w:rFonts w:ascii="Arial" w:hAnsi="Arial" w:cs="Arial"/>
      <w:b/>
      <w:bCs/>
      <w:sz w:val="26"/>
      <w:szCs w:val="26"/>
    </w:rPr>
  </w:style>
  <w:style w:type="paragraph" w:styleId="Textbubliny">
    <w:name w:val="Balloon Text"/>
    <w:basedOn w:val="Normln"/>
    <w:link w:val="TextbublinyChar"/>
    <w:rsid w:val="00B73670"/>
    <w:rPr>
      <w:rFonts w:ascii="Tahoma" w:hAnsi="Tahoma" w:cs="Tahoma"/>
      <w:sz w:val="16"/>
      <w:szCs w:val="16"/>
    </w:rPr>
  </w:style>
  <w:style w:type="paragraph" w:styleId="Textkomente">
    <w:name w:val="annotation text"/>
    <w:basedOn w:val="Normln"/>
    <w:link w:val="TextkomenteChar"/>
    <w:semiHidden/>
    <w:rsid w:val="00B52230"/>
    <w:rPr>
      <w:sz w:val="20"/>
      <w:szCs w:val="20"/>
    </w:rPr>
  </w:style>
  <w:style w:type="paragraph" w:styleId="Pedmtkomente">
    <w:name w:val="annotation subject"/>
    <w:basedOn w:val="Textkomente"/>
    <w:next w:val="Textkomente"/>
    <w:link w:val="PedmtkomenteChar"/>
    <w:semiHidden/>
    <w:rsid w:val="00B52230"/>
    <w:rPr>
      <w:b/>
      <w:bCs/>
    </w:rPr>
  </w:style>
  <w:style w:type="character" w:styleId="Hypertextovodkaz">
    <w:name w:val="Hyperlink"/>
    <w:uiPriority w:val="99"/>
    <w:rsid w:val="00E05348"/>
    <w:rPr>
      <w:color w:val="0000FF"/>
      <w:u w:val="single"/>
    </w:rPr>
  </w:style>
  <w:style w:type="paragraph" w:styleId="Zpat">
    <w:name w:val="footer"/>
    <w:basedOn w:val="Normln"/>
    <w:link w:val="ZpatChar"/>
    <w:uiPriority w:val="99"/>
    <w:rsid w:val="00F62D49"/>
    <w:pPr>
      <w:tabs>
        <w:tab w:val="center" w:pos="4536"/>
        <w:tab w:val="right" w:pos="9072"/>
      </w:tabs>
    </w:pPr>
    <w:rPr>
      <w:lang w:val="x-none" w:eastAsia="x-none"/>
    </w:rPr>
  </w:style>
  <w:style w:type="paragraph" w:customStyle="1" w:styleId="Default">
    <w:name w:val="Default"/>
    <w:rsid w:val="00F62D49"/>
    <w:pPr>
      <w:autoSpaceDE w:val="0"/>
      <w:autoSpaceDN w:val="0"/>
      <w:adjustRightInd w:val="0"/>
    </w:pPr>
    <w:rPr>
      <w:rFonts w:ascii="Arial,Bold" w:hAnsi="Arial,Bold"/>
      <w:lang w:val="sk-SK" w:eastAsia="sk-SK"/>
    </w:rPr>
  </w:style>
  <w:style w:type="character" w:customStyle="1" w:styleId="Styl12b">
    <w:name w:val="Styl 12 b."/>
    <w:semiHidden/>
    <w:rsid w:val="00F62D49"/>
    <w:rPr>
      <w:smallCaps/>
      <w:sz w:val="24"/>
    </w:rPr>
  </w:style>
  <w:style w:type="paragraph" w:customStyle="1" w:styleId="Nadpis3a">
    <w:name w:val="Nadpis3a"/>
    <w:basedOn w:val="Normln"/>
    <w:semiHidden/>
    <w:rsid w:val="00F62D49"/>
    <w:pPr>
      <w:keepNext/>
      <w:tabs>
        <w:tab w:val="left" w:pos="900"/>
        <w:tab w:val="left" w:pos="3576"/>
      </w:tabs>
      <w:overflowPunct w:val="0"/>
      <w:autoSpaceDE w:val="0"/>
      <w:autoSpaceDN w:val="0"/>
      <w:adjustRightInd w:val="0"/>
      <w:spacing w:before="240" w:after="60"/>
      <w:ind w:left="3576" w:hanging="360"/>
      <w:textAlignment w:val="baseline"/>
    </w:pPr>
    <w:rPr>
      <w:b/>
      <w:szCs w:val="20"/>
    </w:rPr>
  </w:style>
  <w:style w:type="paragraph" w:customStyle="1" w:styleId="normln0">
    <w:name w:val="normální"/>
    <w:basedOn w:val="Normln"/>
    <w:link w:val="normlnChar"/>
    <w:rsid w:val="00F62D49"/>
    <w:pPr>
      <w:jc w:val="both"/>
    </w:pPr>
  </w:style>
  <w:style w:type="character" w:styleId="Znakapoznpodarou">
    <w:name w:val="footnote reference"/>
    <w:semiHidden/>
    <w:rsid w:val="003531EE"/>
    <w:rPr>
      <w:vertAlign w:val="superscript"/>
    </w:rPr>
  </w:style>
  <w:style w:type="paragraph" w:styleId="Zkladntextodsazen3">
    <w:name w:val="Body Text Indent 3"/>
    <w:basedOn w:val="Normln"/>
    <w:link w:val="Zkladntextodsazen3Char"/>
    <w:rsid w:val="00E37B3F"/>
    <w:pPr>
      <w:spacing w:after="120"/>
      <w:ind w:left="283"/>
    </w:pPr>
    <w:rPr>
      <w:sz w:val="16"/>
      <w:szCs w:val="16"/>
      <w:lang w:val="x-none" w:eastAsia="x-none"/>
    </w:rPr>
  </w:style>
  <w:style w:type="paragraph" w:customStyle="1" w:styleId="Styl1">
    <w:name w:val="Styl1"/>
    <w:basedOn w:val="Styl2"/>
    <w:rsid w:val="00E37B3F"/>
    <w:pPr>
      <w:numPr>
        <w:numId w:val="9"/>
      </w:numPr>
      <w:tabs>
        <w:tab w:val="left" w:pos="1259"/>
      </w:tabs>
    </w:pPr>
    <w:rPr>
      <w:iCs/>
      <w:color w:val="auto"/>
      <w:szCs w:val="28"/>
    </w:rPr>
  </w:style>
  <w:style w:type="paragraph" w:customStyle="1" w:styleId="Styl2">
    <w:name w:val="Styl2"/>
    <w:basedOn w:val="Nadpis2"/>
    <w:rsid w:val="00E37B3F"/>
    <w:pPr>
      <w:numPr>
        <w:numId w:val="10"/>
      </w:numPr>
      <w:tabs>
        <w:tab w:val="left" w:pos="720"/>
      </w:tabs>
      <w:spacing w:before="120"/>
      <w:ind w:left="714" w:hanging="357"/>
    </w:pPr>
  </w:style>
  <w:style w:type="paragraph" w:styleId="Rejstk1">
    <w:name w:val="index 1"/>
    <w:basedOn w:val="Normln"/>
    <w:next w:val="Normln"/>
    <w:autoRedefine/>
    <w:semiHidden/>
    <w:rsid w:val="00E37B3F"/>
    <w:pPr>
      <w:ind w:left="240" w:hanging="240"/>
    </w:pPr>
  </w:style>
  <w:style w:type="paragraph" w:styleId="Hlavikarejstku">
    <w:name w:val="index heading"/>
    <w:basedOn w:val="Normln"/>
    <w:next w:val="Rejstk1"/>
    <w:semiHidden/>
    <w:rsid w:val="00E37B3F"/>
  </w:style>
  <w:style w:type="paragraph" w:customStyle="1" w:styleId="xl53">
    <w:name w:val="xl53"/>
    <w:basedOn w:val="Normln"/>
    <w:rsid w:val="00E37B3F"/>
    <w:pPr>
      <w:pBdr>
        <w:bottom w:val="single" w:sz="4" w:space="0" w:color="auto"/>
        <w:right w:val="single" w:sz="4" w:space="0" w:color="auto"/>
      </w:pBdr>
      <w:spacing w:before="100" w:beforeAutospacing="1" w:after="100" w:afterAutospacing="1"/>
      <w:jc w:val="center"/>
      <w:textAlignment w:val="center"/>
    </w:pPr>
  </w:style>
  <w:style w:type="paragraph" w:styleId="Zkladntextodsazen2">
    <w:name w:val="Body Text Indent 2"/>
    <w:basedOn w:val="Normln"/>
    <w:link w:val="Zkladntextodsazen2Char"/>
    <w:rsid w:val="00E37B3F"/>
    <w:pPr>
      <w:spacing w:line="360" w:lineRule="auto"/>
      <w:ind w:firstLine="708"/>
      <w:jc w:val="both"/>
    </w:pPr>
    <w:rPr>
      <w:rFonts w:ascii="Arial" w:hAnsi="Arial"/>
      <w:i/>
    </w:rPr>
  </w:style>
  <w:style w:type="paragraph" w:customStyle="1" w:styleId="xl24">
    <w:name w:val="xl24"/>
    <w:basedOn w:val="Normln"/>
    <w:rsid w:val="00E37B3F"/>
    <w:pPr>
      <w:pBdr>
        <w:left w:val="single" w:sz="4" w:space="0" w:color="auto"/>
      </w:pBdr>
      <w:spacing w:before="100" w:beforeAutospacing="1" w:after="100" w:afterAutospacing="1"/>
      <w:jc w:val="center"/>
    </w:pPr>
    <w:rPr>
      <w:rFonts w:ascii="Arial Narrow" w:eastAsia="Arial Unicode MS" w:hAnsi="Arial Narrow" w:cs="Arial Unicode MS"/>
      <w:b/>
      <w:bCs/>
      <w:color w:val="000000"/>
    </w:rPr>
  </w:style>
  <w:style w:type="paragraph" w:customStyle="1" w:styleId="xl25">
    <w:name w:val="xl25"/>
    <w:basedOn w:val="Normln"/>
    <w:rsid w:val="00E37B3F"/>
    <w:pPr>
      <w:spacing w:before="100" w:beforeAutospacing="1" w:after="100" w:afterAutospacing="1"/>
      <w:jc w:val="center"/>
    </w:pPr>
    <w:rPr>
      <w:rFonts w:ascii="Arial Narrow" w:eastAsia="Arial Unicode MS" w:hAnsi="Arial Narrow" w:cs="Arial Unicode MS"/>
      <w:b/>
      <w:bCs/>
      <w:color w:val="000000"/>
    </w:rPr>
  </w:style>
  <w:style w:type="paragraph" w:customStyle="1" w:styleId="xl26">
    <w:name w:val="xl26"/>
    <w:basedOn w:val="Normln"/>
    <w:rsid w:val="00E37B3F"/>
    <w:pPr>
      <w:pBdr>
        <w:right w:val="single" w:sz="4" w:space="0" w:color="auto"/>
      </w:pBdr>
      <w:spacing w:before="100" w:beforeAutospacing="1" w:after="100" w:afterAutospacing="1"/>
      <w:jc w:val="center"/>
    </w:pPr>
    <w:rPr>
      <w:rFonts w:ascii="Arial Narrow" w:eastAsia="Arial Unicode MS" w:hAnsi="Arial Narrow" w:cs="Arial Unicode MS"/>
      <w:b/>
      <w:bCs/>
      <w:color w:val="000000"/>
    </w:rPr>
  </w:style>
  <w:style w:type="paragraph" w:customStyle="1" w:styleId="xl27">
    <w:name w:val="xl27"/>
    <w:basedOn w:val="Normln"/>
    <w:rsid w:val="00E37B3F"/>
    <w:pPr>
      <w:pBdr>
        <w:left w:val="single" w:sz="4" w:space="0" w:color="auto"/>
        <w:right w:val="double" w:sz="6" w:space="0" w:color="auto"/>
      </w:pBdr>
      <w:spacing w:before="100" w:beforeAutospacing="1" w:after="100" w:afterAutospacing="1"/>
      <w:jc w:val="center"/>
    </w:pPr>
    <w:rPr>
      <w:rFonts w:ascii="Arial Narrow" w:eastAsia="Arial Unicode MS" w:hAnsi="Arial Narrow" w:cs="Arial Unicode MS"/>
      <w:b/>
      <w:bCs/>
      <w:color w:val="000000"/>
    </w:rPr>
  </w:style>
  <w:style w:type="paragraph" w:customStyle="1" w:styleId="xl28">
    <w:name w:val="xl28"/>
    <w:basedOn w:val="Normln"/>
    <w:rsid w:val="00E37B3F"/>
    <w:pPr>
      <w:pBdr>
        <w:top w:val="single" w:sz="4" w:space="0" w:color="auto"/>
        <w:left w:val="single" w:sz="4" w:space="0" w:color="auto"/>
      </w:pBdr>
      <w:spacing w:before="100" w:beforeAutospacing="1" w:after="100" w:afterAutospacing="1"/>
      <w:jc w:val="right"/>
    </w:pPr>
    <w:rPr>
      <w:rFonts w:ascii="Arial Narrow" w:eastAsia="Arial Unicode MS" w:hAnsi="Arial Narrow" w:cs="Arial Unicode MS"/>
      <w:color w:val="000000"/>
    </w:rPr>
  </w:style>
  <w:style w:type="paragraph" w:customStyle="1" w:styleId="xl29">
    <w:name w:val="xl29"/>
    <w:basedOn w:val="Normln"/>
    <w:rsid w:val="00E37B3F"/>
    <w:pPr>
      <w:pBdr>
        <w:top w:val="single" w:sz="4" w:space="0" w:color="auto"/>
      </w:pBdr>
      <w:spacing w:before="100" w:beforeAutospacing="1" w:after="100" w:afterAutospacing="1"/>
      <w:jc w:val="right"/>
    </w:pPr>
    <w:rPr>
      <w:rFonts w:ascii="Arial Narrow" w:eastAsia="Arial Unicode MS" w:hAnsi="Arial Narrow" w:cs="Arial Unicode MS"/>
      <w:color w:val="000000"/>
    </w:rPr>
  </w:style>
  <w:style w:type="paragraph" w:customStyle="1" w:styleId="xl30">
    <w:name w:val="xl30"/>
    <w:basedOn w:val="Normln"/>
    <w:rsid w:val="00E37B3F"/>
    <w:pPr>
      <w:pBdr>
        <w:top w:val="single" w:sz="4" w:space="0" w:color="auto"/>
        <w:right w:val="single" w:sz="4" w:space="0" w:color="auto"/>
      </w:pBdr>
      <w:spacing w:before="100" w:beforeAutospacing="1" w:after="100" w:afterAutospacing="1"/>
      <w:jc w:val="right"/>
    </w:pPr>
    <w:rPr>
      <w:rFonts w:ascii="Arial Narrow" w:eastAsia="Arial Unicode MS" w:hAnsi="Arial Narrow" w:cs="Arial Unicode MS"/>
      <w:color w:val="000000"/>
    </w:rPr>
  </w:style>
  <w:style w:type="paragraph" w:customStyle="1" w:styleId="xl31">
    <w:name w:val="xl31"/>
    <w:basedOn w:val="Normln"/>
    <w:rsid w:val="00E37B3F"/>
    <w:pPr>
      <w:pBdr>
        <w:top w:val="single" w:sz="4" w:space="0" w:color="auto"/>
        <w:left w:val="single" w:sz="4" w:space="0" w:color="auto"/>
        <w:right w:val="double" w:sz="6" w:space="0" w:color="auto"/>
      </w:pBdr>
      <w:spacing w:before="100" w:beforeAutospacing="1" w:after="100" w:afterAutospacing="1"/>
      <w:jc w:val="right"/>
    </w:pPr>
    <w:rPr>
      <w:rFonts w:ascii="Arial Narrow" w:eastAsia="Arial Unicode MS" w:hAnsi="Arial Narrow" w:cs="Arial Unicode MS"/>
      <w:color w:val="000000"/>
    </w:rPr>
  </w:style>
  <w:style w:type="paragraph" w:customStyle="1" w:styleId="xl32">
    <w:name w:val="xl32"/>
    <w:basedOn w:val="Normln"/>
    <w:rsid w:val="00E37B3F"/>
    <w:pPr>
      <w:pBdr>
        <w:left w:val="single" w:sz="4" w:space="0" w:color="auto"/>
      </w:pBdr>
      <w:spacing w:before="100" w:beforeAutospacing="1" w:after="100" w:afterAutospacing="1"/>
      <w:jc w:val="right"/>
    </w:pPr>
    <w:rPr>
      <w:rFonts w:ascii="Arial Narrow" w:eastAsia="Arial Unicode MS" w:hAnsi="Arial Narrow" w:cs="Arial Unicode MS"/>
      <w:color w:val="000000"/>
    </w:rPr>
  </w:style>
  <w:style w:type="paragraph" w:customStyle="1" w:styleId="xl33">
    <w:name w:val="xl33"/>
    <w:basedOn w:val="Normln"/>
    <w:rsid w:val="00E37B3F"/>
    <w:pPr>
      <w:spacing w:before="100" w:beforeAutospacing="1" w:after="100" w:afterAutospacing="1"/>
      <w:jc w:val="right"/>
    </w:pPr>
    <w:rPr>
      <w:rFonts w:ascii="Arial Narrow" w:eastAsia="Arial Unicode MS" w:hAnsi="Arial Narrow" w:cs="Arial Unicode MS"/>
      <w:color w:val="000000"/>
    </w:rPr>
  </w:style>
  <w:style w:type="paragraph" w:customStyle="1" w:styleId="xl34">
    <w:name w:val="xl34"/>
    <w:basedOn w:val="Normln"/>
    <w:rsid w:val="00E37B3F"/>
    <w:pPr>
      <w:pBdr>
        <w:right w:val="single" w:sz="4" w:space="0" w:color="auto"/>
      </w:pBdr>
      <w:spacing w:before="100" w:beforeAutospacing="1" w:after="100" w:afterAutospacing="1"/>
      <w:jc w:val="right"/>
    </w:pPr>
    <w:rPr>
      <w:rFonts w:ascii="Arial Narrow" w:eastAsia="Arial Unicode MS" w:hAnsi="Arial Narrow" w:cs="Arial Unicode MS"/>
      <w:color w:val="000000"/>
    </w:rPr>
  </w:style>
  <w:style w:type="paragraph" w:customStyle="1" w:styleId="xl35">
    <w:name w:val="xl35"/>
    <w:basedOn w:val="Normln"/>
    <w:rsid w:val="00E37B3F"/>
    <w:pPr>
      <w:pBdr>
        <w:left w:val="single" w:sz="4" w:space="0" w:color="auto"/>
        <w:right w:val="double" w:sz="6" w:space="0" w:color="auto"/>
      </w:pBdr>
      <w:spacing w:before="100" w:beforeAutospacing="1" w:after="100" w:afterAutospacing="1"/>
      <w:jc w:val="right"/>
    </w:pPr>
    <w:rPr>
      <w:rFonts w:ascii="Arial Narrow" w:eastAsia="Arial Unicode MS" w:hAnsi="Arial Narrow" w:cs="Arial Unicode MS"/>
      <w:color w:val="000000"/>
    </w:rPr>
  </w:style>
  <w:style w:type="paragraph" w:customStyle="1" w:styleId="xl37">
    <w:name w:val="xl37"/>
    <w:basedOn w:val="Normln"/>
    <w:rsid w:val="00E37B3F"/>
    <w:pPr>
      <w:pBdr>
        <w:right w:val="double" w:sz="6" w:space="0" w:color="auto"/>
      </w:pBdr>
      <w:spacing w:before="100" w:beforeAutospacing="1" w:after="100" w:afterAutospacing="1"/>
      <w:jc w:val="right"/>
    </w:pPr>
    <w:rPr>
      <w:rFonts w:ascii="Arial Narrow" w:eastAsia="Arial Unicode MS" w:hAnsi="Arial Narrow" w:cs="Arial Unicode MS"/>
      <w:color w:val="000000"/>
    </w:rPr>
  </w:style>
  <w:style w:type="paragraph" w:customStyle="1" w:styleId="xl38">
    <w:name w:val="xl38"/>
    <w:basedOn w:val="Normln"/>
    <w:rsid w:val="00E37B3F"/>
    <w:pPr>
      <w:shd w:val="clear" w:color="auto" w:fill="FFFFFF"/>
      <w:spacing w:before="100" w:beforeAutospacing="1" w:after="100" w:afterAutospacing="1"/>
      <w:jc w:val="right"/>
    </w:pPr>
    <w:rPr>
      <w:rFonts w:ascii="Arial Narrow" w:eastAsia="Arial Unicode MS" w:hAnsi="Arial Narrow" w:cs="Arial Unicode MS"/>
    </w:rPr>
  </w:style>
  <w:style w:type="paragraph" w:customStyle="1" w:styleId="xl39">
    <w:name w:val="xl39"/>
    <w:basedOn w:val="Normln"/>
    <w:rsid w:val="00E37B3F"/>
    <w:pPr>
      <w:pBdr>
        <w:left w:val="single" w:sz="4" w:space="0" w:color="auto"/>
        <w:bottom w:val="double" w:sz="6" w:space="0" w:color="auto"/>
      </w:pBdr>
      <w:spacing w:before="100" w:beforeAutospacing="1" w:after="100" w:afterAutospacing="1"/>
      <w:jc w:val="right"/>
    </w:pPr>
    <w:rPr>
      <w:rFonts w:ascii="Arial Narrow" w:eastAsia="Arial Unicode MS" w:hAnsi="Arial Narrow" w:cs="Arial Unicode MS"/>
      <w:color w:val="000000"/>
    </w:rPr>
  </w:style>
  <w:style w:type="paragraph" w:customStyle="1" w:styleId="xl40">
    <w:name w:val="xl40"/>
    <w:basedOn w:val="Normln"/>
    <w:rsid w:val="00E37B3F"/>
    <w:pPr>
      <w:pBdr>
        <w:bottom w:val="double" w:sz="6" w:space="0" w:color="auto"/>
      </w:pBdr>
      <w:spacing w:before="100" w:beforeAutospacing="1" w:after="100" w:afterAutospacing="1"/>
      <w:jc w:val="right"/>
    </w:pPr>
    <w:rPr>
      <w:rFonts w:ascii="Arial Narrow" w:eastAsia="Arial Unicode MS" w:hAnsi="Arial Narrow" w:cs="Arial Unicode MS"/>
      <w:color w:val="000000"/>
    </w:rPr>
  </w:style>
  <w:style w:type="paragraph" w:customStyle="1" w:styleId="xl41">
    <w:name w:val="xl41"/>
    <w:basedOn w:val="Normln"/>
    <w:rsid w:val="00E37B3F"/>
    <w:pPr>
      <w:pBdr>
        <w:bottom w:val="double" w:sz="6" w:space="0" w:color="auto"/>
        <w:right w:val="single" w:sz="4" w:space="0" w:color="auto"/>
      </w:pBdr>
      <w:spacing w:before="100" w:beforeAutospacing="1" w:after="100" w:afterAutospacing="1"/>
      <w:jc w:val="right"/>
    </w:pPr>
    <w:rPr>
      <w:rFonts w:ascii="Arial Narrow" w:eastAsia="Arial Unicode MS" w:hAnsi="Arial Narrow" w:cs="Arial Unicode MS"/>
      <w:color w:val="000000"/>
    </w:rPr>
  </w:style>
  <w:style w:type="paragraph" w:customStyle="1" w:styleId="xl42">
    <w:name w:val="xl42"/>
    <w:basedOn w:val="Normln"/>
    <w:rsid w:val="00E37B3F"/>
    <w:pPr>
      <w:pBdr>
        <w:bottom w:val="double" w:sz="6" w:space="0" w:color="auto"/>
        <w:right w:val="double" w:sz="6" w:space="0" w:color="auto"/>
      </w:pBdr>
      <w:spacing w:before="100" w:beforeAutospacing="1" w:after="100" w:afterAutospacing="1"/>
      <w:jc w:val="right"/>
    </w:pPr>
    <w:rPr>
      <w:rFonts w:ascii="Arial Narrow" w:eastAsia="Arial Unicode MS" w:hAnsi="Arial Narrow" w:cs="Arial Unicode MS"/>
      <w:color w:val="000000"/>
    </w:rPr>
  </w:style>
  <w:style w:type="paragraph" w:customStyle="1" w:styleId="xl43">
    <w:name w:val="xl43"/>
    <w:basedOn w:val="Normln"/>
    <w:rsid w:val="00E37B3F"/>
    <w:pPr>
      <w:pBdr>
        <w:top w:val="double" w:sz="6" w:space="0" w:color="auto"/>
        <w:left w:val="single" w:sz="4" w:space="0" w:color="auto"/>
      </w:pBdr>
      <w:spacing w:before="100" w:beforeAutospacing="1" w:after="100" w:afterAutospacing="1"/>
      <w:jc w:val="center"/>
    </w:pPr>
    <w:rPr>
      <w:rFonts w:ascii="Arial Narrow" w:eastAsia="Arial Unicode MS" w:hAnsi="Arial Narrow" w:cs="Arial Unicode MS"/>
      <w:b/>
      <w:bCs/>
      <w:color w:val="000000"/>
    </w:rPr>
  </w:style>
  <w:style w:type="paragraph" w:customStyle="1" w:styleId="xl44">
    <w:name w:val="xl44"/>
    <w:basedOn w:val="Normln"/>
    <w:rsid w:val="00E37B3F"/>
    <w:pPr>
      <w:pBdr>
        <w:top w:val="double" w:sz="6" w:space="0" w:color="auto"/>
      </w:pBdr>
      <w:spacing w:before="100" w:beforeAutospacing="1" w:after="100" w:afterAutospacing="1"/>
      <w:jc w:val="center"/>
    </w:pPr>
    <w:rPr>
      <w:rFonts w:ascii="Arial Narrow" w:eastAsia="Arial Unicode MS" w:hAnsi="Arial Narrow" w:cs="Arial Unicode MS"/>
      <w:b/>
      <w:bCs/>
      <w:color w:val="000000"/>
    </w:rPr>
  </w:style>
  <w:style w:type="paragraph" w:customStyle="1" w:styleId="xl45">
    <w:name w:val="xl45"/>
    <w:basedOn w:val="Normln"/>
    <w:rsid w:val="00E37B3F"/>
    <w:pPr>
      <w:pBdr>
        <w:top w:val="double" w:sz="6" w:space="0" w:color="auto"/>
        <w:right w:val="single" w:sz="4" w:space="0" w:color="auto"/>
      </w:pBdr>
      <w:spacing w:before="100" w:beforeAutospacing="1" w:after="100" w:afterAutospacing="1"/>
      <w:jc w:val="center"/>
    </w:pPr>
    <w:rPr>
      <w:rFonts w:ascii="Arial Narrow" w:eastAsia="Arial Unicode MS" w:hAnsi="Arial Narrow" w:cs="Arial Unicode MS"/>
      <w:b/>
      <w:bCs/>
      <w:color w:val="000000"/>
    </w:rPr>
  </w:style>
  <w:style w:type="paragraph" w:customStyle="1" w:styleId="xl46">
    <w:name w:val="xl46"/>
    <w:basedOn w:val="Normln"/>
    <w:rsid w:val="00E37B3F"/>
    <w:pPr>
      <w:pBdr>
        <w:top w:val="double" w:sz="6" w:space="0" w:color="auto"/>
        <w:right w:val="single" w:sz="4" w:space="0" w:color="000000"/>
      </w:pBdr>
      <w:spacing w:before="100" w:beforeAutospacing="1" w:after="100" w:afterAutospacing="1"/>
      <w:jc w:val="center"/>
    </w:pPr>
    <w:rPr>
      <w:rFonts w:ascii="Arial Narrow" w:eastAsia="Arial Unicode MS" w:hAnsi="Arial Narrow" w:cs="Arial Unicode MS"/>
      <w:b/>
      <w:bCs/>
      <w:color w:val="000000"/>
    </w:rPr>
  </w:style>
  <w:style w:type="paragraph" w:customStyle="1" w:styleId="xl47">
    <w:name w:val="xl47"/>
    <w:basedOn w:val="Normln"/>
    <w:rsid w:val="00E37B3F"/>
    <w:pPr>
      <w:pBdr>
        <w:top w:val="double" w:sz="6" w:space="0" w:color="auto"/>
        <w:left w:val="single" w:sz="4" w:space="0" w:color="000000"/>
      </w:pBdr>
      <w:spacing w:before="100" w:beforeAutospacing="1" w:after="100" w:afterAutospacing="1"/>
      <w:jc w:val="center"/>
    </w:pPr>
    <w:rPr>
      <w:rFonts w:ascii="Arial Narrow" w:eastAsia="Arial Unicode MS" w:hAnsi="Arial Narrow" w:cs="Arial Unicode MS"/>
      <w:b/>
      <w:bCs/>
      <w:color w:val="000000"/>
    </w:rPr>
  </w:style>
  <w:style w:type="paragraph" w:customStyle="1" w:styleId="xl48">
    <w:name w:val="xl48"/>
    <w:basedOn w:val="Normln"/>
    <w:rsid w:val="00E37B3F"/>
    <w:pPr>
      <w:pBdr>
        <w:top w:val="single" w:sz="4" w:space="0" w:color="auto"/>
        <w:left w:val="double" w:sz="6" w:space="0" w:color="auto"/>
      </w:pBdr>
      <w:spacing w:before="100" w:beforeAutospacing="1" w:after="100" w:afterAutospacing="1"/>
    </w:pPr>
    <w:rPr>
      <w:rFonts w:ascii="Arial Narrow" w:eastAsia="Arial Unicode MS" w:hAnsi="Arial Narrow" w:cs="Arial Unicode MS"/>
      <w:color w:val="000000"/>
    </w:rPr>
  </w:style>
  <w:style w:type="paragraph" w:customStyle="1" w:styleId="xl49">
    <w:name w:val="xl49"/>
    <w:basedOn w:val="Normln"/>
    <w:rsid w:val="00E37B3F"/>
    <w:pPr>
      <w:spacing w:before="100" w:beforeAutospacing="1" w:after="100" w:afterAutospacing="1"/>
    </w:pPr>
    <w:rPr>
      <w:rFonts w:ascii="Arial Narrow" w:eastAsia="Arial Unicode MS" w:hAnsi="Arial Narrow" w:cs="Arial Unicode MS"/>
      <w:color w:val="000000"/>
    </w:rPr>
  </w:style>
  <w:style w:type="paragraph" w:customStyle="1" w:styleId="xl50">
    <w:name w:val="xl50"/>
    <w:basedOn w:val="Normln"/>
    <w:rsid w:val="00E37B3F"/>
    <w:pPr>
      <w:pBdr>
        <w:left w:val="double" w:sz="6" w:space="0" w:color="auto"/>
      </w:pBdr>
      <w:spacing w:before="100" w:beforeAutospacing="1" w:after="100" w:afterAutospacing="1"/>
    </w:pPr>
    <w:rPr>
      <w:rFonts w:ascii="Arial Narrow" w:eastAsia="Arial Unicode MS" w:hAnsi="Arial Narrow" w:cs="Arial Unicode MS"/>
      <w:color w:val="000000"/>
    </w:rPr>
  </w:style>
  <w:style w:type="paragraph" w:customStyle="1" w:styleId="xl51">
    <w:name w:val="xl51"/>
    <w:basedOn w:val="Normln"/>
    <w:rsid w:val="00E37B3F"/>
    <w:pPr>
      <w:pBdr>
        <w:bottom w:val="double" w:sz="6" w:space="0" w:color="auto"/>
      </w:pBdr>
      <w:spacing w:before="100" w:beforeAutospacing="1" w:after="100" w:afterAutospacing="1"/>
    </w:pPr>
    <w:rPr>
      <w:rFonts w:ascii="Arial Narrow" w:eastAsia="Arial Unicode MS" w:hAnsi="Arial Narrow" w:cs="Arial Unicode MS"/>
      <w:color w:val="000000"/>
    </w:rPr>
  </w:style>
  <w:style w:type="paragraph" w:customStyle="1" w:styleId="xl52">
    <w:name w:val="xl52"/>
    <w:basedOn w:val="Normln"/>
    <w:rsid w:val="00E37B3F"/>
    <w:pPr>
      <w:pBdr>
        <w:left w:val="double" w:sz="6" w:space="0" w:color="auto"/>
        <w:bottom w:val="single" w:sz="4" w:space="0" w:color="auto"/>
      </w:pBdr>
      <w:spacing w:before="100" w:beforeAutospacing="1" w:after="100" w:afterAutospacing="1"/>
    </w:pPr>
    <w:rPr>
      <w:rFonts w:ascii="Arial Narrow" w:eastAsia="Arial Unicode MS" w:hAnsi="Arial Narrow" w:cs="Arial Unicode MS"/>
      <w:color w:val="000000"/>
    </w:rPr>
  </w:style>
  <w:style w:type="character" w:styleId="slostrnky">
    <w:name w:val="page number"/>
    <w:basedOn w:val="Standardnpsmoodstavce"/>
    <w:rsid w:val="00E37B3F"/>
  </w:style>
  <w:style w:type="paragraph" w:customStyle="1" w:styleId="Normlnweb1">
    <w:name w:val="Normální (web)1"/>
    <w:basedOn w:val="Normln"/>
    <w:rsid w:val="00E37B3F"/>
    <w:pPr>
      <w:spacing w:before="100" w:after="100"/>
    </w:pPr>
    <w:rPr>
      <w:szCs w:val="20"/>
    </w:rPr>
  </w:style>
  <w:style w:type="paragraph" w:styleId="Normlnweb">
    <w:name w:val="Normal (Web)"/>
    <w:basedOn w:val="Normln"/>
    <w:link w:val="NormlnwebChar"/>
    <w:rsid w:val="00E37B3F"/>
  </w:style>
  <w:style w:type="paragraph" w:styleId="Nzev">
    <w:name w:val="Title"/>
    <w:basedOn w:val="Normln"/>
    <w:link w:val="NzevChar"/>
    <w:qFormat/>
    <w:rsid w:val="00E37B3F"/>
    <w:pPr>
      <w:overflowPunct w:val="0"/>
      <w:autoSpaceDE w:val="0"/>
      <w:autoSpaceDN w:val="0"/>
      <w:adjustRightInd w:val="0"/>
      <w:jc w:val="center"/>
      <w:textAlignment w:val="baseline"/>
    </w:pPr>
    <w:rPr>
      <w:b/>
      <w:szCs w:val="20"/>
    </w:rPr>
  </w:style>
  <w:style w:type="character" w:customStyle="1" w:styleId="text5">
    <w:name w:val="text5"/>
    <w:rsid w:val="00E37B3F"/>
    <w:rPr>
      <w:b w:val="0"/>
      <w:bCs w:val="0"/>
      <w:color w:val="000000"/>
      <w:sz w:val="18"/>
      <w:szCs w:val="18"/>
    </w:rPr>
  </w:style>
  <w:style w:type="paragraph" w:customStyle="1" w:styleId="Styl5">
    <w:name w:val="Styl5"/>
    <w:basedOn w:val="Nadpis2"/>
    <w:rsid w:val="00E37B3F"/>
    <w:pPr>
      <w:numPr>
        <w:numId w:val="3"/>
      </w:numPr>
      <w:spacing w:before="120" w:line="360" w:lineRule="auto"/>
      <w:ind w:left="714" w:hanging="357"/>
    </w:pPr>
  </w:style>
  <w:style w:type="character" w:styleId="Sledovanodkaz">
    <w:name w:val="FollowedHyperlink"/>
    <w:rsid w:val="00E37B3F"/>
    <w:rPr>
      <w:color w:val="800080"/>
      <w:u w:val="single"/>
    </w:rPr>
  </w:style>
  <w:style w:type="character" w:styleId="Siln">
    <w:name w:val="Strong"/>
    <w:qFormat/>
    <w:rsid w:val="00E37B3F"/>
    <w:rPr>
      <w:b/>
      <w:bCs/>
    </w:rPr>
  </w:style>
  <w:style w:type="paragraph" w:customStyle="1" w:styleId="Zkladntext21">
    <w:name w:val="Základní text 21"/>
    <w:basedOn w:val="Normln"/>
    <w:rsid w:val="00E37B3F"/>
    <w:pPr>
      <w:widowControl w:val="0"/>
      <w:tabs>
        <w:tab w:val="left" w:pos="-720"/>
      </w:tabs>
      <w:suppressAutoHyphens/>
      <w:overflowPunct w:val="0"/>
      <w:autoSpaceDE w:val="0"/>
      <w:autoSpaceDN w:val="0"/>
      <w:adjustRightInd w:val="0"/>
      <w:spacing w:line="360" w:lineRule="auto"/>
      <w:jc w:val="both"/>
      <w:textAlignment w:val="baseline"/>
    </w:pPr>
    <w:rPr>
      <w:rFonts w:ascii="Arial" w:hAnsi="Arial"/>
      <w:szCs w:val="20"/>
    </w:rPr>
  </w:style>
  <w:style w:type="character" w:customStyle="1" w:styleId="okbasic21">
    <w:name w:val="okbasic21"/>
    <w:rsid w:val="00E37B3F"/>
    <w:rPr>
      <w:rFonts w:ascii="Arial" w:hAnsi="Arial" w:cs="Arial" w:hint="default"/>
      <w:color w:val="000000"/>
      <w:sz w:val="24"/>
      <w:szCs w:val="24"/>
    </w:rPr>
  </w:style>
  <w:style w:type="paragraph" w:styleId="Obsah1">
    <w:name w:val="toc 1"/>
    <w:basedOn w:val="Normln"/>
    <w:next w:val="Normln"/>
    <w:autoRedefine/>
    <w:uiPriority w:val="39"/>
    <w:rsid w:val="00765450"/>
    <w:pPr>
      <w:tabs>
        <w:tab w:val="left" w:pos="480"/>
        <w:tab w:val="right" w:leader="dot" w:pos="9062"/>
      </w:tabs>
      <w:spacing w:line="360" w:lineRule="auto"/>
      <w:ind w:left="482" w:hanging="482"/>
      <w:jc w:val="center"/>
    </w:pPr>
    <w:rPr>
      <w:rFonts w:ascii="Arial" w:hAnsi="Arial" w:cs="Arial"/>
      <w:b/>
      <w:bCs/>
      <w:noProof/>
      <w:color w:val="000000" w:themeColor="text1"/>
      <w:sz w:val="28"/>
      <w:szCs w:val="28"/>
    </w:rPr>
  </w:style>
  <w:style w:type="paragraph" w:styleId="Obsah2">
    <w:name w:val="toc 2"/>
    <w:basedOn w:val="Normln"/>
    <w:next w:val="Normln"/>
    <w:autoRedefine/>
    <w:uiPriority w:val="39"/>
    <w:rsid w:val="00514B87"/>
    <w:pPr>
      <w:tabs>
        <w:tab w:val="left" w:pos="720"/>
        <w:tab w:val="right" w:leader="dot" w:pos="9062"/>
      </w:tabs>
      <w:spacing w:line="360" w:lineRule="auto"/>
      <w:ind w:left="240"/>
    </w:pPr>
    <w:rPr>
      <w:rFonts w:ascii="Arial" w:hAnsi="Arial" w:cs="Arial"/>
      <w:smallCaps/>
      <w:noProof/>
    </w:rPr>
  </w:style>
  <w:style w:type="paragraph" w:styleId="Obsah3">
    <w:name w:val="toc 3"/>
    <w:basedOn w:val="Normln"/>
    <w:next w:val="Normln"/>
    <w:autoRedefine/>
    <w:rsid w:val="00404167"/>
    <w:pPr>
      <w:ind w:left="480"/>
    </w:pPr>
    <w:rPr>
      <w:rFonts w:ascii="Calibri" w:hAnsi="Calibri"/>
      <w:i/>
      <w:iCs/>
      <w:sz w:val="20"/>
      <w:szCs w:val="20"/>
    </w:rPr>
  </w:style>
  <w:style w:type="paragraph" w:styleId="Titulek">
    <w:name w:val="caption"/>
    <w:basedOn w:val="Normln"/>
    <w:next w:val="Normln"/>
    <w:qFormat/>
    <w:rsid w:val="002A7F04"/>
    <w:pPr>
      <w:tabs>
        <w:tab w:val="left" w:pos="720"/>
      </w:tabs>
      <w:jc w:val="center"/>
    </w:pPr>
    <w:rPr>
      <w:rFonts w:ascii="Arial" w:hAnsi="Arial" w:cs="Arial"/>
      <w:b/>
      <w:bCs/>
    </w:rPr>
  </w:style>
  <w:style w:type="paragraph" w:styleId="Seznamsodrkami">
    <w:name w:val="List Bullet"/>
    <w:basedOn w:val="Normln"/>
    <w:autoRedefine/>
    <w:rsid w:val="008F435A"/>
    <w:pPr>
      <w:widowControl w:val="0"/>
      <w:suppressAutoHyphens/>
      <w:spacing w:after="120"/>
      <w:jc w:val="both"/>
    </w:pPr>
    <w:rPr>
      <w:rFonts w:ascii="Arial" w:hAnsi="Arial" w:cs="Arial"/>
      <w:iCs/>
      <w:noProof/>
      <w:sz w:val="18"/>
      <w:szCs w:val="18"/>
    </w:rPr>
  </w:style>
  <w:style w:type="character" w:styleId="Odkaznakoment">
    <w:name w:val="annotation reference"/>
    <w:semiHidden/>
    <w:rsid w:val="00860DB1"/>
    <w:rPr>
      <w:sz w:val="16"/>
      <w:szCs w:val="16"/>
    </w:rPr>
  </w:style>
  <w:style w:type="paragraph" w:styleId="Rozloendokumentu">
    <w:name w:val="Document Map"/>
    <w:basedOn w:val="Normln"/>
    <w:link w:val="RozloendokumentuChar"/>
    <w:semiHidden/>
    <w:rsid w:val="00BF6354"/>
    <w:pPr>
      <w:shd w:val="clear" w:color="auto" w:fill="000080"/>
    </w:pPr>
    <w:rPr>
      <w:rFonts w:ascii="Tahoma" w:hAnsi="Tahoma" w:cs="Tahoma"/>
      <w:sz w:val="20"/>
      <w:szCs w:val="20"/>
    </w:rPr>
  </w:style>
  <w:style w:type="character" w:customStyle="1" w:styleId="NormlnwebChar">
    <w:name w:val="Normální (web) Char"/>
    <w:link w:val="Normlnweb"/>
    <w:rsid w:val="00DA57B6"/>
    <w:rPr>
      <w:sz w:val="24"/>
      <w:szCs w:val="24"/>
      <w:lang w:val="cs-CZ" w:eastAsia="cs-CZ" w:bidi="ar-SA"/>
    </w:rPr>
  </w:style>
  <w:style w:type="character" w:customStyle="1" w:styleId="style-mailovzprvy18">
    <w:name w:val="style-mailovzprvy18"/>
    <w:semiHidden/>
    <w:rsid w:val="005F76FE"/>
    <w:rPr>
      <w:rFonts w:ascii="Arial" w:hAnsi="Arial" w:cs="Arial" w:hint="default"/>
      <w:color w:val="993366"/>
    </w:rPr>
  </w:style>
  <w:style w:type="character" w:customStyle="1" w:styleId="stylzprvyelektronickpoty21">
    <w:name w:val="stylzprvyelektronickpoty21"/>
    <w:semiHidden/>
    <w:rsid w:val="00DC6145"/>
    <w:rPr>
      <w:rFonts w:ascii="Arial" w:hAnsi="Arial" w:cs="Arial"/>
      <w:color w:val="993366"/>
      <w:sz w:val="20"/>
    </w:rPr>
  </w:style>
  <w:style w:type="character" w:customStyle="1" w:styleId="normlnChar">
    <w:name w:val="normální Char"/>
    <w:link w:val="normln0"/>
    <w:rsid w:val="00651CCF"/>
    <w:rPr>
      <w:sz w:val="24"/>
      <w:szCs w:val="24"/>
      <w:lang w:val="cs-CZ" w:eastAsia="cs-CZ" w:bidi="ar-SA"/>
    </w:rPr>
  </w:style>
  <w:style w:type="paragraph" w:customStyle="1" w:styleId="Dvousloupcov">
    <w:name w:val="Dvousloupcový"/>
    <w:basedOn w:val="Normln"/>
    <w:rsid w:val="00652753"/>
    <w:pPr>
      <w:spacing w:after="120" w:line="264" w:lineRule="auto"/>
      <w:jc w:val="both"/>
    </w:pPr>
    <w:rPr>
      <w:rFonts w:ascii="Calibri" w:hAnsi="Calibri"/>
      <w:sz w:val="19"/>
    </w:rPr>
  </w:style>
  <w:style w:type="character" w:customStyle="1" w:styleId="TextpoznpodarouChar">
    <w:name w:val="Text pozn. pod čarou Char"/>
    <w:aliases w:val="Schriftart: 9 pt Char,Schriftart: 10 pt Char,Schriftart: 8 pt Char"/>
    <w:basedOn w:val="Standardnpsmoodstavce"/>
    <w:link w:val="Textpoznpodarou"/>
    <w:semiHidden/>
    <w:locked/>
    <w:rsid w:val="000D6450"/>
  </w:style>
  <w:style w:type="paragraph" w:customStyle="1" w:styleId="Zkladntext210">
    <w:name w:val="Základní text 21"/>
    <w:basedOn w:val="Normln"/>
    <w:rsid w:val="000D6450"/>
    <w:pPr>
      <w:widowControl w:val="0"/>
      <w:tabs>
        <w:tab w:val="left" w:pos="-720"/>
      </w:tabs>
      <w:suppressAutoHyphens/>
      <w:overflowPunct w:val="0"/>
      <w:autoSpaceDE w:val="0"/>
      <w:autoSpaceDN w:val="0"/>
      <w:adjustRightInd w:val="0"/>
      <w:spacing w:line="360" w:lineRule="auto"/>
      <w:jc w:val="both"/>
      <w:textAlignment w:val="baseline"/>
    </w:pPr>
    <w:rPr>
      <w:rFonts w:ascii="Arial" w:eastAsia="Calibri" w:hAnsi="Arial"/>
      <w:szCs w:val="20"/>
    </w:rPr>
  </w:style>
  <w:style w:type="character" w:customStyle="1" w:styleId="ZhlavChar">
    <w:name w:val="Záhlaví Char"/>
    <w:basedOn w:val="Standardnpsmoodstavce"/>
    <w:link w:val="Zhlav"/>
    <w:locked/>
    <w:rsid w:val="000D6450"/>
  </w:style>
  <w:style w:type="paragraph" w:customStyle="1" w:styleId="Normlnweb10">
    <w:name w:val="Normální (web)1"/>
    <w:basedOn w:val="Normln"/>
    <w:rsid w:val="000D6450"/>
    <w:pPr>
      <w:spacing w:before="100" w:after="100"/>
    </w:pPr>
    <w:rPr>
      <w:rFonts w:eastAsia="Calibri"/>
      <w:szCs w:val="20"/>
    </w:rPr>
  </w:style>
  <w:style w:type="paragraph" w:customStyle="1" w:styleId="Texttabulky">
    <w:name w:val="Text tabulky"/>
    <w:rsid w:val="000D6450"/>
    <w:rPr>
      <w:rFonts w:eastAsia="Calibri"/>
      <w:color w:val="000000"/>
      <w:sz w:val="24"/>
    </w:rPr>
  </w:style>
  <w:style w:type="character" w:customStyle="1" w:styleId="ZpatChar">
    <w:name w:val="Zápatí Char"/>
    <w:link w:val="Zpat"/>
    <w:uiPriority w:val="99"/>
    <w:rsid w:val="00AB379C"/>
    <w:rPr>
      <w:sz w:val="24"/>
      <w:szCs w:val="24"/>
    </w:rPr>
  </w:style>
  <w:style w:type="paragraph" w:styleId="Odstavecseseznamem">
    <w:name w:val="List Paragraph"/>
    <w:basedOn w:val="Normln"/>
    <w:uiPriority w:val="34"/>
    <w:qFormat/>
    <w:rsid w:val="009779C7"/>
    <w:pPr>
      <w:ind w:left="708"/>
    </w:pPr>
  </w:style>
  <w:style w:type="character" w:customStyle="1" w:styleId="Zkladntextodsazen3Char">
    <w:name w:val="Základní text odsazený 3 Char"/>
    <w:link w:val="Zkladntextodsazen3"/>
    <w:rsid w:val="00C6793D"/>
    <w:rPr>
      <w:sz w:val="16"/>
      <w:szCs w:val="16"/>
    </w:rPr>
  </w:style>
  <w:style w:type="character" w:customStyle="1" w:styleId="ZkladntextodsazenChar">
    <w:name w:val="Základní text odsazený Char"/>
    <w:link w:val="Zkladntextodsazen"/>
    <w:rsid w:val="00C6793D"/>
    <w:rPr>
      <w:rFonts w:ascii="Arial" w:hAnsi="Arial"/>
      <w:sz w:val="24"/>
      <w:szCs w:val="24"/>
    </w:rPr>
  </w:style>
  <w:style w:type="character" w:customStyle="1" w:styleId="ZkladntextChar">
    <w:name w:val="Základní text Char"/>
    <w:aliases w:val="Standard paragraph Char"/>
    <w:link w:val="Zkladntext"/>
    <w:rsid w:val="00C6793D"/>
    <w:rPr>
      <w:rFonts w:ascii="Arial" w:hAnsi="Arial" w:cs="Arial"/>
      <w:color w:val="000000"/>
      <w:sz w:val="24"/>
      <w:szCs w:val="24"/>
    </w:rPr>
  </w:style>
  <w:style w:type="character" w:customStyle="1" w:styleId="CharChar3">
    <w:name w:val="Char Char3"/>
    <w:rsid w:val="00D046EC"/>
    <w:rPr>
      <w:sz w:val="24"/>
      <w:szCs w:val="24"/>
    </w:rPr>
  </w:style>
  <w:style w:type="paragraph" w:styleId="Obsah4">
    <w:name w:val="toc 4"/>
    <w:basedOn w:val="Normln"/>
    <w:next w:val="Normln"/>
    <w:autoRedefine/>
    <w:rsid w:val="0000183B"/>
    <w:pPr>
      <w:ind w:left="720"/>
    </w:pPr>
    <w:rPr>
      <w:rFonts w:ascii="Calibri" w:hAnsi="Calibri"/>
      <w:sz w:val="18"/>
      <w:szCs w:val="18"/>
    </w:rPr>
  </w:style>
  <w:style w:type="paragraph" w:styleId="Obsah5">
    <w:name w:val="toc 5"/>
    <w:basedOn w:val="Normln"/>
    <w:next w:val="Normln"/>
    <w:autoRedefine/>
    <w:rsid w:val="0000183B"/>
    <w:pPr>
      <w:ind w:left="960"/>
    </w:pPr>
    <w:rPr>
      <w:rFonts w:ascii="Calibri" w:hAnsi="Calibri"/>
      <w:sz w:val="18"/>
      <w:szCs w:val="18"/>
    </w:rPr>
  </w:style>
  <w:style w:type="paragraph" w:styleId="Obsah6">
    <w:name w:val="toc 6"/>
    <w:basedOn w:val="Normln"/>
    <w:next w:val="Normln"/>
    <w:autoRedefine/>
    <w:rsid w:val="0000183B"/>
    <w:pPr>
      <w:ind w:left="1200"/>
    </w:pPr>
    <w:rPr>
      <w:rFonts w:ascii="Calibri" w:hAnsi="Calibri"/>
      <w:sz w:val="18"/>
      <w:szCs w:val="18"/>
    </w:rPr>
  </w:style>
  <w:style w:type="paragraph" w:styleId="Obsah7">
    <w:name w:val="toc 7"/>
    <w:basedOn w:val="Normln"/>
    <w:next w:val="Normln"/>
    <w:autoRedefine/>
    <w:rsid w:val="0000183B"/>
    <w:pPr>
      <w:ind w:left="1440"/>
    </w:pPr>
    <w:rPr>
      <w:rFonts w:ascii="Calibri" w:hAnsi="Calibri"/>
      <w:sz w:val="18"/>
      <w:szCs w:val="18"/>
    </w:rPr>
  </w:style>
  <w:style w:type="paragraph" w:styleId="Obsah8">
    <w:name w:val="toc 8"/>
    <w:basedOn w:val="Normln"/>
    <w:next w:val="Normln"/>
    <w:autoRedefine/>
    <w:rsid w:val="0000183B"/>
    <w:pPr>
      <w:ind w:left="1680"/>
    </w:pPr>
    <w:rPr>
      <w:rFonts w:ascii="Calibri" w:hAnsi="Calibri"/>
      <w:sz w:val="18"/>
      <w:szCs w:val="18"/>
    </w:rPr>
  </w:style>
  <w:style w:type="paragraph" w:styleId="Obsah9">
    <w:name w:val="toc 9"/>
    <w:basedOn w:val="Normln"/>
    <w:next w:val="Normln"/>
    <w:autoRedefine/>
    <w:rsid w:val="0000183B"/>
    <w:pPr>
      <w:ind w:left="1920"/>
    </w:pPr>
    <w:rPr>
      <w:rFonts w:ascii="Calibri" w:hAnsi="Calibri"/>
      <w:sz w:val="18"/>
      <w:szCs w:val="18"/>
    </w:rPr>
  </w:style>
  <w:style w:type="character" w:customStyle="1" w:styleId="style-mailovzprvy21">
    <w:name w:val="style-mailovzprvy21"/>
    <w:semiHidden/>
    <w:rsid w:val="00913CC0"/>
    <w:rPr>
      <w:rFonts w:ascii="Arial" w:hAnsi="Arial" w:cs="Arial" w:hint="default"/>
      <w:color w:val="993366"/>
    </w:rPr>
  </w:style>
  <w:style w:type="character" w:customStyle="1" w:styleId="prochazkovae">
    <w:name w:val="prochazkovae"/>
    <w:semiHidden/>
    <w:rsid w:val="00E82112"/>
    <w:rPr>
      <w:rFonts w:ascii="Arial" w:hAnsi="Arial" w:cs="Arial"/>
      <w:color w:val="000080"/>
      <w:sz w:val="20"/>
      <w:szCs w:val="20"/>
    </w:rPr>
  </w:style>
  <w:style w:type="character" w:styleId="slodku">
    <w:name w:val="line number"/>
    <w:basedOn w:val="Standardnpsmoodstavce"/>
    <w:rsid w:val="00584309"/>
  </w:style>
  <w:style w:type="character" w:customStyle="1" w:styleId="NormalWebChar">
    <w:name w:val="Normal (Web) Char"/>
    <w:locked/>
    <w:rsid w:val="009B2CFE"/>
    <w:rPr>
      <w:rFonts w:ascii="Times New Roman" w:hAnsi="Times New Roman" w:cs="Times New Roman"/>
      <w:sz w:val="24"/>
      <w:szCs w:val="24"/>
      <w:lang w:val="x-none" w:eastAsia="cs-CZ"/>
    </w:rPr>
  </w:style>
  <w:style w:type="character" w:customStyle="1" w:styleId="HeaderChar">
    <w:name w:val="Header Char"/>
    <w:locked/>
    <w:rsid w:val="009B2CFE"/>
    <w:rPr>
      <w:rFonts w:ascii="Times New Roman" w:hAnsi="Times New Roman" w:cs="Times New Roman"/>
      <w:sz w:val="20"/>
      <w:szCs w:val="20"/>
      <w:lang w:val="x-none" w:eastAsia="cs-CZ"/>
    </w:rPr>
  </w:style>
  <w:style w:type="paragraph" w:customStyle="1" w:styleId="Normlnweb11">
    <w:name w:val="Normální (web)11"/>
    <w:basedOn w:val="Normln"/>
    <w:rsid w:val="009B2CFE"/>
    <w:pPr>
      <w:spacing w:before="100" w:after="100"/>
    </w:pPr>
    <w:rPr>
      <w:szCs w:val="20"/>
    </w:rPr>
  </w:style>
  <w:style w:type="character" w:customStyle="1" w:styleId="Nadpis1Char">
    <w:name w:val="Nadpis 1 Char"/>
    <w:link w:val="Nadpis1"/>
    <w:rsid w:val="004945EE"/>
    <w:rPr>
      <w:rFonts w:ascii="Arial" w:hAnsi="Arial" w:cs="Arial"/>
      <w:b/>
      <w:bCs/>
      <w:spacing w:val="-3"/>
      <w:kern w:val="32"/>
      <w:sz w:val="28"/>
      <w:szCs w:val="32"/>
    </w:rPr>
  </w:style>
  <w:style w:type="character" w:customStyle="1" w:styleId="Nadpis2Char">
    <w:name w:val="Nadpis 2 Char"/>
    <w:link w:val="Nadpis2"/>
    <w:rsid w:val="009D6B6C"/>
    <w:rPr>
      <w:rFonts w:ascii="Arial" w:hAnsi="Arial" w:cs="Arial"/>
      <w:b/>
      <w:bCs/>
      <w:color w:val="000000"/>
      <w:sz w:val="26"/>
      <w:szCs w:val="26"/>
    </w:rPr>
  </w:style>
  <w:style w:type="character" w:customStyle="1" w:styleId="Nadpis3Char">
    <w:name w:val="Nadpis 3 Char"/>
    <w:link w:val="Nadpis3"/>
    <w:rsid w:val="009D6B6C"/>
    <w:rPr>
      <w:rFonts w:ascii="Arial" w:hAnsi="Arial" w:cs="Arial"/>
      <w:b/>
      <w:bCs/>
      <w:sz w:val="24"/>
      <w:szCs w:val="24"/>
    </w:rPr>
  </w:style>
  <w:style w:type="character" w:customStyle="1" w:styleId="Nadpis4Char">
    <w:name w:val="Nadpis 4 Char"/>
    <w:link w:val="Nadpis4"/>
    <w:rsid w:val="009D6B6C"/>
    <w:rPr>
      <w:rFonts w:ascii="Arial Narrow" w:hAnsi="Arial Narrow" w:cs="Arial"/>
      <w:b/>
      <w:bCs/>
      <w:color w:val="000000"/>
    </w:rPr>
  </w:style>
  <w:style w:type="character" w:customStyle="1" w:styleId="Nadpis5Char">
    <w:name w:val="Nadpis 5 Char"/>
    <w:link w:val="Nadpis5"/>
    <w:rsid w:val="009D6B6C"/>
    <w:rPr>
      <w:rFonts w:ascii="Arial" w:hAnsi="Arial"/>
      <w:b/>
      <w:bCs/>
      <w:iCs/>
      <w:sz w:val="26"/>
      <w:szCs w:val="26"/>
    </w:rPr>
  </w:style>
  <w:style w:type="character" w:customStyle="1" w:styleId="Nadpis6Char">
    <w:name w:val="Nadpis 6 Char"/>
    <w:link w:val="Nadpis6"/>
    <w:rsid w:val="009D6B6C"/>
    <w:rPr>
      <w:b/>
      <w:bCs/>
      <w:sz w:val="22"/>
      <w:szCs w:val="22"/>
    </w:rPr>
  </w:style>
  <w:style w:type="character" w:customStyle="1" w:styleId="Nadpis7Char">
    <w:name w:val="Nadpis 7 Char"/>
    <w:link w:val="Nadpis7"/>
    <w:rsid w:val="009D6B6C"/>
    <w:rPr>
      <w:sz w:val="24"/>
      <w:szCs w:val="24"/>
    </w:rPr>
  </w:style>
  <w:style w:type="character" w:customStyle="1" w:styleId="Nadpis8Char">
    <w:name w:val="Nadpis 8 Char"/>
    <w:link w:val="Nadpis8"/>
    <w:rsid w:val="009D6B6C"/>
    <w:rPr>
      <w:i/>
      <w:iCs/>
      <w:sz w:val="24"/>
      <w:szCs w:val="24"/>
    </w:rPr>
  </w:style>
  <w:style w:type="character" w:customStyle="1" w:styleId="Nadpis9Char">
    <w:name w:val="Nadpis 9 Char"/>
    <w:link w:val="Nadpis9"/>
    <w:rsid w:val="009D6B6C"/>
    <w:rPr>
      <w:rFonts w:ascii="Arial" w:hAnsi="Arial"/>
      <w:sz w:val="22"/>
      <w:szCs w:val="22"/>
    </w:rPr>
  </w:style>
  <w:style w:type="character" w:customStyle="1" w:styleId="Zkladntext2Char">
    <w:name w:val="Základní text 2 Char"/>
    <w:link w:val="Zkladntext2"/>
    <w:rsid w:val="009D6B6C"/>
    <w:rPr>
      <w:rFonts w:ascii="Arial" w:hAnsi="Arial" w:cs="Arial"/>
      <w:b/>
      <w:bCs/>
      <w:szCs w:val="22"/>
    </w:rPr>
  </w:style>
  <w:style w:type="character" w:customStyle="1" w:styleId="Zkladntext3Char">
    <w:name w:val="Základní text 3 Char"/>
    <w:link w:val="Zkladntext3"/>
    <w:rsid w:val="009D6B6C"/>
    <w:rPr>
      <w:rFonts w:ascii="Arial" w:hAnsi="Arial" w:cs="Arial"/>
      <w:sz w:val="24"/>
      <w:szCs w:val="24"/>
    </w:rPr>
  </w:style>
  <w:style w:type="paragraph" w:customStyle="1" w:styleId="Prosttext10">
    <w:name w:val="Prostý text1"/>
    <w:basedOn w:val="Normln"/>
    <w:rsid w:val="009D6B6C"/>
    <w:pPr>
      <w:overflowPunct w:val="0"/>
      <w:autoSpaceDE w:val="0"/>
      <w:autoSpaceDN w:val="0"/>
      <w:adjustRightInd w:val="0"/>
      <w:textAlignment w:val="baseline"/>
    </w:pPr>
    <w:rPr>
      <w:rFonts w:ascii="Courier New" w:hAnsi="Courier New"/>
      <w:sz w:val="20"/>
      <w:szCs w:val="20"/>
    </w:rPr>
  </w:style>
  <w:style w:type="character" w:customStyle="1" w:styleId="TextbublinyChar">
    <w:name w:val="Text bubliny Char"/>
    <w:link w:val="Textbubliny"/>
    <w:rsid w:val="009D6B6C"/>
    <w:rPr>
      <w:rFonts w:ascii="Tahoma" w:hAnsi="Tahoma" w:cs="Tahoma"/>
      <w:sz w:val="16"/>
      <w:szCs w:val="16"/>
    </w:rPr>
  </w:style>
  <w:style w:type="character" w:customStyle="1" w:styleId="TextkomenteChar">
    <w:name w:val="Text komentáře Char"/>
    <w:link w:val="Textkomente"/>
    <w:semiHidden/>
    <w:rsid w:val="009D6B6C"/>
  </w:style>
  <w:style w:type="character" w:customStyle="1" w:styleId="PedmtkomenteChar">
    <w:name w:val="Předmět komentáře Char"/>
    <w:link w:val="Pedmtkomente"/>
    <w:semiHidden/>
    <w:rsid w:val="009D6B6C"/>
    <w:rPr>
      <w:b/>
      <w:bCs/>
    </w:rPr>
  </w:style>
  <w:style w:type="character" w:customStyle="1" w:styleId="Zkladntextodsazen2Char">
    <w:name w:val="Základní text odsazený 2 Char"/>
    <w:link w:val="Zkladntextodsazen2"/>
    <w:rsid w:val="009D6B6C"/>
    <w:rPr>
      <w:rFonts w:ascii="Arial" w:hAnsi="Arial"/>
      <w:i/>
      <w:sz w:val="24"/>
      <w:szCs w:val="24"/>
    </w:rPr>
  </w:style>
  <w:style w:type="character" w:customStyle="1" w:styleId="NzevChar">
    <w:name w:val="Název Char"/>
    <w:link w:val="Nzev"/>
    <w:rsid w:val="009D6B6C"/>
    <w:rPr>
      <w:b/>
      <w:sz w:val="24"/>
    </w:rPr>
  </w:style>
  <w:style w:type="character" w:customStyle="1" w:styleId="RozloendokumentuChar">
    <w:name w:val="Rozložení dokumentu Char"/>
    <w:link w:val="Rozloendokumentu"/>
    <w:semiHidden/>
    <w:rsid w:val="009D6B6C"/>
    <w:rPr>
      <w:rFonts w:ascii="Tahoma" w:hAnsi="Tahoma" w:cs="Tahoma"/>
      <w:shd w:val="clear" w:color="auto" w:fill="000080"/>
    </w:rPr>
  </w:style>
  <w:style w:type="character" w:customStyle="1" w:styleId="CharChar30">
    <w:name w:val="Char Char3"/>
    <w:rsid w:val="009D6B6C"/>
    <w:rPr>
      <w:sz w:val="24"/>
      <w:szCs w:val="24"/>
    </w:rPr>
  </w:style>
  <w:style w:type="character" w:customStyle="1" w:styleId="TextpoznpodarouChar1">
    <w:name w:val="Text pozn. pod čarou Char1"/>
    <w:aliases w:val="Schriftart: 9 pt Char1,Schriftart: 10 pt Char1,Schriftart: 8 pt Char1"/>
    <w:semiHidden/>
    <w:rsid w:val="009B0D99"/>
  </w:style>
  <w:style w:type="character" w:customStyle="1" w:styleId="ZkladntextChar1">
    <w:name w:val="Základní text Char1"/>
    <w:aliases w:val="Standard paragraph Char1"/>
    <w:semiHidden/>
    <w:rsid w:val="009B0D99"/>
    <w:rPr>
      <w:sz w:val="24"/>
      <w:szCs w:val="24"/>
    </w:rPr>
  </w:style>
  <w:style w:type="paragraph" w:customStyle="1" w:styleId="Zkladntext211">
    <w:name w:val="Základní text 211"/>
    <w:basedOn w:val="Normln"/>
    <w:rsid w:val="000A372F"/>
    <w:pPr>
      <w:widowControl w:val="0"/>
      <w:tabs>
        <w:tab w:val="left" w:pos="-720"/>
      </w:tabs>
      <w:suppressAutoHyphens/>
      <w:overflowPunct w:val="0"/>
      <w:autoSpaceDE w:val="0"/>
      <w:autoSpaceDN w:val="0"/>
      <w:adjustRightInd w:val="0"/>
      <w:spacing w:line="360" w:lineRule="auto"/>
      <w:jc w:val="both"/>
      <w:textAlignment w:val="baseline"/>
    </w:pPr>
    <w:rPr>
      <w:rFonts w:ascii="Arial" w:eastAsia="Calibri" w:hAnsi="Arial"/>
      <w:szCs w:val="20"/>
    </w:rPr>
  </w:style>
  <w:style w:type="paragraph" w:customStyle="1" w:styleId="Zkladntext212">
    <w:name w:val="Základní text 212"/>
    <w:basedOn w:val="Normln"/>
    <w:rsid w:val="00B672FD"/>
    <w:pPr>
      <w:widowControl w:val="0"/>
      <w:tabs>
        <w:tab w:val="left" w:pos="-720"/>
      </w:tabs>
      <w:suppressAutoHyphens/>
      <w:overflowPunct w:val="0"/>
      <w:autoSpaceDE w:val="0"/>
      <w:autoSpaceDN w:val="0"/>
      <w:adjustRightInd w:val="0"/>
      <w:spacing w:line="360" w:lineRule="auto"/>
      <w:jc w:val="both"/>
      <w:textAlignment w:val="baseline"/>
    </w:pPr>
    <w:rPr>
      <w:rFonts w:ascii="Arial" w:eastAsia="Calibri" w:hAnsi="Arial"/>
      <w:szCs w:val="20"/>
    </w:rPr>
  </w:style>
  <w:style w:type="paragraph" w:customStyle="1" w:styleId="Normlnweb12">
    <w:name w:val="Normální (web)12"/>
    <w:basedOn w:val="Normln"/>
    <w:rsid w:val="00B672FD"/>
    <w:pPr>
      <w:spacing w:before="100" w:after="100"/>
    </w:pPr>
    <w:rPr>
      <w:rFonts w:eastAsia="Calibri"/>
      <w:szCs w:val="20"/>
    </w:rPr>
  </w:style>
  <w:style w:type="paragraph" w:customStyle="1" w:styleId="Prosttext11">
    <w:name w:val="Prostý text11"/>
    <w:basedOn w:val="Normln"/>
    <w:rsid w:val="00B672FD"/>
    <w:pPr>
      <w:overflowPunct w:val="0"/>
      <w:autoSpaceDE w:val="0"/>
      <w:autoSpaceDN w:val="0"/>
      <w:adjustRightInd w:val="0"/>
      <w:textAlignment w:val="baseline"/>
    </w:pPr>
    <w:rPr>
      <w:rFonts w:ascii="Courier New" w:hAnsi="Courier New"/>
      <w:sz w:val="20"/>
      <w:szCs w:val="20"/>
    </w:rPr>
  </w:style>
  <w:style w:type="character" w:customStyle="1" w:styleId="CharChar31">
    <w:name w:val="Char Char31"/>
    <w:rsid w:val="00B672FD"/>
    <w:rPr>
      <w:sz w:val="24"/>
      <w:szCs w:val="24"/>
    </w:rPr>
  </w:style>
  <w:style w:type="paragraph" w:styleId="Seznam">
    <w:name w:val="List"/>
    <w:basedOn w:val="Normln"/>
    <w:uiPriority w:val="99"/>
    <w:unhideWhenUsed/>
    <w:rsid w:val="00B672FD"/>
    <w:pPr>
      <w:ind w:left="283" w:hanging="283"/>
    </w:pPr>
    <w:rPr>
      <w:rFonts w:eastAsiaTheme="minorHAnsi"/>
    </w:rPr>
  </w:style>
  <w:style w:type="table" w:styleId="Mkatabulky">
    <w:name w:val="Table Grid"/>
    <w:basedOn w:val="Normlntabulka"/>
    <w:rsid w:val="007A49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ll-perex">
    <w:name w:val="call-perex"/>
    <w:basedOn w:val="Normln"/>
    <w:rsid w:val="000F684F"/>
    <w:pPr>
      <w:spacing w:before="100" w:beforeAutospacing="1" w:after="100" w:afterAutospacing="1"/>
    </w:pPr>
    <w:rPr>
      <w:rFonts w:ascii="Arial" w:hAnsi="Arial"/>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55139">
      <w:bodyDiv w:val="1"/>
      <w:marLeft w:val="0"/>
      <w:marRight w:val="0"/>
      <w:marTop w:val="0"/>
      <w:marBottom w:val="0"/>
      <w:divBdr>
        <w:top w:val="none" w:sz="0" w:space="0" w:color="auto"/>
        <w:left w:val="none" w:sz="0" w:space="0" w:color="auto"/>
        <w:bottom w:val="none" w:sz="0" w:space="0" w:color="auto"/>
        <w:right w:val="none" w:sz="0" w:space="0" w:color="auto"/>
      </w:divBdr>
    </w:div>
    <w:div w:id="44958426">
      <w:bodyDiv w:val="1"/>
      <w:marLeft w:val="0"/>
      <w:marRight w:val="0"/>
      <w:marTop w:val="0"/>
      <w:marBottom w:val="0"/>
      <w:divBdr>
        <w:top w:val="none" w:sz="0" w:space="0" w:color="auto"/>
        <w:left w:val="none" w:sz="0" w:space="0" w:color="auto"/>
        <w:bottom w:val="none" w:sz="0" w:space="0" w:color="auto"/>
        <w:right w:val="none" w:sz="0" w:space="0" w:color="auto"/>
      </w:divBdr>
    </w:div>
    <w:div w:id="170144360">
      <w:bodyDiv w:val="1"/>
      <w:marLeft w:val="0"/>
      <w:marRight w:val="0"/>
      <w:marTop w:val="0"/>
      <w:marBottom w:val="0"/>
      <w:divBdr>
        <w:top w:val="none" w:sz="0" w:space="0" w:color="auto"/>
        <w:left w:val="none" w:sz="0" w:space="0" w:color="auto"/>
        <w:bottom w:val="none" w:sz="0" w:space="0" w:color="auto"/>
        <w:right w:val="none" w:sz="0" w:space="0" w:color="auto"/>
      </w:divBdr>
    </w:div>
    <w:div w:id="174998698">
      <w:bodyDiv w:val="1"/>
      <w:marLeft w:val="0"/>
      <w:marRight w:val="0"/>
      <w:marTop w:val="0"/>
      <w:marBottom w:val="0"/>
      <w:divBdr>
        <w:top w:val="none" w:sz="0" w:space="0" w:color="auto"/>
        <w:left w:val="none" w:sz="0" w:space="0" w:color="auto"/>
        <w:bottom w:val="none" w:sz="0" w:space="0" w:color="auto"/>
        <w:right w:val="none" w:sz="0" w:space="0" w:color="auto"/>
      </w:divBdr>
    </w:div>
    <w:div w:id="191117408">
      <w:bodyDiv w:val="1"/>
      <w:marLeft w:val="0"/>
      <w:marRight w:val="0"/>
      <w:marTop w:val="0"/>
      <w:marBottom w:val="0"/>
      <w:divBdr>
        <w:top w:val="none" w:sz="0" w:space="0" w:color="auto"/>
        <w:left w:val="none" w:sz="0" w:space="0" w:color="auto"/>
        <w:bottom w:val="none" w:sz="0" w:space="0" w:color="auto"/>
        <w:right w:val="none" w:sz="0" w:space="0" w:color="auto"/>
      </w:divBdr>
    </w:div>
    <w:div w:id="228079437">
      <w:bodyDiv w:val="1"/>
      <w:marLeft w:val="0"/>
      <w:marRight w:val="0"/>
      <w:marTop w:val="0"/>
      <w:marBottom w:val="0"/>
      <w:divBdr>
        <w:top w:val="none" w:sz="0" w:space="0" w:color="auto"/>
        <w:left w:val="none" w:sz="0" w:space="0" w:color="auto"/>
        <w:bottom w:val="none" w:sz="0" w:space="0" w:color="auto"/>
        <w:right w:val="none" w:sz="0" w:space="0" w:color="auto"/>
      </w:divBdr>
    </w:div>
    <w:div w:id="238826402">
      <w:bodyDiv w:val="1"/>
      <w:marLeft w:val="0"/>
      <w:marRight w:val="0"/>
      <w:marTop w:val="0"/>
      <w:marBottom w:val="0"/>
      <w:divBdr>
        <w:top w:val="none" w:sz="0" w:space="0" w:color="auto"/>
        <w:left w:val="none" w:sz="0" w:space="0" w:color="auto"/>
        <w:bottom w:val="none" w:sz="0" w:space="0" w:color="auto"/>
        <w:right w:val="none" w:sz="0" w:space="0" w:color="auto"/>
      </w:divBdr>
    </w:div>
    <w:div w:id="250166148">
      <w:bodyDiv w:val="1"/>
      <w:marLeft w:val="0"/>
      <w:marRight w:val="0"/>
      <w:marTop w:val="0"/>
      <w:marBottom w:val="0"/>
      <w:divBdr>
        <w:top w:val="none" w:sz="0" w:space="0" w:color="auto"/>
        <w:left w:val="none" w:sz="0" w:space="0" w:color="auto"/>
        <w:bottom w:val="none" w:sz="0" w:space="0" w:color="auto"/>
        <w:right w:val="none" w:sz="0" w:space="0" w:color="auto"/>
      </w:divBdr>
    </w:div>
    <w:div w:id="330762409">
      <w:bodyDiv w:val="1"/>
      <w:marLeft w:val="0"/>
      <w:marRight w:val="0"/>
      <w:marTop w:val="0"/>
      <w:marBottom w:val="0"/>
      <w:divBdr>
        <w:top w:val="none" w:sz="0" w:space="0" w:color="auto"/>
        <w:left w:val="none" w:sz="0" w:space="0" w:color="auto"/>
        <w:bottom w:val="none" w:sz="0" w:space="0" w:color="auto"/>
        <w:right w:val="none" w:sz="0" w:space="0" w:color="auto"/>
      </w:divBdr>
    </w:div>
    <w:div w:id="331303670">
      <w:bodyDiv w:val="1"/>
      <w:marLeft w:val="0"/>
      <w:marRight w:val="0"/>
      <w:marTop w:val="0"/>
      <w:marBottom w:val="0"/>
      <w:divBdr>
        <w:top w:val="none" w:sz="0" w:space="0" w:color="auto"/>
        <w:left w:val="none" w:sz="0" w:space="0" w:color="auto"/>
        <w:bottom w:val="none" w:sz="0" w:space="0" w:color="auto"/>
        <w:right w:val="none" w:sz="0" w:space="0" w:color="auto"/>
      </w:divBdr>
    </w:div>
    <w:div w:id="355472355">
      <w:bodyDiv w:val="1"/>
      <w:marLeft w:val="0"/>
      <w:marRight w:val="0"/>
      <w:marTop w:val="0"/>
      <w:marBottom w:val="0"/>
      <w:divBdr>
        <w:top w:val="none" w:sz="0" w:space="0" w:color="auto"/>
        <w:left w:val="none" w:sz="0" w:space="0" w:color="auto"/>
        <w:bottom w:val="none" w:sz="0" w:space="0" w:color="auto"/>
        <w:right w:val="none" w:sz="0" w:space="0" w:color="auto"/>
      </w:divBdr>
    </w:div>
    <w:div w:id="369305315">
      <w:bodyDiv w:val="1"/>
      <w:marLeft w:val="0"/>
      <w:marRight w:val="0"/>
      <w:marTop w:val="0"/>
      <w:marBottom w:val="0"/>
      <w:divBdr>
        <w:top w:val="none" w:sz="0" w:space="0" w:color="auto"/>
        <w:left w:val="none" w:sz="0" w:space="0" w:color="auto"/>
        <w:bottom w:val="none" w:sz="0" w:space="0" w:color="auto"/>
        <w:right w:val="none" w:sz="0" w:space="0" w:color="auto"/>
      </w:divBdr>
    </w:div>
    <w:div w:id="426388645">
      <w:bodyDiv w:val="1"/>
      <w:marLeft w:val="0"/>
      <w:marRight w:val="0"/>
      <w:marTop w:val="0"/>
      <w:marBottom w:val="0"/>
      <w:divBdr>
        <w:top w:val="none" w:sz="0" w:space="0" w:color="auto"/>
        <w:left w:val="none" w:sz="0" w:space="0" w:color="auto"/>
        <w:bottom w:val="none" w:sz="0" w:space="0" w:color="auto"/>
        <w:right w:val="none" w:sz="0" w:space="0" w:color="auto"/>
      </w:divBdr>
    </w:div>
    <w:div w:id="427114712">
      <w:bodyDiv w:val="1"/>
      <w:marLeft w:val="0"/>
      <w:marRight w:val="0"/>
      <w:marTop w:val="0"/>
      <w:marBottom w:val="0"/>
      <w:divBdr>
        <w:top w:val="none" w:sz="0" w:space="0" w:color="auto"/>
        <w:left w:val="none" w:sz="0" w:space="0" w:color="auto"/>
        <w:bottom w:val="none" w:sz="0" w:space="0" w:color="auto"/>
        <w:right w:val="none" w:sz="0" w:space="0" w:color="auto"/>
      </w:divBdr>
    </w:div>
    <w:div w:id="488912100">
      <w:bodyDiv w:val="1"/>
      <w:marLeft w:val="0"/>
      <w:marRight w:val="0"/>
      <w:marTop w:val="0"/>
      <w:marBottom w:val="0"/>
      <w:divBdr>
        <w:top w:val="none" w:sz="0" w:space="0" w:color="auto"/>
        <w:left w:val="none" w:sz="0" w:space="0" w:color="auto"/>
        <w:bottom w:val="none" w:sz="0" w:space="0" w:color="auto"/>
        <w:right w:val="none" w:sz="0" w:space="0" w:color="auto"/>
      </w:divBdr>
    </w:div>
    <w:div w:id="494877116">
      <w:bodyDiv w:val="1"/>
      <w:marLeft w:val="0"/>
      <w:marRight w:val="0"/>
      <w:marTop w:val="0"/>
      <w:marBottom w:val="0"/>
      <w:divBdr>
        <w:top w:val="none" w:sz="0" w:space="0" w:color="auto"/>
        <w:left w:val="none" w:sz="0" w:space="0" w:color="auto"/>
        <w:bottom w:val="none" w:sz="0" w:space="0" w:color="auto"/>
        <w:right w:val="none" w:sz="0" w:space="0" w:color="auto"/>
      </w:divBdr>
    </w:div>
    <w:div w:id="509681397">
      <w:bodyDiv w:val="1"/>
      <w:marLeft w:val="0"/>
      <w:marRight w:val="0"/>
      <w:marTop w:val="0"/>
      <w:marBottom w:val="0"/>
      <w:divBdr>
        <w:top w:val="none" w:sz="0" w:space="0" w:color="auto"/>
        <w:left w:val="none" w:sz="0" w:space="0" w:color="auto"/>
        <w:bottom w:val="none" w:sz="0" w:space="0" w:color="auto"/>
        <w:right w:val="none" w:sz="0" w:space="0" w:color="auto"/>
      </w:divBdr>
    </w:div>
    <w:div w:id="574827386">
      <w:bodyDiv w:val="1"/>
      <w:marLeft w:val="0"/>
      <w:marRight w:val="0"/>
      <w:marTop w:val="0"/>
      <w:marBottom w:val="0"/>
      <w:divBdr>
        <w:top w:val="none" w:sz="0" w:space="0" w:color="auto"/>
        <w:left w:val="none" w:sz="0" w:space="0" w:color="auto"/>
        <w:bottom w:val="none" w:sz="0" w:space="0" w:color="auto"/>
        <w:right w:val="none" w:sz="0" w:space="0" w:color="auto"/>
      </w:divBdr>
    </w:div>
    <w:div w:id="599458096">
      <w:bodyDiv w:val="1"/>
      <w:marLeft w:val="0"/>
      <w:marRight w:val="0"/>
      <w:marTop w:val="0"/>
      <w:marBottom w:val="0"/>
      <w:divBdr>
        <w:top w:val="none" w:sz="0" w:space="0" w:color="auto"/>
        <w:left w:val="none" w:sz="0" w:space="0" w:color="auto"/>
        <w:bottom w:val="none" w:sz="0" w:space="0" w:color="auto"/>
        <w:right w:val="none" w:sz="0" w:space="0" w:color="auto"/>
      </w:divBdr>
    </w:div>
    <w:div w:id="615020601">
      <w:bodyDiv w:val="1"/>
      <w:marLeft w:val="0"/>
      <w:marRight w:val="0"/>
      <w:marTop w:val="0"/>
      <w:marBottom w:val="0"/>
      <w:divBdr>
        <w:top w:val="none" w:sz="0" w:space="0" w:color="auto"/>
        <w:left w:val="none" w:sz="0" w:space="0" w:color="auto"/>
        <w:bottom w:val="none" w:sz="0" w:space="0" w:color="auto"/>
        <w:right w:val="none" w:sz="0" w:space="0" w:color="auto"/>
      </w:divBdr>
    </w:div>
    <w:div w:id="623772096">
      <w:bodyDiv w:val="1"/>
      <w:marLeft w:val="0"/>
      <w:marRight w:val="0"/>
      <w:marTop w:val="0"/>
      <w:marBottom w:val="0"/>
      <w:divBdr>
        <w:top w:val="none" w:sz="0" w:space="0" w:color="auto"/>
        <w:left w:val="none" w:sz="0" w:space="0" w:color="auto"/>
        <w:bottom w:val="none" w:sz="0" w:space="0" w:color="auto"/>
        <w:right w:val="none" w:sz="0" w:space="0" w:color="auto"/>
      </w:divBdr>
    </w:div>
    <w:div w:id="645163619">
      <w:bodyDiv w:val="1"/>
      <w:marLeft w:val="0"/>
      <w:marRight w:val="0"/>
      <w:marTop w:val="0"/>
      <w:marBottom w:val="0"/>
      <w:divBdr>
        <w:top w:val="none" w:sz="0" w:space="0" w:color="auto"/>
        <w:left w:val="none" w:sz="0" w:space="0" w:color="auto"/>
        <w:bottom w:val="none" w:sz="0" w:space="0" w:color="auto"/>
        <w:right w:val="none" w:sz="0" w:space="0" w:color="auto"/>
      </w:divBdr>
    </w:div>
    <w:div w:id="662438279">
      <w:bodyDiv w:val="1"/>
      <w:marLeft w:val="0"/>
      <w:marRight w:val="0"/>
      <w:marTop w:val="0"/>
      <w:marBottom w:val="0"/>
      <w:divBdr>
        <w:top w:val="none" w:sz="0" w:space="0" w:color="auto"/>
        <w:left w:val="none" w:sz="0" w:space="0" w:color="auto"/>
        <w:bottom w:val="none" w:sz="0" w:space="0" w:color="auto"/>
        <w:right w:val="none" w:sz="0" w:space="0" w:color="auto"/>
      </w:divBdr>
    </w:div>
    <w:div w:id="667054308">
      <w:bodyDiv w:val="1"/>
      <w:marLeft w:val="0"/>
      <w:marRight w:val="0"/>
      <w:marTop w:val="0"/>
      <w:marBottom w:val="0"/>
      <w:divBdr>
        <w:top w:val="none" w:sz="0" w:space="0" w:color="auto"/>
        <w:left w:val="none" w:sz="0" w:space="0" w:color="auto"/>
        <w:bottom w:val="none" w:sz="0" w:space="0" w:color="auto"/>
        <w:right w:val="none" w:sz="0" w:space="0" w:color="auto"/>
      </w:divBdr>
    </w:div>
    <w:div w:id="699209918">
      <w:bodyDiv w:val="1"/>
      <w:marLeft w:val="0"/>
      <w:marRight w:val="0"/>
      <w:marTop w:val="0"/>
      <w:marBottom w:val="0"/>
      <w:divBdr>
        <w:top w:val="none" w:sz="0" w:space="0" w:color="auto"/>
        <w:left w:val="none" w:sz="0" w:space="0" w:color="auto"/>
        <w:bottom w:val="none" w:sz="0" w:space="0" w:color="auto"/>
        <w:right w:val="none" w:sz="0" w:space="0" w:color="auto"/>
      </w:divBdr>
    </w:div>
    <w:div w:id="750547864">
      <w:bodyDiv w:val="1"/>
      <w:marLeft w:val="0"/>
      <w:marRight w:val="0"/>
      <w:marTop w:val="0"/>
      <w:marBottom w:val="0"/>
      <w:divBdr>
        <w:top w:val="none" w:sz="0" w:space="0" w:color="auto"/>
        <w:left w:val="none" w:sz="0" w:space="0" w:color="auto"/>
        <w:bottom w:val="none" w:sz="0" w:space="0" w:color="auto"/>
        <w:right w:val="none" w:sz="0" w:space="0" w:color="auto"/>
      </w:divBdr>
    </w:div>
    <w:div w:id="767504756">
      <w:bodyDiv w:val="1"/>
      <w:marLeft w:val="0"/>
      <w:marRight w:val="0"/>
      <w:marTop w:val="0"/>
      <w:marBottom w:val="0"/>
      <w:divBdr>
        <w:top w:val="none" w:sz="0" w:space="0" w:color="auto"/>
        <w:left w:val="none" w:sz="0" w:space="0" w:color="auto"/>
        <w:bottom w:val="none" w:sz="0" w:space="0" w:color="auto"/>
        <w:right w:val="none" w:sz="0" w:space="0" w:color="auto"/>
      </w:divBdr>
    </w:div>
    <w:div w:id="815953562">
      <w:bodyDiv w:val="1"/>
      <w:marLeft w:val="0"/>
      <w:marRight w:val="0"/>
      <w:marTop w:val="0"/>
      <w:marBottom w:val="0"/>
      <w:divBdr>
        <w:top w:val="none" w:sz="0" w:space="0" w:color="auto"/>
        <w:left w:val="none" w:sz="0" w:space="0" w:color="auto"/>
        <w:bottom w:val="none" w:sz="0" w:space="0" w:color="auto"/>
        <w:right w:val="none" w:sz="0" w:space="0" w:color="auto"/>
      </w:divBdr>
    </w:div>
    <w:div w:id="818424102">
      <w:bodyDiv w:val="1"/>
      <w:marLeft w:val="0"/>
      <w:marRight w:val="0"/>
      <w:marTop w:val="0"/>
      <w:marBottom w:val="0"/>
      <w:divBdr>
        <w:top w:val="none" w:sz="0" w:space="0" w:color="auto"/>
        <w:left w:val="none" w:sz="0" w:space="0" w:color="auto"/>
        <w:bottom w:val="none" w:sz="0" w:space="0" w:color="auto"/>
        <w:right w:val="none" w:sz="0" w:space="0" w:color="auto"/>
      </w:divBdr>
    </w:div>
    <w:div w:id="850069895">
      <w:bodyDiv w:val="1"/>
      <w:marLeft w:val="0"/>
      <w:marRight w:val="0"/>
      <w:marTop w:val="0"/>
      <w:marBottom w:val="0"/>
      <w:divBdr>
        <w:top w:val="none" w:sz="0" w:space="0" w:color="auto"/>
        <w:left w:val="none" w:sz="0" w:space="0" w:color="auto"/>
        <w:bottom w:val="none" w:sz="0" w:space="0" w:color="auto"/>
        <w:right w:val="none" w:sz="0" w:space="0" w:color="auto"/>
      </w:divBdr>
    </w:div>
    <w:div w:id="858815935">
      <w:bodyDiv w:val="1"/>
      <w:marLeft w:val="0"/>
      <w:marRight w:val="0"/>
      <w:marTop w:val="0"/>
      <w:marBottom w:val="0"/>
      <w:divBdr>
        <w:top w:val="none" w:sz="0" w:space="0" w:color="auto"/>
        <w:left w:val="none" w:sz="0" w:space="0" w:color="auto"/>
        <w:bottom w:val="none" w:sz="0" w:space="0" w:color="auto"/>
        <w:right w:val="none" w:sz="0" w:space="0" w:color="auto"/>
      </w:divBdr>
    </w:div>
    <w:div w:id="871842878">
      <w:bodyDiv w:val="1"/>
      <w:marLeft w:val="0"/>
      <w:marRight w:val="0"/>
      <w:marTop w:val="0"/>
      <w:marBottom w:val="0"/>
      <w:divBdr>
        <w:top w:val="none" w:sz="0" w:space="0" w:color="auto"/>
        <w:left w:val="none" w:sz="0" w:space="0" w:color="auto"/>
        <w:bottom w:val="none" w:sz="0" w:space="0" w:color="auto"/>
        <w:right w:val="none" w:sz="0" w:space="0" w:color="auto"/>
      </w:divBdr>
    </w:div>
    <w:div w:id="910384817">
      <w:bodyDiv w:val="1"/>
      <w:marLeft w:val="0"/>
      <w:marRight w:val="0"/>
      <w:marTop w:val="0"/>
      <w:marBottom w:val="0"/>
      <w:divBdr>
        <w:top w:val="none" w:sz="0" w:space="0" w:color="auto"/>
        <w:left w:val="none" w:sz="0" w:space="0" w:color="auto"/>
        <w:bottom w:val="none" w:sz="0" w:space="0" w:color="auto"/>
        <w:right w:val="none" w:sz="0" w:space="0" w:color="auto"/>
      </w:divBdr>
    </w:div>
    <w:div w:id="911893446">
      <w:bodyDiv w:val="1"/>
      <w:marLeft w:val="0"/>
      <w:marRight w:val="0"/>
      <w:marTop w:val="0"/>
      <w:marBottom w:val="0"/>
      <w:divBdr>
        <w:top w:val="none" w:sz="0" w:space="0" w:color="auto"/>
        <w:left w:val="none" w:sz="0" w:space="0" w:color="auto"/>
        <w:bottom w:val="none" w:sz="0" w:space="0" w:color="auto"/>
        <w:right w:val="none" w:sz="0" w:space="0" w:color="auto"/>
      </w:divBdr>
    </w:div>
    <w:div w:id="931470948">
      <w:bodyDiv w:val="1"/>
      <w:marLeft w:val="0"/>
      <w:marRight w:val="0"/>
      <w:marTop w:val="0"/>
      <w:marBottom w:val="0"/>
      <w:divBdr>
        <w:top w:val="none" w:sz="0" w:space="0" w:color="auto"/>
        <w:left w:val="none" w:sz="0" w:space="0" w:color="auto"/>
        <w:bottom w:val="none" w:sz="0" w:space="0" w:color="auto"/>
        <w:right w:val="none" w:sz="0" w:space="0" w:color="auto"/>
      </w:divBdr>
    </w:div>
    <w:div w:id="933627663">
      <w:bodyDiv w:val="1"/>
      <w:marLeft w:val="0"/>
      <w:marRight w:val="0"/>
      <w:marTop w:val="0"/>
      <w:marBottom w:val="0"/>
      <w:divBdr>
        <w:top w:val="none" w:sz="0" w:space="0" w:color="auto"/>
        <w:left w:val="none" w:sz="0" w:space="0" w:color="auto"/>
        <w:bottom w:val="none" w:sz="0" w:space="0" w:color="auto"/>
        <w:right w:val="none" w:sz="0" w:space="0" w:color="auto"/>
      </w:divBdr>
    </w:div>
    <w:div w:id="963730631">
      <w:bodyDiv w:val="1"/>
      <w:marLeft w:val="0"/>
      <w:marRight w:val="0"/>
      <w:marTop w:val="0"/>
      <w:marBottom w:val="0"/>
      <w:divBdr>
        <w:top w:val="none" w:sz="0" w:space="0" w:color="auto"/>
        <w:left w:val="none" w:sz="0" w:space="0" w:color="auto"/>
        <w:bottom w:val="none" w:sz="0" w:space="0" w:color="auto"/>
        <w:right w:val="none" w:sz="0" w:space="0" w:color="auto"/>
      </w:divBdr>
    </w:div>
    <w:div w:id="982736296">
      <w:bodyDiv w:val="1"/>
      <w:marLeft w:val="0"/>
      <w:marRight w:val="0"/>
      <w:marTop w:val="0"/>
      <w:marBottom w:val="0"/>
      <w:divBdr>
        <w:top w:val="none" w:sz="0" w:space="0" w:color="auto"/>
        <w:left w:val="none" w:sz="0" w:space="0" w:color="auto"/>
        <w:bottom w:val="none" w:sz="0" w:space="0" w:color="auto"/>
        <w:right w:val="none" w:sz="0" w:space="0" w:color="auto"/>
      </w:divBdr>
    </w:div>
    <w:div w:id="1019545583">
      <w:bodyDiv w:val="1"/>
      <w:marLeft w:val="0"/>
      <w:marRight w:val="0"/>
      <w:marTop w:val="0"/>
      <w:marBottom w:val="0"/>
      <w:divBdr>
        <w:top w:val="none" w:sz="0" w:space="0" w:color="auto"/>
        <w:left w:val="none" w:sz="0" w:space="0" w:color="auto"/>
        <w:bottom w:val="none" w:sz="0" w:space="0" w:color="auto"/>
        <w:right w:val="none" w:sz="0" w:space="0" w:color="auto"/>
      </w:divBdr>
    </w:div>
    <w:div w:id="1030447238">
      <w:bodyDiv w:val="1"/>
      <w:marLeft w:val="0"/>
      <w:marRight w:val="0"/>
      <w:marTop w:val="0"/>
      <w:marBottom w:val="0"/>
      <w:divBdr>
        <w:top w:val="none" w:sz="0" w:space="0" w:color="auto"/>
        <w:left w:val="none" w:sz="0" w:space="0" w:color="auto"/>
        <w:bottom w:val="none" w:sz="0" w:space="0" w:color="auto"/>
        <w:right w:val="none" w:sz="0" w:space="0" w:color="auto"/>
      </w:divBdr>
    </w:div>
    <w:div w:id="1039892126">
      <w:bodyDiv w:val="1"/>
      <w:marLeft w:val="0"/>
      <w:marRight w:val="0"/>
      <w:marTop w:val="0"/>
      <w:marBottom w:val="0"/>
      <w:divBdr>
        <w:top w:val="none" w:sz="0" w:space="0" w:color="auto"/>
        <w:left w:val="none" w:sz="0" w:space="0" w:color="auto"/>
        <w:bottom w:val="none" w:sz="0" w:space="0" w:color="auto"/>
        <w:right w:val="none" w:sz="0" w:space="0" w:color="auto"/>
      </w:divBdr>
    </w:div>
    <w:div w:id="1046179572">
      <w:bodyDiv w:val="1"/>
      <w:marLeft w:val="0"/>
      <w:marRight w:val="0"/>
      <w:marTop w:val="0"/>
      <w:marBottom w:val="0"/>
      <w:divBdr>
        <w:top w:val="none" w:sz="0" w:space="0" w:color="auto"/>
        <w:left w:val="none" w:sz="0" w:space="0" w:color="auto"/>
        <w:bottom w:val="none" w:sz="0" w:space="0" w:color="auto"/>
        <w:right w:val="none" w:sz="0" w:space="0" w:color="auto"/>
      </w:divBdr>
    </w:div>
    <w:div w:id="1151871439">
      <w:bodyDiv w:val="1"/>
      <w:marLeft w:val="0"/>
      <w:marRight w:val="0"/>
      <w:marTop w:val="0"/>
      <w:marBottom w:val="0"/>
      <w:divBdr>
        <w:top w:val="none" w:sz="0" w:space="0" w:color="auto"/>
        <w:left w:val="none" w:sz="0" w:space="0" w:color="auto"/>
        <w:bottom w:val="none" w:sz="0" w:space="0" w:color="auto"/>
        <w:right w:val="none" w:sz="0" w:space="0" w:color="auto"/>
      </w:divBdr>
    </w:div>
    <w:div w:id="1208638287">
      <w:bodyDiv w:val="1"/>
      <w:marLeft w:val="0"/>
      <w:marRight w:val="0"/>
      <w:marTop w:val="0"/>
      <w:marBottom w:val="0"/>
      <w:divBdr>
        <w:top w:val="none" w:sz="0" w:space="0" w:color="auto"/>
        <w:left w:val="none" w:sz="0" w:space="0" w:color="auto"/>
        <w:bottom w:val="none" w:sz="0" w:space="0" w:color="auto"/>
        <w:right w:val="none" w:sz="0" w:space="0" w:color="auto"/>
      </w:divBdr>
    </w:div>
    <w:div w:id="1288974110">
      <w:bodyDiv w:val="1"/>
      <w:marLeft w:val="0"/>
      <w:marRight w:val="0"/>
      <w:marTop w:val="0"/>
      <w:marBottom w:val="0"/>
      <w:divBdr>
        <w:top w:val="none" w:sz="0" w:space="0" w:color="auto"/>
        <w:left w:val="none" w:sz="0" w:space="0" w:color="auto"/>
        <w:bottom w:val="none" w:sz="0" w:space="0" w:color="auto"/>
        <w:right w:val="none" w:sz="0" w:space="0" w:color="auto"/>
      </w:divBdr>
    </w:div>
    <w:div w:id="1295909780">
      <w:bodyDiv w:val="1"/>
      <w:marLeft w:val="0"/>
      <w:marRight w:val="0"/>
      <w:marTop w:val="0"/>
      <w:marBottom w:val="0"/>
      <w:divBdr>
        <w:top w:val="none" w:sz="0" w:space="0" w:color="auto"/>
        <w:left w:val="none" w:sz="0" w:space="0" w:color="auto"/>
        <w:bottom w:val="none" w:sz="0" w:space="0" w:color="auto"/>
        <w:right w:val="none" w:sz="0" w:space="0" w:color="auto"/>
      </w:divBdr>
    </w:div>
    <w:div w:id="1310793220">
      <w:bodyDiv w:val="1"/>
      <w:marLeft w:val="0"/>
      <w:marRight w:val="0"/>
      <w:marTop w:val="0"/>
      <w:marBottom w:val="0"/>
      <w:divBdr>
        <w:top w:val="none" w:sz="0" w:space="0" w:color="auto"/>
        <w:left w:val="none" w:sz="0" w:space="0" w:color="auto"/>
        <w:bottom w:val="none" w:sz="0" w:space="0" w:color="auto"/>
        <w:right w:val="none" w:sz="0" w:space="0" w:color="auto"/>
      </w:divBdr>
    </w:div>
    <w:div w:id="1382360485">
      <w:bodyDiv w:val="1"/>
      <w:marLeft w:val="0"/>
      <w:marRight w:val="0"/>
      <w:marTop w:val="0"/>
      <w:marBottom w:val="0"/>
      <w:divBdr>
        <w:top w:val="none" w:sz="0" w:space="0" w:color="auto"/>
        <w:left w:val="none" w:sz="0" w:space="0" w:color="auto"/>
        <w:bottom w:val="none" w:sz="0" w:space="0" w:color="auto"/>
        <w:right w:val="none" w:sz="0" w:space="0" w:color="auto"/>
      </w:divBdr>
    </w:div>
    <w:div w:id="1395465757">
      <w:bodyDiv w:val="1"/>
      <w:marLeft w:val="0"/>
      <w:marRight w:val="0"/>
      <w:marTop w:val="0"/>
      <w:marBottom w:val="0"/>
      <w:divBdr>
        <w:top w:val="none" w:sz="0" w:space="0" w:color="auto"/>
        <w:left w:val="none" w:sz="0" w:space="0" w:color="auto"/>
        <w:bottom w:val="none" w:sz="0" w:space="0" w:color="auto"/>
        <w:right w:val="none" w:sz="0" w:space="0" w:color="auto"/>
      </w:divBdr>
    </w:div>
    <w:div w:id="1400640059">
      <w:bodyDiv w:val="1"/>
      <w:marLeft w:val="0"/>
      <w:marRight w:val="0"/>
      <w:marTop w:val="0"/>
      <w:marBottom w:val="0"/>
      <w:divBdr>
        <w:top w:val="none" w:sz="0" w:space="0" w:color="auto"/>
        <w:left w:val="none" w:sz="0" w:space="0" w:color="auto"/>
        <w:bottom w:val="none" w:sz="0" w:space="0" w:color="auto"/>
        <w:right w:val="none" w:sz="0" w:space="0" w:color="auto"/>
      </w:divBdr>
    </w:div>
    <w:div w:id="1402287452">
      <w:bodyDiv w:val="1"/>
      <w:marLeft w:val="0"/>
      <w:marRight w:val="0"/>
      <w:marTop w:val="0"/>
      <w:marBottom w:val="0"/>
      <w:divBdr>
        <w:top w:val="none" w:sz="0" w:space="0" w:color="auto"/>
        <w:left w:val="none" w:sz="0" w:space="0" w:color="auto"/>
        <w:bottom w:val="none" w:sz="0" w:space="0" w:color="auto"/>
        <w:right w:val="none" w:sz="0" w:space="0" w:color="auto"/>
      </w:divBdr>
    </w:div>
    <w:div w:id="1460876543">
      <w:bodyDiv w:val="1"/>
      <w:marLeft w:val="0"/>
      <w:marRight w:val="0"/>
      <w:marTop w:val="0"/>
      <w:marBottom w:val="0"/>
      <w:divBdr>
        <w:top w:val="none" w:sz="0" w:space="0" w:color="auto"/>
        <w:left w:val="none" w:sz="0" w:space="0" w:color="auto"/>
        <w:bottom w:val="none" w:sz="0" w:space="0" w:color="auto"/>
        <w:right w:val="none" w:sz="0" w:space="0" w:color="auto"/>
      </w:divBdr>
    </w:div>
    <w:div w:id="1465735582">
      <w:bodyDiv w:val="1"/>
      <w:marLeft w:val="0"/>
      <w:marRight w:val="0"/>
      <w:marTop w:val="0"/>
      <w:marBottom w:val="0"/>
      <w:divBdr>
        <w:top w:val="none" w:sz="0" w:space="0" w:color="auto"/>
        <w:left w:val="none" w:sz="0" w:space="0" w:color="auto"/>
        <w:bottom w:val="none" w:sz="0" w:space="0" w:color="auto"/>
        <w:right w:val="none" w:sz="0" w:space="0" w:color="auto"/>
      </w:divBdr>
    </w:div>
    <w:div w:id="1497182239">
      <w:bodyDiv w:val="1"/>
      <w:marLeft w:val="0"/>
      <w:marRight w:val="0"/>
      <w:marTop w:val="0"/>
      <w:marBottom w:val="0"/>
      <w:divBdr>
        <w:top w:val="none" w:sz="0" w:space="0" w:color="auto"/>
        <w:left w:val="none" w:sz="0" w:space="0" w:color="auto"/>
        <w:bottom w:val="none" w:sz="0" w:space="0" w:color="auto"/>
        <w:right w:val="none" w:sz="0" w:space="0" w:color="auto"/>
      </w:divBdr>
    </w:div>
    <w:div w:id="1535188432">
      <w:bodyDiv w:val="1"/>
      <w:marLeft w:val="0"/>
      <w:marRight w:val="0"/>
      <w:marTop w:val="0"/>
      <w:marBottom w:val="0"/>
      <w:divBdr>
        <w:top w:val="none" w:sz="0" w:space="0" w:color="auto"/>
        <w:left w:val="none" w:sz="0" w:space="0" w:color="auto"/>
        <w:bottom w:val="none" w:sz="0" w:space="0" w:color="auto"/>
        <w:right w:val="none" w:sz="0" w:space="0" w:color="auto"/>
      </w:divBdr>
    </w:div>
    <w:div w:id="1535533258">
      <w:bodyDiv w:val="1"/>
      <w:marLeft w:val="0"/>
      <w:marRight w:val="0"/>
      <w:marTop w:val="0"/>
      <w:marBottom w:val="0"/>
      <w:divBdr>
        <w:top w:val="none" w:sz="0" w:space="0" w:color="auto"/>
        <w:left w:val="none" w:sz="0" w:space="0" w:color="auto"/>
        <w:bottom w:val="none" w:sz="0" w:space="0" w:color="auto"/>
        <w:right w:val="none" w:sz="0" w:space="0" w:color="auto"/>
      </w:divBdr>
    </w:div>
    <w:div w:id="1535967699">
      <w:bodyDiv w:val="1"/>
      <w:marLeft w:val="0"/>
      <w:marRight w:val="0"/>
      <w:marTop w:val="0"/>
      <w:marBottom w:val="0"/>
      <w:divBdr>
        <w:top w:val="none" w:sz="0" w:space="0" w:color="auto"/>
        <w:left w:val="none" w:sz="0" w:space="0" w:color="auto"/>
        <w:bottom w:val="none" w:sz="0" w:space="0" w:color="auto"/>
        <w:right w:val="none" w:sz="0" w:space="0" w:color="auto"/>
      </w:divBdr>
    </w:div>
    <w:div w:id="1538930297">
      <w:bodyDiv w:val="1"/>
      <w:marLeft w:val="0"/>
      <w:marRight w:val="0"/>
      <w:marTop w:val="0"/>
      <w:marBottom w:val="0"/>
      <w:divBdr>
        <w:top w:val="none" w:sz="0" w:space="0" w:color="auto"/>
        <w:left w:val="none" w:sz="0" w:space="0" w:color="auto"/>
        <w:bottom w:val="none" w:sz="0" w:space="0" w:color="auto"/>
        <w:right w:val="none" w:sz="0" w:space="0" w:color="auto"/>
      </w:divBdr>
    </w:div>
    <w:div w:id="1571387469">
      <w:bodyDiv w:val="1"/>
      <w:marLeft w:val="0"/>
      <w:marRight w:val="0"/>
      <w:marTop w:val="0"/>
      <w:marBottom w:val="0"/>
      <w:divBdr>
        <w:top w:val="none" w:sz="0" w:space="0" w:color="auto"/>
        <w:left w:val="none" w:sz="0" w:space="0" w:color="auto"/>
        <w:bottom w:val="none" w:sz="0" w:space="0" w:color="auto"/>
        <w:right w:val="none" w:sz="0" w:space="0" w:color="auto"/>
      </w:divBdr>
    </w:div>
    <w:div w:id="1585528067">
      <w:bodyDiv w:val="1"/>
      <w:marLeft w:val="0"/>
      <w:marRight w:val="0"/>
      <w:marTop w:val="0"/>
      <w:marBottom w:val="0"/>
      <w:divBdr>
        <w:top w:val="none" w:sz="0" w:space="0" w:color="auto"/>
        <w:left w:val="none" w:sz="0" w:space="0" w:color="auto"/>
        <w:bottom w:val="none" w:sz="0" w:space="0" w:color="auto"/>
        <w:right w:val="none" w:sz="0" w:space="0" w:color="auto"/>
      </w:divBdr>
    </w:div>
    <w:div w:id="1592856556">
      <w:bodyDiv w:val="1"/>
      <w:marLeft w:val="0"/>
      <w:marRight w:val="0"/>
      <w:marTop w:val="0"/>
      <w:marBottom w:val="0"/>
      <w:divBdr>
        <w:top w:val="none" w:sz="0" w:space="0" w:color="auto"/>
        <w:left w:val="none" w:sz="0" w:space="0" w:color="auto"/>
        <w:bottom w:val="none" w:sz="0" w:space="0" w:color="auto"/>
        <w:right w:val="none" w:sz="0" w:space="0" w:color="auto"/>
      </w:divBdr>
    </w:div>
    <w:div w:id="1608656244">
      <w:bodyDiv w:val="1"/>
      <w:marLeft w:val="0"/>
      <w:marRight w:val="0"/>
      <w:marTop w:val="0"/>
      <w:marBottom w:val="0"/>
      <w:divBdr>
        <w:top w:val="none" w:sz="0" w:space="0" w:color="auto"/>
        <w:left w:val="none" w:sz="0" w:space="0" w:color="auto"/>
        <w:bottom w:val="none" w:sz="0" w:space="0" w:color="auto"/>
        <w:right w:val="none" w:sz="0" w:space="0" w:color="auto"/>
      </w:divBdr>
    </w:div>
    <w:div w:id="1610895911">
      <w:bodyDiv w:val="1"/>
      <w:marLeft w:val="0"/>
      <w:marRight w:val="0"/>
      <w:marTop w:val="0"/>
      <w:marBottom w:val="0"/>
      <w:divBdr>
        <w:top w:val="none" w:sz="0" w:space="0" w:color="auto"/>
        <w:left w:val="none" w:sz="0" w:space="0" w:color="auto"/>
        <w:bottom w:val="none" w:sz="0" w:space="0" w:color="auto"/>
        <w:right w:val="none" w:sz="0" w:space="0" w:color="auto"/>
      </w:divBdr>
    </w:div>
    <w:div w:id="1643071333">
      <w:bodyDiv w:val="1"/>
      <w:marLeft w:val="0"/>
      <w:marRight w:val="0"/>
      <w:marTop w:val="0"/>
      <w:marBottom w:val="0"/>
      <w:divBdr>
        <w:top w:val="none" w:sz="0" w:space="0" w:color="auto"/>
        <w:left w:val="none" w:sz="0" w:space="0" w:color="auto"/>
        <w:bottom w:val="none" w:sz="0" w:space="0" w:color="auto"/>
        <w:right w:val="none" w:sz="0" w:space="0" w:color="auto"/>
      </w:divBdr>
    </w:div>
    <w:div w:id="1682006909">
      <w:bodyDiv w:val="1"/>
      <w:marLeft w:val="0"/>
      <w:marRight w:val="0"/>
      <w:marTop w:val="0"/>
      <w:marBottom w:val="0"/>
      <w:divBdr>
        <w:top w:val="none" w:sz="0" w:space="0" w:color="auto"/>
        <w:left w:val="none" w:sz="0" w:space="0" w:color="auto"/>
        <w:bottom w:val="none" w:sz="0" w:space="0" w:color="auto"/>
        <w:right w:val="none" w:sz="0" w:space="0" w:color="auto"/>
      </w:divBdr>
    </w:div>
    <w:div w:id="1725059625">
      <w:bodyDiv w:val="1"/>
      <w:marLeft w:val="0"/>
      <w:marRight w:val="0"/>
      <w:marTop w:val="0"/>
      <w:marBottom w:val="0"/>
      <w:divBdr>
        <w:top w:val="none" w:sz="0" w:space="0" w:color="auto"/>
        <w:left w:val="none" w:sz="0" w:space="0" w:color="auto"/>
        <w:bottom w:val="none" w:sz="0" w:space="0" w:color="auto"/>
        <w:right w:val="none" w:sz="0" w:space="0" w:color="auto"/>
      </w:divBdr>
    </w:div>
    <w:div w:id="1767576917">
      <w:bodyDiv w:val="1"/>
      <w:marLeft w:val="0"/>
      <w:marRight w:val="0"/>
      <w:marTop w:val="0"/>
      <w:marBottom w:val="0"/>
      <w:divBdr>
        <w:top w:val="none" w:sz="0" w:space="0" w:color="auto"/>
        <w:left w:val="none" w:sz="0" w:space="0" w:color="auto"/>
        <w:bottom w:val="none" w:sz="0" w:space="0" w:color="auto"/>
        <w:right w:val="none" w:sz="0" w:space="0" w:color="auto"/>
      </w:divBdr>
    </w:div>
    <w:div w:id="1811557570">
      <w:bodyDiv w:val="1"/>
      <w:marLeft w:val="0"/>
      <w:marRight w:val="0"/>
      <w:marTop w:val="0"/>
      <w:marBottom w:val="0"/>
      <w:divBdr>
        <w:top w:val="none" w:sz="0" w:space="0" w:color="auto"/>
        <w:left w:val="none" w:sz="0" w:space="0" w:color="auto"/>
        <w:bottom w:val="none" w:sz="0" w:space="0" w:color="auto"/>
        <w:right w:val="none" w:sz="0" w:space="0" w:color="auto"/>
      </w:divBdr>
    </w:div>
    <w:div w:id="1872569553">
      <w:bodyDiv w:val="1"/>
      <w:marLeft w:val="0"/>
      <w:marRight w:val="0"/>
      <w:marTop w:val="0"/>
      <w:marBottom w:val="0"/>
      <w:divBdr>
        <w:top w:val="none" w:sz="0" w:space="0" w:color="auto"/>
        <w:left w:val="none" w:sz="0" w:space="0" w:color="auto"/>
        <w:bottom w:val="none" w:sz="0" w:space="0" w:color="auto"/>
        <w:right w:val="none" w:sz="0" w:space="0" w:color="auto"/>
      </w:divBdr>
    </w:div>
    <w:div w:id="1923948837">
      <w:bodyDiv w:val="1"/>
      <w:marLeft w:val="0"/>
      <w:marRight w:val="0"/>
      <w:marTop w:val="0"/>
      <w:marBottom w:val="0"/>
      <w:divBdr>
        <w:top w:val="none" w:sz="0" w:space="0" w:color="auto"/>
        <w:left w:val="none" w:sz="0" w:space="0" w:color="auto"/>
        <w:bottom w:val="none" w:sz="0" w:space="0" w:color="auto"/>
        <w:right w:val="none" w:sz="0" w:space="0" w:color="auto"/>
      </w:divBdr>
    </w:div>
    <w:div w:id="1944993101">
      <w:bodyDiv w:val="1"/>
      <w:marLeft w:val="0"/>
      <w:marRight w:val="0"/>
      <w:marTop w:val="0"/>
      <w:marBottom w:val="0"/>
      <w:divBdr>
        <w:top w:val="none" w:sz="0" w:space="0" w:color="auto"/>
        <w:left w:val="none" w:sz="0" w:space="0" w:color="auto"/>
        <w:bottom w:val="none" w:sz="0" w:space="0" w:color="auto"/>
        <w:right w:val="none" w:sz="0" w:space="0" w:color="auto"/>
      </w:divBdr>
    </w:div>
    <w:div w:id="1947761931">
      <w:bodyDiv w:val="1"/>
      <w:marLeft w:val="0"/>
      <w:marRight w:val="0"/>
      <w:marTop w:val="0"/>
      <w:marBottom w:val="0"/>
      <w:divBdr>
        <w:top w:val="none" w:sz="0" w:space="0" w:color="auto"/>
        <w:left w:val="none" w:sz="0" w:space="0" w:color="auto"/>
        <w:bottom w:val="none" w:sz="0" w:space="0" w:color="auto"/>
        <w:right w:val="none" w:sz="0" w:space="0" w:color="auto"/>
      </w:divBdr>
    </w:div>
    <w:div w:id="1991055871">
      <w:bodyDiv w:val="1"/>
      <w:marLeft w:val="0"/>
      <w:marRight w:val="0"/>
      <w:marTop w:val="0"/>
      <w:marBottom w:val="0"/>
      <w:divBdr>
        <w:top w:val="none" w:sz="0" w:space="0" w:color="auto"/>
        <w:left w:val="none" w:sz="0" w:space="0" w:color="auto"/>
        <w:bottom w:val="none" w:sz="0" w:space="0" w:color="auto"/>
        <w:right w:val="none" w:sz="0" w:space="0" w:color="auto"/>
      </w:divBdr>
    </w:div>
    <w:div w:id="1991250630">
      <w:bodyDiv w:val="1"/>
      <w:marLeft w:val="0"/>
      <w:marRight w:val="0"/>
      <w:marTop w:val="0"/>
      <w:marBottom w:val="0"/>
      <w:divBdr>
        <w:top w:val="none" w:sz="0" w:space="0" w:color="auto"/>
        <w:left w:val="none" w:sz="0" w:space="0" w:color="auto"/>
        <w:bottom w:val="none" w:sz="0" w:space="0" w:color="auto"/>
        <w:right w:val="none" w:sz="0" w:space="0" w:color="auto"/>
      </w:divBdr>
    </w:div>
    <w:div w:id="2000767992">
      <w:bodyDiv w:val="1"/>
      <w:marLeft w:val="0"/>
      <w:marRight w:val="0"/>
      <w:marTop w:val="0"/>
      <w:marBottom w:val="0"/>
      <w:divBdr>
        <w:top w:val="none" w:sz="0" w:space="0" w:color="auto"/>
        <w:left w:val="none" w:sz="0" w:space="0" w:color="auto"/>
        <w:bottom w:val="none" w:sz="0" w:space="0" w:color="auto"/>
        <w:right w:val="none" w:sz="0" w:space="0" w:color="auto"/>
      </w:divBdr>
    </w:div>
    <w:div w:id="2013140393">
      <w:bodyDiv w:val="1"/>
      <w:marLeft w:val="0"/>
      <w:marRight w:val="0"/>
      <w:marTop w:val="0"/>
      <w:marBottom w:val="0"/>
      <w:divBdr>
        <w:top w:val="none" w:sz="0" w:space="0" w:color="auto"/>
        <w:left w:val="none" w:sz="0" w:space="0" w:color="auto"/>
        <w:bottom w:val="none" w:sz="0" w:space="0" w:color="auto"/>
        <w:right w:val="none" w:sz="0" w:space="0" w:color="auto"/>
      </w:divBdr>
    </w:div>
    <w:div w:id="2119448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chart" Target="charts/chart18.xml"/><Relationship Id="rId39" Type="http://schemas.openxmlformats.org/officeDocument/2006/relationships/footer" Target="footer4.xml"/><Relationship Id="rId3" Type="http://schemas.openxmlformats.org/officeDocument/2006/relationships/styles" Target="styles.xml"/><Relationship Id="rId21" Type="http://schemas.openxmlformats.org/officeDocument/2006/relationships/chart" Target="charts/chart13.xml"/><Relationship Id="rId34" Type="http://schemas.openxmlformats.org/officeDocument/2006/relationships/chart" Target="charts/chart26.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chart" Target="charts/chart17.xml"/><Relationship Id="rId33" Type="http://schemas.openxmlformats.org/officeDocument/2006/relationships/chart" Target="charts/chart25.xm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29" Type="http://schemas.openxmlformats.org/officeDocument/2006/relationships/chart" Target="charts/chart21.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chart" Target="charts/chart16.xml"/><Relationship Id="rId32" Type="http://schemas.openxmlformats.org/officeDocument/2006/relationships/chart" Target="charts/chart24.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chart" Target="charts/chart15.xml"/><Relationship Id="rId28" Type="http://schemas.openxmlformats.org/officeDocument/2006/relationships/chart" Target="charts/chart20.xml"/><Relationship Id="rId36" Type="http://schemas.openxmlformats.org/officeDocument/2006/relationships/footer" Target="footer1.xml"/><Relationship Id="rId10" Type="http://schemas.openxmlformats.org/officeDocument/2006/relationships/chart" Target="charts/chart2.xml"/><Relationship Id="rId19" Type="http://schemas.openxmlformats.org/officeDocument/2006/relationships/chart" Target="charts/chart11.xml"/><Relationship Id="rId31" Type="http://schemas.openxmlformats.org/officeDocument/2006/relationships/chart" Target="charts/chart23.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4.xml"/><Relationship Id="rId27" Type="http://schemas.openxmlformats.org/officeDocument/2006/relationships/chart" Target="charts/chart19.xml"/><Relationship Id="rId30" Type="http://schemas.openxmlformats.org/officeDocument/2006/relationships/chart" Target="charts/chart22.xml"/><Relationship Id="rId35" Type="http://schemas.openxmlformats.org/officeDocument/2006/relationships/hyperlink" Target="http://portal.mpsv.cz/sz/stat/nz/casove_rady"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epp.eurostat.ec.europa.eu/portal/page/portal/statistics/search_database" TargetMode="External"/><Relationship Id="rId2" Type="http://schemas.openxmlformats.org/officeDocument/2006/relationships/hyperlink" Target="aspi://module='ASPI'&amp;link='155/1995%20Sb.%252339'&amp;ucin-k-dni='30.12.9999'" TargetMode="External"/><Relationship Id="rId1" Type="http://schemas.openxmlformats.org/officeDocument/2006/relationships/hyperlink" Target="http://portal.mpsv.cz/sz/stat/nz/zmena_metodiky"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s-mpa-cls3-spoldisk\spoldisk\SD_o143_statistiky\45\STATISTIKY\ZAM&#282;STNANOST-ANAL&#221;ZY\2013-pol\A_tab_1p2013.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s-mpa-cls3-spoldisk\spoldisk\SD_o143_statistiky\45\STATISTIKY\ANALYZY\Rok%202013\2013%20-%20pololet&#237;\d&#237;l&#269;&#237;%20podklady\tabulky_nezam_1p2013.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s-mpa-cls3-spoldisk\spoldisk\SD_o143_statistiky\45\STATISTIKY\casove%20rady\Qstatistika\QCASRAok280.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s-mpa-cls3-spoldisk\spoldisk\SD_o143_statistiky\45\STATISTIKY\casove%20rady\Qstatistika\QCASRAok280.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s-mpa-cls3-spoldisk\spoldisk\SD_o143_statistiky\45\STATISTIKY\ANALYZY\Rok%202013\2013%20-%20pololet&#237;\d&#237;l&#269;&#237;%20podklady\tabulky_nezam_1p2013.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s-mpa-cls3-spoldisk\spoldisk\SD_o143_statistiky\45\STATISTIKY\VYROVRAD\UCHAZ.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s-mpa-cls3-spoldisk\spoldisk\SD_o143_statistiky\45\STATISTIKY\ANALYZY\Rok%202013\2013%20-%20pololet&#237;\d&#237;l&#269;&#237;%20podklady\grafy%20mezin&#225;r%20srovn&#225;n&#237;.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s-mpa-cls3-spoldisk\spoldisk\SD_o143_statistiky\45\STATISTIKY\ANALYZY\Rok%202013\2013%20-%20pololet&#237;\d&#237;l&#269;&#237;%20podklady\grafy%20mezin&#225;r%20srovn&#225;n&#237;.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s-mpa-cls3-spoldisk\spoldisk\SD_o143_statistiky\45\STATISTIKY\ANALYZY\Rok%202013\2013%20-%20pololet&#237;\d&#237;l&#269;&#237;%20podklady\grafy%20mezin&#225;r%20srovn&#225;n&#237;.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s-mpa-cls3-spoldisk\spoldisk\SD_o143_statistiky\45\STATISTIKY\ANALYZY\Rok%202013\2013%20-%20pololet&#237;\d&#237;l&#269;&#237;%20podklady\grafy%20mezin&#225;r%20srovn&#225;n&#237;.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s-mpa-cls3-spoldisk\spoldisk\SD_o143_statistiky\45\STATISTIKY\ANALYZY\Rok%202013\2013%20-%20pololet&#237;\d&#237;l&#269;&#237;%20podklady\grafy%20mezin&#225;r%20srovn&#225;n&#237;.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s-mpa-cls3-spoldisk\spoldisk\SD_o143_statistiky\45\STATISTIKY\VYROVRAD\UCHAZ.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s-mpa-cls3-spoldisk\spoldisk\SD_o143_statistiky\45\STATISTIKY\ANALYZY\Rok%202013\2013%20-%20pololet&#237;\d&#237;l&#269;&#237;%20podklady\grafy%20mezin&#225;r%20srovn&#225;n&#237;.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s-mpa-cls3-spoldisk\spoldisk\SD_o143_statistiky\45\STATISTIKY\ANALYZY\Rok%202013\2013%20-%20pololet&#237;\d&#237;l&#269;&#237;%20podklady\grafy%20mezin&#225;r%20srovn&#225;n&#237;.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s-mpa-cls3-spoldisk\spoldisk\SD_o143_statistiky\45\STATISTIKY\ANALYZY\Rok%202013\2013%20-%20pololet&#237;\d&#237;l&#269;&#237;%20podklady\grafy%20mezin&#225;r%20srovn&#225;n&#237;.xlsx"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file:///\\s-mpa-cls3-spoldisk\spoldisk\SD_o143_statistiky\45\STATISTIKY\ANALYZY\Rok%202013\2013%20-%20pololet&#237;\d&#237;l&#269;&#237;%20podklady\grafy%20mezin&#225;r%20srovn&#225;n&#237;.xlsx"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file:///\\s-mpa-cls3-spoldisk\spoldisk\SD_o143_statistiky\45\STATISTIKY\ANALYZY\Rok%202013\2013%20-%20pololet&#237;\d&#237;l&#269;&#237;%20podklady\grafy%20mezin&#225;r%20srovn&#225;n&#237;.xlsx" TargetMode="External"/></Relationships>
</file>

<file path=word/charts/_rels/chart25.xml.rels><?xml version="1.0" encoding="UTF-8" standalone="yes"?>
<Relationships xmlns="http://schemas.openxmlformats.org/package/2006/relationships"><Relationship Id="rId1" Type="http://schemas.openxmlformats.org/officeDocument/2006/relationships/oleObject" Target="file:///\\s-mpa-cls3-spoldisk\spoldisk\SD_o143_statistiky\45\STATISTIKY\ANALYZY\Rok%202013\2013%20-%20pololet&#237;\d&#237;l&#269;&#237;%20podklady\grafy%20mezin&#225;r%20srovn&#225;n&#237;.xlsx" TargetMode="External"/></Relationships>
</file>

<file path=word/charts/_rels/chart26.xml.rels><?xml version="1.0" encoding="UTF-8" standalone="yes"?>
<Relationships xmlns="http://schemas.openxmlformats.org/package/2006/relationships"><Relationship Id="rId1" Type="http://schemas.openxmlformats.org/officeDocument/2006/relationships/oleObject" Target="file:///\\s-mpa-cls3-spoldisk\spoldisk\SD_o143_statistiky\45\STATISTIKY\ANALYZY\Rok%202013\2013%20-%20pololet&#237;\d&#237;l&#269;&#237;%20podklady\grafy%20mezin&#225;r%20srovn&#225;n&#237;.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s-mpa-cls3-spoldisk\spoldisk\SD_o143_statistiky\45\STATISTIKY\VYROVRAD\UCHAZ.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s-mpa-cls3-spoldisk\spoldisk\SD_o143_statistiky\45\STATISTIKY\ANALYZY\Rok%202013\2013%20-%20pololet&#237;\d&#237;l&#269;&#237;%20podklady\tabulky_nezam_1p2013.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s-mpa-cls3-spoldisk\spoldisk\SD_o143_statistiky\45\STATISTIKY\VYROVRAD\UCHAZ.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s-mpa-cls3-spoldisk\spoldisk\SD_o143_statistiky\45\STATISTIKY\ANALYZY\Rok%202013\2013%20-%20pololet&#237;\d&#237;l&#269;&#237;%20podklady\tabulky_nezam_1p2013.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s-mpa-cls3-spoldisk\spoldisk\SD_o143_statistiky\45\STATISTIKY\VYROVRAD\UCHAZ.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s-mpa-cls3-spoldisk\spoldisk\SD_o143_statistiky\45\STATISTIKY\VYROVRAD\UCHAZ.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s-mpa-cls3-spoldisk\spoldisk\SD_o143_statistiky\45\STATISTIKY\VYROVRAD\UCHAZ.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cs-CZ" sz="1400"/>
              <a:t>Vývoj zaměstnanosti v letech 2011 až 2013 </a:t>
            </a:r>
          </a:p>
          <a:p>
            <a:pPr>
              <a:defRPr/>
            </a:pPr>
            <a:r>
              <a:rPr lang="cs-CZ" sz="1200"/>
              <a:t>(po čtvrtletích, v tis. osob)</a:t>
            </a:r>
          </a:p>
        </c:rich>
      </c:tx>
      <c:overlay val="0"/>
    </c:title>
    <c:autoTitleDeleted val="0"/>
    <c:plotArea>
      <c:layout>
        <c:manualLayout>
          <c:layoutTarget val="inner"/>
          <c:xMode val="edge"/>
          <c:yMode val="edge"/>
          <c:x val="0.10503322501353997"/>
          <c:y val="0.20433405173946756"/>
          <c:w val="0.86441140562454"/>
          <c:h val="0.62451949320288447"/>
        </c:manualLayout>
      </c:layout>
      <c:barChart>
        <c:barDir val="col"/>
        <c:grouping val="clustered"/>
        <c:varyColors val="0"/>
        <c:ser>
          <c:idx val="2"/>
          <c:order val="0"/>
          <c:tx>
            <c:strRef>
              <c:f>'graf zam'!$O$4:$R$4</c:f>
              <c:strCache>
                <c:ptCount val="1"/>
                <c:pt idx="0">
                  <c:v>2011</c:v>
                </c:pt>
              </c:strCache>
            </c:strRef>
          </c:tx>
          <c:invertIfNegative val="0"/>
          <c:dLbls>
            <c:dLbl>
              <c:idx val="0"/>
              <c:layout>
                <c:manualLayout>
                  <c:x val="0"/>
                  <c:y val="1.0624171467992737E-2"/>
                </c:manualLayout>
              </c:layout>
              <c:showLegendKey val="0"/>
              <c:showVal val="1"/>
              <c:showCatName val="0"/>
              <c:showSerName val="0"/>
              <c:showPercent val="0"/>
              <c:showBubbleSize val="0"/>
            </c:dLbl>
            <c:dLbl>
              <c:idx val="2"/>
              <c:layout>
                <c:manualLayout>
                  <c:x val="-1.0804970286331712E-2"/>
                  <c:y val="-3.5413904893309336E-3"/>
                </c:manualLayout>
              </c:layout>
              <c:showLegendKey val="0"/>
              <c:showVal val="1"/>
              <c:showCatName val="0"/>
              <c:showSerName val="0"/>
              <c:showPercent val="0"/>
              <c:showBubbleSize val="0"/>
            </c:dLbl>
            <c:dLbl>
              <c:idx val="3"/>
              <c:layout>
                <c:manualLayout>
                  <c:x val="-8.6439762290653702E-3"/>
                  <c:y val="-2.4789733425316537E-2"/>
                </c:manualLayout>
              </c:layout>
              <c:showLegendKey val="0"/>
              <c:showVal val="1"/>
              <c:showCatName val="0"/>
              <c:showSerName val="0"/>
              <c:showPercent val="0"/>
              <c:showBubbleSize val="0"/>
            </c:dLbl>
            <c:txPr>
              <a:bodyPr/>
              <a:lstStyle/>
              <a:p>
                <a:pPr>
                  <a:defRPr sz="800"/>
                </a:pPr>
                <a:endParaRPr lang="cs-CZ"/>
              </a:p>
            </c:txPr>
            <c:showLegendKey val="0"/>
            <c:showVal val="1"/>
            <c:showCatName val="0"/>
            <c:showSerName val="0"/>
            <c:showPercent val="0"/>
            <c:showBubbleSize val="0"/>
            <c:showLeaderLines val="0"/>
          </c:dLbls>
          <c:val>
            <c:numRef>
              <c:f>'graf zam'!$O$6:$R$6</c:f>
              <c:numCache>
                <c:formatCode>0.0</c:formatCode>
                <c:ptCount val="4"/>
                <c:pt idx="0">
                  <c:v>4832.4305766699972</c:v>
                </c:pt>
                <c:pt idx="1">
                  <c:v>4876.35575633999</c:v>
                </c:pt>
                <c:pt idx="2">
                  <c:v>4895.343992060014</c:v>
                </c:pt>
                <c:pt idx="3">
                  <c:v>4885.4948283498643</c:v>
                </c:pt>
              </c:numCache>
            </c:numRef>
          </c:val>
        </c:ser>
        <c:ser>
          <c:idx val="0"/>
          <c:order val="1"/>
          <c:tx>
            <c:strRef>
              <c:f>'graf zam'!$S$4:$V$4</c:f>
              <c:strCache>
                <c:ptCount val="1"/>
                <c:pt idx="0">
                  <c:v>2012</c:v>
                </c:pt>
              </c:strCache>
            </c:strRef>
          </c:tx>
          <c:invertIfNegative val="0"/>
          <c:dLbls>
            <c:dLbl>
              <c:idx val="0"/>
              <c:layout>
                <c:manualLayout>
                  <c:x val="-7.4059138069653774E-3"/>
                  <c:y val="-3.8955295382640205E-2"/>
                </c:manualLayout>
              </c:layout>
              <c:showLegendKey val="0"/>
              <c:showVal val="1"/>
              <c:showCatName val="0"/>
              <c:showSerName val="0"/>
              <c:showPercent val="0"/>
              <c:showBubbleSize val="0"/>
            </c:dLbl>
            <c:dLbl>
              <c:idx val="1"/>
              <c:layout>
                <c:manualLayout>
                  <c:x val="-1.0183727034120734E-2"/>
                  <c:y val="-2.7242773750879072E-2"/>
                </c:manualLayout>
              </c:layout>
              <c:showLegendKey val="0"/>
              <c:showVal val="1"/>
              <c:showCatName val="0"/>
              <c:showSerName val="0"/>
              <c:showPercent val="0"/>
              <c:showBubbleSize val="0"/>
            </c:dLbl>
            <c:dLbl>
              <c:idx val="2"/>
              <c:layout>
                <c:manualLayout>
                  <c:x val="3.3990564793663354E-3"/>
                  <c:y val="9.2592024565538306E-3"/>
                </c:manualLayout>
              </c:layout>
              <c:showLegendKey val="0"/>
              <c:showVal val="1"/>
              <c:showCatName val="0"/>
              <c:showSerName val="0"/>
              <c:showPercent val="0"/>
              <c:showBubbleSize val="0"/>
            </c:dLbl>
            <c:dLbl>
              <c:idx val="3"/>
              <c:layout>
                <c:manualLayout>
                  <c:x val="-1.1111111111111009E-2"/>
                  <c:y val="0"/>
                </c:manualLayout>
              </c:layout>
              <c:showLegendKey val="0"/>
              <c:showVal val="1"/>
              <c:showCatName val="0"/>
              <c:showSerName val="0"/>
              <c:showPercent val="0"/>
              <c:showBubbleSize val="0"/>
            </c:dLbl>
            <c:numFmt formatCode="#,##0.0" sourceLinked="0"/>
            <c:txPr>
              <a:bodyPr anchor="b" anchorCtr="0"/>
              <a:lstStyle/>
              <a:p>
                <a:pPr>
                  <a:defRPr sz="800"/>
                </a:pPr>
                <a:endParaRPr lang="cs-CZ"/>
              </a:p>
            </c:txPr>
            <c:showLegendKey val="0"/>
            <c:showVal val="1"/>
            <c:showCatName val="0"/>
            <c:showSerName val="0"/>
            <c:showPercent val="0"/>
            <c:showBubbleSize val="0"/>
            <c:showLeaderLines val="0"/>
          </c:dLbls>
          <c:cat>
            <c:strRef>
              <c:f>'graf zam'!$O$5:$R$5</c:f>
              <c:strCache>
                <c:ptCount val="4"/>
                <c:pt idx="0">
                  <c:v>I.</c:v>
                </c:pt>
                <c:pt idx="1">
                  <c:v>II.</c:v>
                </c:pt>
                <c:pt idx="2">
                  <c:v>III.</c:v>
                </c:pt>
                <c:pt idx="3">
                  <c:v>IV.</c:v>
                </c:pt>
              </c:strCache>
            </c:strRef>
          </c:cat>
          <c:val>
            <c:numRef>
              <c:f>'graf zam'!$S$6:$V$6</c:f>
              <c:numCache>
                <c:formatCode>0.0</c:formatCode>
                <c:ptCount val="4"/>
                <c:pt idx="0">
                  <c:v>4834.8931548502451</c:v>
                </c:pt>
                <c:pt idx="1">
                  <c:v>4888.1341918299722</c:v>
                </c:pt>
                <c:pt idx="2">
                  <c:v>4920.5506415498276</c:v>
                </c:pt>
                <c:pt idx="3">
                  <c:v>4916.6352301799952</c:v>
                </c:pt>
              </c:numCache>
            </c:numRef>
          </c:val>
        </c:ser>
        <c:ser>
          <c:idx val="1"/>
          <c:order val="2"/>
          <c:tx>
            <c:strRef>
              <c:f>'graf zam'!$W$4:$Z$4</c:f>
              <c:strCache>
                <c:ptCount val="1"/>
                <c:pt idx="0">
                  <c:v>2013</c:v>
                </c:pt>
              </c:strCache>
            </c:strRef>
          </c:tx>
          <c:invertIfNegative val="0"/>
          <c:dLbls>
            <c:dLbl>
              <c:idx val="0"/>
              <c:layout>
                <c:manualLayout>
                  <c:x val="8.3333333333333332E-3"/>
                  <c:y val="-2.7777777777777776E-2"/>
                </c:manualLayout>
              </c:layout>
              <c:showLegendKey val="0"/>
              <c:showVal val="1"/>
              <c:showCatName val="0"/>
              <c:showSerName val="0"/>
              <c:showPercent val="0"/>
              <c:showBubbleSize val="0"/>
            </c:dLbl>
            <c:numFmt formatCode="#,##0.0" sourceLinked="0"/>
            <c:txPr>
              <a:bodyPr anchor="t" anchorCtr="1"/>
              <a:lstStyle/>
              <a:p>
                <a:pPr>
                  <a:defRPr sz="800" baseline="0"/>
                </a:pPr>
                <a:endParaRPr lang="cs-CZ"/>
              </a:p>
            </c:txPr>
            <c:showLegendKey val="0"/>
            <c:showVal val="1"/>
            <c:showCatName val="0"/>
            <c:showSerName val="0"/>
            <c:showPercent val="0"/>
            <c:showBubbleSize val="0"/>
            <c:showLeaderLines val="0"/>
          </c:dLbls>
          <c:cat>
            <c:strRef>
              <c:f>'graf zam'!$O$5:$R$5</c:f>
              <c:strCache>
                <c:ptCount val="4"/>
                <c:pt idx="0">
                  <c:v>I.</c:v>
                </c:pt>
                <c:pt idx="1">
                  <c:v>II.</c:v>
                </c:pt>
                <c:pt idx="2">
                  <c:v>III.</c:v>
                </c:pt>
                <c:pt idx="3">
                  <c:v>IV.</c:v>
                </c:pt>
              </c:strCache>
            </c:strRef>
          </c:cat>
          <c:val>
            <c:numRef>
              <c:f>'graf zam'!$W$6:$Z$6</c:f>
              <c:numCache>
                <c:formatCode>0.0</c:formatCode>
                <c:ptCount val="4"/>
                <c:pt idx="0">
                  <c:v>4884.0248671300005</c:v>
                </c:pt>
                <c:pt idx="1">
                  <c:v>4952.9907776499995</c:v>
                </c:pt>
              </c:numCache>
            </c:numRef>
          </c:val>
        </c:ser>
        <c:dLbls>
          <c:showLegendKey val="0"/>
          <c:showVal val="0"/>
          <c:showCatName val="0"/>
          <c:showSerName val="0"/>
          <c:showPercent val="0"/>
          <c:showBubbleSize val="0"/>
        </c:dLbls>
        <c:gapWidth val="150"/>
        <c:axId val="120627968"/>
        <c:axId val="120629888"/>
      </c:barChart>
      <c:catAx>
        <c:axId val="120627968"/>
        <c:scaling>
          <c:orientation val="minMax"/>
        </c:scaling>
        <c:delete val="0"/>
        <c:axPos val="b"/>
        <c:majorTickMark val="none"/>
        <c:minorTickMark val="none"/>
        <c:tickLblPos val="nextTo"/>
        <c:crossAx val="120629888"/>
        <c:crosses val="autoZero"/>
        <c:auto val="1"/>
        <c:lblAlgn val="ctr"/>
        <c:lblOffset val="100"/>
        <c:noMultiLvlLbl val="0"/>
      </c:catAx>
      <c:valAx>
        <c:axId val="120629888"/>
        <c:scaling>
          <c:orientation val="minMax"/>
        </c:scaling>
        <c:delete val="0"/>
        <c:axPos val="l"/>
        <c:majorGridlines/>
        <c:numFmt formatCode="0.0" sourceLinked="1"/>
        <c:majorTickMark val="none"/>
        <c:minorTickMark val="none"/>
        <c:tickLblPos val="nextTo"/>
        <c:txPr>
          <a:bodyPr/>
          <a:lstStyle/>
          <a:p>
            <a:pPr>
              <a:defRPr sz="800"/>
            </a:pPr>
            <a:endParaRPr lang="cs-CZ"/>
          </a:p>
        </c:txPr>
        <c:crossAx val="120627968"/>
        <c:crosses val="autoZero"/>
        <c:crossBetween val="between"/>
        <c:minorUnit val="50"/>
      </c:valAx>
      <c:spPr>
        <a:ln>
          <a:solidFill>
            <a:schemeClr val="tx1"/>
          </a:solidFill>
        </a:ln>
      </c:spPr>
    </c:plotArea>
    <c:legend>
      <c:legendPos val="b"/>
      <c:layout>
        <c:manualLayout>
          <c:xMode val="edge"/>
          <c:yMode val="edge"/>
          <c:x val="0.21458565119633083"/>
          <c:y val="0.90179401993355479"/>
          <c:w val="0.59114451860454231"/>
          <c:h val="6.4038657483961967E-2"/>
        </c:manualLayout>
      </c:layout>
      <c:overlay val="0"/>
    </c:legend>
    <c:plotVisOnly val="1"/>
    <c:dispBlanksAs val="gap"/>
    <c:showDLblsOverMax val="0"/>
  </c:chart>
  <c:spPr>
    <a:ln>
      <a:solidFill>
        <a:schemeClr val="accent1">
          <a:lumMod val="75000"/>
        </a:schemeClr>
      </a:solidFill>
    </a:ln>
  </c:sp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400"/>
              <a:t>Věková</a:t>
            </a:r>
            <a:r>
              <a:rPr lang="cs-CZ" sz="1400"/>
              <a:t> struktura uchazečů o zaměstnání </a:t>
            </a:r>
          </a:p>
          <a:p>
            <a:pPr>
              <a:defRPr/>
            </a:pPr>
            <a:r>
              <a:rPr lang="cs-CZ" sz="1400"/>
              <a:t>k 30.6.2012 a 2013 (podíly v %)</a:t>
            </a:r>
            <a:r>
              <a:rPr lang="en-US"/>
              <a:t> </a:t>
            </a:r>
          </a:p>
        </c:rich>
      </c:tx>
      <c:overlay val="0"/>
    </c:title>
    <c:autoTitleDeleted val="0"/>
    <c:plotArea>
      <c:layout>
        <c:manualLayout>
          <c:layoutTarget val="inner"/>
          <c:xMode val="edge"/>
          <c:yMode val="edge"/>
          <c:x val="9.3002405949256337E-2"/>
          <c:y val="0.21034615956024366"/>
          <c:w val="0.87644203849518809"/>
          <c:h val="0.65887947968768057"/>
        </c:manualLayout>
      </c:layout>
      <c:barChart>
        <c:barDir val="col"/>
        <c:grouping val="clustered"/>
        <c:varyColors val="0"/>
        <c:ser>
          <c:idx val="0"/>
          <c:order val="0"/>
          <c:tx>
            <c:strRef>
              <c:f>'tab. č. 19_5ti leté skupiny'!$M$4:$N$4</c:f>
              <c:strCache>
                <c:ptCount val="1"/>
                <c:pt idx="0">
                  <c:v>k 30. 6. 2012</c:v>
                </c:pt>
              </c:strCache>
            </c:strRef>
          </c:tx>
          <c:invertIfNegative val="0"/>
          <c:cat>
            <c:strRef>
              <c:f>('tab. č. 19_5ti leté skupiny'!$L$7:$L$8;'tab. č. 19_5ti leté skupiny'!$L$10:$L$18)</c:f>
              <c:strCache>
                <c:ptCount val="11"/>
                <c:pt idx="0">
                  <c:v>15 - 19 let</c:v>
                </c:pt>
                <c:pt idx="1">
                  <c:v>20 - 24 let</c:v>
                </c:pt>
                <c:pt idx="2">
                  <c:v>25 - 29 let</c:v>
                </c:pt>
                <c:pt idx="3">
                  <c:v>30 - 34 let</c:v>
                </c:pt>
                <c:pt idx="4">
                  <c:v>35 - 39 let</c:v>
                </c:pt>
                <c:pt idx="5">
                  <c:v>40 - 44 let</c:v>
                </c:pt>
                <c:pt idx="6">
                  <c:v>45 - 49 let</c:v>
                </c:pt>
                <c:pt idx="7">
                  <c:v>50 - 54 let</c:v>
                </c:pt>
                <c:pt idx="8">
                  <c:v>55 - 59 let</c:v>
                </c:pt>
                <c:pt idx="9">
                  <c:v>60 - 64 let</c:v>
                </c:pt>
                <c:pt idx="10">
                  <c:v>nad 65 let</c:v>
                </c:pt>
              </c:strCache>
            </c:strRef>
          </c:cat>
          <c:val>
            <c:numRef>
              <c:f>('tab. č. 19_5ti leté skupiny'!$N$7;'tab. č. 19_5ti leté skupiny'!$N$8;'tab. č. 19_5ti leté skupiny'!$N$10:$N$18)</c:f>
              <c:numCache>
                <c:formatCode>0.0</c:formatCode>
                <c:ptCount val="11"/>
                <c:pt idx="0">
                  <c:v>3.2448377581120944</c:v>
                </c:pt>
                <c:pt idx="1">
                  <c:v>13.337547408343866</c:v>
                </c:pt>
                <c:pt idx="2">
                  <c:v>11.167298777918248</c:v>
                </c:pt>
                <c:pt idx="3">
                  <c:v>11.209439528023598</c:v>
                </c:pt>
                <c:pt idx="4">
                  <c:v>12.410450906026128</c:v>
                </c:pt>
                <c:pt idx="5">
                  <c:v>10.282343025705856</c:v>
                </c:pt>
                <c:pt idx="6">
                  <c:v>10.809102402022756</c:v>
                </c:pt>
                <c:pt idx="7">
                  <c:v>11.525495153813738</c:v>
                </c:pt>
                <c:pt idx="8">
                  <c:v>13.147914032869783</c:v>
                </c:pt>
                <c:pt idx="9">
                  <c:v>2.8023598820058995</c:v>
                </c:pt>
                <c:pt idx="10">
                  <c:v>8.4281500210703755E-2</c:v>
                </c:pt>
              </c:numCache>
            </c:numRef>
          </c:val>
        </c:ser>
        <c:ser>
          <c:idx val="1"/>
          <c:order val="1"/>
          <c:tx>
            <c:strRef>
              <c:f>'tab. č. 19_5ti leté skupiny'!$O$4:$P$4</c:f>
              <c:strCache>
                <c:ptCount val="1"/>
                <c:pt idx="0">
                  <c:v>k 30. 6. 2013</c:v>
                </c:pt>
              </c:strCache>
            </c:strRef>
          </c:tx>
          <c:invertIfNegative val="0"/>
          <c:cat>
            <c:strRef>
              <c:f>('tab. č. 19_5ti leté skupiny'!$L$7:$L$8;'tab. č. 19_5ti leté skupiny'!$L$10:$L$18)</c:f>
              <c:strCache>
                <c:ptCount val="11"/>
                <c:pt idx="0">
                  <c:v>15 - 19 let</c:v>
                </c:pt>
                <c:pt idx="1">
                  <c:v>20 - 24 let</c:v>
                </c:pt>
                <c:pt idx="2">
                  <c:v>25 - 29 let</c:v>
                </c:pt>
                <c:pt idx="3">
                  <c:v>30 - 34 let</c:v>
                </c:pt>
                <c:pt idx="4">
                  <c:v>35 - 39 let</c:v>
                </c:pt>
                <c:pt idx="5">
                  <c:v>40 - 44 let</c:v>
                </c:pt>
                <c:pt idx="6">
                  <c:v>45 - 49 let</c:v>
                </c:pt>
                <c:pt idx="7">
                  <c:v>50 - 54 let</c:v>
                </c:pt>
                <c:pt idx="8">
                  <c:v>55 - 59 let</c:v>
                </c:pt>
                <c:pt idx="9">
                  <c:v>60 - 64 let</c:v>
                </c:pt>
                <c:pt idx="10">
                  <c:v>nad 65 let</c:v>
                </c:pt>
              </c:strCache>
            </c:strRef>
          </c:cat>
          <c:val>
            <c:numRef>
              <c:f>('tab. č. 19_5ti leté skupiny'!$P$7:$P$8;'tab. č. 19_5ti leté skupiny'!$P$10:$P$18)</c:f>
              <c:numCache>
                <c:formatCode>0.0</c:formatCode>
                <c:ptCount val="11"/>
                <c:pt idx="0">
                  <c:v>3.4</c:v>
                </c:pt>
                <c:pt idx="1">
                  <c:v>13.5</c:v>
                </c:pt>
                <c:pt idx="2">
                  <c:v>11.4</c:v>
                </c:pt>
                <c:pt idx="3">
                  <c:v>11.1</c:v>
                </c:pt>
                <c:pt idx="4">
                  <c:v>12.6</c:v>
                </c:pt>
                <c:pt idx="5">
                  <c:v>10.4</c:v>
                </c:pt>
                <c:pt idx="6">
                  <c:v>10.5</c:v>
                </c:pt>
                <c:pt idx="7">
                  <c:v>10.6</c:v>
                </c:pt>
                <c:pt idx="8">
                  <c:v>13</c:v>
                </c:pt>
                <c:pt idx="9">
                  <c:v>3.3</c:v>
                </c:pt>
                <c:pt idx="10">
                  <c:v>0.1</c:v>
                </c:pt>
              </c:numCache>
            </c:numRef>
          </c:val>
        </c:ser>
        <c:dLbls>
          <c:showLegendKey val="0"/>
          <c:showVal val="0"/>
          <c:showCatName val="0"/>
          <c:showSerName val="0"/>
          <c:showPercent val="0"/>
          <c:showBubbleSize val="0"/>
        </c:dLbls>
        <c:gapWidth val="112"/>
        <c:axId val="66800640"/>
        <c:axId val="87331584"/>
      </c:barChart>
      <c:catAx>
        <c:axId val="66800640"/>
        <c:scaling>
          <c:orientation val="minMax"/>
        </c:scaling>
        <c:delete val="0"/>
        <c:axPos val="b"/>
        <c:majorTickMark val="none"/>
        <c:minorTickMark val="none"/>
        <c:tickLblPos val="nextTo"/>
        <c:txPr>
          <a:bodyPr/>
          <a:lstStyle/>
          <a:p>
            <a:pPr>
              <a:defRPr sz="800"/>
            </a:pPr>
            <a:endParaRPr lang="cs-CZ"/>
          </a:p>
        </c:txPr>
        <c:crossAx val="87331584"/>
        <c:crosses val="autoZero"/>
        <c:auto val="1"/>
        <c:lblAlgn val="ctr"/>
        <c:lblOffset val="100"/>
        <c:noMultiLvlLbl val="0"/>
      </c:catAx>
      <c:valAx>
        <c:axId val="87331584"/>
        <c:scaling>
          <c:orientation val="minMax"/>
        </c:scaling>
        <c:delete val="0"/>
        <c:axPos val="l"/>
        <c:majorGridlines/>
        <c:numFmt formatCode="0.0" sourceLinked="1"/>
        <c:majorTickMark val="none"/>
        <c:minorTickMark val="none"/>
        <c:tickLblPos val="nextTo"/>
        <c:spPr>
          <a:ln w="9525">
            <a:noFill/>
          </a:ln>
        </c:spPr>
        <c:txPr>
          <a:bodyPr/>
          <a:lstStyle/>
          <a:p>
            <a:pPr>
              <a:defRPr sz="800"/>
            </a:pPr>
            <a:endParaRPr lang="cs-CZ"/>
          </a:p>
        </c:txPr>
        <c:crossAx val="66800640"/>
        <c:crosses val="autoZero"/>
        <c:crossBetween val="between"/>
      </c:valAx>
      <c:spPr>
        <a:ln>
          <a:solidFill>
            <a:schemeClr val="accent1"/>
          </a:solidFill>
        </a:ln>
      </c:spPr>
    </c:plotArea>
    <c:legend>
      <c:legendPos val="b"/>
      <c:layout>
        <c:manualLayout>
          <c:xMode val="edge"/>
          <c:yMode val="edge"/>
          <c:x val="0.25834580052493439"/>
          <c:y val="0.21764538866603941"/>
          <c:w val="0.40830839895013121"/>
          <c:h val="8.3717191601049873E-2"/>
        </c:manualLayout>
      </c:layout>
      <c:overlay val="0"/>
    </c:legend>
    <c:plotVisOnly val="1"/>
    <c:dispBlanksAs val="gap"/>
    <c:showDLblsOverMax val="0"/>
  </c:chart>
  <c:spPr>
    <a:ln>
      <a:solidFill>
        <a:schemeClr val="accent1"/>
      </a:solidFill>
    </a:ln>
  </c:sp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cs-CZ" sz="1400"/>
              <a:t>Vývoj podílu uchazečů vybraných věkových skupin </a:t>
            </a:r>
          </a:p>
          <a:p>
            <a:pPr>
              <a:defRPr/>
            </a:pPr>
            <a:r>
              <a:rPr lang="cs-CZ" sz="1200"/>
              <a:t>v letech 2008 - 2013 (k 30.6.) </a:t>
            </a:r>
          </a:p>
        </c:rich>
      </c:tx>
      <c:overlay val="0"/>
    </c:title>
    <c:autoTitleDeleted val="0"/>
    <c:plotArea>
      <c:layout>
        <c:manualLayout>
          <c:layoutTarget val="inner"/>
          <c:xMode val="edge"/>
          <c:yMode val="edge"/>
          <c:x val="9.1982654342120274E-2"/>
          <c:y val="0.18467656910665781"/>
          <c:w val="0.88494290387614594"/>
          <c:h val="0.66111605967075149"/>
        </c:manualLayout>
      </c:layout>
      <c:barChart>
        <c:barDir val="col"/>
        <c:grouping val="clustered"/>
        <c:varyColors val="0"/>
        <c:ser>
          <c:idx val="0"/>
          <c:order val="0"/>
          <c:tx>
            <c:strRef>
              <c:f>celkem!$A$17</c:f>
              <c:strCache>
                <c:ptCount val="1"/>
                <c:pt idx="0">
                  <c:v>    do 19 let</c:v>
                </c:pt>
              </c:strCache>
            </c:strRef>
          </c:tx>
          <c:invertIfNegative val="0"/>
          <c:cat>
            <c:numRef>
              <c:f>(celkem!$AP$1,celkem!$AT$1,celkem!$AX$1,celkem!$BB$1,celkem!$BF$1,celkem!$BJ$1)</c:f>
              <c:numCache>
                <c:formatCode>General</c:formatCode>
                <c:ptCount val="6"/>
                <c:pt idx="0">
                  <c:v>2008</c:v>
                </c:pt>
                <c:pt idx="1">
                  <c:v>2009</c:v>
                </c:pt>
                <c:pt idx="2">
                  <c:v>2010</c:v>
                </c:pt>
                <c:pt idx="3">
                  <c:v>2011</c:v>
                </c:pt>
                <c:pt idx="4">
                  <c:v>2012</c:v>
                </c:pt>
                <c:pt idx="5">
                  <c:v>2013</c:v>
                </c:pt>
              </c:numCache>
            </c:numRef>
          </c:cat>
          <c:val>
            <c:numRef>
              <c:f>(podíly!$AP$17,podíly!$AT$17,podíly!$AX$17,podíly!$BB$17,podíly!$BF$17,podíly!$BJ$17)</c:f>
              <c:numCache>
                <c:formatCode>0.0</c:formatCode>
                <c:ptCount val="6"/>
                <c:pt idx="0">
                  <c:v>4.2517120988317441</c:v>
                </c:pt>
                <c:pt idx="1">
                  <c:v>4.0206663718436859</c:v>
                </c:pt>
                <c:pt idx="2">
                  <c:v>4.0037962037962043</c:v>
                </c:pt>
                <c:pt idx="3">
                  <c:v>3.7892538248655425</c:v>
                </c:pt>
                <c:pt idx="4">
                  <c:v>3.2520976177131224</c:v>
                </c:pt>
                <c:pt idx="5">
                  <c:v>3.3964693888501367</c:v>
                </c:pt>
              </c:numCache>
            </c:numRef>
          </c:val>
        </c:ser>
        <c:ser>
          <c:idx val="1"/>
          <c:order val="1"/>
          <c:tx>
            <c:strRef>
              <c:f>celkem!$A$20</c:f>
              <c:strCache>
                <c:ptCount val="1"/>
                <c:pt idx="0">
                  <c:v>do 25 let</c:v>
                </c:pt>
              </c:strCache>
            </c:strRef>
          </c:tx>
          <c:invertIfNegative val="0"/>
          <c:cat>
            <c:numRef>
              <c:f>(celkem!$AP$1,celkem!$AT$1,celkem!$AX$1,celkem!$BB$1,celkem!$BF$1,celkem!$BJ$1)</c:f>
              <c:numCache>
                <c:formatCode>General</c:formatCode>
                <c:ptCount val="6"/>
                <c:pt idx="0">
                  <c:v>2008</c:v>
                </c:pt>
                <c:pt idx="1">
                  <c:v>2009</c:v>
                </c:pt>
                <c:pt idx="2">
                  <c:v>2010</c:v>
                </c:pt>
                <c:pt idx="3">
                  <c:v>2011</c:v>
                </c:pt>
                <c:pt idx="4">
                  <c:v>2012</c:v>
                </c:pt>
                <c:pt idx="5">
                  <c:v>2013</c:v>
                </c:pt>
              </c:numCache>
            </c:numRef>
          </c:cat>
          <c:val>
            <c:numRef>
              <c:f>(podíly!$AP$20,podíly!$AT$20,podíly!$AX$20,podíly!$BB$20,podíly!$BF$20,podíly!$BJ$20)</c:f>
              <c:numCache>
                <c:formatCode>0.0</c:formatCode>
                <c:ptCount val="6"/>
                <c:pt idx="0">
                  <c:v>14.706928964683765</c:v>
                </c:pt>
                <c:pt idx="1">
                  <c:v>17.006180496381226</c:v>
                </c:pt>
                <c:pt idx="2">
                  <c:v>17.251548451548452</c:v>
                </c:pt>
                <c:pt idx="3">
                  <c:v>16.688423581014046</c:v>
                </c:pt>
                <c:pt idx="4">
                  <c:v>16.584349306553499</c:v>
                </c:pt>
                <c:pt idx="5">
                  <c:v>16.846724998288536</c:v>
                </c:pt>
              </c:numCache>
            </c:numRef>
          </c:val>
        </c:ser>
        <c:ser>
          <c:idx val="2"/>
          <c:order val="2"/>
          <c:tx>
            <c:strRef>
              <c:f>celkem!$A$26</c:f>
              <c:strCache>
                <c:ptCount val="1"/>
                <c:pt idx="0">
                  <c:v>nad 50 let</c:v>
                </c:pt>
              </c:strCache>
            </c:strRef>
          </c:tx>
          <c:invertIfNegative val="0"/>
          <c:cat>
            <c:numRef>
              <c:f>(celkem!$AP$1,celkem!$AT$1,celkem!$AX$1,celkem!$BB$1,celkem!$BF$1,celkem!$BJ$1)</c:f>
              <c:numCache>
                <c:formatCode>General</c:formatCode>
                <c:ptCount val="6"/>
                <c:pt idx="0">
                  <c:v>2008</c:v>
                </c:pt>
                <c:pt idx="1">
                  <c:v>2009</c:v>
                </c:pt>
                <c:pt idx="2">
                  <c:v>2010</c:v>
                </c:pt>
                <c:pt idx="3">
                  <c:v>2011</c:v>
                </c:pt>
                <c:pt idx="4">
                  <c:v>2012</c:v>
                </c:pt>
                <c:pt idx="5">
                  <c:v>2013</c:v>
                </c:pt>
              </c:numCache>
            </c:numRef>
          </c:cat>
          <c:val>
            <c:numRef>
              <c:f>(podíly!$AP$26,podíly!$AT$26,podíly!$AX$26,podíly!$BB$26,podíly!$BF$26,podíly!$BJ$26)</c:f>
              <c:numCache>
                <c:formatCode>0.0</c:formatCode>
                <c:ptCount val="6"/>
                <c:pt idx="0">
                  <c:v>32.081039344702567</c:v>
                </c:pt>
                <c:pt idx="1">
                  <c:v>27.968202262946146</c:v>
                </c:pt>
                <c:pt idx="2">
                  <c:v>27.267932067932065</c:v>
                </c:pt>
                <c:pt idx="3">
                  <c:v>28.501697039319097</c:v>
                </c:pt>
                <c:pt idx="4">
                  <c:v>27.541267546872433</c:v>
                </c:pt>
                <c:pt idx="5">
                  <c:v>27.016890760500523</c:v>
                </c:pt>
              </c:numCache>
            </c:numRef>
          </c:val>
        </c:ser>
        <c:ser>
          <c:idx val="3"/>
          <c:order val="3"/>
          <c:tx>
            <c:strRef>
              <c:f>celkem!$A$27</c:f>
              <c:strCache>
                <c:ptCount val="1"/>
                <c:pt idx="0">
                  <c:v>    50-54 let</c:v>
                </c:pt>
              </c:strCache>
            </c:strRef>
          </c:tx>
          <c:invertIfNegative val="0"/>
          <c:cat>
            <c:numRef>
              <c:f>(celkem!$AP$1,celkem!$AT$1,celkem!$AX$1,celkem!$BB$1,celkem!$BF$1,celkem!$BJ$1)</c:f>
              <c:numCache>
                <c:formatCode>General</c:formatCode>
                <c:ptCount val="6"/>
                <c:pt idx="0">
                  <c:v>2008</c:v>
                </c:pt>
                <c:pt idx="1">
                  <c:v>2009</c:v>
                </c:pt>
                <c:pt idx="2">
                  <c:v>2010</c:v>
                </c:pt>
                <c:pt idx="3">
                  <c:v>2011</c:v>
                </c:pt>
                <c:pt idx="4">
                  <c:v>2012</c:v>
                </c:pt>
                <c:pt idx="5">
                  <c:v>2013</c:v>
                </c:pt>
              </c:numCache>
            </c:numRef>
          </c:cat>
          <c:val>
            <c:numRef>
              <c:f>(podíly!$AP$27,podíly!$AT$27,podíly!$AX$27,podíly!$BB$27,podíly!$BF$27,podíly!$BJ$27)</c:f>
              <c:numCache>
                <c:formatCode>0.0</c:formatCode>
                <c:ptCount val="6"/>
                <c:pt idx="0">
                  <c:v>15.233986840338392</c:v>
                </c:pt>
                <c:pt idx="1">
                  <c:v>12.864061438232788</c:v>
                </c:pt>
                <c:pt idx="2">
                  <c:v>12.203996003996004</c:v>
                </c:pt>
                <c:pt idx="3">
                  <c:v>11.992271944023811</c:v>
                </c:pt>
                <c:pt idx="4">
                  <c:v>11.518881720067595</c:v>
                </c:pt>
                <c:pt idx="5">
                  <c:v>10.644380015282911</c:v>
                </c:pt>
              </c:numCache>
            </c:numRef>
          </c:val>
        </c:ser>
        <c:ser>
          <c:idx val="4"/>
          <c:order val="4"/>
          <c:tx>
            <c:strRef>
              <c:f>celkem!$A$28</c:f>
              <c:strCache>
                <c:ptCount val="1"/>
                <c:pt idx="0">
                  <c:v>    55-59 let</c:v>
                </c:pt>
              </c:strCache>
            </c:strRef>
          </c:tx>
          <c:invertIfNegative val="0"/>
          <c:cat>
            <c:numRef>
              <c:f>(celkem!$AP$1,celkem!$AT$1,celkem!$AX$1,celkem!$BB$1,celkem!$BF$1,celkem!$BJ$1)</c:f>
              <c:numCache>
                <c:formatCode>General</c:formatCode>
                <c:ptCount val="6"/>
                <c:pt idx="0">
                  <c:v>2008</c:v>
                </c:pt>
                <c:pt idx="1">
                  <c:v>2009</c:v>
                </c:pt>
                <c:pt idx="2">
                  <c:v>2010</c:v>
                </c:pt>
                <c:pt idx="3">
                  <c:v>2011</c:v>
                </c:pt>
                <c:pt idx="4">
                  <c:v>2012</c:v>
                </c:pt>
                <c:pt idx="5">
                  <c:v>2013</c:v>
                </c:pt>
              </c:numCache>
            </c:numRef>
          </c:cat>
          <c:val>
            <c:numRef>
              <c:f>(podíly!$AP$28,podíly!$AT$28,podíly!$AX$28,podíly!$BB$28,podíly!$BF$28,podíly!$BJ$28)</c:f>
              <c:numCache>
                <c:formatCode>0.0</c:formatCode>
                <c:ptCount val="6"/>
                <c:pt idx="0">
                  <c:v>13.984154693165033</c:v>
                </c:pt>
                <c:pt idx="1">
                  <c:v>12.366385865754873</c:v>
                </c:pt>
                <c:pt idx="2">
                  <c:v>12.424775224775225</c:v>
                </c:pt>
                <c:pt idx="3">
                  <c:v>13.369536838807372</c:v>
                </c:pt>
                <c:pt idx="4">
                  <c:v>13.139030649871678</c:v>
                </c:pt>
                <c:pt idx="5">
                  <c:v>13.011195748908827</c:v>
                </c:pt>
              </c:numCache>
            </c:numRef>
          </c:val>
        </c:ser>
        <c:ser>
          <c:idx val="5"/>
          <c:order val="5"/>
          <c:tx>
            <c:strRef>
              <c:f>celkem!$A$29</c:f>
              <c:strCache>
                <c:ptCount val="1"/>
                <c:pt idx="0">
                  <c:v>    60 - 64 let</c:v>
                </c:pt>
              </c:strCache>
            </c:strRef>
          </c:tx>
          <c:invertIfNegative val="0"/>
          <c:cat>
            <c:numRef>
              <c:f>(celkem!$AP$1,celkem!$AT$1,celkem!$AX$1,celkem!$BB$1,celkem!$BF$1,celkem!$BJ$1)</c:f>
              <c:numCache>
                <c:formatCode>General</c:formatCode>
                <c:ptCount val="6"/>
                <c:pt idx="0">
                  <c:v>2008</c:v>
                </c:pt>
                <c:pt idx="1">
                  <c:v>2009</c:v>
                </c:pt>
                <c:pt idx="2">
                  <c:v>2010</c:v>
                </c:pt>
                <c:pt idx="3">
                  <c:v>2011</c:v>
                </c:pt>
                <c:pt idx="4">
                  <c:v>2012</c:v>
                </c:pt>
                <c:pt idx="5">
                  <c:v>2013</c:v>
                </c:pt>
              </c:numCache>
            </c:numRef>
          </c:cat>
          <c:val>
            <c:numRef>
              <c:f>(podíly!$AP$29,podíly!$AT$29,podíly!$AX$29,podíly!$BB$29,podíly!$BF$29,podíly!$BJ$29)</c:f>
              <c:numCache>
                <c:formatCode>#,##0.0</c:formatCode>
                <c:ptCount val="6"/>
                <c:pt idx="0">
                  <c:v>2.8064992614475628</c:v>
                </c:pt>
                <c:pt idx="1">
                  <c:v>2.6997875117299999</c:v>
                </c:pt>
                <c:pt idx="2">
                  <c:v>2.5954045954045957</c:v>
                </c:pt>
                <c:pt idx="3">
                  <c:v>3.0732598819904968</c:v>
                </c:pt>
                <c:pt idx="4">
                  <c:v>2.7984390605706868</c:v>
                </c:pt>
                <c:pt idx="5">
                  <c:v>3.261957581599821</c:v>
                </c:pt>
              </c:numCache>
            </c:numRef>
          </c:val>
        </c:ser>
        <c:dLbls>
          <c:showLegendKey val="0"/>
          <c:showVal val="0"/>
          <c:showCatName val="0"/>
          <c:showSerName val="0"/>
          <c:showPercent val="0"/>
          <c:showBubbleSize val="0"/>
        </c:dLbls>
        <c:gapWidth val="123"/>
        <c:overlap val="11"/>
        <c:axId val="88515328"/>
        <c:axId val="88516864"/>
      </c:barChart>
      <c:catAx>
        <c:axId val="88515328"/>
        <c:scaling>
          <c:orientation val="minMax"/>
        </c:scaling>
        <c:delete val="0"/>
        <c:axPos val="b"/>
        <c:numFmt formatCode="General" sourceLinked="1"/>
        <c:majorTickMark val="none"/>
        <c:minorTickMark val="none"/>
        <c:tickLblPos val="nextTo"/>
        <c:crossAx val="88516864"/>
        <c:crossesAt val="0"/>
        <c:auto val="1"/>
        <c:lblAlgn val="ctr"/>
        <c:lblOffset val="100"/>
        <c:noMultiLvlLbl val="0"/>
      </c:catAx>
      <c:valAx>
        <c:axId val="88516864"/>
        <c:scaling>
          <c:orientation val="minMax"/>
          <c:max val="35"/>
          <c:min val="0"/>
        </c:scaling>
        <c:delete val="0"/>
        <c:axPos val="l"/>
        <c:majorGridlines/>
        <c:numFmt formatCode="0.0" sourceLinked="1"/>
        <c:majorTickMark val="none"/>
        <c:minorTickMark val="none"/>
        <c:tickLblPos val="nextTo"/>
        <c:spPr>
          <a:ln w="9525">
            <a:noFill/>
          </a:ln>
        </c:spPr>
        <c:crossAx val="88515328"/>
        <c:crosses val="autoZero"/>
        <c:crossBetween val="between"/>
        <c:minorUnit val="5"/>
      </c:valAx>
      <c:spPr>
        <a:ln>
          <a:solidFill>
            <a:schemeClr val="accent1"/>
          </a:solidFill>
        </a:ln>
      </c:spPr>
    </c:plotArea>
    <c:legend>
      <c:legendPos val="b"/>
      <c:overlay val="0"/>
    </c:legend>
    <c:plotVisOnly val="1"/>
    <c:dispBlanksAs val="gap"/>
    <c:showDLblsOverMax val="0"/>
  </c:chart>
  <c:spPr>
    <a:noFill/>
    <a:ln>
      <a:solidFill>
        <a:schemeClr val="accent1"/>
      </a:solidFill>
    </a:ln>
  </c:sp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600"/>
            </a:pPr>
            <a:r>
              <a:rPr lang="cs-CZ" sz="1400"/>
              <a:t>Vývoj podílu uchazečů podle délky evidence</a:t>
            </a:r>
          </a:p>
          <a:p>
            <a:pPr>
              <a:defRPr sz="1600"/>
            </a:pPr>
            <a:r>
              <a:rPr lang="cs-CZ" sz="1200"/>
              <a:t>v letech 2008 - 2013 (k 30.6.) </a:t>
            </a:r>
          </a:p>
        </c:rich>
      </c:tx>
      <c:layout>
        <c:manualLayout>
          <c:xMode val="edge"/>
          <c:yMode val="edge"/>
          <c:x val="0.21884297520661158"/>
          <c:y val="2.4691358024691357E-2"/>
        </c:manualLayout>
      </c:layout>
      <c:overlay val="0"/>
    </c:title>
    <c:autoTitleDeleted val="0"/>
    <c:plotArea>
      <c:layout>
        <c:manualLayout>
          <c:layoutTarget val="inner"/>
          <c:xMode val="edge"/>
          <c:yMode val="edge"/>
          <c:x val="0.10164445969156945"/>
          <c:y val="0.18467656910665781"/>
          <c:w val="0.87528114180778749"/>
          <c:h val="0.66111605967075149"/>
        </c:manualLayout>
      </c:layout>
      <c:barChart>
        <c:barDir val="col"/>
        <c:grouping val="clustered"/>
        <c:varyColors val="0"/>
        <c:ser>
          <c:idx val="0"/>
          <c:order val="0"/>
          <c:tx>
            <c:strRef>
              <c:f>celkem!$A$60</c:f>
              <c:strCache>
                <c:ptCount val="1"/>
                <c:pt idx="0">
                  <c:v>    do 3 měsíců</c:v>
                </c:pt>
              </c:strCache>
            </c:strRef>
          </c:tx>
          <c:invertIfNegative val="0"/>
          <c:cat>
            <c:numRef>
              <c:f>(celkem!$AP$1,celkem!$AT$1,celkem!$AX$1,celkem!$BB$1,celkem!$BF$1,celkem!$BJ$1)</c:f>
              <c:numCache>
                <c:formatCode>General</c:formatCode>
                <c:ptCount val="6"/>
                <c:pt idx="0">
                  <c:v>2008</c:v>
                </c:pt>
                <c:pt idx="1">
                  <c:v>2009</c:v>
                </c:pt>
                <c:pt idx="2">
                  <c:v>2010</c:v>
                </c:pt>
                <c:pt idx="3">
                  <c:v>2011</c:v>
                </c:pt>
                <c:pt idx="4">
                  <c:v>2012</c:v>
                </c:pt>
                <c:pt idx="5">
                  <c:v>2013</c:v>
                </c:pt>
              </c:numCache>
            </c:numRef>
          </c:cat>
          <c:val>
            <c:numRef>
              <c:f>(podíly!$AP$60,podíly!$AT$60,podíly!$AX$60,podíly!$BB$60,podíly!$BF$60,podíly!$BJ$60)</c:f>
              <c:numCache>
                <c:formatCode>0.0</c:formatCode>
                <c:ptCount val="6"/>
                <c:pt idx="0">
                  <c:v>29.465556599973141</c:v>
                </c:pt>
                <c:pt idx="1">
                  <c:v>34.157327609453034</c:v>
                </c:pt>
                <c:pt idx="2">
                  <c:v>24.333466533466535</c:v>
                </c:pt>
                <c:pt idx="3">
                  <c:v>23.149704976241452</c:v>
                </c:pt>
                <c:pt idx="4">
                  <c:v>22.047637309149447</c:v>
                </c:pt>
                <c:pt idx="5">
                  <c:v>20.692985588549291</c:v>
                </c:pt>
              </c:numCache>
            </c:numRef>
          </c:val>
        </c:ser>
        <c:ser>
          <c:idx val="1"/>
          <c:order val="1"/>
          <c:tx>
            <c:strRef>
              <c:f>celkem!$A$61</c:f>
              <c:strCache>
                <c:ptCount val="1"/>
                <c:pt idx="0">
                  <c:v>    3 - 6 měsíců</c:v>
                </c:pt>
              </c:strCache>
            </c:strRef>
          </c:tx>
          <c:invertIfNegative val="0"/>
          <c:cat>
            <c:numRef>
              <c:f>(celkem!$AP$1,celkem!$AT$1,celkem!$AX$1,celkem!$BB$1,celkem!$BF$1,celkem!$BJ$1)</c:f>
              <c:numCache>
                <c:formatCode>General</c:formatCode>
                <c:ptCount val="6"/>
                <c:pt idx="0">
                  <c:v>2008</c:v>
                </c:pt>
                <c:pt idx="1">
                  <c:v>2009</c:v>
                </c:pt>
                <c:pt idx="2">
                  <c:v>2010</c:v>
                </c:pt>
                <c:pt idx="3">
                  <c:v>2011</c:v>
                </c:pt>
                <c:pt idx="4">
                  <c:v>2012</c:v>
                </c:pt>
                <c:pt idx="5">
                  <c:v>2013</c:v>
                </c:pt>
              </c:numCache>
            </c:numRef>
          </c:cat>
          <c:val>
            <c:numRef>
              <c:f>(podíly!$AP$61,podíly!$AT$61,podíly!$AX$61,podíly!$BB$61,podíly!$BF$61,podíly!$BJ$61)</c:f>
              <c:numCache>
                <c:formatCode>0.0</c:formatCode>
                <c:ptCount val="6"/>
                <c:pt idx="0">
                  <c:v>17.178729689807977</c:v>
                </c:pt>
                <c:pt idx="1">
                  <c:v>26.599216921400913</c:v>
                </c:pt>
                <c:pt idx="2">
                  <c:v>20.483116883116885</c:v>
                </c:pt>
                <c:pt idx="3">
                  <c:v>16.671087671662054</c:v>
                </c:pt>
                <c:pt idx="4">
                  <c:v>18.996135579220628</c:v>
                </c:pt>
                <c:pt idx="5">
                  <c:v>19.021856781004786</c:v>
                </c:pt>
              </c:numCache>
            </c:numRef>
          </c:val>
        </c:ser>
        <c:ser>
          <c:idx val="2"/>
          <c:order val="2"/>
          <c:tx>
            <c:strRef>
              <c:f>celkem!$A$62</c:f>
              <c:strCache>
                <c:ptCount val="1"/>
                <c:pt idx="0">
                  <c:v>    6 - 9 měsíců</c:v>
                </c:pt>
              </c:strCache>
            </c:strRef>
          </c:tx>
          <c:invertIfNegative val="0"/>
          <c:cat>
            <c:numRef>
              <c:f>(celkem!$AP$1,celkem!$AT$1,celkem!$AX$1,celkem!$BB$1,celkem!$BF$1,celkem!$BJ$1)</c:f>
              <c:numCache>
                <c:formatCode>General</c:formatCode>
                <c:ptCount val="6"/>
                <c:pt idx="0">
                  <c:v>2008</c:v>
                </c:pt>
                <c:pt idx="1">
                  <c:v>2009</c:v>
                </c:pt>
                <c:pt idx="2">
                  <c:v>2010</c:v>
                </c:pt>
                <c:pt idx="3">
                  <c:v>2011</c:v>
                </c:pt>
                <c:pt idx="4">
                  <c:v>2012</c:v>
                </c:pt>
                <c:pt idx="5">
                  <c:v>2013</c:v>
                </c:pt>
              </c:numCache>
            </c:numRef>
          </c:cat>
          <c:val>
            <c:numRef>
              <c:f>(podíly!$AP$62,podíly!$AT$62,podíly!$AX$62,podíly!$BB$62,podíly!$BF$62,podíly!$BJ$62)</c:f>
              <c:numCache>
                <c:formatCode>0.0</c:formatCode>
                <c:ptCount val="6"/>
                <c:pt idx="0">
                  <c:v>8.9596481804753587</c:v>
                </c:pt>
                <c:pt idx="1">
                  <c:v>11.167606864341879</c:v>
                </c:pt>
                <c:pt idx="2">
                  <c:v>12.729470529470529</c:v>
                </c:pt>
                <c:pt idx="3">
                  <c:v>14.323220719544672</c:v>
                </c:pt>
                <c:pt idx="4">
                  <c:v>11.857492635686683</c:v>
                </c:pt>
                <c:pt idx="5">
                  <c:v>11.891805881144849</c:v>
                </c:pt>
              </c:numCache>
            </c:numRef>
          </c:val>
        </c:ser>
        <c:ser>
          <c:idx val="3"/>
          <c:order val="3"/>
          <c:tx>
            <c:strRef>
              <c:f>celkem!$A$63</c:f>
              <c:strCache>
                <c:ptCount val="1"/>
                <c:pt idx="0">
                  <c:v>    9 - 12 měsíců</c:v>
                </c:pt>
              </c:strCache>
            </c:strRef>
          </c:tx>
          <c:invertIfNegative val="0"/>
          <c:cat>
            <c:numRef>
              <c:f>(celkem!$AP$1,celkem!$AT$1,celkem!$AX$1,celkem!$BB$1,celkem!$BF$1,celkem!$BJ$1)</c:f>
              <c:numCache>
                <c:formatCode>General</c:formatCode>
                <c:ptCount val="6"/>
                <c:pt idx="0">
                  <c:v>2008</c:v>
                </c:pt>
                <c:pt idx="1">
                  <c:v>2009</c:v>
                </c:pt>
                <c:pt idx="2">
                  <c:v>2010</c:v>
                </c:pt>
                <c:pt idx="3">
                  <c:v>2011</c:v>
                </c:pt>
                <c:pt idx="4">
                  <c:v>2012</c:v>
                </c:pt>
                <c:pt idx="5">
                  <c:v>2013</c:v>
                </c:pt>
              </c:numCache>
            </c:numRef>
          </c:cat>
          <c:val>
            <c:numRef>
              <c:f>(podíly!$AP$63,podíly!$AT$63,podíly!$AX$63,podíly!$BB$63,podíly!$BF$63,podíly!$BJ$63)</c:f>
              <c:numCache>
                <c:formatCode>0.0</c:formatCode>
                <c:ptCount val="6"/>
                <c:pt idx="0">
                  <c:v>6.4596481804753596</c:v>
                </c:pt>
                <c:pt idx="1">
                  <c:v>6.2236412076236913</c:v>
                </c:pt>
                <c:pt idx="2">
                  <c:v>10.329270729270728</c:v>
                </c:pt>
                <c:pt idx="3">
                  <c:v>8.5768889353036393</c:v>
                </c:pt>
                <c:pt idx="4">
                  <c:v>8.9671840298702463</c:v>
                </c:pt>
                <c:pt idx="5">
                  <c:v>9.4213772010812757</c:v>
                </c:pt>
              </c:numCache>
            </c:numRef>
          </c:val>
        </c:ser>
        <c:ser>
          <c:idx val="4"/>
          <c:order val="4"/>
          <c:tx>
            <c:strRef>
              <c:f>celkem!$A$64</c:f>
              <c:strCache>
                <c:ptCount val="1"/>
                <c:pt idx="0">
                  <c:v>   12 - 24 měsíců</c:v>
                </c:pt>
              </c:strCache>
            </c:strRef>
          </c:tx>
          <c:invertIfNegative val="0"/>
          <c:cat>
            <c:numRef>
              <c:f>(celkem!$AP$1,celkem!$AT$1,celkem!$AX$1,celkem!$BB$1,celkem!$BF$1,celkem!$BJ$1)</c:f>
              <c:numCache>
                <c:formatCode>General</c:formatCode>
                <c:ptCount val="6"/>
                <c:pt idx="0">
                  <c:v>2008</c:v>
                </c:pt>
                <c:pt idx="1">
                  <c:v>2009</c:v>
                </c:pt>
                <c:pt idx="2">
                  <c:v>2010</c:v>
                </c:pt>
                <c:pt idx="3">
                  <c:v>2011</c:v>
                </c:pt>
                <c:pt idx="4">
                  <c:v>2012</c:v>
                </c:pt>
                <c:pt idx="5">
                  <c:v>2013</c:v>
                </c:pt>
              </c:numCache>
            </c:numRef>
          </c:cat>
          <c:val>
            <c:numRef>
              <c:f>(podíly!$AP$64,podíly!$AT$64,podíly!$AX$64,podíly!$BB$64,podíly!$BF$64,podíly!$BJ$64)</c:f>
              <c:numCache>
                <c:formatCode>0.0</c:formatCode>
                <c:ptCount val="6"/>
                <c:pt idx="0">
                  <c:v>12.223042836041358</c:v>
                </c:pt>
                <c:pt idx="1">
                  <c:v>8.3759208723883898</c:v>
                </c:pt>
                <c:pt idx="2">
                  <c:v>18.697502497502498</c:v>
                </c:pt>
                <c:pt idx="3">
                  <c:v>17.482951281917394</c:v>
                </c:pt>
                <c:pt idx="4">
                  <c:v>16.223613844487616</c:v>
                </c:pt>
                <c:pt idx="5">
                  <c:v>17.310392933597051</c:v>
                </c:pt>
              </c:numCache>
            </c:numRef>
          </c:val>
        </c:ser>
        <c:ser>
          <c:idx val="5"/>
          <c:order val="5"/>
          <c:tx>
            <c:strRef>
              <c:f>celkem!$A$65</c:f>
              <c:strCache>
                <c:ptCount val="1"/>
                <c:pt idx="0">
                  <c:v>    nad 24 měsíce</c:v>
                </c:pt>
              </c:strCache>
            </c:strRef>
          </c:tx>
          <c:invertIfNegative val="0"/>
          <c:cat>
            <c:numRef>
              <c:f>(celkem!$AP$1,celkem!$AT$1,celkem!$AX$1,celkem!$BB$1,celkem!$BF$1,celkem!$BJ$1)</c:f>
              <c:numCache>
                <c:formatCode>General</c:formatCode>
                <c:ptCount val="6"/>
                <c:pt idx="0">
                  <c:v>2008</c:v>
                </c:pt>
                <c:pt idx="1">
                  <c:v>2009</c:v>
                </c:pt>
                <c:pt idx="2">
                  <c:v>2010</c:v>
                </c:pt>
                <c:pt idx="3">
                  <c:v>2011</c:v>
                </c:pt>
                <c:pt idx="4">
                  <c:v>2012</c:v>
                </c:pt>
                <c:pt idx="5">
                  <c:v>2013</c:v>
                </c:pt>
              </c:numCache>
            </c:numRef>
          </c:cat>
          <c:val>
            <c:numRef>
              <c:f>(podíly!$AP$65,podíly!$AT$65,podíly!$AX$65,podíly!$BB$65,podíly!$BF$65,podíly!$BJ$65)</c:f>
              <c:numCache>
                <c:formatCode>0.0</c:formatCode>
                <c:ptCount val="6"/>
                <c:pt idx="0">
                  <c:v>25.713374513226807</c:v>
                </c:pt>
                <c:pt idx="1">
                  <c:v>13.476286524792098</c:v>
                </c:pt>
                <c:pt idx="2">
                  <c:v>13.427172827172825</c:v>
                </c:pt>
                <c:pt idx="3">
                  <c:v>19.796146415330792</c:v>
                </c:pt>
                <c:pt idx="4">
                  <c:v>21.90793660158538</c:v>
                </c:pt>
                <c:pt idx="5">
                  <c:v>21.661581614622747</c:v>
                </c:pt>
              </c:numCache>
            </c:numRef>
          </c:val>
        </c:ser>
        <c:dLbls>
          <c:showLegendKey val="0"/>
          <c:showVal val="0"/>
          <c:showCatName val="0"/>
          <c:showSerName val="0"/>
          <c:showPercent val="0"/>
          <c:showBubbleSize val="0"/>
        </c:dLbls>
        <c:gapWidth val="123"/>
        <c:overlap val="11"/>
        <c:axId val="94382336"/>
        <c:axId val="94384128"/>
      </c:barChart>
      <c:catAx>
        <c:axId val="94382336"/>
        <c:scaling>
          <c:orientation val="minMax"/>
        </c:scaling>
        <c:delete val="0"/>
        <c:axPos val="b"/>
        <c:numFmt formatCode="General" sourceLinked="1"/>
        <c:majorTickMark val="none"/>
        <c:minorTickMark val="none"/>
        <c:tickLblPos val="nextTo"/>
        <c:crossAx val="94384128"/>
        <c:crosses val="autoZero"/>
        <c:auto val="1"/>
        <c:lblAlgn val="ctr"/>
        <c:lblOffset val="100"/>
        <c:noMultiLvlLbl val="0"/>
      </c:catAx>
      <c:valAx>
        <c:axId val="94384128"/>
        <c:scaling>
          <c:orientation val="minMax"/>
          <c:max val="35"/>
          <c:min val="0"/>
        </c:scaling>
        <c:delete val="0"/>
        <c:axPos val="l"/>
        <c:majorGridlines/>
        <c:numFmt formatCode="0.0" sourceLinked="1"/>
        <c:majorTickMark val="none"/>
        <c:minorTickMark val="none"/>
        <c:tickLblPos val="nextTo"/>
        <c:spPr>
          <a:ln w="9525">
            <a:noFill/>
          </a:ln>
        </c:spPr>
        <c:crossAx val="94382336"/>
        <c:crosses val="autoZero"/>
        <c:crossBetween val="between"/>
        <c:minorUnit val="5"/>
      </c:valAx>
      <c:spPr>
        <a:ln>
          <a:solidFill>
            <a:schemeClr val="accent1"/>
          </a:solidFill>
        </a:ln>
      </c:spPr>
    </c:plotArea>
    <c:legend>
      <c:legendPos val="b"/>
      <c:layout>
        <c:manualLayout>
          <c:xMode val="edge"/>
          <c:yMode val="edge"/>
          <c:x val="4.0257521528817175E-2"/>
          <c:y val="0.92149733420074631"/>
          <c:w val="0.91751881709230787"/>
          <c:h val="6.3307983937905182E-2"/>
        </c:manualLayout>
      </c:layout>
      <c:overlay val="0"/>
      <c:txPr>
        <a:bodyPr/>
        <a:lstStyle/>
        <a:p>
          <a:pPr>
            <a:defRPr sz="800"/>
          </a:pPr>
          <a:endParaRPr lang="cs-CZ"/>
        </a:p>
      </c:txPr>
    </c:legend>
    <c:plotVisOnly val="1"/>
    <c:dispBlanksAs val="gap"/>
    <c:showDLblsOverMax val="0"/>
  </c:chart>
  <c:spPr>
    <a:ln>
      <a:solidFill>
        <a:schemeClr val="accent1"/>
      </a:solidFill>
    </a:ln>
  </c:sp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cs-CZ" sz="1400"/>
              <a:t>Počet uchazečů o zaměstnání na 1 VPM </a:t>
            </a:r>
          </a:p>
          <a:p>
            <a:pPr>
              <a:defRPr/>
            </a:pPr>
            <a:r>
              <a:rPr lang="cs-CZ" sz="1400"/>
              <a:t>v jednotlivých vzdělanostních kategoriích</a:t>
            </a:r>
            <a:r>
              <a:rPr lang="cs-CZ" sz="1400" baseline="0"/>
              <a:t> </a:t>
            </a:r>
            <a:endParaRPr lang="cs-CZ" sz="1400"/>
          </a:p>
        </c:rich>
      </c:tx>
      <c:overlay val="0"/>
    </c:title>
    <c:autoTitleDeleted val="0"/>
    <c:plotArea>
      <c:layout>
        <c:manualLayout>
          <c:layoutTarget val="inner"/>
          <c:xMode val="edge"/>
          <c:yMode val="edge"/>
          <c:x val="9.3002405949256337E-2"/>
          <c:y val="0.21783529098931595"/>
          <c:w val="0.87644203849518809"/>
          <c:h val="0.59053308433241669"/>
        </c:manualLayout>
      </c:layout>
      <c:barChart>
        <c:barDir val="col"/>
        <c:grouping val="clustered"/>
        <c:varyColors val="0"/>
        <c:ser>
          <c:idx val="0"/>
          <c:order val="0"/>
          <c:tx>
            <c:strRef>
              <c:f>'Uc_VPM vzděl pololetí'!$F$1</c:f>
              <c:strCache>
                <c:ptCount val="1"/>
                <c:pt idx="0">
                  <c:v>k 30.6.2012</c:v>
                </c:pt>
              </c:strCache>
            </c:strRef>
          </c:tx>
          <c:invertIfNegative val="0"/>
          <c:cat>
            <c:strRef>
              <c:f>'Uc_VPM vzděl pololetí'!$A$5:$A$13</c:f>
              <c:strCache>
                <c:ptCount val="9"/>
                <c:pt idx="0">
                  <c:v>bez vzdělání</c:v>
                </c:pt>
                <c:pt idx="1">
                  <c:v>zákl. vzdělání</c:v>
                </c:pt>
                <c:pt idx="2">
                  <c:v>vyučen</c:v>
                </c:pt>
                <c:pt idx="3">
                  <c:v>středoškol.(bez mat.)</c:v>
                </c:pt>
                <c:pt idx="4">
                  <c:v>vyučen s mat.</c:v>
                </c:pt>
                <c:pt idx="5">
                  <c:v>ÚSV (gymn. s mat.)</c:v>
                </c:pt>
                <c:pt idx="6">
                  <c:v>ÚSO (SOš s mat.)</c:v>
                </c:pt>
                <c:pt idx="7">
                  <c:v>vyšší vzdělání</c:v>
                </c:pt>
                <c:pt idx="8">
                  <c:v>vysokoškolské</c:v>
                </c:pt>
              </c:strCache>
            </c:strRef>
          </c:cat>
          <c:val>
            <c:numRef>
              <c:f>'Uc_VPM vzděl pololetí'!$F$5:$F$13</c:f>
              <c:numCache>
                <c:formatCode>0.0</c:formatCode>
                <c:ptCount val="9"/>
                <c:pt idx="0">
                  <c:v>5.296875</c:v>
                </c:pt>
                <c:pt idx="1">
                  <c:v>9.6958104346584832</c:v>
                </c:pt>
                <c:pt idx="2">
                  <c:v>12.083790754579724</c:v>
                </c:pt>
                <c:pt idx="3">
                  <c:v>10.429508196721311</c:v>
                </c:pt>
                <c:pt idx="4">
                  <c:v>8.1166044776119399</c:v>
                </c:pt>
                <c:pt idx="5">
                  <c:v>11.866863905325443</c:v>
                </c:pt>
                <c:pt idx="6">
                  <c:v>14.996805111821086</c:v>
                </c:pt>
                <c:pt idx="7">
                  <c:v>9.0373333333333328</c:v>
                </c:pt>
                <c:pt idx="8">
                  <c:v>9.2505023442732757</c:v>
                </c:pt>
              </c:numCache>
            </c:numRef>
          </c:val>
        </c:ser>
        <c:ser>
          <c:idx val="1"/>
          <c:order val="1"/>
          <c:tx>
            <c:strRef>
              <c:f>'Uc_VPM vzděl pololetí'!$G$1</c:f>
              <c:strCache>
                <c:ptCount val="1"/>
                <c:pt idx="0">
                  <c:v>k 30.6.2013</c:v>
                </c:pt>
              </c:strCache>
            </c:strRef>
          </c:tx>
          <c:invertIfNegative val="0"/>
          <c:cat>
            <c:strRef>
              <c:f>'Uc_VPM vzděl pololetí'!$A$5:$A$13</c:f>
              <c:strCache>
                <c:ptCount val="9"/>
                <c:pt idx="0">
                  <c:v>bez vzdělání</c:v>
                </c:pt>
                <c:pt idx="1">
                  <c:v>zákl. vzdělání</c:v>
                </c:pt>
                <c:pt idx="2">
                  <c:v>vyučen</c:v>
                </c:pt>
                <c:pt idx="3">
                  <c:v>středoškol.(bez mat.)</c:v>
                </c:pt>
                <c:pt idx="4">
                  <c:v>vyučen s mat.</c:v>
                </c:pt>
                <c:pt idx="5">
                  <c:v>ÚSV (gymn. s mat.)</c:v>
                </c:pt>
                <c:pt idx="6">
                  <c:v>ÚSO (SOš s mat.)</c:v>
                </c:pt>
                <c:pt idx="7">
                  <c:v>vyšší vzdělání</c:v>
                </c:pt>
                <c:pt idx="8">
                  <c:v>vysokoškolské</c:v>
                </c:pt>
              </c:strCache>
            </c:strRef>
          </c:cat>
          <c:val>
            <c:numRef>
              <c:f>'Uc_VPM vzděl pololetí'!$G$5:$G$13</c:f>
              <c:numCache>
                <c:formatCode>0.0</c:formatCode>
                <c:ptCount val="9"/>
                <c:pt idx="0">
                  <c:v>4.9965986394557822</c:v>
                </c:pt>
                <c:pt idx="1">
                  <c:v>11.428880920364559</c:v>
                </c:pt>
                <c:pt idx="2">
                  <c:v>12.809639875693133</c:v>
                </c:pt>
                <c:pt idx="3">
                  <c:v>10.603188662533215</c:v>
                </c:pt>
                <c:pt idx="4">
                  <c:v>7.8198085726175615</c:v>
                </c:pt>
                <c:pt idx="5">
                  <c:v>9.1287339971550505</c:v>
                </c:pt>
                <c:pt idx="6">
                  <c:v>15.9810547875064</c:v>
                </c:pt>
                <c:pt idx="7">
                  <c:v>8.4761904761904763</c:v>
                </c:pt>
                <c:pt idx="8">
                  <c:v>13.943810730882975</c:v>
                </c:pt>
              </c:numCache>
            </c:numRef>
          </c:val>
        </c:ser>
        <c:dLbls>
          <c:showLegendKey val="0"/>
          <c:showVal val="0"/>
          <c:showCatName val="0"/>
          <c:showSerName val="0"/>
          <c:showPercent val="0"/>
          <c:showBubbleSize val="0"/>
        </c:dLbls>
        <c:gapWidth val="75"/>
        <c:overlap val="8"/>
        <c:axId val="94409472"/>
        <c:axId val="94411008"/>
      </c:barChart>
      <c:catAx>
        <c:axId val="94409472"/>
        <c:scaling>
          <c:orientation val="minMax"/>
        </c:scaling>
        <c:delete val="0"/>
        <c:axPos val="b"/>
        <c:majorTickMark val="none"/>
        <c:minorTickMark val="none"/>
        <c:tickLblPos val="nextTo"/>
        <c:txPr>
          <a:bodyPr rot="-1320000"/>
          <a:lstStyle/>
          <a:p>
            <a:pPr>
              <a:defRPr sz="800"/>
            </a:pPr>
            <a:endParaRPr lang="cs-CZ"/>
          </a:p>
        </c:txPr>
        <c:crossAx val="94411008"/>
        <c:crosses val="autoZero"/>
        <c:auto val="1"/>
        <c:lblAlgn val="ctr"/>
        <c:lblOffset val="100"/>
        <c:noMultiLvlLbl val="0"/>
      </c:catAx>
      <c:valAx>
        <c:axId val="94411008"/>
        <c:scaling>
          <c:orientation val="minMax"/>
        </c:scaling>
        <c:delete val="0"/>
        <c:axPos val="l"/>
        <c:majorGridlines/>
        <c:numFmt formatCode="0.0" sourceLinked="1"/>
        <c:majorTickMark val="none"/>
        <c:minorTickMark val="none"/>
        <c:tickLblPos val="nextTo"/>
        <c:spPr>
          <a:ln w="9525">
            <a:noFill/>
          </a:ln>
        </c:spPr>
        <c:crossAx val="94409472"/>
        <c:crosses val="autoZero"/>
        <c:crossBetween val="between"/>
      </c:valAx>
      <c:spPr>
        <a:ln>
          <a:solidFill>
            <a:schemeClr val="accent1"/>
          </a:solidFill>
        </a:ln>
      </c:spPr>
    </c:plotArea>
    <c:legend>
      <c:legendPos val="b"/>
      <c:layout>
        <c:manualLayout>
          <c:xMode val="edge"/>
          <c:yMode val="edge"/>
          <c:x val="0.18890135608048994"/>
          <c:y val="0.22730080097507463"/>
          <c:w val="0.38886395450568678"/>
          <c:h val="6.7253968342288209E-2"/>
        </c:manualLayout>
      </c:layout>
      <c:overlay val="0"/>
    </c:legend>
    <c:plotVisOnly val="1"/>
    <c:dispBlanksAs val="gap"/>
    <c:showDLblsOverMax val="0"/>
  </c:chart>
  <c:spPr>
    <a:ln>
      <a:solidFill>
        <a:schemeClr val="accent1"/>
      </a:solidFill>
    </a:ln>
  </c:sp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b="1" i="0" u="none" strike="noStrike" baseline="0">
                <a:solidFill>
                  <a:srgbClr val="000000"/>
                </a:solidFill>
                <a:latin typeface="Arial"/>
                <a:ea typeface="Arial"/>
                <a:cs typeface="Arial"/>
              </a:defRPr>
            </a:pPr>
            <a:r>
              <a:rPr lang="cs-CZ"/>
              <a:t>Počet uchazečů o zaměstnání v evidenci ÚP ČR 
v členění podle pohlaví (v tis.)
v období 2008 - 1. pol. 2013</a:t>
            </a:r>
          </a:p>
        </c:rich>
      </c:tx>
      <c:layout>
        <c:manualLayout>
          <c:xMode val="edge"/>
          <c:yMode val="edge"/>
          <c:x val="0.19986586183769281"/>
          <c:y val="1.607717041800643E-2"/>
        </c:manualLayout>
      </c:layout>
      <c:overlay val="0"/>
      <c:spPr>
        <a:noFill/>
        <a:ln w="25400">
          <a:noFill/>
        </a:ln>
      </c:spPr>
    </c:title>
    <c:autoTitleDeleted val="0"/>
    <c:plotArea>
      <c:layout>
        <c:manualLayout>
          <c:layoutTarget val="inner"/>
          <c:xMode val="edge"/>
          <c:yMode val="edge"/>
          <c:x val="9.8180685160833753E-2"/>
          <c:y val="0.24844587352625938"/>
          <c:w val="0.85477906810944404"/>
          <c:h val="0.60991288665603927"/>
        </c:manualLayout>
      </c:layout>
      <c:lineChart>
        <c:grouping val="standard"/>
        <c:varyColors val="0"/>
        <c:ser>
          <c:idx val="0"/>
          <c:order val="0"/>
          <c:tx>
            <c:v>uchazeči celkem</c:v>
          </c:tx>
          <c:spPr>
            <a:ln w="25400">
              <a:solidFill>
                <a:srgbClr val="008080"/>
              </a:solidFill>
              <a:prstDash val="solid"/>
            </a:ln>
          </c:spPr>
          <c:marker>
            <c:symbol val="none"/>
          </c:marker>
          <c:cat>
            <c:numRef>
              <c:f>A!$GX$9:$JQ$9</c:f>
              <c:numCache>
                <c:formatCode>General</c:formatCode>
                <c:ptCount val="72"/>
                <c:pt idx="0">
                  <c:v>2008</c:v>
                </c:pt>
                <c:pt idx="12">
                  <c:v>2009</c:v>
                </c:pt>
                <c:pt idx="24">
                  <c:v>2010</c:v>
                </c:pt>
                <c:pt idx="36">
                  <c:v>2011</c:v>
                </c:pt>
                <c:pt idx="48">
                  <c:v>2012</c:v>
                </c:pt>
                <c:pt idx="60">
                  <c:v>2013</c:v>
                </c:pt>
              </c:numCache>
            </c:numRef>
          </c:cat>
          <c:val>
            <c:numRef>
              <c:f>A!$GX$95:$JQ$95</c:f>
              <c:numCache>
                <c:formatCode>0</c:formatCode>
                <c:ptCount val="72"/>
                <c:pt idx="0">
                  <c:v>364544</c:v>
                </c:pt>
                <c:pt idx="1">
                  <c:v>355033</c:v>
                </c:pt>
                <c:pt idx="2">
                  <c:v>336297</c:v>
                </c:pt>
                <c:pt idx="3">
                  <c:v>316118</c:v>
                </c:pt>
                <c:pt idx="4">
                  <c:v>302507</c:v>
                </c:pt>
                <c:pt idx="5">
                  <c:v>297880</c:v>
                </c:pt>
                <c:pt idx="6">
                  <c:v>310058</c:v>
                </c:pt>
                <c:pt idx="7">
                  <c:v>312333</c:v>
                </c:pt>
                <c:pt idx="8">
                  <c:v>314558</c:v>
                </c:pt>
                <c:pt idx="9">
                  <c:v>311705</c:v>
                </c:pt>
                <c:pt idx="10">
                  <c:v>320299</c:v>
                </c:pt>
                <c:pt idx="11">
                  <c:v>352250</c:v>
                </c:pt>
                <c:pt idx="12">
                  <c:v>398061</c:v>
                </c:pt>
                <c:pt idx="13">
                  <c:v>428848</c:v>
                </c:pt>
                <c:pt idx="14">
                  <c:v>448912</c:v>
                </c:pt>
                <c:pt idx="15">
                  <c:v>456726</c:v>
                </c:pt>
                <c:pt idx="16">
                  <c:v>457561</c:v>
                </c:pt>
                <c:pt idx="17">
                  <c:v>463555</c:v>
                </c:pt>
                <c:pt idx="18">
                  <c:v>485319</c:v>
                </c:pt>
                <c:pt idx="19">
                  <c:v>493751</c:v>
                </c:pt>
                <c:pt idx="20">
                  <c:v>500812</c:v>
                </c:pt>
                <c:pt idx="21">
                  <c:v>498760</c:v>
                </c:pt>
                <c:pt idx="22">
                  <c:v>508909</c:v>
                </c:pt>
                <c:pt idx="23">
                  <c:v>539136</c:v>
                </c:pt>
                <c:pt idx="24">
                  <c:v>574226</c:v>
                </c:pt>
                <c:pt idx="25">
                  <c:v>583135</c:v>
                </c:pt>
                <c:pt idx="26">
                  <c:v>572824</c:v>
                </c:pt>
                <c:pt idx="27">
                  <c:v>540128</c:v>
                </c:pt>
                <c:pt idx="28">
                  <c:v>514779</c:v>
                </c:pt>
                <c:pt idx="29">
                  <c:v>500500</c:v>
                </c:pt>
                <c:pt idx="30">
                  <c:v>505284</c:v>
                </c:pt>
                <c:pt idx="31">
                  <c:v>501494</c:v>
                </c:pt>
                <c:pt idx="32">
                  <c:v>500481</c:v>
                </c:pt>
                <c:pt idx="33">
                  <c:v>495161</c:v>
                </c:pt>
                <c:pt idx="34">
                  <c:v>506640</c:v>
                </c:pt>
                <c:pt idx="35">
                  <c:v>561551</c:v>
                </c:pt>
                <c:pt idx="36">
                  <c:v>571863</c:v>
                </c:pt>
                <c:pt idx="37">
                  <c:v>566896</c:v>
                </c:pt>
                <c:pt idx="38">
                  <c:v>547762</c:v>
                </c:pt>
                <c:pt idx="39">
                  <c:v>513842</c:v>
                </c:pt>
                <c:pt idx="40">
                  <c:v>489956</c:v>
                </c:pt>
                <c:pt idx="41">
                  <c:v>478775</c:v>
                </c:pt>
                <c:pt idx="42">
                  <c:v>485584</c:v>
                </c:pt>
                <c:pt idx="43">
                  <c:v>481535</c:v>
                </c:pt>
                <c:pt idx="44">
                  <c:v>475115</c:v>
                </c:pt>
                <c:pt idx="45">
                  <c:v>470618</c:v>
                </c:pt>
                <c:pt idx="46">
                  <c:v>476404</c:v>
                </c:pt>
                <c:pt idx="47">
                  <c:v>508451</c:v>
                </c:pt>
                <c:pt idx="48">
                  <c:v>534089</c:v>
                </c:pt>
                <c:pt idx="49">
                  <c:v>541685</c:v>
                </c:pt>
                <c:pt idx="50">
                  <c:v>525180</c:v>
                </c:pt>
                <c:pt idx="51">
                  <c:v>497322</c:v>
                </c:pt>
                <c:pt idx="52">
                  <c:v>482099</c:v>
                </c:pt>
                <c:pt idx="53">
                  <c:v>474586</c:v>
                </c:pt>
                <c:pt idx="54">
                  <c:v>485597</c:v>
                </c:pt>
                <c:pt idx="55">
                  <c:v>486693</c:v>
                </c:pt>
                <c:pt idx="56">
                  <c:v>493185</c:v>
                </c:pt>
                <c:pt idx="57">
                  <c:v>496762</c:v>
                </c:pt>
                <c:pt idx="58">
                  <c:v>508498</c:v>
                </c:pt>
                <c:pt idx="59">
                  <c:v>545311</c:v>
                </c:pt>
                <c:pt idx="60">
                  <c:v>585809</c:v>
                </c:pt>
                <c:pt idx="61">
                  <c:v>593683</c:v>
                </c:pt>
                <c:pt idx="62">
                  <c:v>587768</c:v>
                </c:pt>
                <c:pt idx="63">
                  <c:v>565228</c:v>
                </c:pt>
                <c:pt idx="64">
                  <c:v>547463</c:v>
                </c:pt>
                <c:pt idx="65">
                  <c:v>540473</c:v>
                </c:pt>
              </c:numCache>
            </c:numRef>
          </c:val>
          <c:smooth val="0"/>
        </c:ser>
        <c:ser>
          <c:idx val="1"/>
          <c:order val="1"/>
          <c:tx>
            <c:v>ženy</c:v>
          </c:tx>
          <c:spPr>
            <a:ln w="25400">
              <a:solidFill>
                <a:srgbClr val="FF00FF"/>
              </a:solidFill>
              <a:prstDash val="solid"/>
            </a:ln>
          </c:spPr>
          <c:marker>
            <c:symbol val="none"/>
          </c:marker>
          <c:cat>
            <c:numRef>
              <c:f>A!$GX$9:$JQ$9</c:f>
              <c:numCache>
                <c:formatCode>General</c:formatCode>
                <c:ptCount val="72"/>
                <c:pt idx="0">
                  <c:v>2008</c:v>
                </c:pt>
                <c:pt idx="12">
                  <c:v>2009</c:v>
                </c:pt>
                <c:pt idx="24">
                  <c:v>2010</c:v>
                </c:pt>
                <c:pt idx="36">
                  <c:v>2011</c:v>
                </c:pt>
                <c:pt idx="48">
                  <c:v>2012</c:v>
                </c:pt>
                <c:pt idx="60">
                  <c:v>2013</c:v>
                </c:pt>
              </c:numCache>
            </c:numRef>
          </c:cat>
          <c:val>
            <c:numRef>
              <c:f>A!$GX$106:$JQ$106</c:f>
              <c:numCache>
                <c:formatCode>#,##0</c:formatCode>
                <c:ptCount val="72"/>
                <c:pt idx="0">
                  <c:v>192011</c:v>
                </c:pt>
                <c:pt idx="1">
                  <c:v>187568</c:v>
                </c:pt>
                <c:pt idx="2">
                  <c:v>180027</c:v>
                </c:pt>
                <c:pt idx="3">
                  <c:v>173049</c:v>
                </c:pt>
                <c:pt idx="4">
                  <c:v>167458</c:v>
                </c:pt>
                <c:pt idx="5">
                  <c:v>166538</c:v>
                </c:pt>
                <c:pt idx="6">
                  <c:v>175845</c:v>
                </c:pt>
                <c:pt idx="7">
                  <c:v>177463</c:v>
                </c:pt>
                <c:pt idx="8">
                  <c:v>175287</c:v>
                </c:pt>
                <c:pt idx="9">
                  <c:v>171974</c:v>
                </c:pt>
                <c:pt idx="10">
                  <c:v>173474</c:v>
                </c:pt>
                <c:pt idx="11">
                  <c:v>183639</c:v>
                </c:pt>
                <c:pt idx="12">
                  <c:v>198267</c:v>
                </c:pt>
                <c:pt idx="13">
                  <c:v>208845</c:v>
                </c:pt>
                <c:pt idx="14">
                  <c:v>216988</c:v>
                </c:pt>
                <c:pt idx="15">
                  <c:v>223764</c:v>
                </c:pt>
                <c:pt idx="16">
                  <c:v>226770</c:v>
                </c:pt>
                <c:pt idx="17">
                  <c:v>231758</c:v>
                </c:pt>
                <c:pt idx="18">
                  <c:v>246283</c:v>
                </c:pt>
                <c:pt idx="19">
                  <c:v>251833</c:v>
                </c:pt>
                <c:pt idx="20">
                  <c:v>253313</c:v>
                </c:pt>
                <c:pt idx="21">
                  <c:v>251011</c:v>
                </c:pt>
                <c:pt idx="22">
                  <c:v>252238</c:v>
                </c:pt>
                <c:pt idx="23">
                  <c:v>258112</c:v>
                </c:pt>
                <c:pt idx="24">
                  <c:v>264867</c:v>
                </c:pt>
                <c:pt idx="25">
                  <c:v>266511</c:v>
                </c:pt>
                <c:pt idx="26">
                  <c:v>264112</c:v>
                </c:pt>
                <c:pt idx="27">
                  <c:v>256988</c:v>
                </c:pt>
                <c:pt idx="28">
                  <c:v>251506</c:v>
                </c:pt>
                <c:pt idx="29">
                  <c:v>249265</c:v>
                </c:pt>
                <c:pt idx="30">
                  <c:v>258219</c:v>
                </c:pt>
                <c:pt idx="31">
                  <c:v>258987</c:v>
                </c:pt>
                <c:pt idx="32">
                  <c:v>257063</c:v>
                </c:pt>
                <c:pt idx="33">
                  <c:v>253888</c:v>
                </c:pt>
                <c:pt idx="34">
                  <c:v>256358</c:v>
                </c:pt>
                <c:pt idx="35">
                  <c:v>268200</c:v>
                </c:pt>
                <c:pt idx="36">
                  <c:v>266154</c:v>
                </c:pt>
                <c:pt idx="37">
                  <c:v>263172</c:v>
                </c:pt>
                <c:pt idx="38">
                  <c:v>257279</c:v>
                </c:pt>
                <c:pt idx="39">
                  <c:v>249700</c:v>
                </c:pt>
                <c:pt idx="40">
                  <c:v>244160</c:v>
                </c:pt>
                <c:pt idx="41">
                  <c:v>242808</c:v>
                </c:pt>
                <c:pt idx="42">
                  <c:v>251862</c:v>
                </c:pt>
                <c:pt idx="43">
                  <c:v>252061</c:v>
                </c:pt>
                <c:pt idx="44">
                  <c:v>246418</c:v>
                </c:pt>
                <c:pt idx="45">
                  <c:v>243601</c:v>
                </c:pt>
                <c:pt idx="46">
                  <c:v>244174</c:v>
                </c:pt>
                <c:pt idx="47">
                  <c:v>250301</c:v>
                </c:pt>
                <c:pt idx="48">
                  <c:v>256372</c:v>
                </c:pt>
                <c:pt idx="49">
                  <c:v>258425</c:v>
                </c:pt>
                <c:pt idx="50">
                  <c:v>254646</c:v>
                </c:pt>
                <c:pt idx="51">
                  <c:v>247572</c:v>
                </c:pt>
                <c:pt idx="52">
                  <c:v>245520</c:v>
                </c:pt>
                <c:pt idx="53">
                  <c:v>244487</c:v>
                </c:pt>
                <c:pt idx="54">
                  <c:v>255010</c:v>
                </c:pt>
                <c:pt idx="55">
                  <c:v>256316</c:v>
                </c:pt>
                <c:pt idx="56">
                  <c:v>257362</c:v>
                </c:pt>
                <c:pt idx="57">
                  <c:v>258198</c:v>
                </c:pt>
                <c:pt idx="58">
                  <c:v>260675</c:v>
                </c:pt>
                <c:pt idx="59">
                  <c:v>266593</c:v>
                </c:pt>
                <c:pt idx="60">
                  <c:v>274458</c:v>
                </c:pt>
                <c:pt idx="61">
                  <c:v>276702</c:v>
                </c:pt>
                <c:pt idx="62">
                  <c:v>276167</c:v>
                </c:pt>
                <c:pt idx="63">
                  <c:v>271827</c:v>
                </c:pt>
                <c:pt idx="64">
                  <c:v>268933</c:v>
                </c:pt>
                <c:pt idx="65">
                  <c:v>269168</c:v>
                </c:pt>
              </c:numCache>
            </c:numRef>
          </c:val>
          <c:smooth val="0"/>
        </c:ser>
        <c:ser>
          <c:idx val="2"/>
          <c:order val="2"/>
          <c:tx>
            <c:v>muži</c:v>
          </c:tx>
          <c:spPr>
            <a:ln w="25400">
              <a:solidFill>
                <a:srgbClr val="0000FF"/>
              </a:solidFill>
              <a:prstDash val="solid"/>
            </a:ln>
          </c:spPr>
          <c:marker>
            <c:symbol val="none"/>
          </c:marker>
          <c:cat>
            <c:numRef>
              <c:f>A!$GX$9:$JQ$9</c:f>
              <c:numCache>
                <c:formatCode>General</c:formatCode>
                <c:ptCount val="72"/>
                <c:pt idx="0">
                  <c:v>2008</c:v>
                </c:pt>
                <c:pt idx="12">
                  <c:v>2009</c:v>
                </c:pt>
                <c:pt idx="24">
                  <c:v>2010</c:v>
                </c:pt>
                <c:pt idx="36">
                  <c:v>2011</c:v>
                </c:pt>
                <c:pt idx="48">
                  <c:v>2012</c:v>
                </c:pt>
                <c:pt idx="60">
                  <c:v>2013</c:v>
                </c:pt>
              </c:numCache>
            </c:numRef>
          </c:cat>
          <c:val>
            <c:numRef>
              <c:f>A!$GX$104:$JQ$104</c:f>
              <c:numCache>
                <c:formatCode>#,##0</c:formatCode>
                <c:ptCount val="72"/>
                <c:pt idx="0">
                  <c:v>172533</c:v>
                </c:pt>
                <c:pt idx="1">
                  <c:v>167465</c:v>
                </c:pt>
                <c:pt idx="2">
                  <c:v>156270</c:v>
                </c:pt>
                <c:pt idx="3">
                  <c:v>143069</c:v>
                </c:pt>
                <c:pt idx="4">
                  <c:v>135049</c:v>
                </c:pt>
                <c:pt idx="5">
                  <c:v>131342</c:v>
                </c:pt>
                <c:pt idx="6">
                  <c:v>134213</c:v>
                </c:pt>
                <c:pt idx="7">
                  <c:v>134870</c:v>
                </c:pt>
                <c:pt idx="8">
                  <c:v>139271</c:v>
                </c:pt>
                <c:pt idx="9">
                  <c:v>139731</c:v>
                </c:pt>
                <c:pt idx="10">
                  <c:v>146825</c:v>
                </c:pt>
                <c:pt idx="11">
                  <c:v>168611</c:v>
                </c:pt>
                <c:pt idx="12">
                  <c:v>199794</c:v>
                </c:pt>
                <c:pt idx="13">
                  <c:v>220003</c:v>
                </c:pt>
                <c:pt idx="14">
                  <c:v>231924</c:v>
                </c:pt>
                <c:pt idx="15">
                  <c:v>232962</c:v>
                </c:pt>
                <c:pt idx="16">
                  <c:v>230791</c:v>
                </c:pt>
                <c:pt idx="17">
                  <c:v>231797</c:v>
                </c:pt>
                <c:pt idx="18">
                  <c:v>239036</c:v>
                </c:pt>
                <c:pt idx="19">
                  <c:v>241918</c:v>
                </c:pt>
                <c:pt idx="20">
                  <c:v>247499</c:v>
                </c:pt>
                <c:pt idx="21">
                  <c:v>247749</c:v>
                </c:pt>
                <c:pt idx="22">
                  <c:v>256671</c:v>
                </c:pt>
                <c:pt idx="23">
                  <c:v>281024</c:v>
                </c:pt>
                <c:pt idx="24">
                  <c:v>309359</c:v>
                </c:pt>
                <c:pt idx="25">
                  <c:v>316624</c:v>
                </c:pt>
                <c:pt idx="26">
                  <c:v>308712</c:v>
                </c:pt>
                <c:pt idx="27">
                  <c:v>283140</c:v>
                </c:pt>
                <c:pt idx="28">
                  <c:v>263273</c:v>
                </c:pt>
                <c:pt idx="29">
                  <c:v>251235</c:v>
                </c:pt>
                <c:pt idx="30">
                  <c:v>247065</c:v>
                </c:pt>
                <c:pt idx="31">
                  <c:v>242507</c:v>
                </c:pt>
                <c:pt idx="32">
                  <c:v>243418</c:v>
                </c:pt>
                <c:pt idx="33">
                  <c:v>241273</c:v>
                </c:pt>
                <c:pt idx="34">
                  <c:v>250282</c:v>
                </c:pt>
                <c:pt idx="35">
                  <c:v>293351</c:v>
                </c:pt>
                <c:pt idx="36">
                  <c:v>305709</c:v>
                </c:pt>
                <c:pt idx="37">
                  <c:v>303724</c:v>
                </c:pt>
                <c:pt idx="38">
                  <c:v>290483</c:v>
                </c:pt>
                <c:pt idx="39">
                  <c:v>264142</c:v>
                </c:pt>
                <c:pt idx="40">
                  <c:v>245796</c:v>
                </c:pt>
                <c:pt idx="41">
                  <c:v>235967</c:v>
                </c:pt>
                <c:pt idx="42">
                  <c:v>233722</c:v>
                </c:pt>
                <c:pt idx="43">
                  <c:v>229474</c:v>
                </c:pt>
                <c:pt idx="44">
                  <c:v>228697</c:v>
                </c:pt>
                <c:pt idx="45">
                  <c:v>227017</c:v>
                </c:pt>
                <c:pt idx="46">
                  <c:v>232230</c:v>
                </c:pt>
                <c:pt idx="47">
                  <c:v>258150</c:v>
                </c:pt>
                <c:pt idx="48">
                  <c:v>277717</c:v>
                </c:pt>
                <c:pt idx="49">
                  <c:v>283260</c:v>
                </c:pt>
                <c:pt idx="50">
                  <c:v>270534</c:v>
                </c:pt>
                <c:pt idx="51">
                  <c:v>249750</c:v>
                </c:pt>
                <c:pt idx="52">
                  <c:v>236579</c:v>
                </c:pt>
                <c:pt idx="53">
                  <c:v>230099</c:v>
                </c:pt>
                <c:pt idx="54">
                  <c:v>230587</c:v>
                </c:pt>
                <c:pt idx="55">
                  <c:v>230377</c:v>
                </c:pt>
                <c:pt idx="56">
                  <c:v>235823</c:v>
                </c:pt>
                <c:pt idx="57">
                  <c:v>238564</c:v>
                </c:pt>
                <c:pt idx="58">
                  <c:v>247823</c:v>
                </c:pt>
                <c:pt idx="59">
                  <c:v>278718</c:v>
                </c:pt>
                <c:pt idx="60">
                  <c:v>311351</c:v>
                </c:pt>
                <c:pt idx="61">
                  <c:v>316981</c:v>
                </c:pt>
                <c:pt idx="62">
                  <c:v>311601</c:v>
                </c:pt>
                <c:pt idx="63">
                  <c:v>293401</c:v>
                </c:pt>
                <c:pt idx="64">
                  <c:v>278530</c:v>
                </c:pt>
                <c:pt idx="65">
                  <c:v>271305</c:v>
                </c:pt>
              </c:numCache>
            </c:numRef>
          </c:val>
          <c:smooth val="0"/>
        </c:ser>
        <c:dLbls>
          <c:showLegendKey val="0"/>
          <c:showVal val="0"/>
          <c:showCatName val="0"/>
          <c:showSerName val="0"/>
          <c:showPercent val="0"/>
          <c:showBubbleSize val="0"/>
        </c:dLbls>
        <c:marker val="1"/>
        <c:smooth val="0"/>
        <c:axId val="94433280"/>
        <c:axId val="94434816"/>
      </c:lineChart>
      <c:catAx>
        <c:axId val="94433280"/>
        <c:scaling>
          <c:orientation val="minMax"/>
        </c:scaling>
        <c:delete val="0"/>
        <c:axPos val="b"/>
        <c:majorGridlines>
          <c:spPr>
            <a:ln w="3175">
              <a:solidFill>
                <a:srgbClr val="000000"/>
              </a:solidFill>
              <a:prstDash val="sysDash"/>
            </a:ln>
          </c:spPr>
        </c:majorGridlines>
        <c:numFmt formatCode="General" sourceLinked="1"/>
        <c:majorTickMark val="out"/>
        <c:minorTickMark val="none"/>
        <c:tickLblPos val="nextTo"/>
        <c:spPr>
          <a:ln w="3175">
            <a:solidFill>
              <a:srgbClr val="000000"/>
            </a:solidFill>
            <a:prstDash val="solid"/>
          </a:ln>
        </c:spPr>
        <c:txPr>
          <a:bodyPr rot="60000" vert="horz"/>
          <a:lstStyle/>
          <a:p>
            <a:pPr>
              <a:defRPr sz="900" b="1" i="0" u="none" strike="noStrike" baseline="0">
                <a:solidFill>
                  <a:srgbClr val="000000"/>
                </a:solidFill>
                <a:latin typeface="Arial"/>
                <a:ea typeface="Arial"/>
                <a:cs typeface="Arial"/>
              </a:defRPr>
            </a:pPr>
            <a:endParaRPr lang="cs-CZ"/>
          </a:p>
        </c:txPr>
        <c:crossAx val="94434816"/>
        <c:crosses val="autoZero"/>
        <c:auto val="1"/>
        <c:lblAlgn val="ctr"/>
        <c:lblOffset val="100"/>
        <c:tickLblSkip val="2"/>
        <c:tickMarkSkip val="12"/>
        <c:noMultiLvlLbl val="0"/>
      </c:catAx>
      <c:valAx>
        <c:axId val="94434816"/>
        <c:scaling>
          <c:orientation val="minMax"/>
          <c:max val="600000"/>
          <c:min val="0"/>
        </c:scaling>
        <c:delete val="0"/>
        <c:axPos val="l"/>
        <c:majorGridlines>
          <c:spPr>
            <a:ln w="3175">
              <a:solidFill>
                <a:srgbClr val="000000"/>
              </a:solidFill>
              <a:prstDash val="sysDash"/>
            </a:ln>
          </c:spPr>
        </c:majorGridlines>
        <c:title>
          <c:tx>
            <c:rich>
              <a:bodyPr/>
              <a:lstStyle/>
              <a:p>
                <a:pPr>
                  <a:defRPr sz="675" b="1" i="0" u="none" strike="noStrike" baseline="0">
                    <a:solidFill>
                      <a:srgbClr val="000000"/>
                    </a:solidFill>
                    <a:latin typeface="Arial"/>
                    <a:ea typeface="Arial"/>
                    <a:cs typeface="Arial"/>
                  </a:defRPr>
                </a:pPr>
                <a:r>
                  <a:rPr lang="cs-CZ"/>
                  <a:t>počet uchazečů (v tis.)</a:t>
                </a:r>
              </a:p>
            </c:rich>
          </c:tx>
          <c:layout>
            <c:manualLayout>
              <c:xMode val="edge"/>
              <c:yMode val="edge"/>
              <c:x val="1.0060362173038228E-2"/>
              <c:y val="0.39228295819935805"/>
            </c:manualLayout>
          </c:layout>
          <c:overlay val="0"/>
          <c:spPr>
            <a:noFill/>
            <a:ln w="25400">
              <a:noFill/>
            </a:ln>
          </c:spPr>
        </c:title>
        <c:numFmt formatCode="0" sourceLinked="1"/>
        <c:majorTickMark val="out"/>
        <c:minorTickMark val="none"/>
        <c:tickLblPos val="nextTo"/>
        <c:spPr>
          <a:ln w="3175">
            <a:solidFill>
              <a:srgbClr val="000000"/>
            </a:solidFill>
            <a:prstDash val="solid"/>
          </a:ln>
        </c:spPr>
        <c:txPr>
          <a:bodyPr rot="0" vert="horz"/>
          <a:lstStyle/>
          <a:p>
            <a:pPr>
              <a:defRPr sz="675" b="0" i="0" u="none" strike="noStrike" baseline="0">
                <a:solidFill>
                  <a:srgbClr val="000000"/>
                </a:solidFill>
                <a:latin typeface="Arial"/>
                <a:ea typeface="Arial"/>
                <a:cs typeface="Arial"/>
              </a:defRPr>
            </a:pPr>
            <a:endParaRPr lang="cs-CZ"/>
          </a:p>
        </c:txPr>
        <c:crossAx val="94433280"/>
        <c:crosses val="autoZero"/>
        <c:crossBetween val="between"/>
        <c:dispUnits>
          <c:builtInUnit val="thousands"/>
        </c:dispUnits>
      </c:valAx>
      <c:spPr>
        <a:solidFill>
          <a:srgbClr val="FFFFFF"/>
        </a:solidFill>
        <a:ln w="12700">
          <a:solidFill>
            <a:srgbClr val="808080"/>
          </a:solidFill>
          <a:prstDash val="solid"/>
        </a:ln>
      </c:spPr>
    </c:plotArea>
    <c:legend>
      <c:legendPos val="r"/>
      <c:layout>
        <c:manualLayout>
          <c:xMode val="edge"/>
          <c:yMode val="edge"/>
          <c:x val="0.13932965981591483"/>
          <c:y val="0.93406566510474531"/>
          <c:w val="0.71840022921111457"/>
          <c:h val="6.18811555307998E-2"/>
        </c:manualLayout>
      </c:layout>
      <c:overlay val="0"/>
      <c:spPr>
        <a:solidFill>
          <a:srgbClr val="FFFFFF"/>
        </a:solidFill>
        <a:ln w="25400">
          <a:noFill/>
        </a:ln>
      </c:spPr>
      <c:txPr>
        <a:bodyPr/>
        <a:lstStyle/>
        <a:p>
          <a:pPr>
            <a:defRPr sz="800" b="1" i="0" u="none" strike="noStrike" baseline="0">
              <a:solidFill>
                <a:srgbClr val="000000"/>
              </a:solidFill>
              <a:latin typeface="Arial"/>
              <a:ea typeface="Arial"/>
              <a:cs typeface="Arial"/>
            </a:defRPr>
          </a:pPr>
          <a:endParaRPr lang="cs-CZ"/>
        </a:p>
      </c:txPr>
    </c:legend>
    <c:plotVisOnly val="1"/>
    <c:dispBlanksAs val="gap"/>
    <c:showDLblsOverMax val="0"/>
  </c:chart>
  <c:spPr>
    <a:solidFill>
      <a:srgbClr val="FFFFFF"/>
    </a:solidFill>
    <a:ln w="9525">
      <a:solidFill>
        <a:schemeClr val="accent1"/>
      </a:solidFill>
    </a:ln>
  </c:spPr>
  <c:txPr>
    <a:bodyPr/>
    <a:lstStyle/>
    <a:p>
      <a:pPr>
        <a:defRPr sz="1125" b="0" i="0" u="none" strike="noStrike" baseline="0">
          <a:solidFill>
            <a:srgbClr val="000000"/>
          </a:solidFill>
          <a:latin typeface="Arial"/>
          <a:ea typeface="Arial"/>
          <a:cs typeface="Arial"/>
        </a:defRPr>
      </a:pPr>
      <a:endParaRPr lang="cs-CZ"/>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00" b="1">
                <a:latin typeface="Arial Narrow" pitchFamily="34" charset="0"/>
              </a:defRPr>
            </a:pPr>
            <a:r>
              <a:rPr lang="cs-CZ" sz="900" b="1" i="0" baseline="0">
                <a:effectLst/>
                <a:latin typeface="Arial Narrow" pitchFamily="34" charset="0"/>
              </a:rPr>
              <a:t>Míra zaměstnanosti osob ve věku 20-64 v %</a:t>
            </a:r>
            <a:endParaRPr lang="cs-CZ" sz="900" b="1">
              <a:effectLst/>
              <a:latin typeface="Arial Narrow" pitchFamily="34" charset="0"/>
            </a:endParaRPr>
          </a:p>
          <a:p>
            <a:pPr>
              <a:defRPr sz="900" b="1">
                <a:latin typeface="Arial Narrow" pitchFamily="34" charset="0"/>
              </a:defRPr>
            </a:pPr>
            <a:r>
              <a:rPr lang="cs-CZ" sz="900" b="1" i="0" baseline="0">
                <a:effectLst/>
                <a:latin typeface="Arial Narrow" pitchFamily="34" charset="0"/>
              </a:rPr>
              <a:t>- celkem</a:t>
            </a:r>
            <a:endParaRPr lang="cs-CZ" sz="900" b="1">
              <a:effectLst/>
              <a:latin typeface="Arial Narrow" pitchFamily="34" charset="0"/>
            </a:endParaRPr>
          </a:p>
        </c:rich>
      </c:tx>
      <c:overlay val="0"/>
    </c:title>
    <c:autoTitleDeleted val="0"/>
    <c:plotArea>
      <c:layout>
        <c:manualLayout>
          <c:layoutTarget val="inner"/>
          <c:xMode val="edge"/>
          <c:yMode val="edge"/>
          <c:x val="7.4598951893385404E-2"/>
          <c:y val="0.25083333333333335"/>
          <c:w val="0.88714787713771948"/>
          <c:h val="0.51243256051326913"/>
        </c:manualLayout>
      </c:layout>
      <c:barChart>
        <c:barDir val="col"/>
        <c:grouping val="clustered"/>
        <c:varyColors val="0"/>
        <c:ser>
          <c:idx val="0"/>
          <c:order val="0"/>
          <c:tx>
            <c:strRef>
              <c:f>MZ!$B$2</c:f>
              <c:strCache>
                <c:ptCount val="1"/>
                <c:pt idx="0">
                  <c:v>EU27</c:v>
                </c:pt>
              </c:strCache>
            </c:strRef>
          </c:tx>
          <c:invertIfNegative val="0"/>
          <c:cat>
            <c:strRef>
              <c:f>MZ!$C$1:$J$1</c:f>
              <c:strCache>
                <c:ptCount val="8"/>
                <c:pt idx="0">
                  <c:v>2008</c:v>
                </c:pt>
                <c:pt idx="1">
                  <c:v>2009</c:v>
                </c:pt>
                <c:pt idx="2">
                  <c:v>2010</c:v>
                </c:pt>
                <c:pt idx="3">
                  <c:v>2011</c:v>
                </c:pt>
                <c:pt idx="4">
                  <c:v>2012</c:v>
                </c:pt>
                <c:pt idx="6">
                  <c:v>1.q 2013</c:v>
                </c:pt>
                <c:pt idx="7">
                  <c:v>2.q 2013</c:v>
                </c:pt>
              </c:strCache>
            </c:strRef>
          </c:cat>
          <c:val>
            <c:numRef>
              <c:f>MZ!$C$2:$J$2</c:f>
              <c:numCache>
                <c:formatCode>General</c:formatCode>
                <c:ptCount val="8"/>
                <c:pt idx="0">
                  <c:v>70.3</c:v>
                </c:pt>
                <c:pt idx="1">
                  <c:v>69</c:v>
                </c:pt>
                <c:pt idx="2">
                  <c:v>68.599999999999994</c:v>
                </c:pt>
                <c:pt idx="3">
                  <c:v>68.599999999999994</c:v>
                </c:pt>
                <c:pt idx="4">
                  <c:v>68.5</c:v>
                </c:pt>
                <c:pt idx="6" formatCode="0.0">
                  <c:v>67.7</c:v>
                </c:pt>
                <c:pt idx="7">
                  <c:v>68.5</c:v>
                </c:pt>
              </c:numCache>
            </c:numRef>
          </c:val>
        </c:ser>
        <c:ser>
          <c:idx val="1"/>
          <c:order val="1"/>
          <c:tx>
            <c:strRef>
              <c:f>MZ!$B$3</c:f>
              <c:strCache>
                <c:ptCount val="1"/>
                <c:pt idx="0">
                  <c:v>Česká republika</c:v>
                </c:pt>
              </c:strCache>
            </c:strRef>
          </c:tx>
          <c:invertIfNegative val="0"/>
          <c:cat>
            <c:strRef>
              <c:f>MZ!$C$1:$J$1</c:f>
              <c:strCache>
                <c:ptCount val="8"/>
                <c:pt idx="0">
                  <c:v>2008</c:v>
                </c:pt>
                <c:pt idx="1">
                  <c:v>2009</c:v>
                </c:pt>
                <c:pt idx="2">
                  <c:v>2010</c:v>
                </c:pt>
                <c:pt idx="3">
                  <c:v>2011</c:v>
                </c:pt>
                <c:pt idx="4">
                  <c:v>2012</c:v>
                </c:pt>
                <c:pt idx="6">
                  <c:v>1.q 2013</c:v>
                </c:pt>
                <c:pt idx="7">
                  <c:v>2.q 2013</c:v>
                </c:pt>
              </c:strCache>
            </c:strRef>
          </c:cat>
          <c:val>
            <c:numRef>
              <c:f>MZ!$C$3:$J$3</c:f>
              <c:numCache>
                <c:formatCode>General</c:formatCode>
                <c:ptCount val="8"/>
                <c:pt idx="0">
                  <c:v>72.400000000000006</c:v>
                </c:pt>
                <c:pt idx="1">
                  <c:v>70.900000000000006</c:v>
                </c:pt>
                <c:pt idx="2">
                  <c:v>70.400000000000006</c:v>
                </c:pt>
                <c:pt idx="3">
                  <c:v>70.900000000000006</c:v>
                </c:pt>
                <c:pt idx="4">
                  <c:v>71.5</c:v>
                </c:pt>
                <c:pt idx="6" formatCode="0.0">
                  <c:v>71.599999999999994</c:v>
                </c:pt>
                <c:pt idx="7">
                  <c:v>72.7</c:v>
                </c:pt>
              </c:numCache>
            </c:numRef>
          </c:val>
        </c:ser>
        <c:dLbls>
          <c:showLegendKey val="0"/>
          <c:showVal val="0"/>
          <c:showCatName val="0"/>
          <c:showSerName val="0"/>
          <c:showPercent val="0"/>
          <c:showBubbleSize val="0"/>
        </c:dLbls>
        <c:gapWidth val="164"/>
        <c:axId val="120331648"/>
        <c:axId val="120345728"/>
      </c:barChart>
      <c:catAx>
        <c:axId val="120331648"/>
        <c:scaling>
          <c:orientation val="minMax"/>
        </c:scaling>
        <c:delete val="0"/>
        <c:axPos val="b"/>
        <c:majorTickMark val="none"/>
        <c:minorTickMark val="none"/>
        <c:tickLblPos val="nextTo"/>
        <c:txPr>
          <a:bodyPr/>
          <a:lstStyle/>
          <a:p>
            <a:pPr>
              <a:defRPr sz="700">
                <a:latin typeface="Arial" pitchFamily="34" charset="0"/>
                <a:cs typeface="Arial" pitchFamily="34" charset="0"/>
              </a:defRPr>
            </a:pPr>
            <a:endParaRPr lang="cs-CZ"/>
          </a:p>
        </c:txPr>
        <c:crossAx val="120345728"/>
        <c:crosses val="autoZero"/>
        <c:auto val="1"/>
        <c:lblAlgn val="ctr"/>
        <c:lblOffset val="100"/>
        <c:noMultiLvlLbl val="0"/>
      </c:catAx>
      <c:valAx>
        <c:axId val="120345728"/>
        <c:scaling>
          <c:orientation val="minMax"/>
          <c:max val="85"/>
          <c:min val="40"/>
        </c:scaling>
        <c:delete val="0"/>
        <c:axPos val="l"/>
        <c:majorGridlines/>
        <c:numFmt formatCode="General" sourceLinked="1"/>
        <c:majorTickMark val="none"/>
        <c:minorTickMark val="none"/>
        <c:tickLblPos val="nextTo"/>
        <c:spPr>
          <a:ln w="9525">
            <a:noFill/>
          </a:ln>
        </c:spPr>
        <c:txPr>
          <a:bodyPr/>
          <a:lstStyle/>
          <a:p>
            <a:pPr>
              <a:defRPr sz="600">
                <a:latin typeface="Arial" pitchFamily="34" charset="0"/>
                <a:cs typeface="Arial" pitchFamily="34" charset="0"/>
              </a:defRPr>
            </a:pPr>
            <a:endParaRPr lang="cs-CZ"/>
          </a:p>
        </c:txPr>
        <c:crossAx val="120331648"/>
        <c:crosses val="autoZero"/>
        <c:crossBetween val="between"/>
        <c:majorUnit val="10"/>
      </c:valAx>
    </c:plotArea>
    <c:legend>
      <c:legendPos val="b"/>
      <c:layout>
        <c:manualLayout>
          <c:xMode val="edge"/>
          <c:yMode val="edge"/>
          <c:x val="0.20414186688202438"/>
          <c:y val="0.8996883202099738"/>
          <c:w val="0.53017753550037017"/>
          <c:h val="7.2533902012248463E-2"/>
        </c:manualLayout>
      </c:layout>
      <c:overlay val="0"/>
      <c:txPr>
        <a:bodyPr/>
        <a:lstStyle/>
        <a:p>
          <a:pPr>
            <a:defRPr sz="800">
              <a:latin typeface="Arial" pitchFamily="34" charset="0"/>
              <a:cs typeface="Arial" pitchFamily="34" charset="0"/>
            </a:defRPr>
          </a:pPr>
          <a:endParaRPr lang="cs-CZ"/>
        </a:p>
      </c:txPr>
    </c:legend>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00" b="1">
                <a:latin typeface="Arial Narrow" pitchFamily="34" charset="0"/>
              </a:defRPr>
            </a:pPr>
            <a:r>
              <a:rPr lang="cs-CZ" sz="900" b="1" i="0" baseline="0">
                <a:effectLst/>
                <a:latin typeface="Arial Narrow" pitchFamily="34" charset="0"/>
              </a:rPr>
              <a:t>Míra zaměstnanosti osob ve věku 20-64 v %</a:t>
            </a:r>
            <a:endParaRPr lang="cs-CZ" sz="900" b="1">
              <a:effectLst/>
              <a:latin typeface="Arial Narrow" pitchFamily="34" charset="0"/>
            </a:endParaRPr>
          </a:p>
          <a:p>
            <a:pPr>
              <a:defRPr sz="900" b="1">
                <a:latin typeface="Arial Narrow" pitchFamily="34" charset="0"/>
              </a:defRPr>
            </a:pPr>
            <a:r>
              <a:rPr lang="cs-CZ" sz="900" b="1" i="0" baseline="0">
                <a:effectLst/>
                <a:latin typeface="Arial Narrow" pitchFamily="34" charset="0"/>
              </a:rPr>
              <a:t>- ženy</a:t>
            </a:r>
            <a:endParaRPr lang="cs-CZ" sz="900" b="1">
              <a:effectLst/>
              <a:latin typeface="Arial Narrow" pitchFamily="34" charset="0"/>
            </a:endParaRPr>
          </a:p>
        </c:rich>
      </c:tx>
      <c:overlay val="0"/>
    </c:title>
    <c:autoTitleDeleted val="0"/>
    <c:plotArea>
      <c:layout>
        <c:manualLayout>
          <c:layoutTarget val="inner"/>
          <c:xMode val="edge"/>
          <c:yMode val="edge"/>
          <c:x val="9.8929861459417776E-2"/>
          <c:y val="0.25083333333333335"/>
          <c:w val="0.86281696757168713"/>
          <c:h val="0.51243256051326913"/>
        </c:manualLayout>
      </c:layout>
      <c:barChart>
        <c:barDir val="col"/>
        <c:grouping val="clustered"/>
        <c:varyColors val="0"/>
        <c:ser>
          <c:idx val="0"/>
          <c:order val="0"/>
          <c:tx>
            <c:strRef>
              <c:f>MZ!$B$4</c:f>
              <c:strCache>
                <c:ptCount val="1"/>
                <c:pt idx="0">
                  <c:v>EU27</c:v>
                </c:pt>
              </c:strCache>
            </c:strRef>
          </c:tx>
          <c:invertIfNegative val="0"/>
          <c:cat>
            <c:strRef>
              <c:f>MZ!$C$1:$J$1</c:f>
              <c:strCache>
                <c:ptCount val="8"/>
                <c:pt idx="0">
                  <c:v>2008</c:v>
                </c:pt>
                <c:pt idx="1">
                  <c:v>2009</c:v>
                </c:pt>
                <c:pt idx="2">
                  <c:v>2010</c:v>
                </c:pt>
                <c:pt idx="3">
                  <c:v>2011</c:v>
                </c:pt>
                <c:pt idx="4">
                  <c:v>2012</c:v>
                </c:pt>
                <c:pt idx="6">
                  <c:v>1.q 2013</c:v>
                </c:pt>
                <c:pt idx="7">
                  <c:v>2.q 2013</c:v>
                </c:pt>
              </c:strCache>
            </c:strRef>
          </c:cat>
          <c:val>
            <c:numRef>
              <c:f>MZ!$C$4:$J$4</c:f>
              <c:numCache>
                <c:formatCode>General</c:formatCode>
                <c:ptCount val="8"/>
                <c:pt idx="0">
                  <c:v>62.8</c:v>
                </c:pt>
                <c:pt idx="1">
                  <c:v>62.3</c:v>
                </c:pt>
                <c:pt idx="2">
                  <c:v>62.1</c:v>
                </c:pt>
                <c:pt idx="3">
                  <c:v>62.3</c:v>
                </c:pt>
                <c:pt idx="4">
                  <c:v>62.4</c:v>
                </c:pt>
                <c:pt idx="6" formatCode="0.0">
                  <c:v>62</c:v>
                </c:pt>
                <c:pt idx="7">
                  <c:v>62.7</c:v>
                </c:pt>
              </c:numCache>
            </c:numRef>
          </c:val>
        </c:ser>
        <c:ser>
          <c:idx val="1"/>
          <c:order val="1"/>
          <c:tx>
            <c:strRef>
              <c:f>MZ!$B$5</c:f>
              <c:strCache>
                <c:ptCount val="1"/>
                <c:pt idx="0">
                  <c:v>Česká republika</c:v>
                </c:pt>
              </c:strCache>
            </c:strRef>
          </c:tx>
          <c:invertIfNegative val="0"/>
          <c:cat>
            <c:strRef>
              <c:f>MZ!$C$1:$J$1</c:f>
              <c:strCache>
                <c:ptCount val="8"/>
                <c:pt idx="0">
                  <c:v>2008</c:v>
                </c:pt>
                <c:pt idx="1">
                  <c:v>2009</c:v>
                </c:pt>
                <c:pt idx="2">
                  <c:v>2010</c:v>
                </c:pt>
                <c:pt idx="3">
                  <c:v>2011</c:v>
                </c:pt>
                <c:pt idx="4">
                  <c:v>2012</c:v>
                </c:pt>
                <c:pt idx="6">
                  <c:v>1.q 2013</c:v>
                </c:pt>
                <c:pt idx="7">
                  <c:v>2.q 2013</c:v>
                </c:pt>
              </c:strCache>
            </c:strRef>
          </c:cat>
          <c:val>
            <c:numRef>
              <c:f>MZ!$C$5:$J$5</c:f>
              <c:numCache>
                <c:formatCode>General</c:formatCode>
                <c:ptCount val="8"/>
                <c:pt idx="0">
                  <c:v>62.5</c:v>
                </c:pt>
                <c:pt idx="1">
                  <c:v>61.4</c:v>
                </c:pt>
                <c:pt idx="2">
                  <c:v>60.9</c:v>
                </c:pt>
                <c:pt idx="3">
                  <c:v>61.7</c:v>
                </c:pt>
                <c:pt idx="4">
                  <c:v>62.5</c:v>
                </c:pt>
                <c:pt idx="6" formatCode="0.0">
                  <c:v>63</c:v>
                </c:pt>
                <c:pt idx="7">
                  <c:v>63.9</c:v>
                </c:pt>
              </c:numCache>
            </c:numRef>
          </c:val>
        </c:ser>
        <c:dLbls>
          <c:showLegendKey val="0"/>
          <c:showVal val="0"/>
          <c:showCatName val="0"/>
          <c:showSerName val="0"/>
          <c:showPercent val="0"/>
          <c:showBubbleSize val="0"/>
        </c:dLbls>
        <c:gapWidth val="164"/>
        <c:axId val="120371072"/>
        <c:axId val="120372608"/>
      </c:barChart>
      <c:catAx>
        <c:axId val="120371072"/>
        <c:scaling>
          <c:orientation val="minMax"/>
        </c:scaling>
        <c:delete val="0"/>
        <c:axPos val="b"/>
        <c:majorTickMark val="none"/>
        <c:minorTickMark val="none"/>
        <c:tickLblPos val="nextTo"/>
        <c:txPr>
          <a:bodyPr/>
          <a:lstStyle/>
          <a:p>
            <a:pPr>
              <a:defRPr sz="700">
                <a:latin typeface="Arial" pitchFamily="34" charset="0"/>
                <a:cs typeface="Arial" pitchFamily="34" charset="0"/>
              </a:defRPr>
            </a:pPr>
            <a:endParaRPr lang="cs-CZ"/>
          </a:p>
        </c:txPr>
        <c:crossAx val="120372608"/>
        <c:crosses val="autoZero"/>
        <c:auto val="1"/>
        <c:lblAlgn val="ctr"/>
        <c:lblOffset val="100"/>
        <c:noMultiLvlLbl val="0"/>
      </c:catAx>
      <c:valAx>
        <c:axId val="120372608"/>
        <c:scaling>
          <c:orientation val="minMax"/>
          <c:max val="85"/>
          <c:min val="40"/>
        </c:scaling>
        <c:delete val="0"/>
        <c:axPos val="l"/>
        <c:majorGridlines/>
        <c:numFmt formatCode="General" sourceLinked="1"/>
        <c:majorTickMark val="none"/>
        <c:minorTickMark val="none"/>
        <c:tickLblPos val="nextTo"/>
        <c:spPr>
          <a:ln w="9525">
            <a:noFill/>
          </a:ln>
        </c:spPr>
        <c:txPr>
          <a:bodyPr/>
          <a:lstStyle/>
          <a:p>
            <a:pPr>
              <a:defRPr sz="600">
                <a:latin typeface="Arial" pitchFamily="34" charset="0"/>
                <a:cs typeface="Arial" pitchFamily="34" charset="0"/>
              </a:defRPr>
            </a:pPr>
            <a:endParaRPr lang="cs-CZ"/>
          </a:p>
        </c:txPr>
        <c:crossAx val="120371072"/>
        <c:crosses val="autoZero"/>
        <c:crossBetween val="between"/>
        <c:majorUnit val="10"/>
      </c:valAx>
    </c:plotArea>
    <c:legend>
      <c:legendPos val="b"/>
      <c:layout>
        <c:manualLayout>
          <c:xMode val="edge"/>
          <c:yMode val="edge"/>
          <c:x val="0.20414186688202438"/>
          <c:y val="0.8996883202099738"/>
          <c:w val="0.53017753550037017"/>
          <c:h val="7.2533902012248463E-2"/>
        </c:manualLayout>
      </c:layout>
      <c:overlay val="0"/>
      <c:txPr>
        <a:bodyPr/>
        <a:lstStyle/>
        <a:p>
          <a:pPr>
            <a:defRPr sz="800">
              <a:latin typeface="Arial" pitchFamily="34" charset="0"/>
              <a:cs typeface="Arial" pitchFamily="34" charset="0"/>
            </a:defRPr>
          </a:pPr>
          <a:endParaRPr lang="cs-CZ"/>
        </a:p>
      </c:txPr>
    </c:legend>
    <c:plotVisOnly val="1"/>
    <c:dispBlanksAs val="gap"/>
    <c:showDLblsOverMax val="0"/>
  </c:chart>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00" b="1">
                <a:latin typeface="Arial Narrow" pitchFamily="34" charset="0"/>
              </a:defRPr>
            </a:pPr>
            <a:r>
              <a:rPr lang="cs-CZ" sz="900" b="1" i="0" baseline="0">
                <a:effectLst/>
                <a:latin typeface="Arial Narrow" pitchFamily="34" charset="0"/>
              </a:rPr>
              <a:t>Míra zaměstnanosti osob ve věku 20-64 v %</a:t>
            </a:r>
          </a:p>
          <a:p>
            <a:pPr>
              <a:defRPr sz="900" b="1">
                <a:latin typeface="Arial Narrow" pitchFamily="34" charset="0"/>
              </a:defRPr>
            </a:pPr>
            <a:r>
              <a:rPr lang="cs-CZ" sz="900" b="1" i="0" baseline="0">
                <a:effectLst/>
                <a:latin typeface="Arial Narrow" pitchFamily="34" charset="0"/>
              </a:rPr>
              <a:t>- muži</a:t>
            </a:r>
            <a:endParaRPr lang="cs-CZ" sz="900" b="1">
              <a:effectLst/>
              <a:latin typeface="Arial Narrow" pitchFamily="34" charset="0"/>
            </a:endParaRPr>
          </a:p>
        </c:rich>
      </c:tx>
      <c:layout>
        <c:manualLayout>
          <c:xMode val="edge"/>
          <c:yMode val="edge"/>
          <c:x val="0.15412385927308439"/>
          <c:y val="8.1568607301254953E-2"/>
        </c:manualLayout>
      </c:layout>
      <c:overlay val="0"/>
    </c:title>
    <c:autoTitleDeleted val="0"/>
    <c:plotArea>
      <c:layout>
        <c:manualLayout>
          <c:layoutTarget val="inner"/>
          <c:xMode val="edge"/>
          <c:yMode val="edge"/>
          <c:x val="8.4331315719798364E-2"/>
          <c:y val="0.25083333333333335"/>
          <c:w val="0.87741551331130652"/>
          <c:h val="0.51243256051326913"/>
        </c:manualLayout>
      </c:layout>
      <c:barChart>
        <c:barDir val="col"/>
        <c:grouping val="clustered"/>
        <c:varyColors val="0"/>
        <c:ser>
          <c:idx val="0"/>
          <c:order val="0"/>
          <c:tx>
            <c:strRef>
              <c:f>MZ!$B$6</c:f>
              <c:strCache>
                <c:ptCount val="1"/>
                <c:pt idx="0">
                  <c:v>EU27</c:v>
                </c:pt>
              </c:strCache>
            </c:strRef>
          </c:tx>
          <c:invertIfNegative val="0"/>
          <c:cat>
            <c:strRef>
              <c:f>MZ!$C$1:$J$1</c:f>
              <c:strCache>
                <c:ptCount val="8"/>
                <c:pt idx="0">
                  <c:v>2008</c:v>
                </c:pt>
                <c:pt idx="1">
                  <c:v>2009</c:v>
                </c:pt>
                <c:pt idx="2">
                  <c:v>2010</c:v>
                </c:pt>
                <c:pt idx="3">
                  <c:v>2011</c:v>
                </c:pt>
                <c:pt idx="4">
                  <c:v>2012</c:v>
                </c:pt>
                <c:pt idx="6">
                  <c:v>1.q 2013</c:v>
                </c:pt>
                <c:pt idx="7">
                  <c:v>2.q 2013</c:v>
                </c:pt>
              </c:strCache>
            </c:strRef>
          </c:cat>
          <c:val>
            <c:numRef>
              <c:f>MZ!$C$6:$J$6</c:f>
              <c:numCache>
                <c:formatCode>General</c:formatCode>
                <c:ptCount val="8"/>
                <c:pt idx="0">
                  <c:v>77.900000000000006</c:v>
                </c:pt>
                <c:pt idx="1">
                  <c:v>75.8</c:v>
                </c:pt>
                <c:pt idx="2">
                  <c:v>75.099999999999994</c:v>
                </c:pt>
                <c:pt idx="3">
                  <c:v>75</c:v>
                </c:pt>
                <c:pt idx="4">
                  <c:v>74.599999999999994</c:v>
                </c:pt>
                <c:pt idx="6" formatCode="0.0">
                  <c:v>73.5</c:v>
                </c:pt>
                <c:pt idx="7">
                  <c:v>74.400000000000006</c:v>
                </c:pt>
              </c:numCache>
            </c:numRef>
          </c:val>
        </c:ser>
        <c:ser>
          <c:idx val="1"/>
          <c:order val="1"/>
          <c:tx>
            <c:strRef>
              <c:f>MZ!$B$7</c:f>
              <c:strCache>
                <c:ptCount val="1"/>
                <c:pt idx="0">
                  <c:v>Česká republika</c:v>
                </c:pt>
              </c:strCache>
            </c:strRef>
          </c:tx>
          <c:invertIfNegative val="0"/>
          <c:cat>
            <c:strRef>
              <c:f>MZ!$C$1:$J$1</c:f>
              <c:strCache>
                <c:ptCount val="8"/>
                <c:pt idx="0">
                  <c:v>2008</c:v>
                </c:pt>
                <c:pt idx="1">
                  <c:v>2009</c:v>
                </c:pt>
                <c:pt idx="2">
                  <c:v>2010</c:v>
                </c:pt>
                <c:pt idx="3">
                  <c:v>2011</c:v>
                </c:pt>
                <c:pt idx="4">
                  <c:v>2012</c:v>
                </c:pt>
                <c:pt idx="6">
                  <c:v>1.q 2013</c:v>
                </c:pt>
                <c:pt idx="7">
                  <c:v>2.q 2013</c:v>
                </c:pt>
              </c:strCache>
            </c:strRef>
          </c:cat>
          <c:val>
            <c:numRef>
              <c:f>MZ!$C$7:$J$7</c:f>
              <c:numCache>
                <c:formatCode>General</c:formatCode>
                <c:ptCount val="8"/>
                <c:pt idx="0">
                  <c:v>82</c:v>
                </c:pt>
                <c:pt idx="1">
                  <c:v>80.2</c:v>
                </c:pt>
                <c:pt idx="2">
                  <c:v>79.599999999999994</c:v>
                </c:pt>
                <c:pt idx="3">
                  <c:v>79.900000000000006</c:v>
                </c:pt>
                <c:pt idx="4">
                  <c:v>80.2</c:v>
                </c:pt>
                <c:pt idx="6" formatCode="0.0">
                  <c:v>80.099999999999994</c:v>
                </c:pt>
                <c:pt idx="7">
                  <c:v>81.2</c:v>
                </c:pt>
              </c:numCache>
            </c:numRef>
          </c:val>
        </c:ser>
        <c:dLbls>
          <c:showLegendKey val="0"/>
          <c:showVal val="0"/>
          <c:showCatName val="0"/>
          <c:showSerName val="0"/>
          <c:showPercent val="0"/>
          <c:showBubbleSize val="0"/>
        </c:dLbls>
        <c:gapWidth val="164"/>
        <c:axId val="120398208"/>
        <c:axId val="120399744"/>
      </c:barChart>
      <c:catAx>
        <c:axId val="120398208"/>
        <c:scaling>
          <c:orientation val="minMax"/>
        </c:scaling>
        <c:delete val="0"/>
        <c:axPos val="b"/>
        <c:majorTickMark val="none"/>
        <c:minorTickMark val="none"/>
        <c:tickLblPos val="nextTo"/>
        <c:txPr>
          <a:bodyPr/>
          <a:lstStyle/>
          <a:p>
            <a:pPr>
              <a:defRPr sz="700">
                <a:latin typeface="Arial" pitchFamily="34" charset="0"/>
                <a:cs typeface="Arial" pitchFamily="34" charset="0"/>
              </a:defRPr>
            </a:pPr>
            <a:endParaRPr lang="cs-CZ"/>
          </a:p>
        </c:txPr>
        <c:crossAx val="120399744"/>
        <c:crosses val="autoZero"/>
        <c:auto val="1"/>
        <c:lblAlgn val="ctr"/>
        <c:lblOffset val="100"/>
        <c:noMultiLvlLbl val="0"/>
      </c:catAx>
      <c:valAx>
        <c:axId val="120399744"/>
        <c:scaling>
          <c:orientation val="minMax"/>
          <c:max val="85"/>
          <c:min val="40"/>
        </c:scaling>
        <c:delete val="0"/>
        <c:axPos val="l"/>
        <c:majorGridlines/>
        <c:numFmt formatCode="General" sourceLinked="1"/>
        <c:majorTickMark val="none"/>
        <c:minorTickMark val="none"/>
        <c:tickLblPos val="nextTo"/>
        <c:spPr>
          <a:ln w="9525">
            <a:noFill/>
          </a:ln>
        </c:spPr>
        <c:txPr>
          <a:bodyPr/>
          <a:lstStyle/>
          <a:p>
            <a:pPr>
              <a:defRPr sz="600">
                <a:latin typeface="Arial" pitchFamily="34" charset="0"/>
                <a:cs typeface="Arial" pitchFamily="34" charset="0"/>
              </a:defRPr>
            </a:pPr>
            <a:endParaRPr lang="cs-CZ"/>
          </a:p>
        </c:txPr>
        <c:crossAx val="120398208"/>
        <c:crosses val="autoZero"/>
        <c:crossBetween val="between"/>
        <c:majorUnit val="10"/>
      </c:valAx>
    </c:plotArea>
    <c:legend>
      <c:legendPos val="b"/>
      <c:layout>
        <c:manualLayout>
          <c:xMode val="edge"/>
          <c:yMode val="edge"/>
          <c:x val="0.20414186688202438"/>
          <c:y val="0.8996883202099738"/>
          <c:w val="0.53017753550037017"/>
          <c:h val="7.2533902012248463E-2"/>
        </c:manualLayout>
      </c:layout>
      <c:overlay val="0"/>
      <c:txPr>
        <a:bodyPr/>
        <a:lstStyle/>
        <a:p>
          <a:pPr>
            <a:defRPr sz="800">
              <a:latin typeface="Arial" pitchFamily="34" charset="0"/>
              <a:cs typeface="Arial" pitchFamily="34" charset="0"/>
            </a:defRPr>
          </a:pPr>
          <a:endParaRPr lang="cs-CZ"/>
        </a:p>
      </c:txPr>
    </c:legend>
    <c:plotVisOnly val="1"/>
    <c:dispBlanksAs val="gap"/>
    <c:showDLblsOverMax val="0"/>
  </c:chart>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00" b="1">
                <a:latin typeface="Arial Narrow" pitchFamily="34" charset="0"/>
              </a:defRPr>
            </a:pPr>
            <a:r>
              <a:rPr lang="cs-CZ" sz="900" b="1" i="0" baseline="0">
                <a:effectLst/>
                <a:latin typeface="Arial Narrow" pitchFamily="34" charset="0"/>
              </a:rPr>
              <a:t>Míra zaměstnanosti osob ve věku 55-64 v %</a:t>
            </a:r>
          </a:p>
          <a:p>
            <a:pPr>
              <a:defRPr sz="900" b="1">
                <a:latin typeface="Arial Narrow" pitchFamily="34" charset="0"/>
              </a:defRPr>
            </a:pPr>
            <a:r>
              <a:rPr lang="cs-CZ" sz="900" b="1" i="0" baseline="0">
                <a:effectLst/>
                <a:latin typeface="Arial Narrow" pitchFamily="34" charset="0"/>
              </a:rPr>
              <a:t>- celkem</a:t>
            </a:r>
            <a:endParaRPr lang="cs-CZ" sz="900" b="1">
              <a:effectLst/>
              <a:latin typeface="Arial Narrow" pitchFamily="34" charset="0"/>
            </a:endParaRPr>
          </a:p>
        </c:rich>
      </c:tx>
      <c:layout>
        <c:manualLayout>
          <c:xMode val="edge"/>
          <c:yMode val="edge"/>
          <c:x val="0.11312608507235476"/>
          <c:y val="7.5294099047312268E-2"/>
        </c:manualLayout>
      </c:layout>
      <c:overlay val="0"/>
    </c:title>
    <c:autoTitleDeleted val="0"/>
    <c:plotArea>
      <c:layout>
        <c:manualLayout>
          <c:layoutTarget val="inner"/>
          <c:xMode val="edge"/>
          <c:yMode val="edge"/>
          <c:x val="8.919749763300483E-2"/>
          <c:y val="0.25083333333333335"/>
          <c:w val="0.87254933139810009"/>
          <c:h val="0.51243256051326913"/>
        </c:manualLayout>
      </c:layout>
      <c:barChart>
        <c:barDir val="col"/>
        <c:grouping val="clustered"/>
        <c:varyColors val="0"/>
        <c:ser>
          <c:idx val="0"/>
          <c:order val="0"/>
          <c:tx>
            <c:strRef>
              <c:f>MZ!$B$8</c:f>
              <c:strCache>
                <c:ptCount val="1"/>
                <c:pt idx="0">
                  <c:v>EU27</c:v>
                </c:pt>
              </c:strCache>
            </c:strRef>
          </c:tx>
          <c:invertIfNegative val="0"/>
          <c:cat>
            <c:strRef>
              <c:f>MZ!$C$1:$J$1</c:f>
              <c:strCache>
                <c:ptCount val="8"/>
                <c:pt idx="0">
                  <c:v>2008</c:v>
                </c:pt>
                <c:pt idx="1">
                  <c:v>2009</c:v>
                </c:pt>
                <c:pt idx="2">
                  <c:v>2010</c:v>
                </c:pt>
                <c:pt idx="3">
                  <c:v>2011</c:v>
                </c:pt>
                <c:pt idx="4">
                  <c:v>2012</c:v>
                </c:pt>
                <c:pt idx="6">
                  <c:v>1.q 2013</c:v>
                </c:pt>
                <c:pt idx="7">
                  <c:v>2.q 2013</c:v>
                </c:pt>
              </c:strCache>
            </c:strRef>
          </c:cat>
          <c:val>
            <c:numRef>
              <c:f>MZ!$C$8:$J$8</c:f>
              <c:numCache>
                <c:formatCode>General</c:formatCode>
                <c:ptCount val="8"/>
                <c:pt idx="0">
                  <c:v>45.6</c:v>
                </c:pt>
                <c:pt idx="1">
                  <c:v>46</c:v>
                </c:pt>
                <c:pt idx="2">
                  <c:v>46.3</c:v>
                </c:pt>
                <c:pt idx="3">
                  <c:v>47.4</c:v>
                </c:pt>
                <c:pt idx="4">
                  <c:v>48.9</c:v>
                </c:pt>
                <c:pt idx="6" formatCode="0.0">
                  <c:v>49.1</c:v>
                </c:pt>
                <c:pt idx="7">
                  <c:v>50.1</c:v>
                </c:pt>
              </c:numCache>
            </c:numRef>
          </c:val>
        </c:ser>
        <c:ser>
          <c:idx val="1"/>
          <c:order val="1"/>
          <c:tx>
            <c:strRef>
              <c:f>MZ!$B$9</c:f>
              <c:strCache>
                <c:ptCount val="1"/>
                <c:pt idx="0">
                  <c:v>Česká republika</c:v>
                </c:pt>
              </c:strCache>
            </c:strRef>
          </c:tx>
          <c:invertIfNegative val="0"/>
          <c:cat>
            <c:strRef>
              <c:f>MZ!$C$1:$J$1</c:f>
              <c:strCache>
                <c:ptCount val="8"/>
                <c:pt idx="0">
                  <c:v>2008</c:v>
                </c:pt>
                <c:pt idx="1">
                  <c:v>2009</c:v>
                </c:pt>
                <c:pt idx="2">
                  <c:v>2010</c:v>
                </c:pt>
                <c:pt idx="3">
                  <c:v>2011</c:v>
                </c:pt>
                <c:pt idx="4">
                  <c:v>2012</c:v>
                </c:pt>
                <c:pt idx="6">
                  <c:v>1.q 2013</c:v>
                </c:pt>
                <c:pt idx="7">
                  <c:v>2.q 2013</c:v>
                </c:pt>
              </c:strCache>
            </c:strRef>
          </c:cat>
          <c:val>
            <c:numRef>
              <c:f>MZ!$C$9:$J$9</c:f>
              <c:numCache>
                <c:formatCode>General</c:formatCode>
                <c:ptCount val="8"/>
                <c:pt idx="0">
                  <c:v>47.6</c:v>
                </c:pt>
                <c:pt idx="1">
                  <c:v>46.8</c:v>
                </c:pt>
                <c:pt idx="2">
                  <c:v>46.5</c:v>
                </c:pt>
                <c:pt idx="3">
                  <c:v>47.7</c:v>
                </c:pt>
                <c:pt idx="4">
                  <c:v>49.3</c:v>
                </c:pt>
                <c:pt idx="6" formatCode="0.0">
                  <c:v>50.3</c:v>
                </c:pt>
                <c:pt idx="7">
                  <c:v>51.4</c:v>
                </c:pt>
              </c:numCache>
            </c:numRef>
          </c:val>
        </c:ser>
        <c:dLbls>
          <c:showLegendKey val="0"/>
          <c:showVal val="0"/>
          <c:showCatName val="0"/>
          <c:showSerName val="0"/>
          <c:showPercent val="0"/>
          <c:showBubbleSize val="0"/>
        </c:dLbls>
        <c:gapWidth val="164"/>
        <c:axId val="120413184"/>
        <c:axId val="120427264"/>
      </c:barChart>
      <c:catAx>
        <c:axId val="120413184"/>
        <c:scaling>
          <c:orientation val="minMax"/>
        </c:scaling>
        <c:delete val="0"/>
        <c:axPos val="b"/>
        <c:majorTickMark val="none"/>
        <c:minorTickMark val="none"/>
        <c:tickLblPos val="nextTo"/>
        <c:txPr>
          <a:bodyPr/>
          <a:lstStyle/>
          <a:p>
            <a:pPr>
              <a:defRPr sz="700">
                <a:latin typeface="Arial" pitchFamily="34" charset="0"/>
                <a:cs typeface="Arial" pitchFamily="34" charset="0"/>
              </a:defRPr>
            </a:pPr>
            <a:endParaRPr lang="cs-CZ"/>
          </a:p>
        </c:txPr>
        <c:crossAx val="120427264"/>
        <c:crosses val="autoZero"/>
        <c:auto val="1"/>
        <c:lblAlgn val="ctr"/>
        <c:lblOffset val="100"/>
        <c:noMultiLvlLbl val="0"/>
      </c:catAx>
      <c:valAx>
        <c:axId val="120427264"/>
        <c:scaling>
          <c:orientation val="minMax"/>
          <c:max val="85"/>
          <c:min val="40"/>
        </c:scaling>
        <c:delete val="0"/>
        <c:axPos val="l"/>
        <c:majorGridlines/>
        <c:numFmt formatCode="General" sourceLinked="1"/>
        <c:majorTickMark val="none"/>
        <c:minorTickMark val="none"/>
        <c:tickLblPos val="nextTo"/>
        <c:spPr>
          <a:ln w="9525">
            <a:noFill/>
          </a:ln>
        </c:spPr>
        <c:txPr>
          <a:bodyPr/>
          <a:lstStyle/>
          <a:p>
            <a:pPr>
              <a:defRPr sz="600">
                <a:latin typeface="Arial" pitchFamily="34" charset="0"/>
                <a:cs typeface="Arial" pitchFamily="34" charset="0"/>
              </a:defRPr>
            </a:pPr>
            <a:endParaRPr lang="cs-CZ"/>
          </a:p>
        </c:txPr>
        <c:crossAx val="120413184"/>
        <c:crosses val="autoZero"/>
        <c:crossBetween val="between"/>
        <c:majorUnit val="10"/>
      </c:valAx>
    </c:plotArea>
    <c:legend>
      <c:legendPos val="b"/>
      <c:layout>
        <c:manualLayout>
          <c:xMode val="edge"/>
          <c:yMode val="edge"/>
          <c:x val="0.20414186688202438"/>
          <c:y val="0.8996883202099738"/>
          <c:w val="0.53017753550037017"/>
          <c:h val="7.2533902012248463E-2"/>
        </c:manualLayout>
      </c:layout>
      <c:overlay val="0"/>
      <c:txPr>
        <a:bodyPr/>
        <a:lstStyle/>
        <a:p>
          <a:pPr>
            <a:defRPr sz="800">
              <a:latin typeface="Arial" pitchFamily="34" charset="0"/>
              <a:cs typeface="Arial" pitchFamily="34" charset="0"/>
            </a:defRPr>
          </a:pPr>
          <a:endParaRPr lang="cs-CZ"/>
        </a:p>
      </c:txPr>
    </c:legend>
    <c:plotVisOnly val="1"/>
    <c:dispBlanksAs val="gap"/>
    <c:showDLblsOverMax val="0"/>
  </c:chart>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cs-CZ" sz="800">
                <a:latin typeface="Arial" pitchFamily="34" charset="0"/>
                <a:cs typeface="Arial" pitchFamily="34" charset="0"/>
              </a:rPr>
              <a:t>Podíl sektorů na zaměstnanosti v EU 27</a:t>
            </a:r>
          </a:p>
          <a:p>
            <a:pPr>
              <a:defRPr sz="800"/>
            </a:pPr>
            <a:r>
              <a:rPr lang="cs-CZ" sz="800">
                <a:latin typeface="Arial" pitchFamily="34" charset="0"/>
                <a:cs typeface="Arial" pitchFamily="34" charset="0"/>
              </a:rPr>
              <a:t>ve 2. čtvrtletí 2013</a:t>
            </a:r>
          </a:p>
        </c:rich>
      </c:tx>
      <c:overlay val="0"/>
    </c:title>
    <c:autoTitleDeleted val="0"/>
    <c:view3D>
      <c:rotX val="30"/>
      <c:rotY val="50"/>
      <c:rAngAx val="0"/>
      <c:perspective val="30"/>
    </c:view3D>
    <c:floor>
      <c:thickness val="0"/>
    </c:floor>
    <c:sideWall>
      <c:thickness val="0"/>
    </c:sideWall>
    <c:backWall>
      <c:thickness val="0"/>
    </c:backWall>
    <c:plotArea>
      <c:layout>
        <c:manualLayout>
          <c:layoutTarget val="inner"/>
          <c:xMode val="edge"/>
          <c:yMode val="edge"/>
          <c:x val="0.12061961345740874"/>
          <c:y val="0.32536291136684836"/>
          <c:w val="0.75876115485564299"/>
          <c:h val="0.57573037494205415"/>
        </c:manualLayout>
      </c:layout>
      <c:pie3DChart>
        <c:varyColors val="1"/>
        <c:ser>
          <c:idx val="0"/>
          <c:order val="0"/>
          <c:tx>
            <c:strRef>
              <c:f>sektory!$A$3</c:f>
              <c:strCache>
                <c:ptCount val="1"/>
                <c:pt idx="0">
                  <c:v>EU27</c:v>
                </c:pt>
              </c:strCache>
            </c:strRef>
          </c:tx>
          <c:explosion val="25"/>
          <c:dLbls>
            <c:dLbl>
              <c:idx val="0"/>
              <c:layout>
                <c:manualLayout>
                  <c:x val="1.6461560486757336E-2"/>
                  <c:y val="1.3770442156268927E-2"/>
                </c:manualLayout>
              </c:layout>
              <c:showLegendKey val="0"/>
              <c:showVal val="0"/>
              <c:showCatName val="1"/>
              <c:showSerName val="0"/>
              <c:showPercent val="1"/>
              <c:showBubbleSize val="0"/>
            </c:dLbl>
            <c:dLbl>
              <c:idx val="1"/>
              <c:layout>
                <c:manualLayout>
                  <c:x val="0"/>
                  <c:y val="0.18482081566727235"/>
                </c:manualLayout>
              </c:layout>
              <c:showLegendKey val="0"/>
              <c:showVal val="0"/>
              <c:showCatName val="1"/>
              <c:showSerName val="0"/>
              <c:showPercent val="1"/>
              <c:showBubbleSize val="0"/>
            </c:dLbl>
            <c:dLbl>
              <c:idx val="2"/>
              <c:layout>
                <c:manualLayout>
                  <c:x val="3.1328847530422331E-2"/>
                  <c:y val="-0.19074550777306684"/>
                </c:manualLayout>
              </c:layout>
              <c:showLegendKey val="0"/>
              <c:showVal val="0"/>
              <c:showCatName val="1"/>
              <c:showSerName val="0"/>
              <c:showPercent val="1"/>
              <c:showBubbleSize val="0"/>
            </c:dLbl>
            <c:numFmt formatCode="0.0%" sourceLinked="0"/>
            <c:txPr>
              <a:bodyPr/>
              <a:lstStyle/>
              <a:p>
                <a:pPr>
                  <a:defRPr sz="700">
                    <a:latin typeface="Arial" pitchFamily="34" charset="0"/>
                    <a:cs typeface="Arial" pitchFamily="34" charset="0"/>
                  </a:defRPr>
                </a:pPr>
                <a:endParaRPr lang="cs-CZ"/>
              </a:p>
            </c:txPr>
            <c:showLegendKey val="0"/>
            <c:showVal val="0"/>
            <c:showCatName val="1"/>
            <c:showSerName val="0"/>
            <c:showPercent val="1"/>
            <c:showBubbleSize val="0"/>
            <c:showLeaderLines val="1"/>
          </c:dLbls>
          <c:cat>
            <c:strRef>
              <c:f>sektory!$B$2:$D$2</c:f>
              <c:strCache>
                <c:ptCount val="3"/>
                <c:pt idx="0">
                  <c:v>primární (zeměděl., lesn.)</c:v>
                </c:pt>
                <c:pt idx="1">
                  <c:v>sekundární (prům. a staveb.)</c:v>
                </c:pt>
                <c:pt idx="2">
                  <c:v>terciární (služby)</c:v>
                </c:pt>
              </c:strCache>
            </c:strRef>
          </c:cat>
          <c:val>
            <c:numRef>
              <c:f>sektory!$B$3:$D$3</c:f>
              <c:numCache>
                <c:formatCode>0.0</c:formatCode>
                <c:ptCount val="3"/>
                <c:pt idx="0">
                  <c:v>5.3</c:v>
                </c:pt>
                <c:pt idx="1">
                  <c:v>22.3</c:v>
                </c:pt>
                <c:pt idx="2">
                  <c:v>72.5</c:v>
                </c:pt>
              </c:numCache>
            </c:numRef>
          </c:val>
        </c:ser>
        <c:dLbls>
          <c:showLegendKey val="0"/>
          <c:showVal val="0"/>
          <c:showCatName val="0"/>
          <c:showSerName val="0"/>
          <c:showPercent val="1"/>
          <c:showBubbleSize val="0"/>
          <c:showLeaderLines val="1"/>
        </c:dLbls>
      </c:pie3DChart>
    </c:plotArea>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400"/>
              <a:t>Mezi</a:t>
            </a:r>
            <a:r>
              <a:rPr lang="cs-CZ" sz="1400"/>
              <a:t>roční</a:t>
            </a:r>
            <a:r>
              <a:rPr lang="en-US" sz="1400"/>
              <a:t> rozdíly počtu uchazečů o zaměstnání</a:t>
            </a:r>
            <a:endParaRPr lang="cs-CZ" sz="1400"/>
          </a:p>
          <a:p>
            <a:pPr>
              <a:defRPr/>
            </a:pPr>
            <a:r>
              <a:rPr lang="cs-CZ" sz="1200"/>
              <a:t>v období  2005 - 1. pol. 2013</a:t>
            </a:r>
            <a:endParaRPr lang="en-US" sz="1200"/>
          </a:p>
        </c:rich>
      </c:tx>
      <c:overlay val="0"/>
    </c:title>
    <c:autoTitleDeleted val="0"/>
    <c:plotArea>
      <c:layout>
        <c:manualLayout>
          <c:layoutTarget val="inner"/>
          <c:xMode val="edge"/>
          <c:yMode val="edge"/>
          <c:x val="0.12120009544261513"/>
          <c:y val="0.22467805160718546"/>
          <c:w val="0.82925793366738254"/>
          <c:h val="0.66419981593209942"/>
        </c:manualLayout>
      </c:layout>
      <c:barChart>
        <c:barDir val="col"/>
        <c:grouping val="clustered"/>
        <c:varyColors val="0"/>
        <c:ser>
          <c:idx val="0"/>
          <c:order val="0"/>
          <c:invertIfNegative val="0"/>
          <c:cat>
            <c:numRef>
              <c:f>A!$FN$8:$JQ$8</c:f>
              <c:numCache>
                <c:formatCode>General</c:formatCode>
                <c:ptCount val="108"/>
                <c:pt idx="5">
                  <c:v>2005</c:v>
                </c:pt>
                <c:pt idx="17">
                  <c:v>2006</c:v>
                </c:pt>
                <c:pt idx="29">
                  <c:v>2007</c:v>
                </c:pt>
                <c:pt idx="41">
                  <c:v>2008</c:v>
                </c:pt>
                <c:pt idx="53">
                  <c:v>2009</c:v>
                </c:pt>
                <c:pt idx="65">
                  <c:v>2010</c:v>
                </c:pt>
                <c:pt idx="77">
                  <c:v>2011</c:v>
                </c:pt>
                <c:pt idx="89">
                  <c:v>2012</c:v>
                </c:pt>
                <c:pt idx="101">
                  <c:v>2013</c:v>
                </c:pt>
              </c:numCache>
            </c:numRef>
          </c:cat>
          <c:val>
            <c:numRef>
              <c:f>(A!$FN$96:$JE$96,A!$JF$96:$JQ$96)</c:f>
              <c:numCache>
                <c:formatCode>0</c:formatCode>
                <c:ptCount val="108"/>
                <c:pt idx="0">
                  <c:v>-7812</c:v>
                </c:pt>
                <c:pt idx="1">
                  <c:v>-15741</c:v>
                </c:pt>
                <c:pt idx="2">
                  <c:v>-19366</c:v>
                </c:pt>
                <c:pt idx="3">
                  <c:v>-22534</c:v>
                </c:pt>
                <c:pt idx="4">
                  <c:v>-25866</c:v>
                </c:pt>
                <c:pt idx="5">
                  <c:v>-27782</c:v>
                </c:pt>
                <c:pt idx="6">
                  <c:v>-31803</c:v>
                </c:pt>
                <c:pt idx="7">
                  <c:v>-30758</c:v>
                </c:pt>
                <c:pt idx="8">
                  <c:v>-26843</c:v>
                </c:pt>
                <c:pt idx="9">
                  <c:v>-25934</c:v>
                </c:pt>
                <c:pt idx="10">
                  <c:v>-26947</c:v>
                </c:pt>
                <c:pt idx="11">
                  <c:v>-31259</c:v>
                </c:pt>
                <c:pt idx="12">
                  <c:v>-30427</c:v>
                </c:pt>
                <c:pt idx="13">
                  <c:v>-26892</c:v>
                </c:pt>
                <c:pt idx="14">
                  <c:v>-25697</c:v>
                </c:pt>
                <c:pt idx="15">
                  <c:v>-26394</c:v>
                </c:pt>
                <c:pt idx="16">
                  <c:v>-31534</c:v>
                </c:pt>
                <c:pt idx="17">
                  <c:v>-38638</c:v>
                </c:pt>
                <c:pt idx="18">
                  <c:v>-42055</c:v>
                </c:pt>
                <c:pt idx="19">
                  <c:v>-46525</c:v>
                </c:pt>
                <c:pt idx="20">
                  <c:v>-49214</c:v>
                </c:pt>
                <c:pt idx="21">
                  <c:v>-52090</c:v>
                </c:pt>
                <c:pt idx="22">
                  <c:v>-58206</c:v>
                </c:pt>
                <c:pt idx="23" formatCode="General">
                  <c:v>-61871</c:v>
                </c:pt>
                <c:pt idx="24">
                  <c:v>-65777</c:v>
                </c:pt>
                <c:pt idx="25">
                  <c:v>-73417</c:v>
                </c:pt>
                <c:pt idx="26">
                  <c:v>-84285</c:v>
                </c:pt>
                <c:pt idx="27">
                  <c:v>-83231</c:v>
                </c:pt>
                <c:pt idx="28">
                  <c:v>-80443</c:v>
                </c:pt>
                <c:pt idx="29">
                  <c:v>-80315</c:v>
                </c:pt>
                <c:pt idx="30">
                  <c:v>-81662</c:v>
                </c:pt>
                <c:pt idx="31">
                  <c:v>-85970</c:v>
                </c:pt>
                <c:pt idx="32">
                  <c:v>-89204</c:v>
                </c:pt>
                <c:pt idx="33">
                  <c:v>-90946</c:v>
                </c:pt>
                <c:pt idx="34">
                  <c:v>-91135</c:v>
                </c:pt>
                <c:pt idx="35" formatCode="General">
                  <c:v>-93667</c:v>
                </c:pt>
                <c:pt idx="36" formatCode="General">
                  <c:v>-100914</c:v>
                </c:pt>
                <c:pt idx="37" formatCode="General">
                  <c:v>-99704</c:v>
                </c:pt>
                <c:pt idx="38" formatCode="General">
                  <c:v>-94177</c:v>
                </c:pt>
                <c:pt idx="39" formatCode="General">
                  <c:v>-86814</c:v>
                </c:pt>
                <c:pt idx="40" formatCode="General">
                  <c:v>-80092</c:v>
                </c:pt>
                <c:pt idx="41" formatCode="General">
                  <c:v>-72911</c:v>
                </c:pt>
                <c:pt idx="42" formatCode="General">
                  <c:v>-66550</c:v>
                </c:pt>
                <c:pt idx="43" formatCode="General">
                  <c:v>-60426</c:v>
                </c:pt>
                <c:pt idx="44" formatCode="General">
                  <c:v>-50420</c:v>
                </c:pt>
                <c:pt idx="45" formatCode="General">
                  <c:v>-37137</c:v>
                </c:pt>
                <c:pt idx="46" formatCode="General">
                  <c:v>-21139</c:v>
                </c:pt>
                <c:pt idx="47" formatCode="General">
                  <c:v>-2628</c:v>
                </c:pt>
                <c:pt idx="48" formatCode="General">
                  <c:v>33517</c:v>
                </c:pt>
                <c:pt idx="49" formatCode="General">
                  <c:v>73815</c:v>
                </c:pt>
                <c:pt idx="50" formatCode="General">
                  <c:v>112615</c:v>
                </c:pt>
                <c:pt idx="51" formatCode="General">
                  <c:v>140608</c:v>
                </c:pt>
                <c:pt idx="52" formatCode="General">
                  <c:v>155054</c:v>
                </c:pt>
                <c:pt idx="53" formatCode="General">
                  <c:v>165675</c:v>
                </c:pt>
                <c:pt idx="54" formatCode="General">
                  <c:v>175261</c:v>
                </c:pt>
                <c:pt idx="55" formatCode="General">
                  <c:v>181418</c:v>
                </c:pt>
                <c:pt idx="56" formatCode="General">
                  <c:v>186254</c:v>
                </c:pt>
                <c:pt idx="57" formatCode="General">
                  <c:v>187055</c:v>
                </c:pt>
                <c:pt idx="58" formatCode="General">
                  <c:v>188610</c:v>
                </c:pt>
                <c:pt idx="59" formatCode="General">
                  <c:v>186886</c:v>
                </c:pt>
                <c:pt idx="60" formatCode="General">
                  <c:v>176165</c:v>
                </c:pt>
                <c:pt idx="61" formatCode="General">
                  <c:v>154287</c:v>
                </c:pt>
                <c:pt idx="62" formatCode="General">
                  <c:v>123912</c:v>
                </c:pt>
                <c:pt idx="63" formatCode="General">
                  <c:v>83402</c:v>
                </c:pt>
                <c:pt idx="64" formatCode="General">
                  <c:v>57218</c:v>
                </c:pt>
                <c:pt idx="65" formatCode="General">
                  <c:v>36945</c:v>
                </c:pt>
                <c:pt idx="66" formatCode="General">
                  <c:v>19965</c:v>
                </c:pt>
                <c:pt idx="67" formatCode="General">
                  <c:v>7743</c:v>
                </c:pt>
                <c:pt idx="68" formatCode="General">
                  <c:v>-331</c:v>
                </c:pt>
                <c:pt idx="69" formatCode="General">
                  <c:v>-3599</c:v>
                </c:pt>
                <c:pt idx="70" formatCode="General">
                  <c:v>-2269</c:v>
                </c:pt>
                <c:pt idx="71" formatCode="General">
                  <c:v>22415</c:v>
                </c:pt>
                <c:pt idx="72" formatCode="General">
                  <c:v>-2363</c:v>
                </c:pt>
                <c:pt idx="73" formatCode="General">
                  <c:v>-16239</c:v>
                </c:pt>
                <c:pt idx="74" formatCode="General">
                  <c:v>-25062</c:v>
                </c:pt>
                <c:pt idx="75" formatCode="General">
                  <c:v>-26286</c:v>
                </c:pt>
                <c:pt idx="76" formatCode="General">
                  <c:v>-24823</c:v>
                </c:pt>
                <c:pt idx="77" formatCode="General">
                  <c:v>-21725</c:v>
                </c:pt>
                <c:pt idx="78" formatCode="General">
                  <c:v>-19700</c:v>
                </c:pt>
                <c:pt idx="79" formatCode="General">
                  <c:v>-19959</c:v>
                </c:pt>
                <c:pt idx="80" formatCode="General">
                  <c:v>-25366</c:v>
                </c:pt>
                <c:pt idx="81" formatCode="General">
                  <c:v>-24543</c:v>
                </c:pt>
                <c:pt idx="82" formatCode="General">
                  <c:v>-30236</c:v>
                </c:pt>
                <c:pt idx="83" formatCode="General">
                  <c:v>-53100</c:v>
                </c:pt>
                <c:pt idx="84" formatCode="General">
                  <c:v>-37774</c:v>
                </c:pt>
                <c:pt idx="85" formatCode="General">
                  <c:v>-25211</c:v>
                </c:pt>
                <c:pt idx="86" formatCode="General">
                  <c:v>-22582</c:v>
                </c:pt>
                <c:pt idx="87" formatCode="General">
                  <c:v>-16520</c:v>
                </c:pt>
                <c:pt idx="88" formatCode="General">
                  <c:v>-7857</c:v>
                </c:pt>
                <c:pt idx="89" formatCode="General">
                  <c:v>-4189</c:v>
                </c:pt>
                <c:pt idx="90" formatCode="General">
                  <c:v>13</c:v>
                </c:pt>
                <c:pt idx="91" formatCode="General">
                  <c:v>5158</c:v>
                </c:pt>
                <c:pt idx="92" formatCode="General">
                  <c:v>18070</c:v>
                </c:pt>
                <c:pt idx="93" formatCode="General">
                  <c:v>26144</c:v>
                </c:pt>
                <c:pt idx="94" formatCode="General">
                  <c:v>32094</c:v>
                </c:pt>
                <c:pt idx="95" formatCode="General">
                  <c:v>36860</c:v>
                </c:pt>
                <c:pt idx="96" formatCode="General">
                  <c:v>51720</c:v>
                </c:pt>
                <c:pt idx="97" formatCode="General">
                  <c:v>51998</c:v>
                </c:pt>
                <c:pt idx="98" formatCode="General">
                  <c:v>62588</c:v>
                </c:pt>
                <c:pt idx="99" formatCode="General">
                  <c:v>67906</c:v>
                </c:pt>
                <c:pt idx="100" formatCode="General">
                  <c:v>65364</c:v>
                </c:pt>
                <c:pt idx="101" formatCode="General">
                  <c:v>65887</c:v>
                </c:pt>
              </c:numCache>
            </c:numRef>
          </c:val>
        </c:ser>
        <c:dLbls>
          <c:showLegendKey val="0"/>
          <c:showVal val="0"/>
          <c:showCatName val="0"/>
          <c:showSerName val="0"/>
          <c:showPercent val="0"/>
          <c:showBubbleSize val="0"/>
        </c:dLbls>
        <c:gapWidth val="48"/>
        <c:axId val="129292160"/>
        <c:axId val="160890880"/>
      </c:barChart>
      <c:catAx>
        <c:axId val="129292160"/>
        <c:scaling>
          <c:orientation val="minMax"/>
        </c:scaling>
        <c:delete val="0"/>
        <c:axPos val="b"/>
        <c:majorGridlines/>
        <c:numFmt formatCode="0" sourceLinked="0"/>
        <c:majorTickMark val="none"/>
        <c:minorTickMark val="none"/>
        <c:tickLblPos val="low"/>
        <c:txPr>
          <a:bodyPr rot="60000" anchor="b" anchorCtr="0"/>
          <a:lstStyle/>
          <a:p>
            <a:pPr>
              <a:defRPr sz="800" b="1"/>
            </a:pPr>
            <a:endParaRPr lang="cs-CZ"/>
          </a:p>
        </c:txPr>
        <c:crossAx val="160890880"/>
        <c:crosses val="autoZero"/>
        <c:auto val="1"/>
        <c:lblAlgn val="ctr"/>
        <c:lblOffset val="100"/>
        <c:tickMarkSkip val="12"/>
        <c:noMultiLvlLbl val="0"/>
      </c:catAx>
      <c:valAx>
        <c:axId val="160890880"/>
        <c:scaling>
          <c:orientation val="minMax"/>
        </c:scaling>
        <c:delete val="0"/>
        <c:axPos val="l"/>
        <c:majorGridlines/>
        <c:title>
          <c:tx>
            <c:rich>
              <a:bodyPr/>
              <a:lstStyle/>
              <a:p>
                <a:pPr>
                  <a:defRPr/>
                </a:pPr>
                <a:r>
                  <a:rPr lang="cs-CZ" sz="800"/>
                  <a:t>meziroční rozdíly v tis.</a:t>
                </a:r>
              </a:p>
            </c:rich>
          </c:tx>
          <c:overlay val="0"/>
        </c:title>
        <c:numFmt formatCode="0" sourceLinked="1"/>
        <c:majorTickMark val="none"/>
        <c:minorTickMark val="none"/>
        <c:tickLblPos val="low"/>
        <c:txPr>
          <a:bodyPr anchor="b" anchorCtr="0"/>
          <a:lstStyle/>
          <a:p>
            <a:pPr>
              <a:defRPr sz="800"/>
            </a:pPr>
            <a:endParaRPr lang="cs-CZ"/>
          </a:p>
        </c:txPr>
        <c:crossAx val="129292160"/>
        <c:crossesAt val="1"/>
        <c:crossBetween val="between"/>
      </c:valAx>
      <c:spPr>
        <a:noFill/>
        <a:ln>
          <a:solidFill>
            <a:schemeClr val="tx1"/>
          </a:solidFill>
        </a:ln>
      </c:spPr>
    </c:plotArea>
    <c:plotVisOnly val="1"/>
    <c:dispBlanksAs val="gap"/>
    <c:showDLblsOverMax val="0"/>
  </c:chart>
  <c:spPr>
    <a:ln>
      <a:solidFill>
        <a:schemeClr val="accent1"/>
      </a:solidFill>
    </a:ln>
  </c:sp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cs-CZ" sz="800">
                <a:latin typeface="Arial" pitchFamily="34" charset="0"/>
                <a:cs typeface="Arial" pitchFamily="34" charset="0"/>
              </a:rPr>
              <a:t>Podíl sektorů na zaměstnanosti v ČR</a:t>
            </a:r>
          </a:p>
          <a:p>
            <a:pPr>
              <a:defRPr sz="800"/>
            </a:pPr>
            <a:r>
              <a:rPr lang="cs-CZ" sz="800">
                <a:latin typeface="Arial" pitchFamily="34" charset="0"/>
                <a:cs typeface="Arial" pitchFamily="34" charset="0"/>
              </a:rPr>
              <a:t>ve 2. čtvrtletí 2013</a:t>
            </a:r>
          </a:p>
        </c:rich>
      </c:tx>
      <c:overlay val="0"/>
    </c:title>
    <c:autoTitleDeleted val="0"/>
    <c:view3D>
      <c:rotX val="30"/>
      <c:rotY val="30"/>
      <c:rAngAx val="0"/>
      <c:perspective val="30"/>
    </c:view3D>
    <c:floor>
      <c:thickness val="0"/>
    </c:floor>
    <c:sideWall>
      <c:thickness val="0"/>
    </c:sideWall>
    <c:backWall>
      <c:thickness val="0"/>
    </c:backWall>
    <c:plotArea>
      <c:layout>
        <c:manualLayout>
          <c:layoutTarget val="inner"/>
          <c:xMode val="edge"/>
          <c:yMode val="edge"/>
          <c:x val="0.12061942257217848"/>
          <c:y val="0.31254222994644176"/>
          <c:w val="0.75876115485564299"/>
          <c:h val="0.57573037494205415"/>
        </c:manualLayout>
      </c:layout>
      <c:pie3DChart>
        <c:varyColors val="1"/>
        <c:ser>
          <c:idx val="0"/>
          <c:order val="0"/>
          <c:tx>
            <c:strRef>
              <c:f>sektory!$A$4</c:f>
              <c:strCache>
                <c:ptCount val="1"/>
                <c:pt idx="0">
                  <c:v>Česká republika</c:v>
                </c:pt>
              </c:strCache>
            </c:strRef>
          </c:tx>
          <c:explosion val="25"/>
          <c:dLbls>
            <c:dLbl>
              <c:idx val="0"/>
              <c:layout>
                <c:manualLayout>
                  <c:x val="0.13540668954842183"/>
                  <c:y val="4.6801044138098581E-2"/>
                </c:manualLayout>
              </c:layout>
              <c:showLegendKey val="0"/>
              <c:showVal val="0"/>
              <c:showCatName val="1"/>
              <c:showSerName val="0"/>
              <c:showPercent val="1"/>
              <c:showBubbleSize val="0"/>
            </c:dLbl>
            <c:dLbl>
              <c:idx val="1"/>
              <c:layout>
                <c:manualLayout>
                  <c:x val="1.4164075644390605E-2"/>
                  <c:y val="0.14351767114781627"/>
                </c:manualLayout>
              </c:layout>
              <c:showLegendKey val="0"/>
              <c:showVal val="0"/>
              <c:showCatName val="1"/>
              <c:showSerName val="0"/>
              <c:showPercent val="1"/>
              <c:showBubbleSize val="0"/>
            </c:dLbl>
            <c:dLbl>
              <c:idx val="2"/>
              <c:layout>
                <c:manualLayout>
                  <c:x val="4.7863247863247867E-2"/>
                  <c:y val="-0.16590018422947775"/>
                </c:manualLayout>
              </c:layout>
              <c:showLegendKey val="0"/>
              <c:showVal val="0"/>
              <c:showCatName val="1"/>
              <c:showSerName val="0"/>
              <c:showPercent val="1"/>
              <c:showBubbleSize val="0"/>
            </c:dLbl>
            <c:numFmt formatCode="0.0%" sourceLinked="0"/>
            <c:txPr>
              <a:bodyPr/>
              <a:lstStyle/>
              <a:p>
                <a:pPr>
                  <a:defRPr sz="700">
                    <a:latin typeface="Arial" pitchFamily="34" charset="0"/>
                    <a:cs typeface="Arial" pitchFamily="34" charset="0"/>
                  </a:defRPr>
                </a:pPr>
                <a:endParaRPr lang="cs-CZ"/>
              </a:p>
            </c:txPr>
            <c:showLegendKey val="0"/>
            <c:showVal val="0"/>
            <c:showCatName val="1"/>
            <c:showSerName val="0"/>
            <c:showPercent val="1"/>
            <c:showBubbleSize val="0"/>
            <c:showLeaderLines val="1"/>
          </c:dLbls>
          <c:cat>
            <c:strRef>
              <c:f>sektory!$B$2:$D$2</c:f>
              <c:strCache>
                <c:ptCount val="3"/>
                <c:pt idx="0">
                  <c:v>primární (zeměděl., lesn.)</c:v>
                </c:pt>
                <c:pt idx="1">
                  <c:v>sekundární (prům. a staveb.)</c:v>
                </c:pt>
                <c:pt idx="2">
                  <c:v>terciární (služby)</c:v>
                </c:pt>
              </c:strCache>
            </c:strRef>
          </c:cat>
          <c:val>
            <c:numRef>
              <c:f>sektory!$B$4:$D$4</c:f>
              <c:numCache>
                <c:formatCode>0.0</c:formatCode>
                <c:ptCount val="3"/>
                <c:pt idx="0">
                  <c:v>3.2</c:v>
                </c:pt>
                <c:pt idx="1">
                  <c:v>36.299999999999997</c:v>
                </c:pt>
                <c:pt idx="2">
                  <c:v>60.4</c:v>
                </c:pt>
              </c:numCache>
            </c:numRef>
          </c:val>
        </c:ser>
        <c:dLbls>
          <c:showLegendKey val="0"/>
          <c:showVal val="0"/>
          <c:showCatName val="0"/>
          <c:showSerName val="0"/>
          <c:showPercent val="1"/>
          <c:showBubbleSize val="0"/>
          <c:showLeaderLines val="1"/>
        </c:dLbls>
      </c:pie3DChart>
    </c:plotArea>
    <c:plotVisOnly val="1"/>
    <c:dispBlanksAs val="gap"/>
    <c:showDLblsOverMax val="0"/>
  </c:chart>
  <c:spPr>
    <a:ln>
      <a:noFill/>
    </a:ln>
  </c:sp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00" b="1">
                <a:latin typeface="Arial Narrow" pitchFamily="34" charset="0"/>
              </a:defRPr>
            </a:pPr>
            <a:r>
              <a:rPr lang="cs-CZ" sz="900" b="1" i="0" baseline="0">
                <a:effectLst/>
                <a:latin typeface="Arial Narrow" pitchFamily="34" charset="0"/>
              </a:rPr>
              <a:t>Kratší pracovní doba v %</a:t>
            </a:r>
            <a:endParaRPr lang="cs-CZ" sz="900" b="1">
              <a:effectLst/>
              <a:latin typeface="Arial Narrow" pitchFamily="34" charset="0"/>
            </a:endParaRPr>
          </a:p>
          <a:p>
            <a:pPr>
              <a:defRPr sz="900" b="1">
                <a:latin typeface="Arial Narrow" pitchFamily="34" charset="0"/>
              </a:defRPr>
            </a:pPr>
            <a:r>
              <a:rPr lang="cs-CZ" sz="900" b="1" i="0" baseline="0">
                <a:effectLst/>
                <a:latin typeface="Arial Narrow" pitchFamily="34" charset="0"/>
              </a:rPr>
              <a:t>- celkem</a:t>
            </a:r>
            <a:endParaRPr lang="cs-CZ" sz="900" b="1">
              <a:effectLst/>
              <a:latin typeface="Arial Narrow" pitchFamily="34" charset="0"/>
            </a:endParaRPr>
          </a:p>
        </c:rich>
      </c:tx>
      <c:overlay val="0"/>
    </c:title>
    <c:autoTitleDeleted val="0"/>
    <c:plotArea>
      <c:layout>
        <c:manualLayout>
          <c:layoutTarget val="inner"/>
          <c:xMode val="edge"/>
          <c:yMode val="edge"/>
          <c:x val="7.4598951893385404E-2"/>
          <c:y val="0.25083333333333335"/>
          <c:w val="0.88714787713771948"/>
          <c:h val="0.51243256051326913"/>
        </c:manualLayout>
      </c:layout>
      <c:barChart>
        <c:barDir val="col"/>
        <c:grouping val="clustered"/>
        <c:varyColors val="0"/>
        <c:ser>
          <c:idx val="0"/>
          <c:order val="0"/>
          <c:tx>
            <c:strRef>
              <c:f>'part time'!$B$2</c:f>
              <c:strCache>
                <c:ptCount val="1"/>
                <c:pt idx="0">
                  <c:v>EU27</c:v>
                </c:pt>
              </c:strCache>
            </c:strRef>
          </c:tx>
          <c:invertIfNegative val="0"/>
          <c:cat>
            <c:strRef>
              <c:f>'part time'!$C$1:$J$1</c:f>
              <c:strCache>
                <c:ptCount val="8"/>
                <c:pt idx="0">
                  <c:v>2008</c:v>
                </c:pt>
                <c:pt idx="1">
                  <c:v>2009</c:v>
                </c:pt>
                <c:pt idx="2">
                  <c:v>2010</c:v>
                </c:pt>
                <c:pt idx="3">
                  <c:v>2011</c:v>
                </c:pt>
                <c:pt idx="4">
                  <c:v>2012</c:v>
                </c:pt>
                <c:pt idx="6">
                  <c:v>1.q 2013</c:v>
                </c:pt>
                <c:pt idx="7">
                  <c:v>2.q 2013</c:v>
                </c:pt>
              </c:strCache>
            </c:strRef>
          </c:cat>
          <c:val>
            <c:numRef>
              <c:f>'part time'!$C$2:$J$2</c:f>
              <c:numCache>
                <c:formatCode>General</c:formatCode>
                <c:ptCount val="8"/>
                <c:pt idx="0">
                  <c:v>18.100000000000001</c:v>
                </c:pt>
                <c:pt idx="1">
                  <c:v>18.7</c:v>
                </c:pt>
                <c:pt idx="2">
                  <c:v>19.2</c:v>
                </c:pt>
                <c:pt idx="3">
                  <c:v>19.5</c:v>
                </c:pt>
                <c:pt idx="4">
                  <c:v>19.899999999999999</c:v>
                </c:pt>
                <c:pt idx="6" formatCode="0.0">
                  <c:v>20.399999999999999</c:v>
                </c:pt>
                <c:pt idx="7">
                  <c:v>20.399999999999999</c:v>
                </c:pt>
              </c:numCache>
            </c:numRef>
          </c:val>
        </c:ser>
        <c:ser>
          <c:idx val="1"/>
          <c:order val="1"/>
          <c:tx>
            <c:strRef>
              <c:f>'part time'!$B$3</c:f>
              <c:strCache>
                <c:ptCount val="1"/>
                <c:pt idx="0">
                  <c:v>Česká republika</c:v>
                </c:pt>
              </c:strCache>
            </c:strRef>
          </c:tx>
          <c:invertIfNegative val="0"/>
          <c:cat>
            <c:strRef>
              <c:f>'part time'!$C$1:$J$1</c:f>
              <c:strCache>
                <c:ptCount val="8"/>
                <c:pt idx="0">
                  <c:v>2008</c:v>
                </c:pt>
                <c:pt idx="1">
                  <c:v>2009</c:v>
                </c:pt>
                <c:pt idx="2">
                  <c:v>2010</c:v>
                </c:pt>
                <c:pt idx="3">
                  <c:v>2011</c:v>
                </c:pt>
                <c:pt idx="4">
                  <c:v>2012</c:v>
                </c:pt>
                <c:pt idx="6">
                  <c:v>1.q 2013</c:v>
                </c:pt>
                <c:pt idx="7">
                  <c:v>2.q 2013</c:v>
                </c:pt>
              </c:strCache>
            </c:strRef>
          </c:cat>
          <c:val>
            <c:numRef>
              <c:f>'part time'!$C$3:$J$3</c:f>
              <c:numCache>
                <c:formatCode>General</c:formatCode>
                <c:ptCount val="8"/>
                <c:pt idx="0">
                  <c:v>4.8</c:v>
                </c:pt>
                <c:pt idx="1">
                  <c:v>5.4</c:v>
                </c:pt>
                <c:pt idx="2">
                  <c:v>5.8</c:v>
                </c:pt>
                <c:pt idx="3">
                  <c:v>5.4</c:v>
                </c:pt>
                <c:pt idx="4">
                  <c:v>5.7</c:v>
                </c:pt>
                <c:pt idx="6" formatCode="0.0">
                  <c:v>6.4</c:v>
                </c:pt>
                <c:pt idx="7">
                  <c:v>6.7</c:v>
                </c:pt>
              </c:numCache>
            </c:numRef>
          </c:val>
        </c:ser>
        <c:dLbls>
          <c:showLegendKey val="0"/>
          <c:showVal val="0"/>
          <c:showCatName val="0"/>
          <c:showSerName val="0"/>
          <c:showPercent val="0"/>
          <c:showBubbleSize val="0"/>
        </c:dLbls>
        <c:gapWidth val="164"/>
        <c:axId val="120735616"/>
        <c:axId val="120737152"/>
      </c:barChart>
      <c:catAx>
        <c:axId val="120735616"/>
        <c:scaling>
          <c:orientation val="minMax"/>
        </c:scaling>
        <c:delete val="0"/>
        <c:axPos val="b"/>
        <c:majorTickMark val="none"/>
        <c:minorTickMark val="none"/>
        <c:tickLblPos val="nextTo"/>
        <c:txPr>
          <a:bodyPr/>
          <a:lstStyle/>
          <a:p>
            <a:pPr>
              <a:defRPr sz="800">
                <a:latin typeface="Arial" pitchFamily="34" charset="0"/>
                <a:cs typeface="Arial" pitchFamily="34" charset="0"/>
              </a:defRPr>
            </a:pPr>
            <a:endParaRPr lang="cs-CZ"/>
          </a:p>
        </c:txPr>
        <c:crossAx val="120737152"/>
        <c:crosses val="autoZero"/>
        <c:auto val="1"/>
        <c:lblAlgn val="ctr"/>
        <c:lblOffset val="100"/>
        <c:noMultiLvlLbl val="0"/>
      </c:catAx>
      <c:valAx>
        <c:axId val="120737152"/>
        <c:scaling>
          <c:orientation val="minMax"/>
          <c:max val="35"/>
          <c:min val="0"/>
        </c:scaling>
        <c:delete val="0"/>
        <c:axPos val="l"/>
        <c:majorGridlines/>
        <c:numFmt formatCode="General" sourceLinked="1"/>
        <c:majorTickMark val="none"/>
        <c:minorTickMark val="none"/>
        <c:tickLblPos val="nextTo"/>
        <c:spPr>
          <a:ln w="9525">
            <a:noFill/>
          </a:ln>
        </c:spPr>
        <c:txPr>
          <a:bodyPr/>
          <a:lstStyle/>
          <a:p>
            <a:pPr>
              <a:defRPr sz="600">
                <a:latin typeface="Arial" pitchFamily="34" charset="0"/>
                <a:cs typeface="Arial" pitchFamily="34" charset="0"/>
              </a:defRPr>
            </a:pPr>
            <a:endParaRPr lang="cs-CZ"/>
          </a:p>
        </c:txPr>
        <c:crossAx val="120735616"/>
        <c:crosses val="autoZero"/>
        <c:crossBetween val="between"/>
        <c:majorUnit val="5"/>
      </c:valAx>
    </c:plotArea>
    <c:legend>
      <c:legendPos val="b"/>
      <c:layout>
        <c:manualLayout>
          <c:xMode val="edge"/>
          <c:yMode val="edge"/>
          <c:x val="0.20414186688202438"/>
          <c:y val="0.8996883202099738"/>
          <c:w val="0.53017753550037017"/>
          <c:h val="7.2533902012248463E-2"/>
        </c:manualLayout>
      </c:layout>
      <c:overlay val="0"/>
      <c:txPr>
        <a:bodyPr/>
        <a:lstStyle/>
        <a:p>
          <a:pPr>
            <a:defRPr sz="800">
              <a:latin typeface="Arial" pitchFamily="34" charset="0"/>
              <a:cs typeface="Arial" pitchFamily="34" charset="0"/>
            </a:defRPr>
          </a:pPr>
          <a:endParaRPr lang="cs-CZ"/>
        </a:p>
      </c:txPr>
    </c:legend>
    <c:plotVisOnly val="1"/>
    <c:dispBlanksAs val="gap"/>
    <c:showDLblsOverMax val="0"/>
  </c:chart>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00" b="1">
                <a:latin typeface="Arial Narrow" pitchFamily="34" charset="0"/>
              </a:defRPr>
            </a:pPr>
            <a:r>
              <a:rPr lang="cs-CZ" sz="900" b="1" i="0" baseline="0">
                <a:effectLst/>
                <a:latin typeface="Arial Narrow" pitchFamily="34" charset="0"/>
              </a:rPr>
              <a:t>Kratší pracovní doba v %</a:t>
            </a:r>
            <a:endParaRPr lang="cs-CZ" sz="900" b="1">
              <a:effectLst/>
              <a:latin typeface="Arial Narrow" pitchFamily="34" charset="0"/>
            </a:endParaRPr>
          </a:p>
          <a:p>
            <a:pPr>
              <a:defRPr sz="900" b="1">
                <a:latin typeface="Arial Narrow" pitchFamily="34" charset="0"/>
              </a:defRPr>
            </a:pPr>
            <a:r>
              <a:rPr lang="cs-CZ" sz="900" b="1" i="0" baseline="0">
                <a:effectLst/>
                <a:latin typeface="Arial Narrow" pitchFamily="34" charset="0"/>
              </a:rPr>
              <a:t>- ženy</a:t>
            </a:r>
            <a:endParaRPr lang="cs-CZ" sz="900" b="1">
              <a:effectLst/>
              <a:latin typeface="Arial Narrow" pitchFamily="34" charset="0"/>
            </a:endParaRPr>
          </a:p>
        </c:rich>
      </c:tx>
      <c:overlay val="0"/>
    </c:title>
    <c:autoTitleDeleted val="0"/>
    <c:plotArea>
      <c:layout>
        <c:manualLayout>
          <c:layoutTarget val="inner"/>
          <c:xMode val="edge"/>
          <c:yMode val="edge"/>
          <c:x val="9.8929861459417776E-2"/>
          <c:y val="0.25083333333333335"/>
          <c:w val="0.86281696757168713"/>
          <c:h val="0.51243256051326913"/>
        </c:manualLayout>
      </c:layout>
      <c:barChart>
        <c:barDir val="col"/>
        <c:grouping val="clustered"/>
        <c:varyColors val="0"/>
        <c:ser>
          <c:idx val="0"/>
          <c:order val="0"/>
          <c:tx>
            <c:strRef>
              <c:f>'part time'!$B$4</c:f>
              <c:strCache>
                <c:ptCount val="1"/>
                <c:pt idx="0">
                  <c:v>EU27</c:v>
                </c:pt>
              </c:strCache>
            </c:strRef>
          </c:tx>
          <c:invertIfNegative val="0"/>
          <c:cat>
            <c:strRef>
              <c:f>'part time'!$C$1:$J$1</c:f>
              <c:strCache>
                <c:ptCount val="8"/>
                <c:pt idx="0">
                  <c:v>2008</c:v>
                </c:pt>
                <c:pt idx="1">
                  <c:v>2009</c:v>
                </c:pt>
                <c:pt idx="2">
                  <c:v>2010</c:v>
                </c:pt>
                <c:pt idx="3">
                  <c:v>2011</c:v>
                </c:pt>
                <c:pt idx="4">
                  <c:v>2012</c:v>
                </c:pt>
                <c:pt idx="6">
                  <c:v>1.q 2013</c:v>
                </c:pt>
                <c:pt idx="7">
                  <c:v>2.q 2013</c:v>
                </c:pt>
              </c:strCache>
            </c:strRef>
          </c:cat>
          <c:val>
            <c:numRef>
              <c:f>'part time'!$C$4:$J$4</c:f>
              <c:numCache>
                <c:formatCode>General</c:formatCode>
                <c:ptCount val="8"/>
                <c:pt idx="0">
                  <c:v>31</c:v>
                </c:pt>
                <c:pt idx="1">
                  <c:v>31.4</c:v>
                </c:pt>
                <c:pt idx="2">
                  <c:v>31.9</c:v>
                </c:pt>
                <c:pt idx="3">
                  <c:v>32.200000000000003</c:v>
                </c:pt>
                <c:pt idx="4">
                  <c:v>32.6</c:v>
                </c:pt>
                <c:pt idx="6" formatCode="0.0">
                  <c:v>33.1</c:v>
                </c:pt>
                <c:pt idx="7">
                  <c:v>33</c:v>
                </c:pt>
              </c:numCache>
            </c:numRef>
          </c:val>
        </c:ser>
        <c:ser>
          <c:idx val="1"/>
          <c:order val="1"/>
          <c:tx>
            <c:strRef>
              <c:f>'part time'!$B$5</c:f>
              <c:strCache>
                <c:ptCount val="1"/>
                <c:pt idx="0">
                  <c:v>Česká republika</c:v>
                </c:pt>
              </c:strCache>
            </c:strRef>
          </c:tx>
          <c:invertIfNegative val="0"/>
          <c:cat>
            <c:strRef>
              <c:f>'part time'!$C$1:$J$1</c:f>
              <c:strCache>
                <c:ptCount val="8"/>
                <c:pt idx="0">
                  <c:v>2008</c:v>
                </c:pt>
                <c:pt idx="1">
                  <c:v>2009</c:v>
                </c:pt>
                <c:pt idx="2">
                  <c:v>2010</c:v>
                </c:pt>
                <c:pt idx="3">
                  <c:v>2011</c:v>
                </c:pt>
                <c:pt idx="4">
                  <c:v>2012</c:v>
                </c:pt>
                <c:pt idx="6">
                  <c:v>1.q 2013</c:v>
                </c:pt>
                <c:pt idx="7">
                  <c:v>2.q 2013</c:v>
                </c:pt>
              </c:strCache>
            </c:strRef>
          </c:cat>
          <c:val>
            <c:numRef>
              <c:f>'part time'!$C$5:$J$5</c:f>
              <c:numCache>
                <c:formatCode>General</c:formatCode>
                <c:ptCount val="8"/>
                <c:pt idx="0">
                  <c:v>8.4</c:v>
                </c:pt>
                <c:pt idx="1">
                  <c:v>9.1</c:v>
                </c:pt>
                <c:pt idx="2">
                  <c:v>9.8000000000000007</c:v>
                </c:pt>
                <c:pt idx="3">
                  <c:v>9.3000000000000007</c:v>
                </c:pt>
                <c:pt idx="4">
                  <c:v>9.4</c:v>
                </c:pt>
                <c:pt idx="6" formatCode="0.0">
                  <c:v>10.8</c:v>
                </c:pt>
                <c:pt idx="7">
                  <c:v>11.3</c:v>
                </c:pt>
              </c:numCache>
            </c:numRef>
          </c:val>
        </c:ser>
        <c:dLbls>
          <c:showLegendKey val="0"/>
          <c:showVal val="0"/>
          <c:showCatName val="0"/>
          <c:showSerName val="0"/>
          <c:showPercent val="0"/>
          <c:showBubbleSize val="0"/>
        </c:dLbls>
        <c:gapWidth val="164"/>
        <c:axId val="120758656"/>
        <c:axId val="120760192"/>
      </c:barChart>
      <c:catAx>
        <c:axId val="120758656"/>
        <c:scaling>
          <c:orientation val="minMax"/>
        </c:scaling>
        <c:delete val="0"/>
        <c:axPos val="b"/>
        <c:majorTickMark val="none"/>
        <c:minorTickMark val="none"/>
        <c:tickLblPos val="nextTo"/>
        <c:txPr>
          <a:bodyPr/>
          <a:lstStyle/>
          <a:p>
            <a:pPr>
              <a:defRPr sz="800">
                <a:latin typeface="Arial" pitchFamily="34" charset="0"/>
                <a:cs typeface="Arial" pitchFamily="34" charset="0"/>
              </a:defRPr>
            </a:pPr>
            <a:endParaRPr lang="cs-CZ"/>
          </a:p>
        </c:txPr>
        <c:crossAx val="120760192"/>
        <c:crosses val="autoZero"/>
        <c:auto val="1"/>
        <c:lblAlgn val="ctr"/>
        <c:lblOffset val="100"/>
        <c:noMultiLvlLbl val="0"/>
      </c:catAx>
      <c:valAx>
        <c:axId val="120760192"/>
        <c:scaling>
          <c:orientation val="minMax"/>
          <c:max val="35"/>
          <c:min val="0"/>
        </c:scaling>
        <c:delete val="0"/>
        <c:axPos val="l"/>
        <c:majorGridlines/>
        <c:numFmt formatCode="General" sourceLinked="1"/>
        <c:majorTickMark val="none"/>
        <c:minorTickMark val="none"/>
        <c:tickLblPos val="nextTo"/>
        <c:spPr>
          <a:ln w="9525">
            <a:noFill/>
          </a:ln>
        </c:spPr>
        <c:txPr>
          <a:bodyPr/>
          <a:lstStyle/>
          <a:p>
            <a:pPr>
              <a:defRPr sz="600">
                <a:latin typeface="Arial" pitchFamily="34" charset="0"/>
                <a:cs typeface="Arial" pitchFamily="34" charset="0"/>
              </a:defRPr>
            </a:pPr>
            <a:endParaRPr lang="cs-CZ"/>
          </a:p>
        </c:txPr>
        <c:crossAx val="120758656"/>
        <c:crosses val="autoZero"/>
        <c:crossBetween val="between"/>
        <c:majorUnit val="5"/>
      </c:valAx>
    </c:plotArea>
    <c:legend>
      <c:legendPos val="b"/>
      <c:layout>
        <c:manualLayout>
          <c:xMode val="edge"/>
          <c:yMode val="edge"/>
          <c:x val="0.20414186688202438"/>
          <c:y val="0.8996883202099738"/>
          <c:w val="0.53017753550037017"/>
          <c:h val="7.2533902012248463E-2"/>
        </c:manualLayout>
      </c:layout>
      <c:overlay val="0"/>
      <c:txPr>
        <a:bodyPr/>
        <a:lstStyle/>
        <a:p>
          <a:pPr>
            <a:defRPr sz="800">
              <a:latin typeface="Arial" pitchFamily="34" charset="0"/>
              <a:cs typeface="Arial" pitchFamily="34" charset="0"/>
            </a:defRPr>
          </a:pPr>
          <a:endParaRPr lang="cs-CZ"/>
        </a:p>
      </c:txPr>
    </c:legend>
    <c:plotVisOnly val="1"/>
    <c:dispBlanksAs val="gap"/>
    <c:showDLblsOverMax val="0"/>
  </c:chart>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00" b="1">
                <a:latin typeface="Arial Narrow" pitchFamily="34" charset="0"/>
              </a:defRPr>
            </a:pPr>
            <a:r>
              <a:rPr lang="cs-CZ" sz="900" b="1" i="0" baseline="0">
                <a:effectLst/>
                <a:latin typeface="Arial Narrow" pitchFamily="34" charset="0"/>
              </a:rPr>
              <a:t>Míra nezaměstnanosti v %</a:t>
            </a:r>
            <a:endParaRPr lang="cs-CZ" sz="900" b="1">
              <a:effectLst/>
              <a:latin typeface="Arial Narrow" pitchFamily="34" charset="0"/>
            </a:endParaRPr>
          </a:p>
        </c:rich>
      </c:tx>
      <c:overlay val="0"/>
    </c:title>
    <c:autoTitleDeleted val="0"/>
    <c:plotArea>
      <c:layout>
        <c:manualLayout>
          <c:layoutTarget val="inner"/>
          <c:xMode val="edge"/>
          <c:yMode val="edge"/>
          <c:x val="7.4598951893385404E-2"/>
          <c:y val="0.25083333333333335"/>
          <c:w val="0.88714787713771948"/>
          <c:h val="0.51243256051326913"/>
        </c:manualLayout>
      </c:layout>
      <c:barChart>
        <c:barDir val="col"/>
        <c:grouping val="clustered"/>
        <c:varyColors val="0"/>
        <c:ser>
          <c:idx val="0"/>
          <c:order val="0"/>
          <c:tx>
            <c:strRef>
              <c:f>MN!$B$2</c:f>
              <c:strCache>
                <c:ptCount val="1"/>
                <c:pt idx="0">
                  <c:v>EU27</c:v>
                </c:pt>
              </c:strCache>
            </c:strRef>
          </c:tx>
          <c:invertIfNegative val="0"/>
          <c:cat>
            <c:strRef>
              <c:f>MN!$C$1:$J$1</c:f>
              <c:strCache>
                <c:ptCount val="8"/>
                <c:pt idx="0">
                  <c:v>2008</c:v>
                </c:pt>
                <c:pt idx="1">
                  <c:v>2009</c:v>
                </c:pt>
                <c:pt idx="2">
                  <c:v>2010</c:v>
                </c:pt>
                <c:pt idx="3">
                  <c:v>2011</c:v>
                </c:pt>
                <c:pt idx="4">
                  <c:v>2012</c:v>
                </c:pt>
                <c:pt idx="6">
                  <c:v>1.q 2013</c:v>
                </c:pt>
                <c:pt idx="7">
                  <c:v>1.q 2013</c:v>
                </c:pt>
              </c:strCache>
            </c:strRef>
          </c:cat>
          <c:val>
            <c:numRef>
              <c:f>MN!$C$2:$J$2</c:f>
              <c:numCache>
                <c:formatCode>0.0</c:formatCode>
                <c:ptCount val="8"/>
                <c:pt idx="0">
                  <c:v>7.1</c:v>
                </c:pt>
                <c:pt idx="1">
                  <c:v>9</c:v>
                </c:pt>
                <c:pt idx="2">
                  <c:v>9.6999999999999993</c:v>
                </c:pt>
                <c:pt idx="3">
                  <c:v>9.6999999999999993</c:v>
                </c:pt>
                <c:pt idx="4">
                  <c:v>10.5</c:v>
                </c:pt>
                <c:pt idx="6" formatCode="General">
                  <c:v>11.4</c:v>
                </c:pt>
                <c:pt idx="7" formatCode="General">
                  <c:v>10.9</c:v>
                </c:pt>
              </c:numCache>
            </c:numRef>
          </c:val>
        </c:ser>
        <c:ser>
          <c:idx val="1"/>
          <c:order val="1"/>
          <c:tx>
            <c:strRef>
              <c:f>MN!$B$3</c:f>
              <c:strCache>
                <c:ptCount val="1"/>
                <c:pt idx="0">
                  <c:v>Česká republika</c:v>
                </c:pt>
              </c:strCache>
            </c:strRef>
          </c:tx>
          <c:invertIfNegative val="0"/>
          <c:cat>
            <c:strRef>
              <c:f>MN!$C$1:$J$1</c:f>
              <c:strCache>
                <c:ptCount val="8"/>
                <c:pt idx="0">
                  <c:v>2008</c:v>
                </c:pt>
                <c:pt idx="1">
                  <c:v>2009</c:v>
                </c:pt>
                <c:pt idx="2">
                  <c:v>2010</c:v>
                </c:pt>
                <c:pt idx="3">
                  <c:v>2011</c:v>
                </c:pt>
                <c:pt idx="4">
                  <c:v>2012</c:v>
                </c:pt>
                <c:pt idx="6">
                  <c:v>1.q 2013</c:v>
                </c:pt>
                <c:pt idx="7">
                  <c:v>1.q 2013</c:v>
                </c:pt>
              </c:strCache>
            </c:strRef>
          </c:cat>
          <c:val>
            <c:numRef>
              <c:f>MN!$C$3:$J$3</c:f>
              <c:numCache>
                <c:formatCode>0.0</c:formatCode>
                <c:ptCount val="8"/>
                <c:pt idx="0">
                  <c:v>4.4000000000000004</c:v>
                </c:pt>
                <c:pt idx="1">
                  <c:v>6.7</c:v>
                </c:pt>
                <c:pt idx="2">
                  <c:v>7.3</c:v>
                </c:pt>
                <c:pt idx="3">
                  <c:v>6.7</c:v>
                </c:pt>
                <c:pt idx="4">
                  <c:v>7</c:v>
                </c:pt>
                <c:pt idx="6" formatCode="General">
                  <c:v>7.5</c:v>
                </c:pt>
                <c:pt idx="7" formatCode="General">
                  <c:v>6.8</c:v>
                </c:pt>
              </c:numCache>
            </c:numRef>
          </c:val>
        </c:ser>
        <c:dLbls>
          <c:showLegendKey val="0"/>
          <c:showVal val="0"/>
          <c:showCatName val="0"/>
          <c:showSerName val="0"/>
          <c:showPercent val="0"/>
          <c:showBubbleSize val="0"/>
        </c:dLbls>
        <c:gapWidth val="164"/>
        <c:axId val="120769152"/>
        <c:axId val="120775040"/>
      </c:barChart>
      <c:catAx>
        <c:axId val="120769152"/>
        <c:scaling>
          <c:orientation val="minMax"/>
        </c:scaling>
        <c:delete val="0"/>
        <c:axPos val="b"/>
        <c:numFmt formatCode="General" sourceLinked="1"/>
        <c:majorTickMark val="none"/>
        <c:minorTickMark val="none"/>
        <c:tickLblPos val="nextTo"/>
        <c:txPr>
          <a:bodyPr/>
          <a:lstStyle/>
          <a:p>
            <a:pPr>
              <a:defRPr sz="800">
                <a:latin typeface="Arial" pitchFamily="34" charset="0"/>
                <a:cs typeface="Arial" pitchFamily="34" charset="0"/>
              </a:defRPr>
            </a:pPr>
            <a:endParaRPr lang="cs-CZ"/>
          </a:p>
        </c:txPr>
        <c:crossAx val="120775040"/>
        <c:crosses val="autoZero"/>
        <c:auto val="1"/>
        <c:lblAlgn val="ctr"/>
        <c:lblOffset val="100"/>
        <c:noMultiLvlLbl val="0"/>
      </c:catAx>
      <c:valAx>
        <c:axId val="120775040"/>
        <c:scaling>
          <c:orientation val="minMax"/>
          <c:max val="30"/>
          <c:min val="0"/>
        </c:scaling>
        <c:delete val="0"/>
        <c:axPos val="l"/>
        <c:majorGridlines/>
        <c:numFmt formatCode="0.0" sourceLinked="1"/>
        <c:majorTickMark val="none"/>
        <c:minorTickMark val="none"/>
        <c:tickLblPos val="nextTo"/>
        <c:spPr>
          <a:ln w="9525">
            <a:noFill/>
          </a:ln>
        </c:spPr>
        <c:txPr>
          <a:bodyPr/>
          <a:lstStyle/>
          <a:p>
            <a:pPr>
              <a:defRPr sz="600">
                <a:latin typeface="Arial" pitchFamily="34" charset="0"/>
                <a:cs typeface="Arial" pitchFamily="34" charset="0"/>
              </a:defRPr>
            </a:pPr>
            <a:endParaRPr lang="cs-CZ"/>
          </a:p>
        </c:txPr>
        <c:crossAx val="120769152"/>
        <c:crosses val="autoZero"/>
        <c:crossBetween val="between"/>
        <c:majorUnit val="5"/>
      </c:valAx>
    </c:plotArea>
    <c:legend>
      <c:legendPos val="b"/>
      <c:layout>
        <c:manualLayout>
          <c:xMode val="edge"/>
          <c:yMode val="edge"/>
          <c:x val="0.20414186688202438"/>
          <c:y val="0.8996883202099738"/>
          <c:w val="0.53017753550037017"/>
          <c:h val="7.2533902012248463E-2"/>
        </c:manualLayout>
      </c:layout>
      <c:overlay val="0"/>
      <c:txPr>
        <a:bodyPr/>
        <a:lstStyle/>
        <a:p>
          <a:pPr>
            <a:defRPr sz="800">
              <a:latin typeface="Arial" pitchFamily="34" charset="0"/>
              <a:cs typeface="Arial" pitchFamily="34" charset="0"/>
            </a:defRPr>
          </a:pPr>
          <a:endParaRPr lang="cs-CZ"/>
        </a:p>
      </c:txPr>
    </c:legend>
    <c:plotVisOnly val="1"/>
    <c:dispBlanksAs val="gap"/>
    <c:showDLblsOverMax val="0"/>
  </c:chart>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00" b="1">
                <a:latin typeface="Arial Narrow" pitchFamily="34" charset="0"/>
              </a:defRPr>
            </a:pPr>
            <a:r>
              <a:rPr lang="cs-CZ" sz="900" b="1" i="0" baseline="0">
                <a:effectLst/>
                <a:latin typeface="Arial Narrow" pitchFamily="34" charset="0"/>
              </a:rPr>
              <a:t>Míra nezaměstnanosti mladých do 25 let v %</a:t>
            </a:r>
            <a:endParaRPr lang="cs-CZ" sz="900" b="1">
              <a:effectLst/>
              <a:latin typeface="Arial Narrow" pitchFamily="34" charset="0"/>
            </a:endParaRPr>
          </a:p>
        </c:rich>
      </c:tx>
      <c:overlay val="0"/>
    </c:title>
    <c:autoTitleDeleted val="0"/>
    <c:plotArea>
      <c:layout>
        <c:manualLayout>
          <c:layoutTarget val="inner"/>
          <c:xMode val="edge"/>
          <c:yMode val="edge"/>
          <c:x val="9.8929861459417776E-2"/>
          <c:y val="0.25083333333333335"/>
          <c:w val="0.86281696757168713"/>
          <c:h val="0.51243256051326913"/>
        </c:manualLayout>
      </c:layout>
      <c:barChart>
        <c:barDir val="col"/>
        <c:grouping val="clustered"/>
        <c:varyColors val="0"/>
        <c:ser>
          <c:idx val="0"/>
          <c:order val="0"/>
          <c:tx>
            <c:strRef>
              <c:f>MN!$B$4</c:f>
              <c:strCache>
                <c:ptCount val="1"/>
                <c:pt idx="0">
                  <c:v>EU27</c:v>
                </c:pt>
              </c:strCache>
            </c:strRef>
          </c:tx>
          <c:invertIfNegative val="0"/>
          <c:cat>
            <c:strRef>
              <c:f>MN!$C$1:$J$1</c:f>
              <c:strCache>
                <c:ptCount val="8"/>
                <c:pt idx="0">
                  <c:v>2008</c:v>
                </c:pt>
                <c:pt idx="1">
                  <c:v>2009</c:v>
                </c:pt>
                <c:pt idx="2">
                  <c:v>2010</c:v>
                </c:pt>
                <c:pt idx="3">
                  <c:v>2011</c:v>
                </c:pt>
                <c:pt idx="4">
                  <c:v>2012</c:v>
                </c:pt>
                <c:pt idx="6">
                  <c:v>1.q 2013</c:v>
                </c:pt>
                <c:pt idx="7">
                  <c:v>1.q 2013</c:v>
                </c:pt>
              </c:strCache>
            </c:strRef>
          </c:cat>
          <c:val>
            <c:numRef>
              <c:f>MN!$C$4:$J$4</c:f>
              <c:numCache>
                <c:formatCode>General</c:formatCode>
                <c:ptCount val="8"/>
                <c:pt idx="0">
                  <c:v>15.8</c:v>
                </c:pt>
                <c:pt idx="1">
                  <c:v>20.100000000000001</c:v>
                </c:pt>
                <c:pt idx="2">
                  <c:v>21.1</c:v>
                </c:pt>
                <c:pt idx="3">
                  <c:v>21.3</c:v>
                </c:pt>
                <c:pt idx="4">
                  <c:v>22.8</c:v>
                </c:pt>
                <c:pt idx="6">
                  <c:v>24.1</c:v>
                </c:pt>
                <c:pt idx="7">
                  <c:v>23.1</c:v>
                </c:pt>
              </c:numCache>
            </c:numRef>
          </c:val>
        </c:ser>
        <c:ser>
          <c:idx val="1"/>
          <c:order val="1"/>
          <c:tx>
            <c:strRef>
              <c:f>MN!$B$5</c:f>
              <c:strCache>
                <c:ptCount val="1"/>
                <c:pt idx="0">
                  <c:v>Česká republika</c:v>
                </c:pt>
              </c:strCache>
            </c:strRef>
          </c:tx>
          <c:invertIfNegative val="0"/>
          <c:cat>
            <c:strRef>
              <c:f>MN!$C$1:$J$1</c:f>
              <c:strCache>
                <c:ptCount val="8"/>
                <c:pt idx="0">
                  <c:v>2008</c:v>
                </c:pt>
                <c:pt idx="1">
                  <c:v>2009</c:v>
                </c:pt>
                <c:pt idx="2">
                  <c:v>2010</c:v>
                </c:pt>
                <c:pt idx="3">
                  <c:v>2011</c:v>
                </c:pt>
                <c:pt idx="4">
                  <c:v>2012</c:v>
                </c:pt>
                <c:pt idx="6">
                  <c:v>1.q 2013</c:v>
                </c:pt>
                <c:pt idx="7">
                  <c:v>1.q 2013</c:v>
                </c:pt>
              </c:strCache>
            </c:strRef>
          </c:cat>
          <c:val>
            <c:numRef>
              <c:f>MN!$C$5:$J$5</c:f>
              <c:numCache>
                <c:formatCode>General</c:formatCode>
                <c:ptCount val="8"/>
                <c:pt idx="0">
                  <c:v>9.9</c:v>
                </c:pt>
                <c:pt idx="1">
                  <c:v>16.600000000000001</c:v>
                </c:pt>
                <c:pt idx="2">
                  <c:v>18.3</c:v>
                </c:pt>
                <c:pt idx="3">
                  <c:v>18.100000000000001</c:v>
                </c:pt>
                <c:pt idx="4">
                  <c:v>19.5</c:v>
                </c:pt>
                <c:pt idx="6">
                  <c:v>19.2</c:v>
                </c:pt>
                <c:pt idx="7">
                  <c:v>17.399999999999999</c:v>
                </c:pt>
              </c:numCache>
            </c:numRef>
          </c:val>
        </c:ser>
        <c:dLbls>
          <c:showLegendKey val="0"/>
          <c:showVal val="0"/>
          <c:showCatName val="0"/>
          <c:showSerName val="0"/>
          <c:showPercent val="0"/>
          <c:showBubbleSize val="0"/>
        </c:dLbls>
        <c:gapWidth val="164"/>
        <c:axId val="124925056"/>
        <c:axId val="124926592"/>
      </c:barChart>
      <c:catAx>
        <c:axId val="124925056"/>
        <c:scaling>
          <c:orientation val="minMax"/>
        </c:scaling>
        <c:delete val="0"/>
        <c:axPos val="b"/>
        <c:numFmt formatCode="General" sourceLinked="1"/>
        <c:majorTickMark val="none"/>
        <c:minorTickMark val="none"/>
        <c:tickLblPos val="nextTo"/>
        <c:txPr>
          <a:bodyPr/>
          <a:lstStyle/>
          <a:p>
            <a:pPr>
              <a:defRPr sz="800">
                <a:latin typeface="Arial" pitchFamily="34" charset="0"/>
                <a:cs typeface="Arial" pitchFamily="34" charset="0"/>
              </a:defRPr>
            </a:pPr>
            <a:endParaRPr lang="cs-CZ"/>
          </a:p>
        </c:txPr>
        <c:crossAx val="124926592"/>
        <c:crosses val="autoZero"/>
        <c:auto val="1"/>
        <c:lblAlgn val="ctr"/>
        <c:lblOffset val="100"/>
        <c:noMultiLvlLbl val="0"/>
      </c:catAx>
      <c:valAx>
        <c:axId val="124926592"/>
        <c:scaling>
          <c:orientation val="minMax"/>
          <c:max val="30"/>
          <c:min val="0"/>
        </c:scaling>
        <c:delete val="0"/>
        <c:axPos val="l"/>
        <c:majorGridlines/>
        <c:numFmt formatCode="General" sourceLinked="1"/>
        <c:majorTickMark val="none"/>
        <c:minorTickMark val="none"/>
        <c:tickLblPos val="nextTo"/>
        <c:spPr>
          <a:ln w="9525">
            <a:noFill/>
          </a:ln>
        </c:spPr>
        <c:txPr>
          <a:bodyPr/>
          <a:lstStyle/>
          <a:p>
            <a:pPr>
              <a:defRPr sz="600">
                <a:latin typeface="Arial" pitchFamily="34" charset="0"/>
                <a:cs typeface="Arial" pitchFamily="34" charset="0"/>
              </a:defRPr>
            </a:pPr>
            <a:endParaRPr lang="cs-CZ"/>
          </a:p>
        </c:txPr>
        <c:crossAx val="124925056"/>
        <c:crosses val="autoZero"/>
        <c:crossBetween val="between"/>
        <c:majorUnit val="5"/>
      </c:valAx>
    </c:plotArea>
    <c:legend>
      <c:legendPos val="b"/>
      <c:layout>
        <c:manualLayout>
          <c:xMode val="edge"/>
          <c:yMode val="edge"/>
          <c:x val="0.20414186688202438"/>
          <c:y val="0.8996883202099738"/>
          <c:w val="0.53017753550037017"/>
          <c:h val="7.2533902012248463E-2"/>
        </c:manualLayout>
      </c:layout>
      <c:overlay val="0"/>
      <c:txPr>
        <a:bodyPr/>
        <a:lstStyle/>
        <a:p>
          <a:pPr>
            <a:defRPr sz="800">
              <a:latin typeface="Arial" pitchFamily="34" charset="0"/>
              <a:cs typeface="Arial" pitchFamily="34" charset="0"/>
            </a:defRPr>
          </a:pPr>
          <a:endParaRPr lang="cs-CZ"/>
        </a:p>
      </c:txPr>
    </c:legend>
    <c:plotVisOnly val="1"/>
    <c:dispBlanksAs val="gap"/>
    <c:showDLblsOverMax val="0"/>
  </c:chart>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00" b="1">
                <a:latin typeface="Arial Narrow" pitchFamily="34" charset="0"/>
              </a:defRPr>
            </a:pPr>
            <a:r>
              <a:rPr lang="cs-CZ" sz="900" b="1" i="0" baseline="0">
                <a:effectLst/>
                <a:latin typeface="Arial Narrow" pitchFamily="34" charset="0"/>
              </a:rPr>
              <a:t>Míra dlouhodobé nezaměstnanosti v %</a:t>
            </a:r>
            <a:endParaRPr lang="cs-CZ" sz="900" b="1">
              <a:effectLst/>
              <a:latin typeface="Arial Narrow" pitchFamily="34" charset="0"/>
            </a:endParaRPr>
          </a:p>
        </c:rich>
      </c:tx>
      <c:overlay val="0"/>
    </c:title>
    <c:autoTitleDeleted val="0"/>
    <c:plotArea>
      <c:layout>
        <c:manualLayout>
          <c:layoutTarget val="inner"/>
          <c:xMode val="edge"/>
          <c:yMode val="edge"/>
          <c:x val="8.4331315719798364E-2"/>
          <c:y val="0.25083333333333335"/>
          <c:w val="0.87741551331130652"/>
          <c:h val="0.51243256051326913"/>
        </c:manualLayout>
      </c:layout>
      <c:barChart>
        <c:barDir val="col"/>
        <c:grouping val="clustered"/>
        <c:varyColors val="0"/>
        <c:ser>
          <c:idx val="0"/>
          <c:order val="0"/>
          <c:tx>
            <c:strRef>
              <c:f>MN!$B$7</c:f>
              <c:strCache>
                <c:ptCount val="1"/>
                <c:pt idx="0">
                  <c:v>EU27</c:v>
                </c:pt>
              </c:strCache>
            </c:strRef>
          </c:tx>
          <c:invertIfNegative val="0"/>
          <c:cat>
            <c:strRef>
              <c:f>MN!$C$6:$J$6</c:f>
              <c:strCache>
                <c:ptCount val="8"/>
                <c:pt idx="0">
                  <c:v>2008</c:v>
                </c:pt>
                <c:pt idx="1">
                  <c:v>2009</c:v>
                </c:pt>
                <c:pt idx="2">
                  <c:v>2010</c:v>
                </c:pt>
                <c:pt idx="3">
                  <c:v>2011</c:v>
                </c:pt>
                <c:pt idx="4">
                  <c:v>2012</c:v>
                </c:pt>
                <c:pt idx="6">
                  <c:v>1.q 2013</c:v>
                </c:pt>
                <c:pt idx="7">
                  <c:v>1.q 2013</c:v>
                </c:pt>
              </c:strCache>
            </c:strRef>
          </c:cat>
          <c:val>
            <c:numRef>
              <c:f>MN!$C$7:$J$7</c:f>
              <c:numCache>
                <c:formatCode>0.0</c:formatCode>
                <c:ptCount val="8"/>
                <c:pt idx="0">
                  <c:v>2.6</c:v>
                </c:pt>
                <c:pt idx="1">
                  <c:v>3</c:v>
                </c:pt>
                <c:pt idx="2">
                  <c:v>3.9</c:v>
                </c:pt>
                <c:pt idx="3">
                  <c:v>4.0999999999999996</c:v>
                </c:pt>
                <c:pt idx="4" formatCode="General">
                  <c:v>4.5999999999999996</c:v>
                </c:pt>
                <c:pt idx="6">
                  <c:v>5.0999999999999996</c:v>
                </c:pt>
                <c:pt idx="7" formatCode="General">
                  <c:v>5.0999999999999996</c:v>
                </c:pt>
              </c:numCache>
            </c:numRef>
          </c:val>
        </c:ser>
        <c:ser>
          <c:idx val="1"/>
          <c:order val="1"/>
          <c:tx>
            <c:strRef>
              <c:f>MN!$B$8</c:f>
              <c:strCache>
                <c:ptCount val="1"/>
                <c:pt idx="0">
                  <c:v>Česká republika</c:v>
                </c:pt>
              </c:strCache>
            </c:strRef>
          </c:tx>
          <c:invertIfNegative val="0"/>
          <c:cat>
            <c:strRef>
              <c:f>MN!$C$6:$J$6</c:f>
              <c:strCache>
                <c:ptCount val="8"/>
                <c:pt idx="0">
                  <c:v>2008</c:v>
                </c:pt>
                <c:pt idx="1">
                  <c:v>2009</c:v>
                </c:pt>
                <c:pt idx="2">
                  <c:v>2010</c:v>
                </c:pt>
                <c:pt idx="3">
                  <c:v>2011</c:v>
                </c:pt>
                <c:pt idx="4">
                  <c:v>2012</c:v>
                </c:pt>
                <c:pt idx="6">
                  <c:v>1.q 2013</c:v>
                </c:pt>
                <c:pt idx="7">
                  <c:v>1.q 2013</c:v>
                </c:pt>
              </c:strCache>
            </c:strRef>
          </c:cat>
          <c:val>
            <c:numRef>
              <c:f>MN!$C$8:$J$8</c:f>
              <c:numCache>
                <c:formatCode>0.0</c:formatCode>
                <c:ptCount val="8"/>
                <c:pt idx="0">
                  <c:v>2.2000000000000002</c:v>
                </c:pt>
                <c:pt idx="1">
                  <c:v>2</c:v>
                </c:pt>
                <c:pt idx="2">
                  <c:v>3</c:v>
                </c:pt>
                <c:pt idx="3">
                  <c:v>2.7</c:v>
                </c:pt>
                <c:pt idx="4" formatCode="General">
                  <c:v>3</c:v>
                </c:pt>
                <c:pt idx="6">
                  <c:v>3.2</c:v>
                </c:pt>
                <c:pt idx="7" formatCode="General">
                  <c:v>3</c:v>
                </c:pt>
              </c:numCache>
            </c:numRef>
          </c:val>
        </c:ser>
        <c:dLbls>
          <c:showLegendKey val="0"/>
          <c:showVal val="0"/>
          <c:showCatName val="0"/>
          <c:showSerName val="0"/>
          <c:showPercent val="0"/>
          <c:showBubbleSize val="0"/>
        </c:dLbls>
        <c:gapWidth val="164"/>
        <c:axId val="124972416"/>
        <c:axId val="125396096"/>
      </c:barChart>
      <c:catAx>
        <c:axId val="124972416"/>
        <c:scaling>
          <c:orientation val="minMax"/>
        </c:scaling>
        <c:delete val="0"/>
        <c:axPos val="b"/>
        <c:numFmt formatCode="General" sourceLinked="1"/>
        <c:majorTickMark val="none"/>
        <c:minorTickMark val="none"/>
        <c:tickLblPos val="nextTo"/>
        <c:txPr>
          <a:bodyPr/>
          <a:lstStyle/>
          <a:p>
            <a:pPr>
              <a:defRPr sz="800">
                <a:latin typeface="Arial" pitchFamily="34" charset="0"/>
                <a:cs typeface="Arial" pitchFamily="34" charset="0"/>
              </a:defRPr>
            </a:pPr>
            <a:endParaRPr lang="cs-CZ"/>
          </a:p>
        </c:txPr>
        <c:crossAx val="125396096"/>
        <c:crosses val="autoZero"/>
        <c:auto val="1"/>
        <c:lblAlgn val="ctr"/>
        <c:lblOffset val="100"/>
        <c:noMultiLvlLbl val="0"/>
      </c:catAx>
      <c:valAx>
        <c:axId val="125396096"/>
        <c:scaling>
          <c:orientation val="minMax"/>
          <c:max val="30"/>
          <c:min val="0"/>
        </c:scaling>
        <c:delete val="0"/>
        <c:axPos val="l"/>
        <c:majorGridlines/>
        <c:numFmt formatCode="0.0" sourceLinked="1"/>
        <c:majorTickMark val="none"/>
        <c:minorTickMark val="none"/>
        <c:tickLblPos val="nextTo"/>
        <c:spPr>
          <a:ln w="9525">
            <a:noFill/>
          </a:ln>
        </c:spPr>
        <c:txPr>
          <a:bodyPr/>
          <a:lstStyle/>
          <a:p>
            <a:pPr>
              <a:defRPr sz="600">
                <a:latin typeface="Arial" pitchFamily="34" charset="0"/>
                <a:cs typeface="Arial" pitchFamily="34" charset="0"/>
              </a:defRPr>
            </a:pPr>
            <a:endParaRPr lang="cs-CZ"/>
          </a:p>
        </c:txPr>
        <c:crossAx val="124972416"/>
        <c:crosses val="autoZero"/>
        <c:crossBetween val="between"/>
        <c:majorUnit val="5"/>
      </c:valAx>
    </c:plotArea>
    <c:legend>
      <c:legendPos val="b"/>
      <c:layout>
        <c:manualLayout>
          <c:xMode val="edge"/>
          <c:yMode val="edge"/>
          <c:x val="0.20414186688202438"/>
          <c:y val="0.8996883202099738"/>
          <c:w val="0.53017753550037017"/>
          <c:h val="7.2533902012248463E-2"/>
        </c:manualLayout>
      </c:layout>
      <c:overlay val="0"/>
      <c:txPr>
        <a:bodyPr/>
        <a:lstStyle/>
        <a:p>
          <a:pPr>
            <a:defRPr sz="800">
              <a:latin typeface="Arial" pitchFamily="34" charset="0"/>
              <a:cs typeface="Arial" pitchFamily="34" charset="0"/>
            </a:defRPr>
          </a:pPr>
          <a:endParaRPr lang="cs-CZ"/>
        </a:p>
      </c:txPr>
    </c:legend>
    <c:plotVisOnly val="1"/>
    <c:dispBlanksAs val="gap"/>
    <c:showDLblsOverMax val="0"/>
  </c:chart>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00" b="1">
                <a:latin typeface="Arial Narrow" pitchFamily="34" charset="0"/>
              </a:defRPr>
            </a:pPr>
            <a:r>
              <a:rPr lang="cs-CZ" sz="900" b="1" i="0" baseline="0">
                <a:effectLst/>
                <a:latin typeface="Arial Narrow" pitchFamily="34" charset="0"/>
              </a:rPr>
              <a:t>Míra nezaměstnanosti </a:t>
            </a:r>
          </a:p>
          <a:p>
            <a:pPr>
              <a:defRPr sz="900" b="1">
                <a:latin typeface="Arial Narrow" pitchFamily="34" charset="0"/>
              </a:defRPr>
            </a:pPr>
            <a:r>
              <a:rPr lang="cs-CZ" sz="900" b="1" i="0" baseline="0">
                <a:effectLst/>
                <a:latin typeface="Arial Narrow" pitchFamily="34" charset="0"/>
              </a:rPr>
              <a:t>osob s nízkou kvalifikací v %</a:t>
            </a:r>
            <a:endParaRPr lang="cs-CZ" sz="900" b="1">
              <a:effectLst/>
              <a:latin typeface="Arial Narrow" pitchFamily="34" charset="0"/>
            </a:endParaRPr>
          </a:p>
        </c:rich>
      </c:tx>
      <c:overlay val="0"/>
    </c:title>
    <c:autoTitleDeleted val="0"/>
    <c:plotArea>
      <c:layout>
        <c:manualLayout>
          <c:layoutTarget val="inner"/>
          <c:xMode val="edge"/>
          <c:yMode val="edge"/>
          <c:x val="8.919749763300483E-2"/>
          <c:y val="0.25083333333333335"/>
          <c:w val="0.87254933139810009"/>
          <c:h val="0.51243256051326913"/>
        </c:manualLayout>
      </c:layout>
      <c:barChart>
        <c:barDir val="col"/>
        <c:grouping val="clustered"/>
        <c:varyColors val="0"/>
        <c:ser>
          <c:idx val="0"/>
          <c:order val="0"/>
          <c:tx>
            <c:strRef>
              <c:f>MN!$B$9</c:f>
              <c:strCache>
                <c:ptCount val="1"/>
                <c:pt idx="0">
                  <c:v>EU27</c:v>
                </c:pt>
              </c:strCache>
            </c:strRef>
          </c:tx>
          <c:invertIfNegative val="0"/>
          <c:cat>
            <c:strRef>
              <c:f>MN!$C$1:$J$1</c:f>
              <c:strCache>
                <c:ptCount val="8"/>
                <c:pt idx="0">
                  <c:v>2008</c:v>
                </c:pt>
                <c:pt idx="1">
                  <c:v>2009</c:v>
                </c:pt>
                <c:pt idx="2">
                  <c:v>2010</c:v>
                </c:pt>
                <c:pt idx="3">
                  <c:v>2011</c:v>
                </c:pt>
                <c:pt idx="4">
                  <c:v>2012</c:v>
                </c:pt>
                <c:pt idx="6">
                  <c:v>1.q 2013</c:v>
                </c:pt>
                <c:pt idx="7">
                  <c:v>1.q 2013</c:v>
                </c:pt>
              </c:strCache>
            </c:strRef>
          </c:cat>
          <c:val>
            <c:numRef>
              <c:f>MN!$C$9:$J$9</c:f>
              <c:numCache>
                <c:formatCode>General</c:formatCode>
                <c:ptCount val="8"/>
                <c:pt idx="0">
                  <c:v>11.3</c:v>
                </c:pt>
                <c:pt idx="1">
                  <c:v>14.5</c:v>
                </c:pt>
                <c:pt idx="2">
                  <c:v>15.7</c:v>
                </c:pt>
                <c:pt idx="3">
                  <c:v>16.2</c:v>
                </c:pt>
                <c:pt idx="4">
                  <c:v>18.2</c:v>
                </c:pt>
                <c:pt idx="6" formatCode="0.0">
                  <c:v>20</c:v>
                </c:pt>
                <c:pt idx="7">
                  <c:v>19.3</c:v>
                </c:pt>
              </c:numCache>
            </c:numRef>
          </c:val>
        </c:ser>
        <c:ser>
          <c:idx val="1"/>
          <c:order val="1"/>
          <c:tx>
            <c:strRef>
              <c:f>MN!$B$10</c:f>
              <c:strCache>
                <c:ptCount val="1"/>
                <c:pt idx="0">
                  <c:v>Česká republika</c:v>
                </c:pt>
              </c:strCache>
            </c:strRef>
          </c:tx>
          <c:invertIfNegative val="0"/>
          <c:cat>
            <c:strRef>
              <c:f>MN!$C$1:$J$1</c:f>
              <c:strCache>
                <c:ptCount val="8"/>
                <c:pt idx="0">
                  <c:v>2008</c:v>
                </c:pt>
                <c:pt idx="1">
                  <c:v>2009</c:v>
                </c:pt>
                <c:pt idx="2">
                  <c:v>2010</c:v>
                </c:pt>
                <c:pt idx="3">
                  <c:v>2011</c:v>
                </c:pt>
                <c:pt idx="4">
                  <c:v>2012</c:v>
                </c:pt>
                <c:pt idx="6">
                  <c:v>1.q 2013</c:v>
                </c:pt>
                <c:pt idx="7">
                  <c:v>1.q 2013</c:v>
                </c:pt>
              </c:strCache>
            </c:strRef>
          </c:cat>
          <c:val>
            <c:numRef>
              <c:f>MN!$C$10:$J$10</c:f>
              <c:numCache>
                <c:formatCode>General</c:formatCode>
                <c:ptCount val="8"/>
                <c:pt idx="0">
                  <c:v>19.100000000000001</c:v>
                </c:pt>
                <c:pt idx="1">
                  <c:v>24.1</c:v>
                </c:pt>
                <c:pt idx="2">
                  <c:v>25</c:v>
                </c:pt>
                <c:pt idx="3">
                  <c:v>24.3</c:v>
                </c:pt>
                <c:pt idx="4">
                  <c:v>28.5</c:v>
                </c:pt>
                <c:pt idx="6" formatCode="0.0">
                  <c:v>29.4</c:v>
                </c:pt>
                <c:pt idx="7">
                  <c:v>26.1</c:v>
                </c:pt>
              </c:numCache>
            </c:numRef>
          </c:val>
        </c:ser>
        <c:dLbls>
          <c:showLegendKey val="0"/>
          <c:showVal val="0"/>
          <c:showCatName val="0"/>
          <c:showSerName val="0"/>
          <c:showPercent val="0"/>
          <c:showBubbleSize val="0"/>
        </c:dLbls>
        <c:gapWidth val="164"/>
        <c:axId val="125413248"/>
        <c:axId val="125414784"/>
      </c:barChart>
      <c:catAx>
        <c:axId val="125413248"/>
        <c:scaling>
          <c:orientation val="minMax"/>
        </c:scaling>
        <c:delete val="0"/>
        <c:axPos val="b"/>
        <c:numFmt formatCode="General" sourceLinked="1"/>
        <c:majorTickMark val="none"/>
        <c:minorTickMark val="none"/>
        <c:tickLblPos val="nextTo"/>
        <c:txPr>
          <a:bodyPr/>
          <a:lstStyle/>
          <a:p>
            <a:pPr>
              <a:defRPr sz="800">
                <a:latin typeface="Arial" pitchFamily="34" charset="0"/>
                <a:cs typeface="Arial" pitchFamily="34" charset="0"/>
              </a:defRPr>
            </a:pPr>
            <a:endParaRPr lang="cs-CZ"/>
          </a:p>
        </c:txPr>
        <c:crossAx val="125414784"/>
        <c:crosses val="autoZero"/>
        <c:auto val="1"/>
        <c:lblAlgn val="ctr"/>
        <c:lblOffset val="100"/>
        <c:noMultiLvlLbl val="0"/>
      </c:catAx>
      <c:valAx>
        <c:axId val="125414784"/>
        <c:scaling>
          <c:orientation val="minMax"/>
          <c:max val="30"/>
          <c:min val="0"/>
        </c:scaling>
        <c:delete val="0"/>
        <c:axPos val="l"/>
        <c:majorGridlines/>
        <c:numFmt formatCode="General" sourceLinked="1"/>
        <c:majorTickMark val="none"/>
        <c:minorTickMark val="none"/>
        <c:tickLblPos val="nextTo"/>
        <c:spPr>
          <a:ln w="9525">
            <a:noFill/>
          </a:ln>
        </c:spPr>
        <c:txPr>
          <a:bodyPr/>
          <a:lstStyle/>
          <a:p>
            <a:pPr>
              <a:defRPr sz="600">
                <a:latin typeface="Arial" pitchFamily="34" charset="0"/>
                <a:cs typeface="Arial" pitchFamily="34" charset="0"/>
              </a:defRPr>
            </a:pPr>
            <a:endParaRPr lang="cs-CZ"/>
          </a:p>
        </c:txPr>
        <c:crossAx val="125413248"/>
        <c:crosses val="autoZero"/>
        <c:crossBetween val="between"/>
        <c:majorUnit val="5"/>
      </c:valAx>
    </c:plotArea>
    <c:legend>
      <c:legendPos val="b"/>
      <c:layout>
        <c:manualLayout>
          <c:xMode val="edge"/>
          <c:yMode val="edge"/>
          <c:x val="0.20414186688202438"/>
          <c:y val="0.8996883202099738"/>
          <c:w val="0.53017753550037017"/>
          <c:h val="7.2533902012248463E-2"/>
        </c:manualLayout>
      </c:layout>
      <c:overlay val="0"/>
      <c:txPr>
        <a:bodyPr/>
        <a:lstStyle/>
        <a:p>
          <a:pPr>
            <a:defRPr sz="800">
              <a:latin typeface="Arial" pitchFamily="34" charset="0"/>
              <a:cs typeface="Arial" pitchFamily="34" charset="0"/>
            </a:defRPr>
          </a:pPr>
          <a:endParaRPr lang="cs-CZ"/>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50" b="1" i="0" u="none" strike="noStrike" baseline="0">
                <a:solidFill>
                  <a:srgbClr val="000000"/>
                </a:solidFill>
                <a:latin typeface="Arial"/>
                <a:ea typeface="Arial"/>
                <a:cs typeface="Arial"/>
              </a:defRPr>
            </a:pPr>
            <a:r>
              <a:rPr lang="cs-CZ"/>
              <a:t>Vývoj MN a podílu nezaměstnanoých osob 
v období od roku 2005 (%)</a:t>
            </a:r>
          </a:p>
        </c:rich>
      </c:tx>
      <c:overlay val="0"/>
      <c:spPr>
        <a:noFill/>
        <a:ln w="25400">
          <a:noFill/>
        </a:ln>
      </c:spPr>
    </c:title>
    <c:autoTitleDeleted val="0"/>
    <c:plotArea>
      <c:layout>
        <c:manualLayout>
          <c:layoutTarget val="inner"/>
          <c:xMode val="edge"/>
          <c:yMode val="edge"/>
          <c:x val="9.1577254437728309E-2"/>
          <c:y val="0.17733072839579264"/>
          <c:w val="0.83324998953718488"/>
          <c:h val="0.63498687664041986"/>
        </c:manualLayout>
      </c:layout>
      <c:lineChart>
        <c:grouping val="standard"/>
        <c:varyColors val="0"/>
        <c:ser>
          <c:idx val="2"/>
          <c:order val="0"/>
          <c:tx>
            <c:v>podíl nezaměstnaných</c:v>
          </c:tx>
          <c:spPr>
            <a:ln w="22225">
              <a:solidFill>
                <a:srgbClr val="FF0000"/>
              </a:solidFill>
              <a:prstDash val="solid"/>
            </a:ln>
          </c:spPr>
          <c:marker>
            <c:symbol val="triangle"/>
            <c:size val="3"/>
            <c:spPr>
              <a:solidFill>
                <a:srgbClr val="FF0000"/>
              </a:solidFill>
              <a:ln>
                <a:solidFill>
                  <a:srgbClr val="FF0000"/>
                </a:solidFill>
                <a:prstDash val="solid"/>
              </a:ln>
            </c:spPr>
          </c:marker>
          <c:cat>
            <c:numRef>
              <c:f>A!$FN$9:$JQ$9</c:f>
              <c:numCache>
                <c:formatCode>General</c:formatCode>
                <c:ptCount val="108"/>
                <c:pt idx="0">
                  <c:v>2005</c:v>
                </c:pt>
                <c:pt idx="12">
                  <c:v>2006</c:v>
                </c:pt>
                <c:pt idx="24">
                  <c:v>2007</c:v>
                </c:pt>
                <c:pt idx="36">
                  <c:v>2008</c:v>
                </c:pt>
                <c:pt idx="48">
                  <c:v>2009</c:v>
                </c:pt>
                <c:pt idx="60">
                  <c:v>2010</c:v>
                </c:pt>
                <c:pt idx="72">
                  <c:v>2011</c:v>
                </c:pt>
                <c:pt idx="84">
                  <c:v>2012</c:v>
                </c:pt>
                <c:pt idx="96">
                  <c:v>2013</c:v>
                </c:pt>
              </c:numCache>
            </c:numRef>
          </c:cat>
          <c:val>
            <c:numRef>
              <c:f>A!$FN$125:$JQ$125</c:f>
              <c:numCache>
                <c:formatCode>0.0</c:formatCode>
                <c:ptCount val="108"/>
                <c:pt idx="0">
                  <c:v>7.2594044769681387</c:v>
                </c:pt>
                <c:pt idx="1">
                  <c:v>7.1301579917469189</c:v>
                </c:pt>
                <c:pt idx="2">
                  <c:v>6.9521942184208418</c:v>
                </c:pt>
                <c:pt idx="3">
                  <c:v>6.6000017805511106</c:v>
                </c:pt>
                <c:pt idx="4">
                  <c:v>6.3696576421995053</c:v>
                </c:pt>
                <c:pt idx="5">
                  <c:v>6.3480382823662005</c:v>
                </c:pt>
                <c:pt idx="6">
                  <c:v>6.546547705479024</c:v>
                </c:pt>
                <c:pt idx="7">
                  <c:v>6.6049806944572049</c:v>
                </c:pt>
                <c:pt idx="8">
                  <c:v>6.520299298910416</c:v>
                </c:pt>
                <c:pt idx="9">
                  <c:v>6.3114993972466076</c:v>
                </c:pt>
                <c:pt idx="10">
                  <c:v>6.2655844790951321</c:v>
                </c:pt>
                <c:pt idx="11">
                  <c:v>6.5940828071353135</c:v>
                </c:pt>
                <c:pt idx="12">
                  <c:v>6.8355235686335014</c:v>
                </c:pt>
                <c:pt idx="13">
                  <c:v>6.7571493593338863</c:v>
                </c:pt>
                <c:pt idx="14">
                  <c:v>6.5745513437081256</c:v>
                </c:pt>
                <c:pt idx="15">
                  <c:v>6.2227405236101943</c:v>
                </c:pt>
                <c:pt idx="16">
                  <c:v>5.9096016485937914</c:v>
                </c:pt>
                <c:pt idx="17">
                  <c:v>5.785778799573035</c:v>
                </c:pt>
                <c:pt idx="18">
                  <c:v>5.9408147313689135</c:v>
                </c:pt>
                <c:pt idx="19">
                  <c:v>5.9460819965041667</c:v>
                </c:pt>
                <c:pt idx="20">
                  <c:v>5.8403528161693012</c:v>
                </c:pt>
                <c:pt idx="21">
                  <c:v>5.5781782628594838</c:v>
                </c:pt>
                <c:pt idx="22">
                  <c:v>5.463943318989406</c:v>
                </c:pt>
                <c:pt idx="23">
                  <c:v>5.7492329942044202</c:v>
                </c:pt>
                <c:pt idx="24">
                  <c:v>5.9336617075396436</c:v>
                </c:pt>
                <c:pt idx="25">
                  <c:v>5.765407350943816</c:v>
                </c:pt>
                <c:pt idx="26">
                  <c:v>5.4431216111129812</c:v>
                </c:pt>
                <c:pt idx="27">
                  <c:v>5.0727327384094929</c:v>
                </c:pt>
                <c:pt idx="28">
                  <c:v>4.8090036404623078</c:v>
                </c:pt>
                <c:pt idx="29">
                  <c:v>4.7123884151439892</c:v>
                </c:pt>
                <c:pt idx="30">
                  <c:v>4.8178707527577895</c:v>
                </c:pt>
                <c:pt idx="31">
                  <c:v>4.7654156716554423</c:v>
                </c:pt>
                <c:pt idx="32">
                  <c:v>4.6148217761237031</c:v>
                </c:pt>
                <c:pt idx="33">
                  <c:v>4.3443806976430306</c:v>
                </c:pt>
                <c:pt idx="34">
                  <c:v>4.2318756188875035</c:v>
                </c:pt>
                <c:pt idx="35">
                  <c:v>4.4855265726678928</c:v>
                </c:pt>
                <c:pt idx="36">
                  <c:v>4.6036794328432489</c:v>
                </c:pt>
                <c:pt idx="37">
                  <c:v>4.4690103235987122</c:v>
                </c:pt>
                <c:pt idx="38">
                  <c:v>4.2151090494263679</c:v>
                </c:pt>
                <c:pt idx="39">
                  <c:v>4.0217678323271215</c:v>
                </c:pt>
                <c:pt idx="40">
                  <c:v>3.7945004138144132</c:v>
                </c:pt>
                <c:pt idx="41">
                  <c:v>3.7710198595556155</c:v>
                </c:pt>
                <c:pt idx="42">
                  <c:v>3.9740371021602008</c:v>
                </c:pt>
                <c:pt idx="43">
                  <c:v>4.0141271128596845</c:v>
                </c:pt>
                <c:pt idx="44">
                  <c:v>4.0059747774454717</c:v>
                </c:pt>
                <c:pt idx="45">
                  <c:v>3.9377375040707681</c:v>
                </c:pt>
                <c:pt idx="46">
                  <c:v>4.0418608791139397</c:v>
                </c:pt>
                <c:pt idx="47">
                  <c:v>4.5060253252994764</c:v>
                </c:pt>
                <c:pt idx="48">
                  <c:v>5.1665505208557709</c:v>
                </c:pt>
                <c:pt idx="49">
                  <c:v>5.6086343533294505</c:v>
                </c:pt>
                <c:pt idx="50">
                  <c:v>5.8841467890847436</c:v>
                </c:pt>
                <c:pt idx="51">
                  <c:v>5.9930083031923589</c:v>
                </c:pt>
                <c:pt idx="52">
                  <c:v>6.0142306066079465</c:v>
                </c:pt>
                <c:pt idx="53">
                  <c:v>6.0996454977841248</c:v>
                </c:pt>
                <c:pt idx="54">
                  <c:v>6.4111548874579256</c:v>
                </c:pt>
                <c:pt idx="55">
                  <c:v>6.5153711357756494</c:v>
                </c:pt>
                <c:pt idx="56">
                  <c:v>6.5765701252178479</c:v>
                </c:pt>
                <c:pt idx="57">
                  <c:v>6.5303270488133673</c:v>
                </c:pt>
                <c:pt idx="58">
                  <c:v>6.6429722542643761</c:v>
                </c:pt>
                <c:pt idx="59">
                  <c:v>7.1160683935922826</c:v>
                </c:pt>
                <c:pt idx="60">
                  <c:v>7.5899567231510536</c:v>
                </c:pt>
                <c:pt idx="61">
                  <c:v>7.6746054219481925</c:v>
                </c:pt>
                <c:pt idx="62">
                  <c:v>7.5127560394618529</c:v>
                </c:pt>
                <c:pt idx="63">
                  <c:v>7.0730386732865052</c:v>
                </c:pt>
                <c:pt idx="64">
                  <c:v>6.747430473696717</c:v>
                </c:pt>
                <c:pt idx="65">
                  <c:v>6.5932492093513275</c:v>
                </c:pt>
                <c:pt idx="66">
                  <c:v>6.6989461058920412</c:v>
                </c:pt>
                <c:pt idx="67">
                  <c:v>6.644085321211092</c:v>
                </c:pt>
                <c:pt idx="68">
                  <c:v>6.5963682031100088</c:v>
                </c:pt>
                <c:pt idx="69">
                  <c:v>6.5369714114320754</c:v>
                </c:pt>
                <c:pt idx="70">
                  <c:v>6.6391175392427506</c:v>
                </c:pt>
                <c:pt idx="71">
                  <c:v>7.4030310069303944</c:v>
                </c:pt>
                <c:pt idx="72">
                  <c:v>7.5810087074744263</c:v>
                </c:pt>
                <c:pt idx="73">
                  <c:v>7.4734524559453908</c:v>
                </c:pt>
                <c:pt idx="74">
                  <c:v>7.1863839643038236</c:v>
                </c:pt>
                <c:pt idx="75">
                  <c:v>6.736343695698527</c:v>
                </c:pt>
                <c:pt idx="76">
                  <c:v>6.4060093263916986</c:v>
                </c:pt>
                <c:pt idx="77">
                  <c:v>6.3072957221250805</c:v>
                </c:pt>
                <c:pt idx="78">
                  <c:v>6.443742771890375</c:v>
                </c:pt>
                <c:pt idx="79">
                  <c:v>6.3942288873314155</c:v>
                </c:pt>
                <c:pt idx="80">
                  <c:v>6.2920638899723391</c:v>
                </c:pt>
                <c:pt idx="81">
                  <c:v>6.2125811221236749</c:v>
                </c:pt>
                <c:pt idx="82">
                  <c:v>6.284419523120448</c:v>
                </c:pt>
                <c:pt idx="83">
                  <c:v>6.7694025198106269</c:v>
                </c:pt>
                <c:pt idx="84">
                  <c:v>7.1323599894546286</c:v>
                </c:pt>
                <c:pt idx="85">
                  <c:v>7.2390182657379079</c:v>
                </c:pt>
                <c:pt idx="86">
                  <c:v>7.0097531403253779</c:v>
                </c:pt>
                <c:pt idx="87">
                  <c:v>6.6369620390368862</c:v>
                </c:pt>
                <c:pt idx="88">
                  <c:v>6.4426869029829694</c:v>
                </c:pt>
                <c:pt idx="89">
                  <c:v>6.3510565595616377</c:v>
                </c:pt>
                <c:pt idx="90">
                  <c:v>6.5155684612848583</c:v>
                </c:pt>
                <c:pt idx="91">
                  <c:v>6.5352496274617646</c:v>
                </c:pt>
                <c:pt idx="92">
                  <c:v>6.6292178615213446</c:v>
                </c:pt>
                <c:pt idx="93">
                  <c:v>6.677011396033528</c:v>
                </c:pt>
                <c:pt idx="94">
                  <c:v>6.8403976623806786</c:v>
                </c:pt>
                <c:pt idx="95">
                  <c:v>7.3665213987597111</c:v>
                </c:pt>
                <c:pt idx="96">
                  <c:v>7.9656513887521925</c:v>
                </c:pt>
                <c:pt idx="97">
                  <c:v>8.0857485049325319</c:v>
                </c:pt>
                <c:pt idx="98">
                  <c:v>8.0058039375651227</c:v>
                </c:pt>
                <c:pt idx="99">
                  <c:v>7.6996975319213314</c:v>
                </c:pt>
                <c:pt idx="100">
                  <c:v>7.4577839553760974</c:v>
                </c:pt>
                <c:pt idx="101">
                  <c:v>7.3358398034760501</c:v>
                </c:pt>
              </c:numCache>
            </c:numRef>
          </c:val>
          <c:smooth val="0"/>
        </c:ser>
        <c:ser>
          <c:idx val="0"/>
          <c:order val="1"/>
          <c:tx>
            <c:v>míra reg. nezaměstnanosti</c:v>
          </c:tx>
          <c:spPr>
            <a:ln w="22225"/>
          </c:spPr>
          <c:marker>
            <c:symbol val="diamond"/>
            <c:size val="3"/>
          </c:marker>
          <c:val>
            <c:numRef>
              <c:f>A!$FN$124:$JE$124</c:f>
              <c:numCache>
                <c:formatCode>0.0</c:formatCode>
                <c:ptCount val="96"/>
                <c:pt idx="0">
                  <c:v>9.8168626845449811</c:v>
                </c:pt>
                <c:pt idx="1">
                  <c:v>9.646303568405159</c:v>
                </c:pt>
                <c:pt idx="2">
                  <c:v>9.4096963332490819</c:v>
                </c:pt>
                <c:pt idx="3">
                  <c:v>8.9183585997236499</c:v>
                </c:pt>
                <c:pt idx="4">
                  <c:v>8.6093702429194199</c:v>
                </c:pt>
                <c:pt idx="5">
                  <c:v>8.5854117496614393</c:v>
                </c:pt>
                <c:pt idx="6">
                  <c:v>8.8302711486454424</c:v>
                </c:pt>
                <c:pt idx="7">
                  <c:v>8.9137633735825776</c:v>
                </c:pt>
                <c:pt idx="8">
                  <c:v>8.8026195616074396</c:v>
                </c:pt>
                <c:pt idx="9">
                  <c:v>8.486230194573638</c:v>
                </c:pt>
                <c:pt idx="10">
                  <c:v>8.4274401512376631</c:v>
                </c:pt>
                <c:pt idx="11">
                  <c:v>8.8770197544510037</c:v>
                </c:pt>
                <c:pt idx="12">
                  <c:v>9.162598780047464</c:v>
                </c:pt>
                <c:pt idx="13">
                  <c:v>9.061239265235395</c:v>
                </c:pt>
                <c:pt idx="14">
                  <c:v>8.8199683389332826</c:v>
                </c:pt>
                <c:pt idx="15">
                  <c:v>8.3144661865849834</c:v>
                </c:pt>
                <c:pt idx="16">
                  <c:v>7.8979498350984541</c:v>
                </c:pt>
                <c:pt idx="17">
                  <c:v>7.7369631918675408</c:v>
                </c:pt>
                <c:pt idx="18">
                  <c:v>7.9150490846504065</c:v>
                </c:pt>
                <c:pt idx="19">
                  <c:v>7.9260015340718679</c:v>
                </c:pt>
                <c:pt idx="20">
                  <c:v>7.7875560128491728</c:v>
                </c:pt>
                <c:pt idx="21">
                  <c:v>7.4288762841371367</c:v>
                </c:pt>
                <c:pt idx="22">
                  <c:v>7.279071278106179</c:v>
                </c:pt>
                <c:pt idx="23">
                  <c:v>7.6655838419479858</c:v>
                </c:pt>
                <c:pt idx="24">
                  <c:v>7.9023878678160564</c:v>
                </c:pt>
                <c:pt idx="25">
                  <c:v>7.684433564090666</c:v>
                </c:pt>
                <c:pt idx="26">
                  <c:v>7.2606254539957629</c:v>
                </c:pt>
                <c:pt idx="27">
                  <c:v>6.7587820977964022</c:v>
                </c:pt>
                <c:pt idx="28">
                  <c:v>6.4113819599242392</c:v>
                </c:pt>
                <c:pt idx="29">
                  <c:v>6.288649625203119</c:v>
                </c:pt>
                <c:pt idx="30">
                  <c:v>6.4182231696798135</c:v>
                </c:pt>
                <c:pt idx="31">
                  <c:v>6.3539115912077477</c:v>
                </c:pt>
                <c:pt idx="32">
                  <c:v>6.1574673069241586</c:v>
                </c:pt>
                <c:pt idx="33">
                  <c:v>5.7828978515228711</c:v>
                </c:pt>
                <c:pt idx="34">
                  <c:v>5.6371350632369186</c:v>
                </c:pt>
                <c:pt idx="35">
                  <c:v>5.9822981716527268</c:v>
                </c:pt>
                <c:pt idx="36">
                  <c:v>6.1198841946974403</c:v>
                </c:pt>
                <c:pt idx="37">
                  <c:v>5.9438033287283263</c:v>
                </c:pt>
                <c:pt idx="38">
                  <c:v>5.6088631863356211</c:v>
                </c:pt>
                <c:pt idx="39">
                  <c:v>5.2423416802595488</c:v>
                </c:pt>
                <c:pt idx="40">
                  <c:v>5.0390937281542962</c:v>
                </c:pt>
                <c:pt idx="41">
                  <c:v>5.0112566993493344</c:v>
                </c:pt>
                <c:pt idx="42">
                  <c:v>5.2627179880820263</c:v>
                </c:pt>
                <c:pt idx="43">
                  <c:v>5.3188859841472302</c:v>
                </c:pt>
                <c:pt idx="44">
                  <c:v>5.3102598658326059</c:v>
                </c:pt>
                <c:pt idx="45">
                  <c:v>5.2015897329156191</c:v>
                </c:pt>
                <c:pt idx="46">
                  <c:v>5.3412784398699893</c:v>
                </c:pt>
                <c:pt idx="47">
                  <c:v>5.9601641680320654</c:v>
                </c:pt>
                <c:pt idx="48">
                  <c:v>6.7963461684877391</c:v>
                </c:pt>
                <c:pt idx="49">
                  <c:v>7.3767345341612707</c:v>
                </c:pt>
                <c:pt idx="50">
                  <c:v>7.7379213388647203</c:v>
                </c:pt>
                <c:pt idx="51">
                  <c:v>7.8502860084224624</c:v>
                </c:pt>
                <c:pt idx="52">
                  <c:v>7.8754584893089286</c:v>
                </c:pt>
                <c:pt idx="53">
                  <c:v>7.9874381029510371</c:v>
                </c:pt>
                <c:pt idx="54">
                  <c:v>8.3549691827499295</c:v>
                </c:pt>
                <c:pt idx="55">
                  <c:v>8.492865879518801</c:v>
                </c:pt>
                <c:pt idx="56">
                  <c:v>8.570537085585201</c:v>
                </c:pt>
                <c:pt idx="57">
                  <c:v>8.4833005756247601</c:v>
                </c:pt>
                <c:pt idx="58">
                  <c:v>8.6275220807976769</c:v>
                </c:pt>
                <c:pt idx="59">
                  <c:v>9.2444706038979909</c:v>
                </c:pt>
                <c:pt idx="60">
                  <c:v>9.8325830222820532</c:v>
                </c:pt>
                <c:pt idx="61">
                  <c:v>9.9388270671433681</c:v>
                </c:pt>
                <c:pt idx="62">
                  <c:v>9.7258494540940763</c:v>
                </c:pt>
                <c:pt idx="63">
                  <c:v>9.1509899090949922</c:v>
                </c:pt>
                <c:pt idx="64">
                  <c:v>8.7250840530074445</c:v>
                </c:pt>
                <c:pt idx="65">
                  <c:v>8.5242866308485592</c:v>
                </c:pt>
                <c:pt idx="66">
                  <c:v>8.6633543866719567</c:v>
                </c:pt>
                <c:pt idx="67">
                  <c:v>8.5901329879718205</c:v>
                </c:pt>
                <c:pt idx="68">
                  <c:v>8.5247305011730106</c:v>
                </c:pt>
                <c:pt idx="69">
                  <c:v>8.450245137984318</c:v>
                </c:pt>
                <c:pt idx="70">
                  <c:v>8.5785603038391098</c:v>
                </c:pt>
                <c:pt idx="71">
                  <c:v>9.5664645425634358</c:v>
                </c:pt>
                <c:pt idx="72">
                  <c:v>9.7266093418958377</c:v>
                </c:pt>
                <c:pt idx="73">
                  <c:v>9.5886121859408302</c:v>
                </c:pt>
                <c:pt idx="74">
                  <c:v>9.2074029271656759</c:v>
                </c:pt>
                <c:pt idx="75">
                  <c:v>8.6196409887935062</c:v>
                </c:pt>
                <c:pt idx="76">
                  <c:v>8.1897680685639695</c:v>
                </c:pt>
                <c:pt idx="77">
                  <c:v>8.0592812492559123</c:v>
                </c:pt>
                <c:pt idx="78">
                  <c:v>8.2275493140250582</c:v>
                </c:pt>
                <c:pt idx="79">
                  <c:v>8.1593458066662592</c:v>
                </c:pt>
                <c:pt idx="80">
                  <c:v>8.0225535603281468</c:v>
                </c:pt>
                <c:pt idx="81">
                  <c:v>7.9164607131834872</c:v>
                </c:pt>
                <c:pt idx="82">
                  <c:v>8.001656268862039</c:v>
                </c:pt>
                <c:pt idx="83">
                  <c:v>8.6169069038877133</c:v>
                </c:pt>
                <c:pt idx="84">
                  <c:v>9.082147417562167</c:v>
                </c:pt>
                <c:pt idx="85">
                  <c:v>9.2118916288494574</c:v>
                </c:pt>
                <c:pt idx="86">
                  <c:v>8.9143535585893527</c:v>
                </c:pt>
                <c:pt idx="87">
                  <c:v>8.4417748272468103</c:v>
                </c:pt>
                <c:pt idx="88">
                  <c:v>8.1877936646219656</c:v>
                </c:pt>
                <c:pt idx="89">
                  <c:v>8.0674396711342489</c:v>
                </c:pt>
                <c:pt idx="90">
                  <c:v>8.3120618295240529</c:v>
                </c:pt>
                <c:pt idx="91">
                  <c:v>8.3324641181807859</c:v>
                </c:pt>
                <c:pt idx="92">
                  <c:v>8.4459121384969489</c:v>
                </c:pt>
                <c:pt idx="93">
                  <c:v>8.4899350799837787</c:v>
                </c:pt>
                <c:pt idx="94">
                  <c:v>8.6920952738291639</c:v>
                </c:pt>
                <c:pt idx="95">
                  <c:v>9.3580202223638764</c:v>
                </c:pt>
              </c:numCache>
            </c:numRef>
          </c:val>
          <c:smooth val="0"/>
        </c:ser>
        <c:dLbls>
          <c:showLegendKey val="0"/>
          <c:showVal val="0"/>
          <c:showCatName val="0"/>
          <c:showSerName val="0"/>
          <c:showPercent val="0"/>
          <c:showBubbleSize val="0"/>
        </c:dLbls>
        <c:marker val="1"/>
        <c:smooth val="0"/>
        <c:axId val="163682560"/>
        <c:axId val="163700736"/>
      </c:lineChart>
      <c:catAx>
        <c:axId val="163682560"/>
        <c:scaling>
          <c:orientation val="minMax"/>
        </c:scaling>
        <c:delete val="0"/>
        <c:axPos val="b"/>
        <c:numFmt formatCode="General" sourceLinked="1"/>
        <c:majorTickMark val="none"/>
        <c:minorTickMark val="none"/>
        <c:tickLblPos val="nextTo"/>
        <c:spPr>
          <a:ln w="3175">
            <a:solidFill>
              <a:srgbClr val="000000"/>
            </a:solidFill>
            <a:prstDash val="solid"/>
          </a:ln>
        </c:spPr>
        <c:txPr>
          <a:bodyPr rot="60000" vert="horz"/>
          <a:lstStyle/>
          <a:p>
            <a:pPr>
              <a:defRPr sz="900" b="1" i="0" u="none" strike="noStrike" baseline="0">
                <a:solidFill>
                  <a:srgbClr val="000000"/>
                </a:solidFill>
                <a:latin typeface="Arial"/>
                <a:ea typeface="Arial"/>
                <a:cs typeface="Arial"/>
              </a:defRPr>
            </a:pPr>
            <a:endParaRPr lang="cs-CZ"/>
          </a:p>
        </c:txPr>
        <c:crossAx val="163700736"/>
        <c:crosses val="autoZero"/>
        <c:auto val="1"/>
        <c:lblAlgn val="ctr"/>
        <c:lblOffset val="100"/>
        <c:tickLblSkip val="12"/>
        <c:tickMarkSkip val="12"/>
        <c:noMultiLvlLbl val="0"/>
      </c:catAx>
      <c:valAx>
        <c:axId val="163700736"/>
        <c:scaling>
          <c:orientation val="minMax"/>
          <c:min val="3"/>
        </c:scaling>
        <c:delete val="0"/>
        <c:axPos val="l"/>
        <c:majorGridlines>
          <c:spPr>
            <a:ln w="3175">
              <a:solidFill>
                <a:srgbClr val="000000"/>
              </a:solidFill>
              <a:prstDash val="sysDash"/>
            </a:ln>
          </c:spPr>
        </c:majorGridlines>
        <c:numFmt formatCode="0.0" sourceLinked="1"/>
        <c:majorTickMark val="none"/>
        <c:minorTickMark val="none"/>
        <c:tickLblPos val="nextTo"/>
        <c:spPr>
          <a:ln w="25400">
            <a:noFill/>
          </a:ln>
        </c:spPr>
        <c:txPr>
          <a:bodyPr rot="0" vert="horz"/>
          <a:lstStyle/>
          <a:p>
            <a:pPr>
              <a:defRPr sz="700" b="0" i="0" u="none" strike="noStrike" baseline="0">
                <a:solidFill>
                  <a:srgbClr val="000000"/>
                </a:solidFill>
                <a:latin typeface="Arial"/>
                <a:ea typeface="Arial"/>
                <a:cs typeface="Arial"/>
              </a:defRPr>
            </a:pPr>
            <a:endParaRPr lang="cs-CZ"/>
          </a:p>
        </c:txPr>
        <c:crossAx val="163682560"/>
        <c:crosses val="autoZero"/>
        <c:crossBetween val="between"/>
        <c:majorUnit val="1"/>
      </c:valAx>
      <c:spPr>
        <a:solidFill>
          <a:srgbClr val="FFFFFF"/>
        </a:solidFill>
        <a:ln w="12700">
          <a:solidFill>
            <a:srgbClr val="808080"/>
          </a:solidFill>
          <a:prstDash val="solid"/>
        </a:ln>
      </c:spPr>
    </c:plotArea>
    <c:legend>
      <c:legendPos val="b"/>
      <c:layout>
        <c:manualLayout>
          <c:xMode val="edge"/>
          <c:yMode val="edge"/>
          <c:x val="9.3985256398758807E-2"/>
          <c:y val="0.9054621743710608"/>
          <c:w val="0.75432257755935406"/>
          <c:h val="6.7326941275197741E-2"/>
        </c:manualLayout>
      </c:layout>
      <c:overlay val="0"/>
      <c:txPr>
        <a:bodyPr/>
        <a:lstStyle/>
        <a:p>
          <a:pPr>
            <a:defRPr sz="800"/>
          </a:pPr>
          <a:endParaRPr lang="cs-CZ"/>
        </a:p>
      </c:txPr>
    </c:legend>
    <c:plotVisOnly val="1"/>
    <c:dispBlanksAs val="gap"/>
    <c:showDLblsOverMax val="0"/>
  </c:chart>
  <c:spPr>
    <a:solidFill>
      <a:srgbClr val="FFFFFF"/>
    </a:solidFill>
    <a:ln w="9525">
      <a:solidFill>
        <a:schemeClr val="accent1"/>
      </a:solidFill>
    </a:ln>
  </c:spPr>
  <c:txPr>
    <a:bodyPr/>
    <a:lstStyle/>
    <a:p>
      <a:pPr>
        <a:defRPr sz="1025" b="0" i="0" u="none" strike="noStrike" baseline="0">
          <a:solidFill>
            <a:srgbClr val="000000"/>
          </a:solidFill>
          <a:latin typeface="Arial"/>
          <a:ea typeface="Arial"/>
          <a:cs typeface="Arial"/>
        </a:defRPr>
      </a:pPr>
      <a:endParaRPr lang="cs-CZ"/>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cs-CZ" sz="1400"/>
              <a:t>Podíly počtu uchazečů s podporou </a:t>
            </a:r>
          </a:p>
          <a:p>
            <a:pPr>
              <a:defRPr/>
            </a:pPr>
            <a:r>
              <a:rPr lang="cs-CZ" sz="1400"/>
              <a:t>podle výše podpory v nezaměstnanosti</a:t>
            </a:r>
            <a:r>
              <a:rPr lang="cs-CZ" sz="1400" baseline="0"/>
              <a:t> (v %)</a:t>
            </a:r>
            <a:endParaRPr lang="cs-CZ" sz="1400"/>
          </a:p>
        </c:rich>
      </c:tx>
      <c:overlay val="0"/>
    </c:title>
    <c:autoTitleDeleted val="0"/>
    <c:plotArea>
      <c:layout/>
      <c:barChart>
        <c:barDir val="col"/>
        <c:grouping val="clustered"/>
        <c:varyColors val="0"/>
        <c:ser>
          <c:idx val="0"/>
          <c:order val="0"/>
          <c:tx>
            <c:strRef>
              <c:f>'tab.č.17 PvN pololetí'!$M$5:$N$5</c:f>
              <c:strCache>
                <c:ptCount val="1"/>
                <c:pt idx="0">
                  <c:v>k 30. 6. 2012</c:v>
                </c:pt>
              </c:strCache>
            </c:strRef>
          </c:tx>
          <c:invertIfNegative val="0"/>
          <c:cat>
            <c:strRef>
              <c:f>'tab.č.17 PvN pololetí'!$A$9:$A$20</c:f>
              <c:strCache>
                <c:ptCount val="12"/>
                <c:pt idx="0">
                  <c:v>   do 1500 Kč</c:v>
                </c:pt>
                <c:pt idx="1">
                  <c:v>   1501 - 2500 Kč</c:v>
                </c:pt>
                <c:pt idx="2">
                  <c:v>   2501 - 3500 Kč</c:v>
                </c:pt>
                <c:pt idx="3">
                  <c:v>   3501 - 4500 Kč</c:v>
                </c:pt>
                <c:pt idx="4">
                  <c:v>   4501 - 5500 Kč</c:v>
                </c:pt>
                <c:pt idx="5">
                  <c:v>   5501 - 6500 Kč</c:v>
                </c:pt>
                <c:pt idx="6">
                  <c:v>   6501 - 7500 Kč</c:v>
                </c:pt>
                <c:pt idx="7">
                  <c:v>7501 - 8500 Kč</c:v>
                </c:pt>
                <c:pt idx="8">
                  <c:v>8501 - 9500 Kč</c:v>
                </c:pt>
                <c:pt idx="9">
                  <c:v>9501 - 10500 Kč</c:v>
                </c:pt>
                <c:pt idx="10">
                  <c:v>10501 - 11500 Kč</c:v>
                </c:pt>
                <c:pt idx="11">
                  <c:v>11501 Kč a více</c:v>
                </c:pt>
              </c:strCache>
            </c:strRef>
          </c:cat>
          <c:val>
            <c:numRef>
              <c:f>'tab.č.17 PvN pololetí'!$N$9:$N$20</c:f>
              <c:numCache>
                <c:formatCode>0.0</c:formatCode>
                <c:ptCount val="12"/>
                <c:pt idx="0">
                  <c:v>0.6</c:v>
                </c:pt>
                <c:pt idx="1">
                  <c:v>2</c:v>
                </c:pt>
                <c:pt idx="2">
                  <c:v>22.6</c:v>
                </c:pt>
                <c:pt idx="3">
                  <c:v>16.8</c:v>
                </c:pt>
                <c:pt idx="4">
                  <c:v>12.2</c:v>
                </c:pt>
                <c:pt idx="5">
                  <c:v>11.6</c:v>
                </c:pt>
                <c:pt idx="6">
                  <c:v>9.1</c:v>
                </c:pt>
                <c:pt idx="7">
                  <c:v>6.5</c:v>
                </c:pt>
                <c:pt idx="8">
                  <c:v>4.9000000000000004</c:v>
                </c:pt>
                <c:pt idx="9">
                  <c:v>3.6</c:v>
                </c:pt>
                <c:pt idx="10">
                  <c:v>2.2999999999999998</c:v>
                </c:pt>
                <c:pt idx="11">
                  <c:v>7.8</c:v>
                </c:pt>
              </c:numCache>
            </c:numRef>
          </c:val>
        </c:ser>
        <c:ser>
          <c:idx val="1"/>
          <c:order val="1"/>
          <c:tx>
            <c:strRef>
              <c:f>'tab.č.17 PvN pololetí'!$O$5:$P$5</c:f>
              <c:strCache>
                <c:ptCount val="1"/>
                <c:pt idx="0">
                  <c:v>k 30. 6. 2013</c:v>
                </c:pt>
              </c:strCache>
            </c:strRef>
          </c:tx>
          <c:invertIfNegative val="0"/>
          <c:cat>
            <c:strRef>
              <c:f>'tab.č.17 PvN pololetí'!$A$9:$A$20</c:f>
              <c:strCache>
                <c:ptCount val="12"/>
                <c:pt idx="0">
                  <c:v>   do 1500 Kč</c:v>
                </c:pt>
                <c:pt idx="1">
                  <c:v>   1501 - 2500 Kč</c:v>
                </c:pt>
                <c:pt idx="2">
                  <c:v>   2501 - 3500 Kč</c:v>
                </c:pt>
                <c:pt idx="3">
                  <c:v>   3501 - 4500 Kč</c:v>
                </c:pt>
                <c:pt idx="4">
                  <c:v>   4501 - 5500 Kč</c:v>
                </c:pt>
                <c:pt idx="5">
                  <c:v>   5501 - 6500 Kč</c:v>
                </c:pt>
                <c:pt idx="6">
                  <c:v>   6501 - 7500 Kč</c:v>
                </c:pt>
                <c:pt idx="7">
                  <c:v>7501 - 8500 Kč</c:v>
                </c:pt>
                <c:pt idx="8">
                  <c:v>8501 - 9500 Kč</c:v>
                </c:pt>
                <c:pt idx="9">
                  <c:v>9501 - 10500 Kč</c:v>
                </c:pt>
                <c:pt idx="10">
                  <c:v>10501 - 11500 Kč</c:v>
                </c:pt>
                <c:pt idx="11">
                  <c:v>11501 Kč a více</c:v>
                </c:pt>
              </c:strCache>
            </c:strRef>
          </c:cat>
          <c:val>
            <c:numRef>
              <c:f>'tab.č.17 PvN pololetí'!$P$9:$P$20</c:f>
              <c:numCache>
                <c:formatCode>0.0</c:formatCode>
                <c:ptCount val="12"/>
                <c:pt idx="0">
                  <c:v>0.6</c:v>
                </c:pt>
                <c:pt idx="1">
                  <c:v>2</c:v>
                </c:pt>
                <c:pt idx="2">
                  <c:v>17.3</c:v>
                </c:pt>
                <c:pt idx="3">
                  <c:v>18</c:v>
                </c:pt>
                <c:pt idx="4">
                  <c:v>11.4</c:v>
                </c:pt>
                <c:pt idx="5">
                  <c:v>11.2</c:v>
                </c:pt>
                <c:pt idx="6">
                  <c:v>9.6</c:v>
                </c:pt>
                <c:pt idx="7">
                  <c:v>7.5</c:v>
                </c:pt>
                <c:pt idx="8">
                  <c:v>5.7</c:v>
                </c:pt>
                <c:pt idx="9">
                  <c:v>4.2</c:v>
                </c:pt>
                <c:pt idx="10">
                  <c:v>3</c:v>
                </c:pt>
                <c:pt idx="11">
                  <c:v>9.5</c:v>
                </c:pt>
              </c:numCache>
            </c:numRef>
          </c:val>
        </c:ser>
        <c:dLbls>
          <c:showLegendKey val="0"/>
          <c:showVal val="0"/>
          <c:showCatName val="0"/>
          <c:showSerName val="0"/>
          <c:showPercent val="0"/>
          <c:showBubbleSize val="0"/>
        </c:dLbls>
        <c:gapWidth val="79"/>
        <c:axId val="170980864"/>
        <c:axId val="170982400"/>
      </c:barChart>
      <c:catAx>
        <c:axId val="170980864"/>
        <c:scaling>
          <c:orientation val="minMax"/>
        </c:scaling>
        <c:delete val="0"/>
        <c:axPos val="b"/>
        <c:majorTickMark val="none"/>
        <c:minorTickMark val="none"/>
        <c:tickLblPos val="nextTo"/>
        <c:txPr>
          <a:bodyPr/>
          <a:lstStyle/>
          <a:p>
            <a:pPr>
              <a:defRPr sz="800"/>
            </a:pPr>
            <a:endParaRPr lang="cs-CZ"/>
          </a:p>
        </c:txPr>
        <c:crossAx val="170982400"/>
        <c:crosses val="autoZero"/>
        <c:auto val="1"/>
        <c:lblAlgn val="ctr"/>
        <c:lblOffset val="100"/>
        <c:noMultiLvlLbl val="0"/>
      </c:catAx>
      <c:valAx>
        <c:axId val="170982400"/>
        <c:scaling>
          <c:orientation val="minMax"/>
        </c:scaling>
        <c:delete val="0"/>
        <c:axPos val="l"/>
        <c:majorGridlines/>
        <c:numFmt formatCode="0.0" sourceLinked="1"/>
        <c:majorTickMark val="none"/>
        <c:minorTickMark val="none"/>
        <c:tickLblPos val="nextTo"/>
        <c:spPr>
          <a:ln w="9525">
            <a:noFill/>
          </a:ln>
        </c:spPr>
        <c:crossAx val="170980864"/>
        <c:crosses val="autoZero"/>
        <c:crossBetween val="between"/>
      </c:valAx>
      <c:spPr>
        <a:ln>
          <a:solidFill>
            <a:schemeClr val="accent1"/>
          </a:solidFill>
        </a:ln>
      </c:spPr>
    </c:plotArea>
    <c:legend>
      <c:legendPos val="b"/>
      <c:layout>
        <c:manualLayout>
          <c:xMode val="edge"/>
          <c:yMode val="edge"/>
          <c:x val="0.28762117160173212"/>
          <c:y val="0.91274306744265665"/>
          <c:w val="0.45071636368501405"/>
          <c:h val="6.5517802122560767E-2"/>
        </c:manualLayout>
      </c:layout>
      <c:overlay val="0"/>
    </c:legend>
    <c:plotVisOnly val="1"/>
    <c:dispBlanksAs val="gap"/>
    <c:showDLblsOverMax val="0"/>
  </c:chart>
  <c:spPr>
    <a:ln>
      <a:solidFill>
        <a:schemeClr val="accent1"/>
      </a:solid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1" i="0" u="none" strike="noStrike" baseline="0">
                <a:solidFill>
                  <a:srgbClr val="000000"/>
                </a:solidFill>
                <a:latin typeface="Arial"/>
                <a:ea typeface="Arial"/>
                <a:cs typeface="Arial"/>
              </a:defRPr>
            </a:pPr>
            <a:r>
              <a:rPr lang="cs-CZ" sz="1400">
                <a:latin typeface="+mn-lt"/>
              </a:rPr>
              <a:t>Vývoj počtu volných pracovních míst</a:t>
            </a:r>
            <a:r>
              <a:rPr lang="cs-CZ" sz="1200">
                <a:latin typeface="+mn-lt"/>
              </a:rPr>
              <a:t>
v období 2005 - 1. pol. 2013</a:t>
            </a:r>
          </a:p>
        </c:rich>
      </c:tx>
      <c:layout>
        <c:manualLayout>
          <c:xMode val="edge"/>
          <c:yMode val="edge"/>
          <c:x val="0.23294723294723294"/>
          <c:y val="1.2181616832779624E-2"/>
        </c:manualLayout>
      </c:layout>
      <c:overlay val="0"/>
      <c:spPr>
        <a:noFill/>
        <a:ln w="25400">
          <a:noFill/>
        </a:ln>
      </c:spPr>
    </c:title>
    <c:autoTitleDeleted val="0"/>
    <c:plotArea>
      <c:layout>
        <c:manualLayout>
          <c:layoutTarget val="inner"/>
          <c:xMode val="edge"/>
          <c:yMode val="edge"/>
          <c:x val="0.11094863142107236"/>
          <c:y val="0.19047653926980057"/>
          <c:w val="0.83180170046311774"/>
          <c:h val="0.68438642844063091"/>
        </c:manualLayout>
      </c:layout>
      <c:barChart>
        <c:barDir val="col"/>
        <c:grouping val="clustered"/>
        <c:varyColors val="0"/>
        <c:ser>
          <c:idx val="0"/>
          <c:order val="0"/>
          <c:tx>
            <c:v>volná místa</c:v>
          </c:tx>
          <c:invertIfNegative val="0"/>
          <c:dPt>
            <c:idx val="56"/>
            <c:invertIfNegative val="0"/>
            <c:bubble3D val="0"/>
          </c:dPt>
          <c:cat>
            <c:numRef>
              <c:f>A!$FN$9:$JQ$9</c:f>
              <c:numCache>
                <c:formatCode>General</c:formatCode>
                <c:ptCount val="108"/>
                <c:pt idx="0">
                  <c:v>2005</c:v>
                </c:pt>
                <c:pt idx="12">
                  <c:v>2006</c:v>
                </c:pt>
                <c:pt idx="24">
                  <c:v>2007</c:v>
                </c:pt>
                <c:pt idx="36">
                  <c:v>2008</c:v>
                </c:pt>
                <c:pt idx="48">
                  <c:v>2009</c:v>
                </c:pt>
                <c:pt idx="60">
                  <c:v>2010</c:v>
                </c:pt>
                <c:pt idx="72">
                  <c:v>2011</c:v>
                </c:pt>
                <c:pt idx="84">
                  <c:v>2012</c:v>
                </c:pt>
                <c:pt idx="96">
                  <c:v>2013</c:v>
                </c:pt>
              </c:numCache>
            </c:numRef>
          </c:cat>
          <c:val>
            <c:numRef>
              <c:f>A!$FN$102:$JQ$102</c:f>
              <c:numCache>
                <c:formatCode>#,##0</c:formatCode>
                <c:ptCount val="108"/>
                <c:pt idx="0">
                  <c:v>54180</c:v>
                </c:pt>
                <c:pt idx="1">
                  <c:v>56037</c:v>
                </c:pt>
                <c:pt idx="2">
                  <c:v>55866</c:v>
                </c:pt>
                <c:pt idx="3">
                  <c:v>55864</c:v>
                </c:pt>
                <c:pt idx="4">
                  <c:v>57172</c:v>
                </c:pt>
                <c:pt idx="5">
                  <c:v>56998</c:v>
                </c:pt>
                <c:pt idx="6">
                  <c:v>56789</c:v>
                </c:pt>
                <c:pt idx="7">
                  <c:v>59296</c:v>
                </c:pt>
                <c:pt idx="8">
                  <c:v>55798</c:v>
                </c:pt>
                <c:pt idx="9">
                  <c:v>55133</c:v>
                </c:pt>
                <c:pt idx="10">
                  <c:v>53006</c:v>
                </c:pt>
                <c:pt idx="11">
                  <c:v>52164</c:v>
                </c:pt>
                <c:pt idx="12">
                  <c:v>59359</c:v>
                </c:pt>
                <c:pt idx="13">
                  <c:v>66487</c:v>
                </c:pt>
                <c:pt idx="14">
                  <c:v>70473</c:v>
                </c:pt>
                <c:pt idx="15">
                  <c:v>74148</c:v>
                </c:pt>
                <c:pt idx="16">
                  <c:v>80902</c:v>
                </c:pt>
                <c:pt idx="17">
                  <c:v>85945</c:v>
                </c:pt>
                <c:pt idx="18">
                  <c:v>88217</c:v>
                </c:pt>
                <c:pt idx="19">
                  <c:v>94217</c:v>
                </c:pt>
                <c:pt idx="20">
                  <c:v>97543</c:v>
                </c:pt>
                <c:pt idx="21">
                  <c:v>101139</c:v>
                </c:pt>
                <c:pt idx="22">
                  <c:v>98966</c:v>
                </c:pt>
                <c:pt idx="23">
                  <c:v>93425</c:v>
                </c:pt>
                <c:pt idx="24">
                  <c:v>97896</c:v>
                </c:pt>
                <c:pt idx="25">
                  <c:v>104877</c:v>
                </c:pt>
                <c:pt idx="26">
                  <c:v>107709</c:v>
                </c:pt>
                <c:pt idx="27">
                  <c:v>113895</c:v>
                </c:pt>
                <c:pt idx="28">
                  <c:v>119492</c:v>
                </c:pt>
                <c:pt idx="29">
                  <c:v>123269</c:v>
                </c:pt>
                <c:pt idx="30">
                  <c:v>123951</c:v>
                </c:pt>
                <c:pt idx="31">
                  <c:v>133407</c:v>
                </c:pt>
                <c:pt idx="32">
                  <c:v>137429</c:v>
                </c:pt>
                <c:pt idx="33">
                  <c:v>143467</c:v>
                </c:pt>
                <c:pt idx="34">
                  <c:v>141280</c:v>
                </c:pt>
                <c:pt idx="35">
                  <c:v>141066</c:v>
                </c:pt>
                <c:pt idx="36">
                  <c:v>145921</c:v>
                </c:pt>
                <c:pt idx="37">
                  <c:v>150328</c:v>
                </c:pt>
                <c:pt idx="38">
                  <c:v>151311</c:v>
                </c:pt>
                <c:pt idx="39">
                  <c:v>152267</c:v>
                </c:pt>
                <c:pt idx="40">
                  <c:v>151344</c:v>
                </c:pt>
                <c:pt idx="41">
                  <c:v>151881</c:v>
                </c:pt>
                <c:pt idx="42">
                  <c:v>150240</c:v>
                </c:pt>
                <c:pt idx="43">
                  <c:v>150907</c:v>
                </c:pt>
                <c:pt idx="44">
                  <c:v>139557</c:v>
                </c:pt>
                <c:pt idx="45">
                  <c:v>130124</c:v>
                </c:pt>
                <c:pt idx="46">
                  <c:v>111307</c:v>
                </c:pt>
                <c:pt idx="47">
                  <c:v>91189</c:v>
                </c:pt>
                <c:pt idx="48">
                  <c:v>68494</c:v>
                </c:pt>
                <c:pt idx="49">
                  <c:v>64881</c:v>
                </c:pt>
                <c:pt idx="50">
                  <c:v>55412</c:v>
                </c:pt>
                <c:pt idx="51">
                  <c:v>50517</c:v>
                </c:pt>
                <c:pt idx="52">
                  <c:v>48254</c:v>
                </c:pt>
                <c:pt idx="53">
                  <c:v>43402</c:v>
                </c:pt>
                <c:pt idx="54">
                  <c:v>41763</c:v>
                </c:pt>
                <c:pt idx="55">
                  <c:v>41297</c:v>
                </c:pt>
                <c:pt idx="56">
                  <c:v>38844</c:v>
                </c:pt>
                <c:pt idx="57">
                  <c:v>35803</c:v>
                </c:pt>
                <c:pt idx="58">
                  <c:v>32924</c:v>
                </c:pt>
                <c:pt idx="59">
                  <c:v>30927</c:v>
                </c:pt>
                <c:pt idx="60">
                  <c:v>31557</c:v>
                </c:pt>
                <c:pt idx="61">
                  <c:v>32120</c:v>
                </c:pt>
                <c:pt idx="62">
                  <c:v>33137</c:v>
                </c:pt>
                <c:pt idx="63">
                  <c:v>32913</c:v>
                </c:pt>
                <c:pt idx="64">
                  <c:v>33105</c:v>
                </c:pt>
                <c:pt idx="65">
                  <c:v>32927</c:v>
                </c:pt>
                <c:pt idx="66">
                  <c:v>33479</c:v>
                </c:pt>
                <c:pt idx="67">
                  <c:v>36567</c:v>
                </c:pt>
                <c:pt idx="68">
                  <c:v>35100</c:v>
                </c:pt>
                <c:pt idx="69">
                  <c:v>33651</c:v>
                </c:pt>
                <c:pt idx="70">
                  <c:v>32337</c:v>
                </c:pt>
                <c:pt idx="71">
                  <c:v>30803</c:v>
                </c:pt>
                <c:pt idx="72">
                  <c:v>31393</c:v>
                </c:pt>
                <c:pt idx="73">
                  <c:v>32164</c:v>
                </c:pt>
                <c:pt idx="74">
                  <c:v>33931</c:v>
                </c:pt>
                <c:pt idx="75">
                  <c:v>36053</c:v>
                </c:pt>
                <c:pt idx="76">
                  <c:v>37649</c:v>
                </c:pt>
                <c:pt idx="77">
                  <c:v>38416</c:v>
                </c:pt>
                <c:pt idx="78">
                  <c:v>38898</c:v>
                </c:pt>
                <c:pt idx="79">
                  <c:v>40758</c:v>
                </c:pt>
                <c:pt idx="80">
                  <c:v>39795</c:v>
                </c:pt>
                <c:pt idx="81">
                  <c:v>38732</c:v>
                </c:pt>
                <c:pt idx="82">
                  <c:v>36832</c:v>
                </c:pt>
                <c:pt idx="83">
                  <c:v>35784</c:v>
                </c:pt>
                <c:pt idx="84">
                  <c:v>34471</c:v>
                </c:pt>
                <c:pt idx="85">
                  <c:v>36671</c:v>
                </c:pt>
                <c:pt idx="86">
                  <c:v>39906</c:v>
                </c:pt>
                <c:pt idx="87">
                  <c:v>41707</c:v>
                </c:pt>
                <c:pt idx="88">
                  <c:v>43665</c:v>
                </c:pt>
                <c:pt idx="89">
                  <c:v>42779</c:v>
                </c:pt>
                <c:pt idx="90">
                  <c:v>41093</c:v>
                </c:pt>
                <c:pt idx="91">
                  <c:v>42559</c:v>
                </c:pt>
                <c:pt idx="92">
                  <c:v>40809</c:v>
                </c:pt>
                <c:pt idx="93">
                  <c:v>40729</c:v>
                </c:pt>
                <c:pt idx="94">
                  <c:v>38806</c:v>
                </c:pt>
                <c:pt idx="95">
                  <c:v>34893</c:v>
                </c:pt>
                <c:pt idx="96">
                  <c:v>33794</c:v>
                </c:pt>
                <c:pt idx="97">
                  <c:v>34635</c:v>
                </c:pt>
                <c:pt idx="98">
                  <c:v>38863</c:v>
                </c:pt>
                <c:pt idx="99">
                  <c:v>39763</c:v>
                </c:pt>
                <c:pt idx="100">
                  <c:v>42632</c:v>
                </c:pt>
                <c:pt idx="101">
                  <c:v>44032</c:v>
                </c:pt>
              </c:numCache>
            </c:numRef>
          </c:val>
        </c:ser>
        <c:dLbls>
          <c:showLegendKey val="0"/>
          <c:showVal val="0"/>
          <c:showCatName val="0"/>
          <c:showSerName val="0"/>
          <c:showPercent val="0"/>
          <c:showBubbleSize val="0"/>
        </c:dLbls>
        <c:gapWidth val="97"/>
        <c:axId val="234146048"/>
        <c:axId val="28123136"/>
      </c:barChart>
      <c:catAx>
        <c:axId val="234146048"/>
        <c:scaling>
          <c:orientation val="minMax"/>
        </c:scaling>
        <c:delete val="0"/>
        <c:axPos val="b"/>
        <c:majorGridlines>
          <c:spPr>
            <a:ln w="3175">
              <a:solidFill>
                <a:srgbClr val="000000"/>
              </a:solidFill>
              <a:prstDash val="sysDash"/>
            </a:ln>
          </c:spPr>
        </c:majorGridlines>
        <c:numFmt formatCode="General" sourceLinked="1"/>
        <c:majorTickMark val="out"/>
        <c:minorTickMark val="none"/>
        <c:tickLblPos val="nextTo"/>
        <c:spPr>
          <a:ln w="3175">
            <a:solidFill>
              <a:srgbClr val="000000"/>
            </a:solidFill>
            <a:prstDash val="solid"/>
          </a:ln>
        </c:spPr>
        <c:txPr>
          <a:bodyPr rot="60000" vert="horz"/>
          <a:lstStyle/>
          <a:p>
            <a:pPr>
              <a:defRPr sz="900" b="1" i="0" u="none" strike="noStrike" baseline="0">
                <a:solidFill>
                  <a:srgbClr val="000000"/>
                </a:solidFill>
                <a:latin typeface="Arial"/>
                <a:ea typeface="Arial"/>
                <a:cs typeface="Arial"/>
              </a:defRPr>
            </a:pPr>
            <a:endParaRPr lang="cs-CZ"/>
          </a:p>
        </c:txPr>
        <c:crossAx val="28123136"/>
        <c:crosses val="autoZero"/>
        <c:auto val="0"/>
        <c:lblAlgn val="ctr"/>
        <c:lblOffset val="100"/>
        <c:tickLblSkip val="2"/>
        <c:tickMarkSkip val="12"/>
        <c:noMultiLvlLbl val="0"/>
      </c:catAx>
      <c:valAx>
        <c:axId val="28123136"/>
        <c:scaling>
          <c:orientation val="minMax"/>
        </c:scaling>
        <c:delete val="0"/>
        <c:axPos val="l"/>
        <c:majorGridlines>
          <c:spPr>
            <a:ln w="3175">
              <a:solidFill>
                <a:srgbClr val="000000"/>
              </a:solidFill>
              <a:prstDash val="sysDash"/>
            </a:ln>
          </c:spPr>
        </c:majorGridlines>
        <c:title>
          <c:tx>
            <c:rich>
              <a:bodyPr/>
              <a:lstStyle/>
              <a:p>
                <a:pPr>
                  <a:defRPr sz="700" b="1" i="0" u="none" strike="noStrike" baseline="0">
                    <a:solidFill>
                      <a:srgbClr val="000000"/>
                    </a:solidFill>
                    <a:latin typeface="Arial"/>
                    <a:ea typeface="Arial"/>
                    <a:cs typeface="Arial"/>
                  </a:defRPr>
                </a:pPr>
                <a:r>
                  <a:rPr lang="cs-CZ"/>
                  <a:t>počet míst (v tis.)</a:t>
                </a:r>
              </a:p>
            </c:rich>
          </c:tx>
          <c:layout>
            <c:manualLayout>
              <c:xMode val="edge"/>
              <c:yMode val="edge"/>
              <c:x val="9.6525096525097095E-3"/>
              <c:y val="0.35548242516197204"/>
            </c:manualLayout>
          </c:layout>
          <c:overlay val="0"/>
          <c:spPr>
            <a:noFill/>
            <a:ln w="25400">
              <a:noFill/>
            </a:ln>
          </c:spPr>
        </c:title>
        <c:numFmt formatCode="#,##0.0" sourceLinked="0"/>
        <c:majorTickMark val="out"/>
        <c:minorTickMark val="none"/>
        <c:tickLblPos val="nextTo"/>
        <c:spPr>
          <a:ln w="3175">
            <a:solidFill>
              <a:srgbClr val="000000"/>
            </a:solidFill>
            <a:prstDash val="solid"/>
          </a:ln>
        </c:spPr>
        <c:txPr>
          <a:bodyPr rot="0" vert="horz"/>
          <a:lstStyle/>
          <a:p>
            <a:pPr>
              <a:defRPr sz="700" b="0" i="0" u="none" strike="noStrike" baseline="0">
                <a:solidFill>
                  <a:srgbClr val="000000"/>
                </a:solidFill>
                <a:latin typeface="Arial"/>
                <a:ea typeface="Arial"/>
                <a:cs typeface="Arial"/>
              </a:defRPr>
            </a:pPr>
            <a:endParaRPr lang="cs-CZ"/>
          </a:p>
        </c:txPr>
        <c:crossAx val="234146048"/>
        <c:crosses val="autoZero"/>
        <c:crossBetween val="between"/>
        <c:dispUnits>
          <c:builtInUnit val="thousands"/>
        </c:dispUnits>
      </c:valAx>
      <c:spPr>
        <a:solidFill>
          <a:srgbClr val="FFFFFF"/>
        </a:solidFill>
        <a:ln w="12700">
          <a:solidFill>
            <a:srgbClr val="808080"/>
          </a:solidFill>
          <a:prstDash val="solid"/>
        </a:ln>
      </c:spPr>
    </c:plotArea>
    <c:plotVisOnly val="1"/>
    <c:dispBlanksAs val="gap"/>
    <c:showDLblsOverMax val="0"/>
  </c:chart>
  <c:spPr>
    <a:solidFill>
      <a:srgbClr val="FFFFFF"/>
    </a:solidFill>
    <a:ln w="9525">
      <a:solidFill>
        <a:schemeClr val="accent1"/>
      </a:solidFill>
    </a:ln>
  </c:spPr>
  <c:txPr>
    <a:bodyPr/>
    <a:lstStyle/>
    <a:p>
      <a:pPr>
        <a:defRPr sz="1000" b="0" i="0" u="none" strike="noStrike" baseline="0">
          <a:solidFill>
            <a:srgbClr val="000000"/>
          </a:solidFill>
          <a:latin typeface="Arial"/>
          <a:ea typeface="Arial"/>
          <a:cs typeface="Arial"/>
        </a:defRPr>
      </a:pPr>
      <a:endParaRPr lang="cs-CZ"/>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cs-CZ" sz="1400"/>
              <a:t>Počet</a:t>
            </a:r>
            <a:r>
              <a:rPr lang="cs-CZ" sz="1400" baseline="0"/>
              <a:t> uchazečů o zaměstnání na 1 VPM </a:t>
            </a:r>
          </a:p>
          <a:p>
            <a:pPr>
              <a:defRPr/>
            </a:pPr>
            <a:r>
              <a:rPr lang="cs-CZ" sz="1400" baseline="0"/>
              <a:t>v letech 2005 - 2013 (k 30. 6.)</a:t>
            </a:r>
            <a:endParaRPr lang="cs-CZ" sz="1400"/>
          </a:p>
        </c:rich>
      </c:tx>
      <c:layout>
        <c:manualLayout>
          <c:xMode val="edge"/>
          <c:yMode val="edge"/>
          <c:x val="0.19673600174978129"/>
          <c:y val="3.2633268667503518E-2"/>
        </c:manualLayout>
      </c:layout>
      <c:overlay val="0"/>
    </c:title>
    <c:autoTitleDeleted val="0"/>
    <c:plotArea>
      <c:layout>
        <c:manualLayout>
          <c:layoutTarget val="inner"/>
          <c:xMode val="edge"/>
          <c:yMode val="edge"/>
          <c:x val="7.800284339457568E-2"/>
          <c:y val="0.21682802693141615"/>
          <c:w val="0.8914416010498688"/>
          <c:h val="0.64141526426843698"/>
        </c:manualLayout>
      </c:layout>
      <c:barChart>
        <c:barDir val="col"/>
        <c:grouping val="clustered"/>
        <c:varyColors val="0"/>
        <c:ser>
          <c:idx val="0"/>
          <c:order val="0"/>
          <c:spPr>
            <a:gradFill>
              <a:gsLst>
                <a:gs pos="0">
                  <a:schemeClr val="accent1">
                    <a:tint val="66000"/>
                    <a:satMod val="160000"/>
                  </a:schemeClr>
                </a:gs>
                <a:gs pos="100000">
                  <a:schemeClr val="tx2">
                    <a:lumMod val="60000"/>
                    <a:lumOff val="40000"/>
                  </a:schemeClr>
                </a:gs>
                <a:gs pos="100000">
                  <a:schemeClr val="accent1">
                    <a:tint val="23500"/>
                    <a:satMod val="160000"/>
                  </a:schemeClr>
                </a:gs>
              </a:gsLst>
              <a:lin ang="5400000" scaled="0"/>
            </a:gradFill>
          </c:spPr>
          <c:invertIfNegative val="0"/>
          <c:dLbls>
            <c:dLbl>
              <c:idx val="2"/>
              <c:layout>
                <c:manualLayout>
                  <c:x val="0"/>
                  <c:y val="-2.6143790849673203E-2"/>
                </c:manualLayout>
              </c:layout>
              <c:dLblPos val="outEnd"/>
              <c:showLegendKey val="0"/>
              <c:showVal val="1"/>
              <c:showCatName val="0"/>
              <c:showSerName val="0"/>
              <c:showPercent val="0"/>
              <c:showBubbleSize val="0"/>
            </c:dLbl>
            <c:dLbl>
              <c:idx val="4"/>
              <c:layout>
                <c:manualLayout>
                  <c:x val="0"/>
                  <c:y val="-3.9215686274509762E-2"/>
                </c:manualLayout>
              </c:layout>
              <c:dLblPos val="outEnd"/>
              <c:showLegendKey val="0"/>
              <c:showVal val="1"/>
              <c:showCatName val="0"/>
              <c:showSerName val="0"/>
              <c:showPercent val="0"/>
              <c:showBubbleSize val="0"/>
            </c:dLbl>
            <c:dLbl>
              <c:idx val="5"/>
              <c:layout>
                <c:manualLayout>
                  <c:x val="4.4444444444444446E-2"/>
                  <c:y val="3.864734299516908E-2"/>
                </c:manualLayout>
              </c:layout>
              <c:dLblPos val="outEnd"/>
              <c:showLegendKey val="0"/>
              <c:showVal val="1"/>
              <c:showCatName val="0"/>
              <c:showSerName val="0"/>
              <c:showPercent val="0"/>
              <c:showBubbleSize val="0"/>
            </c:dLbl>
            <c:dLbl>
              <c:idx val="7"/>
              <c:layout>
                <c:manualLayout>
                  <c:x val="9.0870490942001433E-17"/>
                  <c:y val="-2.6143790849673203E-2"/>
                </c:manualLayout>
              </c:layout>
              <c:dLblPos val="outEnd"/>
              <c:showLegendKey val="0"/>
              <c:showVal val="1"/>
              <c:showCatName val="0"/>
              <c:showSerName val="0"/>
              <c:showPercent val="0"/>
              <c:showBubbleSize val="0"/>
            </c:dLbl>
            <c:txPr>
              <a:bodyPr/>
              <a:lstStyle/>
              <a:p>
                <a:pPr>
                  <a:defRPr b="1"/>
                </a:pPr>
                <a:endParaRPr lang="cs-CZ"/>
              </a:p>
            </c:txPr>
            <c:dLblPos val="outEnd"/>
            <c:showLegendKey val="0"/>
            <c:showVal val="1"/>
            <c:showCatName val="0"/>
            <c:showSerName val="0"/>
            <c:showPercent val="0"/>
            <c:showBubbleSize val="0"/>
            <c:showLeaderLines val="0"/>
          </c:dLbls>
          <c:cat>
            <c:numRef>
              <c:f>'UCHVM pololetí'!$A$2:$I$2</c:f>
              <c:numCache>
                <c:formatCode>General</c:formatCode>
                <c:ptCount val="9"/>
                <c:pt idx="0">
                  <c:v>2005</c:v>
                </c:pt>
                <c:pt idx="1">
                  <c:v>2006</c:v>
                </c:pt>
                <c:pt idx="2">
                  <c:v>2007</c:v>
                </c:pt>
                <c:pt idx="3">
                  <c:v>2008</c:v>
                </c:pt>
                <c:pt idx="4">
                  <c:v>2009</c:v>
                </c:pt>
                <c:pt idx="5">
                  <c:v>2010</c:v>
                </c:pt>
                <c:pt idx="6">
                  <c:v>2011</c:v>
                </c:pt>
                <c:pt idx="7">
                  <c:v>2012</c:v>
                </c:pt>
                <c:pt idx="8">
                  <c:v>2013</c:v>
                </c:pt>
              </c:numCache>
            </c:numRef>
          </c:cat>
          <c:val>
            <c:numRef>
              <c:f>'UCHVM pololetí'!$A$3:$I$3</c:f>
              <c:numCache>
                <c:formatCode>0.0</c:formatCode>
                <c:ptCount val="9"/>
                <c:pt idx="0">
                  <c:v>8.592301484262606</c:v>
                </c:pt>
                <c:pt idx="1">
                  <c:v>5.2487753796032344</c:v>
                </c:pt>
                <c:pt idx="2">
                  <c:v>3.007982542245009</c:v>
                </c:pt>
                <c:pt idx="3">
                  <c:v>1.9612723118757449</c:v>
                </c:pt>
                <c:pt idx="4">
                  <c:v>10.680498594534814</c:v>
                </c:pt>
                <c:pt idx="5">
                  <c:v>15.200291554043794</c:v>
                </c:pt>
                <c:pt idx="6">
                  <c:v>12.462906080799668</c:v>
                </c:pt>
                <c:pt idx="7">
                  <c:v>11.09390121321209</c:v>
                </c:pt>
                <c:pt idx="8">
                  <c:v>12.274550327034884</c:v>
                </c:pt>
              </c:numCache>
            </c:numRef>
          </c:val>
        </c:ser>
        <c:dLbls>
          <c:showLegendKey val="0"/>
          <c:showVal val="0"/>
          <c:showCatName val="0"/>
          <c:showSerName val="0"/>
          <c:showPercent val="0"/>
          <c:showBubbleSize val="0"/>
        </c:dLbls>
        <c:gapWidth val="150"/>
        <c:axId val="28135808"/>
        <c:axId val="28137344"/>
      </c:barChart>
      <c:catAx>
        <c:axId val="28135808"/>
        <c:scaling>
          <c:orientation val="minMax"/>
        </c:scaling>
        <c:delete val="0"/>
        <c:axPos val="b"/>
        <c:numFmt formatCode="General" sourceLinked="1"/>
        <c:majorTickMark val="none"/>
        <c:minorTickMark val="none"/>
        <c:tickLblPos val="nextTo"/>
        <c:crossAx val="28137344"/>
        <c:crosses val="autoZero"/>
        <c:auto val="1"/>
        <c:lblAlgn val="ctr"/>
        <c:lblOffset val="100"/>
        <c:noMultiLvlLbl val="0"/>
      </c:catAx>
      <c:valAx>
        <c:axId val="28137344"/>
        <c:scaling>
          <c:orientation val="minMax"/>
        </c:scaling>
        <c:delete val="0"/>
        <c:axPos val="l"/>
        <c:majorGridlines/>
        <c:numFmt formatCode="0.0" sourceLinked="1"/>
        <c:majorTickMark val="none"/>
        <c:minorTickMark val="none"/>
        <c:tickLblPos val="nextTo"/>
        <c:txPr>
          <a:bodyPr/>
          <a:lstStyle/>
          <a:p>
            <a:pPr>
              <a:defRPr sz="800"/>
            </a:pPr>
            <a:endParaRPr lang="cs-CZ"/>
          </a:p>
        </c:txPr>
        <c:crossAx val="28135808"/>
        <c:crosses val="autoZero"/>
        <c:crossBetween val="between"/>
        <c:majorUnit val="4"/>
      </c:valAx>
      <c:spPr>
        <a:ln w="0">
          <a:solidFill>
            <a:schemeClr val="tx1"/>
          </a:solidFill>
        </a:ln>
      </c:spPr>
    </c:plotArea>
    <c:plotVisOnly val="1"/>
    <c:dispBlanksAs val="gap"/>
    <c:showDLblsOverMax val="0"/>
  </c:chart>
  <c:spPr>
    <a:ln>
      <a:solidFill>
        <a:schemeClr val="tx2">
          <a:lumMod val="60000"/>
          <a:lumOff val="40000"/>
        </a:schemeClr>
      </a:solid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cs-CZ" sz="1200" b="1" i="0" baseline="0">
                <a:effectLst/>
              </a:rPr>
              <a:t>Přírůstky (úbytky) počtu uchazečů o zaměstnání </a:t>
            </a:r>
            <a:endParaRPr lang="cs-CZ" sz="1200">
              <a:effectLst/>
            </a:endParaRPr>
          </a:p>
          <a:p>
            <a:pPr marL="0" marR="0" indent="0" algn="ctr"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cs-CZ" sz="1000" b="1" i="0" baseline="0">
                <a:effectLst/>
              </a:rPr>
              <a:t>v evidenci ÚP ČR v jednotlivých měsících (v tis.)</a:t>
            </a:r>
            <a:endParaRPr lang="cs-CZ" sz="1000">
              <a:effectLst/>
            </a:endParaRPr>
          </a:p>
          <a:p>
            <a:pPr marL="0" marR="0" indent="0" algn="ctr"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cs-CZ" sz="1000" b="1" i="0" baseline="0">
                <a:effectLst/>
              </a:rPr>
              <a:t>období 2008 - 1. pol. 2013</a:t>
            </a:r>
          </a:p>
          <a:p>
            <a:pPr marL="0" marR="0" indent="0" algn="ctr"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cs-CZ" sz="1000" b="0" i="1" baseline="0">
                <a:effectLst/>
              </a:rPr>
              <a:t>(tj. rozdíl nově hlášených a vyřazených)</a:t>
            </a:r>
            <a:endParaRPr lang="cs-CZ" sz="1000">
              <a:effectLst/>
            </a:endParaRPr>
          </a:p>
        </c:rich>
      </c:tx>
      <c:overlay val="0"/>
    </c:title>
    <c:autoTitleDeleted val="0"/>
    <c:plotArea>
      <c:layout>
        <c:manualLayout>
          <c:layoutTarget val="inner"/>
          <c:xMode val="edge"/>
          <c:yMode val="edge"/>
          <c:x val="0.1293360057265569"/>
          <c:y val="0.24036052097261426"/>
          <c:w val="0.82925793366738254"/>
          <c:h val="0.65284636590237544"/>
        </c:manualLayout>
      </c:layout>
      <c:barChart>
        <c:barDir val="col"/>
        <c:grouping val="clustered"/>
        <c:varyColors val="0"/>
        <c:ser>
          <c:idx val="0"/>
          <c:order val="0"/>
          <c:invertIfNegative val="0"/>
          <c:cat>
            <c:numRef>
              <c:f>A!$FN$8:$JQ$8</c:f>
              <c:numCache>
                <c:formatCode>General</c:formatCode>
                <c:ptCount val="108"/>
                <c:pt idx="5">
                  <c:v>2005</c:v>
                </c:pt>
                <c:pt idx="17">
                  <c:v>2006</c:v>
                </c:pt>
                <c:pt idx="29">
                  <c:v>2007</c:v>
                </c:pt>
                <c:pt idx="41">
                  <c:v>2008</c:v>
                </c:pt>
                <c:pt idx="53">
                  <c:v>2009</c:v>
                </c:pt>
                <c:pt idx="65">
                  <c:v>2010</c:v>
                </c:pt>
                <c:pt idx="77">
                  <c:v>2011</c:v>
                </c:pt>
                <c:pt idx="89">
                  <c:v>2012</c:v>
                </c:pt>
                <c:pt idx="101">
                  <c:v>2013</c:v>
                </c:pt>
              </c:numCache>
            </c:numRef>
          </c:cat>
          <c:val>
            <c:numRef>
              <c:f>A!$FN$97:$JQ$97</c:f>
              <c:numCache>
                <c:formatCode>0</c:formatCode>
                <c:ptCount val="108"/>
                <c:pt idx="0">
                  <c:v>19987</c:v>
                </c:pt>
                <c:pt idx="1">
                  <c:v>-6616</c:v>
                </c:pt>
                <c:pt idx="2">
                  <c:v>-14590</c:v>
                </c:pt>
                <c:pt idx="3">
                  <c:v>-27899</c:v>
                </c:pt>
                <c:pt idx="4">
                  <c:v>-17981</c:v>
                </c:pt>
                <c:pt idx="5">
                  <c:v>-4832</c:v>
                </c:pt>
                <c:pt idx="6">
                  <c:v>10581</c:v>
                </c:pt>
                <c:pt idx="7">
                  <c:v>4929</c:v>
                </c:pt>
                <c:pt idx="8">
                  <c:v>-1858</c:v>
                </c:pt>
                <c:pt idx="9">
                  <c:v>-11518</c:v>
                </c:pt>
                <c:pt idx="10">
                  <c:v>-1099</c:v>
                </c:pt>
                <c:pt idx="11">
                  <c:v>19637</c:v>
                </c:pt>
                <c:pt idx="12">
                  <c:v>20819</c:v>
                </c:pt>
                <c:pt idx="13">
                  <c:v>-3081</c:v>
                </c:pt>
                <c:pt idx="14">
                  <c:v>-13395</c:v>
                </c:pt>
                <c:pt idx="15">
                  <c:v>-28596</c:v>
                </c:pt>
                <c:pt idx="16">
                  <c:v>-23121</c:v>
                </c:pt>
                <c:pt idx="17">
                  <c:v>-11936</c:v>
                </c:pt>
                <c:pt idx="18">
                  <c:v>7164</c:v>
                </c:pt>
                <c:pt idx="19">
                  <c:v>459</c:v>
                </c:pt>
                <c:pt idx="20">
                  <c:v>-4547</c:v>
                </c:pt>
                <c:pt idx="21">
                  <c:v>-14394</c:v>
                </c:pt>
                <c:pt idx="22">
                  <c:v>-7215</c:v>
                </c:pt>
                <c:pt idx="23" formatCode="General">
                  <c:v>15972</c:v>
                </c:pt>
                <c:pt idx="24">
                  <c:v>16913</c:v>
                </c:pt>
                <c:pt idx="25">
                  <c:v>-10721</c:v>
                </c:pt>
                <c:pt idx="26">
                  <c:v>-24263</c:v>
                </c:pt>
                <c:pt idx="27">
                  <c:v>-27542</c:v>
                </c:pt>
                <c:pt idx="28">
                  <c:v>-20333</c:v>
                </c:pt>
                <c:pt idx="29">
                  <c:v>-11808</c:v>
                </c:pt>
                <c:pt idx="30">
                  <c:v>5817</c:v>
                </c:pt>
                <c:pt idx="31">
                  <c:v>-3849</c:v>
                </c:pt>
                <c:pt idx="32">
                  <c:v>-7781</c:v>
                </c:pt>
                <c:pt idx="33">
                  <c:v>-16136</c:v>
                </c:pt>
                <c:pt idx="34">
                  <c:v>-7404</c:v>
                </c:pt>
                <c:pt idx="35" formatCode="General">
                  <c:v>13440</c:v>
                </c:pt>
                <c:pt idx="36" formatCode="General">
                  <c:v>9666</c:v>
                </c:pt>
                <c:pt idx="37" formatCode="General">
                  <c:v>-9511</c:v>
                </c:pt>
                <c:pt idx="38" formatCode="General">
                  <c:v>-18736</c:v>
                </c:pt>
                <c:pt idx="39" formatCode="General">
                  <c:v>-20179</c:v>
                </c:pt>
                <c:pt idx="40" formatCode="General">
                  <c:v>-13611</c:v>
                </c:pt>
                <c:pt idx="41" formatCode="General">
                  <c:v>-4627</c:v>
                </c:pt>
                <c:pt idx="42" formatCode="General">
                  <c:v>12178</c:v>
                </c:pt>
                <c:pt idx="43" formatCode="General">
                  <c:v>2275</c:v>
                </c:pt>
                <c:pt idx="44" formatCode="General">
                  <c:v>2225</c:v>
                </c:pt>
                <c:pt idx="45" formatCode="General">
                  <c:v>-2853</c:v>
                </c:pt>
                <c:pt idx="46" formatCode="General">
                  <c:v>8594</c:v>
                </c:pt>
                <c:pt idx="47" formatCode="General">
                  <c:v>31951</c:v>
                </c:pt>
                <c:pt idx="48" formatCode="General">
                  <c:v>45811</c:v>
                </c:pt>
                <c:pt idx="49" formatCode="General">
                  <c:v>30787</c:v>
                </c:pt>
                <c:pt idx="50" formatCode="General">
                  <c:v>20064</c:v>
                </c:pt>
                <c:pt idx="51" formatCode="General">
                  <c:v>7814</c:v>
                </c:pt>
                <c:pt idx="52" formatCode="General">
                  <c:v>835</c:v>
                </c:pt>
                <c:pt idx="53" formatCode="General">
                  <c:v>5994</c:v>
                </c:pt>
                <c:pt idx="54" formatCode="General">
                  <c:v>21764</c:v>
                </c:pt>
                <c:pt idx="55" formatCode="General">
                  <c:v>8432</c:v>
                </c:pt>
                <c:pt idx="56" formatCode="General">
                  <c:v>7061</c:v>
                </c:pt>
                <c:pt idx="57" formatCode="General">
                  <c:v>-2052</c:v>
                </c:pt>
                <c:pt idx="58" formatCode="General">
                  <c:v>10149</c:v>
                </c:pt>
                <c:pt idx="59" formatCode="General">
                  <c:v>30227</c:v>
                </c:pt>
                <c:pt idx="60" formatCode="General">
                  <c:v>35090</c:v>
                </c:pt>
                <c:pt idx="61" formatCode="General">
                  <c:v>8909</c:v>
                </c:pt>
                <c:pt idx="62" formatCode="General">
                  <c:v>-10311</c:v>
                </c:pt>
                <c:pt idx="63" formatCode="General">
                  <c:v>-32696</c:v>
                </c:pt>
                <c:pt idx="64" formatCode="General">
                  <c:v>-25349</c:v>
                </c:pt>
                <c:pt idx="65" formatCode="General">
                  <c:v>-14279</c:v>
                </c:pt>
                <c:pt idx="66" formatCode="General">
                  <c:v>4784</c:v>
                </c:pt>
                <c:pt idx="67" formatCode="General">
                  <c:v>-3790</c:v>
                </c:pt>
                <c:pt idx="68" formatCode="General">
                  <c:v>-1013</c:v>
                </c:pt>
                <c:pt idx="69" formatCode="General">
                  <c:v>-5320</c:v>
                </c:pt>
                <c:pt idx="70" formatCode="General">
                  <c:v>11479</c:v>
                </c:pt>
                <c:pt idx="71" formatCode="General">
                  <c:v>54911</c:v>
                </c:pt>
                <c:pt idx="72" formatCode="General">
                  <c:v>10312</c:v>
                </c:pt>
                <c:pt idx="73" formatCode="General">
                  <c:v>-4967</c:v>
                </c:pt>
                <c:pt idx="74" formatCode="General">
                  <c:v>-19134</c:v>
                </c:pt>
                <c:pt idx="75" formatCode="General">
                  <c:v>-33920</c:v>
                </c:pt>
                <c:pt idx="76" formatCode="General">
                  <c:v>-23886</c:v>
                </c:pt>
                <c:pt idx="77" formatCode="General">
                  <c:v>-11181</c:v>
                </c:pt>
                <c:pt idx="78" formatCode="General">
                  <c:v>6809</c:v>
                </c:pt>
                <c:pt idx="79" formatCode="General">
                  <c:v>-4049</c:v>
                </c:pt>
                <c:pt idx="80" formatCode="General">
                  <c:v>-6420</c:v>
                </c:pt>
                <c:pt idx="81" formatCode="General">
                  <c:v>-4497</c:v>
                </c:pt>
                <c:pt idx="82" formatCode="General">
                  <c:v>5786</c:v>
                </c:pt>
                <c:pt idx="83" formatCode="General">
                  <c:v>32047</c:v>
                </c:pt>
                <c:pt idx="84" formatCode="General">
                  <c:v>25638</c:v>
                </c:pt>
                <c:pt idx="85" formatCode="General">
                  <c:v>7596</c:v>
                </c:pt>
                <c:pt idx="86" formatCode="General">
                  <c:v>-16505</c:v>
                </c:pt>
                <c:pt idx="87" formatCode="General">
                  <c:v>-27858</c:v>
                </c:pt>
                <c:pt idx="88" formatCode="General">
                  <c:v>-15223</c:v>
                </c:pt>
                <c:pt idx="89" formatCode="General">
                  <c:v>-7513</c:v>
                </c:pt>
                <c:pt idx="90" formatCode="General">
                  <c:v>11011</c:v>
                </c:pt>
                <c:pt idx="91" formatCode="General">
                  <c:v>1096</c:v>
                </c:pt>
                <c:pt idx="92" formatCode="General">
                  <c:v>6492</c:v>
                </c:pt>
                <c:pt idx="93" formatCode="General">
                  <c:v>3577</c:v>
                </c:pt>
                <c:pt idx="94" formatCode="General">
                  <c:v>11736</c:v>
                </c:pt>
                <c:pt idx="95" formatCode="General">
                  <c:v>36813</c:v>
                </c:pt>
                <c:pt idx="96" formatCode="General">
                  <c:v>40498</c:v>
                </c:pt>
                <c:pt idx="97" formatCode="General">
                  <c:v>7874</c:v>
                </c:pt>
                <c:pt idx="98" formatCode="General">
                  <c:v>-5915</c:v>
                </c:pt>
                <c:pt idx="99" formatCode="General">
                  <c:v>-22540</c:v>
                </c:pt>
                <c:pt idx="100" formatCode="General">
                  <c:v>-17765</c:v>
                </c:pt>
                <c:pt idx="101" formatCode="General">
                  <c:v>-6990</c:v>
                </c:pt>
              </c:numCache>
            </c:numRef>
          </c:val>
        </c:ser>
        <c:dLbls>
          <c:showLegendKey val="0"/>
          <c:showVal val="0"/>
          <c:showCatName val="0"/>
          <c:showSerName val="0"/>
          <c:showPercent val="0"/>
          <c:showBubbleSize val="0"/>
        </c:dLbls>
        <c:gapWidth val="48"/>
        <c:axId val="28177920"/>
        <c:axId val="28179456"/>
      </c:barChart>
      <c:catAx>
        <c:axId val="28177920"/>
        <c:scaling>
          <c:orientation val="minMax"/>
        </c:scaling>
        <c:delete val="0"/>
        <c:axPos val="b"/>
        <c:majorGridlines/>
        <c:numFmt formatCode="0" sourceLinked="0"/>
        <c:majorTickMark val="none"/>
        <c:minorTickMark val="none"/>
        <c:tickLblPos val="low"/>
        <c:txPr>
          <a:bodyPr rot="60000" anchor="b" anchorCtr="0"/>
          <a:lstStyle/>
          <a:p>
            <a:pPr>
              <a:defRPr sz="800" b="1"/>
            </a:pPr>
            <a:endParaRPr lang="cs-CZ"/>
          </a:p>
        </c:txPr>
        <c:crossAx val="28179456"/>
        <c:crosses val="autoZero"/>
        <c:auto val="1"/>
        <c:lblAlgn val="ctr"/>
        <c:lblOffset val="100"/>
        <c:tickMarkSkip val="12"/>
        <c:noMultiLvlLbl val="0"/>
      </c:catAx>
      <c:valAx>
        <c:axId val="28179456"/>
        <c:scaling>
          <c:orientation val="minMax"/>
        </c:scaling>
        <c:delete val="0"/>
        <c:axPos val="l"/>
        <c:majorGridlines/>
        <c:title>
          <c:tx>
            <c:rich>
              <a:bodyPr/>
              <a:lstStyle/>
              <a:p>
                <a:pPr>
                  <a:defRPr/>
                </a:pPr>
                <a:r>
                  <a:rPr lang="cs-CZ" sz="800"/>
                  <a:t>meziroční rozdíly v tis.</a:t>
                </a:r>
              </a:p>
            </c:rich>
          </c:tx>
          <c:overlay val="0"/>
        </c:title>
        <c:numFmt formatCode="0" sourceLinked="1"/>
        <c:majorTickMark val="none"/>
        <c:minorTickMark val="none"/>
        <c:tickLblPos val="low"/>
        <c:txPr>
          <a:bodyPr anchor="b" anchorCtr="0"/>
          <a:lstStyle/>
          <a:p>
            <a:pPr>
              <a:defRPr sz="800"/>
            </a:pPr>
            <a:endParaRPr lang="cs-CZ"/>
          </a:p>
        </c:txPr>
        <c:crossAx val="28177920"/>
        <c:crossesAt val="1"/>
        <c:crossBetween val="between"/>
      </c:valAx>
      <c:spPr>
        <a:noFill/>
        <a:ln>
          <a:solidFill>
            <a:schemeClr val="tx1"/>
          </a:solidFill>
        </a:ln>
      </c:spPr>
    </c:plotArea>
    <c:plotVisOnly val="1"/>
    <c:dispBlanksAs val="gap"/>
    <c:showDLblsOverMax val="0"/>
  </c:chart>
  <c:spPr>
    <a:noFill/>
    <a:ln>
      <a:solidFill>
        <a:schemeClr val="accent1"/>
      </a:solidFill>
    </a:ln>
  </c:sp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cs-CZ" sz="800"/>
              <a:t>Vývoj podílu OZP </a:t>
            </a:r>
          </a:p>
          <a:p>
            <a:pPr marL="0" marR="0" indent="0" algn="ctr"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cs-CZ" sz="800"/>
              <a:t>na</a:t>
            </a:r>
            <a:r>
              <a:rPr lang="en-US" sz="800"/>
              <a:t> </a:t>
            </a:r>
            <a:r>
              <a:rPr lang="cs-CZ" sz="800"/>
              <a:t>celkovém </a:t>
            </a:r>
            <a:r>
              <a:rPr lang="en-US" sz="800"/>
              <a:t>počtu uchazečů o</a:t>
            </a:r>
            <a:r>
              <a:rPr lang="cs-CZ" sz="800"/>
              <a:t> </a:t>
            </a:r>
            <a:r>
              <a:rPr lang="en-US" sz="800"/>
              <a:t>zaměstnání</a:t>
            </a:r>
            <a:r>
              <a:rPr lang="cs-CZ" sz="800"/>
              <a:t> </a:t>
            </a:r>
            <a:r>
              <a:rPr lang="cs-CZ" sz="800" b="1" i="0" baseline="0">
                <a:effectLst/>
              </a:rPr>
              <a:t>(v %)</a:t>
            </a:r>
            <a:endParaRPr lang="en-US" sz="800"/>
          </a:p>
        </c:rich>
      </c:tx>
      <c:layout>
        <c:manualLayout>
          <c:xMode val="edge"/>
          <c:yMode val="edge"/>
          <c:x val="0.15220596516344548"/>
          <c:y val="2.5974025974025976E-2"/>
        </c:manualLayout>
      </c:layout>
      <c:overlay val="0"/>
    </c:title>
    <c:autoTitleDeleted val="0"/>
    <c:plotArea>
      <c:layout>
        <c:manualLayout>
          <c:layoutTarget val="inner"/>
          <c:xMode val="edge"/>
          <c:yMode val="edge"/>
          <c:x val="8.2335422357919547E-2"/>
          <c:y val="0.19004591368227733"/>
          <c:w val="0.87625864948699594"/>
          <c:h val="0.70316097430496349"/>
        </c:manualLayout>
      </c:layout>
      <c:lineChart>
        <c:grouping val="standard"/>
        <c:varyColors val="0"/>
        <c:ser>
          <c:idx val="0"/>
          <c:order val="0"/>
          <c:marker>
            <c:symbol val="none"/>
          </c:marker>
          <c:cat>
            <c:numRef>
              <c:f>A!$FN$8:$JQ$8</c:f>
              <c:numCache>
                <c:formatCode>General</c:formatCode>
                <c:ptCount val="108"/>
                <c:pt idx="5">
                  <c:v>2005</c:v>
                </c:pt>
                <c:pt idx="17">
                  <c:v>2006</c:v>
                </c:pt>
                <c:pt idx="29">
                  <c:v>2007</c:v>
                </c:pt>
                <c:pt idx="41">
                  <c:v>2008</c:v>
                </c:pt>
                <c:pt idx="53">
                  <c:v>2009</c:v>
                </c:pt>
                <c:pt idx="65">
                  <c:v>2010</c:v>
                </c:pt>
                <c:pt idx="77">
                  <c:v>2011</c:v>
                </c:pt>
                <c:pt idx="89">
                  <c:v>2012</c:v>
                </c:pt>
                <c:pt idx="101">
                  <c:v>2013</c:v>
                </c:pt>
              </c:numCache>
            </c:numRef>
          </c:cat>
          <c:val>
            <c:numRef>
              <c:f>A!$FN$111:$JQ$111</c:f>
              <c:numCache>
                <c:formatCode>0.0</c:formatCode>
                <c:ptCount val="108"/>
                <c:pt idx="0">
                  <c:v>13.611745142096135</c:v>
                </c:pt>
                <c:pt idx="1">
                  <c:v>13.76948937565535</c:v>
                </c:pt>
                <c:pt idx="2">
                  <c:v>14.126034311766361</c:v>
                </c:pt>
                <c:pt idx="3">
                  <c:v>14.632518919846962</c:v>
                </c:pt>
                <c:pt idx="4">
                  <c:v>15.0397512212481</c:v>
                </c:pt>
                <c:pt idx="5">
                  <c:v>15.172620797804568</c:v>
                </c:pt>
                <c:pt idx="6">
                  <c:v>14.923499725178635</c:v>
                </c:pt>
                <c:pt idx="7">
                  <c:v>14.810174684416156</c:v>
                </c:pt>
                <c:pt idx="8">
                  <c:v>14.751408433916838</c:v>
                </c:pt>
                <c:pt idx="9">
                  <c:v>15.001890712737712</c:v>
                </c:pt>
                <c:pt idx="10">
                  <c:v>15.104150748096393</c:v>
                </c:pt>
                <c:pt idx="11">
                  <c:v>14.755807027992853</c:v>
                </c:pt>
                <c:pt idx="12">
                  <c:v>14.405300855553568</c:v>
                </c:pt>
                <c:pt idx="13">
                  <c:v>14.488577195287739</c:v>
                </c:pt>
                <c:pt idx="14">
                  <c:v>14.827132697048523</c:v>
                </c:pt>
                <c:pt idx="15">
                  <c:v>15.426101945232359</c:v>
                </c:pt>
                <c:pt idx="16">
                  <c:v>15.978032230337636</c:v>
                </c:pt>
                <c:pt idx="17">
                  <c:v>16.149641104308081</c:v>
                </c:pt>
                <c:pt idx="18">
                  <c:v>15.903724878346825</c:v>
                </c:pt>
                <c:pt idx="19">
                  <c:v>15.76508134432312</c:v>
                </c:pt>
                <c:pt idx="20">
                  <c:v>15.664645450502221</c:v>
                </c:pt>
                <c:pt idx="21">
                  <c:v>16.050915441076157</c:v>
                </c:pt>
                <c:pt idx="22">
                  <c:v>16.268005631419435</c:v>
                </c:pt>
                <c:pt idx="23">
                  <c:v>15.899853972288176</c:v>
                </c:pt>
                <c:pt idx="24">
                  <c:v>15.631055863257265</c:v>
                </c:pt>
                <c:pt idx="25">
                  <c:v>15.899959756958419</c:v>
                </c:pt>
                <c:pt idx="26">
                  <c:v>16.569409534606038</c:v>
                </c:pt>
                <c:pt idx="27">
                  <c:v>17.319795896081722</c:v>
                </c:pt>
                <c:pt idx="28">
                  <c:v>17.92503378210607</c:v>
                </c:pt>
                <c:pt idx="29">
                  <c:v>18.25853378318244</c:v>
                </c:pt>
                <c:pt idx="30">
                  <c:v>17.926862945025064</c:v>
                </c:pt>
                <c:pt idx="31">
                  <c:v>17.93705852843258</c:v>
                </c:pt>
                <c:pt idx="32">
                  <c:v>18.027935930384846</c:v>
                </c:pt>
                <c:pt idx="33">
                  <c:v>18.529018868140877</c:v>
                </c:pt>
                <c:pt idx="34">
                  <c:v>18.833873206848679</c:v>
                </c:pt>
                <c:pt idx="35">
                  <c:v>18.377019708181404</c:v>
                </c:pt>
                <c:pt idx="36">
                  <c:v>18.069149403089888</c:v>
                </c:pt>
                <c:pt idx="37">
                  <c:v>18.380826571051141</c:v>
                </c:pt>
                <c:pt idx="38">
                  <c:v>19.052206829082628</c:v>
                </c:pt>
                <c:pt idx="39">
                  <c:v>19.711626671053214</c:v>
                </c:pt>
                <c:pt idx="40">
                  <c:v>20.192590584680687</c:v>
                </c:pt>
                <c:pt idx="41">
                  <c:v>20.184638109305762</c:v>
                </c:pt>
                <c:pt idx="42">
                  <c:v>19.440233762715366</c:v>
                </c:pt>
                <c:pt idx="43">
                  <c:v>19.180490053884796</c:v>
                </c:pt>
                <c:pt idx="44">
                  <c:v>18.679861901461734</c:v>
                </c:pt>
                <c:pt idx="45">
                  <c:v>18.745288012704322</c:v>
                </c:pt>
                <c:pt idx="46">
                  <c:v>18.415293210406528</c:v>
                </c:pt>
                <c:pt idx="47">
                  <c:v>17.355855216465578</c:v>
                </c:pt>
                <c:pt idx="48">
                  <c:v>15.902839012111208</c:v>
                </c:pt>
                <c:pt idx="49">
                  <c:v>14.934428981830392</c:v>
                </c:pt>
                <c:pt idx="50">
                  <c:v>14.339781516199166</c:v>
                </c:pt>
                <c:pt idx="51">
                  <c:v>13.962200531609762</c:v>
                </c:pt>
                <c:pt idx="52">
                  <c:v>13.921859599047995</c:v>
                </c:pt>
                <c:pt idx="53">
                  <c:v>13.816052032660634</c:v>
                </c:pt>
                <c:pt idx="54">
                  <c:v>13.414475839602405</c:v>
                </c:pt>
                <c:pt idx="55">
                  <c:v>13.247973168661936</c:v>
                </c:pt>
                <c:pt idx="56">
                  <c:v>12.991501801075053</c:v>
                </c:pt>
                <c:pt idx="57">
                  <c:v>13.0539738551608</c:v>
                </c:pt>
                <c:pt idx="58">
                  <c:v>12.973635758062837</c:v>
                </c:pt>
                <c:pt idx="59">
                  <c:v>12.56417675688509</c:v>
                </c:pt>
                <c:pt idx="60">
                  <c:v>12.032892972453354</c:v>
                </c:pt>
                <c:pt idx="61">
                  <c:v>11.869635676129885</c:v>
                </c:pt>
                <c:pt idx="62">
                  <c:v>11.968073963381423</c:v>
                </c:pt>
                <c:pt idx="63">
                  <c:v>12.314303276260443</c:v>
                </c:pt>
                <c:pt idx="64">
                  <c:v>12.715165148539469</c:v>
                </c:pt>
                <c:pt idx="65">
                  <c:v>12.947452547452547</c:v>
                </c:pt>
                <c:pt idx="66">
                  <c:v>12.810023669856951</c:v>
                </c:pt>
                <c:pt idx="67">
                  <c:v>12.808528117983464</c:v>
                </c:pt>
                <c:pt idx="68">
                  <c:v>12.879410007572714</c:v>
                </c:pt>
                <c:pt idx="69">
                  <c:v>13.180965382976446</c:v>
                </c:pt>
                <c:pt idx="70">
                  <c:v>13.222801200063161</c:v>
                </c:pt>
                <c:pt idx="71">
                  <c:v>12.376257899994837</c:v>
                </c:pt>
                <c:pt idx="72">
                  <c:v>12.31029110119032</c:v>
                </c:pt>
                <c:pt idx="73">
                  <c:v>12.406332025627275</c:v>
                </c:pt>
                <c:pt idx="74">
                  <c:v>12.7263300484517</c:v>
                </c:pt>
                <c:pt idx="75">
                  <c:v>13.257382619560099</c:v>
                </c:pt>
                <c:pt idx="76">
                  <c:v>13.69429091591898</c:v>
                </c:pt>
                <c:pt idx="77">
                  <c:v>13.910709623518356</c:v>
                </c:pt>
                <c:pt idx="78">
                  <c:v>13.630391446176152</c:v>
                </c:pt>
                <c:pt idx="79">
                  <c:v>13.431007091904016</c:v>
                </c:pt>
                <c:pt idx="80">
                  <c:v>13.058312198099408</c:v>
                </c:pt>
                <c:pt idx="81">
                  <c:v>13.106171034682056</c:v>
                </c:pt>
                <c:pt idx="82">
                  <c:v>13.002829531238191</c:v>
                </c:pt>
                <c:pt idx="83">
                  <c:v>12.408668681937886</c:v>
                </c:pt>
                <c:pt idx="84">
                  <c:v>11.787922986618335</c:v>
                </c:pt>
                <c:pt idx="85">
                  <c:v>12.033746550116765</c:v>
                </c:pt>
                <c:pt idx="86">
                  <c:v>11.877641951330972</c:v>
                </c:pt>
                <c:pt idx="87">
                  <c:v>12.248603520455561</c:v>
                </c:pt>
                <c:pt idx="88">
                  <c:v>12.483535539380917</c:v>
                </c:pt>
                <c:pt idx="89">
                  <c:v>12.590763317923411</c:v>
                </c:pt>
                <c:pt idx="90">
                  <c:v>12.582450056322426</c:v>
                </c:pt>
                <c:pt idx="91">
                  <c:v>12.589455776023078</c:v>
                </c:pt>
                <c:pt idx="92">
                  <c:v>12.322150916998693</c:v>
                </c:pt>
                <c:pt idx="93">
                  <c:v>12.21128025090486</c:v>
                </c:pt>
                <c:pt idx="94">
                  <c:v>11.995917388072323</c:v>
                </c:pt>
                <c:pt idx="95">
                  <c:v>11.376627282413155</c:v>
                </c:pt>
                <c:pt idx="96">
                  <c:v>10.817519020704701</c:v>
                </c:pt>
                <c:pt idx="97">
                  <c:v>10.719188523168089</c:v>
                </c:pt>
                <c:pt idx="98">
                  <c:v>10.799839392413334</c:v>
                </c:pt>
                <c:pt idx="99">
                  <c:v>11.051115655983072</c:v>
                </c:pt>
                <c:pt idx="100">
                  <c:v>11.267793439921968</c:v>
                </c:pt>
                <c:pt idx="101">
                  <c:v>11.356904045160443</c:v>
                </c:pt>
              </c:numCache>
            </c:numRef>
          </c:val>
          <c:smooth val="0"/>
        </c:ser>
        <c:dLbls>
          <c:showLegendKey val="0"/>
          <c:showVal val="0"/>
          <c:showCatName val="0"/>
          <c:showSerName val="0"/>
          <c:showPercent val="0"/>
          <c:showBubbleSize val="0"/>
        </c:dLbls>
        <c:marker val="1"/>
        <c:smooth val="0"/>
        <c:axId val="29564288"/>
        <c:axId val="29590656"/>
      </c:lineChart>
      <c:catAx>
        <c:axId val="29564288"/>
        <c:scaling>
          <c:orientation val="minMax"/>
        </c:scaling>
        <c:delete val="0"/>
        <c:axPos val="b"/>
        <c:majorGridlines/>
        <c:numFmt formatCode="General" sourceLinked="1"/>
        <c:majorTickMark val="none"/>
        <c:minorTickMark val="none"/>
        <c:tickLblPos val="low"/>
        <c:txPr>
          <a:bodyPr rot="60000" anchor="b" anchorCtr="0"/>
          <a:lstStyle/>
          <a:p>
            <a:pPr>
              <a:defRPr sz="600" b="1"/>
            </a:pPr>
            <a:endParaRPr lang="cs-CZ"/>
          </a:p>
        </c:txPr>
        <c:crossAx val="29590656"/>
        <c:crosses val="autoZero"/>
        <c:auto val="1"/>
        <c:lblAlgn val="ctr"/>
        <c:lblOffset val="100"/>
        <c:tickMarkSkip val="12"/>
        <c:noMultiLvlLbl val="0"/>
      </c:catAx>
      <c:valAx>
        <c:axId val="29590656"/>
        <c:scaling>
          <c:orientation val="minMax"/>
        </c:scaling>
        <c:delete val="0"/>
        <c:axPos val="l"/>
        <c:majorGridlines/>
        <c:numFmt formatCode="0.0" sourceLinked="1"/>
        <c:majorTickMark val="none"/>
        <c:minorTickMark val="none"/>
        <c:tickLblPos val="low"/>
        <c:txPr>
          <a:bodyPr anchor="b" anchorCtr="0"/>
          <a:lstStyle/>
          <a:p>
            <a:pPr>
              <a:defRPr sz="600"/>
            </a:pPr>
            <a:endParaRPr lang="cs-CZ"/>
          </a:p>
        </c:txPr>
        <c:crossAx val="29564288"/>
        <c:crossesAt val="1"/>
        <c:crossBetween val="between"/>
        <c:majorUnit val="3"/>
      </c:valAx>
      <c:spPr>
        <a:noFill/>
        <a:ln>
          <a:solidFill>
            <a:schemeClr val="tx1"/>
          </a:solidFill>
        </a:ln>
      </c:spPr>
    </c:plotArea>
    <c:plotVisOnly val="1"/>
    <c:dispBlanksAs val="gap"/>
    <c:showDLblsOverMax val="0"/>
  </c:chart>
  <c:spPr>
    <a:ln>
      <a:noFill/>
    </a:ln>
  </c:sp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900" b="1" i="0" u="none" strike="noStrike" kern="1200" baseline="0">
                <a:solidFill>
                  <a:sysClr val="windowText" lastClr="000000"/>
                </a:solidFill>
                <a:latin typeface="+mn-lt"/>
                <a:ea typeface="+mn-ea"/>
                <a:cs typeface="+mn-cs"/>
              </a:defRPr>
            </a:pPr>
            <a:r>
              <a:rPr lang="cs-CZ" sz="900"/>
              <a:t>Vývoj počtu OZP na</a:t>
            </a:r>
            <a:r>
              <a:rPr lang="en-US" sz="900"/>
              <a:t> </a:t>
            </a:r>
            <a:r>
              <a:rPr lang="cs-CZ" sz="900"/>
              <a:t>1 VPM pro OZP </a:t>
            </a:r>
            <a:endParaRPr lang="en-US" sz="900"/>
          </a:p>
        </c:rich>
      </c:tx>
      <c:layout>
        <c:manualLayout>
          <c:xMode val="edge"/>
          <c:yMode val="edge"/>
          <c:x val="0.20252039923580981"/>
          <c:y val="4.0931253785584494E-2"/>
        </c:manualLayout>
      </c:layout>
      <c:overlay val="0"/>
    </c:title>
    <c:autoTitleDeleted val="0"/>
    <c:plotArea>
      <c:layout>
        <c:manualLayout>
          <c:layoutTarget val="inner"/>
          <c:xMode val="edge"/>
          <c:yMode val="edge"/>
          <c:x val="8.0192833038727304E-2"/>
          <c:y val="0.18363567534827377"/>
          <c:w val="0.83755173460460297"/>
          <c:h val="0.73401776700989296"/>
        </c:manualLayout>
      </c:layout>
      <c:lineChart>
        <c:grouping val="standard"/>
        <c:varyColors val="0"/>
        <c:ser>
          <c:idx val="0"/>
          <c:order val="0"/>
          <c:marker>
            <c:symbol val="none"/>
          </c:marker>
          <c:cat>
            <c:numRef>
              <c:f>A!$FN$8:$JQ$8</c:f>
              <c:numCache>
                <c:formatCode>General</c:formatCode>
                <c:ptCount val="108"/>
                <c:pt idx="5">
                  <c:v>2005</c:v>
                </c:pt>
                <c:pt idx="17">
                  <c:v>2006</c:v>
                </c:pt>
                <c:pt idx="29">
                  <c:v>2007</c:v>
                </c:pt>
                <c:pt idx="41">
                  <c:v>2008</c:v>
                </c:pt>
                <c:pt idx="53">
                  <c:v>2009</c:v>
                </c:pt>
                <c:pt idx="65">
                  <c:v>2010</c:v>
                </c:pt>
                <c:pt idx="77">
                  <c:v>2011</c:v>
                </c:pt>
                <c:pt idx="89">
                  <c:v>2012</c:v>
                </c:pt>
                <c:pt idx="101">
                  <c:v>2013</c:v>
                </c:pt>
              </c:numCache>
            </c:numRef>
          </c:cat>
          <c:val>
            <c:numRef>
              <c:f>A!$FN$158:$JQ$158</c:f>
              <c:numCache>
                <c:formatCode>0.0</c:formatCode>
                <c:ptCount val="108"/>
                <c:pt idx="0">
                  <c:v>48.052796983029545</c:v>
                </c:pt>
                <c:pt idx="1">
                  <c:v>53.973870056497177</c:v>
                </c:pt>
                <c:pt idx="2">
                  <c:v>58.817411402157163</c:v>
                </c:pt>
                <c:pt idx="3">
                  <c:v>59.618441971383149</c:v>
                </c:pt>
                <c:pt idx="4">
                  <c:v>55.843093093093096</c:v>
                </c:pt>
                <c:pt idx="5">
                  <c:v>58.880348652931858</c:v>
                </c:pt>
                <c:pt idx="6">
                  <c:v>56.737082066869299</c:v>
                </c:pt>
                <c:pt idx="7">
                  <c:v>49.326961107448909</c:v>
                </c:pt>
                <c:pt idx="8">
                  <c:v>51.425207756232687</c:v>
                </c:pt>
                <c:pt idx="9">
                  <c:v>47.150798722044726</c:v>
                </c:pt>
                <c:pt idx="10">
                  <c:v>47.51794871794872</c:v>
                </c:pt>
                <c:pt idx="11">
                  <c:v>41.795782463928965</c:v>
                </c:pt>
                <c:pt idx="12">
                  <c:v>38.610494450050453</c:v>
                </c:pt>
                <c:pt idx="13">
                  <c:v>38.55012594458438</c:v>
                </c:pt>
                <c:pt idx="14">
                  <c:v>35.318833873206849</c:v>
                </c:pt>
                <c:pt idx="15">
                  <c:v>35.746425166825546</c:v>
                </c:pt>
                <c:pt idx="16">
                  <c:v>32.042009527934169</c:v>
                </c:pt>
                <c:pt idx="17">
                  <c:v>28.818037974683545</c:v>
                </c:pt>
                <c:pt idx="18">
                  <c:v>28.990453460620525</c:v>
                </c:pt>
                <c:pt idx="19">
                  <c:v>24.531546811397558</c:v>
                </c:pt>
                <c:pt idx="20">
                  <c:v>22.30282131661442</c:v>
                </c:pt>
                <c:pt idx="21">
                  <c:v>22.093896713615024</c:v>
                </c:pt>
                <c:pt idx="22">
                  <c:v>21.800185873605948</c:v>
                </c:pt>
                <c:pt idx="23">
                  <c:v>22.497791798107254</c:v>
                </c:pt>
                <c:pt idx="24">
                  <c:v>21.835534213685474</c:v>
                </c:pt>
                <c:pt idx="25">
                  <c:v>19.636882129277566</c:v>
                </c:pt>
                <c:pt idx="26">
                  <c:v>18.603808033385498</c:v>
                </c:pt>
                <c:pt idx="27">
                  <c:v>17.605196770938445</c:v>
                </c:pt>
                <c:pt idx="28">
                  <c:v>16.561458584882878</c:v>
                </c:pt>
                <c:pt idx="29">
                  <c:v>16.270367700072097</c:v>
                </c:pt>
                <c:pt idx="30">
                  <c:v>16.633160877063315</c:v>
                </c:pt>
                <c:pt idx="31">
                  <c:v>13.099921630094045</c:v>
                </c:pt>
                <c:pt idx="32">
                  <c:v>13.349158044228037</c:v>
                </c:pt>
                <c:pt idx="33">
                  <c:v>13.972546476437527</c:v>
                </c:pt>
                <c:pt idx="34">
                  <c:v>13.829247311827958</c:v>
                </c:pt>
                <c:pt idx="35">
                  <c:v>14.276707530647986</c:v>
                </c:pt>
                <c:pt idx="36">
                  <c:v>14.842271293375394</c:v>
                </c:pt>
                <c:pt idx="37">
                  <c:v>14.418471056120195</c:v>
                </c:pt>
                <c:pt idx="38">
                  <c:v>14.375588961184654</c:v>
                </c:pt>
                <c:pt idx="39">
                  <c:v>13.240968975775605</c:v>
                </c:pt>
                <c:pt idx="40">
                  <c:v>13.692893969961892</c:v>
                </c:pt>
                <c:pt idx="41">
                  <c:v>13.973042063676505</c:v>
                </c:pt>
                <c:pt idx="42">
                  <c:v>13.198160718195751</c:v>
                </c:pt>
                <c:pt idx="43">
                  <c:v>12.808851828094932</c:v>
                </c:pt>
                <c:pt idx="44">
                  <c:v>12.815485278080699</c:v>
                </c:pt>
                <c:pt idx="45">
                  <c:v>14.833714140644833</c:v>
                </c:pt>
                <c:pt idx="46">
                  <c:v>15.712306872669153</c:v>
                </c:pt>
                <c:pt idx="47">
                  <c:v>18.582370820668693</c:v>
                </c:pt>
                <c:pt idx="48">
                  <c:v>21.791049913941482</c:v>
                </c:pt>
                <c:pt idx="49">
                  <c:v>24.186555891238672</c:v>
                </c:pt>
                <c:pt idx="50">
                  <c:v>25.915056360708533</c:v>
                </c:pt>
                <c:pt idx="51">
                  <c:v>25.838330632090763</c:v>
                </c:pt>
                <c:pt idx="52">
                  <c:v>26.149835796387521</c:v>
                </c:pt>
                <c:pt idx="53">
                  <c:v>31.014527845036319</c:v>
                </c:pt>
                <c:pt idx="54">
                  <c:v>28.049547608789315</c:v>
                </c:pt>
                <c:pt idx="55">
                  <c:v>27.623310810810811</c:v>
                </c:pt>
                <c:pt idx="56">
                  <c:v>28.599120879120878</c:v>
                </c:pt>
                <c:pt idx="57">
                  <c:v>33.612803304078469</c:v>
                </c:pt>
                <c:pt idx="58">
                  <c:v>35.194029850746269</c:v>
                </c:pt>
                <c:pt idx="59">
                  <c:v>38.248447204968947</c:v>
                </c:pt>
                <c:pt idx="60">
                  <c:v>37.34918918918919</c:v>
                </c:pt>
                <c:pt idx="61">
                  <c:v>34.834423754403623</c:v>
                </c:pt>
                <c:pt idx="62">
                  <c:v>30.964769647696478</c:v>
                </c:pt>
                <c:pt idx="63">
                  <c:v>30.936279069767441</c:v>
                </c:pt>
                <c:pt idx="64">
                  <c:v>31.065495965828191</c:v>
                </c:pt>
                <c:pt idx="65">
                  <c:v>30.916984732824428</c:v>
                </c:pt>
                <c:pt idx="66">
                  <c:v>31.059021113243762</c:v>
                </c:pt>
                <c:pt idx="67">
                  <c:v>30.015887850467291</c:v>
                </c:pt>
                <c:pt idx="68">
                  <c:v>31.139613526570049</c:v>
                </c:pt>
                <c:pt idx="69">
                  <c:v>30.961574952561669</c:v>
                </c:pt>
                <c:pt idx="70">
                  <c:v>34.040650406504064</c:v>
                </c:pt>
                <c:pt idx="71">
                  <c:v>35.935367114788001</c:v>
                </c:pt>
                <c:pt idx="72">
                  <c:v>36.934942287513117</c:v>
                </c:pt>
                <c:pt idx="73">
                  <c:v>29.098469176665287</c:v>
                </c:pt>
                <c:pt idx="74">
                  <c:v>31.643213799364503</c:v>
                </c:pt>
                <c:pt idx="75">
                  <c:v>30.866334390575442</c:v>
                </c:pt>
                <c:pt idx="76">
                  <c:v>28.612366737739872</c:v>
                </c:pt>
                <c:pt idx="77">
                  <c:v>26.833601933924253</c:v>
                </c:pt>
                <c:pt idx="78">
                  <c:v>27.092509209987721</c:v>
                </c:pt>
                <c:pt idx="79">
                  <c:v>24.932536622976098</c:v>
                </c:pt>
                <c:pt idx="80">
                  <c:v>23.201944652206432</c:v>
                </c:pt>
                <c:pt idx="81">
                  <c:v>23.713956170703575</c:v>
                </c:pt>
                <c:pt idx="82">
                  <c:v>23.963636363636365</c:v>
                </c:pt>
                <c:pt idx="83">
                  <c:v>24.007610350076103</c:v>
                </c:pt>
                <c:pt idx="84">
                  <c:v>25.866064092029582</c:v>
                </c:pt>
                <c:pt idx="85">
                  <c:v>26.825102880658438</c:v>
                </c:pt>
                <c:pt idx="86">
                  <c:v>23.380434782608695</c:v>
                </c:pt>
                <c:pt idx="87">
                  <c:v>21.501941404871161</c:v>
                </c:pt>
                <c:pt idx="88">
                  <c:v>20.297807757166947</c:v>
                </c:pt>
                <c:pt idx="89">
                  <c:v>19.694792353328939</c:v>
                </c:pt>
                <c:pt idx="90">
                  <c:v>20.387053720387055</c:v>
                </c:pt>
                <c:pt idx="91">
                  <c:v>19.880597014925375</c:v>
                </c:pt>
                <c:pt idx="92">
                  <c:v>19.484129528695096</c:v>
                </c:pt>
                <c:pt idx="93">
                  <c:v>22.822046651617757</c:v>
                </c:pt>
                <c:pt idx="94">
                  <c:v>24.341181165203512</c:v>
                </c:pt>
                <c:pt idx="95">
                  <c:v>24.964989939637828</c:v>
                </c:pt>
                <c:pt idx="96">
                  <c:v>24.676791277258566</c:v>
                </c:pt>
                <c:pt idx="97">
                  <c:v>21.808773132282386</c:v>
                </c:pt>
                <c:pt idx="98">
                  <c:v>19.579888957433681</c:v>
                </c:pt>
                <c:pt idx="99">
                  <c:v>18.382577987051206</c:v>
                </c:pt>
                <c:pt idx="100">
                  <c:v>18.234407330771504</c:v>
                </c:pt>
                <c:pt idx="101">
                  <c:v>18.021432765707576</c:v>
                </c:pt>
              </c:numCache>
            </c:numRef>
          </c:val>
          <c:smooth val="0"/>
        </c:ser>
        <c:dLbls>
          <c:showLegendKey val="0"/>
          <c:showVal val="0"/>
          <c:showCatName val="0"/>
          <c:showSerName val="0"/>
          <c:showPercent val="0"/>
          <c:showBubbleSize val="0"/>
        </c:dLbls>
        <c:marker val="1"/>
        <c:smooth val="0"/>
        <c:axId val="66237568"/>
        <c:axId val="66239104"/>
      </c:lineChart>
      <c:catAx>
        <c:axId val="66237568"/>
        <c:scaling>
          <c:orientation val="minMax"/>
        </c:scaling>
        <c:delete val="0"/>
        <c:axPos val="b"/>
        <c:majorGridlines/>
        <c:numFmt formatCode="General" sourceLinked="1"/>
        <c:majorTickMark val="none"/>
        <c:minorTickMark val="none"/>
        <c:tickLblPos val="low"/>
        <c:txPr>
          <a:bodyPr rot="60000" anchor="b" anchorCtr="0"/>
          <a:lstStyle/>
          <a:p>
            <a:pPr>
              <a:defRPr sz="600" b="1"/>
            </a:pPr>
            <a:endParaRPr lang="cs-CZ"/>
          </a:p>
        </c:txPr>
        <c:crossAx val="66239104"/>
        <c:crosses val="autoZero"/>
        <c:auto val="1"/>
        <c:lblAlgn val="ctr"/>
        <c:lblOffset val="100"/>
        <c:tickMarkSkip val="12"/>
        <c:noMultiLvlLbl val="0"/>
      </c:catAx>
      <c:valAx>
        <c:axId val="66239104"/>
        <c:scaling>
          <c:orientation val="minMax"/>
        </c:scaling>
        <c:delete val="0"/>
        <c:axPos val="l"/>
        <c:majorGridlines/>
        <c:numFmt formatCode="0.0" sourceLinked="1"/>
        <c:majorTickMark val="none"/>
        <c:minorTickMark val="none"/>
        <c:tickLblPos val="low"/>
        <c:txPr>
          <a:bodyPr anchor="b" anchorCtr="0"/>
          <a:lstStyle/>
          <a:p>
            <a:pPr>
              <a:defRPr sz="600"/>
            </a:pPr>
            <a:endParaRPr lang="cs-CZ"/>
          </a:p>
        </c:txPr>
        <c:crossAx val="66237568"/>
        <c:crossesAt val="1"/>
        <c:crossBetween val="between"/>
        <c:majorUnit val="10"/>
        <c:minorUnit val="5"/>
      </c:valAx>
      <c:spPr>
        <a:noFill/>
        <a:ln>
          <a:solidFill>
            <a:schemeClr val="tx1"/>
          </a:solidFill>
        </a:ln>
      </c:spPr>
    </c:plotArea>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C9DA16-53DB-42C0-A09E-F1C54E01B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82</Pages>
  <Words>25816</Words>
  <Characters>140974</Characters>
  <Application>Microsoft Office Word</Application>
  <DocSecurity>0</DocSecurity>
  <Lines>1174</Lines>
  <Paragraphs>332</Paragraphs>
  <ScaleCrop>false</ScaleCrop>
  <HeadingPairs>
    <vt:vector size="2" baseType="variant">
      <vt:variant>
        <vt:lpstr>Název</vt:lpstr>
      </vt:variant>
      <vt:variant>
        <vt:i4>1</vt:i4>
      </vt:variant>
    </vt:vector>
  </HeadingPairs>
  <TitlesOfParts>
    <vt:vector size="1" baseType="lpstr">
      <vt:lpstr>I</vt:lpstr>
    </vt:vector>
  </TitlesOfParts>
  <Company>MPSV ČR</Company>
  <LinksUpToDate>false</LinksUpToDate>
  <CharactersWithSpaces>166458</CharactersWithSpaces>
  <SharedDoc>false</SharedDoc>
  <HLinks>
    <vt:vector size="6" baseType="variant">
      <vt:variant>
        <vt:i4>852018</vt:i4>
      </vt:variant>
      <vt:variant>
        <vt:i4>0</vt:i4>
      </vt:variant>
      <vt:variant>
        <vt:i4>0</vt:i4>
      </vt:variant>
      <vt:variant>
        <vt:i4>5</vt:i4>
      </vt:variant>
      <vt:variant>
        <vt:lpwstr>http://epp.eurostat.ec.europa.eu/portal/page/portal/statistics/search_database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sebestoval</dc:creator>
  <cp:lastModifiedBy>Šebestová Lucie Ing. (MPSV)</cp:lastModifiedBy>
  <cp:revision>4</cp:revision>
  <cp:lastPrinted>2013-11-04T08:32:00Z</cp:lastPrinted>
  <dcterms:created xsi:type="dcterms:W3CDTF">2013-11-18T08:27:00Z</dcterms:created>
  <dcterms:modified xsi:type="dcterms:W3CDTF">2013-11-18T08:34:00Z</dcterms:modified>
</cp:coreProperties>
</file>