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84F" w:rsidRPr="00852FFE" w:rsidRDefault="00396955" w:rsidP="00396955">
      <w:pPr>
        <w:jc w:val="right"/>
        <w:rPr>
          <w:b/>
          <w:sz w:val="28"/>
          <w:szCs w:val="28"/>
        </w:rPr>
      </w:pPr>
      <w:proofErr w:type="gramStart"/>
      <w:r w:rsidRPr="00852FFE">
        <w:rPr>
          <w:b/>
          <w:sz w:val="28"/>
          <w:szCs w:val="28"/>
        </w:rPr>
        <w:t>III.</w:t>
      </w:r>
      <w:proofErr w:type="gramEnd"/>
    </w:p>
    <w:p w:rsidR="00396955" w:rsidRPr="005C15AF" w:rsidRDefault="00396955" w:rsidP="00396955">
      <w:pPr>
        <w:jc w:val="center"/>
        <w:rPr>
          <w:rFonts w:cs="Calibri"/>
          <w:b/>
          <w:bCs/>
          <w:color w:val="548DD4"/>
          <w:sz w:val="72"/>
          <w:szCs w:val="72"/>
          <w:lang w:val="cs-CZ"/>
        </w:rPr>
      </w:pPr>
      <w:r w:rsidRPr="005C15AF">
        <w:rPr>
          <w:rFonts w:cs="Calibri"/>
          <w:b/>
          <w:bCs/>
          <w:color w:val="548DD4"/>
          <w:sz w:val="72"/>
          <w:szCs w:val="72"/>
          <w:lang w:val="cs-CZ"/>
        </w:rPr>
        <w:t>ROZVOJ SYSTÉMU ELEKTRONICKÉHO MÝTA V ČESKÉ REPUBLICE</w:t>
      </w:r>
    </w:p>
    <w:p w:rsidR="00396955" w:rsidRPr="005C15AF" w:rsidRDefault="00396955" w:rsidP="00396955">
      <w:pPr>
        <w:jc w:val="center"/>
        <w:rPr>
          <w:rFonts w:cs="Calibri"/>
          <w:b/>
          <w:bCs/>
          <w:color w:val="548DD4"/>
          <w:sz w:val="72"/>
          <w:szCs w:val="72"/>
          <w:lang w:val="cs-CZ"/>
        </w:rPr>
      </w:pPr>
      <w:r w:rsidRPr="005C15AF">
        <w:rPr>
          <w:rFonts w:cs="Calibri"/>
          <w:b/>
          <w:bCs/>
          <w:color w:val="548DD4"/>
          <w:sz w:val="72"/>
          <w:szCs w:val="72"/>
          <w:lang w:val="cs-CZ"/>
        </w:rPr>
        <w:t>-</w:t>
      </w:r>
      <w:r w:rsidRPr="005C15AF">
        <w:rPr>
          <w:rFonts w:cs="Calibri"/>
          <w:b/>
          <w:bCs/>
          <w:color w:val="548DD4"/>
          <w:sz w:val="72"/>
          <w:szCs w:val="72"/>
          <w:lang w:val="cs-CZ"/>
        </w:rPr>
        <w:br/>
        <w:t>KONCEPCE ZPOPLATNĚNÍ POZEMNÍCH KOMUNIKACÍ V ČESKÉ REPUBLICE</w:t>
      </w:r>
    </w:p>
    <w:p w:rsidR="00396955" w:rsidRPr="005C15AF" w:rsidRDefault="00396955" w:rsidP="00396955">
      <w:pPr>
        <w:jc w:val="center"/>
        <w:rPr>
          <w:rFonts w:cs="Calibri"/>
          <w:b/>
          <w:bCs/>
          <w:color w:val="365F91"/>
          <w:sz w:val="22"/>
          <w:szCs w:val="22"/>
          <w:lang w:val="cs-CZ"/>
        </w:rPr>
      </w:pPr>
    </w:p>
    <w:p w:rsidR="00396955" w:rsidRPr="005C15AF" w:rsidRDefault="00396955" w:rsidP="00396955">
      <w:pPr>
        <w:jc w:val="center"/>
        <w:rPr>
          <w:rFonts w:cs="Calibri"/>
          <w:b/>
          <w:bCs/>
          <w:color w:val="365F91"/>
          <w:sz w:val="22"/>
          <w:szCs w:val="22"/>
          <w:lang w:val="cs-CZ"/>
        </w:rPr>
      </w:pPr>
    </w:p>
    <w:p w:rsidR="00396955" w:rsidRPr="005C15AF" w:rsidRDefault="00396955" w:rsidP="00396955">
      <w:pPr>
        <w:jc w:val="right"/>
        <w:rPr>
          <w:rFonts w:cs="Calibri"/>
          <w:b/>
          <w:bCs/>
          <w:color w:val="365F91"/>
          <w:sz w:val="22"/>
          <w:szCs w:val="22"/>
          <w:lang w:val="cs-CZ"/>
        </w:rPr>
      </w:pPr>
    </w:p>
    <w:p w:rsidR="00396955" w:rsidRPr="005C15AF" w:rsidRDefault="00396955" w:rsidP="00396955">
      <w:pPr>
        <w:jc w:val="right"/>
        <w:rPr>
          <w:rFonts w:cs="Calibri"/>
          <w:b/>
          <w:bCs/>
          <w:color w:val="365F91"/>
          <w:sz w:val="22"/>
          <w:szCs w:val="22"/>
          <w:lang w:val="cs-CZ"/>
        </w:rPr>
      </w:pPr>
    </w:p>
    <w:p w:rsidR="00396955" w:rsidRPr="005C15AF" w:rsidRDefault="00396955" w:rsidP="00396955">
      <w:pPr>
        <w:jc w:val="right"/>
        <w:rPr>
          <w:rFonts w:cs="Calibri"/>
          <w:b/>
          <w:bCs/>
          <w:color w:val="365F91"/>
          <w:sz w:val="22"/>
          <w:szCs w:val="22"/>
          <w:lang w:val="cs-CZ"/>
        </w:rPr>
      </w:pPr>
    </w:p>
    <w:p w:rsidR="00396955" w:rsidRDefault="00396955" w:rsidP="00396955">
      <w:pPr>
        <w:jc w:val="right"/>
        <w:rPr>
          <w:rFonts w:cs="Calibri"/>
          <w:b/>
          <w:bCs/>
          <w:color w:val="365F91"/>
          <w:sz w:val="22"/>
          <w:szCs w:val="22"/>
          <w:lang w:val="cs-CZ"/>
        </w:rPr>
      </w:pPr>
    </w:p>
    <w:p w:rsidR="00396955" w:rsidRPr="00F31475" w:rsidRDefault="00396955" w:rsidP="00396955">
      <w:pPr>
        <w:jc w:val="right"/>
        <w:rPr>
          <w:rFonts w:cs="Calibri"/>
          <w:b/>
          <w:bCs/>
          <w:color w:val="365F91"/>
          <w:sz w:val="22"/>
          <w:szCs w:val="22"/>
          <w:lang w:val="cs-CZ"/>
        </w:rPr>
      </w:pPr>
      <w:r w:rsidRPr="00F31475">
        <w:rPr>
          <w:rFonts w:cs="Calibri"/>
          <w:b/>
          <w:bCs/>
          <w:color w:val="365F91"/>
          <w:sz w:val="22"/>
          <w:szCs w:val="22"/>
          <w:lang w:val="cs-CZ"/>
        </w:rPr>
        <w:t>Česká republika – Ministerstvo dopravy</w:t>
      </w:r>
    </w:p>
    <w:p w:rsidR="00396955" w:rsidRPr="005C15AF" w:rsidRDefault="00396955" w:rsidP="00396955">
      <w:pPr>
        <w:jc w:val="right"/>
        <w:rPr>
          <w:rFonts w:cs="Calibri"/>
          <w:b/>
          <w:bCs/>
          <w:color w:val="365F91"/>
          <w:sz w:val="22"/>
          <w:szCs w:val="22"/>
          <w:lang w:val="cs-CZ"/>
        </w:rPr>
      </w:pPr>
      <w:r w:rsidRPr="005C15AF">
        <w:rPr>
          <w:rFonts w:cs="Calibri"/>
          <w:b/>
          <w:bCs/>
          <w:color w:val="365F91"/>
          <w:sz w:val="22"/>
          <w:szCs w:val="22"/>
          <w:lang w:val="cs-CZ"/>
        </w:rPr>
        <w:t>Nábřeží Ludvíka Svobody 12</w:t>
      </w:r>
    </w:p>
    <w:p w:rsidR="00396955" w:rsidRPr="005C15AF" w:rsidRDefault="00396955" w:rsidP="00396955">
      <w:pPr>
        <w:jc w:val="right"/>
        <w:rPr>
          <w:rFonts w:cs="Calibri"/>
          <w:b/>
          <w:bCs/>
          <w:color w:val="365F91"/>
          <w:sz w:val="22"/>
          <w:szCs w:val="22"/>
          <w:lang w:val="cs-CZ"/>
        </w:rPr>
      </w:pPr>
      <w:r w:rsidRPr="005C15AF">
        <w:rPr>
          <w:rFonts w:cs="Calibri"/>
          <w:b/>
          <w:bCs/>
          <w:color w:val="365F91"/>
          <w:sz w:val="22"/>
          <w:szCs w:val="22"/>
          <w:lang w:val="cs-CZ"/>
        </w:rPr>
        <w:t>110 15 Praha 1</w:t>
      </w:r>
    </w:p>
    <w:p w:rsidR="00190804" w:rsidRDefault="00190804" w:rsidP="00190804">
      <w:pPr>
        <w:pStyle w:val="Nadpis1"/>
        <w:rPr>
          <w:sz w:val="40"/>
          <w:szCs w:val="40"/>
          <w:lang w:val="cs-CZ"/>
        </w:rPr>
      </w:pPr>
      <w:bookmarkStart w:id="0" w:name="_Toc367369574"/>
      <w:bookmarkStart w:id="1" w:name="_Toc367436492"/>
      <w:bookmarkStart w:id="2" w:name="_Toc367436493"/>
    </w:p>
    <w:p w:rsidR="00190804" w:rsidRDefault="00190804" w:rsidP="00190804">
      <w:pPr>
        <w:pStyle w:val="Nadpis1"/>
        <w:rPr>
          <w:sz w:val="40"/>
          <w:szCs w:val="40"/>
          <w:lang w:val="cs-CZ"/>
        </w:rPr>
      </w:pPr>
      <w:bookmarkStart w:id="3" w:name="_Toc368327067"/>
      <w:r w:rsidRPr="00190804">
        <w:rPr>
          <w:sz w:val="40"/>
          <w:szCs w:val="40"/>
          <w:lang w:val="cs-CZ"/>
        </w:rPr>
        <w:lastRenderedPageBreak/>
        <w:t>Obsah</w:t>
      </w:r>
      <w:bookmarkEnd w:id="3"/>
    </w:p>
    <w:p w:rsidR="00190804" w:rsidRPr="00190804" w:rsidRDefault="00190804" w:rsidP="00190804">
      <w:pPr>
        <w:spacing w:before="0" w:after="0" w:line="240" w:lineRule="auto"/>
        <w:rPr>
          <w:lang w:val="cs-CZ"/>
        </w:rPr>
      </w:pPr>
    </w:p>
    <w:bookmarkStart w:id="4" w:name="_Toc368311159" w:displacedByCustomXml="next"/>
    <w:sdt>
      <w:sdtPr>
        <w:rPr>
          <w:b w:val="0"/>
          <w:bCs w:val="0"/>
          <w:caps w:val="0"/>
          <w:sz w:val="20"/>
          <w:szCs w:val="20"/>
          <w:u w:val="none"/>
        </w:rPr>
        <w:id w:val="14873399"/>
        <w:docPartObj>
          <w:docPartGallery w:val="Table of Contents"/>
          <w:docPartUnique/>
        </w:docPartObj>
      </w:sdtPr>
      <w:sdtEndPr>
        <w:rPr>
          <w:lang w:val="cs-CZ"/>
        </w:rPr>
      </w:sdtEndPr>
      <w:sdtContent>
        <w:p w:rsidR="00190804" w:rsidRDefault="00735E0D" w:rsidP="00190804">
          <w:pPr>
            <w:pStyle w:val="Obsah1"/>
            <w:rPr>
              <w:noProof/>
              <w:u w:val="none"/>
              <w:lang w:val="cs-CZ" w:eastAsia="cs-CZ" w:bidi="ar-SA"/>
            </w:rPr>
          </w:pPr>
          <w:r w:rsidRPr="00735E0D">
            <w:rPr>
              <w:lang w:val="cs-CZ"/>
            </w:rPr>
            <w:fldChar w:fldCharType="begin"/>
          </w:r>
          <w:r w:rsidR="00045D16">
            <w:rPr>
              <w:lang w:val="cs-CZ"/>
            </w:rPr>
            <w:instrText xml:space="preserve"> TOC \o "1-3" \h \z \u </w:instrText>
          </w:r>
          <w:r w:rsidRPr="00735E0D">
            <w:rPr>
              <w:lang w:val="cs-CZ"/>
            </w:rPr>
            <w:fldChar w:fldCharType="separate"/>
          </w:r>
          <w:hyperlink w:anchor="_Toc368327067" w:history="1">
            <w:r w:rsidR="00190804" w:rsidRPr="00CC3E98">
              <w:rPr>
                <w:rStyle w:val="Hypertextovodkaz"/>
                <w:noProof/>
                <w:lang w:val="cs-CZ"/>
              </w:rPr>
              <w:t>Obsah</w:t>
            </w:r>
            <w:r w:rsidR="0019080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90804">
              <w:rPr>
                <w:noProof/>
                <w:webHidden/>
              </w:rPr>
              <w:instrText xml:space="preserve"> PAGEREF _Toc368327067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0804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0804" w:rsidRDefault="00735E0D">
          <w:pPr>
            <w:pStyle w:val="Obsah2"/>
            <w:tabs>
              <w:tab w:val="right" w:leader="dot" w:pos="9062"/>
            </w:tabs>
            <w:rPr>
              <w:b w:val="0"/>
              <w:bCs w:val="0"/>
              <w:smallCaps w:val="0"/>
              <w:noProof/>
              <w:lang w:val="cs-CZ" w:eastAsia="cs-CZ" w:bidi="ar-SA"/>
            </w:rPr>
          </w:pPr>
          <w:hyperlink w:anchor="_Toc368327068" w:history="1">
            <w:r w:rsidR="00190804" w:rsidRPr="00CC3E98">
              <w:rPr>
                <w:rStyle w:val="Hypertextovodkaz"/>
                <w:noProof/>
                <w:lang w:val="cs-CZ"/>
              </w:rPr>
              <w:t>Seznamy</w:t>
            </w:r>
            <w:r w:rsidR="0019080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90804">
              <w:rPr>
                <w:noProof/>
                <w:webHidden/>
              </w:rPr>
              <w:instrText xml:space="preserve"> PAGEREF _Toc368327068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0804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0804" w:rsidRDefault="00735E0D">
          <w:pPr>
            <w:pStyle w:val="Obsah3"/>
            <w:tabs>
              <w:tab w:val="right" w:leader="dot" w:pos="9062"/>
            </w:tabs>
            <w:rPr>
              <w:smallCaps w:val="0"/>
              <w:noProof/>
              <w:lang w:val="cs-CZ" w:eastAsia="cs-CZ" w:bidi="ar-SA"/>
            </w:rPr>
          </w:pPr>
          <w:hyperlink w:anchor="_Toc368327069" w:history="1">
            <w:r w:rsidR="00190804" w:rsidRPr="00CC3E98">
              <w:rPr>
                <w:rStyle w:val="Hypertextovodkaz"/>
                <w:noProof/>
                <w:lang w:val="cs-CZ"/>
              </w:rPr>
              <w:t>Seznam grafů</w:t>
            </w:r>
            <w:r w:rsidR="0019080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90804">
              <w:rPr>
                <w:noProof/>
                <w:webHidden/>
              </w:rPr>
              <w:instrText xml:space="preserve"> PAGEREF _Toc368327069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0804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0804" w:rsidRDefault="00735E0D">
          <w:pPr>
            <w:pStyle w:val="Obsah3"/>
            <w:tabs>
              <w:tab w:val="right" w:leader="dot" w:pos="9062"/>
            </w:tabs>
            <w:rPr>
              <w:smallCaps w:val="0"/>
              <w:noProof/>
              <w:lang w:val="cs-CZ" w:eastAsia="cs-CZ" w:bidi="ar-SA"/>
            </w:rPr>
          </w:pPr>
          <w:hyperlink w:anchor="_Toc368327070" w:history="1">
            <w:r w:rsidR="00190804" w:rsidRPr="00CC3E98">
              <w:rPr>
                <w:rStyle w:val="Hypertextovodkaz"/>
                <w:noProof/>
                <w:lang w:val="cs-CZ"/>
              </w:rPr>
              <w:t>Seznam tabulek</w:t>
            </w:r>
            <w:r w:rsidR="0019080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90804">
              <w:rPr>
                <w:noProof/>
                <w:webHidden/>
              </w:rPr>
              <w:instrText xml:space="preserve"> PAGEREF _Toc368327070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0804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0804" w:rsidRDefault="00735E0D">
          <w:pPr>
            <w:pStyle w:val="Obsah3"/>
            <w:tabs>
              <w:tab w:val="right" w:leader="dot" w:pos="9062"/>
            </w:tabs>
            <w:rPr>
              <w:smallCaps w:val="0"/>
              <w:noProof/>
              <w:lang w:val="cs-CZ" w:eastAsia="cs-CZ" w:bidi="ar-SA"/>
            </w:rPr>
          </w:pPr>
          <w:hyperlink w:anchor="_Toc368327071" w:history="1">
            <w:r w:rsidR="00190804" w:rsidRPr="00CC3E98">
              <w:rPr>
                <w:rStyle w:val="Hypertextovodkaz"/>
                <w:noProof/>
                <w:lang w:val="cs-CZ"/>
              </w:rPr>
              <w:t>Seznam příloh</w:t>
            </w:r>
            <w:r w:rsidR="0019080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90804">
              <w:rPr>
                <w:noProof/>
                <w:webHidden/>
              </w:rPr>
              <w:instrText xml:space="preserve"> PAGEREF _Toc368327071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080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0804" w:rsidRDefault="00735E0D" w:rsidP="00190804">
          <w:pPr>
            <w:pStyle w:val="Obsah1"/>
            <w:rPr>
              <w:noProof/>
              <w:u w:val="none"/>
              <w:lang w:val="cs-CZ" w:eastAsia="cs-CZ" w:bidi="ar-SA"/>
            </w:rPr>
          </w:pPr>
          <w:hyperlink w:anchor="_Toc368327072" w:history="1">
            <w:r w:rsidR="00190804" w:rsidRPr="00CC3E98">
              <w:rPr>
                <w:rStyle w:val="Hypertextovodkaz"/>
                <w:noProof/>
                <w:lang w:val="cs-CZ"/>
              </w:rPr>
              <w:t>Manažerské shrnutí</w:t>
            </w:r>
            <w:r w:rsidR="0019080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90804">
              <w:rPr>
                <w:noProof/>
                <w:webHidden/>
              </w:rPr>
              <w:instrText xml:space="preserve"> PAGEREF _Toc368327072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080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0804" w:rsidRDefault="00735E0D">
          <w:pPr>
            <w:pStyle w:val="Obsah2"/>
            <w:tabs>
              <w:tab w:val="right" w:leader="dot" w:pos="9062"/>
            </w:tabs>
            <w:rPr>
              <w:b w:val="0"/>
              <w:bCs w:val="0"/>
              <w:smallCaps w:val="0"/>
              <w:noProof/>
              <w:lang w:val="cs-CZ" w:eastAsia="cs-CZ" w:bidi="ar-SA"/>
            </w:rPr>
          </w:pPr>
          <w:hyperlink w:anchor="_Toc368327073" w:history="1">
            <w:r w:rsidR="00190804" w:rsidRPr="00CC3E98">
              <w:rPr>
                <w:rStyle w:val="Hypertextovodkaz"/>
                <w:noProof/>
                <w:lang w:val="cs-CZ"/>
              </w:rPr>
              <w:t>Cíle zpoplatnění obecného užívání pozemních komunikací</w:t>
            </w:r>
            <w:r w:rsidR="0019080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90804">
              <w:rPr>
                <w:noProof/>
                <w:webHidden/>
              </w:rPr>
              <w:instrText xml:space="preserve"> PAGEREF _Toc368327073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080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0804" w:rsidRDefault="00735E0D" w:rsidP="00190804">
          <w:pPr>
            <w:pStyle w:val="Obsah1"/>
            <w:rPr>
              <w:noProof/>
              <w:u w:val="none"/>
              <w:lang w:val="cs-CZ" w:eastAsia="cs-CZ" w:bidi="ar-SA"/>
            </w:rPr>
          </w:pPr>
          <w:hyperlink w:anchor="_Toc368327074" w:history="1">
            <w:r w:rsidR="00190804" w:rsidRPr="00CC3E98">
              <w:rPr>
                <w:rStyle w:val="Hypertextovodkaz"/>
                <w:noProof/>
                <w:lang w:val="cs-CZ"/>
              </w:rPr>
              <w:t>KONCEPCE DO ROKU 2016</w:t>
            </w:r>
            <w:r w:rsidR="0019080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90804">
              <w:rPr>
                <w:noProof/>
                <w:webHidden/>
              </w:rPr>
              <w:instrText xml:space="preserve"> PAGEREF _Toc368327074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080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0804" w:rsidRDefault="00735E0D">
          <w:pPr>
            <w:pStyle w:val="Obsah2"/>
            <w:tabs>
              <w:tab w:val="right" w:leader="dot" w:pos="9062"/>
            </w:tabs>
            <w:rPr>
              <w:b w:val="0"/>
              <w:bCs w:val="0"/>
              <w:smallCaps w:val="0"/>
              <w:noProof/>
              <w:lang w:val="cs-CZ" w:eastAsia="cs-CZ" w:bidi="ar-SA"/>
            </w:rPr>
          </w:pPr>
          <w:hyperlink w:anchor="_Toc368327075" w:history="1">
            <w:r w:rsidR="00190804" w:rsidRPr="00CC3E98">
              <w:rPr>
                <w:rStyle w:val="Hypertextovodkaz"/>
                <w:noProof/>
                <w:kern w:val="32"/>
                <w:lang w:val="cs-CZ"/>
              </w:rPr>
              <w:t>Rozsah zpoplatněných pozemních komunikací</w:t>
            </w:r>
            <w:r w:rsidR="0019080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90804">
              <w:rPr>
                <w:noProof/>
                <w:webHidden/>
              </w:rPr>
              <w:instrText xml:space="preserve"> PAGEREF _Toc368327075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080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0804" w:rsidRDefault="00735E0D">
          <w:pPr>
            <w:pStyle w:val="Obsah2"/>
            <w:tabs>
              <w:tab w:val="right" w:leader="dot" w:pos="9062"/>
            </w:tabs>
            <w:rPr>
              <w:b w:val="0"/>
              <w:bCs w:val="0"/>
              <w:smallCaps w:val="0"/>
              <w:noProof/>
              <w:lang w:val="cs-CZ" w:eastAsia="cs-CZ" w:bidi="ar-SA"/>
            </w:rPr>
          </w:pPr>
          <w:hyperlink w:anchor="_Toc368327076" w:history="1">
            <w:r w:rsidR="00190804" w:rsidRPr="00CC3E98">
              <w:rPr>
                <w:rStyle w:val="Hypertextovodkaz"/>
                <w:noProof/>
                <w:kern w:val="32"/>
                <w:lang w:val="cs-CZ"/>
              </w:rPr>
              <w:t>Změny výkonového zpoplatnění do roku 2016</w:t>
            </w:r>
            <w:r w:rsidR="0019080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90804">
              <w:rPr>
                <w:noProof/>
                <w:webHidden/>
              </w:rPr>
              <w:instrText xml:space="preserve"> PAGEREF _Toc368327076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080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0804" w:rsidRDefault="00735E0D">
          <w:pPr>
            <w:pStyle w:val="Obsah2"/>
            <w:tabs>
              <w:tab w:val="right" w:leader="dot" w:pos="9062"/>
            </w:tabs>
            <w:rPr>
              <w:b w:val="0"/>
              <w:bCs w:val="0"/>
              <w:smallCaps w:val="0"/>
              <w:noProof/>
              <w:lang w:val="cs-CZ" w:eastAsia="cs-CZ" w:bidi="ar-SA"/>
            </w:rPr>
          </w:pPr>
          <w:hyperlink w:anchor="_Toc368327077" w:history="1">
            <w:r w:rsidR="00190804" w:rsidRPr="00CC3E98">
              <w:rPr>
                <w:rStyle w:val="Hypertextovodkaz"/>
                <w:noProof/>
                <w:lang w:val="cs-CZ"/>
              </w:rPr>
              <w:t>Evropská služba elektronického mýta v České republice</w:t>
            </w:r>
            <w:r w:rsidR="0019080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90804">
              <w:rPr>
                <w:noProof/>
                <w:webHidden/>
              </w:rPr>
              <w:instrText xml:space="preserve"> PAGEREF _Toc368327077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080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0804" w:rsidRDefault="00735E0D" w:rsidP="00190804">
          <w:pPr>
            <w:pStyle w:val="Obsah1"/>
            <w:rPr>
              <w:noProof/>
              <w:u w:val="none"/>
              <w:lang w:val="cs-CZ" w:eastAsia="cs-CZ" w:bidi="ar-SA"/>
            </w:rPr>
          </w:pPr>
          <w:hyperlink w:anchor="_Toc368327078" w:history="1">
            <w:r w:rsidR="00190804" w:rsidRPr="00CC3E98">
              <w:rPr>
                <w:rStyle w:val="Hypertextovodkaz"/>
                <w:noProof/>
                <w:lang w:val="cs-CZ"/>
              </w:rPr>
              <w:t>KONCEPCE PO ROCE 2016</w:t>
            </w:r>
            <w:r w:rsidR="0019080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90804">
              <w:rPr>
                <w:noProof/>
                <w:webHidden/>
              </w:rPr>
              <w:instrText xml:space="preserve"> PAGEREF _Toc368327078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0804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0804" w:rsidRDefault="00735E0D">
          <w:pPr>
            <w:pStyle w:val="Obsah2"/>
            <w:tabs>
              <w:tab w:val="right" w:leader="dot" w:pos="9062"/>
            </w:tabs>
            <w:rPr>
              <w:b w:val="0"/>
              <w:bCs w:val="0"/>
              <w:smallCaps w:val="0"/>
              <w:noProof/>
              <w:lang w:val="cs-CZ" w:eastAsia="cs-CZ" w:bidi="ar-SA"/>
            </w:rPr>
          </w:pPr>
          <w:hyperlink w:anchor="_Toc368327079" w:history="1">
            <w:r w:rsidR="00190804" w:rsidRPr="00CC3E98">
              <w:rPr>
                <w:rStyle w:val="Hypertextovodkaz"/>
                <w:noProof/>
                <w:kern w:val="32"/>
                <w:lang w:val="cs-CZ"/>
              </w:rPr>
              <w:t>Rozsah zpoplatněných pozemních komunikací</w:t>
            </w:r>
            <w:r w:rsidR="0019080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90804">
              <w:rPr>
                <w:noProof/>
                <w:webHidden/>
              </w:rPr>
              <w:instrText xml:space="preserve"> PAGEREF _Toc368327079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0804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0804" w:rsidRDefault="00735E0D">
          <w:pPr>
            <w:pStyle w:val="Obsah2"/>
            <w:tabs>
              <w:tab w:val="right" w:leader="dot" w:pos="9062"/>
            </w:tabs>
            <w:rPr>
              <w:b w:val="0"/>
              <w:bCs w:val="0"/>
              <w:smallCaps w:val="0"/>
              <w:noProof/>
              <w:lang w:val="cs-CZ" w:eastAsia="cs-CZ" w:bidi="ar-SA"/>
            </w:rPr>
          </w:pPr>
          <w:hyperlink w:anchor="_Toc368327080" w:history="1">
            <w:r w:rsidR="00190804" w:rsidRPr="00CC3E98">
              <w:rPr>
                <w:rStyle w:val="Hypertextovodkaz"/>
                <w:noProof/>
                <w:lang w:val="cs-CZ"/>
              </w:rPr>
              <w:t>Varianty způsobu zpoplatnění</w:t>
            </w:r>
            <w:r w:rsidR="0019080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90804">
              <w:rPr>
                <w:noProof/>
                <w:webHidden/>
              </w:rPr>
              <w:instrText xml:space="preserve"> PAGEREF _Toc368327080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0804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0804" w:rsidRDefault="00735E0D">
          <w:pPr>
            <w:pStyle w:val="Obsah2"/>
            <w:tabs>
              <w:tab w:val="right" w:leader="dot" w:pos="9062"/>
            </w:tabs>
            <w:rPr>
              <w:b w:val="0"/>
              <w:bCs w:val="0"/>
              <w:smallCaps w:val="0"/>
              <w:noProof/>
              <w:lang w:val="cs-CZ" w:eastAsia="cs-CZ" w:bidi="ar-SA"/>
            </w:rPr>
          </w:pPr>
          <w:hyperlink w:anchor="_Toc368327081" w:history="1">
            <w:r w:rsidR="00190804" w:rsidRPr="00CC3E98">
              <w:rPr>
                <w:rStyle w:val="Hypertextovodkaz"/>
                <w:noProof/>
                <w:lang w:val="cs-CZ"/>
              </w:rPr>
              <w:t>Varianty zachování stávajícího systému elektronického mýta</w:t>
            </w:r>
            <w:r w:rsidR="0019080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90804">
              <w:rPr>
                <w:noProof/>
                <w:webHidden/>
              </w:rPr>
              <w:instrText xml:space="preserve"> PAGEREF _Toc368327081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0804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0804" w:rsidRDefault="00735E0D">
          <w:pPr>
            <w:pStyle w:val="Obsah2"/>
            <w:tabs>
              <w:tab w:val="right" w:leader="dot" w:pos="9062"/>
            </w:tabs>
            <w:rPr>
              <w:b w:val="0"/>
              <w:bCs w:val="0"/>
              <w:smallCaps w:val="0"/>
              <w:noProof/>
              <w:lang w:val="cs-CZ" w:eastAsia="cs-CZ" w:bidi="ar-SA"/>
            </w:rPr>
          </w:pPr>
          <w:hyperlink w:anchor="_Toc368327082" w:history="1">
            <w:r w:rsidR="00190804" w:rsidRPr="00CC3E98">
              <w:rPr>
                <w:rStyle w:val="Hypertextovodkaz"/>
                <w:noProof/>
                <w:lang w:val="cs-CZ"/>
              </w:rPr>
              <w:t>Varianty rozsahu</w:t>
            </w:r>
            <w:r w:rsidR="0019080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90804">
              <w:rPr>
                <w:noProof/>
                <w:webHidden/>
              </w:rPr>
              <w:instrText xml:space="preserve"> PAGEREF _Toc368327082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0804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0804" w:rsidRDefault="00735E0D">
          <w:pPr>
            <w:pStyle w:val="Obsah2"/>
            <w:tabs>
              <w:tab w:val="right" w:leader="dot" w:pos="9062"/>
            </w:tabs>
            <w:rPr>
              <w:b w:val="0"/>
              <w:bCs w:val="0"/>
              <w:smallCaps w:val="0"/>
              <w:noProof/>
              <w:lang w:val="cs-CZ" w:eastAsia="cs-CZ" w:bidi="ar-SA"/>
            </w:rPr>
          </w:pPr>
          <w:hyperlink w:anchor="_Toc368327083" w:history="1">
            <w:r w:rsidR="00190804" w:rsidRPr="00CC3E98">
              <w:rPr>
                <w:rStyle w:val="Hypertextovodkaz"/>
                <w:rFonts w:cs="Calibri"/>
                <w:noProof/>
                <w:lang w:val="cs-CZ"/>
              </w:rPr>
              <w:t>Posuzované realizační varianty</w:t>
            </w:r>
            <w:r w:rsidR="0019080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90804">
              <w:rPr>
                <w:noProof/>
                <w:webHidden/>
              </w:rPr>
              <w:instrText xml:space="preserve"> PAGEREF _Toc368327083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0804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0804" w:rsidRDefault="00735E0D" w:rsidP="00190804">
          <w:pPr>
            <w:pStyle w:val="Obsah1"/>
            <w:rPr>
              <w:noProof/>
              <w:u w:val="none"/>
              <w:lang w:val="cs-CZ" w:eastAsia="cs-CZ" w:bidi="ar-SA"/>
            </w:rPr>
          </w:pPr>
          <w:hyperlink w:anchor="_Toc368327084" w:history="1">
            <w:r w:rsidR="00190804" w:rsidRPr="00CC3E98">
              <w:rPr>
                <w:rStyle w:val="Hypertextovodkaz"/>
                <w:noProof/>
                <w:lang w:val="cs-CZ"/>
              </w:rPr>
              <w:t>Ekonomické hodnocení a analýza rizik posuzovaných variant</w:t>
            </w:r>
            <w:r w:rsidR="0019080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90804">
              <w:rPr>
                <w:noProof/>
                <w:webHidden/>
              </w:rPr>
              <w:instrText xml:space="preserve"> PAGEREF _Toc368327084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0804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0804" w:rsidRDefault="00735E0D" w:rsidP="00190804">
          <w:pPr>
            <w:pStyle w:val="Obsah1"/>
            <w:rPr>
              <w:noProof/>
              <w:u w:val="none"/>
              <w:lang w:val="cs-CZ" w:eastAsia="cs-CZ" w:bidi="ar-SA"/>
            </w:rPr>
          </w:pPr>
          <w:hyperlink w:anchor="_Toc368327085" w:history="1">
            <w:r w:rsidR="00190804" w:rsidRPr="00CC3E98">
              <w:rPr>
                <w:rStyle w:val="Hypertextovodkaz"/>
                <w:noProof/>
                <w:lang w:val="cs-CZ"/>
              </w:rPr>
              <w:t>ZVÝŠENÍ EFEKTIVITY SYSTÉMU ELEKTRONICKÉHO MÝTA, ÚSPORY A NEDOPLATKY</w:t>
            </w:r>
            <w:r w:rsidR="0019080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90804">
              <w:rPr>
                <w:noProof/>
                <w:webHidden/>
              </w:rPr>
              <w:instrText xml:space="preserve"> PAGEREF _Toc368327085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0804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0804" w:rsidRDefault="00735E0D">
          <w:pPr>
            <w:pStyle w:val="Obsah2"/>
            <w:tabs>
              <w:tab w:val="right" w:leader="dot" w:pos="9062"/>
            </w:tabs>
            <w:rPr>
              <w:b w:val="0"/>
              <w:bCs w:val="0"/>
              <w:smallCaps w:val="0"/>
              <w:noProof/>
              <w:lang w:val="cs-CZ" w:eastAsia="cs-CZ" w:bidi="ar-SA"/>
            </w:rPr>
          </w:pPr>
          <w:hyperlink w:anchor="_Toc368327086" w:history="1">
            <w:r w:rsidR="00190804" w:rsidRPr="00CC3E98">
              <w:rPr>
                <w:rStyle w:val="Hypertextovodkaz"/>
                <w:noProof/>
                <w:lang w:val="cs-CZ"/>
              </w:rPr>
              <w:t>Zvýšení efektivity Systému elektronického mýta</w:t>
            </w:r>
            <w:r w:rsidR="0019080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90804">
              <w:rPr>
                <w:noProof/>
                <w:webHidden/>
              </w:rPr>
              <w:instrText xml:space="preserve"> PAGEREF _Toc368327086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0804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0804" w:rsidRDefault="00735E0D">
          <w:pPr>
            <w:pStyle w:val="Obsah2"/>
            <w:tabs>
              <w:tab w:val="right" w:leader="dot" w:pos="9062"/>
            </w:tabs>
            <w:rPr>
              <w:b w:val="0"/>
              <w:bCs w:val="0"/>
              <w:smallCaps w:val="0"/>
              <w:noProof/>
              <w:lang w:val="cs-CZ" w:eastAsia="cs-CZ" w:bidi="ar-SA"/>
            </w:rPr>
          </w:pPr>
          <w:hyperlink w:anchor="_Toc368327087" w:history="1">
            <w:r w:rsidR="00190804" w:rsidRPr="00CC3E98">
              <w:rPr>
                <w:rStyle w:val="Hypertextovodkaz"/>
                <w:noProof/>
                <w:lang w:val="cs-CZ"/>
              </w:rPr>
              <w:t>Úspory v systému elektornického mýta</w:t>
            </w:r>
            <w:r w:rsidR="0019080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90804">
              <w:rPr>
                <w:noProof/>
                <w:webHidden/>
              </w:rPr>
              <w:instrText xml:space="preserve"> PAGEREF _Toc368327087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0804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0804" w:rsidRDefault="00735E0D" w:rsidP="00190804">
          <w:pPr>
            <w:pStyle w:val="Obsah1"/>
            <w:rPr>
              <w:noProof/>
              <w:u w:val="none"/>
              <w:lang w:val="cs-CZ" w:eastAsia="cs-CZ" w:bidi="ar-SA"/>
            </w:rPr>
          </w:pPr>
          <w:hyperlink w:anchor="_Toc368327088" w:history="1">
            <w:r w:rsidR="00190804" w:rsidRPr="00CC3E98">
              <w:rPr>
                <w:rStyle w:val="Hypertextovodkaz"/>
                <w:noProof/>
                <w:lang w:val="cs-CZ"/>
              </w:rPr>
              <w:t>PŘÍLOHY</w:t>
            </w:r>
            <w:r w:rsidR="0019080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90804">
              <w:rPr>
                <w:noProof/>
                <w:webHidden/>
              </w:rPr>
              <w:instrText xml:space="preserve"> PAGEREF _Toc368327088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0804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45D16" w:rsidRDefault="00735E0D" w:rsidP="00190804">
          <w:pPr>
            <w:spacing w:before="0" w:after="0" w:line="120" w:lineRule="auto"/>
            <w:rPr>
              <w:lang w:val="cs-CZ"/>
            </w:rPr>
          </w:pPr>
          <w:r>
            <w:rPr>
              <w:lang w:val="cs-CZ"/>
            </w:rPr>
            <w:fldChar w:fldCharType="end"/>
          </w:r>
        </w:p>
      </w:sdtContent>
    </w:sdt>
    <w:p w:rsidR="00852FFE" w:rsidRPr="00852FFE" w:rsidRDefault="00852FFE" w:rsidP="00852FFE">
      <w:pPr>
        <w:pStyle w:val="Nadpis2"/>
        <w:rPr>
          <w:sz w:val="28"/>
          <w:szCs w:val="28"/>
          <w:lang w:val="cs-CZ"/>
        </w:rPr>
      </w:pPr>
      <w:bookmarkStart w:id="5" w:name="_Toc368327068"/>
      <w:r w:rsidRPr="00852FFE">
        <w:rPr>
          <w:sz w:val="28"/>
          <w:szCs w:val="28"/>
          <w:lang w:val="cs-CZ"/>
        </w:rPr>
        <w:t>Seznamy</w:t>
      </w:r>
      <w:bookmarkEnd w:id="5"/>
      <w:bookmarkEnd w:id="4"/>
    </w:p>
    <w:p w:rsidR="00852FFE" w:rsidRPr="005C15AF" w:rsidRDefault="00852FFE" w:rsidP="00852FFE">
      <w:pPr>
        <w:pStyle w:val="Nadpis3"/>
        <w:rPr>
          <w:lang w:val="cs-CZ"/>
        </w:rPr>
      </w:pPr>
      <w:bookmarkStart w:id="6" w:name="_Toc368311160"/>
      <w:bookmarkStart w:id="7" w:name="_Toc368327069"/>
      <w:r w:rsidRPr="005C15AF">
        <w:rPr>
          <w:lang w:val="cs-CZ"/>
        </w:rPr>
        <w:t>Seznam grafů</w:t>
      </w:r>
      <w:bookmarkEnd w:id="6"/>
      <w:bookmarkEnd w:id="7"/>
    </w:p>
    <w:p w:rsidR="00852FFE" w:rsidRDefault="00852FFE" w:rsidP="00852FFE">
      <w:pPr>
        <w:spacing w:before="120" w:after="0"/>
        <w:rPr>
          <w:lang w:val="cs-CZ"/>
        </w:rPr>
      </w:pPr>
      <w:r w:rsidRPr="00852FFE">
        <w:rPr>
          <w:lang w:val="cs-CZ"/>
        </w:rPr>
        <w:t>Graf č. 1 – Odhadované roční příjmy a náklady v závislosti na délce zpoplatněných pozemních komunikací</w:t>
      </w:r>
    </w:p>
    <w:p w:rsidR="00852FFE" w:rsidRPr="005C15AF" w:rsidRDefault="00852FFE" w:rsidP="00852FFE">
      <w:pPr>
        <w:pStyle w:val="Nadpis3"/>
        <w:rPr>
          <w:lang w:val="cs-CZ"/>
        </w:rPr>
      </w:pPr>
      <w:bookmarkStart w:id="8" w:name="_Toc368311161"/>
      <w:bookmarkStart w:id="9" w:name="_Toc368327070"/>
      <w:r w:rsidRPr="005C15AF">
        <w:rPr>
          <w:lang w:val="cs-CZ"/>
        </w:rPr>
        <w:t>Seznam tabulek</w:t>
      </w:r>
      <w:bookmarkEnd w:id="8"/>
      <w:bookmarkEnd w:id="9"/>
    </w:p>
    <w:p w:rsidR="00852FFE" w:rsidRDefault="00852FFE" w:rsidP="00852FFE">
      <w:pPr>
        <w:rPr>
          <w:lang w:val="cs-CZ"/>
        </w:rPr>
      </w:pPr>
      <w:r w:rsidRPr="00852FFE">
        <w:rPr>
          <w:lang w:val="cs-CZ"/>
        </w:rPr>
        <w:t>Tabulka č. 1 – Kombinace variant rozsahu a způsobu zpoplatnění a využití komponent stávajícího SEM</w:t>
      </w:r>
    </w:p>
    <w:p w:rsidR="00852FFE" w:rsidRDefault="00852FFE" w:rsidP="00852FFE">
      <w:pPr>
        <w:rPr>
          <w:lang w:val="cs-CZ"/>
        </w:rPr>
      </w:pPr>
      <w:r w:rsidRPr="00852FFE">
        <w:rPr>
          <w:lang w:val="cs-CZ"/>
        </w:rPr>
        <w:t>Tabulka č. 2 – Souhrnné vyhodnocení posuzovaných variant</w:t>
      </w:r>
    </w:p>
    <w:p w:rsidR="00852FFE" w:rsidRDefault="00852FFE" w:rsidP="00852FFE">
      <w:pPr>
        <w:rPr>
          <w:lang w:val="cs-CZ"/>
        </w:rPr>
      </w:pPr>
      <w:r w:rsidRPr="00852FFE">
        <w:rPr>
          <w:lang w:val="cs-CZ"/>
        </w:rPr>
        <w:t>Tabulka č. 3 – Přehled rizik jednotlivých variant</w:t>
      </w:r>
    </w:p>
    <w:p w:rsidR="00852FFE" w:rsidRDefault="00852FFE" w:rsidP="00852FFE">
      <w:pPr>
        <w:pStyle w:val="Nadpis3"/>
        <w:pBdr>
          <w:left w:val="single" w:sz="6" w:space="1" w:color="4F81BD"/>
        </w:pBdr>
        <w:rPr>
          <w:lang w:val="cs-CZ"/>
        </w:rPr>
      </w:pPr>
      <w:bookmarkStart w:id="10" w:name="_Toc368311162"/>
      <w:bookmarkStart w:id="11" w:name="_Toc368327071"/>
      <w:r>
        <w:rPr>
          <w:lang w:val="cs-CZ"/>
        </w:rPr>
        <w:t>Seznam příloh</w:t>
      </w:r>
      <w:bookmarkEnd w:id="10"/>
      <w:bookmarkEnd w:id="11"/>
    </w:p>
    <w:p w:rsidR="00852FFE" w:rsidRDefault="00852FFE" w:rsidP="00852FFE">
      <w:pPr>
        <w:pStyle w:val="Bezmezer"/>
        <w:ind w:left="1134" w:hanging="1134"/>
        <w:rPr>
          <w:rFonts w:cs="ArialNarrow,Italic"/>
          <w:lang w:val="cs-CZ"/>
        </w:rPr>
      </w:pPr>
      <w:r w:rsidRPr="00982D29">
        <w:rPr>
          <w:rFonts w:cs="ArialNarrow,Italic"/>
          <w:lang w:val="cs-CZ"/>
        </w:rPr>
        <w:t xml:space="preserve">Příloha č. 1 – </w:t>
      </w:r>
      <w:r>
        <w:rPr>
          <w:rFonts w:cs="ArialNarrow,Italic"/>
          <w:lang w:val="cs-CZ"/>
        </w:rPr>
        <w:tab/>
        <w:t>Rozvoj Systému elektronického mýta v České republice – Koncepce výkonového zpoplatnění pozemních komunikací v České republice</w:t>
      </w:r>
    </w:p>
    <w:p w:rsidR="00396955" w:rsidRPr="00852FFE" w:rsidRDefault="00396955" w:rsidP="00852FFE">
      <w:pPr>
        <w:pStyle w:val="Nadpis1"/>
        <w:rPr>
          <w:sz w:val="40"/>
          <w:szCs w:val="40"/>
          <w:lang w:val="cs-CZ"/>
        </w:rPr>
      </w:pPr>
      <w:bookmarkStart w:id="12" w:name="_Toc368311163"/>
      <w:bookmarkStart w:id="13" w:name="_Toc368327072"/>
      <w:r w:rsidRPr="00852FFE">
        <w:rPr>
          <w:sz w:val="40"/>
          <w:szCs w:val="40"/>
          <w:lang w:val="cs-CZ"/>
        </w:rPr>
        <w:lastRenderedPageBreak/>
        <w:t>Manažerské shrnutí</w:t>
      </w:r>
      <w:bookmarkEnd w:id="0"/>
      <w:bookmarkEnd w:id="1"/>
      <w:bookmarkEnd w:id="2"/>
      <w:bookmarkEnd w:id="12"/>
      <w:bookmarkEnd w:id="13"/>
    </w:p>
    <w:p w:rsidR="00B01FB6" w:rsidRDefault="00B01FB6" w:rsidP="00B01FB6">
      <w:pPr>
        <w:pStyle w:val="Nadpis2"/>
        <w:rPr>
          <w:sz w:val="28"/>
          <w:szCs w:val="28"/>
          <w:lang w:val="cs-CZ"/>
        </w:rPr>
      </w:pPr>
      <w:bookmarkStart w:id="14" w:name="_Toc368063528"/>
      <w:bookmarkStart w:id="15" w:name="_Toc368327073"/>
      <w:r>
        <w:rPr>
          <w:sz w:val="28"/>
          <w:szCs w:val="28"/>
          <w:lang w:val="cs-CZ"/>
        </w:rPr>
        <w:t>Cíle zpoplatnění obecného užívání pozemních komunikací</w:t>
      </w:r>
      <w:bookmarkEnd w:id="14"/>
      <w:bookmarkEnd w:id="15"/>
    </w:p>
    <w:p w:rsidR="008A3535" w:rsidRDefault="008A3535" w:rsidP="008A3535">
      <w:pPr>
        <w:pStyle w:val="BodyText1"/>
        <w:rPr>
          <w:lang w:val="cs-CZ"/>
        </w:rPr>
      </w:pPr>
      <w:r>
        <w:rPr>
          <w:lang w:val="cs-CZ"/>
        </w:rPr>
        <w:t>Ministerstvo dopravy považuje za klíčové následující dva cíle zpoplatnění obecného užívání pozemních komunikací</w:t>
      </w:r>
      <w:r w:rsidRPr="003A60B6">
        <w:rPr>
          <w:szCs w:val="22"/>
          <w:lang w:val="cs-CZ"/>
        </w:rPr>
        <w:t xml:space="preserve"> </w:t>
      </w:r>
      <w:r w:rsidRPr="005C15AF">
        <w:rPr>
          <w:szCs w:val="22"/>
          <w:lang w:val="cs-CZ"/>
        </w:rPr>
        <w:t>vozidly s celkovou hmotností nad 3,5 tuny</w:t>
      </w:r>
      <w:r>
        <w:rPr>
          <w:lang w:val="cs-CZ"/>
        </w:rPr>
        <w:t>:</w:t>
      </w:r>
    </w:p>
    <w:p w:rsidR="008A3535" w:rsidRDefault="008A3535" w:rsidP="008A3535">
      <w:pPr>
        <w:pStyle w:val="BodyText1"/>
        <w:numPr>
          <w:ilvl w:val="0"/>
          <w:numId w:val="1"/>
        </w:numPr>
        <w:rPr>
          <w:lang w:val="cs-CZ"/>
        </w:rPr>
      </w:pPr>
      <w:r>
        <w:rPr>
          <w:b/>
          <w:lang w:val="cs-CZ"/>
        </w:rPr>
        <w:t xml:space="preserve">mýtné jako </w:t>
      </w:r>
      <w:r w:rsidRPr="004D5A7D">
        <w:rPr>
          <w:b/>
          <w:lang w:val="cs-CZ"/>
        </w:rPr>
        <w:t>fiskální cíl</w:t>
      </w:r>
      <w:r>
        <w:rPr>
          <w:lang w:val="cs-CZ"/>
        </w:rPr>
        <w:t xml:space="preserve"> = zajištění</w:t>
      </w:r>
      <w:r w:rsidRPr="009F4ADA">
        <w:rPr>
          <w:lang w:val="cs-CZ"/>
        </w:rPr>
        <w:t xml:space="preserve"> příjmů ze zpoplatnění pro Státní fond dopravní infrastruktury</w:t>
      </w:r>
      <w:r>
        <w:rPr>
          <w:lang w:val="cs-CZ"/>
        </w:rPr>
        <w:t xml:space="preserve">, tzn. dosažení </w:t>
      </w:r>
      <w:r w:rsidRPr="009F4ADA">
        <w:rPr>
          <w:lang w:val="cs-CZ"/>
        </w:rPr>
        <w:t>větší stability financování dopravní infrastruktury</w:t>
      </w:r>
      <w:r>
        <w:rPr>
          <w:lang w:val="cs-CZ"/>
        </w:rPr>
        <w:t xml:space="preserve"> zdrojem, který není přímo závislý na fiskální politice státu</w:t>
      </w:r>
      <w:r w:rsidR="00E378ED">
        <w:rPr>
          <w:lang w:val="cs-CZ"/>
        </w:rPr>
        <w:t xml:space="preserve"> – tento cíl lze považovat s ohledem na současný stav poznání v dané problematice za zásadní</w:t>
      </w:r>
      <w:r>
        <w:rPr>
          <w:lang w:val="cs-CZ"/>
        </w:rPr>
        <w:t>;</w:t>
      </w:r>
    </w:p>
    <w:p w:rsidR="008A3535" w:rsidRDefault="008A3535" w:rsidP="008A3535">
      <w:pPr>
        <w:pStyle w:val="BodyText1"/>
        <w:numPr>
          <w:ilvl w:val="0"/>
          <w:numId w:val="1"/>
        </w:numPr>
        <w:rPr>
          <w:lang w:val="cs-CZ"/>
        </w:rPr>
      </w:pPr>
      <w:r>
        <w:rPr>
          <w:b/>
          <w:lang w:val="cs-CZ"/>
        </w:rPr>
        <w:t xml:space="preserve">nástroj </w:t>
      </w:r>
      <w:r w:rsidRPr="004D5A7D">
        <w:rPr>
          <w:b/>
          <w:lang w:val="cs-CZ"/>
        </w:rPr>
        <w:t>regulace dopravy</w:t>
      </w:r>
      <w:r>
        <w:rPr>
          <w:lang w:val="cs-CZ"/>
        </w:rPr>
        <w:t xml:space="preserve"> = zpoplatnění může určitým způsobem napomoci regulaci dopravy (prostorové, časové nebo kombinaci obou) a zajistit pozitivní motivaci k využívání páteřní sítě pozemních komunikací v ČR.</w:t>
      </w:r>
    </w:p>
    <w:p w:rsidR="008A3535" w:rsidRPr="00B01FB6" w:rsidRDefault="008A3535" w:rsidP="008A3535">
      <w:pPr>
        <w:pStyle w:val="BodyText1"/>
        <w:rPr>
          <w:lang w:val="cs-CZ"/>
        </w:rPr>
      </w:pPr>
      <w:r w:rsidRPr="00B01FB6">
        <w:rPr>
          <w:lang w:val="cs-CZ"/>
        </w:rPr>
        <w:t xml:space="preserve">Mezi další stěžejní cíle </w:t>
      </w:r>
      <w:r>
        <w:rPr>
          <w:lang w:val="cs-CZ"/>
        </w:rPr>
        <w:t xml:space="preserve">koncepce </w:t>
      </w:r>
      <w:r w:rsidRPr="00B01FB6">
        <w:rPr>
          <w:lang w:val="cs-CZ"/>
        </w:rPr>
        <w:t>zpoplatnění obecného užívání pozemních komunikací lze zařadit:</w:t>
      </w:r>
    </w:p>
    <w:p w:rsidR="008A3535" w:rsidRDefault="008A3535" w:rsidP="008A3535">
      <w:pPr>
        <w:pStyle w:val="BodyText1"/>
        <w:numPr>
          <w:ilvl w:val="0"/>
          <w:numId w:val="11"/>
        </w:numPr>
        <w:rPr>
          <w:lang w:val="cs-CZ"/>
        </w:rPr>
      </w:pPr>
      <w:r>
        <w:rPr>
          <w:lang w:val="cs-CZ"/>
        </w:rPr>
        <w:t xml:space="preserve">zajištění </w:t>
      </w:r>
      <w:r w:rsidRPr="008D4875">
        <w:rPr>
          <w:b/>
          <w:lang w:val="cs-CZ"/>
        </w:rPr>
        <w:t>interoperability</w:t>
      </w:r>
      <w:r>
        <w:rPr>
          <w:lang w:val="cs-CZ"/>
        </w:rPr>
        <w:t xml:space="preserve"> Systému elektronického mýta skrze zavedení regionální interoperability v duchu Evropské služby elektronického mýta a zavedení samotné Evropské služby elektronického mýta (dále také „EETS“);</w:t>
      </w:r>
    </w:p>
    <w:p w:rsidR="008A3535" w:rsidRDefault="008A3535" w:rsidP="008A3535">
      <w:pPr>
        <w:pStyle w:val="BodyText1"/>
        <w:numPr>
          <w:ilvl w:val="0"/>
          <w:numId w:val="11"/>
        </w:numPr>
        <w:rPr>
          <w:lang w:val="cs-CZ"/>
        </w:rPr>
      </w:pPr>
      <w:r w:rsidRPr="00B01FB6">
        <w:rPr>
          <w:lang w:val="cs-CZ"/>
        </w:rPr>
        <w:t xml:space="preserve">rozšíření možností </w:t>
      </w:r>
      <w:r w:rsidRPr="008D4875">
        <w:rPr>
          <w:b/>
          <w:lang w:val="cs-CZ"/>
        </w:rPr>
        <w:t>regulačních účinků</w:t>
      </w:r>
      <w:r w:rsidRPr="00B01FB6">
        <w:rPr>
          <w:lang w:val="cs-CZ"/>
        </w:rPr>
        <w:t xml:space="preserve"> mýta na silniční provoz s využitím možnosti flexibilního rozšiřování mýtných úseků a změn </w:t>
      </w:r>
      <w:r>
        <w:rPr>
          <w:lang w:val="cs-CZ"/>
        </w:rPr>
        <w:t xml:space="preserve">mýtných </w:t>
      </w:r>
      <w:r w:rsidRPr="00B01FB6">
        <w:rPr>
          <w:lang w:val="cs-CZ"/>
        </w:rPr>
        <w:t>sazeb nebo zaveden</w:t>
      </w:r>
      <w:r>
        <w:rPr>
          <w:lang w:val="cs-CZ"/>
        </w:rPr>
        <w:t>í</w:t>
      </w:r>
      <w:r w:rsidRPr="00B01FB6">
        <w:rPr>
          <w:lang w:val="cs-CZ"/>
        </w:rPr>
        <w:t>m nov</w:t>
      </w:r>
      <w:r>
        <w:rPr>
          <w:lang w:val="cs-CZ"/>
        </w:rPr>
        <w:t>ý</w:t>
      </w:r>
      <w:r w:rsidRPr="00B01FB6">
        <w:rPr>
          <w:lang w:val="cs-CZ"/>
        </w:rPr>
        <w:t xml:space="preserve">ch </w:t>
      </w:r>
      <w:r>
        <w:rPr>
          <w:lang w:val="cs-CZ"/>
        </w:rPr>
        <w:t xml:space="preserve">mýtných </w:t>
      </w:r>
      <w:r w:rsidRPr="00B01FB6">
        <w:rPr>
          <w:lang w:val="cs-CZ"/>
        </w:rPr>
        <w:t>sazeb</w:t>
      </w:r>
      <w:r>
        <w:rPr>
          <w:lang w:val="cs-CZ"/>
        </w:rPr>
        <w:t>;</w:t>
      </w:r>
    </w:p>
    <w:p w:rsidR="008A3535" w:rsidRDefault="008A3535" w:rsidP="008A3535">
      <w:pPr>
        <w:pStyle w:val="BodyText1"/>
        <w:numPr>
          <w:ilvl w:val="0"/>
          <w:numId w:val="11"/>
        </w:numPr>
        <w:rPr>
          <w:lang w:val="cs-CZ"/>
        </w:rPr>
      </w:pPr>
      <w:r>
        <w:rPr>
          <w:lang w:val="cs-CZ"/>
        </w:rPr>
        <w:t xml:space="preserve">zajištění </w:t>
      </w:r>
      <w:r w:rsidRPr="008D4875">
        <w:rPr>
          <w:b/>
          <w:lang w:val="cs-CZ"/>
        </w:rPr>
        <w:t>dat</w:t>
      </w:r>
      <w:r>
        <w:rPr>
          <w:lang w:val="cs-CZ"/>
        </w:rPr>
        <w:t xml:space="preserve"> o chování dopravního proudu pro řízení provozu na pozemních komunikacích;</w:t>
      </w:r>
    </w:p>
    <w:p w:rsidR="008A3535" w:rsidRDefault="008A3535" w:rsidP="008A3535">
      <w:pPr>
        <w:pStyle w:val="BodyText1"/>
        <w:numPr>
          <w:ilvl w:val="0"/>
          <w:numId w:val="11"/>
        </w:numPr>
        <w:rPr>
          <w:lang w:val="cs-CZ"/>
        </w:rPr>
      </w:pPr>
      <w:r>
        <w:rPr>
          <w:lang w:val="cs-CZ"/>
        </w:rPr>
        <w:t xml:space="preserve">zajištění </w:t>
      </w:r>
      <w:r w:rsidRPr="008D4875">
        <w:rPr>
          <w:b/>
          <w:lang w:val="cs-CZ"/>
        </w:rPr>
        <w:t>dat</w:t>
      </w:r>
      <w:r>
        <w:rPr>
          <w:lang w:val="cs-CZ"/>
        </w:rPr>
        <w:t xml:space="preserve"> pro efektivní hospodaření s vozovkou z hlediska údržby a oprav dle dopravní zátěže a skladby dopravního proudu a</w:t>
      </w:r>
    </w:p>
    <w:p w:rsidR="008A3535" w:rsidRPr="008D4875" w:rsidRDefault="008A3535" w:rsidP="008A3535">
      <w:pPr>
        <w:pStyle w:val="BodyText1"/>
        <w:numPr>
          <w:ilvl w:val="0"/>
          <w:numId w:val="11"/>
        </w:numPr>
        <w:rPr>
          <w:lang w:val="cs-CZ"/>
        </w:rPr>
      </w:pPr>
      <w:r>
        <w:rPr>
          <w:lang w:val="cs-CZ"/>
        </w:rPr>
        <w:t xml:space="preserve">nalezení </w:t>
      </w:r>
      <w:r w:rsidRPr="008D4875">
        <w:rPr>
          <w:b/>
          <w:lang w:val="cs-CZ"/>
        </w:rPr>
        <w:t>flexibilního a otevřeného</w:t>
      </w:r>
      <w:r>
        <w:rPr>
          <w:lang w:val="cs-CZ"/>
        </w:rPr>
        <w:t xml:space="preserve"> řešení umožňující další rozšiřování Systému elektronického mýta.</w:t>
      </w:r>
    </w:p>
    <w:p w:rsidR="008A3535" w:rsidRDefault="008A3535" w:rsidP="008A3535">
      <w:pPr>
        <w:pStyle w:val="BodyText1"/>
        <w:rPr>
          <w:lang w:val="cs-CZ"/>
        </w:rPr>
      </w:pPr>
      <w:r w:rsidRPr="00DD2F1B">
        <w:rPr>
          <w:lang w:val="cs-CZ"/>
        </w:rPr>
        <w:t xml:space="preserve">Mýtné je prostředkem pro zajištění </w:t>
      </w:r>
      <w:r w:rsidRPr="00DD2F1B">
        <w:rPr>
          <w:b/>
          <w:lang w:val="cs-CZ"/>
        </w:rPr>
        <w:t>návratnosti</w:t>
      </w:r>
      <w:r w:rsidRPr="00DD2F1B">
        <w:rPr>
          <w:lang w:val="cs-CZ"/>
        </w:rPr>
        <w:t xml:space="preserve"> investic do silniční infrastruktury. Mýtné by tak mělo zajistit </w:t>
      </w:r>
      <w:r w:rsidRPr="00DD2F1B">
        <w:rPr>
          <w:b/>
          <w:lang w:val="cs-CZ"/>
        </w:rPr>
        <w:t xml:space="preserve">roční </w:t>
      </w:r>
      <w:r w:rsidRPr="00DD2F1B">
        <w:rPr>
          <w:lang w:val="cs-CZ"/>
        </w:rPr>
        <w:t xml:space="preserve">návratnost prostředků na údržbu zpoplatněné sítě pozemních komunikací a </w:t>
      </w:r>
      <w:r w:rsidRPr="00DD2F1B">
        <w:rPr>
          <w:b/>
          <w:lang w:val="cs-CZ"/>
        </w:rPr>
        <w:t>roční podíl</w:t>
      </w:r>
      <w:r w:rsidRPr="00DD2F1B">
        <w:rPr>
          <w:lang w:val="cs-CZ"/>
        </w:rPr>
        <w:t xml:space="preserve"> z investičních nákladů tak, aby došlo k jejich úhradě za dobu životnosti této infrastruktury. Neopominutelným přínosem zpoplatnění je to, že se na úhradě nákladů na silniční infrastrukturu podílejí také </w:t>
      </w:r>
      <w:r w:rsidRPr="00DD2F1B">
        <w:rPr>
          <w:b/>
          <w:lang w:val="cs-CZ"/>
        </w:rPr>
        <w:t>zahraniční</w:t>
      </w:r>
      <w:r w:rsidRPr="00DD2F1B">
        <w:rPr>
          <w:lang w:val="cs-CZ"/>
        </w:rPr>
        <w:t xml:space="preserve"> vozidla, resp. všichni uživatelé této infrastruktury.</w:t>
      </w:r>
    </w:p>
    <w:p w:rsidR="00EA662A" w:rsidRDefault="00EA662A" w:rsidP="00EA662A">
      <w:pPr>
        <w:pStyle w:val="BodyText1"/>
        <w:rPr>
          <w:lang w:val="cs-CZ"/>
        </w:rPr>
      </w:pPr>
      <w:r>
        <w:rPr>
          <w:lang w:val="cs-CZ"/>
        </w:rPr>
        <w:t xml:space="preserve">Indikátorem naplnění cílů zpoplatnění obecného užívání pozemních komunikací vozidly s celkovou hmotností nad 3,5 tuny by měla být </w:t>
      </w:r>
      <w:r w:rsidRPr="004D5A7D">
        <w:rPr>
          <w:b/>
          <w:lang w:val="cs-CZ"/>
        </w:rPr>
        <w:t>míra nákladové efektivity</w:t>
      </w:r>
      <w:r>
        <w:rPr>
          <w:b/>
          <w:lang w:val="cs-CZ"/>
        </w:rPr>
        <w:t xml:space="preserve"> celého systému, tj. poměr výdajů a výnosů celého zpoplatnění</w:t>
      </w:r>
      <w:r>
        <w:rPr>
          <w:lang w:val="cs-CZ"/>
        </w:rPr>
        <w:t xml:space="preserve">, kterou Dopravní politika ČR pro období 2014 – 2020 s výhledem do roku 2050 stanovuje na úrovni </w:t>
      </w:r>
      <w:r w:rsidRPr="004D5A7D">
        <w:rPr>
          <w:b/>
          <w:lang w:val="cs-CZ"/>
        </w:rPr>
        <w:t>30</w:t>
      </w:r>
      <w:r>
        <w:rPr>
          <w:b/>
          <w:lang w:val="cs-CZ"/>
        </w:rPr>
        <w:t xml:space="preserve"> </w:t>
      </w:r>
      <w:r w:rsidRPr="004D5A7D">
        <w:rPr>
          <w:b/>
          <w:lang w:val="cs-CZ"/>
        </w:rPr>
        <w:t>%</w:t>
      </w:r>
      <w:r>
        <w:rPr>
          <w:lang w:val="cs-CZ"/>
        </w:rPr>
        <w:t>.</w:t>
      </w:r>
    </w:p>
    <w:p w:rsidR="00E378ED" w:rsidRDefault="00E378ED" w:rsidP="00EA662A">
      <w:pPr>
        <w:pStyle w:val="BodyText1"/>
        <w:rPr>
          <w:lang w:val="cs-CZ"/>
        </w:rPr>
      </w:pPr>
      <w:r>
        <w:rPr>
          <w:lang w:val="cs-CZ"/>
        </w:rPr>
        <w:t xml:space="preserve">V souvislosti se zpoplatněním pozemních komunikací nepřímo souvisí problematika objíždění těchto pozemních komunikací, případně regulace tranzitní (zbytné) dopravy na pozemních komunikacích, které nejsou k tomuto účelu navrženy. Ministerstvo dopravy považuje problematiku objíždění </w:t>
      </w:r>
      <w:r>
        <w:rPr>
          <w:lang w:val="cs-CZ"/>
        </w:rPr>
        <w:lastRenderedPageBreak/>
        <w:t>zpoplatněných pozemích komunikací za marginální záležitost, kterou ovšem již nyní mohou mnohé obce dle v současnosti platné legislativy řešit, a to především s využitím zákona č. 13/1997 Sb., o pozemních komunikacích a zákona č. 361/2000 Sb., o provozu na pozemních komunikacích.  Problematiku regulace tranzitní dopravy také důkladněji řeší připravované novela zákona č. 13/1997 Sb., o pozemních komunikacích, která v Poslanecké sněmovně Parlamentu České republiky prošla 1. čtením, avšak v souvislosti s jejím rozpuštěním bude nutné celý proces opětovně zahájit.</w:t>
      </w:r>
    </w:p>
    <w:p w:rsidR="00396955" w:rsidRPr="00DD2F1B" w:rsidRDefault="00396955" w:rsidP="00396955">
      <w:pPr>
        <w:pStyle w:val="BodyText1"/>
        <w:rPr>
          <w:lang w:val="cs-CZ"/>
        </w:rPr>
      </w:pPr>
      <w:r>
        <w:rPr>
          <w:lang w:val="cs-CZ"/>
        </w:rPr>
        <w:t xml:space="preserve">S ohledem na výše uvedené cíle je nutné </w:t>
      </w:r>
      <w:r w:rsidRPr="00DD2F1B">
        <w:rPr>
          <w:lang w:val="cs-CZ"/>
        </w:rPr>
        <w:t>se</w:t>
      </w:r>
      <w:r>
        <w:rPr>
          <w:lang w:val="cs-CZ"/>
        </w:rPr>
        <w:t xml:space="preserve"> zabývat</w:t>
      </w:r>
      <w:r w:rsidRPr="00DD2F1B">
        <w:rPr>
          <w:lang w:val="cs-CZ"/>
        </w:rPr>
        <w:t xml:space="preserve"> možnostmi případného rozšíření výkonového zpoplatnění, a to v</w:t>
      </w:r>
      <w:r>
        <w:rPr>
          <w:lang w:val="cs-CZ"/>
        </w:rPr>
        <w:t>e dvou</w:t>
      </w:r>
      <w:r w:rsidRPr="00DD2F1B">
        <w:rPr>
          <w:lang w:val="cs-CZ"/>
        </w:rPr>
        <w:t> níže uvedených časových etapách.</w:t>
      </w:r>
    </w:p>
    <w:p w:rsidR="00396955" w:rsidRPr="00DD2F1B" w:rsidRDefault="00396955" w:rsidP="00396955">
      <w:pPr>
        <w:rPr>
          <w:b/>
          <w:sz w:val="24"/>
          <w:szCs w:val="24"/>
          <w:lang w:val="cs-CZ"/>
        </w:rPr>
      </w:pPr>
      <w:r w:rsidRPr="00DD2F1B">
        <w:rPr>
          <w:b/>
          <w:sz w:val="24"/>
          <w:szCs w:val="24"/>
          <w:lang w:val="cs-CZ"/>
        </w:rPr>
        <w:t>Do roku 2016</w:t>
      </w:r>
    </w:p>
    <w:p w:rsidR="00396955" w:rsidRPr="00DD2F1B" w:rsidRDefault="00396955" w:rsidP="00396955">
      <w:pPr>
        <w:pStyle w:val="BodyText1"/>
        <w:rPr>
          <w:lang w:val="cs-CZ"/>
        </w:rPr>
      </w:pPr>
      <w:r w:rsidRPr="00DD2F1B">
        <w:rPr>
          <w:lang w:val="cs-CZ"/>
        </w:rPr>
        <w:t>Do konce roku 2016 není možné realizovat zásadní systémové změny v oblasti výkonového zpoplatnění, a to z důvodu existence smlouvy se stávajícím p</w:t>
      </w:r>
      <w:r>
        <w:rPr>
          <w:lang w:val="cs-CZ"/>
        </w:rPr>
        <w:t>oskytovatelem služeb souvisejících s provozem S</w:t>
      </w:r>
      <w:r w:rsidR="00D65F69">
        <w:rPr>
          <w:lang w:val="cs-CZ"/>
        </w:rPr>
        <w:t>ystému elektronického mýta (dále také „S</w:t>
      </w:r>
      <w:r>
        <w:rPr>
          <w:lang w:val="cs-CZ"/>
        </w:rPr>
        <w:t>EM</w:t>
      </w:r>
      <w:r w:rsidR="00D65F69">
        <w:rPr>
          <w:lang w:val="cs-CZ"/>
        </w:rPr>
        <w:t>“)</w:t>
      </w:r>
      <w:r w:rsidRPr="00DD2F1B">
        <w:rPr>
          <w:lang w:val="cs-CZ"/>
        </w:rPr>
        <w:t>. Výjimkou je zavedení Evropské sl</w:t>
      </w:r>
      <w:r w:rsidR="003547F2">
        <w:rPr>
          <w:lang w:val="cs-CZ"/>
        </w:rPr>
        <w:t>užby elektronického mýta či zavedení regionální interoperability.</w:t>
      </w:r>
    </w:p>
    <w:p w:rsidR="00396955" w:rsidRPr="00DD2F1B" w:rsidRDefault="00396955" w:rsidP="00396955">
      <w:pPr>
        <w:pStyle w:val="BodyText1"/>
        <w:rPr>
          <w:lang w:val="cs-CZ"/>
        </w:rPr>
      </w:pPr>
      <w:r w:rsidRPr="00DD2F1B">
        <w:rPr>
          <w:lang w:val="cs-CZ"/>
        </w:rPr>
        <w:t xml:space="preserve">Navýšení příjmů je možné </w:t>
      </w:r>
      <w:r w:rsidR="00E378ED">
        <w:rPr>
          <w:lang w:val="cs-CZ"/>
        </w:rPr>
        <w:t>o</w:t>
      </w:r>
      <w:r w:rsidRPr="00DD2F1B">
        <w:rPr>
          <w:lang w:val="cs-CZ"/>
        </w:rPr>
        <w:t xml:space="preserve">d 1. 1. 2015 </w:t>
      </w:r>
      <w:r w:rsidR="00E378ED">
        <w:rPr>
          <w:lang w:val="cs-CZ"/>
        </w:rPr>
        <w:t>realizovat zvýšením</w:t>
      </w:r>
      <w:r w:rsidRPr="00DD2F1B">
        <w:rPr>
          <w:lang w:val="cs-CZ"/>
        </w:rPr>
        <w:t xml:space="preserve"> </w:t>
      </w:r>
      <w:r w:rsidR="00E378ED">
        <w:rPr>
          <w:lang w:val="cs-CZ"/>
        </w:rPr>
        <w:t xml:space="preserve">mýtných </w:t>
      </w:r>
      <w:r w:rsidRPr="00DD2F1B">
        <w:rPr>
          <w:lang w:val="cs-CZ"/>
        </w:rPr>
        <w:t>saz</w:t>
      </w:r>
      <w:r w:rsidR="00E378ED">
        <w:rPr>
          <w:lang w:val="cs-CZ"/>
        </w:rPr>
        <w:t>e</w:t>
      </w:r>
      <w:r w:rsidRPr="00DD2F1B">
        <w:rPr>
          <w:lang w:val="cs-CZ"/>
        </w:rPr>
        <w:t>b v emisní kategorii Euro V a vyšší a dosáhnout tak jejich přiblížení k</w:t>
      </w:r>
      <w:r w:rsidR="003547F2">
        <w:rPr>
          <w:lang w:val="cs-CZ"/>
        </w:rPr>
        <w:t xml:space="preserve"> mýtným sazbám </w:t>
      </w:r>
      <w:r w:rsidRPr="00DD2F1B">
        <w:rPr>
          <w:lang w:val="cs-CZ"/>
        </w:rPr>
        <w:t>ostatní</w:t>
      </w:r>
      <w:r w:rsidR="003547F2">
        <w:rPr>
          <w:lang w:val="cs-CZ"/>
        </w:rPr>
        <w:t>ch</w:t>
      </w:r>
      <w:r w:rsidRPr="00DD2F1B">
        <w:rPr>
          <w:lang w:val="cs-CZ"/>
        </w:rPr>
        <w:t xml:space="preserve"> emisní</w:t>
      </w:r>
      <w:r w:rsidR="003547F2">
        <w:rPr>
          <w:lang w:val="cs-CZ"/>
        </w:rPr>
        <w:t>ch</w:t>
      </w:r>
      <w:r w:rsidRPr="00DD2F1B">
        <w:rPr>
          <w:lang w:val="cs-CZ"/>
        </w:rPr>
        <w:t xml:space="preserve"> kategorií. V rámci této změny může dojít také k úpravě struktury tarifních skupin s ohledem na zavádění vozidel splňujících emisní normu Euro VI. </w:t>
      </w:r>
    </w:p>
    <w:p w:rsidR="00396955" w:rsidRPr="00DD2F1B" w:rsidRDefault="00396955" w:rsidP="00396955">
      <w:pPr>
        <w:pStyle w:val="BodyText1"/>
        <w:rPr>
          <w:b/>
          <w:sz w:val="24"/>
          <w:szCs w:val="24"/>
          <w:lang w:val="cs-CZ"/>
        </w:rPr>
      </w:pPr>
      <w:r w:rsidRPr="00DD2F1B">
        <w:rPr>
          <w:b/>
          <w:sz w:val="24"/>
          <w:szCs w:val="24"/>
          <w:lang w:val="cs-CZ"/>
        </w:rPr>
        <w:t>Po roce 2016</w:t>
      </w:r>
    </w:p>
    <w:p w:rsidR="00396955" w:rsidRPr="00DD2F1B" w:rsidRDefault="00396955" w:rsidP="00396955">
      <w:pPr>
        <w:pStyle w:val="BodyText1"/>
        <w:rPr>
          <w:lang w:val="cs-CZ"/>
        </w:rPr>
      </w:pPr>
      <w:r w:rsidRPr="00DD2F1B">
        <w:rPr>
          <w:lang w:val="cs-CZ"/>
        </w:rPr>
        <w:t xml:space="preserve">Pokud bude po roce 2016 provozován systém v rozsahu nynější zpoplatněné sítě, bude možno využít </w:t>
      </w:r>
      <w:r>
        <w:rPr>
          <w:lang w:val="cs-CZ"/>
        </w:rPr>
        <w:t xml:space="preserve">součásti </w:t>
      </w:r>
      <w:r w:rsidRPr="00DD2F1B">
        <w:rPr>
          <w:lang w:val="cs-CZ"/>
        </w:rPr>
        <w:t>stávající mýtné infrastruktury a bude potřeba zajistit formou zadávacího řízení poskytovatele služeb souvisejících s provozem tohoto mýtného systému.</w:t>
      </w:r>
    </w:p>
    <w:p w:rsidR="00396955" w:rsidRPr="00DD2F1B" w:rsidRDefault="00396955" w:rsidP="00396955">
      <w:pPr>
        <w:pStyle w:val="BodyText1"/>
        <w:rPr>
          <w:lang w:val="cs-CZ"/>
        </w:rPr>
      </w:pPr>
      <w:r w:rsidRPr="00DD2F1B">
        <w:rPr>
          <w:lang w:val="cs-CZ"/>
        </w:rPr>
        <w:t xml:space="preserve">Pokud bude </w:t>
      </w:r>
      <w:r>
        <w:rPr>
          <w:lang w:val="cs-CZ"/>
        </w:rPr>
        <w:t>realizováno</w:t>
      </w:r>
      <w:r w:rsidRPr="00DD2F1B">
        <w:rPr>
          <w:lang w:val="cs-CZ"/>
        </w:rPr>
        <w:t xml:space="preserve"> rozšíření rozsahu zpoplatněných pozemních komunikací, bude nutné zajistit:</w:t>
      </w:r>
    </w:p>
    <w:p w:rsidR="00396955" w:rsidRPr="00DD2F1B" w:rsidRDefault="00396955" w:rsidP="00396955">
      <w:pPr>
        <w:pStyle w:val="BodyText1"/>
        <w:numPr>
          <w:ilvl w:val="0"/>
          <w:numId w:val="1"/>
        </w:numPr>
        <w:rPr>
          <w:lang w:val="cs-CZ"/>
        </w:rPr>
      </w:pPr>
      <w:r w:rsidRPr="00DD2F1B">
        <w:rPr>
          <w:lang w:val="cs-CZ"/>
        </w:rPr>
        <w:t>rozhodnutí o rozsahu zpoplatnění;</w:t>
      </w:r>
    </w:p>
    <w:p w:rsidR="00396955" w:rsidRPr="00DD2F1B" w:rsidRDefault="00396955" w:rsidP="00396955">
      <w:pPr>
        <w:pStyle w:val="BodyText1"/>
        <w:numPr>
          <w:ilvl w:val="0"/>
          <w:numId w:val="1"/>
        </w:numPr>
        <w:rPr>
          <w:lang w:val="cs-CZ"/>
        </w:rPr>
      </w:pPr>
      <w:r w:rsidRPr="00DD2F1B">
        <w:rPr>
          <w:lang w:val="cs-CZ"/>
        </w:rPr>
        <w:t>služby projektového manažera;</w:t>
      </w:r>
    </w:p>
    <w:p w:rsidR="00396955" w:rsidRPr="00DD2F1B" w:rsidRDefault="00396955" w:rsidP="00396955">
      <w:pPr>
        <w:pStyle w:val="BodyText1"/>
        <w:numPr>
          <w:ilvl w:val="0"/>
          <w:numId w:val="1"/>
        </w:numPr>
        <w:rPr>
          <w:lang w:val="cs-CZ"/>
        </w:rPr>
      </w:pPr>
      <w:r w:rsidRPr="00DD2F1B">
        <w:rPr>
          <w:lang w:val="cs-CZ"/>
        </w:rPr>
        <w:t>zadávací řízení na nový (rozšířený) systém výkonového zpoplatnění a jeho provozování;</w:t>
      </w:r>
    </w:p>
    <w:p w:rsidR="00396955" w:rsidRPr="00DD2F1B" w:rsidRDefault="00396955" w:rsidP="00396955">
      <w:pPr>
        <w:pStyle w:val="BodyText1"/>
        <w:numPr>
          <w:ilvl w:val="0"/>
          <w:numId w:val="1"/>
        </w:numPr>
        <w:rPr>
          <w:lang w:val="cs-CZ"/>
        </w:rPr>
      </w:pPr>
      <w:r w:rsidRPr="00DD2F1B">
        <w:rPr>
          <w:lang w:val="cs-CZ"/>
        </w:rPr>
        <w:t>návaznost nového systému výkonového zpoplatnění na stávající systém;</w:t>
      </w:r>
    </w:p>
    <w:p w:rsidR="00396955" w:rsidRPr="00DD2F1B" w:rsidRDefault="00396955" w:rsidP="00396955">
      <w:pPr>
        <w:pStyle w:val="BodyText1"/>
        <w:numPr>
          <w:ilvl w:val="0"/>
          <w:numId w:val="1"/>
        </w:numPr>
        <w:rPr>
          <w:lang w:val="cs-CZ"/>
        </w:rPr>
      </w:pPr>
      <w:r w:rsidRPr="00DD2F1B">
        <w:rPr>
          <w:lang w:val="cs-CZ"/>
        </w:rPr>
        <w:t>zadávací řízení na označení zpoplatněných komunikací i pozemních komunikací na ně navazujících.</w:t>
      </w:r>
    </w:p>
    <w:p w:rsidR="00396955" w:rsidRPr="00DD2F1B" w:rsidRDefault="00396955" w:rsidP="00396955">
      <w:pPr>
        <w:pStyle w:val="BodyText1"/>
        <w:rPr>
          <w:lang w:val="cs-CZ"/>
        </w:rPr>
      </w:pPr>
      <w:r w:rsidRPr="00DD2F1B">
        <w:rPr>
          <w:lang w:val="cs-CZ"/>
        </w:rPr>
        <w:t xml:space="preserve">Z provedené technicko-ekonomické analýzy různých variant rozsahu zpoplatnění vyplývá, že výkonové zpoplatnění silnic II., případně III. třídy není </w:t>
      </w:r>
      <w:r>
        <w:rPr>
          <w:lang w:val="cs-CZ"/>
        </w:rPr>
        <w:t xml:space="preserve">dle současné úrovně znalostí </w:t>
      </w:r>
      <w:r w:rsidRPr="00DD2F1B">
        <w:rPr>
          <w:lang w:val="cs-CZ"/>
        </w:rPr>
        <w:t xml:space="preserve">ekonomicky výhodné. V případě, že bude uvažováno se zpoplatněním vybraných úseků silnic </w:t>
      </w:r>
      <w:r>
        <w:rPr>
          <w:lang w:val="cs-CZ"/>
        </w:rPr>
        <w:t xml:space="preserve">jiných vlastníků (např. silnic </w:t>
      </w:r>
      <w:r w:rsidRPr="00DD2F1B">
        <w:rPr>
          <w:lang w:val="cs-CZ"/>
        </w:rPr>
        <w:t>II.</w:t>
      </w:r>
      <w:r>
        <w:rPr>
          <w:lang w:val="cs-CZ"/>
        </w:rPr>
        <w:t xml:space="preserve"> a III.</w:t>
      </w:r>
      <w:r w:rsidRPr="00DD2F1B">
        <w:rPr>
          <w:lang w:val="cs-CZ"/>
        </w:rPr>
        <w:t xml:space="preserve"> třídy</w:t>
      </w:r>
      <w:r>
        <w:rPr>
          <w:lang w:val="cs-CZ"/>
        </w:rPr>
        <w:t>)</w:t>
      </w:r>
      <w:r w:rsidRPr="00DD2F1B">
        <w:rPr>
          <w:lang w:val="cs-CZ"/>
        </w:rPr>
        <w:t>, musí být vyřešeno na jedné straně směrování příjmů z vybraného mýtného vlastníkům komunikací (tedy krajům</w:t>
      </w:r>
      <w:r>
        <w:rPr>
          <w:lang w:val="cs-CZ"/>
        </w:rPr>
        <w:t xml:space="preserve"> v případě silnic II. a III. třídy</w:t>
      </w:r>
      <w:r w:rsidRPr="00DD2F1B">
        <w:rPr>
          <w:lang w:val="cs-CZ"/>
        </w:rPr>
        <w:t xml:space="preserve">) a na druhé straně musí být zajištěno, aby se </w:t>
      </w:r>
      <w:r>
        <w:rPr>
          <w:lang w:val="cs-CZ"/>
        </w:rPr>
        <w:t xml:space="preserve">vlastníci těchto pozemních komunikací </w:t>
      </w:r>
      <w:r w:rsidRPr="00DD2F1B">
        <w:rPr>
          <w:lang w:val="cs-CZ"/>
        </w:rPr>
        <w:t>podílel</w:t>
      </w:r>
      <w:r>
        <w:rPr>
          <w:lang w:val="cs-CZ"/>
        </w:rPr>
        <w:t>i</w:t>
      </w:r>
      <w:r w:rsidRPr="00DD2F1B">
        <w:rPr>
          <w:lang w:val="cs-CZ"/>
        </w:rPr>
        <w:t xml:space="preserve"> na úhradě přiměřené části nákladů na výběr mýtného. </w:t>
      </w:r>
      <w:r>
        <w:rPr>
          <w:lang w:val="cs-CZ"/>
        </w:rPr>
        <w:t>V každém případě by mělo být zajištěno dodržení míry nákladové efektivity pod hranicí 30</w:t>
      </w:r>
      <w:r w:rsidR="008A3535">
        <w:rPr>
          <w:lang w:val="cs-CZ"/>
        </w:rPr>
        <w:t xml:space="preserve"> </w:t>
      </w:r>
      <w:r>
        <w:rPr>
          <w:lang w:val="cs-CZ"/>
        </w:rPr>
        <w:t>%.</w:t>
      </w:r>
    </w:p>
    <w:p w:rsidR="00396955" w:rsidRDefault="00396955" w:rsidP="00396955">
      <w:pPr>
        <w:pStyle w:val="BodyText1"/>
        <w:rPr>
          <w:lang w:val="cs-CZ"/>
        </w:rPr>
      </w:pPr>
      <w:r w:rsidRPr="00DD2F1B">
        <w:rPr>
          <w:lang w:val="cs-CZ"/>
        </w:rPr>
        <w:lastRenderedPageBreak/>
        <w:t>Jako doplněk k současnému výkonovému zpoplatnění dálnic, rychlostních silnic a vybraných úseků silnic I. třídy lze realizovat časové zpoplatnění silnic I. třídy, případně i silnic nižších tříd. Na základě provedených analýz lze konstatovat, že časové zpoplatnění je možným způsobem zpoplatnění, který ovšem má i mnohé nevýhody (ne příliš systémové a koncepčně omezené řešení bez rozvojového potenciálu). Na druhou stranu se jedná o způsob zpoplatnění s vysokou efektivitou výběru časových poplatků, avšak bez zabezpečení příjmů velkých finančních prostředků</w:t>
      </w:r>
      <w:r>
        <w:rPr>
          <w:lang w:val="cs-CZ"/>
        </w:rPr>
        <w:t xml:space="preserve"> (tj. není zcela naplňován fiskální cíl zpoplatnění obecného užívání pozemních komunikací)</w:t>
      </w:r>
      <w:r w:rsidRPr="00DD2F1B">
        <w:rPr>
          <w:lang w:val="cs-CZ"/>
        </w:rPr>
        <w:t>.</w:t>
      </w:r>
    </w:p>
    <w:p w:rsidR="00396955" w:rsidRPr="00D50D0C" w:rsidRDefault="00396955" w:rsidP="00396955">
      <w:pPr>
        <w:pStyle w:val="BodyText1"/>
        <w:rPr>
          <w:b/>
          <w:lang w:val="cs-CZ"/>
        </w:rPr>
      </w:pPr>
      <w:r>
        <w:rPr>
          <w:b/>
          <w:lang w:val="cs-CZ"/>
        </w:rPr>
        <w:t xml:space="preserve">Základní východiska </w:t>
      </w:r>
    </w:p>
    <w:p w:rsidR="00396955" w:rsidRDefault="00396955" w:rsidP="00396955">
      <w:pPr>
        <w:pStyle w:val="BodyText1"/>
        <w:rPr>
          <w:lang w:val="cs-CZ"/>
        </w:rPr>
      </w:pPr>
      <w:r>
        <w:rPr>
          <w:lang w:val="cs-CZ"/>
        </w:rPr>
        <w:t>V dalším textu</w:t>
      </w:r>
      <w:r w:rsidR="003547F2">
        <w:rPr>
          <w:lang w:val="cs-CZ"/>
        </w:rPr>
        <w:t xml:space="preserve"> a v textu přílohy</w:t>
      </w:r>
      <w:r>
        <w:rPr>
          <w:lang w:val="cs-CZ"/>
        </w:rPr>
        <w:t xml:space="preserve"> č. 1 jsou uvedeny argumenty a souvislosti mapující problematiku různých variant zpoplatnění a rozsahu zpoplatněné sítě a jejich ekonomické porovnání. Na základě dále uvedených skutečností je nutné se zaměřit především na následující východiska:</w:t>
      </w:r>
    </w:p>
    <w:p w:rsidR="00396955" w:rsidRPr="001B3875" w:rsidRDefault="00396955" w:rsidP="00396955">
      <w:pPr>
        <w:pStyle w:val="BodyText1"/>
        <w:numPr>
          <w:ilvl w:val="0"/>
          <w:numId w:val="2"/>
        </w:numPr>
        <w:rPr>
          <w:lang w:val="cs-CZ"/>
        </w:rPr>
      </w:pPr>
      <w:r w:rsidRPr="004D5A7D">
        <w:rPr>
          <w:b/>
          <w:lang w:val="cs-CZ"/>
        </w:rPr>
        <w:t>výkon</w:t>
      </w:r>
      <w:r>
        <w:rPr>
          <w:b/>
          <w:lang w:val="cs-CZ"/>
        </w:rPr>
        <w:t>ová</w:t>
      </w:r>
      <w:r w:rsidRPr="004D5A7D">
        <w:rPr>
          <w:b/>
          <w:lang w:val="cs-CZ"/>
        </w:rPr>
        <w:t xml:space="preserve"> variant</w:t>
      </w:r>
      <w:r>
        <w:rPr>
          <w:b/>
          <w:lang w:val="cs-CZ"/>
        </w:rPr>
        <w:t>a</w:t>
      </w:r>
      <w:r w:rsidRPr="004D5A7D">
        <w:rPr>
          <w:b/>
          <w:lang w:val="cs-CZ"/>
        </w:rPr>
        <w:t xml:space="preserve"> zpoplatnění</w:t>
      </w:r>
      <w:r>
        <w:rPr>
          <w:lang w:val="cs-CZ"/>
        </w:rPr>
        <w:t xml:space="preserve"> – z důvodu zajištění základního fiskálního cíle mýtného systému, kterou časové zpoplatnění nedokáže v plné míře naplnit;</w:t>
      </w:r>
    </w:p>
    <w:p w:rsidR="00396955" w:rsidRPr="001B3875" w:rsidRDefault="00396955" w:rsidP="00396955">
      <w:pPr>
        <w:pStyle w:val="BodyText1"/>
        <w:numPr>
          <w:ilvl w:val="0"/>
          <w:numId w:val="2"/>
        </w:numPr>
        <w:rPr>
          <w:lang w:val="cs-CZ"/>
        </w:rPr>
      </w:pPr>
      <w:r w:rsidRPr="004D5A7D">
        <w:rPr>
          <w:b/>
          <w:lang w:val="cs-CZ"/>
        </w:rPr>
        <w:t>nabídnutí komponent stávajícího Systému elektronického mýta</w:t>
      </w:r>
      <w:r>
        <w:rPr>
          <w:lang w:val="cs-CZ"/>
        </w:rPr>
        <w:t xml:space="preserve"> uchazečům v</w:t>
      </w:r>
      <w:r w:rsidR="00E00667">
        <w:rPr>
          <w:lang w:val="cs-CZ"/>
        </w:rPr>
        <w:t> zadávacím řízení</w:t>
      </w:r>
      <w:r>
        <w:rPr>
          <w:lang w:val="cs-CZ"/>
        </w:rPr>
        <w:t xml:space="preserve"> na nový </w:t>
      </w:r>
      <w:r w:rsidR="003547F2">
        <w:rPr>
          <w:lang w:val="cs-CZ"/>
        </w:rPr>
        <w:t>S</w:t>
      </w:r>
      <w:r>
        <w:rPr>
          <w:lang w:val="cs-CZ"/>
        </w:rPr>
        <w:t>ystém elektronického mýtného – z důvodu využití již realizovaných investic do technologických částí stávajícího systému (např. ko</w:t>
      </w:r>
      <w:r w:rsidR="003547F2">
        <w:rPr>
          <w:lang w:val="cs-CZ"/>
        </w:rPr>
        <w:t>ntrolní brány, palubní jednotky atd.)</w:t>
      </w:r>
      <w:r>
        <w:rPr>
          <w:lang w:val="cs-CZ"/>
        </w:rPr>
        <w:t>;</w:t>
      </w:r>
    </w:p>
    <w:p w:rsidR="00396955" w:rsidRPr="001B3875" w:rsidRDefault="00396955" w:rsidP="00396955">
      <w:pPr>
        <w:pStyle w:val="BodyText1"/>
        <w:numPr>
          <w:ilvl w:val="0"/>
          <w:numId w:val="2"/>
        </w:numPr>
        <w:rPr>
          <w:lang w:val="cs-CZ"/>
        </w:rPr>
      </w:pPr>
      <w:r w:rsidRPr="004D5A7D">
        <w:rPr>
          <w:b/>
          <w:lang w:val="cs-CZ"/>
        </w:rPr>
        <w:t>zpoplatnění rozšířit</w:t>
      </w:r>
      <w:r>
        <w:rPr>
          <w:lang w:val="cs-CZ"/>
        </w:rPr>
        <w:t xml:space="preserve"> na cílový rozsah sítě zahrnující </w:t>
      </w:r>
      <w:r w:rsidRPr="004D5A7D">
        <w:rPr>
          <w:b/>
          <w:lang w:val="cs-CZ"/>
        </w:rPr>
        <w:t>všechny dálnice, rychlostní silnice a silnice I. třídy</w:t>
      </w:r>
      <w:r>
        <w:rPr>
          <w:lang w:val="cs-CZ"/>
        </w:rPr>
        <w:t xml:space="preserve"> s tím, že uchazeč bude povinen nabídnout v rámci podané nabídky finanční podmínky pro rozšiřování zpoplatněné sítě o pozemní komunikace jiných vlastníků, ke kterému by mohlo dojít pouze za předpokladu splnění indikátoru naplnění cíle (tj. nákladovost do 30</w:t>
      </w:r>
      <w:r w:rsidR="008A3535">
        <w:rPr>
          <w:lang w:val="cs-CZ"/>
        </w:rPr>
        <w:t xml:space="preserve"> </w:t>
      </w:r>
      <w:r>
        <w:rPr>
          <w:lang w:val="cs-CZ"/>
        </w:rPr>
        <w:t>%);</w:t>
      </w:r>
    </w:p>
    <w:p w:rsidR="00396955" w:rsidRDefault="00396955" w:rsidP="00396955">
      <w:pPr>
        <w:pStyle w:val="BodyText1"/>
        <w:numPr>
          <w:ilvl w:val="0"/>
          <w:numId w:val="2"/>
        </w:numPr>
        <w:rPr>
          <w:lang w:val="cs-CZ"/>
        </w:rPr>
      </w:pPr>
      <w:r w:rsidRPr="004D5A7D">
        <w:rPr>
          <w:b/>
          <w:lang w:val="cs-CZ"/>
        </w:rPr>
        <w:t>bez odkladu</w:t>
      </w:r>
      <w:r w:rsidRPr="001B3875">
        <w:rPr>
          <w:lang w:val="cs-CZ"/>
        </w:rPr>
        <w:t xml:space="preserve"> zavést Evropskou službu elektronického mýta do roku 2016</w:t>
      </w:r>
      <w:r>
        <w:rPr>
          <w:lang w:val="cs-CZ"/>
        </w:rPr>
        <w:t xml:space="preserve"> – z důvodu naplnění evropské legislativy, a to r</w:t>
      </w:r>
      <w:r w:rsidRPr="00E27206">
        <w:rPr>
          <w:lang w:val="cs-CZ"/>
        </w:rPr>
        <w:t>ozhodnutí Komise 2009/750/ES ze dne 6. října 2009 o definici evropské služby elektronického mýtného a jejích technických prvků</w:t>
      </w:r>
      <w:r w:rsidR="008A3535">
        <w:rPr>
          <w:lang w:val="cs-CZ"/>
        </w:rPr>
        <w:t xml:space="preserve"> (dále také „Rozhodnutí 2009/750/ES“)</w:t>
      </w:r>
      <w:r>
        <w:rPr>
          <w:lang w:val="cs-CZ"/>
        </w:rPr>
        <w:t>;</w:t>
      </w:r>
    </w:p>
    <w:p w:rsidR="00396955" w:rsidRDefault="00396955" w:rsidP="00C76E75">
      <w:pPr>
        <w:pStyle w:val="BodyText1"/>
        <w:numPr>
          <w:ilvl w:val="0"/>
          <w:numId w:val="2"/>
        </w:numPr>
        <w:ind w:left="568" w:hanging="284"/>
        <w:rPr>
          <w:lang w:val="cs-CZ"/>
        </w:rPr>
      </w:pPr>
      <w:r w:rsidRPr="00396955">
        <w:rPr>
          <w:b/>
          <w:lang w:val="cs-CZ"/>
        </w:rPr>
        <w:t>Systém elektronického mýta</w:t>
      </w:r>
      <w:r>
        <w:rPr>
          <w:lang w:val="cs-CZ"/>
        </w:rPr>
        <w:t xml:space="preserve"> po roce 2016 navrhnout a provozovat v souladu s unijním právem a</w:t>
      </w:r>
    </w:p>
    <w:p w:rsidR="00396955" w:rsidRDefault="00396955" w:rsidP="00715F11">
      <w:pPr>
        <w:pStyle w:val="BodyText1"/>
        <w:numPr>
          <w:ilvl w:val="0"/>
          <w:numId w:val="2"/>
        </w:numPr>
        <w:ind w:left="568" w:hanging="284"/>
        <w:rPr>
          <w:lang w:val="cs-CZ"/>
        </w:rPr>
      </w:pPr>
      <w:r w:rsidRPr="007263E1">
        <w:rPr>
          <w:b/>
          <w:lang w:val="cs-CZ"/>
        </w:rPr>
        <w:t>Systém elektronického mýta</w:t>
      </w:r>
      <w:r>
        <w:rPr>
          <w:lang w:val="cs-CZ"/>
        </w:rPr>
        <w:t xml:space="preserve"> po roce 2016 otevřít novým funkcionalitám, resp. dalším telematickým aplikacím a systémům, které by mohly využít jak mýtnou infrastrukturu, tak systém samotný.</w:t>
      </w:r>
    </w:p>
    <w:p w:rsidR="008D4875" w:rsidRPr="008D4875" w:rsidRDefault="008D4875" w:rsidP="008D4875">
      <w:pPr>
        <w:jc w:val="both"/>
        <w:rPr>
          <w:b/>
          <w:sz w:val="22"/>
          <w:szCs w:val="22"/>
          <w:lang w:val="cs-CZ"/>
        </w:rPr>
      </w:pPr>
      <w:r w:rsidRPr="008D4875">
        <w:rPr>
          <w:b/>
          <w:sz w:val="22"/>
          <w:szCs w:val="22"/>
          <w:lang w:val="cs-CZ"/>
        </w:rPr>
        <w:t>Základní ekonomické parametry koncepce výkonového zpoplatnění pozemních komunikací</w:t>
      </w:r>
    </w:p>
    <w:p w:rsidR="00EC28FF" w:rsidRDefault="00EC28FF" w:rsidP="00EC28FF">
      <w:pPr>
        <w:jc w:val="both"/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t>Mezi základní ekonomické aspekty koncepce výkonového zpoplatnění obecného užívání pozemních komunikací lze řadit následující:</w:t>
      </w:r>
    </w:p>
    <w:p w:rsidR="00C76E75" w:rsidRDefault="00C76E75" w:rsidP="00C76E75">
      <w:pPr>
        <w:pStyle w:val="BodyText1"/>
        <w:numPr>
          <w:ilvl w:val="0"/>
          <w:numId w:val="2"/>
        </w:numPr>
        <w:rPr>
          <w:lang w:val="cs-CZ"/>
        </w:rPr>
      </w:pPr>
      <w:r w:rsidRPr="00C76E75">
        <w:rPr>
          <w:lang w:val="cs-CZ"/>
        </w:rPr>
        <w:t>Potenciál navýšení čistých příjmů z výkonového zpoplatnění všech silnic I. třídy v délce cca 4000 km je cca 2,5 mld. Kč při mýtných sazbách roku 2011</w:t>
      </w:r>
      <w:r>
        <w:rPr>
          <w:lang w:val="cs-CZ"/>
        </w:rPr>
        <w:t>.</w:t>
      </w:r>
    </w:p>
    <w:p w:rsidR="00C76E75" w:rsidRPr="00C76E75" w:rsidRDefault="00C76E75" w:rsidP="00C76E75">
      <w:pPr>
        <w:pStyle w:val="BodyText1"/>
        <w:numPr>
          <w:ilvl w:val="0"/>
          <w:numId w:val="2"/>
        </w:numPr>
        <w:rPr>
          <w:lang w:val="cs-CZ"/>
        </w:rPr>
      </w:pPr>
      <w:r w:rsidRPr="00715F11">
        <w:rPr>
          <w:szCs w:val="22"/>
          <w:lang w:val="cs-CZ"/>
        </w:rPr>
        <w:t>Potenciál ročního výběru mýtného na silnicích II. třídy není významný, ale některé z nich může být vhodné zpoplatnit z regulačních důvodů, na druhou stranu ekonomika systému bude podstatně složitější, neboť se náklady a výnosy z mýta budou dělit mezi stát a kraje</w:t>
      </w:r>
      <w:r>
        <w:rPr>
          <w:szCs w:val="22"/>
          <w:lang w:val="cs-CZ"/>
        </w:rPr>
        <w:t>.</w:t>
      </w:r>
    </w:p>
    <w:p w:rsidR="00C76E75" w:rsidRDefault="00C76E75" w:rsidP="00C76E75">
      <w:pPr>
        <w:pStyle w:val="BodyText1"/>
        <w:numPr>
          <w:ilvl w:val="0"/>
          <w:numId w:val="2"/>
        </w:numPr>
        <w:rPr>
          <w:lang w:val="cs-CZ"/>
        </w:rPr>
      </w:pPr>
      <w:r w:rsidRPr="00C76E75">
        <w:rPr>
          <w:szCs w:val="22"/>
          <w:lang w:val="cs-CZ"/>
        </w:rPr>
        <w:lastRenderedPageBreak/>
        <w:t xml:space="preserve">Investiční náklady na rozšíření mýta na dálnice, rychlostní silnice a silnice I. třídy byly odhadnuty v závislosti na </w:t>
      </w:r>
      <w:r w:rsidR="00A145D9">
        <w:rPr>
          <w:szCs w:val="22"/>
          <w:lang w:val="cs-CZ"/>
        </w:rPr>
        <w:t>rozsahu</w:t>
      </w:r>
      <w:r w:rsidRPr="00C76E75">
        <w:rPr>
          <w:szCs w:val="22"/>
          <w:lang w:val="cs-CZ"/>
        </w:rPr>
        <w:t xml:space="preserve"> zpoplatněn</w:t>
      </w:r>
      <w:r w:rsidR="00A145D9">
        <w:rPr>
          <w:szCs w:val="22"/>
          <w:lang w:val="cs-CZ"/>
        </w:rPr>
        <w:t>ých pozemních komunikací</w:t>
      </w:r>
      <w:r w:rsidRPr="00C76E75">
        <w:rPr>
          <w:szCs w:val="22"/>
          <w:lang w:val="cs-CZ"/>
        </w:rPr>
        <w:t xml:space="preserve"> a zvolené technologii zpoplatnění v rozmezí 3,6 až 4,4 mld. Kč</w:t>
      </w:r>
      <w:r>
        <w:rPr>
          <w:lang w:val="cs-CZ"/>
        </w:rPr>
        <w:t>.</w:t>
      </w:r>
    </w:p>
    <w:p w:rsidR="00C76E75" w:rsidRDefault="00C76E75" w:rsidP="00C76E75">
      <w:pPr>
        <w:pStyle w:val="BodyText1"/>
        <w:numPr>
          <w:ilvl w:val="0"/>
          <w:numId w:val="2"/>
        </w:numPr>
        <w:rPr>
          <w:szCs w:val="22"/>
          <w:lang w:val="cs-CZ"/>
        </w:rPr>
      </w:pPr>
      <w:r w:rsidRPr="00C76E75">
        <w:rPr>
          <w:szCs w:val="22"/>
          <w:lang w:val="cs-CZ"/>
        </w:rPr>
        <w:t>Průměrné roční provozní náklady na mýtný systém byly odhadnuty na cca 1,9 až 2,4 mld. Kč.</w:t>
      </w:r>
    </w:p>
    <w:p w:rsidR="00045D16" w:rsidRDefault="00C76E75" w:rsidP="008D4875">
      <w:pPr>
        <w:pStyle w:val="BodyText1"/>
        <w:numPr>
          <w:ilvl w:val="0"/>
          <w:numId w:val="2"/>
        </w:numPr>
        <w:rPr>
          <w:szCs w:val="22"/>
          <w:lang w:val="cs-CZ"/>
        </w:rPr>
      </w:pPr>
      <w:r w:rsidRPr="00045D16">
        <w:rPr>
          <w:szCs w:val="22"/>
          <w:lang w:val="cs-CZ"/>
        </w:rPr>
        <w:t>N</w:t>
      </w:r>
      <w:r w:rsidR="008D4875" w:rsidRPr="00045D16">
        <w:rPr>
          <w:szCs w:val="22"/>
          <w:lang w:val="cs-CZ"/>
        </w:rPr>
        <w:t>áklad</w:t>
      </w:r>
      <w:r w:rsidRPr="00045D16">
        <w:rPr>
          <w:szCs w:val="22"/>
          <w:lang w:val="cs-CZ"/>
        </w:rPr>
        <w:t xml:space="preserve">ová efektivita Systému elektronického mýta </w:t>
      </w:r>
      <w:r w:rsidR="00045D16" w:rsidRPr="00045D16">
        <w:rPr>
          <w:szCs w:val="22"/>
          <w:lang w:val="cs-CZ"/>
        </w:rPr>
        <w:t>je odhadována v rozmezí 18 – 21</w:t>
      </w:r>
      <w:r w:rsidR="00E378ED">
        <w:rPr>
          <w:szCs w:val="22"/>
          <w:lang w:val="cs-CZ"/>
        </w:rPr>
        <w:t xml:space="preserve"> </w:t>
      </w:r>
      <w:r w:rsidR="00045D16" w:rsidRPr="00045D16">
        <w:rPr>
          <w:szCs w:val="22"/>
          <w:lang w:val="cs-CZ"/>
        </w:rPr>
        <w:t>% s hodnotou rizik v rozmezí od 9 do 51</w:t>
      </w:r>
      <w:r w:rsidR="0030323E">
        <w:rPr>
          <w:szCs w:val="22"/>
          <w:lang w:val="cs-CZ"/>
        </w:rPr>
        <w:t xml:space="preserve"> </w:t>
      </w:r>
      <w:r w:rsidR="0030323E" w:rsidRPr="0030323E">
        <w:rPr>
          <w:szCs w:val="22"/>
          <w:lang w:val="cs-CZ"/>
        </w:rPr>
        <w:t>(viz Tabulka č. 3)</w:t>
      </w:r>
      <w:r w:rsidR="00045D16" w:rsidRPr="00045D16">
        <w:rPr>
          <w:szCs w:val="22"/>
          <w:lang w:val="cs-CZ"/>
        </w:rPr>
        <w:t>, a to na základě zvolené posouzené varianty</w:t>
      </w:r>
      <w:r w:rsidR="008D4875" w:rsidRPr="00045D16">
        <w:rPr>
          <w:szCs w:val="22"/>
          <w:lang w:val="cs-CZ"/>
        </w:rPr>
        <w:t>.</w:t>
      </w:r>
    </w:p>
    <w:p w:rsidR="00045D16" w:rsidRPr="00045D16" w:rsidRDefault="00045D16" w:rsidP="008D4875">
      <w:pPr>
        <w:pStyle w:val="BodyText1"/>
        <w:numPr>
          <w:ilvl w:val="0"/>
          <w:numId w:val="2"/>
        </w:numPr>
        <w:spacing w:before="120"/>
        <w:rPr>
          <w:szCs w:val="22"/>
        </w:rPr>
      </w:pPr>
      <w:r w:rsidRPr="00045D16">
        <w:rPr>
          <w:szCs w:val="22"/>
          <w:lang w:val="cs-CZ"/>
        </w:rPr>
        <w:t>N</w:t>
      </w:r>
      <w:r w:rsidR="008D4875" w:rsidRPr="00045D16">
        <w:rPr>
          <w:szCs w:val="22"/>
          <w:lang w:val="cs-CZ"/>
        </w:rPr>
        <w:t xml:space="preserve">áklady na </w:t>
      </w:r>
      <w:r w:rsidRPr="00045D16">
        <w:rPr>
          <w:szCs w:val="22"/>
          <w:lang w:val="cs-CZ"/>
        </w:rPr>
        <w:t xml:space="preserve">Systém elektronického mýta </w:t>
      </w:r>
      <w:r w:rsidR="008D4875" w:rsidRPr="00045D16">
        <w:rPr>
          <w:szCs w:val="22"/>
          <w:lang w:val="cs-CZ"/>
        </w:rPr>
        <w:t xml:space="preserve">po roce 2016 budou určeny na základě </w:t>
      </w:r>
      <w:r w:rsidR="008A3535">
        <w:rPr>
          <w:szCs w:val="22"/>
          <w:lang w:val="cs-CZ"/>
        </w:rPr>
        <w:t xml:space="preserve">zadávacího </w:t>
      </w:r>
      <w:r w:rsidR="008D4875" w:rsidRPr="00045D16">
        <w:rPr>
          <w:szCs w:val="22"/>
          <w:lang w:val="cs-CZ"/>
        </w:rPr>
        <w:t>řízení.</w:t>
      </w:r>
    </w:p>
    <w:p w:rsidR="008D4875" w:rsidRPr="00045D16" w:rsidRDefault="00045D16" w:rsidP="008D4875">
      <w:pPr>
        <w:pStyle w:val="BodyText1"/>
        <w:numPr>
          <w:ilvl w:val="0"/>
          <w:numId w:val="2"/>
        </w:numPr>
        <w:spacing w:before="120"/>
        <w:rPr>
          <w:szCs w:val="22"/>
          <w:lang w:val="cs-CZ"/>
        </w:rPr>
      </w:pPr>
      <w:r w:rsidRPr="00045D16">
        <w:rPr>
          <w:szCs w:val="22"/>
          <w:lang w:val="cs-CZ"/>
        </w:rPr>
        <w:t>K</w:t>
      </w:r>
      <w:r w:rsidR="008D4875" w:rsidRPr="00045D16">
        <w:rPr>
          <w:szCs w:val="22"/>
          <w:lang w:val="cs-CZ"/>
        </w:rPr>
        <w:t xml:space="preserve"> nákladům na rozšíření zpoplatnění je nutné připočíst náklady na zákonem předepsané </w:t>
      </w:r>
      <w:r w:rsidR="00A145D9">
        <w:rPr>
          <w:szCs w:val="22"/>
          <w:lang w:val="cs-CZ"/>
        </w:rPr>
        <w:t>dopravní z</w:t>
      </w:r>
      <w:r w:rsidR="008D4875" w:rsidRPr="00045D16">
        <w:rPr>
          <w:szCs w:val="22"/>
          <w:lang w:val="cs-CZ"/>
        </w:rPr>
        <w:t xml:space="preserve">načení zpoplatněných úseků silnic I. a případně </w:t>
      </w:r>
      <w:r>
        <w:rPr>
          <w:szCs w:val="22"/>
          <w:lang w:val="cs-CZ"/>
        </w:rPr>
        <w:t xml:space="preserve">silnic </w:t>
      </w:r>
      <w:r w:rsidR="008D4875" w:rsidRPr="00045D16">
        <w:rPr>
          <w:szCs w:val="22"/>
          <w:lang w:val="cs-CZ"/>
        </w:rPr>
        <w:t xml:space="preserve">nižších tříd. Náklady </w:t>
      </w:r>
      <w:r w:rsidR="00A145D9">
        <w:rPr>
          <w:szCs w:val="22"/>
          <w:lang w:val="cs-CZ"/>
        </w:rPr>
        <w:t xml:space="preserve">na </w:t>
      </w:r>
      <w:r>
        <w:rPr>
          <w:szCs w:val="22"/>
          <w:lang w:val="cs-CZ"/>
        </w:rPr>
        <w:t xml:space="preserve">dopravní značení pro zpoplatnění silnic I. třídy </w:t>
      </w:r>
      <w:r w:rsidR="008D4875" w:rsidRPr="00045D16">
        <w:rPr>
          <w:szCs w:val="22"/>
          <w:lang w:val="cs-CZ"/>
        </w:rPr>
        <w:t>by</w:t>
      </w:r>
      <w:r w:rsidR="00A145D9">
        <w:rPr>
          <w:szCs w:val="22"/>
          <w:lang w:val="cs-CZ"/>
        </w:rPr>
        <w:t>ly odhadnuty na cca 220 mil. Kč</w:t>
      </w:r>
      <w:r w:rsidR="008D4875" w:rsidRPr="00045D16">
        <w:rPr>
          <w:szCs w:val="22"/>
          <w:lang w:val="cs-CZ"/>
        </w:rPr>
        <w:t>.</w:t>
      </w:r>
    </w:p>
    <w:p w:rsidR="00396955" w:rsidRPr="00396955" w:rsidRDefault="00396955" w:rsidP="00396955">
      <w:pPr>
        <w:pStyle w:val="BodyText1"/>
        <w:rPr>
          <w:b/>
          <w:lang w:val="cs-CZ"/>
        </w:rPr>
      </w:pPr>
      <w:r w:rsidRPr="00396955">
        <w:rPr>
          <w:b/>
          <w:lang w:val="cs-CZ"/>
        </w:rPr>
        <w:t>Projektový manažer</w:t>
      </w:r>
    </w:p>
    <w:p w:rsidR="00396955" w:rsidRDefault="00396955" w:rsidP="00396955">
      <w:pPr>
        <w:pStyle w:val="BodyText1"/>
        <w:rPr>
          <w:lang w:val="cs-CZ"/>
        </w:rPr>
      </w:pPr>
      <w:r>
        <w:rPr>
          <w:lang w:val="cs-CZ"/>
        </w:rPr>
        <w:t xml:space="preserve">V současné době je bezpodmínečně nutné okamžitě zahájit veškeré nutné kroky k výběru projektového manažera, a to </w:t>
      </w:r>
      <w:r w:rsidR="00EA662A">
        <w:rPr>
          <w:lang w:val="cs-CZ"/>
        </w:rPr>
        <w:t>nejpozději do poloviny roku 2014</w:t>
      </w:r>
      <w:r>
        <w:rPr>
          <w:lang w:val="cs-CZ"/>
        </w:rPr>
        <w:t>, který následně zanalyzuje, na základě vládou ČR schváleného rozsahu zpoplatnění, nejvýhodnější varianty zpoplatnění, které budou předloženy vládě Č</w:t>
      </w:r>
      <w:r w:rsidR="00A145D9">
        <w:rPr>
          <w:lang w:val="cs-CZ"/>
        </w:rPr>
        <w:t>eské republiky</w:t>
      </w:r>
      <w:r>
        <w:rPr>
          <w:lang w:val="cs-CZ"/>
        </w:rPr>
        <w:t xml:space="preserve"> k rozhodnutí, na jehož základě dojde k jejich realizaci.</w:t>
      </w:r>
    </w:p>
    <w:p w:rsidR="00FB58E8" w:rsidRPr="00FB58E8" w:rsidRDefault="00FB58E8" w:rsidP="00396955">
      <w:pPr>
        <w:pStyle w:val="BodyText1"/>
        <w:rPr>
          <w:b/>
          <w:lang w:val="cs-CZ"/>
        </w:rPr>
      </w:pPr>
      <w:r w:rsidRPr="00FB58E8">
        <w:rPr>
          <w:b/>
          <w:lang w:val="cs-CZ"/>
        </w:rPr>
        <w:t>Časov</w:t>
      </w:r>
      <w:r w:rsidR="00A145D9">
        <w:rPr>
          <w:b/>
          <w:lang w:val="cs-CZ"/>
        </w:rPr>
        <w:t>ý</w:t>
      </w:r>
      <w:r w:rsidRPr="00FB58E8">
        <w:rPr>
          <w:b/>
          <w:lang w:val="cs-CZ"/>
        </w:rPr>
        <w:t xml:space="preserve"> harmonogram</w:t>
      </w:r>
    </w:p>
    <w:p w:rsidR="00FB58E8" w:rsidRDefault="00FB58E8" w:rsidP="00396955">
      <w:pPr>
        <w:pStyle w:val="BodyText1"/>
        <w:rPr>
          <w:lang w:val="cs-CZ"/>
        </w:rPr>
      </w:pPr>
      <w:r w:rsidRPr="00DD2F1B">
        <w:rPr>
          <w:szCs w:val="22"/>
          <w:lang w:val="cs-CZ" w:eastAsia="cs-CZ"/>
        </w:rPr>
        <w:t xml:space="preserve">Má-li dojít dne 1. 1. 2017 ke spuštění nového mýtného systému, resp. k zahájení poskytování služeb spojených s provozem mýtného systému novým poskytovatelem, je nezbytné, aby byly včas splněny </w:t>
      </w:r>
      <w:r>
        <w:rPr>
          <w:szCs w:val="22"/>
          <w:lang w:val="cs-CZ" w:eastAsia="cs-CZ"/>
        </w:rPr>
        <w:t xml:space="preserve">všechny důležité </w:t>
      </w:r>
      <w:r w:rsidRPr="00DD2F1B">
        <w:rPr>
          <w:szCs w:val="22"/>
          <w:lang w:val="cs-CZ" w:eastAsia="cs-CZ"/>
        </w:rPr>
        <w:t>milníky</w:t>
      </w:r>
      <w:r>
        <w:rPr>
          <w:szCs w:val="22"/>
          <w:lang w:val="cs-CZ" w:eastAsia="cs-CZ"/>
        </w:rPr>
        <w:t xml:space="preserve"> uvedené v příloze č. 1.</w:t>
      </w:r>
    </w:p>
    <w:p w:rsidR="00396955" w:rsidRDefault="00396955" w:rsidP="00396955">
      <w:pPr>
        <w:pStyle w:val="Nadpis1"/>
        <w:rPr>
          <w:sz w:val="40"/>
          <w:szCs w:val="40"/>
          <w:lang w:val="cs-CZ"/>
        </w:rPr>
      </w:pPr>
      <w:bookmarkStart w:id="16" w:name="_Toc367436502"/>
    </w:p>
    <w:p w:rsidR="00396955" w:rsidRDefault="00396955">
      <w:pPr>
        <w:rPr>
          <w:b/>
          <w:bCs/>
          <w:caps/>
          <w:color w:val="FFFFFF" w:themeColor="background1"/>
          <w:spacing w:val="15"/>
          <w:sz w:val="40"/>
          <w:szCs w:val="40"/>
          <w:lang w:val="cs-CZ"/>
        </w:rPr>
      </w:pPr>
      <w:r>
        <w:rPr>
          <w:sz w:val="40"/>
          <w:szCs w:val="40"/>
          <w:lang w:val="cs-CZ"/>
        </w:rPr>
        <w:br w:type="page"/>
      </w:r>
    </w:p>
    <w:p w:rsidR="00396955" w:rsidRPr="00DD2F1B" w:rsidRDefault="00396955" w:rsidP="00396955">
      <w:pPr>
        <w:pStyle w:val="Nadpis1"/>
        <w:rPr>
          <w:sz w:val="40"/>
          <w:szCs w:val="40"/>
          <w:lang w:val="cs-CZ"/>
        </w:rPr>
      </w:pPr>
      <w:bookmarkStart w:id="17" w:name="_Toc368311164"/>
      <w:bookmarkStart w:id="18" w:name="_Toc368327074"/>
      <w:r w:rsidRPr="00DD2F1B">
        <w:rPr>
          <w:sz w:val="40"/>
          <w:szCs w:val="40"/>
          <w:lang w:val="cs-CZ"/>
        </w:rPr>
        <w:lastRenderedPageBreak/>
        <w:t>KONCEPCE DO ROKU 2016</w:t>
      </w:r>
      <w:bookmarkEnd w:id="16"/>
      <w:bookmarkEnd w:id="17"/>
      <w:bookmarkEnd w:id="18"/>
    </w:p>
    <w:p w:rsidR="00396955" w:rsidRPr="00DD2F1B" w:rsidRDefault="00396955" w:rsidP="00396955">
      <w:pPr>
        <w:spacing w:before="120"/>
        <w:jc w:val="both"/>
        <w:rPr>
          <w:rFonts w:cs="Calibri"/>
          <w:sz w:val="22"/>
          <w:szCs w:val="22"/>
          <w:lang w:val="cs-CZ"/>
        </w:rPr>
      </w:pPr>
      <w:r w:rsidRPr="00DD2F1B">
        <w:rPr>
          <w:rFonts w:cs="Calibri"/>
          <w:sz w:val="22"/>
          <w:szCs w:val="22"/>
          <w:lang w:val="cs-CZ"/>
        </w:rPr>
        <w:t xml:space="preserve">Do konce roku 2016 není možné realizovat zásadní systémové změny v oblasti výkonového zpoplatnění, vyjma zavedení Evropské služby elektronického mýta či zavedení případné regionální interoperability mýtných systémů České republiky, Republiky Rakouska a Polské republiky. Současně v rámci zavádění regionální interoperability je možné zapojit SEM České republiky do projektu </w:t>
      </w:r>
      <w:proofErr w:type="spellStart"/>
      <w:r w:rsidRPr="00DD2F1B">
        <w:rPr>
          <w:rFonts w:cs="Calibri"/>
          <w:sz w:val="22"/>
          <w:szCs w:val="22"/>
          <w:lang w:val="cs-CZ"/>
        </w:rPr>
        <w:t>EasyGo</w:t>
      </w:r>
      <w:proofErr w:type="spellEnd"/>
      <w:r w:rsidRPr="00DD2F1B">
        <w:rPr>
          <w:rFonts w:cs="Calibri"/>
          <w:sz w:val="22"/>
          <w:szCs w:val="22"/>
          <w:lang w:val="cs-CZ"/>
        </w:rPr>
        <w:t>+, který zavádí interoperabilitu mezi mikrovlnnými mýtnými systémy skandinávských zemí a Republiky Rakouska.</w:t>
      </w:r>
    </w:p>
    <w:p w:rsidR="00396955" w:rsidRPr="00DD2F1B" w:rsidRDefault="00396955" w:rsidP="00396955">
      <w:pPr>
        <w:pStyle w:val="Nadpis2"/>
        <w:rPr>
          <w:sz w:val="28"/>
          <w:szCs w:val="28"/>
          <w:lang w:val="cs-CZ"/>
        </w:rPr>
      </w:pPr>
      <w:bookmarkStart w:id="19" w:name="_Toc367436503"/>
      <w:bookmarkStart w:id="20" w:name="_Toc368311165"/>
      <w:bookmarkStart w:id="21" w:name="_Toc368327075"/>
      <w:r w:rsidRPr="00DD2F1B">
        <w:rPr>
          <w:kern w:val="32"/>
          <w:sz w:val="28"/>
          <w:szCs w:val="28"/>
          <w:lang w:val="cs-CZ"/>
        </w:rPr>
        <w:t>Rozsah zpoplatněných pozemních komunikací</w:t>
      </w:r>
      <w:bookmarkEnd w:id="19"/>
      <w:bookmarkEnd w:id="20"/>
      <w:bookmarkEnd w:id="21"/>
      <w:r w:rsidRPr="00DD2F1B">
        <w:rPr>
          <w:sz w:val="28"/>
          <w:szCs w:val="28"/>
          <w:lang w:val="cs-CZ"/>
        </w:rPr>
        <w:t xml:space="preserve"> </w:t>
      </w:r>
    </w:p>
    <w:p w:rsidR="00396955" w:rsidRPr="00DD2F1B" w:rsidRDefault="00396955" w:rsidP="00396955">
      <w:pPr>
        <w:jc w:val="both"/>
        <w:rPr>
          <w:rFonts w:cs="Calibri"/>
          <w:sz w:val="22"/>
          <w:szCs w:val="22"/>
          <w:lang w:val="cs-CZ"/>
        </w:rPr>
      </w:pPr>
      <w:r w:rsidRPr="00DD2F1B">
        <w:rPr>
          <w:rFonts w:cs="Calibri"/>
          <w:sz w:val="22"/>
          <w:szCs w:val="22"/>
          <w:lang w:val="cs-CZ"/>
        </w:rPr>
        <w:t>Do roku 2016 bude zachován stávající rozsah zpoplatněných komunikací, tj. 1244,3 km zpoplatněných dálnic a rychlostních silnic a 201,9 km silnic I. třídy. Výjimkou budou nově budované úseky na dálniční síti, které budou zpoplatňovány postupně tak, jak budou uváděny do provozu.</w:t>
      </w:r>
    </w:p>
    <w:p w:rsidR="00396955" w:rsidRPr="00DD2F1B" w:rsidRDefault="00396955" w:rsidP="00396955">
      <w:pPr>
        <w:pStyle w:val="Nadpis2"/>
        <w:rPr>
          <w:sz w:val="28"/>
          <w:szCs w:val="28"/>
          <w:lang w:val="cs-CZ"/>
        </w:rPr>
      </w:pPr>
      <w:bookmarkStart w:id="22" w:name="_Toc367436504"/>
      <w:bookmarkStart w:id="23" w:name="_Toc368311166"/>
      <w:bookmarkStart w:id="24" w:name="_Toc368327076"/>
      <w:r w:rsidRPr="00DD2F1B">
        <w:rPr>
          <w:kern w:val="32"/>
          <w:sz w:val="28"/>
          <w:szCs w:val="28"/>
          <w:lang w:val="cs-CZ"/>
        </w:rPr>
        <w:t>Změny výkonového zpoplatnění do roku 2016</w:t>
      </w:r>
      <w:bookmarkEnd w:id="22"/>
      <w:bookmarkEnd w:id="23"/>
      <w:bookmarkEnd w:id="24"/>
    </w:p>
    <w:p w:rsidR="00396955" w:rsidRPr="00DD2F1B" w:rsidRDefault="00396955" w:rsidP="00396955">
      <w:pPr>
        <w:jc w:val="both"/>
        <w:rPr>
          <w:rFonts w:cs="Calibri"/>
          <w:sz w:val="22"/>
          <w:szCs w:val="22"/>
          <w:lang w:val="cs-CZ"/>
        </w:rPr>
      </w:pPr>
      <w:r w:rsidRPr="00DD2F1B">
        <w:rPr>
          <w:rFonts w:cs="Calibri"/>
          <w:sz w:val="22"/>
          <w:szCs w:val="22"/>
          <w:lang w:val="cs-CZ"/>
        </w:rPr>
        <w:t>Změny ve výkonovém zpoplatnění budou realizovány výhradně úpravou sazeb, případně zaváděním Evropské služby elektronického mýta či regionální interoperability s okolními státy EU.</w:t>
      </w:r>
    </w:p>
    <w:p w:rsidR="00396955" w:rsidRPr="00DD2F1B" w:rsidRDefault="00396955" w:rsidP="00396955">
      <w:pPr>
        <w:jc w:val="both"/>
        <w:rPr>
          <w:rFonts w:cs="Calibri"/>
          <w:sz w:val="22"/>
          <w:szCs w:val="22"/>
          <w:lang w:val="cs-CZ"/>
        </w:rPr>
      </w:pPr>
      <w:r w:rsidRPr="00DD2F1B">
        <w:rPr>
          <w:rFonts w:cs="Calibri"/>
          <w:sz w:val="22"/>
          <w:szCs w:val="22"/>
          <w:lang w:val="cs-CZ"/>
        </w:rPr>
        <w:t xml:space="preserve">Od 1. 1. 2015 dojde k navýšení </w:t>
      </w:r>
      <w:r w:rsidR="00A145D9">
        <w:rPr>
          <w:rFonts w:cs="Calibri"/>
          <w:sz w:val="22"/>
          <w:szCs w:val="22"/>
          <w:lang w:val="cs-CZ"/>
        </w:rPr>
        <w:t xml:space="preserve">mýtných </w:t>
      </w:r>
      <w:r w:rsidRPr="00DD2F1B">
        <w:rPr>
          <w:rFonts w:cs="Calibri"/>
          <w:sz w:val="22"/>
          <w:szCs w:val="22"/>
          <w:lang w:val="cs-CZ"/>
        </w:rPr>
        <w:t xml:space="preserve">sazeb </w:t>
      </w:r>
      <w:r w:rsidR="00A145D9">
        <w:rPr>
          <w:rFonts w:cs="Calibri"/>
          <w:sz w:val="22"/>
          <w:szCs w:val="22"/>
          <w:lang w:val="cs-CZ"/>
        </w:rPr>
        <w:t xml:space="preserve">pro </w:t>
      </w:r>
      <w:r w:rsidRPr="00DD2F1B">
        <w:rPr>
          <w:rFonts w:cs="Calibri"/>
          <w:sz w:val="22"/>
          <w:szCs w:val="22"/>
          <w:lang w:val="cs-CZ"/>
        </w:rPr>
        <w:t>emisní kategorii Euro V a vyšší a přiblížení</w:t>
      </w:r>
      <w:r w:rsidR="00A145D9">
        <w:rPr>
          <w:rFonts w:cs="Calibri"/>
          <w:sz w:val="22"/>
          <w:szCs w:val="22"/>
          <w:lang w:val="cs-CZ"/>
        </w:rPr>
        <w:t xml:space="preserve"> těchto mýtných sazeb k mýtným sazbám ostatních emisních </w:t>
      </w:r>
      <w:r w:rsidRPr="00DD2F1B">
        <w:rPr>
          <w:rFonts w:cs="Calibri"/>
          <w:sz w:val="22"/>
          <w:szCs w:val="22"/>
          <w:lang w:val="cs-CZ"/>
        </w:rPr>
        <w:t xml:space="preserve">kategorií.  V rámci této změny může dojít také k úpravě struktury tarifních skupin s ohledem na zavádění vozidel splňujících </w:t>
      </w:r>
      <w:r>
        <w:rPr>
          <w:rFonts w:cs="Calibri"/>
          <w:sz w:val="22"/>
          <w:szCs w:val="22"/>
          <w:lang w:val="cs-CZ"/>
        </w:rPr>
        <w:t xml:space="preserve">emisní </w:t>
      </w:r>
      <w:r w:rsidRPr="00DD2F1B">
        <w:rPr>
          <w:rFonts w:cs="Calibri"/>
          <w:sz w:val="22"/>
          <w:szCs w:val="22"/>
          <w:lang w:val="cs-CZ"/>
        </w:rPr>
        <w:t>normu Euro VI. Také dojde ke zhodnocení fungování systému a slev a případně budou navrženy úpravy, které vyplynou z této analýzy.</w:t>
      </w:r>
    </w:p>
    <w:p w:rsidR="00396955" w:rsidRPr="00DD2F1B" w:rsidRDefault="00396955" w:rsidP="00396955">
      <w:pPr>
        <w:pStyle w:val="Nadpis2"/>
        <w:rPr>
          <w:sz w:val="28"/>
          <w:szCs w:val="28"/>
          <w:lang w:val="cs-CZ"/>
        </w:rPr>
      </w:pPr>
      <w:bookmarkStart w:id="25" w:name="_Toc367436505"/>
      <w:bookmarkStart w:id="26" w:name="_Toc368311167"/>
      <w:bookmarkStart w:id="27" w:name="_Toc368327077"/>
      <w:r w:rsidRPr="00DD2F1B">
        <w:rPr>
          <w:sz w:val="28"/>
          <w:szCs w:val="28"/>
          <w:lang w:val="cs-CZ"/>
        </w:rPr>
        <w:t>Evropská služba elektronického mýta v České republice</w:t>
      </w:r>
      <w:bookmarkEnd w:id="25"/>
      <w:bookmarkEnd w:id="26"/>
      <w:bookmarkEnd w:id="27"/>
    </w:p>
    <w:p w:rsidR="008A3535" w:rsidRPr="00DD2F1B" w:rsidRDefault="008A3535" w:rsidP="008A3535">
      <w:pPr>
        <w:jc w:val="both"/>
        <w:rPr>
          <w:rFonts w:cs="Calibri"/>
          <w:sz w:val="22"/>
          <w:szCs w:val="22"/>
          <w:lang w:val="cs-CZ"/>
        </w:rPr>
      </w:pPr>
      <w:r w:rsidRPr="00DD2F1B">
        <w:rPr>
          <w:rFonts w:cs="Calibri"/>
          <w:sz w:val="22"/>
          <w:szCs w:val="22"/>
          <w:lang w:val="cs-CZ"/>
        </w:rPr>
        <w:t xml:space="preserve">Jak již bylo uvedeno výše, tak do roku 2016 lze realizovat významnější změny v Systému elektronického mýta pouze v rámci zavádění EETS v České republice, k čemuž se Česká republika zavázala v rámci schválení návrhu rozhodnutí Evropské komise o definice Evropské služby elektronického mýta a jejích technických prvků, který byl hlasy všech členských států tehdejšího Evropského společenství podpořen. Součástí schváleného návrhu definice EETS byla i tzv. deklarace členských států Evropského společenství, v rámci níž se členské státy zavázaly do 36 měsíců od data uveřejnění rozhodnutí ve věstníku Evropského společenství uvést Evropskou službu elektronického mýta v život. Návrh rozhodnutí </w:t>
      </w:r>
      <w:r>
        <w:rPr>
          <w:rFonts w:cs="Calibri"/>
          <w:sz w:val="22"/>
          <w:szCs w:val="22"/>
          <w:lang w:val="cs-CZ"/>
        </w:rPr>
        <w:t xml:space="preserve">o </w:t>
      </w:r>
      <w:r w:rsidRPr="00DD2F1B">
        <w:rPr>
          <w:rFonts w:cs="Calibri"/>
          <w:sz w:val="22"/>
          <w:szCs w:val="22"/>
          <w:lang w:val="cs-CZ"/>
        </w:rPr>
        <w:t xml:space="preserve">definice EETS byl následně schválen Evropskou komisí a uveřejněn ve věstníku Evropského společenství dne 6. října 2009, jako </w:t>
      </w:r>
      <w:r w:rsidRPr="00DD2F1B">
        <w:rPr>
          <w:sz w:val="22"/>
          <w:szCs w:val="22"/>
          <w:lang w:val="cs-CZ"/>
        </w:rPr>
        <w:t xml:space="preserve">rozhodnutí Komise 2009/750/ES ze </w:t>
      </w:r>
      <w:proofErr w:type="gramStart"/>
      <w:r w:rsidRPr="00DD2F1B">
        <w:rPr>
          <w:sz w:val="22"/>
          <w:szCs w:val="22"/>
          <w:lang w:val="cs-CZ"/>
        </w:rPr>
        <w:t>dne         6. října</w:t>
      </w:r>
      <w:proofErr w:type="gramEnd"/>
      <w:r w:rsidRPr="00DD2F1B">
        <w:rPr>
          <w:sz w:val="22"/>
          <w:szCs w:val="22"/>
          <w:lang w:val="cs-CZ"/>
        </w:rPr>
        <w:t xml:space="preserve"> 2009 o definici evropské služby elektronického mýtného a jejích technických prvků</w:t>
      </w:r>
      <w:r w:rsidRPr="00DD2F1B">
        <w:rPr>
          <w:rFonts w:cs="Calibri"/>
          <w:sz w:val="22"/>
          <w:szCs w:val="22"/>
          <w:lang w:val="cs-CZ"/>
        </w:rPr>
        <w:t xml:space="preserve">. V rámci zavádění EETS je vhodné přistoupit k tzv. Regionální evropské službě elektronického mýta (dále také „REETS“), která si postupným zaváděním regionálních </w:t>
      </w:r>
      <w:proofErr w:type="spellStart"/>
      <w:r w:rsidRPr="00DD2F1B">
        <w:rPr>
          <w:rFonts w:cs="Calibri"/>
          <w:sz w:val="22"/>
          <w:szCs w:val="22"/>
          <w:lang w:val="cs-CZ"/>
        </w:rPr>
        <w:t>interoperabilit</w:t>
      </w:r>
      <w:proofErr w:type="spellEnd"/>
      <w:r w:rsidRPr="00DD2F1B">
        <w:rPr>
          <w:rFonts w:cs="Calibri"/>
          <w:sz w:val="22"/>
          <w:szCs w:val="22"/>
          <w:lang w:val="cs-CZ"/>
        </w:rPr>
        <w:t xml:space="preserve"> mýtných systémů klade za cíl zavést následně jednu univerzální službu v rámci celé Evropské unie. Zavádění REETS tak lze chápat jako zavádění regionální interoperability s okolními státy, jako je Republika Rakousko a Polská republika, resp. zavádění interoperability s okolními zeměmi se stejnou technologií výběru mýta (DS</w:t>
      </w:r>
      <w:r>
        <w:rPr>
          <w:rFonts w:cs="Calibri"/>
          <w:sz w:val="22"/>
          <w:szCs w:val="22"/>
          <w:lang w:val="cs-CZ"/>
        </w:rPr>
        <w:t>R</w:t>
      </w:r>
      <w:r w:rsidRPr="00DD2F1B">
        <w:rPr>
          <w:rFonts w:cs="Calibri"/>
          <w:sz w:val="22"/>
          <w:szCs w:val="22"/>
          <w:lang w:val="cs-CZ"/>
        </w:rPr>
        <w:t xml:space="preserve">C 5,8 GHz). Zavádění REETS také lze chápat jako případné připojení České republiky k projektu </w:t>
      </w:r>
      <w:proofErr w:type="spellStart"/>
      <w:r w:rsidRPr="00DD2F1B">
        <w:rPr>
          <w:rFonts w:cs="Calibri"/>
          <w:sz w:val="22"/>
          <w:szCs w:val="22"/>
          <w:lang w:val="cs-CZ"/>
        </w:rPr>
        <w:t>EasyGo</w:t>
      </w:r>
      <w:proofErr w:type="spellEnd"/>
      <w:r w:rsidRPr="00DD2F1B">
        <w:rPr>
          <w:rFonts w:cs="Calibri"/>
          <w:sz w:val="22"/>
          <w:szCs w:val="22"/>
          <w:lang w:val="cs-CZ"/>
        </w:rPr>
        <w:t xml:space="preserve">+, který k 1. lednu 2013 zavedl interoperabilitu mezi mikrovlnnými mýtnými systémy </w:t>
      </w:r>
      <w:r w:rsidRPr="00DD2F1B">
        <w:rPr>
          <w:rFonts w:cs="Calibri"/>
          <w:sz w:val="22"/>
          <w:szCs w:val="22"/>
          <w:lang w:val="cs-CZ"/>
        </w:rPr>
        <w:lastRenderedPageBreak/>
        <w:t>skandinávských zemí a Republiky Rakouska</w:t>
      </w:r>
      <w:r>
        <w:rPr>
          <w:rFonts w:cs="Calibri"/>
          <w:sz w:val="22"/>
          <w:szCs w:val="22"/>
          <w:lang w:val="cs-CZ"/>
        </w:rPr>
        <w:t xml:space="preserve"> fungující na </w:t>
      </w:r>
      <w:r w:rsidRPr="00DD2F1B">
        <w:rPr>
          <w:rFonts w:cs="Calibri"/>
          <w:sz w:val="22"/>
          <w:szCs w:val="22"/>
          <w:lang w:val="cs-CZ"/>
        </w:rPr>
        <w:t xml:space="preserve">DSRC 5,8 GHz. Evropskou službu elektronického mýta lze na základě mikrovlnné technologie zavést ještě do roku 2016. Určujícím faktorem pro zavedení EETS v České republice je potřebná součinnost Konsorcia Kapsch, resp. společnosti Kapsch </w:t>
      </w:r>
      <w:proofErr w:type="spellStart"/>
      <w:r w:rsidRPr="00DD2F1B">
        <w:rPr>
          <w:rFonts w:cs="Calibri"/>
          <w:sz w:val="22"/>
          <w:szCs w:val="22"/>
          <w:lang w:val="cs-CZ"/>
        </w:rPr>
        <w:t>Telematic</w:t>
      </w:r>
      <w:proofErr w:type="spellEnd"/>
      <w:r w:rsidRPr="00DD2F1B">
        <w:rPr>
          <w:rFonts w:cs="Calibri"/>
          <w:sz w:val="22"/>
          <w:szCs w:val="22"/>
          <w:lang w:val="cs-CZ"/>
        </w:rPr>
        <w:t xml:space="preserve"> </w:t>
      </w:r>
      <w:proofErr w:type="spellStart"/>
      <w:r w:rsidRPr="00DD2F1B">
        <w:rPr>
          <w:rFonts w:cs="Calibri"/>
          <w:sz w:val="22"/>
          <w:szCs w:val="22"/>
          <w:lang w:val="cs-CZ"/>
        </w:rPr>
        <w:t>Services</w:t>
      </w:r>
      <w:proofErr w:type="spellEnd"/>
      <w:r w:rsidRPr="00DD2F1B">
        <w:rPr>
          <w:rFonts w:cs="Calibri"/>
          <w:sz w:val="22"/>
          <w:szCs w:val="22"/>
          <w:lang w:val="cs-CZ"/>
        </w:rPr>
        <w:t xml:space="preserve"> s.r.o., která zastupuje Konsorcium Kapsch pro Smlouvu o službách. </w:t>
      </w:r>
      <w:r>
        <w:rPr>
          <w:rFonts w:cs="Calibri"/>
          <w:sz w:val="22"/>
          <w:szCs w:val="22"/>
          <w:lang w:val="cs-CZ"/>
        </w:rPr>
        <w:t xml:space="preserve">Je tedy nutné v první fázi zadat </w:t>
      </w:r>
      <w:r w:rsidRPr="00DD2F1B">
        <w:rPr>
          <w:rFonts w:cs="Calibri"/>
          <w:sz w:val="22"/>
          <w:szCs w:val="22"/>
          <w:lang w:val="cs-CZ"/>
        </w:rPr>
        <w:t>bezplatnou přípravu zavedení EETS v České republice, která by spočívala v:</w:t>
      </w:r>
    </w:p>
    <w:p w:rsidR="008A3535" w:rsidRPr="00DD2F1B" w:rsidRDefault="008A3535" w:rsidP="008A3535">
      <w:pPr>
        <w:numPr>
          <w:ilvl w:val="0"/>
          <w:numId w:val="4"/>
        </w:numPr>
        <w:jc w:val="both"/>
        <w:rPr>
          <w:rFonts w:cs="Calibri"/>
          <w:sz w:val="22"/>
          <w:szCs w:val="22"/>
          <w:lang w:val="cs-CZ"/>
        </w:rPr>
      </w:pPr>
      <w:r w:rsidRPr="00DD2F1B">
        <w:rPr>
          <w:rFonts w:cs="Calibri"/>
          <w:sz w:val="22"/>
          <w:szCs w:val="22"/>
          <w:lang w:val="cs-CZ"/>
        </w:rPr>
        <w:t>návrhu systémových změn;</w:t>
      </w:r>
    </w:p>
    <w:p w:rsidR="008A3535" w:rsidRPr="00DD2F1B" w:rsidRDefault="008A3535" w:rsidP="008A3535">
      <w:pPr>
        <w:numPr>
          <w:ilvl w:val="0"/>
          <w:numId w:val="4"/>
        </w:numPr>
        <w:jc w:val="both"/>
        <w:rPr>
          <w:rFonts w:cs="Calibri"/>
          <w:sz w:val="22"/>
          <w:szCs w:val="22"/>
          <w:lang w:val="cs-CZ"/>
        </w:rPr>
      </w:pPr>
      <w:r w:rsidRPr="00DD2F1B">
        <w:rPr>
          <w:rFonts w:cs="Calibri"/>
          <w:sz w:val="22"/>
          <w:szCs w:val="22"/>
          <w:lang w:val="cs-CZ"/>
        </w:rPr>
        <w:t>stanovení časového harmonogramu realizace navržených systémových změn a</w:t>
      </w:r>
    </w:p>
    <w:p w:rsidR="008A3535" w:rsidRPr="00DD2F1B" w:rsidRDefault="008A3535" w:rsidP="008A3535">
      <w:pPr>
        <w:numPr>
          <w:ilvl w:val="0"/>
          <w:numId w:val="4"/>
        </w:numPr>
        <w:jc w:val="both"/>
        <w:rPr>
          <w:rFonts w:cs="Calibri"/>
          <w:sz w:val="22"/>
          <w:szCs w:val="22"/>
          <w:lang w:val="cs-CZ"/>
        </w:rPr>
      </w:pPr>
      <w:r w:rsidRPr="00DD2F1B">
        <w:rPr>
          <w:rFonts w:cs="Calibri"/>
          <w:sz w:val="22"/>
          <w:szCs w:val="22"/>
          <w:lang w:val="cs-CZ"/>
        </w:rPr>
        <w:t>finanční kalkulace realizace navržených systémových změn.</w:t>
      </w:r>
    </w:p>
    <w:p w:rsidR="008A3535" w:rsidRPr="00DD2F1B" w:rsidRDefault="008A3535" w:rsidP="008A3535">
      <w:pPr>
        <w:jc w:val="both"/>
        <w:rPr>
          <w:sz w:val="22"/>
          <w:szCs w:val="22"/>
          <w:lang w:val="cs-CZ" w:eastAsia="cs-CZ"/>
        </w:rPr>
      </w:pPr>
      <w:r w:rsidRPr="00DD2F1B">
        <w:rPr>
          <w:rFonts w:cs="Calibri"/>
          <w:sz w:val="22"/>
          <w:szCs w:val="22"/>
          <w:lang w:val="cs-CZ"/>
        </w:rPr>
        <w:t xml:space="preserve">Současně se očekává doplnění dokumentu, který je určující pro zavádění EETS v České republice, a to Přehledu o </w:t>
      </w:r>
      <w:r>
        <w:rPr>
          <w:rFonts w:cs="Calibri"/>
          <w:sz w:val="22"/>
          <w:szCs w:val="22"/>
          <w:lang w:val="cs-CZ"/>
        </w:rPr>
        <w:t>oblasti EETS v České republice</w:t>
      </w:r>
      <w:r w:rsidRPr="00DD2F1B">
        <w:rPr>
          <w:rFonts w:cs="Calibri"/>
          <w:sz w:val="22"/>
          <w:szCs w:val="22"/>
          <w:lang w:val="cs-CZ"/>
        </w:rPr>
        <w:t xml:space="preserve">. Pojem „bezplatná“ příprava je zde uveden záměrně, neboť všechny tři body uvedené výše se Konsorcium Kapsch zavázalo uskutečnit bezplatně, tj. bez finančních nároků plynoucích se Smlouvy o službách či Smlouvy o dílo. </w:t>
      </w:r>
      <w:r>
        <w:rPr>
          <w:rFonts w:cs="Calibri"/>
          <w:sz w:val="22"/>
          <w:szCs w:val="22"/>
          <w:lang w:val="cs-CZ"/>
        </w:rPr>
        <w:t>B</w:t>
      </w:r>
      <w:r w:rsidRPr="00DD2F1B">
        <w:rPr>
          <w:rFonts w:cs="Calibri"/>
          <w:sz w:val="22"/>
          <w:szCs w:val="22"/>
          <w:lang w:val="cs-CZ"/>
        </w:rPr>
        <w:t xml:space="preserve">ez této přípravné fáze nelze odhadnout finanční prostředky, které by bylo nutné vynaložit na zavedení EETS v České republice, avšak důsledně upozorňujeme na to, že případné nezavedení EETS v České republice s určitostí povede k zahájení </w:t>
      </w:r>
      <w:r w:rsidRPr="00DD2F1B">
        <w:rPr>
          <w:sz w:val="22"/>
          <w:szCs w:val="22"/>
          <w:lang w:val="cs-CZ" w:eastAsia="cs-CZ"/>
        </w:rPr>
        <w:t>řízení o porušení Smlouvy o fungování Evropské unie, jehož důsledkem mo</w:t>
      </w:r>
      <w:r>
        <w:rPr>
          <w:sz w:val="22"/>
          <w:szCs w:val="22"/>
          <w:lang w:val="cs-CZ" w:eastAsia="cs-CZ"/>
        </w:rPr>
        <w:t xml:space="preserve">hou být citelné finanční sankce, které budou řešeny </w:t>
      </w:r>
      <w:r w:rsidRPr="002D2243">
        <w:rPr>
          <w:sz w:val="22"/>
          <w:szCs w:val="22"/>
          <w:lang w:val="cs-CZ" w:eastAsia="cs-CZ"/>
        </w:rPr>
        <w:t>s největší pravděpodobností Soudní</w:t>
      </w:r>
      <w:r>
        <w:rPr>
          <w:sz w:val="22"/>
          <w:szCs w:val="22"/>
          <w:lang w:val="cs-CZ" w:eastAsia="cs-CZ"/>
        </w:rPr>
        <w:t>m dvo</w:t>
      </w:r>
      <w:r w:rsidRPr="002D2243">
        <w:rPr>
          <w:sz w:val="22"/>
          <w:szCs w:val="22"/>
          <w:lang w:val="cs-CZ" w:eastAsia="cs-CZ"/>
        </w:rPr>
        <w:t>r</w:t>
      </w:r>
      <w:r>
        <w:rPr>
          <w:sz w:val="22"/>
          <w:szCs w:val="22"/>
          <w:lang w:val="cs-CZ" w:eastAsia="cs-CZ"/>
        </w:rPr>
        <w:t>em</w:t>
      </w:r>
      <w:r w:rsidRPr="002D2243">
        <w:rPr>
          <w:sz w:val="22"/>
          <w:szCs w:val="22"/>
          <w:lang w:val="cs-CZ" w:eastAsia="cs-CZ"/>
        </w:rPr>
        <w:t xml:space="preserve"> Evropské unie</w:t>
      </w:r>
      <w:r>
        <w:rPr>
          <w:sz w:val="22"/>
          <w:szCs w:val="22"/>
          <w:lang w:val="cs-CZ" w:eastAsia="cs-CZ"/>
        </w:rPr>
        <w:t>.</w:t>
      </w:r>
      <w:r w:rsidR="009624E7">
        <w:rPr>
          <w:sz w:val="22"/>
          <w:szCs w:val="22"/>
          <w:lang w:val="cs-CZ" w:eastAsia="cs-CZ"/>
        </w:rPr>
        <w:t xml:space="preserve"> Předejít těmto sankcím či předjít případnému zahájení řízení pro porušení smlouvy o fungování Evropské unie lze okamžitým zahájením implementace Evropské služby elektronického mýta v České republice, tedy dokončením dokumentu s názvem: „Přehled o oblasti EETS v ČR“ a zadáním vypracování návrhu systémových úprav, časového harmonogramu a finanční kalkulace, a to společnosti Kapsch </w:t>
      </w:r>
      <w:proofErr w:type="spellStart"/>
      <w:r w:rsidR="009624E7">
        <w:rPr>
          <w:sz w:val="22"/>
          <w:szCs w:val="22"/>
          <w:lang w:val="cs-CZ" w:eastAsia="cs-CZ"/>
        </w:rPr>
        <w:t>Telematic</w:t>
      </w:r>
      <w:proofErr w:type="spellEnd"/>
      <w:r w:rsidR="009624E7">
        <w:rPr>
          <w:sz w:val="22"/>
          <w:szCs w:val="22"/>
          <w:lang w:val="cs-CZ" w:eastAsia="cs-CZ"/>
        </w:rPr>
        <w:t xml:space="preserve"> </w:t>
      </w:r>
      <w:proofErr w:type="spellStart"/>
      <w:r w:rsidR="009624E7">
        <w:rPr>
          <w:sz w:val="22"/>
          <w:szCs w:val="22"/>
          <w:lang w:val="cs-CZ" w:eastAsia="cs-CZ"/>
        </w:rPr>
        <w:t>Services</w:t>
      </w:r>
      <w:proofErr w:type="spellEnd"/>
      <w:r w:rsidR="009624E7">
        <w:rPr>
          <w:sz w:val="22"/>
          <w:szCs w:val="22"/>
          <w:lang w:val="cs-CZ" w:eastAsia="cs-CZ"/>
        </w:rPr>
        <w:t xml:space="preserve"> s.r.o. </w:t>
      </w:r>
    </w:p>
    <w:p w:rsidR="008A3535" w:rsidRDefault="008A3535" w:rsidP="008A3535">
      <w:pPr>
        <w:jc w:val="both"/>
        <w:rPr>
          <w:sz w:val="22"/>
          <w:szCs w:val="22"/>
          <w:lang w:val="cs-CZ" w:eastAsia="cs-CZ"/>
        </w:rPr>
      </w:pPr>
      <w:r w:rsidRPr="00DD2F1B">
        <w:rPr>
          <w:sz w:val="22"/>
          <w:szCs w:val="22"/>
          <w:lang w:val="cs-CZ" w:eastAsia="cs-CZ"/>
        </w:rPr>
        <w:t xml:space="preserve">Evropská služba elektronického mýta může být zavedena v České republice na bázi mikrovlnné technologie i v případě, že by došlo v roce 2016 ke změně technologie výběru mýta a od roku 2017 by byl SEM založen na technologii satelitního určování polohy vozidla (GNSS/CN). Náklady na straně případných Poskytovatelů EETS v České republice jdou k jejich tíži (ustanovení obsažené v návrhu smlouvy, která bude uzavírána mezi Poskytovatelem EETS a Provozovatelem SEM) a případný nový SEM od roku 2017 musí již funkcionalitu EETS obsahovat. Jediným negativem jsou pak investice do zavedení EETS, které se do konce roku 2016 </w:t>
      </w:r>
      <w:r>
        <w:rPr>
          <w:sz w:val="22"/>
          <w:szCs w:val="22"/>
          <w:lang w:val="cs-CZ" w:eastAsia="cs-CZ"/>
        </w:rPr>
        <w:t xml:space="preserve">nemusí jevit </w:t>
      </w:r>
      <w:r w:rsidRPr="00DD2F1B">
        <w:rPr>
          <w:sz w:val="22"/>
          <w:szCs w:val="22"/>
          <w:lang w:val="cs-CZ" w:eastAsia="cs-CZ"/>
        </w:rPr>
        <w:t>jako efektivní investice, byť lze veškeré náklady spojené se zavedením a provozem EETS započíst do mýtných sazeb, čímž se n</w:t>
      </w:r>
      <w:r>
        <w:rPr>
          <w:sz w:val="22"/>
          <w:szCs w:val="22"/>
          <w:lang w:val="cs-CZ" w:eastAsia="cs-CZ"/>
        </w:rPr>
        <w:t>e</w:t>
      </w:r>
      <w:r w:rsidRPr="00DD2F1B">
        <w:rPr>
          <w:sz w:val="22"/>
          <w:szCs w:val="22"/>
          <w:lang w:val="cs-CZ" w:eastAsia="cs-CZ"/>
        </w:rPr>
        <w:t>stanou finanční zátěž</w:t>
      </w:r>
      <w:r>
        <w:rPr>
          <w:sz w:val="22"/>
          <w:szCs w:val="22"/>
          <w:lang w:val="cs-CZ" w:eastAsia="cs-CZ"/>
        </w:rPr>
        <w:t>í</w:t>
      </w:r>
      <w:r w:rsidRPr="00DD2F1B">
        <w:rPr>
          <w:sz w:val="22"/>
          <w:szCs w:val="22"/>
          <w:lang w:val="cs-CZ" w:eastAsia="cs-CZ"/>
        </w:rPr>
        <w:t xml:space="preserve"> pro Provozovatele SEM</w:t>
      </w:r>
      <w:r>
        <w:rPr>
          <w:sz w:val="22"/>
          <w:szCs w:val="22"/>
          <w:lang w:val="cs-CZ" w:eastAsia="cs-CZ"/>
        </w:rPr>
        <w:t>, potažmo státní rozpočet</w:t>
      </w:r>
      <w:r w:rsidRPr="00DD2F1B">
        <w:rPr>
          <w:sz w:val="22"/>
          <w:szCs w:val="22"/>
          <w:lang w:val="cs-CZ" w:eastAsia="cs-CZ"/>
        </w:rPr>
        <w:t>.</w:t>
      </w:r>
    </w:p>
    <w:p w:rsidR="00396955" w:rsidRPr="00DD2F1B" w:rsidRDefault="00396955" w:rsidP="00396955">
      <w:pPr>
        <w:pStyle w:val="Nadpis1"/>
        <w:rPr>
          <w:sz w:val="40"/>
          <w:szCs w:val="40"/>
          <w:lang w:val="cs-CZ"/>
        </w:rPr>
      </w:pPr>
      <w:r w:rsidRPr="00DD2F1B">
        <w:rPr>
          <w:sz w:val="40"/>
          <w:szCs w:val="40"/>
          <w:lang w:val="cs-CZ"/>
        </w:rPr>
        <w:br w:type="page"/>
      </w:r>
      <w:bookmarkStart w:id="28" w:name="_Toc367436506"/>
      <w:bookmarkStart w:id="29" w:name="_Toc368311168"/>
      <w:bookmarkStart w:id="30" w:name="_Toc368327078"/>
      <w:r w:rsidRPr="00DD2F1B">
        <w:rPr>
          <w:sz w:val="40"/>
          <w:szCs w:val="40"/>
          <w:lang w:val="cs-CZ"/>
        </w:rPr>
        <w:lastRenderedPageBreak/>
        <w:t>KONCEPCE PO ROCE 2016</w:t>
      </w:r>
      <w:bookmarkEnd w:id="28"/>
      <w:bookmarkEnd w:id="29"/>
      <w:bookmarkEnd w:id="30"/>
    </w:p>
    <w:p w:rsidR="00396955" w:rsidRPr="00DD2F1B" w:rsidRDefault="00396955" w:rsidP="00396955">
      <w:pPr>
        <w:pStyle w:val="Nadpis2"/>
        <w:rPr>
          <w:sz w:val="28"/>
          <w:szCs w:val="28"/>
          <w:lang w:val="cs-CZ"/>
        </w:rPr>
      </w:pPr>
      <w:bookmarkStart w:id="31" w:name="_Toc367436507"/>
      <w:bookmarkStart w:id="32" w:name="_Toc368311169"/>
      <w:bookmarkStart w:id="33" w:name="_Toc368327079"/>
      <w:r w:rsidRPr="00DD2F1B">
        <w:rPr>
          <w:kern w:val="32"/>
          <w:sz w:val="28"/>
          <w:szCs w:val="28"/>
          <w:lang w:val="cs-CZ"/>
        </w:rPr>
        <w:t>Rozsah zpoplatněných pozemních komunikací</w:t>
      </w:r>
      <w:bookmarkEnd w:id="31"/>
      <w:bookmarkEnd w:id="32"/>
      <w:bookmarkEnd w:id="33"/>
      <w:r w:rsidRPr="00DD2F1B">
        <w:rPr>
          <w:sz w:val="28"/>
          <w:szCs w:val="28"/>
          <w:lang w:val="cs-CZ"/>
        </w:rPr>
        <w:t xml:space="preserve"> </w:t>
      </w:r>
    </w:p>
    <w:p w:rsidR="00396955" w:rsidRPr="00DD2F1B" w:rsidRDefault="00396955" w:rsidP="00396955">
      <w:pPr>
        <w:jc w:val="both"/>
        <w:rPr>
          <w:rFonts w:cs="Calibri"/>
          <w:sz w:val="22"/>
          <w:szCs w:val="22"/>
          <w:lang w:val="cs-CZ"/>
        </w:rPr>
      </w:pPr>
      <w:r w:rsidRPr="00DD2F1B">
        <w:rPr>
          <w:rFonts w:cs="Calibri"/>
          <w:sz w:val="22"/>
          <w:szCs w:val="22"/>
          <w:lang w:val="cs-CZ"/>
        </w:rPr>
        <w:t>Na následujícím grafu je znázorněna závislost ročních příjmů a výdajů na celkové délce zpoplatněných pozemních komunikací, z čehož vyplývá vysoká efektivita výkonového zpoplatnění dálnic, rychlostních silnic a vybraných úseků silnic I. třídy (silnice na síti TEN-T a paralelní).</w:t>
      </w:r>
    </w:p>
    <w:p w:rsidR="00396955" w:rsidRPr="00DD2F1B" w:rsidRDefault="00396955" w:rsidP="00396955">
      <w:pPr>
        <w:jc w:val="both"/>
        <w:rPr>
          <w:rFonts w:cs="Calibri"/>
          <w:color w:val="000000"/>
          <w:szCs w:val="48"/>
          <w:lang w:val="cs-CZ"/>
        </w:rPr>
      </w:pPr>
      <w:r>
        <w:rPr>
          <w:rFonts w:cs="Calibri"/>
          <w:noProof/>
          <w:color w:val="000000"/>
          <w:szCs w:val="48"/>
          <w:lang w:val="cs-CZ" w:eastAsia="cs-CZ" w:bidi="ar-SA"/>
        </w:rPr>
        <w:drawing>
          <wp:inline distT="0" distB="0" distL="0" distR="0">
            <wp:extent cx="5764530" cy="3068955"/>
            <wp:effectExtent l="19050" t="0" r="7620" b="0"/>
            <wp:docPr id="9" name="Char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rt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-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4530" cy="3068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6955" w:rsidRPr="00DD2F1B" w:rsidRDefault="00396955" w:rsidP="00396955">
      <w:pPr>
        <w:pStyle w:val="BodyText1"/>
        <w:jc w:val="center"/>
        <w:rPr>
          <w:rFonts w:cs="Calibri"/>
          <w:lang w:val="cs-CZ"/>
        </w:rPr>
      </w:pPr>
      <w:r w:rsidRPr="00DD2F1B">
        <w:rPr>
          <w:sz w:val="16"/>
          <w:szCs w:val="16"/>
          <w:lang w:val="cs-CZ"/>
        </w:rPr>
        <w:t xml:space="preserve">Graf č. </w:t>
      </w:r>
      <w:r w:rsidR="00852FFE">
        <w:rPr>
          <w:sz w:val="16"/>
          <w:szCs w:val="16"/>
          <w:lang w:val="cs-CZ"/>
        </w:rPr>
        <w:t>1</w:t>
      </w:r>
      <w:r w:rsidRPr="00DD2F1B">
        <w:rPr>
          <w:sz w:val="16"/>
          <w:szCs w:val="16"/>
          <w:lang w:val="cs-CZ"/>
        </w:rPr>
        <w:t xml:space="preserve"> – Odhadované roční příjmy a náklady v závislosti na délce zpoplatněných pozemních komunikací</w:t>
      </w:r>
    </w:p>
    <w:p w:rsidR="00396955" w:rsidRPr="00DD2F1B" w:rsidRDefault="00396955" w:rsidP="00396955">
      <w:pPr>
        <w:jc w:val="both"/>
        <w:rPr>
          <w:rFonts w:cs="Calibri"/>
          <w:sz w:val="22"/>
          <w:szCs w:val="22"/>
          <w:lang w:val="cs-CZ"/>
        </w:rPr>
      </w:pPr>
      <w:r w:rsidRPr="00DD2F1B">
        <w:rPr>
          <w:rFonts w:cs="Calibri"/>
          <w:sz w:val="22"/>
          <w:szCs w:val="22"/>
          <w:lang w:val="cs-CZ"/>
        </w:rPr>
        <w:t xml:space="preserve">Rozsah zpoplatněných pozemních komunikací lze stanovit s/bez ohledu na posuzované varianty, avšak nelze už s určitou mírou pravděpodobnosti konstatovat, která z těchto variant je efektivní či nikoliv. </w:t>
      </w:r>
      <w:r w:rsidR="00B7546F">
        <w:rPr>
          <w:rFonts w:cs="Calibri"/>
          <w:sz w:val="22"/>
          <w:szCs w:val="22"/>
          <w:lang w:val="cs-CZ"/>
        </w:rPr>
        <w:t xml:space="preserve">Varianty </w:t>
      </w:r>
      <w:r w:rsidRPr="00DD2F1B">
        <w:rPr>
          <w:rFonts w:cs="Calibri"/>
          <w:sz w:val="22"/>
          <w:szCs w:val="22"/>
          <w:lang w:val="cs-CZ"/>
        </w:rPr>
        <w:t>zpoplatněn</w:t>
      </w:r>
      <w:r w:rsidR="00B7546F">
        <w:rPr>
          <w:rFonts w:cs="Calibri"/>
          <w:sz w:val="22"/>
          <w:szCs w:val="22"/>
          <w:lang w:val="cs-CZ"/>
        </w:rPr>
        <w:t>í</w:t>
      </w:r>
      <w:r w:rsidRPr="00DD2F1B">
        <w:rPr>
          <w:rFonts w:cs="Calibri"/>
          <w:sz w:val="22"/>
          <w:szCs w:val="22"/>
          <w:lang w:val="cs-CZ"/>
        </w:rPr>
        <w:t xml:space="preserve"> po roce 2016 lze tak rozdělit do následujících variant:</w:t>
      </w:r>
    </w:p>
    <w:p w:rsidR="00396955" w:rsidRPr="00F3479A" w:rsidRDefault="00396955" w:rsidP="00396955">
      <w:pPr>
        <w:pStyle w:val="Nadpis2"/>
        <w:rPr>
          <w:sz w:val="28"/>
          <w:szCs w:val="28"/>
          <w:lang w:val="cs-CZ"/>
        </w:rPr>
      </w:pPr>
      <w:bookmarkStart w:id="34" w:name="_Toc367436508"/>
      <w:bookmarkStart w:id="35" w:name="_Toc368311170"/>
      <w:bookmarkStart w:id="36" w:name="_Toc368327080"/>
      <w:r w:rsidRPr="00F3479A">
        <w:rPr>
          <w:sz w:val="28"/>
          <w:szCs w:val="28"/>
          <w:lang w:val="cs-CZ"/>
        </w:rPr>
        <w:t>Varianty způsobu zpoplatnění</w:t>
      </w:r>
      <w:bookmarkEnd w:id="34"/>
      <w:bookmarkEnd w:id="35"/>
      <w:bookmarkEnd w:id="36"/>
    </w:p>
    <w:p w:rsidR="00396955" w:rsidRPr="00DD2F1B" w:rsidRDefault="00396955" w:rsidP="00396955">
      <w:pPr>
        <w:pStyle w:val="BodyText1"/>
        <w:numPr>
          <w:ilvl w:val="0"/>
          <w:numId w:val="3"/>
        </w:numPr>
        <w:spacing w:before="120" w:after="0" w:line="240" w:lineRule="auto"/>
        <w:rPr>
          <w:rFonts w:cs="Calibri"/>
          <w:szCs w:val="22"/>
          <w:u w:val="single"/>
          <w:lang w:val="cs-CZ"/>
        </w:rPr>
      </w:pPr>
      <w:r w:rsidRPr="00DD2F1B">
        <w:rPr>
          <w:rFonts w:cs="Calibri"/>
          <w:szCs w:val="22"/>
          <w:u w:val="single"/>
          <w:lang w:val="cs-CZ"/>
        </w:rPr>
        <w:t>Časové zpoplatnění:</w:t>
      </w:r>
    </w:p>
    <w:p w:rsidR="00396955" w:rsidRPr="00DD2F1B" w:rsidRDefault="00396955" w:rsidP="00396955">
      <w:pPr>
        <w:pStyle w:val="BodyText1"/>
        <w:numPr>
          <w:ilvl w:val="1"/>
          <w:numId w:val="3"/>
        </w:numPr>
        <w:spacing w:before="120" w:after="0" w:line="240" w:lineRule="auto"/>
        <w:rPr>
          <w:rFonts w:cs="Calibri"/>
          <w:szCs w:val="22"/>
          <w:lang w:val="cs-CZ"/>
        </w:rPr>
      </w:pPr>
      <w:r w:rsidRPr="00DD2F1B">
        <w:rPr>
          <w:rFonts w:cs="Calibri"/>
          <w:szCs w:val="22"/>
          <w:lang w:val="cs-CZ"/>
        </w:rPr>
        <w:t>výhody:</w:t>
      </w:r>
    </w:p>
    <w:p w:rsidR="00396955" w:rsidRPr="00DD2F1B" w:rsidRDefault="00396955" w:rsidP="00396955">
      <w:pPr>
        <w:pStyle w:val="BodyText1"/>
        <w:numPr>
          <w:ilvl w:val="2"/>
          <w:numId w:val="3"/>
        </w:numPr>
        <w:spacing w:before="120" w:after="0" w:line="240" w:lineRule="auto"/>
        <w:ind w:left="2154" w:hanging="357"/>
        <w:rPr>
          <w:rFonts w:cs="Calibri"/>
          <w:szCs w:val="22"/>
          <w:lang w:val="cs-CZ"/>
        </w:rPr>
      </w:pPr>
      <w:r w:rsidRPr="00DD2F1B">
        <w:rPr>
          <w:rFonts w:cs="Calibri"/>
          <w:szCs w:val="22"/>
          <w:lang w:val="cs-CZ"/>
        </w:rPr>
        <w:t>ověřený a spolehlivý způsob výběru časových poplatků;</w:t>
      </w:r>
    </w:p>
    <w:p w:rsidR="00396955" w:rsidRPr="00DD2F1B" w:rsidRDefault="00396955" w:rsidP="00396955">
      <w:pPr>
        <w:pStyle w:val="BodyText1"/>
        <w:numPr>
          <w:ilvl w:val="2"/>
          <w:numId w:val="3"/>
        </w:numPr>
        <w:spacing w:before="120" w:after="0" w:line="240" w:lineRule="auto"/>
        <w:ind w:left="2154" w:hanging="357"/>
        <w:rPr>
          <w:rFonts w:cs="Calibri"/>
          <w:szCs w:val="22"/>
          <w:lang w:val="cs-CZ"/>
        </w:rPr>
      </w:pPr>
      <w:r w:rsidRPr="00DD2F1B">
        <w:rPr>
          <w:rFonts w:cs="Calibri"/>
          <w:szCs w:val="22"/>
          <w:lang w:val="cs-CZ"/>
        </w:rPr>
        <w:t>odpovídající distribuční sít;</w:t>
      </w:r>
    </w:p>
    <w:p w:rsidR="00396955" w:rsidRPr="00DD2F1B" w:rsidRDefault="00396955" w:rsidP="00396955">
      <w:pPr>
        <w:pStyle w:val="BodyText1"/>
        <w:numPr>
          <w:ilvl w:val="2"/>
          <w:numId w:val="3"/>
        </w:numPr>
        <w:spacing w:before="120" w:after="0" w:line="240" w:lineRule="auto"/>
        <w:ind w:left="2154" w:hanging="357"/>
        <w:rPr>
          <w:rFonts w:cs="Calibri"/>
          <w:szCs w:val="22"/>
          <w:lang w:val="cs-CZ"/>
        </w:rPr>
      </w:pPr>
      <w:r w:rsidRPr="00DD2F1B">
        <w:rPr>
          <w:rFonts w:cs="Calibri"/>
          <w:szCs w:val="22"/>
          <w:lang w:val="cs-CZ"/>
        </w:rPr>
        <w:t>bez významných investičních nákladů (vyjma dopravního značení);</w:t>
      </w:r>
    </w:p>
    <w:p w:rsidR="00396955" w:rsidRDefault="00396955" w:rsidP="00396955">
      <w:pPr>
        <w:pStyle w:val="BodyText1"/>
        <w:numPr>
          <w:ilvl w:val="2"/>
          <w:numId w:val="3"/>
        </w:numPr>
        <w:spacing w:before="120" w:after="0" w:line="240" w:lineRule="auto"/>
        <w:ind w:left="2154" w:hanging="357"/>
        <w:rPr>
          <w:rFonts w:cs="Calibri"/>
          <w:szCs w:val="22"/>
          <w:lang w:val="cs-CZ"/>
        </w:rPr>
      </w:pPr>
      <w:r w:rsidRPr="00DD2F1B">
        <w:rPr>
          <w:rFonts w:cs="Calibri"/>
          <w:szCs w:val="22"/>
          <w:lang w:val="cs-CZ"/>
        </w:rPr>
        <w:t>vysoká efektivita výběru časových poplatků;</w:t>
      </w:r>
    </w:p>
    <w:p w:rsidR="00396955" w:rsidRPr="00DD2F1B" w:rsidRDefault="00396955" w:rsidP="00396955">
      <w:pPr>
        <w:pStyle w:val="BodyText1"/>
        <w:numPr>
          <w:ilvl w:val="1"/>
          <w:numId w:val="3"/>
        </w:numPr>
        <w:spacing w:before="120" w:after="0" w:line="240" w:lineRule="auto"/>
        <w:rPr>
          <w:rFonts w:cs="Calibri"/>
          <w:szCs w:val="22"/>
          <w:lang w:val="cs-CZ"/>
        </w:rPr>
      </w:pPr>
      <w:r w:rsidRPr="00DD2F1B">
        <w:rPr>
          <w:rFonts w:cs="Calibri"/>
          <w:szCs w:val="22"/>
          <w:lang w:val="cs-CZ"/>
        </w:rPr>
        <w:t>nevýhody:</w:t>
      </w:r>
    </w:p>
    <w:p w:rsidR="00396955" w:rsidRPr="00DD2F1B" w:rsidRDefault="00396955" w:rsidP="00396955">
      <w:pPr>
        <w:pStyle w:val="BodyText1"/>
        <w:numPr>
          <w:ilvl w:val="2"/>
          <w:numId w:val="3"/>
        </w:numPr>
        <w:spacing w:before="120" w:after="0" w:line="240" w:lineRule="auto"/>
        <w:ind w:left="2154" w:hanging="357"/>
        <w:rPr>
          <w:rFonts w:cs="Calibri"/>
          <w:szCs w:val="22"/>
          <w:lang w:val="cs-CZ"/>
        </w:rPr>
      </w:pPr>
      <w:r w:rsidRPr="00DD2F1B">
        <w:rPr>
          <w:rFonts w:cs="Calibri"/>
          <w:szCs w:val="22"/>
          <w:lang w:val="cs-CZ"/>
        </w:rPr>
        <w:t>bez růstového a vývojového potenciálu;</w:t>
      </w:r>
    </w:p>
    <w:p w:rsidR="00396955" w:rsidRPr="00DD2F1B" w:rsidRDefault="00396955" w:rsidP="00396955">
      <w:pPr>
        <w:pStyle w:val="BodyText1"/>
        <w:numPr>
          <w:ilvl w:val="2"/>
          <w:numId w:val="3"/>
        </w:numPr>
        <w:spacing w:before="120" w:after="0" w:line="240" w:lineRule="auto"/>
        <w:ind w:left="2154" w:hanging="357"/>
        <w:rPr>
          <w:rFonts w:cs="Calibri"/>
          <w:szCs w:val="22"/>
          <w:lang w:val="cs-CZ"/>
        </w:rPr>
      </w:pPr>
      <w:r w:rsidRPr="00DD2F1B">
        <w:rPr>
          <w:rFonts w:cs="Calibri"/>
          <w:szCs w:val="22"/>
          <w:lang w:val="cs-CZ"/>
        </w:rPr>
        <w:t>nedostatečný způsob kontroly – nízká vymahatelnost;</w:t>
      </w:r>
    </w:p>
    <w:p w:rsidR="00396955" w:rsidRPr="00DD2F1B" w:rsidRDefault="00396955" w:rsidP="00396955">
      <w:pPr>
        <w:pStyle w:val="BodyText1"/>
        <w:numPr>
          <w:ilvl w:val="2"/>
          <w:numId w:val="3"/>
        </w:numPr>
        <w:spacing w:before="120" w:after="0" w:line="240" w:lineRule="auto"/>
        <w:ind w:left="2154" w:hanging="357"/>
        <w:rPr>
          <w:rFonts w:cs="Calibri"/>
          <w:szCs w:val="22"/>
          <w:lang w:val="cs-CZ"/>
        </w:rPr>
      </w:pPr>
      <w:r w:rsidRPr="00DD2F1B">
        <w:rPr>
          <w:rFonts w:cs="Calibri"/>
          <w:szCs w:val="22"/>
          <w:lang w:val="cs-CZ"/>
        </w:rPr>
        <w:t>nespravedlivý způsob zpoplatnění.</w:t>
      </w:r>
    </w:p>
    <w:p w:rsidR="00396955" w:rsidRPr="00DD2F1B" w:rsidRDefault="00396955" w:rsidP="00396955">
      <w:pPr>
        <w:pStyle w:val="BodyText1"/>
        <w:numPr>
          <w:ilvl w:val="0"/>
          <w:numId w:val="3"/>
        </w:numPr>
        <w:spacing w:before="120" w:after="0" w:line="240" w:lineRule="auto"/>
        <w:rPr>
          <w:rFonts w:cs="Calibri"/>
          <w:szCs w:val="22"/>
          <w:u w:val="single"/>
          <w:lang w:val="cs-CZ"/>
        </w:rPr>
      </w:pPr>
      <w:r w:rsidRPr="00DD2F1B">
        <w:rPr>
          <w:rFonts w:cs="Calibri"/>
          <w:szCs w:val="22"/>
          <w:u w:val="single"/>
          <w:lang w:val="cs-CZ"/>
        </w:rPr>
        <w:lastRenderedPageBreak/>
        <w:t>Výkonové zpoplatnění:</w:t>
      </w:r>
    </w:p>
    <w:p w:rsidR="00396955" w:rsidRPr="00DD2F1B" w:rsidRDefault="00396955" w:rsidP="00396955">
      <w:pPr>
        <w:pStyle w:val="BodyText1"/>
        <w:numPr>
          <w:ilvl w:val="1"/>
          <w:numId w:val="3"/>
        </w:numPr>
        <w:spacing w:before="120" w:after="0" w:line="240" w:lineRule="auto"/>
        <w:rPr>
          <w:rFonts w:cs="Calibri"/>
          <w:szCs w:val="22"/>
          <w:lang w:val="cs-CZ"/>
        </w:rPr>
      </w:pPr>
      <w:r w:rsidRPr="00DD2F1B">
        <w:rPr>
          <w:rFonts w:cs="Calibri"/>
          <w:szCs w:val="22"/>
          <w:lang w:val="cs-CZ"/>
        </w:rPr>
        <w:t>výhody:</w:t>
      </w:r>
    </w:p>
    <w:p w:rsidR="00396955" w:rsidRPr="00DD2F1B" w:rsidRDefault="00396955" w:rsidP="00396955">
      <w:pPr>
        <w:pStyle w:val="BodyText1"/>
        <w:numPr>
          <w:ilvl w:val="2"/>
          <w:numId w:val="3"/>
        </w:numPr>
        <w:spacing w:before="120" w:after="0" w:line="240" w:lineRule="auto"/>
        <w:ind w:left="2154" w:hanging="357"/>
        <w:rPr>
          <w:rFonts w:cs="Calibri"/>
          <w:szCs w:val="22"/>
          <w:lang w:val="cs-CZ"/>
        </w:rPr>
      </w:pPr>
      <w:r w:rsidRPr="00DD2F1B">
        <w:rPr>
          <w:rFonts w:cs="Calibri"/>
          <w:szCs w:val="22"/>
          <w:lang w:val="cs-CZ"/>
        </w:rPr>
        <w:t>růstový a vývojový potenciál;</w:t>
      </w:r>
    </w:p>
    <w:p w:rsidR="00396955" w:rsidRPr="00DD2F1B" w:rsidRDefault="00396955" w:rsidP="00396955">
      <w:pPr>
        <w:pStyle w:val="BodyText1"/>
        <w:numPr>
          <w:ilvl w:val="2"/>
          <w:numId w:val="3"/>
        </w:numPr>
        <w:spacing w:before="120" w:after="0" w:line="240" w:lineRule="auto"/>
        <w:ind w:left="2154" w:hanging="357"/>
        <w:rPr>
          <w:rFonts w:cs="Calibri"/>
          <w:szCs w:val="22"/>
          <w:lang w:val="cs-CZ"/>
        </w:rPr>
      </w:pPr>
      <w:r w:rsidRPr="00DD2F1B">
        <w:rPr>
          <w:rFonts w:cs="Calibri"/>
          <w:szCs w:val="22"/>
          <w:lang w:val="cs-CZ"/>
        </w:rPr>
        <w:t>spravedlivý způsob zpoplatnění;</w:t>
      </w:r>
    </w:p>
    <w:p w:rsidR="00396955" w:rsidRPr="00DD2F1B" w:rsidRDefault="00396955" w:rsidP="00396955">
      <w:pPr>
        <w:pStyle w:val="BodyText1"/>
        <w:numPr>
          <w:ilvl w:val="1"/>
          <w:numId w:val="3"/>
        </w:numPr>
        <w:spacing w:before="120" w:after="0" w:line="240" w:lineRule="auto"/>
        <w:rPr>
          <w:rFonts w:cs="Calibri"/>
          <w:szCs w:val="22"/>
          <w:lang w:val="cs-CZ"/>
        </w:rPr>
      </w:pPr>
      <w:r w:rsidRPr="00DD2F1B">
        <w:rPr>
          <w:rFonts w:cs="Calibri"/>
          <w:szCs w:val="22"/>
          <w:lang w:val="cs-CZ"/>
        </w:rPr>
        <w:t>nevýhody:</w:t>
      </w:r>
    </w:p>
    <w:p w:rsidR="00396955" w:rsidRPr="00DD2F1B" w:rsidRDefault="00396955" w:rsidP="00396955">
      <w:pPr>
        <w:pStyle w:val="BodyText1"/>
        <w:numPr>
          <w:ilvl w:val="2"/>
          <w:numId w:val="3"/>
        </w:numPr>
        <w:spacing w:before="120" w:after="0" w:line="240" w:lineRule="auto"/>
        <w:ind w:left="2154" w:hanging="357"/>
        <w:rPr>
          <w:rFonts w:cs="Calibri"/>
          <w:szCs w:val="22"/>
          <w:lang w:val="cs-CZ"/>
        </w:rPr>
      </w:pPr>
      <w:r w:rsidRPr="00DD2F1B">
        <w:rPr>
          <w:rFonts w:cs="Calibri"/>
          <w:szCs w:val="22"/>
          <w:lang w:val="cs-CZ"/>
        </w:rPr>
        <w:t xml:space="preserve">v závislosti na technologickém řešení významné investiční náklady (především </w:t>
      </w:r>
      <w:r w:rsidR="00B7546F">
        <w:rPr>
          <w:rFonts w:cs="Calibri"/>
          <w:szCs w:val="22"/>
          <w:lang w:val="cs-CZ"/>
        </w:rPr>
        <w:t>palubní zařízení</w:t>
      </w:r>
      <w:r w:rsidRPr="00DD2F1B">
        <w:rPr>
          <w:rFonts w:cs="Calibri"/>
          <w:szCs w:val="22"/>
          <w:lang w:val="cs-CZ"/>
        </w:rPr>
        <w:t>);</w:t>
      </w:r>
    </w:p>
    <w:p w:rsidR="00396955" w:rsidRPr="00DD2F1B" w:rsidRDefault="00396955" w:rsidP="00396955">
      <w:pPr>
        <w:pStyle w:val="BodyText1"/>
        <w:numPr>
          <w:ilvl w:val="2"/>
          <w:numId w:val="3"/>
        </w:numPr>
        <w:spacing w:before="120" w:after="0" w:line="240" w:lineRule="auto"/>
        <w:ind w:left="2154" w:hanging="357"/>
        <w:rPr>
          <w:rFonts w:cs="Calibri"/>
          <w:szCs w:val="22"/>
          <w:lang w:val="cs-CZ"/>
        </w:rPr>
      </w:pPr>
      <w:r w:rsidRPr="00DD2F1B">
        <w:rPr>
          <w:rFonts w:cs="Calibri"/>
          <w:szCs w:val="22"/>
          <w:lang w:val="cs-CZ"/>
        </w:rPr>
        <w:t xml:space="preserve">s růstem zpoplatněné sítě narůstá i počet jednotek podílejících se na vymáhání povinnosti platit mýtné (pevný a mobilní </w:t>
      </w:r>
      <w:proofErr w:type="spellStart"/>
      <w:r w:rsidRPr="00DD2F1B">
        <w:rPr>
          <w:rFonts w:cs="Calibri"/>
          <w:szCs w:val="22"/>
          <w:lang w:val="cs-CZ"/>
        </w:rPr>
        <w:t>enforcement</w:t>
      </w:r>
      <w:proofErr w:type="spellEnd"/>
      <w:r w:rsidRPr="00DD2F1B">
        <w:rPr>
          <w:rFonts w:cs="Calibri"/>
          <w:szCs w:val="22"/>
          <w:lang w:val="cs-CZ"/>
        </w:rPr>
        <w:t xml:space="preserve">, vozidla </w:t>
      </w:r>
      <w:proofErr w:type="spellStart"/>
      <w:r w:rsidRPr="00DD2F1B">
        <w:rPr>
          <w:rFonts w:cs="Calibri"/>
          <w:szCs w:val="22"/>
          <w:lang w:val="cs-CZ"/>
        </w:rPr>
        <w:t>enforcementu</w:t>
      </w:r>
      <w:proofErr w:type="spellEnd"/>
      <w:r w:rsidRPr="00DD2F1B">
        <w:rPr>
          <w:rFonts w:cs="Calibri"/>
          <w:szCs w:val="22"/>
          <w:lang w:val="cs-CZ"/>
        </w:rPr>
        <w:t xml:space="preserve">, počet pracovníků (dnes příslušníci Celní správy ČR) vykonávajících </w:t>
      </w:r>
      <w:proofErr w:type="spellStart"/>
      <w:r w:rsidRPr="00DD2F1B">
        <w:rPr>
          <w:rFonts w:cs="Calibri"/>
          <w:szCs w:val="22"/>
          <w:lang w:val="cs-CZ"/>
        </w:rPr>
        <w:t>enformecement</w:t>
      </w:r>
      <w:proofErr w:type="spellEnd"/>
      <w:r w:rsidRPr="00DD2F1B">
        <w:rPr>
          <w:rFonts w:cs="Calibri"/>
          <w:szCs w:val="22"/>
          <w:lang w:val="cs-CZ"/>
        </w:rPr>
        <w:t xml:space="preserve"> atd.).</w:t>
      </w:r>
    </w:p>
    <w:p w:rsidR="00396955" w:rsidRPr="00F3479A" w:rsidRDefault="00396955" w:rsidP="00396955">
      <w:pPr>
        <w:pStyle w:val="Nadpis2"/>
        <w:rPr>
          <w:sz w:val="28"/>
          <w:szCs w:val="28"/>
          <w:lang w:val="cs-CZ"/>
        </w:rPr>
      </w:pPr>
      <w:bookmarkStart w:id="37" w:name="_Toc367436509"/>
      <w:bookmarkStart w:id="38" w:name="_Toc368311171"/>
      <w:bookmarkStart w:id="39" w:name="_Toc368327081"/>
      <w:r w:rsidRPr="00F3479A">
        <w:rPr>
          <w:sz w:val="28"/>
          <w:szCs w:val="28"/>
          <w:lang w:val="cs-CZ"/>
        </w:rPr>
        <w:t>Varianty zachování stávajícího systému elektronického mýta</w:t>
      </w:r>
      <w:bookmarkEnd w:id="37"/>
      <w:bookmarkEnd w:id="38"/>
      <w:bookmarkEnd w:id="39"/>
    </w:p>
    <w:p w:rsidR="00396955" w:rsidRPr="00DD2F1B" w:rsidRDefault="00396955" w:rsidP="00F3479A">
      <w:pPr>
        <w:pStyle w:val="BodyText1"/>
        <w:numPr>
          <w:ilvl w:val="0"/>
          <w:numId w:val="3"/>
        </w:numPr>
        <w:spacing w:before="120" w:after="0" w:line="240" w:lineRule="auto"/>
        <w:rPr>
          <w:rFonts w:cs="Calibri"/>
          <w:szCs w:val="22"/>
          <w:u w:val="single"/>
          <w:lang w:val="cs-CZ"/>
        </w:rPr>
      </w:pPr>
      <w:r w:rsidRPr="00DD2F1B">
        <w:rPr>
          <w:rFonts w:cs="Calibri"/>
          <w:szCs w:val="22"/>
          <w:u w:val="single"/>
          <w:lang w:val="cs-CZ"/>
        </w:rPr>
        <w:t>Zachování a další využívání již pořízeného systému výkonového zpoplatnění:</w:t>
      </w:r>
    </w:p>
    <w:p w:rsidR="00396955" w:rsidRPr="00DD2F1B" w:rsidRDefault="00396955" w:rsidP="00F3479A">
      <w:pPr>
        <w:pStyle w:val="BodyText1"/>
        <w:numPr>
          <w:ilvl w:val="1"/>
          <w:numId w:val="3"/>
        </w:numPr>
        <w:spacing w:before="120" w:after="0" w:line="240" w:lineRule="auto"/>
        <w:rPr>
          <w:rFonts w:cs="Calibri"/>
          <w:szCs w:val="22"/>
          <w:lang w:val="cs-CZ"/>
        </w:rPr>
      </w:pPr>
      <w:r w:rsidRPr="00DD2F1B">
        <w:rPr>
          <w:rFonts w:cs="Calibri"/>
          <w:szCs w:val="22"/>
          <w:lang w:val="cs-CZ"/>
        </w:rPr>
        <w:t>výhody:</w:t>
      </w:r>
    </w:p>
    <w:p w:rsidR="00396955" w:rsidRPr="00DD2F1B" w:rsidRDefault="00396955" w:rsidP="00F3479A">
      <w:pPr>
        <w:pStyle w:val="BodyText1"/>
        <w:numPr>
          <w:ilvl w:val="2"/>
          <w:numId w:val="3"/>
        </w:numPr>
        <w:spacing w:before="120" w:after="0" w:line="240" w:lineRule="auto"/>
        <w:ind w:left="2154" w:hanging="357"/>
        <w:rPr>
          <w:rFonts w:cs="Calibri"/>
          <w:szCs w:val="22"/>
          <w:lang w:val="cs-CZ"/>
        </w:rPr>
      </w:pPr>
      <w:r w:rsidRPr="00DD2F1B">
        <w:rPr>
          <w:rFonts w:cs="Calibri"/>
          <w:szCs w:val="22"/>
          <w:lang w:val="cs-CZ"/>
        </w:rPr>
        <w:t>využití značné investice do Systému elektronického mýta;</w:t>
      </w:r>
    </w:p>
    <w:p w:rsidR="00396955" w:rsidRPr="00DD2F1B" w:rsidRDefault="00396955" w:rsidP="00F3479A">
      <w:pPr>
        <w:pStyle w:val="BodyText1"/>
        <w:numPr>
          <w:ilvl w:val="2"/>
          <w:numId w:val="3"/>
        </w:numPr>
        <w:spacing w:before="120" w:after="0" w:line="240" w:lineRule="auto"/>
        <w:ind w:left="2154" w:hanging="357"/>
        <w:rPr>
          <w:rFonts w:cs="Calibri"/>
          <w:szCs w:val="22"/>
          <w:lang w:val="cs-CZ"/>
        </w:rPr>
      </w:pPr>
      <w:r w:rsidRPr="00DD2F1B">
        <w:rPr>
          <w:rFonts w:cs="Calibri"/>
          <w:szCs w:val="22"/>
          <w:lang w:val="cs-CZ"/>
        </w:rPr>
        <w:t>využití systému, který bude koncem roku 2016 v bezvadném stavu a plně funkční;</w:t>
      </w:r>
    </w:p>
    <w:p w:rsidR="00396955" w:rsidRDefault="00396955" w:rsidP="00F3479A">
      <w:pPr>
        <w:pStyle w:val="BodyText1"/>
        <w:numPr>
          <w:ilvl w:val="2"/>
          <w:numId w:val="3"/>
        </w:numPr>
        <w:spacing w:before="120" w:after="0" w:line="240" w:lineRule="auto"/>
        <w:ind w:left="2154" w:hanging="357"/>
        <w:rPr>
          <w:rFonts w:cs="Calibri"/>
          <w:szCs w:val="22"/>
          <w:lang w:val="cs-CZ"/>
        </w:rPr>
      </w:pPr>
      <w:r w:rsidRPr="00DD2F1B">
        <w:rPr>
          <w:rFonts w:cs="Calibri"/>
          <w:szCs w:val="22"/>
          <w:lang w:val="cs-CZ"/>
        </w:rPr>
        <w:t>použití ověřené, spolehlivé a plně standardizované technologie;</w:t>
      </w:r>
    </w:p>
    <w:p w:rsidR="006679F4" w:rsidRPr="00DD2F1B" w:rsidRDefault="006679F4" w:rsidP="00F3479A">
      <w:pPr>
        <w:pStyle w:val="BodyText1"/>
        <w:numPr>
          <w:ilvl w:val="2"/>
          <w:numId w:val="3"/>
        </w:numPr>
        <w:spacing w:before="120" w:after="0" w:line="240" w:lineRule="auto"/>
        <w:ind w:left="2154" w:hanging="357"/>
        <w:rPr>
          <w:rFonts w:cs="Calibri"/>
          <w:szCs w:val="22"/>
          <w:lang w:val="cs-CZ"/>
        </w:rPr>
      </w:pPr>
      <w:r>
        <w:rPr>
          <w:rFonts w:cs="Calibri"/>
          <w:szCs w:val="22"/>
          <w:lang w:val="cs-CZ"/>
        </w:rPr>
        <w:t>využití stávajících palubních jednotek (cca 690 tis. ks);</w:t>
      </w:r>
    </w:p>
    <w:p w:rsidR="00396955" w:rsidRPr="00DD2F1B" w:rsidRDefault="00396955" w:rsidP="00F3479A">
      <w:pPr>
        <w:pStyle w:val="BodyText1"/>
        <w:numPr>
          <w:ilvl w:val="2"/>
          <w:numId w:val="3"/>
        </w:numPr>
        <w:spacing w:before="120" w:after="0" w:line="240" w:lineRule="auto"/>
        <w:ind w:left="2154" w:hanging="357"/>
        <w:rPr>
          <w:rFonts w:cs="Calibri"/>
          <w:szCs w:val="22"/>
          <w:lang w:val="cs-CZ"/>
        </w:rPr>
      </w:pPr>
      <w:r w:rsidRPr="00DD2F1B">
        <w:rPr>
          <w:rFonts w:cs="Calibri"/>
          <w:szCs w:val="22"/>
          <w:lang w:val="cs-CZ"/>
        </w:rPr>
        <w:t>okamžité zahájení implementace Evropské služby elektronického mýta</w:t>
      </w:r>
      <w:r w:rsidRPr="00DD2F1B">
        <w:rPr>
          <w:rFonts w:cs="Calibri"/>
          <w:szCs w:val="22"/>
          <w:lang w:val="cs-CZ"/>
        </w:rPr>
        <w:tab/>
      </w:r>
    </w:p>
    <w:p w:rsidR="00396955" w:rsidRPr="00DD2F1B" w:rsidRDefault="00396955" w:rsidP="00F3479A">
      <w:pPr>
        <w:pStyle w:val="BodyText1"/>
        <w:numPr>
          <w:ilvl w:val="2"/>
          <w:numId w:val="3"/>
        </w:numPr>
        <w:spacing w:before="120" w:after="0" w:line="240" w:lineRule="auto"/>
        <w:ind w:left="2154" w:hanging="357"/>
        <w:rPr>
          <w:rFonts w:cs="Calibri"/>
          <w:szCs w:val="22"/>
          <w:lang w:val="cs-CZ"/>
        </w:rPr>
      </w:pPr>
      <w:r w:rsidRPr="00DD2F1B">
        <w:rPr>
          <w:rFonts w:cs="Calibri"/>
          <w:szCs w:val="22"/>
          <w:lang w:val="cs-CZ"/>
        </w:rPr>
        <w:t>okamžité zahájení regionální interoperability jako předstupně EETS;</w:t>
      </w:r>
    </w:p>
    <w:p w:rsidR="00396955" w:rsidRPr="00DD2F1B" w:rsidRDefault="00396955" w:rsidP="00F3479A">
      <w:pPr>
        <w:pStyle w:val="BodyText1"/>
        <w:numPr>
          <w:ilvl w:val="1"/>
          <w:numId w:val="3"/>
        </w:numPr>
        <w:spacing w:before="120" w:after="0" w:line="240" w:lineRule="auto"/>
        <w:rPr>
          <w:rFonts w:cs="Calibri"/>
          <w:szCs w:val="22"/>
          <w:lang w:val="cs-CZ"/>
        </w:rPr>
      </w:pPr>
      <w:r w:rsidRPr="00DD2F1B">
        <w:rPr>
          <w:rFonts w:cs="Calibri"/>
          <w:szCs w:val="22"/>
          <w:lang w:val="cs-CZ"/>
        </w:rPr>
        <w:t>nevýhody:</w:t>
      </w:r>
    </w:p>
    <w:p w:rsidR="00396955" w:rsidRPr="00DD2F1B" w:rsidRDefault="00396955" w:rsidP="00F3479A">
      <w:pPr>
        <w:pStyle w:val="BodyText1"/>
        <w:numPr>
          <w:ilvl w:val="2"/>
          <w:numId w:val="3"/>
        </w:numPr>
        <w:spacing w:before="120" w:after="0" w:line="240" w:lineRule="auto"/>
        <w:ind w:left="2154" w:hanging="357"/>
        <w:rPr>
          <w:rFonts w:cs="Calibri"/>
          <w:szCs w:val="22"/>
          <w:lang w:val="cs-CZ"/>
        </w:rPr>
      </w:pPr>
      <w:r w:rsidRPr="00DD2F1B">
        <w:rPr>
          <w:szCs w:val="22"/>
          <w:lang w:val="cs-CZ"/>
        </w:rPr>
        <w:t>hrozba obtížného převzetí stávajícího Systému elektronického mýta.</w:t>
      </w:r>
    </w:p>
    <w:p w:rsidR="00396955" w:rsidRPr="00DD2F1B" w:rsidRDefault="00396955" w:rsidP="00F3479A">
      <w:pPr>
        <w:pStyle w:val="BodyText1"/>
        <w:numPr>
          <w:ilvl w:val="0"/>
          <w:numId w:val="3"/>
        </w:numPr>
        <w:spacing w:before="120" w:after="0" w:line="240" w:lineRule="auto"/>
        <w:rPr>
          <w:rFonts w:cs="Calibri"/>
          <w:szCs w:val="22"/>
          <w:u w:val="single"/>
          <w:lang w:val="cs-CZ"/>
        </w:rPr>
      </w:pPr>
      <w:r w:rsidRPr="00DD2F1B">
        <w:rPr>
          <w:rFonts w:cs="Calibri"/>
          <w:szCs w:val="22"/>
          <w:u w:val="single"/>
          <w:lang w:val="cs-CZ"/>
        </w:rPr>
        <w:t>Nahrazení již pořízeného systému výkonového zpoplatnění novým systémem:</w:t>
      </w:r>
    </w:p>
    <w:p w:rsidR="00396955" w:rsidRPr="00DD2F1B" w:rsidRDefault="00396955" w:rsidP="00F3479A">
      <w:pPr>
        <w:pStyle w:val="BodyText1"/>
        <w:numPr>
          <w:ilvl w:val="1"/>
          <w:numId w:val="3"/>
        </w:numPr>
        <w:spacing w:before="120" w:after="0" w:line="240" w:lineRule="auto"/>
        <w:rPr>
          <w:rFonts w:cs="Calibri"/>
          <w:szCs w:val="22"/>
          <w:lang w:val="cs-CZ"/>
        </w:rPr>
      </w:pPr>
      <w:r w:rsidRPr="00DD2F1B">
        <w:rPr>
          <w:rFonts w:cs="Calibri"/>
          <w:szCs w:val="22"/>
          <w:lang w:val="cs-CZ"/>
        </w:rPr>
        <w:t>výhody:</w:t>
      </w:r>
    </w:p>
    <w:p w:rsidR="00396955" w:rsidRPr="00DD2F1B" w:rsidRDefault="00396955" w:rsidP="00F3479A">
      <w:pPr>
        <w:pStyle w:val="BodyText1"/>
        <w:numPr>
          <w:ilvl w:val="2"/>
          <w:numId w:val="3"/>
        </w:numPr>
        <w:spacing w:before="120" w:after="0" w:line="240" w:lineRule="auto"/>
        <w:ind w:left="2154" w:hanging="357"/>
        <w:rPr>
          <w:rFonts w:cs="Calibri"/>
          <w:szCs w:val="22"/>
          <w:lang w:val="cs-CZ"/>
        </w:rPr>
      </w:pPr>
      <w:r w:rsidRPr="00DD2F1B">
        <w:rPr>
          <w:rFonts w:cs="Calibri"/>
          <w:szCs w:val="22"/>
          <w:lang w:val="cs-CZ"/>
        </w:rPr>
        <w:t>nově navržený systém dle současně platných standardů z oblasti dopravní telematiky – elektronického zpoplatnění;</w:t>
      </w:r>
    </w:p>
    <w:p w:rsidR="00396955" w:rsidRPr="00DD2F1B" w:rsidRDefault="00396955" w:rsidP="00F3479A">
      <w:pPr>
        <w:pStyle w:val="BodyText1"/>
        <w:numPr>
          <w:ilvl w:val="2"/>
          <w:numId w:val="3"/>
        </w:numPr>
        <w:spacing w:before="120" w:after="0" w:line="240" w:lineRule="auto"/>
        <w:ind w:left="2154" w:hanging="357"/>
        <w:rPr>
          <w:rFonts w:cs="Calibri"/>
          <w:szCs w:val="22"/>
          <w:lang w:val="cs-CZ"/>
        </w:rPr>
      </w:pPr>
      <w:r w:rsidRPr="00DD2F1B">
        <w:rPr>
          <w:rFonts w:cs="Calibri"/>
          <w:szCs w:val="22"/>
          <w:lang w:val="cs-CZ"/>
        </w:rPr>
        <w:t>lze zahájit implementaci Evropské služby elektronického mýta, avšak náklady spojené s jejím zavedením nebudou efektivně vynaloženy;</w:t>
      </w:r>
    </w:p>
    <w:p w:rsidR="00396955" w:rsidRPr="00DD2F1B" w:rsidRDefault="00396955" w:rsidP="00F3479A">
      <w:pPr>
        <w:pStyle w:val="BodyText1"/>
        <w:numPr>
          <w:ilvl w:val="1"/>
          <w:numId w:val="3"/>
        </w:numPr>
        <w:spacing w:before="120" w:after="0" w:line="240" w:lineRule="auto"/>
        <w:rPr>
          <w:rFonts w:cs="Calibri"/>
          <w:szCs w:val="22"/>
          <w:lang w:val="cs-CZ"/>
        </w:rPr>
      </w:pPr>
      <w:r w:rsidRPr="00DD2F1B">
        <w:rPr>
          <w:rFonts w:cs="Calibri"/>
          <w:szCs w:val="22"/>
          <w:lang w:val="cs-CZ"/>
        </w:rPr>
        <w:t>nevýhody:</w:t>
      </w:r>
    </w:p>
    <w:p w:rsidR="00396955" w:rsidRPr="00DD2F1B" w:rsidRDefault="00396955" w:rsidP="00F3479A">
      <w:pPr>
        <w:pStyle w:val="BodyText1"/>
        <w:numPr>
          <w:ilvl w:val="2"/>
          <w:numId w:val="3"/>
        </w:numPr>
        <w:spacing w:before="120" w:after="0" w:line="240" w:lineRule="auto"/>
        <w:ind w:left="2154" w:hanging="357"/>
        <w:rPr>
          <w:rFonts w:cs="Calibri"/>
          <w:szCs w:val="22"/>
          <w:lang w:val="cs-CZ"/>
        </w:rPr>
      </w:pPr>
      <w:r w:rsidRPr="00DD2F1B">
        <w:rPr>
          <w:rFonts w:cs="Calibri"/>
          <w:szCs w:val="22"/>
          <w:lang w:val="cs-CZ"/>
        </w:rPr>
        <w:t>znehodnocení investice do současného Systému elektronického mýta;</w:t>
      </w:r>
    </w:p>
    <w:p w:rsidR="00396955" w:rsidRPr="00DD2F1B" w:rsidRDefault="00396955" w:rsidP="00F3479A">
      <w:pPr>
        <w:pStyle w:val="BodyText1"/>
        <w:numPr>
          <w:ilvl w:val="2"/>
          <w:numId w:val="3"/>
        </w:numPr>
        <w:spacing w:before="120" w:after="0" w:line="240" w:lineRule="auto"/>
        <w:ind w:left="2154" w:hanging="357"/>
        <w:rPr>
          <w:rFonts w:cs="Calibri"/>
          <w:szCs w:val="22"/>
          <w:lang w:val="cs-CZ"/>
        </w:rPr>
      </w:pPr>
      <w:r w:rsidRPr="00DD2F1B">
        <w:rPr>
          <w:rFonts w:cs="Calibri"/>
          <w:szCs w:val="22"/>
          <w:lang w:val="cs-CZ"/>
        </w:rPr>
        <w:t xml:space="preserve">nová významná investice do nového systému a </w:t>
      </w:r>
      <w:r w:rsidR="00B7546F">
        <w:rPr>
          <w:rFonts w:cs="Calibri"/>
          <w:szCs w:val="22"/>
          <w:lang w:val="cs-CZ"/>
        </w:rPr>
        <w:t>palubních zařízení</w:t>
      </w:r>
      <w:r w:rsidRPr="00DD2F1B">
        <w:rPr>
          <w:szCs w:val="22"/>
          <w:lang w:val="cs-CZ"/>
        </w:rPr>
        <w:t xml:space="preserve"> (v řádu cca 3,6 až 4,4 mld. Kč)</w:t>
      </w:r>
      <w:r w:rsidRPr="00DD2F1B">
        <w:rPr>
          <w:rFonts w:cs="Calibri"/>
          <w:szCs w:val="22"/>
          <w:lang w:val="cs-CZ"/>
        </w:rPr>
        <w:t>;</w:t>
      </w:r>
    </w:p>
    <w:p w:rsidR="00396955" w:rsidRPr="00DD2F1B" w:rsidRDefault="00396955" w:rsidP="00F3479A">
      <w:pPr>
        <w:pStyle w:val="BodyText1"/>
        <w:numPr>
          <w:ilvl w:val="2"/>
          <w:numId w:val="3"/>
        </w:numPr>
        <w:spacing w:before="120" w:after="0" w:line="240" w:lineRule="auto"/>
        <w:ind w:left="2154" w:hanging="357"/>
        <w:rPr>
          <w:rFonts w:cs="Calibri"/>
          <w:szCs w:val="22"/>
          <w:lang w:val="cs-CZ"/>
        </w:rPr>
      </w:pPr>
      <w:r w:rsidRPr="00DD2F1B">
        <w:rPr>
          <w:rFonts w:cs="Calibri"/>
          <w:szCs w:val="22"/>
          <w:lang w:val="cs-CZ"/>
        </w:rPr>
        <w:t xml:space="preserve">obtížná migrace dat mezi systémy a uživatelů mezi </w:t>
      </w:r>
      <w:r w:rsidR="00B7546F">
        <w:rPr>
          <w:rFonts w:cs="Calibri"/>
          <w:szCs w:val="22"/>
          <w:lang w:val="cs-CZ"/>
        </w:rPr>
        <w:t>palubními zařízeními</w:t>
      </w:r>
      <w:r w:rsidRPr="00DD2F1B">
        <w:rPr>
          <w:rFonts w:cs="Calibri"/>
          <w:szCs w:val="22"/>
          <w:lang w:val="cs-CZ"/>
        </w:rPr>
        <w:t>;</w:t>
      </w:r>
    </w:p>
    <w:p w:rsidR="00396955" w:rsidRPr="00DD2F1B" w:rsidRDefault="00396955" w:rsidP="00F3479A">
      <w:pPr>
        <w:pStyle w:val="BodyText1"/>
        <w:numPr>
          <w:ilvl w:val="2"/>
          <w:numId w:val="3"/>
        </w:numPr>
        <w:spacing w:before="120" w:after="0" w:line="240" w:lineRule="auto"/>
        <w:ind w:left="2154" w:hanging="357"/>
        <w:rPr>
          <w:rFonts w:cs="Calibri"/>
          <w:szCs w:val="22"/>
          <w:lang w:val="cs-CZ"/>
        </w:rPr>
      </w:pPr>
      <w:r w:rsidRPr="00DD2F1B">
        <w:rPr>
          <w:rFonts w:cs="Calibri"/>
          <w:szCs w:val="22"/>
          <w:lang w:val="cs-CZ"/>
        </w:rPr>
        <w:t>v roce 2016 tak budou provozovány dva paralelní systémy;</w:t>
      </w:r>
    </w:p>
    <w:p w:rsidR="00396955" w:rsidRPr="00DD2F1B" w:rsidRDefault="00396955" w:rsidP="00F3479A">
      <w:pPr>
        <w:pStyle w:val="BodyText1"/>
        <w:numPr>
          <w:ilvl w:val="2"/>
          <w:numId w:val="3"/>
        </w:numPr>
        <w:spacing w:before="120" w:after="0" w:line="240" w:lineRule="auto"/>
        <w:ind w:left="2154" w:hanging="357"/>
        <w:rPr>
          <w:rFonts w:cs="Calibri"/>
          <w:szCs w:val="22"/>
          <w:lang w:val="cs-CZ"/>
        </w:rPr>
      </w:pPr>
      <w:r w:rsidRPr="00DD2F1B">
        <w:rPr>
          <w:szCs w:val="22"/>
          <w:lang w:val="cs-CZ"/>
        </w:rPr>
        <w:t>dle rozsahu zpoplatnění může dojít k použití technologie, která není plně standardizována;</w:t>
      </w:r>
    </w:p>
    <w:p w:rsidR="00396955" w:rsidRPr="00DD2F1B" w:rsidRDefault="00396955" w:rsidP="00F3479A">
      <w:pPr>
        <w:pStyle w:val="BodyText1"/>
        <w:numPr>
          <w:ilvl w:val="2"/>
          <w:numId w:val="3"/>
        </w:numPr>
        <w:spacing w:before="120" w:after="0" w:line="240" w:lineRule="auto"/>
        <w:ind w:left="2154" w:hanging="357"/>
        <w:rPr>
          <w:rFonts w:cs="Calibri"/>
          <w:szCs w:val="22"/>
          <w:lang w:val="cs-CZ"/>
        </w:rPr>
      </w:pPr>
      <w:r w:rsidRPr="00DD2F1B">
        <w:rPr>
          <w:rFonts w:cs="Calibri"/>
          <w:szCs w:val="22"/>
          <w:lang w:val="cs-CZ"/>
        </w:rPr>
        <w:lastRenderedPageBreak/>
        <w:t>lze zahájit implementaci Evropské služby elektronického mýta, avšak náklady spojené s jejím zavedením nebudou efektivně vynaloženy;</w:t>
      </w:r>
    </w:p>
    <w:p w:rsidR="00396955" w:rsidRPr="00DD2F1B" w:rsidRDefault="00396955" w:rsidP="00F3479A">
      <w:pPr>
        <w:pStyle w:val="BodyText1"/>
        <w:numPr>
          <w:ilvl w:val="2"/>
          <w:numId w:val="3"/>
        </w:numPr>
        <w:spacing w:before="120" w:after="0" w:line="240" w:lineRule="auto"/>
        <w:ind w:left="2154" w:hanging="357"/>
        <w:rPr>
          <w:rFonts w:cs="Calibri"/>
          <w:szCs w:val="22"/>
          <w:lang w:val="cs-CZ"/>
        </w:rPr>
      </w:pPr>
      <w:r w:rsidRPr="00DD2F1B">
        <w:rPr>
          <w:szCs w:val="22"/>
          <w:lang w:val="cs-CZ"/>
        </w:rPr>
        <w:t>nelze zahájit regionální interoperabilitu.</w:t>
      </w:r>
    </w:p>
    <w:p w:rsidR="00396955" w:rsidRPr="00DD2F1B" w:rsidRDefault="00396955" w:rsidP="00F3479A">
      <w:pPr>
        <w:pStyle w:val="BodyText1"/>
        <w:numPr>
          <w:ilvl w:val="0"/>
          <w:numId w:val="3"/>
        </w:numPr>
        <w:spacing w:before="120" w:after="0" w:line="240" w:lineRule="auto"/>
        <w:rPr>
          <w:rFonts w:cs="Calibri"/>
          <w:szCs w:val="22"/>
          <w:u w:val="single"/>
          <w:lang w:val="cs-CZ"/>
        </w:rPr>
      </w:pPr>
      <w:r w:rsidRPr="00DD2F1B">
        <w:rPr>
          <w:rFonts w:cs="Calibri"/>
          <w:szCs w:val="22"/>
          <w:u w:val="single"/>
          <w:lang w:val="cs-CZ"/>
        </w:rPr>
        <w:t>Rozhodnutí o využití ponechat na uchazeči v </w:t>
      </w:r>
      <w:r w:rsidR="00771830">
        <w:rPr>
          <w:rFonts w:cs="Calibri"/>
          <w:szCs w:val="22"/>
          <w:u w:val="single"/>
          <w:lang w:val="cs-CZ"/>
        </w:rPr>
        <w:t>zadávacím</w:t>
      </w:r>
      <w:r w:rsidRPr="00DD2F1B">
        <w:rPr>
          <w:rFonts w:cs="Calibri"/>
          <w:szCs w:val="22"/>
          <w:u w:val="single"/>
          <w:lang w:val="cs-CZ"/>
        </w:rPr>
        <w:t xml:space="preserve"> řízení:</w:t>
      </w:r>
    </w:p>
    <w:p w:rsidR="00396955" w:rsidRPr="00DD2F1B" w:rsidRDefault="00396955" w:rsidP="00F3479A">
      <w:pPr>
        <w:pStyle w:val="BodyText1"/>
        <w:numPr>
          <w:ilvl w:val="1"/>
          <w:numId w:val="3"/>
        </w:numPr>
        <w:spacing w:before="120" w:after="0" w:line="240" w:lineRule="auto"/>
        <w:rPr>
          <w:rFonts w:cs="Calibri"/>
          <w:szCs w:val="22"/>
          <w:lang w:val="cs-CZ"/>
        </w:rPr>
      </w:pPr>
      <w:r w:rsidRPr="00DD2F1B">
        <w:rPr>
          <w:rFonts w:cs="Calibri"/>
          <w:szCs w:val="22"/>
          <w:lang w:val="cs-CZ"/>
        </w:rPr>
        <w:t>výhody – vyplynou z konečného rozhodnutí, zda Systém elektronického mýta bude či nebude využit (mezi hlavní výhodu lze považovat fakt, že dojde ke srovnání nabídek různého technologického řešení);</w:t>
      </w:r>
    </w:p>
    <w:p w:rsidR="00396955" w:rsidRPr="00DD2F1B" w:rsidRDefault="00396955" w:rsidP="00F3479A">
      <w:pPr>
        <w:pStyle w:val="BodyText1"/>
        <w:numPr>
          <w:ilvl w:val="1"/>
          <w:numId w:val="3"/>
        </w:numPr>
        <w:spacing w:before="120" w:after="0" w:line="240" w:lineRule="auto"/>
        <w:rPr>
          <w:rFonts w:cs="Calibri"/>
          <w:szCs w:val="22"/>
          <w:lang w:val="cs-CZ"/>
        </w:rPr>
      </w:pPr>
      <w:r w:rsidRPr="00DD2F1B">
        <w:rPr>
          <w:rFonts w:cs="Calibri"/>
          <w:szCs w:val="22"/>
          <w:lang w:val="cs-CZ"/>
        </w:rPr>
        <w:t>nevýhody – vyplynou z konečného rozhodnutí, zda Systém elektronického mýta bude či nebude využit.</w:t>
      </w:r>
    </w:p>
    <w:p w:rsidR="00396955" w:rsidRPr="00F3479A" w:rsidRDefault="00396955" w:rsidP="00396955">
      <w:pPr>
        <w:pStyle w:val="Nadpis2"/>
        <w:rPr>
          <w:sz w:val="28"/>
          <w:szCs w:val="28"/>
          <w:lang w:val="cs-CZ"/>
        </w:rPr>
      </w:pPr>
      <w:bookmarkStart w:id="40" w:name="_Toc367436510"/>
      <w:bookmarkStart w:id="41" w:name="_Toc368311172"/>
      <w:bookmarkStart w:id="42" w:name="_Toc368327082"/>
      <w:r w:rsidRPr="00F3479A">
        <w:rPr>
          <w:sz w:val="28"/>
          <w:szCs w:val="28"/>
          <w:lang w:val="cs-CZ"/>
        </w:rPr>
        <w:t>Varianty rozsahu</w:t>
      </w:r>
      <w:bookmarkEnd w:id="40"/>
      <w:bookmarkEnd w:id="41"/>
      <w:bookmarkEnd w:id="42"/>
    </w:p>
    <w:p w:rsidR="00396955" w:rsidRPr="006A5A11" w:rsidRDefault="00396955" w:rsidP="00396955">
      <w:pPr>
        <w:jc w:val="both"/>
        <w:rPr>
          <w:sz w:val="22"/>
          <w:szCs w:val="22"/>
          <w:lang w:val="cs-CZ"/>
        </w:rPr>
      </w:pPr>
      <w:r w:rsidRPr="006A5A11">
        <w:rPr>
          <w:b/>
          <w:sz w:val="22"/>
          <w:szCs w:val="22"/>
          <w:lang w:val="cs-CZ"/>
        </w:rPr>
        <w:t>Varianta I</w:t>
      </w:r>
      <w:r w:rsidRPr="006A5A11">
        <w:rPr>
          <w:sz w:val="22"/>
          <w:szCs w:val="22"/>
          <w:lang w:val="cs-CZ"/>
        </w:rPr>
        <w:t xml:space="preserve"> – tato varianta obsahuje po roce 2016 síť pozemních komunikací o rozsahu stávajícího stavu zpoplatněných pozemních komunikací rozšířenou o postupnou výstavbu, a to formou výkonového zpoplatnění. Ve své podstatě tak tato varianta obsahuje následné posuzované realizační varianty 0 a 01 (viz kapitola Posuzované realizační varianty).</w:t>
      </w:r>
    </w:p>
    <w:p w:rsidR="00396955" w:rsidRPr="006A5A11" w:rsidRDefault="00396955" w:rsidP="00396955">
      <w:pPr>
        <w:jc w:val="both"/>
        <w:rPr>
          <w:sz w:val="22"/>
          <w:szCs w:val="22"/>
          <w:lang w:val="cs-CZ"/>
        </w:rPr>
      </w:pPr>
      <w:r w:rsidRPr="006A5A11">
        <w:rPr>
          <w:b/>
          <w:sz w:val="22"/>
          <w:szCs w:val="22"/>
          <w:lang w:val="cs-CZ"/>
        </w:rPr>
        <w:t>Varianta II</w:t>
      </w:r>
      <w:r w:rsidRPr="006A5A11">
        <w:rPr>
          <w:sz w:val="22"/>
          <w:szCs w:val="22"/>
          <w:lang w:val="cs-CZ"/>
        </w:rPr>
        <w:t xml:space="preserve"> – tato varianta obsahuje po roce 2016 síť pozemních komunikací o rozsahu stávajícího stavu zpoplatněných pozemních komunikací rozšířenou o postupnou výstavbu a síť silnic I. třídy o rozsahu cca 1000 km s vysokou efektivitou výběru mýta. Jedná se tedy o silnice I. třídy s vysokým podílem nákladních vozidel, především vozidel nad 12 tun. Opět se jedná o výkonové zpoplatnění. Ve své podstatě tak tato varianta obsahuje částečně posuzovanou realizační variantu B.</w:t>
      </w:r>
    </w:p>
    <w:p w:rsidR="00396955" w:rsidRPr="006A5A11" w:rsidRDefault="00396955" w:rsidP="00396955">
      <w:pPr>
        <w:jc w:val="both"/>
        <w:rPr>
          <w:sz w:val="22"/>
          <w:szCs w:val="22"/>
          <w:lang w:val="cs-CZ"/>
        </w:rPr>
      </w:pPr>
      <w:r w:rsidRPr="006A5A11">
        <w:rPr>
          <w:b/>
          <w:sz w:val="22"/>
          <w:szCs w:val="22"/>
          <w:lang w:val="cs-CZ"/>
        </w:rPr>
        <w:t>Varianta III</w:t>
      </w:r>
      <w:r w:rsidRPr="006A5A11">
        <w:rPr>
          <w:sz w:val="22"/>
          <w:szCs w:val="22"/>
          <w:lang w:val="cs-CZ"/>
        </w:rPr>
        <w:t xml:space="preserve"> - tato varianta obsahuje po roce 2016 síť pozemních komunikací o rozsahu stávajícího stavu zpoplatněných pozemních komunikací rozšířenou o postupnou výstavbu a všechny silnice I. třídy. Ve své podstatě tak tato varianta obsahuje částečně posuzované realizační varianty A </w:t>
      </w:r>
      <w:proofErr w:type="spellStart"/>
      <w:r w:rsidRPr="006A5A11">
        <w:rPr>
          <w:sz w:val="22"/>
          <w:szCs w:val="22"/>
          <w:lang w:val="cs-CZ"/>
        </w:rPr>
        <w:t>a</w:t>
      </w:r>
      <w:proofErr w:type="spellEnd"/>
      <w:r w:rsidRPr="006A5A11">
        <w:rPr>
          <w:sz w:val="22"/>
          <w:szCs w:val="22"/>
          <w:lang w:val="cs-CZ"/>
        </w:rPr>
        <w:t xml:space="preserve"> B, tedy časové či výkonové zpoplatnění silnic I. třídy.</w:t>
      </w:r>
    </w:p>
    <w:p w:rsidR="00396955" w:rsidRPr="006A5A11" w:rsidRDefault="00396955" w:rsidP="00396955">
      <w:pPr>
        <w:jc w:val="both"/>
        <w:rPr>
          <w:sz w:val="22"/>
          <w:szCs w:val="22"/>
          <w:lang w:val="cs-CZ"/>
        </w:rPr>
      </w:pPr>
      <w:r w:rsidRPr="006A5A11">
        <w:rPr>
          <w:b/>
          <w:sz w:val="22"/>
          <w:szCs w:val="22"/>
          <w:lang w:val="cs-CZ"/>
        </w:rPr>
        <w:t>Varianta IV</w:t>
      </w:r>
      <w:r w:rsidRPr="006A5A11">
        <w:rPr>
          <w:sz w:val="22"/>
          <w:szCs w:val="22"/>
          <w:lang w:val="cs-CZ"/>
        </w:rPr>
        <w:t xml:space="preserve"> - tato varianta obsahuje po roce 2016 síť pozemních komunikací o rozsahu stávajícího stavu zpoplatněných pozemních komunikací rozšířenou o postupnou výstavbu, všechny silnice I. třídy a vybrané úseky silnic II. a III. třídy. Tato varianta byla na základě předběžných analýz vyřazena z doporučených variant, a to z důvodu neefektivního zpoplatnění silnic II. a III. třídy. Pro částečné zpoplatnění silnic II. a III. třídy lze uvažovat s největší pravděpodobností výkonové zpoplatnění.</w:t>
      </w:r>
    </w:p>
    <w:p w:rsidR="00396955" w:rsidRPr="006A5A11" w:rsidRDefault="00396955" w:rsidP="00396955">
      <w:pPr>
        <w:jc w:val="both"/>
        <w:rPr>
          <w:sz w:val="22"/>
          <w:szCs w:val="22"/>
          <w:lang w:val="cs-CZ"/>
        </w:rPr>
      </w:pPr>
      <w:r w:rsidRPr="006A5A11">
        <w:rPr>
          <w:b/>
          <w:sz w:val="22"/>
          <w:szCs w:val="22"/>
          <w:lang w:val="cs-CZ"/>
        </w:rPr>
        <w:t>Varianta V</w:t>
      </w:r>
      <w:r w:rsidRPr="006A5A11">
        <w:rPr>
          <w:sz w:val="22"/>
          <w:szCs w:val="22"/>
          <w:lang w:val="cs-CZ"/>
        </w:rPr>
        <w:t xml:space="preserve"> - tato varianta obsahuje po roce 2016 síť pozemních komunikací o rozsahu stávajícího stavu zpoplatněných pozemních komunikací rozšířenou o postupnou výstavbu, všechny silnice I. třídy a všechny silnic II. a III. třídy. Tato varianta, jak již bylo uvedeno výše, byla na základě předběžných analýz vyřazena z doporučených variant, a to z důvodu neefektivního zpoplatnění silnic II. a III. třídy. Pro zpoplatnění silnic II. a III. třídy lze uvažovat obě dvě formy zpoplatnění, kdy dálnice a rychlostní silnice lze zpoplatnit výkonově a silnice I., II. a III. třídy lze zpoplatnit časově, případně lze všechny tyto pozemní komunikace zpoplatnit výkonově.</w:t>
      </w:r>
    </w:p>
    <w:p w:rsidR="00396955" w:rsidRPr="006A5A11" w:rsidRDefault="00396955" w:rsidP="00396955">
      <w:pPr>
        <w:jc w:val="both"/>
        <w:rPr>
          <w:rFonts w:cs="Calibri"/>
          <w:sz w:val="22"/>
          <w:szCs w:val="22"/>
          <w:lang w:val="cs-CZ"/>
        </w:rPr>
      </w:pPr>
      <w:r w:rsidRPr="006A5A11">
        <w:rPr>
          <w:rFonts w:cs="Calibri"/>
          <w:sz w:val="22"/>
          <w:szCs w:val="22"/>
          <w:lang w:val="cs-CZ"/>
        </w:rPr>
        <w:t>Pro každou variantu je nutné posuzovat souvis</w:t>
      </w:r>
      <w:r w:rsidR="00822FF9">
        <w:rPr>
          <w:rFonts w:cs="Calibri"/>
          <w:sz w:val="22"/>
          <w:szCs w:val="22"/>
          <w:lang w:val="cs-CZ"/>
        </w:rPr>
        <w:t>ející faktory (viz následující T</w:t>
      </w:r>
      <w:r w:rsidRPr="006A5A11">
        <w:rPr>
          <w:rFonts w:cs="Calibri"/>
          <w:sz w:val="22"/>
          <w:szCs w:val="22"/>
          <w:lang w:val="cs-CZ"/>
        </w:rPr>
        <w:t>abulka</w:t>
      </w:r>
      <w:r w:rsidR="00CA65B4">
        <w:rPr>
          <w:rFonts w:cs="Calibri"/>
          <w:sz w:val="22"/>
          <w:szCs w:val="22"/>
          <w:lang w:val="cs-CZ"/>
        </w:rPr>
        <w:t xml:space="preserve"> č. 1</w:t>
      </w:r>
      <w:r w:rsidRPr="006A5A11">
        <w:rPr>
          <w:rFonts w:cs="Calibri"/>
          <w:sz w:val="22"/>
          <w:szCs w:val="22"/>
          <w:lang w:val="cs-CZ"/>
        </w:rPr>
        <w:t>):</w:t>
      </w:r>
    </w:p>
    <w:p w:rsidR="00396955" w:rsidRPr="00DD2F1B" w:rsidRDefault="00396955" w:rsidP="00396955">
      <w:pPr>
        <w:pStyle w:val="BodyText1"/>
        <w:numPr>
          <w:ilvl w:val="0"/>
          <w:numId w:val="3"/>
        </w:numPr>
        <w:rPr>
          <w:rFonts w:cs="Calibri"/>
          <w:szCs w:val="22"/>
          <w:lang w:val="cs-CZ"/>
        </w:rPr>
      </w:pPr>
      <w:r w:rsidRPr="00DD2F1B">
        <w:rPr>
          <w:rFonts w:cs="Calibri"/>
          <w:szCs w:val="22"/>
          <w:lang w:val="cs-CZ"/>
        </w:rPr>
        <w:t>zda bude požadováno zachování a další využívání již pořízeného systému výkonového zpoplatnění</w:t>
      </w:r>
      <w:r w:rsidR="00F3479A">
        <w:rPr>
          <w:rFonts w:cs="Calibri"/>
          <w:szCs w:val="22"/>
          <w:lang w:val="cs-CZ"/>
        </w:rPr>
        <w:t xml:space="preserve">, resp. jeho komponent </w:t>
      </w:r>
      <w:r w:rsidRPr="00DD2F1B">
        <w:rPr>
          <w:rFonts w:cs="Calibri"/>
          <w:szCs w:val="22"/>
          <w:lang w:val="cs-CZ"/>
        </w:rPr>
        <w:t>(ano/ne/ponecháno na výběru uchazeče)</w:t>
      </w:r>
      <w:r w:rsidR="006D1BD5">
        <w:rPr>
          <w:rFonts w:cs="Calibri"/>
          <w:szCs w:val="22"/>
          <w:lang w:val="cs-CZ"/>
        </w:rPr>
        <w:t>;</w:t>
      </w:r>
    </w:p>
    <w:p w:rsidR="00396955" w:rsidRPr="00DD2F1B" w:rsidRDefault="00396955" w:rsidP="00396955">
      <w:pPr>
        <w:pStyle w:val="BodyText1"/>
        <w:numPr>
          <w:ilvl w:val="0"/>
          <w:numId w:val="3"/>
        </w:numPr>
        <w:rPr>
          <w:rFonts w:cs="Calibri"/>
          <w:szCs w:val="22"/>
          <w:lang w:val="cs-CZ"/>
        </w:rPr>
      </w:pPr>
      <w:r w:rsidRPr="00DD2F1B">
        <w:rPr>
          <w:rFonts w:cs="Calibri"/>
          <w:szCs w:val="22"/>
          <w:lang w:val="cs-CZ"/>
        </w:rPr>
        <w:lastRenderedPageBreak/>
        <w:t>zda bude zvoleno časové nebo výkonové zpoplatnění silnic I. až III. tř</w:t>
      </w:r>
      <w:r w:rsidR="006D1BD5">
        <w:rPr>
          <w:rFonts w:cs="Calibri"/>
          <w:szCs w:val="22"/>
          <w:lang w:val="cs-CZ"/>
        </w:rPr>
        <w:t>ídy.</w:t>
      </w:r>
      <w:r w:rsidRPr="00DD2F1B">
        <w:rPr>
          <w:rFonts w:cs="Calibri"/>
          <w:szCs w:val="22"/>
          <w:lang w:val="cs-CZ"/>
        </w:rPr>
        <w:t xml:space="preserve"> </w:t>
      </w:r>
    </w:p>
    <w:tbl>
      <w:tblPr>
        <w:tblW w:w="9048" w:type="dxa"/>
        <w:tblBorders>
          <w:bottom w:val="single" w:sz="4" w:space="0" w:color="72C7E7"/>
          <w:insideH w:val="single" w:sz="4" w:space="0" w:color="72C7E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/>
      </w:tblPr>
      <w:tblGrid>
        <w:gridCol w:w="1368"/>
        <w:gridCol w:w="1900"/>
        <w:gridCol w:w="963"/>
        <w:gridCol w:w="963"/>
        <w:gridCol w:w="964"/>
        <w:gridCol w:w="963"/>
        <w:gridCol w:w="963"/>
        <w:gridCol w:w="964"/>
      </w:tblGrid>
      <w:tr w:rsidR="00396955" w:rsidRPr="009019F6" w:rsidTr="00045D16">
        <w:tc>
          <w:tcPr>
            <w:tcW w:w="1368" w:type="dxa"/>
            <w:shd w:val="clear" w:color="auto" w:fill="72C7E7"/>
          </w:tcPr>
          <w:p w:rsidR="00396955" w:rsidRPr="009019F6" w:rsidRDefault="00396955" w:rsidP="00045D16">
            <w:pPr>
              <w:rPr>
                <w:rFonts w:ascii="Arial" w:hAnsi="Arial"/>
                <w:b/>
                <w:color w:val="FFFFFF"/>
                <w:sz w:val="19"/>
                <w:lang w:val="cs-CZ"/>
              </w:rPr>
            </w:pPr>
          </w:p>
        </w:tc>
        <w:tc>
          <w:tcPr>
            <w:tcW w:w="1900" w:type="dxa"/>
            <w:shd w:val="clear" w:color="auto" w:fill="72C7E7"/>
          </w:tcPr>
          <w:p w:rsidR="00396955" w:rsidRPr="009019F6" w:rsidRDefault="00396955" w:rsidP="00045D16">
            <w:pPr>
              <w:rPr>
                <w:rFonts w:ascii="Arial" w:hAnsi="Arial"/>
                <w:b/>
                <w:color w:val="FFFFFF"/>
                <w:sz w:val="19"/>
                <w:lang w:val="cs-CZ"/>
              </w:rPr>
            </w:pPr>
            <w:r w:rsidRPr="009019F6">
              <w:rPr>
                <w:rFonts w:ascii="Arial" w:hAnsi="Arial"/>
                <w:b/>
                <w:color w:val="FFFFFF"/>
                <w:sz w:val="19"/>
                <w:lang w:val="cs-CZ"/>
              </w:rPr>
              <w:t>Způsob zpoplatnění</w:t>
            </w:r>
          </w:p>
        </w:tc>
        <w:tc>
          <w:tcPr>
            <w:tcW w:w="2890" w:type="dxa"/>
            <w:gridSpan w:val="3"/>
            <w:shd w:val="clear" w:color="auto" w:fill="72C7E7"/>
          </w:tcPr>
          <w:p w:rsidR="00396955" w:rsidRPr="009019F6" w:rsidRDefault="00396955" w:rsidP="00045D16">
            <w:pPr>
              <w:jc w:val="center"/>
              <w:rPr>
                <w:rFonts w:ascii="Arial" w:hAnsi="Arial"/>
                <w:b/>
                <w:color w:val="FFFFFF"/>
                <w:sz w:val="19"/>
                <w:lang w:val="cs-CZ"/>
              </w:rPr>
            </w:pPr>
            <w:r w:rsidRPr="009019F6">
              <w:rPr>
                <w:rFonts w:ascii="Arial" w:hAnsi="Arial"/>
                <w:b/>
                <w:color w:val="FFFFFF"/>
                <w:sz w:val="19"/>
                <w:lang w:val="cs-CZ"/>
              </w:rPr>
              <w:t>Časové</w:t>
            </w:r>
            <w:r w:rsidRPr="009019F6">
              <w:rPr>
                <w:rFonts w:ascii="Arial" w:hAnsi="Arial"/>
                <w:b/>
                <w:color w:val="FFFFFF"/>
                <w:sz w:val="19"/>
                <w:lang w:val="cs-CZ"/>
              </w:rPr>
              <w:br/>
              <w:t>(Dálnice, rychlostní silnice a vybrané úseky silnic I. třídy zpoplatněny vždy výkonově)</w:t>
            </w:r>
          </w:p>
        </w:tc>
        <w:tc>
          <w:tcPr>
            <w:tcW w:w="2890" w:type="dxa"/>
            <w:gridSpan w:val="3"/>
            <w:shd w:val="clear" w:color="auto" w:fill="72C7E7"/>
          </w:tcPr>
          <w:p w:rsidR="00396955" w:rsidRPr="009019F6" w:rsidRDefault="00396955" w:rsidP="00045D16">
            <w:pPr>
              <w:jc w:val="center"/>
              <w:rPr>
                <w:rFonts w:ascii="Arial" w:hAnsi="Arial"/>
                <w:b/>
                <w:color w:val="FFFFFF"/>
                <w:sz w:val="19"/>
                <w:lang w:val="cs-CZ"/>
              </w:rPr>
            </w:pPr>
            <w:r w:rsidRPr="009019F6">
              <w:rPr>
                <w:rFonts w:ascii="Arial" w:hAnsi="Arial"/>
                <w:b/>
                <w:color w:val="FFFFFF"/>
                <w:sz w:val="19"/>
                <w:lang w:val="cs-CZ"/>
              </w:rPr>
              <w:t>Výkonové</w:t>
            </w:r>
          </w:p>
        </w:tc>
      </w:tr>
      <w:tr w:rsidR="00396955" w:rsidRPr="009019F6" w:rsidTr="00045D16">
        <w:tc>
          <w:tcPr>
            <w:tcW w:w="1368" w:type="dxa"/>
            <w:shd w:val="clear" w:color="auto" w:fill="FFFFFF"/>
          </w:tcPr>
          <w:p w:rsidR="00396955" w:rsidRPr="009019F6" w:rsidRDefault="00396955" w:rsidP="00045D16">
            <w:pPr>
              <w:spacing w:before="120" w:after="120" w:line="240" w:lineRule="auto"/>
              <w:rPr>
                <w:rFonts w:ascii="Arial" w:hAnsi="Arial"/>
                <w:sz w:val="19"/>
                <w:lang w:val="cs-CZ"/>
              </w:rPr>
            </w:pPr>
          </w:p>
        </w:tc>
        <w:tc>
          <w:tcPr>
            <w:tcW w:w="1900" w:type="dxa"/>
            <w:shd w:val="clear" w:color="auto" w:fill="FFFFFF"/>
          </w:tcPr>
          <w:p w:rsidR="00396955" w:rsidRPr="009019F6" w:rsidRDefault="00396955" w:rsidP="00045D16">
            <w:pPr>
              <w:spacing w:before="120" w:after="120" w:line="240" w:lineRule="auto"/>
              <w:rPr>
                <w:rFonts w:ascii="Arial" w:hAnsi="Arial"/>
                <w:sz w:val="19"/>
                <w:lang w:val="cs-CZ"/>
              </w:rPr>
            </w:pPr>
            <w:r w:rsidRPr="009019F6">
              <w:rPr>
                <w:rFonts w:ascii="Arial" w:hAnsi="Arial"/>
                <w:sz w:val="19"/>
                <w:lang w:val="cs-CZ"/>
              </w:rPr>
              <w:t>Požadavek na zachování stávajícího systému</w:t>
            </w:r>
          </w:p>
        </w:tc>
        <w:tc>
          <w:tcPr>
            <w:tcW w:w="963" w:type="dxa"/>
            <w:shd w:val="clear" w:color="auto" w:fill="FFFFFF"/>
          </w:tcPr>
          <w:p w:rsidR="00396955" w:rsidRPr="009019F6" w:rsidRDefault="00396955" w:rsidP="00045D16">
            <w:pPr>
              <w:spacing w:before="120" w:after="120" w:line="240" w:lineRule="auto"/>
              <w:jc w:val="center"/>
              <w:rPr>
                <w:rFonts w:ascii="Arial" w:hAnsi="Arial"/>
                <w:sz w:val="19"/>
                <w:lang w:val="cs-CZ"/>
              </w:rPr>
            </w:pPr>
            <w:r w:rsidRPr="009019F6">
              <w:rPr>
                <w:rFonts w:ascii="Arial" w:hAnsi="Arial"/>
                <w:sz w:val="19"/>
                <w:lang w:val="cs-CZ"/>
              </w:rPr>
              <w:t>ANO</w:t>
            </w:r>
          </w:p>
        </w:tc>
        <w:tc>
          <w:tcPr>
            <w:tcW w:w="963" w:type="dxa"/>
            <w:shd w:val="clear" w:color="auto" w:fill="FFFFFF"/>
          </w:tcPr>
          <w:p w:rsidR="00396955" w:rsidRPr="009019F6" w:rsidRDefault="00396955" w:rsidP="00045D16">
            <w:pPr>
              <w:spacing w:before="120" w:after="120" w:line="240" w:lineRule="auto"/>
              <w:jc w:val="center"/>
              <w:rPr>
                <w:rFonts w:ascii="Arial" w:hAnsi="Arial"/>
                <w:sz w:val="19"/>
                <w:lang w:val="cs-CZ"/>
              </w:rPr>
            </w:pPr>
            <w:r w:rsidRPr="009019F6">
              <w:rPr>
                <w:rFonts w:ascii="Arial" w:hAnsi="Arial"/>
                <w:sz w:val="19"/>
                <w:lang w:val="cs-CZ"/>
              </w:rPr>
              <w:t>NE</w:t>
            </w:r>
          </w:p>
        </w:tc>
        <w:tc>
          <w:tcPr>
            <w:tcW w:w="964" w:type="dxa"/>
            <w:shd w:val="clear" w:color="auto" w:fill="FFFFFF"/>
          </w:tcPr>
          <w:p w:rsidR="00396955" w:rsidRPr="009019F6" w:rsidRDefault="00396955" w:rsidP="00045D16">
            <w:pPr>
              <w:spacing w:before="120" w:after="120" w:line="240" w:lineRule="auto"/>
              <w:jc w:val="center"/>
              <w:rPr>
                <w:rFonts w:ascii="Arial" w:hAnsi="Arial"/>
                <w:sz w:val="19"/>
                <w:lang w:val="cs-CZ"/>
              </w:rPr>
            </w:pPr>
            <w:r w:rsidRPr="009019F6">
              <w:rPr>
                <w:rFonts w:ascii="Arial" w:hAnsi="Arial"/>
                <w:sz w:val="19"/>
                <w:lang w:val="cs-CZ"/>
              </w:rPr>
              <w:t>Volitelné</w:t>
            </w:r>
          </w:p>
        </w:tc>
        <w:tc>
          <w:tcPr>
            <w:tcW w:w="963" w:type="dxa"/>
            <w:shd w:val="clear" w:color="auto" w:fill="FFFFFF"/>
          </w:tcPr>
          <w:p w:rsidR="00396955" w:rsidRPr="009019F6" w:rsidRDefault="00396955" w:rsidP="00045D16">
            <w:pPr>
              <w:spacing w:before="120" w:after="120" w:line="240" w:lineRule="auto"/>
              <w:jc w:val="center"/>
              <w:rPr>
                <w:rFonts w:ascii="Arial" w:hAnsi="Arial"/>
                <w:sz w:val="19"/>
                <w:lang w:val="cs-CZ"/>
              </w:rPr>
            </w:pPr>
            <w:r w:rsidRPr="009019F6">
              <w:rPr>
                <w:rFonts w:ascii="Arial" w:hAnsi="Arial"/>
                <w:sz w:val="19"/>
                <w:lang w:val="cs-CZ"/>
              </w:rPr>
              <w:t>ANO</w:t>
            </w:r>
          </w:p>
        </w:tc>
        <w:tc>
          <w:tcPr>
            <w:tcW w:w="963" w:type="dxa"/>
            <w:shd w:val="clear" w:color="auto" w:fill="FFFFFF"/>
          </w:tcPr>
          <w:p w:rsidR="00396955" w:rsidRPr="009019F6" w:rsidRDefault="00396955" w:rsidP="00045D16">
            <w:pPr>
              <w:spacing w:before="120" w:after="120" w:line="240" w:lineRule="auto"/>
              <w:jc w:val="center"/>
              <w:rPr>
                <w:rFonts w:ascii="Arial" w:hAnsi="Arial"/>
                <w:sz w:val="19"/>
                <w:lang w:val="cs-CZ"/>
              </w:rPr>
            </w:pPr>
            <w:r w:rsidRPr="009019F6">
              <w:rPr>
                <w:rFonts w:ascii="Arial" w:hAnsi="Arial"/>
                <w:sz w:val="19"/>
                <w:lang w:val="cs-CZ"/>
              </w:rPr>
              <w:t>NE</w:t>
            </w:r>
          </w:p>
        </w:tc>
        <w:tc>
          <w:tcPr>
            <w:tcW w:w="964" w:type="dxa"/>
            <w:shd w:val="clear" w:color="auto" w:fill="FFFFFF"/>
          </w:tcPr>
          <w:p w:rsidR="00396955" w:rsidRPr="009019F6" w:rsidRDefault="00396955" w:rsidP="00045D16">
            <w:pPr>
              <w:spacing w:before="120" w:after="120" w:line="240" w:lineRule="auto"/>
              <w:jc w:val="center"/>
              <w:rPr>
                <w:rFonts w:ascii="Arial" w:hAnsi="Arial"/>
                <w:sz w:val="19"/>
                <w:lang w:val="cs-CZ"/>
              </w:rPr>
            </w:pPr>
            <w:r w:rsidRPr="009019F6">
              <w:rPr>
                <w:rFonts w:ascii="Arial" w:hAnsi="Arial"/>
                <w:sz w:val="19"/>
                <w:lang w:val="cs-CZ"/>
              </w:rPr>
              <w:t>Volitelné</w:t>
            </w:r>
          </w:p>
        </w:tc>
      </w:tr>
      <w:tr w:rsidR="00396955" w:rsidRPr="009019F6" w:rsidTr="00045D16">
        <w:tc>
          <w:tcPr>
            <w:tcW w:w="1368" w:type="dxa"/>
          </w:tcPr>
          <w:p w:rsidR="00396955" w:rsidRPr="009019F6" w:rsidRDefault="00396955" w:rsidP="00045D16">
            <w:pPr>
              <w:spacing w:before="120" w:after="120" w:line="240" w:lineRule="auto"/>
              <w:rPr>
                <w:rFonts w:ascii="Arial" w:hAnsi="Arial"/>
                <w:sz w:val="19"/>
                <w:lang w:val="cs-CZ"/>
              </w:rPr>
            </w:pPr>
            <w:r w:rsidRPr="009019F6">
              <w:rPr>
                <w:rFonts w:ascii="Arial" w:hAnsi="Arial"/>
                <w:sz w:val="19"/>
                <w:lang w:val="cs-CZ"/>
              </w:rPr>
              <w:t>Varianta I</w:t>
            </w:r>
          </w:p>
        </w:tc>
        <w:tc>
          <w:tcPr>
            <w:tcW w:w="1900" w:type="dxa"/>
          </w:tcPr>
          <w:p w:rsidR="00396955" w:rsidRPr="009019F6" w:rsidRDefault="00396955" w:rsidP="00045D16">
            <w:pPr>
              <w:spacing w:before="120" w:after="120" w:line="240" w:lineRule="auto"/>
              <w:rPr>
                <w:rFonts w:ascii="Arial" w:hAnsi="Arial"/>
                <w:sz w:val="19"/>
                <w:lang w:val="cs-CZ"/>
              </w:rPr>
            </w:pPr>
            <w:r w:rsidRPr="009019F6">
              <w:rPr>
                <w:rFonts w:ascii="Arial" w:hAnsi="Arial"/>
                <w:sz w:val="19"/>
                <w:lang w:val="cs-CZ"/>
              </w:rPr>
              <w:t>D+R+VUSI</w:t>
            </w:r>
          </w:p>
        </w:tc>
        <w:tc>
          <w:tcPr>
            <w:tcW w:w="963" w:type="dxa"/>
          </w:tcPr>
          <w:p w:rsidR="00396955" w:rsidRPr="009019F6" w:rsidRDefault="00396955" w:rsidP="00045D16">
            <w:pPr>
              <w:spacing w:before="120" w:after="120" w:line="240" w:lineRule="auto"/>
              <w:jc w:val="center"/>
              <w:rPr>
                <w:rFonts w:ascii="Arial" w:hAnsi="Arial"/>
                <w:sz w:val="19"/>
                <w:lang w:val="cs-CZ"/>
              </w:rPr>
            </w:pPr>
            <w:r w:rsidRPr="009019F6">
              <w:rPr>
                <w:rFonts w:ascii="Arial" w:hAnsi="Arial"/>
                <w:sz w:val="19"/>
                <w:lang w:val="cs-CZ"/>
              </w:rPr>
              <w:t>X</w:t>
            </w:r>
          </w:p>
        </w:tc>
        <w:tc>
          <w:tcPr>
            <w:tcW w:w="963" w:type="dxa"/>
          </w:tcPr>
          <w:p w:rsidR="00396955" w:rsidRPr="009019F6" w:rsidRDefault="00396955" w:rsidP="00045D16">
            <w:pPr>
              <w:spacing w:before="120" w:after="120" w:line="240" w:lineRule="auto"/>
              <w:jc w:val="center"/>
              <w:rPr>
                <w:rFonts w:ascii="Arial" w:hAnsi="Arial"/>
                <w:sz w:val="19"/>
                <w:lang w:val="cs-CZ"/>
              </w:rPr>
            </w:pPr>
            <w:r w:rsidRPr="009019F6">
              <w:rPr>
                <w:rFonts w:ascii="Arial" w:hAnsi="Arial"/>
                <w:sz w:val="19"/>
                <w:lang w:val="cs-CZ"/>
              </w:rPr>
              <w:t>X</w:t>
            </w:r>
          </w:p>
        </w:tc>
        <w:tc>
          <w:tcPr>
            <w:tcW w:w="964" w:type="dxa"/>
          </w:tcPr>
          <w:p w:rsidR="00396955" w:rsidRPr="009019F6" w:rsidRDefault="00396955" w:rsidP="00045D16">
            <w:pPr>
              <w:spacing w:before="120" w:after="120" w:line="240" w:lineRule="auto"/>
              <w:jc w:val="center"/>
              <w:rPr>
                <w:rFonts w:ascii="Arial" w:hAnsi="Arial"/>
                <w:sz w:val="19"/>
                <w:lang w:val="cs-CZ"/>
              </w:rPr>
            </w:pPr>
            <w:r w:rsidRPr="009019F6">
              <w:rPr>
                <w:rFonts w:ascii="Arial" w:hAnsi="Arial"/>
                <w:sz w:val="19"/>
                <w:lang w:val="cs-CZ"/>
              </w:rPr>
              <w:t>X</w:t>
            </w:r>
          </w:p>
        </w:tc>
        <w:tc>
          <w:tcPr>
            <w:tcW w:w="963" w:type="dxa"/>
            <w:shd w:val="clear" w:color="auto" w:fill="99CC00"/>
          </w:tcPr>
          <w:p w:rsidR="00396955" w:rsidRPr="009019F6" w:rsidRDefault="00396955" w:rsidP="00045D16">
            <w:pPr>
              <w:spacing w:before="120" w:after="120" w:line="240" w:lineRule="auto"/>
              <w:jc w:val="center"/>
              <w:rPr>
                <w:rFonts w:ascii="Arial" w:hAnsi="Arial"/>
                <w:sz w:val="19"/>
                <w:lang w:val="cs-CZ"/>
              </w:rPr>
            </w:pPr>
            <w:r w:rsidRPr="009019F6">
              <w:rPr>
                <w:rFonts w:ascii="Arial" w:hAnsi="Arial"/>
                <w:sz w:val="19"/>
                <w:lang w:val="cs-CZ"/>
              </w:rPr>
              <w:t>A</w:t>
            </w:r>
          </w:p>
        </w:tc>
        <w:tc>
          <w:tcPr>
            <w:tcW w:w="963" w:type="dxa"/>
            <w:shd w:val="clear" w:color="auto" w:fill="FFCC99"/>
          </w:tcPr>
          <w:p w:rsidR="00396955" w:rsidRPr="009019F6" w:rsidRDefault="00396955" w:rsidP="00045D16">
            <w:pPr>
              <w:spacing w:before="120" w:after="120" w:line="240" w:lineRule="auto"/>
              <w:jc w:val="center"/>
              <w:rPr>
                <w:rFonts w:ascii="Arial" w:hAnsi="Arial"/>
                <w:sz w:val="19"/>
                <w:lang w:val="cs-CZ"/>
              </w:rPr>
            </w:pPr>
            <w:r w:rsidRPr="009019F6">
              <w:rPr>
                <w:rFonts w:ascii="Arial" w:hAnsi="Arial"/>
                <w:sz w:val="19"/>
                <w:lang w:val="cs-CZ"/>
              </w:rPr>
              <w:t>N</w:t>
            </w:r>
          </w:p>
        </w:tc>
        <w:tc>
          <w:tcPr>
            <w:tcW w:w="964" w:type="dxa"/>
            <w:shd w:val="clear" w:color="auto" w:fill="FFCC99"/>
          </w:tcPr>
          <w:p w:rsidR="00396955" w:rsidRPr="009019F6" w:rsidRDefault="00396955" w:rsidP="00045D16">
            <w:pPr>
              <w:spacing w:before="120" w:after="120" w:line="240" w:lineRule="auto"/>
              <w:jc w:val="center"/>
              <w:rPr>
                <w:rFonts w:ascii="Arial" w:hAnsi="Arial"/>
                <w:sz w:val="19"/>
                <w:lang w:val="cs-CZ"/>
              </w:rPr>
            </w:pPr>
            <w:r w:rsidRPr="009019F6">
              <w:rPr>
                <w:rFonts w:ascii="Arial" w:hAnsi="Arial"/>
                <w:sz w:val="19"/>
                <w:lang w:val="cs-CZ"/>
              </w:rPr>
              <w:t>N</w:t>
            </w:r>
          </w:p>
        </w:tc>
      </w:tr>
      <w:tr w:rsidR="00396955" w:rsidRPr="009019F6" w:rsidTr="00045D16">
        <w:tc>
          <w:tcPr>
            <w:tcW w:w="1368" w:type="dxa"/>
            <w:tcBorders>
              <w:right w:val="nil"/>
            </w:tcBorders>
          </w:tcPr>
          <w:p w:rsidR="00396955" w:rsidRPr="009019F6" w:rsidRDefault="00396955" w:rsidP="00045D16">
            <w:pPr>
              <w:spacing w:before="120" w:after="120" w:line="240" w:lineRule="auto"/>
              <w:rPr>
                <w:rFonts w:ascii="Arial" w:hAnsi="Arial"/>
                <w:sz w:val="19"/>
                <w:lang w:val="cs-CZ"/>
              </w:rPr>
            </w:pPr>
            <w:r w:rsidRPr="009019F6">
              <w:rPr>
                <w:rFonts w:ascii="Arial" w:hAnsi="Arial"/>
                <w:sz w:val="19"/>
                <w:lang w:val="cs-CZ"/>
              </w:rPr>
              <w:t>Varianta II</w:t>
            </w:r>
          </w:p>
        </w:tc>
        <w:tc>
          <w:tcPr>
            <w:tcW w:w="1900" w:type="dxa"/>
            <w:tcBorders>
              <w:left w:val="nil"/>
              <w:right w:val="nil"/>
            </w:tcBorders>
          </w:tcPr>
          <w:p w:rsidR="00396955" w:rsidRPr="009019F6" w:rsidRDefault="00396955" w:rsidP="00045D16">
            <w:pPr>
              <w:spacing w:before="120" w:after="120" w:line="240" w:lineRule="auto"/>
              <w:rPr>
                <w:rFonts w:ascii="Arial" w:hAnsi="Arial"/>
                <w:sz w:val="19"/>
                <w:lang w:val="cs-CZ"/>
              </w:rPr>
            </w:pPr>
            <w:r w:rsidRPr="009019F6">
              <w:rPr>
                <w:rFonts w:ascii="Arial" w:hAnsi="Arial"/>
                <w:sz w:val="19"/>
                <w:lang w:val="cs-CZ"/>
              </w:rPr>
              <w:t>D+R+1000</w:t>
            </w:r>
          </w:p>
        </w:tc>
        <w:tc>
          <w:tcPr>
            <w:tcW w:w="963" w:type="dxa"/>
            <w:tcBorders>
              <w:left w:val="nil"/>
              <w:right w:val="nil"/>
            </w:tcBorders>
          </w:tcPr>
          <w:p w:rsidR="00396955" w:rsidRPr="009019F6" w:rsidRDefault="00396955" w:rsidP="00045D16">
            <w:pPr>
              <w:spacing w:before="120" w:after="120" w:line="240" w:lineRule="auto"/>
              <w:jc w:val="center"/>
              <w:rPr>
                <w:rFonts w:ascii="Arial" w:hAnsi="Arial"/>
                <w:sz w:val="19"/>
                <w:lang w:val="cs-CZ"/>
              </w:rPr>
            </w:pPr>
            <w:r w:rsidRPr="009019F6">
              <w:rPr>
                <w:rFonts w:ascii="Arial" w:hAnsi="Arial"/>
                <w:sz w:val="19"/>
                <w:lang w:val="cs-CZ"/>
              </w:rPr>
              <w:t>X</w:t>
            </w:r>
          </w:p>
        </w:tc>
        <w:tc>
          <w:tcPr>
            <w:tcW w:w="963" w:type="dxa"/>
            <w:tcBorders>
              <w:left w:val="nil"/>
              <w:right w:val="nil"/>
            </w:tcBorders>
          </w:tcPr>
          <w:p w:rsidR="00396955" w:rsidRPr="009019F6" w:rsidRDefault="00396955" w:rsidP="00045D16">
            <w:pPr>
              <w:spacing w:before="120" w:after="120" w:line="240" w:lineRule="auto"/>
              <w:jc w:val="center"/>
              <w:rPr>
                <w:rFonts w:ascii="Arial" w:hAnsi="Arial"/>
                <w:sz w:val="19"/>
                <w:lang w:val="cs-CZ"/>
              </w:rPr>
            </w:pPr>
            <w:r w:rsidRPr="009019F6">
              <w:rPr>
                <w:rFonts w:ascii="Arial" w:hAnsi="Arial"/>
                <w:sz w:val="19"/>
                <w:lang w:val="cs-CZ"/>
              </w:rPr>
              <w:t>X</w:t>
            </w:r>
          </w:p>
        </w:tc>
        <w:tc>
          <w:tcPr>
            <w:tcW w:w="964" w:type="dxa"/>
            <w:tcBorders>
              <w:left w:val="nil"/>
              <w:right w:val="nil"/>
            </w:tcBorders>
          </w:tcPr>
          <w:p w:rsidR="00396955" w:rsidRPr="009019F6" w:rsidRDefault="00396955" w:rsidP="00045D16">
            <w:pPr>
              <w:spacing w:before="120" w:after="120" w:line="240" w:lineRule="auto"/>
              <w:jc w:val="center"/>
              <w:rPr>
                <w:rFonts w:ascii="Arial" w:hAnsi="Arial"/>
                <w:sz w:val="19"/>
                <w:lang w:val="cs-CZ"/>
              </w:rPr>
            </w:pPr>
            <w:r w:rsidRPr="009019F6">
              <w:rPr>
                <w:rFonts w:ascii="Arial" w:hAnsi="Arial"/>
                <w:sz w:val="19"/>
                <w:lang w:val="cs-CZ"/>
              </w:rPr>
              <w:t>X</w:t>
            </w:r>
          </w:p>
        </w:tc>
        <w:tc>
          <w:tcPr>
            <w:tcW w:w="963" w:type="dxa"/>
            <w:tcBorders>
              <w:left w:val="nil"/>
              <w:right w:val="nil"/>
            </w:tcBorders>
            <w:shd w:val="clear" w:color="auto" w:fill="99CC00"/>
          </w:tcPr>
          <w:p w:rsidR="00396955" w:rsidRPr="009019F6" w:rsidRDefault="00396955" w:rsidP="00045D16">
            <w:pPr>
              <w:spacing w:before="120" w:after="120" w:line="240" w:lineRule="auto"/>
              <w:jc w:val="center"/>
              <w:rPr>
                <w:rFonts w:ascii="Arial" w:hAnsi="Arial"/>
                <w:sz w:val="19"/>
                <w:lang w:val="cs-CZ"/>
              </w:rPr>
            </w:pPr>
            <w:r w:rsidRPr="009019F6">
              <w:rPr>
                <w:rFonts w:ascii="Arial" w:hAnsi="Arial"/>
                <w:sz w:val="19"/>
                <w:lang w:val="cs-CZ"/>
              </w:rPr>
              <w:t>A</w:t>
            </w:r>
          </w:p>
        </w:tc>
        <w:tc>
          <w:tcPr>
            <w:tcW w:w="963" w:type="dxa"/>
            <w:tcBorders>
              <w:left w:val="nil"/>
              <w:right w:val="nil"/>
            </w:tcBorders>
            <w:shd w:val="clear" w:color="auto" w:fill="99CC00"/>
          </w:tcPr>
          <w:p w:rsidR="00396955" w:rsidRPr="009019F6" w:rsidRDefault="00396955" w:rsidP="00045D16">
            <w:pPr>
              <w:spacing w:before="120" w:after="120" w:line="240" w:lineRule="auto"/>
              <w:jc w:val="center"/>
              <w:rPr>
                <w:rFonts w:ascii="Arial" w:hAnsi="Arial"/>
                <w:sz w:val="19"/>
                <w:lang w:val="cs-CZ"/>
              </w:rPr>
            </w:pPr>
            <w:r w:rsidRPr="009019F6">
              <w:rPr>
                <w:rFonts w:ascii="Arial" w:hAnsi="Arial"/>
                <w:sz w:val="19"/>
                <w:lang w:val="cs-CZ"/>
              </w:rPr>
              <w:t>A</w:t>
            </w:r>
          </w:p>
        </w:tc>
        <w:tc>
          <w:tcPr>
            <w:tcW w:w="964" w:type="dxa"/>
            <w:tcBorders>
              <w:left w:val="nil"/>
            </w:tcBorders>
            <w:shd w:val="clear" w:color="auto" w:fill="99CC00"/>
          </w:tcPr>
          <w:p w:rsidR="00396955" w:rsidRPr="009019F6" w:rsidRDefault="00396955" w:rsidP="00045D16">
            <w:pPr>
              <w:spacing w:before="120" w:after="120" w:line="240" w:lineRule="auto"/>
              <w:jc w:val="center"/>
              <w:rPr>
                <w:rFonts w:ascii="Arial" w:hAnsi="Arial"/>
                <w:sz w:val="19"/>
                <w:lang w:val="cs-CZ"/>
              </w:rPr>
            </w:pPr>
            <w:r w:rsidRPr="009019F6">
              <w:rPr>
                <w:rFonts w:ascii="Arial" w:hAnsi="Arial"/>
                <w:sz w:val="19"/>
                <w:lang w:val="cs-CZ"/>
              </w:rPr>
              <w:t>A</w:t>
            </w:r>
          </w:p>
        </w:tc>
      </w:tr>
      <w:tr w:rsidR="00396955" w:rsidRPr="009019F6" w:rsidTr="00045D16">
        <w:tc>
          <w:tcPr>
            <w:tcW w:w="1368" w:type="dxa"/>
            <w:tcBorders>
              <w:right w:val="nil"/>
            </w:tcBorders>
          </w:tcPr>
          <w:p w:rsidR="00396955" w:rsidRPr="009019F6" w:rsidRDefault="00396955" w:rsidP="00045D16">
            <w:pPr>
              <w:spacing w:before="120" w:after="120" w:line="240" w:lineRule="auto"/>
              <w:rPr>
                <w:rFonts w:ascii="Arial" w:hAnsi="Arial"/>
                <w:sz w:val="19"/>
                <w:lang w:val="cs-CZ"/>
              </w:rPr>
            </w:pPr>
            <w:r w:rsidRPr="009019F6">
              <w:rPr>
                <w:rFonts w:ascii="Arial" w:hAnsi="Arial"/>
                <w:sz w:val="19"/>
                <w:lang w:val="cs-CZ"/>
              </w:rPr>
              <w:t>Varianta III</w:t>
            </w:r>
          </w:p>
        </w:tc>
        <w:tc>
          <w:tcPr>
            <w:tcW w:w="1900" w:type="dxa"/>
            <w:tcBorders>
              <w:left w:val="nil"/>
              <w:right w:val="nil"/>
            </w:tcBorders>
          </w:tcPr>
          <w:p w:rsidR="00396955" w:rsidRPr="009019F6" w:rsidRDefault="00396955" w:rsidP="00045D16">
            <w:pPr>
              <w:spacing w:before="120" w:after="120" w:line="240" w:lineRule="auto"/>
              <w:rPr>
                <w:rFonts w:ascii="Arial" w:hAnsi="Arial"/>
                <w:sz w:val="19"/>
                <w:lang w:val="cs-CZ"/>
              </w:rPr>
            </w:pPr>
            <w:r w:rsidRPr="009019F6">
              <w:rPr>
                <w:rFonts w:ascii="Arial" w:hAnsi="Arial"/>
                <w:sz w:val="19"/>
                <w:lang w:val="cs-CZ"/>
              </w:rPr>
              <w:t>D+R+SI</w:t>
            </w:r>
          </w:p>
        </w:tc>
        <w:tc>
          <w:tcPr>
            <w:tcW w:w="963" w:type="dxa"/>
            <w:tcBorders>
              <w:left w:val="nil"/>
              <w:right w:val="nil"/>
            </w:tcBorders>
            <w:shd w:val="clear" w:color="auto" w:fill="99CC00"/>
          </w:tcPr>
          <w:p w:rsidR="00396955" w:rsidRPr="009019F6" w:rsidRDefault="00396955" w:rsidP="00045D16">
            <w:pPr>
              <w:spacing w:before="120" w:after="120" w:line="240" w:lineRule="auto"/>
              <w:jc w:val="center"/>
              <w:rPr>
                <w:rFonts w:ascii="Arial" w:hAnsi="Arial"/>
                <w:sz w:val="19"/>
                <w:lang w:val="cs-CZ"/>
              </w:rPr>
            </w:pPr>
            <w:r w:rsidRPr="009019F6">
              <w:rPr>
                <w:rFonts w:ascii="Arial" w:hAnsi="Arial"/>
                <w:sz w:val="19"/>
                <w:lang w:val="cs-CZ"/>
              </w:rPr>
              <w:t>A</w:t>
            </w:r>
          </w:p>
        </w:tc>
        <w:tc>
          <w:tcPr>
            <w:tcW w:w="963" w:type="dxa"/>
            <w:tcBorders>
              <w:left w:val="nil"/>
              <w:right w:val="nil"/>
            </w:tcBorders>
            <w:shd w:val="clear" w:color="auto" w:fill="FFCC99"/>
          </w:tcPr>
          <w:p w:rsidR="00396955" w:rsidRPr="009019F6" w:rsidRDefault="00396955" w:rsidP="00045D16">
            <w:pPr>
              <w:spacing w:before="120" w:after="120" w:line="240" w:lineRule="auto"/>
              <w:jc w:val="center"/>
              <w:rPr>
                <w:rFonts w:ascii="Arial" w:hAnsi="Arial"/>
                <w:sz w:val="19"/>
                <w:lang w:val="cs-CZ"/>
              </w:rPr>
            </w:pPr>
            <w:r w:rsidRPr="009019F6">
              <w:rPr>
                <w:rFonts w:ascii="Arial" w:hAnsi="Arial"/>
                <w:sz w:val="19"/>
                <w:lang w:val="cs-CZ"/>
              </w:rPr>
              <w:t>N</w:t>
            </w:r>
          </w:p>
        </w:tc>
        <w:tc>
          <w:tcPr>
            <w:tcW w:w="964" w:type="dxa"/>
            <w:tcBorders>
              <w:left w:val="nil"/>
              <w:right w:val="nil"/>
            </w:tcBorders>
            <w:shd w:val="clear" w:color="auto" w:fill="FFCC99"/>
          </w:tcPr>
          <w:p w:rsidR="00396955" w:rsidRPr="009019F6" w:rsidRDefault="00396955" w:rsidP="00045D16">
            <w:pPr>
              <w:spacing w:before="120" w:after="120" w:line="240" w:lineRule="auto"/>
              <w:jc w:val="center"/>
              <w:rPr>
                <w:rFonts w:ascii="Arial" w:hAnsi="Arial"/>
                <w:sz w:val="19"/>
                <w:lang w:val="cs-CZ"/>
              </w:rPr>
            </w:pPr>
            <w:r w:rsidRPr="009019F6">
              <w:rPr>
                <w:rFonts w:ascii="Arial" w:hAnsi="Arial"/>
                <w:sz w:val="19"/>
                <w:lang w:val="cs-CZ"/>
              </w:rPr>
              <w:t>N</w:t>
            </w:r>
          </w:p>
        </w:tc>
        <w:tc>
          <w:tcPr>
            <w:tcW w:w="963" w:type="dxa"/>
            <w:tcBorders>
              <w:left w:val="nil"/>
              <w:right w:val="nil"/>
            </w:tcBorders>
            <w:shd w:val="clear" w:color="auto" w:fill="99CC00"/>
          </w:tcPr>
          <w:p w:rsidR="00396955" w:rsidRPr="009019F6" w:rsidRDefault="00396955" w:rsidP="00045D16">
            <w:pPr>
              <w:spacing w:before="120" w:after="120" w:line="240" w:lineRule="auto"/>
              <w:jc w:val="center"/>
              <w:rPr>
                <w:rFonts w:ascii="Arial" w:hAnsi="Arial"/>
                <w:sz w:val="19"/>
                <w:lang w:val="cs-CZ"/>
              </w:rPr>
            </w:pPr>
            <w:r w:rsidRPr="009019F6">
              <w:rPr>
                <w:rFonts w:ascii="Arial" w:hAnsi="Arial"/>
                <w:sz w:val="19"/>
                <w:lang w:val="cs-CZ"/>
              </w:rPr>
              <w:t>A</w:t>
            </w:r>
          </w:p>
        </w:tc>
        <w:tc>
          <w:tcPr>
            <w:tcW w:w="963" w:type="dxa"/>
            <w:tcBorders>
              <w:left w:val="nil"/>
              <w:right w:val="nil"/>
            </w:tcBorders>
            <w:shd w:val="clear" w:color="auto" w:fill="99CC00"/>
          </w:tcPr>
          <w:p w:rsidR="00396955" w:rsidRPr="009019F6" w:rsidRDefault="00396955" w:rsidP="00045D16">
            <w:pPr>
              <w:spacing w:before="120" w:after="120" w:line="240" w:lineRule="auto"/>
              <w:jc w:val="center"/>
              <w:rPr>
                <w:rFonts w:ascii="Arial" w:hAnsi="Arial"/>
                <w:sz w:val="19"/>
                <w:lang w:val="cs-CZ"/>
              </w:rPr>
            </w:pPr>
            <w:r w:rsidRPr="009019F6">
              <w:rPr>
                <w:rFonts w:ascii="Arial" w:hAnsi="Arial"/>
                <w:sz w:val="19"/>
                <w:lang w:val="cs-CZ"/>
              </w:rPr>
              <w:t>A</w:t>
            </w:r>
          </w:p>
        </w:tc>
        <w:tc>
          <w:tcPr>
            <w:tcW w:w="964" w:type="dxa"/>
            <w:tcBorders>
              <w:left w:val="nil"/>
            </w:tcBorders>
            <w:shd w:val="clear" w:color="auto" w:fill="99CC00"/>
          </w:tcPr>
          <w:p w:rsidR="00396955" w:rsidRPr="009019F6" w:rsidRDefault="00396955" w:rsidP="00045D16">
            <w:pPr>
              <w:spacing w:before="120" w:after="120" w:line="240" w:lineRule="auto"/>
              <w:jc w:val="center"/>
              <w:rPr>
                <w:rFonts w:ascii="Arial" w:hAnsi="Arial"/>
                <w:sz w:val="19"/>
                <w:lang w:val="cs-CZ"/>
              </w:rPr>
            </w:pPr>
            <w:r w:rsidRPr="009019F6">
              <w:rPr>
                <w:rFonts w:ascii="Arial" w:hAnsi="Arial"/>
                <w:sz w:val="19"/>
                <w:lang w:val="cs-CZ"/>
              </w:rPr>
              <w:t>A</w:t>
            </w:r>
          </w:p>
        </w:tc>
      </w:tr>
      <w:tr w:rsidR="00396955" w:rsidRPr="009019F6" w:rsidTr="00045D16">
        <w:tc>
          <w:tcPr>
            <w:tcW w:w="1368" w:type="dxa"/>
            <w:tcBorders>
              <w:right w:val="nil"/>
            </w:tcBorders>
          </w:tcPr>
          <w:p w:rsidR="00396955" w:rsidRPr="009019F6" w:rsidRDefault="00396955" w:rsidP="00045D16">
            <w:pPr>
              <w:spacing w:before="120" w:after="120" w:line="240" w:lineRule="auto"/>
              <w:rPr>
                <w:rFonts w:ascii="Arial" w:hAnsi="Arial"/>
                <w:sz w:val="19"/>
                <w:lang w:val="cs-CZ"/>
              </w:rPr>
            </w:pPr>
            <w:r w:rsidRPr="009019F6">
              <w:rPr>
                <w:rFonts w:ascii="Arial" w:hAnsi="Arial"/>
                <w:sz w:val="19"/>
                <w:lang w:val="cs-CZ"/>
              </w:rPr>
              <w:t>Varianta IV</w:t>
            </w:r>
          </w:p>
        </w:tc>
        <w:tc>
          <w:tcPr>
            <w:tcW w:w="1900" w:type="dxa"/>
            <w:tcBorders>
              <w:left w:val="nil"/>
              <w:right w:val="nil"/>
            </w:tcBorders>
          </w:tcPr>
          <w:p w:rsidR="00396955" w:rsidRPr="009019F6" w:rsidRDefault="00396955" w:rsidP="00045D16">
            <w:pPr>
              <w:spacing w:before="120" w:after="120" w:line="240" w:lineRule="auto"/>
              <w:rPr>
                <w:rFonts w:ascii="Arial" w:hAnsi="Arial"/>
                <w:sz w:val="19"/>
                <w:lang w:val="cs-CZ"/>
              </w:rPr>
            </w:pPr>
            <w:r w:rsidRPr="009019F6">
              <w:rPr>
                <w:rFonts w:ascii="Arial" w:hAnsi="Arial"/>
                <w:sz w:val="19"/>
                <w:lang w:val="cs-CZ"/>
              </w:rPr>
              <w:t>D+R+SI+VUSII-III</w:t>
            </w:r>
          </w:p>
        </w:tc>
        <w:tc>
          <w:tcPr>
            <w:tcW w:w="963" w:type="dxa"/>
            <w:tcBorders>
              <w:left w:val="nil"/>
              <w:right w:val="nil"/>
            </w:tcBorders>
          </w:tcPr>
          <w:p w:rsidR="00396955" w:rsidRPr="009019F6" w:rsidRDefault="00396955" w:rsidP="00045D16">
            <w:pPr>
              <w:spacing w:before="120" w:after="120" w:line="240" w:lineRule="auto"/>
              <w:jc w:val="center"/>
              <w:rPr>
                <w:rFonts w:ascii="Arial" w:hAnsi="Arial"/>
                <w:sz w:val="19"/>
                <w:lang w:val="cs-CZ"/>
              </w:rPr>
            </w:pPr>
            <w:r w:rsidRPr="009019F6">
              <w:rPr>
                <w:rFonts w:ascii="Arial" w:hAnsi="Arial"/>
                <w:sz w:val="19"/>
                <w:lang w:val="cs-CZ"/>
              </w:rPr>
              <w:t>X</w:t>
            </w:r>
          </w:p>
        </w:tc>
        <w:tc>
          <w:tcPr>
            <w:tcW w:w="963" w:type="dxa"/>
            <w:tcBorders>
              <w:left w:val="nil"/>
              <w:right w:val="nil"/>
            </w:tcBorders>
          </w:tcPr>
          <w:p w:rsidR="00396955" w:rsidRPr="009019F6" w:rsidRDefault="00396955" w:rsidP="00045D16">
            <w:pPr>
              <w:spacing w:before="120" w:after="120" w:line="240" w:lineRule="auto"/>
              <w:jc w:val="center"/>
              <w:rPr>
                <w:rFonts w:ascii="Arial" w:hAnsi="Arial"/>
                <w:sz w:val="19"/>
                <w:lang w:val="cs-CZ"/>
              </w:rPr>
            </w:pPr>
            <w:r w:rsidRPr="009019F6">
              <w:rPr>
                <w:rFonts w:ascii="Arial" w:hAnsi="Arial"/>
                <w:sz w:val="19"/>
                <w:lang w:val="cs-CZ"/>
              </w:rPr>
              <w:t>X</w:t>
            </w:r>
          </w:p>
        </w:tc>
        <w:tc>
          <w:tcPr>
            <w:tcW w:w="964" w:type="dxa"/>
            <w:tcBorders>
              <w:left w:val="nil"/>
              <w:right w:val="nil"/>
            </w:tcBorders>
          </w:tcPr>
          <w:p w:rsidR="00396955" w:rsidRPr="009019F6" w:rsidRDefault="00396955" w:rsidP="00045D16">
            <w:pPr>
              <w:spacing w:before="120" w:after="120" w:line="240" w:lineRule="auto"/>
              <w:jc w:val="center"/>
              <w:rPr>
                <w:rFonts w:ascii="Arial" w:hAnsi="Arial"/>
                <w:sz w:val="19"/>
                <w:lang w:val="cs-CZ"/>
              </w:rPr>
            </w:pPr>
            <w:r w:rsidRPr="009019F6">
              <w:rPr>
                <w:rFonts w:ascii="Arial" w:hAnsi="Arial"/>
                <w:sz w:val="19"/>
                <w:lang w:val="cs-CZ"/>
              </w:rPr>
              <w:t>X</w:t>
            </w:r>
          </w:p>
        </w:tc>
        <w:tc>
          <w:tcPr>
            <w:tcW w:w="963" w:type="dxa"/>
            <w:tcBorders>
              <w:left w:val="nil"/>
              <w:right w:val="nil"/>
            </w:tcBorders>
            <w:shd w:val="clear" w:color="auto" w:fill="99CC00"/>
          </w:tcPr>
          <w:p w:rsidR="00396955" w:rsidRPr="009019F6" w:rsidRDefault="00396955" w:rsidP="00045D16">
            <w:pPr>
              <w:spacing w:before="120" w:after="120" w:line="240" w:lineRule="auto"/>
              <w:jc w:val="center"/>
              <w:rPr>
                <w:rFonts w:ascii="Arial" w:hAnsi="Arial"/>
                <w:sz w:val="19"/>
                <w:lang w:val="cs-CZ"/>
              </w:rPr>
            </w:pPr>
            <w:r w:rsidRPr="009019F6">
              <w:rPr>
                <w:rFonts w:ascii="Arial" w:hAnsi="Arial"/>
                <w:sz w:val="19"/>
                <w:lang w:val="cs-CZ"/>
              </w:rPr>
              <w:t>A</w:t>
            </w:r>
          </w:p>
        </w:tc>
        <w:tc>
          <w:tcPr>
            <w:tcW w:w="963" w:type="dxa"/>
            <w:tcBorders>
              <w:left w:val="nil"/>
              <w:right w:val="nil"/>
            </w:tcBorders>
            <w:shd w:val="clear" w:color="auto" w:fill="99CC00"/>
          </w:tcPr>
          <w:p w:rsidR="00396955" w:rsidRPr="009019F6" w:rsidRDefault="00396955" w:rsidP="00045D16">
            <w:pPr>
              <w:spacing w:before="120" w:after="120" w:line="240" w:lineRule="auto"/>
              <w:jc w:val="center"/>
              <w:rPr>
                <w:rFonts w:ascii="Arial" w:hAnsi="Arial"/>
                <w:sz w:val="19"/>
                <w:lang w:val="cs-CZ"/>
              </w:rPr>
            </w:pPr>
            <w:r w:rsidRPr="009019F6">
              <w:rPr>
                <w:rFonts w:ascii="Arial" w:hAnsi="Arial"/>
                <w:sz w:val="19"/>
                <w:lang w:val="cs-CZ"/>
              </w:rPr>
              <w:t>A</w:t>
            </w:r>
          </w:p>
        </w:tc>
        <w:tc>
          <w:tcPr>
            <w:tcW w:w="964" w:type="dxa"/>
            <w:tcBorders>
              <w:left w:val="nil"/>
            </w:tcBorders>
            <w:shd w:val="clear" w:color="auto" w:fill="99CC00"/>
          </w:tcPr>
          <w:p w:rsidR="00396955" w:rsidRPr="009019F6" w:rsidRDefault="00396955" w:rsidP="00045D16">
            <w:pPr>
              <w:spacing w:before="120" w:after="120" w:line="240" w:lineRule="auto"/>
              <w:jc w:val="center"/>
              <w:rPr>
                <w:rFonts w:ascii="Arial" w:hAnsi="Arial"/>
                <w:sz w:val="19"/>
                <w:lang w:val="cs-CZ"/>
              </w:rPr>
            </w:pPr>
            <w:r w:rsidRPr="009019F6">
              <w:rPr>
                <w:rFonts w:ascii="Arial" w:hAnsi="Arial"/>
                <w:sz w:val="19"/>
                <w:lang w:val="cs-CZ"/>
              </w:rPr>
              <w:t>A</w:t>
            </w:r>
          </w:p>
        </w:tc>
      </w:tr>
      <w:tr w:rsidR="00396955" w:rsidRPr="009019F6" w:rsidTr="00045D16">
        <w:tc>
          <w:tcPr>
            <w:tcW w:w="1368" w:type="dxa"/>
            <w:tcBorders>
              <w:bottom w:val="nil"/>
              <w:right w:val="nil"/>
            </w:tcBorders>
          </w:tcPr>
          <w:p w:rsidR="00396955" w:rsidRPr="009019F6" w:rsidRDefault="00396955" w:rsidP="00045D16">
            <w:pPr>
              <w:spacing w:before="120" w:after="120" w:line="240" w:lineRule="auto"/>
              <w:rPr>
                <w:rFonts w:ascii="Arial" w:hAnsi="Arial"/>
                <w:sz w:val="19"/>
                <w:lang w:val="cs-CZ"/>
              </w:rPr>
            </w:pPr>
            <w:r w:rsidRPr="009019F6">
              <w:rPr>
                <w:rFonts w:ascii="Arial" w:hAnsi="Arial"/>
                <w:sz w:val="19"/>
                <w:lang w:val="cs-CZ"/>
              </w:rPr>
              <w:t>Varianta V</w:t>
            </w:r>
          </w:p>
        </w:tc>
        <w:tc>
          <w:tcPr>
            <w:tcW w:w="1900" w:type="dxa"/>
            <w:tcBorders>
              <w:left w:val="nil"/>
              <w:bottom w:val="nil"/>
              <w:right w:val="nil"/>
            </w:tcBorders>
          </w:tcPr>
          <w:p w:rsidR="00396955" w:rsidRPr="009019F6" w:rsidRDefault="00396955" w:rsidP="00045D16">
            <w:pPr>
              <w:spacing w:before="120" w:after="120" w:line="240" w:lineRule="auto"/>
              <w:rPr>
                <w:rFonts w:ascii="Arial" w:hAnsi="Arial"/>
                <w:sz w:val="19"/>
                <w:lang w:val="cs-CZ"/>
              </w:rPr>
            </w:pPr>
            <w:r w:rsidRPr="009019F6">
              <w:rPr>
                <w:rFonts w:ascii="Arial" w:hAnsi="Arial"/>
                <w:sz w:val="19"/>
                <w:lang w:val="cs-CZ"/>
              </w:rPr>
              <w:t>D+R+SI-III</w:t>
            </w:r>
          </w:p>
        </w:tc>
        <w:tc>
          <w:tcPr>
            <w:tcW w:w="963" w:type="dxa"/>
            <w:tcBorders>
              <w:left w:val="nil"/>
              <w:bottom w:val="nil"/>
              <w:right w:val="nil"/>
            </w:tcBorders>
            <w:shd w:val="clear" w:color="auto" w:fill="99CC00"/>
          </w:tcPr>
          <w:p w:rsidR="00396955" w:rsidRPr="009019F6" w:rsidRDefault="00396955" w:rsidP="00045D16">
            <w:pPr>
              <w:spacing w:before="120" w:after="120" w:line="240" w:lineRule="auto"/>
              <w:jc w:val="center"/>
              <w:rPr>
                <w:rFonts w:ascii="Arial" w:hAnsi="Arial"/>
                <w:sz w:val="19"/>
                <w:lang w:val="cs-CZ"/>
              </w:rPr>
            </w:pPr>
            <w:r w:rsidRPr="009019F6">
              <w:rPr>
                <w:rFonts w:ascii="Arial" w:hAnsi="Arial"/>
                <w:sz w:val="19"/>
                <w:lang w:val="cs-CZ"/>
              </w:rPr>
              <w:t>A</w:t>
            </w:r>
          </w:p>
        </w:tc>
        <w:tc>
          <w:tcPr>
            <w:tcW w:w="963" w:type="dxa"/>
            <w:tcBorders>
              <w:left w:val="nil"/>
              <w:bottom w:val="nil"/>
              <w:right w:val="nil"/>
            </w:tcBorders>
            <w:shd w:val="clear" w:color="auto" w:fill="FFCC99"/>
          </w:tcPr>
          <w:p w:rsidR="00396955" w:rsidRPr="009019F6" w:rsidRDefault="00396955" w:rsidP="00045D16">
            <w:pPr>
              <w:spacing w:before="120" w:after="120" w:line="240" w:lineRule="auto"/>
              <w:jc w:val="center"/>
              <w:rPr>
                <w:rFonts w:ascii="Arial" w:hAnsi="Arial"/>
                <w:sz w:val="19"/>
                <w:lang w:val="cs-CZ"/>
              </w:rPr>
            </w:pPr>
            <w:r w:rsidRPr="009019F6">
              <w:rPr>
                <w:rFonts w:ascii="Arial" w:hAnsi="Arial"/>
                <w:sz w:val="19"/>
                <w:lang w:val="cs-CZ"/>
              </w:rPr>
              <w:t>N</w:t>
            </w:r>
          </w:p>
        </w:tc>
        <w:tc>
          <w:tcPr>
            <w:tcW w:w="964" w:type="dxa"/>
            <w:tcBorders>
              <w:left w:val="nil"/>
              <w:bottom w:val="nil"/>
              <w:right w:val="nil"/>
            </w:tcBorders>
            <w:shd w:val="clear" w:color="auto" w:fill="FFCC99"/>
          </w:tcPr>
          <w:p w:rsidR="00396955" w:rsidRPr="009019F6" w:rsidRDefault="00396955" w:rsidP="00045D16">
            <w:pPr>
              <w:spacing w:before="120" w:after="120" w:line="240" w:lineRule="auto"/>
              <w:jc w:val="center"/>
              <w:rPr>
                <w:rFonts w:ascii="Arial" w:hAnsi="Arial"/>
                <w:sz w:val="19"/>
                <w:lang w:val="cs-CZ"/>
              </w:rPr>
            </w:pPr>
            <w:r w:rsidRPr="009019F6">
              <w:rPr>
                <w:rFonts w:ascii="Arial" w:hAnsi="Arial"/>
                <w:sz w:val="19"/>
                <w:lang w:val="cs-CZ"/>
              </w:rPr>
              <w:t>N</w:t>
            </w:r>
          </w:p>
        </w:tc>
        <w:tc>
          <w:tcPr>
            <w:tcW w:w="963" w:type="dxa"/>
            <w:tcBorders>
              <w:left w:val="nil"/>
              <w:bottom w:val="nil"/>
              <w:right w:val="nil"/>
            </w:tcBorders>
            <w:shd w:val="clear" w:color="auto" w:fill="FFCC99"/>
          </w:tcPr>
          <w:p w:rsidR="00396955" w:rsidRPr="009019F6" w:rsidRDefault="00396955" w:rsidP="00045D16">
            <w:pPr>
              <w:spacing w:before="120" w:after="120" w:line="240" w:lineRule="auto"/>
              <w:jc w:val="center"/>
              <w:rPr>
                <w:rFonts w:ascii="Arial" w:hAnsi="Arial"/>
                <w:sz w:val="19"/>
                <w:lang w:val="cs-CZ"/>
              </w:rPr>
            </w:pPr>
            <w:r w:rsidRPr="009019F6">
              <w:rPr>
                <w:rFonts w:ascii="Arial" w:hAnsi="Arial"/>
                <w:sz w:val="19"/>
                <w:lang w:val="cs-CZ"/>
              </w:rPr>
              <w:t>N</w:t>
            </w:r>
          </w:p>
        </w:tc>
        <w:tc>
          <w:tcPr>
            <w:tcW w:w="963" w:type="dxa"/>
            <w:tcBorders>
              <w:left w:val="nil"/>
              <w:bottom w:val="nil"/>
              <w:right w:val="nil"/>
            </w:tcBorders>
            <w:shd w:val="clear" w:color="auto" w:fill="FFCC99"/>
          </w:tcPr>
          <w:p w:rsidR="00396955" w:rsidRPr="009019F6" w:rsidRDefault="00396955" w:rsidP="00045D16">
            <w:pPr>
              <w:spacing w:before="120" w:after="120" w:line="240" w:lineRule="auto"/>
              <w:jc w:val="center"/>
              <w:rPr>
                <w:rFonts w:ascii="Arial" w:hAnsi="Arial"/>
                <w:sz w:val="19"/>
                <w:lang w:val="cs-CZ"/>
              </w:rPr>
            </w:pPr>
            <w:r w:rsidRPr="009019F6">
              <w:rPr>
                <w:rFonts w:ascii="Arial" w:hAnsi="Arial"/>
                <w:sz w:val="19"/>
                <w:lang w:val="cs-CZ"/>
              </w:rPr>
              <w:t>N</w:t>
            </w:r>
          </w:p>
        </w:tc>
        <w:tc>
          <w:tcPr>
            <w:tcW w:w="964" w:type="dxa"/>
            <w:tcBorders>
              <w:left w:val="nil"/>
              <w:bottom w:val="nil"/>
            </w:tcBorders>
            <w:shd w:val="clear" w:color="auto" w:fill="FFCC99"/>
          </w:tcPr>
          <w:p w:rsidR="00396955" w:rsidRPr="009019F6" w:rsidRDefault="00396955" w:rsidP="00045D16">
            <w:pPr>
              <w:spacing w:before="120" w:after="120" w:line="240" w:lineRule="auto"/>
              <w:jc w:val="center"/>
              <w:rPr>
                <w:rFonts w:ascii="Arial" w:hAnsi="Arial"/>
                <w:sz w:val="19"/>
                <w:lang w:val="cs-CZ"/>
              </w:rPr>
            </w:pPr>
            <w:r w:rsidRPr="009019F6">
              <w:rPr>
                <w:rFonts w:ascii="Arial" w:hAnsi="Arial"/>
                <w:sz w:val="19"/>
                <w:lang w:val="cs-CZ"/>
              </w:rPr>
              <w:t>N</w:t>
            </w:r>
          </w:p>
        </w:tc>
      </w:tr>
    </w:tbl>
    <w:p w:rsidR="00396955" w:rsidRPr="00DD2F1B" w:rsidRDefault="00396955" w:rsidP="00396955">
      <w:pPr>
        <w:rPr>
          <w:lang w:val="cs-CZ"/>
        </w:rPr>
      </w:pPr>
      <w:r w:rsidRPr="00DD2F1B">
        <w:rPr>
          <w:lang w:val="cs-CZ"/>
        </w:rPr>
        <w:t>X – varianta v takové kombinaci nepřipadá v úvahu</w:t>
      </w:r>
    </w:p>
    <w:p w:rsidR="00396955" w:rsidRPr="00DD2F1B" w:rsidRDefault="00396955" w:rsidP="00396955">
      <w:pPr>
        <w:rPr>
          <w:lang w:val="cs-CZ"/>
        </w:rPr>
      </w:pPr>
      <w:r w:rsidRPr="00DD2F1B">
        <w:rPr>
          <w:lang w:val="cs-CZ"/>
        </w:rPr>
        <w:t>A – varianta je vhodná</w:t>
      </w:r>
    </w:p>
    <w:p w:rsidR="00396955" w:rsidRPr="00DD2F1B" w:rsidRDefault="00396955" w:rsidP="00396955">
      <w:pPr>
        <w:rPr>
          <w:lang w:val="cs-CZ"/>
        </w:rPr>
      </w:pPr>
      <w:r w:rsidRPr="00DD2F1B">
        <w:rPr>
          <w:lang w:val="cs-CZ"/>
        </w:rPr>
        <w:t>N – varianta je nevhodná</w:t>
      </w:r>
    </w:p>
    <w:p w:rsidR="00396955" w:rsidRPr="00DD2F1B" w:rsidRDefault="00396955" w:rsidP="00396955">
      <w:pPr>
        <w:jc w:val="center"/>
        <w:rPr>
          <w:rFonts w:cs="ArialNarrow,Italic"/>
          <w:sz w:val="16"/>
          <w:szCs w:val="16"/>
          <w:lang w:val="cs-CZ" w:bidi="my-MM"/>
        </w:rPr>
      </w:pPr>
      <w:r w:rsidRPr="00852FFE">
        <w:rPr>
          <w:rFonts w:cs="ArialNarrow,Italic"/>
          <w:sz w:val="16"/>
          <w:szCs w:val="16"/>
          <w:lang w:val="cs-CZ" w:bidi="my-MM"/>
        </w:rPr>
        <w:t xml:space="preserve">Tabulka č. </w:t>
      </w:r>
      <w:r w:rsidR="00852FFE" w:rsidRPr="00852FFE">
        <w:rPr>
          <w:rFonts w:cs="ArialNarrow,Italic"/>
          <w:sz w:val="16"/>
          <w:szCs w:val="16"/>
          <w:lang w:val="cs-CZ" w:bidi="my-MM"/>
        </w:rPr>
        <w:t>1</w:t>
      </w:r>
      <w:r w:rsidRPr="00852FFE">
        <w:rPr>
          <w:rFonts w:cs="ArialNarrow,Italic"/>
          <w:sz w:val="16"/>
          <w:szCs w:val="16"/>
          <w:lang w:val="cs-CZ" w:bidi="my-MM"/>
        </w:rPr>
        <w:t xml:space="preserve"> – Kombinace variant rozsahu a způsobu zpoplatnění a využití komponent stávajícího SEM</w:t>
      </w:r>
    </w:p>
    <w:p w:rsidR="00396955" w:rsidRPr="001B3875" w:rsidRDefault="00396955" w:rsidP="00396955">
      <w:pPr>
        <w:pStyle w:val="BodyText1"/>
        <w:rPr>
          <w:lang w:val="cs-CZ"/>
        </w:rPr>
      </w:pPr>
      <w:r>
        <w:rPr>
          <w:lang w:val="cs-CZ"/>
        </w:rPr>
        <w:t xml:space="preserve"> </w:t>
      </w:r>
    </w:p>
    <w:p w:rsidR="00F3479A" w:rsidRDefault="00F3479A" w:rsidP="00F3479A">
      <w:pPr>
        <w:pStyle w:val="Nadpis2"/>
        <w:spacing w:before="120"/>
        <w:jc w:val="both"/>
        <w:rPr>
          <w:rFonts w:cs="Calibri"/>
          <w:sz w:val="28"/>
          <w:szCs w:val="28"/>
          <w:lang w:val="cs-CZ"/>
        </w:rPr>
      </w:pPr>
      <w:bookmarkStart w:id="43" w:name="_Toc367436514"/>
    </w:p>
    <w:p w:rsidR="00F3479A" w:rsidRDefault="00F3479A">
      <w:pPr>
        <w:rPr>
          <w:rFonts w:cs="Calibri"/>
          <w:caps/>
          <w:spacing w:val="15"/>
          <w:sz w:val="28"/>
          <w:szCs w:val="28"/>
          <w:lang w:val="cs-CZ"/>
        </w:rPr>
      </w:pPr>
      <w:r>
        <w:rPr>
          <w:rFonts w:cs="Calibri"/>
          <w:sz w:val="28"/>
          <w:szCs w:val="28"/>
          <w:lang w:val="cs-CZ"/>
        </w:rPr>
        <w:br w:type="page"/>
      </w:r>
    </w:p>
    <w:p w:rsidR="00F3479A" w:rsidRPr="00DD2F1B" w:rsidRDefault="00F3479A" w:rsidP="00F3479A">
      <w:pPr>
        <w:pStyle w:val="Nadpis2"/>
        <w:spacing w:before="120"/>
        <w:jc w:val="both"/>
        <w:rPr>
          <w:rFonts w:cs="Calibri"/>
          <w:sz w:val="28"/>
          <w:szCs w:val="28"/>
          <w:lang w:val="cs-CZ"/>
        </w:rPr>
      </w:pPr>
      <w:bookmarkStart w:id="44" w:name="_Toc368311173"/>
      <w:bookmarkStart w:id="45" w:name="_Toc368327083"/>
      <w:r w:rsidRPr="00DD2F1B">
        <w:rPr>
          <w:rFonts w:cs="Calibri"/>
          <w:sz w:val="28"/>
          <w:szCs w:val="28"/>
          <w:lang w:val="cs-CZ"/>
        </w:rPr>
        <w:lastRenderedPageBreak/>
        <w:t>Posuzované realizační varianty</w:t>
      </w:r>
      <w:bookmarkEnd w:id="43"/>
      <w:bookmarkEnd w:id="44"/>
      <w:bookmarkEnd w:id="45"/>
    </w:p>
    <w:p w:rsidR="00F3479A" w:rsidRPr="00DD2F1B" w:rsidRDefault="00F3479A" w:rsidP="00F3479A">
      <w:pPr>
        <w:jc w:val="both"/>
        <w:rPr>
          <w:lang w:val="cs-CZ"/>
        </w:rPr>
      </w:pPr>
      <w:r w:rsidRPr="00DD2F1B">
        <w:rPr>
          <w:rFonts w:cs="Calibri"/>
          <w:sz w:val="22"/>
          <w:szCs w:val="22"/>
          <w:lang w:val="cs-CZ"/>
        </w:rPr>
        <w:t xml:space="preserve">Realizační návrhy uvedené dále mají za cíl posoudit možnosti provedení určitého technického řešení a dodavatelského rámce. </w:t>
      </w:r>
      <w:r w:rsidR="00E00667" w:rsidRPr="00E00667">
        <w:rPr>
          <w:rFonts w:cs="Calibri"/>
          <w:sz w:val="22"/>
          <w:szCs w:val="22"/>
          <w:lang w:val="cs-CZ"/>
        </w:rPr>
        <w:t>Pro výběr dodavatele se předpokládá uplatnění některého z druhů zadávacích řízení dle zákona č. 137/2006 Sb., o veřejných zakázkách</w:t>
      </w:r>
      <w:r w:rsidRPr="00DD2F1B">
        <w:rPr>
          <w:rFonts w:cs="Calibri"/>
          <w:sz w:val="22"/>
          <w:szCs w:val="22"/>
          <w:lang w:val="cs-CZ"/>
        </w:rPr>
        <w:t>, i tak bude nutno vypořádat časové a věcné nesrovnalosti vyplývající z časového přesahu platnosti Smlouvy o dodávce, uzavřené s konsorciem Kapsch (jde o povinnost realizovat nové mýtné brány v době po 1. 1. 2017, tedy v době, kdy nebude Smlouva o službách uzavřená s Konsorciem Kapsch platit</w:t>
      </w:r>
      <w:r w:rsidR="00CA65B4">
        <w:rPr>
          <w:rFonts w:cs="Calibri"/>
          <w:sz w:val="22"/>
          <w:szCs w:val="22"/>
          <w:lang w:val="cs-CZ"/>
        </w:rPr>
        <w:t>)</w:t>
      </w:r>
      <w:r w:rsidRPr="00DD2F1B">
        <w:rPr>
          <w:rFonts w:cs="Calibri"/>
          <w:sz w:val="22"/>
          <w:szCs w:val="22"/>
          <w:lang w:val="cs-CZ"/>
        </w:rPr>
        <w:t>.</w:t>
      </w:r>
    </w:p>
    <w:p w:rsidR="00F3479A" w:rsidRPr="00DD2F1B" w:rsidRDefault="00F3479A" w:rsidP="00F3479A">
      <w:pPr>
        <w:jc w:val="both"/>
        <w:rPr>
          <w:sz w:val="22"/>
          <w:szCs w:val="22"/>
          <w:lang w:val="cs-CZ"/>
        </w:rPr>
      </w:pPr>
      <w:r w:rsidRPr="00DD2F1B">
        <w:rPr>
          <w:sz w:val="22"/>
          <w:szCs w:val="22"/>
          <w:lang w:val="cs-CZ"/>
        </w:rPr>
        <w:t>Posuzovány byly čtyři varianty možného postupu ve zpoplatnění obecného užívání vybraných pozemních komunikací vozidly s celkovou hmotností nad 3,5 tuny, konkrétně se jedná o tyto varianty:</w:t>
      </w:r>
    </w:p>
    <w:p w:rsidR="00F3479A" w:rsidRPr="00DD2F1B" w:rsidRDefault="00F3479A" w:rsidP="00F3479A">
      <w:pPr>
        <w:jc w:val="both"/>
        <w:rPr>
          <w:sz w:val="22"/>
          <w:szCs w:val="22"/>
          <w:lang w:val="cs-CZ"/>
        </w:rPr>
      </w:pPr>
      <w:r w:rsidRPr="00DD2F1B">
        <w:rPr>
          <w:b/>
          <w:sz w:val="22"/>
          <w:szCs w:val="22"/>
          <w:lang w:val="cs-CZ"/>
        </w:rPr>
        <w:t xml:space="preserve">Varianta 0 </w:t>
      </w:r>
      <w:r w:rsidRPr="00DD2F1B">
        <w:rPr>
          <w:sz w:val="22"/>
          <w:szCs w:val="22"/>
          <w:lang w:val="cs-CZ"/>
        </w:rPr>
        <w:t xml:space="preserve">– „Nulová varianta“ nepředpokládá další rozšíření zpoplatněné sítě mimo již sjednaný rozsah (tj. zpoplatnění nově budovaných úseků dálnic a rychlostních </w:t>
      </w:r>
      <w:r w:rsidR="00CA65B4">
        <w:rPr>
          <w:sz w:val="22"/>
          <w:szCs w:val="22"/>
          <w:lang w:val="cs-CZ"/>
        </w:rPr>
        <w:t>silnic</w:t>
      </w:r>
      <w:r w:rsidRPr="00DD2F1B">
        <w:rPr>
          <w:sz w:val="22"/>
          <w:szCs w:val="22"/>
          <w:lang w:val="cs-CZ"/>
        </w:rPr>
        <w:t xml:space="preserve">). Po roce 2016 se předpokládá provoz stávajícího mikrovlnného systému na současných zpoplatněných komunikacích. Tato varianta předpokládá nové </w:t>
      </w:r>
      <w:r w:rsidR="00771830">
        <w:rPr>
          <w:sz w:val="22"/>
          <w:szCs w:val="22"/>
          <w:lang w:val="cs-CZ"/>
        </w:rPr>
        <w:t>zadávací</w:t>
      </w:r>
      <w:r w:rsidRPr="00DD2F1B">
        <w:rPr>
          <w:sz w:val="22"/>
          <w:szCs w:val="22"/>
          <w:lang w:val="cs-CZ"/>
        </w:rPr>
        <w:t xml:space="preserve"> řízení na poskytovatele služeb od roku 2017 na stávajícím systému, který je v majetku státu, včetně možnosti převodu příslušných subdodavatelských smluv.</w:t>
      </w:r>
    </w:p>
    <w:p w:rsidR="00F3479A" w:rsidRPr="00DD2F1B" w:rsidRDefault="00F3479A" w:rsidP="00F3479A">
      <w:pPr>
        <w:jc w:val="both"/>
        <w:rPr>
          <w:sz w:val="22"/>
          <w:szCs w:val="22"/>
          <w:lang w:val="cs-CZ"/>
        </w:rPr>
      </w:pPr>
      <w:r w:rsidRPr="00DD2F1B">
        <w:rPr>
          <w:sz w:val="22"/>
          <w:szCs w:val="22"/>
          <w:lang w:val="cs-CZ"/>
        </w:rPr>
        <w:t>Tato varianta je nejméně riziková, avšak strategicky neutrální, tj. bez rozvojového potenciálu. Při výhodách pokračování v zajetých procesech na stávající zpoplatněné síti s odzkoušenou technologií se ale nedosáhne změn ve výši vybraného mýta krom růstu souvisejícího s prodlužováním sítě zpoplatněných dálnic a rychlostních silnic.</w:t>
      </w:r>
    </w:p>
    <w:p w:rsidR="00F3479A" w:rsidRPr="00DD2F1B" w:rsidRDefault="00F3479A" w:rsidP="00F3479A">
      <w:pPr>
        <w:jc w:val="both"/>
        <w:rPr>
          <w:sz w:val="22"/>
          <w:szCs w:val="22"/>
          <w:lang w:val="cs-CZ"/>
        </w:rPr>
      </w:pPr>
      <w:r w:rsidRPr="00DD2F1B">
        <w:rPr>
          <w:sz w:val="22"/>
          <w:szCs w:val="22"/>
          <w:lang w:val="cs-CZ"/>
        </w:rPr>
        <w:t xml:space="preserve">Přínosem </w:t>
      </w:r>
      <w:r w:rsidR="00771830">
        <w:rPr>
          <w:sz w:val="22"/>
          <w:szCs w:val="22"/>
          <w:lang w:val="cs-CZ"/>
        </w:rPr>
        <w:t>zadávacího řízení</w:t>
      </w:r>
      <w:r w:rsidRPr="00DD2F1B">
        <w:rPr>
          <w:sz w:val="22"/>
          <w:szCs w:val="22"/>
          <w:lang w:val="cs-CZ"/>
        </w:rPr>
        <w:t xml:space="preserve"> by mělo být i snížení provozních nákladů a tedy zefektivnění provozu. Na druhou stranu varianta negeneruje žádné dodatečné příjmy.</w:t>
      </w:r>
    </w:p>
    <w:p w:rsidR="00F3479A" w:rsidRPr="00DD2F1B" w:rsidRDefault="00F3479A" w:rsidP="00F3479A">
      <w:pPr>
        <w:jc w:val="both"/>
        <w:rPr>
          <w:sz w:val="22"/>
          <w:szCs w:val="22"/>
          <w:lang w:val="cs-CZ"/>
        </w:rPr>
      </w:pPr>
      <w:r w:rsidRPr="00DD2F1B">
        <w:rPr>
          <w:b/>
          <w:sz w:val="22"/>
          <w:szCs w:val="22"/>
          <w:lang w:val="cs-CZ"/>
        </w:rPr>
        <w:t xml:space="preserve">Varianta 01 </w:t>
      </w:r>
      <w:r w:rsidRPr="00DD2F1B">
        <w:rPr>
          <w:sz w:val="22"/>
          <w:szCs w:val="22"/>
          <w:lang w:val="cs-CZ"/>
        </w:rPr>
        <w:t>– Nepředpokládá rozšíření sítě zpoplatněných komunikací. Tato varianta počítá se zvýšením mýtných sazeb u nyní zvýhodněné emisní kategorie Euro V a vyšší o 25</w:t>
      </w:r>
      <w:r w:rsidR="00E378ED">
        <w:rPr>
          <w:sz w:val="22"/>
          <w:szCs w:val="22"/>
          <w:lang w:val="cs-CZ"/>
        </w:rPr>
        <w:t xml:space="preserve"> </w:t>
      </w:r>
      <w:r w:rsidRPr="00DD2F1B">
        <w:rPr>
          <w:sz w:val="22"/>
          <w:szCs w:val="22"/>
          <w:lang w:val="cs-CZ"/>
        </w:rPr>
        <w:t>%. Po roce 2016 se předpokládá zajištění provozu SEM dodavatelem zvoleným v </w:t>
      </w:r>
      <w:r w:rsidR="00E00667">
        <w:rPr>
          <w:sz w:val="22"/>
          <w:szCs w:val="22"/>
          <w:lang w:val="cs-CZ"/>
        </w:rPr>
        <w:t>zadávacím</w:t>
      </w:r>
      <w:r w:rsidRPr="00DD2F1B">
        <w:rPr>
          <w:sz w:val="22"/>
          <w:szCs w:val="22"/>
          <w:lang w:val="cs-CZ"/>
        </w:rPr>
        <w:t xml:space="preserve"> řízení. Změny rozsahu zpoplatněné sítě pozemních komunikací se týkají pouze nově dostavovaných dálnic a rychlostních silnic. Jediné systémové změny se týkají přizpůsobení systému novým požadavkům v souvislosti se zaváděním EETS.</w:t>
      </w:r>
    </w:p>
    <w:p w:rsidR="00F3479A" w:rsidRPr="00DD2F1B" w:rsidRDefault="00F3479A" w:rsidP="00F3479A">
      <w:pPr>
        <w:jc w:val="both"/>
        <w:rPr>
          <w:sz w:val="22"/>
          <w:szCs w:val="22"/>
          <w:lang w:val="cs-CZ"/>
        </w:rPr>
      </w:pPr>
      <w:r w:rsidRPr="00DD2F1B">
        <w:rPr>
          <w:sz w:val="22"/>
          <w:szCs w:val="22"/>
          <w:lang w:val="cs-CZ"/>
        </w:rPr>
        <w:t xml:space="preserve">Mezi výhody patří krom dalšího používání prověřených procesů i absence nutnosti počáteční investice, na druhou stranu po skokovém navýšení příjmů se tyto nadále budou zvedat pouze s rozšiřováním sítě zpoplatněných pozemních komunikací, především dálnic a rychlostních silnic. </w:t>
      </w:r>
    </w:p>
    <w:p w:rsidR="00F3479A" w:rsidRPr="00DD2F1B" w:rsidRDefault="00F3479A" w:rsidP="00F347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2"/>
          <w:szCs w:val="22"/>
          <w:lang w:val="cs-CZ"/>
        </w:rPr>
      </w:pPr>
      <w:r w:rsidRPr="00DD2F1B">
        <w:rPr>
          <w:b/>
          <w:sz w:val="22"/>
          <w:szCs w:val="22"/>
          <w:lang w:val="cs-CZ"/>
        </w:rPr>
        <w:t>Varianta 01 přináší bez dodatečných výdajů čisté příjmy ve výši cca 850 mil. Kč ročně</w:t>
      </w:r>
      <w:r w:rsidR="00CA65B4">
        <w:rPr>
          <w:b/>
          <w:sz w:val="22"/>
          <w:szCs w:val="22"/>
          <w:lang w:val="cs-CZ"/>
        </w:rPr>
        <w:t xml:space="preserve">. Tato varianta je tedy realizovatelná </w:t>
      </w:r>
      <w:r w:rsidRPr="00DD2F1B">
        <w:rPr>
          <w:b/>
          <w:sz w:val="22"/>
          <w:szCs w:val="22"/>
          <w:lang w:val="cs-CZ"/>
        </w:rPr>
        <w:t xml:space="preserve">jako krátkodobé zvýšení příjmů. Přínosem </w:t>
      </w:r>
      <w:r w:rsidR="00E00667">
        <w:rPr>
          <w:b/>
          <w:sz w:val="22"/>
          <w:szCs w:val="22"/>
          <w:lang w:val="cs-CZ"/>
        </w:rPr>
        <w:t>zadávacího řízení</w:t>
      </w:r>
      <w:r w:rsidRPr="00DD2F1B">
        <w:rPr>
          <w:b/>
          <w:sz w:val="22"/>
          <w:szCs w:val="22"/>
          <w:lang w:val="cs-CZ"/>
        </w:rPr>
        <w:t xml:space="preserve"> by mělo být i snížení provozních nákladů a tedy zefektivnění provozu.</w:t>
      </w:r>
    </w:p>
    <w:p w:rsidR="00F3479A" w:rsidRPr="00DD2F1B" w:rsidRDefault="00F3479A" w:rsidP="00F3479A">
      <w:pPr>
        <w:jc w:val="both"/>
        <w:rPr>
          <w:sz w:val="22"/>
          <w:szCs w:val="22"/>
          <w:lang w:val="cs-CZ"/>
        </w:rPr>
      </w:pPr>
      <w:r w:rsidRPr="00DD2F1B">
        <w:rPr>
          <w:b/>
          <w:sz w:val="22"/>
          <w:szCs w:val="22"/>
          <w:lang w:val="cs-CZ"/>
        </w:rPr>
        <w:t>Varianta A </w:t>
      </w:r>
      <w:r w:rsidRPr="00DD2F1B">
        <w:rPr>
          <w:sz w:val="22"/>
          <w:szCs w:val="22"/>
          <w:lang w:val="cs-CZ"/>
        </w:rPr>
        <w:t xml:space="preserve">– Předpokládá rozšíření sítě zpoplatněných komunikací pomocí časového zpoplatnění. Současná zpoplatněná síť dálnic, rychlostních silnic a vybraných úseků silnic I. třídy zůstane zpoplatněna výkonově a kromě zpoplatnění nových úseků dálnic a rychlostních silnic, s jejichž výstavbou bude započato nejpozději v roce 2017. Provoz Systému elektronického mýta (dále také „SEM“) je smluvně zajištěn do konce roku 2016, v dalších letech se počítá se zajištěním provozu SEM </w:t>
      </w:r>
      <w:r w:rsidRPr="00DD2F1B">
        <w:rPr>
          <w:sz w:val="22"/>
          <w:szCs w:val="22"/>
          <w:lang w:val="cs-CZ"/>
        </w:rPr>
        <w:lastRenderedPageBreak/>
        <w:t xml:space="preserve">dodavatelem zvoleným v </w:t>
      </w:r>
      <w:r w:rsidR="00E00667">
        <w:rPr>
          <w:sz w:val="22"/>
          <w:szCs w:val="22"/>
          <w:lang w:val="cs-CZ"/>
        </w:rPr>
        <w:t>zadávacím</w:t>
      </w:r>
      <w:r w:rsidRPr="00DD2F1B">
        <w:rPr>
          <w:sz w:val="22"/>
          <w:szCs w:val="22"/>
          <w:lang w:val="cs-CZ"/>
        </w:rPr>
        <w:t xml:space="preserve"> řízení. Systém elektronického mýta bude muset být navíc upraven pro podporu Evropské služby elektronického mýta – interoperability mýtných systémů.</w:t>
      </w:r>
    </w:p>
    <w:p w:rsidR="00F3479A" w:rsidRPr="00DD2F1B" w:rsidRDefault="00F3479A" w:rsidP="00F3479A">
      <w:pPr>
        <w:jc w:val="both"/>
        <w:rPr>
          <w:sz w:val="22"/>
          <w:szCs w:val="22"/>
          <w:lang w:val="cs-CZ"/>
        </w:rPr>
      </w:pPr>
      <w:r w:rsidRPr="00DD2F1B">
        <w:rPr>
          <w:sz w:val="22"/>
          <w:szCs w:val="22"/>
          <w:lang w:val="cs-CZ"/>
        </w:rPr>
        <w:t xml:space="preserve">Časové zpoplatnění má výhodu v čerpání ze zkušeností s prodejem dálničních kuponů, pro které existuje funkční distribuční síť a současně se jedná a vysoce efektivní systém zpoplatnění s nízkými výdaji. Zároveň se ale jedná o nesystematické řešení, které vnáší komplikace do systému zpoplatnění pro uživatele dané souběhem dvou odlišných systémů. </w:t>
      </w:r>
    </w:p>
    <w:p w:rsidR="00F3479A" w:rsidRPr="00DD2F1B" w:rsidRDefault="00F3479A" w:rsidP="00F3479A">
      <w:pPr>
        <w:jc w:val="both"/>
        <w:rPr>
          <w:sz w:val="22"/>
          <w:szCs w:val="22"/>
          <w:lang w:val="cs-CZ"/>
        </w:rPr>
      </w:pPr>
      <w:r w:rsidRPr="00DD2F1B">
        <w:rPr>
          <w:sz w:val="22"/>
          <w:szCs w:val="22"/>
          <w:lang w:val="cs-CZ"/>
        </w:rPr>
        <w:t>Při uvažovaném zpoplatnění všech zbývajících silnic I. třídy je nutná počáteční investice ve výši cca 260 mil. Kč, která obsahuje zejména potřebu označení pozemních komunikací a </w:t>
      </w:r>
      <w:proofErr w:type="spellStart"/>
      <w:r w:rsidRPr="00DD2F1B">
        <w:rPr>
          <w:sz w:val="22"/>
          <w:szCs w:val="22"/>
          <w:lang w:val="cs-CZ"/>
        </w:rPr>
        <w:t>inženýring</w:t>
      </w:r>
      <w:proofErr w:type="spellEnd"/>
      <w:r w:rsidRPr="00DD2F1B">
        <w:rPr>
          <w:sz w:val="22"/>
          <w:szCs w:val="22"/>
          <w:lang w:val="cs-CZ"/>
        </w:rPr>
        <w:t>. Varianta předpokládá navýšení čistých příjmu o cca 800 mil. Kč ročně.</w:t>
      </w:r>
    </w:p>
    <w:p w:rsidR="00E61DBC" w:rsidRDefault="00E61DBC" w:rsidP="00E61D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2"/>
          <w:szCs w:val="22"/>
          <w:lang w:val="cs-CZ" w:eastAsia="cs-CZ"/>
        </w:rPr>
      </w:pPr>
      <w:r w:rsidRPr="00DD2F1B">
        <w:rPr>
          <w:b/>
          <w:sz w:val="22"/>
          <w:szCs w:val="22"/>
          <w:lang w:val="cs-CZ" w:eastAsia="cs-CZ"/>
        </w:rPr>
        <w:t xml:space="preserve">Na základě provedených analýz lze konstatovat, že rozšíření zpoplatněné sítě o časové zpoplatnění </w:t>
      </w:r>
      <w:r>
        <w:rPr>
          <w:b/>
          <w:sz w:val="22"/>
          <w:szCs w:val="22"/>
          <w:lang w:val="cs-CZ" w:eastAsia="cs-CZ"/>
        </w:rPr>
        <w:t>není z hlediska fiskálního cíle nejefektivnější.</w:t>
      </w:r>
    </w:p>
    <w:p w:rsidR="00F3479A" w:rsidRPr="00DD2F1B" w:rsidRDefault="00F3479A" w:rsidP="00F3479A">
      <w:pPr>
        <w:jc w:val="both"/>
        <w:rPr>
          <w:sz w:val="22"/>
          <w:szCs w:val="22"/>
          <w:lang w:val="cs-CZ"/>
        </w:rPr>
      </w:pPr>
      <w:r w:rsidRPr="00DD2F1B">
        <w:rPr>
          <w:b/>
          <w:sz w:val="22"/>
          <w:szCs w:val="22"/>
          <w:lang w:val="cs-CZ"/>
        </w:rPr>
        <w:t>Varianta B</w:t>
      </w:r>
      <w:r w:rsidRPr="00DD2F1B">
        <w:rPr>
          <w:sz w:val="22"/>
          <w:szCs w:val="22"/>
          <w:lang w:val="cs-CZ"/>
        </w:rPr>
        <w:t xml:space="preserve"> – Předpokládá rozšíření stávající sítě zpoplatněných komunikací pomocí výkonového zpoplatnění. S ohledem na konec platnosti smlouvy se stávajícím dodavatelem služeb bude nutné vybrat nového dodavatele veřejnou soutěží. Nový systém by měl poskytovat provozovateli i uživatelům systému větší variabilitu a flexibilitu, včetně Evropské služby elektronického mýta.</w:t>
      </w:r>
    </w:p>
    <w:p w:rsidR="00F3479A" w:rsidRPr="00DD2F1B" w:rsidRDefault="00F3479A" w:rsidP="00F3479A">
      <w:pPr>
        <w:jc w:val="both"/>
        <w:rPr>
          <w:sz w:val="22"/>
          <w:szCs w:val="22"/>
          <w:lang w:val="cs-CZ"/>
        </w:rPr>
      </w:pPr>
      <w:r w:rsidRPr="00DD2F1B">
        <w:rPr>
          <w:sz w:val="22"/>
          <w:szCs w:val="22"/>
          <w:lang w:val="cs-CZ"/>
        </w:rPr>
        <w:t xml:space="preserve">Výhodou komplexního výkonového zpoplatnění je systém poplatků zohledňující skutečně ujetou vzdálenost po zpoplatněných pozemních komunikacích, který je vnímám jako spravedlivější než časové zpoplatnění a je preferován právními předpisy EU. Rizika spočívají zejména v převodu systému na případného nového </w:t>
      </w:r>
      <w:r>
        <w:rPr>
          <w:sz w:val="22"/>
          <w:szCs w:val="22"/>
          <w:lang w:val="cs-CZ"/>
        </w:rPr>
        <w:t>poskytovatele služeb souvisejících s </w:t>
      </w:r>
      <w:r w:rsidRPr="00DD2F1B">
        <w:rPr>
          <w:sz w:val="22"/>
          <w:szCs w:val="22"/>
          <w:lang w:val="cs-CZ"/>
        </w:rPr>
        <w:t>provoz</w:t>
      </w:r>
      <w:r>
        <w:rPr>
          <w:sz w:val="22"/>
          <w:szCs w:val="22"/>
          <w:lang w:val="cs-CZ"/>
        </w:rPr>
        <w:t>em SEM</w:t>
      </w:r>
      <w:r w:rsidRPr="00DD2F1B">
        <w:rPr>
          <w:sz w:val="22"/>
          <w:szCs w:val="22"/>
          <w:lang w:val="cs-CZ"/>
        </w:rPr>
        <w:t>, včetně migrace dat, případného vypořádání se s nevyužitou infrastrukturou a vybavení vozidel novým typem palubních zařízení, tzv. On-</w:t>
      </w:r>
      <w:proofErr w:type="spellStart"/>
      <w:r w:rsidRPr="00DD2F1B">
        <w:rPr>
          <w:sz w:val="22"/>
          <w:szCs w:val="22"/>
          <w:lang w:val="cs-CZ"/>
        </w:rPr>
        <w:t>Board</w:t>
      </w:r>
      <w:proofErr w:type="spellEnd"/>
      <w:r w:rsidRPr="00DD2F1B">
        <w:rPr>
          <w:sz w:val="22"/>
          <w:szCs w:val="22"/>
          <w:lang w:val="cs-CZ"/>
        </w:rPr>
        <w:t>-</w:t>
      </w:r>
      <w:proofErr w:type="spellStart"/>
      <w:r w:rsidRPr="00DD2F1B">
        <w:rPr>
          <w:sz w:val="22"/>
          <w:szCs w:val="22"/>
          <w:lang w:val="cs-CZ"/>
        </w:rPr>
        <w:t>Equipment</w:t>
      </w:r>
      <w:proofErr w:type="spellEnd"/>
      <w:r w:rsidRPr="00DD2F1B">
        <w:rPr>
          <w:sz w:val="22"/>
          <w:szCs w:val="22"/>
          <w:lang w:val="cs-CZ"/>
        </w:rPr>
        <w:t xml:space="preserve"> (dále také „OBE“). Tato varianta má však nejvyšší rozvojový potenciál pro případné rozšiřování sítě a může být i více flexibilní při řešení objížděk. Při uvažovaném zpoplatnění všech silnic I. třídy by se počáteční investice pohybovala mezi cca 3 600 – 4 400 mil. Kč dle zvolené technologie a předpokládané navýšení čistých příjmů o cca 2 500 mil. Kč ročně. Pro účely výdajového modelu v rámci ekonomického posouzení byly stanoveny dvě modifikace Varianty B: Varianta B-H (hybridní) a Varianta B-S (satelitní):</w:t>
      </w:r>
    </w:p>
    <w:p w:rsidR="00F3479A" w:rsidRPr="00DD2F1B" w:rsidRDefault="00F3479A" w:rsidP="00F3479A">
      <w:pPr>
        <w:jc w:val="both"/>
        <w:rPr>
          <w:sz w:val="22"/>
          <w:szCs w:val="22"/>
          <w:lang w:val="cs-CZ"/>
        </w:rPr>
      </w:pPr>
      <w:r w:rsidRPr="00DD2F1B">
        <w:rPr>
          <w:b/>
          <w:sz w:val="22"/>
          <w:szCs w:val="22"/>
          <w:lang w:val="cs-CZ"/>
        </w:rPr>
        <w:t>Varianta B-H</w:t>
      </w:r>
      <w:r w:rsidRPr="00DD2F1B">
        <w:rPr>
          <w:sz w:val="22"/>
          <w:szCs w:val="22"/>
          <w:lang w:val="cs-CZ"/>
        </w:rPr>
        <w:t xml:space="preserve">: Pro tuto variantu je předpokládáno, že od roku 2017 se uživatelé rozdělí na dvě skupiny. </w:t>
      </w:r>
    </w:p>
    <w:p w:rsidR="00F3479A" w:rsidRPr="00DD2F1B" w:rsidRDefault="00F3479A" w:rsidP="00F3479A">
      <w:pPr>
        <w:numPr>
          <w:ilvl w:val="0"/>
          <w:numId w:val="5"/>
        </w:numPr>
        <w:jc w:val="both"/>
        <w:rPr>
          <w:sz w:val="22"/>
          <w:szCs w:val="22"/>
          <w:lang w:val="cs-CZ"/>
        </w:rPr>
      </w:pPr>
      <w:r w:rsidRPr="00DD2F1B">
        <w:rPr>
          <w:sz w:val="22"/>
          <w:szCs w:val="22"/>
          <w:lang w:val="cs-CZ"/>
        </w:rPr>
        <w:t xml:space="preserve">Na tranzitní uživatele, kteří přes ČR jenom projíždějí (empiricky (rok 2011) se jedná o cca </w:t>
      </w:r>
      <w:r w:rsidRPr="00DD2F1B">
        <w:rPr>
          <w:sz w:val="22"/>
          <w:szCs w:val="22"/>
          <w:lang w:val="cs-CZ"/>
        </w:rPr>
        <w:br/>
        <w:t xml:space="preserve">29 % z vjíždějících vozidel do ČR. Těmto uživatelům postačí být vybaveni mikrovlnnými typy palubních zařízení (DSRC OBE), s nižšími pořizovacími náklady než jsou u satelitních či hybridních </w:t>
      </w:r>
      <w:proofErr w:type="gramStart"/>
      <w:r w:rsidRPr="00DD2F1B">
        <w:rPr>
          <w:sz w:val="22"/>
          <w:szCs w:val="22"/>
          <w:lang w:val="cs-CZ"/>
        </w:rPr>
        <w:t>OBE</w:t>
      </w:r>
      <w:proofErr w:type="gramEnd"/>
      <w:r w:rsidRPr="00DD2F1B">
        <w:rPr>
          <w:sz w:val="22"/>
          <w:szCs w:val="22"/>
          <w:lang w:val="cs-CZ"/>
        </w:rPr>
        <w:t>;</w:t>
      </w:r>
    </w:p>
    <w:p w:rsidR="00F3479A" w:rsidRPr="00DD2F1B" w:rsidRDefault="00F3479A" w:rsidP="00F3479A">
      <w:pPr>
        <w:numPr>
          <w:ilvl w:val="0"/>
          <w:numId w:val="5"/>
        </w:numPr>
        <w:jc w:val="both"/>
        <w:rPr>
          <w:sz w:val="22"/>
          <w:szCs w:val="22"/>
          <w:lang w:val="cs-CZ"/>
        </w:rPr>
      </w:pPr>
      <w:r w:rsidRPr="00DD2F1B">
        <w:rPr>
          <w:sz w:val="22"/>
          <w:szCs w:val="22"/>
          <w:lang w:val="cs-CZ"/>
        </w:rPr>
        <w:t xml:space="preserve">Na uživatele, jejichž cíl je v ČR a kteří budou využívat i ty úseky silnic I. třídy, které nebudou osazeny mikrovlnnými mýtnými branami a nebudou tak zpoplatněny prostřednictvím mikrovlnného systému. Tito uživatelé budou </w:t>
      </w:r>
      <w:proofErr w:type="gramStart"/>
      <w:r w:rsidRPr="00DD2F1B">
        <w:rPr>
          <w:sz w:val="22"/>
          <w:szCs w:val="22"/>
          <w:lang w:val="cs-CZ"/>
        </w:rPr>
        <w:t>vybaveni</w:t>
      </w:r>
      <w:proofErr w:type="gramEnd"/>
      <w:r w:rsidRPr="00DD2F1B">
        <w:rPr>
          <w:sz w:val="22"/>
          <w:szCs w:val="22"/>
          <w:lang w:val="cs-CZ"/>
        </w:rPr>
        <w:t xml:space="preserve"> hybridním palubním zařízením </w:t>
      </w:r>
      <w:proofErr w:type="gramStart"/>
      <w:r w:rsidRPr="00DD2F1B">
        <w:rPr>
          <w:sz w:val="22"/>
          <w:szCs w:val="22"/>
          <w:lang w:val="cs-CZ"/>
        </w:rPr>
        <w:t>OBE</w:t>
      </w:r>
      <w:proofErr w:type="gramEnd"/>
      <w:r w:rsidRPr="00DD2F1B">
        <w:rPr>
          <w:sz w:val="22"/>
          <w:szCs w:val="22"/>
          <w:lang w:val="cs-CZ"/>
        </w:rPr>
        <w:t>, které bude využívat jak technologii satelitní (GNSS/CN), tak i mikrovlnnou technologii (DSRC).</w:t>
      </w:r>
    </w:p>
    <w:p w:rsidR="00CA65B4" w:rsidRDefault="00CA65B4" w:rsidP="00F3479A">
      <w:pPr>
        <w:jc w:val="both"/>
        <w:rPr>
          <w:b/>
          <w:sz w:val="22"/>
          <w:szCs w:val="22"/>
          <w:lang w:val="cs-CZ"/>
        </w:rPr>
      </w:pPr>
    </w:p>
    <w:p w:rsidR="00F3479A" w:rsidRPr="00DD2F1B" w:rsidRDefault="00F3479A" w:rsidP="00F3479A">
      <w:pPr>
        <w:jc w:val="both"/>
        <w:rPr>
          <w:sz w:val="22"/>
          <w:szCs w:val="22"/>
          <w:lang w:val="cs-CZ"/>
        </w:rPr>
      </w:pPr>
      <w:r w:rsidRPr="00DD2F1B">
        <w:rPr>
          <w:b/>
          <w:sz w:val="22"/>
          <w:szCs w:val="22"/>
          <w:lang w:val="cs-CZ"/>
        </w:rPr>
        <w:lastRenderedPageBreak/>
        <w:t>Varianta B-S</w:t>
      </w:r>
      <w:r w:rsidRPr="00DD2F1B">
        <w:rPr>
          <w:sz w:val="22"/>
          <w:szCs w:val="22"/>
          <w:lang w:val="cs-CZ"/>
        </w:rPr>
        <w:t xml:space="preserve">: Varianta předpokládá ukončení používání mikrovlnné technologie a nahrazuje ji plně satelitní technologií na dálnicích, rychlostních silnicích a silnicích I. třídy od roku 2017. Toto řešení </w:t>
      </w:r>
      <w:proofErr w:type="gramStart"/>
      <w:r w:rsidRPr="00DD2F1B">
        <w:rPr>
          <w:sz w:val="22"/>
          <w:szCs w:val="22"/>
          <w:lang w:val="cs-CZ"/>
        </w:rPr>
        <w:t>využívá</w:t>
      </w:r>
      <w:proofErr w:type="gramEnd"/>
      <w:r w:rsidRPr="00DD2F1B">
        <w:rPr>
          <w:sz w:val="22"/>
          <w:szCs w:val="22"/>
          <w:lang w:val="cs-CZ"/>
        </w:rPr>
        <w:t xml:space="preserve"> relativně dražších </w:t>
      </w:r>
      <w:proofErr w:type="gramStart"/>
      <w:r w:rsidRPr="00DD2F1B">
        <w:rPr>
          <w:sz w:val="22"/>
          <w:szCs w:val="22"/>
          <w:lang w:val="cs-CZ"/>
        </w:rPr>
        <w:t>OBE</w:t>
      </w:r>
      <w:proofErr w:type="gramEnd"/>
      <w:r w:rsidRPr="00DD2F1B">
        <w:rPr>
          <w:sz w:val="22"/>
          <w:szCs w:val="22"/>
          <w:lang w:val="cs-CZ"/>
        </w:rPr>
        <w:t>, ale je více flexibilní pro potřeby rozšiřová</w:t>
      </w:r>
      <w:r w:rsidR="006679F4">
        <w:rPr>
          <w:sz w:val="22"/>
          <w:szCs w:val="22"/>
          <w:lang w:val="cs-CZ"/>
        </w:rPr>
        <w:t>ní či úprav rozsahu zpoplatnění oproti realizačním variantám 0 a 01.</w:t>
      </w:r>
    </w:p>
    <w:p w:rsidR="00F3479A" w:rsidRPr="00DD2F1B" w:rsidRDefault="00F3479A" w:rsidP="00F347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2"/>
          <w:szCs w:val="22"/>
          <w:lang w:val="cs-CZ"/>
        </w:rPr>
      </w:pPr>
      <w:r w:rsidRPr="00DD2F1B">
        <w:rPr>
          <w:b/>
          <w:sz w:val="22"/>
          <w:szCs w:val="22"/>
          <w:lang w:val="cs-CZ"/>
        </w:rPr>
        <w:t>Variant</w:t>
      </w:r>
      <w:r w:rsidR="00CA65B4">
        <w:rPr>
          <w:b/>
          <w:sz w:val="22"/>
          <w:szCs w:val="22"/>
          <w:lang w:val="cs-CZ"/>
        </w:rPr>
        <w:t>a</w:t>
      </w:r>
      <w:r w:rsidRPr="00DD2F1B">
        <w:rPr>
          <w:b/>
          <w:sz w:val="22"/>
          <w:szCs w:val="22"/>
          <w:lang w:val="cs-CZ"/>
        </w:rPr>
        <w:t xml:space="preserve"> B </w:t>
      </w:r>
      <w:r w:rsidR="00CA65B4">
        <w:rPr>
          <w:b/>
          <w:sz w:val="22"/>
          <w:szCs w:val="22"/>
          <w:lang w:val="cs-CZ"/>
        </w:rPr>
        <w:t>je</w:t>
      </w:r>
      <w:r w:rsidR="00F7587C">
        <w:rPr>
          <w:b/>
          <w:sz w:val="22"/>
          <w:szCs w:val="22"/>
          <w:lang w:val="cs-CZ"/>
        </w:rPr>
        <w:t xml:space="preserve"> z</w:t>
      </w:r>
      <w:r w:rsidR="00CA65B4">
        <w:rPr>
          <w:b/>
          <w:sz w:val="22"/>
          <w:szCs w:val="22"/>
          <w:lang w:val="cs-CZ"/>
        </w:rPr>
        <w:t xml:space="preserve"> </w:t>
      </w:r>
      <w:r w:rsidRPr="00DD2F1B">
        <w:rPr>
          <w:b/>
          <w:sz w:val="22"/>
          <w:szCs w:val="22"/>
          <w:lang w:val="cs-CZ"/>
        </w:rPr>
        <w:t xml:space="preserve">hlediska dalšího rozvoje </w:t>
      </w:r>
      <w:r w:rsidR="00F7587C">
        <w:rPr>
          <w:b/>
          <w:sz w:val="22"/>
          <w:szCs w:val="22"/>
          <w:lang w:val="cs-CZ"/>
        </w:rPr>
        <w:t xml:space="preserve">úspěšně </w:t>
      </w:r>
      <w:r w:rsidR="00CA65B4">
        <w:rPr>
          <w:b/>
          <w:sz w:val="22"/>
          <w:szCs w:val="22"/>
          <w:lang w:val="cs-CZ"/>
        </w:rPr>
        <w:t>realizovatelná</w:t>
      </w:r>
      <w:r w:rsidRPr="00DD2F1B">
        <w:rPr>
          <w:b/>
          <w:sz w:val="22"/>
          <w:szCs w:val="22"/>
          <w:lang w:val="cs-CZ"/>
        </w:rPr>
        <w:t>. Je však potřeba rozhodnout o velikosti rozšířené zpoplatněné sítě</w:t>
      </w:r>
      <w:r w:rsidR="00941C37">
        <w:rPr>
          <w:b/>
          <w:sz w:val="22"/>
          <w:szCs w:val="22"/>
          <w:lang w:val="cs-CZ"/>
        </w:rPr>
        <w:t xml:space="preserve"> pozemních komunikací, neboť toto rozhodnutí může zás</w:t>
      </w:r>
      <w:r w:rsidRPr="00DD2F1B">
        <w:rPr>
          <w:b/>
          <w:sz w:val="22"/>
          <w:szCs w:val="22"/>
          <w:lang w:val="cs-CZ"/>
        </w:rPr>
        <w:t>adně ovliv</w:t>
      </w:r>
      <w:r w:rsidR="00941C37">
        <w:rPr>
          <w:b/>
          <w:sz w:val="22"/>
          <w:szCs w:val="22"/>
          <w:lang w:val="cs-CZ"/>
        </w:rPr>
        <w:t>nit</w:t>
      </w:r>
      <w:r w:rsidRPr="00DD2F1B">
        <w:rPr>
          <w:b/>
          <w:sz w:val="22"/>
          <w:szCs w:val="22"/>
          <w:lang w:val="cs-CZ"/>
        </w:rPr>
        <w:t xml:space="preserve"> využití stávající mýtné infrastruktury.</w:t>
      </w:r>
    </w:p>
    <w:p w:rsidR="00F3479A" w:rsidRPr="00F3479A" w:rsidRDefault="00F3479A" w:rsidP="00F3479A">
      <w:pPr>
        <w:pStyle w:val="Nadpis1"/>
        <w:rPr>
          <w:sz w:val="40"/>
          <w:szCs w:val="40"/>
          <w:lang w:val="cs-CZ"/>
        </w:rPr>
      </w:pPr>
      <w:r w:rsidRPr="00F3479A">
        <w:rPr>
          <w:sz w:val="40"/>
          <w:szCs w:val="40"/>
          <w:lang w:val="cs-CZ"/>
        </w:rPr>
        <w:br w:type="page"/>
      </w:r>
      <w:bookmarkStart w:id="46" w:name="_Toc367436515"/>
      <w:bookmarkStart w:id="47" w:name="_Toc368311174"/>
      <w:bookmarkStart w:id="48" w:name="_Toc368327084"/>
      <w:r w:rsidRPr="00F3479A">
        <w:rPr>
          <w:sz w:val="40"/>
          <w:szCs w:val="40"/>
          <w:lang w:val="cs-CZ"/>
        </w:rPr>
        <w:lastRenderedPageBreak/>
        <w:t>Ekonomické hodnocení a analýza rizik posuzovaných variant</w:t>
      </w:r>
      <w:bookmarkEnd w:id="46"/>
      <w:bookmarkEnd w:id="47"/>
      <w:bookmarkEnd w:id="48"/>
    </w:p>
    <w:p w:rsidR="00F3479A" w:rsidRPr="00DD2F1B" w:rsidRDefault="00F3479A" w:rsidP="00F3479A">
      <w:pPr>
        <w:pStyle w:val="BodyText1"/>
        <w:rPr>
          <w:lang w:val="cs-CZ"/>
        </w:rPr>
      </w:pPr>
      <w:r w:rsidRPr="00DD2F1B">
        <w:rPr>
          <w:lang w:val="cs-CZ"/>
        </w:rPr>
        <w:t>Očekávané přínosy a náklady závisí na rozsahu zpoplatněné sítě pozemních komunikací a zvolené technologii identifikace vozidel na zpoplatněných pozemních komunikacích. V roce 2020 by odhadovaný poměr výdajů k příjmům pro variantu B měl být cca 16</w:t>
      </w:r>
      <w:r w:rsidR="00E378ED">
        <w:rPr>
          <w:lang w:val="cs-CZ"/>
        </w:rPr>
        <w:t xml:space="preserve"> </w:t>
      </w:r>
      <w:r w:rsidRPr="00DD2F1B">
        <w:rPr>
          <w:lang w:val="cs-CZ"/>
        </w:rPr>
        <w:t>% a celkový čistý roční příjem pro stát by dosáhl cca 11,5 mld. Kč, tedy o cca 3,7 mld. Kč více než při variantě 0. V následující tabulce jsou pak pro jednotlivé posuzované varianty shrnuta nejdůležitější fakta.</w:t>
      </w:r>
    </w:p>
    <w:tbl>
      <w:tblPr>
        <w:tblW w:w="0" w:type="auto"/>
        <w:tblBorders>
          <w:bottom w:val="single" w:sz="4" w:space="0" w:color="72C7E7"/>
          <w:insideH w:val="single" w:sz="4" w:space="0" w:color="72C7E7"/>
        </w:tblBorders>
        <w:tblCellMar>
          <w:top w:w="28" w:type="dxa"/>
          <w:left w:w="28" w:type="dxa"/>
          <w:bottom w:w="28" w:type="dxa"/>
          <w:right w:w="28" w:type="dxa"/>
        </w:tblCellMar>
        <w:tblLook w:val="00A0"/>
      </w:tblPr>
      <w:tblGrid>
        <w:gridCol w:w="1241"/>
        <w:gridCol w:w="1220"/>
        <w:gridCol w:w="1146"/>
        <w:gridCol w:w="1459"/>
        <w:gridCol w:w="1459"/>
        <w:gridCol w:w="1354"/>
        <w:gridCol w:w="1249"/>
      </w:tblGrid>
      <w:tr w:rsidR="00F3479A" w:rsidRPr="009019F6" w:rsidTr="00045D16">
        <w:tc>
          <w:tcPr>
            <w:tcW w:w="1262" w:type="dxa"/>
            <w:shd w:val="clear" w:color="auto" w:fill="72C7E7"/>
            <w:vAlign w:val="center"/>
          </w:tcPr>
          <w:p w:rsidR="00F3479A" w:rsidRPr="009019F6" w:rsidRDefault="00F3479A" w:rsidP="00045D16">
            <w:pPr>
              <w:pStyle w:val="BodyText1"/>
              <w:jc w:val="center"/>
              <w:rPr>
                <w:b/>
                <w:color w:val="FFFFFF"/>
                <w:lang w:val="cs-CZ"/>
              </w:rPr>
            </w:pPr>
            <w:r w:rsidRPr="009019F6">
              <w:rPr>
                <w:b/>
                <w:color w:val="FFFFFF"/>
                <w:lang w:val="cs-CZ"/>
              </w:rPr>
              <w:t>Varianta</w:t>
            </w:r>
          </w:p>
        </w:tc>
        <w:tc>
          <w:tcPr>
            <w:tcW w:w="1224" w:type="dxa"/>
            <w:shd w:val="clear" w:color="auto" w:fill="72C7E7"/>
            <w:vAlign w:val="center"/>
          </w:tcPr>
          <w:p w:rsidR="00F3479A" w:rsidRPr="009019F6" w:rsidRDefault="00F3479A" w:rsidP="00045D16">
            <w:pPr>
              <w:pStyle w:val="BodyText1"/>
              <w:jc w:val="center"/>
              <w:rPr>
                <w:b/>
                <w:color w:val="FFFFFF"/>
                <w:lang w:val="cs-CZ"/>
              </w:rPr>
            </w:pPr>
            <w:r w:rsidRPr="009019F6">
              <w:rPr>
                <w:b/>
                <w:color w:val="FFFFFF"/>
                <w:lang w:val="cs-CZ"/>
              </w:rPr>
              <w:t>Příjmy za posuzované období</w:t>
            </w:r>
          </w:p>
        </w:tc>
        <w:tc>
          <w:tcPr>
            <w:tcW w:w="1052" w:type="dxa"/>
            <w:shd w:val="clear" w:color="auto" w:fill="72C7E7"/>
            <w:vAlign w:val="center"/>
          </w:tcPr>
          <w:p w:rsidR="00F3479A" w:rsidRPr="009019F6" w:rsidRDefault="00F3479A" w:rsidP="00045D16">
            <w:pPr>
              <w:pStyle w:val="BodyText1"/>
              <w:jc w:val="center"/>
              <w:rPr>
                <w:b/>
                <w:color w:val="FFFFFF"/>
                <w:lang w:val="cs-CZ"/>
              </w:rPr>
            </w:pPr>
            <w:r w:rsidRPr="009019F6">
              <w:rPr>
                <w:b/>
                <w:color w:val="FFFFFF"/>
                <w:lang w:val="cs-CZ"/>
              </w:rPr>
              <w:t>Výdaje za posuzované období</w:t>
            </w:r>
          </w:p>
        </w:tc>
        <w:tc>
          <w:tcPr>
            <w:tcW w:w="1473" w:type="dxa"/>
            <w:shd w:val="clear" w:color="auto" w:fill="72C7E7"/>
            <w:vAlign w:val="center"/>
          </w:tcPr>
          <w:p w:rsidR="00F3479A" w:rsidRPr="009019F6" w:rsidRDefault="00F3479A" w:rsidP="00045D16">
            <w:pPr>
              <w:pStyle w:val="BodyText1"/>
              <w:jc w:val="center"/>
              <w:rPr>
                <w:b/>
                <w:color w:val="FFFFFF"/>
                <w:lang w:val="cs-CZ"/>
              </w:rPr>
            </w:pPr>
            <w:r w:rsidRPr="009019F6">
              <w:rPr>
                <w:b/>
                <w:color w:val="FFFFFF"/>
                <w:lang w:val="cs-CZ"/>
              </w:rPr>
              <w:t>Peněžní tok – kumulativně (příjmy očištěné od výdajů)</w:t>
            </w:r>
          </w:p>
        </w:tc>
        <w:tc>
          <w:tcPr>
            <w:tcW w:w="1473" w:type="dxa"/>
            <w:shd w:val="clear" w:color="auto" w:fill="72C7E7"/>
            <w:vAlign w:val="center"/>
          </w:tcPr>
          <w:p w:rsidR="00F3479A" w:rsidRPr="009019F6" w:rsidRDefault="00F3479A" w:rsidP="00045D16">
            <w:pPr>
              <w:pStyle w:val="BodyText1"/>
              <w:jc w:val="center"/>
              <w:rPr>
                <w:b/>
                <w:color w:val="FFFFFF"/>
                <w:lang w:val="cs-CZ"/>
              </w:rPr>
            </w:pPr>
            <w:r w:rsidRPr="009019F6">
              <w:rPr>
                <w:b/>
                <w:color w:val="FFFFFF"/>
                <w:lang w:val="cs-CZ"/>
              </w:rPr>
              <w:t>Rozdíl proti Variantě 0 - kumulativně</w:t>
            </w:r>
          </w:p>
        </w:tc>
        <w:tc>
          <w:tcPr>
            <w:tcW w:w="1372" w:type="dxa"/>
            <w:shd w:val="clear" w:color="auto" w:fill="72C7E7"/>
            <w:vAlign w:val="center"/>
          </w:tcPr>
          <w:p w:rsidR="00F3479A" w:rsidRPr="009019F6" w:rsidRDefault="00F3479A" w:rsidP="00045D16">
            <w:pPr>
              <w:pStyle w:val="BodyText1"/>
              <w:jc w:val="center"/>
              <w:rPr>
                <w:b/>
                <w:color w:val="FFFFFF"/>
                <w:lang w:val="cs-CZ"/>
              </w:rPr>
            </w:pPr>
            <w:r w:rsidRPr="009019F6">
              <w:rPr>
                <w:b/>
                <w:color w:val="FFFFFF"/>
                <w:lang w:val="cs-CZ"/>
              </w:rPr>
              <w:t>Nákladové efektivita</w:t>
            </w:r>
          </w:p>
        </w:tc>
        <w:tc>
          <w:tcPr>
            <w:tcW w:w="1271" w:type="dxa"/>
            <w:shd w:val="clear" w:color="auto" w:fill="72C7E7"/>
            <w:vAlign w:val="center"/>
          </w:tcPr>
          <w:p w:rsidR="00F3479A" w:rsidRPr="009019F6" w:rsidRDefault="00F3479A" w:rsidP="00045D16">
            <w:pPr>
              <w:pStyle w:val="BodyText1"/>
              <w:jc w:val="center"/>
              <w:rPr>
                <w:b/>
                <w:color w:val="FFFFFF"/>
                <w:lang w:val="cs-CZ"/>
              </w:rPr>
            </w:pPr>
            <w:r w:rsidRPr="009019F6">
              <w:rPr>
                <w:b/>
                <w:color w:val="FFFFFF"/>
                <w:lang w:val="cs-CZ"/>
              </w:rPr>
              <w:t>Hodnota rizik</w:t>
            </w:r>
          </w:p>
        </w:tc>
      </w:tr>
      <w:tr w:rsidR="00F3479A" w:rsidRPr="009019F6" w:rsidTr="00045D16">
        <w:tc>
          <w:tcPr>
            <w:tcW w:w="1262" w:type="dxa"/>
            <w:shd w:val="clear" w:color="auto" w:fill="FFFFFF"/>
          </w:tcPr>
          <w:p w:rsidR="00F3479A" w:rsidRPr="009019F6" w:rsidRDefault="00F3479A" w:rsidP="00045D16">
            <w:pPr>
              <w:pStyle w:val="BodyText1"/>
              <w:rPr>
                <w:sz w:val="20"/>
                <w:szCs w:val="20"/>
                <w:lang w:val="cs-CZ"/>
              </w:rPr>
            </w:pPr>
            <w:r w:rsidRPr="009019F6">
              <w:rPr>
                <w:sz w:val="20"/>
                <w:szCs w:val="20"/>
                <w:lang w:val="cs-CZ"/>
              </w:rPr>
              <w:t>0</w:t>
            </w:r>
          </w:p>
        </w:tc>
        <w:tc>
          <w:tcPr>
            <w:tcW w:w="1224" w:type="dxa"/>
            <w:shd w:val="clear" w:color="auto" w:fill="FFFFFF"/>
          </w:tcPr>
          <w:p w:rsidR="00F3479A" w:rsidRPr="009019F6" w:rsidRDefault="00F3479A" w:rsidP="00045D16">
            <w:pPr>
              <w:jc w:val="center"/>
              <w:rPr>
                <w:color w:val="000000"/>
                <w:lang w:val="cs-CZ"/>
              </w:rPr>
            </w:pPr>
            <w:r w:rsidRPr="009019F6">
              <w:rPr>
                <w:color w:val="000000"/>
                <w:lang w:val="cs-CZ"/>
              </w:rPr>
              <w:t>138 438 896</w:t>
            </w:r>
          </w:p>
        </w:tc>
        <w:tc>
          <w:tcPr>
            <w:tcW w:w="1052" w:type="dxa"/>
            <w:shd w:val="clear" w:color="auto" w:fill="FFFFFF"/>
          </w:tcPr>
          <w:p w:rsidR="00F3479A" w:rsidRPr="009019F6" w:rsidRDefault="00F3479A" w:rsidP="00045D16">
            <w:pPr>
              <w:jc w:val="center"/>
              <w:rPr>
                <w:color w:val="000000"/>
                <w:lang w:val="cs-CZ"/>
              </w:rPr>
            </w:pPr>
            <w:r w:rsidRPr="009019F6">
              <w:rPr>
                <w:color w:val="000000"/>
                <w:lang w:val="cs-CZ"/>
              </w:rPr>
              <w:t>31 034 839</w:t>
            </w:r>
          </w:p>
        </w:tc>
        <w:tc>
          <w:tcPr>
            <w:tcW w:w="1473" w:type="dxa"/>
            <w:shd w:val="clear" w:color="auto" w:fill="FFFFFF"/>
            <w:vAlign w:val="center"/>
          </w:tcPr>
          <w:p w:rsidR="00F3479A" w:rsidRPr="009019F6" w:rsidRDefault="00F3479A" w:rsidP="00045D16">
            <w:pPr>
              <w:jc w:val="center"/>
              <w:rPr>
                <w:color w:val="000000"/>
                <w:lang w:val="cs-CZ"/>
              </w:rPr>
            </w:pPr>
            <w:r w:rsidRPr="009019F6">
              <w:rPr>
                <w:color w:val="000000"/>
                <w:lang w:val="cs-CZ"/>
              </w:rPr>
              <w:t>107 404 058</w:t>
            </w:r>
          </w:p>
        </w:tc>
        <w:tc>
          <w:tcPr>
            <w:tcW w:w="1473" w:type="dxa"/>
            <w:shd w:val="clear" w:color="auto" w:fill="FFFFFF"/>
            <w:vAlign w:val="center"/>
          </w:tcPr>
          <w:p w:rsidR="00F3479A" w:rsidRPr="009019F6" w:rsidRDefault="00F3479A" w:rsidP="00045D16">
            <w:pPr>
              <w:pStyle w:val="BodyText1"/>
              <w:jc w:val="center"/>
              <w:rPr>
                <w:sz w:val="20"/>
                <w:szCs w:val="20"/>
                <w:lang w:val="cs-CZ"/>
              </w:rPr>
            </w:pPr>
            <w:r w:rsidRPr="009019F6">
              <w:rPr>
                <w:sz w:val="20"/>
                <w:szCs w:val="20"/>
                <w:lang w:val="cs-CZ"/>
              </w:rPr>
              <w:t>X</w:t>
            </w:r>
          </w:p>
        </w:tc>
        <w:tc>
          <w:tcPr>
            <w:tcW w:w="1372" w:type="dxa"/>
            <w:shd w:val="clear" w:color="auto" w:fill="FFFFFF"/>
            <w:vAlign w:val="center"/>
          </w:tcPr>
          <w:p w:rsidR="00F3479A" w:rsidRPr="009019F6" w:rsidRDefault="00F3479A" w:rsidP="00045D16">
            <w:pPr>
              <w:pStyle w:val="BodyText1"/>
              <w:jc w:val="center"/>
              <w:rPr>
                <w:sz w:val="20"/>
                <w:szCs w:val="20"/>
                <w:lang w:val="cs-CZ"/>
              </w:rPr>
            </w:pPr>
            <w:r w:rsidRPr="009019F6">
              <w:rPr>
                <w:sz w:val="20"/>
                <w:szCs w:val="20"/>
                <w:lang w:val="cs-CZ"/>
              </w:rPr>
              <w:t>21</w:t>
            </w:r>
            <w:r w:rsidR="00E378ED">
              <w:rPr>
                <w:sz w:val="20"/>
                <w:szCs w:val="20"/>
                <w:lang w:val="cs-CZ"/>
              </w:rPr>
              <w:t xml:space="preserve"> </w:t>
            </w:r>
            <w:r w:rsidRPr="009019F6">
              <w:rPr>
                <w:sz w:val="20"/>
                <w:szCs w:val="20"/>
                <w:lang w:val="cs-CZ"/>
              </w:rPr>
              <w:t>%</w:t>
            </w:r>
          </w:p>
        </w:tc>
        <w:tc>
          <w:tcPr>
            <w:tcW w:w="1271" w:type="dxa"/>
            <w:shd w:val="clear" w:color="auto" w:fill="FFFFFF"/>
            <w:vAlign w:val="center"/>
          </w:tcPr>
          <w:p w:rsidR="00F3479A" w:rsidRPr="009019F6" w:rsidRDefault="00F3479A" w:rsidP="00045D16">
            <w:pPr>
              <w:pStyle w:val="BodyText1"/>
              <w:jc w:val="center"/>
              <w:rPr>
                <w:sz w:val="20"/>
                <w:szCs w:val="20"/>
                <w:lang w:val="cs-CZ"/>
              </w:rPr>
            </w:pPr>
            <w:r w:rsidRPr="009019F6">
              <w:rPr>
                <w:sz w:val="20"/>
                <w:szCs w:val="20"/>
                <w:lang w:val="cs-CZ"/>
              </w:rPr>
              <w:t>9</w:t>
            </w:r>
          </w:p>
        </w:tc>
      </w:tr>
      <w:tr w:rsidR="00F3479A" w:rsidRPr="009019F6" w:rsidTr="00045D16">
        <w:tc>
          <w:tcPr>
            <w:tcW w:w="1262" w:type="dxa"/>
            <w:shd w:val="clear" w:color="auto" w:fill="FFFFFF"/>
          </w:tcPr>
          <w:p w:rsidR="00F3479A" w:rsidRPr="009019F6" w:rsidRDefault="00F3479A" w:rsidP="00045D16">
            <w:pPr>
              <w:pStyle w:val="BodyText1"/>
              <w:rPr>
                <w:sz w:val="20"/>
                <w:szCs w:val="20"/>
                <w:lang w:val="cs-CZ"/>
              </w:rPr>
            </w:pPr>
            <w:r w:rsidRPr="009019F6">
              <w:rPr>
                <w:sz w:val="20"/>
                <w:szCs w:val="20"/>
                <w:lang w:val="cs-CZ"/>
              </w:rPr>
              <w:t>01</w:t>
            </w:r>
          </w:p>
        </w:tc>
        <w:tc>
          <w:tcPr>
            <w:tcW w:w="1224" w:type="dxa"/>
            <w:shd w:val="clear" w:color="auto" w:fill="FFFFFF"/>
          </w:tcPr>
          <w:p w:rsidR="00F3479A" w:rsidRPr="009019F6" w:rsidRDefault="00F3479A" w:rsidP="00045D16">
            <w:pPr>
              <w:pStyle w:val="BodyText1"/>
              <w:jc w:val="center"/>
              <w:rPr>
                <w:sz w:val="20"/>
                <w:szCs w:val="20"/>
                <w:lang w:val="cs-CZ"/>
              </w:rPr>
            </w:pPr>
            <w:r w:rsidRPr="009019F6">
              <w:rPr>
                <w:sz w:val="20"/>
                <w:szCs w:val="20"/>
                <w:lang w:val="cs-CZ"/>
              </w:rPr>
              <w:t>149 811 809</w:t>
            </w:r>
          </w:p>
        </w:tc>
        <w:tc>
          <w:tcPr>
            <w:tcW w:w="1052" w:type="dxa"/>
            <w:shd w:val="clear" w:color="auto" w:fill="FFFFFF"/>
          </w:tcPr>
          <w:p w:rsidR="00F3479A" w:rsidRPr="009019F6" w:rsidRDefault="00F3479A" w:rsidP="00045D16">
            <w:pPr>
              <w:pStyle w:val="BodyText1"/>
              <w:jc w:val="center"/>
              <w:rPr>
                <w:sz w:val="20"/>
                <w:szCs w:val="20"/>
                <w:lang w:val="cs-CZ"/>
              </w:rPr>
            </w:pPr>
            <w:r w:rsidRPr="009019F6">
              <w:rPr>
                <w:sz w:val="20"/>
                <w:szCs w:val="20"/>
                <w:lang w:val="cs-CZ"/>
              </w:rPr>
              <w:t>31 034 839</w:t>
            </w:r>
          </w:p>
        </w:tc>
        <w:tc>
          <w:tcPr>
            <w:tcW w:w="1473" w:type="dxa"/>
            <w:shd w:val="clear" w:color="auto" w:fill="FFFFFF"/>
            <w:vAlign w:val="center"/>
          </w:tcPr>
          <w:p w:rsidR="00F3479A" w:rsidRPr="009019F6" w:rsidRDefault="00F3479A" w:rsidP="00045D16">
            <w:pPr>
              <w:pStyle w:val="BodyText1"/>
              <w:jc w:val="center"/>
              <w:rPr>
                <w:sz w:val="20"/>
                <w:szCs w:val="20"/>
                <w:lang w:val="cs-CZ"/>
              </w:rPr>
            </w:pPr>
            <w:r w:rsidRPr="009019F6">
              <w:rPr>
                <w:sz w:val="20"/>
                <w:szCs w:val="20"/>
                <w:lang w:val="cs-CZ"/>
              </w:rPr>
              <w:t>118 776 970</w:t>
            </w:r>
          </w:p>
        </w:tc>
        <w:tc>
          <w:tcPr>
            <w:tcW w:w="1473" w:type="dxa"/>
            <w:shd w:val="clear" w:color="auto" w:fill="FFFFFF"/>
            <w:vAlign w:val="center"/>
          </w:tcPr>
          <w:p w:rsidR="00F3479A" w:rsidRPr="009019F6" w:rsidRDefault="00F3479A" w:rsidP="00045D16">
            <w:pPr>
              <w:pStyle w:val="BodyText1"/>
              <w:jc w:val="center"/>
              <w:rPr>
                <w:sz w:val="20"/>
                <w:szCs w:val="20"/>
                <w:lang w:val="cs-CZ"/>
              </w:rPr>
            </w:pPr>
            <w:r w:rsidRPr="009019F6">
              <w:rPr>
                <w:sz w:val="20"/>
                <w:szCs w:val="20"/>
                <w:lang w:val="cs-CZ"/>
              </w:rPr>
              <w:t>11 372 912</w:t>
            </w:r>
          </w:p>
        </w:tc>
        <w:tc>
          <w:tcPr>
            <w:tcW w:w="1372" w:type="dxa"/>
            <w:shd w:val="clear" w:color="auto" w:fill="FFFFFF"/>
            <w:vAlign w:val="center"/>
          </w:tcPr>
          <w:p w:rsidR="00F3479A" w:rsidRPr="009019F6" w:rsidRDefault="00F3479A" w:rsidP="00045D16">
            <w:pPr>
              <w:pStyle w:val="BodyText1"/>
              <w:jc w:val="center"/>
              <w:rPr>
                <w:sz w:val="20"/>
                <w:szCs w:val="20"/>
                <w:lang w:val="cs-CZ"/>
              </w:rPr>
            </w:pPr>
            <w:r w:rsidRPr="009019F6">
              <w:rPr>
                <w:sz w:val="20"/>
                <w:szCs w:val="20"/>
                <w:lang w:val="cs-CZ"/>
              </w:rPr>
              <w:t>20</w:t>
            </w:r>
            <w:r w:rsidR="00E378ED">
              <w:rPr>
                <w:sz w:val="20"/>
                <w:szCs w:val="20"/>
                <w:lang w:val="cs-CZ"/>
              </w:rPr>
              <w:t xml:space="preserve"> </w:t>
            </w:r>
            <w:r w:rsidRPr="009019F6">
              <w:rPr>
                <w:sz w:val="20"/>
                <w:szCs w:val="20"/>
                <w:lang w:val="cs-CZ"/>
              </w:rPr>
              <w:t>%</w:t>
            </w:r>
          </w:p>
        </w:tc>
        <w:tc>
          <w:tcPr>
            <w:tcW w:w="1271" w:type="dxa"/>
            <w:shd w:val="clear" w:color="auto" w:fill="FFFFFF"/>
            <w:vAlign w:val="center"/>
          </w:tcPr>
          <w:p w:rsidR="00F3479A" w:rsidRPr="009019F6" w:rsidRDefault="00F3479A" w:rsidP="00045D16">
            <w:pPr>
              <w:pStyle w:val="BodyText1"/>
              <w:jc w:val="center"/>
              <w:rPr>
                <w:sz w:val="20"/>
                <w:szCs w:val="20"/>
                <w:lang w:val="cs-CZ"/>
              </w:rPr>
            </w:pPr>
            <w:r w:rsidRPr="009019F6">
              <w:rPr>
                <w:sz w:val="20"/>
                <w:szCs w:val="20"/>
                <w:lang w:val="cs-CZ"/>
              </w:rPr>
              <w:t>23</w:t>
            </w:r>
          </w:p>
        </w:tc>
      </w:tr>
      <w:tr w:rsidR="00F3479A" w:rsidRPr="009019F6" w:rsidTr="00045D16">
        <w:tc>
          <w:tcPr>
            <w:tcW w:w="1262" w:type="dxa"/>
            <w:shd w:val="clear" w:color="auto" w:fill="FFFFFF"/>
          </w:tcPr>
          <w:p w:rsidR="00F3479A" w:rsidRPr="009019F6" w:rsidRDefault="00F3479A" w:rsidP="00045D16">
            <w:pPr>
              <w:pStyle w:val="BodyText1"/>
              <w:rPr>
                <w:sz w:val="20"/>
                <w:szCs w:val="20"/>
                <w:lang w:val="cs-CZ"/>
              </w:rPr>
            </w:pPr>
            <w:r w:rsidRPr="009019F6">
              <w:rPr>
                <w:sz w:val="20"/>
                <w:szCs w:val="20"/>
                <w:lang w:val="cs-CZ"/>
              </w:rPr>
              <w:t>A</w:t>
            </w:r>
          </w:p>
        </w:tc>
        <w:tc>
          <w:tcPr>
            <w:tcW w:w="1224" w:type="dxa"/>
            <w:shd w:val="clear" w:color="auto" w:fill="FFFFFF"/>
          </w:tcPr>
          <w:p w:rsidR="00F3479A" w:rsidRPr="009019F6" w:rsidRDefault="00F3479A" w:rsidP="00045D16">
            <w:pPr>
              <w:pStyle w:val="BodyText1"/>
              <w:jc w:val="center"/>
              <w:rPr>
                <w:sz w:val="20"/>
                <w:szCs w:val="20"/>
                <w:lang w:val="cs-CZ"/>
              </w:rPr>
            </w:pPr>
            <w:r w:rsidRPr="009019F6">
              <w:rPr>
                <w:sz w:val="20"/>
                <w:szCs w:val="20"/>
                <w:lang w:val="cs-CZ"/>
              </w:rPr>
              <w:t>148 281 070</w:t>
            </w:r>
          </w:p>
        </w:tc>
        <w:tc>
          <w:tcPr>
            <w:tcW w:w="1052" w:type="dxa"/>
            <w:shd w:val="clear" w:color="auto" w:fill="FFFFFF"/>
          </w:tcPr>
          <w:p w:rsidR="00F3479A" w:rsidRPr="009019F6" w:rsidRDefault="00F3479A" w:rsidP="00045D16">
            <w:pPr>
              <w:pStyle w:val="BodyText1"/>
              <w:jc w:val="center"/>
              <w:rPr>
                <w:sz w:val="20"/>
                <w:szCs w:val="20"/>
                <w:lang w:val="cs-CZ"/>
              </w:rPr>
            </w:pPr>
            <w:r w:rsidRPr="009019F6">
              <w:rPr>
                <w:sz w:val="20"/>
                <w:szCs w:val="20"/>
                <w:lang w:val="cs-CZ"/>
              </w:rPr>
              <w:t>31 966 954</w:t>
            </w:r>
          </w:p>
        </w:tc>
        <w:tc>
          <w:tcPr>
            <w:tcW w:w="1473" w:type="dxa"/>
            <w:shd w:val="clear" w:color="auto" w:fill="FFFFFF"/>
            <w:vAlign w:val="center"/>
          </w:tcPr>
          <w:p w:rsidR="00F3479A" w:rsidRPr="009019F6" w:rsidRDefault="00F3479A" w:rsidP="00045D16">
            <w:pPr>
              <w:pStyle w:val="BodyText1"/>
              <w:jc w:val="center"/>
              <w:rPr>
                <w:sz w:val="20"/>
                <w:szCs w:val="20"/>
                <w:lang w:val="cs-CZ"/>
              </w:rPr>
            </w:pPr>
            <w:r w:rsidRPr="009019F6">
              <w:rPr>
                <w:sz w:val="20"/>
                <w:szCs w:val="20"/>
                <w:lang w:val="cs-CZ"/>
              </w:rPr>
              <w:t>116 314 117</w:t>
            </w:r>
          </w:p>
        </w:tc>
        <w:tc>
          <w:tcPr>
            <w:tcW w:w="1473" w:type="dxa"/>
            <w:shd w:val="clear" w:color="auto" w:fill="FFFFFF"/>
            <w:vAlign w:val="center"/>
          </w:tcPr>
          <w:p w:rsidR="00F3479A" w:rsidRPr="009019F6" w:rsidRDefault="00F3479A" w:rsidP="00045D16">
            <w:pPr>
              <w:pStyle w:val="BodyText1"/>
              <w:jc w:val="center"/>
              <w:rPr>
                <w:sz w:val="20"/>
                <w:szCs w:val="20"/>
                <w:lang w:val="cs-CZ"/>
              </w:rPr>
            </w:pPr>
            <w:r w:rsidRPr="009019F6">
              <w:rPr>
                <w:sz w:val="20"/>
                <w:szCs w:val="20"/>
                <w:lang w:val="cs-CZ"/>
              </w:rPr>
              <w:t>8 910 058</w:t>
            </w:r>
          </w:p>
        </w:tc>
        <w:tc>
          <w:tcPr>
            <w:tcW w:w="1372" w:type="dxa"/>
            <w:shd w:val="clear" w:color="auto" w:fill="FFFFFF"/>
            <w:vAlign w:val="center"/>
          </w:tcPr>
          <w:p w:rsidR="00F3479A" w:rsidRPr="009019F6" w:rsidRDefault="00F3479A" w:rsidP="00045D16">
            <w:pPr>
              <w:pStyle w:val="BodyText1"/>
              <w:jc w:val="center"/>
              <w:rPr>
                <w:sz w:val="20"/>
                <w:szCs w:val="20"/>
                <w:lang w:val="cs-CZ"/>
              </w:rPr>
            </w:pPr>
            <w:r w:rsidRPr="009019F6">
              <w:rPr>
                <w:sz w:val="20"/>
                <w:szCs w:val="20"/>
                <w:lang w:val="cs-CZ"/>
              </w:rPr>
              <w:t>20</w:t>
            </w:r>
            <w:r w:rsidR="00E378ED">
              <w:rPr>
                <w:sz w:val="20"/>
                <w:szCs w:val="20"/>
                <w:lang w:val="cs-CZ"/>
              </w:rPr>
              <w:t xml:space="preserve"> </w:t>
            </w:r>
            <w:r w:rsidRPr="009019F6">
              <w:rPr>
                <w:sz w:val="20"/>
                <w:szCs w:val="20"/>
                <w:lang w:val="cs-CZ"/>
              </w:rPr>
              <w:t>%</w:t>
            </w:r>
          </w:p>
        </w:tc>
        <w:tc>
          <w:tcPr>
            <w:tcW w:w="1271" w:type="dxa"/>
            <w:shd w:val="clear" w:color="auto" w:fill="FFFFFF"/>
            <w:vAlign w:val="center"/>
          </w:tcPr>
          <w:p w:rsidR="00F3479A" w:rsidRPr="009019F6" w:rsidRDefault="00F3479A" w:rsidP="00261735">
            <w:pPr>
              <w:pStyle w:val="BodyText1"/>
              <w:jc w:val="center"/>
              <w:rPr>
                <w:sz w:val="20"/>
                <w:szCs w:val="20"/>
                <w:lang w:val="cs-CZ"/>
              </w:rPr>
            </w:pPr>
            <w:r w:rsidRPr="009019F6">
              <w:rPr>
                <w:sz w:val="20"/>
                <w:szCs w:val="20"/>
                <w:lang w:val="cs-CZ"/>
              </w:rPr>
              <w:t>4</w:t>
            </w:r>
            <w:r w:rsidR="00261735">
              <w:rPr>
                <w:sz w:val="20"/>
                <w:szCs w:val="20"/>
                <w:lang w:val="cs-CZ"/>
              </w:rPr>
              <w:t>2</w:t>
            </w:r>
          </w:p>
        </w:tc>
      </w:tr>
      <w:tr w:rsidR="00F3479A" w:rsidRPr="009019F6" w:rsidTr="00045D16">
        <w:tc>
          <w:tcPr>
            <w:tcW w:w="1262" w:type="dxa"/>
            <w:shd w:val="clear" w:color="auto" w:fill="FFFFFF"/>
          </w:tcPr>
          <w:p w:rsidR="00F3479A" w:rsidRPr="009019F6" w:rsidRDefault="00F3479A" w:rsidP="00045D16">
            <w:pPr>
              <w:pStyle w:val="BodyText1"/>
              <w:rPr>
                <w:sz w:val="20"/>
                <w:szCs w:val="20"/>
                <w:lang w:val="cs-CZ"/>
              </w:rPr>
            </w:pPr>
            <w:r w:rsidRPr="009019F6">
              <w:rPr>
                <w:sz w:val="20"/>
                <w:szCs w:val="20"/>
                <w:lang w:val="cs-CZ"/>
              </w:rPr>
              <w:t>BH</w:t>
            </w:r>
          </w:p>
        </w:tc>
        <w:tc>
          <w:tcPr>
            <w:tcW w:w="1224" w:type="dxa"/>
            <w:shd w:val="clear" w:color="auto" w:fill="FFFFFF"/>
          </w:tcPr>
          <w:p w:rsidR="00F3479A" w:rsidRPr="009019F6" w:rsidRDefault="00F3479A" w:rsidP="00045D16">
            <w:pPr>
              <w:pStyle w:val="BodyText1"/>
              <w:jc w:val="center"/>
              <w:rPr>
                <w:sz w:val="20"/>
                <w:szCs w:val="20"/>
                <w:lang w:val="cs-CZ"/>
              </w:rPr>
            </w:pPr>
            <w:r w:rsidRPr="009019F6">
              <w:rPr>
                <w:sz w:val="20"/>
                <w:szCs w:val="20"/>
                <w:lang w:val="cs-CZ"/>
              </w:rPr>
              <w:t>177 522 902</w:t>
            </w:r>
          </w:p>
        </w:tc>
        <w:tc>
          <w:tcPr>
            <w:tcW w:w="1052" w:type="dxa"/>
            <w:shd w:val="clear" w:color="auto" w:fill="FFFFFF"/>
          </w:tcPr>
          <w:p w:rsidR="00F3479A" w:rsidRPr="009019F6" w:rsidRDefault="00F3479A" w:rsidP="00045D16">
            <w:pPr>
              <w:pStyle w:val="BodyText1"/>
              <w:jc w:val="center"/>
              <w:rPr>
                <w:sz w:val="20"/>
                <w:szCs w:val="20"/>
                <w:lang w:val="cs-CZ"/>
              </w:rPr>
            </w:pPr>
            <w:r w:rsidRPr="009019F6">
              <w:rPr>
                <w:sz w:val="20"/>
                <w:szCs w:val="20"/>
                <w:lang w:val="cs-CZ"/>
              </w:rPr>
              <w:t>33 952 583</w:t>
            </w:r>
          </w:p>
        </w:tc>
        <w:tc>
          <w:tcPr>
            <w:tcW w:w="1473" w:type="dxa"/>
            <w:shd w:val="clear" w:color="auto" w:fill="FFFFFF"/>
            <w:vAlign w:val="center"/>
          </w:tcPr>
          <w:p w:rsidR="00F3479A" w:rsidRPr="009019F6" w:rsidRDefault="00F3479A" w:rsidP="00045D16">
            <w:pPr>
              <w:pStyle w:val="BodyText1"/>
              <w:jc w:val="center"/>
              <w:rPr>
                <w:sz w:val="20"/>
                <w:szCs w:val="20"/>
                <w:lang w:val="cs-CZ"/>
              </w:rPr>
            </w:pPr>
            <w:r w:rsidRPr="009019F6">
              <w:rPr>
                <w:sz w:val="20"/>
                <w:szCs w:val="20"/>
                <w:lang w:val="cs-CZ"/>
              </w:rPr>
              <w:t>143 570 321</w:t>
            </w:r>
          </w:p>
        </w:tc>
        <w:tc>
          <w:tcPr>
            <w:tcW w:w="1473" w:type="dxa"/>
            <w:shd w:val="clear" w:color="auto" w:fill="FFFFFF"/>
            <w:vAlign w:val="center"/>
          </w:tcPr>
          <w:p w:rsidR="00F3479A" w:rsidRPr="009019F6" w:rsidRDefault="00F3479A" w:rsidP="00045D16">
            <w:pPr>
              <w:pStyle w:val="BodyText1"/>
              <w:jc w:val="center"/>
              <w:rPr>
                <w:sz w:val="20"/>
                <w:szCs w:val="20"/>
                <w:lang w:val="cs-CZ"/>
              </w:rPr>
            </w:pPr>
            <w:r w:rsidRPr="009019F6">
              <w:rPr>
                <w:sz w:val="20"/>
                <w:szCs w:val="20"/>
                <w:lang w:val="cs-CZ"/>
              </w:rPr>
              <w:t>36 166 263</w:t>
            </w:r>
          </w:p>
        </w:tc>
        <w:tc>
          <w:tcPr>
            <w:tcW w:w="1372" w:type="dxa"/>
            <w:shd w:val="clear" w:color="auto" w:fill="FFFFFF"/>
            <w:vAlign w:val="center"/>
          </w:tcPr>
          <w:p w:rsidR="00F3479A" w:rsidRPr="009019F6" w:rsidRDefault="00F3479A" w:rsidP="00045D16">
            <w:pPr>
              <w:pStyle w:val="BodyText1"/>
              <w:jc w:val="center"/>
              <w:rPr>
                <w:sz w:val="20"/>
                <w:szCs w:val="20"/>
                <w:lang w:val="cs-CZ"/>
              </w:rPr>
            </w:pPr>
            <w:r w:rsidRPr="009019F6">
              <w:rPr>
                <w:sz w:val="20"/>
                <w:szCs w:val="20"/>
                <w:lang w:val="cs-CZ"/>
              </w:rPr>
              <w:t>18</w:t>
            </w:r>
            <w:r w:rsidR="00E378ED">
              <w:rPr>
                <w:sz w:val="20"/>
                <w:szCs w:val="20"/>
                <w:lang w:val="cs-CZ"/>
              </w:rPr>
              <w:t xml:space="preserve"> </w:t>
            </w:r>
            <w:r w:rsidRPr="009019F6">
              <w:rPr>
                <w:sz w:val="20"/>
                <w:szCs w:val="20"/>
                <w:lang w:val="cs-CZ"/>
              </w:rPr>
              <w:t>%</w:t>
            </w:r>
          </w:p>
        </w:tc>
        <w:tc>
          <w:tcPr>
            <w:tcW w:w="1271" w:type="dxa"/>
            <w:shd w:val="clear" w:color="auto" w:fill="FFFFFF"/>
            <w:vAlign w:val="center"/>
          </w:tcPr>
          <w:p w:rsidR="00F3479A" w:rsidRPr="009019F6" w:rsidRDefault="00F3479A" w:rsidP="00045D16">
            <w:pPr>
              <w:pStyle w:val="BodyText1"/>
              <w:jc w:val="center"/>
              <w:rPr>
                <w:sz w:val="20"/>
                <w:szCs w:val="20"/>
                <w:lang w:val="cs-CZ"/>
              </w:rPr>
            </w:pPr>
            <w:r w:rsidRPr="009019F6">
              <w:rPr>
                <w:sz w:val="20"/>
                <w:szCs w:val="20"/>
                <w:lang w:val="cs-CZ"/>
              </w:rPr>
              <w:t>51</w:t>
            </w:r>
          </w:p>
        </w:tc>
      </w:tr>
      <w:tr w:rsidR="00F3479A" w:rsidRPr="009019F6" w:rsidTr="00045D16">
        <w:tc>
          <w:tcPr>
            <w:tcW w:w="1262" w:type="dxa"/>
            <w:shd w:val="clear" w:color="auto" w:fill="FFFFFF"/>
          </w:tcPr>
          <w:p w:rsidR="00F3479A" w:rsidRPr="009019F6" w:rsidRDefault="00F3479A" w:rsidP="00045D16">
            <w:pPr>
              <w:pStyle w:val="BodyText1"/>
              <w:rPr>
                <w:sz w:val="20"/>
                <w:szCs w:val="20"/>
                <w:lang w:val="cs-CZ"/>
              </w:rPr>
            </w:pPr>
            <w:r w:rsidRPr="009019F6">
              <w:rPr>
                <w:sz w:val="20"/>
                <w:szCs w:val="20"/>
                <w:lang w:val="cs-CZ"/>
              </w:rPr>
              <w:t>BS</w:t>
            </w:r>
          </w:p>
        </w:tc>
        <w:tc>
          <w:tcPr>
            <w:tcW w:w="1224" w:type="dxa"/>
            <w:shd w:val="clear" w:color="auto" w:fill="FFFFFF"/>
          </w:tcPr>
          <w:p w:rsidR="00F3479A" w:rsidRPr="009019F6" w:rsidRDefault="00F3479A" w:rsidP="00045D16">
            <w:pPr>
              <w:pStyle w:val="BodyText1"/>
              <w:jc w:val="center"/>
              <w:rPr>
                <w:sz w:val="20"/>
                <w:szCs w:val="20"/>
                <w:lang w:val="cs-CZ"/>
              </w:rPr>
            </w:pPr>
            <w:r w:rsidRPr="009019F6">
              <w:rPr>
                <w:sz w:val="20"/>
                <w:szCs w:val="20"/>
                <w:lang w:val="cs-CZ"/>
              </w:rPr>
              <w:t>177 522 902</w:t>
            </w:r>
          </w:p>
        </w:tc>
        <w:tc>
          <w:tcPr>
            <w:tcW w:w="1052" w:type="dxa"/>
            <w:shd w:val="clear" w:color="auto" w:fill="FFFFFF"/>
          </w:tcPr>
          <w:p w:rsidR="00F3479A" w:rsidRPr="009019F6" w:rsidRDefault="00F3479A" w:rsidP="00045D16">
            <w:pPr>
              <w:pStyle w:val="BodyText1"/>
              <w:jc w:val="center"/>
              <w:rPr>
                <w:sz w:val="20"/>
                <w:szCs w:val="20"/>
                <w:lang w:val="cs-CZ"/>
              </w:rPr>
            </w:pPr>
            <w:r w:rsidRPr="009019F6">
              <w:rPr>
                <w:sz w:val="20"/>
                <w:szCs w:val="20"/>
                <w:lang w:val="cs-CZ"/>
              </w:rPr>
              <w:t>38 658 125</w:t>
            </w:r>
          </w:p>
        </w:tc>
        <w:tc>
          <w:tcPr>
            <w:tcW w:w="1473" w:type="dxa"/>
            <w:shd w:val="clear" w:color="auto" w:fill="FFFFFF"/>
            <w:vAlign w:val="center"/>
          </w:tcPr>
          <w:p w:rsidR="00F3479A" w:rsidRPr="009019F6" w:rsidRDefault="00F3479A" w:rsidP="00045D16">
            <w:pPr>
              <w:pStyle w:val="BodyText1"/>
              <w:jc w:val="center"/>
              <w:rPr>
                <w:sz w:val="20"/>
                <w:szCs w:val="20"/>
                <w:lang w:val="cs-CZ"/>
              </w:rPr>
            </w:pPr>
            <w:r w:rsidRPr="009019F6">
              <w:rPr>
                <w:sz w:val="20"/>
                <w:szCs w:val="20"/>
                <w:lang w:val="cs-CZ"/>
              </w:rPr>
              <w:t>138 864 778</w:t>
            </w:r>
          </w:p>
        </w:tc>
        <w:tc>
          <w:tcPr>
            <w:tcW w:w="1473" w:type="dxa"/>
            <w:shd w:val="clear" w:color="auto" w:fill="FFFFFF"/>
            <w:vAlign w:val="center"/>
          </w:tcPr>
          <w:p w:rsidR="00F3479A" w:rsidRPr="009019F6" w:rsidRDefault="00F3479A" w:rsidP="00045D16">
            <w:pPr>
              <w:pStyle w:val="BodyText1"/>
              <w:jc w:val="center"/>
              <w:rPr>
                <w:sz w:val="20"/>
                <w:szCs w:val="20"/>
                <w:lang w:val="cs-CZ"/>
              </w:rPr>
            </w:pPr>
            <w:r w:rsidRPr="009019F6">
              <w:rPr>
                <w:sz w:val="20"/>
                <w:szCs w:val="20"/>
                <w:lang w:val="cs-CZ"/>
              </w:rPr>
              <w:t>31 460 719</w:t>
            </w:r>
          </w:p>
        </w:tc>
        <w:tc>
          <w:tcPr>
            <w:tcW w:w="1372" w:type="dxa"/>
            <w:shd w:val="clear" w:color="auto" w:fill="FFFFFF"/>
            <w:vAlign w:val="center"/>
          </w:tcPr>
          <w:p w:rsidR="00F3479A" w:rsidRPr="009019F6" w:rsidRDefault="00F3479A" w:rsidP="00045D16">
            <w:pPr>
              <w:pStyle w:val="BodyText1"/>
              <w:jc w:val="center"/>
              <w:rPr>
                <w:sz w:val="20"/>
                <w:szCs w:val="20"/>
                <w:lang w:val="cs-CZ"/>
              </w:rPr>
            </w:pPr>
            <w:r w:rsidRPr="009019F6">
              <w:rPr>
                <w:sz w:val="20"/>
                <w:szCs w:val="20"/>
                <w:lang w:val="cs-CZ"/>
              </w:rPr>
              <w:t>21</w:t>
            </w:r>
            <w:r w:rsidR="00E378ED">
              <w:rPr>
                <w:sz w:val="20"/>
                <w:szCs w:val="20"/>
                <w:lang w:val="cs-CZ"/>
              </w:rPr>
              <w:t xml:space="preserve"> </w:t>
            </w:r>
            <w:r w:rsidRPr="009019F6">
              <w:rPr>
                <w:sz w:val="20"/>
                <w:szCs w:val="20"/>
                <w:lang w:val="cs-CZ"/>
              </w:rPr>
              <w:t>%</w:t>
            </w:r>
          </w:p>
        </w:tc>
        <w:tc>
          <w:tcPr>
            <w:tcW w:w="1271" w:type="dxa"/>
            <w:shd w:val="clear" w:color="auto" w:fill="FFFFFF"/>
            <w:vAlign w:val="center"/>
          </w:tcPr>
          <w:p w:rsidR="00F3479A" w:rsidRPr="009019F6" w:rsidRDefault="00F3479A" w:rsidP="00045D16">
            <w:pPr>
              <w:pStyle w:val="BodyText1"/>
              <w:jc w:val="center"/>
              <w:rPr>
                <w:sz w:val="20"/>
                <w:szCs w:val="20"/>
                <w:lang w:val="cs-CZ"/>
              </w:rPr>
            </w:pPr>
            <w:r w:rsidRPr="009019F6">
              <w:rPr>
                <w:sz w:val="20"/>
                <w:szCs w:val="20"/>
                <w:lang w:val="cs-CZ"/>
              </w:rPr>
              <w:t>51</w:t>
            </w:r>
          </w:p>
        </w:tc>
      </w:tr>
    </w:tbl>
    <w:p w:rsidR="00F3479A" w:rsidRPr="00DD2F1B" w:rsidRDefault="00F3479A" w:rsidP="00F3479A">
      <w:pPr>
        <w:jc w:val="center"/>
        <w:rPr>
          <w:rFonts w:cs="Arial"/>
          <w:bCs/>
          <w:sz w:val="16"/>
          <w:szCs w:val="16"/>
          <w:lang w:val="cs-CZ" w:bidi="my-MM"/>
        </w:rPr>
      </w:pPr>
      <w:r w:rsidRPr="00852FFE">
        <w:rPr>
          <w:rFonts w:cs="Arial"/>
          <w:bCs/>
          <w:sz w:val="16"/>
          <w:szCs w:val="16"/>
          <w:lang w:val="cs-CZ" w:bidi="my-MM"/>
        </w:rPr>
        <w:t xml:space="preserve">Tabulka č. </w:t>
      </w:r>
      <w:r w:rsidR="00852FFE" w:rsidRPr="00852FFE">
        <w:rPr>
          <w:rFonts w:cs="Arial"/>
          <w:bCs/>
          <w:sz w:val="16"/>
          <w:szCs w:val="16"/>
          <w:lang w:val="cs-CZ" w:bidi="my-MM"/>
        </w:rPr>
        <w:t>2</w:t>
      </w:r>
      <w:r w:rsidRPr="00852FFE">
        <w:rPr>
          <w:rFonts w:cs="Arial"/>
          <w:bCs/>
          <w:sz w:val="16"/>
          <w:szCs w:val="16"/>
          <w:lang w:val="cs-CZ" w:bidi="my-MM"/>
        </w:rPr>
        <w:t xml:space="preserve"> – Souhrnné vyhodnocení posuzovaných variant</w:t>
      </w:r>
    </w:p>
    <w:p w:rsidR="00F3479A" w:rsidRPr="00DD2F1B" w:rsidRDefault="00F3479A" w:rsidP="00F3479A">
      <w:pPr>
        <w:jc w:val="both"/>
        <w:rPr>
          <w:rFonts w:cs="Arial"/>
          <w:bCs/>
          <w:sz w:val="22"/>
          <w:szCs w:val="22"/>
          <w:lang w:val="cs-CZ" w:bidi="my-MM"/>
        </w:rPr>
      </w:pPr>
      <w:r w:rsidRPr="00852FFE">
        <w:rPr>
          <w:rFonts w:cs="Arial"/>
          <w:bCs/>
          <w:sz w:val="22"/>
          <w:szCs w:val="22"/>
          <w:lang w:val="cs-CZ" w:bidi="my-MM"/>
        </w:rPr>
        <w:t xml:space="preserve">K tabulce č. </w:t>
      </w:r>
      <w:r w:rsidR="00852FFE" w:rsidRPr="00852FFE">
        <w:rPr>
          <w:rFonts w:cs="Arial"/>
          <w:bCs/>
          <w:sz w:val="22"/>
          <w:szCs w:val="22"/>
          <w:lang w:val="cs-CZ" w:bidi="my-MM"/>
        </w:rPr>
        <w:t>2</w:t>
      </w:r>
      <w:r w:rsidRPr="00852FFE">
        <w:rPr>
          <w:rFonts w:cs="Arial"/>
          <w:bCs/>
          <w:sz w:val="22"/>
          <w:szCs w:val="22"/>
          <w:lang w:val="cs-CZ" w:bidi="my-MM"/>
        </w:rPr>
        <w:t xml:space="preserve"> je současně nutné uvést, že se jedná o srovnání kumulativních peněžních toků a kumulativního rozdílu oprati variantě 0, nikoliv srovnání čistých současných hodnot budoucích peněžních toků, které jsou pro posouzení budoucích očekávaných příjmů a výdajů prokazatelnější. Nákladová efektivita pro všechny varianty se pohybuje v rozmezí 18 – 21</w:t>
      </w:r>
      <w:r w:rsidR="00E378ED">
        <w:rPr>
          <w:rFonts w:cs="Arial"/>
          <w:bCs/>
          <w:sz w:val="22"/>
          <w:szCs w:val="22"/>
          <w:lang w:val="cs-CZ" w:bidi="my-MM"/>
        </w:rPr>
        <w:t xml:space="preserve"> </w:t>
      </w:r>
      <w:r w:rsidRPr="00852FFE">
        <w:rPr>
          <w:rFonts w:cs="Arial"/>
          <w:bCs/>
          <w:sz w:val="22"/>
          <w:szCs w:val="22"/>
          <w:lang w:val="cs-CZ" w:bidi="my-MM"/>
        </w:rPr>
        <w:t xml:space="preserve">%, což je požadovaná hodnota nákladovosti Systému elektronického mýta. Značný kumulativní rozdíl oproti variantě 0 a současně i oproti variantě 01 a </w:t>
      </w:r>
      <w:proofErr w:type="spellStart"/>
      <w:r w:rsidRPr="00852FFE">
        <w:rPr>
          <w:rFonts w:cs="Arial"/>
          <w:bCs/>
          <w:sz w:val="22"/>
          <w:szCs w:val="22"/>
          <w:lang w:val="cs-CZ" w:bidi="my-MM"/>
        </w:rPr>
        <w:t>A</w:t>
      </w:r>
      <w:proofErr w:type="spellEnd"/>
      <w:r w:rsidRPr="00852FFE">
        <w:rPr>
          <w:rFonts w:cs="Arial"/>
          <w:bCs/>
          <w:sz w:val="22"/>
          <w:szCs w:val="22"/>
          <w:lang w:val="cs-CZ" w:bidi="my-MM"/>
        </w:rPr>
        <w:t xml:space="preserve"> je v případě variant BH a</w:t>
      </w:r>
      <w:r w:rsidR="0030323E">
        <w:rPr>
          <w:rFonts w:cs="Arial"/>
          <w:bCs/>
          <w:sz w:val="22"/>
          <w:szCs w:val="22"/>
          <w:lang w:val="cs-CZ" w:bidi="my-MM"/>
        </w:rPr>
        <w:t xml:space="preserve"> BS vykoupen značnými riziky ply</w:t>
      </w:r>
      <w:r w:rsidRPr="00852FFE">
        <w:rPr>
          <w:rFonts w:cs="Arial"/>
          <w:bCs/>
          <w:sz w:val="22"/>
          <w:szCs w:val="22"/>
          <w:lang w:val="cs-CZ" w:bidi="my-MM"/>
        </w:rPr>
        <w:t>noucími z realizace těchto variant, jak je pa</w:t>
      </w:r>
      <w:r w:rsidR="00822FF9">
        <w:rPr>
          <w:rFonts w:cs="Arial"/>
          <w:bCs/>
          <w:sz w:val="22"/>
          <w:szCs w:val="22"/>
          <w:lang w:val="cs-CZ" w:bidi="my-MM"/>
        </w:rPr>
        <w:t>trné z následující T</w:t>
      </w:r>
      <w:r w:rsidRPr="00852FFE">
        <w:rPr>
          <w:rFonts w:cs="Arial"/>
          <w:bCs/>
          <w:sz w:val="22"/>
          <w:szCs w:val="22"/>
          <w:lang w:val="cs-CZ" w:bidi="my-MM"/>
        </w:rPr>
        <w:t xml:space="preserve">abulky č. </w:t>
      </w:r>
      <w:r w:rsidR="00F7587C">
        <w:rPr>
          <w:rFonts w:cs="Arial"/>
          <w:bCs/>
          <w:sz w:val="22"/>
          <w:szCs w:val="22"/>
          <w:lang w:val="cs-CZ" w:bidi="my-MM"/>
        </w:rPr>
        <w:t>3</w:t>
      </w:r>
      <w:r w:rsidRPr="00852FFE">
        <w:rPr>
          <w:rFonts w:cs="Arial"/>
          <w:bCs/>
          <w:sz w:val="22"/>
          <w:szCs w:val="22"/>
          <w:lang w:val="cs-CZ" w:bidi="my-MM"/>
        </w:rPr>
        <w:t>.</w:t>
      </w:r>
    </w:p>
    <w:p w:rsidR="00F3479A" w:rsidRPr="00DD2F1B" w:rsidRDefault="00F3479A" w:rsidP="00F3479A">
      <w:pPr>
        <w:jc w:val="both"/>
        <w:rPr>
          <w:rFonts w:cs="Arial"/>
          <w:bCs/>
          <w:sz w:val="22"/>
          <w:szCs w:val="22"/>
          <w:lang w:val="cs-CZ" w:bidi="my-MM"/>
        </w:rPr>
      </w:pPr>
      <w:r w:rsidRPr="00DD2F1B">
        <w:rPr>
          <w:rFonts w:cs="Arial"/>
          <w:bCs/>
          <w:sz w:val="22"/>
          <w:szCs w:val="22"/>
          <w:lang w:val="cs-CZ" w:bidi="my-MM"/>
        </w:rPr>
        <w:t xml:space="preserve">V příloze č. </w:t>
      </w:r>
      <w:r w:rsidR="00D65F69">
        <w:rPr>
          <w:rFonts w:cs="Arial"/>
          <w:bCs/>
          <w:sz w:val="22"/>
          <w:szCs w:val="22"/>
          <w:lang w:val="cs-CZ" w:bidi="my-MM"/>
        </w:rPr>
        <w:t>2</w:t>
      </w:r>
      <w:r w:rsidRPr="00DD2F1B">
        <w:rPr>
          <w:rFonts w:cs="Arial"/>
          <w:bCs/>
          <w:sz w:val="22"/>
          <w:szCs w:val="22"/>
          <w:lang w:val="cs-CZ" w:bidi="my-MM"/>
        </w:rPr>
        <w:t xml:space="preserve"> (</w:t>
      </w:r>
      <w:r w:rsidRPr="00DD2F1B">
        <w:rPr>
          <w:bCs/>
          <w:sz w:val="22"/>
          <w:szCs w:val="22"/>
          <w:lang w:val="cs-CZ"/>
        </w:rPr>
        <w:t xml:space="preserve">Výhody a nevýhody realizovatelných kombinací variant rozsahu a způsobu zpoplatnění a využití </w:t>
      </w:r>
      <w:r>
        <w:rPr>
          <w:bCs/>
          <w:sz w:val="22"/>
          <w:szCs w:val="22"/>
          <w:lang w:val="cs-CZ"/>
        </w:rPr>
        <w:t xml:space="preserve">komponent </w:t>
      </w:r>
      <w:r w:rsidRPr="00DD2F1B">
        <w:rPr>
          <w:bCs/>
          <w:sz w:val="22"/>
          <w:szCs w:val="22"/>
          <w:lang w:val="cs-CZ"/>
        </w:rPr>
        <w:t>stávajícího SEM rozšířené o předpokládané kumulativní peněžní toky a nákladovost) je pak uvedena souhrnná tabulka pro kombinaci jednotlivých variant (rozsah zpoplatnění, forma zpoplatnění, zachování či nezachování stávajícího SEM), která obsahuje popis zásadních výhod a nevýhod realizace jednotlivých variant, společně s odhadem kumulativních peněžních toků a nákladov</w:t>
      </w:r>
      <w:r w:rsidR="00F7587C">
        <w:rPr>
          <w:bCs/>
          <w:sz w:val="22"/>
          <w:szCs w:val="22"/>
          <w:lang w:val="cs-CZ"/>
        </w:rPr>
        <w:t>ou</w:t>
      </w:r>
      <w:r w:rsidRPr="00DD2F1B">
        <w:rPr>
          <w:bCs/>
          <w:sz w:val="22"/>
          <w:szCs w:val="22"/>
          <w:lang w:val="cs-CZ"/>
        </w:rPr>
        <w:t xml:space="preserve"> efektivit</w:t>
      </w:r>
      <w:r w:rsidR="00F7587C">
        <w:rPr>
          <w:bCs/>
          <w:sz w:val="22"/>
          <w:szCs w:val="22"/>
          <w:lang w:val="cs-CZ"/>
        </w:rPr>
        <w:t>ou</w:t>
      </w:r>
      <w:r w:rsidRPr="00DD2F1B">
        <w:rPr>
          <w:bCs/>
          <w:sz w:val="22"/>
          <w:szCs w:val="22"/>
          <w:lang w:val="cs-CZ"/>
        </w:rPr>
        <w:t>.</w:t>
      </w:r>
    </w:p>
    <w:p w:rsidR="00F3479A" w:rsidRPr="00DD2F1B" w:rsidRDefault="00F3479A" w:rsidP="00F3479A">
      <w:pPr>
        <w:jc w:val="both"/>
        <w:rPr>
          <w:sz w:val="22"/>
          <w:szCs w:val="22"/>
          <w:lang w:val="cs-CZ"/>
        </w:rPr>
      </w:pPr>
    </w:p>
    <w:p w:rsidR="00F3479A" w:rsidRPr="00DD2F1B" w:rsidRDefault="00F3479A" w:rsidP="00F3479A">
      <w:pPr>
        <w:jc w:val="both"/>
        <w:rPr>
          <w:sz w:val="22"/>
          <w:szCs w:val="22"/>
          <w:lang w:val="cs-CZ"/>
        </w:rPr>
      </w:pPr>
    </w:p>
    <w:p w:rsidR="00F3479A" w:rsidRPr="00DD2F1B" w:rsidRDefault="00F3479A" w:rsidP="00F3479A">
      <w:pPr>
        <w:jc w:val="both"/>
        <w:rPr>
          <w:sz w:val="22"/>
          <w:szCs w:val="22"/>
          <w:lang w:val="cs-CZ"/>
        </w:rPr>
      </w:pPr>
    </w:p>
    <w:tbl>
      <w:tblPr>
        <w:tblW w:w="9098" w:type="dxa"/>
        <w:tblBorders>
          <w:bottom w:val="single" w:sz="4" w:space="0" w:color="00A1DE"/>
          <w:insideH w:val="single" w:sz="4" w:space="0" w:color="00A1DE"/>
        </w:tblBorders>
        <w:tblCellMar>
          <w:top w:w="28" w:type="dxa"/>
          <w:left w:w="28" w:type="dxa"/>
          <w:bottom w:w="28" w:type="dxa"/>
          <w:right w:w="28" w:type="dxa"/>
        </w:tblCellMar>
        <w:tblLook w:val="00A0"/>
      </w:tblPr>
      <w:tblGrid>
        <w:gridCol w:w="5698"/>
        <w:gridCol w:w="850"/>
        <w:gridCol w:w="850"/>
        <w:gridCol w:w="850"/>
        <w:gridCol w:w="850"/>
      </w:tblGrid>
      <w:tr w:rsidR="00F3479A" w:rsidRPr="009019F6" w:rsidTr="00045D16">
        <w:trPr>
          <w:trHeight w:val="170"/>
          <w:tblHeader/>
        </w:trPr>
        <w:tc>
          <w:tcPr>
            <w:tcW w:w="5698" w:type="dxa"/>
            <w:shd w:val="clear" w:color="auto" w:fill="00A1DE"/>
            <w:noWrap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b/>
                <w:bCs/>
                <w:color w:val="FFFFFF"/>
                <w:lang w:val="cs-CZ"/>
              </w:rPr>
            </w:pPr>
            <w:r w:rsidRPr="009019F6">
              <w:rPr>
                <w:rFonts w:cs="Calibri"/>
                <w:b/>
                <w:bCs/>
                <w:color w:val="FFFFFF"/>
                <w:lang w:val="cs-CZ"/>
              </w:rPr>
              <w:t>Riziko</w:t>
            </w:r>
          </w:p>
        </w:tc>
        <w:tc>
          <w:tcPr>
            <w:tcW w:w="850" w:type="dxa"/>
            <w:shd w:val="clear" w:color="auto" w:fill="00A1DE"/>
            <w:noWrap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b/>
                <w:bCs/>
                <w:color w:val="FFFFFF"/>
                <w:lang w:val="cs-CZ"/>
              </w:rPr>
            </w:pPr>
            <w:r w:rsidRPr="009019F6">
              <w:rPr>
                <w:rFonts w:cs="Calibri"/>
                <w:b/>
                <w:bCs/>
                <w:color w:val="FFFFFF"/>
                <w:lang w:val="cs-CZ"/>
              </w:rPr>
              <w:t>0</w:t>
            </w:r>
          </w:p>
        </w:tc>
        <w:tc>
          <w:tcPr>
            <w:tcW w:w="850" w:type="dxa"/>
            <w:shd w:val="clear" w:color="auto" w:fill="00A1DE"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b/>
                <w:bCs/>
                <w:color w:val="FFFFFF"/>
                <w:lang w:val="cs-CZ"/>
              </w:rPr>
            </w:pPr>
            <w:r w:rsidRPr="009019F6">
              <w:rPr>
                <w:rFonts w:cs="Calibri"/>
                <w:b/>
                <w:bCs/>
                <w:color w:val="FFFFFF"/>
                <w:lang w:val="cs-CZ"/>
              </w:rPr>
              <w:t>01</w:t>
            </w:r>
          </w:p>
        </w:tc>
        <w:tc>
          <w:tcPr>
            <w:tcW w:w="850" w:type="dxa"/>
            <w:shd w:val="clear" w:color="auto" w:fill="00A1DE"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b/>
                <w:bCs/>
                <w:color w:val="FFFFFF"/>
                <w:lang w:val="cs-CZ"/>
              </w:rPr>
            </w:pPr>
            <w:r w:rsidRPr="009019F6">
              <w:rPr>
                <w:rFonts w:cs="Calibri"/>
                <w:b/>
                <w:bCs/>
                <w:color w:val="FFFFFF"/>
                <w:lang w:val="cs-CZ"/>
              </w:rPr>
              <w:t>A</w:t>
            </w:r>
          </w:p>
        </w:tc>
        <w:tc>
          <w:tcPr>
            <w:tcW w:w="850" w:type="dxa"/>
            <w:shd w:val="clear" w:color="auto" w:fill="00A1DE"/>
            <w:noWrap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b/>
                <w:bCs/>
                <w:color w:val="FFFFFF"/>
                <w:lang w:val="cs-CZ"/>
              </w:rPr>
            </w:pPr>
            <w:r w:rsidRPr="009019F6">
              <w:rPr>
                <w:rFonts w:cs="Calibri"/>
                <w:b/>
                <w:bCs/>
                <w:color w:val="FFFFFF"/>
                <w:lang w:val="cs-CZ"/>
              </w:rPr>
              <w:t>B</w:t>
            </w:r>
          </w:p>
        </w:tc>
      </w:tr>
      <w:tr w:rsidR="00F3479A" w:rsidRPr="009019F6" w:rsidTr="00045D16">
        <w:trPr>
          <w:trHeight w:val="170"/>
        </w:trPr>
        <w:tc>
          <w:tcPr>
            <w:tcW w:w="5698" w:type="dxa"/>
            <w:shd w:val="clear" w:color="auto" w:fill="FFFFFF"/>
            <w:noWrap/>
          </w:tcPr>
          <w:p w:rsidR="00F3479A" w:rsidRPr="009019F6" w:rsidRDefault="00F3479A" w:rsidP="00045D16">
            <w:pPr>
              <w:spacing w:before="0" w:after="0"/>
              <w:ind w:right="397"/>
              <w:jc w:val="both"/>
              <w:rPr>
                <w:rFonts w:cs="Calibri"/>
                <w:lang w:val="cs-CZ"/>
              </w:rPr>
            </w:pPr>
            <w:r w:rsidRPr="009019F6">
              <w:rPr>
                <w:rFonts w:cs="Calibri"/>
                <w:lang w:val="cs-CZ"/>
              </w:rPr>
              <w:t>Vyvolané investice ve formě nutné instalace dopravního značení</w:t>
            </w:r>
          </w:p>
        </w:tc>
        <w:tc>
          <w:tcPr>
            <w:tcW w:w="850" w:type="dxa"/>
            <w:shd w:val="clear" w:color="auto" w:fill="FFFFFF"/>
            <w:noWrap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lang w:val="cs-CZ"/>
              </w:rPr>
            </w:pPr>
          </w:p>
        </w:tc>
        <w:tc>
          <w:tcPr>
            <w:tcW w:w="850" w:type="dxa"/>
            <w:shd w:val="clear" w:color="auto" w:fill="FFFFFF"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lang w:val="cs-CZ"/>
              </w:rPr>
            </w:pPr>
            <w:r w:rsidRPr="009019F6">
              <w:rPr>
                <w:rFonts w:cs="Calibri"/>
                <w:lang w:val="cs-CZ"/>
              </w:rPr>
              <w:t>N</w:t>
            </w:r>
          </w:p>
        </w:tc>
        <w:tc>
          <w:tcPr>
            <w:tcW w:w="850" w:type="dxa"/>
            <w:shd w:val="clear" w:color="auto" w:fill="FFFFFF"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bCs/>
                <w:lang w:val="cs-CZ"/>
              </w:rPr>
            </w:pPr>
            <w:r w:rsidRPr="009019F6">
              <w:rPr>
                <w:rFonts w:cs="Calibri"/>
                <w:bCs/>
                <w:lang w:val="cs-CZ"/>
              </w:rPr>
              <w:t>V</w:t>
            </w:r>
          </w:p>
        </w:tc>
        <w:tc>
          <w:tcPr>
            <w:tcW w:w="850" w:type="dxa"/>
            <w:shd w:val="clear" w:color="auto" w:fill="FFFFFF"/>
            <w:noWrap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lang w:val="cs-CZ"/>
              </w:rPr>
            </w:pPr>
            <w:r w:rsidRPr="009019F6">
              <w:rPr>
                <w:rFonts w:cs="Calibri"/>
                <w:lang w:val="cs-CZ"/>
              </w:rPr>
              <w:t>V</w:t>
            </w:r>
          </w:p>
        </w:tc>
      </w:tr>
      <w:tr w:rsidR="00F3479A" w:rsidRPr="009019F6" w:rsidTr="00045D16">
        <w:trPr>
          <w:trHeight w:val="170"/>
        </w:trPr>
        <w:tc>
          <w:tcPr>
            <w:tcW w:w="5698" w:type="dxa"/>
            <w:shd w:val="clear" w:color="auto" w:fill="FFFFFF"/>
            <w:noWrap/>
          </w:tcPr>
          <w:p w:rsidR="00F3479A" w:rsidRPr="009019F6" w:rsidRDefault="00F3479A" w:rsidP="00045D16">
            <w:pPr>
              <w:spacing w:before="0" w:after="0"/>
              <w:ind w:right="397"/>
              <w:jc w:val="both"/>
              <w:rPr>
                <w:rFonts w:cs="Calibri"/>
                <w:lang w:val="cs-CZ"/>
              </w:rPr>
            </w:pPr>
            <w:r w:rsidRPr="009019F6">
              <w:rPr>
                <w:rFonts w:cs="Calibri"/>
                <w:lang w:val="cs-CZ"/>
              </w:rPr>
              <w:t>Dopad na střední a malé podnikatele (domácí uživatele)</w:t>
            </w:r>
          </w:p>
        </w:tc>
        <w:tc>
          <w:tcPr>
            <w:tcW w:w="850" w:type="dxa"/>
            <w:shd w:val="clear" w:color="auto" w:fill="FFFFFF"/>
            <w:noWrap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lang w:val="cs-CZ"/>
              </w:rPr>
            </w:pPr>
          </w:p>
        </w:tc>
        <w:tc>
          <w:tcPr>
            <w:tcW w:w="850" w:type="dxa"/>
            <w:shd w:val="clear" w:color="auto" w:fill="FFFFFF"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lang w:val="cs-CZ"/>
              </w:rPr>
            </w:pPr>
            <w:r w:rsidRPr="009019F6">
              <w:rPr>
                <w:rFonts w:cs="Calibri"/>
                <w:lang w:val="cs-CZ"/>
              </w:rPr>
              <w:t>S</w:t>
            </w:r>
          </w:p>
        </w:tc>
        <w:tc>
          <w:tcPr>
            <w:tcW w:w="850" w:type="dxa"/>
            <w:shd w:val="clear" w:color="auto" w:fill="FFFFFF"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bCs/>
                <w:lang w:val="cs-CZ"/>
              </w:rPr>
            </w:pPr>
            <w:r w:rsidRPr="009019F6">
              <w:rPr>
                <w:rFonts w:cs="Calibri"/>
                <w:bCs/>
                <w:lang w:val="cs-CZ"/>
              </w:rPr>
              <w:t>V</w:t>
            </w:r>
          </w:p>
        </w:tc>
        <w:tc>
          <w:tcPr>
            <w:tcW w:w="850" w:type="dxa"/>
            <w:shd w:val="clear" w:color="auto" w:fill="FFFFFF"/>
            <w:noWrap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lang w:val="cs-CZ"/>
              </w:rPr>
            </w:pPr>
            <w:r w:rsidRPr="009019F6">
              <w:rPr>
                <w:rFonts w:cs="Calibri"/>
                <w:lang w:val="cs-CZ"/>
              </w:rPr>
              <w:t>V</w:t>
            </w:r>
          </w:p>
        </w:tc>
      </w:tr>
      <w:tr w:rsidR="00F3479A" w:rsidRPr="009019F6" w:rsidTr="00045D16">
        <w:trPr>
          <w:trHeight w:val="170"/>
        </w:trPr>
        <w:tc>
          <w:tcPr>
            <w:tcW w:w="5698" w:type="dxa"/>
            <w:shd w:val="clear" w:color="auto" w:fill="FFFFFF"/>
            <w:noWrap/>
          </w:tcPr>
          <w:p w:rsidR="00F3479A" w:rsidRPr="009019F6" w:rsidRDefault="00F3479A" w:rsidP="00045D16">
            <w:pPr>
              <w:spacing w:before="0" w:after="0"/>
              <w:ind w:right="397"/>
              <w:jc w:val="both"/>
              <w:rPr>
                <w:rFonts w:cs="Calibri"/>
                <w:lang w:val="cs-CZ"/>
              </w:rPr>
            </w:pPr>
            <w:r w:rsidRPr="009019F6">
              <w:rPr>
                <w:rFonts w:cs="Calibri"/>
                <w:lang w:val="cs-CZ"/>
              </w:rPr>
              <w:t>Snížení dotací EU na silnice I. třídy</w:t>
            </w:r>
          </w:p>
        </w:tc>
        <w:tc>
          <w:tcPr>
            <w:tcW w:w="850" w:type="dxa"/>
            <w:shd w:val="clear" w:color="auto" w:fill="FFFFFF"/>
            <w:noWrap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lang w:val="cs-CZ"/>
              </w:rPr>
            </w:pPr>
          </w:p>
        </w:tc>
        <w:tc>
          <w:tcPr>
            <w:tcW w:w="850" w:type="dxa"/>
            <w:shd w:val="clear" w:color="auto" w:fill="FFFFFF"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lang w:val="cs-CZ"/>
              </w:rPr>
            </w:pPr>
            <w:r w:rsidRPr="009019F6">
              <w:rPr>
                <w:rFonts w:cs="Calibri"/>
                <w:lang w:val="cs-CZ"/>
              </w:rPr>
              <w:t>S</w:t>
            </w:r>
          </w:p>
        </w:tc>
        <w:tc>
          <w:tcPr>
            <w:tcW w:w="850" w:type="dxa"/>
            <w:shd w:val="clear" w:color="auto" w:fill="FFFFFF"/>
          </w:tcPr>
          <w:p w:rsidR="00F3479A" w:rsidRPr="009019F6" w:rsidRDefault="00316782" w:rsidP="00045D16">
            <w:pPr>
              <w:spacing w:before="0" w:after="0"/>
              <w:jc w:val="both"/>
              <w:rPr>
                <w:rFonts w:cs="Calibri"/>
                <w:bCs/>
                <w:lang w:val="cs-CZ"/>
              </w:rPr>
            </w:pPr>
            <w:r>
              <w:rPr>
                <w:rFonts w:cs="Calibri"/>
                <w:bCs/>
                <w:lang w:val="cs-CZ"/>
              </w:rPr>
              <w:t>N</w:t>
            </w:r>
          </w:p>
        </w:tc>
        <w:tc>
          <w:tcPr>
            <w:tcW w:w="850" w:type="dxa"/>
            <w:shd w:val="clear" w:color="auto" w:fill="FFFFFF"/>
            <w:noWrap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lang w:val="cs-CZ"/>
              </w:rPr>
            </w:pPr>
            <w:r w:rsidRPr="009019F6">
              <w:rPr>
                <w:rFonts w:cs="Calibri"/>
                <w:lang w:val="cs-CZ"/>
              </w:rPr>
              <w:t>V</w:t>
            </w:r>
          </w:p>
        </w:tc>
      </w:tr>
      <w:tr w:rsidR="00F3479A" w:rsidRPr="009019F6" w:rsidTr="00045D16">
        <w:trPr>
          <w:trHeight w:val="170"/>
        </w:trPr>
        <w:tc>
          <w:tcPr>
            <w:tcW w:w="5698" w:type="dxa"/>
            <w:shd w:val="clear" w:color="auto" w:fill="FFFFFF"/>
            <w:noWrap/>
          </w:tcPr>
          <w:p w:rsidR="00F3479A" w:rsidRPr="009019F6" w:rsidRDefault="00F3479A" w:rsidP="00045D16">
            <w:pPr>
              <w:spacing w:before="0" w:after="0"/>
              <w:ind w:right="397"/>
              <w:jc w:val="both"/>
              <w:rPr>
                <w:rFonts w:cs="Calibri"/>
                <w:lang w:val="cs-CZ"/>
              </w:rPr>
            </w:pPr>
            <w:r w:rsidRPr="009019F6">
              <w:rPr>
                <w:rFonts w:cs="Calibri"/>
                <w:lang w:val="cs-CZ"/>
              </w:rPr>
              <w:t>Změna právní formy Ředitelství silnic a dálnic ČR na akciovou společnost</w:t>
            </w:r>
          </w:p>
        </w:tc>
        <w:tc>
          <w:tcPr>
            <w:tcW w:w="850" w:type="dxa"/>
            <w:shd w:val="clear" w:color="auto" w:fill="FFFFFF"/>
            <w:noWrap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lang w:val="cs-CZ"/>
              </w:rPr>
            </w:pPr>
          </w:p>
        </w:tc>
        <w:tc>
          <w:tcPr>
            <w:tcW w:w="850" w:type="dxa"/>
            <w:shd w:val="clear" w:color="auto" w:fill="FFFFFF"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lang w:val="cs-CZ"/>
              </w:rPr>
            </w:pPr>
          </w:p>
        </w:tc>
        <w:tc>
          <w:tcPr>
            <w:tcW w:w="850" w:type="dxa"/>
            <w:shd w:val="clear" w:color="auto" w:fill="FFFFFF"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bCs/>
                <w:lang w:val="cs-CZ"/>
              </w:rPr>
            </w:pPr>
            <w:r w:rsidRPr="009019F6">
              <w:rPr>
                <w:rFonts w:cs="Calibri"/>
                <w:bCs/>
                <w:lang w:val="cs-CZ"/>
              </w:rPr>
              <w:t>V</w:t>
            </w:r>
          </w:p>
        </w:tc>
        <w:tc>
          <w:tcPr>
            <w:tcW w:w="850" w:type="dxa"/>
            <w:shd w:val="clear" w:color="auto" w:fill="FFFFFF"/>
            <w:noWrap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lang w:val="cs-CZ"/>
              </w:rPr>
            </w:pPr>
            <w:r w:rsidRPr="009019F6">
              <w:rPr>
                <w:rFonts w:cs="Calibri"/>
                <w:lang w:val="cs-CZ"/>
              </w:rPr>
              <w:t>V</w:t>
            </w:r>
          </w:p>
        </w:tc>
      </w:tr>
      <w:tr w:rsidR="00F3479A" w:rsidRPr="009019F6" w:rsidTr="00045D16">
        <w:trPr>
          <w:trHeight w:val="170"/>
        </w:trPr>
        <w:tc>
          <w:tcPr>
            <w:tcW w:w="5698" w:type="dxa"/>
            <w:shd w:val="clear" w:color="auto" w:fill="FFFFFF"/>
            <w:noWrap/>
          </w:tcPr>
          <w:p w:rsidR="00F3479A" w:rsidRPr="009019F6" w:rsidRDefault="00F3479A" w:rsidP="00045D16">
            <w:pPr>
              <w:spacing w:before="0" w:after="0"/>
              <w:ind w:right="397"/>
              <w:jc w:val="both"/>
              <w:rPr>
                <w:rFonts w:cs="Calibri"/>
                <w:bCs/>
                <w:color w:val="000000"/>
                <w:lang w:val="cs-CZ"/>
              </w:rPr>
            </w:pPr>
            <w:r w:rsidRPr="009019F6">
              <w:rPr>
                <w:rFonts w:cs="Calibri"/>
                <w:lang w:val="cs-CZ"/>
              </w:rPr>
              <w:t xml:space="preserve">Nepřijetí změn právních předpisů před zahájením rozšíření zpoplatnění </w:t>
            </w:r>
          </w:p>
        </w:tc>
        <w:tc>
          <w:tcPr>
            <w:tcW w:w="850" w:type="dxa"/>
            <w:shd w:val="clear" w:color="auto" w:fill="FFFFFF"/>
            <w:noWrap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bCs/>
                <w:color w:val="000000"/>
                <w:lang w:val="cs-CZ"/>
              </w:rPr>
            </w:pPr>
            <w:r w:rsidRPr="009019F6">
              <w:rPr>
                <w:rFonts w:cs="Calibri"/>
                <w:lang w:val="cs-CZ"/>
              </w:rPr>
              <w:t> </w:t>
            </w:r>
          </w:p>
        </w:tc>
        <w:tc>
          <w:tcPr>
            <w:tcW w:w="850" w:type="dxa"/>
            <w:shd w:val="clear" w:color="auto" w:fill="FFFFFF"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color w:val="000000"/>
                <w:lang w:val="cs-CZ"/>
              </w:rPr>
            </w:pPr>
            <w:r w:rsidRPr="009019F6">
              <w:rPr>
                <w:rFonts w:cs="Calibri"/>
                <w:lang w:val="cs-CZ"/>
              </w:rPr>
              <w:t>N</w:t>
            </w:r>
          </w:p>
        </w:tc>
        <w:tc>
          <w:tcPr>
            <w:tcW w:w="850" w:type="dxa"/>
            <w:shd w:val="clear" w:color="auto" w:fill="FFFFFF"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bCs/>
                <w:color w:val="000000"/>
                <w:lang w:val="cs-CZ"/>
              </w:rPr>
            </w:pPr>
            <w:r w:rsidRPr="009019F6">
              <w:rPr>
                <w:rFonts w:cs="Calibri"/>
                <w:bCs/>
                <w:lang w:val="cs-CZ"/>
              </w:rPr>
              <w:t>S</w:t>
            </w:r>
          </w:p>
        </w:tc>
        <w:tc>
          <w:tcPr>
            <w:tcW w:w="850" w:type="dxa"/>
            <w:shd w:val="clear" w:color="auto" w:fill="FFFFFF"/>
            <w:noWrap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bCs/>
                <w:color w:val="000000"/>
                <w:lang w:val="cs-CZ"/>
              </w:rPr>
            </w:pPr>
            <w:r w:rsidRPr="009019F6">
              <w:rPr>
                <w:rFonts w:cs="Calibri"/>
                <w:lang w:val="cs-CZ"/>
              </w:rPr>
              <w:t>S</w:t>
            </w:r>
          </w:p>
        </w:tc>
      </w:tr>
      <w:tr w:rsidR="00F3479A" w:rsidRPr="009019F6" w:rsidTr="00045D16">
        <w:trPr>
          <w:trHeight w:val="170"/>
        </w:trPr>
        <w:tc>
          <w:tcPr>
            <w:tcW w:w="5698" w:type="dxa"/>
            <w:shd w:val="clear" w:color="auto" w:fill="FFFFFF"/>
            <w:noWrap/>
          </w:tcPr>
          <w:p w:rsidR="00F3479A" w:rsidRPr="009019F6" w:rsidRDefault="00F3479A" w:rsidP="00045D16">
            <w:pPr>
              <w:spacing w:before="0" w:after="0"/>
              <w:ind w:right="397"/>
              <w:jc w:val="both"/>
              <w:rPr>
                <w:rFonts w:cs="Calibri"/>
                <w:bCs/>
                <w:color w:val="000000"/>
                <w:lang w:val="cs-CZ"/>
              </w:rPr>
            </w:pPr>
            <w:r w:rsidRPr="009019F6">
              <w:rPr>
                <w:rFonts w:cs="Calibri"/>
                <w:lang w:val="cs-CZ"/>
              </w:rPr>
              <w:t>Nedodržení termínu realizace změn dopravního značení</w:t>
            </w:r>
          </w:p>
        </w:tc>
        <w:tc>
          <w:tcPr>
            <w:tcW w:w="850" w:type="dxa"/>
            <w:shd w:val="clear" w:color="auto" w:fill="FFFFFF"/>
            <w:noWrap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bCs/>
                <w:color w:val="000000"/>
                <w:lang w:val="cs-CZ"/>
              </w:rPr>
            </w:pPr>
            <w:r w:rsidRPr="009019F6">
              <w:rPr>
                <w:rFonts w:cs="Calibri"/>
                <w:lang w:val="cs-CZ"/>
              </w:rPr>
              <w:t> </w:t>
            </w:r>
          </w:p>
        </w:tc>
        <w:tc>
          <w:tcPr>
            <w:tcW w:w="850" w:type="dxa"/>
            <w:shd w:val="clear" w:color="auto" w:fill="FFFFFF"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color w:val="000000"/>
                <w:lang w:val="cs-CZ"/>
              </w:rPr>
            </w:pPr>
          </w:p>
        </w:tc>
        <w:tc>
          <w:tcPr>
            <w:tcW w:w="850" w:type="dxa"/>
            <w:shd w:val="clear" w:color="auto" w:fill="FFFFFF"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bCs/>
                <w:color w:val="000000"/>
                <w:lang w:val="cs-CZ"/>
              </w:rPr>
            </w:pPr>
            <w:r w:rsidRPr="009019F6">
              <w:rPr>
                <w:rFonts w:cs="Calibri"/>
                <w:bCs/>
                <w:lang w:val="cs-CZ"/>
              </w:rPr>
              <w:t>S</w:t>
            </w:r>
          </w:p>
        </w:tc>
        <w:tc>
          <w:tcPr>
            <w:tcW w:w="850" w:type="dxa"/>
            <w:shd w:val="clear" w:color="auto" w:fill="FFFFFF"/>
            <w:noWrap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bCs/>
                <w:color w:val="000000"/>
                <w:lang w:val="cs-CZ"/>
              </w:rPr>
            </w:pPr>
            <w:r w:rsidRPr="009019F6">
              <w:rPr>
                <w:rFonts w:cs="Calibri"/>
                <w:lang w:val="cs-CZ"/>
              </w:rPr>
              <w:t>S</w:t>
            </w:r>
          </w:p>
        </w:tc>
      </w:tr>
      <w:tr w:rsidR="00F3479A" w:rsidRPr="009019F6" w:rsidTr="00045D16">
        <w:trPr>
          <w:trHeight w:val="170"/>
        </w:trPr>
        <w:tc>
          <w:tcPr>
            <w:tcW w:w="5698" w:type="dxa"/>
            <w:shd w:val="clear" w:color="auto" w:fill="FFFFFF"/>
            <w:noWrap/>
          </w:tcPr>
          <w:p w:rsidR="00F3479A" w:rsidRPr="009019F6" w:rsidRDefault="00F3479A" w:rsidP="00045D16">
            <w:pPr>
              <w:spacing w:before="0" w:after="0"/>
              <w:ind w:right="397"/>
              <w:jc w:val="both"/>
              <w:rPr>
                <w:rFonts w:cs="Calibri"/>
                <w:bCs/>
                <w:color w:val="000000"/>
                <w:lang w:val="cs-CZ"/>
              </w:rPr>
            </w:pPr>
            <w:r w:rsidRPr="009019F6">
              <w:rPr>
                <w:rFonts w:cs="Calibri"/>
                <w:lang w:val="cs-CZ"/>
              </w:rPr>
              <w:t>Nedodržení plánovaného termínu zahájení zpoplatnění/poskytování služeb (z důvodů jiných než nedodržení termínu realizace změn dopravního značení)</w:t>
            </w:r>
          </w:p>
        </w:tc>
        <w:tc>
          <w:tcPr>
            <w:tcW w:w="850" w:type="dxa"/>
            <w:shd w:val="clear" w:color="auto" w:fill="FFFFFF"/>
            <w:noWrap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bCs/>
                <w:color w:val="000000"/>
                <w:lang w:val="cs-CZ"/>
              </w:rPr>
            </w:pPr>
            <w:r w:rsidRPr="009019F6">
              <w:rPr>
                <w:rFonts w:cs="Calibri"/>
                <w:lang w:val="cs-CZ"/>
              </w:rPr>
              <w:t>S</w:t>
            </w:r>
          </w:p>
        </w:tc>
        <w:tc>
          <w:tcPr>
            <w:tcW w:w="850" w:type="dxa"/>
            <w:shd w:val="clear" w:color="auto" w:fill="FFFFFF"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color w:val="000000"/>
                <w:lang w:val="cs-CZ"/>
              </w:rPr>
            </w:pPr>
            <w:r w:rsidRPr="009019F6">
              <w:rPr>
                <w:rFonts w:cs="Calibri"/>
                <w:lang w:val="cs-CZ"/>
              </w:rPr>
              <w:t>S</w:t>
            </w:r>
          </w:p>
        </w:tc>
        <w:tc>
          <w:tcPr>
            <w:tcW w:w="850" w:type="dxa"/>
            <w:shd w:val="clear" w:color="auto" w:fill="FFFFFF"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bCs/>
                <w:color w:val="000000"/>
                <w:lang w:val="cs-CZ"/>
              </w:rPr>
            </w:pPr>
            <w:r w:rsidRPr="009019F6">
              <w:rPr>
                <w:rFonts w:cs="Calibri"/>
                <w:lang w:val="cs-CZ"/>
              </w:rPr>
              <w:t>S</w:t>
            </w:r>
          </w:p>
        </w:tc>
        <w:tc>
          <w:tcPr>
            <w:tcW w:w="850" w:type="dxa"/>
            <w:shd w:val="clear" w:color="auto" w:fill="FFFFFF"/>
            <w:noWrap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bCs/>
                <w:color w:val="000000"/>
                <w:lang w:val="cs-CZ"/>
              </w:rPr>
            </w:pPr>
            <w:r w:rsidRPr="009019F6">
              <w:rPr>
                <w:rFonts w:cs="Calibri"/>
                <w:bCs/>
                <w:lang w:val="cs-CZ"/>
              </w:rPr>
              <w:t>V</w:t>
            </w:r>
          </w:p>
        </w:tc>
      </w:tr>
      <w:tr w:rsidR="00F3479A" w:rsidRPr="009019F6" w:rsidTr="00045D16">
        <w:trPr>
          <w:trHeight w:val="170"/>
        </w:trPr>
        <w:tc>
          <w:tcPr>
            <w:tcW w:w="5698" w:type="dxa"/>
            <w:shd w:val="clear" w:color="auto" w:fill="FFFFFF"/>
            <w:noWrap/>
          </w:tcPr>
          <w:p w:rsidR="00F3479A" w:rsidRPr="009019F6" w:rsidRDefault="00F3479A" w:rsidP="00F7587C">
            <w:pPr>
              <w:spacing w:before="0" w:after="0"/>
              <w:ind w:right="397"/>
              <w:jc w:val="both"/>
              <w:rPr>
                <w:rFonts w:cs="Calibri"/>
                <w:bCs/>
                <w:color w:val="000000"/>
                <w:lang w:val="cs-CZ"/>
              </w:rPr>
            </w:pPr>
            <w:r w:rsidRPr="009019F6">
              <w:rPr>
                <w:rFonts w:cs="Calibri"/>
                <w:lang w:val="cs-CZ"/>
              </w:rPr>
              <w:t xml:space="preserve">Odpor dopravců, nesouhlas s výší sazeb mýtného, resp. s cenou silničních kuponů pro nové zpoplatněné </w:t>
            </w:r>
            <w:r w:rsidR="00F7587C">
              <w:rPr>
                <w:rFonts w:cs="Calibri"/>
                <w:lang w:val="cs-CZ"/>
              </w:rPr>
              <w:t>pozemní komunikace</w:t>
            </w:r>
          </w:p>
        </w:tc>
        <w:tc>
          <w:tcPr>
            <w:tcW w:w="850" w:type="dxa"/>
            <w:shd w:val="clear" w:color="auto" w:fill="FFFFFF"/>
            <w:noWrap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bCs/>
                <w:color w:val="000000"/>
                <w:lang w:val="cs-CZ"/>
              </w:rPr>
            </w:pPr>
            <w:r w:rsidRPr="009019F6">
              <w:rPr>
                <w:rFonts w:cs="Calibri"/>
                <w:lang w:val="cs-CZ"/>
              </w:rPr>
              <w:t> </w:t>
            </w:r>
          </w:p>
        </w:tc>
        <w:tc>
          <w:tcPr>
            <w:tcW w:w="850" w:type="dxa"/>
            <w:shd w:val="clear" w:color="auto" w:fill="FFFFFF"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color w:val="000000"/>
                <w:lang w:val="cs-CZ"/>
              </w:rPr>
            </w:pPr>
            <w:r w:rsidRPr="009019F6">
              <w:rPr>
                <w:rFonts w:cs="Calibri"/>
                <w:lang w:val="cs-CZ"/>
              </w:rPr>
              <w:t>V</w:t>
            </w:r>
          </w:p>
        </w:tc>
        <w:tc>
          <w:tcPr>
            <w:tcW w:w="850" w:type="dxa"/>
            <w:shd w:val="clear" w:color="auto" w:fill="FFFFFF"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bCs/>
                <w:color w:val="000000"/>
                <w:lang w:val="cs-CZ"/>
              </w:rPr>
            </w:pPr>
            <w:r w:rsidRPr="009019F6">
              <w:rPr>
                <w:rFonts w:cs="Calibri"/>
                <w:lang w:val="cs-CZ"/>
              </w:rPr>
              <w:t>V</w:t>
            </w:r>
          </w:p>
        </w:tc>
        <w:tc>
          <w:tcPr>
            <w:tcW w:w="850" w:type="dxa"/>
            <w:shd w:val="clear" w:color="auto" w:fill="FFFFFF"/>
            <w:noWrap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bCs/>
                <w:color w:val="000000"/>
                <w:lang w:val="cs-CZ"/>
              </w:rPr>
            </w:pPr>
            <w:r w:rsidRPr="009019F6">
              <w:rPr>
                <w:rFonts w:cs="Calibri"/>
                <w:lang w:val="cs-CZ"/>
              </w:rPr>
              <w:t>V</w:t>
            </w:r>
          </w:p>
        </w:tc>
      </w:tr>
      <w:tr w:rsidR="00F3479A" w:rsidRPr="009019F6" w:rsidTr="00045D16">
        <w:trPr>
          <w:trHeight w:val="170"/>
        </w:trPr>
        <w:tc>
          <w:tcPr>
            <w:tcW w:w="5698" w:type="dxa"/>
            <w:shd w:val="clear" w:color="auto" w:fill="FFFFFF"/>
            <w:noWrap/>
          </w:tcPr>
          <w:p w:rsidR="00F3479A" w:rsidRPr="009019F6" w:rsidRDefault="00F3479A" w:rsidP="00045D16">
            <w:pPr>
              <w:spacing w:before="0" w:after="0"/>
              <w:ind w:right="397"/>
              <w:jc w:val="both"/>
              <w:rPr>
                <w:rFonts w:cs="Calibri"/>
                <w:bCs/>
                <w:color w:val="000000"/>
                <w:lang w:val="cs-CZ"/>
              </w:rPr>
            </w:pPr>
            <w:r w:rsidRPr="009019F6">
              <w:rPr>
                <w:rFonts w:cs="Calibri"/>
                <w:lang w:val="cs-CZ"/>
              </w:rPr>
              <w:t>Objíždění, vyhýbání se mýtné povinnosti</w:t>
            </w:r>
          </w:p>
        </w:tc>
        <w:tc>
          <w:tcPr>
            <w:tcW w:w="850" w:type="dxa"/>
            <w:shd w:val="clear" w:color="auto" w:fill="FFFFFF"/>
            <w:noWrap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bCs/>
                <w:color w:val="000000"/>
                <w:lang w:val="cs-CZ"/>
              </w:rPr>
            </w:pPr>
            <w:r w:rsidRPr="009019F6">
              <w:rPr>
                <w:rFonts w:cs="Calibri"/>
                <w:lang w:val="cs-CZ"/>
              </w:rPr>
              <w:t>S</w:t>
            </w:r>
          </w:p>
        </w:tc>
        <w:tc>
          <w:tcPr>
            <w:tcW w:w="850" w:type="dxa"/>
            <w:shd w:val="clear" w:color="auto" w:fill="FFFFFF"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color w:val="000000"/>
                <w:lang w:val="cs-CZ"/>
              </w:rPr>
            </w:pPr>
            <w:r w:rsidRPr="009019F6">
              <w:rPr>
                <w:rFonts w:cs="Calibri"/>
                <w:lang w:val="cs-CZ"/>
              </w:rPr>
              <w:t>V</w:t>
            </w:r>
          </w:p>
        </w:tc>
        <w:tc>
          <w:tcPr>
            <w:tcW w:w="850" w:type="dxa"/>
            <w:shd w:val="clear" w:color="auto" w:fill="FFFFFF"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bCs/>
                <w:color w:val="000000"/>
                <w:lang w:val="cs-CZ"/>
              </w:rPr>
            </w:pPr>
            <w:r w:rsidRPr="009019F6">
              <w:rPr>
                <w:rFonts w:cs="Calibri"/>
                <w:bCs/>
                <w:lang w:val="cs-CZ"/>
              </w:rPr>
              <w:t>V</w:t>
            </w:r>
          </w:p>
        </w:tc>
        <w:tc>
          <w:tcPr>
            <w:tcW w:w="850" w:type="dxa"/>
            <w:shd w:val="clear" w:color="auto" w:fill="FFFFFF"/>
            <w:noWrap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bCs/>
                <w:color w:val="000000"/>
                <w:lang w:val="cs-CZ"/>
              </w:rPr>
            </w:pPr>
            <w:r w:rsidRPr="009019F6">
              <w:rPr>
                <w:rFonts w:cs="Calibri"/>
                <w:lang w:val="cs-CZ"/>
              </w:rPr>
              <w:t>V</w:t>
            </w:r>
          </w:p>
        </w:tc>
      </w:tr>
      <w:tr w:rsidR="00F3479A" w:rsidRPr="009019F6" w:rsidTr="00045D16">
        <w:trPr>
          <w:trHeight w:val="170"/>
        </w:trPr>
        <w:tc>
          <w:tcPr>
            <w:tcW w:w="5698" w:type="dxa"/>
            <w:shd w:val="clear" w:color="auto" w:fill="FFFFFF"/>
            <w:noWrap/>
          </w:tcPr>
          <w:p w:rsidR="00F3479A" w:rsidRPr="009019F6" w:rsidRDefault="00F3479A" w:rsidP="00045D16">
            <w:pPr>
              <w:spacing w:before="0" w:after="0"/>
              <w:ind w:right="397"/>
              <w:jc w:val="both"/>
              <w:rPr>
                <w:rFonts w:cs="Calibri"/>
                <w:bCs/>
                <w:color w:val="000000"/>
                <w:lang w:val="cs-CZ"/>
              </w:rPr>
            </w:pPr>
            <w:r w:rsidRPr="009019F6">
              <w:rPr>
                <w:rFonts w:cs="Calibri"/>
                <w:lang w:val="cs-CZ"/>
              </w:rPr>
              <w:t>Riziko spojené s provozními vlastnosti, výkonností a spolehlivostí nového systému</w:t>
            </w:r>
          </w:p>
        </w:tc>
        <w:tc>
          <w:tcPr>
            <w:tcW w:w="850" w:type="dxa"/>
            <w:shd w:val="clear" w:color="auto" w:fill="FFFFFF"/>
            <w:noWrap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bCs/>
                <w:color w:val="000000"/>
                <w:lang w:val="cs-CZ"/>
              </w:rPr>
            </w:pPr>
            <w:r w:rsidRPr="009019F6">
              <w:rPr>
                <w:rFonts w:cs="Calibri"/>
                <w:lang w:val="cs-CZ"/>
              </w:rPr>
              <w:t> </w:t>
            </w:r>
          </w:p>
        </w:tc>
        <w:tc>
          <w:tcPr>
            <w:tcW w:w="850" w:type="dxa"/>
            <w:shd w:val="clear" w:color="auto" w:fill="FFFFFF"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color w:val="000000"/>
                <w:lang w:val="cs-CZ"/>
              </w:rPr>
            </w:pPr>
          </w:p>
        </w:tc>
        <w:tc>
          <w:tcPr>
            <w:tcW w:w="850" w:type="dxa"/>
            <w:shd w:val="clear" w:color="auto" w:fill="FFFFFF"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bCs/>
                <w:color w:val="000000"/>
                <w:lang w:val="cs-CZ"/>
              </w:rPr>
            </w:pPr>
            <w:r w:rsidRPr="009019F6">
              <w:rPr>
                <w:rFonts w:cs="Calibri"/>
                <w:lang w:val="cs-CZ"/>
              </w:rPr>
              <w:t> </w:t>
            </w:r>
          </w:p>
        </w:tc>
        <w:tc>
          <w:tcPr>
            <w:tcW w:w="850" w:type="dxa"/>
            <w:shd w:val="clear" w:color="auto" w:fill="FFFFFF"/>
            <w:noWrap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bCs/>
                <w:color w:val="000000"/>
                <w:lang w:val="cs-CZ"/>
              </w:rPr>
            </w:pPr>
            <w:r w:rsidRPr="009019F6">
              <w:rPr>
                <w:rFonts w:cs="Calibri"/>
                <w:lang w:val="cs-CZ"/>
              </w:rPr>
              <w:t>S</w:t>
            </w:r>
          </w:p>
        </w:tc>
      </w:tr>
      <w:tr w:rsidR="00F3479A" w:rsidRPr="009019F6" w:rsidTr="00045D16">
        <w:trPr>
          <w:trHeight w:val="170"/>
        </w:trPr>
        <w:tc>
          <w:tcPr>
            <w:tcW w:w="5698" w:type="dxa"/>
            <w:shd w:val="clear" w:color="auto" w:fill="FFFFFF"/>
            <w:noWrap/>
          </w:tcPr>
          <w:p w:rsidR="00F3479A" w:rsidRPr="009019F6" w:rsidRDefault="00F3479A" w:rsidP="00045D16">
            <w:pPr>
              <w:spacing w:before="0" w:after="0"/>
              <w:ind w:right="397"/>
              <w:jc w:val="both"/>
              <w:rPr>
                <w:rFonts w:cs="Calibri"/>
                <w:bCs/>
                <w:color w:val="000000"/>
                <w:lang w:val="cs-CZ"/>
              </w:rPr>
            </w:pPr>
            <w:r w:rsidRPr="009019F6">
              <w:rPr>
                <w:rFonts w:cs="Calibri"/>
                <w:lang w:val="cs-CZ"/>
              </w:rPr>
              <w:t>Riziko spojené s migrací dat a služeb a organizací přechodu na nový systém v roce 2017</w:t>
            </w:r>
          </w:p>
        </w:tc>
        <w:tc>
          <w:tcPr>
            <w:tcW w:w="850" w:type="dxa"/>
            <w:shd w:val="clear" w:color="auto" w:fill="FFFFFF"/>
            <w:noWrap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bCs/>
                <w:color w:val="000000"/>
                <w:lang w:val="cs-CZ"/>
              </w:rPr>
            </w:pPr>
            <w:r w:rsidRPr="009019F6">
              <w:rPr>
                <w:rFonts w:cs="Calibri"/>
                <w:lang w:val="cs-CZ"/>
              </w:rPr>
              <w:t> </w:t>
            </w:r>
          </w:p>
        </w:tc>
        <w:tc>
          <w:tcPr>
            <w:tcW w:w="850" w:type="dxa"/>
            <w:shd w:val="clear" w:color="auto" w:fill="FFFFFF"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color w:val="000000"/>
                <w:lang w:val="cs-CZ"/>
              </w:rPr>
            </w:pPr>
          </w:p>
        </w:tc>
        <w:tc>
          <w:tcPr>
            <w:tcW w:w="850" w:type="dxa"/>
            <w:shd w:val="clear" w:color="auto" w:fill="FFFFFF"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bCs/>
                <w:color w:val="000000"/>
                <w:lang w:val="cs-CZ"/>
              </w:rPr>
            </w:pPr>
            <w:r w:rsidRPr="009019F6">
              <w:rPr>
                <w:rFonts w:cs="Calibri"/>
                <w:lang w:val="cs-CZ"/>
              </w:rPr>
              <w:t> </w:t>
            </w:r>
          </w:p>
        </w:tc>
        <w:tc>
          <w:tcPr>
            <w:tcW w:w="850" w:type="dxa"/>
            <w:shd w:val="clear" w:color="auto" w:fill="FFFFFF"/>
            <w:noWrap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bCs/>
                <w:color w:val="000000"/>
                <w:lang w:val="cs-CZ"/>
              </w:rPr>
            </w:pPr>
            <w:r w:rsidRPr="009019F6">
              <w:rPr>
                <w:rFonts w:cs="Calibri"/>
                <w:lang w:val="cs-CZ"/>
              </w:rPr>
              <w:t>V</w:t>
            </w:r>
          </w:p>
        </w:tc>
      </w:tr>
      <w:tr w:rsidR="00F3479A" w:rsidRPr="009019F6" w:rsidTr="00045D16">
        <w:trPr>
          <w:trHeight w:val="170"/>
        </w:trPr>
        <w:tc>
          <w:tcPr>
            <w:tcW w:w="5698" w:type="dxa"/>
            <w:shd w:val="clear" w:color="auto" w:fill="FFFFFF"/>
            <w:noWrap/>
          </w:tcPr>
          <w:p w:rsidR="00F3479A" w:rsidRPr="009019F6" w:rsidRDefault="00F3479A" w:rsidP="00045D16">
            <w:pPr>
              <w:spacing w:before="0" w:after="0"/>
              <w:ind w:right="397"/>
              <w:jc w:val="both"/>
              <w:rPr>
                <w:rFonts w:cs="Calibri"/>
                <w:bCs/>
                <w:color w:val="000000"/>
                <w:lang w:val="cs-CZ"/>
              </w:rPr>
            </w:pPr>
            <w:r w:rsidRPr="009019F6">
              <w:rPr>
                <w:rFonts w:cs="Calibri"/>
                <w:lang w:val="cs-CZ"/>
              </w:rPr>
              <w:t>Nespokojenost uživatelů při existenci dvou režimů zpoplatnění</w:t>
            </w:r>
          </w:p>
        </w:tc>
        <w:tc>
          <w:tcPr>
            <w:tcW w:w="850" w:type="dxa"/>
            <w:shd w:val="clear" w:color="auto" w:fill="FFFFFF"/>
            <w:noWrap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bCs/>
                <w:color w:val="000000"/>
                <w:lang w:val="cs-CZ"/>
              </w:rPr>
            </w:pPr>
            <w:r w:rsidRPr="009019F6">
              <w:rPr>
                <w:rFonts w:cs="Calibri"/>
                <w:lang w:val="cs-CZ"/>
              </w:rPr>
              <w:t> </w:t>
            </w:r>
          </w:p>
        </w:tc>
        <w:tc>
          <w:tcPr>
            <w:tcW w:w="850" w:type="dxa"/>
            <w:shd w:val="clear" w:color="auto" w:fill="FFFFFF"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color w:val="000000"/>
                <w:lang w:val="cs-CZ"/>
              </w:rPr>
            </w:pPr>
          </w:p>
        </w:tc>
        <w:tc>
          <w:tcPr>
            <w:tcW w:w="850" w:type="dxa"/>
            <w:shd w:val="clear" w:color="auto" w:fill="FFFFFF"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bCs/>
                <w:color w:val="000000"/>
                <w:lang w:val="cs-CZ"/>
              </w:rPr>
            </w:pPr>
            <w:r w:rsidRPr="009019F6">
              <w:rPr>
                <w:rFonts w:cs="Calibri"/>
                <w:lang w:val="cs-CZ"/>
              </w:rPr>
              <w:t>V</w:t>
            </w:r>
          </w:p>
        </w:tc>
        <w:tc>
          <w:tcPr>
            <w:tcW w:w="850" w:type="dxa"/>
            <w:shd w:val="clear" w:color="auto" w:fill="FFFFFF"/>
            <w:noWrap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bCs/>
                <w:color w:val="000000"/>
                <w:lang w:val="cs-CZ"/>
              </w:rPr>
            </w:pPr>
            <w:r w:rsidRPr="009019F6">
              <w:rPr>
                <w:rFonts w:cs="Calibri"/>
                <w:lang w:val="cs-CZ"/>
              </w:rPr>
              <w:t> </w:t>
            </w:r>
          </w:p>
        </w:tc>
      </w:tr>
      <w:tr w:rsidR="00F3479A" w:rsidRPr="009019F6" w:rsidTr="00045D16">
        <w:trPr>
          <w:trHeight w:val="170"/>
        </w:trPr>
        <w:tc>
          <w:tcPr>
            <w:tcW w:w="5698" w:type="dxa"/>
            <w:shd w:val="clear" w:color="auto" w:fill="FFFFFF"/>
            <w:noWrap/>
          </w:tcPr>
          <w:p w:rsidR="00F3479A" w:rsidRPr="009019F6" w:rsidRDefault="00F3479A" w:rsidP="00045D16">
            <w:pPr>
              <w:spacing w:before="0" w:after="0"/>
              <w:ind w:right="397"/>
              <w:jc w:val="both"/>
              <w:rPr>
                <w:rFonts w:cs="Calibri"/>
                <w:bCs/>
                <w:color w:val="000000"/>
                <w:lang w:val="cs-CZ"/>
              </w:rPr>
            </w:pPr>
            <w:r w:rsidRPr="009019F6">
              <w:rPr>
                <w:rFonts w:cs="Calibri"/>
                <w:lang w:val="cs-CZ"/>
              </w:rPr>
              <w:t>Obtížné převzetí SW aplikací od stávajícího poskytovatele služeb.</w:t>
            </w:r>
          </w:p>
        </w:tc>
        <w:tc>
          <w:tcPr>
            <w:tcW w:w="850" w:type="dxa"/>
            <w:shd w:val="clear" w:color="auto" w:fill="FFFFFF"/>
            <w:noWrap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bCs/>
                <w:color w:val="000000"/>
                <w:lang w:val="cs-CZ"/>
              </w:rPr>
            </w:pPr>
            <w:r w:rsidRPr="009019F6">
              <w:rPr>
                <w:rFonts w:cs="Calibri"/>
                <w:lang w:val="cs-CZ"/>
              </w:rPr>
              <w:t>V</w:t>
            </w:r>
          </w:p>
        </w:tc>
        <w:tc>
          <w:tcPr>
            <w:tcW w:w="850" w:type="dxa"/>
            <w:shd w:val="clear" w:color="auto" w:fill="FFFFFF"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color w:val="000000"/>
                <w:lang w:val="cs-CZ"/>
              </w:rPr>
            </w:pPr>
            <w:r w:rsidRPr="009019F6">
              <w:rPr>
                <w:rFonts w:cs="Calibri"/>
                <w:lang w:val="cs-CZ"/>
              </w:rPr>
              <w:t>V</w:t>
            </w:r>
          </w:p>
        </w:tc>
        <w:tc>
          <w:tcPr>
            <w:tcW w:w="850" w:type="dxa"/>
            <w:shd w:val="clear" w:color="auto" w:fill="FFFFFF"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bCs/>
                <w:color w:val="000000"/>
                <w:lang w:val="cs-CZ"/>
              </w:rPr>
            </w:pPr>
            <w:r w:rsidRPr="009019F6">
              <w:rPr>
                <w:rFonts w:cs="Calibri"/>
                <w:lang w:val="cs-CZ"/>
              </w:rPr>
              <w:t>V</w:t>
            </w:r>
          </w:p>
        </w:tc>
        <w:tc>
          <w:tcPr>
            <w:tcW w:w="850" w:type="dxa"/>
            <w:shd w:val="clear" w:color="auto" w:fill="FFFFFF"/>
            <w:noWrap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bCs/>
                <w:color w:val="000000"/>
                <w:lang w:val="cs-CZ"/>
              </w:rPr>
            </w:pPr>
          </w:p>
        </w:tc>
      </w:tr>
      <w:tr w:rsidR="00F3479A" w:rsidRPr="009019F6" w:rsidTr="00045D16">
        <w:trPr>
          <w:trHeight w:val="170"/>
        </w:trPr>
        <w:tc>
          <w:tcPr>
            <w:tcW w:w="5698" w:type="dxa"/>
            <w:shd w:val="clear" w:color="auto" w:fill="FFFFFF"/>
            <w:noWrap/>
          </w:tcPr>
          <w:p w:rsidR="00F3479A" w:rsidRPr="009019F6" w:rsidRDefault="00F7587C" w:rsidP="00F7587C">
            <w:pPr>
              <w:spacing w:before="0" w:after="0"/>
              <w:ind w:right="397"/>
              <w:jc w:val="both"/>
              <w:rPr>
                <w:rFonts w:cs="Calibri"/>
                <w:color w:val="000000"/>
                <w:lang w:val="cs-CZ"/>
              </w:rPr>
            </w:pPr>
            <w:r>
              <w:rPr>
                <w:rFonts w:cs="Calibri"/>
                <w:lang w:val="cs-CZ"/>
              </w:rPr>
              <w:t>Přechod všech uživatelů</w:t>
            </w:r>
            <w:r w:rsidR="00F3479A" w:rsidRPr="009019F6">
              <w:rPr>
                <w:rFonts w:cs="Calibri"/>
                <w:lang w:val="cs-CZ"/>
              </w:rPr>
              <w:t xml:space="preserve"> na nové technické řešení a migrace dat ze starého do nového </w:t>
            </w:r>
            <w:r>
              <w:rPr>
                <w:rFonts w:cs="Calibri"/>
                <w:lang w:val="cs-CZ"/>
              </w:rPr>
              <w:t>systému</w:t>
            </w:r>
            <w:r w:rsidR="00F3479A" w:rsidRPr="009019F6">
              <w:rPr>
                <w:rFonts w:cs="Calibri"/>
                <w:lang w:val="cs-CZ"/>
              </w:rPr>
              <w:t>, včetně finančního vypořádání závazků a pohledávek ve vztahu k uživatelům PK</w:t>
            </w:r>
          </w:p>
        </w:tc>
        <w:tc>
          <w:tcPr>
            <w:tcW w:w="850" w:type="dxa"/>
            <w:shd w:val="clear" w:color="auto" w:fill="FFFFFF"/>
            <w:noWrap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color w:val="000000"/>
                <w:lang w:val="cs-CZ"/>
              </w:rPr>
            </w:pPr>
          </w:p>
        </w:tc>
        <w:tc>
          <w:tcPr>
            <w:tcW w:w="850" w:type="dxa"/>
            <w:shd w:val="clear" w:color="auto" w:fill="FFFFFF"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color w:val="000000"/>
                <w:lang w:val="cs-CZ"/>
              </w:rPr>
            </w:pPr>
          </w:p>
        </w:tc>
        <w:tc>
          <w:tcPr>
            <w:tcW w:w="850" w:type="dxa"/>
            <w:shd w:val="clear" w:color="auto" w:fill="FFFFFF"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color w:val="000000"/>
                <w:lang w:val="cs-CZ"/>
              </w:rPr>
            </w:pPr>
          </w:p>
        </w:tc>
        <w:tc>
          <w:tcPr>
            <w:tcW w:w="850" w:type="dxa"/>
            <w:shd w:val="clear" w:color="auto" w:fill="FFFFFF"/>
            <w:noWrap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bCs/>
                <w:color w:val="000000"/>
                <w:lang w:val="cs-CZ"/>
              </w:rPr>
            </w:pPr>
            <w:r w:rsidRPr="009019F6">
              <w:rPr>
                <w:rFonts w:cs="Calibri"/>
                <w:bCs/>
                <w:lang w:val="cs-CZ"/>
              </w:rPr>
              <w:t>V</w:t>
            </w:r>
          </w:p>
        </w:tc>
      </w:tr>
      <w:tr w:rsidR="00F3479A" w:rsidRPr="009019F6" w:rsidTr="00045D16">
        <w:trPr>
          <w:trHeight w:val="170"/>
        </w:trPr>
        <w:tc>
          <w:tcPr>
            <w:tcW w:w="5698" w:type="dxa"/>
            <w:shd w:val="clear" w:color="auto" w:fill="FFFFFF"/>
            <w:noWrap/>
          </w:tcPr>
          <w:p w:rsidR="00F3479A" w:rsidRPr="009019F6" w:rsidRDefault="00F3479A" w:rsidP="00045D16">
            <w:pPr>
              <w:keepNext/>
              <w:spacing w:before="0" w:after="0"/>
              <w:ind w:right="397"/>
              <w:jc w:val="both"/>
              <w:rPr>
                <w:rFonts w:cs="Calibri"/>
                <w:bCs/>
                <w:color w:val="000000"/>
                <w:lang w:val="cs-CZ"/>
              </w:rPr>
            </w:pPr>
            <w:r w:rsidRPr="009019F6">
              <w:rPr>
                <w:rFonts w:cs="Calibri"/>
                <w:b/>
                <w:bCs/>
                <w:lang w:val="cs-CZ"/>
              </w:rPr>
              <w:t xml:space="preserve">Celkem počet rizik – N </w:t>
            </w:r>
          </w:p>
        </w:tc>
        <w:tc>
          <w:tcPr>
            <w:tcW w:w="850" w:type="dxa"/>
            <w:shd w:val="clear" w:color="auto" w:fill="FFFFFF"/>
            <w:noWrap/>
          </w:tcPr>
          <w:p w:rsidR="00F3479A" w:rsidRPr="009019F6" w:rsidRDefault="00F3479A" w:rsidP="00045D16">
            <w:pPr>
              <w:keepNext/>
              <w:spacing w:before="0" w:after="0"/>
              <w:jc w:val="both"/>
              <w:rPr>
                <w:rFonts w:cs="Calibri"/>
                <w:bCs/>
                <w:color w:val="000000"/>
                <w:lang w:val="cs-CZ"/>
              </w:rPr>
            </w:pPr>
            <w:r w:rsidRPr="009019F6">
              <w:rPr>
                <w:rFonts w:cs="Calibri"/>
                <w:b/>
                <w:bCs/>
                <w:lang w:val="cs-CZ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F3479A" w:rsidRPr="009019F6" w:rsidRDefault="00F3479A" w:rsidP="00045D16">
            <w:pPr>
              <w:keepNext/>
              <w:spacing w:before="0" w:after="0"/>
              <w:jc w:val="both"/>
              <w:rPr>
                <w:rFonts w:cs="Calibri"/>
                <w:b/>
                <w:bCs/>
                <w:color w:val="000000"/>
                <w:lang w:val="cs-CZ"/>
              </w:rPr>
            </w:pPr>
            <w:r w:rsidRPr="009019F6">
              <w:rPr>
                <w:rFonts w:cs="Calibri"/>
                <w:b/>
                <w:bCs/>
                <w:lang w:val="cs-CZ"/>
              </w:rPr>
              <w:t>2</w:t>
            </w:r>
          </w:p>
        </w:tc>
        <w:tc>
          <w:tcPr>
            <w:tcW w:w="850" w:type="dxa"/>
            <w:shd w:val="clear" w:color="auto" w:fill="FFFFFF"/>
          </w:tcPr>
          <w:p w:rsidR="00F3479A" w:rsidRPr="009019F6" w:rsidRDefault="00316782" w:rsidP="00045D16">
            <w:pPr>
              <w:keepNext/>
              <w:spacing w:before="0" w:after="0"/>
              <w:jc w:val="both"/>
              <w:rPr>
                <w:rFonts w:cs="Calibri"/>
                <w:b/>
                <w:bCs/>
                <w:color w:val="000000"/>
                <w:lang w:val="cs-CZ"/>
              </w:rPr>
            </w:pPr>
            <w:r>
              <w:rPr>
                <w:rFonts w:cs="Calibri"/>
                <w:b/>
                <w:bCs/>
                <w:lang w:val="cs-CZ"/>
              </w:rPr>
              <w:t>1</w:t>
            </w:r>
          </w:p>
        </w:tc>
        <w:tc>
          <w:tcPr>
            <w:tcW w:w="850" w:type="dxa"/>
            <w:shd w:val="clear" w:color="auto" w:fill="FFFFFF"/>
            <w:noWrap/>
          </w:tcPr>
          <w:p w:rsidR="00F3479A" w:rsidRPr="009019F6" w:rsidRDefault="00F3479A" w:rsidP="00045D16">
            <w:pPr>
              <w:keepNext/>
              <w:spacing w:before="0" w:after="0"/>
              <w:jc w:val="both"/>
              <w:rPr>
                <w:rFonts w:cs="Calibri"/>
                <w:bCs/>
                <w:color w:val="000000"/>
                <w:lang w:val="cs-CZ"/>
              </w:rPr>
            </w:pPr>
            <w:r w:rsidRPr="009019F6">
              <w:rPr>
                <w:rFonts w:cs="Calibri"/>
                <w:b/>
                <w:bCs/>
                <w:lang w:val="cs-CZ"/>
              </w:rPr>
              <w:t>0</w:t>
            </w:r>
          </w:p>
        </w:tc>
      </w:tr>
      <w:tr w:rsidR="00F3479A" w:rsidRPr="009019F6" w:rsidTr="00045D16">
        <w:trPr>
          <w:trHeight w:val="170"/>
        </w:trPr>
        <w:tc>
          <w:tcPr>
            <w:tcW w:w="5698" w:type="dxa"/>
            <w:shd w:val="clear" w:color="auto" w:fill="FFFFFF"/>
            <w:noWrap/>
          </w:tcPr>
          <w:p w:rsidR="00F3479A" w:rsidRPr="009019F6" w:rsidRDefault="00F3479A" w:rsidP="00045D16">
            <w:pPr>
              <w:keepNext/>
              <w:spacing w:before="0" w:after="0"/>
              <w:ind w:right="397"/>
              <w:jc w:val="both"/>
              <w:rPr>
                <w:rFonts w:cs="Calibri"/>
                <w:bCs/>
                <w:color w:val="000000"/>
                <w:lang w:val="cs-CZ"/>
              </w:rPr>
            </w:pPr>
            <w:r w:rsidRPr="009019F6">
              <w:rPr>
                <w:rFonts w:cs="Calibri"/>
                <w:b/>
                <w:bCs/>
                <w:lang w:val="cs-CZ"/>
              </w:rPr>
              <w:t xml:space="preserve">Celkem počet rizik – S </w:t>
            </w:r>
          </w:p>
        </w:tc>
        <w:tc>
          <w:tcPr>
            <w:tcW w:w="850" w:type="dxa"/>
            <w:shd w:val="clear" w:color="auto" w:fill="FFFFFF"/>
            <w:noWrap/>
          </w:tcPr>
          <w:p w:rsidR="00F3479A" w:rsidRPr="009019F6" w:rsidRDefault="00F3479A" w:rsidP="00045D16">
            <w:pPr>
              <w:keepNext/>
              <w:spacing w:before="0" w:after="0"/>
              <w:jc w:val="both"/>
              <w:rPr>
                <w:rFonts w:cs="Calibri"/>
                <w:bCs/>
                <w:color w:val="000000"/>
                <w:lang w:val="cs-CZ"/>
              </w:rPr>
            </w:pPr>
            <w:r w:rsidRPr="009019F6">
              <w:rPr>
                <w:rFonts w:cs="Calibri"/>
                <w:b/>
                <w:bCs/>
                <w:lang w:val="cs-CZ"/>
              </w:rPr>
              <w:t>2</w:t>
            </w:r>
          </w:p>
        </w:tc>
        <w:tc>
          <w:tcPr>
            <w:tcW w:w="850" w:type="dxa"/>
            <w:shd w:val="clear" w:color="auto" w:fill="FFFFFF"/>
          </w:tcPr>
          <w:p w:rsidR="00F3479A" w:rsidRPr="009019F6" w:rsidRDefault="00F3479A" w:rsidP="00045D16">
            <w:pPr>
              <w:keepNext/>
              <w:spacing w:before="0" w:after="0"/>
              <w:jc w:val="both"/>
              <w:rPr>
                <w:rFonts w:cs="Calibri"/>
                <w:b/>
                <w:bCs/>
                <w:color w:val="000000"/>
                <w:lang w:val="cs-CZ"/>
              </w:rPr>
            </w:pPr>
            <w:r w:rsidRPr="009019F6">
              <w:rPr>
                <w:rFonts w:cs="Calibri"/>
                <w:b/>
                <w:bCs/>
                <w:lang w:val="cs-CZ"/>
              </w:rPr>
              <w:t>3</w:t>
            </w:r>
          </w:p>
        </w:tc>
        <w:tc>
          <w:tcPr>
            <w:tcW w:w="850" w:type="dxa"/>
            <w:shd w:val="clear" w:color="auto" w:fill="FFFFFF"/>
          </w:tcPr>
          <w:p w:rsidR="00F3479A" w:rsidRPr="009019F6" w:rsidRDefault="00F3479A" w:rsidP="00045D16">
            <w:pPr>
              <w:keepNext/>
              <w:spacing w:before="0" w:after="0"/>
              <w:jc w:val="both"/>
              <w:rPr>
                <w:rFonts w:cs="Calibri"/>
                <w:bCs/>
                <w:color w:val="000000"/>
                <w:lang w:val="cs-CZ"/>
              </w:rPr>
            </w:pPr>
            <w:r w:rsidRPr="009019F6">
              <w:rPr>
                <w:rFonts w:cs="Calibri"/>
                <w:b/>
                <w:bCs/>
                <w:lang w:val="cs-CZ"/>
              </w:rPr>
              <w:t>3</w:t>
            </w:r>
          </w:p>
        </w:tc>
        <w:tc>
          <w:tcPr>
            <w:tcW w:w="850" w:type="dxa"/>
            <w:shd w:val="clear" w:color="auto" w:fill="FFFFFF"/>
            <w:noWrap/>
          </w:tcPr>
          <w:p w:rsidR="00F3479A" w:rsidRPr="009019F6" w:rsidRDefault="00F3479A" w:rsidP="00045D16">
            <w:pPr>
              <w:keepNext/>
              <w:spacing w:before="0" w:after="0"/>
              <w:jc w:val="both"/>
              <w:rPr>
                <w:rFonts w:cs="Calibri"/>
                <w:b/>
                <w:bCs/>
                <w:color w:val="000000"/>
                <w:lang w:val="cs-CZ"/>
              </w:rPr>
            </w:pPr>
            <w:r w:rsidRPr="009019F6">
              <w:rPr>
                <w:rFonts w:cs="Calibri"/>
                <w:b/>
                <w:bCs/>
                <w:lang w:val="cs-CZ"/>
              </w:rPr>
              <w:t>3</w:t>
            </w:r>
          </w:p>
        </w:tc>
      </w:tr>
      <w:tr w:rsidR="00F3479A" w:rsidRPr="009019F6" w:rsidTr="00045D16">
        <w:trPr>
          <w:trHeight w:val="170"/>
        </w:trPr>
        <w:tc>
          <w:tcPr>
            <w:tcW w:w="5698" w:type="dxa"/>
            <w:shd w:val="clear" w:color="auto" w:fill="FFFFFF"/>
            <w:noWrap/>
          </w:tcPr>
          <w:p w:rsidR="00F3479A" w:rsidRPr="009019F6" w:rsidRDefault="00F3479A" w:rsidP="00045D16">
            <w:pPr>
              <w:keepNext/>
              <w:spacing w:before="0" w:after="0"/>
              <w:ind w:right="397"/>
              <w:jc w:val="both"/>
              <w:rPr>
                <w:rFonts w:cs="Calibri"/>
                <w:bCs/>
                <w:color w:val="000000"/>
                <w:lang w:val="cs-CZ"/>
              </w:rPr>
            </w:pPr>
            <w:r w:rsidRPr="009019F6">
              <w:rPr>
                <w:rFonts w:cs="Calibri"/>
                <w:b/>
                <w:bCs/>
                <w:lang w:val="cs-CZ"/>
              </w:rPr>
              <w:t xml:space="preserve">Celkem počet rizik – V </w:t>
            </w:r>
          </w:p>
        </w:tc>
        <w:tc>
          <w:tcPr>
            <w:tcW w:w="850" w:type="dxa"/>
            <w:shd w:val="clear" w:color="auto" w:fill="FFFFFF"/>
            <w:noWrap/>
          </w:tcPr>
          <w:p w:rsidR="00F3479A" w:rsidRPr="009019F6" w:rsidRDefault="00F3479A" w:rsidP="00045D16">
            <w:pPr>
              <w:keepNext/>
              <w:spacing w:before="0" w:after="0"/>
              <w:jc w:val="both"/>
              <w:rPr>
                <w:rFonts w:cs="Calibri"/>
                <w:bCs/>
                <w:color w:val="000000"/>
                <w:lang w:val="cs-CZ"/>
              </w:rPr>
            </w:pPr>
            <w:r w:rsidRPr="009019F6">
              <w:rPr>
                <w:rFonts w:cs="Calibri"/>
                <w:b/>
                <w:bCs/>
                <w:lang w:val="cs-CZ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:rsidR="00F3479A" w:rsidRPr="009019F6" w:rsidRDefault="00F3479A" w:rsidP="00045D16">
            <w:pPr>
              <w:keepNext/>
              <w:spacing w:before="0" w:after="0"/>
              <w:jc w:val="both"/>
              <w:rPr>
                <w:rFonts w:cs="Calibri"/>
                <w:b/>
                <w:bCs/>
                <w:color w:val="000000"/>
                <w:lang w:val="cs-CZ"/>
              </w:rPr>
            </w:pPr>
            <w:r w:rsidRPr="009019F6">
              <w:rPr>
                <w:rFonts w:cs="Calibri"/>
                <w:b/>
                <w:bCs/>
                <w:lang w:val="cs-CZ"/>
              </w:rPr>
              <w:t>3</w:t>
            </w:r>
          </w:p>
        </w:tc>
        <w:tc>
          <w:tcPr>
            <w:tcW w:w="850" w:type="dxa"/>
            <w:shd w:val="clear" w:color="auto" w:fill="FFFFFF"/>
          </w:tcPr>
          <w:p w:rsidR="00F3479A" w:rsidRPr="009019F6" w:rsidRDefault="00316782" w:rsidP="00045D16">
            <w:pPr>
              <w:keepNext/>
              <w:spacing w:before="0" w:after="0"/>
              <w:jc w:val="both"/>
              <w:rPr>
                <w:rFonts w:cs="Calibri"/>
                <w:bCs/>
                <w:color w:val="000000"/>
                <w:lang w:val="cs-CZ"/>
              </w:rPr>
            </w:pPr>
            <w:r>
              <w:rPr>
                <w:rFonts w:cs="Calibri"/>
                <w:b/>
                <w:bCs/>
                <w:lang w:val="cs-CZ"/>
              </w:rPr>
              <w:t>7</w:t>
            </w:r>
          </w:p>
        </w:tc>
        <w:tc>
          <w:tcPr>
            <w:tcW w:w="850" w:type="dxa"/>
            <w:shd w:val="clear" w:color="auto" w:fill="FFFFFF"/>
            <w:noWrap/>
          </w:tcPr>
          <w:p w:rsidR="00F3479A" w:rsidRPr="009019F6" w:rsidRDefault="00F3479A" w:rsidP="00045D16">
            <w:pPr>
              <w:keepNext/>
              <w:spacing w:before="0" w:after="0"/>
              <w:jc w:val="both"/>
              <w:rPr>
                <w:rFonts w:cs="Calibri"/>
                <w:bCs/>
                <w:color w:val="000000"/>
                <w:lang w:val="cs-CZ"/>
              </w:rPr>
            </w:pPr>
            <w:r w:rsidRPr="009019F6">
              <w:rPr>
                <w:rFonts w:cs="Calibri"/>
                <w:b/>
                <w:bCs/>
                <w:lang w:val="cs-CZ"/>
              </w:rPr>
              <w:t>9</w:t>
            </w:r>
          </w:p>
        </w:tc>
      </w:tr>
      <w:tr w:rsidR="00F3479A" w:rsidRPr="009019F6" w:rsidTr="00045D16">
        <w:trPr>
          <w:trHeight w:val="170"/>
        </w:trPr>
        <w:tc>
          <w:tcPr>
            <w:tcW w:w="5698" w:type="dxa"/>
            <w:shd w:val="clear" w:color="auto" w:fill="FFFFFF"/>
            <w:noWrap/>
          </w:tcPr>
          <w:p w:rsidR="00F3479A" w:rsidRPr="009019F6" w:rsidRDefault="00F3479A" w:rsidP="00045D16">
            <w:pPr>
              <w:spacing w:before="0" w:after="0"/>
              <w:ind w:right="397"/>
              <w:jc w:val="both"/>
              <w:rPr>
                <w:rFonts w:cs="Calibri"/>
                <w:bCs/>
                <w:color w:val="000000"/>
                <w:lang w:val="cs-CZ"/>
              </w:rPr>
            </w:pPr>
            <w:r w:rsidRPr="009019F6">
              <w:rPr>
                <w:rFonts w:cs="Calibri"/>
                <w:b/>
                <w:bCs/>
                <w:lang w:val="cs-CZ"/>
              </w:rPr>
              <w:t xml:space="preserve">Součet bodů </w:t>
            </w:r>
          </w:p>
        </w:tc>
        <w:tc>
          <w:tcPr>
            <w:tcW w:w="850" w:type="dxa"/>
            <w:shd w:val="clear" w:color="auto" w:fill="FFFFFF"/>
            <w:noWrap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bCs/>
                <w:color w:val="000000"/>
                <w:lang w:val="cs-CZ"/>
              </w:rPr>
            </w:pPr>
            <w:r w:rsidRPr="009019F6">
              <w:rPr>
                <w:rFonts w:cs="Calibri"/>
                <w:b/>
                <w:bCs/>
                <w:lang w:val="cs-CZ"/>
              </w:rPr>
              <w:t>9</w:t>
            </w:r>
          </w:p>
        </w:tc>
        <w:tc>
          <w:tcPr>
            <w:tcW w:w="850" w:type="dxa"/>
            <w:shd w:val="clear" w:color="auto" w:fill="FFFFFF"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b/>
                <w:bCs/>
                <w:color w:val="000000"/>
                <w:lang w:val="cs-CZ"/>
              </w:rPr>
            </w:pPr>
            <w:r w:rsidRPr="009019F6">
              <w:rPr>
                <w:rFonts w:cs="Calibri"/>
                <w:b/>
                <w:bCs/>
                <w:lang w:val="cs-CZ"/>
              </w:rPr>
              <w:t>23</w:t>
            </w:r>
          </w:p>
        </w:tc>
        <w:tc>
          <w:tcPr>
            <w:tcW w:w="850" w:type="dxa"/>
            <w:shd w:val="clear" w:color="auto" w:fill="FFFFFF"/>
          </w:tcPr>
          <w:p w:rsidR="00F3479A" w:rsidRPr="009019F6" w:rsidRDefault="00F3479A" w:rsidP="00316782">
            <w:pPr>
              <w:spacing w:before="0" w:after="0"/>
              <w:jc w:val="both"/>
              <w:rPr>
                <w:rFonts w:cs="Calibri"/>
                <w:bCs/>
                <w:color w:val="000000"/>
                <w:lang w:val="cs-CZ"/>
              </w:rPr>
            </w:pPr>
            <w:r w:rsidRPr="009019F6">
              <w:rPr>
                <w:rFonts w:cs="Calibri"/>
                <w:b/>
                <w:bCs/>
                <w:lang w:val="cs-CZ"/>
              </w:rPr>
              <w:t>4</w:t>
            </w:r>
            <w:r w:rsidR="00316782">
              <w:rPr>
                <w:rFonts w:cs="Calibri"/>
                <w:b/>
                <w:bCs/>
                <w:lang w:val="cs-CZ"/>
              </w:rPr>
              <w:t>2</w:t>
            </w:r>
          </w:p>
        </w:tc>
        <w:tc>
          <w:tcPr>
            <w:tcW w:w="850" w:type="dxa"/>
            <w:shd w:val="clear" w:color="auto" w:fill="FFFFFF"/>
            <w:noWrap/>
          </w:tcPr>
          <w:p w:rsidR="00F3479A" w:rsidRPr="009019F6" w:rsidRDefault="00F3479A" w:rsidP="00045D16">
            <w:pPr>
              <w:spacing w:before="0" w:after="0"/>
              <w:jc w:val="both"/>
              <w:rPr>
                <w:rFonts w:cs="Calibri"/>
                <w:bCs/>
                <w:color w:val="000000"/>
                <w:lang w:val="cs-CZ"/>
              </w:rPr>
            </w:pPr>
            <w:r w:rsidRPr="009019F6">
              <w:rPr>
                <w:rFonts w:cs="Calibri"/>
                <w:b/>
                <w:bCs/>
                <w:lang w:val="cs-CZ"/>
              </w:rPr>
              <w:t>51</w:t>
            </w:r>
          </w:p>
        </w:tc>
      </w:tr>
    </w:tbl>
    <w:p w:rsidR="00F3479A" w:rsidRPr="00DD2F1B" w:rsidRDefault="00F3479A" w:rsidP="00F3479A">
      <w:pPr>
        <w:spacing w:before="0" w:after="0"/>
        <w:jc w:val="both"/>
        <w:rPr>
          <w:rFonts w:cs="Calibri"/>
          <w:lang w:val="cs-CZ"/>
        </w:rPr>
      </w:pPr>
      <w:r w:rsidRPr="00DD2F1B">
        <w:rPr>
          <w:rFonts w:cs="Calibri"/>
          <w:lang w:val="cs-CZ"/>
        </w:rPr>
        <w:t>N – nízká míra rizika, váha 1</w:t>
      </w:r>
    </w:p>
    <w:p w:rsidR="00F3479A" w:rsidRPr="00DD2F1B" w:rsidRDefault="00F3479A" w:rsidP="00F3479A">
      <w:pPr>
        <w:spacing w:before="0" w:after="0"/>
        <w:jc w:val="both"/>
        <w:rPr>
          <w:rFonts w:cs="Calibri"/>
          <w:lang w:val="cs-CZ"/>
        </w:rPr>
      </w:pPr>
      <w:r w:rsidRPr="00DD2F1B">
        <w:rPr>
          <w:rFonts w:cs="Calibri"/>
          <w:lang w:val="cs-CZ"/>
        </w:rPr>
        <w:t>S – střední riziko, váha 2</w:t>
      </w:r>
    </w:p>
    <w:p w:rsidR="00F3479A" w:rsidRPr="00DD2F1B" w:rsidRDefault="00F3479A" w:rsidP="00F3479A">
      <w:pPr>
        <w:spacing w:before="0" w:after="0"/>
        <w:jc w:val="both"/>
        <w:rPr>
          <w:rFonts w:cs="Calibri"/>
          <w:lang w:val="cs-CZ"/>
        </w:rPr>
      </w:pPr>
      <w:r w:rsidRPr="00DD2F1B">
        <w:rPr>
          <w:rFonts w:cs="Calibri"/>
          <w:lang w:val="cs-CZ"/>
        </w:rPr>
        <w:t>V – velké riziko, váha 5</w:t>
      </w:r>
    </w:p>
    <w:p w:rsidR="00F3479A" w:rsidRPr="00DD2F1B" w:rsidRDefault="00F3479A" w:rsidP="00F3479A">
      <w:pPr>
        <w:spacing w:before="0" w:after="0"/>
        <w:jc w:val="both"/>
        <w:rPr>
          <w:rFonts w:cs="Calibri"/>
          <w:lang w:val="cs-CZ"/>
        </w:rPr>
      </w:pPr>
      <w:r w:rsidRPr="00DD2F1B">
        <w:rPr>
          <w:rFonts w:cs="Calibri"/>
          <w:lang w:val="cs-CZ"/>
        </w:rPr>
        <w:t>prázdná buňka – bez rizika</w:t>
      </w:r>
    </w:p>
    <w:p w:rsidR="00F3479A" w:rsidRDefault="00F3479A" w:rsidP="00F3479A">
      <w:pPr>
        <w:jc w:val="center"/>
        <w:rPr>
          <w:rFonts w:cs="Arial"/>
          <w:bCs/>
          <w:sz w:val="16"/>
          <w:szCs w:val="16"/>
          <w:lang w:val="cs-CZ" w:bidi="my-MM"/>
        </w:rPr>
      </w:pPr>
      <w:r w:rsidRPr="00852FFE">
        <w:rPr>
          <w:rFonts w:cs="Arial"/>
          <w:bCs/>
          <w:sz w:val="16"/>
          <w:szCs w:val="16"/>
          <w:lang w:val="cs-CZ" w:bidi="my-MM"/>
        </w:rPr>
        <w:t xml:space="preserve">Tabulka č. </w:t>
      </w:r>
      <w:r w:rsidR="00852FFE" w:rsidRPr="00852FFE">
        <w:rPr>
          <w:rFonts w:cs="Arial"/>
          <w:bCs/>
          <w:sz w:val="16"/>
          <w:szCs w:val="16"/>
          <w:lang w:val="cs-CZ" w:bidi="my-MM"/>
        </w:rPr>
        <w:t>3</w:t>
      </w:r>
      <w:r w:rsidRPr="00852FFE">
        <w:rPr>
          <w:rFonts w:cs="Arial"/>
          <w:bCs/>
          <w:sz w:val="16"/>
          <w:szCs w:val="16"/>
          <w:lang w:val="cs-CZ" w:bidi="my-MM"/>
        </w:rPr>
        <w:t xml:space="preserve"> – Přehled rizik jednotlivých variant</w:t>
      </w:r>
    </w:p>
    <w:p w:rsidR="00F3479A" w:rsidRDefault="00E968F3" w:rsidP="00E968F3">
      <w:pPr>
        <w:jc w:val="both"/>
        <w:rPr>
          <w:b/>
          <w:bCs/>
          <w:caps/>
          <w:color w:val="FFFFFF" w:themeColor="background1"/>
          <w:spacing w:val="15"/>
          <w:sz w:val="40"/>
          <w:szCs w:val="40"/>
          <w:lang w:val="cs-CZ"/>
        </w:rPr>
      </w:pPr>
      <w:r>
        <w:rPr>
          <w:sz w:val="22"/>
          <w:szCs w:val="22"/>
          <w:lang w:val="cs-CZ"/>
        </w:rPr>
        <w:t>Další analýza rizik, návrh na jejich eliminaci a řízení rizik bude předmětem následujících činností projektového manažera v rámci posouzení realizačních variant zpoplatnění vládou schváleného rozsahu zpoplatněných pozemních komunikací po roce 2016.</w:t>
      </w:r>
      <w:bookmarkStart w:id="49" w:name="_Toc367436524"/>
    </w:p>
    <w:p w:rsidR="00F3479A" w:rsidRPr="00E968F3" w:rsidRDefault="00E968F3" w:rsidP="00E968F3">
      <w:pPr>
        <w:pStyle w:val="Nadpis1"/>
        <w:rPr>
          <w:sz w:val="40"/>
          <w:szCs w:val="40"/>
          <w:lang w:val="cs-CZ"/>
        </w:rPr>
      </w:pPr>
      <w:bookmarkStart w:id="50" w:name="_Toc368311175"/>
      <w:bookmarkStart w:id="51" w:name="_Toc368327085"/>
      <w:r>
        <w:rPr>
          <w:lang w:val="cs-CZ"/>
        </w:rPr>
        <w:br w:type="page"/>
      </w:r>
      <w:r w:rsidR="00F3479A" w:rsidRPr="00E968F3">
        <w:rPr>
          <w:sz w:val="40"/>
          <w:szCs w:val="40"/>
          <w:lang w:val="cs-CZ"/>
        </w:rPr>
        <w:lastRenderedPageBreak/>
        <w:t>ZVÝŠENÍ EFEKTIVITY SYSTÉMU ELEKTRONICKÉHO MÝTA, ÚSPORY A NEDOPLATKY</w:t>
      </w:r>
      <w:bookmarkEnd w:id="49"/>
      <w:bookmarkEnd w:id="50"/>
      <w:bookmarkEnd w:id="51"/>
    </w:p>
    <w:p w:rsidR="00F3479A" w:rsidRPr="00DD2F1B" w:rsidRDefault="00F3479A" w:rsidP="00F3479A">
      <w:pPr>
        <w:pStyle w:val="Nadpis2"/>
        <w:rPr>
          <w:sz w:val="28"/>
          <w:szCs w:val="28"/>
          <w:lang w:val="cs-CZ"/>
        </w:rPr>
      </w:pPr>
      <w:bookmarkStart w:id="52" w:name="_Toc367436525"/>
      <w:bookmarkStart w:id="53" w:name="_Toc368311176"/>
      <w:bookmarkStart w:id="54" w:name="_Toc368327086"/>
      <w:r w:rsidRPr="00DD2F1B">
        <w:rPr>
          <w:sz w:val="28"/>
          <w:szCs w:val="28"/>
          <w:lang w:val="cs-CZ"/>
        </w:rPr>
        <w:t>Zvýšení efektivity Systému elektronického mýta</w:t>
      </w:r>
      <w:bookmarkEnd w:id="52"/>
      <w:bookmarkEnd w:id="53"/>
      <w:bookmarkEnd w:id="54"/>
    </w:p>
    <w:p w:rsidR="00F3479A" w:rsidRPr="00DD2F1B" w:rsidRDefault="00F3479A" w:rsidP="00F3479A">
      <w:pPr>
        <w:jc w:val="both"/>
        <w:rPr>
          <w:sz w:val="22"/>
          <w:szCs w:val="22"/>
          <w:lang w:val="cs-CZ"/>
        </w:rPr>
      </w:pPr>
      <w:r w:rsidRPr="00DD2F1B">
        <w:rPr>
          <w:sz w:val="22"/>
          <w:szCs w:val="22"/>
          <w:lang w:val="cs-CZ"/>
        </w:rPr>
        <w:t>Efektivitu Systému elektronického mýta v současnosti nelze reálně porovnat, neboť by došlo, a bohužel také dochází, k porovnání efektivity výběru mýta v polovině životnosti tohoto systému. Jedinou za tzv. „bernou minci“ lze považovat srovnání předepsaného mýta v kalendářním roce s náklady pouze provozními, tedy neinvestičními. Pro rok 2011 dosáhly neinvestiční náklady, tzn. platby za služby konsorciu Kapsch pro etapy 1 - 4, platby za recyklace OBU, disážio a zvýšená účinnost (byť poslední dvě jmenované platby nesouvisí přímo s provozováním SEM), částky 2 350,9 mil. Kč. Výběr mýta v témže roce dosáhl 8 081 mil. Kč. Při porovnání těchto částek dosáhneme efektivity / nákladovosti SEM ve výši 29 %.</w:t>
      </w:r>
    </w:p>
    <w:p w:rsidR="00F3479A" w:rsidRPr="00DD2F1B" w:rsidRDefault="00F3479A" w:rsidP="00E378ED">
      <w:pPr>
        <w:jc w:val="both"/>
        <w:rPr>
          <w:sz w:val="22"/>
          <w:szCs w:val="22"/>
          <w:lang w:val="cs-CZ"/>
        </w:rPr>
      </w:pPr>
      <w:r w:rsidRPr="00DD2F1B">
        <w:rPr>
          <w:sz w:val="22"/>
          <w:szCs w:val="22"/>
          <w:lang w:val="cs-CZ"/>
        </w:rPr>
        <w:t>Ministerstvo dopravy navrhuje, jako jeden z mála reálných kroků, jak zvýšit efektivitu výběru mýta v České republice, zvýšení mýtných sazeb</w:t>
      </w:r>
      <w:r w:rsidR="00E378ED">
        <w:rPr>
          <w:sz w:val="22"/>
          <w:szCs w:val="22"/>
          <w:lang w:val="cs-CZ"/>
        </w:rPr>
        <w:t xml:space="preserve">. Ministerstvo dopravy </w:t>
      </w:r>
      <w:r w:rsidR="00644925">
        <w:rPr>
          <w:sz w:val="22"/>
          <w:szCs w:val="22"/>
          <w:lang w:val="cs-CZ"/>
        </w:rPr>
        <w:t xml:space="preserve">předpokládá </w:t>
      </w:r>
      <w:r w:rsidR="00E378ED">
        <w:rPr>
          <w:sz w:val="22"/>
          <w:szCs w:val="22"/>
          <w:lang w:val="cs-CZ"/>
        </w:rPr>
        <w:t>zvýšení mýtných sazeb pro emisní kategorii Euro V a vyšší o 25 %</w:t>
      </w:r>
      <w:r w:rsidRPr="00DD2F1B">
        <w:rPr>
          <w:sz w:val="22"/>
          <w:szCs w:val="22"/>
          <w:lang w:val="cs-CZ"/>
        </w:rPr>
        <w:t xml:space="preserve">, a to </w:t>
      </w:r>
      <w:r w:rsidR="00E378ED">
        <w:rPr>
          <w:sz w:val="22"/>
          <w:szCs w:val="22"/>
          <w:lang w:val="cs-CZ"/>
        </w:rPr>
        <w:t>od 1. 1. 2015</w:t>
      </w:r>
      <w:r w:rsidRPr="00DD2F1B">
        <w:rPr>
          <w:sz w:val="22"/>
          <w:szCs w:val="22"/>
          <w:lang w:val="cs-CZ"/>
        </w:rPr>
        <w:t>.</w:t>
      </w:r>
      <w:r w:rsidR="00644925">
        <w:rPr>
          <w:sz w:val="22"/>
          <w:szCs w:val="22"/>
          <w:lang w:val="cs-CZ"/>
        </w:rPr>
        <w:t xml:space="preserve"> Toto navýšení včetně případné změny struktury mýtných sazeb bude obsahem tarifní politiky České republiky pro období po roce 2014.</w:t>
      </w:r>
    </w:p>
    <w:p w:rsidR="00F3479A" w:rsidRPr="00DD2F1B" w:rsidRDefault="00F3479A" w:rsidP="00F3479A">
      <w:pPr>
        <w:pStyle w:val="Nadpis2"/>
        <w:rPr>
          <w:sz w:val="28"/>
          <w:szCs w:val="28"/>
          <w:lang w:val="cs-CZ"/>
        </w:rPr>
      </w:pPr>
      <w:bookmarkStart w:id="55" w:name="_Toc367436526"/>
      <w:bookmarkStart w:id="56" w:name="_Toc368311177"/>
      <w:bookmarkStart w:id="57" w:name="_Toc368327087"/>
      <w:r w:rsidRPr="00DD2F1B">
        <w:rPr>
          <w:sz w:val="28"/>
          <w:szCs w:val="28"/>
          <w:lang w:val="cs-CZ"/>
        </w:rPr>
        <w:t>Úspory v systému elektornického mýta</w:t>
      </w:r>
      <w:bookmarkEnd w:id="55"/>
      <w:bookmarkEnd w:id="56"/>
      <w:bookmarkEnd w:id="57"/>
    </w:p>
    <w:p w:rsidR="00F3479A" w:rsidRPr="004E1992" w:rsidRDefault="00F3479A" w:rsidP="00F3479A">
      <w:pPr>
        <w:jc w:val="both"/>
        <w:rPr>
          <w:sz w:val="22"/>
          <w:szCs w:val="22"/>
          <w:lang w:val="cs-CZ"/>
        </w:rPr>
      </w:pPr>
      <w:r w:rsidRPr="004E1992">
        <w:rPr>
          <w:sz w:val="22"/>
          <w:szCs w:val="22"/>
          <w:lang w:val="cs-CZ"/>
        </w:rPr>
        <w:t>Na základě kontroly Nejvyššího kontrolního úřadu č. 12/12 „Příjmy z výkonových poplatků (mýtného) a příjmy z časového zpoplatnění pozemních komunikací (časových kupónů), včetně souvisejících výdajů“ Ministerstvo dopravy navrhuje úsporná opatření související s provozem Systému elektronického mýta či uvádí již realizované kroky mající za výsledek úsporu v provozních nákladech SEM.</w:t>
      </w:r>
      <w:r>
        <w:rPr>
          <w:sz w:val="22"/>
          <w:szCs w:val="22"/>
          <w:lang w:val="cs-CZ"/>
        </w:rPr>
        <w:t xml:space="preserve"> V Příloze č. </w:t>
      </w:r>
      <w:r w:rsidR="00F7587C">
        <w:rPr>
          <w:sz w:val="22"/>
          <w:szCs w:val="22"/>
          <w:lang w:val="cs-CZ"/>
        </w:rPr>
        <w:t>1</w:t>
      </w:r>
      <w:r>
        <w:rPr>
          <w:sz w:val="22"/>
          <w:szCs w:val="22"/>
          <w:lang w:val="cs-CZ"/>
        </w:rPr>
        <w:t xml:space="preserve"> jsou podrobně rozebrána jednotlivá navrhovaná opatření.</w:t>
      </w:r>
    </w:p>
    <w:p w:rsidR="00F3479A" w:rsidRPr="004E1992" w:rsidRDefault="00F3479A" w:rsidP="00F3479A">
      <w:pPr>
        <w:jc w:val="both"/>
        <w:rPr>
          <w:sz w:val="22"/>
          <w:szCs w:val="22"/>
          <w:lang w:val="cs-CZ"/>
        </w:rPr>
      </w:pPr>
      <w:r w:rsidRPr="004E1992">
        <w:rPr>
          <w:sz w:val="22"/>
          <w:szCs w:val="22"/>
          <w:lang w:val="cs-CZ"/>
        </w:rPr>
        <w:t>Za realizovaná a navrhovaná úsporná opatření lze pokládat:</w:t>
      </w:r>
    </w:p>
    <w:p w:rsidR="00F3479A" w:rsidRPr="004E1992" w:rsidRDefault="00F3479A" w:rsidP="00F3479A">
      <w:pPr>
        <w:pStyle w:val="Odstavecseseznamem"/>
        <w:numPr>
          <w:ilvl w:val="0"/>
          <w:numId w:val="9"/>
        </w:numPr>
        <w:spacing w:before="120" w:after="0" w:line="360" w:lineRule="auto"/>
        <w:ind w:left="754" w:hanging="357"/>
        <w:jc w:val="both"/>
        <w:rPr>
          <w:sz w:val="22"/>
          <w:szCs w:val="22"/>
          <w:lang w:val="cs-CZ"/>
        </w:rPr>
      </w:pPr>
      <w:r w:rsidRPr="004E1992">
        <w:rPr>
          <w:sz w:val="22"/>
          <w:szCs w:val="22"/>
          <w:lang w:val="cs-CZ"/>
        </w:rPr>
        <w:t>propadnutí kaucí u palubních jednotek;</w:t>
      </w:r>
    </w:p>
    <w:p w:rsidR="00F3479A" w:rsidRPr="004E1992" w:rsidRDefault="00F3479A" w:rsidP="00F3479A">
      <w:pPr>
        <w:pStyle w:val="Odstavecseseznamem"/>
        <w:numPr>
          <w:ilvl w:val="0"/>
          <w:numId w:val="9"/>
        </w:numPr>
        <w:spacing w:before="120" w:after="0" w:line="360" w:lineRule="auto"/>
        <w:ind w:left="754" w:hanging="357"/>
        <w:jc w:val="both"/>
        <w:rPr>
          <w:sz w:val="22"/>
          <w:szCs w:val="22"/>
          <w:lang w:val="cs-CZ"/>
        </w:rPr>
      </w:pPr>
      <w:r w:rsidRPr="004E1992">
        <w:rPr>
          <w:sz w:val="22"/>
          <w:szCs w:val="22"/>
          <w:lang w:val="cs-CZ"/>
        </w:rPr>
        <w:t>nižší slevy z mýtného;</w:t>
      </w:r>
    </w:p>
    <w:p w:rsidR="00F3479A" w:rsidRPr="004E1992" w:rsidRDefault="00F3479A" w:rsidP="00F3479A">
      <w:pPr>
        <w:pStyle w:val="Odstavecseseznamem"/>
        <w:numPr>
          <w:ilvl w:val="0"/>
          <w:numId w:val="9"/>
        </w:numPr>
        <w:spacing w:before="120" w:after="0" w:line="360" w:lineRule="auto"/>
        <w:ind w:left="754" w:hanging="357"/>
        <w:jc w:val="both"/>
        <w:rPr>
          <w:sz w:val="22"/>
          <w:szCs w:val="22"/>
          <w:lang w:val="cs-CZ"/>
        </w:rPr>
      </w:pPr>
      <w:r w:rsidRPr="004E1992">
        <w:rPr>
          <w:sz w:val="22"/>
          <w:szCs w:val="22"/>
          <w:lang w:val="cs-CZ"/>
        </w:rPr>
        <w:t>propadnutí kreditu u palubních jednotek;</w:t>
      </w:r>
    </w:p>
    <w:p w:rsidR="00F3479A" w:rsidRPr="004E1992" w:rsidRDefault="00F3479A" w:rsidP="00F3479A">
      <w:pPr>
        <w:pStyle w:val="Odstavecseseznamem"/>
        <w:numPr>
          <w:ilvl w:val="0"/>
          <w:numId w:val="9"/>
        </w:numPr>
        <w:spacing w:before="120" w:after="0" w:line="360" w:lineRule="auto"/>
        <w:ind w:left="754" w:hanging="357"/>
        <w:jc w:val="both"/>
        <w:rPr>
          <w:sz w:val="22"/>
          <w:szCs w:val="22"/>
          <w:lang w:val="cs-CZ"/>
        </w:rPr>
      </w:pPr>
      <w:r w:rsidRPr="004E1992">
        <w:rPr>
          <w:sz w:val="22"/>
          <w:szCs w:val="22"/>
          <w:lang w:val="cs-CZ"/>
        </w:rPr>
        <w:t>správa nižšího počtu palubních jednotek;</w:t>
      </w:r>
    </w:p>
    <w:p w:rsidR="00F3479A" w:rsidRPr="00F3479A" w:rsidRDefault="00F3479A" w:rsidP="00F3479A">
      <w:pPr>
        <w:pStyle w:val="Odstavecseseznamem"/>
        <w:numPr>
          <w:ilvl w:val="0"/>
          <w:numId w:val="9"/>
        </w:numPr>
        <w:spacing w:before="120" w:after="0" w:line="360" w:lineRule="auto"/>
        <w:ind w:left="754" w:hanging="357"/>
        <w:jc w:val="both"/>
      </w:pPr>
      <w:r w:rsidRPr="00F3479A">
        <w:rPr>
          <w:sz w:val="22"/>
          <w:szCs w:val="22"/>
          <w:lang w:val="cs-CZ"/>
        </w:rPr>
        <w:t>optimalizace sítě distribučních míst a</w:t>
      </w:r>
    </w:p>
    <w:p w:rsidR="00396955" w:rsidRPr="00D65F69" w:rsidRDefault="00F3479A" w:rsidP="00F3479A">
      <w:pPr>
        <w:pStyle w:val="Odstavecseseznamem"/>
        <w:numPr>
          <w:ilvl w:val="0"/>
          <w:numId w:val="9"/>
        </w:numPr>
        <w:spacing w:before="120" w:after="0" w:line="360" w:lineRule="auto"/>
        <w:ind w:left="754" w:hanging="357"/>
        <w:jc w:val="both"/>
      </w:pPr>
      <w:r w:rsidRPr="00F3479A">
        <w:rPr>
          <w:sz w:val="22"/>
          <w:szCs w:val="22"/>
          <w:lang w:val="cs-CZ"/>
        </w:rPr>
        <w:t>optimalizace mobilní kontroly.</w:t>
      </w:r>
    </w:p>
    <w:p w:rsidR="00D65F69" w:rsidRPr="00DD2F1B" w:rsidRDefault="00D65F69" w:rsidP="00D65F69">
      <w:pPr>
        <w:pStyle w:val="Nadpis1"/>
        <w:rPr>
          <w:sz w:val="40"/>
          <w:szCs w:val="40"/>
          <w:lang w:val="cs-CZ"/>
        </w:rPr>
      </w:pPr>
      <w:bookmarkStart w:id="58" w:name="_Toc368063565"/>
      <w:bookmarkStart w:id="59" w:name="_Toc368327088"/>
      <w:r w:rsidRPr="00DD2F1B">
        <w:rPr>
          <w:sz w:val="40"/>
          <w:szCs w:val="40"/>
          <w:lang w:val="cs-CZ"/>
        </w:rPr>
        <w:t>PŘÍLOHY</w:t>
      </w:r>
      <w:bookmarkEnd w:id="58"/>
      <w:bookmarkEnd w:id="59"/>
    </w:p>
    <w:p w:rsidR="00D65F69" w:rsidRDefault="00D65F69" w:rsidP="00E968F3">
      <w:pPr>
        <w:ind w:left="1276" w:hanging="1276"/>
      </w:pPr>
      <w:r>
        <w:rPr>
          <w:bCs/>
          <w:sz w:val="22"/>
          <w:szCs w:val="22"/>
          <w:lang w:val="cs-CZ"/>
        </w:rPr>
        <w:t xml:space="preserve">Příloha </w:t>
      </w:r>
      <w:proofErr w:type="gramStart"/>
      <w:r>
        <w:rPr>
          <w:bCs/>
          <w:sz w:val="22"/>
          <w:szCs w:val="22"/>
          <w:lang w:val="cs-CZ"/>
        </w:rPr>
        <w:t>č. 1  –  Rozvoj</w:t>
      </w:r>
      <w:proofErr w:type="gramEnd"/>
      <w:r>
        <w:rPr>
          <w:bCs/>
          <w:sz w:val="22"/>
          <w:szCs w:val="22"/>
          <w:lang w:val="cs-CZ"/>
        </w:rPr>
        <w:t xml:space="preserve"> Systému elektronického mýta v České republice – Koncepce výkonového zpoplatnění v České republice</w:t>
      </w:r>
    </w:p>
    <w:sectPr w:rsidR="00D65F69" w:rsidSect="00B7546F"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782" w:rsidRDefault="00316782" w:rsidP="00B7546F">
      <w:pPr>
        <w:spacing w:before="0" w:after="0" w:line="240" w:lineRule="auto"/>
      </w:pPr>
      <w:r>
        <w:separator/>
      </w:r>
    </w:p>
  </w:endnote>
  <w:endnote w:type="continuationSeparator" w:id="0">
    <w:p w:rsidR="00316782" w:rsidRDefault="00316782" w:rsidP="00B7546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73435"/>
      <w:docPartObj>
        <w:docPartGallery w:val="Page Numbers (Bottom of Page)"/>
        <w:docPartUnique/>
      </w:docPartObj>
    </w:sdtPr>
    <w:sdtContent>
      <w:p w:rsidR="00316782" w:rsidRDefault="00316782">
        <w:pPr>
          <w:pStyle w:val="Zpat"/>
          <w:jc w:val="right"/>
        </w:pPr>
        <w:fldSimple w:instr=" PAGE   \* MERGEFORMAT ">
          <w:r w:rsidR="00261735">
            <w:rPr>
              <w:noProof/>
            </w:rPr>
            <w:t>1</w:t>
          </w:r>
        </w:fldSimple>
      </w:p>
    </w:sdtContent>
  </w:sdt>
  <w:p w:rsidR="00316782" w:rsidRDefault="0031678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782" w:rsidRDefault="00316782" w:rsidP="00B7546F">
      <w:pPr>
        <w:spacing w:before="0" w:after="0" w:line="240" w:lineRule="auto"/>
      </w:pPr>
      <w:r>
        <w:separator/>
      </w:r>
    </w:p>
  </w:footnote>
  <w:footnote w:type="continuationSeparator" w:id="0">
    <w:p w:rsidR="00316782" w:rsidRDefault="00316782" w:rsidP="00B7546F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A110C"/>
    <w:multiLevelType w:val="hybridMultilevel"/>
    <w:tmpl w:val="7CE860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B11826"/>
    <w:multiLevelType w:val="hybridMultilevel"/>
    <w:tmpl w:val="1F6A7D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4607F3"/>
    <w:multiLevelType w:val="hybridMultilevel"/>
    <w:tmpl w:val="2BDE43C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1C05D51"/>
    <w:multiLevelType w:val="hybridMultilevel"/>
    <w:tmpl w:val="6C8CB9B2"/>
    <w:lvl w:ilvl="0" w:tplc="08CCE124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D0204F"/>
    <w:multiLevelType w:val="hybridMultilevel"/>
    <w:tmpl w:val="243467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165BBA"/>
    <w:multiLevelType w:val="hybridMultilevel"/>
    <w:tmpl w:val="127EEE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E20FA8"/>
    <w:multiLevelType w:val="hybridMultilevel"/>
    <w:tmpl w:val="BC464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81723B"/>
    <w:multiLevelType w:val="hybridMultilevel"/>
    <w:tmpl w:val="243467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9C4372"/>
    <w:multiLevelType w:val="hybridMultilevel"/>
    <w:tmpl w:val="7D5CD0EE"/>
    <w:lvl w:ilvl="0" w:tplc="040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9">
    <w:nsid w:val="5F5A558D"/>
    <w:multiLevelType w:val="hybridMultilevel"/>
    <w:tmpl w:val="83AE46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9A523F"/>
    <w:multiLevelType w:val="hybridMultilevel"/>
    <w:tmpl w:val="F5C661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4C1453"/>
    <w:multiLevelType w:val="hybridMultilevel"/>
    <w:tmpl w:val="CEDC7B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2970B4"/>
    <w:multiLevelType w:val="hybridMultilevel"/>
    <w:tmpl w:val="E0140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625414"/>
    <w:multiLevelType w:val="hybridMultilevel"/>
    <w:tmpl w:val="AF6C75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6"/>
  </w:num>
  <w:num w:numId="4">
    <w:abstractNumId w:val="2"/>
  </w:num>
  <w:num w:numId="5">
    <w:abstractNumId w:val="9"/>
  </w:num>
  <w:num w:numId="6">
    <w:abstractNumId w:val="5"/>
  </w:num>
  <w:num w:numId="7">
    <w:abstractNumId w:val="11"/>
  </w:num>
  <w:num w:numId="8">
    <w:abstractNumId w:val="13"/>
  </w:num>
  <w:num w:numId="9">
    <w:abstractNumId w:val="8"/>
  </w:num>
  <w:num w:numId="10">
    <w:abstractNumId w:val="7"/>
  </w:num>
  <w:num w:numId="11">
    <w:abstractNumId w:val="1"/>
  </w:num>
  <w:num w:numId="12">
    <w:abstractNumId w:val="4"/>
  </w:num>
  <w:num w:numId="13">
    <w:abstractNumId w:val="0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96955"/>
    <w:rsid w:val="00045D16"/>
    <w:rsid w:val="0012593C"/>
    <w:rsid w:val="00156FA4"/>
    <w:rsid w:val="00161504"/>
    <w:rsid w:val="00190804"/>
    <w:rsid w:val="001B4B48"/>
    <w:rsid w:val="001F3CED"/>
    <w:rsid w:val="00261735"/>
    <w:rsid w:val="0030323E"/>
    <w:rsid w:val="00316782"/>
    <w:rsid w:val="00350BFD"/>
    <w:rsid w:val="003547F2"/>
    <w:rsid w:val="00396955"/>
    <w:rsid w:val="00483C33"/>
    <w:rsid w:val="004C1AA7"/>
    <w:rsid w:val="005E584F"/>
    <w:rsid w:val="00623670"/>
    <w:rsid w:val="00623808"/>
    <w:rsid w:val="00644925"/>
    <w:rsid w:val="006679F4"/>
    <w:rsid w:val="0067796F"/>
    <w:rsid w:val="006D1BD5"/>
    <w:rsid w:val="00715F11"/>
    <w:rsid w:val="007263E1"/>
    <w:rsid w:val="00735E0D"/>
    <w:rsid w:val="00741F14"/>
    <w:rsid w:val="00762CE7"/>
    <w:rsid w:val="00771830"/>
    <w:rsid w:val="007779FE"/>
    <w:rsid w:val="00822FF9"/>
    <w:rsid w:val="00852FFE"/>
    <w:rsid w:val="00860169"/>
    <w:rsid w:val="008A3535"/>
    <w:rsid w:val="008D4875"/>
    <w:rsid w:val="009141E2"/>
    <w:rsid w:val="00941C37"/>
    <w:rsid w:val="009624E7"/>
    <w:rsid w:val="00A145D9"/>
    <w:rsid w:val="00A874A9"/>
    <w:rsid w:val="00AB52FA"/>
    <w:rsid w:val="00B01FB6"/>
    <w:rsid w:val="00B7546F"/>
    <w:rsid w:val="00BA1A67"/>
    <w:rsid w:val="00BB4F97"/>
    <w:rsid w:val="00BF267F"/>
    <w:rsid w:val="00C76E75"/>
    <w:rsid w:val="00C96A13"/>
    <w:rsid w:val="00CA17EE"/>
    <w:rsid w:val="00CA65B4"/>
    <w:rsid w:val="00CB5B04"/>
    <w:rsid w:val="00D410B0"/>
    <w:rsid w:val="00D65F69"/>
    <w:rsid w:val="00E00667"/>
    <w:rsid w:val="00E378ED"/>
    <w:rsid w:val="00E61DBC"/>
    <w:rsid w:val="00E968F3"/>
    <w:rsid w:val="00EA662A"/>
    <w:rsid w:val="00EC28FF"/>
    <w:rsid w:val="00EF22E0"/>
    <w:rsid w:val="00F3479A"/>
    <w:rsid w:val="00F7587C"/>
    <w:rsid w:val="00FB58E8"/>
    <w:rsid w:val="00FE1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3D effects 3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6E75"/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96955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96955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96955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96955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96955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96955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96955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96955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96955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396955"/>
    <w:rPr>
      <w:caps/>
      <w:spacing w:val="15"/>
      <w:shd w:val="clear" w:color="auto" w:fill="DBE5F1" w:themeFill="accent1" w:themeFillTint="33"/>
    </w:rPr>
  </w:style>
  <w:style w:type="paragraph" w:customStyle="1" w:styleId="BodyText1">
    <w:name w:val="Body Text1"/>
    <w:uiPriority w:val="99"/>
    <w:rsid w:val="00396955"/>
    <w:pPr>
      <w:spacing w:after="120"/>
      <w:jc w:val="both"/>
    </w:pPr>
    <w:rPr>
      <w:rFonts w:ascii="Calibri" w:eastAsia="Times New Roman" w:hAnsi="Calibri" w:cs="Times New Roman"/>
      <w:color w:val="000000"/>
      <w:szCs w:val="48"/>
    </w:rPr>
  </w:style>
  <w:style w:type="character" w:customStyle="1" w:styleId="Nadpis1Char">
    <w:name w:val="Nadpis 1 Char"/>
    <w:basedOn w:val="Standardnpsmoodstavce"/>
    <w:link w:val="Nadpis1"/>
    <w:uiPriority w:val="9"/>
    <w:rsid w:val="00396955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96955"/>
    <w:rPr>
      <w:caps/>
      <w:color w:val="243F60" w:themeColor="accent1" w:themeShade="7F"/>
      <w:spacing w:val="15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96955"/>
    <w:rPr>
      <w:caps/>
      <w:color w:val="365F91" w:themeColor="accent1" w:themeShade="BF"/>
      <w:spacing w:val="1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96955"/>
    <w:rPr>
      <w:caps/>
      <w:color w:val="365F91" w:themeColor="accent1" w:themeShade="BF"/>
      <w:spacing w:val="1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96955"/>
    <w:rPr>
      <w:caps/>
      <w:color w:val="365F91" w:themeColor="accent1" w:themeShade="BF"/>
      <w:spacing w:val="1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96955"/>
    <w:rPr>
      <w:caps/>
      <w:color w:val="365F91" w:themeColor="accent1" w:themeShade="BF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96955"/>
    <w:rPr>
      <w:caps/>
      <w:spacing w:val="10"/>
      <w:sz w:val="18"/>
      <w:szCs w:val="1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96955"/>
    <w:rPr>
      <w:i/>
      <w:caps/>
      <w:spacing w:val="10"/>
      <w:sz w:val="18"/>
      <w:szCs w:val="18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396955"/>
    <w:rPr>
      <w:b/>
      <w:bCs/>
      <w:color w:val="365F91" w:themeColor="accent1" w:themeShade="BF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396955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96955"/>
    <w:rPr>
      <w:caps/>
      <w:color w:val="4F81BD" w:themeColor="accent1"/>
      <w:spacing w:val="10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396955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396955"/>
    <w:rPr>
      <w:caps/>
      <w:color w:val="595959" w:themeColor="text1" w:themeTint="A6"/>
      <w:spacing w:val="10"/>
      <w:sz w:val="24"/>
      <w:szCs w:val="24"/>
    </w:rPr>
  </w:style>
  <w:style w:type="character" w:styleId="Siln">
    <w:name w:val="Strong"/>
    <w:uiPriority w:val="22"/>
    <w:qFormat/>
    <w:rsid w:val="00396955"/>
    <w:rPr>
      <w:b/>
      <w:bCs/>
    </w:rPr>
  </w:style>
  <w:style w:type="character" w:styleId="Zvraznn">
    <w:name w:val="Emphasis"/>
    <w:uiPriority w:val="20"/>
    <w:qFormat/>
    <w:rsid w:val="00396955"/>
    <w:rPr>
      <w:caps/>
      <w:color w:val="243F60" w:themeColor="accent1" w:themeShade="7F"/>
      <w:spacing w:val="5"/>
    </w:rPr>
  </w:style>
  <w:style w:type="paragraph" w:styleId="Bezmezer">
    <w:name w:val="No Spacing"/>
    <w:basedOn w:val="Normln"/>
    <w:link w:val="BezmezerChar"/>
    <w:uiPriority w:val="99"/>
    <w:qFormat/>
    <w:rsid w:val="00396955"/>
    <w:pPr>
      <w:spacing w:before="0"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99"/>
    <w:rsid w:val="00396955"/>
    <w:rPr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396955"/>
    <w:pPr>
      <w:ind w:left="720"/>
      <w:contextualSpacing/>
    </w:pPr>
  </w:style>
  <w:style w:type="paragraph" w:styleId="Citace">
    <w:name w:val="Quote"/>
    <w:basedOn w:val="Normln"/>
    <w:next w:val="Normln"/>
    <w:link w:val="CitaceChar"/>
    <w:uiPriority w:val="29"/>
    <w:qFormat/>
    <w:rsid w:val="00396955"/>
    <w:rPr>
      <w:i/>
      <w:iCs/>
    </w:rPr>
  </w:style>
  <w:style w:type="character" w:customStyle="1" w:styleId="CitaceChar">
    <w:name w:val="Citace Char"/>
    <w:basedOn w:val="Standardnpsmoodstavce"/>
    <w:link w:val="Citace"/>
    <w:uiPriority w:val="29"/>
    <w:rsid w:val="00396955"/>
    <w:rPr>
      <w:i/>
      <w:iCs/>
      <w:sz w:val="20"/>
      <w:szCs w:val="20"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396955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396955"/>
    <w:rPr>
      <w:i/>
      <w:iCs/>
      <w:color w:val="4F81BD" w:themeColor="accent1"/>
      <w:sz w:val="20"/>
      <w:szCs w:val="20"/>
    </w:rPr>
  </w:style>
  <w:style w:type="character" w:styleId="Zdraznnjemn">
    <w:name w:val="Subtle Emphasis"/>
    <w:uiPriority w:val="19"/>
    <w:qFormat/>
    <w:rsid w:val="00396955"/>
    <w:rPr>
      <w:i/>
      <w:iCs/>
      <w:color w:val="243F60" w:themeColor="accent1" w:themeShade="7F"/>
    </w:rPr>
  </w:style>
  <w:style w:type="character" w:styleId="Zdraznnintenzivn">
    <w:name w:val="Intense Emphasis"/>
    <w:uiPriority w:val="21"/>
    <w:qFormat/>
    <w:rsid w:val="00396955"/>
    <w:rPr>
      <w:b/>
      <w:bCs/>
      <w:caps/>
      <w:color w:val="243F60" w:themeColor="accent1" w:themeShade="7F"/>
      <w:spacing w:val="10"/>
    </w:rPr>
  </w:style>
  <w:style w:type="character" w:styleId="Odkazjemn">
    <w:name w:val="Subtle Reference"/>
    <w:uiPriority w:val="31"/>
    <w:qFormat/>
    <w:rsid w:val="00396955"/>
    <w:rPr>
      <w:b/>
      <w:bCs/>
      <w:color w:val="4F81BD" w:themeColor="accent1"/>
    </w:rPr>
  </w:style>
  <w:style w:type="character" w:styleId="Odkazintenzivn">
    <w:name w:val="Intense Reference"/>
    <w:uiPriority w:val="32"/>
    <w:qFormat/>
    <w:rsid w:val="00396955"/>
    <w:rPr>
      <w:b/>
      <w:bCs/>
      <w:i/>
      <w:iCs/>
      <w:caps/>
      <w:color w:val="4F81BD" w:themeColor="accent1"/>
    </w:rPr>
  </w:style>
  <w:style w:type="character" w:styleId="Nzevknihy">
    <w:name w:val="Book Title"/>
    <w:uiPriority w:val="33"/>
    <w:qFormat/>
    <w:rsid w:val="00396955"/>
    <w:rPr>
      <w:b/>
      <w:bCs/>
      <w:i/>
      <w:iCs/>
      <w:spacing w:val="9"/>
    </w:rPr>
  </w:style>
  <w:style w:type="paragraph" w:styleId="Nadpisobsahu">
    <w:name w:val="TOC Heading"/>
    <w:basedOn w:val="Nadpis1"/>
    <w:next w:val="Normln"/>
    <w:uiPriority w:val="39"/>
    <w:unhideWhenUsed/>
    <w:qFormat/>
    <w:rsid w:val="00396955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9695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6955"/>
    <w:rPr>
      <w:rFonts w:ascii="Tahoma" w:hAnsi="Tahoma" w:cs="Tahoma"/>
      <w:sz w:val="16"/>
      <w:szCs w:val="16"/>
    </w:rPr>
  </w:style>
  <w:style w:type="paragraph" w:customStyle="1" w:styleId="Odstavecseseznamem1">
    <w:name w:val="Odstavec se seznamem1"/>
    <w:basedOn w:val="Normln"/>
    <w:uiPriority w:val="99"/>
    <w:rsid w:val="00F3479A"/>
    <w:pPr>
      <w:ind w:left="720"/>
      <w:contextualSpacing/>
    </w:pPr>
    <w:rPr>
      <w:rFonts w:ascii="Calibri" w:eastAsia="Times New Roman" w:hAnsi="Calibri" w:cs="Times New Roman"/>
      <w:lang w:bidi="ar-SA"/>
    </w:rPr>
  </w:style>
  <w:style w:type="paragraph" w:styleId="Normlnweb">
    <w:name w:val="Normal (Web)"/>
    <w:basedOn w:val="Normln"/>
    <w:uiPriority w:val="99"/>
    <w:rsid w:val="00F3479A"/>
    <w:pPr>
      <w:spacing w:before="100" w:beforeAutospacing="1" w:after="100" w:afterAutospacing="1"/>
    </w:pPr>
    <w:rPr>
      <w:rFonts w:ascii="Calibri" w:eastAsia="Times New Roman" w:hAnsi="Calibri" w:cs="Times New Roman"/>
      <w:lang w:bidi="ar-SA"/>
    </w:rPr>
  </w:style>
  <w:style w:type="character" w:styleId="Odkaznakoment">
    <w:name w:val="annotation reference"/>
    <w:basedOn w:val="Standardnpsmoodstavce"/>
    <w:semiHidden/>
    <w:unhideWhenUsed/>
    <w:rsid w:val="007263E1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263E1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semiHidden/>
    <w:rsid w:val="007263E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263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263E1"/>
    <w:rPr>
      <w:b/>
      <w:bCs/>
    </w:rPr>
  </w:style>
  <w:style w:type="paragraph" w:styleId="Obsah2">
    <w:name w:val="toc 2"/>
    <w:basedOn w:val="Normln"/>
    <w:next w:val="Normln"/>
    <w:autoRedefine/>
    <w:uiPriority w:val="39"/>
    <w:unhideWhenUsed/>
    <w:rsid w:val="00852FFE"/>
    <w:pPr>
      <w:spacing w:before="0" w:after="0"/>
    </w:pPr>
    <w:rPr>
      <w:b/>
      <w:bCs/>
      <w:smallCaps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rsid w:val="00852FFE"/>
    <w:pPr>
      <w:spacing w:before="0" w:after="0"/>
    </w:pPr>
    <w:rPr>
      <w:smallCaps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unhideWhenUsed/>
    <w:rsid w:val="00190804"/>
    <w:pPr>
      <w:tabs>
        <w:tab w:val="right" w:leader="dot" w:pos="9062"/>
      </w:tabs>
      <w:spacing w:before="120" w:after="0"/>
    </w:pPr>
    <w:rPr>
      <w:b/>
      <w:bCs/>
      <w:caps/>
      <w:sz w:val="22"/>
      <w:szCs w:val="22"/>
      <w:u w:val="single"/>
    </w:rPr>
  </w:style>
  <w:style w:type="character" w:styleId="Hypertextovodkaz">
    <w:name w:val="Hyperlink"/>
    <w:basedOn w:val="Standardnpsmoodstavce"/>
    <w:uiPriority w:val="99"/>
    <w:unhideWhenUsed/>
    <w:rsid w:val="00852FFE"/>
    <w:rPr>
      <w:color w:val="0000FF" w:themeColor="hyperlink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852FFE"/>
    <w:pPr>
      <w:spacing w:before="0" w:after="0"/>
    </w:pPr>
    <w:rPr>
      <w:sz w:val="22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852FFE"/>
    <w:pPr>
      <w:spacing w:before="0" w:after="0"/>
    </w:pPr>
    <w:rPr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852FFE"/>
    <w:pPr>
      <w:spacing w:before="0" w:after="0"/>
    </w:pPr>
    <w:rPr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852FFE"/>
    <w:pPr>
      <w:spacing w:before="0" w:after="0"/>
    </w:pPr>
    <w:rPr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852FFE"/>
    <w:pPr>
      <w:spacing w:before="0" w:after="0"/>
    </w:pPr>
    <w:rPr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852FFE"/>
    <w:pPr>
      <w:spacing w:before="0" w:after="0"/>
    </w:pPr>
    <w:rPr>
      <w:sz w:val="22"/>
      <w:szCs w:val="22"/>
    </w:rPr>
  </w:style>
  <w:style w:type="table" w:styleId="Tabulkasprostorovmiefekty3">
    <w:name w:val="Table 3D effects 3"/>
    <w:basedOn w:val="Normlntabulka"/>
    <w:rsid w:val="008D4875"/>
    <w:pPr>
      <w:spacing w:before="0"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Zhlav">
    <w:name w:val="header"/>
    <w:basedOn w:val="Normln"/>
    <w:link w:val="ZhlavChar"/>
    <w:uiPriority w:val="99"/>
    <w:semiHidden/>
    <w:unhideWhenUsed/>
    <w:rsid w:val="00B7546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7546F"/>
    <w:rPr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B7546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546F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4DEB4DB-D08A-49D8-95FA-F04F67BB7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18</Pages>
  <Words>5522</Words>
  <Characters>32583</Characters>
  <Application>Microsoft Office Word</Application>
  <DocSecurity>0</DocSecurity>
  <Lines>271</Lines>
  <Paragraphs>76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38029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KRUMPHANZL</dc:creator>
  <cp:lastModifiedBy>Václav KRUMPHANZL</cp:lastModifiedBy>
  <cp:revision>9</cp:revision>
  <cp:lastPrinted>2013-09-30T14:44:00Z</cp:lastPrinted>
  <dcterms:created xsi:type="dcterms:W3CDTF">2013-10-21T17:46:00Z</dcterms:created>
  <dcterms:modified xsi:type="dcterms:W3CDTF">2013-11-14T11:31:00Z</dcterms:modified>
</cp:coreProperties>
</file>