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theme/themeOverride1.xml" ContentType="application/vnd.openxmlformats-officedocument.themeOverride+xml"/>
  <Override PartName="/word/charts/chart16.xml" ContentType="application/vnd.openxmlformats-officedocument.drawingml.chart+xml"/>
  <Override PartName="/word/theme/themeOverride2.xml" ContentType="application/vnd.openxmlformats-officedocument.themeOverride+xml"/>
  <Override PartName="/word/charts/chart1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0FB" w:rsidRDefault="002F4920">
      <w:r>
        <w:rPr>
          <w:noProof/>
          <w:lang w:eastAsia="cs-CZ"/>
        </w:rPr>
        <mc:AlternateContent>
          <mc:Choice Requires="wps">
            <w:drawing>
              <wp:anchor distT="0" distB="0" distL="114300" distR="114300" simplePos="0" relativeHeight="251656704" behindDoc="0" locked="0" layoutInCell="1" allowOverlap="1" wp14:anchorId="5E1539C3" wp14:editId="6F55CB6C">
                <wp:simplePos x="0" y="0"/>
                <wp:positionH relativeFrom="page">
                  <wp:posOffset>3438525</wp:posOffset>
                </wp:positionH>
                <wp:positionV relativeFrom="page">
                  <wp:posOffset>381000</wp:posOffset>
                </wp:positionV>
                <wp:extent cx="2797175" cy="3093085"/>
                <wp:effectExtent l="0" t="0" r="3175" b="0"/>
                <wp:wrapNone/>
                <wp:docPr id="9" name="Obdélní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3093085"/>
                        </a:xfrm>
                        <a:prstGeom prst="rect">
                          <a:avLst/>
                        </a:prstGeom>
                        <a:solidFill>
                          <a:srgbClr val="003A63"/>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9E036E" w:rsidRPr="00DF1DD4" w:rsidRDefault="009E036E" w:rsidP="00DF1DD4">
                            <w:pPr>
                              <w:spacing w:before="120" w:after="120"/>
                              <w:jc w:val="center"/>
                              <w:rPr>
                                <w:b/>
                                <w:color w:val="FFFFFF"/>
                                <w:sz w:val="32"/>
                              </w:rPr>
                            </w:pPr>
                            <w:r>
                              <w:rPr>
                                <w:color w:val="FFFFFF"/>
                                <w:sz w:val="32"/>
                              </w:rPr>
                              <w:t xml:space="preserve">Podkladový materiál Ministerstva zdravotnictví </w:t>
                            </w:r>
                            <w:r w:rsidRPr="00DF1DD4">
                              <w:rPr>
                                <w:b/>
                                <w:color w:val="FFFFFF"/>
                                <w:sz w:val="32"/>
                              </w:rPr>
                              <w:t xml:space="preserve">pro 106. </w:t>
                            </w:r>
                            <w:r w:rsidR="00DF1DD4" w:rsidRPr="00DF1DD4">
                              <w:rPr>
                                <w:b/>
                                <w:color w:val="FFFFFF"/>
                                <w:sz w:val="32"/>
                              </w:rPr>
                              <w:t>P</w:t>
                            </w:r>
                            <w:r w:rsidRPr="00DF1DD4">
                              <w:rPr>
                                <w:b/>
                                <w:color w:val="FFFFFF"/>
                                <w:sz w:val="32"/>
                              </w:rPr>
                              <w:t>lenární zasedání RHSD</w:t>
                            </w:r>
                            <w:r w:rsidR="00DF1DD4" w:rsidRPr="00DF1DD4">
                              <w:rPr>
                                <w:b/>
                                <w:color w:val="FFFFFF"/>
                                <w:sz w:val="32"/>
                              </w:rPr>
                              <w:t xml:space="preserve"> ČR</w:t>
                            </w:r>
                          </w:p>
                          <w:p w:rsidR="00DF1DD4" w:rsidRPr="00DF1DD4" w:rsidRDefault="00DF1DD4" w:rsidP="00DF1DD4">
                            <w:pPr>
                              <w:spacing w:before="120" w:after="120"/>
                              <w:jc w:val="center"/>
                              <w:rPr>
                                <w:color w:val="FFFFFF"/>
                                <w:sz w:val="24"/>
                                <w:szCs w:val="24"/>
                              </w:rPr>
                            </w:pPr>
                            <w:r w:rsidRPr="00DF1DD4">
                              <w:rPr>
                                <w:color w:val="FFFFFF"/>
                                <w:sz w:val="24"/>
                                <w:szCs w:val="24"/>
                              </w:rPr>
                              <w:t>dne 3. prosince 2013</w:t>
                            </w:r>
                          </w:p>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id="Obdélník 35" o:spid="_x0000_s1026" style="position:absolute;margin-left:270.75pt;margin-top:30pt;width:220.25pt;height:243.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" fillcolor="#003a63" stroked="f" strokeweight="2pt">
                <v:textbox inset="14.4pt,14.4pt,14.4pt,28.8pt">
                  <w:txbxContent>
                    <w:p w:rsidR="009E036E" w:rsidRPr="00DF1DD4" w:rsidRDefault="009E036E" w:rsidP="00DF1DD4">
                      <w:pPr>
                        <w:spacing w:before="120" w:after="120"/>
                        <w:jc w:val="center"/>
                        <w:rPr>
                          <w:b/>
                          <w:color w:val="FFFFFF"/>
                          <w:sz w:val="32"/>
                        </w:rPr>
                      </w:pPr>
                      <w:r>
                        <w:rPr>
                          <w:color w:val="FFFFFF"/>
                          <w:sz w:val="32"/>
                        </w:rPr>
                        <w:t xml:space="preserve">Podkladový materiál Ministerstva zdravotnictví </w:t>
                      </w:r>
                      <w:r w:rsidRPr="00DF1DD4">
                        <w:rPr>
                          <w:b/>
                          <w:color w:val="FFFFFF"/>
                          <w:sz w:val="32"/>
                        </w:rPr>
                        <w:t xml:space="preserve">pro 106. </w:t>
                      </w:r>
                      <w:r w:rsidR="00DF1DD4" w:rsidRPr="00DF1DD4">
                        <w:rPr>
                          <w:b/>
                          <w:color w:val="FFFFFF"/>
                          <w:sz w:val="32"/>
                        </w:rPr>
                        <w:t>P</w:t>
                      </w:r>
                      <w:r w:rsidRPr="00DF1DD4">
                        <w:rPr>
                          <w:b/>
                          <w:color w:val="FFFFFF"/>
                          <w:sz w:val="32"/>
                        </w:rPr>
                        <w:t>lenární zasedání RHSD</w:t>
                      </w:r>
                      <w:r w:rsidR="00DF1DD4" w:rsidRPr="00DF1DD4">
                        <w:rPr>
                          <w:b/>
                          <w:color w:val="FFFFFF"/>
                          <w:sz w:val="32"/>
                        </w:rPr>
                        <w:t xml:space="preserve"> ČR</w:t>
                      </w:r>
                    </w:p>
                    <w:p w:rsidR="00DF1DD4" w:rsidRPr="00DF1DD4" w:rsidRDefault="00DF1DD4" w:rsidP="00DF1DD4">
                      <w:pPr>
                        <w:spacing w:before="120" w:after="120"/>
                        <w:jc w:val="center"/>
                        <w:rPr>
                          <w:color w:val="FFFFFF"/>
                          <w:sz w:val="24"/>
                          <w:szCs w:val="24"/>
                        </w:rPr>
                      </w:pPr>
                      <w:r w:rsidRPr="00DF1DD4">
                        <w:rPr>
                          <w:color w:val="FFFFFF"/>
                          <w:sz w:val="24"/>
                          <w:szCs w:val="24"/>
                        </w:rPr>
                        <w:t>dne 3. prosince 2013</w:t>
                      </w:r>
                    </w:p>
                  </w:txbxContent>
                </v:textbox>
                <w10:wrap anchorx="page" anchory="page"/>
              </v:rect>
            </w:pict>
          </mc:Fallback>
        </mc:AlternateContent>
      </w:r>
      <w:r w:rsidR="002B7141">
        <w:rPr>
          <w:noProof/>
          <w:lang w:eastAsia="cs-CZ"/>
        </w:rPr>
        <mc:AlternateContent>
          <mc:Choice Requires="wps">
            <w:drawing>
              <wp:anchor distT="0" distB="0" distL="114300" distR="114300" simplePos="0" relativeHeight="251655680" behindDoc="0" locked="0" layoutInCell="1" allowOverlap="1" wp14:anchorId="4969E96B" wp14:editId="7F2C7905">
                <wp:simplePos x="0" y="0"/>
                <wp:positionH relativeFrom="page">
                  <wp:posOffset>3335655</wp:posOffset>
                </wp:positionH>
                <wp:positionV relativeFrom="page">
                  <wp:posOffset>314960</wp:posOffset>
                </wp:positionV>
                <wp:extent cx="2999105" cy="7457440"/>
                <wp:effectExtent l="11430" t="10160" r="8890" b="9525"/>
                <wp:wrapNone/>
                <wp:docPr id="11" name="Obdélní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9105" cy="7457440"/>
                        </a:xfrm>
                        <a:prstGeom prst="rect">
                          <a:avLst/>
                        </a:prstGeom>
                        <a:solidFill>
                          <a:srgbClr val="FFFFFF"/>
                        </a:solidFill>
                        <a:ln w="15875">
                          <a:solidFill>
                            <a:srgbClr val="C2CD23"/>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Obdélník 36" o:spid="_x0000_s1026" style="position:absolute;margin-left:262.65pt;margin-top:24.8pt;width:236.15pt;height:587.2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" strokecolor="#c2cd23" strokeweight="1.25pt">
                <w10:wrap anchorx="page" anchory="page"/>
              </v:rect>
            </w:pict>
          </mc:Fallback>
        </mc:AlternateContent>
      </w:r>
      <w:r w:rsidR="002B7141">
        <w:rPr>
          <w:noProof/>
          <w:lang w:eastAsia="cs-CZ"/>
        </w:rPr>
        <mc:AlternateContent>
          <mc:Choice Requires="wps">
            <w:drawing>
              <wp:anchor distT="0" distB="0" distL="114300" distR="114300" simplePos="0" relativeHeight="251659776" behindDoc="1" locked="0" layoutInCell="1" allowOverlap="1" wp14:anchorId="682BBC23" wp14:editId="70DD6633">
                <wp:simplePos x="0" y="0"/>
                <wp:positionH relativeFrom="page">
                  <wp:align>center</wp:align>
                </wp:positionH>
                <wp:positionV relativeFrom="page">
                  <wp:align>center</wp:align>
                </wp:positionV>
                <wp:extent cx="7145655" cy="10121265"/>
                <wp:effectExtent l="0" t="0" r="17145" b="13335"/>
                <wp:wrapNone/>
                <wp:docPr id="10" name="Obdélník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45655" cy="10121265"/>
                        </a:xfrm>
                        <a:prstGeom prst="rect">
                          <a:avLst/>
                        </a:prstGeom>
                        <a:solidFill>
                          <a:srgbClr val="FFFFFF"/>
                        </a:solidFill>
                        <a:ln w="25400">
                          <a:solidFill>
                            <a:srgbClr val="003A63"/>
                          </a:solidFill>
                          <a:miter lim="800000"/>
                          <a:headEnd/>
                          <a:tailEnd/>
                        </a:ln>
                      </wps:spPr>
                      <wps:txbx>
                        <w:txbxContent>
                          <w:p w:rsidR="009E036E" w:rsidRDefault="009E036E"/>
                        </w:txbxContent>
                      </wps:txbx>
                      <wps:bodyPr rot="0" vert="horz" wrap="square" lIns="274320" tIns="45720" rIns="27432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Obdélník 34" o:spid="_x0000_s1027" style="position:absolute;margin-left:0;margin-top:0;width:562.65pt;height:796.95pt;z-index:-2516567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" strokecolor="#003a63" strokeweight="2pt">
                <v:path arrowok="t"/>
                <v:textbox inset="21.6pt,,21.6pt">
                  <w:txbxContent>
                    <w:p w:rsidR="009E036E" w:rsidRDefault="009E036E"/>
                  </w:txbxContent>
                </v:textbox>
                <w10:wrap anchorx="page" anchory="page"/>
              </v:rect>
            </w:pict>
          </mc:Fallback>
        </mc:AlternateContent>
      </w:r>
      <w:r w:rsidR="002A0694">
        <w:tab/>
      </w:r>
    </w:p>
    <w:p w:rsidR="002F4920" w:rsidRDefault="002B7141" w:rsidP="002F4920">
      <w:pPr>
        <w:pStyle w:val="Nadpisobsahu"/>
      </w:pPr>
      <w:r>
        <w:rPr>
          <w:noProof/>
        </w:rPr>
        <w:drawing>
          <wp:anchor distT="0" distB="0" distL="114300" distR="114300" simplePos="0" relativeHeight="251658752" behindDoc="0" locked="0" layoutInCell="1" allowOverlap="1" wp14:anchorId="78A6AA69" wp14:editId="2CE46FF6">
            <wp:simplePos x="0" y="0"/>
            <wp:positionH relativeFrom="column">
              <wp:posOffset>2980055</wp:posOffset>
            </wp:positionH>
            <wp:positionV relativeFrom="paragraph">
              <wp:posOffset>6577965</wp:posOffset>
            </wp:positionV>
            <wp:extent cx="2794000" cy="266700"/>
            <wp:effectExtent l="0" t="0" r="6350" b="0"/>
            <wp:wrapNone/>
            <wp:docPr id="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9">
                      <a:extLst>
                        <a:ext uri="{28A0092B-C50C-407E-A947-70E740481C1C}">
                          <a14:useLocalDpi xmlns:a14="http://schemas.microsoft.com/office/drawing/2010/main" val="0"/>
                        </a:ext>
                      </a:extLst>
                    </a:blip>
                    <a:srcRect l="6372" t="30011" r="6372" b="29710"/>
                    <a:stretch>
                      <a:fillRect/>
                    </a:stretch>
                  </pic:blipFill>
                  <pic:spPr bwMode="auto">
                    <a:xfrm>
                      <a:off x="0" y="0"/>
                      <a:ext cx="2794000" cy="2667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0" locked="0" layoutInCell="1" allowOverlap="1" wp14:anchorId="52A806E9" wp14:editId="131DEA9F">
                <wp:simplePos x="0" y="0"/>
                <wp:positionH relativeFrom="page">
                  <wp:posOffset>3439795</wp:posOffset>
                </wp:positionH>
                <wp:positionV relativeFrom="page">
                  <wp:posOffset>3742055</wp:posOffset>
                </wp:positionV>
                <wp:extent cx="2857500" cy="2869565"/>
                <wp:effectExtent l="1270" t="0" r="0" b="0"/>
                <wp:wrapSquare wrapText="bothSides"/>
                <wp:docPr id="7" name="Textové pol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86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E036E" w:rsidRPr="00DA42E9" w:rsidRDefault="009E036E">
                            <w:pPr>
                              <w:rPr>
                                <w:rFonts w:ascii="Cambria" w:hAnsi="Cambria" w:cs="Cambria"/>
                                <w:color w:val="003A63"/>
                                <w:sz w:val="72"/>
                                <w:szCs w:val="72"/>
                              </w:rPr>
                            </w:pPr>
                            <w:r>
                              <w:rPr>
                                <w:rFonts w:ascii="Cambria" w:hAnsi="Cambria" w:cs="Cambria"/>
                                <w:color w:val="003A63"/>
                                <w:sz w:val="72"/>
                                <w:szCs w:val="72"/>
                              </w:rPr>
                              <w:t>Aktuální situace ve zdravotnictví</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39" o:spid="_x0000_s1028" type="#_x0000_t202" style="position:absolute;margin-left:270.85pt;margin-top:294.65pt;width:225pt;height:225.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" filled="f" stroked="f" strokeweight=".5pt">
                <v:textbox style="mso-fit-shape-to-text:t">
                  <w:txbxContent>
                    <w:p w:rsidR="009E036E" w:rsidRPr="00DA42E9" w:rsidRDefault="009E036E">
                      <w:pPr>
                        <w:rPr>
                          <w:rFonts w:ascii="Cambria" w:hAnsi="Cambria" w:cs="Cambria"/>
                          <w:color w:val="003A63"/>
                          <w:sz w:val="72"/>
                          <w:szCs w:val="72"/>
                        </w:rPr>
                      </w:pPr>
                      <w:r>
                        <w:rPr>
                          <w:rFonts w:ascii="Cambria" w:hAnsi="Cambria" w:cs="Cambria"/>
                          <w:color w:val="003A63"/>
                          <w:sz w:val="72"/>
                          <w:szCs w:val="72"/>
                        </w:rPr>
                        <w:t>Aktuální situace ve zdravotnictví</w:t>
                      </w:r>
                    </w:p>
                  </w:txbxContent>
                </v:textbox>
                <w10:wrap type="square" anchorx="page" anchory="page"/>
              </v:shape>
            </w:pict>
          </mc:Fallback>
        </mc:AlternateContent>
      </w:r>
      <w:r w:rsidR="002830FB">
        <w:br w:type="page"/>
      </w:r>
    </w:p>
    <w:sdt>
      <w:sdtPr>
        <w:rPr>
          <w:rFonts w:ascii="Calibri" w:eastAsia="Calibri" w:hAnsi="Calibri" w:cs="Calibri"/>
          <w:b w:val="0"/>
          <w:bCs w:val="0"/>
          <w:color w:val="auto"/>
          <w:sz w:val="22"/>
          <w:szCs w:val="22"/>
          <w:lang w:eastAsia="en-US"/>
        </w:rPr>
        <w:id w:val="-871682601"/>
        <w:docPartObj>
          <w:docPartGallery w:val="Table of Contents"/>
          <w:docPartUnique/>
        </w:docPartObj>
      </w:sdtPr>
      <w:sdtEndPr/>
      <w:sdtContent>
        <w:p w:rsidR="001C18AB" w:rsidRDefault="001C18AB">
          <w:pPr>
            <w:pStyle w:val="Nadpisobsahu"/>
            <w:rPr>
              <w:rFonts w:ascii="Calibri" w:eastAsia="Calibri" w:hAnsi="Calibri" w:cs="Calibri"/>
              <w:b w:val="0"/>
              <w:bCs w:val="0"/>
              <w:color w:val="auto"/>
              <w:sz w:val="22"/>
              <w:szCs w:val="22"/>
              <w:lang w:eastAsia="en-US"/>
            </w:rPr>
          </w:pPr>
        </w:p>
        <w:p w:rsidR="00A17188" w:rsidRDefault="00A17188">
          <w:pPr>
            <w:pStyle w:val="Nadpisobsahu"/>
          </w:pPr>
          <w:r>
            <w:t>Obsah</w:t>
          </w:r>
        </w:p>
        <w:p w:rsidR="001C18AB" w:rsidRDefault="00A17188">
          <w:pPr>
            <w:pStyle w:val="Obsah1"/>
            <w:tabs>
              <w:tab w:val="left" w:pos="440"/>
              <w:tab w:val="right" w:leader="dot" w:pos="10456"/>
            </w:tabs>
            <w:rPr>
              <w:rFonts w:asciiTheme="minorHAnsi" w:eastAsiaTheme="minorEastAsia" w:hAnsiTheme="minorHAnsi" w:cstheme="minorBidi"/>
              <w:noProof/>
              <w:lang w:eastAsia="cs-CZ"/>
            </w:rPr>
          </w:pPr>
          <w:r w:rsidRPr="00C20389">
            <w:rPr>
              <w:sz w:val="24"/>
              <w:szCs w:val="24"/>
            </w:rPr>
            <w:fldChar w:fldCharType="begin"/>
          </w:r>
          <w:r w:rsidRPr="00C20389">
            <w:rPr>
              <w:sz w:val="24"/>
              <w:szCs w:val="24"/>
            </w:rPr>
            <w:instrText xml:space="preserve"> TOC \o "1-3" \h \z \u </w:instrText>
          </w:r>
          <w:r w:rsidRPr="00C20389">
            <w:rPr>
              <w:sz w:val="24"/>
              <w:szCs w:val="24"/>
            </w:rPr>
            <w:fldChar w:fldCharType="separate"/>
          </w:r>
          <w:hyperlink w:anchor="_Toc373223679" w:history="1">
            <w:r w:rsidR="001C18AB" w:rsidRPr="00985AFE">
              <w:rPr>
                <w:rStyle w:val="Hypertextovodkaz"/>
                <w:rFonts w:cs="Arial"/>
                <w:noProof/>
              </w:rPr>
              <w:t>1.</w:t>
            </w:r>
            <w:r w:rsidR="001C18AB">
              <w:rPr>
                <w:rFonts w:asciiTheme="minorHAnsi" w:eastAsiaTheme="minorEastAsia" w:hAnsiTheme="minorHAnsi" w:cstheme="minorBidi"/>
                <w:noProof/>
                <w:lang w:eastAsia="cs-CZ"/>
              </w:rPr>
              <w:tab/>
            </w:r>
            <w:r w:rsidR="001C18AB" w:rsidRPr="00985AFE">
              <w:rPr>
                <w:rStyle w:val="Hypertextovodkaz"/>
                <w:rFonts w:cs="Arial"/>
                <w:noProof/>
              </w:rPr>
              <w:t>Výchozí stav</w:t>
            </w:r>
            <w:r w:rsidR="001C18AB">
              <w:rPr>
                <w:noProof/>
                <w:webHidden/>
              </w:rPr>
              <w:tab/>
            </w:r>
            <w:r w:rsidR="001C18AB">
              <w:rPr>
                <w:noProof/>
                <w:webHidden/>
              </w:rPr>
              <w:fldChar w:fldCharType="begin"/>
            </w:r>
            <w:r w:rsidR="001C18AB">
              <w:rPr>
                <w:noProof/>
                <w:webHidden/>
              </w:rPr>
              <w:instrText xml:space="preserve"> PAGEREF _Toc373223679 \h </w:instrText>
            </w:r>
            <w:r w:rsidR="001C18AB">
              <w:rPr>
                <w:noProof/>
                <w:webHidden/>
              </w:rPr>
            </w:r>
            <w:r w:rsidR="001C18AB">
              <w:rPr>
                <w:noProof/>
                <w:webHidden/>
              </w:rPr>
              <w:fldChar w:fldCharType="separate"/>
            </w:r>
            <w:r w:rsidR="001C18AB">
              <w:rPr>
                <w:noProof/>
                <w:webHidden/>
              </w:rPr>
              <w:t>3</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0" w:history="1">
            <w:r w:rsidR="001C18AB" w:rsidRPr="00985AFE">
              <w:rPr>
                <w:rStyle w:val="Hypertextovodkaz"/>
                <w:rFonts w:cs="Arial"/>
                <w:noProof/>
              </w:rPr>
              <w:t>1.1.</w:t>
            </w:r>
            <w:r w:rsidR="001C18AB">
              <w:rPr>
                <w:rFonts w:asciiTheme="minorHAnsi" w:eastAsiaTheme="minorEastAsia" w:hAnsiTheme="minorHAnsi" w:cstheme="minorBidi"/>
                <w:noProof/>
                <w:lang w:eastAsia="cs-CZ"/>
              </w:rPr>
              <w:tab/>
            </w:r>
            <w:r w:rsidR="001C18AB" w:rsidRPr="00985AFE">
              <w:rPr>
                <w:rStyle w:val="Hypertextovodkaz"/>
                <w:rFonts w:cs="Arial"/>
                <w:noProof/>
              </w:rPr>
              <w:t>Systém veřejného zdravotního pojištění k roku 2013</w:t>
            </w:r>
            <w:r w:rsidR="001C18AB">
              <w:rPr>
                <w:noProof/>
                <w:webHidden/>
              </w:rPr>
              <w:tab/>
            </w:r>
            <w:r w:rsidR="001C18AB">
              <w:rPr>
                <w:noProof/>
                <w:webHidden/>
              </w:rPr>
              <w:fldChar w:fldCharType="begin"/>
            </w:r>
            <w:r w:rsidR="001C18AB">
              <w:rPr>
                <w:noProof/>
                <w:webHidden/>
              </w:rPr>
              <w:instrText xml:space="preserve"> PAGEREF _Toc373223680 \h </w:instrText>
            </w:r>
            <w:r w:rsidR="001C18AB">
              <w:rPr>
                <w:noProof/>
                <w:webHidden/>
              </w:rPr>
            </w:r>
            <w:r w:rsidR="001C18AB">
              <w:rPr>
                <w:noProof/>
                <w:webHidden/>
              </w:rPr>
              <w:fldChar w:fldCharType="separate"/>
            </w:r>
            <w:r w:rsidR="001C18AB">
              <w:rPr>
                <w:noProof/>
                <w:webHidden/>
              </w:rPr>
              <w:t>3</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1" w:history="1">
            <w:r w:rsidR="001C18AB" w:rsidRPr="00985AFE">
              <w:rPr>
                <w:rStyle w:val="Hypertextovodkaz"/>
                <w:rFonts w:cs="Arial"/>
                <w:noProof/>
              </w:rPr>
              <w:t>1.2.</w:t>
            </w:r>
            <w:r w:rsidR="001C18AB">
              <w:rPr>
                <w:rFonts w:asciiTheme="minorHAnsi" w:eastAsiaTheme="minorEastAsia" w:hAnsiTheme="minorHAnsi" w:cstheme="minorBidi"/>
                <w:noProof/>
                <w:lang w:eastAsia="cs-CZ"/>
              </w:rPr>
              <w:tab/>
            </w:r>
            <w:r w:rsidR="001C18AB" w:rsidRPr="00985AFE">
              <w:rPr>
                <w:rStyle w:val="Hypertextovodkaz"/>
                <w:rFonts w:cs="Arial"/>
                <w:noProof/>
              </w:rPr>
              <w:t>Ekonomický stav v roce 2013 a výhled systému v.z.p. v r. 2014</w:t>
            </w:r>
            <w:r w:rsidR="001C18AB">
              <w:rPr>
                <w:noProof/>
                <w:webHidden/>
              </w:rPr>
              <w:tab/>
            </w:r>
            <w:r w:rsidR="001C18AB">
              <w:rPr>
                <w:noProof/>
                <w:webHidden/>
              </w:rPr>
              <w:fldChar w:fldCharType="begin"/>
            </w:r>
            <w:r w:rsidR="001C18AB">
              <w:rPr>
                <w:noProof/>
                <w:webHidden/>
              </w:rPr>
              <w:instrText xml:space="preserve"> PAGEREF _Toc373223681 \h </w:instrText>
            </w:r>
            <w:r w:rsidR="001C18AB">
              <w:rPr>
                <w:noProof/>
                <w:webHidden/>
              </w:rPr>
            </w:r>
            <w:r w:rsidR="001C18AB">
              <w:rPr>
                <w:noProof/>
                <w:webHidden/>
              </w:rPr>
              <w:fldChar w:fldCharType="separate"/>
            </w:r>
            <w:r w:rsidR="001C18AB">
              <w:rPr>
                <w:noProof/>
                <w:webHidden/>
              </w:rPr>
              <w:t>5</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2" w:history="1">
            <w:r w:rsidR="001C18AB" w:rsidRPr="00985AFE">
              <w:rPr>
                <w:rStyle w:val="Hypertextovodkaz"/>
                <w:rFonts w:cs="Arial"/>
                <w:noProof/>
              </w:rPr>
              <w:t>1.3.</w:t>
            </w:r>
            <w:r w:rsidR="001C18AB">
              <w:rPr>
                <w:rFonts w:asciiTheme="minorHAnsi" w:eastAsiaTheme="minorEastAsia" w:hAnsiTheme="minorHAnsi" w:cstheme="minorBidi"/>
                <w:noProof/>
                <w:lang w:eastAsia="cs-CZ"/>
              </w:rPr>
              <w:tab/>
            </w:r>
            <w:r w:rsidR="001C18AB" w:rsidRPr="00985AFE">
              <w:rPr>
                <w:rStyle w:val="Hypertextovodkaz"/>
                <w:rFonts w:cs="Arial"/>
                <w:noProof/>
              </w:rPr>
              <w:t>DPH</w:t>
            </w:r>
            <w:r w:rsidR="001C18AB">
              <w:rPr>
                <w:noProof/>
                <w:webHidden/>
              </w:rPr>
              <w:tab/>
            </w:r>
            <w:r w:rsidR="001C18AB">
              <w:rPr>
                <w:noProof/>
                <w:webHidden/>
              </w:rPr>
              <w:fldChar w:fldCharType="begin"/>
            </w:r>
            <w:r w:rsidR="001C18AB">
              <w:rPr>
                <w:noProof/>
                <w:webHidden/>
              </w:rPr>
              <w:instrText xml:space="preserve"> PAGEREF _Toc373223682 \h </w:instrText>
            </w:r>
            <w:r w:rsidR="001C18AB">
              <w:rPr>
                <w:noProof/>
                <w:webHidden/>
              </w:rPr>
            </w:r>
            <w:r w:rsidR="001C18AB">
              <w:rPr>
                <w:noProof/>
                <w:webHidden/>
              </w:rPr>
              <w:fldChar w:fldCharType="separate"/>
            </w:r>
            <w:r w:rsidR="001C18AB">
              <w:rPr>
                <w:noProof/>
                <w:webHidden/>
              </w:rPr>
              <w:t>8</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3" w:history="1">
            <w:r w:rsidR="001C18AB" w:rsidRPr="00985AFE">
              <w:rPr>
                <w:rStyle w:val="Hypertextovodkaz"/>
                <w:rFonts w:cs="Arial"/>
                <w:noProof/>
              </w:rPr>
              <w:t>1.4.</w:t>
            </w:r>
            <w:r w:rsidR="001C18AB">
              <w:rPr>
                <w:rFonts w:asciiTheme="minorHAnsi" w:eastAsiaTheme="minorEastAsia" w:hAnsiTheme="minorHAnsi" w:cstheme="minorBidi"/>
                <w:noProof/>
                <w:lang w:eastAsia="cs-CZ"/>
              </w:rPr>
              <w:tab/>
            </w:r>
            <w:r w:rsidR="001C18AB" w:rsidRPr="00985AFE">
              <w:rPr>
                <w:rStyle w:val="Hypertextovodkaz"/>
                <w:rFonts w:cs="Arial"/>
                <w:noProof/>
              </w:rPr>
              <w:t>Snížení příjmů systému veřejného zdravotního pojištění v důsledku zrušení či snížení regulačních poplatků</w:t>
            </w:r>
            <w:r w:rsidR="001C18AB">
              <w:rPr>
                <w:noProof/>
                <w:webHidden/>
              </w:rPr>
              <w:tab/>
            </w:r>
            <w:r w:rsidR="001C18AB">
              <w:rPr>
                <w:noProof/>
                <w:webHidden/>
              </w:rPr>
              <w:fldChar w:fldCharType="begin"/>
            </w:r>
            <w:r w:rsidR="001C18AB">
              <w:rPr>
                <w:noProof/>
                <w:webHidden/>
              </w:rPr>
              <w:instrText xml:space="preserve"> PAGEREF _Toc373223683 \h </w:instrText>
            </w:r>
            <w:r w:rsidR="001C18AB">
              <w:rPr>
                <w:noProof/>
                <w:webHidden/>
              </w:rPr>
            </w:r>
            <w:r w:rsidR="001C18AB">
              <w:rPr>
                <w:noProof/>
                <w:webHidden/>
              </w:rPr>
              <w:fldChar w:fldCharType="separate"/>
            </w:r>
            <w:r w:rsidR="001C18AB">
              <w:rPr>
                <w:noProof/>
                <w:webHidden/>
              </w:rPr>
              <w:t>9</w:t>
            </w:r>
            <w:r w:rsidR="001C18AB">
              <w:rPr>
                <w:noProof/>
                <w:webHidden/>
              </w:rPr>
              <w:fldChar w:fldCharType="end"/>
            </w:r>
          </w:hyperlink>
        </w:p>
        <w:p w:rsidR="001C18AB" w:rsidRDefault="00F62119">
          <w:pPr>
            <w:pStyle w:val="Obsah1"/>
            <w:tabs>
              <w:tab w:val="left" w:pos="440"/>
              <w:tab w:val="right" w:leader="dot" w:pos="10456"/>
            </w:tabs>
            <w:rPr>
              <w:rFonts w:asciiTheme="minorHAnsi" w:eastAsiaTheme="minorEastAsia" w:hAnsiTheme="minorHAnsi" w:cstheme="minorBidi"/>
              <w:noProof/>
              <w:lang w:eastAsia="cs-CZ"/>
            </w:rPr>
          </w:pPr>
          <w:hyperlink w:anchor="_Toc373223684" w:history="1">
            <w:r w:rsidR="001C18AB" w:rsidRPr="00985AFE">
              <w:rPr>
                <w:rStyle w:val="Hypertextovodkaz"/>
                <w:rFonts w:cs="Arial"/>
                <w:noProof/>
              </w:rPr>
              <w:t>2.</w:t>
            </w:r>
            <w:r w:rsidR="001C18AB">
              <w:rPr>
                <w:rFonts w:asciiTheme="minorHAnsi" w:eastAsiaTheme="minorEastAsia" w:hAnsiTheme="minorHAnsi" w:cstheme="minorBidi"/>
                <w:noProof/>
                <w:lang w:eastAsia="cs-CZ"/>
              </w:rPr>
              <w:tab/>
            </w:r>
            <w:r w:rsidR="001C18AB" w:rsidRPr="00985AFE">
              <w:rPr>
                <w:rStyle w:val="Hypertextovodkaz"/>
                <w:rFonts w:cs="Arial"/>
                <w:noProof/>
              </w:rPr>
              <w:t>Současná situace nemocnic</w:t>
            </w:r>
            <w:r w:rsidR="001C18AB">
              <w:rPr>
                <w:noProof/>
                <w:webHidden/>
              </w:rPr>
              <w:tab/>
            </w:r>
            <w:r w:rsidR="001C18AB">
              <w:rPr>
                <w:noProof/>
                <w:webHidden/>
              </w:rPr>
              <w:fldChar w:fldCharType="begin"/>
            </w:r>
            <w:r w:rsidR="001C18AB">
              <w:rPr>
                <w:noProof/>
                <w:webHidden/>
              </w:rPr>
              <w:instrText xml:space="preserve"> PAGEREF _Toc373223684 \h </w:instrText>
            </w:r>
            <w:r w:rsidR="001C18AB">
              <w:rPr>
                <w:noProof/>
                <w:webHidden/>
              </w:rPr>
            </w:r>
            <w:r w:rsidR="001C18AB">
              <w:rPr>
                <w:noProof/>
                <w:webHidden/>
              </w:rPr>
              <w:fldChar w:fldCharType="separate"/>
            </w:r>
            <w:r w:rsidR="001C18AB">
              <w:rPr>
                <w:noProof/>
                <w:webHidden/>
              </w:rPr>
              <w:t>11</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5" w:history="1">
            <w:r w:rsidR="001C18AB" w:rsidRPr="00985AFE">
              <w:rPr>
                <w:rStyle w:val="Hypertextovodkaz"/>
                <w:rFonts w:cs="Arial"/>
                <w:noProof/>
              </w:rPr>
              <w:t>2.1.</w:t>
            </w:r>
            <w:r w:rsidR="001C18AB">
              <w:rPr>
                <w:rFonts w:asciiTheme="minorHAnsi" w:eastAsiaTheme="minorEastAsia" w:hAnsiTheme="minorHAnsi" w:cstheme="minorBidi"/>
                <w:noProof/>
                <w:lang w:eastAsia="cs-CZ"/>
              </w:rPr>
              <w:tab/>
            </w:r>
            <w:r w:rsidR="001C18AB" w:rsidRPr="00985AFE">
              <w:rPr>
                <w:rStyle w:val="Hypertextovodkaz"/>
                <w:rFonts w:cs="Arial"/>
                <w:noProof/>
              </w:rPr>
              <w:t>Mzdové náklady</w:t>
            </w:r>
            <w:r w:rsidR="001C18AB">
              <w:rPr>
                <w:noProof/>
                <w:webHidden/>
              </w:rPr>
              <w:tab/>
            </w:r>
            <w:r w:rsidR="001C18AB">
              <w:rPr>
                <w:noProof/>
                <w:webHidden/>
              </w:rPr>
              <w:fldChar w:fldCharType="begin"/>
            </w:r>
            <w:r w:rsidR="001C18AB">
              <w:rPr>
                <w:noProof/>
                <w:webHidden/>
              </w:rPr>
              <w:instrText xml:space="preserve"> PAGEREF _Toc373223685 \h </w:instrText>
            </w:r>
            <w:r w:rsidR="001C18AB">
              <w:rPr>
                <w:noProof/>
                <w:webHidden/>
              </w:rPr>
            </w:r>
            <w:r w:rsidR="001C18AB">
              <w:rPr>
                <w:noProof/>
                <w:webHidden/>
              </w:rPr>
              <w:fldChar w:fldCharType="separate"/>
            </w:r>
            <w:r w:rsidR="001C18AB">
              <w:rPr>
                <w:noProof/>
                <w:webHidden/>
              </w:rPr>
              <w:t>12</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6" w:history="1">
            <w:r w:rsidR="001C18AB" w:rsidRPr="00985AFE">
              <w:rPr>
                <w:rStyle w:val="Hypertextovodkaz"/>
                <w:rFonts w:cs="Arial"/>
                <w:noProof/>
              </w:rPr>
              <w:t>2.2.</w:t>
            </w:r>
            <w:r w:rsidR="001C18AB">
              <w:rPr>
                <w:rFonts w:asciiTheme="minorHAnsi" w:eastAsiaTheme="minorEastAsia" w:hAnsiTheme="minorHAnsi" w:cstheme="minorBidi"/>
                <w:noProof/>
                <w:lang w:eastAsia="cs-CZ"/>
              </w:rPr>
              <w:tab/>
            </w:r>
            <w:r w:rsidR="001C18AB" w:rsidRPr="00985AFE">
              <w:rPr>
                <w:rStyle w:val="Hypertextovodkaz"/>
                <w:rFonts w:cs="Arial"/>
                <w:noProof/>
              </w:rPr>
              <w:t>Provozní náklady – závazky</w:t>
            </w:r>
            <w:r w:rsidR="001C18AB">
              <w:rPr>
                <w:noProof/>
                <w:webHidden/>
              </w:rPr>
              <w:tab/>
            </w:r>
            <w:r w:rsidR="001C18AB">
              <w:rPr>
                <w:noProof/>
                <w:webHidden/>
              </w:rPr>
              <w:fldChar w:fldCharType="begin"/>
            </w:r>
            <w:r w:rsidR="001C18AB">
              <w:rPr>
                <w:noProof/>
                <w:webHidden/>
              </w:rPr>
              <w:instrText xml:space="preserve"> PAGEREF _Toc373223686 \h </w:instrText>
            </w:r>
            <w:r w:rsidR="001C18AB">
              <w:rPr>
                <w:noProof/>
                <w:webHidden/>
              </w:rPr>
            </w:r>
            <w:r w:rsidR="001C18AB">
              <w:rPr>
                <w:noProof/>
                <w:webHidden/>
              </w:rPr>
              <w:fldChar w:fldCharType="separate"/>
            </w:r>
            <w:r w:rsidR="001C18AB">
              <w:rPr>
                <w:noProof/>
                <w:webHidden/>
              </w:rPr>
              <w:t>14</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7" w:history="1">
            <w:r w:rsidR="001C18AB" w:rsidRPr="00985AFE">
              <w:rPr>
                <w:rStyle w:val="Hypertextovodkaz"/>
                <w:rFonts w:cs="Arial"/>
                <w:noProof/>
              </w:rPr>
              <w:t>2.3.</w:t>
            </w:r>
            <w:r w:rsidR="001C18AB">
              <w:rPr>
                <w:rFonts w:asciiTheme="minorHAnsi" w:eastAsiaTheme="minorEastAsia" w:hAnsiTheme="minorHAnsi" w:cstheme="minorBidi"/>
                <w:noProof/>
                <w:lang w:eastAsia="cs-CZ"/>
              </w:rPr>
              <w:tab/>
            </w:r>
            <w:r w:rsidR="001C18AB" w:rsidRPr="00985AFE">
              <w:rPr>
                <w:rStyle w:val="Hypertextovodkaz"/>
                <w:rFonts w:cs="Arial"/>
                <w:noProof/>
              </w:rPr>
              <w:t>Úhrady od ZP</w:t>
            </w:r>
            <w:r w:rsidR="001C18AB">
              <w:rPr>
                <w:noProof/>
                <w:webHidden/>
              </w:rPr>
              <w:tab/>
            </w:r>
            <w:r w:rsidR="001C18AB">
              <w:rPr>
                <w:noProof/>
                <w:webHidden/>
              </w:rPr>
              <w:fldChar w:fldCharType="begin"/>
            </w:r>
            <w:r w:rsidR="001C18AB">
              <w:rPr>
                <w:noProof/>
                <w:webHidden/>
              </w:rPr>
              <w:instrText xml:space="preserve"> PAGEREF _Toc373223687 \h </w:instrText>
            </w:r>
            <w:r w:rsidR="001C18AB">
              <w:rPr>
                <w:noProof/>
                <w:webHidden/>
              </w:rPr>
            </w:r>
            <w:r w:rsidR="001C18AB">
              <w:rPr>
                <w:noProof/>
                <w:webHidden/>
              </w:rPr>
              <w:fldChar w:fldCharType="separate"/>
            </w:r>
            <w:r w:rsidR="001C18AB">
              <w:rPr>
                <w:noProof/>
                <w:webHidden/>
              </w:rPr>
              <w:t>17</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88" w:history="1">
            <w:r w:rsidR="001C18AB" w:rsidRPr="00985AFE">
              <w:rPr>
                <w:rStyle w:val="Hypertextovodkaz"/>
                <w:rFonts w:cs="Arial"/>
                <w:noProof/>
              </w:rPr>
              <w:t>2.4.</w:t>
            </w:r>
            <w:r w:rsidR="001C18AB">
              <w:rPr>
                <w:rFonts w:asciiTheme="minorHAnsi" w:eastAsiaTheme="minorEastAsia" w:hAnsiTheme="minorHAnsi" w:cstheme="minorBidi"/>
                <w:noProof/>
                <w:lang w:eastAsia="cs-CZ"/>
              </w:rPr>
              <w:tab/>
            </w:r>
            <w:r w:rsidR="001C18AB" w:rsidRPr="00985AFE">
              <w:rPr>
                <w:rStyle w:val="Hypertextovodkaz"/>
                <w:rFonts w:cs="Arial"/>
                <w:noProof/>
              </w:rPr>
              <w:t>Hospodářský výsledek za 1. pololetí 2013 a srovnání se zahraničím</w:t>
            </w:r>
            <w:r w:rsidR="001C18AB">
              <w:rPr>
                <w:noProof/>
                <w:webHidden/>
              </w:rPr>
              <w:tab/>
            </w:r>
            <w:r w:rsidR="001C18AB">
              <w:rPr>
                <w:noProof/>
                <w:webHidden/>
              </w:rPr>
              <w:fldChar w:fldCharType="begin"/>
            </w:r>
            <w:r w:rsidR="001C18AB">
              <w:rPr>
                <w:noProof/>
                <w:webHidden/>
              </w:rPr>
              <w:instrText xml:space="preserve"> PAGEREF _Toc373223688 \h </w:instrText>
            </w:r>
            <w:r w:rsidR="001C18AB">
              <w:rPr>
                <w:noProof/>
                <w:webHidden/>
              </w:rPr>
            </w:r>
            <w:r w:rsidR="001C18AB">
              <w:rPr>
                <w:noProof/>
                <w:webHidden/>
              </w:rPr>
              <w:fldChar w:fldCharType="separate"/>
            </w:r>
            <w:r w:rsidR="001C18AB">
              <w:rPr>
                <w:noProof/>
                <w:webHidden/>
              </w:rPr>
              <w:t>18</w:t>
            </w:r>
            <w:r w:rsidR="001C18AB">
              <w:rPr>
                <w:noProof/>
                <w:webHidden/>
              </w:rPr>
              <w:fldChar w:fldCharType="end"/>
            </w:r>
          </w:hyperlink>
        </w:p>
        <w:p w:rsidR="001C18AB" w:rsidRDefault="00F62119">
          <w:pPr>
            <w:pStyle w:val="Obsah1"/>
            <w:tabs>
              <w:tab w:val="left" w:pos="440"/>
              <w:tab w:val="right" w:leader="dot" w:pos="10456"/>
            </w:tabs>
            <w:rPr>
              <w:rFonts w:asciiTheme="minorHAnsi" w:eastAsiaTheme="minorEastAsia" w:hAnsiTheme="minorHAnsi" w:cstheme="minorBidi"/>
              <w:noProof/>
              <w:lang w:eastAsia="cs-CZ"/>
            </w:rPr>
          </w:pPr>
          <w:hyperlink w:anchor="_Toc373223689" w:history="1">
            <w:r w:rsidR="001C18AB" w:rsidRPr="00985AFE">
              <w:rPr>
                <w:rStyle w:val="Hypertextovodkaz"/>
                <w:rFonts w:cs="Arial"/>
                <w:noProof/>
              </w:rPr>
              <w:t>3.</w:t>
            </w:r>
            <w:r w:rsidR="001C18AB">
              <w:rPr>
                <w:rFonts w:asciiTheme="minorHAnsi" w:eastAsiaTheme="minorEastAsia" w:hAnsiTheme="minorHAnsi" w:cstheme="minorBidi"/>
                <w:noProof/>
                <w:lang w:eastAsia="cs-CZ"/>
              </w:rPr>
              <w:tab/>
            </w:r>
            <w:r w:rsidR="001C18AB" w:rsidRPr="00985AFE">
              <w:rPr>
                <w:rStyle w:val="Hypertextovodkaz"/>
                <w:rFonts w:cs="Arial"/>
                <w:noProof/>
              </w:rPr>
              <w:t>Situace v oblasti poskytování lázeňské léčebně rehabilitační péče</w:t>
            </w:r>
            <w:r w:rsidR="001C18AB">
              <w:rPr>
                <w:noProof/>
                <w:webHidden/>
              </w:rPr>
              <w:tab/>
            </w:r>
            <w:r w:rsidR="001C18AB">
              <w:rPr>
                <w:noProof/>
                <w:webHidden/>
              </w:rPr>
              <w:fldChar w:fldCharType="begin"/>
            </w:r>
            <w:r w:rsidR="001C18AB">
              <w:rPr>
                <w:noProof/>
                <w:webHidden/>
              </w:rPr>
              <w:instrText xml:space="preserve"> PAGEREF _Toc373223689 \h </w:instrText>
            </w:r>
            <w:r w:rsidR="001C18AB">
              <w:rPr>
                <w:noProof/>
                <w:webHidden/>
              </w:rPr>
            </w:r>
            <w:r w:rsidR="001C18AB">
              <w:rPr>
                <w:noProof/>
                <w:webHidden/>
              </w:rPr>
              <w:fldChar w:fldCharType="separate"/>
            </w:r>
            <w:r w:rsidR="001C18AB">
              <w:rPr>
                <w:noProof/>
                <w:webHidden/>
              </w:rPr>
              <w:t>19</w:t>
            </w:r>
            <w:r w:rsidR="001C18AB">
              <w:rPr>
                <w:noProof/>
                <w:webHidden/>
              </w:rPr>
              <w:fldChar w:fldCharType="end"/>
            </w:r>
          </w:hyperlink>
        </w:p>
        <w:p w:rsidR="001C18AB" w:rsidRDefault="00F62119">
          <w:pPr>
            <w:pStyle w:val="Obsah1"/>
            <w:tabs>
              <w:tab w:val="left" w:pos="440"/>
              <w:tab w:val="right" w:leader="dot" w:pos="10456"/>
            </w:tabs>
            <w:rPr>
              <w:rFonts w:asciiTheme="minorHAnsi" w:eastAsiaTheme="minorEastAsia" w:hAnsiTheme="minorHAnsi" w:cstheme="minorBidi"/>
              <w:noProof/>
              <w:lang w:eastAsia="cs-CZ"/>
            </w:rPr>
          </w:pPr>
          <w:hyperlink w:anchor="_Toc373223690" w:history="1">
            <w:r w:rsidR="001C18AB" w:rsidRPr="00985AFE">
              <w:rPr>
                <w:rStyle w:val="Hypertextovodkaz"/>
                <w:rFonts w:cs="Arial"/>
                <w:noProof/>
              </w:rPr>
              <w:t>4.</w:t>
            </w:r>
            <w:r w:rsidR="001C18AB">
              <w:rPr>
                <w:rFonts w:asciiTheme="minorHAnsi" w:eastAsiaTheme="minorEastAsia" w:hAnsiTheme="minorHAnsi" w:cstheme="minorBidi"/>
                <w:noProof/>
                <w:lang w:eastAsia="cs-CZ"/>
              </w:rPr>
              <w:tab/>
            </w:r>
            <w:r w:rsidR="001C18AB" w:rsidRPr="00985AFE">
              <w:rPr>
                <w:rStyle w:val="Hypertextovodkaz"/>
                <w:rFonts w:cs="Arial"/>
                <w:noProof/>
              </w:rPr>
              <w:t>Soutěžní mechanismy při nákupu léčiv</w:t>
            </w:r>
            <w:r w:rsidR="001C18AB">
              <w:rPr>
                <w:noProof/>
                <w:webHidden/>
              </w:rPr>
              <w:tab/>
            </w:r>
            <w:r w:rsidR="001C18AB">
              <w:rPr>
                <w:noProof/>
                <w:webHidden/>
              </w:rPr>
              <w:fldChar w:fldCharType="begin"/>
            </w:r>
            <w:r w:rsidR="001C18AB">
              <w:rPr>
                <w:noProof/>
                <w:webHidden/>
              </w:rPr>
              <w:instrText xml:space="preserve"> PAGEREF _Toc373223690 \h </w:instrText>
            </w:r>
            <w:r w:rsidR="001C18AB">
              <w:rPr>
                <w:noProof/>
                <w:webHidden/>
              </w:rPr>
            </w:r>
            <w:r w:rsidR="001C18AB">
              <w:rPr>
                <w:noProof/>
                <w:webHidden/>
              </w:rPr>
              <w:fldChar w:fldCharType="separate"/>
            </w:r>
            <w:r w:rsidR="001C18AB">
              <w:rPr>
                <w:noProof/>
                <w:webHidden/>
              </w:rPr>
              <w:t>20</w:t>
            </w:r>
            <w:r w:rsidR="001C18AB">
              <w:rPr>
                <w:noProof/>
                <w:webHidden/>
              </w:rPr>
              <w:fldChar w:fldCharType="end"/>
            </w:r>
          </w:hyperlink>
        </w:p>
        <w:p w:rsidR="001C18AB" w:rsidRDefault="00F62119">
          <w:pPr>
            <w:pStyle w:val="Obsah1"/>
            <w:tabs>
              <w:tab w:val="left" w:pos="440"/>
              <w:tab w:val="right" w:leader="dot" w:pos="10456"/>
            </w:tabs>
            <w:rPr>
              <w:rFonts w:asciiTheme="minorHAnsi" w:eastAsiaTheme="minorEastAsia" w:hAnsiTheme="minorHAnsi" w:cstheme="minorBidi"/>
              <w:noProof/>
              <w:lang w:eastAsia="cs-CZ"/>
            </w:rPr>
          </w:pPr>
          <w:hyperlink w:anchor="_Toc373223691" w:history="1">
            <w:r w:rsidR="001C18AB" w:rsidRPr="00985AFE">
              <w:rPr>
                <w:rStyle w:val="Hypertextovodkaz"/>
                <w:rFonts w:cs="Arial"/>
                <w:noProof/>
              </w:rPr>
              <w:t>5.</w:t>
            </w:r>
            <w:r w:rsidR="001C18AB">
              <w:rPr>
                <w:rFonts w:asciiTheme="minorHAnsi" w:eastAsiaTheme="minorEastAsia" w:hAnsiTheme="minorHAnsi" w:cstheme="minorBidi"/>
                <w:noProof/>
                <w:lang w:eastAsia="cs-CZ"/>
              </w:rPr>
              <w:tab/>
            </w:r>
            <w:r w:rsidR="001C18AB" w:rsidRPr="00985AFE">
              <w:rPr>
                <w:rStyle w:val="Hypertextovodkaz"/>
                <w:rFonts w:cs="Arial"/>
                <w:noProof/>
              </w:rPr>
              <w:t>Úhradová vyhláška pro rok 2014</w:t>
            </w:r>
            <w:r w:rsidR="001C18AB">
              <w:rPr>
                <w:noProof/>
                <w:webHidden/>
              </w:rPr>
              <w:tab/>
            </w:r>
            <w:r w:rsidR="001C18AB">
              <w:rPr>
                <w:noProof/>
                <w:webHidden/>
              </w:rPr>
              <w:fldChar w:fldCharType="begin"/>
            </w:r>
            <w:r w:rsidR="001C18AB">
              <w:rPr>
                <w:noProof/>
                <w:webHidden/>
              </w:rPr>
              <w:instrText xml:space="preserve"> PAGEREF _Toc373223691 \h </w:instrText>
            </w:r>
            <w:r w:rsidR="001C18AB">
              <w:rPr>
                <w:noProof/>
                <w:webHidden/>
              </w:rPr>
            </w:r>
            <w:r w:rsidR="001C18AB">
              <w:rPr>
                <w:noProof/>
                <w:webHidden/>
              </w:rPr>
              <w:fldChar w:fldCharType="separate"/>
            </w:r>
            <w:r w:rsidR="001C18AB">
              <w:rPr>
                <w:noProof/>
                <w:webHidden/>
              </w:rPr>
              <w:t>21</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92" w:history="1">
            <w:r w:rsidR="001C18AB" w:rsidRPr="00985AFE">
              <w:rPr>
                <w:rStyle w:val="Hypertextovodkaz"/>
                <w:rFonts w:cs="Arial"/>
                <w:noProof/>
              </w:rPr>
              <w:t>5.1.</w:t>
            </w:r>
            <w:r w:rsidR="001C18AB">
              <w:rPr>
                <w:rFonts w:asciiTheme="minorHAnsi" w:eastAsiaTheme="minorEastAsia" w:hAnsiTheme="minorHAnsi" w:cstheme="minorBidi"/>
                <w:noProof/>
                <w:lang w:eastAsia="cs-CZ"/>
              </w:rPr>
              <w:tab/>
            </w:r>
            <w:r w:rsidR="001C18AB" w:rsidRPr="00985AFE">
              <w:rPr>
                <w:rStyle w:val="Hypertextovodkaz"/>
                <w:rFonts w:cs="Arial"/>
                <w:noProof/>
              </w:rPr>
              <w:t>Ekonomická situace systému zdravotního pojištění</w:t>
            </w:r>
            <w:r w:rsidR="001C18AB">
              <w:rPr>
                <w:noProof/>
                <w:webHidden/>
              </w:rPr>
              <w:tab/>
            </w:r>
            <w:r w:rsidR="001C18AB">
              <w:rPr>
                <w:noProof/>
                <w:webHidden/>
              </w:rPr>
              <w:fldChar w:fldCharType="begin"/>
            </w:r>
            <w:r w:rsidR="001C18AB">
              <w:rPr>
                <w:noProof/>
                <w:webHidden/>
              </w:rPr>
              <w:instrText xml:space="preserve"> PAGEREF _Toc373223692 \h </w:instrText>
            </w:r>
            <w:r w:rsidR="001C18AB">
              <w:rPr>
                <w:noProof/>
                <w:webHidden/>
              </w:rPr>
            </w:r>
            <w:r w:rsidR="001C18AB">
              <w:rPr>
                <w:noProof/>
                <w:webHidden/>
              </w:rPr>
              <w:fldChar w:fldCharType="separate"/>
            </w:r>
            <w:r w:rsidR="001C18AB">
              <w:rPr>
                <w:noProof/>
                <w:webHidden/>
              </w:rPr>
              <w:t>21</w:t>
            </w:r>
            <w:r w:rsidR="001C18AB">
              <w:rPr>
                <w:noProof/>
                <w:webHidden/>
              </w:rPr>
              <w:fldChar w:fldCharType="end"/>
            </w:r>
          </w:hyperlink>
        </w:p>
        <w:p w:rsidR="001C18AB" w:rsidRDefault="00F62119">
          <w:pPr>
            <w:pStyle w:val="Obsah2"/>
            <w:tabs>
              <w:tab w:val="left" w:pos="880"/>
              <w:tab w:val="right" w:leader="dot" w:pos="10456"/>
            </w:tabs>
            <w:rPr>
              <w:rFonts w:asciiTheme="minorHAnsi" w:eastAsiaTheme="minorEastAsia" w:hAnsiTheme="minorHAnsi" w:cstheme="minorBidi"/>
              <w:noProof/>
              <w:lang w:eastAsia="cs-CZ"/>
            </w:rPr>
          </w:pPr>
          <w:hyperlink w:anchor="_Toc373223693" w:history="1">
            <w:r w:rsidR="001C18AB" w:rsidRPr="00985AFE">
              <w:rPr>
                <w:rStyle w:val="Hypertextovodkaz"/>
                <w:rFonts w:cs="Arial"/>
                <w:noProof/>
              </w:rPr>
              <w:t>5.2.</w:t>
            </w:r>
            <w:r w:rsidR="001C18AB">
              <w:rPr>
                <w:rFonts w:asciiTheme="minorHAnsi" w:eastAsiaTheme="minorEastAsia" w:hAnsiTheme="minorHAnsi" w:cstheme="minorBidi"/>
                <w:noProof/>
                <w:lang w:eastAsia="cs-CZ"/>
              </w:rPr>
              <w:tab/>
            </w:r>
            <w:r w:rsidR="001C18AB" w:rsidRPr="00985AFE">
              <w:rPr>
                <w:rStyle w:val="Hypertextovodkaz"/>
                <w:rFonts w:cs="Arial"/>
                <w:noProof/>
              </w:rPr>
              <w:t>Zohlednění nálezu Ústavního soudu (zrušení úhradové vyhlášky na rok 2013)</w:t>
            </w:r>
            <w:r w:rsidR="001C18AB">
              <w:rPr>
                <w:noProof/>
                <w:webHidden/>
              </w:rPr>
              <w:tab/>
            </w:r>
            <w:r w:rsidR="001C18AB">
              <w:rPr>
                <w:noProof/>
                <w:webHidden/>
              </w:rPr>
              <w:fldChar w:fldCharType="begin"/>
            </w:r>
            <w:r w:rsidR="001C18AB">
              <w:rPr>
                <w:noProof/>
                <w:webHidden/>
              </w:rPr>
              <w:instrText xml:space="preserve"> PAGEREF _Toc373223693 \h </w:instrText>
            </w:r>
            <w:r w:rsidR="001C18AB">
              <w:rPr>
                <w:noProof/>
                <w:webHidden/>
              </w:rPr>
            </w:r>
            <w:r w:rsidR="001C18AB">
              <w:rPr>
                <w:noProof/>
                <w:webHidden/>
              </w:rPr>
              <w:fldChar w:fldCharType="separate"/>
            </w:r>
            <w:r w:rsidR="001C18AB">
              <w:rPr>
                <w:noProof/>
                <w:webHidden/>
              </w:rPr>
              <w:t>22</w:t>
            </w:r>
            <w:r w:rsidR="001C18AB">
              <w:rPr>
                <w:noProof/>
                <w:webHidden/>
              </w:rPr>
              <w:fldChar w:fldCharType="end"/>
            </w:r>
          </w:hyperlink>
        </w:p>
        <w:p w:rsidR="001C18AB" w:rsidRDefault="00F62119">
          <w:pPr>
            <w:pStyle w:val="Obsah1"/>
            <w:tabs>
              <w:tab w:val="left" w:pos="440"/>
              <w:tab w:val="right" w:leader="dot" w:pos="10456"/>
            </w:tabs>
            <w:rPr>
              <w:rFonts w:asciiTheme="minorHAnsi" w:eastAsiaTheme="minorEastAsia" w:hAnsiTheme="minorHAnsi" w:cstheme="minorBidi"/>
              <w:noProof/>
              <w:lang w:eastAsia="cs-CZ"/>
            </w:rPr>
          </w:pPr>
          <w:hyperlink w:anchor="_Toc373223694" w:history="1">
            <w:r w:rsidR="001C18AB" w:rsidRPr="00985AFE">
              <w:rPr>
                <w:rStyle w:val="Hypertextovodkaz"/>
                <w:rFonts w:cs="Arial"/>
                <w:noProof/>
              </w:rPr>
              <w:t>6.</w:t>
            </w:r>
            <w:r w:rsidR="001C18AB">
              <w:rPr>
                <w:rFonts w:asciiTheme="minorHAnsi" w:eastAsiaTheme="minorEastAsia" w:hAnsiTheme="minorHAnsi" w:cstheme="minorBidi"/>
                <w:noProof/>
                <w:lang w:eastAsia="cs-CZ"/>
              </w:rPr>
              <w:tab/>
            </w:r>
            <w:r w:rsidR="001C18AB" w:rsidRPr="00985AFE">
              <w:rPr>
                <w:rStyle w:val="Hypertextovodkaz"/>
                <w:rFonts w:cs="Arial"/>
                <w:noProof/>
              </w:rPr>
              <w:t>Vývojové trendy v ČR a mezinárodní srovnání</w:t>
            </w:r>
            <w:r w:rsidR="001C18AB">
              <w:rPr>
                <w:noProof/>
                <w:webHidden/>
              </w:rPr>
              <w:tab/>
            </w:r>
            <w:r w:rsidR="001C18AB">
              <w:rPr>
                <w:noProof/>
                <w:webHidden/>
              </w:rPr>
              <w:fldChar w:fldCharType="begin"/>
            </w:r>
            <w:r w:rsidR="001C18AB">
              <w:rPr>
                <w:noProof/>
                <w:webHidden/>
              </w:rPr>
              <w:instrText xml:space="preserve"> PAGEREF _Toc373223694 \h </w:instrText>
            </w:r>
            <w:r w:rsidR="001C18AB">
              <w:rPr>
                <w:noProof/>
                <w:webHidden/>
              </w:rPr>
            </w:r>
            <w:r w:rsidR="001C18AB">
              <w:rPr>
                <w:noProof/>
                <w:webHidden/>
              </w:rPr>
              <w:fldChar w:fldCharType="separate"/>
            </w:r>
            <w:r w:rsidR="001C18AB">
              <w:rPr>
                <w:noProof/>
                <w:webHidden/>
              </w:rPr>
              <w:t>24</w:t>
            </w:r>
            <w:r w:rsidR="001C18AB">
              <w:rPr>
                <w:noProof/>
                <w:webHidden/>
              </w:rPr>
              <w:fldChar w:fldCharType="end"/>
            </w:r>
          </w:hyperlink>
        </w:p>
        <w:p w:rsidR="00A17188" w:rsidRDefault="00A17188">
          <w:r w:rsidRPr="00C20389">
            <w:rPr>
              <w:b/>
              <w:bCs/>
              <w:sz w:val="24"/>
              <w:szCs w:val="24"/>
            </w:rPr>
            <w:fldChar w:fldCharType="end"/>
          </w:r>
        </w:p>
      </w:sdtContent>
    </w:sdt>
    <w:p w:rsidR="00A17188" w:rsidRPr="008D0EBF" w:rsidRDefault="002F4920" w:rsidP="00A17188">
      <w:pPr>
        <w:pStyle w:val="Nadpis1"/>
        <w:numPr>
          <w:ilvl w:val="0"/>
          <w:numId w:val="20"/>
        </w:numPr>
        <w:rPr>
          <w:rFonts w:asciiTheme="minorHAnsi" w:hAnsiTheme="minorHAnsi" w:cs="Arial"/>
          <w:color w:val="auto"/>
        </w:rPr>
      </w:pPr>
      <w:r>
        <w:br w:type="column"/>
      </w:r>
      <w:bookmarkStart w:id="0" w:name="_Toc367188607"/>
      <w:bookmarkStart w:id="1" w:name="_Toc373223679"/>
      <w:r w:rsidR="00A17188" w:rsidRPr="008D0EBF">
        <w:rPr>
          <w:rFonts w:asciiTheme="minorHAnsi" w:hAnsiTheme="minorHAnsi" w:cs="Arial"/>
          <w:color w:val="auto"/>
        </w:rPr>
        <w:t>Výchozí stav</w:t>
      </w:r>
      <w:bookmarkEnd w:id="0"/>
      <w:bookmarkEnd w:id="1"/>
    </w:p>
    <w:p w:rsidR="00A17188" w:rsidRPr="008D0EBF" w:rsidRDefault="00A17188" w:rsidP="00A17188">
      <w:pPr>
        <w:pStyle w:val="Nadpis2"/>
        <w:numPr>
          <w:ilvl w:val="1"/>
          <w:numId w:val="20"/>
        </w:numPr>
        <w:rPr>
          <w:rFonts w:asciiTheme="minorHAnsi" w:hAnsiTheme="minorHAnsi" w:cs="Arial"/>
          <w:color w:val="auto"/>
        </w:rPr>
      </w:pPr>
      <w:bookmarkStart w:id="2" w:name="_Toc367188608"/>
      <w:bookmarkStart w:id="3" w:name="_Toc373223680"/>
      <w:r w:rsidRPr="008D0EBF">
        <w:rPr>
          <w:rFonts w:asciiTheme="minorHAnsi" w:hAnsiTheme="minorHAnsi" w:cs="Arial"/>
          <w:color w:val="auto"/>
        </w:rPr>
        <w:t>Systém veřejného zdravotního pojištění</w:t>
      </w:r>
      <w:bookmarkEnd w:id="2"/>
      <w:r w:rsidR="00C20389">
        <w:rPr>
          <w:rFonts w:asciiTheme="minorHAnsi" w:hAnsiTheme="minorHAnsi" w:cs="Arial"/>
          <w:color w:val="auto"/>
        </w:rPr>
        <w:t xml:space="preserve"> k roku 2013</w:t>
      </w:r>
      <w:bookmarkEnd w:id="3"/>
    </w:p>
    <w:p w:rsidR="00A17188" w:rsidRPr="008D0EBF" w:rsidRDefault="00A17188" w:rsidP="00A17188"/>
    <w:p w:rsidR="00A17188" w:rsidRPr="00C20389" w:rsidRDefault="00A17188" w:rsidP="00A17188">
      <w:pPr>
        <w:jc w:val="both"/>
        <w:rPr>
          <w:rFonts w:cs="Arial"/>
          <w:sz w:val="24"/>
          <w:szCs w:val="24"/>
        </w:rPr>
      </w:pPr>
      <w:r w:rsidRPr="00C20389">
        <w:rPr>
          <w:rFonts w:cs="Arial"/>
          <w:sz w:val="24"/>
          <w:szCs w:val="24"/>
        </w:rPr>
        <w:t>Do roku 2008 byl průměrný meziroční růst systému v.z.p.  o 8,5 mld. Kč. V roce 2009 nastal propad a v dalších letech růst na úrovni „kladné nuly“, kdy v letech 2009 až 2012 žil systém z rezerv zdravotních pojišťoven, každoroční deficit v objemu 5 až 6,7 mld. Kč, dnes jsou již rezervy téměř vyčerpány.  Z rezerv zdravotních pojišťoven se od roku 2009 vyčerpalo 24 mld. Kč.</w:t>
      </w:r>
    </w:p>
    <w:p w:rsidR="00A17188" w:rsidRPr="00C20389" w:rsidRDefault="00A17188" w:rsidP="00A17188">
      <w:pPr>
        <w:jc w:val="both"/>
        <w:rPr>
          <w:rFonts w:cs="Arial"/>
          <w:sz w:val="24"/>
          <w:szCs w:val="24"/>
        </w:rPr>
      </w:pPr>
      <w:r w:rsidRPr="00C20389">
        <w:rPr>
          <w:rFonts w:cs="Arial"/>
          <w:sz w:val="24"/>
          <w:szCs w:val="24"/>
        </w:rPr>
        <w:t xml:space="preserve">V letech 2000 – 2013 došlo k celkovému přesunu 1,3 mil. pojištenců od VZP k zaměstnaneckým pojišťovnám. </w:t>
      </w:r>
    </w:p>
    <w:p w:rsidR="00A17188" w:rsidRPr="008D0EBF" w:rsidRDefault="00A17188" w:rsidP="00B46E6A">
      <w:pPr>
        <w:jc w:val="center"/>
        <w:rPr>
          <w:rFonts w:cs="Arial"/>
        </w:rPr>
      </w:pPr>
      <w:r w:rsidRPr="008D0EBF">
        <w:rPr>
          <w:rFonts w:cs="Arial"/>
          <w:noProof/>
          <w:lang w:eastAsia="cs-CZ"/>
        </w:rPr>
        <w:drawing>
          <wp:inline distT="0" distB="0" distL="0" distR="0" wp14:anchorId="53333C54" wp14:editId="6F9E4B7D">
            <wp:extent cx="5760720" cy="3155963"/>
            <wp:effectExtent l="0" t="0" r="0" b="6350"/>
            <wp:docPr id="17917" name="Picture 1" descr="C:\Users\jcihar\Documents\poj\Pocty pojistencu dle ZP\Graf pocty poj 2000 az 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7" name="Picture 1" descr="C:\Users\jcihar\Documents\poj\Pocty pojistencu dle ZP\Graf pocty poj 2000 az 201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155963"/>
                    </a:xfrm>
                    <a:prstGeom prst="rect">
                      <a:avLst/>
                    </a:prstGeom>
                    <a:solidFill>
                      <a:schemeClr val="bg1">
                        <a:lumMod val="65000"/>
                      </a:schemeClr>
                    </a:solidFill>
                    <a:ln>
                      <a:noFill/>
                    </a:ln>
                    <a:extLst/>
                  </pic:spPr>
                </pic:pic>
              </a:graphicData>
            </a:graphic>
          </wp:inline>
        </w:drawing>
      </w:r>
    </w:p>
    <w:p w:rsidR="00A17188" w:rsidRPr="008D0EBF" w:rsidRDefault="00A17188" w:rsidP="00E519D7">
      <w:pPr>
        <w:jc w:val="center"/>
        <w:rPr>
          <w:rFonts w:cs="Arial"/>
        </w:rPr>
      </w:pPr>
      <w:r w:rsidRPr="008D0EBF">
        <w:rPr>
          <w:rFonts w:cs="Arial"/>
          <w:noProof/>
          <w:lang w:eastAsia="cs-CZ"/>
        </w:rPr>
        <w:drawing>
          <wp:inline distT="0" distB="0" distL="0" distR="0" wp14:anchorId="22619518" wp14:editId="14A187B9">
            <wp:extent cx="5617028" cy="3325091"/>
            <wp:effectExtent l="0" t="0" r="22225" b="2794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17188" w:rsidRPr="00C20389" w:rsidRDefault="00A17188" w:rsidP="00A17188">
      <w:pPr>
        <w:jc w:val="both"/>
        <w:rPr>
          <w:rFonts w:cs="Arial"/>
          <w:sz w:val="24"/>
          <w:szCs w:val="24"/>
        </w:rPr>
      </w:pPr>
    </w:p>
    <w:p w:rsidR="00A17188" w:rsidRPr="008D0EBF" w:rsidRDefault="00A17188" w:rsidP="00A17188">
      <w:pPr>
        <w:jc w:val="both"/>
        <w:rPr>
          <w:rFonts w:cs="Arial"/>
        </w:rPr>
      </w:pPr>
      <w:r w:rsidRPr="00C20389">
        <w:rPr>
          <w:rFonts w:cs="Arial"/>
          <w:sz w:val="24"/>
          <w:szCs w:val="24"/>
        </w:rPr>
        <w:t>Od roku 2010 nebyla výše pojistného za státn</w:t>
      </w:r>
      <w:r w:rsidR="00BE07AE">
        <w:rPr>
          <w:rFonts w:cs="Arial"/>
          <w:sz w:val="24"/>
          <w:szCs w:val="24"/>
        </w:rPr>
        <w:t>í pojištěnce valorizována a činila</w:t>
      </w:r>
      <w:r w:rsidRPr="00C20389">
        <w:rPr>
          <w:rFonts w:cs="Arial"/>
          <w:sz w:val="24"/>
          <w:szCs w:val="24"/>
        </w:rPr>
        <w:t xml:space="preserve"> 723 Kč měsíčně. Ne</w:t>
      </w:r>
      <w:r w:rsidR="00BE07AE">
        <w:rPr>
          <w:rFonts w:cs="Arial"/>
          <w:sz w:val="24"/>
          <w:szCs w:val="24"/>
        </w:rPr>
        <w:t>byly</w:t>
      </w:r>
      <w:r w:rsidRPr="00C20389">
        <w:rPr>
          <w:rFonts w:cs="Arial"/>
          <w:sz w:val="24"/>
          <w:szCs w:val="24"/>
        </w:rPr>
        <w:t xml:space="preserve"> tak reflektovány zvyšující se náklady za tyto pojištěnce.</w:t>
      </w:r>
      <w:r w:rsidR="00BE07AE">
        <w:rPr>
          <w:rFonts w:cs="Arial"/>
          <w:sz w:val="24"/>
          <w:szCs w:val="24"/>
        </w:rPr>
        <w:t xml:space="preserve"> Zvýšení o 64 Kč v příštím roce je tak pouze návrat k nastavenému trendu.</w:t>
      </w:r>
    </w:p>
    <w:p w:rsidR="00A17188" w:rsidRPr="008D0EBF" w:rsidRDefault="00A17188" w:rsidP="00E519D7">
      <w:pPr>
        <w:jc w:val="center"/>
        <w:rPr>
          <w:rFonts w:cs="Arial"/>
        </w:rPr>
      </w:pPr>
      <w:r w:rsidRPr="008D0EBF">
        <w:rPr>
          <w:noProof/>
          <w:lang w:eastAsia="cs-CZ"/>
        </w:rPr>
        <w:drawing>
          <wp:inline distT="0" distB="0" distL="0" distR="0" wp14:anchorId="13E07B0F" wp14:editId="25DDA06E">
            <wp:extent cx="5981700" cy="2571750"/>
            <wp:effectExtent l="0" t="0" r="19050" b="19050"/>
            <wp:docPr id="5" name="Graf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7188" w:rsidRPr="00C20389" w:rsidRDefault="00A17188" w:rsidP="00A17188">
      <w:pPr>
        <w:jc w:val="both"/>
        <w:rPr>
          <w:rFonts w:cs="Arial"/>
          <w:sz w:val="24"/>
          <w:szCs w:val="24"/>
        </w:rPr>
      </w:pPr>
    </w:p>
    <w:p w:rsidR="00A17188" w:rsidRPr="00C20389" w:rsidRDefault="00A17188" w:rsidP="00A17188">
      <w:pPr>
        <w:jc w:val="both"/>
        <w:rPr>
          <w:rFonts w:cs="Arial"/>
          <w:sz w:val="24"/>
          <w:szCs w:val="24"/>
        </w:rPr>
      </w:pPr>
      <w:r w:rsidRPr="00C20389">
        <w:rPr>
          <w:rFonts w:cs="Arial"/>
          <w:sz w:val="24"/>
          <w:szCs w:val="24"/>
        </w:rPr>
        <w:t>Na rozdíl od zaměstnaneckých zdravotních pojišťoven je VZP ohrožena novelou obchodního zákoníku, která stanovuje lhůty splatnosti závazků veřejných odběratelů.</w:t>
      </w:r>
    </w:p>
    <w:p w:rsidR="00A17188" w:rsidRPr="00C20389" w:rsidRDefault="00A17188" w:rsidP="00A17188">
      <w:pPr>
        <w:jc w:val="both"/>
        <w:rPr>
          <w:rFonts w:cs="Arial"/>
          <w:sz w:val="24"/>
          <w:szCs w:val="24"/>
        </w:rPr>
      </w:pPr>
      <w:r w:rsidRPr="00C20389">
        <w:rPr>
          <w:rFonts w:cs="Arial"/>
          <w:sz w:val="24"/>
          <w:szCs w:val="24"/>
        </w:rPr>
        <w:t>Vývoj závazků VZP po lhůtě splatnosti (v mil. Kč):</w:t>
      </w:r>
    </w:p>
    <w:p w:rsidR="00A17188" w:rsidRPr="008D0EBF" w:rsidRDefault="00A17188" w:rsidP="00E519D7">
      <w:pPr>
        <w:jc w:val="center"/>
        <w:rPr>
          <w:rFonts w:cs="Arial"/>
        </w:rPr>
      </w:pPr>
      <w:r w:rsidRPr="008D0EBF">
        <w:rPr>
          <w:rFonts w:cs="Arial"/>
          <w:noProof/>
          <w:lang w:eastAsia="cs-CZ"/>
        </w:rPr>
        <w:drawing>
          <wp:inline distT="0" distB="0" distL="0" distR="0" wp14:anchorId="4260555B" wp14:editId="04B76326">
            <wp:extent cx="5629275" cy="3057525"/>
            <wp:effectExtent l="0" t="0" r="9525" b="9525"/>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17188" w:rsidRPr="008D0EBF" w:rsidRDefault="00A17188" w:rsidP="00A17188">
      <w:pPr>
        <w:jc w:val="both"/>
        <w:rPr>
          <w:rFonts w:cs="Arial"/>
        </w:rPr>
      </w:pPr>
      <w:r w:rsidRPr="008D0EBF">
        <w:rPr>
          <w:rFonts w:cs="Arial"/>
        </w:rPr>
        <w:t xml:space="preserve">  </w:t>
      </w:r>
    </w:p>
    <w:p w:rsidR="00A17188" w:rsidRPr="00C20389" w:rsidRDefault="00BE07AE" w:rsidP="00C20389">
      <w:pPr>
        <w:pStyle w:val="Odstavecseseznamem"/>
        <w:numPr>
          <w:ilvl w:val="0"/>
          <w:numId w:val="23"/>
        </w:numPr>
        <w:contextualSpacing/>
        <w:jc w:val="both"/>
        <w:rPr>
          <w:rFonts w:cs="Arial"/>
          <w:sz w:val="24"/>
          <w:szCs w:val="24"/>
        </w:rPr>
      </w:pPr>
      <w:r>
        <w:rPr>
          <w:rFonts w:cs="Arial"/>
          <w:sz w:val="24"/>
          <w:szCs w:val="24"/>
        </w:rPr>
        <w:t xml:space="preserve">Závazky </w:t>
      </w:r>
      <w:r w:rsidR="00A17188" w:rsidRPr="00C20389">
        <w:rPr>
          <w:rFonts w:cs="Arial"/>
          <w:sz w:val="24"/>
          <w:szCs w:val="24"/>
        </w:rPr>
        <w:t>VZP celkem – 5,6 mld. Kč, z toho 3,6 mld. Kč budou závazky po lhůtě splatnosti a 2 mld. Kč v důsledku nenaplnění rezervního fondu.</w:t>
      </w:r>
    </w:p>
    <w:p w:rsidR="00C20389" w:rsidRPr="00B46E6A" w:rsidRDefault="00A17188" w:rsidP="00B46E6A">
      <w:pPr>
        <w:pStyle w:val="Odstavecseseznamem"/>
        <w:numPr>
          <w:ilvl w:val="0"/>
          <w:numId w:val="23"/>
        </w:numPr>
        <w:spacing w:after="0" w:line="240" w:lineRule="auto"/>
        <w:contextualSpacing/>
        <w:jc w:val="both"/>
        <w:rPr>
          <w:rFonts w:asciiTheme="minorHAnsi" w:eastAsia="Times New Roman" w:hAnsiTheme="minorHAnsi" w:cs="Arial"/>
          <w:b/>
          <w:bCs/>
          <w:sz w:val="26"/>
          <w:szCs w:val="26"/>
        </w:rPr>
      </w:pPr>
      <w:r w:rsidRPr="00B46E6A">
        <w:rPr>
          <w:rFonts w:cs="Arial"/>
          <w:sz w:val="24"/>
          <w:szCs w:val="24"/>
        </w:rPr>
        <w:t>Zaměstnanecké pojišťovny -</w:t>
      </w:r>
      <w:r w:rsidR="00BE07AE">
        <w:rPr>
          <w:rFonts w:cs="Arial"/>
          <w:sz w:val="24"/>
          <w:szCs w:val="24"/>
        </w:rPr>
        <w:t xml:space="preserve"> </w:t>
      </w:r>
      <w:r w:rsidRPr="00B46E6A">
        <w:rPr>
          <w:rFonts w:cs="Arial"/>
          <w:sz w:val="24"/>
          <w:szCs w:val="24"/>
        </w:rPr>
        <w:t>2,4 mld. Kč, deficit bude vykryt ze zůstatků na fondech.</w:t>
      </w:r>
      <w:bookmarkStart w:id="4" w:name="_Toc367188609"/>
      <w:r w:rsidR="00C20389" w:rsidRPr="00B46E6A">
        <w:rPr>
          <w:rFonts w:asciiTheme="minorHAnsi" w:hAnsiTheme="minorHAnsi" w:cs="Arial"/>
        </w:rPr>
        <w:br w:type="page"/>
      </w:r>
    </w:p>
    <w:p w:rsidR="00A17188" w:rsidRPr="008D0EBF" w:rsidRDefault="00A17188" w:rsidP="00A17188">
      <w:pPr>
        <w:pStyle w:val="Nadpis2"/>
        <w:numPr>
          <w:ilvl w:val="1"/>
          <w:numId w:val="20"/>
        </w:numPr>
        <w:rPr>
          <w:rFonts w:asciiTheme="minorHAnsi" w:hAnsiTheme="minorHAnsi" w:cs="Arial"/>
          <w:color w:val="auto"/>
        </w:rPr>
      </w:pPr>
      <w:bookmarkStart w:id="5" w:name="_Toc373223681"/>
      <w:r w:rsidRPr="008D0EBF">
        <w:rPr>
          <w:rFonts w:asciiTheme="minorHAnsi" w:hAnsiTheme="minorHAnsi" w:cs="Arial"/>
          <w:color w:val="auto"/>
        </w:rPr>
        <w:t xml:space="preserve">Ekonomický stav </w:t>
      </w:r>
      <w:r w:rsidR="00BE07AE">
        <w:rPr>
          <w:rFonts w:asciiTheme="minorHAnsi" w:hAnsiTheme="minorHAnsi" w:cs="Arial"/>
          <w:color w:val="auto"/>
        </w:rPr>
        <w:t>v roce</w:t>
      </w:r>
      <w:r w:rsidR="00C75998">
        <w:rPr>
          <w:rFonts w:asciiTheme="minorHAnsi" w:hAnsiTheme="minorHAnsi" w:cs="Arial"/>
          <w:color w:val="auto"/>
        </w:rPr>
        <w:t xml:space="preserve"> </w:t>
      </w:r>
      <w:r w:rsidRPr="008D0EBF">
        <w:rPr>
          <w:rFonts w:asciiTheme="minorHAnsi" w:hAnsiTheme="minorHAnsi" w:cs="Arial"/>
          <w:color w:val="auto"/>
        </w:rPr>
        <w:t>2013 a výhled systému v.z.p. v r. 2014</w:t>
      </w:r>
      <w:bookmarkEnd w:id="4"/>
      <w:bookmarkEnd w:id="5"/>
    </w:p>
    <w:p w:rsidR="00A17188" w:rsidRPr="008D0EBF" w:rsidRDefault="00A17188" w:rsidP="00A17188"/>
    <w:p w:rsidR="00A17188" w:rsidRPr="00C20389" w:rsidRDefault="00A17188" w:rsidP="00C20389">
      <w:pPr>
        <w:numPr>
          <w:ilvl w:val="0"/>
          <w:numId w:val="25"/>
        </w:numPr>
        <w:ind w:left="284"/>
        <w:contextualSpacing/>
        <w:jc w:val="both"/>
        <w:rPr>
          <w:rFonts w:cs="Arial"/>
          <w:sz w:val="24"/>
          <w:szCs w:val="24"/>
        </w:rPr>
      </w:pPr>
      <w:r w:rsidRPr="00C20389">
        <w:rPr>
          <w:rFonts w:cs="Arial"/>
          <w:sz w:val="24"/>
          <w:szCs w:val="24"/>
        </w:rPr>
        <w:t xml:space="preserve">predikce stavu systému založená na </w:t>
      </w:r>
      <w:r w:rsidR="001D2E5A" w:rsidRPr="00C20389">
        <w:rPr>
          <w:rFonts w:cs="Arial"/>
          <w:sz w:val="24"/>
          <w:szCs w:val="24"/>
        </w:rPr>
        <w:t>říjnové</w:t>
      </w:r>
      <w:r w:rsidRPr="00C20389">
        <w:rPr>
          <w:rFonts w:cs="Arial"/>
          <w:sz w:val="24"/>
          <w:szCs w:val="24"/>
        </w:rPr>
        <w:t xml:space="preserve"> predikci MFČR</w:t>
      </w:r>
    </w:p>
    <w:p w:rsidR="00A17188" w:rsidRPr="00C20389" w:rsidRDefault="00A17188" w:rsidP="00C20389">
      <w:pPr>
        <w:numPr>
          <w:ilvl w:val="0"/>
          <w:numId w:val="25"/>
        </w:numPr>
        <w:ind w:left="284"/>
        <w:contextualSpacing/>
        <w:jc w:val="both"/>
        <w:rPr>
          <w:rFonts w:cs="Arial"/>
          <w:sz w:val="24"/>
          <w:szCs w:val="24"/>
        </w:rPr>
      </w:pPr>
      <w:r w:rsidRPr="00C20389">
        <w:rPr>
          <w:rFonts w:cs="Arial"/>
          <w:sz w:val="24"/>
          <w:szCs w:val="24"/>
        </w:rPr>
        <w:t xml:space="preserve">z výběru pojistného dle predikce </w:t>
      </w:r>
      <w:r w:rsidR="002D74B6" w:rsidRPr="00C20389">
        <w:rPr>
          <w:rFonts w:cs="Arial"/>
          <w:sz w:val="24"/>
          <w:szCs w:val="24"/>
        </w:rPr>
        <w:t xml:space="preserve">plyne </w:t>
      </w:r>
      <w:r w:rsidRPr="00C20389">
        <w:rPr>
          <w:rFonts w:cs="Arial"/>
          <w:b/>
          <w:sz w:val="24"/>
          <w:szCs w:val="24"/>
        </w:rPr>
        <w:t xml:space="preserve">+ </w:t>
      </w:r>
      <w:r w:rsidR="001D2E5A" w:rsidRPr="00C20389">
        <w:rPr>
          <w:rFonts w:cs="Arial"/>
          <w:b/>
          <w:sz w:val="24"/>
          <w:szCs w:val="24"/>
        </w:rPr>
        <w:t>6</w:t>
      </w:r>
      <w:r w:rsidRPr="00C20389">
        <w:rPr>
          <w:rFonts w:cs="Arial"/>
          <w:b/>
          <w:sz w:val="24"/>
          <w:szCs w:val="24"/>
        </w:rPr>
        <w:t>,</w:t>
      </w:r>
      <w:r w:rsidR="00925742" w:rsidRPr="00C20389">
        <w:rPr>
          <w:rFonts w:cs="Arial"/>
          <w:b/>
          <w:sz w:val="24"/>
          <w:szCs w:val="24"/>
        </w:rPr>
        <w:t>3</w:t>
      </w:r>
      <w:r w:rsidRPr="00C20389">
        <w:rPr>
          <w:rFonts w:cs="Arial"/>
          <w:b/>
          <w:sz w:val="24"/>
          <w:szCs w:val="24"/>
        </w:rPr>
        <w:t xml:space="preserve"> mld. Kč</w:t>
      </w:r>
      <w:r w:rsidRPr="00C20389">
        <w:rPr>
          <w:rFonts w:cs="Arial"/>
          <w:sz w:val="24"/>
          <w:szCs w:val="24"/>
        </w:rPr>
        <w:t xml:space="preserve"> v roce 2014</w:t>
      </w:r>
    </w:p>
    <w:p w:rsidR="00A17188" w:rsidRPr="00C20389" w:rsidRDefault="00A17188" w:rsidP="00C20389">
      <w:pPr>
        <w:numPr>
          <w:ilvl w:val="0"/>
          <w:numId w:val="25"/>
        </w:numPr>
        <w:ind w:left="284"/>
        <w:contextualSpacing/>
        <w:jc w:val="both"/>
        <w:rPr>
          <w:rFonts w:cs="Arial"/>
          <w:sz w:val="24"/>
          <w:szCs w:val="24"/>
        </w:rPr>
      </w:pPr>
      <w:r w:rsidRPr="00C20389">
        <w:rPr>
          <w:rFonts w:cs="Arial"/>
          <w:sz w:val="24"/>
          <w:szCs w:val="24"/>
        </w:rPr>
        <w:t xml:space="preserve">zvýšení platby za státní pojištěnce na 787 Kč (+ 64,- Kč) </w:t>
      </w:r>
      <w:r w:rsidR="001D2E5A" w:rsidRPr="00C20389">
        <w:rPr>
          <w:rFonts w:cs="Arial"/>
          <w:sz w:val="24"/>
          <w:szCs w:val="24"/>
        </w:rPr>
        <w:t xml:space="preserve">přinese </w:t>
      </w:r>
      <w:r w:rsidRPr="00C20389">
        <w:rPr>
          <w:rFonts w:cs="Arial"/>
          <w:sz w:val="24"/>
          <w:szCs w:val="24"/>
        </w:rPr>
        <w:t xml:space="preserve">celkem + </w:t>
      </w:r>
      <w:r w:rsidR="00BC0E99" w:rsidRPr="00C20389">
        <w:rPr>
          <w:rFonts w:cs="Arial"/>
          <w:b/>
          <w:sz w:val="24"/>
          <w:szCs w:val="24"/>
        </w:rPr>
        <w:t>3</w:t>
      </w:r>
      <w:r w:rsidRPr="00C20389">
        <w:rPr>
          <w:rFonts w:cs="Arial"/>
          <w:b/>
          <w:sz w:val="24"/>
          <w:szCs w:val="24"/>
        </w:rPr>
        <w:t>,</w:t>
      </w:r>
      <w:r w:rsidR="00BC0E99" w:rsidRPr="00C20389">
        <w:rPr>
          <w:rFonts w:cs="Arial"/>
          <w:b/>
          <w:sz w:val="24"/>
          <w:szCs w:val="24"/>
        </w:rPr>
        <w:t>6</w:t>
      </w:r>
      <w:r w:rsidRPr="00C20389">
        <w:rPr>
          <w:rFonts w:cs="Arial"/>
          <w:b/>
          <w:sz w:val="24"/>
          <w:szCs w:val="24"/>
        </w:rPr>
        <w:t xml:space="preserve"> mld.</w:t>
      </w:r>
      <w:r w:rsidR="00C75998" w:rsidRPr="00C20389">
        <w:rPr>
          <w:rFonts w:cs="Arial"/>
          <w:b/>
          <w:sz w:val="24"/>
          <w:szCs w:val="24"/>
        </w:rPr>
        <w:t xml:space="preserve"> </w:t>
      </w:r>
      <w:r w:rsidRPr="00C20389">
        <w:rPr>
          <w:rFonts w:cs="Arial"/>
          <w:b/>
          <w:sz w:val="24"/>
          <w:szCs w:val="24"/>
        </w:rPr>
        <w:t>Kč</w:t>
      </w:r>
      <w:r w:rsidR="00C75998" w:rsidRPr="00C20389">
        <w:rPr>
          <w:rFonts w:cs="Arial"/>
          <w:b/>
          <w:sz w:val="24"/>
          <w:szCs w:val="24"/>
        </w:rPr>
        <w:t xml:space="preserve"> </w:t>
      </w:r>
      <w:r w:rsidR="00C75998" w:rsidRPr="00C20389">
        <w:rPr>
          <w:rFonts w:cs="Arial"/>
          <w:sz w:val="24"/>
          <w:szCs w:val="24"/>
        </w:rPr>
        <w:t>(+4,7 při stejném počtu státních pojištěnců jako v roce 2013)</w:t>
      </w:r>
      <w:r w:rsidR="00BC0E99" w:rsidRPr="00C20389">
        <w:rPr>
          <w:rFonts w:cs="Arial"/>
          <w:sz w:val="24"/>
          <w:szCs w:val="24"/>
        </w:rPr>
        <w:t xml:space="preserve"> </w:t>
      </w:r>
    </w:p>
    <w:p w:rsidR="001D2E5A" w:rsidRPr="00C20389" w:rsidRDefault="001D2E5A" w:rsidP="00C20389">
      <w:pPr>
        <w:numPr>
          <w:ilvl w:val="0"/>
          <w:numId w:val="25"/>
        </w:numPr>
        <w:ind w:left="284"/>
        <w:contextualSpacing/>
        <w:jc w:val="both"/>
        <w:rPr>
          <w:rFonts w:cs="Arial"/>
          <w:b/>
          <w:sz w:val="24"/>
          <w:szCs w:val="24"/>
        </w:rPr>
      </w:pPr>
      <w:r w:rsidRPr="00C20389">
        <w:rPr>
          <w:rFonts w:cs="Arial"/>
          <w:b/>
          <w:sz w:val="24"/>
          <w:szCs w:val="24"/>
        </w:rPr>
        <w:t xml:space="preserve">celkem nárůst příjmů </w:t>
      </w:r>
      <w:r w:rsidR="00C75998" w:rsidRPr="00C20389">
        <w:rPr>
          <w:rFonts w:cs="Arial"/>
          <w:b/>
          <w:sz w:val="24"/>
          <w:szCs w:val="24"/>
        </w:rPr>
        <w:t xml:space="preserve">systému </w:t>
      </w:r>
      <w:r w:rsidR="00925742" w:rsidRPr="00C20389">
        <w:rPr>
          <w:rFonts w:cs="Arial"/>
          <w:b/>
          <w:sz w:val="24"/>
          <w:szCs w:val="24"/>
        </w:rPr>
        <w:t xml:space="preserve">o </w:t>
      </w:r>
      <w:r w:rsidR="00BC0E99" w:rsidRPr="00C20389">
        <w:rPr>
          <w:rFonts w:cs="Arial"/>
          <w:b/>
          <w:sz w:val="24"/>
          <w:szCs w:val="24"/>
        </w:rPr>
        <w:t>9,9 mld. Kč</w:t>
      </w:r>
    </w:p>
    <w:p w:rsidR="00C75998" w:rsidRPr="00C20389" w:rsidRDefault="00C75998" w:rsidP="00C20389">
      <w:pPr>
        <w:numPr>
          <w:ilvl w:val="0"/>
          <w:numId w:val="25"/>
        </w:numPr>
        <w:ind w:left="284"/>
        <w:contextualSpacing/>
        <w:jc w:val="both"/>
        <w:rPr>
          <w:rFonts w:cs="Arial"/>
          <w:sz w:val="24"/>
          <w:szCs w:val="24"/>
        </w:rPr>
      </w:pPr>
      <w:r w:rsidRPr="00C20389">
        <w:rPr>
          <w:rFonts w:cs="Arial"/>
          <w:sz w:val="24"/>
          <w:szCs w:val="24"/>
        </w:rPr>
        <w:t xml:space="preserve">Zvýšená platba za státní pojištěnce zaslána i za listopad a prosinec 2013 - nezohledněno </w:t>
      </w:r>
      <w:r w:rsidR="003414BB" w:rsidRPr="00C20389">
        <w:rPr>
          <w:rFonts w:cs="Arial"/>
          <w:sz w:val="24"/>
          <w:szCs w:val="24"/>
        </w:rPr>
        <w:t>v tabulce</w:t>
      </w:r>
    </w:p>
    <w:p w:rsidR="00A17188" w:rsidRPr="00C20389" w:rsidRDefault="00A17188" w:rsidP="00C20389">
      <w:pPr>
        <w:tabs>
          <w:tab w:val="left" w:pos="6090"/>
        </w:tabs>
        <w:ind w:left="720"/>
        <w:contextualSpacing/>
        <w:jc w:val="both"/>
        <w:rPr>
          <w:rFonts w:cs="Arial"/>
          <w:sz w:val="24"/>
          <w:szCs w:val="24"/>
        </w:rPr>
      </w:pPr>
      <w:r w:rsidRPr="00C20389">
        <w:rPr>
          <w:rFonts w:cs="Arial"/>
          <w:sz w:val="24"/>
          <w:szCs w:val="24"/>
        </w:rPr>
        <w:tab/>
      </w:r>
    </w:p>
    <w:p w:rsidR="00A17188" w:rsidRPr="00C20389" w:rsidRDefault="00A17188" w:rsidP="00C20389">
      <w:pPr>
        <w:jc w:val="both"/>
        <w:rPr>
          <w:rFonts w:cs="Arial"/>
          <w:b/>
          <w:sz w:val="24"/>
          <w:szCs w:val="24"/>
        </w:rPr>
      </w:pPr>
      <w:r w:rsidRPr="00C20389">
        <w:rPr>
          <w:rFonts w:cs="Arial"/>
          <w:b/>
          <w:sz w:val="24"/>
          <w:szCs w:val="24"/>
        </w:rPr>
        <w:t>Tab. 1: Předpokládaný vývoj výběru pojistného (v tis. Kč)</w:t>
      </w:r>
    </w:p>
    <w:tbl>
      <w:tblPr>
        <w:tblStyle w:val="Svtlstnovn"/>
        <w:tblW w:w="8330" w:type="dxa"/>
        <w:jc w:val="center"/>
        <w:tblLook w:val="04A0" w:firstRow="1" w:lastRow="0" w:firstColumn="1" w:lastColumn="0" w:noHBand="0" w:noVBand="1"/>
      </w:tblPr>
      <w:tblGrid>
        <w:gridCol w:w="1843"/>
        <w:gridCol w:w="15"/>
        <w:gridCol w:w="1843"/>
        <w:gridCol w:w="334"/>
        <w:gridCol w:w="14"/>
        <w:gridCol w:w="1495"/>
        <w:gridCol w:w="2786"/>
      </w:tblGrid>
      <w:tr w:rsidR="00FB646D" w:rsidRPr="008D0EBF" w:rsidTr="00FB646D">
        <w:trPr>
          <w:cnfStyle w:val="100000000000" w:firstRow="1" w:lastRow="0" w:firstColumn="0" w:lastColumn="0" w:oddVBand="0" w:evenVBand="0" w:oddHBand="0" w:evenHBand="0" w:firstRowFirstColumn="0" w:firstRowLastColumn="0" w:lastRowFirstColumn="0" w:lastRowLastColumn="0"/>
          <w:trHeight w:val="752"/>
          <w:jc w:val="center"/>
        </w:trPr>
        <w:tc>
          <w:tcPr>
            <w:cnfStyle w:val="001000000000" w:firstRow="0" w:lastRow="0" w:firstColumn="1" w:lastColumn="0" w:oddVBand="0" w:evenVBand="0" w:oddHBand="0" w:evenHBand="0" w:firstRowFirstColumn="0" w:firstRowLastColumn="0" w:lastRowFirstColumn="0" w:lastRowLastColumn="0"/>
            <w:tcW w:w="1858" w:type="dxa"/>
            <w:gridSpan w:val="2"/>
            <w:noWrap/>
            <w:vAlign w:val="center"/>
            <w:hideMark/>
          </w:tcPr>
          <w:p w:rsidR="00FB646D" w:rsidRPr="008D0EBF" w:rsidRDefault="00FB646D" w:rsidP="00A17188">
            <w:pPr>
              <w:jc w:val="right"/>
              <w:rPr>
                <w:rFonts w:eastAsia="Times New Roman" w:cs="Arial"/>
                <w:color w:val="000000"/>
                <w:lang w:eastAsia="cs-CZ"/>
              </w:rPr>
            </w:pPr>
            <w:r w:rsidRPr="008D0EBF">
              <w:rPr>
                <w:rFonts w:eastAsia="Times New Roman" w:cs="Arial"/>
                <w:color w:val="000000"/>
                <w:lang w:eastAsia="cs-CZ"/>
              </w:rPr>
              <w:t> </w:t>
            </w:r>
          </w:p>
        </w:tc>
        <w:tc>
          <w:tcPr>
            <w:tcW w:w="1843" w:type="dxa"/>
            <w:vAlign w:val="center"/>
          </w:tcPr>
          <w:p w:rsidR="00FB646D" w:rsidRPr="008D0EBF" w:rsidRDefault="00FB646D" w:rsidP="00243F8C">
            <w:pPr>
              <w:jc w:val="right"/>
              <w:cnfStyle w:val="100000000000" w:firstRow="1" w:lastRow="0" w:firstColumn="0" w:lastColumn="0" w:oddVBand="0" w:evenVBand="0" w:oddHBand="0" w:evenHBand="0" w:firstRowFirstColumn="0" w:firstRowLastColumn="0" w:lastRowFirstColumn="0" w:lastRowLastColumn="0"/>
              <w:rPr>
                <w:rFonts w:eastAsia="Times New Roman" w:cs="Arial"/>
                <w:color w:val="000000"/>
                <w:lang w:eastAsia="cs-CZ"/>
              </w:rPr>
            </w:pPr>
            <w:r>
              <w:rPr>
                <w:rFonts w:eastAsia="Times New Roman" w:cs="Arial"/>
                <w:color w:val="000000"/>
                <w:lang w:eastAsia="cs-CZ"/>
              </w:rPr>
              <w:t>2012</w:t>
            </w:r>
          </w:p>
        </w:tc>
        <w:tc>
          <w:tcPr>
            <w:tcW w:w="1843" w:type="dxa"/>
            <w:gridSpan w:val="3"/>
            <w:vAlign w:val="center"/>
            <w:hideMark/>
          </w:tcPr>
          <w:p w:rsidR="00FB646D" w:rsidRPr="008D0EBF" w:rsidRDefault="00FB646D" w:rsidP="00243F8C">
            <w:pPr>
              <w:jc w:val="right"/>
              <w:cnfStyle w:val="100000000000" w:firstRow="1" w:lastRow="0" w:firstColumn="0" w:lastColumn="0" w:oddVBand="0" w:evenVBand="0" w:oddHBand="0" w:evenHBand="0" w:firstRowFirstColumn="0" w:firstRowLastColumn="0" w:lastRowFirstColumn="0" w:lastRowLastColumn="0"/>
              <w:rPr>
                <w:rFonts w:eastAsia="Times New Roman" w:cs="Arial"/>
                <w:color w:val="000000"/>
                <w:lang w:eastAsia="cs-CZ"/>
              </w:rPr>
            </w:pPr>
            <w:r w:rsidRPr="008D0EBF">
              <w:rPr>
                <w:rFonts w:eastAsia="Times New Roman" w:cs="Arial"/>
                <w:color w:val="000000"/>
                <w:lang w:eastAsia="cs-CZ"/>
              </w:rPr>
              <w:t>2013</w:t>
            </w:r>
          </w:p>
        </w:tc>
        <w:tc>
          <w:tcPr>
            <w:tcW w:w="2786" w:type="dxa"/>
            <w:vAlign w:val="center"/>
            <w:hideMark/>
          </w:tcPr>
          <w:p w:rsidR="00FB646D" w:rsidRPr="008D0EBF" w:rsidRDefault="00FB646D" w:rsidP="00FB646D">
            <w:pPr>
              <w:jc w:val="right"/>
              <w:cnfStyle w:val="100000000000" w:firstRow="1" w:lastRow="0" w:firstColumn="0" w:lastColumn="0" w:oddVBand="0" w:evenVBand="0" w:oddHBand="0" w:evenHBand="0" w:firstRowFirstColumn="0" w:firstRowLastColumn="0" w:lastRowFirstColumn="0" w:lastRowLastColumn="0"/>
              <w:rPr>
                <w:rFonts w:eastAsia="Times New Roman" w:cs="Arial"/>
                <w:color w:val="000000"/>
                <w:lang w:eastAsia="cs-CZ"/>
              </w:rPr>
            </w:pPr>
            <w:r w:rsidRPr="008D0EBF">
              <w:rPr>
                <w:rFonts w:eastAsia="Times New Roman" w:cs="Arial"/>
                <w:color w:val="000000"/>
                <w:lang w:eastAsia="cs-CZ"/>
              </w:rPr>
              <w:t xml:space="preserve">2014 - predikce, </w:t>
            </w:r>
            <w:r>
              <w:rPr>
                <w:rFonts w:eastAsia="Times New Roman" w:cs="Arial"/>
                <w:color w:val="000000"/>
                <w:lang w:eastAsia="cs-CZ"/>
              </w:rPr>
              <w:t>říjen</w:t>
            </w:r>
          </w:p>
        </w:tc>
      </w:tr>
      <w:tr w:rsidR="001C6993" w:rsidRPr="008D0EBF" w:rsidTr="00FB646D">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43" w:type="dxa"/>
          </w:tcPr>
          <w:p w:rsidR="001C6993" w:rsidRPr="008D0EBF" w:rsidRDefault="001C6993" w:rsidP="00A17188">
            <w:pPr>
              <w:rPr>
                <w:rFonts w:eastAsia="Times New Roman" w:cs="Arial"/>
                <w:color w:val="000000"/>
                <w:lang w:eastAsia="cs-CZ"/>
              </w:rPr>
            </w:pPr>
            <w:r w:rsidRPr="008D0EBF">
              <w:rPr>
                <w:rFonts w:eastAsia="Times New Roman" w:cs="Arial"/>
                <w:color w:val="000000"/>
                <w:lang w:eastAsia="cs-CZ"/>
              </w:rPr>
              <w:t>Výběr pojistného</w:t>
            </w:r>
          </w:p>
        </w:tc>
        <w:tc>
          <w:tcPr>
            <w:tcW w:w="2206" w:type="dxa"/>
            <w:gridSpan w:val="4"/>
            <w:noWrap/>
            <w:vAlign w:val="center"/>
            <w:hideMark/>
          </w:tcPr>
          <w:p w:rsidR="001C6993" w:rsidRPr="00BC0E99" w:rsidRDefault="00BC0E99" w:rsidP="00243F8C">
            <w:pPr>
              <w:jc w:val="right"/>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sidRPr="00BC0E99">
              <w:rPr>
                <w:rFonts w:ascii="Arial" w:hAnsi="Arial" w:cs="Arial"/>
                <w:b/>
                <w:sz w:val="20"/>
                <w:szCs w:val="20"/>
              </w:rPr>
              <w:t>168 139 418</w:t>
            </w:r>
          </w:p>
        </w:tc>
        <w:tc>
          <w:tcPr>
            <w:tcW w:w="1495" w:type="dxa"/>
            <w:noWrap/>
            <w:vAlign w:val="center"/>
            <w:hideMark/>
          </w:tcPr>
          <w:p w:rsidR="001C6993" w:rsidRPr="00925742" w:rsidRDefault="001C6993" w:rsidP="001C6993">
            <w:pPr>
              <w:jc w:val="right"/>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sidRPr="00925742">
              <w:rPr>
                <w:rFonts w:ascii="Arial" w:hAnsi="Arial" w:cs="Arial"/>
                <w:b/>
                <w:sz w:val="20"/>
                <w:szCs w:val="20"/>
              </w:rPr>
              <w:t>172 064 836</w:t>
            </w:r>
          </w:p>
        </w:tc>
        <w:tc>
          <w:tcPr>
            <w:tcW w:w="2786" w:type="dxa"/>
            <w:noWrap/>
            <w:vAlign w:val="center"/>
            <w:hideMark/>
          </w:tcPr>
          <w:p w:rsidR="001C6993" w:rsidRPr="00925742" w:rsidRDefault="001C6993" w:rsidP="00BC0E99">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sidRPr="00925742">
              <w:rPr>
                <w:rFonts w:ascii="Arial" w:hAnsi="Arial" w:cs="Arial"/>
                <w:b/>
                <w:sz w:val="20"/>
                <w:szCs w:val="20"/>
              </w:rPr>
              <w:t>178 357 278</w:t>
            </w:r>
          </w:p>
        </w:tc>
      </w:tr>
      <w:tr w:rsidR="00FB646D" w:rsidRPr="008D0EBF" w:rsidTr="00243F8C">
        <w:trPr>
          <w:trHeight w:val="300"/>
          <w:jc w:val="center"/>
        </w:trPr>
        <w:tc>
          <w:tcPr>
            <w:cnfStyle w:val="001000000000" w:firstRow="0" w:lastRow="0" w:firstColumn="1" w:lastColumn="0" w:oddVBand="0" w:evenVBand="0" w:oddHBand="0" w:evenHBand="0" w:firstRowFirstColumn="0" w:firstRowLastColumn="0" w:lastRowFirstColumn="0" w:lastRowLastColumn="0"/>
            <w:tcW w:w="1858" w:type="dxa"/>
            <w:gridSpan w:val="2"/>
            <w:noWrap/>
            <w:vAlign w:val="center"/>
            <w:hideMark/>
          </w:tcPr>
          <w:p w:rsidR="00FB646D" w:rsidRPr="008D0EBF" w:rsidRDefault="00FB646D" w:rsidP="00A17188">
            <w:pPr>
              <w:rPr>
                <w:rFonts w:eastAsia="Times New Roman" w:cs="Arial"/>
                <w:color w:val="000000"/>
                <w:lang w:eastAsia="cs-CZ"/>
              </w:rPr>
            </w:pPr>
            <w:r w:rsidRPr="008D0EBF">
              <w:rPr>
                <w:rFonts w:eastAsia="Times New Roman" w:cs="Arial"/>
                <w:color w:val="000000"/>
                <w:lang w:eastAsia="cs-CZ"/>
              </w:rPr>
              <w:t>Platba státu</w:t>
            </w:r>
          </w:p>
        </w:tc>
        <w:tc>
          <w:tcPr>
            <w:tcW w:w="2177" w:type="dxa"/>
            <w:gridSpan w:val="2"/>
            <w:vAlign w:val="bottom"/>
          </w:tcPr>
          <w:p w:rsidR="00FB646D" w:rsidRPr="00BC0E99" w:rsidRDefault="00BC0E99" w:rsidP="00243F8C">
            <w:pPr>
              <w:jc w:val="right"/>
              <w:cnfStyle w:val="000000000000" w:firstRow="0" w:lastRow="0" w:firstColumn="0" w:lastColumn="0" w:oddVBand="0" w:evenVBand="0" w:oddHBand="0" w:evenHBand="0" w:firstRowFirstColumn="0" w:firstRowLastColumn="0" w:lastRowFirstColumn="0" w:lastRowLastColumn="0"/>
              <w:rPr>
                <w:rFonts w:eastAsia="Times New Roman" w:cs="Arial"/>
                <w:b/>
                <w:color w:val="000000"/>
                <w:lang w:eastAsia="cs-CZ"/>
              </w:rPr>
            </w:pPr>
            <w:r w:rsidRPr="00BC0E99">
              <w:rPr>
                <w:rFonts w:ascii="Arial" w:hAnsi="Arial" w:cs="Arial"/>
                <w:b/>
                <w:sz w:val="20"/>
                <w:szCs w:val="20"/>
              </w:rPr>
              <w:t>51 241 466</w:t>
            </w:r>
          </w:p>
        </w:tc>
        <w:tc>
          <w:tcPr>
            <w:tcW w:w="1509" w:type="dxa"/>
            <w:gridSpan w:val="2"/>
            <w:noWrap/>
            <w:vAlign w:val="center"/>
            <w:hideMark/>
          </w:tcPr>
          <w:p w:rsidR="00FB646D" w:rsidRPr="00925742" w:rsidRDefault="00FB646D" w:rsidP="00FB646D">
            <w:pPr>
              <w:jc w:val="right"/>
              <w:cnfStyle w:val="000000000000" w:firstRow="0" w:lastRow="0" w:firstColumn="0" w:lastColumn="0" w:oddVBand="0" w:evenVBand="0" w:oddHBand="0" w:evenHBand="0" w:firstRowFirstColumn="0" w:firstRowLastColumn="0" w:lastRowFirstColumn="0" w:lastRowLastColumn="0"/>
              <w:rPr>
                <w:rFonts w:eastAsia="Times New Roman" w:cs="Arial"/>
                <w:b/>
                <w:color w:val="000000"/>
                <w:lang w:eastAsia="cs-CZ"/>
              </w:rPr>
            </w:pPr>
            <w:r w:rsidRPr="00925742">
              <w:rPr>
                <w:rFonts w:eastAsia="Times New Roman" w:cs="Arial"/>
                <w:b/>
                <w:color w:val="000000"/>
                <w:lang w:eastAsia="cs-CZ"/>
              </w:rPr>
              <w:t>52 745 497</w:t>
            </w:r>
          </w:p>
        </w:tc>
        <w:tc>
          <w:tcPr>
            <w:tcW w:w="2786" w:type="dxa"/>
            <w:noWrap/>
            <w:vAlign w:val="center"/>
            <w:hideMark/>
          </w:tcPr>
          <w:p w:rsidR="00FB646D" w:rsidRPr="008D0EBF" w:rsidRDefault="00FB646D" w:rsidP="00BC0E99">
            <w:pPr>
              <w:jc w:val="center"/>
              <w:cnfStyle w:val="000000000000" w:firstRow="0" w:lastRow="0" w:firstColumn="0" w:lastColumn="0" w:oddVBand="0" w:evenVBand="0" w:oddHBand="0" w:evenHBand="0" w:firstRowFirstColumn="0" w:firstRowLastColumn="0" w:lastRowFirstColumn="0" w:lastRowLastColumn="0"/>
              <w:rPr>
                <w:rFonts w:eastAsia="Times New Roman" w:cs="Arial"/>
                <w:b/>
                <w:color w:val="000000"/>
                <w:lang w:eastAsia="cs-CZ"/>
              </w:rPr>
            </w:pPr>
            <w:r w:rsidRPr="008D0EBF">
              <w:rPr>
                <w:rFonts w:eastAsia="Times New Roman" w:cs="Arial"/>
                <w:b/>
                <w:color w:val="000000"/>
                <w:lang w:eastAsia="cs-CZ"/>
              </w:rPr>
              <w:t>5</w:t>
            </w:r>
            <w:r>
              <w:rPr>
                <w:rFonts w:eastAsia="Times New Roman" w:cs="Arial"/>
                <w:b/>
                <w:color w:val="000000"/>
                <w:lang w:eastAsia="cs-CZ"/>
              </w:rPr>
              <w:t>6</w:t>
            </w:r>
            <w:r w:rsidRPr="008D0EBF">
              <w:rPr>
                <w:rFonts w:eastAsia="Times New Roman" w:cs="Arial"/>
                <w:b/>
                <w:color w:val="000000"/>
                <w:lang w:eastAsia="cs-CZ"/>
              </w:rPr>
              <w:t xml:space="preserve"> 3</w:t>
            </w:r>
            <w:r>
              <w:rPr>
                <w:rFonts w:eastAsia="Times New Roman" w:cs="Arial"/>
                <w:b/>
                <w:color w:val="000000"/>
                <w:lang w:eastAsia="cs-CZ"/>
              </w:rPr>
              <w:t>60</w:t>
            </w:r>
            <w:r w:rsidRPr="008D0EBF">
              <w:rPr>
                <w:rFonts w:eastAsia="Times New Roman" w:cs="Arial"/>
                <w:b/>
                <w:color w:val="000000"/>
                <w:lang w:eastAsia="cs-CZ"/>
              </w:rPr>
              <w:t xml:space="preserve"> </w:t>
            </w:r>
            <w:r>
              <w:rPr>
                <w:rFonts w:eastAsia="Times New Roman" w:cs="Arial"/>
                <w:b/>
                <w:color w:val="000000"/>
                <w:lang w:eastAsia="cs-CZ"/>
              </w:rPr>
              <w:t>272</w:t>
            </w:r>
          </w:p>
        </w:tc>
      </w:tr>
      <w:tr w:rsidR="00FB646D" w:rsidRPr="008D0EBF" w:rsidTr="00243F8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858" w:type="dxa"/>
            <w:gridSpan w:val="2"/>
            <w:noWrap/>
            <w:vAlign w:val="center"/>
            <w:hideMark/>
          </w:tcPr>
          <w:p w:rsidR="00FB646D" w:rsidRPr="008D0EBF" w:rsidRDefault="00FB646D" w:rsidP="00A17188">
            <w:pPr>
              <w:rPr>
                <w:rFonts w:eastAsia="Times New Roman" w:cs="Arial"/>
                <w:color w:val="000000"/>
                <w:lang w:eastAsia="cs-CZ"/>
              </w:rPr>
            </w:pPr>
            <w:r w:rsidRPr="008D0EBF">
              <w:rPr>
                <w:rFonts w:eastAsia="Times New Roman" w:cs="Arial"/>
                <w:color w:val="000000"/>
                <w:lang w:eastAsia="cs-CZ"/>
              </w:rPr>
              <w:t>Celkem</w:t>
            </w:r>
          </w:p>
        </w:tc>
        <w:tc>
          <w:tcPr>
            <w:tcW w:w="2177" w:type="dxa"/>
            <w:gridSpan w:val="2"/>
            <w:vAlign w:val="center"/>
          </w:tcPr>
          <w:p w:rsidR="00FB646D" w:rsidRPr="00BC0E99" w:rsidRDefault="00BC0E99" w:rsidP="00243F8C">
            <w:pPr>
              <w:jc w:val="right"/>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sidRPr="00BC0E99">
              <w:rPr>
                <w:rFonts w:ascii="Arial" w:hAnsi="Arial" w:cs="Arial"/>
                <w:b/>
                <w:sz w:val="20"/>
                <w:szCs w:val="20"/>
              </w:rPr>
              <w:t>219 380 884</w:t>
            </w:r>
          </w:p>
        </w:tc>
        <w:tc>
          <w:tcPr>
            <w:tcW w:w="1509" w:type="dxa"/>
            <w:gridSpan w:val="2"/>
            <w:noWrap/>
            <w:vAlign w:val="center"/>
            <w:hideMark/>
          </w:tcPr>
          <w:p w:rsidR="00FB646D" w:rsidRPr="00925742" w:rsidRDefault="00925742" w:rsidP="00925742">
            <w:pPr>
              <w:jc w:val="right"/>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sidRPr="00925742">
              <w:rPr>
                <w:rFonts w:ascii="Arial" w:hAnsi="Arial" w:cs="Arial"/>
                <w:b/>
                <w:bCs/>
                <w:sz w:val="20"/>
                <w:szCs w:val="20"/>
              </w:rPr>
              <w:t>224 810 333</w:t>
            </w:r>
          </w:p>
        </w:tc>
        <w:tc>
          <w:tcPr>
            <w:tcW w:w="2786" w:type="dxa"/>
            <w:noWrap/>
            <w:vAlign w:val="center"/>
            <w:hideMark/>
          </w:tcPr>
          <w:p w:rsidR="00FB646D" w:rsidRPr="008D0EBF" w:rsidRDefault="00925742" w:rsidP="00BC0E99">
            <w:pPr>
              <w:jc w:val="center"/>
              <w:cnfStyle w:val="000000100000" w:firstRow="0" w:lastRow="0" w:firstColumn="0" w:lastColumn="0" w:oddVBand="0" w:evenVBand="0" w:oddHBand="1" w:evenHBand="0" w:firstRowFirstColumn="0" w:firstRowLastColumn="0" w:lastRowFirstColumn="0" w:lastRowLastColumn="0"/>
              <w:rPr>
                <w:rFonts w:eastAsia="Times New Roman" w:cs="Arial"/>
                <w:b/>
                <w:color w:val="000000"/>
                <w:lang w:eastAsia="cs-CZ"/>
              </w:rPr>
            </w:pPr>
            <w:r>
              <w:rPr>
                <w:rFonts w:ascii="Arial" w:hAnsi="Arial" w:cs="Arial"/>
                <w:b/>
                <w:bCs/>
                <w:sz w:val="20"/>
                <w:szCs w:val="20"/>
              </w:rPr>
              <w:t>234 717 550</w:t>
            </w:r>
          </w:p>
        </w:tc>
      </w:tr>
    </w:tbl>
    <w:p w:rsidR="00A17188" w:rsidRPr="00C20389" w:rsidRDefault="00243F8C" w:rsidP="00C20389">
      <w:pPr>
        <w:jc w:val="both"/>
        <w:rPr>
          <w:rFonts w:cs="Arial"/>
          <w:b/>
          <w:sz w:val="24"/>
          <w:szCs w:val="24"/>
          <w:u w:val="single"/>
        </w:rPr>
      </w:pPr>
      <w:r w:rsidRPr="00C20389">
        <w:rPr>
          <w:rFonts w:cs="Arial"/>
          <w:b/>
          <w:sz w:val="24"/>
          <w:szCs w:val="24"/>
          <w:u w:val="single"/>
        </w:rPr>
        <w:t xml:space="preserve">Stav </w:t>
      </w:r>
      <w:r w:rsidR="00A17188" w:rsidRPr="00C20389">
        <w:rPr>
          <w:rFonts w:cs="Arial"/>
          <w:b/>
          <w:sz w:val="24"/>
          <w:szCs w:val="24"/>
          <w:u w:val="single"/>
        </w:rPr>
        <w:t>ZP</w:t>
      </w:r>
    </w:p>
    <w:p w:rsidR="00A17188" w:rsidRPr="00C20389" w:rsidRDefault="00A17188" w:rsidP="00C20389">
      <w:pPr>
        <w:numPr>
          <w:ilvl w:val="0"/>
          <w:numId w:val="24"/>
        </w:numPr>
        <w:ind w:left="426"/>
        <w:contextualSpacing/>
        <w:jc w:val="both"/>
        <w:rPr>
          <w:rFonts w:cs="Arial"/>
          <w:sz w:val="24"/>
          <w:szCs w:val="24"/>
        </w:rPr>
      </w:pPr>
      <w:r w:rsidRPr="00C20389">
        <w:rPr>
          <w:rFonts w:cs="Arial"/>
          <w:sz w:val="24"/>
          <w:szCs w:val="24"/>
        </w:rPr>
        <w:t>odhad předpokládá nulové změny v kmeni a ve struktuře a objemu úhrad</w:t>
      </w:r>
    </w:p>
    <w:p w:rsidR="00A17188" w:rsidRPr="00C20389" w:rsidRDefault="003414BB" w:rsidP="00C20389">
      <w:pPr>
        <w:numPr>
          <w:ilvl w:val="0"/>
          <w:numId w:val="24"/>
        </w:numPr>
        <w:ind w:left="426"/>
        <w:contextualSpacing/>
        <w:jc w:val="both"/>
        <w:rPr>
          <w:rFonts w:cs="Arial"/>
          <w:sz w:val="24"/>
          <w:szCs w:val="24"/>
        </w:rPr>
      </w:pPr>
      <w:r w:rsidRPr="00C20389">
        <w:rPr>
          <w:rFonts w:cs="Arial"/>
          <w:sz w:val="24"/>
          <w:szCs w:val="24"/>
        </w:rPr>
        <w:t>pro rok 2014 se předpokládá vyrovnané hospodaření</w:t>
      </w:r>
    </w:p>
    <w:p w:rsidR="0014646B" w:rsidRPr="00C20389" w:rsidRDefault="0014646B" w:rsidP="00C20389">
      <w:pPr>
        <w:numPr>
          <w:ilvl w:val="0"/>
          <w:numId w:val="24"/>
        </w:numPr>
        <w:ind w:left="426"/>
        <w:contextualSpacing/>
        <w:jc w:val="both"/>
        <w:rPr>
          <w:rFonts w:cs="Arial"/>
          <w:sz w:val="24"/>
          <w:szCs w:val="24"/>
        </w:rPr>
      </w:pPr>
      <w:r w:rsidRPr="00C20389">
        <w:rPr>
          <w:rFonts w:cs="Arial"/>
          <w:sz w:val="24"/>
          <w:szCs w:val="24"/>
        </w:rPr>
        <w:t>výdaje 2013 jsou aproximací nákladů na zdravotní služby</w:t>
      </w:r>
      <w:r w:rsidR="00A01E2B" w:rsidRPr="00C20389">
        <w:rPr>
          <w:rFonts w:cs="Arial"/>
          <w:sz w:val="24"/>
          <w:szCs w:val="24"/>
        </w:rPr>
        <w:t xml:space="preserve">, je však pravděpodobné, že ve skutečnosti budou výdaje </w:t>
      </w:r>
      <w:r w:rsidR="008F2748" w:rsidRPr="00C20389">
        <w:rPr>
          <w:rFonts w:cs="Arial"/>
          <w:sz w:val="24"/>
          <w:szCs w:val="24"/>
        </w:rPr>
        <w:t xml:space="preserve">v roce 2013 o něco </w:t>
      </w:r>
      <w:r w:rsidR="00A01E2B" w:rsidRPr="00C20389">
        <w:rPr>
          <w:rFonts w:cs="Arial"/>
          <w:sz w:val="24"/>
          <w:szCs w:val="24"/>
        </w:rPr>
        <w:t>vyšší</w:t>
      </w:r>
      <w:r w:rsidR="008F2748" w:rsidRPr="00C20389">
        <w:rPr>
          <w:rFonts w:cs="Arial"/>
          <w:sz w:val="24"/>
          <w:szCs w:val="24"/>
        </w:rPr>
        <w:t xml:space="preserve">, jelikož </w:t>
      </w:r>
      <w:r w:rsidR="009E5C62" w:rsidRPr="00C20389">
        <w:rPr>
          <w:rFonts w:cs="Arial"/>
          <w:sz w:val="24"/>
          <w:szCs w:val="24"/>
        </w:rPr>
        <w:t xml:space="preserve">ještě </w:t>
      </w:r>
      <w:r w:rsidR="008F2748" w:rsidRPr="00C20389">
        <w:rPr>
          <w:rFonts w:cs="Arial"/>
          <w:sz w:val="24"/>
          <w:szCs w:val="24"/>
        </w:rPr>
        <w:t>nejsou zohledněny všechny náklady</w:t>
      </w:r>
    </w:p>
    <w:p w:rsidR="0014646B" w:rsidRPr="00C20389" w:rsidRDefault="0014646B" w:rsidP="00C20389">
      <w:pPr>
        <w:numPr>
          <w:ilvl w:val="0"/>
          <w:numId w:val="24"/>
        </w:numPr>
        <w:ind w:left="426"/>
        <w:contextualSpacing/>
        <w:jc w:val="both"/>
        <w:rPr>
          <w:rFonts w:cs="Arial"/>
          <w:sz w:val="24"/>
          <w:szCs w:val="24"/>
        </w:rPr>
      </w:pPr>
      <w:r w:rsidRPr="00C20389">
        <w:rPr>
          <w:rFonts w:cs="Arial"/>
          <w:sz w:val="24"/>
          <w:szCs w:val="24"/>
        </w:rPr>
        <w:t>výdaje 2014 jsou odhadem vyplývajícím z úhradové vyhlášky při nezměněné struktuře nákladů mezi roky 2013 a 2014</w:t>
      </w:r>
    </w:p>
    <w:p w:rsidR="00243F8C" w:rsidRPr="00C20389" w:rsidRDefault="00243F8C" w:rsidP="00C20389">
      <w:pPr>
        <w:numPr>
          <w:ilvl w:val="0"/>
          <w:numId w:val="24"/>
        </w:numPr>
        <w:ind w:left="426"/>
        <w:contextualSpacing/>
        <w:jc w:val="both"/>
        <w:rPr>
          <w:rFonts w:cs="Arial"/>
          <w:b/>
          <w:sz w:val="24"/>
          <w:szCs w:val="24"/>
        </w:rPr>
      </w:pPr>
      <w:r w:rsidRPr="00C20389">
        <w:rPr>
          <w:rFonts w:cs="Arial"/>
          <w:b/>
          <w:sz w:val="24"/>
          <w:szCs w:val="24"/>
        </w:rPr>
        <w:t>Saldo příjmů a výdajů pro rok 2014 za všechny pojišťovny činí +3,</w:t>
      </w:r>
      <w:r w:rsidR="001D203C" w:rsidRPr="00C20389">
        <w:rPr>
          <w:rFonts w:cs="Arial"/>
          <w:b/>
          <w:sz w:val="24"/>
          <w:szCs w:val="24"/>
        </w:rPr>
        <w:t>6</w:t>
      </w:r>
      <w:r w:rsidRPr="00C20389">
        <w:rPr>
          <w:rFonts w:cs="Arial"/>
          <w:b/>
          <w:sz w:val="24"/>
          <w:szCs w:val="24"/>
        </w:rPr>
        <w:t xml:space="preserve"> mld. Kč</w:t>
      </w:r>
    </w:p>
    <w:p w:rsidR="00A17188" w:rsidRPr="00C20389" w:rsidRDefault="00A17188" w:rsidP="00C20389">
      <w:pPr>
        <w:ind w:left="720"/>
        <w:contextualSpacing/>
        <w:jc w:val="both"/>
        <w:rPr>
          <w:rFonts w:cs="Arial"/>
          <w:sz w:val="24"/>
          <w:szCs w:val="24"/>
        </w:rPr>
      </w:pPr>
    </w:p>
    <w:p w:rsidR="00A17188" w:rsidRPr="00C20389" w:rsidRDefault="00A17188" w:rsidP="00C20389">
      <w:pPr>
        <w:jc w:val="both"/>
        <w:rPr>
          <w:rFonts w:cs="Arial"/>
          <w:b/>
          <w:sz w:val="24"/>
          <w:szCs w:val="24"/>
        </w:rPr>
      </w:pPr>
      <w:r w:rsidRPr="00C20389">
        <w:rPr>
          <w:rFonts w:cs="Arial"/>
          <w:b/>
          <w:sz w:val="24"/>
          <w:szCs w:val="24"/>
        </w:rPr>
        <w:t xml:space="preserve">Tab. 2: Předpokládané dopady na </w:t>
      </w:r>
      <w:r w:rsidR="00243F8C" w:rsidRPr="00C20389">
        <w:rPr>
          <w:rFonts w:cs="Arial"/>
          <w:b/>
          <w:sz w:val="24"/>
          <w:szCs w:val="24"/>
        </w:rPr>
        <w:t>ZP</w:t>
      </w:r>
      <w:r w:rsidRPr="00C20389">
        <w:rPr>
          <w:rFonts w:cs="Arial"/>
          <w:b/>
          <w:sz w:val="24"/>
          <w:szCs w:val="24"/>
        </w:rPr>
        <w:t xml:space="preserve"> (v tis. Kč)</w:t>
      </w:r>
    </w:p>
    <w:tbl>
      <w:tblPr>
        <w:tblStyle w:val="Svtlstnovn"/>
        <w:tblW w:w="10538" w:type="dxa"/>
        <w:jc w:val="center"/>
        <w:tblLook w:val="04A0" w:firstRow="1" w:lastRow="0" w:firstColumn="1" w:lastColumn="0" w:noHBand="0" w:noVBand="1"/>
      </w:tblPr>
      <w:tblGrid>
        <w:gridCol w:w="4365"/>
        <w:gridCol w:w="1805"/>
        <w:gridCol w:w="1456"/>
        <w:gridCol w:w="1456"/>
        <w:gridCol w:w="1456"/>
      </w:tblGrid>
      <w:tr w:rsidR="0014646B" w:rsidRPr="008D0EBF" w:rsidTr="0014646B">
        <w:trPr>
          <w:cnfStyle w:val="100000000000" w:firstRow="1" w:lastRow="0" w:firstColumn="0" w:lastColumn="0" w:oddVBand="0" w:evenVBand="0" w:oddHBand="0"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4365" w:type="dxa"/>
            <w:hideMark/>
          </w:tcPr>
          <w:p w:rsidR="0014646B" w:rsidRPr="008D0EBF" w:rsidRDefault="0014646B" w:rsidP="00A17188">
            <w:pPr>
              <w:jc w:val="center"/>
              <w:rPr>
                <w:rFonts w:eastAsia="Times New Roman" w:cs="Times New Roman"/>
                <w:color w:val="000000"/>
                <w:lang w:eastAsia="cs-CZ"/>
              </w:rPr>
            </w:pPr>
            <w:r w:rsidRPr="008D0EBF">
              <w:rPr>
                <w:rFonts w:eastAsia="Times New Roman" w:cs="Times New Roman"/>
                <w:color w:val="000000"/>
                <w:lang w:eastAsia="cs-CZ"/>
              </w:rPr>
              <w:t> </w:t>
            </w:r>
          </w:p>
        </w:tc>
        <w:tc>
          <w:tcPr>
            <w:tcW w:w="1805" w:type="dxa"/>
            <w:hideMark/>
          </w:tcPr>
          <w:p w:rsidR="0014646B" w:rsidRPr="008D0EBF" w:rsidRDefault="0014646B" w:rsidP="00A17188">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cs-CZ"/>
              </w:rPr>
            </w:pPr>
            <w:r>
              <w:rPr>
                <w:rFonts w:eastAsia="Times New Roman" w:cs="Times New Roman"/>
                <w:color w:val="000000"/>
                <w:lang w:eastAsia="cs-CZ"/>
              </w:rPr>
              <w:t xml:space="preserve"> Příjmy </w:t>
            </w:r>
            <w:r w:rsidRPr="008D0EBF">
              <w:rPr>
                <w:rFonts w:eastAsia="Times New Roman" w:cs="Times New Roman"/>
                <w:color w:val="000000"/>
                <w:lang w:eastAsia="cs-CZ"/>
              </w:rPr>
              <w:t>2013</w:t>
            </w:r>
          </w:p>
        </w:tc>
        <w:tc>
          <w:tcPr>
            <w:tcW w:w="1456" w:type="dxa"/>
            <w:hideMark/>
          </w:tcPr>
          <w:p w:rsidR="0014646B" w:rsidRPr="008D0EBF" w:rsidRDefault="0014646B" w:rsidP="00A17188">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cs-CZ"/>
              </w:rPr>
            </w:pPr>
            <w:r>
              <w:rPr>
                <w:rFonts w:eastAsia="Times New Roman" w:cs="Times New Roman"/>
                <w:color w:val="000000"/>
                <w:lang w:eastAsia="cs-CZ"/>
              </w:rPr>
              <w:t xml:space="preserve">Příjmy </w:t>
            </w:r>
            <w:r w:rsidRPr="008D0EBF">
              <w:rPr>
                <w:rFonts w:eastAsia="Times New Roman" w:cs="Times New Roman"/>
                <w:color w:val="000000"/>
                <w:lang w:eastAsia="cs-CZ"/>
              </w:rPr>
              <w:t>2014</w:t>
            </w:r>
          </w:p>
        </w:tc>
        <w:tc>
          <w:tcPr>
            <w:tcW w:w="1456" w:type="dxa"/>
          </w:tcPr>
          <w:p w:rsidR="0014646B" w:rsidRDefault="0014646B" w:rsidP="00A17188">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cs-CZ"/>
              </w:rPr>
            </w:pPr>
            <w:r>
              <w:rPr>
                <w:rFonts w:eastAsia="Times New Roman" w:cs="Times New Roman"/>
                <w:color w:val="000000"/>
                <w:lang w:eastAsia="cs-CZ"/>
              </w:rPr>
              <w:t>Výdaje 2013</w:t>
            </w:r>
          </w:p>
        </w:tc>
        <w:tc>
          <w:tcPr>
            <w:tcW w:w="1456" w:type="dxa"/>
          </w:tcPr>
          <w:p w:rsidR="0014646B" w:rsidRDefault="0014646B" w:rsidP="00A17188">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lang w:eastAsia="cs-CZ"/>
              </w:rPr>
            </w:pPr>
            <w:r>
              <w:rPr>
                <w:rFonts w:eastAsia="Times New Roman" w:cs="Times New Roman"/>
                <w:color w:val="000000"/>
                <w:lang w:eastAsia="cs-CZ"/>
              </w:rPr>
              <w:t>Výdaje 2014</w:t>
            </w:r>
          </w:p>
        </w:tc>
      </w:tr>
      <w:tr w:rsidR="002D74B6" w:rsidRPr="008D0EBF" w:rsidTr="00197C92">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365" w:type="dxa"/>
            <w:hideMark/>
          </w:tcPr>
          <w:p w:rsidR="002D74B6" w:rsidRPr="009664EB" w:rsidRDefault="002D74B6" w:rsidP="00A17188">
            <w:pPr>
              <w:rPr>
                <w:rFonts w:eastAsia="Times New Roman" w:cs="Times New Roman"/>
                <w:color w:val="000000"/>
                <w:lang w:eastAsia="cs-CZ"/>
              </w:rPr>
            </w:pPr>
            <w:r w:rsidRPr="009664EB">
              <w:rPr>
                <w:rFonts w:eastAsia="Times New Roman" w:cs="Times New Roman"/>
                <w:color w:val="000000"/>
                <w:lang w:eastAsia="cs-CZ"/>
              </w:rPr>
              <w:t>VZP 111</w:t>
            </w:r>
          </w:p>
        </w:tc>
        <w:tc>
          <w:tcPr>
            <w:tcW w:w="1805" w:type="dxa"/>
            <w:hideMark/>
          </w:tcPr>
          <w:p w:rsidR="002D74B6" w:rsidRPr="0014646B" w:rsidRDefault="002D74B6" w:rsidP="001F47BE">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lang w:eastAsia="cs-CZ"/>
              </w:rPr>
            </w:pPr>
            <w:r w:rsidRPr="0014646B">
              <w:rPr>
                <w:rFonts w:ascii="Calibri" w:hAnsi="Calibri"/>
                <w:b/>
                <w:color w:val="000000"/>
              </w:rPr>
              <w:t>138 649</w:t>
            </w:r>
            <w:r w:rsidRPr="0014646B">
              <w:rPr>
                <w:b/>
                <w:color w:val="000000"/>
              </w:rPr>
              <w:t> </w:t>
            </w:r>
            <w:r w:rsidRPr="0014646B">
              <w:rPr>
                <w:rFonts w:ascii="Calibri" w:hAnsi="Calibri"/>
                <w:b/>
                <w:color w:val="000000"/>
              </w:rPr>
              <w:t>142</w:t>
            </w:r>
          </w:p>
        </w:tc>
        <w:tc>
          <w:tcPr>
            <w:tcW w:w="1456" w:type="dxa"/>
            <w:hideMark/>
          </w:tcPr>
          <w:p w:rsidR="002D74B6" w:rsidRPr="0014646B" w:rsidRDefault="002D74B6" w:rsidP="009664E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144 759 302</w:t>
            </w:r>
          </w:p>
        </w:tc>
        <w:tc>
          <w:tcPr>
            <w:tcW w:w="1456" w:type="dxa"/>
            <w:vAlign w:val="bottom"/>
          </w:tcPr>
          <w:p w:rsidR="002D74B6" w:rsidRPr="002D74B6"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D74B6">
              <w:rPr>
                <w:rFonts w:ascii="Calibri" w:hAnsi="Calibri"/>
                <w:b/>
                <w:color w:val="000000"/>
              </w:rPr>
              <w:t>139 118 465</w:t>
            </w:r>
          </w:p>
        </w:tc>
        <w:tc>
          <w:tcPr>
            <w:tcW w:w="1456" w:type="dxa"/>
            <w:vAlign w:val="bottom"/>
          </w:tcPr>
          <w:p w:rsidR="002D74B6" w:rsidRPr="0014646B"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14646B">
              <w:rPr>
                <w:rFonts w:ascii="Calibri" w:hAnsi="Calibri"/>
                <w:b/>
                <w:color w:val="000000"/>
              </w:rPr>
              <w:t>144 755 864</w:t>
            </w:r>
          </w:p>
        </w:tc>
      </w:tr>
      <w:tr w:rsidR="002D74B6" w:rsidRPr="008D0EBF" w:rsidTr="00197C92">
        <w:trPr>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hideMark/>
          </w:tcPr>
          <w:p w:rsidR="002D74B6" w:rsidRPr="009664EB" w:rsidRDefault="002D74B6" w:rsidP="00197C92">
            <w:pPr>
              <w:rPr>
                <w:rFonts w:cs="Arial"/>
              </w:rPr>
            </w:pPr>
            <w:r w:rsidRPr="009664EB">
              <w:rPr>
                <w:rFonts w:cs="Arial"/>
              </w:rPr>
              <w:t>Vojenská zdravotní poj. ČR 201</w:t>
            </w:r>
          </w:p>
        </w:tc>
        <w:tc>
          <w:tcPr>
            <w:tcW w:w="1805" w:type="dxa"/>
            <w:hideMark/>
          </w:tcPr>
          <w:p w:rsidR="002D74B6" w:rsidRPr="0014646B" w:rsidRDefault="002D74B6" w:rsidP="001F47BE">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lang w:eastAsia="cs-CZ"/>
              </w:rPr>
            </w:pPr>
            <w:r w:rsidRPr="0014646B">
              <w:rPr>
                <w:rFonts w:ascii="Calibri" w:hAnsi="Calibri"/>
                <w:b/>
                <w:color w:val="000000"/>
              </w:rPr>
              <w:t>13 790</w:t>
            </w:r>
            <w:r w:rsidRPr="0014646B">
              <w:rPr>
                <w:b/>
                <w:color w:val="000000"/>
              </w:rPr>
              <w:t> </w:t>
            </w:r>
            <w:r w:rsidRPr="0014646B">
              <w:rPr>
                <w:rFonts w:ascii="Calibri" w:hAnsi="Calibri"/>
                <w:b/>
                <w:color w:val="000000"/>
              </w:rPr>
              <w:t>198</w:t>
            </w:r>
          </w:p>
        </w:tc>
        <w:tc>
          <w:tcPr>
            <w:tcW w:w="1456" w:type="dxa"/>
            <w:hideMark/>
          </w:tcPr>
          <w:p w:rsidR="002D74B6" w:rsidRPr="0014646B" w:rsidRDefault="002D74B6" w:rsidP="009664EB">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14 397 922</w:t>
            </w:r>
          </w:p>
        </w:tc>
        <w:tc>
          <w:tcPr>
            <w:tcW w:w="1456" w:type="dxa"/>
            <w:vAlign w:val="bottom"/>
          </w:tcPr>
          <w:p w:rsidR="002D74B6" w:rsidRPr="002D74B6"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D74B6">
              <w:rPr>
                <w:rFonts w:ascii="Calibri" w:hAnsi="Calibri"/>
                <w:b/>
                <w:color w:val="000000"/>
              </w:rPr>
              <w:t>12 777 818</w:t>
            </w:r>
          </w:p>
        </w:tc>
        <w:tc>
          <w:tcPr>
            <w:tcW w:w="1456" w:type="dxa"/>
            <w:vAlign w:val="bottom"/>
          </w:tcPr>
          <w:p w:rsidR="002D74B6" w:rsidRPr="0014646B"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14646B">
              <w:rPr>
                <w:rFonts w:ascii="Calibri" w:hAnsi="Calibri"/>
                <w:b/>
                <w:color w:val="000000"/>
              </w:rPr>
              <w:t>13 295 604</w:t>
            </w:r>
          </w:p>
        </w:tc>
      </w:tr>
      <w:tr w:rsidR="002D74B6" w:rsidRPr="008D0EBF" w:rsidTr="00197C92">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hideMark/>
          </w:tcPr>
          <w:p w:rsidR="002D74B6" w:rsidRPr="009664EB" w:rsidRDefault="002D74B6" w:rsidP="00197C92">
            <w:pPr>
              <w:rPr>
                <w:rFonts w:cs="Arial"/>
              </w:rPr>
            </w:pPr>
            <w:r w:rsidRPr="009664EB">
              <w:rPr>
                <w:rFonts w:cs="Arial"/>
              </w:rPr>
              <w:t>Česká průmyslová zdravotní pojišťovna 205</w:t>
            </w:r>
          </w:p>
        </w:tc>
        <w:tc>
          <w:tcPr>
            <w:tcW w:w="1805" w:type="dxa"/>
            <w:noWrap/>
            <w:hideMark/>
          </w:tcPr>
          <w:p w:rsidR="002D74B6" w:rsidRPr="0014646B" w:rsidRDefault="002D74B6" w:rsidP="001F47BE">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lang w:eastAsia="cs-CZ"/>
              </w:rPr>
            </w:pPr>
            <w:r w:rsidRPr="0014646B">
              <w:rPr>
                <w:rFonts w:ascii="Calibri" w:hAnsi="Calibri"/>
                <w:b/>
                <w:color w:val="000000"/>
              </w:rPr>
              <w:t>23 076</w:t>
            </w:r>
            <w:r w:rsidRPr="0014646B">
              <w:rPr>
                <w:b/>
                <w:color w:val="000000"/>
              </w:rPr>
              <w:t> </w:t>
            </w:r>
            <w:r w:rsidRPr="0014646B">
              <w:rPr>
                <w:rFonts w:ascii="Calibri" w:hAnsi="Calibri"/>
                <w:b/>
                <w:color w:val="000000"/>
              </w:rPr>
              <w:t>626</w:t>
            </w:r>
          </w:p>
        </w:tc>
        <w:tc>
          <w:tcPr>
            <w:tcW w:w="1456" w:type="dxa"/>
            <w:noWrap/>
            <w:hideMark/>
          </w:tcPr>
          <w:p w:rsidR="002D74B6" w:rsidRPr="0014646B" w:rsidRDefault="002D74B6" w:rsidP="009664E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24 093 595</w:t>
            </w:r>
          </w:p>
        </w:tc>
        <w:tc>
          <w:tcPr>
            <w:tcW w:w="1456" w:type="dxa"/>
            <w:vAlign w:val="bottom"/>
          </w:tcPr>
          <w:p w:rsidR="002D74B6" w:rsidRPr="002D74B6"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D74B6">
              <w:rPr>
                <w:rFonts w:ascii="Calibri" w:hAnsi="Calibri"/>
                <w:b/>
                <w:color w:val="000000"/>
              </w:rPr>
              <w:t>22 634 418</w:t>
            </w:r>
          </w:p>
        </w:tc>
        <w:tc>
          <w:tcPr>
            <w:tcW w:w="1456" w:type="dxa"/>
            <w:vAlign w:val="bottom"/>
          </w:tcPr>
          <w:p w:rsidR="002D74B6" w:rsidRPr="0014646B"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14646B">
              <w:rPr>
                <w:rFonts w:ascii="Calibri" w:hAnsi="Calibri"/>
                <w:b/>
                <w:color w:val="000000"/>
              </w:rPr>
              <w:t>23 551 616</w:t>
            </w:r>
          </w:p>
        </w:tc>
      </w:tr>
      <w:tr w:rsidR="002D74B6" w:rsidRPr="008D0EBF" w:rsidTr="00197C92">
        <w:trPr>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tcPr>
          <w:p w:rsidR="002D74B6" w:rsidRPr="009664EB" w:rsidRDefault="002D74B6" w:rsidP="00197C92">
            <w:pPr>
              <w:rPr>
                <w:rFonts w:cs="Arial"/>
              </w:rPr>
            </w:pPr>
            <w:r w:rsidRPr="009664EB">
              <w:rPr>
                <w:rFonts w:cs="Arial"/>
              </w:rPr>
              <w:t>Oborová zdravotní pojišťovna 207</w:t>
            </w:r>
          </w:p>
        </w:tc>
        <w:tc>
          <w:tcPr>
            <w:tcW w:w="1805" w:type="dxa"/>
            <w:noWrap/>
          </w:tcPr>
          <w:p w:rsidR="002D74B6" w:rsidRPr="0014646B" w:rsidRDefault="002D74B6" w:rsidP="001F47BE">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lang w:eastAsia="cs-CZ"/>
              </w:rPr>
            </w:pPr>
            <w:r w:rsidRPr="0014646B">
              <w:rPr>
                <w:rFonts w:ascii="Calibri" w:hAnsi="Calibri"/>
                <w:b/>
                <w:color w:val="000000"/>
              </w:rPr>
              <w:t>13 897</w:t>
            </w:r>
            <w:r w:rsidRPr="0014646B">
              <w:rPr>
                <w:b/>
                <w:color w:val="000000"/>
              </w:rPr>
              <w:t> </w:t>
            </w:r>
            <w:r w:rsidRPr="0014646B">
              <w:rPr>
                <w:rFonts w:ascii="Calibri" w:hAnsi="Calibri"/>
                <w:b/>
                <w:color w:val="000000"/>
              </w:rPr>
              <w:t>141</w:t>
            </w:r>
          </w:p>
        </w:tc>
        <w:tc>
          <w:tcPr>
            <w:tcW w:w="1456" w:type="dxa"/>
            <w:noWrap/>
          </w:tcPr>
          <w:p w:rsidR="002D74B6" w:rsidRPr="0014646B" w:rsidRDefault="002D74B6" w:rsidP="009664EB">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14 509 577</w:t>
            </w:r>
          </w:p>
        </w:tc>
        <w:tc>
          <w:tcPr>
            <w:tcW w:w="1456" w:type="dxa"/>
            <w:vAlign w:val="bottom"/>
          </w:tcPr>
          <w:p w:rsidR="002D74B6" w:rsidRPr="002D74B6"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D74B6">
              <w:rPr>
                <w:rFonts w:ascii="Calibri" w:hAnsi="Calibri"/>
                <w:b/>
                <w:color w:val="000000"/>
              </w:rPr>
              <w:t>13 032 219</w:t>
            </w:r>
          </w:p>
        </w:tc>
        <w:tc>
          <w:tcPr>
            <w:tcW w:w="1456" w:type="dxa"/>
            <w:vAlign w:val="bottom"/>
          </w:tcPr>
          <w:p w:rsidR="002D74B6" w:rsidRPr="0014646B"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14646B">
              <w:rPr>
                <w:rFonts w:ascii="Calibri" w:hAnsi="Calibri"/>
                <w:b/>
                <w:color w:val="000000"/>
              </w:rPr>
              <w:t>13 560 314</w:t>
            </w:r>
          </w:p>
        </w:tc>
      </w:tr>
      <w:tr w:rsidR="002D74B6" w:rsidRPr="008D0EBF" w:rsidTr="00197C92">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tcPr>
          <w:p w:rsidR="002D74B6" w:rsidRPr="009664EB" w:rsidRDefault="002D74B6" w:rsidP="00197C92">
            <w:pPr>
              <w:rPr>
                <w:rFonts w:cs="Arial"/>
              </w:rPr>
            </w:pPr>
            <w:r w:rsidRPr="009664EB">
              <w:rPr>
                <w:rFonts w:cs="Arial"/>
              </w:rPr>
              <w:t>Zaměstnanecká pojišťovna Škoda 209</w:t>
            </w:r>
          </w:p>
        </w:tc>
        <w:tc>
          <w:tcPr>
            <w:tcW w:w="1805" w:type="dxa"/>
            <w:noWrap/>
          </w:tcPr>
          <w:p w:rsidR="002D74B6" w:rsidRPr="0014646B" w:rsidRDefault="002D74B6" w:rsidP="001F47BE">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lang w:eastAsia="cs-CZ"/>
              </w:rPr>
            </w:pPr>
            <w:r w:rsidRPr="0014646B">
              <w:rPr>
                <w:rFonts w:ascii="Calibri" w:hAnsi="Calibri"/>
                <w:b/>
                <w:color w:val="000000"/>
              </w:rPr>
              <w:t>2 884</w:t>
            </w:r>
            <w:r w:rsidRPr="0014646B">
              <w:rPr>
                <w:b/>
                <w:color w:val="000000"/>
              </w:rPr>
              <w:t> </w:t>
            </w:r>
            <w:r w:rsidRPr="0014646B">
              <w:rPr>
                <w:rFonts w:ascii="Calibri" w:hAnsi="Calibri"/>
                <w:b/>
                <w:color w:val="000000"/>
              </w:rPr>
              <w:t>120</w:t>
            </w:r>
          </w:p>
        </w:tc>
        <w:tc>
          <w:tcPr>
            <w:tcW w:w="1456" w:type="dxa"/>
            <w:noWrap/>
          </w:tcPr>
          <w:p w:rsidR="002D74B6" w:rsidRPr="0014646B" w:rsidRDefault="002D74B6" w:rsidP="009664E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3 011 221</w:t>
            </w:r>
          </w:p>
        </w:tc>
        <w:tc>
          <w:tcPr>
            <w:tcW w:w="1456" w:type="dxa"/>
            <w:vAlign w:val="bottom"/>
          </w:tcPr>
          <w:p w:rsidR="002D74B6" w:rsidRPr="002D74B6"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D74B6">
              <w:rPr>
                <w:rFonts w:ascii="Calibri" w:hAnsi="Calibri"/>
                <w:b/>
                <w:color w:val="000000"/>
              </w:rPr>
              <w:t>2 894 210</w:t>
            </w:r>
          </w:p>
        </w:tc>
        <w:tc>
          <w:tcPr>
            <w:tcW w:w="1456" w:type="dxa"/>
            <w:vAlign w:val="bottom"/>
          </w:tcPr>
          <w:p w:rsidR="002D74B6" w:rsidRPr="0014646B"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14646B">
              <w:rPr>
                <w:rFonts w:ascii="Calibri" w:hAnsi="Calibri"/>
                <w:b/>
                <w:color w:val="000000"/>
              </w:rPr>
              <w:t>3 011 490</w:t>
            </w:r>
          </w:p>
        </w:tc>
      </w:tr>
      <w:tr w:rsidR="002D74B6" w:rsidRPr="008D0EBF" w:rsidTr="00197C92">
        <w:trPr>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tcPr>
          <w:p w:rsidR="002D74B6" w:rsidRPr="009664EB" w:rsidRDefault="002D74B6" w:rsidP="00197C92">
            <w:pPr>
              <w:rPr>
                <w:rFonts w:cs="Arial"/>
              </w:rPr>
            </w:pPr>
            <w:r w:rsidRPr="009664EB">
              <w:rPr>
                <w:rFonts w:cs="Arial"/>
              </w:rPr>
              <w:t>Zdravotní pojišťovna MV ČR 211</w:t>
            </w:r>
          </w:p>
        </w:tc>
        <w:tc>
          <w:tcPr>
            <w:tcW w:w="1805" w:type="dxa"/>
            <w:noWrap/>
          </w:tcPr>
          <w:p w:rsidR="002D74B6" w:rsidRPr="0014646B" w:rsidRDefault="002D74B6" w:rsidP="001F47BE">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lang w:eastAsia="cs-CZ"/>
              </w:rPr>
            </w:pPr>
            <w:r w:rsidRPr="0014646B">
              <w:rPr>
                <w:rFonts w:ascii="Calibri" w:hAnsi="Calibri"/>
                <w:b/>
                <w:color w:val="000000"/>
              </w:rPr>
              <w:t>24 503</w:t>
            </w:r>
            <w:r w:rsidRPr="0014646B">
              <w:rPr>
                <w:b/>
                <w:color w:val="000000"/>
              </w:rPr>
              <w:t> </w:t>
            </w:r>
            <w:r w:rsidRPr="0014646B">
              <w:rPr>
                <w:rFonts w:ascii="Calibri" w:hAnsi="Calibri"/>
                <w:b/>
                <w:color w:val="000000"/>
              </w:rPr>
              <w:t>718</w:t>
            </w:r>
          </w:p>
        </w:tc>
        <w:tc>
          <w:tcPr>
            <w:tcW w:w="1456" w:type="dxa"/>
            <w:noWrap/>
          </w:tcPr>
          <w:p w:rsidR="002D74B6" w:rsidRPr="0014646B" w:rsidRDefault="002D74B6" w:rsidP="009664EB">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25 583 578</w:t>
            </w:r>
          </w:p>
        </w:tc>
        <w:tc>
          <w:tcPr>
            <w:tcW w:w="1456" w:type="dxa"/>
            <w:vAlign w:val="bottom"/>
          </w:tcPr>
          <w:p w:rsidR="002D74B6" w:rsidRPr="002D74B6"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2D74B6">
              <w:rPr>
                <w:rFonts w:ascii="Calibri" w:hAnsi="Calibri"/>
                <w:b/>
                <w:color w:val="000000"/>
              </w:rPr>
              <w:t>24 050 141</w:t>
            </w:r>
          </w:p>
        </w:tc>
        <w:tc>
          <w:tcPr>
            <w:tcW w:w="1456" w:type="dxa"/>
            <w:vAlign w:val="bottom"/>
          </w:tcPr>
          <w:p w:rsidR="002D74B6" w:rsidRPr="0014646B" w:rsidRDefault="002D74B6">
            <w:pPr>
              <w:jc w:val="right"/>
              <w:cnfStyle w:val="000000000000" w:firstRow="0" w:lastRow="0" w:firstColumn="0" w:lastColumn="0" w:oddVBand="0" w:evenVBand="0" w:oddHBand="0" w:evenHBand="0" w:firstRowFirstColumn="0" w:firstRowLastColumn="0" w:lastRowFirstColumn="0" w:lastRowLastColumn="0"/>
              <w:rPr>
                <w:rFonts w:ascii="Calibri" w:hAnsi="Calibri"/>
                <w:b/>
                <w:color w:val="000000"/>
              </w:rPr>
            </w:pPr>
            <w:r w:rsidRPr="0014646B">
              <w:rPr>
                <w:rFonts w:ascii="Calibri" w:hAnsi="Calibri"/>
                <w:b/>
                <w:color w:val="000000"/>
              </w:rPr>
              <w:t>25 024 707</w:t>
            </w:r>
          </w:p>
        </w:tc>
      </w:tr>
      <w:tr w:rsidR="002D74B6" w:rsidRPr="008D0EBF" w:rsidTr="00197C92">
        <w:trPr>
          <w:cnfStyle w:val="000000100000" w:firstRow="0" w:lastRow="0" w:firstColumn="0" w:lastColumn="0" w:oddVBand="0" w:evenVBand="0" w:oddHBand="1" w:evenHBand="0" w:firstRowFirstColumn="0" w:firstRowLastColumn="0" w:lastRowFirstColumn="0" w:lastRowLastColumn="0"/>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tcPr>
          <w:p w:rsidR="002D74B6" w:rsidRPr="009664EB" w:rsidRDefault="002D74B6" w:rsidP="009664EB">
            <w:pPr>
              <w:rPr>
                <w:rFonts w:cs="Arial"/>
              </w:rPr>
            </w:pPr>
            <w:r w:rsidRPr="009664EB">
              <w:rPr>
                <w:rFonts w:cs="Arial"/>
              </w:rPr>
              <w:t>Revírní bratrská pokladna 213</w:t>
            </w:r>
          </w:p>
        </w:tc>
        <w:tc>
          <w:tcPr>
            <w:tcW w:w="1805" w:type="dxa"/>
            <w:noWrap/>
          </w:tcPr>
          <w:p w:rsidR="002D74B6" w:rsidRPr="0014646B" w:rsidRDefault="002D74B6" w:rsidP="001F47BE">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lang w:eastAsia="cs-CZ"/>
              </w:rPr>
            </w:pPr>
            <w:r w:rsidRPr="0014646B">
              <w:rPr>
                <w:rFonts w:ascii="Calibri" w:hAnsi="Calibri"/>
                <w:b/>
                <w:color w:val="000000"/>
              </w:rPr>
              <w:t>8 009</w:t>
            </w:r>
            <w:r w:rsidRPr="0014646B">
              <w:rPr>
                <w:b/>
                <w:color w:val="000000"/>
              </w:rPr>
              <w:t> </w:t>
            </w:r>
            <w:r w:rsidRPr="0014646B">
              <w:rPr>
                <w:rFonts w:ascii="Calibri" w:hAnsi="Calibri"/>
                <w:b/>
                <w:color w:val="000000"/>
              </w:rPr>
              <w:t>388</w:t>
            </w:r>
          </w:p>
        </w:tc>
        <w:tc>
          <w:tcPr>
            <w:tcW w:w="1456" w:type="dxa"/>
            <w:noWrap/>
          </w:tcPr>
          <w:p w:rsidR="002D74B6" w:rsidRPr="0014646B" w:rsidRDefault="002D74B6" w:rsidP="009664EB">
            <w:pPr>
              <w:jc w:val="right"/>
              <w:cnfStyle w:val="000000100000" w:firstRow="0" w:lastRow="0" w:firstColumn="0" w:lastColumn="0" w:oddVBand="0" w:evenVBand="0" w:oddHBand="1" w:evenHBand="0" w:firstRowFirstColumn="0" w:firstRowLastColumn="0" w:lastRowFirstColumn="0" w:lastRowLastColumn="0"/>
              <w:rPr>
                <w:rFonts w:eastAsia="Times New Roman" w:cs="Times New Roman"/>
                <w:b/>
                <w:color w:val="000000"/>
                <w:lang w:eastAsia="cs-CZ"/>
              </w:rPr>
            </w:pPr>
            <w:r w:rsidRPr="0014646B">
              <w:rPr>
                <w:b/>
                <w:bCs/>
                <w:color w:val="000000"/>
              </w:rPr>
              <w:t xml:space="preserve">     8 362 356</w:t>
            </w:r>
          </w:p>
        </w:tc>
        <w:tc>
          <w:tcPr>
            <w:tcW w:w="1456" w:type="dxa"/>
            <w:vAlign w:val="bottom"/>
          </w:tcPr>
          <w:p w:rsidR="002D74B6" w:rsidRPr="002D74B6"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2D74B6">
              <w:rPr>
                <w:rFonts w:ascii="Calibri" w:hAnsi="Calibri"/>
                <w:b/>
                <w:color w:val="000000"/>
              </w:rPr>
              <w:t>7 592 731</w:t>
            </w:r>
          </w:p>
        </w:tc>
        <w:tc>
          <w:tcPr>
            <w:tcW w:w="1456" w:type="dxa"/>
            <w:vAlign w:val="bottom"/>
          </w:tcPr>
          <w:p w:rsidR="002D74B6" w:rsidRPr="0014646B" w:rsidRDefault="002D74B6">
            <w:pPr>
              <w:jc w:val="right"/>
              <w:cnfStyle w:val="000000100000" w:firstRow="0" w:lastRow="0" w:firstColumn="0" w:lastColumn="0" w:oddVBand="0" w:evenVBand="0" w:oddHBand="1" w:evenHBand="0" w:firstRowFirstColumn="0" w:firstRowLastColumn="0" w:lastRowFirstColumn="0" w:lastRowLastColumn="0"/>
              <w:rPr>
                <w:rFonts w:ascii="Calibri" w:hAnsi="Calibri"/>
                <w:b/>
                <w:color w:val="000000"/>
              </w:rPr>
            </w:pPr>
            <w:r w:rsidRPr="0014646B">
              <w:rPr>
                <w:rFonts w:ascii="Calibri" w:hAnsi="Calibri"/>
                <w:b/>
                <w:color w:val="000000"/>
              </w:rPr>
              <w:t>7 900 406</w:t>
            </w:r>
          </w:p>
        </w:tc>
      </w:tr>
      <w:tr w:rsidR="002D74B6" w:rsidRPr="008D0EBF" w:rsidTr="001D203C">
        <w:trPr>
          <w:trHeight w:val="302"/>
          <w:jc w:val="center"/>
        </w:trPr>
        <w:tc>
          <w:tcPr>
            <w:cnfStyle w:val="001000000000" w:firstRow="0" w:lastRow="0" w:firstColumn="1" w:lastColumn="0" w:oddVBand="0" w:evenVBand="0" w:oddHBand="0" w:evenHBand="0" w:firstRowFirstColumn="0" w:firstRowLastColumn="0" w:lastRowFirstColumn="0" w:lastRowLastColumn="0"/>
            <w:tcW w:w="4365" w:type="dxa"/>
            <w:vAlign w:val="center"/>
          </w:tcPr>
          <w:p w:rsidR="002D74B6" w:rsidRPr="009664EB" w:rsidRDefault="002D74B6" w:rsidP="009664EB">
            <w:pPr>
              <w:rPr>
                <w:rFonts w:cs="Arial"/>
              </w:rPr>
            </w:pPr>
            <w:r>
              <w:rPr>
                <w:rFonts w:cs="Arial"/>
              </w:rPr>
              <w:t>Celkem za ZP</w:t>
            </w:r>
          </w:p>
        </w:tc>
        <w:tc>
          <w:tcPr>
            <w:tcW w:w="1805" w:type="dxa"/>
            <w:noWrap/>
            <w:vAlign w:val="center"/>
          </w:tcPr>
          <w:p w:rsidR="002D74B6" w:rsidRPr="001D203C" w:rsidRDefault="002D74B6" w:rsidP="001D203C">
            <w:pPr>
              <w:jc w:val="right"/>
              <w:cnfStyle w:val="000000000000" w:firstRow="0" w:lastRow="0" w:firstColumn="0" w:lastColumn="0" w:oddVBand="0" w:evenVBand="0" w:oddHBand="0" w:evenHBand="0" w:firstRowFirstColumn="0" w:firstRowLastColumn="0" w:lastRowFirstColumn="0" w:lastRowLastColumn="0"/>
              <w:rPr>
                <w:b/>
                <w:color w:val="000000"/>
              </w:rPr>
            </w:pPr>
            <w:r w:rsidRPr="001D203C">
              <w:rPr>
                <w:rFonts w:cs="Arial"/>
                <w:b/>
                <w:bCs/>
              </w:rPr>
              <w:t>224 810 333</w:t>
            </w:r>
          </w:p>
        </w:tc>
        <w:tc>
          <w:tcPr>
            <w:tcW w:w="1456" w:type="dxa"/>
            <w:noWrap/>
            <w:vAlign w:val="center"/>
          </w:tcPr>
          <w:p w:rsidR="002D74B6" w:rsidRPr="001D203C" w:rsidRDefault="002D74B6" w:rsidP="001D203C">
            <w:pPr>
              <w:jc w:val="right"/>
              <w:cnfStyle w:val="000000000000" w:firstRow="0" w:lastRow="0" w:firstColumn="0" w:lastColumn="0" w:oddVBand="0" w:evenVBand="0" w:oddHBand="0" w:evenHBand="0" w:firstRowFirstColumn="0" w:firstRowLastColumn="0" w:lastRowFirstColumn="0" w:lastRowLastColumn="0"/>
              <w:rPr>
                <w:b/>
                <w:bCs/>
                <w:color w:val="000000"/>
              </w:rPr>
            </w:pPr>
            <w:r w:rsidRPr="001D203C">
              <w:rPr>
                <w:rFonts w:cs="Arial"/>
                <w:b/>
                <w:bCs/>
              </w:rPr>
              <w:t>234 717 550</w:t>
            </w:r>
          </w:p>
        </w:tc>
        <w:tc>
          <w:tcPr>
            <w:tcW w:w="1456" w:type="dxa"/>
          </w:tcPr>
          <w:p w:rsidR="002D74B6" w:rsidRPr="001D203C" w:rsidRDefault="001D203C" w:rsidP="001D203C">
            <w:pPr>
              <w:jc w:val="right"/>
              <w:cnfStyle w:val="000000000000" w:firstRow="0" w:lastRow="0" w:firstColumn="0" w:lastColumn="0" w:oddVBand="0" w:evenVBand="0" w:oddHBand="0" w:evenHBand="0" w:firstRowFirstColumn="0" w:firstRowLastColumn="0" w:lastRowFirstColumn="0" w:lastRowLastColumn="0"/>
              <w:rPr>
                <w:b/>
                <w:color w:val="000000"/>
              </w:rPr>
            </w:pPr>
            <w:r w:rsidRPr="001D203C">
              <w:rPr>
                <w:b/>
                <w:color w:val="000000"/>
              </w:rPr>
              <w:t>222 100 000</w:t>
            </w:r>
          </w:p>
        </w:tc>
        <w:tc>
          <w:tcPr>
            <w:tcW w:w="1456" w:type="dxa"/>
          </w:tcPr>
          <w:p w:rsidR="002D74B6" w:rsidRPr="001D203C" w:rsidRDefault="001D203C" w:rsidP="001D203C">
            <w:pPr>
              <w:jc w:val="right"/>
              <w:cnfStyle w:val="000000000000" w:firstRow="0" w:lastRow="0" w:firstColumn="0" w:lastColumn="0" w:oddVBand="0" w:evenVBand="0" w:oddHBand="0" w:evenHBand="0" w:firstRowFirstColumn="0" w:firstRowLastColumn="0" w:lastRowFirstColumn="0" w:lastRowLastColumn="0"/>
              <w:rPr>
                <w:b/>
                <w:color w:val="000000"/>
              </w:rPr>
            </w:pPr>
            <w:r w:rsidRPr="001D203C">
              <w:rPr>
                <w:b/>
                <w:color w:val="000000"/>
              </w:rPr>
              <w:t>231 100 000</w:t>
            </w:r>
          </w:p>
        </w:tc>
      </w:tr>
    </w:tbl>
    <w:p w:rsidR="00243F8C" w:rsidRPr="00C20389" w:rsidRDefault="00243F8C" w:rsidP="00C20389">
      <w:pPr>
        <w:numPr>
          <w:ilvl w:val="0"/>
          <w:numId w:val="35"/>
        </w:numPr>
        <w:ind w:left="426" w:hanging="426"/>
        <w:contextualSpacing/>
        <w:jc w:val="both"/>
        <w:rPr>
          <w:rFonts w:cs="Arial"/>
          <w:sz w:val="24"/>
          <w:szCs w:val="24"/>
        </w:rPr>
      </w:pPr>
      <w:r w:rsidRPr="00C20389">
        <w:rPr>
          <w:rFonts w:cs="Arial"/>
          <w:sz w:val="24"/>
          <w:szCs w:val="24"/>
        </w:rPr>
        <w:t xml:space="preserve">Je třeba mít na paměti, že největší zdravotní pojišťovna, </w:t>
      </w:r>
      <w:r w:rsidRPr="00C20389">
        <w:rPr>
          <w:rFonts w:cs="Arial"/>
          <w:b/>
          <w:sz w:val="24"/>
          <w:szCs w:val="24"/>
        </w:rPr>
        <w:t>VZP</w:t>
      </w:r>
      <w:r w:rsidRPr="00C20389">
        <w:rPr>
          <w:rFonts w:cs="Arial"/>
          <w:sz w:val="24"/>
          <w:szCs w:val="24"/>
        </w:rPr>
        <w:t xml:space="preserve">, končí rok 2013 se </w:t>
      </w:r>
      <w:r w:rsidRPr="00C20389">
        <w:rPr>
          <w:rFonts w:cs="Arial"/>
          <w:b/>
          <w:sz w:val="24"/>
          <w:szCs w:val="24"/>
        </w:rPr>
        <w:t>3</w:t>
      </w:r>
      <w:r w:rsidR="00C20389" w:rsidRPr="00C20389">
        <w:rPr>
          <w:rFonts w:cs="Arial"/>
          <w:b/>
          <w:sz w:val="24"/>
          <w:szCs w:val="24"/>
        </w:rPr>
        <w:t>.6</w:t>
      </w:r>
      <w:r w:rsidRPr="00C20389">
        <w:rPr>
          <w:rFonts w:cs="Arial"/>
          <w:b/>
          <w:sz w:val="24"/>
          <w:szCs w:val="24"/>
        </w:rPr>
        <w:t xml:space="preserve"> mld. Kč závazků po splatnosti</w:t>
      </w:r>
      <w:r w:rsidRPr="00C20389">
        <w:rPr>
          <w:rFonts w:cs="Arial"/>
          <w:sz w:val="24"/>
          <w:szCs w:val="24"/>
        </w:rPr>
        <w:t xml:space="preserve"> a se </w:t>
      </w:r>
      <w:r w:rsidRPr="00C20389">
        <w:rPr>
          <w:rFonts w:cs="Arial"/>
          <w:b/>
          <w:sz w:val="24"/>
          <w:szCs w:val="24"/>
        </w:rPr>
        <w:t>2 mld. Kč vnitřního dluhu</w:t>
      </w:r>
      <w:r w:rsidRPr="00C20389">
        <w:rPr>
          <w:rFonts w:cs="Arial"/>
          <w:sz w:val="24"/>
          <w:szCs w:val="24"/>
        </w:rPr>
        <w:t xml:space="preserve"> (nenaplnění povinného rezervního fondu)</w:t>
      </w:r>
    </w:p>
    <w:p w:rsidR="006059C4" w:rsidRPr="00C20389" w:rsidRDefault="006059C4" w:rsidP="00C20389">
      <w:pPr>
        <w:pStyle w:val="Odstavecseseznamem"/>
        <w:numPr>
          <w:ilvl w:val="0"/>
          <w:numId w:val="35"/>
        </w:numPr>
        <w:spacing w:after="0"/>
        <w:ind w:left="426" w:hanging="426"/>
        <w:contextualSpacing/>
        <w:jc w:val="both"/>
        <w:rPr>
          <w:sz w:val="24"/>
          <w:szCs w:val="24"/>
        </w:rPr>
      </w:pPr>
      <w:r w:rsidRPr="00C20389">
        <w:rPr>
          <w:b/>
          <w:sz w:val="24"/>
          <w:szCs w:val="24"/>
        </w:rPr>
        <w:t>Vyjednání návratné finanční pomoci pro VZP</w:t>
      </w:r>
      <w:r w:rsidRPr="00C20389">
        <w:rPr>
          <w:sz w:val="24"/>
          <w:szCs w:val="24"/>
        </w:rPr>
        <w:t xml:space="preserve"> ve výši </w:t>
      </w:r>
      <w:r w:rsidRPr="00C20389">
        <w:rPr>
          <w:b/>
          <w:sz w:val="24"/>
          <w:szCs w:val="24"/>
        </w:rPr>
        <w:t>700 milionů Kč.</w:t>
      </w:r>
    </w:p>
    <w:p w:rsidR="006059C4" w:rsidRPr="00C20389" w:rsidRDefault="006059C4" w:rsidP="00C20389">
      <w:pPr>
        <w:pStyle w:val="Odstavecseseznamem"/>
        <w:numPr>
          <w:ilvl w:val="0"/>
          <w:numId w:val="35"/>
        </w:numPr>
        <w:ind w:left="426" w:hanging="426"/>
        <w:jc w:val="both"/>
        <w:rPr>
          <w:sz w:val="24"/>
          <w:szCs w:val="24"/>
        </w:rPr>
      </w:pPr>
      <w:r w:rsidRPr="00C20389">
        <w:rPr>
          <w:sz w:val="24"/>
          <w:szCs w:val="24"/>
        </w:rPr>
        <w:t xml:space="preserve">MZ připravuje materiál pro jednání vlády, jehož obsahem je poskytnutí návratné finanční výpomoci (2. fáze) VZP ČR ve výši </w:t>
      </w:r>
      <w:r w:rsidRPr="00C20389">
        <w:rPr>
          <w:b/>
          <w:sz w:val="24"/>
          <w:szCs w:val="24"/>
        </w:rPr>
        <w:t>1 mld. Kč.</w:t>
      </w:r>
    </w:p>
    <w:p w:rsidR="00A17188" w:rsidRPr="00C20389" w:rsidRDefault="006059C4" w:rsidP="00C20389">
      <w:pPr>
        <w:pStyle w:val="Odstavecseseznamem"/>
        <w:ind w:left="0"/>
        <w:contextualSpacing/>
        <w:jc w:val="both"/>
        <w:rPr>
          <w:rFonts w:cs="Arial"/>
          <w:b/>
          <w:sz w:val="24"/>
          <w:szCs w:val="24"/>
          <w:u w:val="single"/>
        </w:rPr>
      </w:pPr>
      <w:r w:rsidRPr="00C20389">
        <w:rPr>
          <w:rFonts w:cs="Arial"/>
          <w:b/>
          <w:sz w:val="24"/>
          <w:szCs w:val="24"/>
          <w:u w:val="single"/>
        </w:rPr>
        <w:t>Vývoj segmentů</w:t>
      </w:r>
    </w:p>
    <w:p w:rsidR="006059C4" w:rsidRPr="00C20389" w:rsidRDefault="006059C4" w:rsidP="00C20389">
      <w:pPr>
        <w:pStyle w:val="Odstavecseseznamem"/>
        <w:numPr>
          <w:ilvl w:val="0"/>
          <w:numId w:val="37"/>
        </w:numPr>
        <w:ind w:left="426" w:hanging="426"/>
        <w:contextualSpacing/>
        <w:jc w:val="both"/>
        <w:rPr>
          <w:rFonts w:cs="Arial"/>
          <w:sz w:val="24"/>
          <w:szCs w:val="24"/>
        </w:rPr>
      </w:pPr>
      <w:r w:rsidRPr="00C20389">
        <w:rPr>
          <w:rFonts w:cs="Arial"/>
          <w:sz w:val="24"/>
          <w:szCs w:val="24"/>
        </w:rPr>
        <w:t>Z vývoje nákladů na jednotlivé segmenty je patrné, že restriktivní vyhláška roku 2013 významně dopadla na nemocnice. Velmi těžká je i finanční situace lázní a ozdravoven. Tito poskytovatelé, stejně jako poskytovatelé dlouhodobé a následné péče, velmi pocítí zrušení regulačního poplatku za jeden den hospitalizace.</w:t>
      </w:r>
    </w:p>
    <w:p w:rsidR="006059C4" w:rsidRPr="00C20389" w:rsidRDefault="006059C4" w:rsidP="00C20389">
      <w:pPr>
        <w:pStyle w:val="Odstavecseseznamem"/>
        <w:numPr>
          <w:ilvl w:val="0"/>
          <w:numId w:val="37"/>
        </w:numPr>
        <w:ind w:left="426" w:hanging="426"/>
        <w:contextualSpacing/>
        <w:jc w:val="both"/>
        <w:rPr>
          <w:rFonts w:cs="Arial"/>
          <w:sz w:val="24"/>
          <w:szCs w:val="24"/>
        </w:rPr>
      </w:pPr>
      <w:r w:rsidRPr="00C20389">
        <w:rPr>
          <w:rFonts w:cs="Arial"/>
          <w:sz w:val="24"/>
          <w:szCs w:val="24"/>
        </w:rPr>
        <w:t xml:space="preserve">Z grafu je patrné, že v roce 2014 porostou především náklady na </w:t>
      </w:r>
      <w:r w:rsidR="0015367C" w:rsidRPr="00C20389">
        <w:rPr>
          <w:rFonts w:cs="Arial"/>
          <w:sz w:val="24"/>
          <w:szCs w:val="24"/>
        </w:rPr>
        <w:t>lůžkovou péči.</w:t>
      </w:r>
    </w:p>
    <w:p w:rsidR="006059C4" w:rsidRDefault="006059C4" w:rsidP="006059C4">
      <w:pPr>
        <w:contextualSpacing/>
        <w:rPr>
          <w:rFonts w:cs="Arial"/>
        </w:rPr>
      </w:pPr>
    </w:p>
    <w:p w:rsidR="00C20389" w:rsidRDefault="006059C4" w:rsidP="006059C4">
      <w:pPr>
        <w:contextualSpacing/>
        <w:rPr>
          <w:rFonts w:cs="Arial"/>
        </w:rPr>
      </w:pPr>
      <w:r>
        <w:rPr>
          <w:noProof/>
          <w:lang w:eastAsia="cs-CZ"/>
        </w:rPr>
        <w:drawing>
          <wp:inline distT="0" distB="0" distL="0" distR="0" wp14:anchorId="0A63492D" wp14:editId="1DFB08CF">
            <wp:extent cx="6539023" cy="5528930"/>
            <wp:effectExtent l="0" t="0" r="14605" b="1524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0639B" w:rsidRDefault="00C20389">
      <w:pPr>
        <w:spacing w:after="0" w:line="240" w:lineRule="auto"/>
        <w:rPr>
          <w:rFonts w:cs="Arial"/>
        </w:rPr>
      </w:pPr>
      <w:r>
        <w:rPr>
          <w:rFonts w:cs="Arial"/>
        </w:rPr>
        <w:br w:type="page"/>
      </w:r>
    </w:p>
    <w:p w:rsidR="00CD2CF1" w:rsidRPr="00CD2CF1" w:rsidRDefault="00CD2CF1" w:rsidP="00CD2CF1">
      <w:pPr>
        <w:spacing w:after="0" w:line="240" w:lineRule="auto"/>
        <w:rPr>
          <w:rFonts w:cs="Arial"/>
        </w:rPr>
      </w:pPr>
      <w:r w:rsidRPr="00CD2CF1">
        <w:rPr>
          <w:rFonts w:cs="Arial"/>
          <w:b/>
          <w:sz w:val="24"/>
          <w:szCs w:val="24"/>
          <w:u w:val="single"/>
        </w:rPr>
        <w:t>Odhad růstu nákladů na jednotlivé segmenty v roce 2014</w:t>
      </w:r>
    </w:p>
    <w:tbl>
      <w:tblPr>
        <w:tblpPr w:leftFromText="141" w:rightFromText="141" w:vertAnchor="page" w:horzAnchor="margin" w:tblpY="1375"/>
        <w:tblW w:w="10425" w:type="dxa"/>
        <w:tblLayout w:type="fixed"/>
        <w:tblCellMar>
          <w:left w:w="30" w:type="dxa"/>
          <w:right w:w="30" w:type="dxa"/>
        </w:tblCellMar>
        <w:tblLook w:val="0000" w:firstRow="0" w:lastRow="0" w:firstColumn="0" w:lastColumn="0" w:noHBand="0" w:noVBand="0"/>
      </w:tblPr>
      <w:tblGrid>
        <w:gridCol w:w="7504"/>
        <w:gridCol w:w="1461"/>
        <w:gridCol w:w="1460"/>
      </w:tblGrid>
      <w:tr w:rsidR="00CD2CF1" w:rsidTr="00CD2CF1">
        <w:trPr>
          <w:trHeight w:val="427"/>
        </w:trPr>
        <w:tc>
          <w:tcPr>
            <w:tcW w:w="7504" w:type="dxa"/>
            <w:tcBorders>
              <w:top w:val="single" w:sz="12" w:space="0" w:color="auto"/>
              <w:left w:val="single" w:sz="12" w:space="0" w:color="auto"/>
              <w:bottom w:val="single" w:sz="12" w:space="0" w:color="auto"/>
              <w:right w:val="single" w:sz="12" w:space="0" w:color="auto"/>
            </w:tcBorders>
            <w:shd w:val="solid" w:color="FFFFFF" w:fill="auto"/>
            <w:vAlign w:val="center"/>
          </w:tcPr>
          <w:p w:rsidR="00CD2CF1" w:rsidRDefault="00CD2CF1" w:rsidP="00CD2CF1">
            <w:pPr>
              <w:autoSpaceDE w:val="0"/>
              <w:autoSpaceDN w:val="0"/>
              <w:adjustRightInd w:val="0"/>
              <w:jc w:val="center"/>
              <w:rPr>
                <w:b/>
                <w:bCs/>
                <w:color w:val="000000"/>
                <w:sz w:val="32"/>
                <w:szCs w:val="32"/>
              </w:rPr>
            </w:pPr>
            <w:r>
              <w:rPr>
                <w:b/>
                <w:bCs/>
                <w:color w:val="000000"/>
                <w:sz w:val="32"/>
                <w:szCs w:val="32"/>
              </w:rPr>
              <w:t>Segment</w:t>
            </w:r>
          </w:p>
        </w:tc>
        <w:tc>
          <w:tcPr>
            <w:tcW w:w="1461" w:type="dxa"/>
            <w:tcBorders>
              <w:top w:val="single" w:sz="12" w:space="0" w:color="auto"/>
              <w:left w:val="nil"/>
              <w:bottom w:val="single" w:sz="12" w:space="0" w:color="auto"/>
              <w:right w:val="nil"/>
            </w:tcBorders>
            <w:shd w:val="solid" w:color="FFFFFF" w:fill="auto"/>
            <w:vAlign w:val="center"/>
          </w:tcPr>
          <w:p w:rsidR="00CD2CF1" w:rsidRDefault="00CD2CF1" w:rsidP="00CD2CF1">
            <w:pPr>
              <w:autoSpaceDE w:val="0"/>
              <w:autoSpaceDN w:val="0"/>
              <w:adjustRightInd w:val="0"/>
              <w:jc w:val="center"/>
              <w:rPr>
                <w:b/>
                <w:bCs/>
                <w:color w:val="000000"/>
                <w:sz w:val="20"/>
                <w:szCs w:val="20"/>
              </w:rPr>
            </w:pPr>
            <w:r>
              <w:rPr>
                <w:b/>
                <w:bCs/>
                <w:color w:val="000000"/>
                <w:sz w:val="20"/>
                <w:szCs w:val="20"/>
              </w:rPr>
              <w:t>2014/2012</w:t>
            </w:r>
          </w:p>
        </w:tc>
        <w:tc>
          <w:tcPr>
            <w:tcW w:w="1460" w:type="dxa"/>
            <w:tcBorders>
              <w:top w:val="single" w:sz="12" w:space="0" w:color="auto"/>
              <w:left w:val="single" w:sz="12" w:space="0" w:color="auto"/>
              <w:bottom w:val="single" w:sz="12" w:space="0" w:color="auto"/>
              <w:right w:val="single" w:sz="12" w:space="0" w:color="auto"/>
            </w:tcBorders>
            <w:shd w:val="solid" w:color="FFFFFF" w:fill="auto"/>
            <w:vAlign w:val="center"/>
          </w:tcPr>
          <w:p w:rsidR="00CD2CF1" w:rsidRDefault="00CD2CF1" w:rsidP="00CD2CF1">
            <w:pPr>
              <w:autoSpaceDE w:val="0"/>
              <w:autoSpaceDN w:val="0"/>
              <w:adjustRightInd w:val="0"/>
              <w:jc w:val="center"/>
              <w:rPr>
                <w:b/>
                <w:bCs/>
                <w:color w:val="000000"/>
                <w:sz w:val="20"/>
                <w:szCs w:val="20"/>
              </w:rPr>
            </w:pPr>
            <w:r>
              <w:rPr>
                <w:b/>
                <w:bCs/>
                <w:color w:val="000000"/>
                <w:sz w:val="20"/>
                <w:szCs w:val="20"/>
              </w:rPr>
              <w:t>2014/2013</w:t>
            </w:r>
          </w:p>
        </w:tc>
      </w:tr>
      <w:tr w:rsidR="00CD2CF1" w:rsidTr="00CD2CF1">
        <w:trPr>
          <w:trHeight w:val="360"/>
        </w:trPr>
        <w:tc>
          <w:tcPr>
            <w:tcW w:w="7504" w:type="dxa"/>
            <w:tcBorders>
              <w:top w:val="nil"/>
              <w:left w:val="single" w:sz="12" w:space="0" w:color="auto"/>
              <w:bottom w:val="single" w:sz="12" w:space="0" w:color="auto"/>
              <w:right w:val="single" w:sz="12" w:space="0" w:color="auto"/>
            </w:tcBorders>
            <w:shd w:val="solid" w:color="FF8080"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20"/>
                <w:szCs w:val="20"/>
              </w:rPr>
              <w:t>Náklady na zdravotní služby celkem</w:t>
            </w:r>
          </w:p>
        </w:tc>
        <w:tc>
          <w:tcPr>
            <w:tcW w:w="1461" w:type="dxa"/>
            <w:tcBorders>
              <w:top w:val="nil"/>
              <w:left w:val="single" w:sz="12" w:space="0" w:color="auto"/>
              <w:bottom w:val="single" w:sz="12" w:space="0" w:color="auto"/>
              <w:right w:val="single" w:sz="12" w:space="0" w:color="auto"/>
            </w:tcBorders>
            <w:shd w:val="solid" w:color="FF8080" w:fill="auto"/>
            <w:vAlign w:val="center"/>
          </w:tcPr>
          <w:p w:rsidR="00CD2CF1" w:rsidRDefault="00CD2CF1" w:rsidP="00CD2CF1">
            <w:pPr>
              <w:autoSpaceDE w:val="0"/>
              <w:autoSpaceDN w:val="0"/>
              <w:adjustRightInd w:val="0"/>
              <w:jc w:val="center"/>
              <w:rPr>
                <w:rFonts w:ascii="Arial" w:hAnsi="Arial" w:cs="Arial"/>
                <w:b/>
                <w:bCs/>
                <w:color w:val="000000"/>
                <w:sz w:val="18"/>
                <w:szCs w:val="18"/>
              </w:rPr>
            </w:pPr>
            <w:r>
              <w:rPr>
                <w:rFonts w:ascii="Arial" w:hAnsi="Arial" w:cs="Arial"/>
                <w:b/>
                <w:bCs/>
                <w:color w:val="000000"/>
                <w:sz w:val="18"/>
                <w:szCs w:val="18"/>
              </w:rPr>
              <w:t>103,5%</w:t>
            </w:r>
          </w:p>
        </w:tc>
        <w:tc>
          <w:tcPr>
            <w:tcW w:w="1460" w:type="dxa"/>
            <w:tcBorders>
              <w:top w:val="nil"/>
              <w:left w:val="nil"/>
              <w:bottom w:val="single" w:sz="12" w:space="0" w:color="auto"/>
              <w:right w:val="single" w:sz="12" w:space="0" w:color="auto"/>
            </w:tcBorders>
            <w:shd w:val="solid" w:color="FF8080" w:fill="auto"/>
            <w:vAlign w:val="center"/>
          </w:tcPr>
          <w:p w:rsidR="00CD2CF1" w:rsidRDefault="00CD2CF1" w:rsidP="00CD2CF1">
            <w:pPr>
              <w:autoSpaceDE w:val="0"/>
              <w:autoSpaceDN w:val="0"/>
              <w:adjustRightInd w:val="0"/>
              <w:jc w:val="center"/>
              <w:rPr>
                <w:rFonts w:ascii="Arial" w:hAnsi="Arial" w:cs="Arial"/>
                <w:b/>
                <w:bCs/>
                <w:color w:val="000000"/>
                <w:sz w:val="18"/>
                <w:szCs w:val="18"/>
              </w:rPr>
            </w:pPr>
            <w:r>
              <w:rPr>
                <w:rFonts w:ascii="Arial" w:hAnsi="Arial" w:cs="Arial"/>
                <w:b/>
                <w:bCs/>
                <w:color w:val="000000"/>
                <w:sz w:val="18"/>
                <w:szCs w:val="18"/>
              </w:rPr>
              <w:t>106,0%</w:t>
            </w:r>
          </w:p>
        </w:tc>
      </w:tr>
      <w:tr w:rsidR="00CD2CF1" w:rsidTr="00CD2CF1">
        <w:trPr>
          <w:trHeight w:val="360"/>
        </w:trPr>
        <w:tc>
          <w:tcPr>
            <w:tcW w:w="7504" w:type="dxa"/>
            <w:tcBorders>
              <w:top w:val="nil"/>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na zdravotní péči v oboru zubní lékařství </w:t>
            </w:r>
            <w:r>
              <w:rPr>
                <w:rFonts w:ascii="Arial" w:hAnsi="Arial" w:cs="Arial"/>
                <w:b/>
                <w:bCs/>
                <w:color w:val="000000"/>
                <w:sz w:val="16"/>
                <w:szCs w:val="16"/>
              </w:rPr>
              <w:t>(odbornosti 014–015, 019)</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101,2%</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102,8%</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na zdravotní péči v oboru všeobecné praktické lékařství a praktické lékařství pro děti a dorost </w:t>
            </w:r>
            <w:r>
              <w:rPr>
                <w:rFonts w:ascii="Arial" w:hAnsi="Arial" w:cs="Arial"/>
                <w:b/>
                <w:bCs/>
                <w:color w:val="000000"/>
                <w:sz w:val="16"/>
                <w:szCs w:val="16"/>
              </w:rPr>
              <w:t>(odbornosti 001, 002)</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101,0%</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100,1%</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 xml:space="preserve">na zdravotní péči v oboru gynekologie a porodnictví </w:t>
            </w:r>
            <w:r>
              <w:rPr>
                <w:rFonts w:ascii="Arial" w:hAnsi="Arial" w:cs="Arial"/>
                <w:b/>
                <w:bCs/>
                <w:color w:val="000000"/>
                <w:sz w:val="16"/>
                <w:szCs w:val="16"/>
              </w:rPr>
              <w:t>(odbornosti 603, 604)</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101,1%</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100,6%</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na léčebně rehabilitační péči </w:t>
            </w:r>
            <w:r>
              <w:rPr>
                <w:rFonts w:ascii="Arial" w:hAnsi="Arial" w:cs="Arial"/>
                <w:b/>
                <w:bCs/>
                <w:color w:val="000000"/>
                <w:sz w:val="16"/>
                <w:szCs w:val="16"/>
              </w:rPr>
              <w:t>(odbornost 902)</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101,6%</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102,1%</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na diagnostickou péči (</w:t>
            </w:r>
            <w:r>
              <w:rPr>
                <w:rFonts w:ascii="Arial" w:hAnsi="Arial" w:cs="Arial"/>
                <w:b/>
                <w:bCs/>
                <w:color w:val="000000"/>
                <w:sz w:val="16"/>
                <w:szCs w:val="16"/>
              </w:rPr>
              <w:t>odb. 222, 801–805, 806, 807, 808, 809, 812–823)</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101,2%</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101,0%</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 xml:space="preserve">na domácí péči </w:t>
            </w:r>
            <w:r>
              <w:rPr>
                <w:rFonts w:ascii="Arial" w:hAnsi="Arial" w:cs="Arial"/>
                <w:b/>
                <w:bCs/>
                <w:color w:val="000000"/>
                <w:sz w:val="16"/>
                <w:szCs w:val="16"/>
              </w:rPr>
              <w:t>(odbornost 925, 911, 914, 916 a 921)</w:t>
            </w:r>
          </w:p>
        </w:tc>
        <w:tc>
          <w:tcPr>
            <w:tcW w:w="1461" w:type="dxa"/>
            <w:tcBorders>
              <w:top w:val="single" w:sz="6" w:space="0" w:color="auto"/>
              <w:left w:val="single" w:sz="12" w:space="0" w:color="auto"/>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105,0%</w:t>
            </w:r>
          </w:p>
        </w:tc>
        <w:tc>
          <w:tcPr>
            <w:tcW w:w="1460" w:type="dxa"/>
            <w:tcBorders>
              <w:top w:val="single" w:sz="6" w:space="0" w:color="auto"/>
              <w:left w:val="nil"/>
              <w:bottom w:val="single" w:sz="6" w:space="0" w:color="auto"/>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104,0%</w:t>
            </w:r>
          </w:p>
        </w:tc>
      </w:tr>
      <w:tr w:rsidR="00CD2CF1" w:rsidTr="00CD2CF1">
        <w:trPr>
          <w:trHeight w:val="360"/>
        </w:trPr>
        <w:tc>
          <w:tcPr>
            <w:tcW w:w="7504" w:type="dxa"/>
            <w:tcBorders>
              <w:top w:val="single" w:sz="6" w:space="0" w:color="auto"/>
              <w:left w:val="single" w:sz="12" w:space="0" w:color="auto"/>
              <w:bottom w:val="nil"/>
              <w:right w:val="single" w:sz="12" w:space="0" w:color="auto"/>
            </w:tcBorders>
            <w:shd w:val="solid" w:color="FFCC00"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na specializovanou ambulantní péči </w:t>
            </w:r>
            <w:r>
              <w:rPr>
                <w:rFonts w:ascii="Arial" w:hAnsi="Arial" w:cs="Arial"/>
                <w:b/>
                <w:bCs/>
                <w:color w:val="000000"/>
                <w:sz w:val="16"/>
                <w:szCs w:val="16"/>
              </w:rPr>
              <w:t>(odbornosti neuvedené v ř. 1.1–1.6 a neuvedené v řádku 2)</w:t>
            </w:r>
          </w:p>
        </w:tc>
        <w:tc>
          <w:tcPr>
            <w:tcW w:w="1461" w:type="dxa"/>
            <w:tcBorders>
              <w:top w:val="single" w:sz="6" w:space="0" w:color="auto"/>
              <w:left w:val="single" w:sz="12" w:space="0" w:color="auto"/>
              <w:bottom w:val="nil"/>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100,9%</w:t>
            </w:r>
          </w:p>
        </w:tc>
        <w:tc>
          <w:tcPr>
            <w:tcW w:w="1460" w:type="dxa"/>
            <w:tcBorders>
              <w:top w:val="single" w:sz="6" w:space="0" w:color="auto"/>
              <w:left w:val="nil"/>
              <w:bottom w:val="nil"/>
              <w:right w:val="single" w:sz="12" w:space="0" w:color="auto"/>
            </w:tcBorders>
            <w:shd w:val="solid" w:color="FFCC00"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101,4%</w:t>
            </w:r>
          </w:p>
        </w:tc>
      </w:tr>
      <w:tr w:rsidR="00CD2CF1" w:rsidTr="00CD2CF1">
        <w:trPr>
          <w:trHeight w:val="360"/>
        </w:trPr>
        <w:tc>
          <w:tcPr>
            <w:tcW w:w="7504" w:type="dxa"/>
            <w:tcBorders>
              <w:top w:val="single" w:sz="12" w:space="0" w:color="auto"/>
              <w:left w:val="single" w:sz="12" w:space="0" w:color="auto"/>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samostatní poskytovatelé lůžkové, ambulantní a jednodenní péče (nemocnice)</w:t>
            </w:r>
          </w:p>
        </w:tc>
        <w:tc>
          <w:tcPr>
            <w:tcW w:w="1461" w:type="dxa"/>
            <w:tcBorders>
              <w:top w:val="single" w:sz="12" w:space="0" w:color="auto"/>
              <w:left w:val="single" w:sz="12" w:space="0" w:color="auto"/>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106,2%</w:t>
            </w:r>
          </w:p>
        </w:tc>
        <w:tc>
          <w:tcPr>
            <w:tcW w:w="1460" w:type="dxa"/>
            <w:tcBorders>
              <w:top w:val="single" w:sz="12" w:space="0" w:color="auto"/>
              <w:left w:val="nil"/>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108,2%</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rPr>
                <w:rFonts w:ascii="Arial" w:hAnsi="Arial" w:cs="Arial"/>
                <w:i/>
                <w:iCs/>
                <w:color w:val="000000"/>
                <w:sz w:val="16"/>
                <w:szCs w:val="16"/>
              </w:rPr>
            </w:pPr>
            <w:r>
              <w:rPr>
                <w:rFonts w:ascii="Arial" w:hAnsi="Arial" w:cs="Arial"/>
                <w:i/>
                <w:iCs/>
                <w:color w:val="000000"/>
                <w:sz w:val="18"/>
                <w:szCs w:val="18"/>
              </w:rPr>
              <w:t>V tom: následná lůžková péče</w:t>
            </w:r>
          </w:p>
        </w:tc>
        <w:tc>
          <w:tcPr>
            <w:tcW w:w="1461" w:type="dxa"/>
            <w:tcBorders>
              <w:top w:val="single" w:sz="6" w:space="0" w:color="auto"/>
              <w:left w:val="single" w:sz="12" w:space="0" w:color="auto"/>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104,9%</w:t>
            </w:r>
          </w:p>
        </w:tc>
        <w:tc>
          <w:tcPr>
            <w:tcW w:w="1460" w:type="dxa"/>
            <w:tcBorders>
              <w:top w:val="single" w:sz="6" w:space="0" w:color="auto"/>
              <w:left w:val="nil"/>
              <w:bottom w:val="single" w:sz="6" w:space="0" w:color="auto"/>
              <w:right w:val="single" w:sz="12" w:space="0" w:color="auto"/>
            </w:tcBorders>
            <w:shd w:val="solid" w:color="99CC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105,9%</w:t>
            </w:r>
          </w:p>
        </w:tc>
      </w:tr>
      <w:tr w:rsidR="00CD2CF1" w:rsidTr="00CD2CF1">
        <w:trPr>
          <w:trHeight w:val="360"/>
        </w:trPr>
        <w:tc>
          <w:tcPr>
            <w:tcW w:w="7504" w:type="dxa"/>
            <w:tcBorders>
              <w:top w:val="single" w:sz="12"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 xml:space="preserve">samostatní poskytovatelé lůžkové následné péče OD 00021, OD 00022, OD 00023, OD 00025, OD 00026, OD 00027, OD 00028 </w:t>
            </w:r>
            <w:r>
              <w:rPr>
                <w:rFonts w:ascii="Arial" w:hAnsi="Arial" w:cs="Arial"/>
                <w:b/>
                <w:bCs/>
                <w:color w:val="000000"/>
                <w:sz w:val="16"/>
                <w:szCs w:val="16"/>
              </w:rPr>
              <w:t>(odborné léčebné ústavy s výjimkou PZS uvedených v řádku 2.3 a 2.4)</w:t>
            </w:r>
            <w:r>
              <w:rPr>
                <w:rFonts w:ascii="Arial" w:hAnsi="Arial" w:cs="Arial"/>
                <w:b/>
                <w:bCs/>
                <w:color w:val="000000"/>
                <w:sz w:val="18"/>
                <w:szCs w:val="18"/>
              </w:rPr>
              <w:t>, OD 00029</w:t>
            </w:r>
          </w:p>
        </w:tc>
        <w:tc>
          <w:tcPr>
            <w:tcW w:w="1461" w:type="dxa"/>
            <w:tcBorders>
              <w:top w:val="single" w:sz="12"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106,3%</w:t>
            </w:r>
          </w:p>
        </w:tc>
        <w:tc>
          <w:tcPr>
            <w:tcW w:w="1460" w:type="dxa"/>
            <w:tcBorders>
              <w:top w:val="single" w:sz="12" w:space="0" w:color="auto"/>
              <w:left w:val="nil"/>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111,9%</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samostatní poskytovatelé zdravotních služeb vykazující kód ošetřovacího dne 00024</w:t>
            </w:r>
            <w:r>
              <w:rPr>
                <w:rFonts w:ascii="Arial" w:hAnsi="Arial" w:cs="Arial"/>
                <w:b/>
                <w:bCs/>
                <w:color w:val="000000"/>
                <w:sz w:val="16"/>
                <w:szCs w:val="16"/>
              </w:rPr>
              <w:t xml:space="preserve"> (léčebny dlouhodobě nemocných)</w:t>
            </w:r>
          </w:p>
        </w:tc>
        <w:tc>
          <w:tcPr>
            <w:tcW w:w="1461"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104,5%</w:t>
            </w:r>
          </w:p>
        </w:tc>
        <w:tc>
          <w:tcPr>
            <w:tcW w:w="1460" w:type="dxa"/>
            <w:tcBorders>
              <w:top w:val="single" w:sz="6" w:space="0" w:color="auto"/>
              <w:left w:val="nil"/>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113,5%</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samostatní poskytovatelé zdravotních služeb vykazující kód ošetřovacího dne 00005 </w:t>
            </w:r>
            <w:r>
              <w:rPr>
                <w:rFonts w:ascii="Arial" w:hAnsi="Arial" w:cs="Arial"/>
                <w:b/>
                <w:bCs/>
                <w:color w:val="000000"/>
                <w:sz w:val="16"/>
                <w:szCs w:val="16"/>
              </w:rPr>
              <w:t>(ošetřovatelská lůžka)</w:t>
            </w:r>
          </w:p>
        </w:tc>
        <w:tc>
          <w:tcPr>
            <w:tcW w:w="1461"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104,1%</w:t>
            </w:r>
          </w:p>
        </w:tc>
        <w:tc>
          <w:tcPr>
            <w:tcW w:w="1460" w:type="dxa"/>
            <w:tcBorders>
              <w:top w:val="single" w:sz="6" w:space="0" w:color="auto"/>
              <w:left w:val="nil"/>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102,6%</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rPr>
                <w:rFonts w:ascii="Arial" w:hAnsi="Arial" w:cs="Arial"/>
                <w:b/>
                <w:bCs/>
                <w:color w:val="000000"/>
                <w:sz w:val="16"/>
                <w:szCs w:val="16"/>
              </w:rPr>
            </w:pPr>
            <w:r>
              <w:rPr>
                <w:rFonts w:ascii="Arial" w:hAnsi="Arial" w:cs="Arial"/>
                <w:b/>
                <w:bCs/>
                <w:color w:val="000000"/>
                <w:sz w:val="18"/>
                <w:szCs w:val="18"/>
              </w:rPr>
              <w:t xml:space="preserve">lůžka ve speciálních lůžkových zařízeních hospicového typu </w:t>
            </w:r>
            <w:r>
              <w:rPr>
                <w:rFonts w:ascii="Arial" w:hAnsi="Arial" w:cs="Arial"/>
                <w:b/>
                <w:bCs/>
                <w:color w:val="000000"/>
                <w:sz w:val="16"/>
                <w:szCs w:val="16"/>
              </w:rPr>
              <w:t>(OD 00030)</w:t>
            </w:r>
          </w:p>
        </w:tc>
        <w:tc>
          <w:tcPr>
            <w:tcW w:w="1461"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104,0%</w:t>
            </w:r>
          </w:p>
        </w:tc>
        <w:tc>
          <w:tcPr>
            <w:tcW w:w="1460" w:type="dxa"/>
            <w:tcBorders>
              <w:top w:val="single" w:sz="6" w:space="0" w:color="auto"/>
              <w:left w:val="nil"/>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100,8%</w:t>
            </w:r>
          </w:p>
        </w:tc>
      </w:tr>
      <w:tr w:rsidR="00CD2CF1" w:rsidTr="00CD2CF1">
        <w:trPr>
          <w:trHeight w:val="360"/>
        </w:trPr>
        <w:tc>
          <w:tcPr>
            <w:tcW w:w="7504"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na lázeňskou léčebně rehabilitační péči</w:t>
            </w:r>
          </w:p>
        </w:tc>
        <w:tc>
          <w:tcPr>
            <w:tcW w:w="1461" w:type="dxa"/>
            <w:tcBorders>
              <w:top w:val="single" w:sz="6" w:space="0" w:color="auto"/>
              <w:left w:val="single" w:sz="12" w:space="0" w:color="auto"/>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73,1%</w:t>
            </w:r>
          </w:p>
        </w:tc>
        <w:tc>
          <w:tcPr>
            <w:tcW w:w="1460" w:type="dxa"/>
            <w:tcBorders>
              <w:top w:val="single" w:sz="6" w:space="0" w:color="auto"/>
              <w:left w:val="nil"/>
              <w:bottom w:val="single" w:sz="6" w:space="0" w:color="auto"/>
              <w:right w:val="single" w:sz="12" w:space="0" w:color="auto"/>
            </w:tcBorders>
            <w:shd w:val="solid" w:color="FFFF99"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125,0%</w:t>
            </w:r>
          </w:p>
        </w:tc>
      </w:tr>
      <w:tr w:rsidR="00CD2CF1" w:rsidTr="00CD2CF1">
        <w:trPr>
          <w:trHeight w:val="360"/>
        </w:trPr>
        <w:tc>
          <w:tcPr>
            <w:tcW w:w="7504" w:type="dxa"/>
            <w:tcBorders>
              <w:top w:val="single" w:sz="6" w:space="0" w:color="auto"/>
              <w:left w:val="single" w:sz="12" w:space="0" w:color="auto"/>
              <w:bottom w:val="single" w:sz="12" w:space="0" w:color="auto"/>
              <w:right w:val="single" w:sz="12" w:space="0" w:color="auto"/>
            </w:tcBorders>
            <w:shd w:val="solid" w:color="CC99FF" w:fill="auto"/>
            <w:vAlign w:val="center"/>
          </w:tcPr>
          <w:p w:rsidR="00CD2CF1" w:rsidRDefault="00CD2CF1" w:rsidP="00CD2CF1">
            <w:pPr>
              <w:autoSpaceDE w:val="0"/>
              <w:autoSpaceDN w:val="0"/>
              <w:adjustRightInd w:val="0"/>
              <w:rPr>
                <w:rFonts w:ascii="Arial" w:hAnsi="Arial" w:cs="Arial"/>
                <w:b/>
                <w:bCs/>
                <w:color w:val="000000"/>
                <w:sz w:val="18"/>
                <w:szCs w:val="18"/>
              </w:rPr>
            </w:pPr>
            <w:r>
              <w:rPr>
                <w:rFonts w:ascii="Arial" w:hAnsi="Arial" w:cs="Arial"/>
                <w:b/>
                <w:bCs/>
                <w:color w:val="000000"/>
                <w:sz w:val="18"/>
                <w:szCs w:val="18"/>
              </w:rPr>
              <w:t>na zdravotnickou záchrannou službu</w:t>
            </w:r>
          </w:p>
        </w:tc>
        <w:tc>
          <w:tcPr>
            <w:tcW w:w="1461" w:type="dxa"/>
            <w:tcBorders>
              <w:top w:val="single" w:sz="6" w:space="0" w:color="auto"/>
              <w:left w:val="single" w:sz="12" w:space="0" w:color="auto"/>
              <w:bottom w:val="single" w:sz="12" w:space="0" w:color="auto"/>
              <w:right w:val="single" w:sz="12" w:space="0" w:color="auto"/>
            </w:tcBorders>
            <w:shd w:val="solid" w:color="CC99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107,8%</w:t>
            </w:r>
          </w:p>
        </w:tc>
        <w:tc>
          <w:tcPr>
            <w:tcW w:w="1460" w:type="dxa"/>
            <w:tcBorders>
              <w:top w:val="single" w:sz="6" w:space="0" w:color="auto"/>
              <w:left w:val="nil"/>
              <w:bottom w:val="single" w:sz="12" w:space="0" w:color="auto"/>
              <w:right w:val="single" w:sz="12" w:space="0" w:color="auto"/>
            </w:tcBorders>
            <w:shd w:val="solid" w:color="CC99FF" w:fill="auto"/>
            <w:vAlign w:val="center"/>
          </w:tcPr>
          <w:p w:rsidR="00CD2CF1" w:rsidRDefault="00CD2CF1" w:rsidP="00CD2CF1">
            <w:pPr>
              <w:autoSpaceDE w:val="0"/>
              <w:autoSpaceDN w:val="0"/>
              <w:adjustRightInd w:val="0"/>
              <w:jc w:val="center"/>
              <w:rPr>
                <w:rFonts w:ascii="Arial" w:hAnsi="Arial" w:cs="Arial"/>
                <w:color w:val="000000"/>
                <w:sz w:val="18"/>
                <w:szCs w:val="18"/>
              </w:rPr>
            </w:pPr>
            <w:r>
              <w:rPr>
                <w:rFonts w:ascii="Arial" w:hAnsi="Arial" w:cs="Arial"/>
                <w:color w:val="000000"/>
                <w:sz w:val="18"/>
                <w:szCs w:val="18"/>
              </w:rPr>
              <w:t>101,5%</w:t>
            </w:r>
          </w:p>
        </w:tc>
      </w:tr>
    </w:tbl>
    <w:p w:rsidR="00C20389" w:rsidRDefault="00C20389" w:rsidP="00CD2CF1">
      <w:pPr>
        <w:pStyle w:val="Odstavecseseznamem"/>
        <w:ind w:left="0"/>
        <w:contextualSpacing/>
        <w:jc w:val="both"/>
        <w:rPr>
          <w:rFonts w:cs="Arial"/>
        </w:rPr>
      </w:pPr>
    </w:p>
    <w:p w:rsidR="006059C4" w:rsidRPr="006059C4" w:rsidRDefault="006059C4" w:rsidP="006059C4">
      <w:pPr>
        <w:contextualSpacing/>
        <w:rPr>
          <w:rFonts w:cs="Arial"/>
        </w:rPr>
      </w:pPr>
    </w:p>
    <w:p w:rsidR="0090639B" w:rsidRDefault="0090639B">
      <w:pPr>
        <w:spacing w:after="0" w:line="240" w:lineRule="auto"/>
        <w:rPr>
          <w:rFonts w:asciiTheme="minorHAnsi" w:eastAsia="Times New Roman" w:hAnsiTheme="minorHAnsi" w:cs="Arial"/>
          <w:b/>
          <w:bCs/>
          <w:sz w:val="26"/>
          <w:szCs w:val="26"/>
        </w:rPr>
      </w:pPr>
      <w:r>
        <w:rPr>
          <w:rFonts w:asciiTheme="minorHAnsi" w:hAnsiTheme="minorHAnsi" w:cs="Arial"/>
        </w:rPr>
        <w:br w:type="page"/>
      </w:r>
    </w:p>
    <w:p w:rsidR="00A17188" w:rsidRPr="008D0EBF" w:rsidRDefault="00A17188" w:rsidP="00A17188">
      <w:pPr>
        <w:pStyle w:val="Nadpis2"/>
        <w:numPr>
          <w:ilvl w:val="1"/>
          <w:numId w:val="20"/>
        </w:numPr>
        <w:rPr>
          <w:rFonts w:asciiTheme="minorHAnsi" w:hAnsiTheme="minorHAnsi" w:cs="Arial"/>
          <w:color w:val="auto"/>
        </w:rPr>
      </w:pPr>
      <w:bookmarkStart w:id="6" w:name="_Toc373223682"/>
      <w:r w:rsidRPr="008D0EBF">
        <w:rPr>
          <w:rFonts w:asciiTheme="minorHAnsi" w:hAnsiTheme="minorHAnsi" w:cs="Arial"/>
          <w:color w:val="auto"/>
        </w:rPr>
        <w:t>DPH</w:t>
      </w:r>
      <w:bookmarkEnd w:id="6"/>
    </w:p>
    <w:p w:rsidR="00A17188" w:rsidRPr="008D0EBF" w:rsidRDefault="00A17188" w:rsidP="00A17188"/>
    <w:p w:rsidR="00C20389" w:rsidRPr="00C20389" w:rsidRDefault="00C20389" w:rsidP="00C20389">
      <w:pPr>
        <w:jc w:val="both"/>
        <w:rPr>
          <w:sz w:val="24"/>
          <w:szCs w:val="24"/>
        </w:rPr>
      </w:pPr>
      <w:r w:rsidRPr="00C20389">
        <w:rPr>
          <w:sz w:val="24"/>
          <w:szCs w:val="24"/>
        </w:rPr>
        <w:t>Významný vliv na zvýšení nákladů v celém sektoru zdravotnictví má zvyšování sazeb DPH, zejména razantní nárůst snížené sazby na 15 % v roce 2013.</w:t>
      </w:r>
    </w:p>
    <w:p w:rsidR="00C20389" w:rsidRPr="008D0EBF" w:rsidRDefault="00C20389" w:rsidP="00C20389">
      <w:pPr>
        <w:rPr>
          <w:b/>
        </w:rPr>
      </w:pPr>
      <w:r w:rsidRPr="008D0EBF">
        <w:rPr>
          <w:b/>
        </w:rPr>
        <w:t>Přehled změn sazby DPH:</w:t>
      </w:r>
    </w:p>
    <w:tbl>
      <w:tblPr>
        <w:tblStyle w:val="Svtlstnovn"/>
        <w:tblW w:w="7627" w:type="dxa"/>
        <w:jc w:val="center"/>
        <w:tblLook w:val="04A0" w:firstRow="1" w:lastRow="0" w:firstColumn="1" w:lastColumn="0" w:noHBand="0" w:noVBand="1"/>
      </w:tblPr>
      <w:tblGrid>
        <w:gridCol w:w="3817"/>
        <w:gridCol w:w="1270"/>
        <w:gridCol w:w="1270"/>
        <w:gridCol w:w="1270"/>
      </w:tblGrid>
      <w:tr w:rsidR="00C20389" w:rsidRPr="008D0EBF" w:rsidTr="00197C92">
        <w:trPr>
          <w:cnfStyle w:val="100000000000" w:firstRow="1" w:lastRow="0" w:firstColumn="0" w:lastColumn="0" w:oddVBand="0" w:evenVBand="0" w:oddHBand="0" w:evenHBand="0" w:firstRowFirstColumn="0" w:firstRowLastColumn="0" w:lastRowFirstColumn="0" w:lastRowLastColumn="0"/>
          <w:trHeight w:val="457"/>
          <w:jc w:val="center"/>
        </w:trPr>
        <w:tc>
          <w:tcPr>
            <w:cnfStyle w:val="001000000000" w:firstRow="0" w:lastRow="0" w:firstColumn="1" w:lastColumn="0" w:oddVBand="0" w:evenVBand="0" w:oddHBand="0" w:evenHBand="0" w:firstRowFirstColumn="0" w:firstRowLastColumn="0" w:lastRowFirstColumn="0" w:lastRowLastColumn="0"/>
            <w:tcW w:w="0" w:type="auto"/>
          </w:tcPr>
          <w:p w:rsidR="00C20389" w:rsidRPr="008D0EBF" w:rsidRDefault="00C20389" w:rsidP="00197C92">
            <w:r w:rsidRPr="008D0EBF">
              <w:t>rok</w:t>
            </w:r>
          </w:p>
        </w:tc>
        <w:tc>
          <w:tcPr>
            <w:tcW w:w="0" w:type="auto"/>
          </w:tcPr>
          <w:p w:rsidR="00C20389" w:rsidRPr="008D0EBF" w:rsidRDefault="00C20389" w:rsidP="00197C92">
            <w:pPr>
              <w:cnfStyle w:val="100000000000" w:firstRow="1" w:lastRow="0" w:firstColumn="0" w:lastColumn="0" w:oddVBand="0" w:evenVBand="0" w:oddHBand="0" w:evenHBand="0" w:firstRowFirstColumn="0" w:firstRowLastColumn="0" w:lastRowFirstColumn="0" w:lastRowLastColumn="0"/>
            </w:pPr>
            <w:r w:rsidRPr="008D0EBF">
              <w:t>2011</w:t>
            </w:r>
          </w:p>
        </w:tc>
        <w:tc>
          <w:tcPr>
            <w:tcW w:w="0" w:type="auto"/>
          </w:tcPr>
          <w:p w:rsidR="00C20389" w:rsidRPr="008D0EBF" w:rsidRDefault="00C20389" w:rsidP="00197C92">
            <w:pPr>
              <w:cnfStyle w:val="100000000000" w:firstRow="1" w:lastRow="0" w:firstColumn="0" w:lastColumn="0" w:oddVBand="0" w:evenVBand="0" w:oddHBand="0" w:evenHBand="0" w:firstRowFirstColumn="0" w:firstRowLastColumn="0" w:lastRowFirstColumn="0" w:lastRowLastColumn="0"/>
            </w:pPr>
            <w:r w:rsidRPr="008D0EBF">
              <w:t>2012</w:t>
            </w:r>
          </w:p>
        </w:tc>
        <w:tc>
          <w:tcPr>
            <w:tcW w:w="0" w:type="auto"/>
          </w:tcPr>
          <w:p w:rsidR="00C20389" w:rsidRPr="008D0EBF" w:rsidRDefault="00C20389" w:rsidP="00197C92">
            <w:pPr>
              <w:cnfStyle w:val="100000000000" w:firstRow="1" w:lastRow="0" w:firstColumn="0" w:lastColumn="0" w:oddVBand="0" w:evenVBand="0" w:oddHBand="0" w:evenHBand="0" w:firstRowFirstColumn="0" w:firstRowLastColumn="0" w:lastRowFirstColumn="0" w:lastRowLastColumn="0"/>
            </w:pPr>
            <w:r w:rsidRPr="008D0EBF">
              <w:t>2013</w:t>
            </w:r>
          </w:p>
        </w:tc>
      </w:tr>
      <w:tr w:rsidR="00C20389" w:rsidRPr="008D0EBF" w:rsidTr="00197C92">
        <w:trPr>
          <w:cnfStyle w:val="000000100000" w:firstRow="0" w:lastRow="0" w:firstColumn="0" w:lastColumn="0" w:oddVBand="0" w:evenVBand="0" w:oddHBand="1" w:evenHBand="0" w:firstRowFirstColumn="0" w:firstRowLastColumn="0" w:lastRowFirstColumn="0" w:lastRowLastColumn="0"/>
          <w:trHeight w:val="457"/>
          <w:jc w:val="center"/>
        </w:trPr>
        <w:tc>
          <w:tcPr>
            <w:cnfStyle w:val="001000000000" w:firstRow="0" w:lastRow="0" w:firstColumn="1" w:lastColumn="0" w:oddVBand="0" w:evenVBand="0" w:oddHBand="0" w:evenHBand="0" w:firstRowFirstColumn="0" w:firstRowLastColumn="0" w:lastRowFirstColumn="0" w:lastRowLastColumn="0"/>
            <w:tcW w:w="0" w:type="auto"/>
          </w:tcPr>
          <w:p w:rsidR="00C20389" w:rsidRPr="008D0EBF" w:rsidRDefault="00C20389" w:rsidP="00197C92">
            <w:r w:rsidRPr="008D0EBF">
              <w:t>Základní sazba DPH</w:t>
            </w:r>
          </w:p>
        </w:tc>
        <w:tc>
          <w:tcPr>
            <w:tcW w:w="0" w:type="auto"/>
          </w:tcPr>
          <w:p w:rsidR="00C20389" w:rsidRPr="008D0EBF" w:rsidRDefault="00C20389" w:rsidP="00197C92">
            <w:pPr>
              <w:cnfStyle w:val="000000100000" w:firstRow="0" w:lastRow="0" w:firstColumn="0" w:lastColumn="0" w:oddVBand="0" w:evenVBand="0" w:oddHBand="1" w:evenHBand="0" w:firstRowFirstColumn="0" w:firstRowLastColumn="0" w:lastRowFirstColumn="0" w:lastRowLastColumn="0"/>
            </w:pPr>
            <w:r w:rsidRPr="008D0EBF">
              <w:t>20%</w:t>
            </w:r>
          </w:p>
        </w:tc>
        <w:tc>
          <w:tcPr>
            <w:tcW w:w="0" w:type="auto"/>
          </w:tcPr>
          <w:p w:rsidR="00C20389" w:rsidRPr="008D0EBF" w:rsidRDefault="00C20389" w:rsidP="00197C92">
            <w:pPr>
              <w:cnfStyle w:val="000000100000" w:firstRow="0" w:lastRow="0" w:firstColumn="0" w:lastColumn="0" w:oddVBand="0" w:evenVBand="0" w:oddHBand="1" w:evenHBand="0" w:firstRowFirstColumn="0" w:firstRowLastColumn="0" w:lastRowFirstColumn="0" w:lastRowLastColumn="0"/>
            </w:pPr>
            <w:r w:rsidRPr="008D0EBF">
              <w:t>20%</w:t>
            </w:r>
          </w:p>
        </w:tc>
        <w:tc>
          <w:tcPr>
            <w:tcW w:w="0" w:type="auto"/>
          </w:tcPr>
          <w:p w:rsidR="00C20389" w:rsidRPr="008D0EBF" w:rsidRDefault="00C20389" w:rsidP="00197C92">
            <w:pPr>
              <w:cnfStyle w:val="000000100000" w:firstRow="0" w:lastRow="0" w:firstColumn="0" w:lastColumn="0" w:oddVBand="0" w:evenVBand="0" w:oddHBand="1" w:evenHBand="0" w:firstRowFirstColumn="0" w:firstRowLastColumn="0" w:lastRowFirstColumn="0" w:lastRowLastColumn="0"/>
            </w:pPr>
            <w:r w:rsidRPr="008D0EBF">
              <w:t>21%</w:t>
            </w:r>
          </w:p>
        </w:tc>
      </w:tr>
      <w:tr w:rsidR="00C20389" w:rsidRPr="008D0EBF" w:rsidTr="00197C92">
        <w:trPr>
          <w:trHeight w:val="457"/>
          <w:jc w:val="center"/>
        </w:trPr>
        <w:tc>
          <w:tcPr>
            <w:cnfStyle w:val="001000000000" w:firstRow="0" w:lastRow="0" w:firstColumn="1" w:lastColumn="0" w:oddVBand="0" w:evenVBand="0" w:oddHBand="0" w:evenHBand="0" w:firstRowFirstColumn="0" w:firstRowLastColumn="0" w:lastRowFirstColumn="0" w:lastRowLastColumn="0"/>
            <w:tcW w:w="0" w:type="auto"/>
          </w:tcPr>
          <w:p w:rsidR="00C20389" w:rsidRPr="008D0EBF" w:rsidRDefault="00C20389" w:rsidP="00197C92">
            <w:r w:rsidRPr="008D0EBF">
              <w:t>Snížená sazba DPH</w:t>
            </w:r>
          </w:p>
        </w:tc>
        <w:tc>
          <w:tcPr>
            <w:tcW w:w="0" w:type="auto"/>
          </w:tcPr>
          <w:p w:rsidR="00C20389" w:rsidRPr="008D0EBF" w:rsidRDefault="00C20389" w:rsidP="00197C92">
            <w:pPr>
              <w:cnfStyle w:val="000000000000" w:firstRow="0" w:lastRow="0" w:firstColumn="0" w:lastColumn="0" w:oddVBand="0" w:evenVBand="0" w:oddHBand="0" w:evenHBand="0" w:firstRowFirstColumn="0" w:firstRowLastColumn="0" w:lastRowFirstColumn="0" w:lastRowLastColumn="0"/>
            </w:pPr>
            <w:r w:rsidRPr="008D0EBF">
              <w:t>10%</w:t>
            </w:r>
          </w:p>
        </w:tc>
        <w:tc>
          <w:tcPr>
            <w:tcW w:w="0" w:type="auto"/>
          </w:tcPr>
          <w:p w:rsidR="00C20389" w:rsidRPr="008D0EBF" w:rsidRDefault="00C20389" w:rsidP="00197C92">
            <w:pPr>
              <w:cnfStyle w:val="000000000000" w:firstRow="0" w:lastRow="0" w:firstColumn="0" w:lastColumn="0" w:oddVBand="0" w:evenVBand="0" w:oddHBand="0" w:evenHBand="0" w:firstRowFirstColumn="0" w:firstRowLastColumn="0" w:lastRowFirstColumn="0" w:lastRowLastColumn="0"/>
            </w:pPr>
            <w:r w:rsidRPr="008D0EBF">
              <w:t>14%</w:t>
            </w:r>
          </w:p>
        </w:tc>
        <w:tc>
          <w:tcPr>
            <w:tcW w:w="0" w:type="auto"/>
          </w:tcPr>
          <w:p w:rsidR="00C20389" w:rsidRPr="008D0EBF" w:rsidRDefault="00C20389" w:rsidP="00197C92">
            <w:pPr>
              <w:cnfStyle w:val="000000000000" w:firstRow="0" w:lastRow="0" w:firstColumn="0" w:lastColumn="0" w:oddVBand="0" w:evenVBand="0" w:oddHBand="0" w:evenHBand="0" w:firstRowFirstColumn="0" w:firstRowLastColumn="0" w:lastRowFirstColumn="0" w:lastRowLastColumn="0"/>
            </w:pPr>
            <w:r w:rsidRPr="008D0EBF">
              <w:t>15%</w:t>
            </w:r>
          </w:p>
        </w:tc>
      </w:tr>
    </w:tbl>
    <w:p w:rsidR="00C20389" w:rsidRPr="008D0EBF" w:rsidRDefault="00C20389" w:rsidP="00C20389"/>
    <w:p w:rsidR="00C20389" w:rsidRPr="00C20389" w:rsidRDefault="00C20389" w:rsidP="00C20389">
      <w:pPr>
        <w:jc w:val="both"/>
        <w:rPr>
          <w:sz w:val="24"/>
          <w:szCs w:val="24"/>
        </w:rPr>
      </w:pPr>
      <w:r w:rsidRPr="00C20389">
        <w:rPr>
          <w:sz w:val="24"/>
          <w:szCs w:val="24"/>
        </w:rPr>
        <w:t>Navíc pro rok 2013 byly některé zdravotnické prostředky přeřazeny ze snížené do základní sazby DPH. Jedná se o zdravotnické prostředky, které nejsou výlučně určeny pro osoby se zdravotním postižením nebo léčení jejich potíží a pro výlučnou osobní potřebu zdravotně postižených. Důvodem bylo zahájení řízení o porušení Smlouvy o fungování Evropské unie vůči ČR. Evropská komise došla k názoru, že jejich dosavadní zařazení do nižší sazby DPH bylo v rozporu s legislativou Evropské unie.</w:t>
      </w:r>
    </w:p>
    <w:p w:rsidR="00C20389" w:rsidRPr="00C20389" w:rsidRDefault="00C20389" w:rsidP="00C20389">
      <w:pPr>
        <w:jc w:val="both"/>
        <w:rPr>
          <w:sz w:val="24"/>
          <w:szCs w:val="24"/>
        </w:rPr>
      </w:pPr>
      <w:r w:rsidRPr="00C20389">
        <w:rPr>
          <w:sz w:val="24"/>
          <w:szCs w:val="24"/>
        </w:rPr>
        <w:t>Náklady na spotřební materiál činí významnou položku v nákladech většiny zdravotnických zařízení a jeho cena stoupla v letech 2011 – 2013 o 5%, v některých případech z důvodu změny sazby až o 11%. Zvýšení se samozřejmě projeví u nákupu všeho zboží a služeb, včetně investic.</w:t>
      </w:r>
    </w:p>
    <w:p w:rsidR="00C20389" w:rsidRPr="00C20389" w:rsidRDefault="00C20389" w:rsidP="00C20389">
      <w:pPr>
        <w:jc w:val="both"/>
        <w:rPr>
          <w:sz w:val="24"/>
          <w:szCs w:val="24"/>
        </w:rPr>
      </w:pPr>
      <w:r w:rsidRPr="00C20389">
        <w:rPr>
          <w:b/>
          <w:sz w:val="24"/>
          <w:szCs w:val="24"/>
        </w:rPr>
        <w:t xml:space="preserve">Z kvalifikovaného odhadu vyplývá, že dopad zvýšení sazeb DPH činí pro rok 2013 pro celý systém zdravotnictví 3,8 mld. Kč. </w:t>
      </w:r>
      <w:r w:rsidRPr="00C20389">
        <w:rPr>
          <w:sz w:val="24"/>
          <w:szCs w:val="24"/>
        </w:rPr>
        <w:t>V roce 2013 fakticky dochází zvýšenými odvody za DPH k přesunu finančních prostředků ze zdravotního systému do státního rozpočtu.</w:t>
      </w:r>
    </w:p>
    <w:p w:rsidR="00C20389" w:rsidRPr="00C20389" w:rsidRDefault="00C20389" w:rsidP="00C20389">
      <w:pPr>
        <w:jc w:val="both"/>
        <w:rPr>
          <w:sz w:val="24"/>
          <w:szCs w:val="24"/>
        </w:rPr>
      </w:pPr>
      <w:r w:rsidRPr="00C20389">
        <w:rPr>
          <w:sz w:val="24"/>
          <w:szCs w:val="24"/>
        </w:rPr>
        <w:t xml:space="preserve">Snížení sazby DPH u léčiv znamená úsporu systému veřejného zdravotního pojištění. Konkrétně v případě léčiv vydávaných a hrazených na recept a léčiv vykazovaných jako ZULP představuje </w:t>
      </w:r>
      <w:r w:rsidRPr="00C20389">
        <w:rPr>
          <w:b/>
          <w:sz w:val="24"/>
          <w:szCs w:val="24"/>
        </w:rPr>
        <w:t>snížení sazby DPH o 1 procentní bod snížení zátěže systému přibližně o 500 mil. Kč za rok</w:t>
      </w:r>
      <w:r w:rsidRPr="00C20389">
        <w:rPr>
          <w:sz w:val="24"/>
          <w:szCs w:val="24"/>
        </w:rPr>
        <w:t>. Další úspora by byla dosažena v segmentu nemocniční péče, ve kterém je významná část léků hrazena formou paušálu. Při plošném snížení sazby DPH za léky by došlo také ke snížení spoluúčasti pacientů. Selektování případného snížení sazby DPH podle toho, zda jsou hrazeny ze z prostředků veřejného zdravotního pojištění, nebo formou spoluúčasti pacientů, by bylo velmi komplikované. A nelze vyloučit riziko, že by se dvojímu režimu přizpůsobily různé subjekty na trhu, které by nalezly způsob, jak tuto situaci zneužít. Případné návrhy na úpravu sazby DPH u léčiv bude nutné posoudit také z hlediska kompatibility s právem Evropské unie.</w:t>
      </w:r>
    </w:p>
    <w:p w:rsidR="00C20389" w:rsidRDefault="00C20389">
      <w:pPr>
        <w:spacing w:after="0" w:line="240" w:lineRule="auto"/>
      </w:pPr>
      <w:r>
        <w:br w:type="page"/>
      </w:r>
    </w:p>
    <w:p w:rsidR="00A17188" w:rsidRDefault="00A17188" w:rsidP="00A17188"/>
    <w:p w:rsidR="00A17188" w:rsidRPr="008D0EBF" w:rsidRDefault="00A17188" w:rsidP="00A17188">
      <w:pPr>
        <w:pStyle w:val="Nadpis2"/>
        <w:numPr>
          <w:ilvl w:val="1"/>
          <w:numId w:val="20"/>
        </w:numPr>
        <w:ind w:left="567" w:hanging="567"/>
        <w:rPr>
          <w:rFonts w:asciiTheme="minorHAnsi" w:hAnsiTheme="minorHAnsi" w:cs="Arial"/>
          <w:color w:val="auto"/>
        </w:rPr>
      </w:pPr>
      <w:bookmarkStart w:id="7" w:name="_Toc367188611"/>
      <w:bookmarkStart w:id="8" w:name="_Toc373223683"/>
      <w:r w:rsidRPr="008D0EBF">
        <w:rPr>
          <w:rFonts w:asciiTheme="minorHAnsi" w:hAnsiTheme="minorHAnsi" w:cs="Arial"/>
          <w:color w:val="auto"/>
        </w:rPr>
        <w:t>Snížení příjmů systému veřejného zdravotního pojištění v důsledku zrušení či snížení regulačních poplatků</w:t>
      </w:r>
      <w:bookmarkEnd w:id="7"/>
      <w:bookmarkEnd w:id="8"/>
    </w:p>
    <w:p w:rsidR="00A17188" w:rsidRPr="008D0EBF" w:rsidRDefault="00A17188" w:rsidP="00A17188"/>
    <w:p w:rsidR="00C20389" w:rsidRPr="00C20389" w:rsidRDefault="00C20389" w:rsidP="00197C92">
      <w:pPr>
        <w:jc w:val="both"/>
        <w:rPr>
          <w:rFonts w:asciiTheme="minorHAnsi" w:hAnsiTheme="minorHAnsi"/>
          <w:sz w:val="24"/>
          <w:szCs w:val="24"/>
        </w:rPr>
      </w:pPr>
      <w:r w:rsidRPr="00C20389">
        <w:rPr>
          <w:rFonts w:asciiTheme="minorHAnsi" w:hAnsiTheme="minorHAnsi"/>
          <w:sz w:val="24"/>
          <w:szCs w:val="24"/>
        </w:rPr>
        <w:t xml:space="preserve">MZ připravilo </w:t>
      </w:r>
      <w:r w:rsidRPr="00C20389">
        <w:rPr>
          <w:rFonts w:asciiTheme="minorHAnsi" w:hAnsiTheme="minorHAnsi"/>
          <w:b/>
          <w:sz w:val="24"/>
          <w:szCs w:val="24"/>
        </w:rPr>
        <w:t>novelu zákona č. 48/1997 Sb.</w:t>
      </w:r>
      <w:r w:rsidRPr="00C20389">
        <w:rPr>
          <w:rFonts w:asciiTheme="minorHAnsi" w:hAnsiTheme="minorHAnsi"/>
          <w:sz w:val="24"/>
          <w:szCs w:val="24"/>
        </w:rPr>
        <w:t xml:space="preserve">, o veřejném zdravotním pojištění a o změně a doplnění některých souvisejících zákonů, která reaguje na nález Ústavního soudu sp. zn. Pl ÚS 36/11, jenž uplynutím 31. prosince 2013 ruší regulační poplatek za lůžkovou péči, a jeho cílem je zachování rovnováhy systému poskytování lůžkové péče i po 31. prosinci 2013. </w:t>
      </w:r>
    </w:p>
    <w:p w:rsidR="00C20389" w:rsidRDefault="00C20389" w:rsidP="00197C92">
      <w:pPr>
        <w:jc w:val="both"/>
        <w:rPr>
          <w:rFonts w:asciiTheme="minorHAnsi" w:hAnsiTheme="minorHAnsi"/>
          <w:sz w:val="24"/>
          <w:szCs w:val="24"/>
        </w:rPr>
      </w:pPr>
      <w:r w:rsidRPr="00C20389">
        <w:rPr>
          <w:rFonts w:asciiTheme="minorHAnsi" w:hAnsiTheme="minorHAnsi"/>
          <w:b/>
          <w:sz w:val="24"/>
          <w:szCs w:val="24"/>
        </w:rPr>
        <w:t xml:space="preserve">Novela navrhuje stanovení regulačního poplatku za lůžkovou péči ve výši 60 Kč za kalendářní den s tím, že z povinnosti platit tento regulační poplatek budou osvobozeny děti do dne dovršení 18 let věku. </w:t>
      </w:r>
      <w:r w:rsidRPr="00C20389">
        <w:rPr>
          <w:rFonts w:asciiTheme="minorHAnsi" w:hAnsiTheme="minorHAnsi"/>
          <w:sz w:val="24"/>
          <w:szCs w:val="24"/>
        </w:rPr>
        <w:t>Tato novela byla dne 6. 11. 2013 schválena vládou a návrh byl zaslán k projednání PSP ČR.</w:t>
      </w:r>
    </w:p>
    <w:p w:rsidR="007166B4" w:rsidRPr="007166B4" w:rsidRDefault="007166B4" w:rsidP="007166B4">
      <w:pPr>
        <w:jc w:val="both"/>
        <w:rPr>
          <w:rFonts w:asciiTheme="minorHAnsi" w:hAnsiTheme="minorHAnsi"/>
          <w:b/>
          <w:sz w:val="24"/>
          <w:szCs w:val="24"/>
          <w:u w:val="single"/>
        </w:rPr>
      </w:pPr>
      <w:r>
        <w:rPr>
          <w:rFonts w:asciiTheme="minorHAnsi" w:hAnsiTheme="minorHAnsi"/>
          <w:b/>
          <w:sz w:val="24"/>
          <w:szCs w:val="24"/>
          <w:u w:val="single"/>
        </w:rPr>
        <w:t>Diskutované v</w:t>
      </w:r>
      <w:r w:rsidRPr="007166B4">
        <w:rPr>
          <w:rFonts w:asciiTheme="minorHAnsi" w:hAnsiTheme="minorHAnsi"/>
          <w:b/>
          <w:sz w:val="24"/>
          <w:szCs w:val="24"/>
          <w:u w:val="single"/>
        </w:rPr>
        <w:t>arianty řešení:</w:t>
      </w:r>
    </w:p>
    <w:p w:rsidR="007166B4" w:rsidRPr="007166B4" w:rsidRDefault="007166B4" w:rsidP="007166B4">
      <w:pPr>
        <w:numPr>
          <w:ilvl w:val="0"/>
          <w:numId w:val="34"/>
        </w:numPr>
        <w:jc w:val="both"/>
        <w:rPr>
          <w:rFonts w:asciiTheme="minorHAnsi" w:hAnsiTheme="minorHAnsi"/>
          <w:sz w:val="24"/>
          <w:szCs w:val="24"/>
        </w:rPr>
      </w:pPr>
      <w:r w:rsidRPr="007166B4">
        <w:rPr>
          <w:rFonts w:asciiTheme="minorHAnsi" w:hAnsiTheme="minorHAnsi"/>
          <w:sz w:val="24"/>
          <w:szCs w:val="24"/>
        </w:rPr>
        <w:t xml:space="preserve">Návrat k poplatku ve výši 60,- Kč bez vyjmutí pojištěnců do 18 let = </w:t>
      </w:r>
      <w:r w:rsidRPr="007166B4">
        <w:rPr>
          <w:rFonts w:asciiTheme="minorHAnsi" w:hAnsiTheme="minorHAnsi"/>
          <w:b/>
          <w:sz w:val="24"/>
          <w:szCs w:val="24"/>
        </w:rPr>
        <w:t>ztráta</w:t>
      </w:r>
      <w:r w:rsidRPr="007166B4">
        <w:rPr>
          <w:rFonts w:asciiTheme="minorHAnsi" w:hAnsiTheme="minorHAnsi"/>
          <w:sz w:val="24"/>
          <w:szCs w:val="24"/>
        </w:rPr>
        <w:t xml:space="preserve"> vůči stávajícímu příjmu je </w:t>
      </w:r>
      <w:r w:rsidRPr="007166B4">
        <w:rPr>
          <w:rFonts w:asciiTheme="minorHAnsi" w:hAnsiTheme="minorHAnsi"/>
          <w:b/>
          <w:sz w:val="24"/>
          <w:szCs w:val="24"/>
        </w:rPr>
        <w:t>841 514 200 Kč</w:t>
      </w:r>
      <w:r w:rsidRPr="007166B4">
        <w:rPr>
          <w:rFonts w:asciiTheme="minorHAnsi" w:hAnsiTheme="minorHAnsi"/>
          <w:sz w:val="24"/>
          <w:szCs w:val="24"/>
        </w:rPr>
        <w:t>.</w:t>
      </w:r>
    </w:p>
    <w:p w:rsidR="007166B4" w:rsidRPr="007166B4" w:rsidRDefault="007166B4" w:rsidP="007166B4">
      <w:pPr>
        <w:jc w:val="both"/>
        <w:rPr>
          <w:rFonts w:asciiTheme="minorHAnsi" w:hAnsiTheme="minorHAnsi"/>
          <w:sz w:val="24"/>
          <w:szCs w:val="24"/>
        </w:rPr>
      </w:pPr>
      <w:r w:rsidRPr="007166B4">
        <w:rPr>
          <w:rFonts w:asciiTheme="minorHAnsi" w:hAnsiTheme="minorHAnsi"/>
          <w:sz w:val="24"/>
          <w:szCs w:val="24"/>
        </w:rPr>
        <w:t xml:space="preserve">Odhad příjmů systému při této variantě je </w:t>
      </w:r>
      <w:r w:rsidRPr="007166B4">
        <w:rPr>
          <w:rFonts w:asciiTheme="minorHAnsi" w:hAnsiTheme="minorHAnsi"/>
          <w:b/>
          <w:sz w:val="24"/>
          <w:szCs w:val="24"/>
        </w:rPr>
        <w:t>1 262 271 300 Kč</w:t>
      </w:r>
      <w:r w:rsidRPr="007166B4">
        <w:rPr>
          <w:rFonts w:asciiTheme="minorHAnsi" w:hAnsiTheme="minorHAnsi"/>
          <w:sz w:val="24"/>
          <w:szCs w:val="24"/>
        </w:rPr>
        <w:t>.</w:t>
      </w:r>
    </w:p>
    <w:p w:rsidR="007166B4" w:rsidRPr="007166B4" w:rsidRDefault="007166B4" w:rsidP="007166B4">
      <w:pPr>
        <w:numPr>
          <w:ilvl w:val="0"/>
          <w:numId w:val="34"/>
        </w:numPr>
        <w:jc w:val="both"/>
        <w:rPr>
          <w:rFonts w:asciiTheme="minorHAnsi" w:hAnsiTheme="minorHAnsi"/>
          <w:sz w:val="24"/>
          <w:szCs w:val="24"/>
        </w:rPr>
      </w:pPr>
      <w:r w:rsidRPr="007166B4">
        <w:rPr>
          <w:rFonts w:asciiTheme="minorHAnsi" w:hAnsiTheme="minorHAnsi"/>
          <w:sz w:val="24"/>
          <w:szCs w:val="24"/>
        </w:rPr>
        <w:t xml:space="preserve">Návrat k poplatku ve výši 60,- Kč s vyjmutím pojištěnců do 18 let = </w:t>
      </w:r>
      <w:r w:rsidRPr="007166B4">
        <w:rPr>
          <w:rFonts w:asciiTheme="minorHAnsi" w:hAnsiTheme="minorHAnsi"/>
          <w:b/>
          <w:sz w:val="24"/>
          <w:szCs w:val="24"/>
        </w:rPr>
        <w:t>ztráta</w:t>
      </w:r>
      <w:r w:rsidRPr="007166B4">
        <w:rPr>
          <w:rFonts w:asciiTheme="minorHAnsi" w:hAnsiTheme="minorHAnsi"/>
          <w:sz w:val="24"/>
          <w:szCs w:val="24"/>
        </w:rPr>
        <w:t xml:space="preserve"> vůči stávajícímu příjmu 1 005 280 000 Kč</w:t>
      </w:r>
    </w:p>
    <w:p w:rsidR="007166B4" w:rsidRPr="007166B4" w:rsidRDefault="007166B4" w:rsidP="007166B4">
      <w:pPr>
        <w:jc w:val="both"/>
        <w:rPr>
          <w:rFonts w:asciiTheme="minorHAnsi" w:hAnsiTheme="minorHAnsi"/>
          <w:sz w:val="24"/>
          <w:szCs w:val="24"/>
        </w:rPr>
      </w:pPr>
      <w:r w:rsidRPr="007166B4">
        <w:rPr>
          <w:rFonts w:asciiTheme="minorHAnsi" w:hAnsiTheme="minorHAnsi"/>
          <w:sz w:val="24"/>
          <w:szCs w:val="24"/>
        </w:rPr>
        <w:t xml:space="preserve">Odhad příjmů systému při této variantě je </w:t>
      </w:r>
      <w:r w:rsidRPr="007166B4">
        <w:rPr>
          <w:rFonts w:asciiTheme="minorHAnsi" w:hAnsiTheme="minorHAnsi"/>
          <w:b/>
          <w:sz w:val="24"/>
          <w:szCs w:val="24"/>
        </w:rPr>
        <w:t>1 098 505 500 Kč</w:t>
      </w:r>
      <w:r w:rsidRPr="007166B4">
        <w:rPr>
          <w:rFonts w:asciiTheme="minorHAnsi" w:hAnsiTheme="minorHAnsi"/>
          <w:sz w:val="24"/>
          <w:szCs w:val="24"/>
        </w:rPr>
        <w:t>.</w:t>
      </w:r>
    </w:p>
    <w:p w:rsidR="007166B4" w:rsidRPr="007166B4" w:rsidRDefault="007166B4" w:rsidP="007166B4">
      <w:pPr>
        <w:numPr>
          <w:ilvl w:val="0"/>
          <w:numId w:val="34"/>
        </w:numPr>
        <w:jc w:val="both"/>
        <w:rPr>
          <w:rFonts w:asciiTheme="minorHAnsi" w:hAnsiTheme="minorHAnsi"/>
          <w:sz w:val="24"/>
          <w:szCs w:val="24"/>
        </w:rPr>
      </w:pPr>
      <w:r w:rsidRPr="007166B4">
        <w:rPr>
          <w:rFonts w:asciiTheme="minorHAnsi" w:hAnsiTheme="minorHAnsi"/>
          <w:sz w:val="24"/>
          <w:szCs w:val="24"/>
        </w:rPr>
        <w:t>60,- Kč max. 30 dní za kalendářní rok a bez pojištěnců do 18 let =</w:t>
      </w:r>
    </w:p>
    <w:p w:rsidR="007166B4" w:rsidRPr="007166B4" w:rsidRDefault="007166B4" w:rsidP="007166B4">
      <w:pPr>
        <w:jc w:val="both"/>
        <w:rPr>
          <w:rFonts w:asciiTheme="minorHAnsi" w:hAnsiTheme="minorHAnsi"/>
          <w:sz w:val="24"/>
          <w:szCs w:val="24"/>
        </w:rPr>
      </w:pPr>
      <w:r w:rsidRPr="007166B4">
        <w:rPr>
          <w:rFonts w:asciiTheme="minorHAnsi" w:hAnsiTheme="minorHAnsi"/>
          <w:b/>
          <w:sz w:val="24"/>
          <w:szCs w:val="24"/>
        </w:rPr>
        <w:t>ztráta</w:t>
      </w:r>
      <w:r w:rsidRPr="007166B4">
        <w:rPr>
          <w:rFonts w:asciiTheme="minorHAnsi" w:hAnsiTheme="minorHAnsi"/>
          <w:sz w:val="24"/>
          <w:szCs w:val="24"/>
        </w:rPr>
        <w:t xml:space="preserve"> vůči stávajícímu příjmu je </w:t>
      </w:r>
      <w:r w:rsidRPr="007166B4">
        <w:rPr>
          <w:rFonts w:asciiTheme="minorHAnsi" w:hAnsiTheme="minorHAnsi"/>
          <w:b/>
          <w:sz w:val="24"/>
          <w:szCs w:val="24"/>
        </w:rPr>
        <w:t>1 411 898 560 Kč</w:t>
      </w:r>
      <w:r w:rsidRPr="007166B4">
        <w:rPr>
          <w:rFonts w:asciiTheme="minorHAnsi" w:hAnsiTheme="minorHAnsi"/>
          <w:sz w:val="24"/>
          <w:szCs w:val="24"/>
        </w:rPr>
        <w:t>.</w:t>
      </w:r>
    </w:p>
    <w:p w:rsidR="007166B4" w:rsidRPr="007166B4" w:rsidRDefault="007166B4" w:rsidP="007166B4">
      <w:pPr>
        <w:jc w:val="both"/>
        <w:rPr>
          <w:rFonts w:asciiTheme="minorHAnsi" w:hAnsiTheme="minorHAnsi"/>
          <w:sz w:val="24"/>
          <w:szCs w:val="24"/>
        </w:rPr>
      </w:pPr>
      <w:r w:rsidRPr="007166B4">
        <w:rPr>
          <w:rFonts w:asciiTheme="minorHAnsi" w:hAnsiTheme="minorHAnsi"/>
          <w:sz w:val="24"/>
          <w:szCs w:val="24"/>
        </w:rPr>
        <w:t xml:space="preserve">Odhad příjmů systému při této variantě je </w:t>
      </w:r>
      <w:r w:rsidRPr="007166B4">
        <w:rPr>
          <w:rFonts w:asciiTheme="minorHAnsi" w:hAnsiTheme="minorHAnsi"/>
          <w:b/>
          <w:sz w:val="24"/>
          <w:szCs w:val="24"/>
        </w:rPr>
        <w:t>691 886 940 Kč</w:t>
      </w:r>
      <w:r w:rsidRPr="007166B4">
        <w:rPr>
          <w:rFonts w:asciiTheme="minorHAnsi" w:hAnsiTheme="minorHAnsi"/>
          <w:sz w:val="24"/>
          <w:szCs w:val="24"/>
        </w:rPr>
        <w:t>.</w:t>
      </w:r>
    </w:p>
    <w:p w:rsidR="007166B4" w:rsidRPr="007166B4" w:rsidRDefault="007166B4" w:rsidP="007166B4">
      <w:pPr>
        <w:numPr>
          <w:ilvl w:val="0"/>
          <w:numId w:val="34"/>
        </w:numPr>
        <w:jc w:val="both"/>
        <w:rPr>
          <w:rFonts w:asciiTheme="minorHAnsi" w:hAnsiTheme="minorHAnsi"/>
          <w:sz w:val="24"/>
          <w:szCs w:val="24"/>
        </w:rPr>
      </w:pPr>
      <w:r w:rsidRPr="007166B4">
        <w:rPr>
          <w:rFonts w:asciiTheme="minorHAnsi" w:hAnsiTheme="minorHAnsi"/>
          <w:sz w:val="24"/>
          <w:szCs w:val="24"/>
        </w:rPr>
        <w:t>60,- Kč max. 21 dní za kalendářní rok a bez vyjmutí pojištěnců do 18 let =</w:t>
      </w:r>
    </w:p>
    <w:p w:rsidR="007166B4" w:rsidRPr="007166B4" w:rsidRDefault="007166B4" w:rsidP="007166B4">
      <w:pPr>
        <w:jc w:val="both"/>
        <w:rPr>
          <w:rFonts w:asciiTheme="minorHAnsi" w:hAnsiTheme="minorHAnsi"/>
          <w:sz w:val="24"/>
          <w:szCs w:val="24"/>
        </w:rPr>
      </w:pPr>
      <w:r w:rsidRPr="007166B4">
        <w:rPr>
          <w:rFonts w:asciiTheme="minorHAnsi" w:hAnsiTheme="minorHAnsi"/>
          <w:b/>
          <w:sz w:val="24"/>
          <w:szCs w:val="24"/>
        </w:rPr>
        <w:t>ztráta</w:t>
      </w:r>
      <w:r w:rsidRPr="007166B4">
        <w:rPr>
          <w:rFonts w:asciiTheme="minorHAnsi" w:hAnsiTheme="minorHAnsi"/>
          <w:sz w:val="24"/>
          <w:szCs w:val="24"/>
        </w:rPr>
        <w:t xml:space="preserve"> vůči stávajícímu příjmu je </w:t>
      </w:r>
      <w:r w:rsidRPr="007166B4">
        <w:rPr>
          <w:rFonts w:asciiTheme="minorHAnsi" w:hAnsiTheme="minorHAnsi"/>
          <w:b/>
          <w:sz w:val="24"/>
          <w:szCs w:val="24"/>
        </w:rPr>
        <w:t>1 500 245 020 Kč</w:t>
      </w:r>
      <w:r w:rsidRPr="007166B4">
        <w:rPr>
          <w:rFonts w:asciiTheme="minorHAnsi" w:hAnsiTheme="minorHAnsi"/>
          <w:sz w:val="24"/>
          <w:szCs w:val="24"/>
        </w:rPr>
        <w:t>.</w:t>
      </w:r>
    </w:p>
    <w:p w:rsidR="007166B4" w:rsidRPr="007166B4" w:rsidRDefault="007166B4" w:rsidP="007166B4">
      <w:pPr>
        <w:jc w:val="both"/>
        <w:rPr>
          <w:rFonts w:asciiTheme="minorHAnsi" w:hAnsiTheme="minorHAnsi"/>
          <w:sz w:val="24"/>
          <w:szCs w:val="24"/>
        </w:rPr>
      </w:pPr>
      <w:r w:rsidRPr="007166B4">
        <w:rPr>
          <w:rFonts w:asciiTheme="minorHAnsi" w:hAnsiTheme="minorHAnsi"/>
          <w:sz w:val="24"/>
          <w:szCs w:val="24"/>
        </w:rPr>
        <w:t xml:space="preserve">Odhad příjmů systému při této variantě je </w:t>
      </w:r>
      <w:r w:rsidRPr="007166B4">
        <w:rPr>
          <w:rFonts w:asciiTheme="minorHAnsi" w:hAnsiTheme="minorHAnsi"/>
          <w:b/>
          <w:sz w:val="24"/>
          <w:szCs w:val="24"/>
        </w:rPr>
        <w:t>603 540 480 Kč</w:t>
      </w:r>
      <w:r w:rsidRPr="007166B4">
        <w:rPr>
          <w:rFonts w:asciiTheme="minorHAnsi" w:hAnsiTheme="minorHAnsi"/>
          <w:sz w:val="24"/>
          <w:szCs w:val="24"/>
        </w:rPr>
        <w:t>.</w:t>
      </w:r>
    </w:p>
    <w:p w:rsidR="00C20389" w:rsidRPr="008D0EBF" w:rsidRDefault="00C20389" w:rsidP="00C20389">
      <w:pPr>
        <w:pStyle w:val="Prosttext"/>
        <w:jc w:val="both"/>
        <w:rPr>
          <w:rFonts w:asciiTheme="minorHAnsi" w:hAnsiTheme="minorHAnsi" w:cs="Arial"/>
          <w:b/>
          <w:sz w:val="24"/>
          <w:szCs w:val="24"/>
        </w:rPr>
      </w:pPr>
    </w:p>
    <w:tbl>
      <w:tblPr>
        <w:tblStyle w:val="Svtlstnovn"/>
        <w:tblW w:w="0" w:type="auto"/>
        <w:jc w:val="center"/>
        <w:tblLook w:val="04A0" w:firstRow="1" w:lastRow="0" w:firstColumn="1" w:lastColumn="0" w:noHBand="0" w:noVBand="1"/>
      </w:tblPr>
      <w:tblGrid>
        <w:gridCol w:w="4323"/>
        <w:gridCol w:w="4325"/>
      </w:tblGrid>
      <w:tr w:rsidR="00C20389" w:rsidRPr="008D0EBF" w:rsidTr="00197C92">
        <w:trPr>
          <w:cnfStyle w:val="100000000000" w:firstRow="1" w:lastRow="0" w:firstColumn="0" w:lastColumn="0" w:oddVBand="0" w:evenVBand="0" w:oddHBand="0" w:evenHBand="0" w:firstRowFirstColumn="0" w:firstRowLastColumn="0" w:lastRowFirstColumn="0" w:lastRowLastColumn="0"/>
          <w:trHeight w:val="310"/>
          <w:jc w:val="center"/>
        </w:trPr>
        <w:tc>
          <w:tcPr>
            <w:cnfStyle w:val="001000000000" w:firstRow="0" w:lastRow="0" w:firstColumn="1" w:lastColumn="0" w:oddVBand="0" w:evenVBand="0" w:oddHBand="0" w:evenHBand="0" w:firstRowFirstColumn="0" w:firstRowLastColumn="0" w:lastRowFirstColumn="0" w:lastRowLastColumn="0"/>
            <w:tcW w:w="8647" w:type="dxa"/>
            <w:gridSpan w:val="2"/>
          </w:tcPr>
          <w:p w:rsidR="00C20389" w:rsidRPr="008D0EBF" w:rsidRDefault="00C20389" w:rsidP="00197C92">
            <w:pPr>
              <w:pStyle w:val="Prosttext"/>
              <w:jc w:val="both"/>
              <w:rPr>
                <w:rFonts w:cs="Arial"/>
                <w:b w:val="0"/>
                <w:sz w:val="24"/>
                <w:szCs w:val="24"/>
              </w:rPr>
            </w:pPr>
            <w:r w:rsidRPr="008D0EBF">
              <w:rPr>
                <w:rFonts w:cs="Arial"/>
                <w:sz w:val="24"/>
                <w:szCs w:val="24"/>
              </w:rPr>
              <w:t>Celkový příjem systému veřejného zdravotního pojištění z poplatků za rok 2012:</w:t>
            </w:r>
          </w:p>
        </w:tc>
      </w:tr>
      <w:tr w:rsidR="00C20389" w:rsidRPr="008D0EBF" w:rsidTr="00197C9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323" w:type="dxa"/>
          </w:tcPr>
          <w:p w:rsidR="00C20389" w:rsidRPr="008D0EBF" w:rsidRDefault="00C20389" w:rsidP="00197C92">
            <w:pPr>
              <w:pStyle w:val="Prosttext"/>
              <w:jc w:val="both"/>
              <w:rPr>
                <w:rFonts w:cs="Arial"/>
                <w:b w:val="0"/>
                <w:sz w:val="24"/>
                <w:szCs w:val="24"/>
              </w:rPr>
            </w:pPr>
            <w:r w:rsidRPr="008D0EBF">
              <w:rPr>
                <w:rFonts w:cs="Arial"/>
                <w:b w:val="0"/>
                <w:sz w:val="24"/>
                <w:szCs w:val="24"/>
              </w:rPr>
              <w:t>Za hospitalizaci</w:t>
            </w:r>
          </w:p>
        </w:tc>
        <w:tc>
          <w:tcPr>
            <w:tcW w:w="4325" w:type="dxa"/>
          </w:tcPr>
          <w:p w:rsidR="00C20389" w:rsidRPr="008D0EBF" w:rsidRDefault="00C20389" w:rsidP="00197C92">
            <w:pPr>
              <w:pStyle w:val="Prosttext"/>
              <w:jc w:val="both"/>
              <w:cnfStyle w:val="000000100000" w:firstRow="0" w:lastRow="0" w:firstColumn="0" w:lastColumn="0" w:oddVBand="0" w:evenVBand="0" w:oddHBand="1" w:evenHBand="0" w:firstRowFirstColumn="0" w:firstRowLastColumn="0" w:lastRowFirstColumn="0" w:lastRowLastColumn="0"/>
              <w:rPr>
                <w:rFonts w:cs="Arial"/>
                <w:sz w:val="24"/>
                <w:szCs w:val="24"/>
              </w:rPr>
            </w:pPr>
            <w:r w:rsidRPr="008D0EBF">
              <w:rPr>
                <w:rFonts w:cs="Arial"/>
                <w:sz w:val="24"/>
                <w:szCs w:val="24"/>
              </w:rPr>
              <w:t>2,1 mld. Kč</w:t>
            </w:r>
          </w:p>
        </w:tc>
      </w:tr>
      <w:tr w:rsidR="00C20389" w:rsidRPr="008D0EBF" w:rsidTr="00C20389">
        <w:trPr>
          <w:trHeight w:val="354"/>
          <w:jc w:val="center"/>
        </w:trPr>
        <w:tc>
          <w:tcPr>
            <w:cnfStyle w:val="001000000000" w:firstRow="0" w:lastRow="0" w:firstColumn="1" w:lastColumn="0" w:oddVBand="0" w:evenVBand="0" w:oddHBand="0" w:evenHBand="0" w:firstRowFirstColumn="0" w:firstRowLastColumn="0" w:lastRowFirstColumn="0" w:lastRowLastColumn="0"/>
            <w:tcW w:w="4323" w:type="dxa"/>
          </w:tcPr>
          <w:p w:rsidR="00C20389" w:rsidRPr="008D0EBF" w:rsidRDefault="00C20389" w:rsidP="00197C92">
            <w:pPr>
              <w:pStyle w:val="Prosttext"/>
              <w:jc w:val="both"/>
              <w:rPr>
                <w:rFonts w:cs="Arial"/>
                <w:b w:val="0"/>
                <w:sz w:val="24"/>
                <w:szCs w:val="24"/>
              </w:rPr>
            </w:pPr>
            <w:r w:rsidRPr="008D0EBF">
              <w:rPr>
                <w:rFonts w:cs="Arial"/>
                <w:b w:val="0"/>
                <w:sz w:val="24"/>
                <w:szCs w:val="24"/>
              </w:rPr>
              <w:t>Za ambulantní péči</w:t>
            </w:r>
          </w:p>
        </w:tc>
        <w:tc>
          <w:tcPr>
            <w:tcW w:w="4325" w:type="dxa"/>
          </w:tcPr>
          <w:p w:rsidR="00C20389" w:rsidRPr="008D0EBF" w:rsidRDefault="00C20389" w:rsidP="00197C92">
            <w:pPr>
              <w:pStyle w:val="Prosttext"/>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D0EBF">
              <w:rPr>
                <w:rFonts w:cs="Arial"/>
                <w:sz w:val="24"/>
                <w:szCs w:val="24"/>
              </w:rPr>
              <w:t>1,47 mld. Kč</w:t>
            </w:r>
          </w:p>
        </w:tc>
      </w:tr>
      <w:tr w:rsidR="00C20389" w:rsidRPr="008D0EBF" w:rsidTr="00197C9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323" w:type="dxa"/>
          </w:tcPr>
          <w:p w:rsidR="00C20389" w:rsidRPr="008D0EBF" w:rsidRDefault="00C20389" w:rsidP="00197C92">
            <w:pPr>
              <w:pStyle w:val="Prosttext"/>
              <w:jc w:val="both"/>
              <w:rPr>
                <w:rFonts w:cs="Arial"/>
                <w:b w:val="0"/>
                <w:sz w:val="24"/>
                <w:szCs w:val="24"/>
              </w:rPr>
            </w:pPr>
            <w:r w:rsidRPr="008D0EBF">
              <w:rPr>
                <w:rFonts w:cs="Arial"/>
                <w:b w:val="0"/>
                <w:sz w:val="24"/>
                <w:szCs w:val="24"/>
              </w:rPr>
              <w:t>Za recept</w:t>
            </w:r>
          </w:p>
        </w:tc>
        <w:tc>
          <w:tcPr>
            <w:tcW w:w="4325" w:type="dxa"/>
          </w:tcPr>
          <w:p w:rsidR="00C20389" w:rsidRPr="008D0EBF" w:rsidRDefault="00C20389" w:rsidP="00197C92">
            <w:pPr>
              <w:pStyle w:val="Prosttext"/>
              <w:jc w:val="both"/>
              <w:cnfStyle w:val="000000100000" w:firstRow="0" w:lastRow="0" w:firstColumn="0" w:lastColumn="0" w:oddVBand="0" w:evenVBand="0" w:oddHBand="1" w:evenHBand="0" w:firstRowFirstColumn="0" w:firstRowLastColumn="0" w:lastRowFirstColumn="0" w:lastRowLastColumn="0"/>
              <w:rPr>
                <w:rFonts w:cs="Arial"/>
                <w:sz w:val="24"/>
                <w:szCs w:val="24"/>
              </w:rPr>
            </w:pPr>
            <w:r w:rsidRPr="008D0EBF">
              <w:rPr>
                <w:rFonts w:cs="Arial"/>
                <w:sz w:val="24"/>
                <w:szCs w:val="24"/>
              </w:rPr>
              <w:t>1,78 mld. Kč</w:t>
            </w:r>
          </w:p>
        </w:tc>
      </w:tr>
      <w:tr w:rsidR="00C20389" w:rsidRPr="008D0EBF" w:rsidTr="00197C92">
        <w:trPr>
          <w:trHeight w:val="315"/>
          <w:jc w:val="center"/>
        </w:trPr>
        <w:tc>
          <w:tcPr>
            <w:cnfStyle w:val="001000000000" w:firstRow="0" w:lastRow="0" w:firstColumn="1" w:lastColumn="0" w:oddVBand="0" w:evenVBand="0" w:oddHBand="0" w:evenHBand="0" w:firstRowFirstColumn="0" w:firstRowLastColumn="0" w:lastRowFirstColumn="0" w:lastRowLastColumn="0"/>
            <w:tcW w:w="4323" w:type="dxa"/>
          </w:tcPr>
          <w:p w:rsidR="00C20389" w:rsidRPr="008D0EBF" w:rsidRDefault="00C20389" w:rsidP="00197C92">
            <w:pPr>
              <w:pStyle w:val="Prosttext"/>
              <w:jc w:val="both"/>
              <w:rPr>
                <w:rFonts w:cs="Arial"/>
                <w:b w:val="0"/>
                <w:sz w:val="24"/>
                <w:szCs w:val="24"/>
              </w:rPr>
            </w:pPr>
            <w:r w:rsidRPr="008D0EBF">
              <w:rPr>
                <w:rFonts w:cs="Arial"/>
                <w:b w:val="0"/>
                <w:sz w:val="24"/>
                <w:szCs w:val="24"/>
              </w:rPr>
              <w:t>Za pohotovost</w:t>
            </w:r>
          </w:p>
        </w:tc>
        <w:tc>
          <w:tcPr>
            <w:tcW w:w="4325" w:type="dxa"/>
          </w:tcPr>
          <w:p w:rsidR="00C20389" w:rsidRPr="008D0EBF" w:rsidRDefault="00C20389" w:rsidP="00197C92">
            <w:pPr>
              <w:pStyle w:val="Prosttext"/>
              <w:jc w:val="both"/>
              <w:cnfStyle w:val="000000000000" w:firstRow="0" w:lastRow="0" w:firstColumn="0" w:lastColumn="0" w:oddVBand="0" w:evenVBand="0" w:oddHBand="0" w:evenHBand="0" w:firstRowFirstColumn="0" w:firstRowLastColumn="0" w:lastRowFirstColumn="0" w:lastRowLastColumn="0"/>
              <w:rPr>
                <w:rFonts w:cs="Arial"/>
                <w:sz w:val="24"/>
                <w:szCs w:val="24"/>
              </w:rPr>
            </w:pPr>
            <w:r w:rsidRPr="008D0EBF">
              <w:rPr>
                <w:rFonts w:cs="Arial"/>
                <w:sz w:val="24"/>
                <w:szCs w:val="24"/>
              </w:rPr>
              <w:t>0,18 mld. Kč</w:t>
            </w:r>
          </w:p>
        </w:tc>
      </w:tr>
      <w:tr w:rsidR="00C20389" w:rsidRPr="008D0EBF" w:rsidTr="00197C92">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323" w:type="dxa"/>
          </w:tcPr>
          <w:p w:rsidR="00C20389" w:rsidRPr="008D0EBF" w:rsidRDefault="00C20389" w:rsidP="00197C92">
            <w:pPr>
              <w:pStyle w:val="Prosttext"/>
              <w:jc w:val="both"/>
              <w:rPr>
                <w:rFonts w:cs="Arial"/>
                <w:b w:val="0"/>
                <w:sz w:val="24"/>
                <w:szCs w:val="24"/>
              </w:rPr>
            </w:pPr>
            <w:r w:rsidRPr="008D0EBF">
              <w:rPr>
                <w:rFonts w:cs="Arial"/>
                <w:sz w:val="24"/>
                <w:szCs w:val="24"/>
              </w:rPr>
              <w:t>Celkem</w:t>
            </w:r>
          </w:p>
        </w:tc>
        <w:tc>
          <w:tcPr>
            <w:tcW w:w="4325" w:type="dxa"/>
          </w:tcPr>
          <w:p w:rsidR="00C20389" w:rsidRPr="008D0EBF" w:rsidRDefault="00C20389" w:rsidP="00197C92">
            <w:pPr>
              <w:pStyle w:val="Prosttext"/>
              <w:jc w:val="both"/>
              <w:cnfStyle w:val="000000100000" w:firstRow="0" w:lastRow="0" w:firstColumn="0" w:lastColumn="0" w:oddVBand="0" w:evenVBand="0" w:oddHBand="1" w:evenHBand="0" w:firstRowFirstColumn="0" w:firstRowLastColumn="0" w:lastRowFirstColumn="0" w:lastRowLastColumn="0"/>
              <w:rPr>
                <w:rFonts w:cs="Arial"/>
                <w:b/>
                <w:sz w:val="24"/>
                <w:szCs w:val="24"/>
              </w:rPr>
            </w:pPr>
            <w:r w:rsidRPr="008D0EBF">
              <w:rPr>
                <w:rFonts w:cs="Arial"/>
                <w:b/>
                <w:sz w:val="24"/>
                <w:szCs w:val="24"/>
              </w:rPr>
              <w:t>5,53 mld. Kč</w:t>
            </w:r>
          </w:p>
        </w:tc>
      </w:tr>
    </w:tbl>
    <w:p w:rsidR="00C20389" w:rsidRDefault="00C20389" w:rsidP="00C20389">
      <w:pPr>
        <w:pStyle w:val="Prosttext"/>
        <w:jc w:val="both"/>
        <w:rPr>
          <w:rFonts w:asciiTheme="minorHAnsi" w:hAnsiTheme="minorHAnsi" w:cs="Arial"/>
          <w:b/>
          <w:sz w:val="24"/>
          <w:szCs w:val="24"/>
        </w:rPr>
      </w:pPr>
    </w:p>
    <w:p w:rsidR="007166B4" w:rsidRDefault="007166B4" w:rsidP="00197C92">
      <w:pPr>
        <w:jc w:val="both"/>
        <w:rPr>
          <w:rFonts w:asciiTheme="minorHAnsi" w:hAnsiTheme="minorHAnsi"/>
          <w:sz w:val="24"/>
          <w:szCs w:val="24"/>
        </w:rPr>
      </w:pPr>
    </w:p>
    <w:p w:rsidR="00C20389" w:rsidRPr="00C20389" w:rsidRDefault="00C20389" w:rsidP="00197C92">
      <w:pPr>
        <w:jc w:val="both"/>
        <w:rPr>
          <w:rFonts w:asciiTheme="minorHAnsi" w:hAnsiTheme="minorHAnsi"/>
          <w:sz w:val="24"/>
          <w:szCs w:val="24"/>
        </w:rPr>
      </w:pPr>
      <w:r w:rsidRPr="00C20389">
        <w:rPr>
          <w:rFonts w:asciiTheme="minorHAnsi" w:hAnsiTheme="minorHAnsi"/>
          <w:sz w:val="24"/>
          <w:szCs w:val="24"/>
        </w:rPr>
        <w:t xml:space="preserve">Celkový dopad zrušení regulačního poplatku 100 Kč za den hospitalizace by snížil bez přijetí příslušného zákona zdroje v roce 2014 pro všechna lůžková zařízení v ČR o </w:t>
      </w:r>
      <w:r w:rsidRPr="00C20389">
        <w:rPr>
          <w:rFonts w:asciiTheme="minorHAnsi" w:hAnsiTheme="minorHAnsi"/>
          <w:b/>
          <w:sz w:val="24"/>
          <w:szCs w:val="24"/>
        </w:rPr>
        <w:t>2,1 mld. Kč</w:t>
      </w:r>
      <w:r w:rsidRPr="00C20389">
        <w:rPr>
          <w:rFonts w:asciiTheme="minorHAnsi" w:hAnsiTheme="minorHAnsi"/>
          <w:sz w:val="24"/>
          <w:szCs w:val="24"/>
        </w:rPr>
        <w:t xml:space="preserve">. Schválení novely zákona by znamenalo snížení příjmů „pouze“ o </w:t>
      </w:r>
      <w:r w:rsidRPr="00C20389">
        <w:rPr>
          <w:rFonts w:asciiTheme="minorHAnsi" w:hAnsiTheme="minorHAnsi"/>
          <w:b/>
          <w:sz w:val="24"/>
          <w:szCs w:val="24"/>
        </w:rPr>
        <w:t>0,84</w:t>
      </w:r>
      <w:r w:rsidR="00197C92">
        <w:rPr>
          <w:rFonts w:asciiTheme="minorHAnsi" w:hAnsiTheme="minorHAnsi"/>
          <w:b/>
          <w:sz w:val="24"/>
          <w:szCs w:val="24"/>
        </w:rPr>
        <w:t xml:space="preserve"> mld.</w:t>
      </w:r>
      <w:r w:rsidRPr="00C20389">
        <w:rPr>
          <w:rFonts w:asciiTheme="minorHAnsi" w:hAnsiTheme="minorHAnsi"/>
          <w:b/>
          <w:sz w:val="24"/>
          <w:szCs w:val="24"/>
        </w:rPr>
        <w:t xml:space="preserve"> Kč</w:t>
      </w:r>
      <w:r w:rsidRPr="00C20389">
        <w:rPr>
          <w:rFonts w:asciiTheme="minorHAnsi" w:hAnsiTheme="minorHAnsi"/>
          <w:sz w:val="24"/>
          <w:szCs w:val="24"/>
        </w:rPr>
        <w:t xml:space="preserve"> vůči stávajícímu stavu.</w:t>
      </w:r>
    </w:p>
    <w:p w:rsidR="00A17188" w:rsidRPr="00C20389" w:rsidRDefault="00C20389" w:rsidP="00197C92">
      <w:pPr>
        <w:jc w:val="both"/>
        <w:rPr>
          <w:sz w:val="24"/>
          <w:szCs w:val="24"/>
        </w:rPr>
      </w:pPr>
      <w:r w:rsidRPr="00C20389">
        <w:rPr>
          <w:rFonts w:asciiTheme="minorHAnsi" w:hAnsiTheme="minorHAnsi"/>
          <w:b/>
          <w:sz w:val="24"/>
          <w:szCs w:val="24"/>
        </w:rPr>
        <w:t>Regulačních poplatky za lůžkovou péči tvoří od 0,6% do 6,5% výnosů přímo řízených organizací.</w:t>
      </w:r>
      <w:r w:rsidRPr="00C20389">
        <w:rPr>
          <w:rFonts w:asciiTheme="minorHAnsi" w:hAnsiTheme="minorHAnsi"/>
          <w:sz w:val="24"/>
          <w:szCs w:val="24"/>
        </w:rPr>
        <w:t xml:space="preserve"> V případě zrušení poplatků jako celku je tedy nutno počítat se značným dopadem do hospodaření všech úrovní zdravotnických zařízení a je nutno počítat buď s kompenzací, nebo výrazně negativním dopadem</w:t>
      </w:r>
      <w:r w:rsidRPr="00C20389">
        <w:rPr>
          <w:rFonts w:asciiTheme="minorHAnsi" w:hAnsiTheme="minorHAnsi"/>
          <w:b/>
          <w:sz w:val="24"/>
          <w:szCs w:val="24"/>
        </w:rPr>
        <w:t>.</w:t>
      </w:r>
      <w:r w:rsidRPr="00C20389">
        <w:rPr>
          <w:b/>
          <w:sz w:val="24"/>
          <w:szCs w:val="24"/>
        </w:rPr>
        <w:t xml:space="preserve"> </w:t>
      </w:r>
      <w:r w:rsidRPr="00C20389">
        <w:rPr>
          <w:rFonts w:asciiTheme="minorHAnsi" w:hAnsiTheme="minorHAnsi"/>
          <w:b/>
          <w:sz w:val="24"/>
          <w:szCs w:val="24"/>
        </w:rPr>
        <w:t xml:space="preserve">Lze očekávat, že u poskytovatelů následné péče, léčeben dlouhodobě nemocných a psychiatrických léčeben bude výpadek příjmů z poplatků s ohledem na celkovou strukturu jejich příjmů dosahovat až 10 %.  </w:t>
      </w:r>
      <w:r w:rsidRPr="00C20389">
        <w:rPr>
          <w:rFonts w:asciiTheme="minorHAnsi" w:hAnsiTheme="minorHAnsi"/>
          <w:sz w:val="24"/>
          <w:szCs w:val="24"/>
        </w:rPr>
        <w:t>U těchto poskytovatelů je proto nutné kompenzovat výpadek regulačních poplatků za den hospitalizace, prioritou vyhlášky pro rok 2014 je tedy navýšení úhrady lázním a poskytovatelům následné a dlouhodobé péče.</w:t>
      </w:r>
    </w:p>
    <w:p w:rsidR="00A17188" w:rsidRPr="008D0EBF" w:rsidRDefault="00A17188" w:rsidP="00A17188">
      <w:pPr>
        <w:rPr>
          <w:rFonts w:eastAsiaTheme="majorEastAsia" w:cs="Arial"/>
          <w:b/>
          <w:bCs/>
          <w:sz w:val="28"/>
          <w:szCs w:val="28"/>
        </w:rPr>
      </w:pPr>
      <w:bookmarkStart w:id="9" w:name="_Toc367188612"/>
      <w:r w:rsidRPr="008D0EBF">
        <w:rPr>
          <w:rFonts w:cs="Arial"/>
        </w:rPr>
        <w:br w:type="page"/>
      </w:r>
    </w:p>
    <w:p w:rsidR="00A17188" w:rsidRPr="008D0EBF" w:rsidRDefault="00A17188" w:rsidP="00A17188">
      <w:pPr>
        <w:pStyle w:val="Nadpis1"/>
        <w:numPr>
          <w:ilvl w:val="0"/>
          <w:numId w:val="20"/>
        </w:numPr>
        <w:rPr>
          <w:rFonts w:asciiTheme="minorHAnsi" w:hAnsiTheme="minorHAnsi" w:cs="Arial"/>
          <w:color w:val="auto"/>
        </w:rPr>
      </w:pPr>
      <w:bookmarkStart w:id="10" w:name="_Toc373223684"/>
      <w:r w:rsidRPr="008D0EBF">
        <w:rPr>
          <w:rFonts w:asciiTheme="minorHAnsi" w:hAnsiTheme="minorHAnsi" w:cs="Arial"/>
          <w:color w:val="auto"/>
        </w:rPr>
        <w:t>Současná situace nemocnic</w:t>
      </w:r>
      <w:bookmarkEnd w:id="9"/>
      <w:bookmarkEnd w:id="10"/>
    </w:p>
    <w:p w:rsidR="00A17188" w:rsidRPr="008D0EBF" w:rsidRDefault="00A17188" w:rsidP="00A17188"/>
    <w:p w:rsidR="00A17188" w:rsidRPr="00C20389" w:rsidRDefault="00A17188" w:rsidP="009E5C62">
      <w:pPr>
        <w:spacing w:after="0"/>
        <w:jc w:val="both"/>
        <w:rPr>
          <w:sz w:val="24"/>
          <w:szCs w:val="24"/>
        </w:rPr>
      </w:pPr>
      <w:r w:rsidRPr="00C20389">
        <w:rPr>
          <w:sz w:val="24"/>
          <w:szCs w:val="24"/>
        </w:rPr>
        <w:t xml:space="preserve">V roce 2013 dochází k projevu kulminace různých vlivů, které je možné obecně přiřadit k následujícím kategoriím: systém úhrad za zdravotní péči, sazby DPH a mzdová politika. </w:t>
      </w:r>
    </w:p>
    <w:p w:rsidR="00A17188" w:rsidRPr="00C20389" w:rsidRDefault="00A17188" w:rsidP="009E5C62">
      <w:pPr>
        <w:spacing w:after="0"/>
        <w:jc w:val="both"/>
        <w:rPr>
          <w:sz w:val="24"/>
          <w:szCs w:val="24"/>
        </w:rPr>
      </w:pPr>
      <w:r w:rsidRPr="00C20389">
        <w:rPr>
          <w:sz w:val="24"/>
          <w:szCs w:val="24"/>
        </w:rPr>
        <w:t>Obecně tak lze říct, že v letošním roce dochází, vedle významného propadu výnosů od ZP také ke kontinuálnímu nárůstu vynucených výdajů zejména v důsledku mzdové politiky, změny sazby DPH a posunu vybraného spotřebního zdravotnického materiálu ze snížené do základní sazby DPH.</w:t>
      </w:r>
    </w:p>
    <w:p w:rsidR="00A17188" w:rsidRPr="00C20389" w:rsidRDefault="00A17188" w:rsidP="009E5C62">
      <w:pPr>
        <w:spacing w:after="0"/>
        <w:jc w:val="both"/>
        <w:rPr>
          <w:sz w:val="24"/>
          <w:szCs w:val="24"/>
        </w:rPr>
      </w:pPr>
      <w:r w:rsidRPr="00C20389">
        <w:rPr>
          <w:sz w:val="24"/>
          <w:szCs w:val="24"/>
        </w:rPr>
        <w:t>Může tak docházet k situacím, kdy bude ovlivněna kvalita poskytované péče a to jednak nemožností pořídit modernější přístroje, a sekundárně nutností výrazně omezit prostředky vynaložené na opravy a udržování zdravotnických objektů. Omezením realizovaných investičních akcí také dochází k zamezení provedení takových opatření, která by v následujících letech přinesla nezanedbatelnou úsporu, zejména zateplení a podobné.</w:t>
      </w:r>
    </w:p>
    <w:p w:rsidR="00A17188" w:rsidRPr="00C20389" w:rsidRDefault="00A17188" w:rsidP="009E5C62">
      <w:pPr>
        <w:spacing w:after="0"/>
        <w:jc w:val="both"/>
        <w:rPr>
          <w:sz w:val="24"/>
          <w:szCs w:val="24"/>
        </w:rPr>
      </w:pPr>
      <w:r w:rsidRPr="00C20389">
        <w:rPr>
          <w:sz w:val="24"/>
          <w:szCs w:val="24"/>
        </w:rPr>
        <w:t>Názorným vyjádřením změny ekonomické situace k prvnímu pololetí 2013 je následující graf, kde je znázorněn vývoj výsledku hospodaření běžného účetního období českých nemocnic:</w:t>
      </w:r>
    </w:p>
    <w:p w:rsidR="00A17188" w:rsidRPr="008D0EBF" w:rsidRDefault="00A17188" w:rsidP="00A17188">
      <w:pPr>
        <w:spacing w:after="0"/>
        <w:jc w:val="both"/>
      </w:pPr>
    </w:p>
    <w:p w:rsidR="00A17188" w:rsidRPr="008D0EBF" w:rsidRDefault="00A17188" w:rsidP="00E519D7">
      <w:pPr>
        <w:spacing w:after="0"/>
        <w:jc w:val="center"/>
      </w:pPr>
      <w:r w:rsidRPr="008D0EBF">
        <w:rPr>
          <w:noProof/>
          <w:lang w:eastAsia="cs-CZ"/>
        </w:rPr>
        <w:drawing>
          <wp:inline distT="0" distB="0" distL="0" distR="0" wp14:anchorId="428DAF49" wp14:editId="508A654D">
            <wp:extent cx="5953125" cy="3314700"/>
            <wp:effectExtent l="0" t="0" r="9525" b="1905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17188" w:rsidRPr="008D0EBF" w:rsidRDefault="00A17188" w:rsidP="00A17188">
      <w:pPr>
        <w:spacing w:after="0"/>
      </w:pPr>
    </w:p>
    <w:p w:rsidR="00A17188" w:rsidRPr="008D0EBF" w:rsidRDefault="00A17188" w:rsidP="00A17188">
      <w:pPr>
        <w:rPr>
          <w:rFonts w:eastAsiaTheme="majorEastAsia" w:cs="Arial"/>
          <w:b/>
          <w:bCs/>
          <w:sz w:val="26"/>
          <w:szCs w:val="26"/>
        </w:rPr>
      </w:pPr>
      <w:r w:rsidRPr="008D0EBF">
        <w:rPr>
          <w:rFonts w:cs="Arial"/>
        </w:rPr>
        <w:br w:type="page"/>
      </w:r>
    </w:p>
    <w:p w:rsidR="00A17188" w:rsidRPr="008D0EBF" w:rsidRDefault="00A17188" w:rsidP="00A17188">
      <w:pPr>
        <w:pStyle w:val="Nadpis2"/>
        <w:numPr>
          <w:ilvl w:val="1"/>
          <w:numId w:val="20"/>
        </w:numPr>
        <w:rPr>
          <w:rFonts w:asciiTheme="minorHAnsi" w:hAnsiTheme="minorHAnsi" w:cs="Arial"/>
          <w:color w:val="auto"/>
        </w:rPr>
      </w:pPr>
      <w:bookmarkStart w:id="11" w:name="_Toc367188613"/>
      <w:bookmarkStart w:id="12" w:name="_Toc373223685"/>
      <w:r w:rsidRPr="008D0EBF">
        <w:rPr>
          <w:rFonts w:asciiTheme="minorHAnsi" w:hAnsiTheme="minorHAnsi" w:cs="Arial"/>
          <w:color w:val="auto"/>
        </w:rPr>
        <w:t>Mzdové náklady</w:t>
      </w:r>
      <w:bookmarkEnd w:id="11"/>
      <w:bookmarkEnd w:id="12"/>
    </w:p>
    <w:p w:rsidR="00A17188" w:rsidRPr="008D0EBF" w:rsidRDefault="00A17188" w:rsidP="00A17188"/>
    <w:p w:rsidR="00A17188" w:rsidRPr="00C20389" w:rsidRDefault="00A17188" w:rsidP="00A17188">
      <w:pPr>
        <w:jc w:val="both"/>
        <w:rPr>
          <w:sz w:val="24"/>
          <w:szCs w:val="24"/>
          <w:u w:val="single"/>
        </w:rPr>
      </w:pPr>
      <w:r w:rsidRPr="00C20389">
        <w:rPr>
          <w:sz w:val="24"/>
          <w:szCs w:val="24"/>
          <w:u w:val="single"/>
        </w:rPr>
        <w:t>Dopad mzdové politiky:</w:t>
      </w:r>
    </w:p>
    <w:p w:rsidR="00A17188" w:rsidRPr="00C20389" w:rsidRDefault="00A17188" w:rsidP="00A17188">
      <w:pPr>
        <w:jc w:val="both"/>
        <w:rPr>
          <w:sz w:val="24"/>
          <w:szCs w:val="24"/>
        </w:rPr>
      </w:pPr>
      <w:r w:rsidRPr="00C20389">
        <w:rPr>
          <w:sz w:val="24"/>
          <w:szCs w:val="24"/>
        </w:rPr>
        <w:t>V roce 2011 byly v důsledku akce „Děkujeme, odcházíme“ vládou navýšeny tabulkové platy všem lékařům. Toto navýšení se promítlo i do jejich přesčasové a pohotovostní práce.</w:t>
      </w:r>
    </w:p>
    <w:p w:rsidR="00A17188" w:rsidRPr="00C20389" w:rsidRDefault="00A17188" w:rsidP="00A17188">
      <w:pPr>
        <w:jc w:val="both"/>
        <w:rPr>
          <w:sz w:val="24"/>
          <w:szCs w:val="24"/>
        </w:rPr>
      </w:pPr>
      <w:r w:rsidRPr="00C20389">
        <w:rPr>
          <w:sz w:val="24"/>
          <w:szCs w:val="24"/>
        </w:rPr>
        <w:t>Od 2. čtvrtletí 2011 byla formou novely úhradové vyhlášky nastavena částečná kompenzace, cca 2/3 nárůstu osobních nákladů, na straně úhrad od zdravotních pojišťoven. Takto vytvořené zdrojové krytí však některé pojišťovny neakceptovaly, např. OZP.</w:t>
      </w:r>
    </w:p>
    <w:p w:rsidR="00A17188" w:rsidRPr="00C20389" w:rsidRDefault="00A17188" w:rsidP="00A17188">
      <w:pPr>
        <w:jc w:val="both"/>
        <w:rPr>
          <w:sz w:val="24"/>
          <w:szCs w:val="24"/>
        </w:rPr>
      </w:pPr>
      <w:r w:rsidRPr="00C20389">
        <w:rPr>
          <w:sz w:val="24"/>
          <w:szCs w:val="24"/>
        </w:rPr>
        <w:t xml:space="preserve">V roce 2012 doporučilo MZ v trendu navyšování platů pokračovat plošným navýšením o 6,25% lékařům i ostatním zdravotnickým pracovníkům. V úhradové vyhlášce pro rok 2012 již kompenzace nárůstu osobních nákladů na straně úhrad nebyla. Konstrukce úhradových kritérií poskytla zdravotnickým zařízením možnost si na zvýšené mzdové náklady vydělat zvýšenou produkcí, která však již z podstaty (relativně omezený trh) neumožnila všem zdravotnickým zařízením ji využít. Faktický dopad stanovených kritérií (105% case mix DRG Alfa, 103% případů (v případě plnění 103% případů všemi zařízeními by muselo dojít k rapidnímu nárůstu počtu pacientů)) dále segmentovaných do finančně samostatně korigovaných skupin úhrad (DRG Alfa, DRG Beta, Balíčky v hospitalizační části), byl, že je některé organizace nedokázaly naplnit a ztratily tak možnost zvýšené osobní náklady pokrýt. </w:t>
      </w:r>
    </w:p>
    <w:p w:rsidR="00A17188" w:rsidRPr="00C20389" w:rsidRDefault="00A17188" w:rsidP="00A17188">
      <w:pPr>
        <w:jc w:val="both"/>
        <w:rPr>
          <w:sz w:val="24"/>
          <w:szCs w:val="24"/>
        </w:rPr>
      </w:pPr>
      <w:r w:rsidRPr="00C20389">
        <w:rPr>
          <w:sz w:val="24"/>
          <w:szCs w:val="24"/>
        </w:rPr>
        <w:t>Nejvýrazněji se dopad mzdové politiky projevil u nemocnic, zejména u státních.</w:t>
      </w:r>
    </w:p>
    <w:p w:rsidR="00A17188" w:rsidRPr="008D0EBF" w:rsidRDefault="00A17188" w:rsidP="00A17188">
      <w:pPr>
        <w:jc w:val="both"/>
      </w:pPr>
    </w:p>
    <w:tbl>
      <w:tblPr>
        <w:tblStyle w:val="Svtlstnovn"/>
        <w:tblW w:w="8569" w:type="dxa"/>
        <w:jc w:val="center"/>
        <w:tblLook w:val="0420" w:firstRow="1" w:lastRow="0" w:firstColumn="0" w:lastColumn="0" w:noHBand="0" w:noVBand="1"/>
      </w:tblPr>
      <w:tblGrid>
        <w:gridCol w:w="3659"/>
        <w:gridCol w:w="1162"/>
        <w:gridCol w:w="1016"/>
        <w:gridCol w:w="910"/>
        <w:gridCol w:w="1822"/>
      </w:tblGrid>
      <w:tr w:rsidR="00A17188" w:rsidRPr="008D0EBF" w:rsidTr="00E519D7">
        <w:trPr>
          <w:cnfStyle w:val="100000000000" w:firstRow="1" w:lastRow="0" w:firstColumn="0" w:lastColumn="0" w:oddVBand="0" w:evenVBand="0" w:oddHBand="0" w:evenHBand="0" w:firstRowFirstColumn="0" w:firstRowLastColumn="0" w:lastRowFirstColumn="0" w:lastRowLastColumn="0"/>
          <w:trHeight w:val="26"/>
          <w:jc w:val="center"/>
        </w:trPr>
        <w:tc>
          <w:tcPr>
            <w:tcW w:w="3659" w:type="dxa"/>
            <w:hideMark/>
          </w:tcPr>
          <w:p w:rsidR="00A17188" w:rsidRPr="008D0EBF" w:rsidRDefault="00A17188" w:rsidP="00A17188">
            <w:pPr>
              <w:jc w:val="both"/>
            </w:pPr>
          </w:p>
        </w:tc>
        <w:tc>
          <w:tcPr>
            <w:tcW w:w="2178" w:type="dxa"/>
            <w:gridSpan w:val="2"/>
            <w:hideMark/>
          </w:tcPr>
          <w:p w:rsidR="00A17188" w:rsidRPr="008D0EBF" w:rsidRDefault="00A17188" w:rsidP="00A17188">
            <w:pPr>
              <w:jc w:val="both"/>
            </w:pPr>
            <w:r w:rsidRPr="008D0EBF">
              <w:rPr>
                <w:bCs w:val="0"/>
              </w:rPr>
              <w:t>Platy lékaři</w:t>
            </w:r>
            <w:r>
              <w:rPr>
                <w:bCs w:val="0"/>
              </w:rPr>
              <w:t xml:space="preserve"> (v Kč)</w:t>
            </w:r>
          </w:p>
        </w:tc>
        <w:tc>
          <w:tcPr>
            <w:tcW w:w="910" w:type="dxa"/>
            <w:hideMark/>
          </w:tcPr>
          <w:p w:rsidR="00A17188" w:rsidRPr="008D0EBF" w:rsidRDefault="00A17188" w:rsidP="00A17188">
            <w:pPr>
              <w:jc w:val="both"/>
            </w:pPr>
          </w:p>
        </w:tc>
        <w:tc>
          <w:tcPr>
            <w:tcW w:w="1822" w:type="dxa"/>
            <w:hideMark/>
          </w:tcPr>
          <w:p w:rsidR="00A17188" w:rsidRPr="008D0EBF" w:rsidRDefault="00A17188" w:rsidP="00A17188">
            <w:pPr>
              <w:jc w:val="both"/>
            </w:pP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
          <w:jc w:val="center"/>
        </w:trPr>
        <w:tc>
          <w:tcPr>
            <w:tcW w:w="3659" w:type="dxa"/>
            <w:hideMark/>
          </w:tcPr>
          <w:p w:rsidR="00A17188" w:rsidRPr="008D0EBF" w:rsidRDefault="00A17188" w:rsidP="00A17188">
            <w:r w:rsidRPr="008D0EBF">
              <w:rPr>
                <w:b/>
                <w:bCs/>
              </w:rPr>
              <w:t>Nemocnice</w:t>
            </w:r>
          </w:p>
        </w:tc>
        <w:tc>
          <w:tcPr>
            <w:tcW w:w="1162" w:type="dxa"/>
            <w:hideMark/>
          </w:tcPr>
          <w:p w:rsidR="00A17188" w:rsidRPr="008D0EBF" w:rsidRDefault="00A17188" w:rsidP="00A17188">
            <w:pPr>
              <w:jc w:val="center"/>
            </w:pPr>
            <w:r w:rsidRPr="008D0EBF">
              <w:rPr>
                <w:b/>
                <w:bCs/>
              </w:rPr>
              <w:t>r.2010</w:t>
            </w:r>
          </w:p>
        </w:tc>
        <w:tc>
          <w:tcPr>
            <w:tcW w:w="1016" w:type="dxa"/>
            <w:hideMark/>
          </w:tcPr>
          <w:p w:rsidR="00A17188" w:rsidRPr="008D0EBF" w:rsidRDefault="00A17188" w:rsidP="00A17188">
            <w:pPr>
              <w:jc w:val="center"/>
            </w:pPr>
            <w:r w:rsidRPr="008D0EBF">
              <w:rPr>
                <w:b/>
                <w:bCs/>
              </w:rPr>
              <w:t>r.2011</w:t>
            </w:r>
          </w:p>
        </w:tc>
        <w:tc>
          <w:tcPr>
            <w:tcW w:w="910" w:type="dxa"/>
            <w:hideMark/>
          </w:tcPr>
          <w:p w:rsidR="00A17188" w:rsidRPr="008D0EBF" w:rsidRDefault="00A17188" w:rsidP="00A17188">
            <w:pPr>
              <w:jc w:val="center"/>
            </w:pPr>
            <w:r w:rsidRPr="008D0EBF">
              <w:rPr>
                <w:b/>
                <w:bCs/>
              </w:rPr>
              <w:t>r.2012</w:t>
            </w:r>
          </w:p>
        </w:tc>
        <w:tc>
          <w:tcPr>
            <w:tcW w:w="1822" w:type="dxa"/>
            <w:hideMark/>
          </w:tcPr>
          <w:p w:rsidR="00A17188" w:rsidRPr="008D0EBF" w:rsidRDefault="00A17188" w:rsidP="00A17188">
            <w:pPr>
              <w:jc w:val="center"/>
            </w:pPr>
            <w:r w:rsidRPr="008D0EBF">
              <w:rPr>
                <w:b/>
                <w:bCs/>
              </w:rPr>
              <w:t>index 2012/2010</w:t>
            </w:r>
          </w:p>
        </w:tc>
      </w:tr>
      <w:tr w:rsidR="00A17188" w:rsidRPr="008D0EBF" w:rsidTr="00E519D7">
        <w:trPr>
          <w:trHeight w:val="1"/>
          <w:jc w:val="center"/>
        </w:trPr>
        <w:tc>
          <w:tcPr>
            <w:tcW w:w="3659" w:type="dxa"/>
            <w:hideMark/>
          </w:tcPr>
          <w:p w:rsidR="00A17188" w:rsidRPr="008D0EBF" w:rsidRDefault="00A17188" w:rsidP="00A17188">
            <w:r w:rsidRPr="008D0EBF">
              <w:rPr>
                <w:b/>
                <w:bCs/>
              </w:rPr>
              <w:t>Zřizovatel</w:t>
            </w:r>
          </w:p>
        </w:tc>
        <w:tc>
          <w:tcPr>
            <w:tcW w:w="1162" w:type="dxa"/>
            <w:hideMark/>
          </w:tcPr>
          <w:p w:rsidR="00A17188" w:rsidRPr="008D0EBF" w:rsidRDefault="00A17188" w:rsidP="00A17188">
            <w:pPr>
              <w:jc w:val="center"/>
            </w:pPr>
          </w:p>
        </w:tc>
        <w:tc>
          <w:tcPr>
            <w:tcW w:w="1016" w:type="dxa"/>
            <w:hideMark/>
          </w:tcPr>
          <w:p w:rsidR="00A17188" w:rsidRPr="008D0EBF" w:rsidRDefault="00A17188" w:rsidP="00A17188">
            <w:pPr>
              <w:jc w:val="center"/>
            </w:pPr>
          </w:p>
        </w:tc>
        <w:tc>
          <w:tcPr>
            <w:tcW w:w="910" w:type="dxa"/>
            <w:hideMark/>
          </w:tcPr>
          <w:p w:rsidR="00A17188" w:rsidRPr="008D0EBF" w:rsidRDefault="00A17188" w:rsidP="00A17188">
            <w:pPr>
              <w:jc w:val="center"/>
            </w:pPr>
          </w:p>
        </w:tc>
        <w:tc>
          <w:tcPr>
            <w:tcW w:w="1822" w:type="dxa"/>
            <w:hideMark/>
          </w:tcPr>
          <w:p w:rsidR="00A17188" w:rsidRPr="008D0EBF" w:rsidRDefault="00A17188" w:rsidP="00A17188">
            <w:pPr>
              <w:jc w:val="center"/>
            </w:pP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
          <w:jc w:val="center"/>
        </w:trPr>
        <w:tc>
          <w:tcPr>
            <w:tcW w:w="3659" w:type="dxa"/>
            <w:hideMark/>
          </w:tcPr>
          <w:p w:rsidR="00A17188" w:rsidRPr="008D0EBF" w:rsidRDefault="00A17188" w:rsidP="00A17188">
            <w:r w:rsidRPr="008D0EBF">
              <w:rPr>
                <w:b/>
                <w:bCs/>
              </w:rPr>
              <w:t>MZ</w:t>
            </w:r>
          </w:p>
        </w:tc>
        <w:tc>
          <w:tcPr>
            <w:tcW w:w="1162" w:type="dxa"/>
            <w:hideMark/>
          </w:tcPr>
          <w:p w:rsidR="00A17188" w:rsidRPr="008D0EBF" w:rsidRDefault="00A17188" w:rsidP="00A17188">
            <w:pPr>
              <w:jc w:val="center"/>
            </w:pPr>
            <w:r w:rsidRPr="008D0EBF">
              <w:rPr>
                <w:b/>
                <w:bCs/>
              </w:rPr>
              <w:t>52 443</w:t>
            </w:r>
          </w:p>
        </w:tc>
        <w:tc>
          <w:tcPr>
            <w:tcW w:w="1016" w:type="dxa"/>
            <w:hideMark/>
          </w:tcPr>
          <w:p w:rsidR="00A17188" w:rsidRPr="008D0EBF" w:rsidRDefault="00A17188" w:rsidP="00A17188">
            <w:pPr>
              <w:jc w:val="center"/>
            </w:pPr>
            <w:r w:rsidRPr="008D0EBF">
              <w:rPr>
                <w:b/>
                <w:bCs/>
              </w:rPr>
              <w:t>60 862</w:t>
            </w:r>
          </w:p>
        </w:tc>
        <w:tc>
          <w:tcPr>
            <w:tcW w:w="910" w:type="dxa"/>
            <w:hideMark/>
          </w:tcPr>
          <w:p w:rsidR="00A17188" w:rsidRPr="008D0EBF" w:rsidRDefault="00A17188" w:rsidP="00A17188">
            <w:pPr>
              <w:jc w:val="center"/>
            </w:pPr>
            <w:r w:rsidRPr="008D0EBF">
              <w:rPr>
                <w:b/>
                <w:bCs/>
              </w:rPr>
              <w:t>65 141</w:t>
            </w:r>
          </w:p>
        </w:tc>
        <w:tc>
          <w:tcPr>
            <w:tcW w:w="1822" w:type="dxa"/>
            <w:hideMark/>
          </w:tcPr>
          <w:p w:rsidR="00A17188" w:rsidRPr="008D0EBF" w:rsidRDefault="00A17188" w:rsidP="00A17188">
            <w:pPr>
              <w:jc w:val="center"/>
            </w:pPr>
            <w:r w:rsidRPr="008D0EBF">
              <w:rPr>
                <w:b/>
                <w:bCs/>
              </w:rPr>
              <w:t>124,2%</w:t>
            </w:r>
          </w:p>
        </w:tc>
      </w:tr>
      <w:tr w:rsidR="00A17188" w:rsidRPr="008D0EBF" w:rsidTr="00E519D7">
        <w:trPr>
          <w:trHeight w:val="1"/>
          <w:jc w:val="center"/>
        </w:trPr>
        <w:tc>
          <w:tcPr>
            <w:tcW w:w="3659" w:type="dxa"/>
            <w:hideMark/>
          </w:tcPr>
          <w:p w:rsidR="00A17188" w:rsidRPr="008D0EBF" w:rsidRDefault="00A17188" w:rsidP="00A17188">
            <w:r w:rsidRPr="008D0EBF">
              <w:rPr>
                <w:b/>
                <w:bCs/>
              </w:rPr>
              <w:t>kraj - PO</w:t>
            </w:r>
          </w:p>
        </w:tc>
        <w:tc>
          <w:tcPr>
            <w:tcW w:w="1162" w:type="dxa"/>
            <w:hideMark/>
          </w:tcPr>
          <w:p w:rsidR="00A17188" w:rsidRPr="008D0EBF" w:rsidRDefault="00A17188" w:rsidP="00A17188">
            <w:pPr>
              <w:jc w:val="center"/>
            </w:pPr>
            <w:r w:rsidRPr="008D0EBF">
              <w:rPr>
                <w:b/>
                <w:bCs/>
              </w:rPr>
              <w:t>45 702</w:t>
            </w:r>
          </w:p>
        </w:tc>
        <w:tc>
          <w:tcPr>
            <w:tcW w:w="1016" w:type="dxa"/>
            <w:hideMark/>
          </w:tcPr>
          <w:p w:rsidR="00A17188" w:rsidRPr="008D0EBF" w:rsidRDefault="00A17188" w:rsidP="00A17188">
            <w:pPr>
              <w:jc w:val="center"/>
            </w:pPr>
            <w:r w:rsidRPr="008D0EBF">
              <w:rPr>
                <w:b/>
                <w:bCs/>
              </w:rPr>
              <w:t>51 399</w:t>
            </w:r>
          </w:p>
        </w:tc>
        <w:tc>
          <w:tcPr>
            <w:tcW w:w="910" w:type="dxa"/>
            <w:hideMark/>
          </w:tcPr>
          <w:p w:rsidR="00A17188" w:rsidRPr="008D0EBF" w:rsidRDefault="00A17188" w:rsidP="00A17188">
            <w:pPr>
              <w:jc w:val="center"/>
            </w:pPr>
            <w:r w:rsidRPr="008D0EBF">
              <w:rPr>
                <w:b/>
                <w:bCs/>
              </w:rPr>
              <w:t>52 417</w:t>
            </w:r>
          </w:p>
        </w:tc>
        <w:tc>
          <w:tcPr>
            <w:tcW w:w="1822" w:type="dxa"/>
            <w:hideMark/>
          </w:tcPr>
          <w:p w:rsidR="00A17188" w:rsidRPr="008D0EBF" w:rsidRDefault="00A17188" w:rsidP="00A17188">
            <w:pPr>
              <w:jc w:val="center"/>
            </w:pPr>
            <w:r w:rsidRPr="008D0EBF">
              <w:rPr>
                <w:b/>
                <w:bCs/>
              </w:rPr>
              <w:t>114,7%</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
          <w:jc w:val="center"/>
        </w:trPr>
        <w:tc>
          <w:tcPr>
            <w:tcW w:w="3659" w:type="dxa"/>
            <w:hideMark/>
          </w:tcPr>
          <w:p w:rsidR="00A17188" w:rsidRPr="008D0EBF" w:rsidRDefault="00A17188" w:rsidP="00A17188">
            <w:r w:rsidRPr="008D0EBF">
              <w:rPr>
                <w:b/>
                <w:bCs/>
              </w:rPr>
              <w:t>kraj - obchodní společnosti</w:t>
            </w:r>
          </w:p>
        </w:tc>
        <w:tc>
          <w:tcPr>
            <w:tcW w:w="1162" w:type="dxa"/>
            <w:hideMark/>
          </w:tcPr>
          <w:p w:rsidR="00A17188" w:rsidRPr="008D0EBF" w:rsidRDefault="00A17188" w:rsidP="00A17188">
            <w:pPr>
              <w:jc w:val="center"/>
            </w:pPr>
            <w:r w:rsidRPr="008D0EBF">
              <w:rPr>
                <w:b/>
                <w:bCs/>
              </w:rPr>
              <w:t>48 335</w:t>
            </w:r>
          </w:p>
        </w:tc>
        <w:tc>
          <w:tcPr>
            <w:tcW w:w="1016" w:type="dxa"/>
            <w:hideMark/>
          </w:tcPr>
          <w:p w:rsidR="00A17188" w:rsidRPr="008D0EBF" w:rsidRDefault="00A17188" w:rsidP="00A17188">
            <w:pPr>
              <w:jc w:val="center"/>
            </w:pPr>
            <w:r w:rsidRPr="008D0EBF">
              <w:rPr>
                <w:b/>
                <w:bCs/>
              </w:rPr>
              <w:t>54 128</w:t>
            </w:r>
          </w:p>
        </w:tc>
        <w:tc>
          <w:tcPr>
            <w:tcW w:w="910" w:type="dxa"/>
            <w:hideMark/>
          </w:tcPr>
          <w:p w:rsidR="00A17188" w:rsidRPr="008D0EBF" w:rsidRDefault="00A17188" w:rsidP="00A17188">
            <w:pPr>
              <w:jc w:val="center"/>
            </w:pPr>
            <w:r w:rsidRPr="008D0EBF">
              <w:rPr>
                <w:b/>
                <w:bCs/>
              </w:rPr>
              <w:t>56 010</w:t>
            </w:r>
          </w:p>
        </w:tc>
        <w:tc>
          <w:tcPr>
            <w:tcW w:w="1822" w:type="dxa"/>
            <w:hideMark/>
          </w:tcPr>
          <w:p w:rsidR="00A17188" w:rsidRPr="008D0EBF" w:rsidRDefault="00A17188" w:rsidP="00A17188">
            <w:pPr>
              <w:jc w:val="center"/>
            </w:pPr>
            <w:r w:rsidRPr="008D0EBF">
              <w:rPr>
                <w:b/>
                <w:bCs/>
              </w:rPr>
              <w:t>115,9%</w:t>
            </w:r>
          </w:p>
        </w:tc>
      </w:tr>
      <w:tr w:rsidR="00A17188" w:rsidRPr="008D0EBF" w:rsidTr="00E519D7">
        <w:trPr>
          <w:trHeight w:val="1"/>
          <w:jc w:val="center"/>
        </w:trPr>
        <w:tc>
          <w:tcPr>
            <w:tcW w:w="3659" w:type="dxa"/>
            <w:hideMark/>
          </w:tcPr>
          <w:p w:rsidR="00A17188" w:rsidRPr="008D0EBF" w:rsidRDefault="00A17188" w:rsidP="00A17188">
            <w:r w:rsidRPr="008D0EBF">
              <w:rPr>
                <w:b/>
                <w:bCs/>
              </w:rPr>
              <w:t>Město přísp.org.</w:t>
            </w:r>
          </w:p>
        </w:tc>
        <w:tc>
          <w:tcPr>
            <w:tcW w:w="1162" w:type="dxa"/>
            <w:hideMark/>
          </w:tcPr>
          <w:p w:rsidR="00A17188" w:rsidRPr="008D0EBF" w:rsidRDefault="00A17188" w:rsidP="00A17188">
            <w:pPr>
              <w:jc w:val="center"/>
            </w:pPr>
            <w:r w:rsidRPr="008D0EBF">
              <w:rPr>
                <w:b/>
                <w:bCs/>
              </w:rPr>
              <w:t>44 913</w:t>
            </w:r>
          </w:p>
        </w:tc>
        <w:tc>
          <w:tcPr>
            <w:tcW w:w="1016" w:type="dxa"/>
            <w:hideMark/>
          </w:tcPr>
          <w:p w:rsidR="00A17188" w:rsidRPr="008D0EBF" w:rsidRDefault="00A17188" w:rsidP="00A17188">
            <w:pPr>
              <w:jc w:val="center"/>
            </w:pPr>
            <w:r w:rsidRPr="008D0EBF">
              <w:rPr>
                <w:b/>
                <w:bCs/>
              </w:rPr>
              <w:t>52 039</w:t>
            </w:r>
          </w:p>
        </w:tc>
        <w:tc>
          <w:tcPr>
            <w:tcW w:w="910" w:type="dxa"/>
            <w:hideMark/>
          </w:tcPr>
          <w:p w:rsidR="00A17188" w:rsidRPr="008D0EBF" w:rsidRDefault="00A17188" w:rsidP="00A17188">
            <w:pPr>
              <w:jc w:val="center"/>
            </w:pPr>
            <w:r w:rsidRPr="008D0EBF">
              <w:rPr>
                <w:b/>
                <w:bCs/>
              </w:rPr>
              <w:t>52 956</w:t>
            </w:r>
          </w:p>
        </w:tc>
        <w:tc>
          <w:tcPr>
            <w:tcW w:w="1822" w:type="dxa"/>
            <w:hideMark/>
          </w:tcPr>
          <w:p w:rsidR="00A17188" w:rsidRPr="008D0EBF" w:rsidRDefault="00A17188" w:rsidP="00A17188">
            <w:pPr>
              <w:jc w:val="center"/>
            </w:pPr>
            <w:r w:rsidRPr="008D0EBF">
              <w:rPr>
                <w:b/>
                <w:bCs/>
              </w:rPr>
              <w:t>117,9%</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
          <w:jc w:val="center"/>
        </w:trPr>
        <w:tc>
          <w:tcPr>
            <w:tcW w:w="3659" w:type="dxa"/>
            <w:hideMark/>
          </w:tcPr>
          <w:p w:rsidR="00A17188" w:rsidRPr="008D0EBF" w:rsidRDefault="00A17188" w:rsidP="00A17188">
            <w:r w:rsidRPr="008D0EBF">
              <w:rPr>
                <w:b/>
                <w:bCs/>
              </w:rPr>
              <w:t>město – obch.spol.</w:t>
            </w:r>
          </w:p>
        </w:tc>
        <w:tc>
          <w:tcPr>
            <w:tcW w:w="1162" w:type="dxa"/>
            <w:hideMark/>
          </w:tcPr>
          <w:p w:rsidR="00A17188" w:rsidRPr="008D0EBF" w:rsidRDefault="00A17188" w:rsidP="00A17188">
            <w:pPr>
              <w:jc w:val="center"/>
            </w:pPr>
            <w:r w:rsidRPr="008D0EBF">
              <w:rPr>
                <w:b/>
                <w:bCs/>
              </w:rPr>
              <w:t>37 320</w:t>
            </w:r>
          </w:p>
        </w:tc>
        <w:tc>
          <w:tcPr>
            <w:tcW w:w="1016" w:type="dxa"/>
            <w:hideMark/>
          </w:tcPr>
          <w:p w:rsidR="00A17188" w:rsidRPr="008D0EBF" w:rsidRDefault="00A17188" w:rsidP="00A17188">
            <w:pPr>
              <w:jc w:val="center"/>
            </w:pPr>
            <w:r w:rsidRPr="008D0EBF">
              <w:rPr>
                <w:b/>
                <w:bCs/>
              </w:rPr>
              <w:t>46 700</w:t>
            </w:r>
          </w:p>
        </w:tc>
        <w:tc>
          <w:tcPr>
            <w:tcW w:w="910" w:type="dxa"/>
            <w:hideMark/>
          </w:tcPr>
          <w:p w:rsidR="00A17188" w:rsidRPr="008D0EBF" w:rsidRDefault="00A17188" w:rsidP="00A17188">
            <w:pPr>
              <w:jc w:val="center"/>
            </w:pPr>
            <w:r w:rsidRPr="008D0EBF">
              <w:rPr>
                <w:b/>
                <w:bCs/>
              </w:rPr>
              <w:t>46 628</w:t>
            </w:r>
          </w:p>
        </w:tc>
        <w:tc>
          <w:tcPr>
            <w:tcW w:w="1822" w:type="dxa"/>
            <w:hideMark/>
          </w:tcPr>
          <w:p w:rsidR="00A17188" w:rsidRPr="008D0EBF" w:rsidRDefault="00A17188" w:rsidP="00A17188">
            <w:pPr>
              <w:jc w:val="center"/>
            </w:pPr>
            <w:r w:rsidRPr="008D0EBF">
              <w:rPr>
                <w:b/>
                <w:bCs/>
              </w:rPr>
              <w:t>124,9%</w:t>
            </w:r>
          </w:p>
        </w:tc>
      </w:tr>
      <w:tr w:rsidR="00A17188" w:rsidRPr="008D0EBF" w:rsidTr="00E519D7">
        <w:trPr>
          <w:trHeight w:val="1"/>
          <w:jc w:val="center"/>
        </w:trPr>
        <w:tc>
          <w:tcPr>
            <w:tcW w:w="3659" w:type="dxa"/>
            <w:hideMark/>
          </w:tcPr>
          <w:p w:rsidR="00A17188" w:rsidRPr="008D0EBF" w:rsidRDefault="00A17188" w:rsidP="00A17188">
            <w:r w:rsidRPr="008D0EBF">
              <w:rPr>
                <w:b/>
                <w:bCs/>
              </w:rPr>
              <w:t>JPO, církev</w:t>
            </w:r>
          </w:p>
        </w:tc>
        <w:tc>
          <w:tcPr>
            <w:tcW w:w="1162" w:type="dxa"/>
            <w:hideMark/>
          </w:tcPr>
          <w:p w:rsidR="00A17188" w:rsidRPr="008D0EBF" w:rsidRDefault="00A17188" w:rsidP="00A17188">
            <w:pPr>
              <w:jc w:val="center"/>
            </w:pPr>
            <w:r w:rsidRPr="008D0EBF">
              <w:rPr>
                <w:b/>
                <w:bCs/>
              </w:rPr>
              <w:t>53 004</w:t>
            </w:r>
          </w:p>
        </w:tc>
        <w:tc>
          <w:tcPr>
            <w:tcW w:w="1016" w:type="dxa"/>
            <w:hideMark/>
          </w:tcPr>
          <w:p w:rsidR="00A17188" w:rsidRPr="008D0EBF" w:rsidRDefault="00A17188" w:rsidP="00A17188">
            <w:pPr>
              <w:jc w:val="center"/>
            </w:pPr>
            <w:r w:rsidRPr="008D0EBF">
              <w:rPr>
                <w:b/>
                <w:bCs/>
              </w:rPr>
              <w:t>57 485</w:t>
            </w:r>
          </w:p>
        </w:tc>
        <w:tc>
          <w:tcPr>
            <w:tcW w:w="910" w:type="dxa"/>
            <w:hideMark/>
          </w:tcPr>
          <w:p w:rsidR="00A17188" w:rsidRPr="008D0EBF" w:rsidRDefault="00A17188" w:rsidP="00A17188">
            <w:pPr>
              <w:jc w:val="center"/>
            </w:pPr>
            <w:r w:rsidRPr="008D0EBF">
              <w:rPr>
                <w:b/>
                <w:bCs/>
              </w:rPr>
              <w:t>60 678</w:t>
            </w:r>
          </w:p>
        </w:tc>
        <w:tc>
          <w:tcPr>
            <w:tcW w:w="1822" w:type="dxa"/>
            <w:hideMark/>
          </w:tcPr>
          <w:p w:rsidR="00A17188" w:rsidRPr="008D0EBF" w:rsidRDefault="00A17188" w:rsidP="00A17188">
            <w:pPr>
              <w:jc w:val="center"/>
            </w:pPr>
            <w:r w:rsidRPr="008D0EBF">
              <w:rPr>
                <w:b/>
                <w:bCs/>
              </w:rPr>
              <w:t>114,5%</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
          <w:jc w:val="center"/>
        </w:trPr>
        <w:tc>
          <w:tcPr>
            <w:tcW w:w="3659" w:type="dxa"/>
            <w:hideMark/>
          </w:tcPr>
          <w:p w:rsidR="00A17188" w:rsidRPr="008D0EBF" w:rsidRDefault="00A17188" w:rsidP="00A17188">
            <w:r w:rsidRPr="008D0EBF">
              <w:rPr>
                <w:b/>
                <w:bCs/>
              </w:rPr>
              <w:t>3 voj.nem.</w:t>
            </w:r>
          </w:p>
        </w:tc>
        <w:tc>
          <w:tcPr>
            <w:tcW w:w="1162" w:type="dxa"/>
            <w:hideMark/>
          </w:tcPr>
          <w:p w:rsidR="00A17188" w:rsidRPr="008D0EBF" w:rsidRDefault="00A17188" w:rsidP="00A17188">
            <w:pPr>
              <w:jc w:val="center"/>
            </w:pPr>
            <w:r w:rsidRPr="008D0EBF">
              <w:rPr>
                <w:b/>
                <w:bCs/>
              </w:rPr>
              <w:t>47 145</w:t>
            </w:r>
          </w:p>
        </w:tc>
        <w:tc>
          <w:tcPr>
            <w:tcW w:w="1016" w:type="dxa"/>
            <w:hideMark/>
          </w:tcPr>
          <w:p w:rsidR="00A17188" w:rsidRPr="008D0EBF" w:rsidRDefault="00A17188" w:rsidP="00A17188">
            <w:pPr>
              <w:jc w:val="center"/>
            </w:pPr>
            <w:r w:rsidRPr="008D0EBF">
              <w:rPr>
                <w:b/>
                <w:bCs/>
              </w:rPr>
              <w:t>55 738</w:t>
            </w:r>
          </w:p>
        </w:tc>
        <w:tc>
          <w:tcPr>
            <w:tcW w:w="910" w:type="dxa"/>
            <w:hideMark/>
          </w:tcPr>
          <w:p w:rsidR="00A17188" w:rsidRPr="008D0EBF" w:rsidRDefault="00A17188" w:rsidP="00A17188">
            <w:pPr>
              <w:jc w:val="center"/>
            </w:pPr>
            <w:r w:rsidRPr="008D0EBF">
              <w:rPr>
                <w:b/>
                <w:bCs/>
              </w:rPr>
              <w:t>59 099</w:t>
            </w:r>
          </w:p>
        </w:tc>
        <w:tc>
          <w:tcPr>
            <w:tcW w:w="1822" w:type="dxa"/>
            <w:hideMark/>
          </w:tcPr>
          <w:p w:rsidR="00A17188" w:rsidRPr="008D0EBF" w:rsidRDefault="00A17188" w:rsidP="00A17188">
            <w:pPr>
              <w:jc w:val="center"/>
            </w:pPr>
            <w:r w:rsidRPr="008D0EBF">
              <w:rPr>
                <w:b/>
                <w:bCs/>
              </w:rPr>
              <w:t>125,4%</w:t>
            </w:r>
          </w:p>
        </w:tc>
      </w:tr>
      <w:tr w:rsidR="00A17188" w:rsidRPr="008D0EBF" w:rsidTr="00E519D7">
        <w:trPr>
          <w:trHeight w:val="1"/>
          <w:jc w:val="center"/>
        </w:trPr>
        <w:tc>
          <w:tcPr>
            <w:tcW w:w="3659" w:type="dxa"/>
            <w:hideMark/>
          </w:tcPr>
          <w:p w:rsidR="00A17188" w:rsidRPr="008D0EBF" w:rsidRDefault="00A17188" w:rsidP="00A17188">
            <w:r w:rsidRPr="008D0EBF">
              <w:rPr>
                <w:b/>
                <w:bCs/>
              </w:rPr>
              <w:t>průměr</w:t>
            </w:r>
          </w:p>
        </w:tc>
        <w:tc>
          <w:tcPr>
            <w:tcW w:w="1162" w:type="dxa"/>
            <w:hideMark/>
          </w:tcPr>
          <w:p w:rsidR="00A17188" w:rsidRPr="008D0EBF" w:rsidRDefault="00A17188" w:rsidP="00A17188">
            <w:pPr>
              <w:jc w:val="center"/>
            </w:pPr>
            <w:r w:rsidRPr="008D0EBF">
              <w:rPr>
                <w:b/>
                <w:bCs/>
              </w:rPr>
              <w:t>49 841</w:t>
            </w:r>
          </w:p>
        </w:tc>
        <w:tc>
          <w:tcPr>
            <w:tcW w:w="1016" w:type="dxa"/>
            <w:hideMark/>
          </w:tcPr>
          <w:p w:rsidR="00A17188" w:rsidRPr="008D0EBF" w:rsidRDefault="00A17188" w:rsidP="00A17188">
            <w:pPr>
              <w:jc w:val="center"/>
            </w:pPr>
            <w:r w:rsidRPr="008D0EBF">
              <w:rPr>
                <w:b/>
                <w:bCs/>
              </w:rPr>
              <w:t>56 787</w:t>
            </w:r>
          </w:p>
        </w:tc>
        <w:tc>
          <w:tcPr>
            <w:tcW w:w="910" w:type="dxa"/>
            <w:hideMark/>
          </w:tcPr>
          <w:p w:rsidR="00A17188" w:rsidRPr="008D0EBF" w:rsidRDefault="00A17188" w:rsidP="00A17188">
            <w:pPr>
              <w:jc w:val="center"/>
            </w:pPr>
            <w:r w:rsidRPr="008D0EBF">
              <w:rPr>
                <w:b/>
                <w:bCs/>
              </w:rPr>
              <w:t>59 677</w:t>
            </w:r>
          </w:p>
        </w:tc>
        <w:tc>
          <w:tcPr>
            <w:tcW w:w="1822" w:type="dxa"/>
            <w:hideMark/>
          </w:tcPr>
          <w:p w:rsidR="00A17188" w:rsidRPr="008D0EBF" w:rsidRDefault="00A17188" w:rsidP="00A17188">
            <w:pPr>
              <w:jc w:val="center"/>
            </w:pPr>
            <w:r w:rsidRPr="008D0EBF">
              <w:rPr>
                <w:b/>
                <w:bCs/>
              </w:rPr>
              <w:t>119,7%</w:t>
            </w:r>
          </w:p>
        </w:tc>
      </w:tr>
    </w:tbl>
    <w:p w:rsidR="00A17188" w:rsidRDefault="00A17188" w:rsidP="00A17188">
      <w:pPr>
        <w:jc w:val="both"/>
      </w:pPr>
    </w:p>
    <w:p w:rsidR="00E519D7" w:rsidRDefault="00E519D7" w:rsidP="00A17188">
      <w:pPr>
        <w:jc w:val="both"/>
      </w:pPr>
    </w:p>
    <w:p w:rsidR="00E519D7" w:rsidRPr="008D0EBF" w:rsidRDefault="00E519D7" w:rsidP="00A17188">
      <w:pPr>
        <w:jc w:val="both"/>
      </w:pPr>
    </w:p>
    <w:tbl>
      <w:tblPr>
        <w:tblStyle w:val="Svtlstnovn"/>
        <w:tblW w:w="8879" w:type="dxa"/>
        <w:jc w:val="center"/>
        <w:tblLook w:val="0420" w:firstRow="1" w:lastRow="0" w:firstColumn="0" w:lastColumn="0" w:noHBand="0" w:noVBand="1"/>
      </w:tblPr>
      <w:tblGrid>
        <w:gridCol w:w="3815"/>
        <w:gridCol w:w="1236"/>
        <w:gridCol w:w="980"/>
        <w:gridCol w:w="949"/>
        <w:gridCol w:w="1899"/>
      </w:tblGrid>
      <w:tr w:rsidR="00A17188" w:rsidRPr="008D0EBF" w:rsidTr="00E519D7">
        <w:trPr>
          <w:cnfStyle w:val="100000000000" w:firstRow="1" w:lastRow="0" w:firstColumn="0" w:lastColumn="0" w:oddVBand="0" w:evenVBand="0" w:oddHBand="0" w:evenHBand="0" w:firstRowFirstColumn="0" w:firstRowLastColumn="0" w:lastRowFirstColumn="0" w:lastRowLastColumn="0"/>
          <w:trHeight w:val="346"/>
          <w:jc w:val="center"/>
        </w:trPr>
        <w:tc>
          <w:tcPr>
            <w:tcW w:w="3815" w:type="dxa"/>
            <w:hideMark/>
          </w:tcPr>
          <w:p w:rsidR="00A17188" w:rsidRPr="008D0EBF" w:rsidRDefault="00A17188" w:rsidP="00A17188"/>
        </w:tc>
        <w:tc>
          <w:tcPr>
            <w:tcW w:w="2216" w:type="dxa"/>
            <w:gridSpan w:val="2"/>
            <w:hideMark/>
          </w:tcPr>
          <w:p w:rsidR="00A17188" w:rsidRPr="008D0EBF" w:rsidRDefault="00A17188" w:rsidP="00B34D09">
            <w:r w:rsidRPr="008D0EBF">
              <w:rPr>
                <w:bCs w:val="0"/>
              </w:rPr>
              <w:t>Platy sestry</w:t>
            </w:r>
            <w:r>
              <w:rPr>
                <w:bCs w:val="0"/>
              </w:rPr>
              <w:t xml:space="preserve"> </w:t>
            </w:r>
            <w:r w:rsidR="00B34D09">
              <w:rPr>
                <w:bCs w:val="0"/>
              </w:rPr>
              <w:t>(</w:t>
            </w:r>
            <w:r>
              <w:rPr>
                <w:bCs w:val="0"/>
              </w:rPr>
              <w:t>v Kč)</w:t>
            </w:r>
          </w:p>
        </w:tc>
        <w:tc>
          <w:tcPr>
            <w:tcW w:w="949" w:type="dxa"/>
            <w:hideMark/>
          </w:tcPr>
          <w:p w:rsidR="00A17188" w:rsidRPr="008D0EBF" w:rsidRDefault="00A17188" w:rsidP="00A17188"/>
        </w:tc>
        <w:tc>
          <w:tcPr>
            <w:tcW w:w="1899" w:type="dxa"/>
            <w:hideMark/>
          </w:tcPr>
          <w:p w:rsidR="00A17188" w:rsidRPr="008D0EBF" w:rsidRDefault="00A17188" w:rsidP="00A17188"/>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308"/>
          <w:jc w:val="center"/>
        </w:trPr>
        <w:tc>
          <w:tcPr>
            <w:tcW w:w="3815" w:type="dxa"/>
            <w:hideMark/>
          </w:tcPr>
          <w:p w:rsidR="00A17188" w:rsidRPr="008D0EBF" w:rsidRDefault="00A17188" w:rsidP="00A17188">
            <w:r w:rsidRPr="008D0EBF">
              <w:rPr>
                <w:b/>
                <w:bCs/>
              </w:rPr>
              <w:t>Nemocnice</w:t>
            </w:r>
          </w:p>
        </w:tc>
        <w:tc>
          <w:tcPr>
            <w:tcW w:w="1236" w:type="dxa"/>
            <w:hideMark/>
          </w:tcPr>
          <w:p w:rsidR="00A17188" w:rsidRPr="008D0EBF" w:rsidRDefault="00A17188" w:rsidP="00A17188">
            <w:pPr>
              <w:jc w:val="center"/>
            </w:pPr>
            <w:r w:rsidRPr="008D0EBF">
              <w:rPr>
                <w:b/>
                <w:bCs/>
              </w:rPr>
              <w:t>r.2010</w:t>
            </w:r>
          </w:p>
        </w:tc>
        <w:tc>
          <w:tcPr>
            <w:tcW w:w="980" w:type="dxa"/>
            <w:hideMark/>
          </w:tcPr>
          <w:p w:rsidR="00A17188" w:rsidRPr="008D0EBF" w:rsidRDefault="00A17188" w:rsidP="00A17188">
            <w:pPr>
              <w:jc w:val="center"/>
            </w:pPr>
            <w:r w:rsidRPr="008D0EBF">
              <w:rPr>
                <w:b/>
                <w:bCs/>
              </w:rPr>
              <w:t>r.2011</w:t>
            </w:r>
          </w:p>
        </w:tc>
        <w:tc>
          <w:tcPr>
            <w:tcW w:w="949" w:type="dxa"/>
            <w:hideMark/>
          </w:tcPr>
          <w:p w:rsidR="00A17188" w:rsidRPr="008D0EBF" w:rsidRDefault="00A17188" w:rsidP="00A17188">
            <w:pPr>
              <w:jc w:val="center"/>
            </w:pPr>
            <w:r w:rsidRPr="008D0EBF">
              <w:rPr>
                <w:b/>
                <w:bCs/>
              </w:rPr>
              <w:t>r.2012</w:t>
            </w:r>
          </w:p>
        </w:tc>
        <w:tc>
          <w:tcPr>
            <w:tcW w:w="1899" w:type="dxa"/>
            <w:hideMark/>
          </w:tcPr>
          <w:p w:rsidR="00A17188" w:rsidRPr="008D0EBF" w:rsidRDefault="00A17188" w:rsidP="00A17188">
            <w:pPr>
              <w:jc w:val="center"/>
            </w:pPr>
            <w:r w:rsidRPr="008D0EBF">
              <w:rPr>
                <w:b/>
                <w:bCs/>
              </w:rPr>
              <w:t>index 2012/2010</w:t>
            </w:r>
          </w:p>
        </w:tc>
      </w:tr>
      <w:tr w:rsidR="00A17188" w:rsidRPr="008D0EBF" w:rsidTr="00E519D7">
        <w:trPr>
          <w:trHeight w:val="329"/>
          <w:jc w:val="center"/>
        </w:trPr>
        <w:tc>
          <w:tcPr>
            <w:tcW w:w="3815" w:type="dxa"/>
            <w:hideMark/>
          </w:tcPr>
          <w:p w:rsidR="00A17188" w:rsidRPr="008D0EBF" w:rsidRDefault="00A17188" w:rsidP="00A17188">
            <w:r w:rsidRPr="008D0EBF">
              <w:rPr>
                <w:b/>
                <w:bCs/>
              </w:rPr>
              <w:t>Zřizovatel</w:t>
            </w:r>
          </w:p>
        </w:tc>
        <w:tc>
          <w:tcPr>
            <w:tcW w:w="1236" w:type="dxa"/>
            <w:hideMark/>
          </w:tcPr>
          <w:p w:rsidR="00A17188" w:rsidRPr="008D0EBF" w:rsidRDefault="00A17188" w:rsidP="00A17188">
            <w:pPr>
              <w:jc w:val="center"/>
            </w:pPr>
          </w:p>
        </w:tc>
        <w:tc>
          <w:tcPr>
            <w:tcW w:w="980" w:type="dxa"/>
            <w:hideMark/>
          </w:tcPr>
          <w:p w:rsidR="00A17188" w:rsidRPr="008D0EBF" w:rsidRDefault="00A17188" w:rsidP="00A17188">
            <w:pPr>
              <w:jc w:val="center"/>
            </w:pPr>
          </w:p>
        </w:tc>
        <w:tc>
          <w:tcPr>
            <w:tcW w:w="949" w:type="dxa"/>
            <w:hideMark/>
          </w:tcPr>
          <w:p w:rsidR="00A17188" w:rsidRPr="008D0EBF" w:rsidRDefault="00A17188" w:rsidP="00A17188">
            <w:pPr>
              <w:jc w:val="center"/>
            </w:pPr>
          </w:p>
        </w:tc>
        <w:tc>
          <w:tcPr>
            <w:tcW w:w="1899" w:type="dxa"/>
            <w:hideMark/>
          </w:tcPr>
          <w:p w:rsidR="00A17188" w:rsidRPr="008D0EBF" w:rsidRDefault="00A17188" w:rsidP="00A17188">
            <w:pPr>
              <w:jc w:val="center"/>
            </w:pP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350"/>
          <w:jc w:val="center"/>
        </w:trPr>
        <w:tc>
          <w:tcPr>
            <w:tcW w:w="3815" w:type="dxa"/>
            <w:hideMark/>
          </w:tcPr>
          <w:p w:rsidR="00A17188" w:rsidRPr="008D0EBF" w:rsidRDefault="00A17188" w:rsidP="00A17188">
            <w:r w:rsidRPr="008D0EBF">
              <w:rPr>
                <w:b/>
                <w:bCs/>
              </w:rPr>
              <w:t>MZ</w:t>
            </w:r>
          </w:p>
        </w:tc>
        <w:tc>
          <w:tcPr>
            <w:tcW w:w="1236" w:type="dxa"/>
            <w:hideMark/>
          </w:tcPr>
          <w:p w:rsidR="00A17188" w:rsidRPr="008D0EBF" w:rsidRDefault="00A17188" w:rsidP="00A17188">
            <w:pPr>
              <w:jc w:val="center"/>
            </w:pPr>
            <w:r w:rsidRPr="008D0EBF">
              <w:rPr>
                <w:b/>
                <w:bCs/>
              </w:rPr>
              <w:t>28 906</w:t>
            </w:r>
          </w:p>
        </w:tc>
        <w:tc>
          <w:tcPr>
            <w:tcW w:w="980" w:type="dxa"/>
            <w:hideMark/>
          </w:tcPr>
          <w:p w:rsidR="00A17188" w:rsidRPr="008D0EBF" w:rsidRDefault="00A17188" w:rsidP="00A17188">
            <w:pPr>
              <w:jc w:val="center"/>
            </w:pPr>
            <w:r w:rsidRPr="008D0EBF">
              <w:rPr>
                <w:b/>
                <w:bCs/>
              </w:rPr>
              <w:t>29 837</w:t>
            </w:r>
          </w:p>
        </w:tc>
        <w:tc>
          <w:tcPr>
            <w:tcW w:w="949" w:type="dxa"/>
            <w:hideMark/>
          </w:tcPr>
          <w:p w:rsidR="00A17188" w:rsidRPr="008D0EBF" w:rsidRDefault="00A17188" w:rsidP="00A17188">
            <w:pPr>
              <w:jc w:val="center"/>
            </w:pPr>
            <w:r w:rsidRPr="008D0EBF">
              <w:rPr>
                <w:b/>
                <w:bCs/>
              </w:rPr>
              <w:t>31 149</w:t>
            </w:r>
          </w:p>
        </w:tc>
        <w:tc>
          <w:tcPr>
            <w:tcW w:w="1899" w:type="dxa"/>
            <w:hideMark/>
          </w:tcPr>
          <w:p w:rsidR="00A17188" w:rsidRPr="008D0EBF" w:rsidRDefault="00A17188" w:rsidP="00A17188">
            <w:pPr>
              <w:jc w:val="center"/>
            </w:pPr>
            <w:r w:rsidRPr="008D0EBF">
              <w:rPr>
                <w:b/>
                <w:bCs/>
              </w:rPr>
              <w:t>107,8%</w:t>
            </w:r>
          </w:p>
        </w:tc>
      </w:tr>
      <w:tr w:rsidR="00A17188" w:rsidRPr="008D0EBF" w:rsidTr="00E519D7">
        <w:trPr>
          <w:trHeight w:val="241"/>
          <w:jc w:val="center"/>
        </w:trPr>
        <w:tc>
          <w:tcPr>
            <w:tcW w:w="3815" w:type="dxa"/>
            <w:hideMark/>
          </w:tcPr>
          <w:p w:rsidR="00A17188" w:rsidRPr="008D0EBF" w:rsidRDefault="00A17188" w:rsidP="00A17188">
            <w:r w:rsidRPr="008D0EBF">
              <w:rPr>
                <w:b/>
                <w:bCs/>
              </w:rPr>
              <w:t>kraj - PO</w:t>
            </w:r>
          </w:p>
        </w:tc>
        <w:tc>
          <w:tcPr>
            <w:tcW w:w="1236" w:type="dxa"/>
            <w:hideMark/>
          </w:tcPr>
          <w:p w:rsidR="00A17188" w:rsidRPr="008D0EBF" w:rsidRDefault="00A17188" w:rsidP="00A17188">
            <w:pPr>
              <w:jc w:val="center"/>
            </w:pPr>
            <w:r w:rsidRPr="008D0EBF">
              <w:rPr>
                <w:b/>
                <w:bCs/>
              </w:rPr>
              <w:t>24 598</w:t>
            </w:r>
          </w:p>
        </w:tc>
        <w:tc>
          <w:tcPr>
            <w:tcW w:w="980" w:type="dxa"/>
            <w:hideMark/>
          </w:tcPr>
          <w:p w:rsidR="00A17188" w:rsidRPr="008D0EBF" w:rsidRDefault="00A17188" w:rsidP="00A17188">
            <w:pPr>
              <w:jc w:val="center"/>
            </w:pPr>
            <w:r w:rsidRPr="008D0EBF">
              <w:rPr>
                <w:b/>
                <w:bCs/>
              </w:rPr>
              <w:t>24 863</w:t>
            </w:r>
          </w:p>
        </w:tc>
        <w:tc>
          <w:tcPr>
            <w:tcW w:w="949" w:type="dxa"/>
            <w:hideMark/>
          </w:tcPr>
          <w:p w:rsidR="00A17188" w:rsidRPr="008D0EBF" w:rsidRDefault="00A17188" w:rsidP="00A17188">
            <w:pPr>
              <w:jc w:val="center"/>
            </w:pPr>
            <w:r w:rsidRPr="008D0EBF">
              <w:rPr>
                <w:b/>
                <w:bCs/>
              </w:rPr>
              <w:t>25 210</w:t>
            </w:r>
          </w:p>
        </w:tc>
        <w:tc>
          <w:tcPr>
            <w:tcW w:w="1899" w:type="dxa"/>
            <w:hideMark/>
          </w:tcPr>
          <w:p w:rsidR="00A17188" w:rsidRPr="008D0EBF" w:rsidRDefault="00A17188" w:rsidP="00A17188">
            <w:pPr>
              <w:jc w:val="center"/>
            </w:pPr>
            <w:r w:rsidRPr="008D0EBF">
              <w:rPr>
                <w:b/>
                <w:bCs/>
              </w:rPr>
              <w:t>102,5%</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410"/>
          <w:jc w:val="center"/>
        </w:trPr>
        <w:tc>
          <w:tcPr>
            <w:tcW w:w="3815" w:type="dxa"/>
            <w:hideMark/>
          </w:tcPr>
          <w:p w:rsidR="00A17188" w:rsidRPr="008D0EBF" w:rsidRDefault="00A17188" w:rsidP="00A17188">
            <w:r w:rsidRPr="008D0EBF">
              <w:rPr>
                <w:b/>
                <w:bCs/>
              </w:rPr>
              <w:t>kraj - obchodní společnosti</w:t>
            </w:r>
          </w:p>
        </w:tc>
        <w:tc>
          <w:tcPr>
            <w:tcW w:w="1236" w:type="dxa"/>
            <w:hideMark/>
          </w:tcPr>
          <w:p w:rsidR="00A17188" w:rsidRPr="008D0EBF" w:rsidRDefault="00A17188" w:rsidP="00A17188">
            <w:pPr>
              <w:jc w:val="center"/>
            </w:pPr>
            <w:r w:rsidRPr="008D0EBF">
              <w:rPr>
                <w:b/>
                <w:bCs/>
              </w:rPr>
              <w:t>24 201</w:t>
            </w:r>
          </w:p>
        </w:tc>
        <w:tc>
          <w:tcPr>
            <w:tcW w:w="980" w:type="dxa"/>
            <w:hideMark/>
          </w:tcPr>
          <w:p w:rsidR="00A17188" w:rsidRPr="008D0EBF" w:rsidRDefault="00A17188" w:rsidP="00A17188">
            <w:pPr>
              <w:jc w:val="center"/>
            </w:pPr>
            <w:r w:rsidRPr="008D0EBF">
              <w:rPr>
                <w:b/>
                <w:bCs/>
              </w:rPr>
              <w:t>24 444</w:t>
            </w:r>
          </w:p>
        </w:tc>
        <w:tc>
          <w:tcPr>
            <w:tcW w:w="949" w:type="dxa"/>
            <w:hideMark/>
          </w:tcPr>
          <w:p w:rsidR="00A17188" w:rsidRPr="008D0EBF" w:rsidRDefault="00A17188" w:rsidP="00A17188">
            <w:pPr>
              <w:jc w:val="center"/>
            </w:pPr>
            <w:r w:rsidRPr="008D0EBF">
              <w:rPr>
                <w:b/>
                <w:bCs/>
              </w:rPr>
              <w:t>24 489</w:t>
            </w:r>
          </w:p>
        </w:tc>
        <w:tc>
          <w:tcPr>
            <w:tcW w:w="1899" w:type="dxa"/>
            <w:hideMark/>
          </w:tcPr>
          <w:p w:rsidR="00A17188" w:rsidRPr="008D0EBF" w:rsidRDefault="00A17188" w:rsidP="00A17188">
            <w:pPr>
              <w:jc w:val="center"/>
            </w:pPr>
            <w:r w:rsidRPr="008D0EBF">
              <w:rPr>
                <w:b/>
                <w:bCs/>
              </w:rPr>
              <w:t>101,2%</w:t>
            </w:r>
          </w:p>
        </w:tc>
      </w:tr>
      <w:tr w:rsidR="00A17188" w:rsidRPr="008D0EBF" w:rsidTr="00E519D7">
        <w:trPr>
          <w:trHeight w:val="125"/>
          <w:jc w:val="center"/>
        </w:trPr>
        <w:tc>
          <w:tcPr>
            <w:tcW w:w="3815" w:type="dxa"/>
            <w:hideMark/>
          </w:tcPr>
          <w:p w:rsidR="00A17188" w:rsidRPr="008D0EBF" w:rsidRDefault="00A17188" w:rsidP="00A17188">
            <w:r w:rsidRPr="008D0EBF">
              <w:rPr>
                <w:b/>
                <w:bCs/>
              </w:rPr>
              <w:t>Město přís.org.</w:t>
            </w:r>
          </w:p>
        </w:tc>
        <w:tc>
          <w:tcPr>
            <w:tcW w:w="1236" w:type="dxa"/>
            <w:hideMark/>
          </w:tcPr>
          <w:p w:rsidR="00A17188" w:rsidRPr="008D0EBF" w:rsidRDefault="00A17188" w:rsidP="00A17188">
            <w:pPr>
              <w:jc w:val="center"/>
            </w:pPr>
            <w:r w:rsidRPr="008D0EBF">
              <w:rPr>
                <w:b/>
                <w:bCs/>
              </w:rPr>
              <w:t>25 033</w:t>
            </w:r>
          </w:p>
        </w:tc>
        <w:tc>
          <w:tcPr>
            <w:tcW w:w="980" w:type="dxa"/>
            <w:hideMark/>
          </w:tcPr>
          <w:p w:rsidR="00A17188" w:rsidRPr="008D0EBF" w:rsidRDefault="00A17188" w:rsidP="00A17188">
            <w:pPr>
              <w:jc w:val="center"/>
            </w:pPr>
            <w:r w:rsidRPr="008D0EBF">
              <w:rPr>
                <w:b/>
                <w:bCs/>
              </w:rPr>
              <w:t>25 338</w:t>
            </w:r>
          </w:p>
        </w:tc>
        <w:tc>
          <w:tcPr>
            <w:tcW w:w="949" w:type="dxa"/>
            <w:hideMark/>
          </w:tcPr>
          <w:p w:rsidR="00A17188" w:rsidRPr="008D0EBF" w:rsidRDefault="00A17188" w:rsidP="00A17188">
            <w:pPr>
              <w:jc w:val="center"/>
            </w:pPr>
            <w:r w:rsidRPr="008D0EBF">
              <w:rPr>
                <w:b/>
                <w:bCs/>
              </w:rPr>
              <w:t>25 349</w:t>
            </w:r>
          </w:p>
        </w:tc>
        <w:tc>
          <w:tcPr>
            <w:tcW w:w="1899" w:type="dxa"/>
            <w:hideMark/>
          </w:tcPr>
          <w:p w:rsidR="00A17188" w:rsidRPr="008D0EBF" w:rsidRDefault="00A17188" w:rsidP="00A17188">
            <w:pPr>
              <w:jc w:val="center"/>
            </w:pPr>
            <w:r w:rsidRPr="008D0EBF">
              <w:rPr>
                <w:b/>
                <w:bCs/>
              </w:rPr>
              <w:t>101,3%</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62"/>
          <w:jc w:val="center"/>
        </w:trPr>
        <w:tc>
          <w:tcPr>
            <w:tcW w:w="3815" w:type="dxa"/>
            <w:hideMark/>
          </w:tcPr>
          <w:p w:rsidR="00A17188" w:rsidRPr="008D0EBF" w:rsidRDefault="00A17188" w:rsidP="00A17188">
            <w:r w:rsidRPr="008D0EBF">
              <w:rPr>
                <w:b/>
                <w:bCs/>
              </w:rPr>
              <w:t>město – obch.spol.</w:t>
            </w:r>
          </w:p>
        </w:tc>
        <w:tc>
          <w:tcPr>
            <w:tcW w:w="1236" w:type="dxa"/>
            <w:hideMark/>
          </w:tcPr>
          <w:p w:rsidR="00A17188" w:rsidRPr="008D0EBF" w:rsidRDefault="00A17188" w:rsidP="00A17188">
            <w:pPr>
              <w:jc w:val="center"/>
            </w:pPr>
            <w:r w:rsidRPr="008D0EBF">
              <w:rPr>
                <w:b/>
                <w:bCs/>
              </w:rPr>
              <w:t>20 760</w:t>
            </w:r>
          </w:p>
        </w:tc>
        <w:tc>
          <w:tcPr>
            <w:tcW w:w="980" w:type="dxa"/>
            <w:hideMark/>
          </w:tcPr>
          <w:p w:rsidR="00A17188" w:rsidRPr="008D0EBF" w:rsidRDefault="00A17188" w:rsidP="00A17188">
            <w:pPr>
              <w:jc w:val="center"/>
            </w:pPr>
            <w:r w:rsidRPr="008D0EBF">
              <w:rPr>
                <w:b/>
                <w:bCs/>
              </w:rPr>
              <w:t>21 339</w:t>
            </w:r>
          </w:p>
        </w:tc>
        <w:tc>
          <w:tcPr>
            <w:tcW w:w="949" w:type="dxa"/>
            <w:hideMark/>
          </w:tcPr>
          <w:p w:rsidR="00A17188" w:rsidRPr="008D0EBF" w:rsidRDefault="00A17188" w:rsidP="00A17188">
            <w:pPr>
              <w:jc w:val="center"/>
            </w:pPr>
            <w:r w:rsidRPr="008D0EBF">
              <w:rPr>
                <w:b/>
                <w:bCs/>
              </w:rPr>
              <w:t>21 375</w:t>
            </w:r>
          </w:p>
        </w:tc>
        <w:tc>
          <w:tcPr>
            <w:tcW w:w="1899" w:type="dxa"/>
            <w:hideMark/>
          </w:tcPr>
          <w:p w:rsidR="00A17188" w:rsidRPr="008D0EBF" w:rsidRDefault="00A17188" w:rsidP="00A17188">
            <w:pPr>
              <w:jc w:val="center"/>
            </w:pPr>
            <w:r w:rsidRPr="008D0EBF">
              <w:rPr>
                <w:b/>
                <w:bCs/>
              </w:rPr>
              <w:t>103,0%</w:t>
            </w:r>
          </w:p>
        </w:tc>
      </w:tr>
      <w:tr w:rsidR="00A17188" w:rsidRPr="008D0EBF" w:rsidTr="00E519D7">
        <w:trPr>
          <w:trHeight w:val="332"/>
          <w:jc w:val="center"/>
        </w:trPr>
        <w:tc>
          <w:tcPr>
            <w:tcW w:w="3815" w:type="dxa"/>
            <w:hideMark/>
          </w:tcPr>
          <w:p w:rsidR="00A17188" w:rsidRPr="008D0EBF" w:rsidRDefault="00A17188" w:rsidP="00A17188">
            <w:r w:rsidRPr="008D0EBF">
              <w:rPr>
                <w:b/>
                <w:bCs/>
              </w:rPr>
              <w:t>JPO, církev</w:t>
            </w:r>
          </w:p>
        </w:tc>
        <w:tc>
          <w:tcPr>
            <w:tcW w:w="1236" w:type="dxa"/>
            <w:hideMark/>
          </w:tcPr>
          <w:p w:rsidR="00A17188" w:rsidRPr="008D0EBF" w:rsidRDefault="00A17188" w:rsidP="00A17188">
            <w:pPr>
              <w:jc w:val="center"/>
            </w:pPr>
            <w:r w:rsidRPr="008D0EBF">
              <w:rPr>
                <w:b/>
                <w:bCs/>
              </w:rPr>
              <w:t>22 994</w:t>
            </w:r>
          </w:p>
        </w:tc>
        <w:tc>
          <w:tcPr>
            <w:tcW w:w="980" w:type="dxa"/>
            <w:hideMark/>
          </w:tcPr>
          <w:p w:rsidR="00A17188" w:rsidRPr="008D0EBF" w:rsidRDefault="00A17188" w:rsidP="00A17188">
            <w:pPr>
              <w:jc w:val="center"/>
            </w:pPr>
            <w:r w:rsidRPr="008D0EBF">
              <w:rPr>
                <w:b/>
                <w:bCs/>
              </w:rPr>
              <w:t>23 397</w:t>
            </w:r>
          </w:p>
        </w:tc>
        <w:tc>
          <w:tcPr>
            <w:tcW w:w="949" w:type="dxa"/>
            <w:hideMark/>
          </w:tcPr>
          <w:p w:rsidR="00A17188" w:rsidRPr="008D0EBF" w:rsidRDefault="00A17188" w:rsidP="00A17188">
            <w:pPr>
              <w:jc w:val="center"/>
            </w:pPr>
            <w:r w:rsidRPr="008D0EBF">
              <w:rPr>
                <w:b/>
                <w:bCs/>
              </w:rPr>
              <w:t>23 437</w:t>
            </w:r>
          </w:p>
        </w:tc>
        <w:tc>
          <w:tcPr>
            <w:tcW w:w="1899" w:type="dxa"/>
            <w:hideMark/>
          </w:tcPr>
          <w:p w:rsidR="00A17188" w:rsidRPr="008D0EBF" w:rsidRDefault="00A17188" w:rsidP="00A17188">
            <w:pPr>
              <w:jc w:val="center"/>
            </w:pPr>
            <w:r w:rsidRPr="008D0EBF">
              <w:rPr>
                <w:b/>
                <w:bCs/>
              </w:rPr>
              <w:t>101,9%</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08"/>
          <w:jc w:val="center"/>
        </w:trPr>
        <w:tc>
          <w:tcPr>
            <w:tcW w:w="3815" w:type="dxa"/>
            <w:hideMark/>
          </w:tcPr>
          <w:p w:rsidR="00A17188" w:rsidRPr="008D0EBF" w:rsidRDefault="00A17188" w:rsidP="00A17188">
            <w:r w:rsidRPr="008D0EBF">
              <w:rPr>
                <w:b/>
                <w:bCs/>
              </w:rPr>
              <w:t>3 voj.nem.</w:t>
            </w:r>
          </w:p>
        </w:tc>
        <w:tc>
          <w:tcPr>
            <w:tcW w:w="1236" w:type="dxa"/>
            <w:hideMark/>
          </w:tcPr>
          <w:p w:rsidR="00A17188" w:rsidRPr="008D0EBF" w:rsidRDefault="00A17188" w:rsidP="00A17188">
            <w:pPr>
              <w:jc w:val="center"/>
            </w:pPr>
            <w:r w:rsidRPr="008D0EBF">
              <w:rPr>
                <w:b/>
                <w:bCs/>
              </w:rPr>
              <w:t>26 855</w:t>
            </w:r>
          </w:p>
        </w:tc>
        <w:tc>
          <w:tcPr>
            <w:tcW w:w="980" w:type="dxa"/>
            <w:hideMark/>
          </w:tcPr>
          <w:p w:rsidR="00A17188" w:rsidRPr="008D0EBF" w:rsidRDefault="00A17188" w:rsidP="00A17188">
            <w:pPr>
              <w:jc w:val="center"/>
            </w:pPr>
            <w:r w:rsidRPr="008D0EBF">
              <w:rPr>
                <w:b/>
                <w:bCs/>
              </w:rPr>
              <w:t>27 980</w:t>
            </w:r>
          </w:p>
        </w:tc>
        <w:tc>
          <w:tcPr>
            <w:tcW w:w="949" w:type="dxa"/>
            <w:hideMark/>
          </w:tcPr>
          <w:p w:rsidR="00A17188" w:rsidRPr="008D0EBF" w:rsidRDefault="00A17188" w:rsidP="00A17188">
            <w:pPr>
              <w:jc w:val="center"/>
            </w:pPr>
            <w:r w:rsidRPr="008D0EBF">
              <w:rPr>
                <w:b/>
                <w:bCs/>
              </w:rPr>
              <w:t>28 525</w:t>
            </w:r>
          </w:p>
        </w:tc>
        <w:tc>
          <w:tcPr>
            <w:tcW w:w="1899" w:type="dxa"/>
            <w:hideMark/>
          </w:tcPr>
          <w:p w:rsidR="00A17188" w:rsidRPr="008D0EBF" w:rsidRDefault="00A17188" w:rsidP="00A17188">
            <w:pPr>
              <w:jc w:val="center"/>
            </w:pPr>
            <w:r w:rsidRPr="008D0EBF">
              <w:rPr>
                <w:b/>
                <w:bCs/>
              </w:rPr>
              <w:t>106,2%</w:t>
            </w:r>
          </w:p>
        </w:tc>
      </w:tr>
      <w:tr w:rsidR="00A17188" w:rsidRPr="008D0EBF" w:rsidTr="00E519D7">
        <w:trPr>
          <w:trHeight w:val="230"/>
          <w:jc w:val="center"/>
        </w:trPr>
        <w:tc>
          <w:tcPr>
            <w:tcW w:w="3815" w:type="dxa"/>
            <w:hideMark/>
          </w:tcPr>
          <w:p w:rsidR="00A17188" w:rsidRPr="008D0EBF" w:rsidRDefault="00A17188" w:rsidP="00A17188">
            <w:r w:rsidRPr="008D0EBF">
              <w:rPr>
                <w:b/>
                <w:bCs/>
              </w:rPr>
              <w:t>průměr</w:t>
            </w:r>
          </w:p>
        </w:tc>
        <w:tc>
          <w:tcPr>
            <w:tcW w:w="1236" w:type="dxa"/>
            <w:hideMark/>
          </w:tcPr>
          <w:p w:rsidR="00A17188" w:rsidRPr="008D0EBF" w:rsidRDefault="00A17188" w:rsidP="00A17188">
            <w:pPr>
              <w:jc w:val="center"/>
            </w:pPr>
            <w:r w:rsidRPr="008D0EBF">
              <w:rPr>
                <w:b/>
                <w:bCs/>
              </w:rPr>
              <w:t>25 849</w:t>
            </w:r>
          </w:p>
        </w:tc>
        <w:tc>
          <w:tcPr>
            <w:tcW w:w="980" w:type="dxa"/>
            <w:hideMark/>
          </w:tcPr>
          <w:p w:rsidR="00A17188" w:rsidRPr="008D0EBF" w:rsidRDefault="00A17188" w:rsidP="00A17188">
            <w:pPr>
              <w:jc w:val="center"/>
            </w:pPr>
            <w:r w:rsidRPr="008D0EBF">
              <w:rPr>
                <w:b/>
                <w:bCs/>
              </w:rPr>
              <w:t>26 361</w:t>
            </w:r>
          </w:p>
        </w:tc>
        <w:tc>
          <w:tcPr>
            <w:tcW w:w="949" w:type="dxa"/>
            <w:hideMark/>
          </w:tcPr>
          <w:p w:rsidR="00A17188" w:rsidRPr="008D0EBF" w:rsidRDefault="00A17188" w:rsidP="00A17188">
            <w:pPr>
              <w:jc w:val="center"/>
            </w:pPr>
            <w:r w:rsidRPr="008D0EBF">
              <w:rPr>
                <w:b/>
                <w:bCs/>
              </w:rPr>
              <w:t>26 886</w:t>
            </w:r>
          </w:p>
        </w:tc>
        <w:tc>
          <w:tcPr>
            <w:tcW w:w="1899" w:type="dxa"/>
            <w:hideMark/>
          </w:tcPr>
          <w:p w:rsidR="00A17188" w:rsidRPr="008D0EBF" w:rsidRDefault="00A17188" w:rsidP="00A17188">
            <w:pPr>
              <w:jc w:val="center"/>
            </w:pPr>
            <w:r w:rsidRPr="008D0EBF">
              <w:rPr>
                <w:b/>
                <w:bCs/>
              </w:rPr>
              <w:t>104,0%</w:t>
            </w:r>
          </w:p>
        </w:tc>
      </w:tr>
    </w:tbl>
    <w:p w:rsidR="00A17188" w:rsidRDefault="00A17188" w:rsidP="00A17188"/>
    <w:p w:rsidR="00297407" w:rsidRPr="008D0EBF" w:rsidRDefault="00297407" w:rsidP="00A17188"/>
    <w:tbl>
      <w:tblPr>
        <w:tblStyle w:val="Svtlstnovn"/>
        <w:tblW w:w="9051" w:type="dxa"/>
        <w:jc w:val="center"/>
        <w:tblLook w:val="0420" w:firstRow="1" w:lastRow="0" w:firstColumn="0" w:lastColumn="0" w:noHBand="0" w:noVBand="1"/>
      </w:tblPr>
      <w:tblGrid>
        <w:gridCol w:w="3841"/>
        <w:gridCol w:w="1280"/>
        <w:gridCol w:w="1281"/>
        <w:gridCol w:w="1280"/>
        <w:gridCol w:w="1369"/>
      </w:tblGrid>
      <w:tr w:rsidR="00A17188" w:rsidRPr="008D0EBF" w:rsidTr="00E519D7">
        <w:trPr>
          <w:cnfStyle w:val="100000000000" w:firstRow="1" w:lastRow="0" w:firstColumn="0" w:lastColumn="0" w:oddVBand="0" w:evenVBand="0" w:oddHBand="0" w:evenHBand="0" w:firstRowFirstColumn="0" w:firstRowLastColumn="0" w:lastRowFirstColumn="0" w:lastRowLastColumn="0"/>
          <w:trHeight w:val="360"/>
          <w:jc w:val="center"/>
        </w:trPr>
        <w:tc>
          <w:tcPr>
            <w:tcW w:w="3841" w:type="dxa"/>
            <w:hideMark/>
          </w:tcPr>
          <w:p w:rsidR="00A17188" w:rsidRPr="008D0EBF" w:rsidRDefault="00A17188" w:rsidP="00A17188">
            <w:r w:rsidRPr="008D0EBF">
              <w:rPr>
                <w:b w:val="0"/>
                <w:bCs w:val="0"/>
              </w:rPr>
              <w:t>Nemocnice</w:t>
            </w:r>
          </w:p>
        </w:tc>
        <w:tc>
          <w:tcPr>
            <w:tcW w:w="2561" w:type="dxa"/>
            <w:gridSpan w:val="2"/>
            <w:hideMark/>
          </w:tcPr>
          <w:p w:rsidR="00A17188" w:rsidRPr="008D0EBF" w:rsidRDefault="00A17188" w:rsidP="00A17188">
            <w:r w:rsidRPr="008D0EBF">
              <w:t>Celkové osobní náklady</w:t>
            </w:r>
            <w:r>
              <w:t xml:space="preserve"> (v tis. Kč)</w:t>
            </w:r>
          </w:p>
        </w:tc>
        <w:tc>
          <w:tcPr>
            <w:tcW w:w="1280" w:type="dxa"/>
            <w:hideMark/>
          </w:tcPr>
          <w:p w:rsidR="00A17188" w:rsidRPr="008D0EBF" w:rsidRDefault="00A17188" w:rsidP="00A17188"/>
        </w:tc>
        <w:tc>
          <w:tcPr>
            <w:tcW w:w="1369" w:type="dxa"/>
            <w:hideMark/>
          </w:tcPr>
          <w:p w:rsidR="00A17188" w:rsidRPr="008D0EBF" w:rsidRDefault="00A17188" w:rsidP="00A17188"/>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95"/>
          <w:jc w:val="center"/>
        </w:trPr>
        <w:tc>
          <w:tcPr>
            <w:tcW w:w="3841" w:type="dxa"/>
            <w:hideMark/>
          </w:tcPr>
          <w:p w:rsidR="00A17188" w:rsidRPr="008D0EBF" w:rsidRDefault="00A17188" w:rsidP="00A17188">
            <w:r w:rsidRPr="008D0EBF">
              <w:rPr>
                <w:b/>
                <w:bCs/>
              </w:rPr>
              <w:t>zřizovatel</w:t>
            </w:r>
          </w:p>
        </w:tc>
        <w:tc>
          <w:tcPr>
            <w:tcW w:w="1280" w:type="dxa"/>
          </w:tcPr>
          <w:p w:rsidR="00A17188" w:rsidRPr="008D0EBF" w:rsidRDefault="00A17188" w:rsidP="00A17188">
            <w:r w:rsidRPr="008D0EBF">
              <w:rPr>
                <w:b/>
                <w:bCs/>
              </w:rPr>
              <w:t>r. 2010</w:t>
            </w:r>
          </w:p>
        </w:tc>
        <w:tc>
          <w:tcPr>
            <w:tcW w:w="1280" w:type="dxa"/>
          </w:tcPr>
          <w:p w:rsidR="00A17188" w:rsidRPr="008D0EBF" w:rsidRDefault="00A17188" w:rsidP="00A17188">
            <w:r w:rsidRPr="008D0EBF">
              <w:rPr>
                <w:b/>
                <w:bCs/>
              </w:rPr>
              <w:t>r. 2011</w:t>
            </w:r>
          </w:p>
        </w:tc>
        <w:tc>
          <w:tcPr>
            <w:tcW w:w="1280" w:type="dxa"/>
          </w:tcPr>
          <w:p w:rsidR="00A17188" w:rsidRPr="008D0EBF" w:rsidRDefault="00A17188" w:rsidP="00A17188">
            <w:r w:rsidRPr="008D0EBF">
              <w:rPr>
                <w:b/>
                <w:bCs/>
              </w:rPr>
              <w:t>r. 2012</w:t>
            </w:r>
          </w:p>
        </w:tc>
        <w:tc>
          <w:tcPr>
            <w:tcW w:w="1369" w:type="dxa"/>
            <w:hideMark/>
          </w:tcPr>
          <w:p w:rsidR="00A17188" w:rsidRPr="008D0EBF" w:rsidRDefault="00A17188" w:rsidP="00A17188">
            <w:r w:rsidRPr="008D0EBF">
              <w:rPr>
                <w:b/>
                <w:bCs/>
              </w:rPr>
              <w:t>index 2012/2010</w:t>
            </w:r>
          </w:p>
        </w:tc>
      </w:tr>
      <w:tr w:rsidR="00A17188" w:rsidRPr="008D0EBF" w:rsidTr="00E519D7">
        <w:trPr>
          <w:trHeight w:val="45"/>
          <w:jc w:val="center"/>
        </w:trPr>
        <w:tc>
          <w:tcPr>
            <w:tcW w:w="3841" w:type="dxa"/>
            <w:hideMark/>
          </w:tcPr>
          <w:p w:rsidR="00A17188" w:rsidRPr="008D0EBF" w:rsidRDefault="00A17188" w:rsidP="00A17188">
            <w:r w:rsidRPr="008D0EBF">
              <w:rPr>
                <w:b/>
                <w:bCs/>
              </w:rPr>
              <w:t>MZ</w:t>
            </w:r>
          </w:p>
        </w:tc>
        <w:tc>
          <w:tcPr>
            <w:tcW w:w="1280" w:type="dxa"/>
            <w:hideMark/>
          </w:tcPr>
          <w:p w:rsidR="00A17188" w:rsidRPr="008D0EBF" w:rsidRDefault="00A17188" w:rsidP="00A17188">
            <w:r w:rsidRPr="008D0EBF">
              <w:rPr>
                <w:b/>
                <w:bCs/>
              </w:rPr>
              <w:t>22 769 703</w:t>
            </w:r>
          </w:p>
        </w:tc>
        <w:tc>
          <w:tcPr>
            <w:tcW w:w="1280" w:type="dxa"/>
            <w:hideMark/>
          </w:tcPr>
          <w:p w:rsidR="00A17188" w:rsidRPr="008D0EBF" w:rsidRDefault="00A17188" w:rsidP="00A17188">
            <w:r w:rsidRPr="008D0EBF">
              <w:rPr>
                <w:b/>
                <w:bCs/>
              </w:rPr>
              <w:t>24 239 099</w:t>
            </w:r>
          </w:p>
        </w:tc>
        <w:tc>
          <w:tcPr>
            <w:tcW w:w="1280" w:type="dxa"/>
            <w:hideMark/>
          </w:tcPr>
          <w:p w:rsidR="00A17188" w:rsidRPr="008D0EBF" w:rsidRDefault="00A17188" w:rsidP="00A17188">
            <w:r w:rsidRPr="008D0EBF">
              <w:rPr>
                <w:b/>
                <w:bCs/>
              </w:rPr>
              <w:t>25 322 567</w:t>
            </w:r>
          </w:p>
        </w:tc>
        <w:tc>
          <w:tcPr>
            <w:tcW w:w="1369" w:type="dxa"/>
            <w:hideMark/>
          </w:tcPr>
          <w:p w:rsidR="00A17188" w:rsidRPr="008D0EBF" w:rsidRDefault="00A17188" w:rsidP="00A17188">
            <w:r w:rsidRPr="008D0EBF">
              <w:rPr>
                <w:b/>
                <w:bCs/>
              </w:rPr>
              <w:t>111,2%</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45"/>
          <w:jc w:val="center"/>
        </w:trPr>
        <w:tc>
          <w:tcPr>
            <w:tcW w:w="3841" w:type="dxa"/>
            <w:hideMark/>
          </w:tcPr>
          <w:p w:rsidR="00A17188" w:rsidRPr="008D0EBF" w:rsidRDefault="00A17188" w:rsidP="00A17188">
            <w:r w:rsidRPr="008D0EBF">
              <w:t>kraj příspěvkově</w:t>
            </w:r>
          </w:p>
        </w:tc>
        <w:tc>
          <w:tcPr>
            <w:tcW w:w="1280" w:type="dxa"/>
            <w:hideMark/>
          </w:tcPr>
          <w:p w:rsidR="00A17188" w:rsidRPr="008D0EBF" w:rsidRDefault="00A17188" w:rsidP="00A17188">
            <w:r w:rsidRPr="008D0EBF">
              <w:t>7 065 654</w:t>
            </w:r>
          </w:p>
        </w:tc>
        <w:tc>
          <w:tcPr>
            <w:tcW w:w="1280" w:type="dxa"/>
            <w:hideMark/>
          </w:tcPr>
          <w:p w:rsidR="00A17188" w:rsidRPr="008D0EBF" w:rsidRDefault="00A17188" w:rsidP="00A17188">
            <w:r w:rsidRPr="008D0EBF">
              <w:t>7 292 419</w:t>
            </w:r>
          </w:p>
        </w:tc>
        <w:tc>
          <w:tcPr>
            <w:tcW w:w="1280" w:type="dxa"/>
            <w:hideMark/>
          </w:tcPr>
          <w:p w:rsidR="00A17188" w:rsidRPr="008D0EBF" w:rsidRDefault="00A17188" w:rsidP="00A17188">
            <w:r w:rsidRPr="008D0EBF">
              <w:t>6 933 308</w:t>
            </w:r>
          </w:p>
        </w:tc>
        <w:tc>
          <w:tcPr>
            <w:tcW w:w="1369" w:type="dxa"/>
            <w:hideMark/>
          </w:tcPr>
          <w:p w:rsidR="00A17188" w:rsidRPr="008D0EBF" w:rsidRDefault="00A17188" w:rsidP="00A17188">
            <w:r w:rsidRPr="008D0EBF">
              <w:t>98,1%</w:t>
            </w:r>
          </w:p>
        </w:tc>
      </w:tr>
      <w:tr w:rsidR="00A17188" w:rsidRPr="008D0EBF" w:rsidTr="00E519D7">
        <w:trPr>
          <w:trHeight w:val="117"/>
          <w:jc w:val="center"/>
        </w:trPr>
        <w:tc>
          <w:tcPr>
            <w:tcW w:w="3841" w:type="dxa"/>
            <w:hideMark/>
          </w:tcPr>
          <w:p w:rsidR="00A17188" w:rsidRPr="008D0EBF" w:rsidRDefault="00A17188" w:rsidP="00A17188">
            <w:r w:rsidRPr="008D0EBF">
              <w:t>kraj - obchodní společnosti</w:t>
            </w:r>
          </w:p>
        </w:tc>
        <w:tc>
          <w:tcPr>
            <w:tcW w:w="1280" w:type="dxa"/>
            <w:hideMark/>
          </w:tcPr>
          <w:p w:rsidR="00A17188" w:rsidRPr="008D0EBF" w:rsidRDefault="00A17188" w:rsidP="00A17188">
            <w:r w:rsidRPr="008D0EBF">
              <w:t>15 454 149</w:t>
            </w:r>
          </w:p>
        </w:tc>
        <w:tc>
          <w:tcPr>
            <w:tcW w:w="1280" w:type="dxa"/>
            <w:hideMark/>
          </w:tcPr>
          <w:p w:rsidR="00A17188" w:rsidRPr="008D0EBF" w:rsidRDefault="00A17188" w:rsidP="00A17188">
            <w:r w:rsidRPr="008D0EBF">
              <w:t>15 996 545</w:t>
            </w:r>
          </w:p>
        </w:tc>
        <w:tc>
          <w:tcPr>
            <w:tcW w:w="1280" w:type="dxa"/>
            <w:hideMark/>
          </w:tcPr>
          <w:p w:rsidR="00A17188" w:rsidRPr="008D0EBF" w:rsidRDefault="00A17188" w:rsidP="00A17188">
            <w:r w:rsidRPr="008D0EBF">
              <w:t>16 134 164</w:t>
            </w:r>
          </w:p>
        </w:tc>
        <w:tc>
          <w:tcPr>
            <w:tcW w:w="1369" w:type="dxa"/>
            <w:hideMark/>
          </w:tcPr>
          <w:p w:rsidR="00A17188" w:rsidRPr="008D0EBF" w:rsidRDefault="00A17188" w:rsidP="00A17188">
            <w:r w:rsidRPr="008D0EBF">
              <w:t>104,4%</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45"/>
          <w:jc w:val="center"/>
        </w:trPr>
        <w:tc>
          <w:tcPr>
            <w:tcW w:w="3841" w:type="dxa"/>
            <w:hideMark/>
          </w:tcPr>
          <w:p w:rsidR="00A17188" w:rsidRPr="008D0EBF" w:rsidRDefault="00A17188" w:rsidP="00A17188">
            <w:r w:rsidRPr="008D0EBF">
              <w:rPr>
                <w:b/>
                <w:bCs/>
              </w:rPr>
              <w:t>kraj celkem</w:t>
            </w:r>
          </w:p>
        </w:tc>
        <w:tc>
          <w:tcPr>
            <w:tcW w:w="1280" w:type="dxa"/>
            <w:hideMark/>
          </w:tcPr>
          <w:p w:rsidR="00A17188" w:rsidRPr="008D0EBF" w:rsidRDefault="00A17188" w:rsidP="00A17188">
            <w:r w:rsidRPr="008D0EBF">
              <w:rPr>
                <w:b/>
                <w:bCs/>
              </w:rPr>
              <w:t>22 519 803</w:t>
            </w:r>
          </w:p>
        </w:tc>
        <w:tc>
          <w:tcPr>
            <w:tcW w:w="1280" w:type="dxa"/>
            <w:hideMark/>
          </w:tcPr>
          <w:p w:rsidR="00A17188" w:rsidRPr="008D0EBF" w:rsidRDefault="00A17188" w:rsidP="00A17188">
            <w:r w:rsidRPr="008D0EBF">
              <w:rPr>
                <w:b/>
                <w:bCs/>
              </w:rPr>
              <w:t>23 288 964</w:t>
            </w:r>
          </w:p>
        </w:tc>
        <w:tc>
          <w:tcPr>
            <w:tcW w:w="1280" w:type="dxa"/>
            <w:hideMark/>
          </w:tcPr>
          <w:p w:rsidR="00A17188" w:rsidRPr="008D0EBF" w:rsidRDefault="00A17188" w:rsidP="00A17188">
            <w:r w:rsidRPr="008D0EBF">
              <w:rPr>
                <w:b/>
                <w:bCs/>
              </w:rPr>
              <w:t>23 067 472</w:t>
            </w:r>
          </w:p>
        </w:tc>
        <w:tc>
          <w:tcPr>
            <w:tcW w:w="1369" w:type="dxa"/>
            <w:hideMark/>
          </w:tcPr>
          <w:p w:rsidR="00A17188" w:rsidRPr="008D0EBF" w:rsidRDefault="00A17188" w:rsidP="00A17188">
            <w:r w:rsidRPr="008D0EBF">
              <w:rPr>
                <w:b/>
                <w:bCs/>
              </w:rPr>
              <w:t>102,4%</w:t>
            </w:r>
          </w:p>
        </w:tc>
      </w:tr>
      <w:tr w:rsidR="00A17188" w:rsidRPr="008D0EBF" w:rsidTr="00E519D7">
        <w:trPr>
          <w:trHeight w:val="175"/>
          <w:jc w:val="center"/>
        </w:trPr>
        <w:tc>
          <w:tcPr>
            <w:tcW w:w="3841" w:type="dxa"/>
            <w:hideMark/>
          </w:tcPr>
          <w:p w:rsidR="00A17188" w:rsidRPr="008D0EBF" w:rsidRDefault="00A17188" w:rsidP="00A17188">
            <w:r w:rsidRPr="008D0EBF">
              <w:t>město</w:t>
            </w:r>
          </w:p>
        </w:tc>
        <w:tc>
          <w:tcPr>
            <w:tcW w:w="1280" w:type="dxa"/>
            <w:hideMark/>
          </w:tcPr>
          <w:p w:rsidR="00A17188" w:rsidRPr="008D0EBF" w:rsidRDefault="00A17188" w:rsidP="00A17188">
            <w:r w:rsidRPr="008D0EBF">
              <w:t>3 127 799</w:t>
            </w:r>
          </w:p>
        </w:tc>
        <w:tc>
          <w:tcPr>
            <w:tcW w:w="1280" w:type="dxa"/>
            <w:hideMark/>
          </w:tcPr>
          <w:p w:rsidR="00A17188" w:rsidRPr="008D0EBF" w:rsidRDefault="00A17188" w:rsidP="00A17188">
            <w:r w:rsidRPr="008D0EBF">
              <w:t>3 226 765</w:t>
            </w:r>
          </w:p>
        </w:tc>
        <w:tc>
          <w:tcPr>
            <w:tcW w:w="1280" w:type="dxa"/>
            <w:hideMark/>
          </w:tcPr>
          <w:p w:rsidR="00A17188" w:rsidRPr="008D0EBF" w:rsidRDefault="00A17188" w:rsidP="00A17188">
            <w:r w:rsidRPr="008D0EBF">
              <w:t>3 260 481</w:t>
            </w:r>
          </w:p>
        </w:tc>
        <w:tc>
          <w:tcPr>
            <w:tcW w:w="1369" w:type="dxa"/>
            <w:hideMark/>
          </w:tcPr>
          <w:p w:rsidR="00A17188" w:rsidRPr="008D0EBF" w:rsidRDefault="00A17188" w:rsidP="00A17188">
            <w:r w:rsidRPr="008D0EBF">
              <w:t>104,2%</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83"/>
          <w:jc w:val="center"/>
        </w:trPr>
        <w:tc>
          <w:tcPr>
            <w:tcW w:w="3841" w:type="dxa"/>
            <w:hideMark/>
          </w:tcPr>
          <w:p w:rsidR="00A17188" w:rsidRPr="008D0EBF" w:rsidRDefault="00A17188" w:rsidP="00A17188">
            <w:r w:rsidRPr="008D0EBF">
              <w:t>město - obchodní společnosti</w:t>
            </w:r>
          </w:p>
        </w:tc>
        <w:tc>
          <w:tcPr>
            <w:tcW w:w="1280" w:type="dxa"/>
            <w:hideMark/>
          </w:tcPr>
          <w:p w:rsidR="00A17188" w:rsidRPr="008D0EBF" w:rsidRDefault="00A17188" w:rsidP="00A17188">
            <w:r w:rsidRPr="008D0EBF">
              <w:t>516 364</w:t>
            </w:r>
          </w:p>
        </w:tc>
        <w:tc>
          <w:tcPr>
            <w:tcW w:w="1280" w:type="dxa"/>
            <w:hideMark/>
          </w:tcPr>
          <w:p w:rsidR="00A17188" w:rsidRPr="008D0EBF" w:rsidRDefault="00A17188" w:rsidP="00A17188">
            <w:r w:rsidRPr="008D0EBF">
              <w:t>740 155</w:t>
            </w:r>
          </w:p>
        </w:tc>
        <w:tc>
          <w:tcPr>
            <w:tcW w:w="1280" w:type="dxa"/>
            <w:hideMark/>
          </w:tcPr>
          <w:p w:rsidR="00A17188" w:rsidRPr="008D0EBF" w:rsidRDefault="00A17188" w:rsidP="00A17188">
            <w:r w:rsidRPr="008D0EBF">
              <w:t>745 401</w:t>
            </w:r>
          </w:p>
        </w:tc>
        <w:tc>
          <w:tcPr>
            <w:tcW w:w="1369" w:type="dxa"/>
            <w:hideMark/>
          </w:tcPr>
          <w:p w:rsidR="00A17188" w:rsidRPr="008D0EBF" w:rsidRDefault="00A17188" w:rsidP="00A17188">
            <w:r w:rsidRPr="008D0EBF">
              <w:t>144,4%</w:t>
            </w:r>
          </w:p>
        </w:tc>
      </w:tr>
      <w:tr w:rsidR="00A17188" w:rsidRPr="008D0EBF" w:rsidTr="00E519D7">
        <w:trPr>
          <w:trHeight w:val="181"/>
          <w:jc w:val="center"/>
        </w:trPr>
        <w:tc>
          <w:tcPr>
            <w:tcW w:w="3841" w:type="dxa"/>
            <w:hideMark/>
          </w:tcPr>
          <w:p w:rsidR="00A17188" w:rsidRPr="008D0EBF" w:rsidRDefault="00A17188" w:rsidP="00A17188">
            <w:r w:rsidRPr="008D0EBF">
              <w:rPr>
                <w:b/>
                <w:bCs/>
              </w:rPr>
              <w:t xml:space="preserve">město celkem </w:t>
            </w:r>
          </w:p>
        </w:tc>
        <w:tc>
          <w:tcPr>
            <w:tcW w:w="1280" w:type="dxa"/>
            <w:hideMark/>
          </w:tcPr>
          <w:p w:rsidR="00A17188" w:rsidRPr="008D0EBF" w:rsidRDefault="00A17188" w:rsidP="00A17188">
            <w:r w:rsidRPr="008D0EBF">
              <w:rPr>
                <w:b/>
                <w:bCs/>
              </w:rPr>
              <w:t>3 644 163</w:t>
            </w:r>
          </w:p>
        </w:tc>
        <w:tc>
          <w:tcPr>
            <w:tcW w:w="1280" w:type="dxa"/>
            <w:hideMark/>
          </w:tcPr>
          <w:p w:rsidR="00A17188" w:rsidRPr="008D0EBF" w:rsidRDefault="00A17188" w:rsidP="00A17188">
            <w:r w:rsidRPr="008D0EBF">
              <w:rPr>
                <w:b/>
                <w:bCs/>
              </w:rPr>
              <w:t>3 966 920</w:t>
            </w:r>
          </w:p>
        </w:tc>
        <w:tc>
          <w:tcPr>
            <w:tcW w:w="1280" w:type="dxa"/>
            <w:hideMark/>
          </w:tcPr>
          <w:p w:rsidR="00A17188" w:rsidRPr="008D0EBF" w:rsidRDefault="00A17188" w:rsidP="00A17188">
            <w:r w:rsidRPr="008D0EBF">
              <w:rPr>
                <w:b/>
                <w:bCs/>
              </w:rPr>
              <w:t>4 005 882</w:t>
            </w:r>
          </w:p>
        </w:tc>
        <w:tc>
          <w:tcPr>
            <w:tcW w:w="1369" w:type="dxa"/>
            <w:hideMark/>
          </w:tcPr>
          <w:p w:rsidR="00A17188" w:rsidRPr="008D0EBF" w:rsidRDefault="00A17188" w:rsidP="00A17188">
            <w:r w:rsidRPr="008D0EBF">
              <w:rPr>
                <w:b/>
                <w:bCs/>
              </w:rPr>
              <w:t>109,9%</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03"/>
          <w:jc w:val="center"/>
        </w:trPr>
        <w:tc>
          <w:tcPr>
            <w:tcW w:w="3841" w:type="dxa"/>
            <w:hideMark/>
          </w:tcPr>
          <w:p w:rsidR="00A17188" w:rsidRPr="008D0EBF" w:rsidRDefault="00A17188" w:rsidP="00A17188">
            <w:r w:rsidRPr="008D0EBF">
              <w:rPr>
                <w:b/>
                <w:bCs/>
              </w:rPr>
              <w:t>JPO, církev</w:t>
            </w:r>
          </w:p>
        </w:tc>
        <w:tc>
          <w:tcPr>
            <w:tcW w:w="1280" w:type="dxa"/>
            <w:hideMark/>
          </w:tcPr>
          <w:p w:rsidR="00A17188" w:rsidRPr="008D0EBF" w:rsidRDefault="00A17188" w:rsidP="00A17188">
            <w:r w:rsidRPr="008D0EBF">
              <w:rPr>
                <w:b/>
                <w:bCs/>
              </w:rPr>
              <w:t>6 216 638</w:t>
            </w:r>
          </w:p>
        </w:tc>
        <w:tc>
          <w:tcPr>
            <w:tcW w:w="1280" w:type="dxa"/>
            <w:hideMark/>
          </w:tcPr>
          <w:p w:rsidR="00A17188" w:rsidRPr="008D0EBF" w:rsidRDefault="00A17188" w:rsidP="00A17188">
            <w:r w:rsidRPr="008D0EBF">
              <w:rPr>
                <w:b/>
                <w:bCs/>
              </w:rPr>
              <w:t>6 620 175</w:t>
            </w:r>
          </w:p>
        </w:tc>
        <w:tc>
          <w:tcPr>
            <w:tcW w:w="1280" w:type="dxa"/>
            <w:hideMark/>
          </w:tcPr>
          <w:p w:rsidR="00A17188" w:rsidRPr="008D0EBF" w:rsidRDefault="00A17188" w:rsidP="00A17188">
            <w:r w:rsidRPr="008D0EBF">
              <w:rPr>
                <w:b/>
                <w:bCs/>
              </w:rPr>
              <w:t>6 918 392</w:t>
            </w:r>
          </w:p>
        </w:tc>
        <w:tc>
          <w:tcPr>
            <w:tcW w:w="1369" w:type="dxa"/>
            <w:hideMark/>
          </w:tcPr>
          <w:p w:rsidR="00A17188" w:rsidRPr="008D0EBF" w:rsidRDefault="00A17188" w:rsidP="00A17188">
            <w:r w:rsidRPr="008D0EBF">
              <w:rPr>
                <w:b/>
                <w:bCs/>
              </w:rPr>
              <w:t>111,3%</w:t>
            </w:r>
          </w:p>
        </w:tc>
      </w:tr>
      <w:tr w:rsidR="00A17188" w:rsidRPr="008D0EBF" w:rsidTr="00E519D7">
        <w:trPr>
          <w:trHeight w:val="96"/>
          <w:jc w:val="center"/>
        </w:trPr>
        <w:tc>
          <w:tcPr>
            <w:tcW w:w="3841" w:type="dxa"/>
            <w:hideMark/>
          </w:tcPr>
          <w:p w:rsidR="00A17188" w:rsidRPr="008D0EBF" w:rsidRDefault="00A17188" w:rsidP="00A17188">
            <w:r w:rsidRPr="008D0EBF">
              <w:rPr>
                <w:b/>
                <w:bCs/>
              </w:rPr>
              <w:t>Vojenské nem.</w:t>
            </w:r>
          </w:p>
        </w:tc>
        <w:tc>
          <w:tcPr>
            <w:tcW w:w="1280" w:type="dxa"/>
            <w:hideMark/>
          </w:tcPr>
          <w:p w:rsidR="00A17188" w:rsidRPr="008D0EBF" w:rsidRDefault="00A17188" w:rsidP="00A17188">
            <w:r w:rsidRPr="008D0EBF">
              <w:rPr>
                <w:b/>
                <w:bCs/>
              </w:rPr>
              <w:t>1 349 432</w:t>
            </w:r>
          </w:p>
        </w:tc>
        <w:tc>
          <w:tcPr>
            <w:tcW w:w="1280" w:type="dxa"/>
            <w:hideMark/>
          </w:tcPr>
          <w:p w:rsidR="00A17188" w:rsidRPr="008D0EBF" w:rsidRDefault="00A17188" w:rsidP="00A17188">
            <w:r w:rsidRPr="008D0EBF">
              <w:rPr>
                <w:b/>
                <w:bCs/>
              </w:rPr>
              <w:t>1 388 558</w:t>
            </w:r>
          </w:p>
        </w:tc>
        <w:tc>
          <w:tcPr>
            <w:tcW w:w="1280" w:type="dxa"/>
            <w:hideMark/>
          </w:tcPr>
          <w:p w:rsidR="00A17188" w:rsidRPr="008D0EBF" w:rsidRDefault="00A17188" w:rsidP="00A17188">
            <w:r w:rsidRPr="008D0EBF">
              <w:rPr>
                <w:b/>
                <w:bCs/>
              </w:rPr>
              <w:t>1 478 154</w:t>
            </w:r>
          </w:p>
        </w:tc>
        <w:tc>
          <w:tcPr>
            <w:tcW w:w="1369" w:type="dxa"/>
            <w:hideMark/>
          </w:tcPr>
          <w:p w:rsidR="00A17188" w:rsidRPr="008D0EBF" w:rsidRDefault="00A17188" w:rsidP="00A17188">
            <w:r w:rsidRPr="008D0EBF">
              <w:rPr>
                <w:b/>
                <w:bCs/>
              </w:rPr>
              <w:t>109,5%</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61"/>
          <w:jc w:val="center"/>
        </w:trPr>
        <w:tc>
          <w:tcPr>
            <w:tcW w:w="3841" w:type="dxa"/>
            <w:hideMark/>
          </w:tcPr>
          <w:p w:rsidR="00A17188" w:rsidRPr="008D0EBF" w:rsidRDefault="00A17188" w:rsidP="00A17188">
            <w:r w:rsidRPr="008D0EBF">
              <w:rPr>
                <w:b/>
                <w:bCs/>
              </w:rPr>
              <w:t>celkem</w:t>
            </w:r>
          </w:p>
        </w:tc>
        <w:tc>
          <w:tcPr>
            <w:tcW w:w="1280" w:type="dxa"/>
            <w:hideMark/>
          </w:tcPr>
          <w:p w:rsidR="00A17188" w:rsidRPr="008D0EBF" w:rsidRDefault="00A17188" w:rsidP="00A17188">
            <w:r w:rsidRPr="008D0EBF">
              <w:rPr>
                <w:b/>
                <w:bCs/>
              </w:rPr>
              <w:t>56 499 739</w:t>
            </w:r>
          </w:p>
        </w:tc>
        <w:tc>
          <w:tcPr>
            <w:tcW w:w="1280" w:type="dxa"/>
            <w:hideMark/>
          </w:tcPr>
          <w:p w:rsidR="00A17188" w:rsidRPr="008D0EBF" w:rsidRDefault="00A17188" w:rsidP="00A17188">
            <w:r w:rsidRPr="008D0EBF">
              <w:rPr>
                <w:b/>
                <w:bCs/>
              </w:rPr>
              <w:t>59 503 716</w:t>
            </w:r>
          </w:p>
        </w:tc>
        <w:tc>
          <w:tcPr>
            <w:tcW w:w="1280" w:type="dxa"/>
            <w:hideMark/>
          </w:tcPr>
          <w:p w:rsidR="00A17188" w:rsidRPr="008D0EBF" w:rsidRDefault="00A17188" w:rsidP="00A17188">
            <w:r w:rsidRPr="008D0EBF">
              <w:rPr>
                <w:b/>
                <w:bCs/>
              </w:rPr>
              <w:t>60 792 467</w:t>
            </w:r>
          </w:p>
        </w:tc>
        <w:tc>
          <w:tcPr>
            <w:tcW w:w="1369" w:type="dxa"/>
            <w:hideMark/>
          </w:tcPr>
          <w:p w:rsidR="00A17188" w:rsidRPr="008D0EBF" w:rsidRDefault="00A17188" w:rsidP="00A17188">
            <w:r w:rsidRPr="008D0EBF">
              <w:rPr>
                <w:b/>
                <w:bCs/>
              </w:rPr>
              <w:t>107,6%</w:t>
            </w:r>
          </w:p>
        </w:tc>
      </w:tr>
    </w:tbl>
    <w:p w:rsidR="00A17188" w:rsidRPr="00C20389" w:rsidRDefault="00A17188" w:rsidP="00A17188">
      <w:pPr>
        <w:rPr>
          <w:sz w:val="24"/>
          <w:szCs w:val="24"/>
        </w:rPr>
      </w:pPr>
    </w:p>
    <w:p w:rsidR="00A17188" w:rsidRPr="00C20389" w:rsidRDefault="00A17188" w:rsidP="00A17188">
      <w:pPr>
        <w:rPr>
          <w:sz w:val="24"/>
          <w:szCs w:val="24"/>
        </w:rPr>
      </w:pPr>
      <w:r w:rsidRPr="00C20389">
        <w:rPr>
          <w:sz w:val="24"/>
          <w:szCs w:val="24"/>
        </w:rPr>
        <w:t>Důsledkem je zvyšující se podíl osobních nákladů na celkových nákladech zdravotnických zařízení.</w:t>
      </w:r>
    </w:p>
    <w:p w:rsidR="00E519D7" w:rsidRPr="008D0EBF" w:rsidRDefault="00E519D7" w:rsidP="00A17188"/>
    <w:p w:rsidR="00A17188" w:rsidRPr="008D0EBF" w:rsidRDefault="00A17188" w:rsidP="00A17188">
      <w:pPr>
        <w:pStyle w:val="Nadpis2"/>
        <w:numPr>
          <w:ilvl w:val="1"/>
          <w:numId w:val="20"/>
        </w:numPr>
        <w:rPr>
          <w:rFonts w:asciiTheme="minorHAnsi" w:hAnsiTheme="minorHAnsi" w:cs="Arial"/>
          <w:color w:val="auto"/>
        </w:rPr>
      </w:pPr>
      <w:bookmarkStart w:id="13" w:name="_Toc367188614"/>
      <w:bookmarkStart w:id="14" w:name="_Toc373223686"/>
      <w:r w:rsidRPr="008D0EBF">
        <w:rPr>
          <w:rFonts w:asciiTheme="minorHAnsi" w:hAnsiTheme="minorHAnsi" w:cs="Arial"/>
          <w:color w:val="auto"/>
        </w:rPr>
        <w:t>Provozní náklady – závazky</w:t>
      </w:r>
      <w:bookmarkEnd w:id="13"/>
      <w:bookmarkEnd w:id="14"/>
    </w:p>
    <w:p w:rsidR="00A17188" w:rsidRPr="008D0EBF" w:rsidRDefault="00A17188" w:rsidP="00A17188"/>
    <w:p w:rsidR="00A17188" w:rsidRPr="00C20389" w:rsidRDefault="00A17188" w:rsidP="00A17188">
      <w:pPr>
        <w:jc w:val="both"/>
        <w:rPr>
          <w:sz w:val="24"/>
          <w:szCs w:val="24"/>
        </w:rPr>
      </w:pPr>
      <w:r w:rsidRPr="00C20389">
        <w:rPr>
          <w:sz w:val="24"/>
          <w:szCs w:val="24"/>
        </w:rPr>
        <w:t>Souhrou více faktorů bude zřejmě ke konci roku docházet k situacím, kdy zdravotnická zařízení nebudou mít dostatek finančních prostředků na pokrytí svých závazků. Bez systémového řešení nelze ani tvrdit, že se jedná výhradně o problém roku 2013, který pomine změnou úhradové vyhlášky.</w:t>
      </w:r>
    </w:p>
    <w:p w:rsidR="00A17188" w:rsidRPr="00C20389" w:rsidRDefault="00A17188" w:rsidP="00A17188">
      <w:pPr>
        <w:jc w:val="both"/>
        <w:rPr>
          <w:sz w:val="24"/>
          <w:szCs w:val="24"/>
        </w:rPr>
      </w:pPr>
      <w:r w:rsidRPr="00C20389">
        <w:rPr>
          <w:sz w:val="24"/>
          <w:szCs w:val="24"/>
        </w:rPr>
        <w:t>Významným faktorem, který do konce tohoto roku negativně ovlivní ekonomickou situaci je nabytí účinnosti zákona č. 179/2013 Sb., kterým je novelizován Obchodní zákoník s účinností od 1. 7. 2013, který nově nastavuje mezní lhůty splatnosti závazků přímo řízených organizací na 60 dní. Do platnosti novely se nedostatek hotovostních prostředků vyrovnával prodlužováním splatností závazků, nyní to již kvůli stanoveným lhůtám splatnosti není možné, zejména kvůli případným sankcím z prodlení. Fakticky tak došlo místo zřejmě zamýšlené ochrany dodavatelů ke ztížení celkové situace, protože organizace v nastavených lhůtách nebudou schopny dostát svým závazkům. Ve většině případů ručí za závazky zdravotnických zařízení jejich zřizovatel. Pro dodavatele se tak situace příliš nemění, pouze bude docházet k umělému navýšení dlužných a nakonec vymožených částek. U zdravotnických zařízení, která mají právní formu obchodní společnosti, jedná se především o krajská zařízení, se výrazně zvyšuje riziko jejich převzetí soukromými podnikatelskými subjekty.</w:t>
      </w:r>
    </w:p>
    <w:p w:rsidR="00A17188" w:rsidRPr="008D0EBF" w:rsidRDefault="00A17188" w:rsidP="00A17188">
      <w:pPr>
        <w:jc w:val="both"/>
      </w:pPr>
      <w:r w:rsidRPr="008D0EBF">
        <w:t xml:space="preserve"> </w:t>
      </w:r>
    </w:p>
    <w:tbl>
      <w:tblPr>
        <w:tblStyle w:val="Svtlstnovn"/>
        <w:tblW w:w="9114" w:type="dxa"/>
        <w:jc w:val="center"/>
        <w:tblLook w:val="0420" w:firstRow="1" w:lastRow="0" w:firstColumn="0" w:lastColumn="0" w:noHBand="0" w:noVBand="1"/>
      </w:tblPr>
      <w:tblGrid>
        <w:gridCol w:w="3488"/>
        <w:gridCol w:w="1259"/>
        <w:gridCol w:w="1134"/>
        <w:gridCol w:w="1807"/>
        <w:gridCol w:w="1426"/>
      </w:tblGrid>
      <w:tr w:rsidR="00A17188" w:rsidRPr="008D0EBF" w:rsidTr="00B34D09">
        <w:trPr>
          <w:cnfStyle w:val="100000000000" w:firstRow="1" w:lastRow="0" w:firstColumn="0" w:lastColumn="0" w:oddVBand="0" w:evenVBand="0" w:oddHBand="0" w:evenHBand="0" w:firstRowFirstColumn="0" w:firstRowLastColumn="0" w:lastRowFirstColumn="0" w:lastRowLastColumn="0"/>
          <w:trHeight w:val="571"/>
          <w:jc w:val="center"/>
        </w:trPr>
        <w:tc>
          <w:tcPr>
            <w:tcW w:w="3488" w:type="dxa"/>
            <w:hideMark/>
          </w:tcPr>
          <w:p w:rsidR="00A17188" w:rsidRPr="008D0EBF" w:rsidRDefault="00A17188" w:rsidP="00A17188">
            <w:pPr>
              <w:jc w:val="both"/>
            </w:pPr>
          </w:p>
        </w:tc>
        <w:tc>
          <w:tcPr>
            <w:tcW w:w="4200" w:type="dxa"/>
            <w:gridSpan w:val="3"/>
            <w:hideMark/>
          </w:tcPr>
          <w:p w:rsidR="00A17188" w:rsidRPr="008D0EBF" w:rsidRDefault="00A17188" w:rsidP="00A17188">
            <w:pPr>
              <w:jc w:val="both"/>
            </w:pPr>
            <w:r w:rsidRPr="008D0EBF">
              <w:rPr>
                <w:b w:val="0"/>
                <w:bCs w:val="0"/>
              </w:rPr>
              <w:t>Závazky po lhůtě splatnosti celkem (v tis. Kč)</w:t>
            </w:r>
          </w:p>
        </w:tc>
        <w:tc>
          <w:tcPr>
            <w:tcW w:w="1426" w:type="dxa"/>
            <w:hideMark/>
          </w:tcPr>
          <w:p w:rsidR="00A17188" w:rsidRPr="008D0EBF" w:rsidRDefault="00A17188" w:rsidP="00A17188">
            <w:pPr>
              <w:jc w:val="both"/>
            </w:pP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520"/>
          <w:jc w:val="center"/>
        </w:trPr>
        <w:tc>
          <w:tcPr>
            <w:tcW w:w="3488" w:type="dxa"/>
            <w:hideMark/>
          </w:tcPr>
          <w:p w:rsidR="00A17188" w:rsidRPr="008D0EBF" w:rsidRDefault="00A17188" w:rsidP="00A17188">
            <w:pPr>
              <w:jc w:val="both"/>
            </w:pPr>
            <w:r w:rsidRPr="008D0EBF">
              <w:rPr>
                <w:b/>
                <w:bCs/>
              </w:rPr>
              <w:t>Nemocnice</w:t>
            </w:r>
          </w:p>
        </w:tc>
        <w:tc>
          <w:tcPr>
            <w:tcW w:w="1259" w:type="dxa"/>
            <w:hideMark/>
          </w:tcPr>
          <w:p w:rsidR="00A17188" w:rsidRPr="008D0EBF" w:rsidRDefault="00A17188" w:rsidP="00A17188">
            <w:pPr>
              <w:jc w:val="both"/>
            </w:pPr>
            <w:r w:rsidRPr="008D0EBF">
              <w:rPr>
                <w:b/>
                <w:bCs/>
              </w:rPr>
              <w:t xml:space="preserve">r.2010 </w:t>
            </w:r>
          </w:p>
        </w:tc>
        <w:tc>
          <w:tcPr>
            <w:tcW w:w="1134" w:type="dxa"/>
            <w:hideMark/>
          </w:tcPr>
          <w:p w:rsidR="00A17188" w:rsidRPr="008D0EBF" w:rsidRDefault="00A17188" w:rsidP="00A17188">
            <w:pPr>
              <w:jc w:val="both"/>
            </w:pPr>
            <w:r w:rsidRPr="008D0EBF">
              <w:rPr>
                <w:b/>
                <w:bCs/>
              </w:rPr>
              <w:t>r.2011</w:t>
            </w:r>
          </w:p>
        </w:tc>
        <w:tc>
          <w:tcPr>
            <w:tcW w:w="1807" w:type="dxa"/>
            <w:hideMark/>
          </w:tcPr>
          <w:p w:rsidR="00A17188" w:rsidRPr="008D0EBF" w:rsidRDefault="00A17188" w:rsidP="00A17188">
            <w:pPr>
              <w:jc w:val="both"/>
            </w:pPr>
            <w:r w:rsidRPr="008D0EBF">
              <w:rPr>
                <w:b/>
                <w:bCs/>
              </w:rPr>
              <w:t>r.2012</w:t>
            </w:r>
          </w:p>
        </w:tc>
        <w:tc>
          <w:tcPr>
            <w:tcW w:w="1426" w:type="dxa"/>
            <w:hideMark/>
          </w:tcPr>
          <w:p w:rsidR="00A17188" w:rsidRPr="008D0EBF" w:rsidRDefault="00A17188" w:rsidP="00A17188">
            <w:pPr>
              <w:jc w:val="both"/>
            </w:pPr>
            <w:r w:rsidRPr="008D0EBF">
              <w:rPr>
                <w:b/>
                <w:bCs/>
              </w:rPr>
              <w:t>index 2012/2010</w:t>
            </w:r>
          </w:p>
        </w:tc>
      </w:tr>
      <w:tr w:rsidR="00A17188" w:rsidRPr="008D0EBF" w:rsidTr="00B34D09">
        <w:trPr>
          <w:trHeight w:val="253"/>
          <w:jc w:val="center"/>
        </w:trPr>
        <w:tc>
          <w:tcPr>
            <w:tcW w:w="3488" w:type="dxa"/>
            <w:hideMark/>
          </w:tcPr>
          <w:p w:rsidR="00A17188" w:rsidRPr="008D0EBF" w:rsidRDefault="00A17188" w:rsidP="00A17188">
            <w:pPr>
              <w:jc w:val="both"/>
            </w:pPr>
            <w:r w:rsidRPr="008D0EBF">
              <w:rPr>
                <w:b/>
                <w:bCs/>
              </w:rPr>
              <w:t>MZ (19 )</w:t>
            </w:r>
          </w:p>
        </w:tc>
        <w:tc>
          <w:tcPr>
            <w:tcW w:w="1259" w:type="dxa"/>
            <w:hideMark/>
          </w:tcPr>
          <w:p w:rsidR="00A17188" w:rsidRPr="008D0EBF" w:rsidRDefault="00A17188" w:rsidP="00A17188">
            <w:pPr>
              <w:jc w:val="both"/>
            </w:pPr>
            <w:r w:rsidRPr="008D0EBF">
              <w:rPr>
                <w:b/>
                <w:bCs/>
              </w:rPr>
              <w:t>557 164</w:t>
            </w:r>
          </w:p>
        </w:tc>
        <w:tc>
          <w:tcPr>
            <w:tcW w:w="1134" w:type="dxa"/>
            <w:hideMark/>
          </w:tcPr>
          <w:p w:rsidR="00A17188" w:rsidRPr="008D0EBF" w:rsidRDefault="00A17188" w:rsidP="00A17188">
            <w:pPr>
              <w:jc w:val="both"/>
            </w:pPr>
            <w:r w:rsidRPr="008D0EBF">
              <w:rPr>
                <w:b/>
                <w:bCs/>
              </w:rPr>
              <w:t>795 806</w:t>
            </w:r>
          </w:p>
        </w:tc>
        <w:tc>
          <w:tcPr>
            <w:tcW w:w="1807" w:type="dxa"/>
            <w:hideMark/>
          </w:tcPr>
          <w:p w:rsidR="00A17188" w:rsidRPr="008D0EBF" w:rsidRDefault="00A17188" w:rsidP="00A17188">
            <w:pPr>
              <w:jc w:val="both"/>
            </w:pPr>
            <w:r w:rsidRPr="008D0EBF">
              <w:rPr>
                <w:b/>
                <w:bCs/>
              </w:rPr>
              <w:t>1 278 049</w:t>
            </w:r>
          </w:p>
        </w:tc>
        <w:tc>
          <w:tcPr>
            <w:tcW w:w="1426" w:type="dxa"/>
            <w:hideMark/>
          </w:tcPr>
          <w:p w:rsidR="00A17188" w:rsidRPr="008D0EBF" w:rsidRDefault="00A17188" w:rsidP="00A17188">
            <w:pPr>
              <w:jc w:val="both"/>
            </w:pPr>
            <w:r w:rsidRPr="008D0EBF">
              <w:rPr>
                <w:b/>
                <w:bCs/>
              </w:rPr>
              <w:t>229,4%</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275"/>
          <w:jc w:val="center"/>
        </w:trPr>
        <w:tc>
          <w:tcPr>
            <w:tcW w:w="3488" w:type="dxa"/>
            <w:hideMark/>
          </w:tcPr>
          <w:p w:rsidR="00A17188" w:rsidRPr="008D0EBF" w:rsidRDefault="00A17188" w:rsidP="00A17188">
            <w:pPr>
              <w:jc w:val="both"/>
            </w:pPr>
            <w:r w:rsidRPr="008D0EBF">
              <w:rPr>
                <w:b/>
                <w:bCs/>
              </w:rPr>
              <w:t>kraj - PO</w:t>
            </w:r>
          </w:p>
        </w:tc>
        <w:tc>
          <w:tcPr>
            <w:tcW w:w="1259" w:type="dxa"/>
            <w:hideMark/>
          </w:tcPr>
          <w:p w:rsidR="00A17188" w:rsidRPr="008D0EBF" w:rsidRDefault="00A17188" w:rsidP="00A17188">
            <w:pPr>
              <w:jc w:val="both"/>
            </w:pPr>
            <w:r w:rsidRPr="008D0EBF">
              <w:rPr>
                <w:b/>
                <w:bCs/>
              </w:rPr>
              <w:t>697 715</w:t>
            </w:r>
          </w:p>
        </w:tc>
        <w:tc>
          <w:tcPr>
            <w:tcW w:w="1134" w:type="dxa"/>
            <w:hideMark/>
          </w:tcPr>
          <w:p w:rsidR="00A17188" w:rsidRPr="008D0EBF" w:rsidRDefault="00A17188" w:rsidP="00A17188">
            <w:pPr>
              <w:jc w:val="both"/>
            </w:pPr>
            <w:r w:rsidRPr="008D0EBF">
              <w:rPr>
                <w:b/>
                <w:bCs/>
              </w:rPr>
              <w:t>692 364</w:t>
            </w:r>
          </w:p>
        </w:tc>
        <w:tc>
          <w:tcPr>
            <w:tcW w:w="1807" w:type="dxa"/>
            <w:hideMark/>
          </w:tcPr>
          <w:p w:rsidR="00A17188" w:rsidRPr="008D0EBF" w:rsidRDefault="00A17188" w:rsidP="00A17188">
            <w:pPr>
              <w:jc w:val="both"/>
            </w:pPr>
            <w:r w:rsidRPr="008D0EBF">
              <w:rPr>
                <w:b/>
                <w:bCs/>
              </w:rPr>
              <w:t>536 947</w:t>
            </w:r>
          </w:p>
        </w:tc>
        <w:tc>
          <w:tcPr>
            <w:tcW w:w="1426" w:type="dxa"/>
            <w:hideMark/>
          </w:tcPr>
          <w:p w:rsidR="00A17188" w:rsidRPr="008D0EBF" w:rsidRDefault="00A17188" w:rsidP="00A17188">
            <w:pPr>
              <w:jc w:val="both"/>
            </w:pPr>
            <w:r w:rsidRPr="008D0EBF">
              <w:rPr>
                <w:b/>
                <w:bCs/>
              </w:rPr>
              <w:t>77,0%</w:t>
            </w:r>
          </w:p>
        </w:tc>
      </w:tr>
      <w:tr w:rsidR="00A17188" w:rsidRPr="008D0EBF" w:rsidTr="00B34D09">
        <w:trPr>
          <w:trHeight w:val="296"/>
          <w:jc w:val="center"/>
        </w:trPr>
        <w:tc>
          <w:tcPr>
            <w:tcW w:w="3488" w:type="dxa"/>
            <w:hideMark/>
          </w:tcPr>
          <w:p w:rsidR="00A17188" w:rsidRPr="008D0EBF" w:rsidRDefault="00A17188" w:rsidP="00A17188">
            <w:pPr>
              <w:jc w:val="both"/>
            </w:pPr>
            <w:r w:rsidRPr="008D0EBF">
              <w:rPr>
                <w:b/>
                <w:bCs/>
              </w:rPr>
              <w:t>kraj - obchodní společnosti</w:t>
            </w:r>
          </w:p>
        </w:tc>
        <w:tc>
          <w:tcPr>
            <w:tcW w:w="1259" w:type="dxa"/>
            <w:hideMark/>
          </w:tcPr>
          <w:p w:rsidR="00A17188" w:rsidRPr="008D0EBF" w:rsidRDefault="00A17188" w:rsidP="00A17188">
            <w:pPr>
              <w:jc w:val="both"/>
            </w:pPr>
            <w:r w:rsidRPr="008D0EBF">
              <w:rPr>
                <w:b/>
                <w:bCs/>
              </w:rPr>
              <w:t>1 603 293</w:t>
            </w:r>
          </w:p>
        </w:tc>
        <w:tc>
          <w:tcPr>
            <w:tcW w:w="1134" w:type="dxa"/>
            <w:hideMark/>
          </w:tcPr>
          <w:p w:rsidR="00A17188" w:rsidRPr="008D0EBF" w:rsidRDefault="00A17188" w:rsidP="00A17188">
            <w:pPr>
              <w:jc w:val="both"/>
            </w:pPr>
            <w:r w:rsidRPr="008D0EBF">
              <w:rPr>
                <w:b/>
                <w:bCs/>
              </w:rPr>
              <w:t>1 328 373</w:t>
            </w:r>
          </w:p>
        </w:tc>
        <w:tc>
          <w:tcPr>
            <w:tcW w:w="1807" w:type="dxa"/>
            <w:hideMark/>
          </w:tcPr>
          <w:p w:rsidR="00A17188" w:rsidRPr="008D0EBF" w:rsidRDefault="00A17188" w:rsidP="00A17188">
            <w:pPr>
              <w:jc w:val="both"/>
            </w:pPr>
            <w:r w:rsidRPr="008D0EBF">
              <w:rPr>
                <w:b/>
                <w:bCs/>
              </w:rPr>
              <w:t>1 532 984</w:t>
            </w:r>
          </w:p>
        </w:tc>
        <w:tc>
          <w:tcPr>
            <w:tcW w:w="1426" w:type="dxa"/>
            <w:hideMark/>
          </w:tcPr>
          <w:p w:rsidR="00A17188" w:rsidRPr="008D0EBF" w:rsidRDefault="00A17188" w:rsidP="00A17188">
            <w:pPr>
              <w:jc w:val="both"/>
            </w:pPr>
            <w:r w:rsidRPr="008D0EBF">
              <w:rPr>
                <w:b/>
                <w:bCs/>
              </w:rPr>
              <w:t>95,6%</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180"/>
          <w:jc w:val="center"/>
        </w:trPr>
        <w:tc>
          <w:tcPr>
            <w:tcW w:w="3488" w:type="dxa"/>
            <w:hideMark/>
          </w:tcPr>
          <w:p w:rsidR="00A17188" w:rsidRPr="008D0EBF" w:rsidRDefault="00A17188" w:rsidP="00A17188">
            <w:pPr>
              <w:jc w:val="both"/>
            </w:pPr>
            <w:r w:rsidRPr="008D0EBF">
              <w:rPr>
                <w:b/>
                <w:bCs/>
              </w:rPr>
              <w:t>kraj celkem</w:t>
            </w:r>
          </w:p>
        </w:tc>
        <w:tc>
          <w:tcPr>
            <w:tcW w:w="1259" w:type="dxa"/>
            <w:hideMark/>
          </w:tcPr>
          <w:p w:rsidR="00A17188" w:rsidRPr="008D0EBF" w:rsidRDefault="00A17188" w:rsidP="00A17188">
            <w:pPr>
              <w:jc w:val="both"/>
            </w:pPr>
            <w:r w:rsidRPr="008D0EBF">
              <w:rPr>
                <w:b/>
                <w:bCs/>
              </w:rPr>
              <w:t>2 301 008</w:t>
            </w:r>
          </w:p>
        </w:tc>
        <w:tc>
          <w:tcPr>
            <w:tcW w:w="1134" w:type="dxa"/>
            <w:hideMark/>
          </w:tcPr>
          <w:p w:rsidR="00A17188" w:rsidRPr="008D0EBF" w:rsidRDefault="00A17188" w:rsidP="00A17188">
            <w:pPr>
              <w:jc w:val="both"/>
            </w:pPr>
            <w:r w:rsidRPr="008D0EBF">
              <w:rPr>
                <w:b/>
                <w:bCs/>
              </w:rPr>
              <w:t>2 020 737</w:t>
            </w:r>
          </w:p>
        </w:tc>
        <w:tc>
          <w:tcPr>
            <w:tcW w:w="1807" w:type="dxa"/>
            <w:hideMark/>
          </w:tcPr>
          <w:p w:rsidR="00A17188" w:rsidRPr="008D0EBF" w:rsidRDefault="00A17188" w:rsidP="00A17188">
            <w:pPr>
              <w:jc w:val="both"/>
            </w:pPr>
            <w:r w:rsidRPr="008D0EBF">
              <w:rPr>
                <w:b/>
                <w:bCs/>
              </w:rPr>
              <w:t>2 069 931</w:t>
            </w:r>
          </w:p>
        </w:tc>
        <w:tc>
          <w:tcPr>
            <w:tcW w:w="1426" w:type="dxa"/>
            <w:hideMark/>
          </w:tcPr>
          <w:p w:rsidR="00A17188" w:rsidRPr="008D0EBF" w:rsidRDefault="00A17188" w:rsidP="00A17188">
            <w:pPr>
              <w:jc w:val="both"/>
            </w:pPr>
            <w:r w:rsidRPr="008D0EBF">
              <w:rPr>
                <w:b/>
                <w:bCs/>
              </w:rPr>
              <w:t xml:space="preserve"> 90,0%</w:t>
            </w:r>
          </w:p>
        </w:tc>
      </w:tr>
      <w:tr w:rsidR="00A17188" w:rsidRPr="008D0EBF" w:rsidTr="00B34D09">
        <w:trPr>
          <w:trHeight w:val="201"/>
          <w:jc w:val="center"/>
        </w:trPr>
        <w:tc>
          <w:tcPr>
            <w:tcW w:w="3488" w:type="dxa"/>
            <w:hideMark/>
          </w:tcPr>
          <w:p w:rsidR="00A17188" w:rsidRPr="008D0EBF" w:rsidRDefault="00A17188" w:rsidP="00A17188">
            <w:pPr>
              <w:jc w:val="both"/>
            </w:pPr>
            <w:r w:rsidRPr="008D0EBF">
              <w:rPr>
                <w:b/>
                <w:bCs/>
              </w:rPr>
              <w:t>město</w:t>
            </w:r>
          </w:p>
        </w:tc>
        <w:tc>
          <w:tcPr>
            <w:tcW w:w="1259" w:type="dxa"/>
            <w:hideMark/>
          </w:tcPr>
          <w:p w:rsidR="00A17188" w:rsidRPr="008D0EBF" w:rsidRDefault="00A17188" w:rsidP="00A17188">
            <w:pPr>
              <w:jc w:val="both"/>
            </w:pPr>
            <w:r w:rsidRPr="008D0EBF">
              <w:rPr>
                <w:b/>
                <w:bCs/>
              </w:rPr>
              <w:t>97 648</w:t>
            </w:r>
          </w:p>
        </w:tc>
        <w:tc>
          <w:tcPr>
            <w:tcW w:w="1134" w:type="dxa"/>
            <w:hideMark/>
          </w:tcPr>
          <w:p w:rsidR="00A17188" w:rsidRPr="008D0EBF" w:rsidRDefault="00A17188" w:rsidP="00A17188">
            <w:pPr>
              <w:jc w:val="both"/>
            </w:pPr>
            <w:r w:rsidRPr="008D0EBF">
              <w:rPr>
                <w:b/>
                <w:bCs/>
              </w:rPr>
              <w:t>81 091</w:t>
            </w:r>
          </w:p>
        </w:tc>
        <w:tc>
          <w:tcPr>
            <w:tcW w:w="1807" w:type="dxa"/>
            <w:hideMark/>
          </w:tcPr>
          <w:p w:rsidR="00A17188" w:rsidRPr="008D0EBF" w:rsidRDefault="00A17188" w:rsidP="00A17188">
            <w:pPr>
              <w:jc w:val="both"/>
            </w:pPr>
            <w:r w:rsidRPr="008D0EBF">
              <w:rPr>
                <w:b/>
                <w:bCs/>
              </w:rPr>
              <w:t>109 456</w:t>
            </w:r>
          </w:p>
        </w:tc>
        <w:tc>
          <w:tcPr>
            <w:tcW w:w="1426" w:type="dxa"/>
            <w:hideMark/>
          </w:tcPr>
          <w:p w:rsidR="00A17188" w:rsidRPr="008D0EBF" w:rsidRDefault="00A17188" w:rsidP="00A17188">
            <w:pPr>
              <w:jc w:val="both"/>
            </w:pPr>
            <w:r w:rsidRPr="008D0EBF">
              <w:rPr>
                <w:b/>
                <w:bCs/>
              </w:rPr>
              <w:t>112,1%</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84"/>
          <w:jc w:val="center"/>
        </w:trPr>
        <w:tc>
          <w:tcPr>
            <w:tcW w:w="3488" w:type="dxa"/>
            <w:hideMark/>
          </w:tcPr>
          <w:p w:rsidR="00A17188" w:rsidRPr="008D0EBF" w:rsidRDefault="00A17188" w:rsidP="00A17188">
            <w:pPr>
              <w:jc w:val="both"/>
            </w:pPr>
            <w:r w:rsidRPr="008D0EBF">
              <w:rPr>
                <w:b/>
                <w:bCs/>
              </w:rPr>
              <w:t>město - obchodní společnosti</w:t>
            </w:r>
          </w:p>
        </w:tc>
        <w:tc>
          <w:tcPr>
            <w:tcW w:w="1259" w:type="dxa"/>
            <w:hideMark/>
          </w:tcPr>
          <w:p w:rsidR="00A17188" w:rsidRPr="008D0EBF" w:rsidRDefault="00A17188" w:rsidP="00A17188">
            <w:pPr>
              <w:jc w:val="both"/>
            </w:pPr>
            <w:r w:rsidRPr="008D0EBF">
              <w:rPr>
                <w:b/>
                <w:bCs/>
              </w:rPr>
              <w:t>19 298</w:t>
            </w:r>
          </w:p>
        </w:tc>
        <w:tc>
          <w:tcPr>
            <w:tcW w:w="1134" w:type="dxa"/>
            <w:hideMark/>
          </w:tcPr>
          <w:p w:rsidR="00A17188" w:rsidRPr="008D0EBF" w:rsidRDefault="00A17188" w:rsidP="00A17188">
            <w:pPr>
              <w:jc w:val="both"/>
            </w:pPr>
            <w:r w:rsidRPr="008D0EBF">
              <w:rPr>
                <w:b/>
                <w:bCs/>
              </w:rPr>
              <w:t>30 214</w:t>
            </w:r>
          </w:p>
        </w:tc>
        <w:tc>
          <w:tcPr>
            <w:tcW w:w="1807" w:type="dxa"/>
            <w:hideMark/>
          </w:tcPr>
          <w:p w:rsidR="00A17188" w:rsidRPr="008D0EBF" w:rsidRDefault="00A17188" w:rsidP="00A17188">
            <w:pPr>
              <w:jc w:val="both"/>
            </w:pPr>
            <w:r w:rsidRPr="008D0EBF">
              <w:rPr>
                <w:b/>
                <w:bCs/>
              </w:rPr>
              <w:t>24 489</w:t>
            </w:r>
          </w:p>
        </w:tc>
        <w:tc>
          <w:tcPr>
            <w:tcW w:w="1426" w:type="dxa"/>
            <w:hideMark/>
          </w:tcPr>
          <w:p w:rsidR="00A17188" w:rsidRPr="008D0EBF" w:rsidRDefault="00A17188" w:rsidP="00A17188">
            <w:pPr>
              <w:jc w:val="both"/>
            </w:pPr>
            <w:r w:rsidRPr="008D0EBF">
              <w:rPr>
                <w:b/>
                <w:bCs/>
              </w:rPr>
              <w:t>126,9%</w:t>
            </w:r>
          </w:p>
        </w:tc>
      </w:tr>
      <w:tr w:rsidR="00A17188" w:rsidRPr="008D0EBF" w:rsidTr="00B34D09">
        <w:trPr>
          <w:trHeight w:val="243"/>
          <w:jc w:val="center"/>
        </w:trPr>
        <w:tc>
          <w:tcPr>
            <w:tcW w:w="3488" w:type="dxa"/>
            <w:hideMark/>
          </w:tcPr>
          <w:p w:rsidR="00A17188" w:rsidRPr="008D0EBF" w:rsidRDefault="00A17188" w:rsidP="00A17188">
            <w:pPr>
              <w:jc w:val="both"/>
            </w:pPr>
            <w:r w:rsidRPr="008D0EBF">
              <w:rPr>
                <w:b/>
                <w:bCs/>
              </w:rPr>
              <w:t>město celkem</w:t>
            </w:r>
          </w:p>
        </w:tc>
        <w:tc>
          <w:tcPr>
            <w:tcW w:w="1259" w:type="dxa"/>
            <w:hideMark/>
          </w:tcPr>
          <w:p w:rsidR="00A17188" w:rsidRPr="008D0EBF" w:rsidRDefault="00A17188" w:rsidP="00A17188">
            <w:pPr>
              <w:jc w:val="both"/>
            </w:pPr>
            <w:r w:rsidRPr="008D0EBF">
              <w:rPr>
                <w:b/>
                <w:bCs/>
              </w:rPr>
              <w:t>116 946</w:t>
            </w:r>
          </w:p>
        </w:tc>
        <w:tc>
          <w:tcPr>
            <w:tcW w:w="1134" w:type="dxa"/>
            <w:hideMark/>
          </w:tcPr>
          <w:p w:rsidR="00A17188" w:rsidRPr="008D0EBF" w:rsidRDefault="00A17188" w:rsidP="00A17188">
            <w:pPr>
              <w:jc w:val="both"/>
            </w:pPr>
            <w:r w:rsidRPr="008D0EBF">
              <w:rPr>
                <w:b/>
                <w:bCs/>
              </w:rPr>
              <w:t>111 305</w:t>
            </w:r>
          </w:p>
        </w:tc>
        <w:tc>
          <w:tcPr>
            <w:tcW w:w="1807" w:type="dxa"/>
            <w:hideMark/>
          </w:tcPr>
          <w:p w:rsidR="00A17188" w:rsidRPr="008D0EBF" w:rsidRDefault="00A17188" w:rsidP="00A17188">
            <w:pPr>
              <w:jc w:val="both"/>
            </w:pPr>
            <w:r w:rsidRPr="008D0EBF">
              <w:rPr>
                <w:b/>
                <w:bCs/>
              </w:rPr>
              <w:t>133 945</w:t>
            </w:r>
          </w:p>
        </w:tc>
        <w:tc>
          <w:tcPr>
            <w:tcW w:w="1426" w:type="dxa"/>
            <w:hideMark/>
          </w:tcPr>
          <w:p w:rsidR="00A17188" w:rsidRPr="008D0EBF" w:rsidRDefault="00A17188" w:rsidP="00A17188">
            <w:pPr>
              <w:jc w:val="both"/>
            </w:pPr>
            <w:r w:rsidRPr="008D0EBF">
              <w:rPr>
                <w:b/>
                <w:bCs/>
              </w:rPr>
              <w:t>114,5%</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140"/>
          <w:jc w:val="center"/>
        </w:trPr>
        <w:tc>
          <w:tcPr>
            <w:tcW w:w="3488" w:type="dxa"/>
            <w:hideMark/>
          </w:tcPr>
          <w:p w:rsidR="00A17188" w:rsidRPr="008D0EBF" w:rsidRDefault="00A17188" w:rsidP="00A17188">
            <w:pPr>
              <w:jc w:val="both"/>
            </w:pPr>
            <w:r w:rsidRPr="008D0EBF">
              <w:rPr>
                <w:b/>
                <w:bCs/>
              </w:rPr>
              <w:t>JPO, církev</w:t>
            </w:r>
          </w:p>
        </w:tc>
        <w:tc>
          <w:tcPr>
            <w:tcW w:w="1259" w:type="dxa"/>
            <w:hideMark/>
          </w:tcPr>
          <w:p w:rsidR="00A17188" w:rsidRPr="008D0EBF" w:rsidRDefault="00A17188" w:rsidP="00A17188">
            <w:pPr>
              <w:jc w:val="both"/>
            </w:pPr>
            <w:r w:rsidRPr="008D0EBF">
              <w:rPr>
                <w:b/>
                <w:bCs/>
              </w:rPr>
              <w:t>440 651</w:t>
            </w:r>
          </w:p>
        </w:tc>
        <w:tc>
          <w:tcPr>
            <w:tcW w:w="1134" w:type="dxa"/>
            <w:hideMark/>
          </w:tcPr>
          <w:p w:rsidR="00A17188" w:rsidRPr="008D0EBF" w:rsidRDefault="00A17188" w:rsidP="00A17188">
            <w:pPr>
              <w:jc w:val="both"/>
            </w:pPr>
            <w:r w:rsidRPr="008D0EBF">
              <w:rPr>
                <w:b/>
                <w:bCs/>
              </w:rPr>
              <w:t>721 348</w:t>
            </w:r>
          </w:p>
        </w:tc>
        <w:tc>
          <w:tcPr>
            <w:tcW w:w="1807" w:type="dxa"/>
            <w:hideMark/>
          </w:tcPr>
          <w:p w:rsidR="00A17188" w:rsidRPr="008D0EBF" w:rsidRDefault="00A17188" w:rsidP="00A17188">
            <w:pPr>
              <w:jc w:val="both"/>
            </w:pPr>
            <w:r w:rsidRPr="008D0EBF">
              <w:rPr>
                <w:b/>
                <w:bCs/>
              </w:rPr>
              <w:t>549 696</w:t>
            </w:r>
          </w:p>
        </w:tc>
        <w:tc>
          <w:tcPr>
            <w:tcW w:w="1426" w:type="dxa"/>
            <w:hideMark/>
          </w:tcPr>
          <w:p w:rsidR="00A17188" w:rsidRPr="008D0EBF" w:rsidRDefault="00A17188" w:rsidP="00A17188">
            <w:pPr>
              <w:jc w:val="both"/>
            </w:pPr>
            <w:r w:rsidRPr="008D0EBF">
              <w:rPr>
                <w:b/>
                <w:bCs/>
              </w:rPr>
              <w:t>124,7%</w:t>
            </w:r>
          </w:p>
        </w:tc>
      </w:tr>
      <w:tr w:rsidR="00A17188" w:rsidRPr="008D0EBF" w:rsidTr="00B34D09">
        <w:trPr>
          <w:trHeight w:val="161"/>
          <w:jc w:val="center"/>
        </w:trPr>
        <w:tc>
          <w:tcPr>
            <w:tcW w:w="3488" w:type="dxa"/>
            <w:hideMark/>
          </w:tcPr>
          <w:p w:rsidR="00A17188" w:rsidRPr="008D0EBF" w:rsidRDefault="00A17188" w:rsidP="00A17188">
            <w:pPr>
              <w:jc w:val="both"/>
            </w:pPr>
            <w:r w:rsidRPr="008D0EBF">
              <w:rPr>
                <w:b/>
                <w:bCs/>
              </w:rPr>
              <w:t>vojenské nemocnice 3</w:t>
            </w:r>
          </w:p>
        </w:tc>
        <w:tc>
          <w:tcPr>
            <w:tcW w:w="1259" w:type="dxa"/>
            <w:hideMark/>
          </w:tcPr>
          <w:p w:rsidR="00A17188" w:rsidRPr="008D0EBF" w:rsidRDefault="00A17188" w:rsidP="00A17188">
            <w:pPr>
              <w:jc w:val="both"/>
            </w:pPr>
            <w:r w:rsidRPr="008D0EBF">
              <w:rPr>
                <w:b/>
                <w:bCs/>
              </w:rPr>
              <w:t>62 104</w:t>
            </w:r>
          </w:p>
        </w:tc>
        <w:tc>
          <w:tcPr>
            <w:tcW w:w="1134" w:type="dxa"/>
            <w:hideMark/>
          </w:tcPr>
          <w:p w:rsidR="00A17188" w:rsidRPr="008D0EBF" w:rsidRDefault="00A17188" w:rsidP="00A17188">
            <w:pPr>
              <w:jc w:val="both"/>
            </w:pPr>
            <w:r w:rsidRPr="008D0EBF">
              <w:rPr>
                <w:b/>
                <w:bCs/>
              </w:rPr>
              <w:t>23 456</w:t>
            </w:r>
          </w:p>
        </w:tc>
        <w:tc>
          <w:tcPr>
            <w:tcW w:w="1807" w:type="dxa"/>
            <w:hideMark/>
          </w:tcPr>
          <w:p w:rsidR="00A17188" w:rsidRPr="008D0EBF" w:rsidRDefault="00A17188" w:rsidP="00A17188">
            <w:pPr>
              <w:jc w:val="both"/>
            </w:pPr>
            <w:r w:rsidRPr="008D0EBF">
              <w:rPr>
                <w:b/>
                <w:bCs/>
              </w:rPr>
              <w:t>11 257</w:t>
            </w:r>
          </w:p>
        </w:tc>
        <w:tc>
          <w:tcPr>
            <w:tcW w:w="1426" w:type="dxa"/>
            <w:hideMark/>
          </w:tcPr>
          <w:p w:rsidR="00A17188" w:rsidRPr="008D0EBF" w:rsidRDefault="00A17188" w:rsidP="00A17188">
            <w:pPr>
              <w:jc w:val="both"/>
            </w:pPr>
            <w:r w:rsidRPr="008D0EBF">
              <w:rPr>
                <w:b/>
                <w:bCs/>
              </w:rPr>
              <w:t>18,1%</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308"/>
          <w:jc w:val="center"/>
        </w:trPr>
        <w:tc>
          <w:tcPr>
            <w:tcW w:w="3488" w:type="dxa"/>
            <w:hideMark/>
          </w:tcPr>
          <w:p w:rsidR="00A17188" w:rsidRPr="008D0EBF" w:rsidRDefault="00A17188" w:rsidP="00A17188">
            <w:pPr>
              <w:jc w:val="both"/>
            </w:pPr>
            <w:r w:rsidRPr="008D0EBF">
              <w:rPr>
                <w:b/>
                <w:bCs/>
              </w:rPr>
              <w:t>celkem</w:t>
            </w:r>
          </w:p>
        </w:tc>
        <w:tc>
          <w:tcPr>
            <w:tcW w:w="1259" w:type="dxa"/>
            <w:hideMark/>
          </w:tcPr>
          <w:p w:rsidR="00A17188" w:rsidRPr="008D0EBF" w:rsidRDefault="00A17188" w:rsidP="00A17188">
            <w:pPr>
              <w:jc w:val="both"/>
            </w:pPr>
            <w:r w:rsidRPr="008D0EBF">
              <w:rPr>
                <w:b/>
                <w:bCs/>
              </w:rPr>
              <w:t>3 477 873</w:t>
            </w:r>
          </w:p>
        </w:tc>
        <w:tc>
          <w:tcPr>
            <w:tcW w:w="1134" w:type="dxa"/>
            <w:hideMark/>
          </w:tcPr>
          <w:p w:rsidR="00A17188" w:rsidRPr="008D0EBF" w:rsidRDefault="00A17188" w:rsidP="00A17188">
            <w:pPr>
              <w:jc w:val="both"/>
            </w:pPr>
            <w:r w:rsidRPr="008D0EBF">
              <w:rPr>
                <w:b/>
                <w:bCs/>
              </w:rPr>
              <w:t>3 672 652</w:t>
            </w:r>
          </w:p>
        </w:tc>
        <w:tc>
          <w:tcPr>
            <w:tcW w:w="1807" w:type="dxa"/>
            <w:hideMark/>
          </w:tcPr>
          <w:p w:rsidR="00A17188" w:rsidRPr="008D0EBF" w:rsidRDefault="00A17188" w:rsidP="00A17188">
            <w:pPr>
              <w:jc w:val="both"/>
            </w:pPr>
            <w:r w:rsidRPr="008D0EBF">
              <w:rPr>
                <w:b/>
                <w:bCs/>
              </w:rPr>
              <w:t>4 042 878</w:t>
            </w:r>
          </w:p>
        </w:tc>
        <w:tc>
          <w:tcPr>
            <w:tcW w:w="1426" w:type="dxa"/>
            <w:hideMark/>
          </w:tcPr>
          <w:p w:rsidR="00A17188" w:rsidRPr="008D0EBF" w:rsidRDefault="00A17188" w:rsidP="00A17188">
            <w:pPr>
              <w:jc w:val="both"/>
            </w:pPr>
            <w:r w:rsidRPr="008D0EBF">
              <w:rPr>
                <w:b/>
                <w:bCs/>
              </w:rPr>
              <w:t>116,2%</w:t>
            </w:r>
          </w:p>
        </w:tc>
      </w:tr>
    </w:tbl>
    <w:p w:rsidR="00A17188" w:rsidRPr="008D0EBF" w:rsidRDefault="00A17188" w:rsidP="00A17188">
      <w:pPr>
        <w:jc w:val="both"/>
      </w:pPr>
    </w:p>
    <w:p w:rsidR="00A17188" w:rsidRPr="00C20389" w:rsidRDefault="00A17188" w:rsidP="00A17188">
      <w:pPr>
        <w:jc w:val="both"/>
        <w:rPr>
          <w:sz w:val="24"/>
          <w:szCs w:val="24"/>
        </w:rPr>
      </w:pPr>
      <w:r w:rsidRPr="00C20389">
        <w:rPr>
          <w:sz w:val="24"/>
          <w:szCs w:val="24"/>
        </w:rPr>
        <w:t>Situace u státních nemocnic je výrazně horší oproti ostatním také díky neposkytování provozních příspěvků zřizovatelem.</w:t>
      </w:r>
    </w:p>
    <w:p w:rsidR="00A17188" w:rsidRPr="00C20389" w:rsidRDefault="00A17188" w:rsidP="00A17188">
      <w:pPr>
        <w:jc w:val="both"/>
        <w:rPr>
          <w:sz w:val="24"/>
          <w:szCs w:val="24"/>
        </w:rPr>
      </w:pPr>
      <w:r w:rsidRPr="00C20389">
        <w:rPr>
          <w:sz w:val="24"/>
          <w:szCs w:val="24"/>
        </w:rPr>
        <w:t>Alarmující je v souvislosti s novelou obchodního zákoníku situace k 30.6.2013, kdy naznačený trend bude nadále pokračovat, takto vzniklý penalizační prostor celou situaci jen zhoršuje. Hodnoty ke konci roku 2013 byly stanoveny na základě předpokládaného vývoje a kvalifikovaného odhadu.</w:t>
      </w:r>
    </w:p>
    <w:tbl>
      <w:tblPr>
        <w:tblStyle w:val="Svtlstnovn"/>
        <w:tblW w:w="8092" w:type="dxa"/>
        <w:jc w:val="center"/>
        <w:tblLook w:val="0420" w:firstRow="1" w:lastRow="0" w:firstColumn="0" w:lastColumn="0" w:noHBand="0" w:noVBand="1"/>
      </w:tblPr>
      <w:tblGrid>
        <w:gridCol w:w="3122"/>
        <w:gridCol w:w="1205"/>
        <w:gridCol w:w="1909"/>
        <w:gridCol w:w="1856"/>
      </w:tblGrid>
      <w:tr w:rsidR="00A17188" w:rsidRPr="008D0EBF" w:rsidTr="00B34D09">
        <w:trPr>
          <w:cnfStyle w:val="100000000000" w:firstRow="1" w:lastRow="0" w:firstColumn="0" w:lastColumn="0" w:oddVBand="0" w:evenVBand="0" w:oddHBand="0" w:evenHBand="0" w:firstRowFirstColumn="0" w:firstRowLastColumn="0" w:lastRowFirstColumn="0" w:lastRowLastColumn="0"/>
          <w:trHeight w:val="143"/>
          <w:jc w:val="center"/>
        </w:trPr>
        <w:tc>
          <w:tcPr>
            <w:tcW w:w="3122" w:type="dxa"/>
            <w:hideMark/>
          </w:tcPr>
          <w:p w:rsidR="00A17188" w:rsidRPr="008D0EBF" w:rsidRDefault="00A17188" w:rsidP="00A17188">
            <w:pPr>
              <w:jc w:val="both"/>
            </w:pPr>
          </w:p>
        </w:tc>
        <w:tc>
          <w:tcPr>
            <w:tcW w:w="3114" w:type="dxa"/>
            <w:gridSpan w:val="2"/>
            <w:hideMark/>
          </w:tcPr>
          <w:p w:rsidR="00A17188" w:rsidRPr="008D0EBF" w:rsidRDefault="00A17188" w:rsidP="00A17188">
            <w:pPr>
              <w:jc w:val="both"/>
            </w:pPr>
            <w:r w:rsidRPr="008D0EBF">
              <w:t>Závazky po splatnosti</w:t>
            </w:r>
            <w:r>
              <w:t xml:space="preserve"> (v tis. Kč)</w:t>
            </w:r>
          </w:p>
        </w:tc>
        <w:tc>
          <w:tcPr>
            <w:tcW w:w="1856" w:type="dxa"/>
            <w:hideMark/>
          </w:tcPr>
          <w:p w:rsidR="00A17188" w:rsidRPr="008D0EBF" w:rsidRDefault="00A17188" w:rsidP="00A17188">
            <w:pPr>
              <w:jc w:val="both"/>
            </w:pP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143"/>
          <w:jc w:val="center"/>
        </w:trPr>
        <w:tc>
          <w:tcPr>
            <w:tcW w:w="3122" w:type="dxa"/>
            <w:hideMark/>
          </w:tcPr>
          <w:p w:rsidR="00A17188" w:rsidRPr="008D0EBF" w:rsidRDefault="00A17188" w:rsidP="00A17188">
            <w:pPr>
              <w:jc w:val="both"/>
            </w:pPr>
          </w:p>
        </w:tc>
        <w:tc>
          <w:tcPr>
            <w:tcW w:w="1205" w:type="dxa"/>
            <w:hideMark/>
          </w:tcPr>
          <w:p w:rsidR="00A17188" w:rsidRPr="008D0EBF" w:rsidRDefault="00A17188" w:rsidP="00A17188">
            <w:pPr>
              <w:jc w:val="both"/>
            </w:pPr>
            <w:r w:rsidRPr="008D0EBF">
              <w:rPr>
                <w:b/>
                <w:bCs/>
              </w:rPr>
              <w:t>30.6.2013</w:t>
            </w:r>
          </w:p>
        </w:tc>
        <w:tc>
          <w:tcPr>
            <w:tcW w:w="1909" w:type="dxa"/>
            <w:hideMark/>
          </w:tcPr>
          <w:p w:rsidR="00A17188" w:rsidRPr="008D0EBF" w:rsidRDefault="00A17188" w:rsidP="00A17188">
            <w:pPr>
              <w:jc w:val="both"/>
            </w:pPr>
            <w:r w:rsidRPr="008D0EBF">
              <w:rPr>
                <w:b/>
                <w:bCs/>
              </w:rPr>
              <w:t>31.12.2012</w:t>
            </w:r>
          </w:p>
        </w:tc>
        <w:tc>
          <w:tcPr>
            <w:tcW w:w="1856" w:type="dxa"/>
            <w:hideMark/>
          </w:tcPr>
          <w:p w:rsidR="00A17188" w:rsidRPr="008D0EBF" w:rsidRDefault="00A17188" w:rsidP="00A17188">
            <w:pPr>
              <w:jc w:val="both"/>
            </w:pPr>
            <w:r w:rsidRPr="008D0EBF">
              <w:rPr>
                <w:b/>
                <w:bCs/>
              </w:rPr>
              <w:t>index 2013/ 2012</w:t>
            </w:r>
          </w:p>
        </w:tc>
      </w:tr>
      <w:tr w:rsidR="00A17188" w:rsidRPr="008D0EBF" w:rsidTr="00B34D09">
        <w:trPr>
          <w:trHeight w:val="93"/>
          <w:jc w:val="center"/>
        </w:trPr>
        <w:tc>
          <w:tcPr>
            <w:tcW w:w="3122" w:type="dxa"/>
            <w:hideMark/>
          </w:tcPr>
          <w:p w:rsidR="00A17188" w:rsidRPr="008D0EBF" w:rsidRDefault="00A17188" w:rsidP="00A17188">
            <w:pPr>
              <w:jc w:val="both"/>
            </w:pPr>
            <w:r w:rsidRPr="008D0EBF">
              <w:rPr>
                <w:b/>
                <w:bCs/>
              </w:rPr>
              <w:t>Zřizovatel</w:t>
            </w:r>
          </w:p>
        </w:tc>
        <w:tc>
          <w:tcPr>
            <w:tcW w:w="1205" w:type="dxa"/>
            <w:hideMark/>
          </w:tcPr>
          <w:p w:rsidR="00A17188" w:rsidRPr="008D0EBF" w:rsidRDefault="00A17188" w:rsidP="00A17188">
            <w:pPr>
              <w:jc w:val="both"/>
            </w:pPr>
          </w:p>
        </w:tc>
        <w:tc>
          <w:tcPr>
            <w:tcW w:w="1909" w:type="dxa"/>
            <w:hideMark/>
          </w:tcPr>
          <w:p w:rsidR="00A17188" w:rsidRPr="008D0EBF" w:rsidRDefault="00A17188" w:rsidP="00A17188">
            <w:pPr>
              <w:jc w:val="both"/>
            </w:pPr>
          </w:p>
        </w:tc>
        <w:tc>
          <w:tcPr>
            <w:tcW w:w="1856" w:type="dxa"/>
            <w:hideMark/>
          </w:tcPr>
          <w:p w:rsidR="00A17188" w:rsidRPr="008D0EBF" w:rsidRDefault="00A17188" w:rsidP="00A17188">
            <w:pPr>
              <w:jc w:val="both"/>
            </w:pP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57"/>
          <w:jc w:val="center"/>
        </w:trPr>
        <w:tc>
          <w:tcPr>
            <w:tcW w:w="3122" w:type="dxa"/>
            <w:hideMark/>
          </w:tcPr>
          <w:p w:rsidR="00A17188" w:rsidRPr="008D0EBF" w:rsidRDefault="00A17188" w:rsidP="00A17188">
            <w:pPr>
              <w:jc w:val="both"/>
            </w:pPr>
            <w:r w:rsidRPr="008D0EBF">
              <w:rPr>
                <w:b/>
                <w:bCs/>
              </w:rPr>
              <w:t>MZ (19 )</w:t>
            </w:r>
          </w:p>
        </w:tc>
        <w:tc>
          <w:tcPr>
            <w:tcW w:w="1205" w:type="dxa"/>
            <w:hideMark/>
          </w:tcPr>
          <w:p w:rsidR="00A17188" w:rsidRPr="008D0EBF" w:rsidRDefault="00A17188" w:rsidP="00A17188">
            <w:pPr>
              <w:jc w:val="both"/>
            </w:pPr>
            <w:r w:rsidRPr="008D0EBF">
              <w:rPr>
                <w:b/>
                <w:bCs/>
              </w:rPr>
              <w:t>2 109 881</w:t>
            </w:r>
          </w:p>
        </w:tc>
        <w:tc>
          <w:tcPr>
            <w:tcW w:w="1909" w:type="dxa"/>
            <w:hideMark/>
          </w:tcPr>
          <w:p w:rsidR="00A17188" w:rsidRPr="008D0EBF" w:rsidRDefault="00A17188" w:rsidP="00A17188">
            <w:pPr>
              <w:jc w:val="both"/>
            </w:pPr>
            <w:r w:rsidRPr="008D0EBF">
              <w:rPr>
                <w:b/>
                <w:bCs/>
              </w:rPr>
              <w:t>1 278 049</w:t>
            </w:r>
          </w:p>
        </w:tc>
        <w:tc>
          <w:tcPr>
            <w:tcW w:w="1856" w:type="dxa"/>
            <w:hideMark/>
          </w:tcPr>
          <w:p w:rsidR="00A17188" w:rsidRPr="008D0EBF" w:rsidRDefault="00A17188" w:rsidP="00A17188">
            <w:pPr>
              <w:jc w:val="both"/>
            </w:pPr>
            <w:r w:rsidRPr="008D0EBF">
              <w:rPr>
                <w:b/>
                <w:bCs/>
              </w:rPr>
              <w:t>165,1%</w:t>
            </w:r>
          </w:p>
        </w:tc>
      </w:tr>
      <w:tr w:rsidR="00A17188" w:rsidRPr="008D0EBF" w:rsidTr="00B34D09">
        <w:trPr>
          <w:trHeight w:val="59"/>
          <w:jc w:val="center"/>
        </w:trPr>
        <w:tc>
          <w:tcPr>
            <w:tcW w:w="3122" w:type="dxa"/>
            <w:hideMark/>
          </w:tcPr>
          <w:p w:rsidR="00A17188" w:rsidRPr="008D0EBF" w:rsidRDefault="00A17188" w:rsidP="00A17188">
            <w:pPr>
              <w:jc w:val="both"/>
            </w:pPr>
            <w:r w:rsidRPr="008D0EBF">
              <w:rPr>
                <w:b/>
                <w:bCs/>
              </w:rPr>
              <w:t>kraj - PO</w:t>
            </w:r>
          </w:p>
        </w:tc>
        <w:tc>
          <w:tcPr>
            <w:tcW w:w="1205" w:type="dxa"/>
            <w:hideMark/>
          </w:tcPr>
          <w:p w:rsidR="00A17188" w:rsidRPr="008D0EBF" w:rsidRDefault="00A17188" w:rsidP="00A17188">
            <w:pPr>
              <w:jc w:val="both"/>
            </w:pPr>
            <w:r w:rsidRPr="008D0EBF">
              <w:rPr>
                <w:b/>
                <w:bCs/>
              </w:rPr>
              <w:t>614 531</w:t>
            </w:r>
          </w:p>
        </w:tc>
        <w:tc>
          <w:tcPr>
            <w:tcW w:w="1909" w:type="dxa"/>
            <w:hideMark/>
          </w:tcPr>
          <w:p w:rsidR="00A17188" w:rsidRPr="008D0EBF" w:rsidRDefault="00A17188" w:rsidP="00A17188">
            <w:pPr>
              <w:jc w:val="both"/>
            </w:pPr>
            <w:r w:rsidRPr="008D0EBF">
              <w:rPr>
                <w:b/>
                <w:bCs/>
              </w:rPr>
              <w:t>536 947</w:t>
            </w:r>
          </w:p>
        </w:tc>
        <w:tc>
          <w:tcPr>
            <w:tcW w:w="1856" w:type="dxa"/>
            <w:hideMark/>
          </w:tcPr>
          <w:p w:rsidR="00A17188" w:rsidRPr="008D0EBF" w:rsidRDefault="00A17188" w:rsidP="00A17188">
            <w:pPr>
              <w:jc w:val="both"/>
            </w:pPr>
            <w:r w:rsidRPr="008D0EBF">
              <w:rPr>
                <w:b/>
                <w:bCs/>
              </w:rPr>
              <w:t>114,4%</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134"/>
          <w:jc w:val="center"/>
        </w:trPr>
        <w:tc>
          <w:tcPr>
            <w:tcW w:w="3122" w:type="dxa"/>
            <w:hideMark/>
          </w:tcPr>
          <w:p w:rsidR="00A17188" w:rsidRPr="008D0EBF" w:rsidRDefault="00A17188" w:rsidP="00A17188">
            <w:pPr>
              <w:jc w:val="both"/>
            </w:pPr>
            <w:r w:rsidRPr="008D0EBF">
              <w:rPr>
                <w:b/>
                <w:bCs/>
              </w:rPr>
              <w:t>kraj - obchodní společnosti</w:t>
            </w:r>
          </w:p>
        </w:tc>
        <w:tc>
          <w:tcPr>
            <w:tcW w:w="1205" w:type="dxa"/>
            <w:hideMark/>
          </w:tcPr>
          <w:p w:rsidR="00A17188" w:rsidRPr="008D0EBF" w:rsidRDefault="00A17188" w:rsidP="00A17188">
            <w:pPr>
              <w:jc w:val="both"/>
            </w:pPr>
            <w:r w:rsidRPr="008D0EBF">
              <w:rPr>
                <w:b/>
                <w:bCs/>
              </w:rPr>
              <w:t>1 785 806</w:t>
            </w:r>
          </w:p>
        </w:tc>
        <w:tc>
          <w:tcPr>
            <w:tcW w:w="1909" w:type="dxa"/>
            <w:hideMark/>
          </w:tcPr>
          <w:p w:rsidR="00A17188" w:rsidRPr="008D0EBF" w:rsidRDefault="00A17188" w:rsidP="00A17188">
            <w:pPr>
              <w:jc w:val="both"/>
            </w:pPr>
            <w:r w:rsidRPr="008D0EBF">
              <w:rPr>
                <w:b/>
                <w:bCs/>
              </w:rPr>
              <w:t>1 532 984</w:t>
            </w:r>
          </w:p>
        </w:tc>
        <w:tc>
          <w:tcPr>
            <w:tcW w:w="1856" w:type="dxa"/>
            <w:hideMark/>
          </w:tcPr>
          <w:p w:rsidR="00A17188" w:rsidRPr="008D0EBF" w:rsidRDefault="00A17188" w:rsidP="00A17188">
            <w:pPr>
              <w:jc w:val="both"/>
            </w:pPr>
            <w:r w:rsidRPr="008D0EBF">
              <w:rPr>
                <w:b/>
                <w:bCs/>
              </w:rPr>
              <w:t>116,5%</w:t>
            </w:r>
          </w:p>
        </w:tc>
      </w:tr>
      <w:tr w:rsidR="00A17188" w:rsidRPr="008D0EBF" w:rsidTr="00B34D09">
        <w:trPr>
          <w:trHeight w:val="80"/>
          <w:jc w:val="center"/>
        </w:trPr>
        <w:tc>
          <w:tcPr>
            <w:tcW w:w="3122" w:type="dxa"/>
            <w:hideMark/>
          </w:tcPr>
          <w:p w:rsidR="00A17188" w:rsidRPr="008D0EBF" w:rsidRDefault="00A17188" w:rsidP="00A17188">
            <w:pPr>
              <w:jc w:val="both"/>
            </w:pPr>
            <w:r w:rsidRPr="008D0EBF">
              <w:rPr>
                <w:b/>
                <w:bCs/>
              </w:rPr>
              <w:t>kraj celkem</w:t>
            </w:r>
          </w:p>
        </w:tc>
        <w:tc>
          <w:tcPr>
            <w:tcW w:w="1205" w:type="dxa"/>
            <w:hideMark/>
          </w:tcPr>
          <w:p w:rsidR="00A17188" w:rsidRPr="008D0EBF" w:rsidRDefault="00A17188" w:rsidP="00A17188">
            <w:pPr>
              <w:jc w:val="both"/>
            </w:pPr>
            <w:r w:rsidRPr="008D0EBF">
              <w:rPr>
                <w:b/>
                <w:bCs/>
              </w:rPr>
              <w:t>2 400 337</w:t>
            </w:r>
          </w:p>
        </w:tc>
        <w:tc>
          <w:tcPr>
            <w:tcW w:w="1909" w:type="dxa"/>
            <w:hideMark/>
          </w:tcPr>
          <w:p w:rsidR="00A17188" w:rsidRPr="008D0EBF" w:rsidRDefault="00A17188" w:rsidP="00A17188">
            <w:pPr>
              <w:jc w:val="both"/>
            </w:pPr>
            <w:r w:rsidRPr="008D0EBF">
              <w:rPr>
                <w:b/>
                <w:bCs/>
              </w:rPr>
              <w:t>2 069 931</w:t>
            </w:r>
          </w:p>
        </w:tc>
        <w:tc>
          <w:tcPr>
            <w:tcW w:w="1856" w:type="dxa"/>
            <w:hideMark/>
          </w:tcPr>
          <w:p w:rsidR="00A17188" w:rsidRPr="008D0EBF" w:rsidRDefault="00A17188" w:rsidP="00A17188">
            <w:pPr>
              <w:jc w:val="both"/>
            </w:pPr>
            <w:r w:rsidRPr="008D0EBF">
              <w:rPr>
                <w:b/>
                <w:bCs/>
              </w:rPr>
              <w:t>116,0%</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86"/>
          <w:jc w:val="center"/>
        </w:trPr>
        <w:tc>
          <w:tcPr>
            <w:tcW w:w="3122" w:type="dxa"/>
            <w:hideMark/>
          </w:tcPr>
          <w:p w:rsidR="00A17188" w:rsidRPr="008D0EBF" w:rsidRDefault="00A17188" w:rsidP="00A17188">
            <w:pPr>
              <w:jc w:val="both"/>
            </w:pPr>
            <w:r w:rsidRPr="008D0EBF">
              <w:rPr>
                <w:b/>
                <w:bCs/>
              </w:rPr>
              <w:t>město</w:t>
            </w:r>
          </w:p>
        </w:tc>
        <w:tc>
          <w:tcPr>
            <w:tcW w:w="1205" w:type="dxa"/>
            <w:hideMark/>
          </w:tcPr>
          <w:p w:rsidR="00A17188" w:rsidRPr="008D0EBF" w:rsidRDefault="00A17188" w:rsidP="00A17188">
            <w:pPr>
              <w:jc w:val="both"/>
            </w:pPr>
            <w:r w:rsidRPr="008D0EBF">
              <w:rPr>
                <w:b/>
                <w:bCs/>
              </w:rPr>
              <w:t>99 277</w:t>
            </w:r>
          </w:p>
        </w:tc>
        <w:tc>
          <w:tcPr>
            <w:tcW w:w="1909" w:type="dxa"/>
            <w:hideMark/>
          </w:tcPr>
          <w:p w:rsidR="00A17188" w:rsidRPr="008D0EBF" w:rsidRDefault="00A17188" w:rsidP="00A17188">
            <w:pPr>
              <w:jc w:val="both"/>
            </w:pPr>
            <w:r w:rsidRPr="008D0EBF">
              <w:rPr>
                <w:b/>
                <w:bCs/>
              </w:rPr>
              <w:t>109 456</w:t>
            </w:r>
          </w:p>
        </w:tc>
        <w:tc>
          <w:tcPr>
            <w:tcW w:w="1856" w:type="dxa"/>
            <w:hideMark/>
          </w:tcPr>
          <w:p w:rsidR="00A17188" w:rsidRPr="008D0EBF" w:rsidRDefault="00A17188" w:rsidP="00A17188">
            <w:pPr>
              <w:jc w:val="both"/>
            </w:pPr>
            <w:r w:rsidRPr="008D0EBF">
              <w:rPr>
                <w:b/>
                <w:bCs/>
              </w:rPr>
              <w:t>90,7%</w:t>
            </w:r>
          </w:p>
        </w:tc>
      </w:tr>
      <w:tr w:rsidR="00A17188" w:rsidRPr="008D0EBF" w:rsidTr="00B34D09">
        <w:trPr>
          <w:trHeight w:val="46"/>
          <w:jc w:val="center"/>
        </w:trPr>
        <w:tc>
          <w:tcPr>
            <w:tcW w:w="3122" w:type="dxa"/>
            <w:hideMark/>
          </w:tcPr>
          <w:p w:rsidR="00A17188" w:rsidRPr="008D0EBF" w:rsidRDefault="00A17188" w:rsidP="00A17188">
            <w:pPr>
              <w:jc w:val="both"/>
            </w:pPr>
            <w:r w:rsidRPr="008D0EBF">
              <w:rPr>
                <w:b/>
                <w:bCs/>
              </w:rPr>
              <w:t>město - obchodní společnosti</w:t>
            </w:r>
          </w:p>
        </w:tc>
        <w:tc>
          <w:tcPr>
            <w:tcW w:w="1205" w:type="dxa"/>
            <w:hideMark/>
          </w:tcPr>
          <w:p w:rsidR="00A17188" w:rsidRPr="008D0EBF" w:rsidRDefault="00A17188" w:rsidP="00A17188">
            <w:pPr>
              <w:jc w:val="both"/>
            </w:pPr>
            <w:r w:rsidRPr="008D0EBF">
              <w:rPr>
                <w:b/>
                <w:bCs/>
              </w:rPr>
              <w:t>29 639</w:t>
            </w:r>
          </w:p>
        </w:tc>
        <w:tc>
          <w:tcPr>
            <w:tcW w:w="1909" w:type="dxa"/>
            <w:hideMark/>
          </w:tcPr>
          <w:p w:rsidR="00A17188" w:rsidRPr="008D0EBF" w:rsidRDefault="00A17188" w:rsidP="00A17188">
            <w:pPr>
              <w:jc w:val="both"/>
            </w:pPr>
            <w:r w:rsidRPr="008D0EBF">
              <w:rPr>
                <w:b/>
                <w:bCs/>
              </w:rPr>
              <w:t>24 489</w:t>
            </w:r>
          </w:p>
        </w:tc>
        <w:tc>
          <w:tcPr>
            <w:tcW w:w="1856" w:type="dxa"/>
            <w:hideMark/>
          </w:tcPr>
          <w:p w:rsidR="00A17188" w:rsidRPr="008D0EBF" w:rsidRDefault="00A17188" w:rsidP="00A17188">
            <w:pPr>
              <w:jc w:val="both"/>
            </w:pPr>
            <w:r w:rsidRPr="008D0EBF">
              <w:rPr>
                <w:b/>
                <w:bCs/>
              </w:rPr>
              <w:t>121,0%</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52"/>
          <w:jc w:val="center"/>
        </w:trPr>
        <w:tc>
          <w:tcPr>
            <w:tcW w:w="3122" w:type="dxa"/>
            <w:hideMark/>
          </w:tcPr>
          <w:p w:rsidR="00A17188" w:rsidRPr="008D0EBF" w:rsidRDefault="00A17188" w:rsidP="00A17188">
            <w:pPr>
              <w:jc w:val="both"/>
            </w:pPr>
            <w:r w:rsidRPr="008D0EBF">
              <w:rPr>
                <w:b/>
                <w:bCs/>
              </w:rPr>
              <w:t>město celkem</w:t>
            </w:r>
          </w:p>
        </w:tc>
        <w:tc>
          <w:tcPr>
            <w:tcW w:w="1205" w:type="dxa"/>
            <w:hideMark/>
          </w:tcPr>
          <w:p w:rsidR="00A17188" w:rsidRPr="008D0EBF" w:rsidRDefault="00A17188" w:rsidP="00A17188">
            <w:pPr>
              <w:jc w:val="both"/>
            </w:pPr>
            <w:r w:rsidRPr="008D0EBF">
              <w:rPr>
                <w:b/>
                <w:bCs/>
              </w:rPr>
              <w:t>128 916</w:t>
            </w:r>
          </w:p>
        </w:tc>
        <w:tc>
          <w:tcPr>
            <w:tcW w:w="1909" w:type="dxa"/>
            <w:hideMark/>
          </w:tcPr>
          <w:p w:rsidR="00A17188" w:rsidRPr="008D0EBF" w:rsidRDefault="00A17188" w:rsidP="00A17188">
            <w:pPr>
              <w:jc w:val="both"/>
            </w:pPr>
            <w:r w:rsidRPr="008D0EBF">
              <w:rPr>
                <w:b/>
                <w:bCs/>
              </w:rPr>
              <w:t>133 945</w:t>
            </w:r>
          </w:p>
        </w:tc>
        <w:tc>
          <w:tcPr>
            <w:tcW w:w="1856" w:type="dxa"/>
            <w:hideMark/>
          </w:tcPr>
          <w:p w:rsidR="00A17188" w:rsidRPr="008D0EBF" w:rsidRDefault="00A17188" w:rsidP="00A17188">
            <w:pPr>
              <w:jc w:val="both"/>
            </w:pPr>
            <w:r w:rsidRPr="008D0EBF">
              <w:rPr>
                <w:b/>
                <w:bCs/>
              </w:rPr>
              <w:t>96,2%</w:t>
            </w:r>
          </w:p>
        </w:tc>
      </w:tr>
      <w:tr w:rsidR="00A17188" w:rsidRPr="008D0EBF" w:rsidTr="00B34D09">
        <w:trPr>
          <w:trHeight w:val="12"/>
          <w:jc w:val="center"/>
        </w:trPr>
        <w:tc>
          <w:tcPr>
            <w:tcW w:w="3122" w:type="dxa"/>
            <w:hideMark/>
          </w:tcPr>
          <w:p w:rsidR="00A17188" w:rsidRPr="008D0EBF" w:rsidRDefault="00A17188" w:rsidP="00A17188">
            <w:pPr>
              <w:jc w:val="both"/>
            </w:pPr>
            <w:r w:rsidRPr="008D0EBF">
              <w:rPr>
                <w:b/>
                <w:bCs/>
              </w:rPr>
              <w:t>JPO, církev</w:t>
            </w:r>
          </w:p>
        </w:tc>
        <w:tc>
          <w:tcPr>
            <w:tcW w:w="1205" w:type="dxa"/>
            <w:hideMark/>
          </w:tcPr>
          <w:p w:rsidR="00A17188" w:rsidRPr="008D0EBF" w:rsidRDefault="00A17188" w:rsidP="00A17188">
            <w:pPr>
              <w:jc w:val="both"/>
            </w:pPr>
            <w:r w:rsidRPr="008D0EBF">
              <w:rPr>
                <w:b/>
                <w:bCs/>
              </w:rPr>
              <w:t>534 538</w:t>
            </w:r>
          </w:p>
        </w:tc>
        <w:tc>
          <w:tcPr>
            <w:tcW w:w="1909" w:type="dxa"/>
            <w:hideMark/>
          </w:tcPr>
          <w:p w:rsidR="00A17188" w:rsidRPr="008D0EBF" w:rsidRDefault="00A17188" w:rsidP="00A17188">
            <w:pPr>
              <w:jc w:val="both"/>
            </w:pPr>
            <w:r w:rsidRPr="008D0EBF">
              <w:rPr>
                <w:b/>
                <w:bCs/>
              </w:rPr>
              <w:t>549 696</w:t>
            </w:r>
          </w:p>
        </w:tc>
        <w:tc>
          <w:tcPr>
            <w:tcW w:w="1856" w:type="dxa"/>
            <w:hideMark/>
          </w:tcPr>
          <w:p w:rsidR="00A17188" w:rsidRPr="008D0EBF" w:rsidRDefault="00A17188" w:rsidP="00A17188">
            <w:pPr>
              <w:jc w:val="both"/>
            </w:pPr>
            <w:r w:rsidRPr="008D0EBF">
              <w:rPr>
                <w:b/>
                <w:bCs/>
              </w:rPr>
              <w:t>97,2%</w:t>
            </w:r>
          </w:p>
        </w:tc>
      </w:tr>
      <w:tr w:rsidR="00A17188" w:rsidRPr="008D0EBF" w:rsidTr="00B34D09">
        <w:trPr>
          <w:cnfStyle w:val="000000100000" w:firstRow="0" w:lastRow="0" w:firstColumn="0" w:lastColumn="0" w:oddVBand="0" w:evenVBand="0" w:oddHBand="1" w:evenHBand="0" w:firstRowFirstColumn="0" w:firstRowLastColumn="0" w:lastRowFirstColumn="0" w:lastRowLastColumn="0"/>
          <w:trHeight w:val="52"/>
          <w:jc w:val="center"/>
        </w:trPr>
        <w:tc>
          <w:tcPr>
            <w:tcW w:w="3122" w:type="dxa"/>
            <w:hideMark/>
          </w:tcPr>
          <w:p w:rsidR="00A17188" w:rsidRPr="008D0EBF" w:rsidRDefault="00A17188" w:rsidP="00A17188">
            <w:pPr>
              <w:jc w:val="both"/>
            </w:pPr>
            <w:r w:rsidRPr="008D0EBF">
              <w:rPr>
                <w:b/>
                <w:bCs/>
              </w:rPr>
              <w:t>Vojen.nem.</w:t>
            </w:r>
          </w:p>
        </w:tc>
        <w:tc>
          <w:tcPr>
            <w:tcW w:w="1205" w:type="dxa"/>
            <w:hideMark/>
          </w:tcPr>
          <w:p w:rsidR="00A17188" w:rsidRPr="008D0EBF" w:rsidRDefault="00A17188" w:rsidP="00A17188">
            <w:pPr>
              <w:jc w:val="both"/>
            </w:pPr>
            <w:r w:rsidRPr="008D0EBF">
              <w:rPr>
                <w:b/>
                <w:bCs/>
              </w:rPr>
              <w:t>25 793</w:t>
            </w:r>
          </w:p>
        </w:tc>
        <w:tc>
          <w:tcPr>
            <w:tcW w:w="1909" w:type="dxa"/>
            <w:hideMark/>
          </w:tcPr>
          <w:p w:rsidR="00A17188" w:rsidRPr="008D0EBF" w:rsidRDefault="00A17188" w:rsidP="00A17188">
            <w:pPr>
              <w:jc w:val="both"/>
            </w:pPr>
            <w:r w:rsidRPr="008D0EBF">
              <w:rPr>
                <w:b/>
                <w:bCs/>
              </w:rPr>
              <w:t>11 257</w:t>
            </w:r>
          </w:p>
        </w:tc>
        <w:tc>
          <w:tcPr>
            <w:tcW w:w="1856" w:type="dxa"/>
            <w:hideMark/>
          </w:tcPr>
          <w:p w:rsidR="00A17188" w:rsidRPr="008D0EBF" w:rsidRDefault="00A17188" w:rsidP="00A17188">
            <w:pPr>
              <w:jc w:val="both"/>
            </w:pPr>
            <w:r w:rsidRPr="008D0EBF">
              <w:rPr>
                <w:b/>
                <w:bCs/>
              </w:rPr>
              <w:t>229,1%</w:t>
            </w:r>
          </w:p>
        </w:tc>
      </w:tr>
      <w:tr w:rsidR="00A17188" w:rsidRPr="008D0EBF" w:rsidTr="00B34D09">
        <w:trPr>
          <w:trHeight w:val="12"/>
          <w:jc w:val="center"/>
        </w:trPr>
        <w:tc>
          <w:tcPr>
            <w:tcW w:w="3122" w:type="dxa"/>
            <w:hideMark/>
          </w:tcPr>
          <w:p w:rsidR="00A17188" w:rsidRPr="008D0EBF" w:rsidRDefault="00A17188" w:rsidP="00A17188">
            <w:pPr>
              <w:jc w:val="both"/>
            </w:pPr>
            <w:r w:rsidRPr="008D0EBF">
              <w:rPr>
                <w:b/>
                <w:bCs/>
              </w:rPr>
              <w:t>celkem</w:t>
            </w:r>
          </w:p>
        </w:tc>
        <w:tc>
          <w:tcPr>
            <w:tcW w:w="1205" w:type="dxa"/>
            <w:hideMark/>
          </w:tcPr>
          <w:p w:rsidR="00A17188" w:rsidRPr="008D0EBF" w:rsidRDefault="00A17188" w:rsidP="00A17188">
            <w:pPr>
              <w:jc w:val="both"/>
            </w:pPr>
            <w:r w:rsidRPr="008D0EBF">
              <w:rPr>
                <w:b/>
                <w:bCs/>
              </w:rPr>
              <w:t>5 199 465</w:t>
            </w:r>
          </w:p>
        </w:tc>
        <w:tc>
          <w:tcPr>
            <w:tcW w:w="1909" w:type="dxa"/>
            <w:hideMark/>
          </w:tcPr>
          <w:p w:rsidR="00A17188" w:rsidRPr="008D0EBF" w:rsidRDefault="00A17188" w:rsidP="00A17188">
            <w:pPr>
              <w:jc w:val="both"/>
            </w:pPr>
            <w:r w:rsidRPr="008D0EBF">
              <w:rPr>
                <w:b/>
                <w:bCs/>
              </w:rPr>
              <w:t>4 042 878</w:t>
            </w:r>
          </w:p>
        </w:tc>
        <w:tc>
          <w:tcPr>
            <w:tcW w:w="1856" w:type="dxa"/>
            <w:hideMark/>
          </w:tcPr>
          <w:p w:rsidR="00A17188" w:rsidRPr="008D0EBF" w:rsidRDefault="00A17188" w:rsidP="00A17188">
            <w:pPr>
              <w:jc w:val="both"/>
            </w:pPr>
            <w:r w:rsidRPr="008D0EBF">
              <w:rPr>
                <w:b/>
                <w:bCs/>
              </w:rPr>
              <w:t>128,6%</w:t>
            </w:r>
          </w:p>
        </w:tc>
      </w:tr>
    </w:tbl>
    <w:p w:rsidR="00A17188" w:rsidRPr="008D0EBF" w:rsidRDefault="00A17188" w:rsidP="00BE07AE">
      <w:pPr>
        <w:jc w:val="both"/>
      </w:pPr>
    </w:p>
    <w:p w:rsidR="00A17188" w:rsidRPr="00B8204C" w:rsidRDefault="00A17188" w:rsidP="00BE07AE">
      <w:pPr>
        <w:jc w:val="both"/>
        <w:rPr>
          <w:sz w:val="24"/>
          <w:szCs w:val="24"/>
        </w:rPr>
      </w:pPr>
      <w:r w:rsidRPr="00B8204C">
        <w:rPr>
          <w:sz w:val="24"/>
          <w:szCs w:val="24"/>
        </w:rPr>
        <w:t>Trend vývoje závazků po lhůtě splatnosti je zachycen na následujícím grafu, údaje jsou za všechny nemocnice.</w:t>
      </w:r>
      <w:r w:rsidR="00B8204C" w:rsidRPr="00B8204C">
        <w:rPr>
          <w:sz w:val="24"/>
          <w:szCs w:val="24"/>
        </w:rPr>
        <w:t xml:space="preserve"> Odhadem budou k 31. 12. 2013 činit závazky po lhůtě splatnosti celkem 6,4 mld. Kč.</w:t>
      </w:r>
    </w:p>
    <w:p w:rsidR="00A17188" w:rsidRPr="008D0EBF" w:rsidRDefault="00A17188" w:rsidP="00E519D7">
      <w:pPr>
        <w:jc w:val="center"/>
      </w:pPr>
      <w:r w:rsidRPr="008D0EBF">
        <w:rPr>
          <w:noProof/>
          <w:lang w:eastAsia="cs-CZ"/>
        </w:rPr>
        <w:drawing>
          <wp:inline distT="0" distB="0" distL="0" distR="0" wp14:anchorId="685D1662" wp14:editId="56309E84">
            <wp:extent cx="5819775" cy="3352800"/>
            <wp:effectExtent l="0" t="0" r="9525" b="1905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61333" w:rsidRDefault="00861333" w:rsidP="00A17188"/>
    <w:p w:rsidR="00861333" w:rsidRPr="00B8204C" w:rsidRDefault="00861333" w:rsidP="00A17188">
      <w:pPr>
        <w:rPr>
          <w:sz w:val="24"/>
          <w:szCs w:val="24"/>
        </w:rPr>
      </w:pPr>
      <w:r w:rsidRPr="00B8204C">
        <w:rPr>
          <w:sz w:val="24"/>
          <w:szCs w:val="24"/>
        </w:rPr>
        <w:t xml:space="preserve">Bližší pohled na strukturu závazků u přímo řízených organizací nabízí následující graf: </w:t>
      </w:r>
    </w:p>
    <w:p w:rsidR="00861333" w:rsidRDefault="00861333" w:rsidP="00A17188">
      <w:r>
        <w:rPr>
          <w:noProof/>
          <w:lang w:eastAsia="cs-CZ"/>
        </w:rPr>
        <w:drawing>
          <wp:inline distT="0" distB="0" distL="0" distR="0" wp14:anchorId="223E23E4" wp14:editId="44F3B7EC">
            <wp:extent cx="6422065" cy="3285460"/>
            <wp:effectExtent l="0" t="0" r="17145" b="10795"/>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F113C" w:rsidRPr="00B8204C" w:rsidRDefault="00AF113C" w:rsidP="00A17188">
      <w:pPr>
        <w:rPr>
          <w:sz w:val="24"/>
          <w:szCs w:val="24"/>
        </w:rPr>
      </w:pPr>
      <w:r w:rsidRPr="00B8204C">
        <w:rPr>
          <w:sz w:val="24"/>
          <w:szCs w:val="24"/>
        </w:rPr>
        <w:t>Struktura a výše závazků je ve zcela zřejmé korelaci s celkovým hospodařením nemocnice, jak naznačuje následující graf (výsledky jsou k 30.9.2013):</w:t>
      </w:r>
    </w:p>
    <w:p w:rsidR="00AF113C" w:rsidRDefault="00AF113C" w:rsidP="00A17188">
      <w:r>
        <w:rPr>
          <w:noProof/>
          <w:lang w:eastAsia="cs-CZ"/>
        </w:rPr>
        <w:drawing>
          <wp:inline distT="0" distB="0" distL="0" distR="0" wp14:anchorId="54E3A742" wp14:editId="3C94769A">
            <wp:extent cx="6422065" cy="3508745"/>
            <wp:effectExtent l="0" t="0" r="17145" b="15875"/>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F113C" w:rsidRPr="00B8204C" w:rsidRDefault="00AF113C" w:rsidP="00A17188">
      <w:pPr>
        <w:rPr>
          <w:sz w:val="24"/>
          <w:szCs w:val="24"/>
        </w:rPr>
      </w:pPr>
      <w:r w:rsidRPr="00B8204C">
        <w:rPr>
          <w:sz w:val="24"/>
          <w:szCs w:val="24"/>
        </w:rPr>
        <w:t xml:space="preserve">Je patrné, že existují podstatné rozdíly v hospodaření jednotlivých nemocnic a některé nemocnice se dostávají do výrazné ztráty a finančních potíží. </w:t>
      </w:r>
    </w:p>
    <w:p w:rsidR="00B8204C" w:rsidRDefault="00B8204C">
      <w:pPr>
        <w:spacing w:after="0" w:line="240" w:lineRule="auto"/>
      </w:pPr>
      <w:r>
        <w:br w:type="page"/>
      </w:r>
    </w:p>
    <w:p w:rsidR="00A17188" w:rsidRPr="008D0EBF" w:rsidRDefault="00A17188" w:rsidP="00A17188">
      <w:pPr>
        <w:pStyle w:val="Nadpis2"/>
        <w:numPr>
          <w:ilvl w:val="1"/>
          <w:numId w:val="20"/>
        </w:numPr>
        <w:rPr>
          <w:rFonts w:asciiTheme="minorHAnsi" w:hAnsiTheme="minorHAnsi" w:cs="Arial"/>
          <w:color w:val="auto"/>
        </w:rPr>
      </w:pPr>
      <w:bookmarkStart w:id="15" w:name="_Toc367188615"/>
      <w:bookmarkStart w:id="16" w:name="_Toc373223687"/>
      <w:r w:rsidRPr="008D0EBF">
        <w:rPr>
          <w:rFonts w:asciiTheme="minorHAnsi" w:hAnsiTheme="minorHAnsi" w:cs="Arial"/>
          <w:color w:val="auto"/>
        </w:rPr>
        <w:t>Úhrady od ZP</w:t>
      </w:r>
      <w:bookmarkEnd w:id="15"/>
      <w:bookmarkEnd w:id="16"/>
    </w:p>
    <w:p w:rsidR="00A17188" w:rsidRPr="008D0EBF" w:rsidRDefault="00A17188" w:rsidP="00A17188"/>
    <w:p w:rsidR="00A17188" w:rsidRPr="00B8204C" w:rsidRDefault="00A17188" w:rsidP="00A17188">
      <w:pPr>
        <w:spacing w:after="0"/>
        <w:rPr>
          <w:sz w:val="24"/>
          <w:szCs w:val="24"/>
        </w:rPr>
      </w:pPr>
      <w:r w:rsidRPr="00B8204C">
        <w:rPr>
          <w:sz w:val="24"/>
          <w:szCs w:val="24"/>
        </w:rPr>
        <w:t>Systém úhrad za zdravotní péči:</w:t>
      </w:r>
    </w:p>
    <w:p w:rsidR="00A17188" w:rsidRPr="00B8204C" w:rsidRDefault="00A17188" w:rsidP="00A17188">
      <w:pPr>
        <w:spacing w:after="0"/>
        <w:rPr>
          <w:sz w:val="24"/>
          <w:szCs w:val="24"/>
        </w:rPr>
      </w:pPr>
      <w:r w:rsidRPr="00B8204C">
        <w:rPr>
          <w:sz w:val="24"/>
          <w:szCs w:val="24"/>
        </w:rPr>
        <w:t xml:space="preserve">V současné době se úhrady zdravotní péče realizují následujícími způsoby: </w:t>
      </w:r>
    </w:p>
    <w:p w:rsidR="00A17188" w:rsidRPr="00B8204C" w:rsidRDefault="00A17188" w:rsidP="00A17188">
      <w:pPr>
        <w:spacing w:after="0"/>
        <w:rPr>
          <w:sz w:val="24"/>
          <w:szCs w:val="24"/>
        </w:rPr>
      </w:pPr>
    </w:p>
    <w:p w:rsidR="00A17188" w:rsidRPr="00B8204C" w:rsidRDefault="00A17188" w:rsidP="00BE07AE">
      <w:pPr>
        <w:pStyle w:val="Odstavecseseznamem"/>
        <w:numPr>
          <w:ilvl w:val="0"/>
          <w:numId w:val="33"/>
        </w:numPr>
        <w:spacing w:after="0"/>
        <w:contextualSpacing/>
        <w:jc w:val="both"/>
        <w:rPr>
          <w:sz w:val="24"/>
          <w:szCs w:val="24"/>
        </w:rPr>
      </w:pPr>
      <w:r w:rsidRPr="00B8204C">
        <w:rPr>
          <w:sz w:val="24"/>
          <w:szCs w:val="24"/>
        </w:rPr>
        <w:t xml:space="preserve">výkonově dle Seznamu výkonů s bodovými hodnotami (vyhláška č. 134/1998 Sb.) násobenými hodnotou bodu dle platné úhradové vyhlášky – s omezením maximální úhrady a regulací předepsaných léků a zdravotnických prostředků a indukované péče (ambulantní specialisté) </w:t>
      </w:r>
    </w:p>
    <w:p w:rsidR="00A17188" w:rsidRPr="00B8204C" w:rsidRDefault="00A17188" w:rsidP="00BE07AE">
      <w:pPr>
        <w:pStyle w:val="Odstavecseseznamem"/>
        <w:numPr>
          <w:ilvl w:val="0"/>
          <w:numId w:val="33"/>
        </w:numPr>
        <w:spacing w:after="0"/>
        <w:contextualSpacing/>
        <w:jc w:val="both"/>
        <w:rPr>
          <w:sz w:val="24"/>
          <w:szCs w:val="24"/>
        </w:rPr>
      </w:pPr>
      <w:r w:rsidRPr="00B8204C">
        <w:rPr>
          <w:sz w:val="24"/>
          <w:szCs w:val="24"/>
        </w:rPr>
        <w:t xml:space="preserve">výkonově na základě ceníku zveřejněného v úhradové vyhlášce (stomatologové) </w:t>
      </w:r>
    </w:p>
    <w:p w:rsidR="00A17188" w:rsidRPr="00B8204C" w:rsidRDefault="00A17188" w:rsidP="00BE07AE">
      <w:pPr>
        <w:pStyle w:val="Odstavecseseznamem"/>
        <w:numPr>
          <w:ilvl w:val="0"/>
          <w:numId w:val="33"/>
        </w:numPr>
        <w:spacing w:after="0"/>
        <w:contextualSpacing/>
        <w:jc w:val="both"/>
        <w:rPr>
          <w:sz w:val="24"/>
          <w:szCs w:val="24"/>
        </w:rPr>
      </w:pPr>
      <w:r w:rsidRPr="00B8204C">
        <w:rPr>
          <w:sz w:val="24"/>
          <w:szCs w:val="24"/>
        </w:rPr>
        <w:t xml:space="preserve">kombinovanou kapitačně výkonovou platbou – s převažující úhradou za registrované pojištěnce, kdy je stanovena sazba za jednoho registrovaného pojištěnce se zohledněním věkových skupin a vybranými provedenými výkony hrazenými výkonovým způsobem (praktičtí lékaři) </w:t>
      </w:r>
    </w:p>
    <w:p w:rsidR="00A17188" w:rsidRPr="00B8204C" w:rsidRDefault="00A17188" w:rsidP="00BE07AE">
      <w:pPr>
        <w:pStyle w:val="Odstavecseseznamem"/>
        <w:numPr>
          <w:ilvl w:val="0"/>
          <w:numId w:val="33"/>
        </w:numPr>
        <w:spacing w:after="0"/>
        <w:contextualSpacing/>
        <w:jc w:val="both"/>
        <w:rPr>
          <w:sz w:val="24"/>
          <w:szCs w:val="24"/>
        </w:rPr>
      </w:pPr>
      <w:r w:rsidRPr="00B8204C">
        <w:rPr>
          <w:sz w:val="24"/>
          <w:szCs w:val="24"/>
        </w:rPr>
        <w:t xml:space="preserve">paušálem za ošetřovací den – hradí se zejména následná lůžková péče </w:t>
      </w:r>
    </w:p>
    <w:p w:rsidR="00A17188" w:rsidRPr="00B8204C" w:rsidRDefault="00A17188" w:rsidP="00BE07AE">
      <w:pPr>
        <w:pStyle w:val="Odstavecseseznamem"/>
        <w:numPr>
          <w:ilvl w:val="0"/>
          <w:numId w:val="33"/>
        </w:numPr>
        <w:spacing w:after="0"/>
        <w:contextualSpacing/>
        <w:jc w:val="both"/>
        <w:rPr>
          <w:sz w:val="24"/>
          <w:szCs w:val="24"/>
        </w:rPr>
      </w:pPr>
      <w:r w:rsidRPr="00B8204C">
        <w:rPr>
          <w:sz w:val="24"/>
          <w:szCs w:val="24"/>
        </w:rPr>
        <w:t xml:space="preserve">DRG – cca 80 % akutní hospitalizační péče vyjmenovaných diagnostických skupin se platí dle DRG alfa, tj. relativní váhy jednotlivých případů dle Klasifikace hospitalizovaných pacientů jsou násobeny základní sazbou dle úhradové vyhlášky příslušného období. Cca 10 % je hrazeno tzv. balíčkovou cenou – stanovenou cenou za konkrétní případy hospitalizace (totální endoprotézy, kardiologické výkony …) a dalších přibližně 10 % je hrazeno dle DRG beta – hospitalizační případy vyjmuté z úhrady formou případového paušálu, které jsou hrazeny výkonově. </w:t>
      </w:r>
    </w:p>
    <w:p w:rsidR="00A17188" w:rsidRPr="00B8204C" w:rsidRDefault="00A17188" w:rsidP="00A17188">
      <w:pPr>
        <w:spacing w:after="0"/>
        <w:rPr>
          <w:sz w:val="24"/>
          <w:szCs w:val="24"/>
        </w:rPr>
      </w:pPr>
    </w:p>
    <w:p w:rsidR="00A17188" w:rsidRPr="00B8204C" w:rsidRDefault="00A17188" w:rsidP="00BE07AE">
      <w:pPr>
        <w:spacing w:after="0"/>
        <w:jc w:val="both"/>
        <w:rPr>
          <w:sz w:val="24"/>
          <w:szCs w:val="24"/>
        </w:rPr>
      </w:pPr>
      <w:r w:rsidRPr="00B8204C">
        <w:rPr>
          <w:sz w:val="24"/>
          <w:szCs w:val="24"/>
        </w:rPr>
        <w:t>Úhradová vyhláška pro 2013 se projevuje jako velmi restriktivní oproti rokům 2012 i 2011. Za první pololetí roku 2013 činily tržby od všech zdravotních pojišťoven méně jak 48,1 % tržeb roku 2012.</w:t>
      </w:r>
    </w:p>
    <w:p w:rsidR="00A17188" w:rsidRDefault="00A17188" w:rsidP="00BE07AE">
      <w:pPr>
        <w:jc w:val="both"/>
        <w:rPr>
          <w:sz w:val="24"/>
          <w:szCs w:val="24"/>
        </w:rPr>
      </w:pPr>
      <w:r w:rsidRPr="00B8204C">
        <w:rPr>
          <w:sz w:val="24"/>
          <w:szCs w:val="24"/>
        </w:rPr>
        <w:t>Vývoj tržeb nemocnic ze zdravotního pojištění v letech 2010 – 2012 mírně vzrostl, přesto však byly u státních nemocnic o 1 mld. Kč níže než růst platů.</w:t>
      </w:r>
    </w:p>
    <w:p w:rsidR="007166B4" w:rsidRPr="00B8204C" w:rsidRDefault="007166B4" w:rsidP="00BE07AE">
      <w:pPr>
        <w:jc w:val="both"/>
        <w:rPr>
          <w:sz w:val="24"/>
          <w:szCs w:val="24"/>
        </w:rPr>
      </w:pPr>
    </w:p>
    <w:tbl>
      <w:tblPr>
        <w:tblStyle w:val="Svtlstnovn"/>
        <w:tblW w:w="9074" w:type="dxa"/>
        <w:jc w:val="center"/>
        <w:tblLook w:val="0420" w:firstRow="1" w:lastRow="0" w:firstColumn="0" w:lastColumn="0" w:noHBand="0" w:noVBand="1"/>
      </w:tblPr>
      <w:tblGrid>
        <w:gridCol w:w="2632"/>
        <w:gridCol w:w="1044"/>
        <w:gridCol w:w="1045"/>
        <w:gridCol w:w="1393"/>
        <w:gridCol w:w="2960"/>
      </w:tblGrid>
      <w:tr w:rsidR="003C4307" w:rsidRPr="008D0EBF" w:rsidTr="000565B7">
        <w:trPr>
          <w:cnfStyle w:val="100000000000" w:firstRow="1" w:lastRow="0" w:firstColumn="0" w:lastColumn="0" w:oddVBand="0" w:evenVBand="0" w:oddHBand="0" w:evenHBand="0" w:firstRowFirstColumn="0" w:firstRowLastColumn="0" w:lastRowFirstColumn="0" w:lastRowLastColumn="0"/>
          <w:trHeight w:val="276"/>
          <w:jc w:val="center"/>
        </w:trPr>
        <w:tc>
          <w:tcPr>
            <w:tcW w:w="9074" w:type="dxa"/>
            <w:gridSpan w:val="5"/>
            <w:hideMark/>
          </w:tcPr>
          <w:p w:rsidR="003C4307" w:rsidRPr="008D0EBF" w:rsidRDefault="003C4307" w:rsidP="00A17188">
            <w:pPr>
              <w:jc w:val="center"/>
            </w:pPr>
            <w:r w:rsidRPr="008D0EBF">
              <w:rPr>
                <w:bCs w:val="0"/>
              </w:rPr>
              <w:t>Tržby ze zdravotního pojištění  2010 - 2012 dle zřizovatele</w:t>
            </w:r>
            <w:r>
              <w:rPr>
                <w:bCs w:val="0"/>
              </w:rPr>
              <w:t xml:space="preserve"> (v mil.Kč)</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20"/>
          <w:jc w:val="center"/>
        </w:trPr>
        <w:tc>
          <w:tcPr>
            <w:tcW w:w="2632" w:type="dxa"/>
            <w:hideMark/>
          </w:tcPr>
          <w:p w:rsidR="00A17188" w:rsidRPr="008D0EBF" w:rsidRDefault="00A17188" w:rsidP="00A17188"/>
        </w:tc>
        <w:tc>
          <w:tcPr>
            <w:tcW w:w="1044" w:type="dxa"/>
            <w:hideMark/>
          </w:tcPr>
          <w:p w:rsidR="00A17188" w:rsidRPr="008D0EBF" w:rsidRDefault="00A17188" w:rsidP="00A17188">
            <w:r w:rsidRPr="008D0EBF">
              <w:rPr>
                <w:b/>
                <w:bCs/>
              </w:rPr>
              <w:t>2010</w:t>
            </w:r>
          </w:p>
        </w:tc>
        <w:tc>
          <w:tcPr>
            <w:tcW w:w="1045" w:type="dxa"/>
            <w:hideMark/>
          </w:tcPr>
          <w:p w:rsidR="00A17188" w:rsidRPr="008D0EBF" w:rsidRDefault="00A17188" w:rsidP="00A17188">
            <w:r w:rsidRPr="008D0EBF">
              <w:rPr>
                <w:b/>
                <w:bCs/>
              </w:rPr>
              <w:t>2011</w:t>
            </w:r>
          </w:p>
        </w:tc>
        <w:tc>
          <w:tcPr>
            <w:tcW w:w="1393" w:type="dxa"/>
            <w:hideMark/>
          </w:tcPr>
          <w:p w:rsidR="00A17188" w:rsidRPr="008D0EBF" w:rsidRDefault="00A17188" w:rsidP="00A17188">
            <w:r w:rsidRPr="008D0EBF">
              <w:rPr>
                <w:b/>
                <w:bCs/>
              </w:rPr>
              <w:t>2012</w:t>
            </w:r>
          </w:p>
        </w:tc>
        <w:tc>
          <w:tcPr>
            <w:tcW w:w="2960" w:type="dxa"/>
            <w:hideMark/>
          </w:tcPr>
          <w:p w:rsidR="00A17188" w:rsidRPr="008D0EBF" w:rsidRDefault="00A17188" w:rsidP="00A17188">
            <w:r w:rsidRPr="008D0EBF">
              <w:rPr>
                <w:b/>
                <w:bCs/>
              </w:rPr>
              <w:t>index 2012 / 2010</w:t>
            </w:r>
          </w:p>
        </w:tc>
      </w:tr>
      <w:tr w:rsidR="00A17188" w:rsidRPr="008D0EBF" w:rsidTr="00E519D7">
        <w:trPr>
          <w:trHeight w:val="473"/>
          <w:jc w:val="center"/>
        </w:trPr>
        <w:tc>
          <w:tcPr>
            <w:tcW w:w="2632" w:type="dxa"/>
            <w:hideMark/>
          </w:tcPr>
          <w:p w:rsidR="00A17188" w:rsidRPr="008D0EBF" w:rsidRDefault="00A17188" w:rsidP="00A17188">
            <w:r w:rsidRPr="008D0EBF">
              <w:rPr>
                <w:b/>
                <w:bCs/>
              </w:rPr>
              <w:t>MZ</w:t>
            </w:r>
          </w:p>
        </w:tc>
        <w:tc>
          <w:tcPr>
            <w:tcW w:w="1044" w:type="dxa"/>
            <w:hideMark/>
          </w:tcPr>
          <w:p w:rsidR="00A17188" w:rsidRPr="008D0EBF" w:rsidRDefault="00A17188" w:rsidP="00A17188">
            <w:r w:rsidRPr="008D0EBF">
              <w:rPr>
                <w:b/>
                <w:bCs/>
              </w:rPr>
              <w:t>49 028</w:t>
            </w:r>
          </w:p>
        </w:tc>
        <w:tc>
          <w:tcPr>
            <w:tcW w:w="1045" w:type="dxa"/>
            <w:hideMark/>
          </w:tcPr>
          <w:p w:rsidR="00A17188" w:rsidRPr="008D0EBF" w:rsidRDefault="00A17188" w:rsidP="00A17188">
            <w:r w:rsidRPr="008D0EBF">
              <w:rPr>
                <w:b/>
                <w:bCs/>
              </w:rPr>
              <w:t>50 444</w:t>
            </w:r>
          </w:p>
        </w:tc>
        <w:tc>
          <w:tcPr>
            <w:tcW w:w="1393" w:type="dxa"/>
            <w:hideMark/>
          </w:tcPr>
          <w:p w:rsidR="00A17188" w:rsidRPr="008D0EBF" w:rsidRDefault="00A17188" w:rsidP="00A17188">
            <w:r w:rsidRPr="008D0EBF">
              <w:rPr>
                <w:b/>
                <w:bCs/>
              </w:rPr>
              <w:t>50 606</w:t>
            </w:r>
          </w:p>
        </w:tc>
        <w:tc>
          <w:tcPr>
            <w:tcW w:w="2960" w:type="dxa"/>
            <w:hideMark/>
          </w:tcPr>
          <w:p w:rsidR="00A17188" w:rsidRPr="008D0EBF" w:rsidRDefault="00A17188" w:rsidP="00A17188">
            <w:r w:rsidRPr="008D0EBF">
              <w:rPr>
                <w:b/>
                <w:bCs/>
              </w:rPr>
              <w:t>103,2%</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315"/>
          <w:jc w:val="center"/>
        </w:trPr>
        <w:tc>
          <w:tcPr>
            <w:tcW w:w="2632" w:type="dxa"/>
            <w:hideMark/>
          </w:tcPr>
          <w:p w:rsidR="00A17188" w:rsidRPr="008D0EBF" w:rsidRDefault="00A17188" w:rsidP="00A17188">
            <w:r w:rsidRPr="008D0EBF">
              <w:rPr>
                <w:b/>
                <w:bCs/>
              </w:rPr>
              <w:t>kraj přísp+obch</w:t>
            </w:r>
          </w:p>
        </w:tc>
        <w:tc>
          <w:tcPr>
            <w:tcW w:w="1044" w:type="dxa"/>
            <w:hideMark/>
          </w:tcPr>
          <w:p w:rsidR="00A17188" w:rsidRPr="008D0EBF" w:rsidRDefault="00A17188" w:rsidP="00A17188">
            <w:r w:rsidRPr="008D0EBF">
              <w:rPr>
                <w:b/>
                <w:bCs/>
              </w:rPr>
              <w:t>36 265</w:t>
            </w:r>
          </w:p>
        </w:tc>
        <w:tc>
          <w:tcPr>
            <w:tcW w:w="1045" w:type="dxa"/>
            <w:hideMark/>
          </w:tcPr>
          <w:p w:rsidR="00A17188" w:rsidRPr="008D0EBF" w:rsidRDefault="00A17188" w:rsidP="00A17188">
            <w:r w:rsidRPr="008D0EBF">
              <w:rPr>
                <w:b/>
                <w:bCs/>
              </w:rPr>
              <w:t>36 737</w:t>
            </w:r>
          </w:p>
        </w:tc>
        <w:tc>
          <w:tcPr>
            <w:tcW w:w="1393" w:type="dxa"/>
            <w:hideMark/>
          </w:tcPr>
          <w:p w:rsidR="00A17188" w:rsidRPr="008D0EBF" w:rsidRDefault="00A17188" w:rsidP="00A17188">
            <w:r w:rsidRPr="008D0EBF">
              <w:rPr>
                <w:b/>
                <w:bCs/>
              </w:rPr>
              <w:t>36 117</w:t>
            </w:r>
          </w:p>
        </w:tc>
        <w:tc>
          <w:tcPr>
            <w:tcW w:w="2960" w:type="dxa"/>
            <w:hideMark/>
          </w:tcPr>
          <w:p w:rsidR="00A17188" w:rsidRPr="008D0EBF" w:rsidRDefault="00A17188" w:rsidP="00A17188">
            <w:r w:rsidRPr="008D0EBF">
              <w:rPr>
                <w:b/>
                <w:bCs/>
              </w:rPr>
              <w:t>99,6%</w:t>
            </w:r>
          </w:p>
        </w:tc>
      </w:tr>
      <w:tr w:rsidR="00A17188" w:rsidRPr="008D0EBF" w:rsidTr="00E519D7">
        <w:trPr>
          <w:trHeight w:val="327"/>
          <w:jc w:val="center"/>
        </w:trPr>
        <w:tc>
          <w:tcPr>
            <w:tcW w:w="2632" w:type="dxa"/>
            <w:hideMark/>
          </w:tcPr>
          <w:p w:rsidR="00A17188" w:rsidRPr="008D0EBF" w:rsidRDefault="00A17188" w:rsidP="00A17188">
            <w:r w:rsidRPr="008D0EBF">
              <w:rPr>
                <w:b/>
                <w:bCs/>
              </w:rPr>
              <w:t>měst přísp+obch</w:t>
            </w:r>
          </w:p>
        </w:tc>
        <w:tc>
          <w:tcPr>
            <w:tcW w:w="1044" w:type="dxa"/>
            <w:hideMark/>
          </w:tcPr>
          <w:p w:rsidR="00A17188" w:rsidRPr="008D0EBF" w:rsidRDefault="00A17188" w:rsidP="00A17188">
            <w:r w:rsidRPr="008D0EBF">
              <w:rPr>
                <w:b/>
                <w:bCs/>
              </w:rPr>
              <w:t>5 611</w:t>
            </w:r>
          </w:p>
        </w:tc>
        <w:tc>
          <w:tcPr>
            <w:tcW w:w="1045" w:type="dxa"/>
            <w:hideMark/>
          </w:tcPr>
          <w:p w:rsidR="00A17188" w:rsidRPr="008D0EBF" w:rsidRDefault="00A17188" w:rsidP="00A17188">
            <w:r w:rsidRPr="008D0EBF">
              <w:rPr>
                <w:b/>
                <w:bCs/>
              </w:rPr>
              <w:t>6 022</w:t>
            </w:r>
          </w:p>
        </w:tc>
        <w:tc>
          <w:tcPr>
            <w:tcW w:w="1393" w:type="dxa"/>
            <w:hideMark/>
          </w:tcPr>
          <w:p w:rsidR="00A17188" w:rsidRPr="008D0EBF" w:rsidRDefault="00A17188" w:rsidP="00A17188">
            <w:r w:rsidRPr="008D0EBF">
              <w:rPr>
                <w:b/>
                <w:bCs/>
              </w:rPr>
              <w:t>5 961</w:t>
            </w:r>
          </w:p>
        </w:tc>
        <w:tc>
          <w:tcPr>
            <w:tcW w:w="2960" w:type="dxa"/>
            <w:hideMark/>
          </w:tcPr>
          <w:p w:rsidR="00A17188" w:rsidRPr="008D0EBF" w:rsidRDefault="00A17188" w:rsidP="00A17188">
            <w:r w:rsidRPr="008D0EBF">
              <w:rPr>
                <w:b/>
                <w:bCs/>
              </w:rPr>
              <w:t>106,2%</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14"/>
          <w:jc w:val="center"/>
        </w:trPr>
        <w:tc>
          <w:tcPr>
            <w:tcW w:w="2632" w:type="dxa"/>
            <w:hideMark/>
          </w:tcPr>
          <w:p w:rsidR="00A17188" w:rsidRPr="008D0EBF" w:rsidRDefault="00A17188" w:rsidP="00A17188">
            <w:r w:rsidRPr="008D0EBF">
              <w:rPr>
                <w:b/>
                <w:bCs/>
              </w:rPr>
              <w:t>JPO</w:t>
            </w:r>
          </w:p>
        </w:tc>
        <w:tc>
          <w:tcPr>
            <w:tcW w:w="1044" w:type="dxa"/>
            <w:hideMark/>
          </w:tcPr>
          <w:p w:rsidR="00A17188" w:rsidRPr="008D0EBF" w:rsidRDefault="00A17188" w:rsidP="00A17188">
            <w:r w:rsidRPr="008D0EBF">
              <w:rPr>
                <w:b/>
                <w:bCs/>
              </w:rPr>
              <w:t>11 112</w:t>
            </w:r>
          </w:p>
        </w:tc>
        <w:tc>
          <w:tcPr>
            <w:tcW w:w="1045" w:type="dxa"/>
            <w:hideMark/>
          </w:tcPr>
          <w:p w:rsidR="00A17188" w:rsidRPr="008D0EBF" w:rsidRDefault="00A17188" w:rsidP="00A17188">
            <w:r w:rsidRPr="008D0EBF">
              <w:rPr>
                <w:b/>
                <w:bCs/>
              </w:rPr>
              <w:t>11 476</w:t>
            </w:r>
          </w:p>
        </w:tc>
        <w:tc>
          <w:tcPr>
            <w:tcW w:w="1393" w:type="dxa"/>
            <w:hideMark/>
          </w:tcPr>
          <w:p w:rsidR="00A17188" w:rsidRPr="008D0EBF" w:rsidRDefault="00A17188" w:rsidP="00A17188">
            <w:r w:rsidRPr="008D0EBF">
              <w:rPr>
                <w:b/>
                <w:bCs/>
              </w:rPr>
              <w:t>12 639</w:t>
            </w:r>
          </w:p>
        </w:tc>
        <w:tc>
          <w:tcPr>
            <w:tcW w:w="2960" w:type="dxa"/>
            <w:hideMark/>
          </w:tcPr>
          <w:p w:rsidR="00A17188" w:rsidRPr="008D0EBF" w:rsidRDefault="00A17188" w:rsidP="00A17188">
            <w:r w:rsidRPr="008D0EBF">
              <w:rPr>
                <w:b/>
                <w:bCs/>
              </w:rPr>
              <w:t>113,7%</w:t>
            </w:r>
          </w:p>
        </w:tc>
      </w:tr>
      <w:tr w:rsidR="00A17188" w:rsidRPr="008D0EBF" w:rsidTr="00E519D7">
        <w:trPr>
          <w:trHeight w:val="419"/>
          <w:jc w:val="center"/>
        </w:trPr>
        <w:tc>
          <w:tcPr>
            <w:tcW w:w="2632" w:type="dxa"/>
            <w:hideMark/>
          </w:tcPr>
          <w:p w:rsidR="00A17188" w:rsidRPr="008D0EBF" w:rsidRDefault="00A17188" w:rsidP="00A17188">
            <w:r w:rsidRPr="008D0EBF">
              <w:rPr>
                <w:b/>
                <w:bCs/>
              </w:rPr>
              <w:t>Ostat. Voj.</w:t>
            </w:r>
          </w:p>
        </w:tc>
        <w:tc>
          <w:tcPr>
            <w:tcW w:w="1044" w:type="dxa"/>
            <w:hideMark/>
          </w:tcPr>
          <w:p w:rsidR="00A17188" w:rsidRPr="008D0EBF" w:rsidRDefault="00A17188" w:rsidP="00A17188">
            <w:r w:rsidRPr="008D0EBF">
              <w:rPr>
                <w:b/>
                <w:bCs/>
              </w:rPr>
              <w:t>1 793</w:t>
            </w:r>
          </w:p>
        </w:tc>
        <w:tc>
          <w:tcPr>
            <w:tcW w:w="1045" w:type="dxa"/>
            <w:hideMark/>
          </w:tcPr>
          <w:p w:rsidR="00A17188" w:rsidRPr="008D0EBF" w:rsidRDefault="00A17188" w:rsidP="00A17188">
            <w:r w:rsidRPr="008D0EBF">
              <w:rPr>
                <w:b/>
                <w:bCs/>
              </w:rPr>
              <w:t xml:space="preserve">1 894 </w:t>
            </w:r>
          </w:p>
        </w:tc>
        <w:tc>
          <w:tcPr>
            <w:tcW w:w="1393" w:type="dxa"/>
            <w:hideMark/>
          </w:tcPr>
          <w:p w:rsidR="00A17188" w:rsidRPr="008D0EBF" w:rsidRDefault="00A17188" w:rsidP="00A17188">
            <w:r w:rsidRPr="008D0EBF">
              <w:rPr>
                <w:b/>
                <w:bCs/>
              </w:rPr>
              <w:t>1 988</w:t>
            </w:r>
          </w:p>
        </w:tc>
        <w:tc>
          <w:tcPr>
            <w:tcW w:w="2960" w:type="dxa"/>
            <w:hideMark/>
          </w:tcPr>
          <w:p w:rsidR="00A17188" w:rsidRPr="008D0EBF" w:rsidRDefault="00A17188" w:rsidP="00A17188">
            <w:r w:rsidRPr="008D0EBF">
              <w:rPr>
                <w:b/>
                <w:bCs/>
              </w:rPr>
              <w:t>110,8%</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94"/>
          <w:jc w:val="center"/>
        </w:trPr>
        <w:tc>
          <w:tcPr>
            <w:tcW w:w="2632" w:type="dxa"/>
            <w:hideMark/>
          </w:tcPr>
          <w:p w:rsidR="00A17188" w:rsidRPr="008D0EBF" w:rsidRDefault="00A17188" w:rsidP="00A17188">
            <w:r w:rsidRPr="008D0EBF">
              <w:rPr>
                <w:b/>
                <w:bCs/>
              </w:rPr>
              <w:t>celkem</w:t>
            </w:r>
          </w:p>
        </w:tc>
        <w:tc>
          <w:tcPr>
            <w:tcW w:w="1044" w:type="dxa"/>
            <w:hideMark/>
          </w:tcPr>
          <w:p w:rsidR="00A17188" w:rsidRPr="008D0EBF" w:rsidRDefault="00A17188" w:rsidP="00A17188">
            <w:r w:rsidRPr="008D0EBF">
              <w:rPr>
                <w:b/>
                <w:bCs/>
              </w:rPr>
              <w:t>103 811</w:t>
            </w:r>
          </w:p>
        </w:tc>
        <w:tc>
          <w:tcPr>
            <w:tcW w:w="1045" w:type="dxa"/>
            <w:hideMark/>
          </w:tcPr>
          <w:p w:rsidR="00A17188" w:rsidRPr="008D0EBF" w:rsidRDefault="00A17188" w:rsidP="00A17188">
            <w:r w:rsidRPr="008D0EBF">
              <w:rPr>
                <w:b/>
                <w:bCs/>
              </w:rPr>
              <w:t>106 575</w:t>
            </w:r>
          </w:p>
        </w:tc>
        <w:tc>
          <w:tcPr>
            <w:tcW w:w="1393" w:type="dxa"/>
            <w:hideMark/>
          </w:tcPr>
          <w:p w:rsidR="00A17188" w:rsidRPr="008D0EBF" w:rsidRDefault="00A17188" w:rsidP="00A17188">
            <w:r w:rsidRPr="008D0EBF">
              <w:rPr>
                <w:b/>
                <w:bCs/>
              </w:rPr>
              <w:t>107 312</w:t>
            </w:r>
          </w:p>
        </w:tc>
        <w:tc>
          <w:tcPr>
            <w:tcW w:w="2960" w:type="dxa"/>
            <w:hideMark/>
          </w:tcPr>
          <w:p w:rsidR="00A17188" w:rsidRPr="008D0EBF" w:rsidRDefault="00A17188" w:rsidP="00A17188">
            <w:r w:rsidRPr="008D0EBF">
              <w:rPr>
                <w:b/>
                <w:bCs/>
              </w:rPr>
              <w:t>103,4%</w:t>
            </w:r>
          </w:p>
        </w:tc>
      </w:tr>
    </w:tbl>
    <w:p w:rsidR="00A17188" w:rsidRPr="008D0EBF" w:rsidRDefault="00A17188" w:rsidP="00A17188"/>
    <w:p w:rsidR="00A17188" w:rsidRPr="00B8204C" w:rsidRDefault="00A17188" w:rsidP="00A17188">
      <w:pPr>
        <w:rPr>
          <w:sz w:val="24"/>
          <w:szCs w:val="24"/>
        </w:rPr>
      </w:pPr>
      <w:r w:rsidRPr="00B8204C">
        <w:rPr>
          <w:sz w:val="24"/>
          <w:szCs w:val="24"/>
        </w:rPr>
        <w:t xml:space="preserve">Restrikce úhradové vyhlášky pro rok 2013 jsou zřejmé na porovnání výše úhrad za rok 2012 a první pololetí roku 2013, kdy tato relace dosahuje 48,1%. </w:t>
      </w:r>
    </w:p>
    <w:p w:rsidR="00E519D7" w:rsidRPr="008D0EBF" w:rsidRDefault="00E519D7" w:rsidP="00A17188"/>
    <w:tbl>
      <w:tblPr>
        <w:tblStyle w:val="Svtlstnovn"/>
        <w:tblW w:w="7450" w:type="dxa"/>
        <w:jc w:val="center"/>
        <w:tblLook w:val="0420" w:firstRow="1" w:lastRow="0" w:firstColumn="0" w:lastColumn="0" w:noHBand="0" w:noVBand="1"/>
      </w:tblPr>
      <w:tblGrid>
        <w:gridCol w:w="4086"/>
        <w:gridCol w:w="1816"/>
        <w:gridCol w:w="1548"/>
      </w:tblGrid>
      <w:tr w:rsidR="00A17188" w:rsidRPr="008D0EBF" w:rsidTr="00E519D7">
        <w:trPr>
          <w:cnfStyle w:val="100000000000" w:firstRow="1" w:lastRow="0" w:firstColumn="0" w:lastColumn="0" w:oddVBand="0" w:evenVBand="0" w:oddHBand="0" w:evenHBand="0" w:firstRowFirstColumn="0" w:firstRowLastColumn="0" w:lastRowFirstColumn="0" w:lastRowLastColumn="0"/>
          <w:trHeight w:val="73"/>
          <w:jc w:val="center"/>
        </w:trPr>
        <w:tc>
          <w:tcPr>
            <w:tcW w:w="4086" w:type="dxa"/>
            <w:hideMark/>
          </w:tcPr>
          <w:p w:rsidR="00A17188" w:rsidRPr="003C4307" w:rsidRDefault="00A17188" w:rsidP="00A17188">
            <w:r w:rsidRPr="003C4307">
              <w:rPr>
                <w:bCs w:val="0"/>
              </w:rPr>
              <w:t>Tržby všechny ZP (v tis. Kč)</w:t>
            </w:r>
          </w:p>
        </w:tc>
        <w:tc>
          <w:tcPr>
            <w:tcW w:w="1816" w:type="dxa"/>
            <w:hideMark/>
          </w:tcPr>
          <w:p w:rsidR="00A17188" w:rsidRPr="008D0EBF" w:rsidRDefault="00A17188" w:rsidP="00A17188">
            <w:r w:rsidRPr="008D0EBF">
              <w:t>30. 6. 2013</w:t>
            </w:r>
          </w:p>
        </w:tc>
        <w:tc>
          <w:tcPr>
            <w:tcW w:w="1548" w:type="dxa"/>
            <w:hideMark/>
          </w:tcPr>
          <w:p w:rsidR="00A17188" w:rsidRPr="008D0EBF" w:rsidRDefault="00A17188" w:rsidP="00A17188">
            <w:r w:rsidRPr="008D0EBF">
              <w:t>31. 12. 2012</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97"/>
          <w:jc w:val="center"/>
        </w:trPr>
        <w:tc>
          <w:tcPr>
            <w:tcW w:w="4086" w:type="dxa"/>
            <w:hideMark/>
          </w:tcPr>
          <w:p w:rsidR="00A17188" w:rsidRPr="008D0EBF" w:rsidRDefault="00A17188" w:rsidP="00A17188">
            <w:r w:rsidRPr="008D0EBF">
              <w:t>ZRIZ</w:t>
            </w:r>
          </w:p>
        </w:tc>
        <w:tc>
          <w:tcPr>
            <w:tcW w:w="1816" w:type="dxa"/>
            <w:hideMark/>
          </w:tcPr>
          <w:p w:rsidR="00A17188" w:rsidRPr="008D0EBF" w:rsidRDefault="00A17188" w:rsidP="00A17188">
            <w:r w:rsidRPr="008D0EBF">
              <w:t>TRZBY ZP</w:t>
            </w:r>
          </w:p>
        </w:tc>
        <w:tc>
          <w:tcPr>
            <w:tcW w:w="1548" w:type="dxa"/>
            <w:hideMark/>
          </w:tcPr>
          <w:p w:rsidR="00A17188" w:rsidRPr="008D0EBF" w:rsidRDefault="00A17188" w:rsidP="00A17188">
            <w:r w:rsidRPr="008D0EBF">
              <w:t>TRZBY ZP</w:t>
            </w:r>
          </w:p>
        </w:tc>
      </w:tr>
      <w:tr w:rsidR="00A17188" w:rsidRPr="008D0EBF" w:rsidTr="00E519D7">
        <w:trPr>
          <w:trHeight w:val="13"/>
          <w:jc w:val="center"/>
        </w:trPr>
        <w:tc>
          <w:tcPr>
            <w:tcW w:w="4086" w:type="dxa"/>
            <w:hideMark/>
          </w:tcPr>
          <w:p w:rsidR="00A17188" w:rsidRPr="008D0EBF" w:rsidRDefault="00A17188" w:rsidP="00A17188">
            <w:r w:rsidRPr="008D0EBF">
              <w:t>MZ</w:t>
            </w:r>
          </w:p>
        </w:tc>
        <w:tc>
          <w:tcPr>
            <w:tcW w:w="1816" w:type="dxa"/>
            <w:hideMark/>
          </w:tcPr>
          <w:p w:rsidR="00A17188" w:rsidRPr="008D0EBF" w:rsidRDefault="00A17188" w:rsidP="00A17188">
            <w:r w:rsidRPr="008D0EBF">
              <w:t>24 512 825</w:t>
            </w:r>
          </w:p>
        </w:tc>
        <w:tc>
          <w:tcPr>
            <w:tcW w:w="1548" w:type="dxa"/>
            <w:hideMark/>
          </w:tcPr>
          <w:p w:rsidR="00A17188" w:rsidRPr="008D0EBF" w:rsidRDefault="00A17188" w:rsidP="00A17188">
            <w:r w:rsidRPr="008D0EBF">
              <w:t>50 606 758</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18"/>
          <w:jc w:val="center"/>
        </w:trPr>
        <w:tc>
          <w:tcPr>
            <w:tcW w:w="4086" w:type="dxa"/>
            <w:hideMark/>
          </w:tcPr>
          <w:p w:rsidR="00A17188" w:rsidRPr="008D0EBF" w:rsidRDefault="00A17188" w:rsidP="00A17188">
            <w:r w:rsidRPr="008D0EBF">
              <w:t>kraj - PO</w:t>
            </w:r>
          </w:p>
        </w:tc>
        <w:tc>
          <w:tcPr>
            <w:tcW w:w="1816" w:type="dxa"/>
            <w:hideMark/>
          </w:tcPr>
          <w:p w:rsidR="00A17188" w:rsidRPr="008D0EBF" w:rsidRDefault="00A17188" w:rsidP="00A17188">
            <w:r w:rsidRPr="008D0EBF">
              <w:t>4 789 927</w:t>
            </w:r>
          </w:p>
        </w:tc>
        <w:tc>
          <w:tcPr>
            <w:tcW w:w="1548" w:type="dxa"/>
            <w:hideMark/>
          </w:tcPr>
          <w:p w:rsidR="00A17188" w:rsidRPr="008D0EBF" w:rsidRDefault="00A17188" w:rsidP="00A17188">
            <w:r w:rsidRPr="008D0EBF">
              <w:t>9 980 425</w:t>
            </w:r>
          </w:p>
        </w:tc>
      </w:tr>
      <w:tr w:rsidR="00A17188" w:rsidRPr="008D0EBF" w:rsidTr="00E519D7">
        <w:trPr>
          <w:trHeight w:val="26"/>
          <w:jc w:val="center"/>
        </w:trPr>
        <w:tc>
          <w:tcPr>
            <w:tcW w:w="4086" w:type="dxa"/>
            <w:hideMark/>
          </w:tcPr>
          <w:p w:rsidR="00A17188" w:rsidRPr="008D0EBF" w:rsidRDefault="00A17188" w:rsidP="00A17188">
            <w:r w:rsidRPr="008D0EBF">
              <w:t>kraj – obch. Spol</w:t>
            </w:r>
          </w:p>
        </w:tc>
        <w:tc>
          <w:tcPr>
            <w:tcW w:w="1816" w:type="dxa"/>
            <w:hideMark/>
          </w:tcPr>
          <w:p w:rsidR="00A17188" w:rsidRPr="008D0EBF" w:rsidRDefault="00A17188" w:rsidP="00A17188">
            <w:r w:rsidRPr="008D0EBF">
              <w:t>12 417 515</w:t>
            </w:r>
          </w:p>
        </w:tc>
        <w:tc>
          <w:tcPr>
            <w:tcW w:w="1548" w:type="dxa"/>
            <w:hideMark/>
          </w:tcPr>
          <w:p w:rsidR="00A17188" w:rsidRPr="008D0EBF" w:rsidRDefault="00A17188" w:rsidP="00A17188">
            <w:r w:rsidRPr="008D0EBF">
              <w:t>26 136 867</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5"/>
          <w:jc w:val="center"/>
        </w:trPr>
        <w:tc>
          <w:tcPr>
            <w:tcW w:w="4086" w:type="dxa"/>
            <w:hideMark/>
          </w:tcPr>
          <w:p w:rsidR="00A17188" w:rsidRPr="008D0EBF" w:rsidRDefault="00A17188" w:rsidP="00A17188">
            <w:r w:rsidRPr="008D0EBF">
              <w:t>město</w:t>
            </w:r>
          </w:p>
        </w:tc>
        <w:tc>
          <w:tcPr>
            <w:tcW w:w="1816" w:type="dxa"/>
            <w:hideMark/>
          </w:tcPr>
          <w:p w:rsidR="00A17188" w:rsidRPr="008D0EBF" w:rsidRDefault="00A17188" w:rsidP="00A17188">
            <w:r w:rsidRPr="008D0EBF">
              <w:t>2 243 927</w:t>
            </w:r>
          </w:p>
        </w:tc>
        <w:tc>
          <w:tcPr>
            <w:tcW w:w="1548" w:type="dxa"/>
            <w:hideMark/>
          </w:tcPr>
          <w:p w:rsidR="00A17188" w:rsidRPr="008D0EBF" w:rsidRDefault="00A17188" w:rsidP="00A17188">
            <w:r w:rsidRPr="008D0EBF">
              <w:t>4 884 294</w:t>
            </w:r>
          </w:p>
        </w:tc>
      </w:tr>
      <w:tr w:rsidR="00A17188" w:rsidRPr="008D0EBF" w:rsidTr="00E519D7">
        <w:trPr>
          <w:trHeight w:val="43"/>
          <w:jc w:val="center"/>
        </w:trPr>
        <w:tc>
          <w:tcPr>
            <w:tcW w:w="4086" w:type="dxa"/>
            <w:hideMark/>
          </w:tcPr>
          <w:p w:rsidR="00A17188" w:rsidRPr="008D0EBF" w:rsidRDefault="00A17188" w:rsidP="00A17188">
            <w:r w:rsidRPr="008D0EBF">
              <w:t>město – obch.spol.</w:t>
            </w:r>
          </w:p>
        </w:tc>
        <w:tc>
          <w:tcPr>
            <w:tcW w:w="1816" w:type="dxa"/>
            <w:hideMark/>
          </w:tcPr>
          <w:p w:rsidR="00A17188" w:rsidRPr="008D0EBF" w:rsidRDefault="00A17188" w:rsidP="00A17188">
            <w:r w:rsidRPr="008D0EBF">
              <w:t>501 309</w:t>
            </w:r>
          </w:p>
        </w:tc>
        <w:tc>
          <w:tcPr>
            <w:tcW w:w="1548" w:type="dxa"/>
            <w:hideMark/>
          </w:tcPr>
          <w:p w:rsidR="00A17188" w:rsidRPr="008D0EBF" w:rsidRDefault="00A17188" w:rsidP="00A17188">
            <w:r w:rsidRPr="008D0EBF">
              <w:t>1 077 066</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20"/>
          <w:jc w:val="center"/>
        </w:trPr>
        <w:tc>
          <w:tcPr>
            <w:tcW w:w="4086" w:type="dxa"/>
            <w:hideMark/>
          </w:tcPr>
          <w:p w:rsidR="00A17188" w:rsidRPr="008D0EBF" w:rsidRDefault="00A17188" w:rsidP="00A17188">
            <w:r w:rsidRPr="008D0EBF">
              <w:t>JPO, církev</w:t>
            </w:r>
          </w:p>
        </w:tc>
        <w:tc>
          <w:tcPr>
            <w:tcW w:w="1816" w:type="dxa"/>
            <w:hideMark/>
          </w:tcPr>
          <w:p w:rsidR="00A17188" w:rsidRPr="008D0EBF" w:rsidRDefault="00A17188" w:rsidP="00A17188">
            <w:r w:rsidRPr="008D0EBF">
              <w:t>6 191 874</w:t>
            </w:r>
          </w:p>
        </w:tc>
        <w:tc>
          <w:tcPr>
            <w:tcW w:w="1548" w:type="dxa"/>
            <w:hideMark/>
          </w:tcPr>
          <w:p w:rsidR="00A17188" w:rsidRPr="008D0EBF" w:rsidRDefault="00A17188" w:rsidP="00A17188">
            <w:r w:rsidRPr="008D0EBF">
              <w:t>12 639 163</w:t>
            </w:r>
          </w:p>
        </w:tc>
      </w:tr>
      <w:tr w:rsidR="00A17188" w:rsidRPr="008D0EBF" w:rsidTr="00E519D7">
        <w:trPr>
          <w:trHeight w:val="28"/>
          <w:jc w:val="center"/>
        </w:trPr>
        <w:tc>
          <w:tcPr>
            <w:tcW w:w="4086" w:type="dxa"/>
            <w:hideMark/>
          </w:tcPr>
          <w:p w:rsidR="00A17188" w:rsidRPr="008D0EBF" w:rsidRDefault="00A17188" w:rsidP="00A17188">
            <w:r w:rsidRPr="008D0EBF">
              <w:t>Vojenské nem.</w:t>
            </w:r>
          </w:p>
        </w:tc>
        <w:tc>
          <w:tcPr>
            <w:tcW w:w="1816" w:type="dxa"/>
            <w:hideMark/>
          </w:tcPr>
          <w:p w:rsidR="00A17188" w:rsidRPr="008D0EBF" w:rsidRDefault="00A17188" w:rsidP="00A17188">
            <w:r w:rsidRPr="008D0EBF">
              <w:t>983 478</w:t>
            </w:r>
          </w:p>
        </w:tc>
        <w:tc>
          <w:tcPr>
            <w:tcW w:w="1548" w:type="dxa"/>
            <w:hideMark/>
          </w:tcPr>
          <w:p w:rsidR="00A17188" w:rsidRPr="008D0EBF" w:rsidRDefault="00A17188" w:rsidP="00A17188">
            <w:r w:rsidRPr="008D0EBF">
              <w:t>1 988 387</w:t>
            </w:r>
          </w:p>
        </w:tc>
      </w:tr>
      <w:tr w:rsidR="00A17188" w:rsidRPr="008D0EBF" w:rsidTr="00E519D7">
        <w:trPr>
          <w:cnfStyle w:val="000000100000" w:firstRow="0" w:lastRow="0" w:firstColumn="0" w:lastColumn="0" w:oddVBand="0" w:evenVBand="0" w:oddHBand="1" w:evenHBand="0" w:firstRowFirstColumn="0" w:firstRowLastColumn="0" w:lastRowFirstColumn="0" w:lastRowLastColumn="0"/>
          <w:trHeight w:val="5"/>
          <w:jc w:val="center"/>
        </w:trPr>
        <w:tc>
          <w:tcPr>
            <w:tcW w:w="4086" w:type="dxa"/>
            <w:hideMark/>
          </w:tcPr>
          <w:p w:rsidR="00A17188" w:rsidRPr="008D0EBF" w:rsidRDefault="00A17188" w:rsidP="00A17188">
            <w:r w:rsidRPr="008D0EBF">
              <w:rPr>
                <w:b/>
                <w:bCs/>
              </w:rPr>
              <w:t>celkem</w:t>
            </w:r>
          </w:p>
        </w:tc>
        <w:tc>
          <w:tcPr>
            <w:tcW w:w="1816" w:type="dxa"/>
            <w:hideMark/>
          </w:tcPr>
          <w:p w:rsidR="00A17188" w:rsidRPr="008D0EBF" w:rsidRDefault="00A17188" w:rsidP="00A17188">
            <w:r w:rsidRPr="008D0EBF">
              <w:rPr>
                <w:b/>
                <w:bCs/>
              </w:rPr>
              <w:t>51 640 855</w:t>
            </w:r>
          </w:p>
        </w:tc>
        <w:tc>
          <w:tcPr>
            <w:tcW w:w="1548" w:type="dxa"/>
            <w:hideMark/>
          </w:tcPr>
          <w:p w:rsidR="00A17188" w:rsidRPr="008D0EBF" w:rsidRDefault="00A17188" w:rsidP="00A17188">
            <w:r w:rsidRPr="008D0EBF">
              <w:rPr>
                <w:b/>
                <w:bCs/>
              </w:rPr>
              <w:t>107 312 960</w:t>
            </w:r>
          </w:p>
        </w:tc>
      </w:tr>
      <w:tr w:rsidR="00A17188" w:rsidRPr="008D0EBF" w:rsidTr="007166B4">
        <w:trPr>
          <w:trHeight w:val="172"/>
          <w:jc w:val="center"/>
        </w:trPr>
        <w:tc>
          <w:tcPr>
            <w:tcW w:w="5901" w:type="dxa"/>
            <w:gridSpan w:val="2"/>
            <w:hideMark/>
          </w:tcPr>
          <w:p w:rsidR="00A17188" w:rsidRPr="008D0EBF" w:rsidRDefault="00A17188" w:rsidP="00A17188">
            <w:r w:rsidRPr="008D0EBF">
              <w:rPr>
                <w:b/>
                <w:bCs/>
              </w:rPr>
              <w:t>Relace rok 2012 proti 1. pololetí 2013</w:t>
            </w:r>
          </w:p>
        </w:tc>
        <w:tc>
          <w:tcPr>
            <w:tcW w:w="1548" w:type="dxa"/>
            <w:hideMark/>
          </w:tcPr>
          <w:p w:rsidR="00A17188" w:rsidRPr="008D0EBF" w:rsidRDefault="00A17188" w:rsidP="00A17188">
            <w:r w:rsidRPr="008D0EBF">
              <w:rPr>
                <w:b/>
                <w:bCs/>
              </w:rPr>
              <w:t>48,1%</w:t>
            </w:r>
          </w:p>
        </w:tc>
      </w:tr>
    </w:tbl>
    <w:p w:rsidR="00B8204C" w:rsidRPr="007166B4" w:rsidRDefault="00B8204C" w:rsidP="007166B4">
      <w:pPr>
        <w:pStyle w:val="Nadpis2"/>
        <w:ind w:left="792"/>
        <w:rPr>
          <w:rFonts w:asciiTheme="minorHAnsi" w:hAnsiTheme="minorHAnsi" w:cs="Arial"/>
          <w:color w:val="auto"/>
        </w:rPr>
      </w:pPr>
    </w:p>
    <w:p w:rsidR="00A5580E" w:rsidRPr="007166B4" w:rsidRDefault="00A5580E" w:rsidP="007166B4">
      <w:pPr>
        <w:pStyle w:val="Nadpis2"/>
        <w:numPr>
          <w:ilvl w:val="1"/>
          <w:numId w:val="20"/>
        </w:numPr>
        <w:rPr>
          <w:rFonts w:asciiTheme="minorHAnsi" w:hAnsiTheme="minorHAnsi" w:cs="Arial"/>
          <w:color w:val="auto"/>
        </w:rPr>
      </w:pPr>
      <w:bookmarkStart w:id="17" w:name="_Toc373223688"/>
      <w:bookmarkStart w:id="18" w:name="_Toc367188616"/>
      <w:r w:rsidRPr="007166B4">
        <w:rPr>
          <w:rFonts w:asciiTheme="minorHAnsi" w:hAnsiTheme="minorHAnsi" w:cs="Arial"/>
          <w:color w:val="auto"/>
        </w:rPr>
        <w:t>Hospodářský výsledek za 1. pololetí 2013</w:t>
      </w:r>
      <w:bookmarkEnd w:id="17"/>
    </w:p>
    <w:p w:rsidR="007166B4" w:rsidRDefault="007166B4" w:rsidP="00BE07AE">
      <w:pPr>
        <w:jc w:val="both"/>
        <w:rPr>
          <w:sz w:val="24"/>
          <w:szCs w:val="24"/>
        </w:rPr>
      </w:pPr>
    </w:p>
    <w:p w:rsidR="00A5580E" w:rsidRPr="00B8204C" w:rsidRDefault="00526016" w:rsidP="00BE07AE">
      <w:pPr>
        <w:jc w:val="both"/>
        <w:rPr>
          <w:sz w:val="24"/>
          <w:szCs w:val="24"/>
        </w:rPr>
      </w:pPr>
      <w:r w:rsidRPr="00B8204C">
        <w:rPr>
          <w:sz w:val="24"/>
          <w:szCs w:val="24"/>
        </w:rPr>
        <w:t>U všech zřizovatelů skončily v průměru nemocnice ve ztrátě.  Celková ztráta za všechny nemocnice činí 1,46 mld. Kč.</w:t>
      </w:r>
    </w:p>
    <w:tbl>
      <w:tblPr>
        <w:tblStyle w:val="Svtlstnovn"/>
        <w:tblW w:w="10355" w:type="dxa"/>
        <w:jc w:val="center"/>
        <w:tblLook w:val="0420" w:firstRow="1" w:lastRow="0" w:firstColumn="0" w:lastColumn="0" w:noHBand="0" w:noVBand="1"/>
      </w:tblPr>
      <w:tblGrid>
        <w:gridCol w:w="4451"/>
        <w:gridCol w:w="1701"/>
        <w:gridCol w:w="1701"/>
        <w:gridCol w:w="2502"/>
      </w:tblGrid>
      <w:tr w:rsidR="00A5580E" w:rsidRPr="008D0EBF" w:rsidTr="00526016">
        <w:trPr>
          <w:cnfStyle w:val="100000000000" w:firstRow="1" w:lastRow="0" w:firstColumn="0" w:lastColumn="0" w:oddVBand="0" w:evenVBand="0" w:oddHBand="0" w:evenHBand="0" w:firstRowFirstColumn="0" w:firstRowLastColumn="0" w:lastRowFirstColumn="0" w:lastRowLastColumn="0"/>
          <w:trHeight w:val="73"/>
          <w:jc w:val="center"/>
        </w:trPr>
        <w:tc>
          <w:tcPr>
            <w:tcW w:w="4451" w:type="dxa"/>
            <w:hideMark/>
          </w:tcPr>
          <w:p w:rsidR="00A5580E" w:rsidRPr="003C4307" w:rsidRDefault="00A5580E" w:rsidP="00526016">
            <w:r w:rsidRPr="003C4307">
              <w:rPr>
                <w:bCs w:val="0"/>
              </w:rPr>
              <w:t xml:space="preserve">Hospodářský výsledek (v </w:t>
            </w:r>
            <w:r w:rsidR="00526016" w:rsidRPr="003C4307">
              <w:rPr>
                <w:bCs w:val="0"/>
              </w:rPr>
              <w:t>mil</w:t>
            </w:r>
            <w:r w:rsidRPr="003C4307">
              <w:rPr>
                <w:bCs w:val="0"/>
              </w:rPr>
              <w:t xml:space="preserve">. </w:t>
            </w:r>
            <w:r w:rsidR="00526016" w:rsidRPr="003C4307">
              <w:rPr>
                <w:bCs w:val="0"/>
              </w:rPr>
              <w:t>K</w:t>
            </w:r>
            <w:r w:rsidRPr="003C4307">
              <w:rPr>
                <w:bCs w:val="0"/>
              </w:rPr>
              <w:t>č)</w:t>
            </w:r>
          </w:p>
        </w:tc>
        <w:tc>
          <w:tcPr>
            <w:tcW w:w="1701" w:type="dxa"/>
            <w:hideMark/>
          </w:tcPr>
          <w:p w:rsidR="00A5580E" w:rsidRPr="008D0EBF" w:rsidRDefault="00A5580E" w:rsidP="00197C92"/>
        </w:tc>
        <w:tc>
          <w:tcPr>
            <w:tcW w:w="1701" w:type="dxa"/>
            <w:hideMark/>
          </w:tcPr>
          <w:p w:rsidR="00A5580E" w:rsidRPr="008D0EBF" w:rsidRDefault="00A5580E" w:rsidP="00197C92"/>
        </w:tc>
        <w:tc>
          <w:tcPr>
            <w:tcW w:w="2502" w:type="dxa"/>
          </w:tcPr>
          <w:p w:rsidR="00A5580E" w:rsidRPr="008D0EBF" w:rsidRDefault="00A5580E" w:rsidP="00197C92"/>
        </w:tc>
      </w:tr>
      <w:tr w:rsidR="00A5580E" w:rsidRPr="008D0EBF" w:rsidTr="00526016">
        <w:trPr>
          <w:cnfStyle w:val="000000100000" w:firstRow="0" w:lastRow="0" w:firstColumn="0" w:lastColumn="0" w:oddVBand="0" w:evenVBand="0" w:oddHBand="1" w:evenHBand="0" w:firstRowFirstColumn="0" w:firstRowLastColumn="0" w:lastRowFirstColumn="0" w:lastRowLastColumn="0"/>
          <w:trHeight w:val="97"/>
          <w:jc w:val="center"/>
        </w:trPr>
        <w:tc>
          <w:tcPr>
            <w:tcW w:w="4451" w:type="dxa"/>
            <w:hideMark/>
          </w:tcPr>
          <w:p w:rsidR="00A5580E" w:rsidRPr="00526016" w:rsidRDefault="00526016" w:rsidP="00197C92">
            <w:pPr>
              <w:rPr>
                <w:b/>
              </w:rPr>
            </w:pPr>
            <w:r w:rsidRPr="00526016">
              <w:rPr>
                <w:b/>
              </w:rPr>
              <w:t>Zřizovatel</w:t>
            </w:r>
          </w:p>
        </w:tc>
        <w:tc>
          <w:tcPr>
            <w:tcW w:w="1701" w:type="dxa"/>
            <w:hideMark/>
          </w:tcPr>
          <w:p w:rsidR="00A5580E" w:rsidRPr="00526016" w:rsidRDefault="00A5580E" w:rsidP="00A5580E">
            <w:pPr>
              <w:rPr>
                <w:b/>
              </w:rPr>
            </w:pPr>
            <w:r w:rsidRPr="00526016">
              <w:rPr>
                <w:b/>
              </w:rPr>
              <w:t xml:space="preserve">Náklady </w:t>
            </w:r>
          </w:p>
        </w:tc>
        <w:tc>
          <w:tcPr>
            <w:tcW w:w="1701" w:type="dxa"/>
            <w:hideMark/>
          </w:tcPr>
          <w:p w:rsidR="00A5580E" w:rsidRPr="00526016" w:rsidRDefault="00A5580E" w:rsidP="00197C92">
            <w:pPr>
              <w:rPr>
                <w:b/>
              </w:rPr>
            </w:pPr>
            <w:r w:rsidRPr="00526016">
              <w:rPr>
                <w:b/>
              </w:rPr>
              <w:t>Výnosy</w:t>
            </w:r>
          </w:p>
        </w:tc>
        <w:tc>
          <w:tcPr>
            <w:tcW w:w="2502" w:type="dxa"/>
          </w:tcPr>
          <w:p w:rsidR="00A5580E" w:rsidRPr="00526016" w:rsidRDefault="00A5580E" w:rsidP="00197C92">
            <w:pPr>
              <w:rPr>
                <w:b/>
              </w:rPr>
            </w:pPr>
            <w:r w:rsidRPr="00526016">
              <w:rPr>
                <w:b/>
              </w:rPr>
              <w:t>Hospodářský výsledek</w:t>
            </w:r>
          </w:p>
        </w:tc>
      </w:tr>
      <w:tr w:rsidR="00A5580E" w:rsidRPr="008D0EBF" w:rsidTr="00526016">
        <w:trPr>
          <w:trHeight w:val="13"/>
          <w:jc w:val="center"/>
        </w:trPr>
        <w:tc>
          <w:tcPr>
            <w:tcW w:w="4451" w:type="dxa"/>
            <w:hideMark/>
          </w:tcPr>
          <w:p w:rsidR="00A5580E" w:rsidRPr="00526016" w:rsidRDefault="00A5580E" w:rsidP="00197C92">
            <w:pPr>
              <w:rPr>
                <w:b/>
              </w:rPr>
            </w:pPr>
            <w:r w:rsidRPr="00526016">
              <w:rPr>
                <w:b/>
              </w:rPr>
              <w:t>MZ</w:t>
            </w:r>
          </w:p>
        </w:tc>
        <w:tc>
          <w:tcPr>
            <w:tcW w:w="1701" w:type="dxa"/>
            <w:hideMark/>
          </w:tcPr>
          <w:p w:rsidR="00A5580E" w:rsidRPr="00526016" w:rsidRDefault="00526016" w:rsidP="00526016">
            <w:pPr>
              <w:jc w:val="right"/>
              <w:rPr>
                <w:b/>
              </w:rPr>
            </w:pPr>
            <w:r w:rsidRPr="00526016">
              <w:rPr>
                <w:rFonts w:cs="ArialMT"/>
                <w:b/>
                <w:lang w:eastAsia="cs-CZ"/>
              </w:rPr>
              <w:t>30 349</w:t>
            </w:r>
          </w:p>
        </w:tc>
        <w:tc>
          <w:tcPr>
            <w:tcW w:w="1701" w:type="dxa"/>
            <w:hideMark/>
          </w:tcPr>
          <w:p w:rsidR="00A5580E" w:rsidRPr="00526016" w:rsidRDefault="00526016" w:rsidP="00526016">
            <w:pPr>
              <w:jc w:val="right"/>
              <w:rPr>
                <w:b/>
              </w:rPr>
            </w:pPr>
            <w:r w:rsidRPr="00526016">
              <w:rPr>
                <w:rFonts w:cs="ArialMT"/>
                <w:b/>
                <w:lang w:eastAsia="cs-CZ"/>
              </w:rPr>
              <w:t>29 906</w:t>
            </w:r>
          </w:p>
        </w:tc>
        <w:tc>
          <w:tcPr>
            <w:tcW w:w="2502" w:type="dxa"/>
          </w:tcPr>
          <w:p w:rsidR="00A5580E" w:rsidRPr="00526016" w:rsidRDefault="00526016" w:rsidP="00526016">
            <w:pPr>
              <w:jc w:val="right"/>
              <w:rPr>
                <w:b/>
              </w:rPr>
            </w:pPr>
            <w:r w:rsidRPr="00526016">
              <w:rPr>
                <w:rFonts w:cs="ArialMT"/>
                <w:b/>
                <w:lang w:eastAsia="cs-CZ"/>
              </w:rPr>
              <w:t>-443</w:t>
            </w:r>
          </w:p>
        </w:tc>
      </w:tr>
      <w:tr w:rsidR="00A5580E" w:rsidRPr="008D0EBF" w:rsidTr="00526016">
        <w:trPr>
          <w:cnfStyle w:val="000000100000" w:firstRow="0" w:lastRow="0" w:firstColumn="0" w:lastColumn="0" w:oddVBand="0" w:evenVBand="0" w:oddHBand="1" w:evenHBand="0" w:firstRowFirstColumn="0" w:firstRowLastColumn="0" w:lastRowFirstColumn="0" w:lastRowLastColumn="0"/>
          <w:trHeight w:val="18"/>
          <w:jc w:val="center"/>
        </w:trPr>
        <w:tc>
          <w:tcPr>
            <w:tcW w:w="4451" w:type="dxa"/>
            <w:hideMark/>
          </w:tcPr>
          <w:p w:rsidR="00A5580E" w:rsidRPr="00526016" w:rsidRDefault="00526016" w:rsidP="00197C92">
            <w:pPr>
              <w:rPr>
                <w:b/>
              </w:rPr>
            </w:pPr>
            <w:r w:rsidRPr="00526016">
              <w:rPr>
                <w:rFonts w:cs="ArialMT"/>
                <w:b/>
                <w:lang w:eastAsia="cs-CZ"/>
              </w:rPr>
              <w:t>Kraj (příspěvkové organizace)</w:t>
            </w:r>
          </w:p>
        </w:tc>
        <w:tc>
          <w:tcPr>
            <w:tcW w:w="1701" w:type="dxa"/>
            <w:hideMark/>
          </w:tcPr>
          <w:p w:rsidR="00A5580E" w:rsidRPr="00526016" w:rsidRDefault="00526016" w:rsidP="00526016">
            <w:pPr>
              <w:jc w:val="right"/>
              <w:rPr>
                <w:b/>
              </w:rPr>
            </w:pPr>
            <w:r w:rsidRPr="00526016">
              <w:rPr>
                <w:rFonts w:cs="ArialMT"/>
                <w:b/>
                <w:lang w:eastAsia="cs-CZ"/>
              </w:rPr>
              <w:t>6 232</w:t>
            </w:r>
          </w:p>
        </w:tc>
        <w:tc>
          <w:tcPr>
            <w:tcW w:w="1701" w:type="dxa"/>
            <w:hideMark/>
          </w:tcPr>
          <w:p w:rsidR="00A5580E" w:rsidRPr="00526016" w:rsidRDefault="00526016" w:rsidP="00526016">
            <w:pPr>
              <w:jc w:val="right"/>
              <w:rPr>
                <w:b/>
              </w:rPr>
            </w:pPr>
            <w:r w:rsidRPr="00526016">
              <w:rPr>
                <w:rFonts w:cs="ArialMT"/>
                <w:b/>
                <w:lang w:eastAsia="cs-CZ"/>
              </w:rPr>
              <w:t>5 962</w:t>
            </w:r>
          </w:p>
        </w:tc>
        <w:tc>
          <w:tcPr>
            <w:tcW w:w="2502" w:type="dxa"/>
          </w:tcPr>
          <w:p w:rsidR="00A5580E" w:rsidRPr="00526016" w:rsidRDefault="00526016" w:rsidP="00526016">
            <w:pPr>
              <w:jc w:val="right"/>
              <w:rPr>
                <w:b/>
              </w:rPr>
            </w:pPr>
            <w:r w:rsidRPr="00526016">
              <w:rPr>
                <w:rFonts w:cs="ArialMT"/>
                <w:b/>
                <w:lang w:eastAsia="cs-CZ"/>
              </w:rPr>
              <w:t>-270</w:t>
            </w:r>
          </w:p>
        </w:tc>
      </w:tr>
      <w:tr w:rsidR="00A5580E" w:rsidRPr="008D0EBF" w:rsidTr="00526016">
        <w:trPr>
          <w:trHeight w:val="26"/>
          <w:jc w:val="center"/>
        </w:trPr>
        <w:tc>
          <w:tcPr>
            <w:tcW w:w="4451" w:type="dxa"/>
            <w:hideMark/>
          </w:tcPr>
          <w:p w:rsidR="00A5580E" w:rsidRPr="00526016" w:rsidRDefault="00526016" w:rsidP="00197C92">
            <w:pPr>
              <w:rPr>
                <w:b/>
              </w:rPr>
            </w:pPr>
            <w:r w:rsidRPr="00526016">
              <w:rPr>
                <w:rFonts w:cs="ArialMT"/>
                <w:b/>
                <w:lang w:eastAsia="cs-CZ"/>
              </w:rPr>
              <w:t>Obec, město (příspěvkové organizace)</w:t>
            </w:r>
          </w:p>
        </w:tc>
        <w:tc>
          <w:tcPr>
            <w:tcW w:w="1701" w:type="dxa"/>
            <w:hideMark/>
          </w:tcPr>
          <w:p w:rsidR="00A5580E" w:rsidRPr="00526016" w:rsidRDefault="00526016" w:rsidP="00526016">
            <w:pPr>
              <w:jc w:val="right"/>
              <w:rPr>
                <w:b/>
              </w:rPr>
            </w:pPr>
            <w:r w:rsidRPr="00526016">
              <w:rPr>
                <w:rFonts w:cs="ArialMT"/>
                <w:b/>
                <w:lang w:eastAsia="cs-CZ"/>
              </w:rPr>
              <w:t>2 715</w:t>
            </w:r>
          </w:p>
        </w:tc>
        <w:tc>
          <w:tcPr>
            <w:tcW w:w="1701" w:type="dxa"/>
            <w:hideMark/>
          </w:tcPr>
          <w:p w:rsidR="00A5580E" w:rsidRPr="00526016" w:rsidRDefault="00526016" w:rsidP="00526016">
            <w:pPr>
              <w:jc w:val="right"/>
              <w:rPr>
                <w:b/>
              </w:rPr>
            </w:pPr>
            <w:r w:rsidRPr="00526016">
              <w:rPr>
                <w:rFonts w:cs="ArialMT"/>
                <w:b/>
                <w:lang w:eastAsia="cs-CZ"/>
              </w:rPr>
              <w:t>2 647</w:t>
            </w:r>
          </w:p>
        </w:tc>
        <w:tc>
          <w:tcPr>
            <w:tcW w:w="2502" w:type="dxa"/>
          </w:tcPr>
          <w:p w:rsidR="00A5580E" w:rsidRPr="00526016" w:rsidRDefault="00526016" w:rsidP="00526016">
            <w:pPr>
              <w:jc w:val="right"/>
              <w:rPr>
                <w:b/>
              </w:rPr>
            </w:pPr>
            <w:r w:rsidRPr="00526016">
              <w:rPr>
                <w:rFonts w:cs="ArialMT"/>
                <w:b/>
                <w:lang w:eastAsia="cs-CZ"/>
              </w:rPr>
              <w:t>-68</w:t>
            </w:r>
          </w:p>
        </w:tc>
      </w:tr>
      <w:tr w:rsidR="00A5580E" w:rsidRPr="008D0EBF" w:rsidTr="00526016">
        <w:trPr>
          <w:cnfStyle w:val="000000100000" w:firstRow="0" w:lastRow="0" w:firstColumn="0" w:lastColumn="0" w:oddVBand="0" w:evenVBand="0" w:oddHBand="1" w:evenHBand="0" w:firstRowFirstColumn="0" w:firstRowLastColumn="0" w:lastRowFirstColumn="0" w:lastRowLastColumn="0"/>
          <w:trHeight w:val="5"/>
          <w:jc w:val="center"/>
        </w:trPr>
        <w:tc>
          <w:tcPr>
            <w:tcW w:w="4451" w:type="dxa"/>
            <w:hideMark/>
          </w:tcPr>
          <w:p w:rsidR="00A5580E" w:rsidRPr="00526016" w:rsidRDefault="00526016" w:rsidP="00197C92">
            <w:pPr>
              <w:rPr>
                <w:b/>
              </w:rPr>
            </w:pPr>
            <w:r w:rsidRPr="00526016">
              <w:rPr>
                <w:rFonts w:cs="ArialMT"/>
                <w:b/>
                <w:lang w:eastAsia="cs-CZ"/>
              </w:rPr>
              <w:t>Jiná právnická osoba, církev</w:t>
            </w:r>
          </w:p>
        </w:tc>
        <w:tc>
          <w:tcPr>
            <w:tcW w:w="1701" w:type="dxa"/>
            <w:hideMark/>
          </w:tcPr>
          <w:p w:rsidR="00A5580E" w:rsidRPr="00526016" w:rsidRDefault="00526016" w:rsidP="00526016">
            <w:pPr>
              <w:jc w:val="right"/>
              <w:rPr>
                <w:b/>
              </w:rPr>
            </w:pPr>
            <w:r w:rsidRPr="00526016">
              <w:rPr>
                <w:rFonts w:cs="ArialMT"/>
                <w:b/>
                <w:lang w:eastAsia="cs-CZ"/>
              </w:rPr>
              <w:t>23 963</w:t>
            </w:r>
          </w:p>
        </w:tc>
        <w:tc>
          <w:tcPr>
            <w:tcW w:w="1701" w:type="dxa"/>
            <w:hideMark/>
          </w:tcPr>
          <w:p w:rsidR="00A5580E" w:rsidRPr="00526016" w:rsidRDefault="00526016" w:rsidP="00526016">
            <w:pPr>
              <w:jc w:val="right"/>
              <w:rPr>
                <w:b/>
              </w:rPr>
            </w:pPr>
            <w:r w:rsidRPr="00526016">
              <w:rPr>
                <w:rFonts w:cs="ArialMT"/>
                <w:b/>
                <w:lang w:eastAsia="cs-CZ"/>
              </w:rPr>
              <w:t>23 442</w:t>
            </w:r>
          </w:p>
        </w:tc>
        <w:tc>
          <w:tcPr>
            <w:tcW w:w="2502" w:type="dxa"/>
          </w:tcPr>
          <w:p w:rsidR="00A5580E" w:rsidRPr="00526016" w:rsidRDefault="00526016" w:rsidP="00526016">
            <w:pPr>
              <w:jc w:val="right"/>
              <w:rPr>
                <w:b/>
              </w:rPr>
            </w:pPr>
            <w:r w:rsidRPr="00526016">
              <w:rPr>
                <w:rFonts w:cs="ArialMT"/>
                <w:b/>
                <w:lang w:eastAsia="cs-CZ"/>
              </w:rPr>
              <w:t>-521</w:t>
            </w:r>
          </w:p>
        </w:tc>
      </w:tr>
      <w:tr w:rsidR="00A5580E" w:rsidRPr="008D0EBF" w:rsidTr="00526016">
        <w:trPr>
          <w:trHeight w:val="43"/>
          <w:jc w:val="center"/>
        </w:trPr>
        <w:tc>
          <w:tcPr>
            <w:tcW w:w="4451" w:type="dxa"/>
            <w:hideMark/>
          </w:tcPr>
          <w:p w:rsidR="00A5580E" w:rsidRPr="00526016" w:rsidRDefault="00526016" w:rsidP="00526016">
            <w:pPr>
              <w:autoSpaceDE w:val="0"/>
              <w:autoSpaceDN w:val="0"/>
              <w:adjustRightInd w:val="0"/>
              <w:spacing w:after="0" w:line="240" w:lineRule="auto"/>
              <w:rPr>
                <w:b/>
              </w:rPr>
            </w:pPr>
            <w:r w:rsidRPr="00526016">
              <w:rPr>
                <w:rFonts w:cs="ArialMT"/>
                <w:b/>
                <w:lang w:eastAsia="cs-CZ"/>
              </w:rPr>
              <w:t>z toho krajské, městské obchodní společnosti</w:t>
            </w:r>
          </w:p>
        </w:tc>
        <w:tc>
          <w:tcPr>
            <w:tcW w:w="1701" w:type="dxa"/>
            <w:hideMark/>
          </w:tcPr>
          <w:p w:rsidR="00A5580E" w:rsidRPr="00526016" w:rsidRDefault="00526016" w:rsidP="00526016">
            <w:pPr>
              <w:jc w:val="right"/>
              <w:rPr>
                <w:b/>
              </w:rPr>
            </w:pPr>
            <w:r w:rsidRPr="00526016">
              <w:rPr>
                <w:rFonts w:cs="ArialMT"/>
                <w:b/>
                <w:lang w:eastAsia="cs-CZ"/>
              </w:rPr>
              <w:t>16 761</w:t>
            </w:r>
          </w:p>
        </w:tc>
        <w:tc>
          <w:tcPr>
            <w:tcW w:w="1701" w:type="dxa"/>
            <w:hideMark/>
          </w:tcPr>
          <w:p w:rsidR="00A5580E" w:rsidRPr="00526016" w:rsidRDefault="00526016" w:rsidP="00526016">
            <w:pPr>
              <w:jc w:val="right"/>
              <w:rPr>
                <w:b/>
              </w:rPr>
            </w:pPr>
            <w:r w:rsidRPr="00526016">
              <w:rPr>
                <w:rFonts w:cs="ArialMT"/>
                <w:b/>
                <w:lang w:eastAsia="cs-CZ"/>
              </w:rPr>
              <w:t>15 933</w:t>
            </w:r>
          </w:p>
        </w:tc>
        <w:tc>
          <w:tcPr>
            <w:tcW w:w="2502" w:type="dxa"/>
          </w:tcPr>
          <w:p w:rsidR="00A5580E" w:rsidRPr="00526016" w:rsidRDefault="00526016" w:rsidP="00526016">
            <w:pPr>
              <w:jc w:val="right"/>
              <w:rPr>
                <w:b/>
              </w:rPr>
            </w:pPr>
            <w:r w:rsidRPr="00526016">
              <w:rPr>
                <w:rFonts w:cs="ArialMT"/>
                <w:b/>
                <w:lang w:eastAsia="cs-CZ"/>
              </w:rPr>
              <w:t>-829</w:t>
            </w:r>
          </w:p>
        </w:tc>
      </w:tr>
      <w:tr w:rsidR="00A5580E" w:rsidRPr="008D0EBF" w:rsidTr="00526016">
        <w:trPr>
          <w:cnfStyle w:val="000000100000" w:firstRow="0" w:lastRow="0" w:firstColumn="0" w:lastColumn="0" w:oddVBand="0" w:evenVBand="0" w:oddHBand="1" w:evenHBand="0" w:firstRowFirstColumn="0" w:firstRowLastColumn="0" w:lastRowFirstColumn="0" w:lastRowLastColumn="0"/>
          <w:trHeight w:val="20"/>
          <w:jc w:val="center"/>
        </w:trPr>
        <w:tc>
          <w:tcPr>
            <w:tcW w:w="4451" w:type="dxa"/>
            <w:hideMark/>
          </w:tcPr>
          <w:p w:rsidR="00A5580E" w:rsidRPr="00526016" w:rsidRDefault="00526016" w:rsidP="00197C92">
            <w:pPr>
              <w:rPr>
                <w:b/>
              </w:rPr>
            </w:pPr>
            <w:r w:rsidRPr="00526016">
              <w:rPr>
                <w:rFonts w:cs="ArialMT"/>
                <w:b/>
                <w:lang w:eastAsia="cs-CZ"/>
              </w:rPr>
              <w:t>Ostatní centrální orgány</w:t>
            </w:r>
          </w:p>
        </w:tc>
        <w:tc>
          <w:tcPr>
            <w:tcW w:w="1701" w:type="dxa"/>
            <w:hideMark/>
          </w:tcPr>
          <w:p w:rsidR="00A5580E" w:rsidRPr="00526016" w:rsidRDefault="00526016" w:rsidP="00526016">
            <w:pPr>
              <w:jc w:val="right"/>
              <w:rPr>
                <w:b/>
              </w:rPr>
            </w:pPr>
            <w:r w:rsidRPr="00526016">
              <w:rPr>
                <w:rFonts w:cs="ArialMT"/>
                <w:b/>
                <w:lang w:eastAsia="cs-CZ"/>
              </w:rPr>
              <w:t>1 564</w:t>
            </w:r>
          </w:p>
        </w:tc>
        <w:tc>
          <w:tcPr>
            <w:tcW w:w="1701" w:type="dxa"/>
            <w:hideMark/>
          </w:tcPr>
          <w:p w:rsidR="00A5580E" w:rsidRPr="00526016" w:rsidRDefault="00526016" w:rsidP="00526016">
            <w:pPr>
              <w:jc w:val="right"/>
              <w:rPr>
                <w:b/>
              </w:rPr>
            </w:pPr>
            <w:r w:rsidRPr="00526016">
              <w:rPr>
                <w:rFonts w:cs="ArialMT"/>
                <w:b/>
                <w:lang w:eastAsia="cs-CZ"/>
              </w:rPr>
              <w:t>1 401</w:t>
            </w:r>
          </w:p>
        </w:tc>
        <w:tc>
          <w:tcPr>
            <w:tcW w:w="2502" w:type="dxa"/>
          </w:tcPr>
          <w:p w:rsidR="00A5580E" w:rsidRPr="00526016" w:rsidRDefault="00526016" w:rsidP="00526016">
            <w:pPr>
              <w:jc w:val="right"/>
              <w:rPr>
                <w:b/>
              </w:rPr>
            </w:pPr>
            <w:r w:rsidRPr="00526016">
              <w:rPr>
                <w:rFonts w:cs="ArialMT"/>
                <w:b/>
                <w:lang w:eastAsia="cs-CZ"/>
              </w:rPr>
              <w:t>-162</w:t>
            </w:r>
          </w:p>
        </w:tc>
      </w:tr>
      <w:tr w:rsidR="00A5580E" w:rsidRPr="008D0EBF" w:rsidTr="00526016">
        <w:trPr>
          <w:trHeight w:val="5"/>
          <w:jc w:val="center"/>
        </w:trPr>
        <w:tc>
          <w:tcPr>
            <w:tcW w:w="4451" w:type="dxa"/>
            <w:hideMark/>
          </w:tcPr>
          <w:p w:rsidR="00A5580E" w:rsidRPr="00526016" w:rsidRDefault="00A5580E" w:rsidP="00197C92">
            <w:pPr>
              <w:rPr>
                <w:b/>
              </w:rPr>
            </w:pPr>
            <w:r w:rsidRPr="00526016">
              <w:rPr>
                <w:b/>
                <w:bCs/>
              </w:rPr>
              <w:t>celkem</w:t>
            </w:r>
          </w:p>
        </w:tc>
        <w:tc>
          <w:tcPr>
            <w:tcW w:w="1701" w:type="dxa"/>
            <w:hideMark/>
          </w:tcPr>
          <w:p w:rsidR="00A5580E" w:rsidRPr="00526016" w:rsidRDefault="00526016" w:rsidP="00526016">
            <w:pPr>
              <w:jc w:val="right"/>
              <w:rPr>
                <w:b/>
              </w:rPr>
            </w:pPr>
            <w:r w:rsidRPr="00526016">
              <w:rPr>
                <w:rFonts w:cs="Arial-BoldMT"/>
                <w:b/>
                <w:bCs/>
                <w:lang w:eastAsia="cs-CZ"/>
              </w:rPr>
              <w:t>64 822</w:t>
            </w:r>
          </w:p>
        </w:tc>
        <w:tc>
          <w:tcPr>
            <w:tcW w:w="1701" w:type="dxa"/>
            <w:hideMark/>
          </w:tcPr>
          <w:p w:rsidR="00A5580E" w:rsidRPr="00526016" w:rsidRDefault="00526016" w:rsidP="00526016">
            <w:pPr>
              <w:jc w:val="right"/>
              <w:rPr>
                <w:b/>
              </w:rPr>
            </w:pPr>
            <w:r w:rsidRPr="00526016">
              <w:rPr>
                <w:rFonts w:cs="Arial-BoldMT"/>
                <w:b/>
                <w:bCs/>
                <w:lang w:eastAsia="cs-CZ"/>
              </w:rPr>
              <w:t>63 358</w:t>
            </w:r>
          </w:p>
        </w:tc>
        <w:tc>
          <w:tcPr>
            <w:tcW w:w="2502" w:type="dxa"/>
          </w:tcPr>
          <w:p w:rsidR="00A5580E" w:rsidRPr="00526016" w:rsidRDefault="00526016" w:rsidP="00526016">
            <w:pPr>
              <w:jc w:val="right"/>
              <w:rPr>
                <w:b/>
                <w:bCs/>
              </w:rPr>
            </w:pPr>
            <w:r w:rsidRPr="00526016">
              <w:rPr>
                <w:rFonts w:cs="Arial-BoldMT"/>
                <w:b/>
                <w:bCs/>
                <w:lang w:eastAsia="cs-CZ"/>
              </w:rPr>
              <w:t>-1 464</w:t>
            </w:r>
          </w:p>
        </w:tc>
      </w:tr>
    </w:tbl>
    <w:p w:rsidR="00197C92" w:rsidRDefault="00197C92" w:rsidP="00197C92">
      <w:pPr>
        <w:rPr>
          <w:sz w:val="24"/>
          <w:szCs w:val="24"/>
        </w:rPr>
      </w:pPr>
    </w:p>
    <w:p w:rsidR="00197C92" w:rsidRDefault="00197C92">
      <w:pPr>
        <w:spacing w:after="0" w:line="240" w:lineRule="auto"/>
        <w:rPr>
          <w:rFonts w:asciiTheme="minorHAnsi" w:eastAsia="Times New Roman" w:hAnsiTheme="minorHAnsi" w:cs="Arial"/>
          <w:b/>
          <w:bCs/>
          <w:sz w:val="28"/>
          <w:szCs w:val="28"/>
        </w:rPr>
      </w:pPr>
      <w:r>
        <w:rPr>
          <w:rFonts w:asciiTheme="minorHAnsi" w:eastAsia="Times New Roman" w:hAnsiTheme="minorHAnsi" w:cs="Arial"/>
          <w:b/>
          <w:bCs/>
          <w:sz w:val="28"/>
          <w:szCs w:val="28"/>
        </w:rPr>
        <w:br w:type="page"/>
      </w:r>
    </w:p>
    <w:p w:rsidR="004B55A4" w:rsidRDefault="004B55A4" w:rsidP="004B55A4">
      <w:pPr>
        <w:pStyle w:val="Nadpis1"/>
        <w:numPr>
          <w:ilvl w:val="0"/>
          <w:numId w:val="20"/>
        </w:numPr>
        <w:rPr>
          <w:rFonts w:asciiTheme="minorHAnsi" w:hAnsiTheme="minorHAnsi" w:cs="Arial"/>
          <w:color w:val="auto"/>
        </w:rPr>
      </w:pPr>
      <w:bookmarkStart w:id="19" w:name="_Toc373223689"/>
      <w:r w:rsidRPr="004B55A4">
        <w:rPr>
          <w:rFonts w:asciiTheme="minorHAnsi" w:hAnsiTheme="minorHAnsi" w:cs="Arial"/>
          <w:color w:val="auto"/>
        </w:rPr>
        <w:t>Situace v oblasti poskytování lázeňské léčebně rehabilitační péče</w:t>
      </w:r>
      <w:bookmarkEnd w:id="19"/>
    </w:p>
    <w:p w:rsidR="004B55A4" w:rsidRPr="004B55A4" w:rsidRDefault="004B55A4" w:rsidP="004B55A4">
      <w:pPr>
        <w:spacing w:after="0"/>
        <w:jc w:val="both"/>
        <w:rPr>
          <w:b/>
          <w:sz w:val="24"/>
          <w:szCs w:val="24"/>
        </w:rPr>
      </w:pPr>
      <w:r w:rsidRPr="004B55A4">
        <w:rPr>
          <w:sz w:val="24"/>
          <w:szCs w:val="24"/>
        </w:rPr>
        <w:t xml:space="preserve">Již </w:t>
      </w:r>
      <w:r w:rsidRPr="004B55A4">
        <w:rPr>
          <w:b/>
          <w:sz w:val="24"/>
          <w:szCs w:val="24"/>
        </w:rPr>
        <w:t xml:space="preserve">od roku 2010 </w:t>
      </w:r>
      <w:r w:rsidRPr="004B55A4">
        <w:rPr>
          <w:sz w:val="24"/>
          <w:szCs w:val="24"/>
        </w:rPr>
        <w:t xml:space="preserve">dochází k postupnému </w:t>
      </w:r>
      <w:r w:rsidRPr="004B55A4">
        <w:rPr>
          <w:b/>
          <w:sz w:val="24"/>
          <w:szCs w:val="24"/>
        </w:rPr>
        <w:t xml:space="preserve">„úbytku“ pacientů v lázních, poklesu výdajů </w:t>
      </w:r>
      <w:r w:rsidRPr="004B55A4">
        <w:rPr>
          <w:sz w:val="24"/>
          <w:szCs w:val="24"/>
        </w:rPr>
        <w:t xml:space="preserve">na lázeňskou léčebně rehabilitační péči. V 1. čtvrtletí 2013 došlo k významnějšímu snížení počtu navržených lázeňských pobytů oproti roku 2012. Z provedené analýzy vyplynulo, že příčina je multifaktoriální, nesouvisí výhradně s platností nové vyhlášky -  Indikačního seznamu (IS), jak je běžně v odborné i laické veřejnosti prezentováno. </w:t>
      </w:r>
      <w:r w:rsidRPr="004B55A4">
        <w:rPr>
          <w:b/>
          <w:sz w:val="24"/>
          <w:szCs w:val="24"/>
        </w:rPr>
        <w:t>Příčiny jsou zejména odborné a sociální.</w:t>
      </w:r>
    </w:p>
    <w:p w:rsidR="004B55A4" w:rsidRPr="004B55A4" w:rsidRDefault="004B55A4" w:rsidP="004B55A4">
      <w:pPr>
        <w:spacing w:after="0"/>
        <w:jc w:val="both"/>
        <w:rPr>
          <w:sz w:val="24"/>
          <w:szCs w:val="24"/>
        </w:rPr>
      </w:pPr>
    </w:p>
    <w:p w:rsidR="004B55A4" w:rsidRPr="004B55A4" w:rsidRDefault="004B55A4" w:rsidP="004B55A4">
      <w:pPr>
        <w:pStyle w:val="Odstavecseseznamem"/>
        <w:numPr>
          <w:ilvl w:val="0"/>
          <w:numId w:val="43"/>
        </w:numPr>
        <w:contextualSpacing/>
        <w:jc w:val="both"/>
        <w:rPr>
          <w:sz w:val="24"/>
          <w:szCs w:val="24"/>
        </w:rPr>
      </w:pPr>
      <w:r w:rsidRPr="004B55A4">
        <w:rPr>
          <w:b/>
          <w:sz w:val="24"/>
          <w:szCs w:val="24"/>
        </w:rPr>
        <w:t xml:space="preserve">odborné důvody </w:t>
      </w:r>
      <w:r w:rsidRPr="004B55A4">
        <w:rPr>
          <w:sz w:val="24"/>
          <w:szCs w:val="24"/>
        </w:rPr>
        <w:t>– nové medicínské postupy v praxi; přesun léčby řady nemocí do péče akutní a ambulantní</w:t>
      </w:r>
    </w:p>
    <w:p w:rsidR="004B55A4" w:rsidRPr="004B55A4" w:rsidRDefault="004B55A4" w:rsidP="004B55A4">
      <w:pPr>
        <w:pStyle w:val="Odstavecseseznamem"/>
        <w:numPr>
          <w:ilvl w:val="0"/>
          <w:numId w:val="43"/>
        </w:numPr>
        <w:contextualSpacing/>
        <w:jc w:val="both"/>
        <w:rPr>
          <w:b/>
          <w:sz w:val="24"/>
          <w:szCs w:val="24"/>
        </w:rPr>
      </w:pPr>
      <w:r w:rsidRPr="004B55A4">
        <w:rPr>
          <w:b/>
          <w:sz w:val="24"/>
          <w:szCs w:val="24"/>
        </w:rPr>
        <w:t>úbytek dětí v populaci</w:t>
      </w:r>
    </w:p>
    <w:p w:rsidR="004B55A4" w:rsidRPr="004B55A4" w:rsidRDefault="004B55A4" w:rsidP="004B55A4">
      <w:pPr>
        <w:pStyle w:val="Odstavecseseznamem"/>
        <w:numPr>
          <w:ilvl w:val="0"/>
          <w:numId w:val="43"/>
        </w:numPr>
        <w:contextualSpacing/>
        <w:jc w:val="both"/>
        <w:rPr>
          <w:sz w:val="24"/>
          <w:szCs w:val="24"/>
        </w:rPr>
      </w:pPr>
      <w:r w:rsidRPr="004B55A4">
        <w:rPr>
          <w:b/>
          <w:sz w:val="24"/>
          <w:szCs w:val="24"/>
        </w:rPr>
        <w:t xml:space="preserve">ekonomická situace </w:t>
      </w:r>
      <w:r w:rsidRPr="004B55A4">
        <w:rPr>
          <w:sz w:val="24"/>
          <w:szCs w:val="24"/>
        </w:rPr>
        <w:t>občanů ČR i jiných zemí Evropy včetně obavy ze ztráty zaměstnání</w:t>
      </w:r>
    </w:p>
    <w:p w:rsidR="004B55A4" w:rsidRPr="004B55A4" w:rsidRDefault="004B55A4" w:rsidP="004B55A4">
      <w:pPr>
        <w:pStyle w:val="Odstavecseseznamem"/>
        <w:numPr>
          <w:ilvl w:val="0"/>
          <w:numId w:val="43"/>
        </w:numPr>
        <w:contextualSpacing/>
        <w:jc w:val="both"/>
        <w:rPr>
          <w:sz w:val="24"/>
          <w:szCs w:val="24"/>
        </w:rPr>
      </w:pPr>
      <w:r w:rsidRPr="004B55A4">
        <w:rPr>
          <w:b/>
          <w:sz w:val="24"/>
          <w:szCs w:val="24"/>
        </w:rPr>
        <w:t xml:space="preserve">administrativní důvody </w:t>
      </w:r>
      <w:r w:rsidRPr="004B55A4">
        <w:rPr>
          <w:sz w:val="24"/>
          <w:szCs w:val="24"/>
        </w:rPr>
        <w:t>– vystavování návrhů na lázeňskou péči (praktičtí lékaři, specialisté);</w:t>
      </w:r>
    </w:p>
    <w:p w:rsidR="004B55A4" w:rsidRPr="004B55A4" w:rsidRDefault="004B55A4" w:rsidP="004B55A4">
      <w:pPr>
        <w:pStyle w:val="Odstavecseseznamem"/>
        <w:numPr>
          <w:ilvl w:val="0"/>
          <w:numId w:val="43"/>
        </w:numPr>
        <w:contextualSpacing/>
        <w:jc w:val="both"/>
        <w:rPr>
          <w:sz w:val="24"/>
          <w:szCs w:val="24"/>
        </w:rPr>
      </w:pPr>
      <w:r w:rsidRPr="004B55A4">
        <w:rPr>
          <w:b/>
          <w:sz w:val="24"/>
          <w:szCs w:val="24"/>
        </w:rPr>
        <w:t xml:space="preserve">aplikace nového IS v praxi </w:t>
      </w:r>
      <w:r w:rsidRPr="004B55A4">
        <w:rPr>
          <w:sz w:val="24"/>
          <w:szCs w:val="24"/>
        </w:rPr>
        <w:t xml:space="preserve">– lékaři neindikují lázeňskou péči ve všech případech, kdy je to možné, ZP - částečně neodůvodněné zamítání návrhů, poskytovatelé lázeňské péče – neuplatňují v dostatečné míře návrhy na prodloužení pobytů, nepřizpůsobují se poptávce po finančně dostupném ubytování v případě příspěvkové péče, nedostatečná informovanost pacientů; </w:t>
      </w:r>
    </w:p>
    <w:p w:rsidR="004B55A4" w:rsidRPr="004B55A4" w:rsidRDefault="004B55A4" w:rsidP="004B55A4">
      <w:pPr>
        <w:pStyle w:val="Odstavecseseznamem"/>
        <w:numPr>
          <w:ilvl w:val="0"/>
          <w:numId w:val="43"/>
        </w:numPr>
        <w:contextualSpacing/>
        <w:jc w:val="both"/>
        <w:rPr>
          <w:sz w:val="24"/>
          <w:szCs w:val="24"/>
        </w:rPr>
      </w:pPr>
      <w:r w:rsidRPr="004B55A4">
        <w:rPr>
          <w:b/>
          <w:sz w:val="24"/>
          <w:szCs w:val="24"/>
        </w:rPr>
        <w:t>postavení balneoterapie v odborné veřejnosti</w:t>
      </w:r>
      <w:r w:rsidRPr="004B55A4">
        <w:rPr>
          <w:sz w:val="24"/>
          <w:szCs w:val="24"/>
        </w:rPr>
        <w:t>.</w:t>
      </w:r>
    </w:p>
    <w:p w:rsidR="004B55A4" w:rsidRPr="004B55A4" w:rsidRDefault="004B55A4" w:rsidP="004B55A4">
      <w:pPr>
        <w:pStyle w:val="Odstavecseseznamem"/>
        <w:ind w:left="1068"/>
        <w:jc w:val="both"/>
        <w:rPr>
          <w:sz w:val="24"/>
          <w:szCs w:val="24"/>
        </w:rPr>
      </w:pPr>
    </w:p>
    <w:p w:rsidR="004B55A4" w:rsidRPr="004B55A4" w:rsidRDefault="004B55A4" w:rsidP="004B55A4">
      <w:pPr>
        <w:spacing w:after="0"/>
        <w:jc w:val="both"/>
        <w:rPr>
          <w:b/>
          <w:sz w:val="24"/>
          <w:szCs w:val="24"/>
        </w:rPr>
      </w:pPr>
      <w:r w:rsidRPr="004B55A4">
        <w:rPr>
          <w:b/>
          <w:sz w:val="24"/>
          <w:szCs w:val="24"/>
        </w:rPr>
        <w:t>Kroky MZ ČR:</w:t>
      </w:r>
    </w:p>
    <w:p w:rsidR="004B55A4" w:rsidRPr="004B55A4" w:rsidRDefault="004B55A4" w:rsidP="004B55A4">
      <w:pPr>
        <w:pStyle w:val="Odstavecseseznamem"/>
        <w:ind w:left="0"/>
        <w:jc w:val="both"/>
        <w:rPr>
          <w:sz w:val="24"/>
          <w:szCs w:val="24"/>
        </w:rPr>
      </w:pPr>
      <w:r w:rsidRPr="004B55A4">
        <w:rPr>
          <w:sz w:val="24"/>
          <w:szCs w:val="24"/>
        </w:rPr>
        <w:t xml:space="preserve">MZ ČR → podpora segmentu lázeňství v roce 2013: </w:t>
      </w:r>
    </w:p>
    <w:p w:rsidR="004B55A4" w:rsidRPr="004B55A4" w:rsidRDefault="004B55A4" w:rsidP="004B55A4">
      <w:pPr>
        <w:pStyle w:val="Odstavecseseznamem"/>
        <w:numPr>
          <w:ilvl w:val="0"/>
          <w:numId w:val="44"/>
        </w:numPr>
        <w:contextualSpacing/>
        <w:jc w:val="both"/>
        <w:rPr>
          <w:sz w:val="24"/>
          <w:szCs w:val="24"/>
        </w:rPr>
      </w:pPr>
      <w:r w:rsidRPr="004B55A4">
        <w:rPr>
          <w:b/>
          <w:sz w:val="24"/>
          <w:szCs w:val="24"/>
        </w:rPr>
        <w:t>Aplikace nového právního předpisu (IS) v praxi</w:t>
      </w:r>
      <w:r w:rsidRPr="004B55A4">
        <w:rPr>
          <w:sz w:val="24"/>
          <w:szCs w:val="24"/>
        </w:rPr>
        <w:t>:</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jednání se zástupci ZP (úroveň vedení ZP – schvalování návrhů, prodlužování pobytů, metodiky)</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revizní lékaři ZP (kurzy, aplikace IS)</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oslovení praktických lékařů (návrhy na lázeňskou péči)</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oslovení odborných společností a profesních sdružení (návrhy na lázeňskou péči)</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oslovení poskytovatelů lázeňské péče (prodlužování lázeňských pobytů, ubytování)</w:t>
      </w:r>
    </w:p>
    <w:p w:rsidR="004B55A4" w:rsidRPr="004B55A4" w:rsidRDefault="004B55A4" w:rsidP="004B55A4">
      <w:pPr>
        <w:pStyle w:val="Odstavecseseznamem"/>
        <w:numPr>
          <w:ilvl w:val="0"/>
          <w:numId w:val="44"/>
        </w:numPr>
        <w:contextualSpacing/>
        <w:jc w:val="both"/>
        <w:rPr>
          <w:sz w:val="24"/>
          <w:szCs w:val="24"/>
        </w:rPr>
      </w:pPr>
      <w:r w:rsidRPr="004B55A4">
        <w:rPr>
          <w:b/>
          <w:sz w:val="24"/>
          <w:szCs w:val="24"/>
        </w:rPr>
        <w:t xml:space="preserve">Návrh nové úhradové vyhlášky na r. 2014 </w:t>
      </w:r>
      <w:r w:rsidRPr="004B55A4">
        <w:rPr>
          <w:sz w:val="24"/>
          <w:szCs w:val="24"/>
        </w:rPr>
        <w:t>- změna výše úhrady za lázeňskou péči:</w:t>
      </w:r>
    </w:p>
    <w:p w:rsidR="004B55A4" w:rsidRPr="004B55A4" w:rsidRDefault="004B55A4" w:rsidP="004B55A4">
      <w:pPr>
        <w:pStyle w:val="Odstavecseseznamem"/>
        <w:numPr>
          <w:ilvl w:val="0"/>
          <w:numId w:val="45"/>
        </w:numPr>
        <w:spacing w:after="0"/>
        <w:rPr>
          <w:sz w:val="24"/>
          <w:szCs w:val="24"/>
        </w:rPr>
      </w:pPr>
      <w:r w:rsidRPr="004B55A4">
        <w:rPr>
          <w:sz w:val="24"/>
          <w:szCs w:val="24"/>
        </w:rPr>
        <w:t>pro dospělé + 100 Kč/den</w:t>
      </w:r>
    </w:p>
    <w:p w:rsidR="004B55A4" w:rsidRPr="004B55A4" w:rsidRDefault="004B55A4" w:rsidP="004B55A4">
      <w:pPr>
        <w:pStyle w:val="Odstavecseseznamem"/>
        <w:numPr>
          <w:ilvl w:val="0"/>
          <w:numId w:val="45"/>
        </w:numPr>
        <w:contextualSpacing/>
        <w:jc w:val="both"/>
        <w:rPr>
          <w:sz w:val="24"/>
          <w:szCs w:val="24"/>
        </w:rPr>
      </w:pPr>
      <w:r w:rsidRPr="004B55A4">
        <w:rPr>
          <w:sz w:val="24"/>
          <w:szCs w:val="24"/>
        </w:rPr>
        <w:t>pro děti + 200 Kč/den</w:t>
      </w:r>
    </w:p>
    <w:p w:rsidR="004B55A4" w:rsidRPr="004B55A4" w:rsidRDefault="004B55A4" w:rsidP="004B55A4">
      <w:pPr>
        <w:pStyle w:val="Odstavecseseznamem"/>
        <w:numPr>
          <w:ilvl w:val="0"/>
          <w:numId w:val="44"/>
        </w:numPr>
        <w:contextualSpacing/>
        <w:jc w:val="both"/>
        <w:rPr>
          <w:sz w:val="24"/>
          <w:szCs w:val="24"/>
        </w:rPr>
      </w:pPr>
      <w:r w:rsidRPr="004B55A4">
        <w:rPr>
          <w:sz w:val="24"/>
          <w:szCs w:val="24"/>
        </w:rPr>
        <w:t xml:space="preserve">Náměstek pro zdravotní péči ustanovil při MZ ČR pracovní skupinu pro přípravu návrhu </w:t>
      </w:r>
      <w:r w:rsidRPr="004B55A4">
        <w:rPr>
          <w:b/>
          <w:sz w:val="24"/>
          <w:szCs w:val="24"/>
        </w:rPr>
        <w:t>novely vyhlášky č. 267/2012 Sb.</w:t>
      </w:r>
      <w:r w:rsidRPr="004B55A4">
        <w:rPr>
          <w:sz w:val="24"/>
          <w:szCs w:val="24"/>
        </w:rPr>
        <w:t>, o stanovení Indikačního seznamu pro lázeňskou léčebně rehabilitační péči o dospělé, děti a dorost, 1. jednání – listopad 2013, předpokládaná platnost – I.Q. 2014. Budou projednány a zapracovány relevantní návrhy memoranda Svazu léčebných lázní a sdružení lázeňských míst.</w:t>
      </w:r>
    </w:p>
    <w:p w:rsidR="004B55A4" w:rsidRPr="004B55A4" w:rsidRDefault="004B55A4" w:rsidP="004B55A4">
      <w:pPr>
        <w:pStyle w:val="Odstavecseseznamem"/>
        <w:jc w:val="both"/>
        <w:rPr>
          <w:sz w:val="24"/>
          <w:szCs w:val="24"/>
        </w:rPr>
      </w:pPr>
    </w:p>
    <w:p w:rsidR="00130780" w:rsidRDefault="004B55A4" w:rsidP="00130780">
      <w:pPr>
        <w:pStyle w:val="Odstavecseseznamem"/>
        <w:spacing w:after="0"/>
        <w:ind w:left="0"/>
        <w:jc w:val="both"/>
        <w:rPr>
          <w:rFonts w:eastAsia="Times New Roman"/>
          <w:bCs/>
          <w:color w:val="000000"/>
          <w:sz w:val="24"/>
          <w:szCs w:val="24"/>
          <w:lang w:eastAsia="cs-CZ"/>
        </w:rPr>
      </w:pPr>
      <w:r w:rsidRPr="004B55A4">
        <w:rPr>
          <w:sz w:val="24"/>
          <w:szCs w:val="24"/>
        </w:rPr>
        <w:t xml:space="preserve">Body 2. a 3. představují finanční podporu lázeňské péče. (Finanční prostředky, které nebyly v předchozím období vyčerpány za lázeňskou péči, byly využity na úhradu tzv. centrové péče, tj. vysoce specializované péče). </w:t>
      </w:r>
      <w:r w:rsidRPr="004B55A4">
        <w:rPr>
          <w:rFonts w:eastAsia="Times New Roman"/>
          <w:bCs/>
          <w:color w:val="000000"/>
          <w:sz w:val="24"/>
          <w:szCs w:val="24"/>
          <w:lang w:eastAsia="cs-CZ"/>
        </w:rPr>
        <w:t>Výše uvedené kroky jsou činěny přesto, že nejsou známy případy nedostupnosti lázeňské léčebně rehabilitační péče, resp. údaje o situaci, kdy je pacientovi léčba ošetřujícím lékařem navržena a revizním lékařem ZP schválena, a následně mu nebyla poskytnuta nebo musel neúměrně dlouho čekat.</w:t>
      </w:r>
    </w:p>
    <w:p w:rsidR="00130780" w:rsidRDefault="00B1138B" w:rsidP="00130780">
      <w:pPr>
        <w:pStyle w:val="Nadpis1"/>
        <w:numPr>
          <w:ilvl w:val="0"/>
          <w:numId w:val="20"/>
        </w:numPr>
        <w:rPr>
          <w:rFonts w:asciiTheme="minorHAnsi" w:hAnsiTheme="minorHAnsi" w:cs="Arial"/>
          <w:color w:val="auto"/>
        </w:rPr>
      </w:pPr>
      <w:bookmarkStart w:id="20" w:name="_Toc373223690"/>
      <w:r>
        <w:rPr>
          <w:rFonts w:asciiTheme="minorHAnsi" w:hAnsiTheme="minorHAnsi" w:cs="Arial"/>
          <w:color w:val="auto"/>
        </w:rPr>
        <w:t>Soutěžní mechanismy</w:t>
      </w:r>
      <w:r w:rsidR="00130780">
        <w:rPr>
          <w:rFonts w:asciiTheme="minorHAnsi" w:hAnsiTheme="minorHAnsi" w:cs="Arial"/>
          <w:color w:val="auto"/>
        </w:rPr>
        <w:t xml:space="preserve"> při nákupu léčiv</w:t>
      </w:r>
      <w:bookmarkEnd w:id="20"/>
    </w:p>
    <w:p w:rsidR="00475C98" w:rsidRPr="00475C98" w:rsidRDefault="00475C98" w:rsidP="00AA4C17">
      <w:pPr>
        <w:jc w:val="both"/>
        <w:rPr>
          <w:sz w:val="24"/>
          <w:szCs w:val="24"/>
        </w:rPr>
      </w:pPr>
      <w:r w:rsidRPr="00475C98">
        <w:rPr>
          <w:sz w:val="24"/>
          <w:szCs w:val="24"/>
        </w:rPr>
        <w:t xml:space="preserve">Náklady na </w:t>
      </w:r>
      <w:r>
        <w:rPr>
          <w:sz w:val="24"/>
          <w:szCs w:val="24"/>
        </w:rPr>
        <w:t xml:space="preserve">hrazené </w:t>
      </w:r>
      <w:r w:rsidRPr="00475C98">
        <w:rPr>
          <w:sz w:val="24"/>
          <w:szCs w:val="24"/>
        </w:rPr>
        <w:t xml:space="preserve">léky představují velký podíl na </w:t>
      </w:r>
      <w:r>
        <w:rPr>
          <w:sz w:val="24"/>
          <w:szCs w:val="24"/>
        </w:rPr>
        <w:t>nákladech ZP</w:t>
      </w:r>
      <w:r w:rsidR="00F204B9">
        <w:rPr>
          <w:sz w:val="24"/>
          <w:szCs w:val="24"/>
        </w:rPr>
        <w:t xml:space="preserve"> na zdravotní péči</w:t>
      </w:r>
      <w:r>
        <w:rPr>
          <w:sz w:val="24"/>
          <w:szCs w:val="24"/>
        </w:rPr>
        <w:t>.</w:t>
      </w:r>
      <w:r w:rsidRPr="00475C98">
        <w:rPr>
          <w:sz w:val="24"/>
          <w:szCs w:val="24"/>
        </w:rPr>
        <w:t xml:space="preserve"> </w:t>
      </w:r>
      <w:r w:rsidR="00F204B9" w:rsidRPr="00475C98">
        <w:rPr>
          <w:sz w:val="24"/>
          <w:szCs w:val="24"/>
        </w:rPr>
        <w:t>Z grafu je patrné, že celkem pravidelně bývá první pololetí nákladnější než dr</w:t>
      </w:r>
      <w:r w:rsidR="00F204B9">
        <w:rPr>
          <w:sz w:val="24"/>
          <w:szCs w:val="24"/>
        </w:rPr>
        <w:t>uhé. V roce 2012 došlo k nárůstu</w:t>
      </w:r>
      <w:r w:rsidR="00F204B9" w:rsidRPr="00475C98">
        <w:rPr>
          <w:sz w:val="24"/>
          <w:szCs w:val="24"/>
        </w:rPr>
        <w:t xml:space="preserve"> nákladů oproti roku 2011, zejména v prvním pololetí. Na tomto nárůstu se </w:t>
      </w:r>
      <w:r w:rsidR="00F204B9">
        <w:rPr>
          <w:sz w:val="24"/>
          <w:szCs w:val="24"/>
        </w:rPr>
        <w:t xml:space="preserve">částečně </w:t>
      </w:r>
      <w:r w:rsidR="00F204B9" w:rsidRPr="00475C98">
        <w:rPr>
          <w:sz w:val="24"/>
          <w:szCs w:val="24"/>
        </w:rPr>
        <w:t xml:space="preserve">podílelo zvýšení sazby DPH, které se prostřednictví „jádrové úhrady“ promítlo do výše úhrad za jednotlivé léky. </w:t>
      </w:r>
    </w:p>
    <w:p w:rsidR="00130780" w:rsidRDefault="00130780" w:rsidP="00AA4C17">
      <w:pPr>
        <w:jc w:val="both"/>
        <w:rPr>
          <w:lang w:eastAsia="cs-CZ"/>
        </w:rPr>
      </w:pPr>
      <w:r w:rsidRPr="00130780">
        <w:rPr>
          <w:noProof/>
          <w:lang w:eastAsia="cs-CZ"/>
        </w:rPr>
        <w:drawing>
          <wp:inline distT="0" distB="0" distL="0" distR="0" wp14:anchorId="471E0EB2" wp14:editId="67269DA0">
            <wp:extent cx="6553200" cy="2314575"/>
            <wp:effectExtent l="0" t="0" r="19050" b="9525"/>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204B9" w:rsidRDefault="00F204B9" w:rsidP="00AA4C17">
      <w:pPr>
        <w:jc w:val="both"/>
        <w:rPr>
          <w:sz w:val="24"/>
          <w:szCs w:val="24"/>
        </w:rPr>
      </w:pPr>
      <w:r>
        <w:rPr>
          <w:sz w:val="24"/>
          <w:szCs w:val="24"/>
        </w:rPr>
        <w:t>Jednou z možností, jak tyto náklady snížit je vyhlásit výběrové řízení při nákupu léčiv.</w:t>
      </w:r>
    </w:p>
    <w:p w:rsidR="00130780" w:rsidRPr="00130780" w:rsidRDefault="00130780" w:rsidP="00AA4C17">
      <w:pPr>
        <w:jc w:val="both"/>
        <w:rPr>
          <w:sz w:val="24"/>
          <w:szCs w:val="24"/>
          <w:lang w:eastAsia="cs-CZ"/>
        </w:rPr>
      </w:pPr>
      <w:r w:rsidRPr="00130780">
        <w:rPr>
          <w:sz w:val="24"/>
          <w:szCs w:val="24"/>
          <w:lang w:eastAsia="cs-CZ"/>
        </w:rPr>
        <w:t>Základem cenové a úhradové regulace léčiv jsou správní řízení vedená SÚKL. Převážná část nákladů na léčivé přípravky je tvořena úhradou za léčivé přípravky vydávané na recept, případně uhrazené jako součást zdravotnického výkonu formou ZULP. Tyto léčivé přípravky nakupují jednotliví poskytovatelé lékárenských služeb. O výběru konkrétního léku rozhoduje v převážné míře předepisující lékař. V této oblasti tedy prostor pro výběrová řízení v tradičním slova smyslu není.</w:t>
      </w:r>
    </w:p>
    <w:p w:rsidR="00130780" w:rsidRPr="00130780" w:rsidRDefault="00130780" w:rsidP="00AA4C17">
      <w:pPr>
        <w:jc w:val="both"/>
        <w:rPr>
          <w:sz w:val="24"/>
          <w:szCs w:val="24"/>
          <w:lang w:eastAsia="cs-CZ"/>
        </w:rPr>
      </w:pPr>
      <w:r w:rsidRPr="00130780">
        <w:rPr>
          <w:sz w:val="24"/>
          <w:szCs w:val="24"/>
          <w:lang w:eastAsia="cs-CZ"/>
        </w:rPr>
        <w:t>Další část nákladů systému veřejného zdravotního pojištění představují léčivé přípravky použité v rámci ústavní péče. I tyto léčivé přípravky, až na výjimky, podléhají cenové regulaci. V tomto segmentu se léčiva nezřídka nakup</w:t>
      </w:r>
      <w:r>
        <w:rPr>
          <w:sz w:val="24"/>
          <w:szCs w:val="24"/>
          <w:lang w:eastAsia="cs-CZ"/>
        </w:rPr>
        <w:t>ují soutěžním způsobem (</w:t>
      </w:r>
      <w:r w:rsidRPr="00130780">
        <w:rPr>
          <w:sz w:val="24"/>
          <w:szCs w:val="24"/>
          <w:lang w:eastAsia="cs-CZ"/>
        </w:rPr>
        <w:t>informace o objemu těchto nákupů není k</w:t>
      </w:r>
      <w:r>
        <w:rPr>
          <w:sz w:val="24"/>
          <w:szCs w:val="24"/>
          <w:lang w:eastAsia="cs-CZ"/>
        </w:rPr>
        <w:t> </w:t>
      </w:r>
      <w:r w:rsidRPr="00130780">
        <w:rPr>
          <w:sz w:val="24"/>
          <w:szCs w:val="24"/>
          <w:lang w:eastAsia="cs-CZ"/>
        </w:rPr>
        <w:t>dispozici</w:t>
      </w:r>
      <w:r>
        <w:rPr>
          <w:sz w:val="24"/>
          <w:szCs w:val="24"/>
          <w:lang w:eastAsia="cs-CZ"/>
        </w:rPr>
        <w:t>).</w:t>
      </w:r>
    </w:p>
    <w:p w:rsidR="00130780" w:rsidRPr="00130780" w:rsidRDefault="00130780" w:rsidP="00AA4C17">
      <w:pPr>
        <w:jc w:val="both"/>
        <w:rPr>
          <w:sz w:val="24"/>
          <w:szCs w:val="24"/>
          <w:lang w:eastAsia="cs-CZ"/>
        </w:rPr>
      </w:pPr>
      <w:r w:rsidRPr="00130780">
        <w:rPr>
          <w:sz w:val="24"/>
          <w:szCs w:val="24"/>
          <w:lang w:eastAsia="cs-CZ"/>
        </w:rPr>
        <w:t>U zdravotnických prostředků je třeba rozlišovat zdravotnické prostředky vydávané pacientům na poukaz, spotřebované v rámci zdravotních výkonů a nákupy přístrojů a techniky. V případě poukazových zdravotnických prostředků je situace analogická jako u léčivých přípravků vydávaných na recept s tím rozdílem, že dominantní roli v této oblasti hraje Všeobecná zdravotní pojišťovna. V této oblasti tedy také není prostor pro výběrová řízení v tradičním slova smyslu. V</w:t>
      </w:r>
      <w:r>
        <w:rPr>
          <w:sz w:val="24"/>
          <w:szCs w:val="24"/>
          <w:lang w:eastAsia="cs-CZ"/>
        </w:rPr>
        <w:t>e zbývajících případech je možnost uskutečnění výběrových řízení (</w:t>
      </w:r>
      <w:r w:rsidRPr="00130780">
        <w:rPr>
          <w:sz w:val="24"/>
          <w:szCs w:val="24"/>
          <w:lang w:eastAsia="cs-CZ"/>
        </w:rPr>
        <w:t>informace o objemu</w:t>
      </w:r>
      <w:r>
        <w:rPr>
          <w:sz w:val="24"/>
          <w:szCs w:val="24"/>
          <w:lang w:eastAsia="cs-CZ"/>
        </w:rPr>
        <w:t xml:space="preserve"> těchto nákupů není k dispozici).</w:t>
      </w:r>
    </w:p>
    <w:p w:rsidR="00130780" w:rsidRPr="00130780" w:rsidRDefault="00130780" w:rsidP="00AA4C17">
      <w:pPr>
        <w:jc w:val="both"/>
        <w:rPr>
          <w:sz w:val="24"/>
          <w:szCs w:val="24"/>
          <w:lang w:eastAsia="cs-CZ"/>
        </w:rPr>
      </w:pPr>
      <w:r>
        <w:rPr>
          <w:sz w:val="24"/>
          <w:szCs w:val="24"/>
          <w:lang w:eastAsia="cs-CZ"/>
        </w:rPr>
        <w:t xml:space="preserve"> </w:t>
      </w:r>
      <w:r w:rsidRPr="00130780">
        <w:rPr>
          <w:sz w:val="24"/>
          <w:szCs w:val="24"/>
          <w:lang w:eastAsia="cs-CZ"/>
        </w:rPr>
        <w:t xml:space="preserve">Tzv. úhradová soutěž, která je od roku 2011 součástí zákona o veřejném zdravotním pojištění, nebyla dosud aplikována. Důvodem je skutečnost, že celá tato úprava byla přijata jako pozměňovací návrh bez předchozí přípravy. Praxe následně ukázala, že tato forma soutěže může vést k paradoxním výsledkům. Nicméně je připravena metodika, která by měla umožnit uskutečnění úhradové soutěže, aniž by došlo k rozkolísání systému. </w:t>
      </w:r>
    </w:p>
    <w:p w:rsidR="004B55A4" w:rsidRPr="00F204B9" w:rsidRDefault="00130780" w:rsidP="00AA4C17">
      <w:pPr>
        <w:jc w:val="both"/>
        <w:rPr>
          <w:sz w:val="24"/>
          <w:szCs w:val="24"/>
          <w:lang w:eastAsia="cs-CZ"/>
        </w:rPr>
      </w:pPr>
      <w:r w:rsidRPr="00130780">
        <w:rPr>
          <w:sz w:val="24"/>
          <w:szCs w:val="24"/>
          <w:lang w:eastAsia="cs-CZ"/>
        </w:rPr>
        <w:t>Tzv. pozitivní listy zdravotních pojišťoven představují soutěžní mechanismus svého druhu, nicméně nejsou legislativně ukotveny. Do budoucna je nutné počítat s tím, že se bude pokračovat na jejich legislativním řešení.</w:t>
      </w:r>
    </w:p>
    <w:p w:rsidR="00A17188" w:rsidRPr="008D0EBF" w:rsidRDefault="00B8204C" w:rsidP="00B8204C">
      <w:pPr>
        <w:pStyle w:val="Nadpis1"/>
        <w:numPr>
          <w:ilvl w:val="0"/>
          <w:numId w:val="20"/>
        </w:numPr>
        <w:rPr>
          <w:rFonts w:asciiTheme="minorHAnsi" w:hAnsiTheme="minorHAnsi" w:cs="Arial"/>
          <w:color w:val="auto"/>
        </w:rPr>
      </w:pPr>
      <w:bookmarkStart w:id="21" w:name="_Toc373223691"/>
      <w:r>
        <w:rPr>
          <w:rFonts w:asciiTheme="minorHAnsi" w:hAnsiTheme="minorHAnsi" w:cs="Arial"/>
          <w:color w:val="auto"/>
        </w:rPr>
        <w:t>Ú</w:t>
      </w:r>
      <w:r w:rsidR="00A17188" w:rsidRPr="008D0EBF">
        <w:rPr>
          <w:rFonts w:asciiTheme="minorHAnsi" w:hAnsiTheme="minorHAnsi" w:cs="Arial"/>
          <w:color w:val="auto"/>
        </w:rPr>
        <w:t>hradov</w:t>
      </w:r>
      <w:r>
        <w:rPr>
          <w:rFonts w:asciiTheme="minorHAnsi" w:hAnsiTheme="minorHAnsi" w:cs="Arial"/>
          <w:color w:val="auto"/>
        </w:rPr>
        <w:t>á</w:t>
      </w:r>
      <w:r w:rsidR="00A17188" w:rsidRPr="008D0EBF">
        <w:rPr>
          <w:rFonts w:asciiTheme="minorHAnsi" w:hAnsiTheme="minorHAnsi" w:cs="Arial"/>
          <w:color w:val="auto"/>
        </w:rPr>
        <w:t xml:space="preserve"> vyhlášk</w:t>
      </w:r>
      <w:r>
        <w:rPr>
          <w:rFonts w:asciiTheme="minorHAnsi" w:hAnsiTheme="minorHAnsi" w:cs="Arial"/>
          <w:color w:val="auto"/>
        </w:rPr>
        <w:t>a</w:t>
      </w:r>
      <w:r w:rsidR="00A17188" w:rsidRPr="008D0EBF">
        <w:rPr>
          <w:rFonts w:asciiTheme="minorHAnsi" w:hAnsiTheme="minorHAnsi" w:cs="Arial"/>
          <w:color w:val="auto"/>
        </w:rPr>
        <w:t xml:space="preserve"> pro rok 2014</w:t>
      </w:r>
      <w:bookmarkEnd w:id="18"/>
      <w:bookmarkEnd w:id="21"/>
    </w:p>
    <w:p w:rsidR="00A17188" w:rsidRPr="008D0EBF" w:rsidRDefault="00A17188" w:rsidP="00A17188"/>
    <w:p w:rsidR="00B8204C" w:rsidRPr="00B8204C" w:rsidRDefault="00B8204C" w:rsidP="00B8204C">
      <w:pPr>
        <w:spacing w:after="0"/>
        <w:jc w:val="both"/>
        <w:rPr>
          <w:rFonts w:cs="Arial"/>
          <w:sz w:val="24"/>
          <w:szCs w:val="24"/>
        </w:rPr>
      </w:pPr>
      <w:r w:rsidRPr="00B8204C">
        <w:rPr>
          <w:rFonts w:cs="Arial"/>
          <w:sz w:val="24"/>
          <w:szCs w:val="24"/>
        </w:rPr>
        <w:t xml:space="preserve">Návrh základních způsobů a výše úhrad pro r. 2014 pro jednotlivé segmenty vychází z rozhodnutí o možnosti navýšení výše úhrad a z dohod v rámci Dohodovacího řízení (DR). V roce 2014 dojde ke zjednodušení úhrad u akutní lůžkové péče (dominantním úhradovým mechanismem bude DRG), bude snížen počet segmentů (např. balíčky mohou být zařazeny do DRGalfa, vytvořen maximálně jeden segment pro nákladnou péči vyčleněnou z DRG), bude zohledněn výpadek příjmů z důvodů snížení regulačních poplatků a bude upravena výše objemové regulace a to navýšením o dopad DPH. </w:t>
      </w:r>
    </w:p>
    <w:p w:rsidR="00B8204C" w:rsidRDefault="00B8204C" w:rsidP="00B8204C">
      <w:pPr>
        <w:spacing w:after="0"/>
        <w:rPr>
          <w:rFonts w:cs="Arial"/>
        </w:rPr>
      </w:pPr>
    </w:p>
    <w:p w:rsidR="00B8204C" w:rsidRPr="00B8204C" w:rsidRDefault="005C3871" w:rsidP="00B8204C">
      <w:pPr>
        <w:pStyle w:val="Nadpis2"/>
        <w:numPr>
          <w:ilvl w:val="1"/>
          <w:numId w:val="20"/>
        </w:numPr>
        <w:rPr>
          <w:rFonts w:asciiTheme="minorHAnsi" w:hAnsiTheme="minorHAnsi" w:cs="Arial"/>
          <w:color w:val="auto"/>
        </w:rPr>
      </w:pPr>
      <w:bookmarkStart w:id="22" w:name="_Toc373223692"/>
      <w:r>
        <w:rPr>
          <w:rFonts w:asciiTheme="minorHAnsi" w:hAnsiTheme="minorHAnsi" w:cs="Arial"/>
          <w:color w:val="auto"/>
        </w:rPr>
        <w:t>Ekonomická situace systému zdravotního pojištění</w:t>
      </w:r>
      <w:bookmarkEnd w:id="22"/>
    </w:p>
    <w:p w:rsidR="00B8204C" w:rsidRDefault="005C544D" w:rsidP="00B8204C">
      <w:pPr>
        <w:spacing w:after="0"/>
        <w:rPr>
          <w:rFonts w:cs="Arial"/>
          <w:sz w:val="18"/>
          <w:szCs w:val="18"/>
        </w:rPr>
      </w:pPr>
      <w:r>
        <w:rPr>
          <w:noProof/>
          <w:lang w:eastAsia="cs-CZ"/>
        </w:rPr>
        <w:drawing>
          <wp:anchor distT="0" distB="0" distL="114300" distR="114300" simplePos="0" relativeHeight="251663872" behindDoc="0" locked="0" layoutInCell="1" allowOverlap="1" wp14:anchorId="061334FF" wp14:editId="29E4C43A">
            <wp:simplePos x="0" y="0"/>
            <wp:positionH relativeFrom="column">
              <wp:posOffset>0</wp:posOffset>
            </wp:positionH>
            <wp:positionV relativeFrom="paragraph">
              <wp:posOffset>1905</wp:posOffset>
            </wp:positionV>
            <wp:extent cx="4319905" cy="2519680"/>
            <wp:effectExtent l="0" t="0" r="23495" b="13970"/>
            <wp:wrapTopAndBottom/>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5C3871">
        <w:rPr>
          <w:rFonts w:cs="Arial"/>
          <w:sz w:val="18"/>
          <w:szCs w:val="18"/>
        </w:rPr>
        <w:t xml:space="preserve"> </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 xml:space="preserve">         (v mld. Kč), </w:t>
      </w:r>
      <w:r>
        <w:rPr>
          <w:rFonts w:cs="Arial"/>
          <w:sz w:val="18"/>
          <w:szCs w:val="18"/>
          <w:lang w:val="en-US"/>
        </w:rPr>
        <w:t>*</w:t>
      </w:r>
      <w:r>
        <w:rPr>
          <w:rFonts w:cs="Arial"/>
          <w:sz w:val="18"/>
          <w:szCs w:val="18"/>
        </w:rPr>
        <w:t>odhad</w:t>
      </w:r>
    </w:p>
    <w:p w:rsidR="004B55A4" w:rsidRPr="004B55A4" w:rsidRDefault="004B55A4" w:rsidP="00B8204C">
      <w:pPr>
        <w:spacing w:after="0"/>
        <w:rPr>
          <w:rFonts w:cs="Arial"/>
          <w:sz w:val="18"/>
          <w:szCs w:val="18"/>
        </w:rPr>
      </w:pPr>
    </w:p>
    <w:p w:rsidR="00B8204C" w:rsidRPr="00B8204C" w:rsidRDefault="00B8204C" w:rsidP="00B8204C">
      <w:pPr>
        <w:spacing w:after="0"/>
        <w:rPr>
          <w:rFonts w:cs="Arial"/>
          <w:sz w:val="24"/>
          <w:szCs w:val="24"/>
        </w:rPr>
      </w:pPr>
      <w:r w:rsidRPr="00B8204C">
        <w:rPr>
          <w:rFonts w:cs="Arial"/>
          <w:sz w:val="24"/>
          <w:szCs w:val="24"/>
        </w:rPr>
        <w:t xml:space="preserve">Na základě říjnové predikce ministerstva financí MZ předpokládá v roce 2014 příjmy ve výši </w:t>
      </w:r>
      <w:r w:rsidRPr="00B8204C">
        <w:rPr>
          <w:rFonts w:cs="Arial"/>
          <w:b/>
          <w:sz w:val="24"/>
          <w:szCs w:val="24"/>
        </w:rPr>
        <w:t>234,</w:t>
      </w:r>
      <w:r w:rsidR="005C544D">
        <w:rPr>
          <w:rFonts w:cs="Arial"/>
          <w:b/>
          <w:sz w:val="24"/>
          <w:szCs w:val="24"/>
        </w:rPr>
        <w:t>7</w:t>
      </w:r>
      <w:r w:rsidRPr="00B8204C">
        <w:rPr>
          <w:rFonts w:cs="Arial"/>
          <w:b/>
          <w:sz w:val="24"/>
          <w:szCs w:val="24"/>
        </w:rPr>
        <w:t xml:space="preserve"> mld. Kč</w:t>
      </w:r>
      <w:r w:rsidRPr="00B8204C">
        <w:rPr>
          <w:rFonts w:cs="Arial"/>
          <w:sz w:val="24"/>
          <w:szCs w:val="24"/>
        </w:rPr>
        <w:t>. Vyšší příjem oproti roku 2013 je především z těchto důvodů</w:t>
      </w:r>
    </w:p>
    <w:p w:rsidR="00B8204C" w:rsidRPr="00B8204C" w:rsidRDefault="00B8204C" w:rsidP="00B8204C">
      <w:pPr>
        <w:pStyle w:val="Odstavecseseznamem"/>
        <w:numPr>
          <w:ilvl w:val="0"/>
          <w:numId w:val="38"/>
        </w:numPr>
        <w:spacing w:after="0"/>
        <w:rPr>
          <w:rFonts w:cs="Arial"/>
          <w:sz w:val="24"/>
          <w:szCs w:val="24"/>
        </w:rPr>
      </w:pPr>
      <w:r w:rsidRPr="00B8204C">
        <w:rPr>
          <w:rFonts w:cs="Arial"/>
          <w:b/>
          <w:sz w:val="24"/>
          <w:szCs w:val="24"/>
        </w:rPr>
        <w:t>Růst příjmů za státní pojištěnce</w:t>
      </w:r>
      <w:r w:rsidRPr="00B8204C">
        <w:rPr>
          <w:rFonts w:cs="Arial"/>
          <w:sz w:val="24"/>
          <w:szCs w:val="24"/>
        </w:rPr>
        <w:t xml:space="preserve"> o 64 Kč za pojištěnce – </w:t>
      </w:r>
      <w:r>
        <w:rPr>
          <w:rFonts w:cs="Arial"/>
          <w:sz w:val="24"/>
          <w:szCs w:val="24"/>
        </w:rPr>
        <w:t>3</w:t>
      </w:r>
      <w:r w:rsidRPr="00B8204C">
        <w:rPr>
          <w:rFonts w:cs="Arial"/>
          <w:sz w:val="24"/>
          <w:szCs w:val="24"/>
        </w:rPr>
        <w:t>,</w:t>
      </w:r>
      <w:r>
        <w:rPr>
          <w:rFonts w:cs="Arial"/>
          <w:sz w:val="24"/>
          <w:szCs w:val="24"/>
        </w:rPr>
        <w:t>6</w:t>
      </w:r>
      <w:r w:rsidRPr="00B8204C">
        <w:rPr>
          <w:rFonts w:cs="Arial"/>
          <w:sz w:val="24"/>
          <w:szCs w:val="24"/>
        </w:rPr>
        <w:t xml:space="preserve"> mld. Kč</w:t>
      </w:r>
    </w:p>
    <w:p w:rsidR="00B8204C" w:rsidRDefault="00B8204C" w:rsidP="00B8204C">
      <w:pPr>
        <w:pStyle w:val="Odstavecseseznamem"/>
        <w:numPr>
          <w:ilvl w:val="0"/>
          <w:numId w:val="38"/>
        </w:numPr>
        <w:spacing w:after="0"/>
        <w:rPr>
          <w:rFonts w:cs="Arial"/>
          <w:sz w:val="24"/>
          <w:szCs w:val="24"/>
        </w:rPr>
      </w:pPr>
      <w:r w:rsidRPr="00B8204C">
        <w:rPr>
          <w:rFonts w:cs="Arial"/>
          <w:b/>
          <w:sz w:val="24"/>
          <w:szCs w:val="24"/>
        </w:rPr>
        <w:t>Zvýšený výběr pojistného</w:t>
      </w:r>
      <w:r w:rsidRPr="00B8204C">
        <w:rPr>
          <w:rFonts w:cs="Arial"/>
          <w:sz w:val="24"/>
          <w:szCs w:val="24"/>
        </w:rPr>
        <w:t xml:space="preserve"> – 6,</w:t>
      </w:r>
      <w:r>
        <w:rPr>
          <w:rFonts w:cs="Arial"/>
          <w:sz w:val="24"/>
          <w:szCs w:val="24"/>
        </w:rPr>
        <w:t>3</w:t>
      </w:r>
      <w:r w:rsidRPr="00B8204C">
        <w:rPr>
          <w:rFonts w:cs="Arial"/>
          <w:sz w:val="24"/>
          <w:szCs w:val="24"/>
        </w:rPr>
        <w:t xml:space="preserve"> mld. Kč</w:t>
      </w:r>
    </w:p>
    <w:p w:rsidR="005C544D" w:rsidRPr="00B8204C" w:rsidRDefault="004B55A4" w:rsidP="005C544D">
      <w:pPr>
        <w:pStyle w:val="Odstavecseseznamem"/>
        <w:spacing w:after="0"/>
        <w:rPr>
          <w:rFonts w:cs="Arial"/>
          <w:sz w:val="24"/>
          <w:szCs w:val="24"/>
        </w:rPr>
      </w:pPr>
      <w:r>
        <w:rPr>
          <w:rFonts w:cs="Arial"/>
          <w:sz w:val="18"/>
          <w:szCs w:val="18"/>
        </w:rPr>
        <w:t xml:space="preserve">      </w:t>
      </w:r>
      <w:r>
        <w:rPr>
          <w:rFonts w:cs="Arial"/>
          <w:sz w:val="18"/>
          <w:szCs w:val="18"/>
        </w:rPr>
        <w:tab/>
      </w:r>
      <w:r>
        <w:rPr>
          <w:rFonts w:cs="Arial"/>
          <w:sz w:val="18"/>
          <w:szCs w:val="18"/>
        </w:rPr>
        <w:tab/>
      </w:r>
      <w:r>
        <w:rPr>
          <w:rFonts w:cs="Arial"/>
          <w:sz w:val="18"/>
          <w:szCs w:val="18"/>
        </w:rPr>
        <w:tab/>
      </w:r>
      <w:r>
        <w:rPr>
          <w:rFonts w:cs="Arial"/>
          <w:sz w:val="18"/>
          <w:szCs w:val="18"/>
        </w:rPr>
        <w:tab/>
      </w:r>
      <w:r>
        <w:rPr>
          <w:rFonts w:cs="Arial"/>
          <w:sz w:val="18"/>
          <w:szCs w:val="18"/>
        </w:rPr>
        <w:tab/>
        <w:t>;</w:t>
      </w:r>
      <w:r>
        <w:rPr>
          <w:rFonts w:cs="Arial"/>
          <w:sz w:val="18"/>
          <w:szCs w:val="18"/>
        </w:rPr>
        <w:tab/>
        <w:t xml:space="preserve">         (v mld. Kč), </w:t>
      </w:r>
      <w:r>
        <w:rPr>
          <w:rFonts w:cs="Arial"/>
          <w:sz w:val="18"/>
          <w:szCs w:val="18"/>
          <w:lang w:val="en-US"/>
        </w:rPr>
        <w:t>*</w:t>
      </w:r>
      <w:r>
        <w:rPr>
          <w:rFonts w:cs="Arial"/>
          <w:sz w:val="18"/>
          <w:szCs w:val="18"/>
        </w:rPr>
        <w:t>odhad</w:t>
      </w:r>
    </w:p>
    <w:p w:rsidR="00B8204C" w:rsidRPr="00C974A8" w:rsidRDefault="005C544D" w:rsidP="00B8204C">
      <w:pPr>
        <w:spacing w:after="0"/>
        <w:ind w:left="705" w:hanging="705"/>
        <w:rPr>
          <w:rFonts w:cs="Arial"/>
          <w:sz w:val="18"/>
          <w:szCs w:val="18"/>
        </w:rPr>
      </w:pPr>
      <w:r>
        <w:rPr>
          <w:noProof/>
          <w:lang w:eastAsia="cs-CZ"/>
        </w:rPr>
        <w:drawing>
          <wp:anchor distT="0" distB="0" distL="114300" distR="114300" simplePos="0" relativeHeight="251662848" behindDoc="0" locked="0" layoutInCell="1" allowOverlap="1" wp14:anchorId="4848A847" wp14:editId="266C7B5E">
            <wp:simplePos x="0" y="0"/>
            <wp:positionH relativeFrom="column">
              <wp:posOffset>0</wp:posOffset>
            </wp:positionH>
            <wp:positionV relativeFrom="paragraph">
              <wp:posOffset>-1905</wp:posOffset>
            </wp:positionV>
            <wp:extent cx="4319905" cy="2519680"/>
            <wp:effectExtent l="0" t="0" r="23495" b="13970"/>
            <wp:wrapTopAndBottom/>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B8204C" w:rsidRPr="00A91BC2">
        <w:rPr>
          <w:rFonts w:cs="Arial"/>
        </w:rPr>
        <w:t xml:space="preserve"> </w:t>
      </w:r>
      <w:r w:rsidR="00B8204C">
        <w:rPr>
          <w:rFonts w:cs="Arial"/>
          <w:sz w:val="18"/>
          <w:szCs w:val="18"/>
        </w:rPr>
        <w:tab/>
      </w:r>
      <w:r w:rsidR="00B8204C">
        <w:rPr>
          <w:rFonts w:cs="Arial"/>
          <w:sz w:val="18"/>
          <w:szCs w:val="18"/>
        </w:rPr>
        <w:tab/>
      </w:r>
      <w:r w:rsidR="00B8204C">
        <w:rPr>
          <w:rFonts w:cs="Arial"/>
          <w:sz w:val="18"/>
          <w:szCs w:val="18"/>
        </w:rPr>
        <w:tab/>
      </w:r>
      <w:r w:rsidR="00B8204C">
        <w:rPr>
          <w:rFonts w:cs="Arial"/>
          <w:sz w:val="18"/>
          <w:szCs w:val="18"/>
        </w:rPr>
        <w:tab/>
      </w:r>
      <w:r w:rsidR="00B8204C">
        <w:rPr>
          <w:rFonts w:cs="Arial"/>
          <w:sz w:val="18"/>
          <w:szCs w:val="18"/>
        </w:rPr>
        <w:tab/>
      </w:r>
      <w:r w:rsidR="00B8204C">
        <w:rPr>
          <w:rFonts w:cs="Arial"/>
          <w:sz w:val="18"/>
          <w:szCs w:val="18"/>
        </w:rPr>
        <w:tab/>
      </w:r>
      <w:r w:rsidR="00B8204C">
        <w:rPr>
          <w:rFonts w:cs="Arial"/>
          <w:sz w:val="18"/>
          <w:szCs w:val="18"/>
        </w:rPr>
        <w:tab/>
      </w:r>
      <w:r w:rsidR="00B8204C">
        <w:rPr>
          <w:rFonts w:cs="Arial"/>
          <w:sz w:val="18"/>
          <w:szCs w:val="18"/>
        </w:rPr>
        <w:tab/>
      </w:r>
    </w:p>
    <w:p w:rsidR="004B55A4" w:rsidRDefault="004B55A4" w:rsidP="00B8204C">
      <w:pPr>
        <w:spacing w:after="0"/>
        <w:ind w:left="705" w:hanging="705"/>
        <w:rPr>
          <w:rFonts w:cs="Arial"/>
          <w:sz w:val="24"/>
          <w:szCs w:val="24"/>
        </w:rPr>
      </w:pPr>
    </w:p>
    <w:p w:rsidR="00B8204C" w:rsidRPr="00B8204C" w:rsidRDefault="00B8204C" w:rsidP="00B8204C">
      <w:pPr>
        <w:spacing w:after="0"/>
        <w:ind w:left="705" w:hanging="705"/>
        <w:rPr>
          <w:rFonts w:cs="Arial"/>
          <w:sz w:val="24"/>
          <w:szCs w:val="24"/>
        </w:rPr>
      </w:pPr>
      <w:r w:rsidRPr="00B8204C">
        <w:rPr>
          <w:rFonts w:cs="Arial"/>
          <w:sz w:val="24"/>
          <w:szCs w:val="24"/>
        </w:rPr>
        <w:t xml:space="preserve">Úhradová vyhláška pro rok 2014 je </w:t>
      </w:r>
      <w:r w:rsidRPr="00B8204C">
        <w:rPr>
          <w:rFonts w:cs="Arial"/>
          <w:b/>
          <w:sz w:val="24"/>
          <w:szCs w:val="24"/>
        </w:rPr>
        <w:t>prorůstová</w:t>
      </w:r>
      <w:r w:rsidRPr="00B8204C">
        <w:rPr>
          <w:rFonts w:cs="Arial"/>
          <w:sz w:val="24"/>
          <w:szCs w:val="24"/>
        </w:rPr>
        <w:t>.</w:t>
      </w:r>
    </w:p>
    <w:p w:rsidR="00B8204C" w:rsidRPr="00B8204C" w:rsidRDefault="00B8204C" w:rsidP="00B8204C">
      <w:pPr>
        <w:pStyle w:val="Odstavecseseznamem"/>
        <w:numPr>
          <w:ilvl w:val="0"/>
          <w:numId w:val="39"/>
        </w:numPr>
        <w:spacing w:after="0"/>
        <w:rPr>
          <w:rFonts w:cs="Arial"/>
          <w:b/>
          <w:sz w:val="24"/>
          <w:szCs w:val="24"/>
        </w:rPr>
      </w:pPr>
      <w:r w:rsidRPr="00B8204C">
        <w:rPr>
          <w:rFonts w:cs="Arial"/>
          <w:sz w:val="24"/>
          <w:szCs w:val="24"/>
        </w:rPr>
        <w:t xml:space="preserve">Ve všech segmentech růst </w:t>
      </w:r>
      <w:r w:rsidRPr="00B8204C">
        <w:rPr>
          <w:rFonts w:cs="Arial"/>
          <w:b/>
          <w:sz w:val="24"/>
          <w:szCs w:val="24"/>
        </w:rPr>
        <w:t>nejméně 100 % roku 2013</w:t>
      </w:r>
    </w:p>
    <w:p w:rsidR="00B8204C" w:rsidRPr="00B8204C" w:rsidRDefault="00B8204C" w:rsidP="00B8204C">
      <w:pPr>
        <w:pStyle w:val="Odstavecseseznamem"/>
        <w:numPr>
          <w:ilvl w:val="0"/>
          <w:numId w:val="39"/>
        </w:numPr>
        <w:spacing w:after="0"/>
        <w:rPr>
          <w:rFonts w:cs="Arial"/>
          <w:sz w:val="24"/>
          <w:szCs w:val="24"/>
        </w:rPr>
      </w:pPr>
      <w:r w:rsidRPr="00B8204C">
        <w:rPr>
          <w:rFonts w:cs="Arial"/>
          <w:sz w:val="24"/>
          <w:szCs w:val="24"/>
        </w:rPr>
        <w:t xml:space="preserve">Ve většině segmentů růst </w:t>
      </w:r>
      <w:r w:rsidRPr="00B8204C">
        <w:rPr>
          <w:rFonts w:cs="Arial"/>
          <w:b/>
          <w:sz w:val="24"/>
          <w:szCs w:val="24"/>
        </w:rPr>
        <w:t>nejméně 100% roku 2012</w:t>
      </w:r>
    </w:p>
    <w:p w:rsidR="00B8204C" w:rsidRPr="00B8204C" w:rsidRDefault="00B8204C" w:rsidP="00B8204C">
      <w:pPr>
        <w:pStyle w:val="Odstavecseseznamem"/>
        <w:numPr>
          <w:ilvl w:val="0"/>
          <w:numId w:val="39"/>
        </w:numPr>
        <w:spacing w:after="0"/>
        <w:rPr>
          <w:rFonts w:cs="Arial"/>
          <w:sz w:val="24"/>
          <w:szCs w:val="24"/>
        </w:rPr>
      </w:pPr>
      <w:r w:rsidRPr="00B8204C">
        <w:rPr>
          <w:rFonts w:cs="Arial"/>
          <w:sz w:val="24"/>
          <w:szCs w:val="24"/>
        </w:rPr>
        <w:t>Rok 2012 byl prorůstový, rok 2013 restriktivní, 100 % roku 2012 umožňuje růst ve srovnání s rokem 2013</w:t>
      </w:r>
    </w:p>
    <w:p w:rsidR="00B8204C" w:rsidRPr="00B8204C" w:rsidRDefault="00B8204C" w:rsidP="00B8204C">
      <w:pPr>
        <w:spacing w:after="0"/>
        <w:rPr>
          <w:rFonts w:cs="Arial"/>
          <w:sz w:val="24"/>
          <w:szCs w:val="24"/>
        </w:rPr>
      </w:pPr>
    </w:p>
    <w:p w:rsidR="00B8204C" w:rsidRPr="00B8204C" w:rsidRDefault="00B8204C" w:rsidP="00B8204C">
      <w:pPr>
        <w:spacing w:after="0"/>
        <w:rPr>
          <w:rFonts w:asciiTheme="minorHAnsi" w:hAnsiTheme="minorHAnsi" w:cs="Arial"/>
          <w:sz w:val="24"/>
          <w:szCs w:val="24"/>
        </w:rPr>
      </w:pPr>
      <w:r w:rsidRPr="00B8204C">
        <w:rPr>
          <w:rFonts w:asciiTheme="minorHAnsi" w:hAnsiTheme="minorHAnsi" w:cs="Arial"/>
          <w:sz w:val="24"/>
          <w:szCs w:val="24"/>
        </w:rPr>
        <w:t>Hlavní východiska úhradové vyhlášky pro rok 2014</w:t>
      </w:r>
    </w:p>
    <w:p w:rsidR="00B8204C" w:rsidRPr="00B8204C" w:rsidRDefault="00B8204C" w:rsidP="00B8204C">
      <w:pPr>
        <w:pStyle w:val="Odstavecseseznamem"/>
        <w:numPr>
          <w:ilvl w:val="0"/>
          <w:numId w:val="40"/>
        </w:numPr>
        <w:spacing w:after="0"/>
        <w:rPr>
          <w:rFonts w:asciiTheme="minorHAnsi" w:hAnsiTheme="minorHAnsi" w:cs="Arial"/>
          <w:sz w:val="24"/>
          <w:szCs w:val="24"/>
        </w:rPr>
      </w:pPr>
      <w:r w:rsidRPr="00B8204C">
        <w:rPr>
          <w:rFonts w:asciiTheme="minorHAnsi" w:hAnsiTheme="minorHAnsi" w:cs="Arial"/>
          <w:b/>
          <w:sz w:val="24"/>
          <w:szCs w:val="24"/>
        </w:rPr>
        <w:t>Významná pomoc segmentům</w:t>
      </w:r>
      <w:r w:rsidRPr="00B8204C">
        <w:rPr>
          <w:rFonts w:asciiTheme="minorHAnsi" w:hAnsiTheme="minorHAnsi" w:cs="Arial"/>
          <w:sz w:val="24"/>
          <w:szCs w:val="24"/>
        </w:rPr>
        <w:t>, které mají vážné finanční problémy (lázně, dětská psychiatrie, nemocnice – akutní lůžková péče)</w:t>
      </w:r>
    </w:p>
    <w:p w:rsidR="00B8204C" w:rsidRPr="00B8204C" w:rsidRDefault="00B8204C" w:rsidP="00B8204C">
      <w:pPr>
        <w:pStyle w:val="Odstavecseseznamem"/>
        <w:numPr>
          <w:ilvl w:val="1"/>
          <w:numId w:val="40"/>
        </w:numPr>
        <w:spacing w:after="0"/>
        <w:rPr>
          <w:rFonts w:asciiTheme="minorHAnsi" w:hAnsiTheme="minorHAnsi" w:cs="Arial"/>
          <w:sz w:val="24"/>
          <w:szCs w:val="24"/>
        </w:rPr>
      </w:pPr>
      <w:r w:rsidRPr="00B8204C">
        <w:rPr>
          <w:rFonts w:asciiTheme="minorHAnsi" w:hAnsiTheme="minorHAnsi" w:cs="Arial"/>
          <w:sz w:val="24"/>
          <w:szCs w:val="24"/>
        </w:rPr>
        <w:t xml:space="preserve">V oblasti akutní lůžkové péče stále udržován princip platby za produkci a užívání mechanizmu DRG (lůžková péče </w:t>
      </w:r>
      <w:r w:rsidRPr="00B8204C">
        <w:rPr>
          <w:rFonts w:cs="Arial"/>
          <w:sz w:val="24"/>
          <w:szCs w:val="24"/>
        </w:rPr>
        <w:t xml:space="preserve">– </w:t>
      </w:r>
      <w:r w:rsidRPr="00B8204C">
        <w:rPr>
          <w:rFonts w:asciiTheme="minorHAnsi" w:eastAsia="Times New Roman" w:hAnsiTheme="minorHAnsi" w:cs="Times New Roman"/>
          <w:sz w:val="24"/>
          <w:szCs w:val="24"/>
          <w:lang w:eastAsia="cs-CZ"/>
        </w:rPr>
        <w:t>růst na 105 % roku 2012</w:t>
      </w:r>
      <w:r w:rsidRPr="009E036E">
        <w:rPr>
          <w:rFonts w:asciiTheme="minorHAnsi" w:eastAsia="Times New Roman" w:hAnsiTheme="minorHAnsi" w:cs="Times New Roman"/>
          <w:sz w:val="24"/>
          <w:szCs w:val="24"/>
          <w:lang w:eastAsia="cs-CZ"/>
        </w:rPr>
        <w:t>;</w:t>
      </w:r>
      <w:r w:rsidRPr="00B8204C">
        <w:rPr>
          <w:rFonts w:asciiTheme="minorHAnsi" w:eastAsia="Times New Roman" w:hAnsiTheme="minorHAnsi" w:cs="Times New Roman"/>
          <w:sz w:val="24"/>
          <w:szCs w:val="24"/>
          <w:lang w:eastAsia="cs-CZ"/>
        </w:rPr>
        <w:t xml:space="preserve"> lázeňská péče </w:t>
      </w:r>
      <w:r w:rsidRPr="00B8204C">
        <w:rPr>
          <w:rFonts w:asciiTheme="minorHAnsi" w:hAnsiTheme="minorHAnsi" w:cs="Arial"/>
          <w:sz w:val="24"/>
          <w:szCs w:val="24"/>
        </w:rPr>
        <w:t xml:space="preserve">– </w:t>
      </w:r>
      <w:r w:rsidRPr="00B8204C">
        <w:rPr>
          <w:rFonts w:asciiTheme="minorHAnsi" w:eastAsia="Times New Roman" w:hAnsiTheme="minorHAnsi" w:cs="Times New Roman"/>
          <w:sz w:val="24"/>
          <w:szCs w:val="24"/>
          <w:lang w:eastAsia="cs-CZ"/>
        </w:rPr>
        <w:t>zvýšení úhrad o 100 Kč/den za dospělého pojištěnce, 200 Kč/den za dítě)</w:t>
      </w:r>
    </w:p>
    <w:p w:rsidR="00B8204C" w:rsidRPr="00B8204C" w:rsidRDefault="00B8204C" w:rsidP="00B8204C">
      <w:pPr>
        <w:pStyle w:val="Odstavecseseznamem"/>
        <w:numPr>
          <w:ilvl w:val="0"/>
          <w:numId w:val="40"/>
        </w:numPr>
        <w:spacing w:after="0"/>
        <w:rPr>
          <w:rFonts w:cs="Arial"/>
          <w:sz w:val="24"/>
          <w:szCs w:val="24"/>
        </w:rPr>
      </w:pPr>
      <w:r w:rsidRPr="00B8204C">
        <w:rPr>
          <w:rFonts w:cs="Arial"/>
          <w:b/>
          <w:sz w:val="24"/>
          <w:szCs w:val="24"/>
        </w:rPr>
        <w:t>Sjednocování základních sazeb mezi pojišťovnami</w:t>
      </w:r>
      <w:r w:rsidRPr="00B8204C">
        <w:rPr>
          <w:rFonts w:cs="Arial"/>
          <w:sz w:val="24"/>
          <w:szCs w:val="24"/>
        </w:rPr>
        <w:t xml:space="preserve"> – nastavení rovných pravidel pro pojišťovny</w:t>
      </w:r>
    </w:p>
    <w:p w:rsidR="00B8204C" w:rsidRPr="00B8204C" w:rsidRDefault="00B8204C" w:rsidP="00B8204C">
      <w:pPr>
        <w:pStyle w:val="Odstavecseseznamem"/>
        <w:numPr>
          <w:ilvl w:val="0"/>
          <w:numId w:val="40"/>
        </w:numPr>
        <w:spacing w:after="0"/>
        <w:rPr>
          <w:rFonts w:cs="Arial"/>
          <w:sz w:val="24"/>
          <w:szCs w:val="24"/>
        </w:rPr>
      </w:pPr>
      <w:r w:rsidRPr="00B8204C">
        <w:rPr>
          <w:rFonts w:cs="Arial"/>
          <w:sz w:val="24"/>
          <w:szCs w:val="24"/>
        </w:rPr>
        <w:t xml:space="preserve">Zásadní </w:t>
      </w:r>
      <w:r w:rsidRPr="00B8204C">
        <w:rPr>
          <w:rFonts w:cs="Arial"/>
          <w:b/>
          <w:sz w:val="24"/>
          <w:szCs w:val="24"/>
        </w:rPr>
        <w:t>sblížení úhrad</w:t>
      </w:r>
      <w:r w:rsidRPr="00B8204C">
        <w:rPr>
          <w:rFonts w:cs="Arial"/>
          <w:sz w:val="24"/>
          <w:szCs w:val="24"/>
        </w:rPr>
        <w:t xml:space="preserve"> za ambulantní péči v nemocnicích a mimo nemocnice</w:t>
      </w:r>
    </w:p>
    <w:p w:rsidR="00B8204C" w:rsidRPr="00B8204C" w:rsidRDefault="00B8204C" w:rsidP="00B8204C">
      <w:pPr>
        <w:pStyle w:val="Odstavecseseznamem"/>
        <w:numPr>
          <w:ilvl w:val="0"/>
          <w:numId w:val="40"/>
        </w:numPr>
        <w:spacing w:after="0"/>
        <w:rPr>
          <w:rFonts w:cs="Arial"/>
          <w:sz w:val="24"/>
          <w:szCs w:val="24"/>
        </w:rPr>
      </w:pPr>
      <w:r w:rsidRPr="00B8204C">
        <w:rPr>
          <w:rFonts w:cs="Arial"/>
          <w:b/>
          <w:sz w:val="24"/>
          <w:szCs w:val="24"/>
        </w:rPr>
        <w:t>Zjednodušení mechanizmu úhrad nemocnicím</w:t>
      </w:r>
      <w:r w:rsidRPr="00B8204C">
        <w:rPr>
          <w:rFonts w:cs="Arial"/>
          <w:sz w:val="24"/>
          <w:szCs w:val="24"/>
        </w:rPr>
        <w:t xml:space="preserve"> – snížením segmentace a tím roztříštěnosti úhrad</w:t>
      </w:r>
    </w:p>
    <w:p w:rsidR="00B8204C" w:rsidRPr="00B8204C" w:rsidRDefault="00B8204C" w:rsidP="00B8204C">
      <w:pPr>
        <w:pStyle w:val="Odstavecseseznamem"/>
        <w:numPr>
          <w:ilvl w:val="0"/>
          <w:numId w:val="40"/>
        </w:numPr>
        <w:spacing w:after="0"/>
        <w:rPr>
          <w:rFonts w:cs="Arial"/>
          <w:b/>
          <w:sz w:val="24"/>
          <w:szCs w:val="24"/>
        </w:rPr>
      </w:pPr>
      <w:r w:rsidRPr="00B8204C">
        <w:rPr>
          <w:rFonts w:cs="Arial"/>
          <w:b/>
          <w:sz w:val="24"/>
          <w:szCs w:val="24"/>
        </w:rPr>
        <w:t>Zjednodušení výpočtu úhrady</w:t>
      </w:r>
    </w:p>
    <w:p w:rsidR="00B8204C" w:rsidRPr="00B8204C" w:rsidRDefault="00B8204C" w:rsidP="00B8204C">
      <w:pPr>
        <w:pStyle w:val="Odstavecseseznamem"/>
        <w:numPr>
          <w:ilvl w:val="0"/>
          <w:numId w:val="40"/>
        </w:numPr>
        <w:spacing w:after="0"/>
        <w:rPr>
          <w:rFonts w:cs="Arial"/>
          <w:sz w:val="24"/>
          <w:szCs w:val="24"/>
        </w:rPr>
      </w:pPr>
      <w:r w:rsidRPr="00B8204C">
        <w:rPr>
          <w:rFonts w:cs="Arial"/>
          <w:b/>
          <w:sz w:val="24"/>
          <w:szCs w:val="24"/>
        </w:rPr>
        <w:t>Respektování dohody v segmentech</w:t>
      </w:r>
      <w:r w:rsidRPr="00B8204C">
        <w:rPr>
          <w:rFonts w:cs="Arial"/>
          <w:sz w:val="24"/>
          <w:szCs w:val="24"/>
        </w:rPr>
        <w:t>, kde dohoda nastala (praktičtí lékaři a gynekologové)</w:t>
      </w:r>
    </w:p>
    <w:p w:rsidR="00B8204C" w:rsidRPr="008D0EBF" w:rsidRDefault="00B8204C" w:rsidP="00B8204C">
      <w:pPr>
        <w:spacing w:after="0"/>
        <w:rPr>
          <w:rFonts w:cs="Arial"/>
        </w:rPr>
      </w:pPr>
    </w:p>
    <w:p w:rsidR="00B8204C" w:rsidRPr="00B8204C" w:rsidRDefault="00B8204C" w:rsidP="00B8204C">
      <w:pPr>
        <w:pStyle w:val="Nadpis2"/>
        <w:numPr>
          <w:ilvl w:val="1"/>
          <w:numId w:val="20"/>
        </w:numPr>
        <w:spacing w:after="240"/>
        <w:rPr>
          <w:rFonts w:asciiTheme="minorHAnsi" w:hAnsiTheme="minorHAnsi" w:cs="Arial"/>
          <w:color w:val="auto"/>
        </w:rPr>
      </w:pPr>
      <w:bookmarkStart w:id="23" w:name="_Toc373223693"/>
      <w:r w:rsidRPr="00B8204C">
        <w:rPr>
          <w:rFonts w:asciiTheme="minorHAnsi" w:hAnsiTheme="minorHAnsi" w:cs="Arial"/>
          <w:color w:val="auto"/>
        </w:rPr>
        <w:t>Zohlednění nálezu Ústavního soudu (zrušení úhradové vyhlášky na rok 2013)</w:t>
      </w:r>
      <w:bookmarkEnd w:id="23"/>
    </w:p>
    <w:p w:rsidR="00B8204C" w:rsidRPr="00B8204C" w:rsidRDefault="00B8204C" w:rsidP="00B8204C">
      <w:pPr>
        <w:contextualSpacing/>
        <w:jc w:val="both"/>
        <w:rPr>
          <w:sz w:val="24"/>
          <w:szCs w:val="24"/>
        </w:rPr>
      </w:pPr>
      <w:r w:rsidRPr="00B8204C">
        <w:rPr>
          <w:sz w:val="24"/>
          <w:szCs w:val="24"/>
        </w:rPr>
        <w:t>Stávající úhradová vyhláška podle nálezu Ústavního soudu sp. zn. Pl ÚS 19/13 obsahuje prvky netransparentnosti a nepředvídatelnosti a možnost svévole a nerovného přístupu při uplatňování regulačních omezení ze strany zdravotní pojišťovny ve vztahu k různým poskytovatelům zdravotních služeb.</w:t>
      </w:r>
    </w:p>
    <w:p w:rsidR="00B8204C" w:rsidRPr="00B8204C" w:rsidRDefault="00B8204C" w:rsidP="00B8204C">
      <w:pPr>
        <w:contextualSpacing/>
        <w:jc w:val="both"/>
        <w:rPr>
          <w:sz w:val="24"/>
          <w:szCs w:val="24"/>
        </w:rPr>
      </w:pPr>
    </w:p>
    <w:p w:rsidR="00B8204C" w:rsidRPr="00B8204C" w:rsidRDefault="00B8204C" w:rsidP="00B8204C">
      <w:pPr>
        <w:contextualSpacing/>
        <w:jc w:val="both"/>
        <w:rPr>
          <w:sz w:val="24"/>
          <w:szCs w:val="24"/>
          <w:u w:val="single"/>
        </w:rPr>
      </w:pPr>
      <w:r w:rsidRPr="00B8204C">
        <w:rPr>
          <w:sz w:val="24"/>
          <w:szCs w:val="24"/>
          <w:u w:val="single"/>
        </w:rPr>
        <w:t>Námitky Ústavního soudu směřovaly k</w:t>
      </w:r>
    </w:p>
    <w:p w:rsidR="00B8204C" w:rsidRPr="00B8204C" w:rsidRDefault="00B8204C" w:rsidP="00B8204C">
      <w:pPr>
        <w:pStyle w:val="Odstavecseseznamem"/>
        <w:numPr>
          <w:ilvl w:val="0"/>
          <w:numId w:val="42"/>
        </w:numPr>
        <w:contextualSpacing/>
        <w:jc w:val="both"/>
        <w:rPr>
          <w:sz w:val="24"/>
          <w:szCs w:val="24"/>
        </w:rPr>
      </w:pPr>
      <w:r w:rsidRPr="00B8204C">
        <w:rPr>
          <w:sz w:val="24"/>
          <w:szCs w:val="24"/>
        </w:rPr>
        <w:t>nepředvídatelnosti regulačních srážek a neexistenci mechanismů, jak zabránit zdravotní pojišťovně, aby srážky neuplatňovala selektivně a svévolně;</w:t>
      </w:r>
    </w:p>
    <w:p w:rsidR="00B8204C" w:rsidRPr="00B8204C" w:rsidRDefault="00B8204C" w:rsidP="00B8204C">
      <w:pPr>
        <w:pStyle w:val="Odstavecseseznamem"/>
        <w:numPr>
          <w:ilvl w:val="0"/>
          <w:numId w:val="42"/>
        </w:numPr>
        <w:contextualSpacing/>
        <w:jc w:val="both"/>
        <w:rPr>
          <w:sz w:val="24"/>
          <w:szCs w:val="24"/>
        </w:rPr>
      </w:pPr>
      <w:r w:rsidRPr="00B8204C">
        <w:rPr>
          <w:sz w:val="24"/>
          <w:szCs w:val="24"/>
        </w:rPr>
        <w:t>limitaci výše úhrad objemem poskytnutých služeb, kdy se poskytovateli skokově sníží hodnota bodu pod úroveň nákladů a současně neexistuje možnost kompenzace takto vzniklé ztráty;</w:t>
      </w:r>
    </w:p>
    <w:p w:rsidR="00B8204C" w:rsidRPr="00B8204C" w:rsidRDefault="00B8204C" w:rsidP="00B8204C">
      <w:pPr>
        <w:pStyle w:val="Odstavecseseznamem"/>
        <w:numPr>
          <w:ilvl w:val="0"/>
          <w:numId w:val="42"/>
        </w:numPr>
        <w:contextualSpacing/>
        <w:jc w:val="both"/>
        <w:rPr>
          <w:sz w:val="24"/>
          <w:szCs w:val="24"/>
        </w:rPr>
      </w:pPr>
      <w:r w:rsidRPr="00B8204C">
        <w:rPr>
          <w:sz w:val="24"/>
          <w:szCs w:val="24"/>
        </w:rPr>
        <w:t>nerovnému postavení smluvních a nesmluvních poskytovatelů zdravotních služeb, kdy hodnota bodu za poskytnutou neodkladnou zdravotní péči byla pro nesmluvní poskytovatele stanovena ve výši 75 % hodnoty bodu stanovené pro smluvní poskytovatele.</w:t>
      </w:r>
    </w:p>
    <w:p w:rsidR="00B8204C" w:rsidRPr="00B8204C" w:rsidRDefault="00B8204C" w:rsidP="00B8204C">
      <w:pPr>
        <w:contextualSpacing/>
        <w:jc w:val="both"/>
        <w:rPr>
          <w:sz w:val="24"/>
          <w:szCs w:val="24"/>
        </w:rPr>
      </w:pPr>
    </w:p>
    <w:p w:rsidR="00B8204C" w:rsidRPr="00B8204C" w:rsidRDefault="00B8204C" w:rsidP="00B8204C">
      <w:pPr>
        <w:rPr>
          <w:sz w:val="24"/>
          <w:szCs w:val="24"/>
          <w:u w:val="single"/>
        </w:rPr>
      </w:pPr>
      <w:r w:rsidRPr="00B8204C">
        <w:rPr>
          <w:sz w:val="24"/>
          <w:szCs w:val="24"/>
          <w:u w:val="single"/>
        </w:rPr>
        <w:t>MZ zapracovalo nález Ústavního soudu takto:</w:t>
      </w:r>
    </w:p>
    <w:p w:rsidR="00B8204C" w:rsidRPr="00B8204C" w:rsidRDefault="00B8204C" w:rsidP="00B8204C">
      <w:pPr>
        <w:pStyle w:val="Odstavecseseznamem"/>
        <w:numPr>
          <w:ilvl w:val="0"/>
          <w:numId w:val="41"/>
        </w:numPr>
        <w:spacing w:after="0"/>
        <w:rPr>
          <w:b/>
          <w:sz w:val="24"/>
          <w:szCs w:val="24"/>
        </w:rPr>
      </w:pPr>
      <w:r w:rsidRPr="00B8204C">
        <w:rPr>
          <w:b/>
          <w:sz w:val="24"/>
          <w:szCs w:val="24"/>
        </w:rPr>
        <w:t>Regulace</w:t>
      </w:r>
    </w:p>
    <w:p w:rsidR="00B8204C" w:rsidRPr="00B8204C" w:rsidRDefault="00B8204C" w:rsidP="00B8204C">
      <w:pPr>
        <w:pStyle w:val="Odstavecseseznamem"/>
        <w:numPr>
          <w:ilvl w:val="1"/>
          <w:numId w:val="41"/>
        </w:numPr>
        <w:spacing w:after="0"/>
        <w:rPr>
          <w:sz w:val="24"/>
          <w:szCs w:val="24"/>
        </w:rPr>
      </w:pPr>
      <w:r w:rsidRPr="00B8204C">
        <w:rPr>
          <w:b/>
          <w:sz w:val="24"/>
          <w:szCs w:val="24"/>
        </w:rPr>
        <w:t>transparentnost a předvídatelnost</w:t>
      </w:r>
      <w:r w:rsidRPr="00B8204C">
        <w:rPr>
          <w:sz w:val="24"/>
          <w:szCs w:val="24"/>
        </w:rPr>
        <w:t xml:space="preserve"> – zdravotní pojišťovna nebude moct uplatnit regulaci, jestliže předem nezveřejní veškeré potřebné parametry, od nichž se výpočet regulace odvíjí.</w:t>
      </w:r>
    </w:p>
    <w:p w:rsidR="00B8204C" w:rsidRPr="00B8204C" w:rsidRDefault="00B8204C" w:rsidP="00B8204C">
      <w:pPr>
        <w:pStyle w:val="Odstavecseseznamem"/>
        <w:numPr>
          <w:ilvl w:val="1"/>
          <w:numId w:val="41"/>
        </w:numPr>
        <w:spacing w:after="0"/>
        <w:rPr>
          <w:sz w:val="24"/>
          <w:szCs w:val="24"/>
        </w:rPr>
      </w:pPr>
      <w:r w:rsidRPr="00B8204C">
        <w:rPr>
          <w:b/>
          <w:sz w:val="24"/>
          <w:szCs w:val="24"/>
        </w:rPr>
        <w:t>Slabší regulace preskripce léků a vyžádané péče</w:t>
      </w:r>
      <w:r w:rsidRPr="00B8204C">
        <w:rPr>
          <w:sz w:val="24"/>
          <w:szCs w:val="24"/>
        </w:rPr>
        <w:t xml:space="preserve"> – nově bude regulace plynulá, se zvyšujícím se počtem pacientů limit regulace proporcionálně roste</w:t>
      </w:r>
    </w:p>
    <w:p w:rsidR="00B8204C" w:rsidRPr="00B8204C" w:rsidRDefault="00B8204C" w:rsidP="00B8204C">
      <w:pPr>
        <w:pStyle w:val="Odstavecseseznamem"/>
        <w:numPr>
          <w:ilvl w:val="1"/>
          <w:numId w:val="41"/>
        </w:numPr>
        <w:rPr>
          <w:sz w:val="24"/>
          <w:szCs w:val="24"/>
        </w:rPr>
      </w:pPr>
      <w:r w:rsidRPr="00B8204C">
        <w:rPr>
          <w:sz w:val="24"/>
          <w:szCs w:val="24"/>
        </w:rPr>
        <w:t xml:space="preserve">V případě </w:t>
      </w:r>
      <w:r w:rsidRPr="00B8204C">
        <w:rPr>
          <w:b/>
          <w:sz w:val="24"/>
          <w:szCs w:val="24"/>
        </w:rPr>
        <w:t xml:space="preserve">odůvodnění </w:t>
      </w:r>
      <w:r w:rsidRPr="00B8204C">
        <w:rPr>
          <w:sz w:val="24"/>
          <w:szCs w:val="24"/>
        </w:rPr>
        <w:t xml:space="preserve">poskytnuté </w:t>
      </w:r>
      <w:r w:rsidRPr="00B8204C">
        <w:rPr>
          <w:b/>
          <w:sz w:val="24"/>
          <w:szCs w:val="24"/>
        </w:rPr>
        <w:t>péče</w:t>
      </w:r>
      <w:r w:rsidRPr="00B8204C">
        <w:rPr>
          <w:sz w:val="24"/>
          <w:szCs w:val="24"/>
        </w:rPr>
        <w:t xml:space="preserve"> se regulace </w:t>
      </w:r>
      <w:r w:rsidRPr="00B8204C">
        <w:rPr>
          <w:b/>
          <w:sz w:val="24"/>
          <w:szCs w:val="24"/>
        </w:rPr>
        <w:t>neuplatní</w:t>
      </w:r>
    </w:p>
    <w:p w:rsidR="00B8204C" w:rsidRPr="00B8204C" w:rsidRDefault="00B8204C" w:rsidP="00B8204C">
      <w:pPr>
        <w:pStyle w:val="Odstavecseseznamem"/>
        <w:numPr>
          <w:ilvl w:val="0"/>
          <w:numId w:val="41"/>
        </w:numPr>
        <w:jc w:val="both"/>
        <w:rPr>
          <w:sz w:val="24"/>
          <w:szCs w:val="24"/>
        </w:rPr>
      </w:pPr>
      <w:r w:rsidRPr="00B8204C">
        <w:rPr>
          <w:b/>
          <w:noProof/>
          <w:sz w:val="24"/>
          <w:szCs w:val="24"/>
          <w:lang w:eastAsia="cs-CZ"/>
        </w:rPr>
        <w:drawing>
          <wp:anchor distT="0" distB="0" distL="114300" distR="114300" simplePos="0" relativeHeight="251661824" behindDoc="0" locked="0" layoutInCell="1" allowOverlap="1" wp14:anchorId="29101B7E" wp14:editId="69FB6A9E">
            <wp:simplePos x="0" y="0"/>
            <wp:positionH relativeFrom="column">
              <wp:posOffset>1000125</wp:posOffset>
            </wp:positionH>
            <wp:positionV relativeFrom="paragraph">
              <wp:posOffset>590550</wp:posOffset>
            </wp:positionV>
            <wp:extent cx="4171950" cy="2148840"/>
            <wp:effectExtent l="0" t="0" r="0" b="3810"/>
            <wp:wrapTopAndBottom/>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71950" cy="2148840"/>
                    </a:xfrm>
                    <a:prstGeom prst="rect">
                      <a:avLst/>
                    </a:prstGeom>
                    <a:noFill/>
                  </pic:spPr>
                </pic:pic>
              </a:graphicData>
            </a:graphic>
            <wp14:sizeRelH relativeFrom="page">
              <wp14:pctWidth>0</wp14:pctWidth>
            </wp14:sizeRelH>
            <wp14:sizeRelV relativeFrom="page">
              <wp14:pctHeight>0</wp14:pctHeight>
            </wp14:sizeRelV>
          </wp:anchor>
        </w:drawing>
      </w:r>
      <w:r w:rsidRPr="00B8204C">
        <w:rPr>
          <w:b/>
          <w:sz w:val="24"/>
          <w:szCs w:val="24"/>
        </w:rPr>
        <w:t>Hodnota bodu nad úrovní nákladů</w:t>
      </w:r>
      <w:r w:rsidRPr="00B8204C">
        <w:rPr>
          <w:sz w:val="24"/>
          <w:szCs w:val="24"/>
        </w:rPr>
        <w:t xml:space="preserve"> – hodnota bodu nebude skokově padat při překročení regulace, ale bude se velmi pozvolna snižovat</w:t>
      </w:r>
    </w:p>
    <w:p w:rsidR="00B8204C" w:rsidRPr="00B8204C" w:rsidRDefault="00B8204C" w:rsidP="00B8204C">
      <w:pPr>
        <w:spacing w:before="240"/>
        <w:ind w:left="709" w:hanging="1"/>
        <w:jc w:val="both"/>
        <w:rPr>
          <w:sz w:val="24"/>
          <w:szCs w:val="24"/>
        </w:rPr>
      </w:pPr>
      <w:r w:rsidRPr="00B8204C">
        <w:rPr>
          <w:sz w:val="24"/>
          <w:szCs w:val="24"/>
        </w:rPr>
        <w:t>Příklad: Pokud poskytovatel vykáže na každého pojištěnce průměrně trojnásobek bodů referenčního období, jeho výsledná hodnota bodu bude 0,54 Kč.</w:t>
      </w:r>
    </w:p>
    <w:p w:rsidR="00B8204C" w:rsidRPr="00B8204C" w:rsidRDefault="00B8204C" w:rsidP="00B8204C">
      <w:pPr>
        <w:pStyle w:val="Odstavecseseznamem"/>
        <w:numPr>
          <w:ilvl w:val="0"/>
          <w:numId w:val="41"/>
        </w:numPr>
        <w:jc w:val="both"/>
        <w:rPr>
          <w:sz w:val="24"/>
          <w:szCs w:val="24"/>
        </w:rPr>
      </w:pPr>
      <w:r w:rsidRPr="00B8204C">
        <w:rPr>
          <w:sz w:val="24"/>
          <w:szCs w:val="24"/>
        </w:rPr>
        <w:t xml:space="preserve">Úhradová vyhláška již </w:t>
      </w:r>
      <w:r w:rsidRPr="00B8204C">
        <w:rPr>
          <w:b/>
          <w:sz w:val="24"/>
          <w:szCs w:val="24"/>
        </w:rPr>
        <w:t>nebude řešit vztah pojišťovny s nesmluvním zařízením</w:t>
      </w:r>
      <w:r w:rsidRPr="00B8204C">
        <w:rPr>
          <w:sz w:val="24"/>
          <w:szCs w:val="24"/>
        </w:rPr>
        <w:t>.</w:t>
      </w:r>
    </w:p>
    <w:p w:rsidR="00862389" w:rsidRDefault="00862389">
      <w:pPr>
        <w:spacing w:after="0" w:line="240" w:lineRule="auto"/>
        <w:rPr>
          <w:rFonts w:cs="Arial"/>
        </w:rPr>
      </w:pPr>
      <w:r>
        <w:rPr>
          <w:rFonts w:cs="Arial"/>
        </w:rPr>
        <w:br w:type="page"/>
      </w:r>
    </w:p>
    <w:p w:rsidR="002830FB" w:rsidRDefault="00862389" w:rsidP="00862389">
      <w:pPr>
        <w:pStyle w:val="Nadpis1"/>
        <w:numPr>
          <w:ilvl w:val="0"/>
          <w:numId w:val="20"/>
        </w:numPr>
        <w:rPr>
          <w:rFonts w:asciiTheme="minorHAnsi" w:hAnsiTheme="minorHAnsi" w:cs="Arial"/>
          <w:color w:val="auto"/>
        </w:rPr>
      </w:pPr>
      <w:bookmarkStart w:id="24" w:name="_Toc373223694"/>
      <w:r w:rsidRPr="00862389">
        <w:rPr>
          <w:rFonts w:asciiTheme="minorHAnsi" w:hAnsiTheme="minorHAnsi" w:cs="Arial"/>
          <w:color w:val="auto"/>
        </w:rPr>
        <w:t>Vývojové trendy v</w:t>
      </w:r>
      <w:r w:rsidR="00CD2CF1">
        <w:rPr>
          <w:rFonts w:asciiTheme="minorHAnsi" w:hAnsiTheme="minorHAnsi" w:cs="Arial"/>
          <w:color w:val="auto"/>
        </w:rPr>
        <w:t> </w:t>
      </w:r>
      <w:r w:rsidRPr="00862389">
        <w:rPr>
          <w:rFonts w:asciiTheme="minorHAnsi" w:hAnsiTheme="minorHAnsi" w:cs="Arial"/>
          <w:color w:val="auto"/>
        </w:rPr>
        <w:t>ČR</w:t>
      </w:r>
      <w:r w:rsidR="00CD2CF1">
        <w:rPr>
          <w:rFonts w:asciiTheme="minorHAnsi" w:hAnsiTheme="minorHAnsi" w:cs="Arial"/>
          <w:color w:val="auto"/>
        </w:rPr>
        <w:t xml:space="preserve"> a mezinárodní srovnání</w:t>
      </w:r>
      <w:bookmarkEnd w:id="24"/>
    </w:p>
    <w:p w:rsidR="000A5237" w:rsidRDefault="000A5237" w:rsidP="000A5237">
      <w:pPr>
        <w:jc w:val="both"/>
        <w:rPr>
          <w:sz w:val="24"/>
          <w:szCs w:val="24"/>
        </w:rPr>
      </w:pPr>
      <w:r w:rsidRPr="000A5237">
        <w:rPr>
          <w:sz w:val="24"/>
          <w:szCs w:val="24"/>
        </w:rPr>
        <w:t xml:space="preserve">Česká republika vydává na zdravotnictví objem financí odpovídající jejímu HDP. </w:t>
      </w:r>
      <w:r w:rsidR="00E415DF">
        <w:rPr>
          <w:sz w:val="24"/>
          <w:szCs w:val="24"/>
        </w:rPr>
        <w:t>V</w:t>
      </w:r>
      <w:r w:rsidRPr="000A5237">
        <w:rPr>
          <w:sz w:val="24"/>
          <w:szCs w:val="24"/>
        </w:rPr>
        <w:t> mezinárodním srovnání</w:t>
      </w:r>
      <w:r w:rsidR="00E415DF">
        <w:rPr>
          <w:sz w:val="24"/>
          <w:szCs w:val="24"/>
        </w:rPr>
        <w:t>, jak ukazuje graf níže,</w:t>
      </w:r>
      <w:r w:rsidRPr="000A5237">
        <w:rPr>
          <w:sz w:val="24"/>
          <w:szCs w:val="24"/>
        </w:rPr>
        <w:t xml:space="preserve"> je vidět</w:t>
      </w:r>
      <w:r w:rsidR="00E415DF">
        <w:rPr>
          <w:sz w:val="24"/>
          <w:szCs w:val="24"/>
        </w:rPr>
        <w:t xml:space="preserve"> běžný trend, </w:t>
      </w:r>
      <w:r w:rsidRPr="000A5237">
        <w:rPr>
          <w:sz w:val="24"/>
          <w:szCs w:val="24"/>
        </w:rPr>
        <w:t>že bohatší země vydávají na zdravotnictví více nejen absolutně, ale i relativně vzhledem ke svému HDP</w:t>
      </w:r>
      <w:r w:rsidR="00E415DF">
        <w:rPr>
          <w:sz w:val="24"/>
          <w:szCs w:val="24"/>
        </w:rPr>
        <w:t xml:space="preserve"> (jelikož zdravotnictví lze pokládat za luxusní statek)</w:t>
      </w:r>
      <w:r w:rsidR="00E415DF" w:rsidRPr="000A5237">
        <w:rPr>
          <w:sz w:val="24"/>
          <w:szCs w:val="24"/>
        </w:rPr>
        <w:t xml:space="preserve"> </w:t>
      </w:r>
      <w:r w:rsidRPr="000A5237">
        <w:rPr>
          <w:sz w:val="24"/>
          <w:szCs w:val="24"/>
        </w:rPr>
        <w:t>a Česká republika z tohoto trendu nijak nevybočuje a její situace je zhruba taková, jak odpovídá českému HDP.</w:t>
      </w:r>
    </w:p>
    <w:p w:rsidR="00A45F77" w:rsidRPr="000A5237" w:rsidRDefault="00A45F77" w:rsidP="000A5237">
      <w:pPr>
        <w:jc w:val="both"/>
        <w:rPr>
          <w:sz w:val="24"/>
          <w:szCs w:val="24"/>
        </w:rPr>
      </w:pPr>
    </w:p>
    <w:p w:rsidR="00834792" w:rsidRPr="00834792" w:rsidRDefault="00A45F77" w:rsidP="00834792">
      <w:r>
        <w:rPr>
          <w:noProof/>
          <w:lang w:eastAsia="cs-CZ"/>
        </w:rPr>
        <w:drawing>
          <wp:inline distT="0" distB="0" distL="0" distR="0" wp14:anchorId="3CBE2EF6" wp14:editId="12951C40">
            <wp:extent cx="6549656" cy="6836735"/>
            <wp:effectExtent l="0" t="0" r="22860" b="2159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45F77" w:rsidRDefault="00A45F77">
      <w:pPr>
        <w:spacing w:after="0" w:line="240" w:lineRule="auto"/>
        <w:rPr>
          <w:sz w:val="24"/>
          <w:szCs w:val="24"/>
        </w:rPr>
      </w:pPr>
      <w:r>
        <w:rPr>
          <w:sz w:val="24"/>
          <w:szCs w:val="24"/>
        </w:rPr>
        <w:br w:type="page"/>
      </w:r>
    </w:p>
    <w:p w:rsidR="00E415DF" w:rsidRDefault="00E415DF" w:rsidP="00834792">
      <w:pPr>
        <w:rPr>
          <w:sz w:val="24"/>
          <w:szCs w:val="24"/>
          <w:u w:val="single"/>
        </w:rPr>
      </w:pPr>
      <w:r w:rsidRPr="00E415DF">
        <w:rPr>
          <w:sz w:val="24"/>
          <w:szCs w:val="24"/>
          <w:u w:val="single"/>
        </w:rPr>
        <w:t>Lůžka v</w:t>
      </w:r>
      <w:r>
        <w:rPr>
          <w:sz w:val="24"/>
          <w:szCs w:val="24"/>
          <w:u w:val="single"/>
        </w:rPr>
        <w:t> </w:t>
      </w:r>
      <w:r w:rsidRPr="00E415DF">
        <w:rPr>
          <w:sz w:val="24"/>
          <w:szCs w:val="24"/>
          <w:u w:val="single"/>
        </w:rPr>
        <w:t>nemocnicích</w:t>
      </w:r>
    </w:p>
    <w:p w:rsidR="00E415DF" w:rsidRPr="00E415DF" w:rsidRDefault="00E415DF" w:rsidP="0091321D">
      <w:pPr>
        <w:spacing w:after="0"/>
        <w:rPr>
          <w:sz w:val="24"/>
          <w:szCs w:val="24"/>
        </w:rPr>
      </w:pPr>
      <w:r w:rsidRPr="00E415DF">
        <w:rPr>
          <w:sz w:val="24"/>
          <w:szCs w:val="24"/>
        </w:rPr>
        <w:t>Graf 1:</w:t>
      </w:r>
    </w:p>
    <w:p w:rsidR="00E415DF" w:rsidRDefault="00E415DF" w:rsidP="00834792">
      <w:pPr>
        <w:rPr>
          <w:sz w:val="24"/>
          <w:szCs w:val="24"/>
        </w:rPr>
      </w:pPr>
      <w:r>
        <w:rPr>
          <w:noProof/>
          <w:lang w:eastAsia="cs-CZ"/>
        </w:rPr>
        <w:drawing>
          <wp:inline distT="0" distB="0" distL="0" distR="0" wp14:anchorId="3C8429DB" wp14:editId="03225B95">
            <wp:extent cx="6464595" cy="3125972"/>
            <wp:effectExtent l="0" t="0" r="12700" b="1778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415DF" w:rsidRDefault="00E415DF" w:rsidP="0091321D">
      <w:pPr>
        <w:jc w:val="both"/>
        <w:rPr>
          <w:sz w:val="24"/>
          <w:szCs w:val="24"/>
        </w:rPr>
      </w:pPr>
      <w:r>
        <w:rPr>
          <w:sz w:val="24"/>
          <w:szCs w:val="24"/>
        </w:rPr>
        <w:t xml:space="preserve">Z grafu 1 lze vidět, že počet lůžek v nemocnicích v ČR neustále klesá, ale </w:t>
      </w:r>
      <w:r w:rsidR="00726C92">
        <w:rPr>
          <w:sz w:val="24"/>
          <w:szCs w:val="24"/>
        </w:rPr>
        <w:t>ve srovnání se situací</w:t>
      </w:r>
      <w:r>
        <w:rPr>
          <w:sz w:val="24"/>
          <w:szCs w:val="24"/>
        </w:rPr>
        <w:t xml:space="preserve"> v okolních </w:t>
      </w:r>
      <w:r w:rsidR="00726C92">
        <w:rPr>
          <w:sz w:val="24"/>
          <w:szCs w:val="24"/>
        </w:rPr>
        <w:t>zemích se</w:t>
      </w:r>
      <w:r>
        <w:rPr>
          <w:sz w:val="24"/>
          <w:szCs w:val="24"/>
        </w:rPr>
        <w:t xml:space="preserve"> po</w:t>
      </w:r>
      <w:r w:rsidR="0091321D">
        <w:rPr>
          <w:sz w:val="24"/>
          <w:szCs w:val="24"/>
        </w:rPr>
        <w:t xml:space="preserve">čet lůžek </w:t>
      </w:r>
      <w:r>
        <w:rPr>
          <w:sz w:val="24"/>
          <w:szCs w:val="24"/>
        </w:rPr>
        <w:t xml:space="preserve">na 1 000 </w:t>
      </w:r>
      <w:r w:rsidR="00726C92">
        <w:rPr>
          <w:sz w:val="24"/>
          <w:szCs w:val="24"/>
        </w:rPr>
        <w:t>obyvatel</w:t>
      </w:r>
      <w:r w:rsidR="0091321D">
        <w:rPr>
          <w:sz w:val="24"/>
          <w:szCs w:val="24"/>
        </w:rPr>
        <w:t xml:space="preserve"> pohybuje</w:t>
      </w:r>
      <w:r>
        <w:rPr>
          <w:sz w:val="24"/>
          <w:szCs w:val="24"/>
        </w:rPr>
        <w:t xml:space="preserve"> nad průměrem zemí OECD</w:t>
      </w:r>
      <w:r w:rsidR="004D5B75">
        <w:rPr>
          <w:sz w:val="24"/>
          <w:szCs w:val="24"/>
        </w:rPr>
        <w:t xml:space="preserve"> (graf 2), s hodnotou 6,8 lůžka na 1 000 obyvatel.</w:t>
      </w:r>
    </w:p>
    <w:p w:rsidR="0091321D" w:rsidRPr="00834792" w:rsidRDefault="0091321D" w:rsidP="0091321D">
      <w:pPr>
        <w:spacing w:after="0"/>
        <w:jc w:val="both"/>
        <w:rPr>
          <w:sz w:val="24"/>
          <w:szCs w:val="24"/>
        </w:rPr>
      </w:pPr>
      <w:r>
        <w:rPr>
          <w:sz w:val="24"/>
          <w:szCs w:val="24"/>
        </w:rPr>
        <w:t>Graf 2:</w:t>
      </w:r>
    </w:p>
    <w:p w:rsidR="0091321D" w:rsidRDefault="0091321D" w:rsidP="00862389">
      <w:pPr>
        <w:rPr>
          <w:rFonts w:asciiTheme="minorHAnsi" w:hAnsiTheme="minorHAnsi"/>
          <w:noProof/>
          <w:sz w:val="32"/>
          <w:lang w:eastAsia="cs-CZ"/>
        </w:rPr>
      </w:pPr>
      <w:bookmarkStart w:id="25" w:name="_Toc372870081"/>
      <w:r>
        <w:rPr>
          <w:rFonts w:asciiTheme="minorHAnsi" w:hAnsiTheme="minorHAnsi"/>
          <w:noProof/>
          <w:sz w:val="32"/>
          <w:lang w:eastAsia="cs-CZ"/>
        </w:rPr>
        <w:drawing>
          <wp:inline distT="0" distB="0" distL="0" distR="0" wp14:anchorId="78117BD4" wp14:editId="51C86861">
            <wp:extent cx="6468176" cy="3296093"/>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465789" cy="3294876"/>
                    </a:xfrm>
                    <a:prstGeom prst="rect">
                      <a:avLst/>
                    </a:prstGeom>
                    <a:noFill/>
                  </pic:spPr>
                </pic:pic>
              </a:graphicData>
            </a:graphic>
          </wp:inline>
        </w:drawing>
      </w:r>
    </w:p>
    <w:bookmarkEnd w:id="25"/>
    <w:p w:rsidR="0091321D" w:rsidRDefault="0091321D">
      <w:pPr>
        <w:spacing w:after="0" w:line="240" w:lineRule="auto"/>
        <w:rPr>
          <w:rFonts w:asciiTheme="minorHAnsi" w:hAnsiTheme="minorHAnsi"/>
          <w:noProof/>
          <w:sz w:val="32"/>
          <w:lang w:eastAsia="cs-CZ"/>
        </w:rPr>
      </w:pPr>
      <w:r>
        <w:rPr>
          <w:rFonts w:asciiTheme="minorHAnsi" w:hAnsiTheme="minorHAnsi"/>
          <w:noProof/>
          <w:sz w:val="32"/>
          <w:lang w:eastAsia="cs-CZ"/>
        </w:rPr>
        <w:br w:type="page"/>
      </w:r>
    </w:p>
    <w:p w:rsidR="00862389" w:rsidRDefault="0091321D" w:rsidP="00862389">
      <w:pPr>
        <w:rPr>
          <w:sz w:val="24"/>
          <w:szCs w:val="24"/>
          <w:u w:val="single"/>
        </w:rPr>
      </w:pPr>
      <w:r w:rsidRPr="0091321D">
        <w:rPr>
          <w:sz w:val="24"/>
          <w:szCs w:val="24"/>
          <w:u w:val="single"/>
        </w:rPr>
        <w:t>Perso</w:t>
      </w:r>
      <w:r>
        <w:rPr>
          <w:sz w:val="24"/>
          <w:szCs w:val="24"/>
          <w:u w:val="single"/>
        </w:rPr>
        <w:t>nální zabezpečení zdravotní péče</w:t>
      </w:r>
    </w:p>
    <w:p w:rsidR="0091321D" w:rsidRDefault="00415564" w:rsidP="004D5B75">
      <w:pPr>
        <w:jc w:val="both"/>
        <w:rPr>
          <w:sz w:val="24"/>
          <w:szCs w:val="24"/>
        </w:rPr>
      </w:pPr>
      <w:r w:rsidRPr="00415564">
        <w:rPr>
          <w:sz w:val="24"/>
          <w:szCs w:val="24"/>
        </w:rPr>
        <w:t>Česká republika má velké množství lékařů i sester.</w:t>
      </w:r>
      <w:r w:rsidR="00AC0A64">
        <w:rPr>
          <w:sz w:val="24"/>
          <w:szCs w:val="24"/>
        </w:rPr>
        <w:t xml:space="preserve">  </w:t>
      </w:r>
      <w:r w:rsidR="00AC0A64" w:rsidRPr="00AC0A64">
        <w:rPr>
          <w:sz w:val="24"/>
          <w:szCs w:val="24"/>
        </w:rPr>
        <w:t>V počt</w:t>
      </w:r>
      <w:r w:rsidR="00AC0A64">
        <w:rPr>
          <w:sz w:val="24"/>
          <w:szCs w:val="24"/>
        </w:rPr>
        <w:t xml:space="preserve">u lékařů a sester se pohybujeme </w:t>
      </w:r>
      <w:r w:rsidR="004D5B75">
        <w:rPr>
          <w:sz w:val="24"/>
          <w:szCs w:val="24"/>
        </w:rPr>
        <w:t>nad průměrem zemí OECD, s hodnotou 3,56 lékaře a 8 sester na 1 000 obyvatel.</w:t>
      </w:r>
      <w:r w:rsidR="00AC0A64">
        <w:rPr>
          <w:sz w:val="24"/>
          <w:szCs w:val="24"/>
        </w:rPr>
        <w:t xml:space="preserve"> </w:t>
      </w:r>
      <w:r w:rsidR="00AC0A64" w:rsidRPr="00AC0A64">
        <w:rPr>
          <w:sz w:val="24"/>
          <w:szCs w:val="24"/>
        </w:rPr>
        <w:t>V případě lékařů tvoří přibližně 44 % lékaři praktičtí, zbylých 56 % potom ambulantní specialisté.</w:t>
      </w:r>
    </w:p>
    <w:p w:rsidR="00E1280A" w:rsidRDefault="00E1280A" w:rsidP="00862389">
      <w:pPr>
        <w:rPr>
          <w:sz w:val="24"/>
          <w:szCs w:val="24"/>
        </w:rPr>
      </w:pPr>
      <w:r>
        <w:rPr>
          <w:noProof/>
          <w:lang w:eastAsia="cs-CZ"/>
        </w:rPr>
        <w:drawing>
          <wp:inline distT="0" distB="0" distL="0" distR="0" wp14:anchorId="6D4FCCCD" wp14:editId="67990E3B">
            <wp:extent cx="6480000" cy="2160000"/>
            <wp:effectExtent l="0" t="0" r="16510" b="12065"/>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1280A" w:rsidRDefault="00E1280A" w:rsidP="00862389">
      <w:pPr>
        <w:rPr>
          <w:sz w:val="24"/>
          <w:szCs w:val="24"/>
        </w:rPr>
      </w:pPr>
      <w:r w:rsidRPr="00E1280A">
        <w:rPr>
          <w:noProof/>
          <w:sz w:val="24"/>
          <w:szCs w:val="24"/>
          <w:lang w:eastAsia="cs-CZ"/>
        </w:rPr>
        <w:drawing>
          <wp:inline distT="0" distB="0" distL="0" distR="0" wp14:anchorId="516F342E" wp14:editId="32319836">
            <wp:extent cx="6480000" cy="2880000"/>
            <wp:effectExtent l="0" t="0" r="16510" b="15875"/>
            <wp:docPr id="23" name="Graf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C0A64" w:rsidRDefault="00AC0A64" w:rsidP="00862389">
      <w:pPr>
        <w:rPr>
          <w:sz w:val="24"/>
          <w:szCs w:val="24"/>
        </w:rPr>
      </w:pPr>
      <w:r w:rsidRPr="00AC0A64">
        <w:rPr>
          <w:noProof/>
          <w:sz w:val="24"/>
          <w:szCs w:val="24"/>
          <w:lang w:eastAsia="cs-CZ"/>
        </w:rPr>
        <w:drawing>
          <wp:inline distT="0" distB="0" distL="0" distR="0" wp14:anchorId="0ABB417D" wp14:editId="4CCC0E5C">
            <wp:extent cx="6480000" cy="2880000"/>
            <wp:effectExtent l="0" t="0" r="16510" b="15875"/>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D5B75" w:rsidRPr="004D5B75" w:rsidRDefault="004D5B75" w:rsidP="004D2AFC">
      <w:pPr>
        <w:jc w:val="both"/>
        <w:rPr>
          <w:sz w:val="24"/>
          <w:szCs w:val="24"/>
        </w:rPr>
      </w:pPr>
      <w:r w:rsidRPr="004D5B75">
        <w:rPr>
          <w:sz w:val="24"/>
          <w:szCs w:val="24"/>
        </w:rPr>
        <w:t xml:space="preserve">Průměrný plat lékaře </w:t>
      </w:r>
      <w:r w:rsidR="00637922">
        <w:rPr>
          <w:sz w:val="24"/>
          <w:szCs w:val="24"/>
        </w:rPr>
        <w:t xml:space="preserve">(57 687 CZK) </w:t>
      </w:r>
      <w:r w:rsidRPr="004D5B75">
        <w:rPr>
          <w:sz w:val="24"/>
          <w:szCs w:val="24"/>
        </w:rPr>
        <w:t>v ČR činí přibližně 237 % celorepublikového průměru a povolání lékaře je tak velice atraktivní.</w:t>
      </w:r>
      <w:r w:rsidR="009E036E">
        <w:rPr>
          <w:sz w:val="24"/>
          <w:szCs w:val="24"/>
        </w:rPr>
        <w:t xml:space="preserve"> (MZ v grafu – plat lékařů v nemocnicích řízených Ministerstvem zdravotnictví ČR).</w:t>
      </w:r>
    </w:p>
    <w:p w:rsidR="004D5B75" w:rsidRDefault="004D5B75" w:rsidP="00862389">
      <w:pPr>
        <w:rPr>
          <w:sz w:val="24"/>
          <w:szCs w:val="24"/>
        </w:rPr>
      </w:pPr>
      <w:r>
        <w:rPr>
          <w:noProof/>
          <w:lang w:eastAsia="cs-CZ"/>
        </w:rPr>
        <w:drawing>
          <wp:inline distT="0" distB="0" distL="0" distR="0" wp14:anchorId="3728D67F" wp14:editId="34B99E7A">
            <wp:extent cx="6376480" cy="3609893"/>
            <wp:effectExtent l="0" t="0" r="0" b="0"/>
            <wp:docPr id="26" name="Obrázek 26" descr="cid:image001.png@01CE4D5D.6F0FD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CE4D5D.6F0FD950"/>
                    <pic:cNvPicPr>
                      <a:picLocks noChangeAspect="1" noChangeArrowheads="1"/>
                    </pic:cNvPicPr>
                  </pic:nvPicPr>
                  <pic:blipFill>
                    <a:blip r:embed="rId29" r:link="rId30">
                      <a:extLst>
                        <a:ext uri="{28A0092B-C50C-407E-A947-70E740481C1C}">
                          <a14:useLocalDpi xmlns:a14="http://schemas.microsoft.com/office/drawing/2010/main" val="0"/>
                        </a:ext>
                      </a:extLst>
                    </a:blip>
                    <a:srcRect/>
                    <a:stretch>
                      <a:fillRect/>
                    </a:stretch>
                  </pic:blipFill>
                  <pic:spPr bwMode="auto">
                    <a:xfrm>
                      <a:off x="0" y="0"/>
                      <a:ext cx="6384898" cy="3614658"/>
                    </a:xfrm>
                    <a:prstGeom prst="rect">
                      <a:avLst/>
                    </a:prstGeom>
                    <a:noFill/>
                    <a:ln>
                      <a:noFill/>
                    </a:ln>
                  </pic:spPr>
                </pic:pic>
              </a:graphicData>
            </a:graphic>
          </wp:inline>
        </w:drawing>
      </w:r>
    </w:p>
    <w:p w:rsidR="004D2AFC" w:rsidRPr="004D5B75" w:rsidRDefault="004D2AFC" w:rsidP="004D2AFC">
      <w:pPr>
        <w:jc w:val="both"/>
        <w:rPr>
          <w:sz w:val="24"/>
          <w:szCs w:val="24"/>
        </w:rPr>
      </w:pPr>
      <w:r w:rsidRPr="004D5B75">
        <w:rPr>
          <w:sz w:val="24"/>
          <w:szCs w:val="24"/>
        </w:rPr>
        <w:t>Z tohoto důvodu více jak 9 % všech vysokoškolských studentů t</w:t>
      </w:r>
      <w:r>
        <w:rPr>
          <w:sz w:val="24"/>
          <w:szCs w:val="24"/>
        </w:rPr>
        <w:t xml:space="preserve">voří studenti lékařských fakult a v mezinárodním srovnání </w:t>
      </w:r>
      <w:r w:rsidR="00637922">
        <w:rPr>
          <w:sz w:val="24"/>
          <w:szCs w:val="24"/>
        </w:rPr>
        <w:t>je ČR nad OECD průměrem.</w:t>
      </w:r>
    </w:p>
    <w:p w:rsidR="004D2AFC" w:rsidRDefault="004D2AFC" w:rsidP="00862389">
      <w:pPr>
        <w:rPr>
          <w:sz w:val="24"/>
          <w:szCs w:val="24"/>
        </w:rPr>
      </w:pPr>
      <w:r>
        <w:rPr>
          <w:noProof/>
          <w:lang w:eastAsia="cs-CZ"/>
        </w:rPr>
        <w:drawing>
          <wp:inline distT="0" distB="0" distL="0" distR="0" wp14:anchorId="3E60AB52" wp14:editId="1936C7D7">
            <wp:extent cx="6457950" cy="4038600"/>
            <wp:effectExtent l="0" t="0" r="19050" b="19050"/>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C722D" w:rsidRDefault="00DC722D" w:rsidP="00DC722D"/>
    <w:p w:rsidR="00DC722D" w:rsidRPr="00DC722D" w:rsidRDefault="00DC722D" w:rsidP="00DC722D">
      <w:pPr>
        <w:rPr>
          <w:sz w:val="24"/>
          <w:szCs w:val="24"/>
          <w:u w:val="single"/>
        </w:rPr>
      </w:pPr>
      <w:r w:rsidRPr="00DC722D">
        <w:rPr>
          <w:sz w:val="24"/>
          <w:szCs w:val="24"/>
          <w:u w:val="single"/>
        </w:rPr>
        <w:t>Srovnání využívání kapacit zdravotních služeb ve státech OECD</w:t>
      </w:r>
    </w:p>
    <w:p w:rsidR="00DC722D" w:rsidRPr="00DC722D" w:rsidRDefault="00DC722D" w:rsidP="00DC722D">
      <w:pPr>
        <w:rPr>
          <w:sz w:val="24"/>
          <w:szCs w:val="24"/>
        </w:rPr>
      </w:pPr>
      <w:r w:rsidRPr="00DC722D">
        <w:rPr>
          <w:sz w:val="24"/>
          <w:szCs w:val="24"/>
        </w:rPr>
        <w:t>Počet návštěv pacienta u lékaře, 2011 (nebo nejbližší rok)</w:t>
      </w:r>
    </w:p>
    <w:p w:rsidR="00DC722D" w:rsidRDefault="00DC722D" w:rsidP="00DC722D">
      <w:r>
        <w:rPr>
          <w:noProof/>
          <w:lang w:eastAsia="cs-CZ"/>
        </w:rPr>
        <mc:AlternateContent>
          <mc:Choice Requires="wps">
            <w:drawing>
              <wp:anchor distT="0" distB="0" distL="114300" distR="114300" simplePos="0" relativeHeight="251678208" behindDoc="0" locked="0" layoutInCell="1" allowOverlap="1" wp14:anchorId="3DCBED32" wp14:editId="5357690F">
                <wp:simplePos x="0" y="0"/>
                <wp:positionH relativeFrom="column">
                  <wp:posOffset>608965</wp:posOffset>
                </wp:positionH>
                <wp:positionV relativeFrom="paragraph">
                  <wp:posOffset>715645</wp:posOffset>
                </wp:positionV>
                <wp:extent cx="643255" cy="211455"/>
                <wp:effectExtent l="6350" t="0" r="29845" b="29845"/>
                <wp:wrapNone/>
                <wp:docPr id="17895" name="Šipka doprava 17895"/>
                <wp:cNvGraphicFramePr/>
                <a:graphic xmlns:a="http://schemas.openxmlformats.org/drawingml/2006/main">
                  <a:graphicData uri="http://schemas.microsoft.com/office/word/2010/wordprocessingShape">
                    <wps:wsp>
                      <wps:cNvSpPr/>
                      <wps:spPr>
                        <a:xfrm rot="5400000">
                          <a:off x="0" y="0"/>
                          <a:ext cx="643255" cy="21145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7895" o:spid="_x0000_s1026" type="#_x0000_t13" style="position:absolute;margin-left:47.95pt;margin-top:56.35pt;width:50.65pt;height:16.65pt;rotation:90;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" adj="18050" fillcolor="#4f81bd [3204]" strokecolor="#243f60 [1604]" strokeweight="2pt"/>
            </w:pict>
          </mc:Fallback>
        </mc:AlternateContent>
      </w:r>
      <w:r>
        <w:rPr>
          <w:noProof/>
          <w:lang w:eastAsia="cs-CZ"/>
        </w:rPr>
        <mc:AlternateContent>
          <mc:Choice Requires="wps">
            <w:drawing>
              <wp:anchor distT="0" distB="0" distL="114300" distR="114300" simplePos="0" relativeHeight="251677184" behindDoc="0" locked="0" layoutInCell="1" allowOverlap="1" wp14:anchorId="5B6652BE" wp14:editId="7F812B3F">
                <wp:simplePos x="0" y="0"/>
                <wp:positionH relativeFrom="column">
                  <wp:posOffset>831215</wp:posOffset>
                </wp:positionH>
                <wp:positionV relativeFrom="paragraph">
                  <wp:posOffset>793750</wp:posOffset>
                </wp:positionV>
                <wp:extent cx="242570" cy="2098675"/>
                <wp:effectExtent l="0" t="0" r="24130" b="15875"/>
                <wp:wrapNone/>
                <wp:docPr id="17896" name="Obdélník 17896"/>
                <wp:cNvGraphicFramePr/>
                <a:graphic xmlns:a="http://schemas.openxmlformats.org/drawingml/2006/main">
                  <a:graphicData uri="http://schemas.microsoft.com/office/word/2010/wordprocessingShape">
                    <wps:wsp>
                      <wps:cNvSpPr/>
                      <wps:spPr>
                        <a:xfrm>
                          <a:off x="0" y="0"/>
                          <a:ext cx="242570" cy="2098675"/>
                        </a:xfrm>
                        <a:prstGeom prst="rect">
                          <a:avLst/>
                        </a:prstGeom>
                        <a:solidFill>
                          <a:srgbClr val="FFFF00">
                            <a:alpha val="19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élník 17896" o:spid="_x0000_s1026" style="position:absolute;margin-left:65.45pt;margin-top:62.5pt;width:19.1pt;height:165.2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" fillcolor="yellow" strokecolor="yellow" strokeweight="2pt">
                <v:fill opacity="12336f"/>
              </v:rect>
            </w:pict>
          </mc:Fallback>
        </mc:AlternateContent>
      </w:r>
      <w:r>
        <w:rPr>
          <w:noProof/>
          <w:lang w:eastAsia="cs-CZ"/>
        </w:rPr>
        <w:drawing>
          <wp:inline distT="0" distB="0" distL="0" distR="0" wp14:anchorId="19650321" wp14:editId="5335CA66">
            <wp:extent cx="6578082" cy="3855301"/>
            <wp:effectExtent l="0" t="0" r="0" b="0"/>
            <wp:docPr id="17901" name="Obrázek 17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594319" cy="3864817"/>
                    </a:xfrm>
                    <a:prstGeom prst="rect">
                      <a:avLst/>
                    </a:prstGeom>
                    <a:noFill/>
                    <a:ln>
                      <a:noFill/>
                    </a:ln>
                  </pic:spPr>
                </pic:pic>
              </a:graphicData>
            </a:graphic>
          </wp:inline>
        </w:drawing>
      </w:r>
    </w:p>
    <w:p w:rsidR="00DC722D" w:rsidRDefault="00DC722D" w:rsidP="00DC722D"/>
    <w:p w:rsidR="00DC722D" w:rsidRPr="00DC722D" w:rsidRDefault="00DC722D" w:rsidP="00DC722D">
      <w:pPr>
        <w:rPr>
          <w:sz w:val="24"/>
          <w:szCs w:val="24"/>
        </w:rPr>
      </w:pPr>
      <w:r w:rsidRPr="00DC722D">
        <w:rPr>
          <w:sz w:val="24"/>
          <w:szCs w:val="24"/>
        </w:rPr>
        <w:t>Průměrná délka pobytu v nemocnici, 2000 a 2011 (nebo nejbližší rok)</w:t>
      </w:r>
    </w:p>
    <w:p w:rsidR="00DC722D" w:rsidRDefault="00DC722D" w:rsidP="00DC722D"/>
    <w:p w:rsidR="00DC722D" w:rsidRDefault="00DC722D" w:rsidP="00DC722D">
      <w:pPr>
        <w:sectPr w:rsidR="00DC722D" w:rsidSect="00FE2BDE">
          <w:footerReference w:type="default" r:id="rId33"/>
          <w:pgSz w:w="11906" w:h="16838"/>
          <w:pgMar w:top="720" w:right="720" w:bottom="720" w:left="720" w:header="708" w:footer="708" w:gutter="0"/>
          <w:cols w:space="708"/>
          <w:docGrid w:linePitch="360"/>
        </w:sectPr>
      </w:pPr>
      <w:r>
        <w:rPr>
          <w:noProof/>
          <w:lang w:eastAsia="cs-CZ"/>
        </w:rPr>
        <mc:AlternateContent>
          <mc:Choice Requires="wps">
            <w:drawing>
              <wp:anchor distT="0" distB="0" distL="114300" distR="114300" simplePos="0" relativeHeight="251675136" behindDoc="0" locked="0" layoutInCell="1" allowOverlap="1" wp14:anchorId="51A29AD9" wp14:editId="661B50F8">
                <wp:simplePos x="0" y="0"/>
                <wp:positionH relativeFrom="column">
                  <wp:posOffset>965200</wp:posOffset>
                </wp:positionH>
                <wp:positionV relativeFrom="paragraph">
                  <wp:posOffset>906145</wp:posOffset>
                </wp:positionV>
                <wp:extent cx="643255" cy="211455"/>
                <wp:effectExtent l="6350" t="0" r="29845" b="29845"/>
                <wp:wrapNone/>
                <wp:docPr id="17897" name="Šipka doprava 17897"/>
                <wp:cNvGraphicFramePr/>
                <a:graphic xmlns:a="http://schemas.openxmlformats.org/drawingml/2006/main">
                  <a:graphicData uri="http://schemas.microsoft.com/office/word/2010/wordprocessingShape">
                    <wps:wsp>
                      <wps:cNvSpPr/>
                      <wps:spPr>
                        <a:xfrm rot="5400000">
                          <a:off x="0" y="0"/>
                          <a:ext cx="643255" cy="21145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Šipka doprava 17897" o:spid="_x0000_s1026" type="#_x0000_t13" style="position:absolute;margin-left:76pt;margin-top:71.35pt;width:50.65pt;height:16.65pt;rotation:90;z-index:25167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" adj="18050" fillcolor="#4f81bd [3204]" strokecolor="#243f60 [1604]" strokeweight="2pt"/>
            </w:pict>
          </mc:Fallback>
        </mc:AlternateContent>
      </w:r>
      <w:r>
        <w:rPr>
          <w:noProof/>
          <w:lang w:eastAsia="cs-CZ"/>
        </w:rPr>
        <mc:AlternateContent>
          <mc:Choice Requires="wps">
            <w:drawing>
              <wp:anchor distT="0" distB="0" distL="114300" distR="114300" simplePos="0" relativeHeight="251673088" behindDoc="0" locked="0" layoutInCell="1" allowOverlap="1" wp14:anchorId="40FE27A4" wp14:editId="7143877B">
                <wp:simplePos x="0" y="0"/>
                <wp:positionH relativeFrom="column">
                  <wp:posOffset>1156996</wp:posOffset>
                </wp:positionH>
                <wp:positionV relativeFrom="paragraph">
                  <wp:posOffset>687667</wp:posOffset>
                </wp:positionV>
                <wp:extent cx="242570" cy="2015412"/>
                <wp:effectExtent l="0" t="0" r="24130" b="23495"/>
                <wp:wrapNone/>
                <wp:docPr id="17898" name="Obdélník 17898"/>
                <wp:cNvGraphicFramePr/>
                <a:graphic xmlns:a="http://schemas.openxmlformats.org/drawingml/2006/main">
                  <a:graphicData uri="http://schemas.microsoft.com/office/word/2010/wordprocessingShape">
                    <wps:wsp>
                      <wps:cNvSpPr/>
                      <wps:spPr>
                        <a:xfrm>
                          <a:off x="0" y="0"/>
                          <a:ext cx="242570" cy="2015412"/>
                        </a:xfrm>
                        <a:prstGeom prst="rect">
                          <a:avLst/>
                        </a:prstGeom>
                        <a:solidFill>
                          <a:srgbClr val="FFFF00">
                            <a:alpha val="19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Obdélník 17898" o:spid="_x0000_s1026" style="position:absolute;margin-left:91.1pt;margin-top:54.15pt;width:19.1pt;height:158.7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" fillcolor="yellow" strokecolor="yellow" strokeweight="2pt">
                <v:fill opacity="12336f"/>
              </v:rect>
            </w:pict>
          </mc:Fallback>
        </mc:AlternateContent>
      </w:r>
      <w:r>
        <w:rPr>
          <w:noProof/>
          <w:lang w:eastAsia="cs-CZ"/>
        </w:rPr>
        <w:drawing>
          <wp:inline distT="0" distB="0" distL="0" distR="0" wp14:anchorId="46B16FC5" wp14:editId="2019BC99">
            <wp:extent cx="6484776" cy="3729805"/>
            <wp:effectExtent l="0" t="0" r="0" b="4445"/>
            <wp:docPr id="17902" name="Obrázek 17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93507" cy="3734827"/>
                    </a:xfrm>
                    <a:prstGeom prst="rect">
                      <a:avLst/>
                    </a:prstGeom>
                    <a:noFill/>
                    <a:ln>
                      <a:noFill/>
                    </a:ln>
                  </pic:spPr>
                </pic:pic>
              </a:graphicData>
            </a:graphic>
          </wp:inline>
        </w:drawing>
      </w:r>
    </w:p>
    <w:p w:rsidR="00DC722D" w:rsidRPr="00DC722D" w:rsidRDefault="00DC722D" w:rsidP="00DC722D">
      <w:pPr>
        <w:rPr>
          <w:sz w:val="24"/>
          <w:szCs w:val="24"/>
        </w:rPr>
      </w:pPr>
      <w:r w:rsidRPr="00DC722D">
        <w:rPr>
          <w:sz w:val="24"/>
          <w:szCs w:val="24"/>
        </w:rPr>
        <w:t xml:space="preserve">Obložnost </w:t>
      </w:r>
      <w:r w:rsidR="001C18AB" w:rsidRPr="00DC722D">
        <w:rPr>
          <w:sz w:val="24"/>
          <w:szCs w:val="24"/>
        </w:rPr>
        <w:t>akutních</w:t>
      </w:r>
      <w:r w:rsidRPr="00DC722D">
        <w:rPr>
          <w:sz w:val="24"/>
          <w:szCs w:val="24"/>
        </w:rPr>
        <w:t xml:space="preserve"> lůžek,  2010 a 2011 (nebo nejbližší rok)</w:t>
      </w:r>
    </w:p>
    <w:p w:rsidR="00DC722D" w:rsidRDefault="00DC722D" w:rsidP="00DC722D">
      <w:pPr>
        <w:jc w:val="center"/>
        <w:rPr>
          <w:noProof/>
          <w:lang w:eastAsia="cs-CZ"/>
        </w:rPr>
      </w:pPr>
    </w:p>
    <w:p w:rsidR="00DC722D" w:rsidRDefault="00DC722D" w:rsidP="00DC722D">
      <w:pPr>
        <w:jc w:val="center"/>
      </w:pPr>
      <w:r w:rsidRPr="00DC722D">
        <w:rPr>
          <w:noProof/>
          <w:sz w:val="24"/>
          <w:szCs w:val="24"/>
          <w:lang w:eastAsia="cs-CZ"/>
        </w:rPr>
        <mc:AlternateContent>
          <mc:Choice Requires="wps">
            <w:drawing>
              <wp:anchor distT="0" distB="0" distL="114300" distR="114300" simplePos="0" relativeHeight="251676160" behindDoc="0" locked="0" layoutInCell="1" allowOverlap="1" wp14:anchorId="184AA3BC" wp14:editId="027831E7">
                <wp:simplePos x="0" y="0"/>
                <wp:positionH relativeFrom="column">
                  <wp:posOffset>4246245</wp:posOffset>
                </wp:positionH>
                <wp:positionV relativeFrom="paragraph">
                  <wp:posOffset>930275</wp:posOffset>
                </wp:positionV>
                <wp:extent cx="643255" cy="211455"/>
                <wp:effectExtent l="6350" t="0" r="29845" b="29845"/>
                <wp:wrapNone/>
                <wp:docPr id="17899" name="Šipka doprava 17899"/>
                <wp:cNvGraphicFramePr/>
                <a:graphic xmlns:a="http://schemas.openxmlformats.org/drawingml/2006/main">
                  <a:graphicData uri="http://schemas.microsoft.com/office/word/2010/wordprocessingShape">
                    <wps:wsp>
                      <wps:cNvSpPr/>
                      <wps:spPr>
                        <a:xfrm rot="5400000">
                          <a:off x="0" y="0"/>
                          <a:ext cx="643255" cy="21145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Šipka doprava 17899" o:spid="_x0000_s1026" type="#_x0000_t13" style="position:absolute;margin-left:334.35pt;margin-top:73.25pt;width:50.65pt;height:16.65pt;rotation:90;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" adj="18050" fillcolor="#4f81bd [3204]" strokecolor="#243f60 [1604]" strokeweight="2pt"/>
            </w:pict>
          </mc:Fallback>
        </mc:AlternateContent>
      </w:r>
      <w:r w:rsidRPr="00DC722D">
        <w:rPr>
          <w:noProof/>
          <w:sz w:val="24"/>
          <w:szCs w:val="24"/>
          <w:lang w:eastAsia="cs-CZ"/>
        </w:rPr>
        <mc:AlternateContent>
          <mc:Choice Requires="wps">
            <w:drawing>
              <wp:anchor distT="0" distB="0" distL="114300" distR="114300" simplePos="0" relativeHeight="251674112" behindDoc="0" locked="0" layoutInCell="1" allowOverlap="1" wp14:anchorId="172D614C" wp14:editId="42FA52E3">
                <wp:simplePos x="0" y="0"/>
                <wp:positionH relativeFrom="column">
                  <wp:posOffset>4410075</wp:posOffset>
                </wp:positionH>
                <wp:positionV relativeFrom="paragraph">
                  <wp:posOffset>755015</wp:posOffset>
                </wp:positionV>
                <wp:extent cx="316865" cy="1597660"/>
                <wp:effectExtent l="0" t="0" r="26035" b="21590"/>
                <wp:wrapNone/>
                <wp:docPr id="17900" name="Obdélník 17900"/>
                <wp:cNvGraphicFramePr/>
                <a:graphic xmlns:a="http://schemas.openxmlformats.org/drawingml/2006/main">
                  <a:graphicData uri="http://schemas.microsoft.com/office/word/2010/wordprocessingShape">
                    <wps:wsp>
                      <wps:cNvSpPr/>
                      <wps:spPr>
                        <a:xfrm>
                          <a:off x="0" y="0"/>
                          <a:ext cx="316865" cy="1597660"/>
                        </a:xfrm>
                        <a:prstGeom prst="rect">
                          <a:avLst/>
                        </a:prstGeom>
                        <a:solidFill>
                          <a:srgbClr val="FFFF00">
                            <a:alpha val="19000"/>
                          </a:srgbClr>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17900" o:spid="_x0000_s1026" style="position:absolute;margin-left:347.25pt;margin-top:59.45pt;width:24.95pt;height:125.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" fillcolor="yellow" strokecolor="yellow" strokeweight="2pt">
                <v:fill opacity="12336f"/>
              </v:rect>
            </w:pict>
          </mc:Fallback>
        </mc:AlternateContent>
      </w:r>
      <w:r>
        <w:rPr>
          <w:noProof/>
          <w:lang w:eastAsia="cs-CZ"/>
        </w:rPr>
        <w:drawing>
          <wp:inline distT="0" distB="0" distL="0" distR="0" wp14:anchorId="152E0A91" wp14:editId="22580969">
            <wp:extent cx="6791325" cy="3800475"/>
            <wp:effectExtent l="0" t="0" r="9525" b="9525"/>
            <wp:docPr id="17903" name="Obrázek 179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835455" cy="3825170"/>
                    </a:xfrm>
                    <a:prstGeom prst="rect">
                      <a:avLst/>
                    </a:prstGeom>
                    <a:noFill/>
                    <a:ln>
                      <a:noFill/>
                    </a:ln>
                  </pic:spPr>
                </pic:pic>
              </a:graphicData>
            </a:graphic>
          </wp:inline>
        </w:drawing>
      </w:r>
    </w:p>
    <w:p w:rsidR="00D156A9" w:rsidRDefault="00D156A9" w:rsidP="00862389">
      <w:pPr>
        <w:rPr>
          <w:sz w:val="24"/>
          <w:szCs w:val="24"/>
        </w:rPr>
      </w:pPr>
    </w:p>
    <w:sectPr w:rsidR="00D156A9" w:rsidSect="00DC722D">
      <w:footerReference w:type="default" r:id="rId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119" w:rsidRDefault="00F62119" w:rsidP="00821E99">
      <w:pPr>
        <w:spacing w:after="0" w:line="240" w:lineRule="auto"/>
      </w:pPr>
      <w:r>
        <w:separator/>
      </w:r>
    </w:p>
  </w:endnote>
  <w:endnote w:type="continuationSeparator" w:id="0">
    <w:p w:rsidR="00F62119" w:rsidRDefault="00F62119" w:rsidP="00821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312657"/>
      <w:docPartObj>
        <w:docPartGallery w:val="Page Numbers (Bottom of Page)"/>
        <w:docPartUnique/>
      </w:docPartObj>
    </w:sdtPr>
    <w:sdtEndPr/>
    <w:sdtContent>
      <w:p w:rsidR="001C18AB" w:rsidRDefault="001C18AB">
        <w:pPr>
          <w:pStyle w:val="Zpat"/>
          <w:jc w:val="right"/>
        </w:pPr>
        <w:r>
          <w:fldChar w:fldCharType="begin"/>
        </w:r>
        <w:r>
          <w:instrText>PAGE   \* MERGEFORMAT</w:instrText>
        </w:r>
        <w:r>
          <w:fldChar w:fldCharType="separate"/>
        </w:r>
        <w:r w:rsidR="00DF1DD4">
          <w:rPr>
            <w:noProof/>
          </w:rPr>
          <w:t>2</w:t>
        </w:r>
        <w:r>
          <w:fldChar w:fldCharType="end"/>
        </w:r>
      </w:p>
    </w:sdtContent>
  </w:sdt>
  <w:p w:rsidR="001C18AB" w:rsidRDefault="001C18A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36E" w:rsidRDefault="009E036E">
    <w:pPr>
      <w:pStyle w:val="Zpat"/>
      <w:jc w:val="center"/>
    </w:pPr>
    <w:r>
      <w:fldChar w:fldCharType="begin"/>
    </w:r>
    <w:r>
      <w:instrText>PAGE   \* MERGEFORMAT</w:instrText>
    </w:r>
    <w:r>
      <w:fldChar w:fldCharType="separate"/>
    </w:r>
    <w:r w:rsidR="00DF1DD4">
      <w:rPr>
        <w:noProof/>
      </w:rPr>
      <w:t>29</w:t>
    </w:r>
    <w:r>
      <w:rPr>
        <w:noProof/>
      </w:rPr>
      <w:fldChar w:fldCharType="end"/>
    </w:r>
  </w:p>
  <w:p w:rsidR="009E036E" w:rsidRDefault="009E036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119" w:rsidRDefault="00F62119" w:rsidP="00821E99">
      <w:pPr>
        <w:spacing w:after="0" w:line="240" w:lineRule="auto"/>
      </w:pPr>
      <w:r>
        <w:separator/>
      </w:r>
    </w:p>
  </w:footnote>
  <w:footnote w:type="continuationSeparator" w:id="0">
    <w:p w:rsidR="00F62119" w:rsidRDefault="00F62119" w:rsidP="00821E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281"/>
    <w:multiLevelType w:val="hybridMultilevel"/>
    <w:tmpl w:val="952ADF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2633B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8834EB"/>
    <w:multiLevelType w:val="hybridMultilevel"/>
    <w:tmpl w:val="3CE0D1EE"/>
    <w:lvl w:ilvl="0" w:tplc="511E7BE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FE12B4"/>
    <w:multiLevelType w:val="hybridMultilevel"/>
    <w:tmpl w:val="5BF673E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hint="default"/>
      </w:rPr>
    </w:lvl>
    <w:lvl w:ilvl="8" w:tplc="04050005">
      <w:start w:val="1"/>
      <w:numFmt w:val="bullet"/>
      <w:lvlText w:val=""/>
      <w:lvlJc w:val="left"/>
      <w:pPr>
        <w:ind w:left="6525" w:hanging="360"/>
      </w:pPr>
      <w:rPr>
        <w:rFonts w:ascii="Wingdings" w:hAnsi="Wingdings" w:hint="default"/>
      </w:rPr>
    </w:lvl>
  </w:abstractNum>
  <w:abstractNum w:abstractNumId="4">
    <w:nsid w:val="07F91E4B"/>
    <w:multiLevelType w:val="hybridMultilevel"/>
    <w:tmpl w:val="BF4201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B8B1680"/>
    <w:multiLevelType w:val="hybridMultilevel"/>
    <w:tmpl w:val="E144A31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nsid w:val="0EB1533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4344AC"/>
    <w:multiLevelType w:val="hybridMultilevel"/>
    <w:tmpl w:val="82D2595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nsid w:val="125E4E76"/>
    <w:multiLevelType w:val="hybridMultilevel"/>
    <w:tmpl w:val="90EC1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2EF066F"/>
    <w:multiLevelType w:val="hybridMultilevel"/>
    <w:tmpl w:val="238CF2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3235D38"/>
    <w:multiLevelType w:val="multilevel"/>
    <w:tmpl w:val="522E12C4"/>
    <w:lvl w:ilvl="0">
      <w:start w:val="1"/>
      <w:numFmt w:val="decimal"/>
      <w:lvlText w:val="%1."/>
      <w:lvlJc w:val="left"/>
      <w:pPr>
        <w:ind w:left="1065" w:hanging="705"/>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13E14CBE"/>
    <w:multiLevelType w:val="hybridMultilevel"/>
    <w:tmpl w:val="C428CD58"/>
    <w:lvl w:ilvl="0" w:tplc="68EA5282">
      <w:start w:val="34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714064C"/>
    <w:multiLevelType w:val="hybridMultilevel"/>
    <w:tmpl w:val="73805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1B4C57CD"/>
    <w:multiLevelType w:val="hybridMultilevel"/>
    <w:tmpl w:val="14BE00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EDF0FE8"/>
    <w:multiLevelType w:val="hybridMultilevel"/>
    <w:tmpl w:val="95205C0C"/>
    <w:lvl w:ilvl="0" w:tplc="F084BBA8">
      <w:start w:val="1"/>
      <w:numFmt w:val="upperLetter"/>
      <w:lvlText w:val="%1."/>
      <w:lvlJc w:val="left"/>
      <w:pPr>
        <w:ind w:left="1065" w:hanging="360"/>
      </w:p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15">
    <w:nsid w:val="214C07C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1573EF3"/>
    <w:multiLevelType w:val="hybridMultilevel"/>
    <w:tmpl w:val="842AD650"/>
    <w:lvl w:ilvl="0" w:tplc="F084BBA8">
      <w:start w:val="1"/>
      <w:numFmt w:val="upperLetter"/>
      <w:lvlText w:val="%1."/>
      <w:lvlJc w:val="left"/>
      <w:pPr>
        <w:ind w:left="1636" w:hanging="360"/>
      </w:p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7">
    <w:nsid w:val="22EC7525"/>
    <w:multiLevelType w:val="hybridMultilevel"/>
    <w:tmpl w:val="9F982F2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nsid w:val="2AF12B22"/>
    <w:multiLevelType w:val="hybridMultilevel"/>
    <w:tmpl w:val="A142D476"/>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334B84"/>
    <w:multiLevelType w:val="hybridMultilevel"/>
    <w:tmpl w:val="08B218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2CE86DEF"/>
    <w:multiLevelType w:val="hybridMultilevel"/>
    <w:tmpl w:val="1F7A15E0"/>
    <w:lvl w:ilvl="0" w:tplc="E17C0F94">
      <w:start w:val="34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8B52A03"/>
    <w:multiLevelType w:val="hybridMultilevel"/>
    <w:tmpl w:val="637868FA"/>
    <w:lvl w:ilvl="0" w:tplc="1F94DA5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CBE759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935303"/>
    <w:multiLevelType w:val="hybridMultilevel"/>
    <w:tmpl w:val="A20C33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4">
    <w:nsid w:val="44454DA0"/>
    <w:multiLevelType w:val="hybridMultilevel"/>
    <w:tmpl w:val="5AD0702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6E32B95"/>
    <w:multiLevelType w:val="hybridMultilevel"/>
    <w:tmpl w:val="5022A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C4C4AB2"/>
    <w:multiLevelType w:val="hybridMultilevel"/>
    <w:tmpl w:val="90D48C2C"/>
    <w:lvl w:ilvl="0" w:tplc="3BFCB45A">
      <w:numFmt w:val="bullet"/>
      <w:lvlText w:val="-"/>
      <w:lvlJc w:val="left"/>
      <w:pPr>
        <w:tabs>
          <w:tab w:val="num" w:pos="644"/>
        </w:tabs>
        <w:ind w:left="644" w:hanging="360"/>
      </w:pPr>
      <w:rPr>
        <w:rFonts w:ascii="Calibri" w:eastAsia="Times New Roman" w:hAnsi="Calibri" w:hint="default"/>
      </w:rPr>
    </w:lvl>
    <w:lvl w:ilvl="1" w:tplc="04050003">
      <w:start w:val="1"/>
      <w:numFmt w:val="bullet"/>
      <w:lvlText w:val="o"/>
      <w:lvlJc w:val="left"/>
      <w:pPr>
        <w:tabs>
          <w:tab w:val="num" w:pos="1364"/>
        </w:tabs>
        <w:ind w:left="1364" w:hanging="360"/>
      </w:pPr>
      <w:rPr>
        <w:rFonts w:ascii="Courier New" w:hAnsi="Courier New" w:hint="default"/>
      </w:rPr>
    </w:lvl>
    <w:lvl w:ilvl="2" w:tplc="04050005">
      <w:start w:val="1"/>
      <w:numFmt w:val="bullet"/>
      <w:lvlText w:val=""/>
      <w:lvlJc w:val="left"/>
      <w:pPr>
        <w:tabs>
          <w:tab w:val="num" w:pos="2084"/>
        </w:tabs>
        <w:ind w:left="2084" w:hanging="360"/>
      </w:pPr>
      <w:rPr>
        <w:rFonts w:ascii="Wingdings" w:hAnsi="Wingdings" w:hint="default"/>
      </w:rPr>
    </w:lvl>
    <w:lvl w:ilvl="3" w:tplc="04050001">
      <w:start w:val="1"/>
      <w:numFmt w:val="bullet"/>
      <w:lvlText w:val=""/>
      <w:lvlJc w:val="left"/>
      <w:pPr>
        <w:tabs>
          <w:tab w:val="num" w:pos="2804"/>
        </w:tabs>
        <w:ind w:left="2804" w:hanging="360"/>
      </w:pPr>
      <w:rPr>
        <w:rFonts w:ascii="Symbol" w:hAnsi="Symbol" w:hint="default"/>
      </w:rPr>
    </w:lvl>
    <w:lvl w:ilvl="4" w:tplc="04050003">
      <w:start w:val="1"/>
      <w:numFmt w:val="bullet"/>
      <w:lvlText w:val="o"/>
      <w:lvlJc w:val="left"/>
      <w:pPr>
        <w:tabs>
          <w:tab w:val="num" w:pos="3524"/>
        </w:tabs>
        <w:ind w:left="3524" w:hanging="360"/>
      </w:pPr>
      <w:rPr>
        <w:rFonts w:ascii="Courier New" w:hAnsi="Courier New" w:hint="default"/>
      </w:rPr>
    </w:lvl>
    <w:lvl w:ilvl="5" w:tplc="04050005">
      <w:start w:val="1"/>
      <w:numFmt w:val="bullet"/>
      <w:lvlText w:val=""/>
      <w:lvlJc w:val="left"/>
      <w:pPr>
        <w:tabs>
          <w:tab w:val="num" w:pos="4244"/>
        </w:tabs>
        <w:ind w:left="4244" w:hanging="360"/>
      </w:pPr>
      <w:rPr>
        <w:rFonts w:ascii="Wingdings" w:hAnsi="Wingdings" w:hint="default"/>
      </w:rPr>
    </w:lvl>
    <w:lvl w:ilvl="6" w:tplc="04050001">
      <w:start w:val="1"/>
      <w:numFmt w:val="bullet"/>
      <w:lvlText w:val=""/>
      <w:lvlJc w:val="left"/>
      <w:pPr>
        <w:tabs>
          <w:tab w:val="num" w:pos="4964"/>
        </w:tabs>
        <w:ind w:left="4964" w:hanging="360"/>
      </w:pPr>
      <w:rPr>
        <w:rFonts w:ascii="Symbol" w:hAnsi="Symbol" w:hint="default"/>
      </w:rPr>
    </w:lvl>
    <w:lvl w:ilvl="7" w:tplc="04050003">
      <w:start w:val="1"/>
      <w:numFmt w:val="bullet"/>
      <w:lvlText w:val="o"/>
      <w:lvlJc w:val="left"/>
      <w:pPr>
        <w:tabs>
          <w:tab w:val="num" w:pos="5684"/>
        </w:tabs>
        <w:ind w:left="5684" w:hanging="360"/>
      </w:pPr>
      <w:rPr>
        <w:rFonts w:ascii="Courier New" w:hAnsi="Courier New" w:hint="default"/>
      </w:rPr>
    </w:lvl>
    <w:lvl w:ilvl="8" w:tplc="04050005">
      <w:start w:val="1"/>
      <w:numFmt w:val="bullet"/>
      <w:lvlText w:val=""/>
      <w:lvlJc w:val="left"/>
      <w:pPr>
        <w:tabs>
          <w:tab w:val="num" w:pos="6404"/>
        </w:tabs>
        <w:ind w:left="6404" w:hanging="360"/>
      </w:pPr>
      <w:rPr>
        <w:rFonts w:ascii="Wingdings" w:hAnsi="Wingdings" w:hint="default"/>
      </w:rPr>
    </w:lvl>
  </w:abstractNum>
  <w:abstractNum w:abstractNumId="27">
    <w:nsid w:val="4F2E5E60"/>
    <w:multiLevelType w:val="hybridMultilevel"/>
    <w:tmpl w:val="C83AD150"/>
    <w:lvl w:ilvl="0" w:tplc="04050005">
      <w:start w:val="1"/>
      <w:numFmt w:val="bullet"/>
      <w:lvlText w:val=""/>
      <w:lvlJc w:val="left"/>
      <w:pPr>
        <w:tabs>
          <w:tab w:val="num" w:pos="1004"/>
        </w:tabs>
        <w:ind w:left="1004" w:hanging="360"/>
      </w:pPr>
      <w:rPr>
        <w:rFonts w:ascii="Wingdings" w:hAnsi="Wingdings" w:hint="default"/>
      </w:rPr>
    </w:lvl>
    <w:lvl w:ilvl="1" w:tplc="04050003">
      <w:start w:val="1"/>
      <w:numFmt w:val="bullet"/>
      <w:lvlText w:val="o"/>
      <w:lvlJc w:val="left"/>
      <w:pPr>
        <w:tabs>
          <w:tab w:val="num" w:pos="1724"/>
        </w:tabs>
        <w:ind w:left="1724" w:hanging="360"/>
      </w:pPr>
      <w:rPr>
        <w:rFonts w:ascii="Courier New" w:hAnsi="Courier New" w:hint="default"/>
      </w:rPr>
    </w:lvl>
    <w:lvl w:ilvl="2" w:tplc="04050005">
      <w:start w:val="1"/>
      <w:numFmt w:val="bullet"/>
      <w:lvlText w:val=""/>
      <w:lvlJc w:val="left"/>
      <w:pPr>
        <w:tabs>
          <w:tab w:val="num" w:pos="2444"/>
        </w:tabs>
        <w:ind w:left="2444" w:hanging="360"/>
      </w:pPr>
      <w:rPr>
        <w:rFonts w:ascii="Wingdings" w:hAnsi="Wingdings" w:hint="default"/>
      </w:rPr>
    </w:lvl>
    <w:lvl w:ilvl="3" w:tplc="04050001">
      <w:start w:val="1"/>
      <w:numFmt w:val="bullet"/>
      <w:lvlText w:val=""/>
      <w:lvlJc w:val="left"/>
      <w:pPr>
        <w:tabs>
          <w:tab w:val="num" w:pos="3164"/>
        </w:tabs>
        <w:ind w:left="3164" w:hanging="360"/>
      </w:pPr>
      <w:rPr>
        <w:rFonts w:ascii="Symbol" w:hAnsi="Symbol" w:hint="default"/>
      </w:rPr>
    </w:lvl>
    <w:lvl w:ilvl="4" w:tplc="04050003">
      <w:start w:val="1"/>
      <w:numFmt w:val="bullet"/>
      <w:lvlText w:val="o"/>
      <w:lvlJc w:val="left"/>
      <w:pPr>
        <w:tabs>
          <w:tab w:val="num" w:pos="3884"/>
        </w:tabs>
        <w:ind w:left="3884" w:hanging="360"/>
      </w:pPr>
      <w:rPr>
        <w:rFonts w:ascii="Courier New" w:hAnsi="Courier New" w:hint="default"/>
      </w:rPr>
    </w:lvl>
    <w:lvl w:ilvl="5" w:tplc="04050005">
      <w:start w:val="1"/>
      <w:numFmt w:val="bullet"/>
      <w:lvlText w:val=""/>
      <w:lvlJc w:val="left"/>
      <w:pPr>
        <w:tabs>
          <w:tab w:val="num" w:pos="4604"/>
        </w:tabs>
        <w:ind w:left="4604" w:hanging="360"/>
      </w:pPr>
      <w:rPr>
        <w:rFonts w:ascii="Wingdings" w:hAnsi="Wingdings" w:hint="default"/>
      </w:rPr>
    </w:lvl>
    <w:lvl w:ilvl="6" w:tplc="04050001">
      <w:start w:val="1"/>
      <w:numFmt w:val="bullet"/>
      <w:lvlText w:val=""/>
      <w:lvlJc w:val="left"/>
      <w:pPr>
        <w:tabs>
          <w:tab w:val="num" w:pos="5324"/>
        </w:tabs>
        <w:ind w:left="5324" w:hanging="360"/>
      </w:pPr>
      <w:rPr>
        <w:rFonts w:ascii="Symbol" w:hAnsi="Symbol" w:hint="default"/>
      </w:rPr>
    </w:lvl>
    <w:lvl w:ilvl="7" w:tplc="04050003">
      <w:start w:val="1"/>
      <w:numFmt w:val="bullet"/>
      <w:lvlText w:val="o"/>
      <w:lvlJc w:val="left"/>
      <w:pPr>
        <w:tabs>
          <w:tab w:val="num" w:pos="6044"/>
        </w:tabs>
        <w:ind w:left="6044" w:hanging="360"/>
      </w:pPr>
      <w:rPr>
        <w:rFonts w:ascii="Courier New" w:hAnsi="Courier New" w:hint="default"/>
      </w:rPr>
    </w:lvl>
    <w:lvl w:ilvl="8" w:tplc="04050005">
      <w:start w:val="1"/>
      <w:numFmt w:val="bullet"/>
      <w:lvlText w:val=""/>
      <w:lvlJc w:val="left"/>
      <w:pPr>
        <w:tabs>
          <w:tab w:val="num" w:pos="6764"/>
        </w:tabs>
        <w:ind w:left="6764" w:hanging="360"/>
      </w:pPr>
      <w:rPr>
        <w:rFonts w:ascii="Wingdings" w:hAnsi="Wingdings" w:hint="default"/>
      </w:rPr>
    </w:lvl>
  </w:abstractNum>
  <w:abstractNum w:abstractNumId="28">
    <w:nsid w:val="5322747D"/>
    <w:multiLevelType w:val="hybridMultilevel"/>
    <w:tmpl w:val="15DE4D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4C713C4"/>
    <w:multiLevelType w:val="hybridMultilevel"/>
    <w:tmpl w:val="37C01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6ED7FBB"/>
    <w:multiLevelType w:val="hybridMultilevel"/>
    <w:tmpl w:val="C0EA61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0421EAC"/>
    <w:multiLevelType w:val="hybridMultilevel"/>
    <w:tmpl w:val="3718FE8A"/>
    <w:lvl w:ilvl="0" w:tplc="6D5CC8E2">
      <w:start w:val="1"/>
      <w:numFmt w:val="upp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2AC20C4"/>
    <w:multiLevelType w:val="hybridMultilevel"/>
    <w:tmpl w:val="522E12C4"/>
    <w:lvl w:ilvl="0" w:tplc="5F80333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5786F51"/>
    <w:multiLevelType w:val="hybridMultilevel"/>
    <w:tmpl w:val="95205C0C"/>
    <w:lvl w:ilvl="0" w:tplc="F084BBA8">
      <w:start w:val="1"/>
      <w:numFmt w:val="upperLetter"/>
      <w:lvlText w:val="%1."/>
      <w:lvlJc w:val="left"/>
      <w:pPr>
        <w:ind w:left="1065" w:hanging="360"/>
      </w:p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04050019">
      <w:start w:val="1"/>
      <w:numFmt w:val="lowerLetter"/>
      <w:lvlText w:val="%5."/>
      <w:lvlJc w:val="left"/>
      <w:pPr>
        <w:ind w:left="3945" w:hanging="360"/>
      </w:pPr>
    </w:lvl>
    <w:lvl w:ilvl="5" w:tplc="0405001B">
      <w:start w:val="1"/>
      <w:numFmt w:val="lowerRoman"/>
      <w:lvlText w:val="%6."/>
      <w:lvlJc w:val="right"/>
      <w:pPr>
        <w:ind w:left="4665" w:hanging="180"/>
      </w:pPr>
    </w:lvl>
    <w:lvl w:ilvl="6" w:tplc="0405000F">
      <w:start w:val="1"/>
      <w:numFmt w:val="decimal"/>
      <w:lvlText w:val="%7."/>
      <w:lvlJc w:val="left"/>
      <w:pPr>
        <w:ind w:left="5385" w:hanging="360"/>
      </w:pPr>
    </w:lvl>
    <w:lvl w:ilvl="7" w:tplc="04050019">
      <w:start w:val="1"/>
      <w:numFmt w:val="lowerLetter"/>
      <w:lvlText w:val="%8."/>
      <w:lvlJc w:val="left"/>
      <w:pPr>
        <w:ind w:left="6105" w:hanging="360"/>
      </w:pPr>
    </w:lvl>
    <w:lvl w:ilvl="8" w:tplc="0405001B">
      <w:start w:val="1"/>
      <w:numFmt w:val="lowerRoman"/>
      <w:lvlText w:val="%9."/>
      <w:lvlJc w:val="right"/>
      <w:pPr>
        <w:ind w:left="6825" w:hanging="180"/>
      </w:pPr>
    </w:lvl>
  </w:abstractNum>
  <w:abstractNum w:abstractNumId="34">
    <w:nsid w:val="65CD48C7"/>
    <w:multiLevelType w:val="hybridMultilevel"/>
    <w:tmpl w:val="E8769C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5D26881"/>
    <w:multiLevelType w:val="multilevel"/>
    <w:tmpl w:val="CBB8C5D6"/>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7C25B36"/>
    <w:multiLevelType w:val="hybridMultilevel"/>
    <w:tmpl w:val="D40A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A8F45D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A7008A"/>
    <w:multiLevelType w:val="hybridMultilevel"/>
    <w:tmpl w:val="4D3A184C"/>
    <w:lvl w:ilvl="0" w:tplc="C5366350">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F944893"/>
    <w:multiLevelType w:val="hybridMultilevel"/>
    <w:tmpl w:val="042C7DF6"/>
    <w:lvl w:ilvl="0" w:tplc="1F94DA5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6AB6028"/>
    <w:multiLevelType w:val="hybridMultilevel"/>
    <w:tmpl w:val="7E224C2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1">
    <w:nsid w:val="779C64AC"/>
    <w:multiLevelType w:val="hybridMultilevel"/>
    <w:tmpl w:val="D1D8C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A387C21"/>
    <w:multiLevelType w:val="hybridMultilevel"/>
    <w:tmpl w:val="88D82E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3">
    <w:nsid w:val="7BFB1DA4"/>
    <w:multiLevelType w:val="hybridMultilevel"/>
    <w:tmpl w:val="8634ED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4">
    <w:nsid w:val="7F66359C"/>
    <w:multiLevelType w:val="hybridMultilevel"/>
    <w:tmpl w:val="A5764AD6"/>
    <w:lvl w:ilvl="0" w:tplc="1F94DA54">
      <w:numFmt w:val="bullet"/>
      <w:lvlText w:val="-"/>
      <w:lvlJc w:val="left"/>
      <w:pPr>
        <w:ind w:left="1440" w:hanging="360"/>
      </w:pPr>
      <w:rPr>
        <w:rFonts w:ascii="Calibri" w:eastAsiaTheme="minorHAnsi" w:hAnsi="Calibri" w:cstheme="minorBid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23"/>
  </w:num>
  <w:num w:numId="2">
    <w:abstractNumId w:val="3"/>
  </w:num>
  <w:num w:numId="3">
    <w:abstractNumId w:val="43"/>
  </w:num>
  <w:num w:numId="4">
    <w:abstractNumId w:val="12"/>
  </w:num>
  <w:num w:numId="5">
    <w:abstractNumId w:val="42"/>
  </w:num>
  <w:num w:numId="6">
    <w:abstractNumId w:val="27"/>
  </w:num>
  <w:num w:numId="7">
    <w:abstractNumId w:val="26"/>
  </w:num>
  <w:num w:numId="8">
    <w:abstractNumId w:val="7"/>
  </w:num>
  <w:num w:numId="9">
    <w:abstractNumId w:val="36"/>
  </w:num>
  <w:num w:numId="10">
    <w:abstractNumId w:val="20"/>
  </w:num>
  <w:num w:numId="11">
    <w:abstractNumId w:val="11"/>
  </w:num>
  <w:num w:numId="12">
    <w:abstractNumId w:val="24"/>
  </w:num>
  <w:num w:numId="13">
    <w:abstractNumId w:val="13"/>
  </w:num>
  <w:num w:numId="14">
    <w:abstractNumId w:val="34"/>
  </w:num>
  <w:num w:numId="15">
    <w:abstractNumId w:val="15"/>
  </w:num>
  <w:num w:numId="16">
    <w:abstractNumId w:val="2"/>
  </w:num>
  <w:num w:numId="17">
    <w:abstractNumId w:val="22"/>
  </w:num>
  <w:num w:numId="18">
    <w:abstractNumId w:val="6"/>
  </w:num>
  <w:num w:numId="19">
    <w:abstractNumId w:val="1"/>
  </w:num>
  <w:num w:numId="20">
    <w:abstractNumId w:val="35"/>
  </w:num>
  <w:num w:numId="21">
    <w:abstractNumId w:val="32"/>
  </w:num>
  <w:num w:numId="22">
    <w:abstractNumId w:val="10"/>
  </w:num>
  <w:num w:numId="23">
    <w:abstractNumId w:val="4"/>
  </w:num>
  <w:num w:numId="24">
    <w:abstractNumId w:val="21"/>
  </w:num>
  <w:num w:numId="25">
    <w:abstractNumId w:val="30"/>
  </w:num>
  <w:num w:numId="26">
    <w:abstractNumId w:val="31"/>
  </w:num>
  <w:num w:numId="27">
    <w:abstractNumId w:val="3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4"/>
  </w:num>
  <w:num w:numId="31">
    <w:abstractNumId w:val="17"/>
  </w:num>
  <w:num w:numId="32">
    <w:abstractNumId w:val="38"/>
  </w:num>
  <w:num w:numId="33">
    <w:abstractNumId w:val="5"/>
  </w:num>
  <w:num w:numId="34">
    <w:abstractNumId w:val="16"/>
  </w:num>
  <w:num w:numId="35">
    <w:abstractNumId w:val="44"/>
  </w:num>
  <w:num w:numId="36">
    <w:abstractNumId w:val="28"/>
  </w:num>
  <w:num w:numId="37">
    <w:abstractNumId w:val="39"/>
  </w:num>
  <w:num w:numId="38">
    <w:abstractNumId w:val="25"/>
  </w:num>
  <w:num w:numId="39">
    <w:abstractNumId w:val="41"/>
  </w:num>
  <w:num w:numId="40">
    <w:abstractNumId w:val="9"/>
  </w:num>
  <w:num w:numId="41">
    <w:abstractNumId w:val="19"/>
  </w:num>
  <w:num w:numId="42">
    <w:abstractNumId w:val="8"/>
  </w:num>
  <w:num w:numId="43">
    <w:abstractNumId w:val="40"/>
  </w:num>
  <w:num w:numId="44">
    <w:abstractNumId w:val="18"/>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237"/>
    <w:rsid w:val="0000207E"/>
    <w:rsid w:val="000036B0"/>
    <w:rsid w:val="00020694"/>
    <w:rsid w:val="0002219B"/>
    <w:rsid w:val="00024D7D"/>
    <w:rsid w:val="00052317"/>
    <w:rsid w:val="000607D4"/>
    <w:rsid w:val="0006188A"/>
    <w:rsid w:val="00062A2A"/>
    <w:rsid w:val="00063AE2"/>
    <w:rsid w:val="0008159A"/>
    <w:rsid w:val="00085953"/>
    <w:rsid w:val="000908CA"/>
    <w:rsid w:val="00094CFF"/>
    <w:rsid w:val="000A5237"/>
    <w:rsid w:val="000B64A9"/>
    <w:rsid w:val="000C2E62"/>
    <w:rsid w:val="000C7022"/>
    <w:rsid w:val="000D6EE0"/>
    <w:rsid w:val="000E5AC6"/>
    <w:rsid w:val="000F698D"/>
    <w:rsid w:val="00105EE8"/>
    <w:rsid w:val="00127E82"/>
    <w:rsid w:val="00130780"/>
    <w:rsid w:val="00133F17"/>
    <w:rsid w:val="0014646B"/>
    <w:rsid w:val="0015367C"/>
    <w:rsid w:val="001547EF"/>
    <w:rsid w:val="00160453"/>
    <w:rsid w:val="00171A20"/>
    <w:rsid w:val="00171C4C"/>
    <w:rsid w:val="00180ADE"/>
    <w:rsid w:val="00184600"/>
    <w:rsid w:val="00194926"/>
    <w:rsid w:val="00197C92"/>
    <w:rsid w:val="001A4B65"/>
    <w:rsid w:val="001B3737"/>
    <w:rsid w:val="001C18AB"/>
    <w:rsid w:val="001C6993"/>
    <w:rsid w:val="001D203C"/>
    <w:rsid w:val="001D2E5A"/>
    <w:rsid w:val="001E18DA"/>
    <w:rsid w:val="001F19D2"/>
    <w:rsid w:val="001F47BE"/>
    <w:rsid w:val="001F5199"/>
    <w:rsid w:val="00210207"/>
    <w:rsid w:val="00223358"/>
    <w:rsid w:val="0022595D"/>
    <w:rsid w:val="002335E1"/>
    <w:rsid w:val="00243F8C"/>
    <w:rsid w:val="0026347E"/>
    <w:rsid w:val="00273824"/>
    <w:rsid w:val="002830FB"/>
    <w:rsid w:val="00284678"/>
    <w:rsid w:val="00290D05"/>
    <w:rsid w:val="00297407"/>
    <w:rsid w:val="002A0247"/>
    <w:rsid w:val="002A0694"/>
    <w:rsid w:val="002B7141"/>
    <w:rsid w:val="002C0B1C"/>
    <w:rsid w:val="002C3482"/>
    <w:rsid w:val="002C591A"/>
    <w:rsid w:val="002C6207"/>
    <w:rsid w:val="002D2AFD"/>
    <w:rsid w:val="002D74B6"/>
    <w:rsid w:val="002E33C9"/>
    <w:rsid w:val="002E51D9"/>
    <w:rsid w:val="002F4920"/>
    <w:rsid w:val="00303A61"/>
    <w:rsid w:val="00303D12"/>
    <w:rsid w:val="00307333"/>
    <w:rsid w:val="00320C6D"/>
    <w:rsid w:val="00321D73"/>
    <w:rsid w:val="0033088E"/>
    <w:rsid w:val="00337201"/>
    <w:rsid w:val="003414BB"/>
    <w:rsid w:val="00362F27"/>
    <w:rsid w:val="00372EE1"/>
    <w:rsid w:val="003A3404"/>
    <w:rsid w:val="003A743E"/>
    <w:rsid w:val="003B091A"/>
    <w:rsid w:val="003B2860"/>
    <w:rsid w:val="003C4307"/>
    <w:rsid w:val="003D19F5"/>
    <w:rsid w:val="003D1C59"/>
    <w:rsid w:val="003E5FD0"/>
    <w:rsid w:val="003F69F3"/>
    <w:rsid w:val="00401729"/>
    <w:rsid w:val="00415564"/>
    <w:rsid w:val="004334A1"/>
    <w:rsid w:val="00450CB8"/>
    <w:rsid w:val="00463959"/>
    <w:rsid w:val="00465856"/>
    <w:rsid w:val="00475C98"/>
    <w:rsid w:val="00491C9D"/>
    <w:rsid w:val="0049243B"/>
    <w:rsid w:val="004966FD"/>
    <w:rsid w:val="004A228C"/>
    <w:rsid w:val="004A70CB"/>
    <w:rsid w:val="004B55A4"/>
    <w:rsid w:val="004D2AFC"/>
    <w:rsid w:val="004D5B75"/>
    <w:rsid w:val="004F7CEE"/>
    <w:rsid w:val="0051783B"/>
    <w:rsid w:val="00523B2D"/>
    <w:rsid w:val="00526016"/>
    <w:rsid w:val="00536A84"/>
    <w:rsid w:val="005511B9"/>
    <w:rsid w:val="00562200"/>
    <w:rsid w:val="005709A9"/>
    <w:rsid w:val="00571E4D"/>
    <w:rsid w:val="00577352"/>
    <w:rsid w:val="005853CB"/>
    <w:rsid w:val="0059795A"/>
    <w:rsid w:val="005B2682"/>
    <w:rsid w:val="005B4F6A"/>
    <w:rsid w:val="005B7458"/>
    <w:rsid w:val="005C3871"/>
    <w:rsid w:val="005C544D"/>
    <w:rsid w:val="005C6916"/>
    <w:rsid w:val="005E199A"/>
    <w:rsid w:val="005F6162"/>
    <w:rsid w:val="006023BD"/>
    <w:rsid w:val="006059C4"/>
    <w:rsid w:val="00607F56"/>
    <w:rsid w:val="00613BAB"/>
    <w:rsid w:val="0061429E"/>
    <w:rsid w:val="006352DB"/>
    <w:rsid w:val="00637922"/>
    <w:rsid w:val="0064762B"/>
    <w:rsid w:val="006541A9"/>
    <w:rsid w:val="006548E0"/>
    <w:rsid w:val="00665C0F"/>
    <w:rsid w:val="00677653"/>
    <w:rsid w:val="00691A9F"/>
    <w:rsid w:val="006A2D30"/>
    <w:rsid w:val="006C4BA7"/>
    <w:rsid w:val="006D00B8"/>
    <w:rsid w:val="006E4C5E"/>
    <w:rsid w:val="006E7658"/>
    <w:rsid w:val="006F2385"/>
    <w:rsid w:val="00700D6E"/>
    <w:rsid w:val="007166B4"/>
    <w:rsid w:val="00726C92"/>
    <w:rsid w:val="00727EA2"/>
    <w:rsid w:val="00734D93"/>
    <w:rsid w:val="0074072C"/>
    <w:rsid w:val="00754073"/>
    <w:rsid w:val="00767C1E"/>
    <w:rsid w:val="00785742"/>
    <w:rsid w:val="007865EB"/>
    <w:rsid w:val="0079292E"/>
    <w:rsid w:val="007A75B1"/>
    <w:rsid w:val="007A7999"/>
    <w:rsid w:val="007C2702"/>
    <w:rsid w:val="007F76C8"/>
    <w:rsid w:val="0081107A"/>
    <w:rsid w:val="00821E99"/>
    <w:rsid w:val="008248E4"/>
    <w:rsid w:val="008258E4"/>
    <w:rsid w:val="00834792"/>
    <w:rsid w:val="00847B66"/>
    <w:rsid w:val="00860572"/>
    <w:rsid w:val="00861333"/>
    <w:rsid w:val="00862389"/>
    <w:rsid w:val="008629DF"/>
    <w:rsid w:val="0086729F"/>
    <w:rsid w:val="00871C7A"/>
    <w:rsid w:val="008731F4"/>
    <w:rsid w:val="00886E58"/>
    <w:rsid w:val="008917E0"/>
    <w:rsid w:val="00893822"/>
    <w:rsid w:val="008A288C"/>
    <w:rsid w:val="008A715E"/>
    <w:rsid w:val="008B4714"/>
    <w:rsid w:val="008C4CAC"/>
    <w:rsid w:val="008D350B"/>
    <w:rsid w:val="008D3D6F"/>
    <w:rsid w:val="008F2748"/>
    <w:rsid w:val="00900B7B"/>
    <w:rsid w:val="00904EE1"/>
    <w:rsid w:val="00906099"/>
    <w:rsid w:val="0090639B"/>
    <w:rsid w:val="0091321D"/>
    <w:rsid w:val="00924191"/>
    <w:rsid w:val="00925742"/>
    <w:rsid w:val="009368CC"/>
    <w:rsid w:val="00937494"/>
    <w:rsid w:val="00941F36"/>
    <w:rsid w:val="00950921"/>
    <w:rsid w:val="00952062"/>
    <w:rsid w:val="009531C3"/>
    <w:rsid w:val="009664EB"/>
    <w:rsid w:val="00983F01"/>
    <w:rsid w:val="009934EA"/>
    <w:rsid w:val="009A097A"/>
    <w:rsid w:val="009A1D40"/>
    <w:rsid w:val="009A7EDB"/>
    <w:rsid w:val="009B581F"/>
    <w:rsid w:val="009C23FA"/>
    <w:rsid w:val="009C5A48"/>
    <w:rsid w:val="009C6B0C"/>
    <w:rsid w:val="009D14B3"/>
    <w:rsid w:val="009D5237"/>
    <w:rsid w:val="009E036E"/>
    <w:rsid w:val="009E2092"/>
    <w:rsid w:val="009E4E6D"/>
    <w:rsid w:val="009E5C62"/>
    <w:rsid w:val="00A01E2B"/>
    <w:rsid w:val="00A0399D"/>
    <w:rsid w:val="00A064BC"/>
    <w:rsid w:val="00A17188"/>
    <w:rsid w:val="00A1780C"/>
    <w:rsid w:val="00A40C49"/>
    <w:rsid w:val="00A41F00"/>
    <w:rsid w:val="00A45F77"/>
    <w:rsid w:val="00A50068"/>
    <w:rsid w:val="00A50E89"/>
    <w:rsid w:val="00A5580E"/>
    <w:rsid w:val="00A62521"/>
    <w:rsid w:val="00A706D9"/>
    <w:rsid w:val="00A804B6"/>
    <w:rsid w:val="00A85513"/>
    <w:rsid w:val="00AA4C17"/>
    <w:rsid w:val="00AB053E"/>
    <w:rsid w:val="00AC0A64"/>
    <w:rsid w:val="00AC3427"/>
    <w:rsid w:val="00AC42BD"/>
    <w:rsid w:val="00AC6762"/>
    <w:rsid w:val="00AD3F56"/>
    <w:rsid w:val="00AE06A4"/>
    <w:rsid w:val="00AF113C"/>
    <w:rsid w:val="00B01A59"/>
    <w:rsid w:val="00B1138B"/>
    <w:rsid w:val="00B3121B"/>
    <w:rsid w:val="00B321A4"/>
    <w:rsid w:val="00B326B1"/>
    <w:rsid w:val="00B34D09"/>
    <w:rsid w:val="00B424D2"/>
    <w:rsid w:val="00B44093"/>
    <w:rsid w:val="00B46E6A"/>
    <w:rsid w:val="00B57F8E"/>
    <w:rsid w:val="00B73C26"/>
    <w:rsid w:val="00B77BF7"/>
    <w:rsid w:val="00B8204C"/>
    <w:rsid w:val="00B8323F"/>
    <w:rsid w:val="00B9337B"/>
    <w:rsid w:val="00B93CD1"/>
    <w:rsid w:val="00BB11F2"/>
    <w:rsid w:val="00BB2B7B"/>
    <w:rsid w:val="00BC0E99"/>
    <w:rsid w:val="00BC3E8A"/>
    <w:rsid w:val="00BC413D"/>
    <w:rsid w:val="00BC78CA"/>
    <w:rsid w:val="00BD3F82"/>
    <w:rsid w:val="00BE07AE"/>
    <w:rsid w:val="00BF08F1"/>
    <w:rsid w:val="00C05408"/>
    <w:rsid w:val="00C15F58"/>
    <w:rsid w:val="00C20389"/>
    <w:rsid w:val="00C501CC"/>
    <w:rsid w:val="00C6471C"/>
    <w:rsid w:val="00C75998"/>
    <w:rsid w:val="00C80BB5"/>
    <w:rsid w:val="00C92DB4"/>
    <w:rsid w:val="00CC573C"/>
    <w:rsid w:val="00CD2CF1"/>
    <w:rsid w:val="00CD3427"/>
    <w:rsid w:val="00CD3FC2"/>
    <w:rsid w:val="00D05265"/>
    <w:rsid w:val="00D05FD9"/>
    <w:rsid w:val="00D067F8"/>
    <w:rsid w:val="00D06DC2"/>
    <w:rsid w:val="00D12E62"/>
    <w:rsid w:val="00D156A9"/>
    <w:rsid w:val="00D25138"/>
    <w:rsid w:val="00D26C08"/>
    <w:rsid w:val="00D35163"/>
    <w:rsid w:val="00D40A4A"/>
    <w:rsid w:val="00D509E4"/>
    <w:rsid w:val="00D557B1"/>
    <w:rsid w:val="00D75F00"/>
    <w:rsid w:val="00D815FB"/>
    <w:rsid w:val="00D83646"/>
    <w:rsid w:val="00DA42E9"/>
    <w:rsid w:val="00DB30F8"/>
    <w:rsid w:val="00DB597C"/>
    <w:rsid w:val="00DC51C1"/>
    <w:rsid w:val="00DC722D"/>
    <w:rsid w:val="00DE712C"/>
    <w:rsid w:val="00DF160C"/>
    <w:rsid w:val="00DF1DD4"/>
    <w:rsid w:val="00DF5257"/>
    <w:rsid w:val="00E0678E"/>
    <w:rsid w:val="00E06F6B"/>
    <w:rsid w:val="00E1280A"/>
    <w:rsid w:val="00E16765"/>
    <w:rsid w:val="00E20E5A"/>
    <w:rsid w:val="00E2162B"/>
    <w:rsid w:val="00E3637E"/>
    <w:rsid w:val="00E4000E"/>
    <w:rsid w:val="00E415DF"/>
    <w:rsid w:val="00E5059F"/>
    <w:rsid w:val="00E519D7"/>
    <w:rsid w:val="00E55885"/>
    <w:rsid w:val="00E601E8"/>
    <w:rsid w:val="00E67629"/>
    <w:rsid w:val="00E74A0C"/>
    <w:rsid w:val="00E7799E"/>
    <w:rsid w:val="00EA0B6B"/>
    <w:rsid w:val="00ED775B"/>
    <w:rsid w:val="00EE4166"/>
    <w:rsid w:val="00F00779"/>
    <w:rsid w:val="00F14B0E"/>
    <w:rsid w:val="00F204B9"/>
    <w:rsid w:val="00F211A3"/>
    <w:rsid w:val="00F45DFE"/>
    <w:rsid w:val="00F5003F"/>
    <w:rsid w:val="00F54C2B"/>
    <w:rsid w:val="00F61738"/>
    <w:rsid w:val="00F62119"/>
    <w:rsid w:val="00F725BC"/>
    <w:rsid w:val="00F73E7C"/>
    <w:rsid w:val="00F7540A"/>
    <w:rsid w:val="00F8561F"/>
    <w:rsid w:val="00FA7F43"/>
    <w:rsid w:val="00FB646D"/>
    <w:rsid w:val="00FE0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A706D9"/>
    <w:pPr>
      <w:spacing w:after="200" w:line="276" w:lineRule="auto"/>
    </w:pPr>
    <w:rPr>
      <w:rFonts w:cs="Calibri"/>
      <w:lang w:eastAsia="en-US"/>
    </w:rPr>
  </w:style>
  <w:style w:type="paragraph" w:styleId="Nadpis1">
    <w:name w:val="heading 1"/>
    <w:basedOn w:val="Normln"/>
    <w:next w:val="Normln"/>
    <w:link w:val="Nadpis1Char"/>
    <w:uiPriority w:val="9"/>
    <w:qFormat/>
    <w:rsid w:val="000E5AC6"/>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
    <w:qFormat/>
    <w:rsid w:val="000E5AC6"/>
    <w:pPr>
      <w:keepNext/>
      <w:keepLines/>
      <w:spacing w:before="200" w:after="0"/>
      <w:outlineLvl w:val="1"/>
    </w:pPr>
    <w:rPr>
      <w:rFonts w:ascii="Cambria" w:eastAsia="Times New Roman" w:hAnsi="Cambria" w:cs="Cambria"/>
      <w:b/>
      <w:bCs/>
      <w:color w:val="4F81BD"/>
      <w:sz w:val="26"/>
      <w:szCs w:val="26"/>
    </w:rPr>
  </w:style>
  <w:style w:type="paragraph" w:styleId="Nadpis3">
    <w:name w:val="heading 3"/>
    <w:basedOn w:val="Normln"/>
    <w:next w:val="Normln"/>
    <w:link w:val="Nadpis3Char"/>
    <w:uiPriority w:val="9"/>
    <w:unhideWhenUsed/>
    <w:qFormat/>
    <w:locked/>
    <w:rsid w:val="006F23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0E5AC6"/>
    <w:rPr>
      <w:rFonts w:ascii="Cambria" w:hAnsi="Cambria" w:cs="Cambria"/>
      <w:b/>
      <w:bCs/>
      <w:color w:val="365F91"/>
      <w:sz w:val="28"/>
      <w:szCs w:val="28"/>
    </w:rPr>
  </w:style>
  <w:style w:type="character" w:customStyle="1" w:styleId="Nadpis2Char">
    <w:name w:val="Nadpis 2 Char"/>
    <w:basedOn w:val="Standardnpsmoodstavce"/>
    <w:link w:val="Nadpis2"/>
    <w:uiPriority w:val="9"/>
    <w:locked/>
    <w:rsid w:val="000E5AC6"/>
    <w:rPr>
      <w:rFonts w:ascii="Cambria" w:hAnsi="Cambria" w:cs="Cambria"/>
      <w:b/>
      <w:bCs/>
      <w:color w:val="4F81BD"/>
      <w:sz w:val="26"/>
      <w:szCs w:val="26"/>
    </w:rPr>
  </w:style>
  <w:style w:type="character" w:customStyle="1" w:styleId="Nadpis3Char">
    <w:name w:val="Nadpis 3 Char"/>
    <w:basedOn w:val="Standardnpsmoodstavce"/>
    <w:link w:val="Nadpis3"/>
    <w:uiPriority w:val="9"/>
    <w:rsid w:val="006F2385"/>
    <w:rPr>
      <w:rFonts w:asciiTheme="majorHAnsi" w:eastAsiaTheme="majorEastAsia" w:hAnsiTheme="majorHAnsi" w:cstheme="majorBidi"/>
      <w:b/>
      <w:bCs/>
      <w:color w:val="4F81BD" w:themeColor="accent1"/>
      <w:lang w:eastAsia="en-US"/>
    </w:rPr>
  </w:style>
  <w:style w:type="paragraph" w:styleId="Bezmezer">
    <w:name w:val="No Spacing"/>
    <w:link w:val="BezmezerChar"/>
    <w:uiPriority w:val="99"/>
    <w:qFormat/>
    <w:rsid w:val="009D5237"/>
    <w:rPr>
      <w:rFonts w:eastAsia="Times New Roman" w:cs="Calibri"/>
    </w:rPr>
  </w:style>
  <w:style w:type="character" w:customStyle="1" w:styleId="BezmezerChar">
    <w:name w:val="Bez mezer Char"/>
    <w:basedOn w:val="Standardnpsmoodstavce"/>
    <w:link w:val="Bezmezer"/>
    <w:uiPriority w:val="99"/>
    <w:locked/>
    <w:rsid w:val="009D5237"/>
    <w:rPr>
      <w:rFonts w:eastAsia="Times New Roman" w:cs="Calibri"/>
      <w:sz w:val="22"/>
      <w:szCs w:val="22"/>
      <w:lang w:val="cs-CZ" w:eastAsia="cs-CZ" w:bidi="ar-SA"/>
    </w:rPr>
  </w:style>
  <w:style w:type="paragraph" w:styleId="Textbubliny">
    <w:name w:val="Balloon Text"/>
    <w:basedOn w:val="Normln"/>
    <w:link w:val="TextbublinyChar"/>
    <w:uiPriority w:val="99"/>
    <w:semiHidden/>
    <w:rsid w:val="009D523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D5237"/>
    <w:rPr>
      <w:rFonts w:ascii="Tahoma" w:hAnsi="Tahoma" w:cs="Tahoma"/>
      <w:sz w:val="16"/>
      <w:szCs w:val="16"/>
    </w:rPr>
  </w:style>
  <w:style w:type="paragraph" w:styleId="Nzev">
    <w:name w:val="Title"/>
    <w:basedOn w:val="Normln"/>
    <w:next w:val="Normln"/>
    <w:link w:val="NzevChar"/>
    <w:uiPriority w:val="99"/>
    <w:qFormat/>
    <w:rsid w:val="000E5AC6"/>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NzevChar">
    <w:name w:val="Název Char"/>
    <w:basedOn w:val="Standardnpsmoodstavce"/>
    <w:link w:val="Nzev"/>
    <w:uiPriority w:val="99"/>
    <w:locked/>
    <w:rsid w:val="000E5AC6"/>
    <w:rPr>
      <w:rFonts w:ascii="Cambria" w:hAnsi="Cambria" w:cs="Cambria"/>
      <w:color w:val="17365D"/>
      <w:spacing w:val="5"/>
      <w:kern w:val="28"/>
      <w:sz w:val="52"/>
      <w:szCs w:val="52"/>
    </w:rPr>
  </w:style>
  <w:style w:type="paragraph" w:styleId="Nadpisobsahu">
    <w:name w:val="TOC Heading"/>
    <w:basedOn w:val="Nadpis1"/>
    <w:next w:val="Normln"/>
    <w:uiPriority w:val="39"/>
    <w:qFormat/>
    <w:rsid w:val="001E18DA"/>
    <w:pPr>
      <w:outlineLvl w:val="9"/>
    </w:pPr>
    <w:rPr>
      <w:lang w:eastAsia="cs-CZ"/>
    </w:rPr>
  </w:style>
  <w:style w:type="paragraph" w:styleId="Obsah1">
    <w:name w:val="toc 1"/>
    <w:basedOn w:val="Normln"/>
    <w:next w:val="Normln"/>
    <w:autoRedefine/>
    <w:uiPriority w:val="39"/>
    <w:qFormat/>
    <w:rsid w:val="001E18DA"/>
    <w:pPr>
      <w:spacing w:after="100"/>
    </w:pPr>
  </w:style>
  <w:style w:type="paragraph" w:styleId="Obsah2">
    <w:name w:val="toc 2"/>
    <w:basedOn w:val="Normln"/>
    <w:next w:val="Normln"/>
    <w:autoRedefine/>
    <w:uiPriority w:val="39"/>
    <w:qFormat/>
    <w:rsid w:val="001E18DA"/>
    <w:pPr>
      <w:spacing w:after="100"/>
      <w:ind w:left="220"/>
    </w:pPr>
  </w:style>
  <w:style w:type="character" w:styleId="Hypertextovodkaz">
    <w:name w:val="Hyperlink"/>
    <w:basedOn w:val="Standardnpsmoodstavce"/>
    <w:uiPriority w:val="99"/>
    <w:rsid w:val="001E18DA"/>
    <w:rPr>
      <w:rFonts w:cs="Times New Roman"/>
      <w:color w:val="0000FF"/>
      <w:u w:val="single"/>
    </w:rPr>
  </w:style>
  <w:style w:type="paragraph" w:styleId="Odstavecseseznamem">
    <w:name w:val="List Paragraph"/>
    <w:basedOn w:val="Normln"/>
    <w:uiPriority w:val="34"/>
    <w:qFormat/>
    <w:rsid w:val="00A50E89"/>
    <w:pPr>
      <w:ind w:left="720"/>
    </w:pPr>
  </w:style>
  <w:style w:type="paragraph" w:styleId="Zhlav">
    <w:name w:val="header"/>
    <w:basedOn w:val="Normln"/>
    <w:link w:val="ZhlavChar"/>
    <w:uiPriority w:val="99"/>
    <w:rsid w:val="00821E99"/>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21E99"/>
    <w:rPr>
      <w:rFonts w:cs="Times New Roman"/>
    </w:rPr>
  </w:style>
  <w:style w:type="paragraph" w:styleId="Zpat">
    <w:name w:val="footer"/>
    <w:basedOn w:val="Normln"/>
    <w:link w:val="ZpatChar"/>
    <w:uiPriority w:val="99"/>
    <w:rsid w:val="00821E99"/>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21E99"/>
    <w:rPr>
      <w:rFonts w:cs="Times New Roman"/>
    </w:rPr>
  </w:style>
  <w:style w:type="paragraph" w:styleId="Normlnweb">
    <w:name w:val="Normal (Web)"/>
    <w:basedOn w:val="Normln"/>
    <w:uiPriority w:val="99"/>
    <w:rsid w:val="009A1D4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uiPriority w:val="99"/>
    <w:rsid w:val="009A1D40"/>
  </w:style>
  <w:style w:type="character" w:styleId="Odkaznakoment">
    <w:name w:val="annotation reference"/>
    <w:basedOn w:val="Standardnpsmoodstavce"/>
    <w:uiPriority w:val="99"/>
    <w:semiHidden/>
    <w:rsid w:val="008D3D6F"/>
    <w:rPr>
      <w:rFonts w:cs="Times New Roman"/>
      <w:sz w:val="16"/>
      <w:szCs w:val="16"/>
    </w:rPr>
  </w:style>
  <w:style w:type="paragraph" w:styleId="Textkomente">
    <w:name w:val="annotation text"/>
    <w:basedOn w:val="Normln"/>
    <w:link w:val="TextkomenteChar"/>
    <w:uiPriority w:val="99"/>
    <w:semiHidden/>
    <w:rsid w:val="008D3D6F"/>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8D3D6F"/>
    <w:rPr>
      <w:rFonts w:cs="Times New Roman"/>
      <w:sz w:val="20"/>
      <w:szCs w:val="20"/>
    </w:rPr>
  </w:style>
  <w:style w:type="paragraph" w:styleId="Pedmtkomente">
    <w:name w:val="annotation subject"/>
    <w:basedOn w:val="Textkomente"/>
    <w:next w:val="Textkomente"/>
    <w:link w:val="PedmtkomenteChar"/>
    <w:uiPriority w:val="99"/>
    <w:semiHidden/>
    <w:rsid w:val="008D3D6F"/>
    <w:rPr>
      <w:b/>
      <w:bCs/>
    </w:rPr>
  </w:style>
  <w:style w:type="character" w:customStyle="1" w:styleId="PedmtkomenteChar">
    <w:name w:val="Předmět komentáře Char"/>
    <w:basedOn w:val="TextkomenteChar"/>
    <w:link w:val="Pedmtkomente"/>
    <w:uiPriority w:val="99"/>
    <w:semiHidden/>
    <w:locked/>
    <w:rsid w:val="008D3D6F"/>
    <w:rPr>
      <w:rFonts w:cs="Times New Roman"/>
      <w:b/>
      <w:bCs/>
      <w:sz w:val="20"/>
      <w:szCs w:val="20"/>
    </w:rPr>
  </w:style>
  <w:style w:type="paragraph" w:styleId="Textvysvtlivek">
    <w:name w:val="endnote text"/>
    <w:basedOn w:val="Normln"/>
    <w:link w:val="TextvysvtlivekChar"/>
    <w:uiPriority w:val="99"/>
    <w:semiHidden/>
    <w:rsid w:val="00BB2B7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locked/>
    <w:rsid w:val="00BB2B7B"/>
    <w:rPr>
      <w:rFonts w:cs="Times New Roman"/>
      <w:sz w:val="20"/>
      <w:szCs w:val="20"/>
    </w:rPr>
  </w:style>
  <w:style w:type="character" w:styleId="Odkaznavysvtlivky">
    <w:name w:val="endnote reference"/>
    <w:basedOn w:val="Standardnpsmoodstavce"/>
    <w:uiPriority w:val="99"/>
    <w:semiHidden/>
    <w:rsid w:val="00BB2B7B"/>
    <w:rPr>
      <w:rFonts w:cs="Times New Roman"/>
      <w:vertAlign w:val="superscript"/>
    </w:rPr>
  </w:style>
  <w:style w:type="table" w:styleId="Stednmka3zvraznn1">
    <w:name w:val="Medium Grid 3 Accent 1"/>
    <w:basedOn w:val="Normlntabulka"/>
    <w:uiPriority w:val="99"/>
    <w:rsid w:val="00A0399D"/>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Obsah3">
    <w:name w:val="toc 3"/>
    <w:basedOn w:val="Normln"/>
    <w:next w:val="Normln"/>
    <w:autoRedefine/>
    <w:uiPriority w:val="39"/>
    <w:qFormat/>
    <w:locked/>
    <w:rsid w:val="000C7022"/>
    <w:pPr>
      <w:spacing w:after="100"/>
      <w:ind w:left="440"/>
    </w:pPr>
  </w:style>
  <w:style w:type="paragraph" w:styleId="Prosttext">
    <w:name w:val="Plain Text"/>
    <w:basedOn w:val="Normln"/>
    <w:link w:val="ProsttextChar"/>
    <w:uiPriority w:val="99"/>
    <w:unhideWhenUsed/>
    <w:rsid w:val="002F4920"/>
    <w:pPr>
      <w:spacing w:after="0" w:line="240" w:lineRule="auto"/>
    </w:pPr>
    <w:rPr>
      <w:rFonts w:eastAsiaTheme="minorHAnsi" w:cs="Times New Roman"/>
    </w:rPr>
  </w:style>
  <w:style w:type="character" w:customStyle="1" w:styleId="ProsttextChar">
    <w:name w:val="Prostý text Char"/>
    <w:basedOn w:val="Standardnpsmoodstavce"/>
    <w:link w:val="Prosttext"/>
    <w:uiPriority w:val="99"/>
    <w:rsid w:val="002F4920"/>
    <w:rPr>
      <w:rFonts w:eastAsiaTheme="minorHAnsi"/>
      <w:lang w:eastAsia="en-US"/>
    </w:rPr>
  </w:style>
  <w:style w:type="table" w:styleId="Svtlstnovn">
    <w:name w:val="Light Shading"/>
    <w:basedOn w:val="Normlntabulka"/>
    <w:uiPriority w:val="60"/>
    <w:rsid w:val="002F4920"/>
    <w:rPr>
      <w:rFonts w:asciiTheme="minorHAnsi" w:eastAsiaTheme="minorHAnsi" w:hAnsiTheme="minorHAnsi" w:cstheme="minorBidi"/>
      <w:color w:val="000000" w:themeColor="text1" w:themeShade="BF"/>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A706D9"/>
    <w:pPr>
      <w:spacing w:after="200" w:line="276" w:lineRule="auto"/>
    </w:pPr>
    <w:rPr>
      <w:rFonts w:cs="Calibri"/>
      <w:lang w:eastAsia="en-US"/>
    </w:rPr>
  </w:style>
  <w:style w:type="paragraph" w:styleId="Nadpis1">
    <w:name w:val="heading 1"/>
    <w:basedOn w:val="Normln"/>
    <w:next w:val="Normln"/>
    <w:link w:val="Nadpis1Char"/>
    <w:uiPriority w:val="9"/>
    <w:qFormat/>
    <w:rsid w:val="000E5AC6"/>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
    <w:next w:val="Normln"/>
    <w:link w:val="Nadpis2Char"/>
    <w:uiPriority w:val="9"/>
    <w:qFormat/>
    <w:rsid w:val="000E5AC6"/>
    <w:pPr>
      <w:keepNext/>
      <w:keepLines/>
      <w:spacing w:before="200" w:after="0"/>
      <w:outlineLvl w:val="1"/>
    </w:pPr>
    <w:rPr>
      <w:rFonts w:ascii="Cambria" w:eastAsia="Times New Roman" w:hAnsi="Cambria" w:cs="Cambria"/>
      <w:b/>
      <w:bCs/>
      <w:color w:val="4F81BD"/>
      <w:sz w:val="26"/>
      <w:szCs w:val="26"/>
    </w:rPr>
  </w:style>
  <w:style w:type="paragraph" w:styleId="Nadpis3">
    <w:name w:val="heading 3"/>
    <w:basedOn w:val="Normln"/>
    <w:next w:val="Normln"/>
    <w:link w:val="Nadpis3Char"/>
    <w:uiPriority w:val="9"/>
    <w:unhideWhenUsed/>
    <w:qFormat/>
    <w:locked/>
    <w:rsid w:val="006F23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0E5AC6"/>
    <w:rPr>
      <w:rFonts w:ascii="Cambria" w:hAnsi="Cambria" w:cs="Cambria"/>
      <w:b/>
      <w:bCs/>
      <w:color w:val="365F91"/>
      <w:sz w:val="28"/>
      <w:szCs w:val="28"/>
    </w:rPr>
  </w:style>
  <w:style w:type="character" w:customStyle="1" w:styleId="Nadpis2Char">
    <w:name w:val="Nadpis 2 Char"/>
    <w:basedOn w:val="Standardnpsmoodstavce"/>
    <w:link w:val="Nadpis2"/>
    <w:uiPriority w:val="9"/>
    <w:locked/>
    <w:rsid w:val="000E5AC6"/>
    <w:rPr>
      <w:rFonts w:ascii="Cambria" w:hAnsi="Cambria" w:cs="Cambria"/>
      <w:b/>
      <w:bCs/>
      <w:color w:val="4F81BD"/>
      <w:sz w:val="26"/>
      <w:szCs w:val="26"/>
    </w:rPr>
  </w:style>
  <w:style w:type="character" w:customStyle="1" w:styleId="Nadpis3Char">
    <w:name w:val="Nadpis 3 Char"/>
    <w:basedOn w:val="Standardnpsmoodstavce"/>
    <w:link w:val="Nadpis3"/>
    <w:uiPriority w:val="9"/>
    <w:rsid w:val="006F2385"/>
    <w:rPr>
      <w:rFonts w:asciiTheme="majorHAnsi" w:eastAsiaTheme="majorEastAsia" w:hAnsiTheme="majorHAnsi" w:cstheme="majorBidi"/>
      <w:b/>
      <w:bCs/>
      <w:color w:val="4F81BD" w:themeColor="accent1"/>
      <w:lang w:eastAsia="en-US"/>
    </w:rPr>
  </w:style>
  <w:style w:type="paragraph" w:styleId="Bezmezer">
    <w:name w:val="No Spacing"/>
    <w:link w:val="BezmezerChar"/>
    <w:uiPriority w:val="99"/>
    <w:qFormat/>
    <w:rsid w:val="009D5237"/>
    <w:rPr>
      <w:rFonts w:eastAsia="Times New Roman" w:cs="Calibri"/>
    </w:rPr>
  </w:style>
  <w:style w:type="character" w:customStyle="1" w:styleId="BezmezerChar">
    <w:name w:val="Bez mezer Char"/>
    <w:basedOn w:val="Standardnpsmoodstavce"/>
    <w:link w:val="Bezmezer"/>
    <w:uiPriority w:val="99"/>
    <w:locked/>
    <w:rsid w:val="009D5237"/>
    <w:rPr>
      <w:rFonts w:eastAsia="Times New Roman" w:cs="Calibri"/>
      <w:sz w:val="22"/>
      <w:szCs w:val="22"/>
      <w:lang w:val="cs-CZ" w:eastAsia="cs-CZ" w:bidi="ar-SA"/>
    </w:rPr>
  </w:style>
  <w:style w:type="paragraph" w:styleId="Textbubliny">
    <w:name w:val="Balloon Text"/>
    <w:basedOn w:val="Normln"/>
    <w:link w:val="TextbublinyChar"/>
    <w:uiPriority w:val="99"/>
    <w:semiHidden/>
    <w:rsid w:val="009D523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D5237"/>
    <w:rPr>
      <w:rFonts w:ascii="Tahoma" w:hAnsi="Tahoma" w:cs="Tahoma"/>
      <w:sz w:val="16"/>
      <w:szCs w:val="16"/>
    </w:rPr>
  </w:style>
  <w:style w:type="paragraph" w:styleId="Nzev">
    <w:name w:val="Title"/>
    <w:basedOn w:val="Normln"/>
    <w:next w:val="Normln"/>
    <w:link w:val="NzevChar"/>
    <w:uiPriority w:val="99"/>
    <w:qFormat/>
    <w:rsid w:val="000E5AC6"/>
    <w:pPr>
      <w:pBdr>
        <w:bottom w:val="single" w:sz="8" w:space="4" w:color="4F81BD"/>
      </w:pBdr>
      <w:spacing w:after="300" w:line="240" w:lineRule="auto"/>
    </w:pPr>
    <w:rPr>
      <w:rFonts w:ascii="Cambria" w:eastAsia="Times New Roman" w:hAnsi="Cambria" w:cs="Cambria"/>
      <w:color w:val="17365D"/>
      <w:spacing w:val="5"/>
      <w:kern w:val="28"/>
      <w:sz w:val="52"/>
      <w:szCs w:val="52"/>
    </w:rPr>
  </w:style>
  <w:style w:type="character" w:customStyle="1" w:styleId="NzevChar">
    <w:name w:val="Název Char"/>
    <w:basedOn w:val="Standardnpsmoodstavce"/>
    <w:link w:val="Nzev"/>
    <w:uiPriority w:val="99"/>
    <w:locked/>
    <w:rsid w:val="000E5AC6"/>
    <w:rPr>
      <w:rFonts w:ascii="Cambria" w:hAnsi="Cambria" w:cs="Cambria"/>
      <w:color w:val="17365D"/>
      <w:spacing w:val="5"/>
      <w:kern w:val="28"/>
      <w:sz w:val="52"/>
      <w:szCs w:val="52"/>
    </w:rPr>
  </w:style>
  <w:style w:type="paragraph" w:styleId="Nadpisobsahu">
    <w:name w:val="TOC Heading"/>
    <w:basedOn w:val="Nadpis1"/>
    <w:next w:val="Normln"/>
    <w:uiPriority w:val="39"/>
    <w:qFormat/>
    <w:rsid w:val="001E18DA"/>
    <w:pPr>
      <w:outlineLvl w:val="9"/>
    </w:pPr>
    <w:rPr>
      <w:lang w:eastAsia="cs-CZ"/>
    </w:rPr>
  </w:style>
  <w:style w:type="paragraph" w:styleId="Obsah1">
    <w:name w:val="toc 1"/>
    <w:basedOn w:val="Normln"/>
    <w:next w:val="Normln"/>
    <w:autoRedefine/>
    <w:uiPriority w:val="39"/>
    <w:qFormat/>
    <w:rsid w:val="001E18DA"/>
    <w:pPr>
      <w:spacing w:after="100"/>
    </w:pPr>
  </w:style>
  <w:style w:type="paragraph" w:styleId="Obsah2">
    <w:name w:val="toc 2"/>
    <w:basedOn w:val="Normln"/>
    <w:next w:val="Normln"/>
    <w:autoRedefine/>
    <w:uiPriority w:val="39"/>
    <w:qFormat/>
    <w:rsid w:val="001E18DA"/>
    <w:pPr>
      <w:spacing w:after="100"/>
      <w:ind w:left="220"/>
    </w:pPr>
  </w:style>
  <w:style w:type="character" w:styleId="Hypertextovodkaz">
    <w:name w:val="Hyperlink"/>
    <w:basedOn w:val="Standardnpsmoodstavce"/>
    <w:uiPriority w:val="99"/>
    <w:rsid w:val="001E18DA"/>
    <w:rPr>
      <w:rFonts w:cs="Times New Roman"/>
      <w:color w:val="0000FF"/>
      <w:u w:val="single"/>
    </w:rPr>
  </w:style>
  <w:style w:type="paragraph" w:styleId="Odstavecseseznamem">
    <w:name w:val="List Paragraph"/>
    <w:basedOn w:val="Normln"/>
    <w:uiPriority w:val="34"/>
    <w:qFormat/>
    <w:rsid w:val="00A50E89"/>
    <w:pPr>
      <w:ind w:left="720"/>
    </w:pPr>
  </w:style>
  <w:style w:type="paragraph" w:styleId="Zhlav">
    <w:name w:val="header"/>
    <w:basedOn w:val="Normln"/>
    <w:link w:val="ZhlavChar"/>
    <w:uiPriority w:val="99"/>
    <w:rsid w:val="00821E99"/>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821E99"/>
    <w:rPr>
      <w:rFonts w:cs="Times New Roman"/>
    </w:rPr>
  </w:style>
  <w:style w:type="paragraph" w:styleId="Zpat">
    <w:name w:val="footer"/>
    <w:basedOn w:val="Normln"/>
    <w:link w:val="ZpatChar"/>
    <w:uiPriority w:val="99"/>
    <w:rsid w:val="00821E99"/>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21E99"/>
    <w:rPr>
      <w:rFonts w:cs="Times New Roman"/>
    </w:rPr>
  </w:style>
  <w:style w:type="paragraph" w:styleId="Normlnweb">
    <w:name w:val="Normal (Web)"/>
    <w:basedOn w:val="Normln"/>
    <w:uiPriority w:val="99"/>
    <w:rsid w:val="009A1D4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uiPriority w:val="99"/>
    <w:rsid w:val="009A1D40"/>
  </w:style>
  <w:style w:type="character" w:styleId="Odkaznakoment">
    <w:name w:val="annotation reference"/>
    <w:basedOn w:val="Standardnpsmoodstavce"/>
    <w:uiPriority w:val="99"/>
    <w:semiHidden/>
    <w:rsid w:val="008D3D6F"/>
    <w:rPr>
      <w:rFonts w:cs="Times New Roman"/>
      <w:sz w:val="16"/>
      <w:szCs w:val="16"/>
    </w:rPr>
  </w:style>
  <w:style w:type="paragraph" w:styleId="Textkomente">
    <w:name w:val="annotation text"/>
    <w:basedOn w:val="Normln"/>
    <w:link w:val="TextkomenteChar"/>
    <w:uiPriority w:val="99"/>
    <w:semiHidden/>
    <w:rsid w:val="008D3D6F"/>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8D3D6F"/>
    <w:rPr>
      <w:rFonts w:cs="Times New Roman"/>
      <w:sz w:val="20"/>
      <w:szCs w:val="20"/>
    </w:rPr>
  </w:style>
  <w:style w:type="paragraph" w:styleId="Pedmtkomente">
    <w:name w:val="annotation subject"/>
    <w:basedOn w:val="Textkomente"/>
    <w:next w:val="Textkomente"/>
    <w:link w:val="PedmtkomenteChar"/>
    <w:uiPriority w:val="99"/>
    <w:semiHidden/>
    <w:rsid w:val="008D3D6F"/>
    <w:rPr>
      <w:b/>
      <w:bCs/>
    </w:rPr>
  </w:style>
  <w:style w:type="character" w:customStyle="1" w:styleId="PedmtkomenteChar">
    <w:name w:val="Předmět komentáře Char"/>
    <w:basedOn w:val="TextkomenteChar"/>
    <w:link w:val="Pedmtkomente"/>
    <w:uiPriority w:val="99"/>
    <w:semiHidden/>
    <w:locked/>
    <w:rsid w:val="008D3D6F"/>
    <w:rPr>
      <w:rFonts w:cs="Times New Roman"/>
      <w:b/>
      <w:bCs/>
      <w:sz w:val="20"/>
      <w:szCs w:val="20"/>
    </w:rPr>
  </w:style>
  <w:style w:type="paragraph" w:styleId="Textvysvtlivek">
    <w:name w:val="endnote text"/>
    <w:basedOn w:val="Normln"/>
    <w:link w:val="TextvysvtlivekChar"/>
    <w:uiPriority w:val="99"/>
    <w:semiHidden/>
    <w:rsid w:val="00BB2B7B"/>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locked/>
    <w:rsid w:val="00BB2B7B"/>
    <w:rPr>
      <w:rFonts w:cs="Times New Roman"/>
      <w:sz w:val="20"/>
      <w:szCs w:val="20"/>
    </w:rPr>
  </w:style>
  <w:style w:type="character" w:styleId="Odkaznavysvtlivky">
    <w:name w:val="endnote reference"/>
    <w:basedOn w:val="Standardnpsmoodstavce"/>
    <w:uiPriority w:val="99"/>
    <w:semiHidden/>
    <w:rsid w:val="00BB2B7B"/>
    <w:rPr>
      <w:rFonts w:cs="Times New Roman"/>
      <w:vertAlign w:val="superscript"/>
    </w:rPr>
  </w:style>
  <w:style w:type="table" w:styleId="Stednmka3zvraznn1">
    <w:name w:val="Medium Grid 3 Accent 1"/>
    <w:basedOn w:val="Normlntabulka"/>
    <w:uiPriority w:val="99"/>
    <w:rsid w:val="00A0399D"/>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Calibri"/>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Calibri"/>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Calibri"/>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Calibri"/>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Calibri"/>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Calibri"/>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Obsah3">
    <w:name w:val="toc 3"/>
    <w:basedOn w:val="Normln"/>
    <w:next w:val="Normln"/>
    <w:autoRedefine/>
    <w:uiPriority w:val="39"/>
    <w:qFormat/>
    <w:locked/>
    <w:rsid w:val="000C7022"/>
    <w:pPr>
      <w:spacing w:after="100"/>
      <w:ind w:left="440"/>
    </w:pPr>
  </w:style>
  <w:style w:type="paragraph" w:styleId="Prosttext">
    <w:name w:val="Plain Text"/>
    <w:basedOn w:val="Normln"/>
    <w:link w:val="ProsttextChar"/>
    <w:uiPriority w:val="99"/>
    <w:unhideWhenUsed/>
    <w:rsid w:val="002F4920"/>
    <w:pPr>
      <w:spacing w:after="0" w:line="240" w:lineRule="auto"/>
    </w:pPr>
    <w:rPr>
      <w:rFonts w:eastAsiaTheme="minorHAnsi" w:cs="Times New Roman"/>
    </w:rPr>
  </w:style>
  <w:style w:type="character" w:customStyle="1" w:styleId="ProsttextChar">
    <w:name w:val="Prostý text Char"/>
    <w:basedOn w:val="Standardnpsmoodstavce"/>
    <w:link w:val="Prosttext"/>
    <w:uiPriority w:val="99"/>
    <w:rsid w:val="002F4920"/>
    <w:rPr>
      <w:rFonts w:eastAsiaTheme="minorHAnsi"/>
      <w:lang w:eastAsia="en-US"/>
    </w:rPr>
  </w:style>
  <w:style w:type="table" w:styleId="Svtlstnovn">
    <w:name w:val="Light Shading"/>
    <w:basedOn w:val="Normlntabulka"/>
    <w:uiPriority w:val="60"/>
    <w:rsid w:val="002F4920"/>
    <w:rPr>
      <w:rFonts w:asciiTheme="minorHAnsi" w:eastAsiaTheme="minorHAnsi" w:hAnsiTheme="minorHAnsi" w:cstheme="minorBidi"/>
      <w:color w:val="000000" w:themeColor="text1" w:themeShade="BF"/>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93887">
      <w:bodyDiv w:val="1"/>
      <w:marLeft w:val="0"/>
      <w:marRight w:val="0"/>
      <w:marTop w:val="0"/>
      <w:marBottom w:val="0"/>
      <w:divBdr>
        <w:top w:val="none" w:sz="0" w:space="0" w:color="auto"/>
        <w:left w:val="none" w:sz="0" w:space="0" w:color="auto"/>
        <w:bottom w:val="none" w:sz="0" w:space="0" w:color="auto"/>
        <w:right w:val="none" w:sz="0" w:space="0" w:color="auto"/>
      </w:divBdr>
    </w:div>
    <w:div w:id="106199343">
      <w:bodyDiv w:val="1"/>
      <w:marLeft w:val="0"/>
      <w:marRight w:val="0"/>
      <w:marTop w:val="0"/>
      <w:marBottom w:val="0"/>
      <w:divBdr>
        <w:top w:val="none" w:sz="0" w:space="0" w:color="auto"/>
        <w:left w:val="none" w:sz="0" w:space="0" w:color="auto"/>
        <w:bottom w:val="none" w:sz="0" w:space="0" w:color="auto"/>
        <w:right w:val="none" w:sz="0" w:space="0" w:color="auto"/>
      </w:divBdr>
    </w:div>
    <w:div w:id="125662595">
      <w:bodyDiv w:val="1"/>
      <w:marLeft w:val="0"/>
      <w:marRight w:val="0"/>
      <w:marTop w:val="0"/>
      <w:marBottom w:val="0"/>
      <w:divBdr>
        <w:top w:val="none" w:sz="0" w:space="0" w:color="auto"/>
        <w:left w:val="none" w:sz="0" w:space="0" w:color="auto"/>
        <w:bottom w:val="none" w:sz="0" w:space="0" w:color="auto"/>
        <w:right w:val="none" w:sz="0" w:space="0" w:color="auto"/>
      </w:divBdr>
    </w:div>
    <w:div w:id="140588105">
      <w:bodyDiv w:val="1"/>
      <w:marLeft w:val="0"/>
      <w:marRight w:val="0"/>
      <w:marTop w:val="0"/>
      <w:marBottom w:val="0"/>
      <w:divBdr>
        <w:top w:val="none" w:sz="0" w:space="0" w:color="auto"/>
        <w:left w:val="none" w:sz="0" w:space="0" w:color="auto"/>
        <w:bottom w:val="none" w:sz="0" w:space="0" w:color="auto"/>
        <w:right w:val="none" w:sz="0" w:space="0" w:color="auto"/>
      </w:divBdr>
    </w:div>
    <w:div w:id="155075103">
      <w:bodyDiv w:val="1"/>
      <w:marLeft w:val="0"/>
      <w:marRight w:val="0"/>
      <w:marTop w:val="0"/>
      <w:marBottom w:val="0"/>
      <w:divBdr>
        <w:top w:val="none" w:sz="0" w:space="0" w:color="auto"/>
        <w:left w:val="none" w:sz="0" w:space="0" w:color="auto"/>
        <w:bottom w:val="none" w:sz="0" w:space="0" w:color="auto"/>
        <w:right w:val="none" w:sz="0" w:space="0" w:color="auto"/>
      </w:divBdr>
    </w:div>
    <w:div w:id="234317736">
      <w:bodyDiv w:val="1"/>
      <w:marLeft w:val="0"/>
      <w:marRight w:val="0"/>
      <w:marTop w:val="0"/>
      <w:marBottom w:val="0"/>
      <w:divBdr>
        <w:top w:val="none" w:sz="0" w:space="0" w:color="auto"/>
        <w:left w:val="none" w:sz="0" w:space="0" w:color="auto"/>
        <w:bottom w:val="none" w:sz="0" w:space="0" w:color="auto"/>
        <w:right w:val="none" w:sz="0" w:space="0" w:color="auto"/>
      </w:divBdr>
    </w:div>
    <w:div w:id="308293488">
      <w:bodyDiv w:val="1"/>
      <w:marLeft w:val="0"/>
      <w:marRight w:val="0"/>
      <w:marTop w:val="0"/>
      <w:marBottom w:val="0"/>
      <w:divBdr>
        <w:top w:val="none" w:sz="0" w:space="0" w:color="auto"/>
        <w:left w:val="none" w:sz="0" w:space="0" w:color="auto"/>
        <w:bottom w:val="none" w:sz="0" w:space="0" w:color="auto"/>
        <w:right w:val="none" w:sz="0" w:space="0" w:color="auto"/>
      </w:divBdr>
    </w:div>
    <w:div w:id="454105704">
      <w:bodyDiv w:val="1"/>
      <w:marLeft w:val="0"/>
      <w:marRight w:val="0"/>
      <w:marTop w:val="0"/>
      <w:marBottom w:val="0"/>
      <w:divBdr>
        <w:top w:val="none" w:sz="0" w:space="0" w:color="auto"/>
        <w:left w:val="none" w:sz="0" w:space="0" w:color="auto"/>
        <w:bottom w:val="none" w:sz="0" w:space="0" w:color="auto"/>
        <w:right w:val="none" w:sz="0" w:space="0" w:color="auto"/>
      </w:divBdr>
    </w:div>
    <w:div w:id="535971785">
      <w:bodyDiv w:val="1"/>
      <w:marLeft w:val="0"/>
      <w:marRight w:val="0"/>
      <w:marTop w:val="0"/>
      <w:marBottom w:val="0"/>
      <w:divBdr>
        <w:top w:val="none" w:sz="0" w:space="0" w:color="auto"/>
        <w:left w:val="none" w:sz="0" w:space="0" w:color="auto"/>
        <w:bottom w:val="none" w:sz="0" w:space="0" w:color="auto"/>
        <w:right w:val="none" w:sz="0" w:space="0" w:color="auto"/>
      </w:divBdr>
    </w:div>
    <w:div w:id="538587063">
      <w:bodyDiv w:val="1"/>
      <w:marLeft w:val="0"/>
      <w:marRight w:val="0"/>
      <w:marTop w:val="0"/>
      <w:marBottom w:val="0"/>
      <w:divBdr>
        <w:top w:val="none" w:sz="0" w:space="0" w:color="auto"/>
        <w:left w:val="none" w:sz="0" w:space="0" w:color="auto"/>
        <w:bottom w:val="none" w:sz="0" w:space="0" w:color="auto"/>
        <w:right w:val="none" w:sz="0" w:space="0" w:color="auto"/>
      </w:divBdr>
    </w:div>
    <w:div w:id="568614156">
      <w:bodyDiv w:val="1"/>
      <w:marLeft w:val="0"/>
      <w:marRight w:val="0"/>
      <w:marTop w:val="0"/>
      <w:marBottom w:val="0"/>
      <w:divBdr>
        <w:top w:val="none" w:sz="0" w:space="0" w:color="auto"/>
        <w:left w:val="none" w:sz="0" w:space="0" w:color="auto"/>
        <w:bottom w:val="none" w:sz="0" w:space="0" w:color="auto"/>
        <w:right w:val="none" w:sz="0" w:space="0" w:color="auto"/>
      </w:divBdr>
    </w:div>
    <w:div w:id="597911499">
      <w:bodyDiv w:val="1"/>
      <w:marLeft w:val="0"/>
      <w:marRight w:val="0"/>
      <w:marTop w:val="0"/>
      <w:marBottom w:val="0"/>
      <w:divBdr>
        <w:top w:val="none" w:sz="0" w:space="0" w:color="auto"/>
        <w:left w:val="none" w:sz="0" w:space="0" w:color="auto"/>
        <w:bottom w:val="none" w:sz="0" w:space="0" w:color="auto"/>
        <w:right w:val="none" w:sz="0" w:space="0" w:color="auto"/>
      </w:divBdr>
    </w:div>
    <w:div w:id="671298162">
      <w:bodyDiv w:val="1"/>
      <w:marLeft w:val="0"/>
      <w:marRight w:val="0"/>
      <w:marTop w:val="0"/>
      <w:marBottom w:val="0"/>
      <w:divBdr>
        <w:top w:val="none" w:sz="0" w:space="0" w:color="auto"/>
        <w:left w:val="none" w:sz="0" w:space="0" w:color="auto"/>
        <w:bottom w:val="none" w:sz="0" w:space="0" w:color="auto"/>
        <w:right w:val="none" w:sz="0" w:space="0" w:color="auto"/>
      </w:divBdr>
    </w:div>
    <w:div w:id="823467597">
      <w:bodyDiv w:val="1"/>
      <w:marLeft w:val="0"/>
      <w:marRight w:val="0"/>
      <w:marTop w:val="0"/>
      <w:marBottom w:val="0"/>
      <w:divBdr>
        <w:top w:val="none" w:sz="0" w:space="0" w:color="auto"/>
        <w:left w:val="none" w:sz="0" w:space="0" w:color="auto"/>
        <w:bottom w:val="none" w:sz="0" w:space="0" w:color="auto"/>
        <w:right w:val="none" w:sz="0" w:space="0" w:color="auto"/>
      </w:divBdr>
    </w:div>
    <w:div w:id="829060108">
      <w:bodyDiv w:val="1"/>
      <w:marLeft w:val="0"/>
      <w:marRight w:val="0"/>
      <w:marTop w:val="0"/>
      <w:marBottom w:val="0"/>
      <w:divBdr>
        <w:top w:val="none" w:sz="0" w:space="0" w:color="auto"/>
        <w:left w:val="none" w:sz="0" w:space="0" w:color="auto"/>
        <w:bottom w:val="none" w:sz="0" w:space="0" w:color="auto"/>
        <w:right w:val="none" w:sz="0" w:space="0" w:color="auto"/>
      </w:divBdr>
    </w:div>
    <w:div w:id="865144354">
      <w:bodyDiv w:val="1"/>
      <w:marLeft w:val="0"/>
      <w:marRight w:val="0"/>
      <w:marTop w:val="0"/>
      <w:marBottom w:val="0"/>
      <w:divBdr>
        <w:top w:val="none" w:sz="0" w:space="0" w:color="auto"/>
        <w:left w:val="none" w:sz="0" w:space="0" w:color="auto"/>
        <w:bottom w:val="none" w:sz="0" w:space="0" w:color="auto"/>
        <w:right w:val="none" w:sz="0" w:space="0" w:color="auto"/>
      </w:divBdr>
    </w:div>
    <w:div w:id="906958969">
      <w:bodyDiv w:val="1"/>
      <w:marLeft w:val="0"/>
      <w:marRight w:val="0"/>
      <w:marTop w:val="0"/>
      <w:marBottom w:val="0"/>
      <w:divBdr>
        <w:top w:val="none" w:sz="0" w:space="0" w:color="auto"/>
        <w:left w:val="none" w:sz="0" w:space="0" w:color="auto"/>
        <w:bottom w:val="none" w:sz="0" w:space="0" w:color="auto"/>
        <w:right w:val="none" w:sz="0" w:space="0" w:color="auto"/>
      </w:divBdr>
    </w:div>
    <w:div w:id="991565451">
      <w:bodyDiv w:val="1"/>
      <w:marLeft w:val="0"/>
      <w:marRight w:val="0"/>
      <w:marTop w:val="0"/>
      <w:marBottom w:val="0"/>
      <w:divBdr>
        <w:top w:val="none" w:sz="0" w:space="0" w:color="auto"/>
        <w:left w:val="none" w:sz="0" w:space="0" w:color="auto"/>
        <w:bottom w:val="none" w:sz="0" w:space="0" w:color="auto"/>
        <w:right w:val="none" w:sz="0" w:space="0" w:color="auto"/>
      </w:divBdr>
    </w:div>
    <w:div w:id="1033772664">
      <w:bodyDiv w:val="1"/>
      <w:marLeft w:val="0"/>
      <w:marRight w:val="0"/>
      <w:marTop w:val="0"/>
      <w:marBottom w:val="0"/>
      <w:divBdr>
        <w:top w:val="none" w:sz="0" w:space="0" w:color="auto"/>
        <w:left w:val="none" w:sz="0" w:space="0" w:color="auto"/>
        <w:bottom w:val="none" w:sz="0" w:space="0" w:color="auto"/>
        <w:right w:val="none" w:sz="0" w:space="0" w:color="auto"/>
      </w:divBdr>
    </w:div>
    <w:div w:id="1146093963">
      <w:bodyDiv w:val="1"/>
      <w:marLeft w:val="0"/>
      <w:marRight w:val="0"/>
      <w:marTop w:val="0"/>
      <w:marBottom w:val="0"/>
      <w:divBdr>
        <w:top w:val="none" w:sz="0" w:space="0" w:color="auto"/>
        <w:left w:val="none" w:sz="0" w:space="0" w:color="auto"/>
        <w:bottom w:val="none" w:sz="0" w:space="0" w:color="auto"/>
        <w:right w:val="none" w:sz="0" w:space="0" w:color="auto"/>
      </w:divBdr>
    </w:div>
    <w:div w:id="1219590624">
      <w:bodyDiv w:val="1"/>
      <w:marLeft w:val="0"/>
      <w:marRight w:val="0"/>
      <w:marTop w:val="0"/>
      <w:marBottom w:val="0"/>
      <w:divBdr>
        <w:top w:val="none" w:sz="0" w:space="0" w:color="auto"/>
        <w:left w:val="none" w:sz="0" w:space="0" w:color="auto"/>
        <w:bottom w:val="none" w:sz="0" w:space="0" w:color="auto"/>
        <w:right w:val="none" w:sz="0" w:space="0" w:color="auto"/>
      </w:divBdr>
    </w:div>
    <w:div w:id="1244679025">
      <w:bodyDiv w:val="1"/>
      <w:marLeft w:val="0"/>
      <w:marRight w:val="0"/>
      <w:marTop w:val="0"/>
      <w:marBottom w:val="0"/>
      <w:divBdr>
        <w:top w:val="none" w:sz="0" w:space="0" w:color="auto"/>
        <w:left w:val="none" w:sz="0" w:space="0" w:color="auto"/>
        <w:bottom w:val="none" w:sz="0" w:space="0" w:color="auto"/>
        <w:right w:val="none" w:sz="0" w:space="0" w:color="auto"/>
      </w:divBdr>
    </w:div>
    <w:div w:id="1251811496">
      <w:bodyDiv w:val="1"/>
      <w:marLeft w:val="0"/>
      <w:marRight w:val="0"/>
      <w:marTop w:val="0"/>
      <w:marBottom w:val="0"/>
      <w:divBdr>
        <w:top w:val="none" w:sz="0" w:space="0" w:color="auto"/>
        <w:left w:val="none" w:sz="0" w:space="0" w:color="auto"/>
        <w:bottom w:val="none" w:sz="0" w:space="0" w:color="auto"/>
        <w:right w:val="none" w:sz="0" w:space="0" w:color="auto"/>
      </w:divBdr>
    </w:div>
    <w:div w:id="1394088312">
      <w:bodyDiv w:val="1"/>
      <w:marLeft w:val="0"/>
      <w:marRight w:val="0"/>
      <w:marTop w:val="0"/>
      <w:marBottom w:val="0"/>
      <w:divBdr>
        <w:top w:val="none" w:sz="0" w:space="0" w:color="auto"/>
        <w:left w:val="none" w:sz="0" w:space="0" w:color="auto"/>
        <w:bottom w:val="none" w:sz="0" w:space="0" w:color="auto"/>
        <w:right w:val="none" w:sz="0" w:space="0" w:color="auto"/>
      </w:divBdr>
    </w:div>
    <w:div w:id="1450391888">
      <w:bodyDiv w:val="1"/>
      <w:marLeft w:val="0"/>
      <w:marRight w:val="0"/>
      <w:marTop w:val="0"/>
      <w:marBottom w:val="0"/>
      <w:divBdr>
        <w:top w:val="none" w:sz="0" w:space="0" w:color="auto"/>
        <w:left w:val="none" w:sz="0" w:space="0" w:color="auto"/>
        <w:bottom w:val="none" w:sz="0" w:space="0" w:color="auto"/>
        <w:right w:val="none" w:sz="0" w:space="0" w:color="auto"/>
      </w:divBdr>
    </w:div>
    <w:div w:id="1470325203">
      <w:bodyDiv w:val="1"/>
      <w:marLeft w:val="0"/>
      <w:marRight w:val="0"/>
      <w:marTop w:val="0"/>
      <w:marBottom w:val="0"/>
      <w:divBdr>
        <w:top w:val="none" w:sz="0" w:space="0" w:color="auto"/>
        <w:left w:val="none" w:sz="0" w:space="0" w:color="auto"/>
        <w:bottom w:val="none" w:sz="0" w:space="0" w:color="auto"/>
        <w:right w:val="none" w:sz="0" w:space="0" w:color="auto"/>
      </w:divBdr>
    </w:div>
    <w:div w:id="1490975310">
      <w:bodyDiv w:val="1"/>
      <w:marLeft w:val="0"/>
      <w:marRight w:val="0"/>
      <w:marTop w:val="0"/>
      <w:marBottom w:val="0"/>
      <w:divBdr>
        <w:top w:val="none" w:sz="0" w:space="0" w:color="auto"/>
        <w:left w:val="none" w:sz="0" w:space="0" w:color="auto"/>
        <w:bottom w:val="none" w:sz="0" w:space="0" w:color="auto"/>
        <w:right w:val="none" w:sz="0" w:space="0" w:color="auto"/>
      </w:divBdr>
    </w:div>
    <w:div w:id="1494301835">
      <w:bodyDiv w:val="1"/>
      <w:marLeft w:val="0"/>
      <w:marRight w:val="0"/>
      <w:marTop w:val="0"/>
      <w:marBottom w:val="0"/>
      <w:divBdr>
        <w:top w:val="none" w:sz="0" w:space="0" w:color="auto"/>
        <w:left w:val="none" w:sz="0" w:space="0" w:color="auto"/>
        <w:bottom w:val="none" w:sz="0" w:space="0" w:color="auto"/>
        <w:right w:val="none" w:sz="0" w:space="0" w:color="auto"/>
      </w:divBdr>
    </w:div>
    <w:div w:id="1513645023">
      <w:bodyDiv w:val="1"/>
      <w:marLeft w:val="0"/>
      <w:marRight w:val="0"/>
      <w:marTop w:val="0"/>
      <w:marBottom w:val="0"/>
      <w:divBdr>
        <w:top w:val="none" w:sz="0" w:space="0" w:color="auto"/>
        <w:left w:val="none" w:sz="0" w:space="0" w:color="auto"/>
        <w:bottom w:val="none" w:sz="0" w:space="0" w:color="auto"/>
        <w:right w:val="none" w:sz="0" w:space="0" w:color="auto"/>
      </w:divBdr>
    </w:div>
    <w:div w:id="1516118988">
      <w:bodyDiv w:val="1"/>
      <w:marLeft w:val="0"/>
      <w:marRight w:val="0"/>
      <w:marTop w:val="0"/>
      <w:marBottom w:val="0"/>
      <w:divBdr>
        <w:top w:val="none" w:sz="0" w:space="0" w:color="auto"/>
        <w:left w:val="none" w:sz="0" w:space="0" w:color="auto"/>
        <w:bottom w:val="none" w:sz="0" w:space="0" w:color="auto"/>
        <w:right w:val="none" w:sz="0" w:space="0" w:color="auto"/>
      </w:divBdr>
    </w:div>
    <w:div w:id="1517114838">
      <w:bodyDiv w:val="1"/>
      <w:marLeft w:val="0"/>
      <w:marRight w:val="0"/>
      <w:marTop w:val="0"/>
      <w:marBottom w:val="0"/>
      <w:divBdr>
        <w:top w:val="none" w:sz="0" w:space="0" w:color="auto"/>
        <w:left w:val="none" w:sz="0" w:space="0" w:color="auto"/>
        <w:bottom w:val="none" w:sz="0" w:space="0" w:color="auto"/>
        <w:right w:val="none" w:sz="0" w:space="0" w:color="auto"/>
      </w:divBdr>
    </w:div>
    <w:div w:id="1581908568">
      <w:bodyDiv w:val="1"/>
      <w:marLeft w:val="0"/>
      <w:marRight w:val="0"/>
      <w:marTop w:val="0"/>
      <w:marBottom w:val="0"/>
      <w:divBdr>
        <w:top w:val="none" w:sz="0" w:space="0" w:color="auto"/>
        <w:left w:val="none" w:sz="0" w:space="0" w:color="auto"/>
        <w:bottom w:val="none" w:sz="0" w:space="0" w:color="auto"/>
        <w:right w:val="none" w:sz="0" w:space="0" w:color="auto"/>
      </w:divBdr>
    </w:div>
    <w:div w:id="1667778306">
      <w:bodyDiv w:val="1"/>
      <w:marLeft w:val="0"/>
      <w:marRight w:val="0"/>
      <w:marTop w:val="0"/>
      <w:marBottom w:val="0"/>
      <w:divBdr>
        <w:top w:val="none" w:sz="0" w:space="0" w:color="auto"/>
        <w:left w:val="none" w:sz="0" w:space="0" w:color="auto"/>
        <w:bottom w:val="none" w:sz="0" w:space="0" w:color="auto"/>
        <w:right w:val="none" w:sz="0" w:space="0" w:color="auto"/>
      </w:divBdr>
    </w:div>
    <w:div w:id="1671983431">
      <w:bodyDiv w:val="1"/>
      <w:marLeft w:val="0"/>
      <w:marRight w:val="0"/>
      <w:marTop w:val="0"/>
      <w:marBottom w:val="0"/>
      <w:divBdr>
        <w:top w:val="none" w:sz="0" w:space="0" w:color="auto"/>
        <w:left w:val="none" w:sz="0" w:space="0" w:color="auto"/>
        <w:bottom w:val="none" w:sz="0" w:space="0" w:color="auto"/>
        <w:right w:val="none" w:sz="0" w:space="0" w:color="auto"/>
      </w:divBdr>
    </w:div>
    <w:div w:id="1687754935">
      <w:marLeft w:val="0"/>
      <w:marRight w:val="0"/>
      <w:marTop w:val="0"/>
      <w:marBottom w:val="0"/>
      <w:divBdr>
        <w:top w:val="none" w:sz="0" w:space="0" w:color="auto"/>
        <w:left w:val="none" w:sz="0" w:space="0" w:color="auto"/>
        <w:bottom w:val="none" w:sz="0" w:space="0" w:color="auto"/>
        <w:right w:val="none" w:sz="0" w:space="0" w:color="auto"/>
      </w:divBdr>
    </w:div>
    <w:div w:id="1687754936">
      <w:marLeft w:val="0"/>
      <w:marRight w:val="0"/>
      <w:marTop w:val="0"/>
      <w:marBottom w:val="0"/>
      <w:divBdr>
        <w:top w:val="none" w:sz="0" w:space="0" w:color="auto"/>
        <w:left w:val="none" w:sz="0" w:space="0" w:color="auto"/>
        <w:bottom w:val="none" w:sz="0" w:space="0" w:color="auto"/>
        <w:right w:val="none" w:sz="0" w:space="0" w:color="auto"/>
      </w:divBdr>
    </w:div>
    <w:div w:id="1687754937">
      <w:marLeft w:val="0"/>
      <w:marRight w:val="0"/>
      <w:marTop w:val="0"/>
      <w:marBottom w:val="0"/>
      <w:divBdr>
        <w:top w:val="none" w:sz="0" w:space="0" w:color="auto"/>
        <w:left w:val="none" w:sz="0" w:space="0" w:color="auto"/>
        <w:bottom w:val="none" w:sz="0" w:space="0" w:color="auto"/>
        <w:right w:val="none" w:sz="0" w:space="0" w:color="auto"/>
      </w:divBdr>
    </w:div>
    <w:div w:id="1687754938">
      <w:marLeft w:val="0"/>
      <w:marRight w:val="0"/>
      <w:marTop w:val="0"/>
      <w:marBottom w:val="0"/>
      <w:divBdr>
        <w:top w:val="none" w:sz="0" w:space="0" w:color="auto"/>
        <w:left w:val="none" w:sz="0" w:space="0" w:color="auto"/>
        <w:bottom w:val="none" w:sz="0" w:space="0" w:color="auto"/>
        <w:right w:val="none" w:sz="0" w:space="0" w:color="auto"/>
      </w:divBdr>
    </w:div>
    <w:div w:id="1687754939">
      <w:marLeft w:val="0"/>
      <w:marRight w:val="0"/>
      <w:marTop w:val="0"/>
      <w:marBottom w:val="0"/>
      <w:divBdr>
        <w:top w:val="none" w:sz="0" w:space="0" w:color="auto"/>
        <w:left w:val="none" w:sz="0" w:space="0" w:color="auto"/>
        <w:bottom w:val="none" w:sz="0" w:space="0" w:color="auto"/>
        <w:right w:val="none" w:sz="0" w:space="0" w:color="auto"/>
      </w:divBdr>
    </w:div>
    <w:div w:id="1687754940">
      <w:marLeft w:val="0"/>
      <w:marRight w:val="0"/>
      <w:marTop w:val="0"/>
      <w:marBottom w:val="0"/>
      <w:divBdr>
        <w:top w:val="none" w:sz="0" w:space="0" w:color="auto"/>
        <w:left w:val="none" w:sz="0" w:space="0" w:color="auto"/>
        <w:bottom w:val="none" w:sz="0" w:space="0" w:color="auto"/>
        <w:right w:val="none" w:sz="0" w:space="0" w:color="auto"/>
      </w:divBdr>
    </w:div>
    <w:div w:id="1687754941">
      <w:marLeft w:val="0"/>
      <w:marRight w:val="0"/>
      <w:marTop w:val="0"/>
      <w:marBottom w:val="0"/>
      <w:divBdr>
        <w:top w:val="none" w:sz="0" w:space="0" w:color="auto"/>
        <w:left w:val="none" w:sz="0" w:space="0" w:color="auto"/>
        <w:bottom w:val="none" w:sz="0" w:space="0" w:color="auto"/>
        <w:right w:val="none" w:sz="0" w:space="0" w:color="auto"/>
      </w:divBdr>
    </w:div>
    <w:div w:id="1687754942">
      <w:marLeft w:val="0"/>
      <w:marRight w:val="0"/>
      <w:marTop w:val="0"/>
      <w:marBottom w:val="0"/>
      <w:divBdr>
        <w:top w:val="none" w:sz="0" w:space="0" w:color="auto"/>
        <w:left w:val="none" w:sz="0" w:space="0" w:color="auto"/>
        <w:bottom w:val="none" w:sz="0" w:space="0" w:color="auto"/>
        <w:right w:val="none" w:sz="0" w:space="0" w:color="auto"/>
      </w:divBdr>
    </w:div>
    <w:div w:id="1687754943">
      <w:marLeft w:val="0"/>
      <w:marRight w:val="0"/>
      <w:marTop w:val="0"/>
      <w:marBottom w:val="0"/>
      <w:divBdr>
        <w:top w:val="none" w:sz="0" w:space="0" w:color="auto"/>
        <w:left w:val="none" w:sz="0" w:space="0" w:color="auto"/>
        <w:bottom w:val="none" w:sz="0" w:space="0" w:color="auto"/>
        <w:right w:val="none" w:sz="0" w:space="0" w:color="auto"/>
      </w:divBdr>
    </w:div>
    <w:div w:id="1687754944">
      <w:marLeft w:val="0"/>
      <w:marRight w:val="0"/>
      <w:marTop w:val="0"/>
      <w:marBottom w:val="0"/>
      <w:divBdr>
        <w:top w:val="none" w:sz="0" w:space="0" w:color="auto"/>
        <w:left w:val="none" w:sz="0" w:space="0" w:color="auto"/>
        <w:bottom w:val="none" w:sz="0" w:space="0" w:color="auto"/>
        <w:right w:val="none" w:sz="0" w:space="0" w:color="auto"/>
      </w:divBdr>
    </w:div>
    <w:div w:id="1687754945">
      <w:marLeft w:val="0"/>
      <w:marRight w:val="0"/>
      <w:marTop w:val="0"/>
      <w:marBottom w:val="0"/>
      <w:divBdr>
        <w:top w:val="none" w:sz="0" w:space="0" w:color="auto"/>
        <w:left w:val="none" w:sz="0" w:space="0" w:color="auto"/>
        <w:bottom w:val="none" w:sz="0" w:space="0" w:color="auto"/>
        <w:right w:val="none" w:sz="0" w:space="0" w:color="auto"/>
      </w:divBdr>
    </w:div>
    <w:div w:id="1687754946">
      <w:marLeft w:val="0"/>
      <w:marRight w:val="0"/>
      <w:marTop w:val="0"/>
      <w:marBottom w:val="0"/>
      <w:divBdr>
        <w:top w:val="none" w:sz="0" w:space="0" w:color="auto"/>
        <w:left w:val="none" w:sz="0" w:space="0" w:color="auto"/>
        <w:bottom w:val="none" w:sz="0" w:space="0" w:color="auto"/>
        <w:right w:val="none" w:sz="0" w:space="0" w:color="auto"/>
      </w:divBdr>
    </w:div>
    <w:div w:id="1695810640">
      <w:bodyDiv w:val="1"/>
      <w:marLeft w:val="0"/>
      <w:marRight w:val="0"/>
      <w:marTop w:val="0"/>
      <w:marBottom w:val="0"/>
      <w:divBdr>
        <w:top w:val="none" w:sz="0" w:space="0" w:color="auto"/>
        <w:left w:val="none" w:sz="0" w:space="0" w:color="auto"/>
        <w:bottom w:val="none" w:sz="0" w:space="0" w:color="auto"/>
        <w:right w:val="none" w:sz="0" w:space="0" w:color="auto"/>
      </w:divBdr>
    </w:div>
    <w:div w:id="1746294421">
      <w:bodyDiv w:val="1"/>
      <w:marLeft w:val="0"/>
      <w:marRight w:val="0"/>
      <w:marTop w:val="0"/>
      <w:marBottom w:val="0"/>
      <w:divBdr>
        <w:top w:val="none" w:sz="0" w:space="0" w:color="auto"/>
        <w:left w:val="none" w:sz="0" w:space="0" w:color="auto"/>
        <w:bottom w:val="none" w:sz="0" w:space="0" w:color="auto"/>
        <w:right w:val="none" w:sz="0" w:space="0" w:color="auto"/>
      </w:divBdr>
    </w:div>
    <w:div w:id="1758940650">
      <w:bodyDiv w:val="1"/>
      <w:marLeft w:val="0"/>
      <w:marRight w:val="0"/>
      <w:marTop w:val="0"/>
      <w:marBottom w:val="0"/>
      <w:divBdr>
        <w:top w:val="none" w:sz="0" w:space="0" w:color="auto"/>
        <w:left w:val="none" w:sz="0" w:space="0" w:color="auto"/>
        <w:bottom w:val="none" w:sz="0" w:space="0" w:color="auto"/>
        <w:right w:val="none" w:sz="0" w:space="0" w:color="auto"/>
      </w:divBdr>
    </w:div>
    <w:div w:id="1895434652">
      <w:bodyDiv w:val="1"/>
      <w:marLeft w:val="0"/>
      <w:marRight w:val="0"/>
      <w:marTop w:val="0"/>
      <w:marBottom w:val="0"/>
      <w:divBdr>
        <w:top w:val="none" w:sz="0" w:space="0" w:color="auto"/>
        <w:left w:val="none" w:sz="0" w:space="0" w:color="auto"/>
        <w:bottom w:val="none" w:sz="0" w:space="0" w:color="auto"/>
        <w:right w:val="none" w:sz="0" w:space="0" w:color="auto"/>
      </w:divBdr>
    </w:div>
    <w:div w:id="1998220025">
      <w:bodyDiv w:val="1"/>
      <w:marLeft w:val="0"/>
      <w:marRight w:val="0"/>
      <w:marTop w:val="0"/>
      <w:marBottom w:val="0"/>
      <w:divBdr>
        <w:top w:val="none" w:sz="0" w:space="0" w:color="auto"/>
        <w:left w:val="none" w:sz="0" w:space="0" w:color="auto"/>
        <w:bottom w:val="none" w:sz="0" w:space="0" w:color="auto"/>
        <w:right w:val="none" w:sz="0" w:space="0" w:color="auto"/>
      </w:divBdr>
    </w:div>
    <w:div w:id="2036618435">
      <w:bodyDiv w:val="1"/>
      <w:marLeft w:val="0"/>
      <w:marRight w:val="0"/>
      <w:marTop w:val="0"/>
      <w:marBottom w:val="0"/>
      <w:divBdr>
        <w:top w:val="none" w:sz="0" w:space="0" w:color="auto"/>
        <w:left w:val="none" w:sz="0" w:space="0" w:color="auto"/>
        <w:bottom w:val="none" w:sz="0" w:space="0" w:color="auto"/>
        <w:right w:val="none" w:sz="0" w:space="0" w:color="auto"/>
      </w:divBdr>
    </w:div>
    <w:div w:id="2091542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image" Target="media/image4.pn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13.xml"/><Relationship Id="rId32" Type="http://schemas.openxmlformats.org/officeDocument/2006/relationships/image" Target="media/image6.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2.xml"/><Relationship Id="rId28" Type="http://schemas.openxmlformats.org/officeDocument/2006/relationships/chart" Target="charts/chart16.xml"/><Relationship Id="rId36"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chart" Target="charts/chart9.xml"/><Relationship Id="rId31" Type="http://schemas.openxmlformats.org/officeDocument/2006/relationships/chart" Target="charts/chart1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image" Target="media/image3.png"/><Relationship Id="rId27" Type="http://schemas.openxmlformats.org/officeDocument/2006/relationships/chart" Target="charts/chart15.xml"/><Relationship Id="rId30" Type="http://schemas.openxmlformats.org/officeDocument/2006/relationships/image" Target="cid:image001.png@01CE4D5D.6F0FD950" TargetMode="External"/><Relationship Id="rId35" Type="http://schemas.openxmlformats.org/officeDocument/2006/relationships/image" Target="media/image8.emf"/></Relationships>
</file>

<file path=word/charts/_rels/chart1.xml.rels><?xml version="1.0" encoding="UTF-8" standalone="yes"?>
<Relationships xmlns="http://schemas.openxmlformats.org/package/2006/relationships"><Relationship Id="rId1" Type="http://schemas.openxmlformats.org/officeDocument/2006/relationships/oleObject" Target="file:///C:\Users\jcihar\Documents\poj\zustatky%20poj\Zustatky%20ZFZP%20za%20ZZP%20a%20VZP%20historie.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mzsfps01.mzcr.cz\plochy$\zilovap\mez.srov.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mzsfps01.mzcr.cz\plochy$\zilovap\mez.srov.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mzsfps01.mzcr.cz\plochy$\zilovap\mez.srov.xlsx"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file:///C:\Users\honza\AppData\Local\Temp\87a73e9d-e453-47bc-aa87-3a8f5c790f78.xls" TargetMode="External"/><Relationship Id="rId1" Type="http://schemas.openxmlformats.org/officeDocument/2006/relationships/themeOverride" Target="../theme/themeOverride1.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zilovap\Downloads\190800241x1t006.xls" TargetMode="External"/><Relationship Id="rId1" Type="http://schemas.openxmlformats.org/officeDocument/2006/relationships/themeOverride" Target="../theme/themeOverride2.xml"/></Relationships>
</file>

<file path=word/charts/_rels/chart17.xml.rels><?xml version="1.0" encoding="UTF-8" standalone="yes"?>
<Relationships xmlns="http://schemas.openxmlformats.org/package/2006/relationships"><Relationship Id="rId1" Type="http://schemas.openxmlformats.org/officeDocument/2006/relationships/oleObject" Target="file:///\\mzsfps01.mzcr.cz\plochy$\zilovap\mez.srov.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1" Type="http://schemas.openxmlformats.org/officeDocument/2006/relationships/oleObject" Target="file:///C:\Users\jcihar\Documents\poj\zustatky%20poj\Zustatky%20ZFZP%20za%20ZZP%20a%20VZP%20histori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rocht\AppData\Local\Microsoft\Windows\Temporary%20Internet%20Files\Content.Outlook\LWKGX2VG\Kopie%20-%20naklady_segmenty%20(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kumenty\Motol\MZ%20nemocnice\UZIS%20Holub\Holub%202\nem%20dle%20z&#345;iz_dopln&#283;k.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kurfurstm\AppData\Local\Microsoft\Windows\Temporary%20Internet%20Files\Content.Outlook\KTGTJ3XX\CR%20nemocnice%20graf.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mzsfps01\odbory\fin\FIN%202013\FIN%203\Hospoda&#345;en&#237;\V&#253;stupy%202013\Kopie%20-%20p&#345;iloha%20nemocnice%2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mzsfps01\odbory\fin\FIN%202013\FIN%203\Hospoda&#345;en&#237;\V&#253;stupy%202013\Kopie%20-%20p&#345;iloha%20nemocnice%20.xlsx" TargetMode="Externa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400" b="0"/>
            </a:pPr>
            <a:r>
              <a:rPr lang="cs-CZ" sz="1400" b="0"/>
              <a:t>Základní fond 2000 až 2012 (v mil.</a:t>
            </a:r>
            <a:r>
              <a:rPr lang="cs-CZ" sz="1400" b="0" baseline="0"/>
              <a:t> Kč)</a:t>
            </a:r>
            <a:endParaRPr lang="cs-CZ" sz="1400" b="0"/>
          </a:p>
        </c:rich>
      </c:tx>
      <c:layout>
        <c:manualLayout>
          <c:xMode val="edge"/>
          <c:yMode val="edge"/>
          <c:x val="1.6109461727120201E-3"/>
          <c:y val="2.291825821237586E-2"/>
        </c:manualLayout>
      </c:layout>
      <c:overlay val="0"/>
    </c:title>
    <c:autoTitleDeleted val="0"/>
    <c:plotArea>
      <c:layout/>
      <c:lineChart>
        <c:grouping val="standard"/>
        <c:varyColors val="0"/>
        <c:ser>
          <c:idx val="0"/>
          <c:order val="0"/>
          <c:tx>
            <c:strRef>
              <c:f>List1!$C$6</c:f>
              <c:strCache>
                <c:ptCount val="1"/>
                <c:pt idx="0">
                  <c:v>ZZP</c:v>
                </c:pt>
              </c:strCache>
            </c:strRef>
          </c:tx>
          <c:marker>
            <c:symbol val="none"/>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List1!$D$5:$P$5</c:f>
              <c:strCache>
                <c:ptCount val="13"/>
                <c:pt idx="0">
                  <c:v>r.2000</c:v>
                </c:pt>
                <c:pt idx="1">
                  <c:v>r2001</c:v>
                </c:pt>
                <c:pt idx="2">
                  <c:v>r2002</c:v>
                </c:pt>
                <c:pt idx="3">
                  <c:v>r2003</c:v>
                </c:pt>
                <c:pt idx="4">
                  <c:v>r2004</c:v>
                </c:pt>
                <c:pt idx="5">
                  <c:v>r2005</c:v>
                </c:pt>
                <c:pt idx="6">
                  <c:v>r2006</c:v>
                </c:pt>
                <c:pt idx="7">
                  <c:v>r2007</c:v>
                </c:pt>
                <c:pt idx="8">
                  <c:v>r2008</c:v>
                </c:pt>
                <c:pt idx="9">
                  <c:v>r2009</c:v>
                </c:pt>
                <c:pt idx="10">
                  <c:v>r2010</c:v>
                </c:pt>
                <c:pt idx="11">
                  <c:v>r2011</c:v>
                </c:pt>
                <c:pt idx="12">
                  <c:v>r2012</c:v>
                </c:pt>
              </c:strCache>
            </c:strRef>
          </c:cat>
          <c:val>
            <c:numRef>
              <c:f>List1!$D$6:$P$6</c:f>
              <c:numCache>
                <c:formatCode>#,##0</c:formatCode>
                <c:ptCount val="13"/>
                <c:pt idx="0">
                  <c:v>4241</c:v>
                </c:pt>
                <c:pt idx="1">
                  <c:v>5039</c:v>
                </c:pt>
                <c:pt idx="2">
                  <c:v>3307</c:v>
                </c:pt>
                <c:pt idx="3">
                  <c:v>2941</c:v>
                </c:pt>
                <c:pt idx="4">
                  <c:v>2993</c:v>
                </c:pt>
                <c:pt idx="5">
                  <c:v>3061</c:v>
                </c:pt>
                <c:pt idx="6">
                  <c:v>5005</c:v>
                </c:pt>
                <c:pt idx="7">
                  <c:v>11008</c:v>
                </c:pt>
                <c:pt idx="8">
                  <c:v>15898</c:v>
                </c:pt>
                <c:pt idx="9">
                  <c:v>15154</c:v>
                </c:pt>
                <c:pt idx="10">
                  <c:v>13811</c:v>
                </c:pt>
                <c:pt idx="11">
                  <c:v>8055</c:v>
                </c:pt>
                <c:pt idx="12">
                  <c:v>7836</c:v>
                </c:pt>
              </c:numCache>
            </c:numRef>
          </c:val>
          <c:smooth val="0"/>
        </c:ser>
        <c:ser>
          <c:idx val="1"/>
          <c:order val="1"/>
          <c:tx>
            <c:strRef>
              <c:f>List1!$C$7</c:f>
              <c:strCache>
                <c:ptCount val="1"/>
                <c:pt idx="0">
                  <c:v>VZP</c:v>
                </c:pt>
              </c:strCache>
            </c:strRef>
          </c:tx>
          <c:marker>
            <c:symbol val="none"/>
          </c:marker>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List1!$D$5:$P$5</c:f>
              <c:strCache>
                <c:ptCount val="13"/>
                <c:pt idx="0">
                  <c:v>r.2000</c:v>
                </c:pt>
                <c:pt idx="1">
                  <c:v>r2001</c:v>
                </c:pt>
                <c:pt idx="2">
                  <c:v>r2002</c:v>
                </c:pt>
                <c:pt idx="3">
                  <c:v>r2003</c:v>
                </c:pt>
                <c:pt idx="4">
                  <c:v>r2004</c:v>
                </c:pt>
                <c:pt idx="5">
                  <c:v>r2005</c:v>
                </c:pt>
                <c:pt idx="6">
                  <c:v>r2006</c:v>
                </c:pt>
                <c:pt idx="7">
                  <c:v>r2007</c:v>
                </c:pt>
                <c:pt idx="8">
                  <c:v>r2008</c:v>
                </c:pt>
                <c:pt idx="9">
                  <c:v>r2009</c:v>
                </c:pt>
                <c:pt idx="10">
                  <c:v>r2010</c:v>
                </c:pt>
                <c:pt idx="11">
                  <c:v>r2011</c:v>
                </c:pt>
                <c:pt idx="12">
                  <c:v>r2012</c:v>
                </c:pt>
              </c:strCache>
            </c:strRef>
          </c:cat>
          <c:val>
            <c:numRef>
              <c:f>List1!$D$7:$P$7</c:f>
              <c:numCache>
                <c:formatCode>#,##0</c:formatCode>
                <c:ptCount val="13"/>
                <c:pt idx="0">
                  <c:v>431</c:v>
                </c:pt>
                <c:pt idx="1">
                  <c:v>472</c:v>
                </c:pt>
                <c:pt idx="2">
                  <c:v>51</c:v>
                </c:pt>
                <c:pt idx="3">
                  <c:v>47</c:v>
                </c:pt>
                <c:pt idx="4">
                  <c:v>66</c:v>
                </c:pt>
                <c:pt idx="5">
                  <c:v>56</c:v>
                </c:pt>
                <c:pt idx="6">
                  <c:v>243</c:v>
                </c:pt>
                <c:pt idx="7">
                  <c:v>6918</c:v>
                </c:pt>
                <c:pt idx="8">
                  <c:v>11101</c:v>
                </c:pt>
                <c:pt idx="9">
                  <c:v>6446</c:v>
                </c:pt>
                <c:pt idx="10">
                  <c:v>2298</c:v>
                </c:pt>
                <c:pt idx="11">
                  <c:v>910</c:v>
                </c:pt>
                <c:pt idx="12">
                  <c:v>120</c:v>
                </c:pt>
              </c:numCache>
            </c:numRef>
          </c:val>
          <c:smooth val="0"/>
        </c:ser>
        <c:dLbls>
          <c:showLegendKey val="0"/>
          <c:showVal val="0"/>
          <c:showCatName val="0"/>
          <c:showSerName val="0"/>
          <c:showPercent val="0"/>
          <c:showBubbleSize val="0"/>
        </c:dLbls>
        <c:marker val="1"/>
        <c:smooth val="0"/>
        <c:axId val="112288896"/>
        <c:axId val="112290432"/>
      </c:lineChart>
      <c:catAx>
        <c:axId val="112288896"/>
        <c:scaling>
          <c:orientation val="minMax"/>
        </c:scaling>
        <c:delete val="0"/>
        <c:axPos val="b"/>
        <c:numFmt formatCode="General" sourceLinked="1"/>
        <c:majorTickMark val="none"/>
        <c:minorTickMark val="none"/>
        <c:tickLblPos val="nextTo"/>
        <c:crossAx val="112290432"/>
        <c:crosses val="autoZero"/>
        <c:auto val="1"/>
        <c:lblAlgn val="ctr"/>
        <c:lblOffset val="100"/>
        <c:noMultiLvlLbl val="0"/>
      </c:catAx>
      <c:valAx>
        <c:axId val="112290432"/>
        <c:scaling>
          <c:orientation val="minMax"/>
        </c:scaling>
        <c:delete val="0"/>
        <c:axPos val="l"/>
        <c:majorGridlines/>
        <c:numFmt formatCode="#,##0" sourceLinked="1"/>
        <c:majorTickMark val="none"/>
        <c:minorTickMark val="none"/>
        <c:tickLblPos val="nextTo"/>
        <c:spPr>
          <a:ln w="9525">
            <a:noFill/>
          </a:ln>
        </c:spPr>
        <c:crossAx val="112288896"/>
        <c:crosses val="autoZero"/>
        <c:crossBetween val="between"/>
      </c:valAx>
    </c:plotArea>
    <c:legend>
      <c:legendPos val="b"/>
      <c:overlay val="0"/>
    </c:legend>
    <c:plotVisOnly val="1"/>
    <c:dispBlanksAs val="gap"/>
    <c:showDLblsOverMax val="0"/>
  </c:chart>
  <c:spPr>
    <a:no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Příjmy systému v.z.p.</a:t>
            </a:r>
          </a:p>
        </c:rich>
      </c:tx>
      <c:overlay val="0"/>
    </c:title>
    <c:autoTitleDeleted val="0"/>
    <c:plotArea>
      <c:layout/>
      <c:barChart>
        <c:barDir val="col"/>
        <c:grouping val="clustered"/>
        <c:varyColors val="0"/>
        <c:ser>
          <c:idx val="0"/>
          <c:order val="0"/>
          <c:invertIfNegative val="0"/>
          <c:cat>
            <c:strRef>
              <c:f>List1!$A$1:$C$1</c:f>
              <c:strCache>
                <c:ptCount val="3"/>
                <c:pt idx="0">
                  <c:v>2012</c:v>
                </c:pt>
                <c:pt idx="1">
                  <c:v>2013*</c:v>
                </c:pt>
                <c:pt idx="2">
                  <c:v>2014*</c:v>
                </c:pt>
              </c:strCache>
            </c:strRef>
          </c:cat>
          <c:val>
            <c:numRef>
              <c:f>List1!$A$2:$C$2</c:f>
              <c:numCache>
                <c:formatCode>General</c:formatCode>
                <c:ptCount val="3"/>
                <c:pt idx="0">
                  <c:v>219.4</c:v>
                </c:pt>
                <c:pt idx="1">
                  <c:v>224.8</c:v>
                </c:pt>
                <c:pt idx="2">
                  <c:v>234.7</c:v>
                </c:pt>
              </c:numCache>
            </c:numRef>
          </c:val>
        </c:ser>
        <c:dLbls>
          <c:dLblPos val="outEnd"/>
          <c:showLegendKey val="0"/>
          <c:showVal val="1"/>
          <c:showCatName val="0"/>
          <c:showSerName val="0"/>
          <c:showPercent val="0"/>
          <c:showBubbleSize val="0"/>
        </c:dLbls>
        <c:gapWidth val="150"/>
        <c:axId val="114681344"/>
        <c:axId val="114682880"/>
      </c:barChart>
      <c:catAx>
        <c:axId val="114681344"/>
        <c:scaling>
          <c:orientation val="minMax"/>
        </c:scaling>
        <c:delete val="0"/>
        <c:axPos val="b"/>
        <c:majorTickMark val="out"/>
        <c:minorTickMark val="none"/>
        <c:tickLblPos val="nextTo"/>
        <c:crossAx val="114682880"/>
        <c:crosses val="autoZero"/>
        <c:auto val="1"/>
        <c:lblAlgn val="ctr"/>
        <c:lblOffset val="100"/>
        <c:noMultiLvlLbl val="0"/>
      </c:catAx>
      <c:valAx>
        <c:axId val="114682880"/>
        <c:scaling>
          <c:orientation val="minMax"/>
        </c:scaling>
        <c:delete val="0"/>
        <c:axPos val="l"/>
        <c:majorGridlines/>
        <c:numFmt formatCode="General" sourceLinked="1"/>
        <c:majorTickMark val="out"/>
        <c:minorTickMark val="none"/>
        <c:tickLblPos val="nextTo"/>
        <c:crossAx val="114681344"/>
        <c:crosses val="autoZero"/>
        <c:crossBetween val="between"/>
      </c:valAx>
    </c:plotArea>
    <c:plotVisOnly val="1"/>
    <c:dispBlanksAs val="gap"/>
    <c:showDLblsOverMax val="0"/>
  </c:chart>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Výdaje systému v.z.p.</a:t>
            </a:r>
          </a:p>
        </c:rich>
      </c:tx>
      <c:overlay val="0"/>
    </c:title>
    <c:autoTitleDeleted val="0"/>
    <c:plotArea>
      <c:layout/>
      <c:barChart>
        <c:barDir val="col"/>
        <c:grouping val="clustered"/>
        <c:varyColors val="0"/>
        <c:ser>
          <c:idx val="0"/>
          <c:order val="0"/>
          <c:invertIfNegative val="0"/>
          <c:cat>
            <c:strRef>
              <c:f>List1!$A$1:$C$1</c:f>
              <c:strCache>
                <c:ptCount val="3"/>
                <c:pt idx="0">
                  <c:v>2012</c:v>
                </c:pt>
                <c:pt idx="1">
                  <c:v>2013*</c:v>
                </c:pt>
                <c:pt idx="2">
                  <c:v>2014*</c:v>
                </c:pt>
              </c:strCache>
            </c:strRef>
          </c:cat>
          <c:val>
            <c:numRef>
              <c:f>List1!$A$3:$C$3</c:f>
              <c:numCache>
                <c:formatCode>General</c:formatCode>
                <c:ptCount val="3"/>
                <c:pt idx="0">
                  <c:v>223.8</c:v>
                </c:pt>
                <c:pt idx="1">
                  <c:v>222.1</c:v>
                </c:pt>
                <c:pt idx="2">
                  <c:v>231.1</c:v>
                </c:pt>
              </c:numCache>
            </c:numRef>
          </c:val>
        </c:ser>
        <c:dLbls>
          <c:dLblPos val="outEnd"/>
          <c:showLegendKey val="0"/>
          <c:showVal val="1"/>
          <c:showCatName val="0"/>
          <c:showSerName val="0"/>
          <c:showPercent val="0"/>
          <c:showBubbleSize val="0"/>
        </c:dLbls>
        <c:gapWidth val="150"/>
        <c:axId val="114704384"/>
        <c:axId val="114705920"/>
      </c:barChart>
      <c:catAx>
        <c:axId val="114704384"/>
        <c:scaling>
          <c:orientation val="minMax"/>
        </c:scaling>
        <c:delete val="0"/>
        <c:axPos val="b"/>
        <c:majorTickMark val="out"/>
        <c:minorTickMark val="none"/>
        <c:tickLblPos val="nextTo"/>
        <c:crossAx val="114705920"/>
        <c:crosses val="autoZero"/>
        <c:auto val="1"/>
        <c:lblAlgn val="ctr"/>
        <c:lblOffset val="100"/>
        <c:noMultiLvlLbl val="0"/>
      </c:catAx>
      <c:valAx>
        <c:axId val="114705920"/>
        <c:scaling>
          <c:orientation val="minMax"/>
        </c:scaling>
        <c:delete val="0"/>
        <c:axPos val="l"/>
        <c:majorGridlines/>
        <c:numFmt formatCode="General" sourceLinked="1"/>
        <c:majorTickMark val="out"/>
        <c:minorTickMark val="none"/>
        <c:tickLblPos val="nextTo"/>
        <c:crossAx val="114704384"/>
        <c:crosses val="autoZero"/>
        <c:crossBetween val="between"/>
      </c:valAx>
    </c:plotArea>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Podíl výdajů na zdravotnictví</a:t>
            </a:r>
            <a:endParaRPr lang="en-US"/>
          </a:p>
        </c:rich>
      </c:tx>
      <c:overlay val="0"/>
    </c:title>
    <c:autoTitleDeleted val="0"/>
    <c:plotArea>
      <c:layout>
        <c:manualLayout>
          <c:layoutTarget val="inner"/>
          <c:xMode val="edge"/>
          <c:yMode val="edge"/>
          <c:x val="8.9648398882798519E-2"/>
          <c:y val="0.10313223714682723"/>
          <c:w val="0.87385314050918739"/>
          <c:h val="0.79184428033452336"/>
        </c:manualLayout>
      </c:layout>
      <c:scatterChart>
        <c:scatterStyle val="lineMarker"/>
        <c:varyColors val="0"/>
        <c:ser>
          <c:idx val="0"/>
          <c:order val="0"/>
          <c:tx>
            <c:strRef>
              <c:f>'C:\Users\zilovap\AppData\Local\Microsoft\Windows\Temporary Internet Files\Content.Outlook\SHGQA90K\[HDPpercapita2.xlsx]List1'!$D$2</c:f>
              <c:strCache>
                <c:ptCount val="1"/>
                <c:pt idx="0">
                  <c:v>36582,12311</c:v>
                </c:pt>
              </c:strCache>
            </c:strRef>
          </c:tx>
          <c:spPr>
            <a:ln w="28575">
              <a:noFill/>
            </a:ln>
          </c:spPr>
          <c:dPt>
            <c:idx val="3"/>
            <c:marker>
              <c:spPr>
                <a:solidFill>
                  <a:srgbClr val="FF0000"/>
                </a:solidFill>
              </c:spPr>
            </c:marker>
            <c:bubble3D val="0"/>
          </c:dPt>
          <c:dLbls>
            <c:dLbl>
              <c:idx val="0"/>
              <c:delete val="1"/>
            </c:dLbl>
            <c:dLbl>
              <c:idx val="1"/>
              <c:tx>
                <c:rich>
                  <a:bodyPr/>
                  <a:lstStyle/>
                  <a:p>
                    <a:r>
                      <a:rPr lang="cs-CZ"/>
                      <a:t>BEL</a:t>
                    </a:r>
                    <a:endParaRPr lang="en-US"/>
                  </a:p>
                </c:rich>
              </c:tx>
              <c:showLegendKey val="0"/>
              <c:showVal val="1"/>
              <c:showCatName val="0"/>
              <c:showSerName val="0"/>
              <c:showPercent val="0"/>
              <c:showBubbleSize val="0"/>
            </c:dLbl>
            <c:dLbl>
              <c:idx val="2"/>
              <c:tx>
                <c:rich>
                  <a:bodyPr/>
                  <a:lstStyle/>
                  <a:p>
                    <a:r>
                      <a:rPr lang="cs-CZ"/>
                      <a:t>CAN</a:t>
                    </a:r>
                    <a:endParaRPr lang="en-US"/>
                  </a:p>
                </c:rich>
              </c:tx>
              <c:showLegendKey val="0"/>
              <c:showVal val="1"/>
              <c:showCatName val="0"/>
              <c:showSerName val="0"/>
              <c:showPercent val="0"/>
              <c:showBubbleSize val="0"/>
            </c:dLbl>
            <c:dLbl>
              <c:idx val="3"/>
              <c:tx>
                <c:rich>
                  <a:bodyPr/>
                  <a:lstStyle/>
                  <a:p>
                    <a:r>
                      <a:rPr lang="cs-CZ" sz="1100" b="1">
                        <a:solidFill>
                          <a:srgbClr val="FF0000"/>
                        </a:solidFill>
                      </a:rPr>
                      <a:t>CZE</a:t>
                    </a:r>
                    <a:endParaRPr lang="en-US" sz="1100" b="1">
                      <a:solidFill>
                        <a:srgbClr val="FF0000"/>
                      </a:solidFill>
                    </a:endParaRPr>
                  </a:p>
                </c:rich>
              </c:tx>
              <c:dLblPos val="b"/>
              <c:showLegendKey val="0"/>
              <c:showVal val="1"/>
              <c:showCatName val="0"/>
              <c:showSerName val="0"/>
              <c:showPercent val="0"/>
              <c:showBubbleSize val="0"/>
            </c:dLbl>
            <c:dLbl>
              <c:idx val="4"/>
              <c:tx>
                <c:rich>
                  <a:bodyPr/>
                  <a:lstStyle/>
                  <a:p>
                    <a:r>
                      <a:rPr lang="cs-CZ"/>
                      <a:t>DNK</a:t>
                    </a:r>
                    <a:endParaRPr lang="en-US"/>
                  </a:p>
                </c:rich>
              </c:tx>
              <c:dLblPos val="t"/>
              <c:showLegendKey val="0"/>
              <c:showVal val="1"/>
              <c:showCatName val="0"/>
              <c:showSerName val="0"/>
              <c:showPercent val="0"/>
              <c:showBubbleSize val="0"/>
            </c:dLbl>
            <c:dLbl>
              <c:idx val="5"/>
              <c:tx>
                <c:rich>
                  <a:bodyPr/>
                  <a:lstStyle/>
                  <a:p>
                    <a:r>
                      <a:rPr lang="cs-CZ"/>
                      <a:t>EST</a:t>
                    </a:r>
                    <a:endParaRPr lang="en-US"/>
                  </a:p>
                </c:rich>
              </c:tx>
              <c:dLblPos val="l"/>
              <c:showLegendKey val="0"/>
              <c:showVal val="1"/>
              <c:showCatName val="0"/>
              <c:showSerName val="0"/>
              <c:showPercent val="0"/>
              <c:showBubbleSize val="0"/>
            </c:dLbl>
            <c:dLbl>
              <c:idx val="6"/>
              <c:tx>
                <c:rich>
                  <a:bodyPr/>
                  <a:lstStyle/>
                  <a:p>
                    <a:r>
                      <a:rPr lang="cs-CZ"/>
                      <a:t>FIN</a:t>
                    </a:r>
                    <a:endParaRPr lang="en-US"/>
                  </a:p>
                </c:rich>
              </c:tx>
              <c:dLblPos val="b"/>
              <c:showLegendKey val="0"/>
              <c:showVal val="1"/>
              <c:showCatName val="0"/>
              <c:showSerName val="0"/>
              <c:showPercent val="0"/>
              <c:showBubbleSize val="0"/>
            </c:dLbl>
            <c:dLbl>
              <c:idx val="7"/>
              <c:tx>
                <c:rich>
                  <a:bodyPr/>
                  <a:lstStyle/>
                  <a:p>
                    <a:r>
                      <a:rPr lang="cs-CZ"/>
                      <a:t>FRA</a:t>
                    </a:r>
                    <a:endParaRPr lang="en-US"/>
                  </a:p>
                </c:rich>
              </c:tx>
              <c:showLegendKey val="0"/>
              <c:showVal val="1"/>
              <c:showCatName val="0"/>
              <c:showSerName val="0"/>
              <c:showPercent val="0"/>
              <c:showBubbleSize val="0"/>
            </c:dLbl>
            <c:dLbl>
              <c:idx val="8"/>
              <c:tx>
                <c:rich>
                  <a:bodyPr/>
                  <a:lstStyle/>
                  <a:p>
                    <a:r>
                      <a:rPr lang="cs-CZ"/>
                      <a:t>DEU</a:t>
                    </a:r>
                    <a:endParaRPr lang="en-US"/>
                  </a:p>
                </c:rich>
              </c:tx>
              <c:dLblPos val="t"/>
              <c:showLegendKey val="0"/>
              <c:showVal val="1"/>
              <c:showCatName val="0"/>
              <c:showSerName val="0"/>
              <c:showPercent val="0"/>
              <c:showBubbleSize val="0"/>
            </c:dLbl>
            <c:dLbl>
              <c:idx val="9"/>
              <c:tx>
                <c:rich>
                  <a:bodyPr/>
                  <a:lstStyle/>
                  <a:p>
                    <a:r>
                      <a:rPr lang="cs-CZ"/>
                      <a:t>HUN</a:t>
                    </a:r>
                    <a:endParaRPr lang="en-US"/>
                  </a:p>
                </c:rich>
              </c:tx>
              <c:showLegendKey val="0"/>
              <c:showVal val="1"/>
              <c:showCatName val="0"/>
              <c:showSerName val="0"/>
              <c:showPercent val="0"/>
              <c:showBubbleSize val="0"/>
            </c:dLbl>
            <c:dLbl>
              <c:idx val="10"/>
              <c:tx>
                <c:rich>
                  <a:bodyPr/>
                  <a:lstStyle/>
                  <a:p>
                    <a:r>
                      <a:rPr lang="cs-CZ"/>
                      <a:t>ISL</a:t>
                    </a:r>
                    <a:endParaRPr lang="en-US"/>
                  </a:p>
                </c:rich>
              </c:tx>
              <c:dLblPos val="b"/>
              <c:showLegendKey val="0"/>
              <c:showVal val="1"/>
              <c:showCatName val="0"/>
              <c:showSerName val="0"/>
              <c:showPercent val="0"/>
              <c:showBubbleSize val="0"/>
            </c:dLbl>
            <c:dLbl>
              <c:idx val="11"/>
              <c:tx>
                <c:rich>
                  <a:bodyPr/>
                  <a:lstStyle/>
                  <a:p>
                    <a:r>
                      <a:rPr lang="cs-CZ"/>
                      <a:t>IRE</a:t>
                    </a:r>
                    <a:endParaRPr lang="en-US"/>
                  </a:p>
                </c:rich>
              </c:tx>
              <c:dLblPos val="r"/>
              <c:showLegendKey val="0"/>
              <c:showVal val="1"/>
              <c:showCatName val="0"/>
              <c:showSerName val="0"/>
              <c:showPercent val="0"/>
              <c:showBubbleSize val="0"/>
            </c:dLbl>
            <c:dLbl>
              <c:idx val="13"/>
              <c:tx>
                <c:rich>
                  <a:bodyPr/>
                  <a:lstStyle/>
                  <a:p>
                    <a:r>
                      <a:rPr lang="cs-CZ"/>
                      <a:t>ISL</a:t>
                    </a:r>
                    <a:endParaRPr lang="en-US"/>
                  </a:p>
                </c:rich>
              </c:tx>
              <c:showLegendKey val="0"/>
              <c:showVal val="1"/>
              <c:showCatName val="0"/>
              <c:showSerName val="0"/>
              <c:showPercent val="0"/>
              <c:showBubbleSize val="0"/>
            </c:dLbl>
            <c:dLbl>
              <c:idx val="15"/>
              <c:tx>
                <c:rich>
                  <a:bodyPr/>
                  <a:lstStyle/>
                  <a:p>
                    <a:r>
                      <a:rPr lang="cs-CZ"/>
                      <a:t>KOR</a:t>
                    </a:r>
                    <a:endParaRPr lang="en-US"/>
                  </a:p>
                </c:rich>
              </c:tx>
              <c:showLegendKey val="0"/>
              <c:showVal val="1"/>
              <c:showCatName val="0"/>
              <c:showSerName val="0"/>
              <c:showPercent val="0"/>
              <c:showBubbleSize val="0"/>
            </c:dLbl>
            <c:dLbl>
              <c:idx val="17"/>
              <c:tx>
                <c:rich>
                  <a:bodyPr/>
                  <a:lstStyle/>
                  <a:p>
                    <a:r>
                      <a:rPr lang="cs-CZ"/>
                      <a:t>MEX</a:t>
                    </a:r>
                    <a:endParaRPr lang="en-US"/>
                  </a:p>
                </c:rich>
              </c:tx>
              <c:dLblPos val="l"/>
              <c:showLegendKey val="0"/>
              <c:showVal val="1"/>
              <c:showCatName val="0"/>
              <c:showSerName val="0"/>
              <c:showPercent val="0"/>
              <c:showBubbleSize val="0"/>
            </c:dLbl>
            <c:dLbl>
              <c:idx val="18"/>
              <c:tx>
                <c:rich>
                  <a:bodyPr/>
                  <a:lstStyle/>
                  <a:p>
                    <a:r>
                      <a:rPr lang="cs-CZ"/>
                      <a:t>NLD</a:t>
                    </a:r>
                    <a:endParaRPr lang="en-US"/>
                  </a:p>
                </c:rich>
              </c:tx>
              <c:dLblPos val="t"/>
              <c:showLegendKey val="0"/>
              <c:showVal val="1"/>
              <c:showCatName val="0"/>
              <c:showSerName val="0"/>
              <c:showPercent val="0"/>
              <c:showBubbleSize val="0"/>
            </c:dLbl>
            <c:dLbl>
              <c:idx val="19"/>
              <c:tx>
                <c:rich>
                  <a:bodyPr/>
                  <a:lstStyle/>
                  <a:p>
                    <a:r>
                      <a:rPr lang="cs-CZ"/>
                      <a:t>POL</a:t>
                    </a:r>
                    <a:endParaRPr lang="en-US"/>
                  </a:p>
                </c:rich>
              </c:tx>
              <c:showLegendKey val="0"/>
              <c:showVal val="1"/>
              <c:showCatName val="0"/>
              <c:showSerName val="0"/>
              <c:showPercent val="0"/>
              <c:showBubbleSize val="0"/>
            </c:dLbl>
            <c:dLbl>
              <c:idx val="20"/>
              <c:tx>
                <c:rich>
                  <a:bodyPr/>
                  <a:lstStyle/>
                  <a:p>
                    <a:r>
                      <a:rPr lang="cs-CZ"/>
                      <a:t>SVK</a:t>
                    </a:r>
                    <a:endParaRPr lang="en-US"/>
                  </a:p>
                </c:rich>
              </c:tx>
              <c:showLegendKey val="0"/>
              <c:showVal val="1"/>
              <c:showCatName val="0"/>
              <c:showSerName val="0"/>
              <c:showPercent val="0"/>
              <c:showBubbleSize val="0"/>
            </c:dLbl>
            <c:dLbl>
              <c:idx val="21"/>
              <c:tx>
                <c:rich>
                  <a:bodyPr/>
                  <a:lstStyle/>
                  <a:p>
                    <a:r>
                      <a:rPr lang="cs-CZ"/>
                      <a:t>SVN</a:t>
                    </a:r>
                    <a:endParaRPr lang="en-US"/>
                  </a:p>
                </c:rich>
              </c:tx>
              <c:dLblPos val="t"/>
              <c:showLegendKey val="0"/>
              <c:showVal val="1"/>
              <c:showCatName val="0"/>
              <c:showSerName val="0"/>
              <c:showPercent val="0"/>
              <c:showBubbleSize val="0"/>
            </c:dLbl>
            <c:dLbl>
              <c:idx val="22"/>
              <c:tx>
                <c:rich>
                  <a:bodyPr/>
                  <a:lstStyle/>
                  <a:p>
                    <a:r>
                      <a:rPr lang="cs-CZ"/>
                      <a:t>ESP</a:t>
                    </a:r>
                    <a:endParaRPr lang="en-US"/>
                  </a:p>
                </c:rich>
              </c:tx>
              <c:dLblPos val="t"/>
              <c:showLegendKey val="0"/>
              <c:showVal val="1"/>
              <c:showCatName val="0"/>
              <c:showSerName val="0"/>
              <c:showPercent val="0"/>
              <c:showBubbleSize val="0"/>
            </c:dLbl>
            <c:dLbl>
              <c:idx val="23"/>
              <c:tx>
                <c:rich>
                  <a:bodyPr/>
                  <a:lstStyle/>
                  <a:p>
                    <a:r>
                      <a:rPr lang="cs-CZ"/>
                      <a:t>SWE</a:t>
                    </a:r>
                    <a:endParaRPr lang="en-US"/>
                  </a:p>
                </c:rich>
              </c:tx>
              <c:dLblPos val="b"/>
              <c:showLegendKey val="0"/>
              <c:showVal val="1"/>
              <c:showCatName val="0"/>
              <c:showSerName val="0"/>
              <c:showPercent val="0"/>
              <c:showBubbleSize val="0"/>
            </c:dLbl>
            <c:dLbl>
              <c:idx val="24"/>
              <c:tx>
                <c:rich>
                  <a:bodyPr/>
                  <a:lstStyle/>
                  <a:p>
                    <a:r>
                      <a:rPr lang="cs-CZ"/>
                      <a:t>CHE</a:t>
                    </a:r>
                    <a:endParaRPr lang="en-US"/>
                  </a:p>
                </c:rich>
              </c:tx>
              <c:showLegendKey val="0"/>
              <c:showVal val="1"/>
              <c:showCatName val="0"/>
              <c:showSerName val="0"/>
              <c:showPercent val="0"/>
              <c:showBubbleSize val="0"/>
            </c:dLbl>
            <c:dLbl>
              <c:idx val="26"/>
              <c:delete val="1"/>
            </c:dLbl>
            <c:dLbl>
              <c:idx val="27"/>
              <c:tx>
                <c:rich>
                  <a:bodyPr/>
                  <a:lstStyle/>
                  <a:p>
                    <a:r>
                      <a:rPr lang="cs-CZ"/>
                      <a:t>USA</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trendline>
            <c:trendlineType val="poly"/>
            <c:order val="2"/>
            <c:dispRSqr val="0"/>
            <c:dispEq val="0"/>
          </c:trendline>
          <c:xVal>
            <c:numRef>
              <c:f>'C:\Users\zilovap\AppData\Local\Microsoft\Windows\Temporary Internet Files\Content.Outlook\SHGQA90K\[HDPpercapita2.xlsx]List1'!$D$3:$D$30</c:f>
              <c:numCache>
                <c:formatCode>General</c:formatCode>
                <c:ptCount val="28"/>
                <c:pt idx="0">
                  <c:v>35321.556300017372</c:v>
                </c:pt>
                <c:pt idx="1">
                  <c:v>32919.898782924443</c:v>
                </c:pt>
                <c:pt idx="2">
                  <c:v>35222.882055888658</c:v>
                </c:pt>
                <c:pt idx="3">
                  <c:v>23625.407417286689</c:v>
                </c:pt>
                <c:pt idx="4">
                  <c:v>32388.40547000038</c:v>
                </c:pt>
                <c:pt idx="5">
                  <c:v>16741.137654825288</c:v>
                </c:pt>
                <c:pt idx="6">
                  <c:v>31309.6234862807</c:v>
                </c:pt>
                <c:pt idx="7">
                  <c:v>29597.8044177064</c:v>
                </c:pt>
                <c:pt idx="8">
                  <c:v>33573.239830491337</c:v>
                </c:pt>
                <c:pt idx="9">
                  <c:v>16972.35156754011</c:v>
                </c:pt>
                <c:pt idx="10">
                  <c:v>32757.842158390489</c:v>
                </c:pt>
                <c:pt idx="11">
                  <c:v>36127.903557551981</c:v>
                </c:pt>
                <c:pt idx="12">
                  <c:v>26221.950100186608</c:v>
                </c:pt>
                <c:pt idx="13">
                  <c:v>27059.088799296151</c:v>
                </c:pt>
                <c:pt idx="14">
                  <c:v>30886.151081997599</c:v>
                </c:pt>
                <c:pt idx="15">
                  <c:v>26773.814515653281</c:v>
                </c:pt>
                <c:pt idx="16">
                  <c:v>68604.526039317323</c:v>
                </c:pt>
                <c:pt idx="17">
                  <c:v>13001.333172905001</c:v>
                </c:pt>
                <c:pt idx="18">
                  <c:v>36932.608443715413</c:v>
                </c:pt>
                <c:pt idx="19">
                  <c:v>17194.39598558961</c:v>
                </c:pt>
                <c:pt idx="20">
                  <c:v>20158.789756890561</c:v>
                </c:pt>
                <c:pt idx="21">
                  <c:v>25032.065432206851</c:v>
                </c:pt>
                <c:pt idx="22">
                  <c:v>26899.472655367219</c:v>
                </c:pt>
                <c:pt idx="23">
                  <c:v>34123.988457959204</c:v>
                </c:pt>
                <c:pt idx="24">
                  <c:v>39266.5020573457</c:v>
                </c:pt>
                <c:pt idx="25">
                  <c:v>12520.8972126474</c:v>
                </c:pt>
                <c:pt idx="26">
                  <c:v>32813.986787657312</c:v>
                </c:pt>
                <c:pt idx="27">
                  <c:v>41940.253216861332</c:v>
                </c:pt>
              </c:numCache>
            </c:numRef>
          </c:xVal>
          <c:yVal>
            <c:numRef>
              <c:f>'C:\Users\zilovap\AppData\Local\Microsoft\Windows\Temporary Internet Files\Content.Outlook\SHGQA90K\[HDPpercapita2.xlsx]List1'!$C$3:$C$30</c:f>
              <c:numCache>
                <c:formatCode>General</c:formatCode>
                <c:ptCount val="28"/>
                <c:pt idx="0">
                  <c:v>0.109849</c:v>
                </c:pt>
                <c:pt idx="1">
                  <c:v>0.105463</c:v>
                </c:pt>
                <c:pt idx="2">
                  <c:v>0.11376699999999999</c:v>
                </c:pt>
                <c:pt idx="3">
                  <c:v>7.4626999999999999E-2</c:v>
                </c:pt>
                <c:pt idx="4">
                  <c:v>0.11115999999999999</c:v>
                </c:pt>
                <c:pt idx="5">
                  <c:v>6.3471E-2</c:v>
                </c:pt>
                <c:pt idx="6">
                  <c:v>8.9122000000000007E-2</c:v>
                </c:pt>
                <c:pt idx="7">
                  <c:v>0.11641799999999999</c:v>
                </c:pt>
                <c:pt idx="8">
                  <c:v>0.11599399999999999</c:v>
                </c:pt>
                <c:pt idx="9">
                  <c:v>7.7900999999999998E-2</c:v>
                </c:pt>
                <c:pt idx="10">
                  <c:v>9.2851000000000003E-2</c:v>
                </c:pt>
                <c:pt idx="11">
                  <c:v>9.1888999999999998E-2</c:v>
                </c:pt>
                <c:pt idx="13">
                  <c:v>9.2919000000000002E-2</c:v>
                </c:pt>
                <c:pt idx="15">
                  <c:v>7.0708999999999994E-2</c:v>
                </c:pt>
                <c:pt idx="17">
                  <c:v>6.1714999999999999E-2</c:v>
                </c:pt>
                <c:pt idx="18">
                  <c:v>0.11991199999999999</c:v>
                </c:pt>
                <c:pt idx="19">
                  <c:v>6.9836999999999996E-2</c:v>
                </c:pt>
                <c:pt idx="20">
                  <c:v>9.0121999999999994E-2</c:v>
                </c:pt>
                <c:pt idx="21">
                  <c:v>9.0175000000000005E-2</c:v>
                </c:pt>
                <c:pt idx="22">
                  <c:v>9.5821000000000003E-2</c:v>
                </c:pt>
                <c:pt idx="23">
                  <c:v>9.5554E-2</c:v>
                </c:pt>
                <c:pt idx="24">
                  <c:v>0.11355399999999999</c:v>
                </c:pt>
                <c:pt idx="26">
                  <c:v>9.6206E-2</c:v>
                </c:pt>
                <c:pt idx="27">
                  <c:v>0.176117</c:v>
                </c:pt>
              </c:numCache>
            </c:numRef>
          </c:yVal>
          <c:smooth val="0"/>
        </c:ser>
        <c:dLbls>
          <c:showLegendKey val="0"/>
          <c:showVal val="0"/>
          <c:showCatName val="0"/>
          <c:showSerName val="0"/>
          <c:showPercent val="0"/>
          <c:showBubbleSize val="0"/>
        </c:dLbls>
        <c:axId val="114743936"/>
        <c:axId val="114766592"/>
      </c:scatterChart>
      <c:valAx>
        <c:axId val="114743936"/>
        <c:scaling>
          <c:orientation val="minMax"/>
          <c:max val="60000"/>
          <c:min val="0"/>
        </c:scaling>
        <c:delete val="0"/>
        <c:axPos val="b"/>
        <c:title>
          <c:tx>
            <c:rich>
              <a:bodyPr/>
              <a:lstStyle/>
              <a:p>
                <a:pPr>
                  <a:defRPr/>
                </a:pPr>
                <a:r>
                  <a:rPr lang="cs-CZ" sz="1000" b="1" i="0" baseline="0">
                    <a:effectLst/>
                  </a:rPr>
                  <a:t>HDP per capita</a:t>
                </a:r>
              </a:p>
              <a:p>
                <a:pPr>
                  <a:defRPr/>
                </a:pPr>
                <a:r>
                  <a:rPr lang="cs-CZ" sz="1000" b="1" i="0" baseline="0">
                    <a:effectLst/>
                  </a:rPr>
                  <a:t>Zdroj: OECD, 2011</a:t>
                </a:r>
              </a:p>
            </c:rich>
          </c:tx>
          <c:overlay val="0"/>
        </c:title>
        <c:numFmt formatCode="General" sourceLinked="1"/>
        <c:majorTickMark val="none"/>
        <c:minorTickMark val="none"/>
        <c:tickLblPos val="nextTo"/>
        <c:crossAx val="114766592"/>
        <c:crosses val="autoZero"/>
        <c:crossBetween val="midCat"/>
      </c:valAx>
      <c:valAx>
        <c:axId val="114766592"/>
        <c:scaling>
          <c:orientation val="minMax"/>
          <c:max val="0.30000000000000004"/>
        </c:scaling>
        <c:delete val="0"/>
        <c:axPos val="l"/>
        <c:majorGridlines/>
        <c:title>
          <c:tx>
            <c:rich>
              <a:bodyPr/>
              <a:lstStyle/>
              <a:p>
                <a:pPr>
                  <a:defRPr/>
                </a:pPr>
                <a:r>
                  <a:rPr lang="cs-CZ"/>
                  <a:t>Podíl výdajů na zdravotnictví k HDP</a:t>
                </a:r>
              </a:p>
            </c:rich>
          </c:tx>
          <c:overlay val="0"/>
        </c:title>
        <c:numFmt formatCode="0%" sourceLinked="0"/>
        <c:majorTickMark val="none"/>
        <c:minorTickMark val="none"/>
        <c:tickLblPos val="nextTo"/>
        <c:crossAx val="114743936"/>
        <c:crosses val="autoZero"/>
        <c:crossBetween val="midCat"/>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Počet lůžek v</a:t>
            </a:r>
            <a:r>
              <a:rPr lang="cs-CZ" baseline="0"/>
              <a:t> nemocnicích 2005-2012</a:t>
            </a:r>
            <a:endParaRPr lang="cs-CZ"/>
          </a:p>
        </c:rich>
      </c:tx>
      <c:overlay val="0"/>
    </c:title>
    <c:autoTitleDeleted val="0"/>
    <c:plotArea>
      <c:layout/>
      <c:barChart>
        <c:barDir val="col"/>
        <c:grouping val="clustered"/>
        <c:varyColors val="0"/>
        <c:ser>
          <c:idx val="0"/>
          <c:order val="0"/>
          <c:tx>
            <c:v>Lůžka v nemocnicích</c:v>
          </c:tx>
          <c:invertIfNegative val="0"/>
          <c:dLbls>
            <c:delete val="1"/>
          </c:dLbls>
          <c:cat>
            <c:numRef>
              <c:f>zdravotnicka_zarizeni!$M$4:$T$4</c:f>
              <c:numCache>
                <c:formatCode>General</c:formatCode>
                <c:ptCount val="8"/>
                <c:pt idx="0">
                  <c:v>2005</c:v>
                </c:pt>
                <c:pt idx="1">
                  <c:v>2006</c:v>
                </c:pt>
                <c:pt idx="2">
                  <c:v>2007</c:v>
                </c:pt>
                <c:pt idx="3">
                  <c:v>2008</c:v>
                </c:pt>
                <c:pt idx="4">
                  <c:v>2009</c:v>
                </c:pt>
                <c:pt idx="5">
                  <c:v>2010</c:v>
                </c:pt>
                <c:pt idx="6">
                  <c:v>2011</c:v>
                </c:pt>
                <c:pt idx="7">
                  <c:v>2012</c:v>
                </c:pt>
              </c:numCache>
            </c:numRef>
          </c:cat>
          <c:val>
            <c:numRef>
              <c:f>zdravotnicka_zarizeni!$M$6:$T$6</c:f>
              <c:numCache>
                <c:formatCode>#,##0_ ;\-#,##0\ </c:formatCode>
                <c:ptCount val="8"/>
                <c:pt idx="0">
                  <c:v>65022</c:v>
                </c:pt>
                <c:pt idx="1">
                  <c:v>64174</c:v>
                </c:pt>
                <c:pt idx="2">
                  <c:v>63662</c:v>
                </c:pt>
                <c:pt idx="3">
                  <c:v>63263</c:v>
                </c:pt>
                <c:pt idx="4">
                  <c:v>62992</c:v>
                </c:pt>
                <c:pt idx="5">
                  <c:v>62219</c:v>
                </c:pt>
                <c:pt idx="6">
                  <c:v>60336</c:v>
                </c:pt>
                <c:pt idx="7">
                  <c:v>58832</c:v>
                </c:pt>
              </c:numCache>
            </c:numRef>
          </c:val>
        </c:ser>
        <c:dLbls>
          <c:dLblPos val="outEnd"/>
          <c:showLegendKey val="0"/>
          <c:showVal val="1"/>
          <c:showCatName val="0"/>
          <c:showSerName val="0"/>
          <c:showPercent val="0"/>
          <c:showBubbleSize val="0"/>
        </c:dLbls>
        <c:gapWidth val="75"/>
        <c:axId val="114783360"/>
        <c:axId val="114784896"/>
      </c:barChart>
      <c:catAx>
        <c:axId val="114783360"/>
        <c:scaling>
          <c:orientation val="minMax"/>
        </c:scaling>
        <c:delete val="0"/>
        <c:axPos val="b"/>
        <c:numFmt formatCode="General" sourceLinked="1"/>
        <c:majorTickMark val="none"/>
        <c:minorTickMark val="none"/>
        <c:tickLblPos val="nextTo"/>
        <c:crossAx val="114784896"/>
        <c:crosses val="autoZero"/>
        <c:auto val="1"/>
        <c:lblAlgn val="ctr"/>
        <c:lblOffset val="100"/>
        <c:noMultiLvlLbl val="0"/>
      </c:catAx>
      <c:valAx>
        <c:axId val="114784896"/>
        <c:scaling>
          <c:orientation val="minMax"/>
        </c:scaling>
        <c:delete val="0"/>
        <c:axPos val="l"/>
        <c:majorGridlines/>
        <c:numFmt formatCode="#,##0_ ;\-#,##0\ " sourceLinked="1"/>
        <c:majorTickMark val="none"/>
        <c:minorTickMark val="none"/>
        <c:tickLblPos val="nextTo"/>
        <c:spPr>
          <a:ln w="9525">
            <a:noFill/>
          </a:ln>
        </c:spPr>
        <c:crossAx val="114783360"/>
        <c:crosses val="autoZero"/>
        <c:crossBetween val="between"/>
      </c:valAx>
    </c:plotArea>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Počet</a:t>
            </a:r>
            <a:r>
              <a:rPr lang="cs-CZ" baseline="0"/>
              <a:t> lékařů 2005-2012</a:t>
            </a:r>
            <a:endParaRPr lang="cs-CZ"/>
          </a:p>
        </c:rich>
      </c:tx>
      <c:overlay val="0"/>
    </c:title>
    <c:autoTitleDeleted val="0"/>
    <c:plotArea>
      <c:layout/>
      <c:barChart>
        <c:barDir val="col"/>
        <c:grouping val="clustered"/>
        <c:varyColors val="0"/>
        <c:ser>
          <c:idx val="0"/>
          <c:order val="0"/>
          <c:tx>
            <c:strRef>
              <c:f>zdravotnicka_zarizeni!$A$7</c:f>
              <c:strCache>
                <c:ptCount val="1"/>
                <c:pt idx="0">
                  <c:v>lékaři</c:v>
                </c:pt>
              </c:strCache>
            </c:strRef>
          </c:tx>
          <c:invertIfNegative val="0"/>
          <c:cat>
            <c:numRef>
              <c:f>zdravotnicka_zarizeni!$B$4:$I$4</c:f>
              <c:numCache>
                <c:formatCode>General</c:formatCode>
                <c:ptCount val="8"/>
                <c:pt idx="0">
                  <c:v>2005</c:v>
                </c:pt>
                <c:pt idx="1">
                  <c:v>2006</c:v>
                </c:pt>
                <c:pt idx="2">
                  <c:v>2007</c:v>
                </c:pt>
                <c:pt idx="3">
                  <c:v>2008</c:v>
                </c:pt>
                <c:pt idx="4">
                  <c:v>2009</c:v>
                </c:pt>
                <c:pt idx="5">
                  <c:v>2010</c:v>
                </c:pt>
                <c:pt idx="6">
                  <c:v>2011</c:v>
                </c:pt>
                <c:pt idx="7">
                  <c:v>2012</c:v>
                </c:pt>
              </c:numCache>
            </c:numRef>
          </c:cat>
          <c:val>
            <c:numRef>
              <c:f>zdravotnicka_zarizeni!$B$7:$I$7</c:f>
              <c:numCache>
                <c:formatCode>#,##0.0_ ;\-#,##0.0\ </c:formatCode>
                <c:ptCount val="8"/>
                <c:pt idx="0">
                  <c:v>40802.5</c:v>
                </c:pt>
                <c:pt idx="1">
                  <c:v>41031.5</c:v>
                </c:pt>
                <c:pt idx="2">
                  <c:v>43676.2</c:v>
                </c:pt>
                <c:pt idx="3">
                  <c:v>44381.7</c:v>
                </c:pt>
                <c:pt idx="4">
                  <c:v>45185.1</c:v>
                </c:pt>
                <c:pt idx="5">
                  <c:v>45646</c:v>
                </c:pt>
                <c:pt idx="6">
                  <c:v>46421.599999999999</c:v>
                </c:pt>
                <c:pt idx="7">
                  <c:v>46971.1</c:v>
                </c:pt>
              </c:numCache>
            </c:numRef>
          </c:val>
        </c:ser>
        <c:dLbls>
          <c:showLegendKey val="0"/>
          <c:showVal val="0"/>
          <c:showCatName val="0"/>
          <c:showSerName val="0"/>
          <c:showPercent val="0"/>
          <c:showBubbleSize val="0"/>
        </c:dLbls>
        <c:gapWidth val="150"/>
        <c:axId val="114796800"/>
        <c:axId val="114810880"/>
      </c:barChart>
      <c:catAx>
        <c:axId val="114796800"/>
        <c:scaling>
          <c:orientation val="minMax"/>
        </c:scaling>
        <c:delete val="0"/>
        <c:axPos val="b"/>
        <c:numFmt formatCode="General" sourceLinked="1"/>
        <c:majorTickMark val="out"/>
        <c:minorTickMark val="none"/>
        <c:tickLblPos val="nextTo"/>
        <c:crossAx val="114810880"/>
        <c:crosses val="autoZero"/>
        <c:auto val="1"/>
        <c:lblAlgn val="ctr"/>
        <c:lblOffset val="100"/>
        <c:noMultiLvlLbl val="0"/>
      </c:catAx>
      <c:valAx>
        <c:axId val="114810880"/>
        <c:scaling>
          <c:orientation val="minMax"/>
        </c:scaling>
        <c:delete val="0"/>
        <c:axPos val="l"/>
        <c:majorGridlines/>
        <c:numFmt formatCode="#,##0_ ;\-#,##0\ " sourceLinked="0"/>
        <c:majorTickMark val="out"/>
        <c:minorTickMark val="none"/>
        <c:tickLblPos val="nextTo"/>
        <c:crossAx val="114796800"/>
        <c:crosses val="autoZero"/>
        <c:crossBetween val="between"/>
      </c:valAx>
    </c:plotArea>
    <c:plotVisOnly val="1"/>
    <c:dispBlanksAs val="gap"/>
    <c:showDLblsOverMax val="0"/>
  </c:chart>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cs-CZ" b="1">
                <a:solidFill>
                  <a:sysClr val="windowText" lastClr="000000"/>
                </a:solidFill>
                <a:latin typeface="Calibri" panose="020F0502020204030204" pitchFamily="34" charset="0"/>
              </a:rPr>
              <a:t>Počet lékařů na 1 000 obyvatel v roce 2011</a:t>
            </a:r>
          </a:p>
        </c:rich>
      </c:tx>
      <c:overlay val="0"/>
    </c:title>
    <c:autoTitleDeleted val="0"/>
    <c:plotArea>
      <c:layout>
        <c:manualLayout>
          <c:layoutTarget val="inner"/>
          <c:xMode val="edge"/>
          <c:yMode val="edge"/>
          <c:x val="4.5595529068198769E-2"/>
          <c:y val="0.13661157407407407"/>
          <c:w val="0.94780486488001858"/>
          <c:h val="0.66686469864930276"/>
        </c:manualLayout>
      </c:layout>
      <c:barChart>
        <c:barDir val="col"/>
        <c:grouping val="clustered"/>
        <c:varyColors val="0"/>
        <c:ser>
          <c:idx val="0"/>
          <c:order val="0"/>
          <c:spPr>
            <a:solidFill>
              <a:srgbClr val="0070C0"/>
            </a:solidFill>
          </c:spPr>
          <c:invertIfNegative val="0"/>
          <c:dPt>
            <c:idx val="6"/>
            <c:invertIfNegative val="0"/>
            <c:bubble3D val="0"/>
            <c:spPr>
              <a:solidFill>
                <a:srgbClr val="FF0000"/>
              </a:solidFill>
            </c:spPr>
          </c:dPt>
          <c:cat>
            <c:strRef>
              <c:f>Physicians!$A$2:$A$21</c:f>
              <c:strCache>
                <c:ptCount val="20"/>
                <c:pt idx="0">
                  <c:v>Austria</c:v>
                </c:pt>
                <c:pt idx="1">
                  <c:v>Norway</c:v>
                </c:pt>
                <c:pt idx="2">
                  <c:v>Switzerland</c:v>
                </c:pt>
                <c:pt idx="3">
                  <c:v>Spain</c:v>
                </c:pt>
                <c:pt idx="4">
                  <c:v>Germany</c:v>
                </c:pt>
                <c:pt idx="5">
                  <c:v>Iceland</c:v>
                </c:pt>
                <c:pt idx="6">
                  <c:v>Czech Republic</c:v>
                </c:pt>
                <c:pt idx="7">
                  <c:v>Israel</c:v>
                </c:pt>
                <c:pt idx="8">
                  <c:v>Estonia</c:v>
                </c:pt>
                <c:pt idx="9">
                  <c:v>Belgium</c:v>
                </c:pt>
                <c:pt idx="10">
                  <c:v>Hungary</c:v>
                </c:pt>
                <c:pt idx="11">
                  <c:v>Luxembourg</c:v>
                </c:pt>
                <c:pt idx="12">
                  <c:v>United Kingdom</c:v>
                </c:pt>
                <c:pt idx="13">
                  <c:v>New Zealand</c:v>
                </c:pt>
                <c:pt idx="14">
                  <c:v>United States</c:v>
                </c:pt>
                <c:pt idx="15">
                  <c:v>Slovenia</c:v>
                </c:pt>
                <c:pt idx="16">
                  <c:v>Japan</c:v>
                </c:pt>
                <c:pt idx="17">
                  <c:v>Poland</c:v>
                </c:pt>
                <c:pt idx="18">
                  <c:v>Mexico</c:v>
                </c:pt>
                <c:pt idx="19">
                  <c:v>Korea</c:v>
                </c:pt>
              </c:strCache>
            </c:strRef>
          </c:cat>
          <c:val>
            <c:numRef>
              <c:f>Physicians!$B$2:$B$21</c:f>
              <c:numCache>
                <c:formatCode>General</c:formatCode>
                <c:ptCount val="20"/>
                <c:pt idx="0">
                  <c:v>4.78</c:v>
                </c:pt>
                <c:pt idx="1">
                  <c:v>4.07</c:v>
                </c:pt>
                <c:pt idx="2">
                  <c:v>3.8099999999999996</c:v>
                </c:pt>
                <c:pt idx="3">
                  <c:v>3.7800000000000002</c:v>
                </c:pt>
                <c:pt idx="4">
                  <c:v>3.73</c:v>
                </c:pt>
                <c:pt idx="5">
                  <c:v>3.6</c:v>
                </c:pt>
                <c:pt idx="6">
                  <c:v>3.58</c:v>
                </c:pt>
                <c:pt idx="7">
                  <c:v>3.5</c:v>
                </c:pt>
                <c:pt idx="8">
                  <c:v>3.24</c:v>
                </c:pt>
                <c:pt idx="9">
                  <c:v>2.92</c:v>
                </c:pt>
                <c:pt idx="10">
                  <c:v>2.8699999999999997</c:v>
                </c:pt>
                <c:pt idx="11">
                  <c:v>2.77</c:v>
                </c:pt>
                <c:pt idx="12">
                  <c:v>2.71</c:v>
                </c:pt>
                <c:pt idx="13">
                  <c:v>2.61</c:v>
                </c:pt>
                <c:pt idx="14">
                  <c:v>2.44</c:v>
                </c:pt>
                <c:pt idx="15">
                  <c:v>2.4299999999999997</c:v>
                </c:pt>
                <c:pt idx="16">
                  <c:v>2.23</c:v>
                </c:pt>
                <c:pt idx="17">
                  <c:v>2.1800000000000002</c:v>
                </c:pt>
                <c:pt idx="18">
                  <c:v>2.0299999999999998</c:v>
                </c:pt>
                <c:pt idx="19">
                  <c:v>1.99</c:v>
                </c:pt>
              </c:numCache>
            </c:numRef>
          </c:val>
        </c:ser>
        <c:dLbls>
          <c:showLegendKey val="0"/>
          <c:showVal val="0"/>
          <c:showCatName val="0"/>
          <c:showSerName val="0"/>
          <c:showPercent val="0"/>
          <c:showBubbleSize val="0"/>
        </c:dLbls>
        <c:gapWidth val="150"/>
        <c:axId val="114888064"/>
        <c:axId val="114914432"/>
      </c:barChart>
      <c:catAx>
        <c:axId val="114888064"/>
        <c:scaling>
          <c:orientation val="minMax"/>
        </c:scaling>
        <c:delete val="0"/>
        <c:axPos val="b"/>
        <c:majorTickMark val="out"/>
        <c:minorTickMark val="none"/>
        <c:tickLblPos val="nextTo"/>
        <c:crossAx val="114914432"/>
        <c:crosses val="autoZero"/>
        <c:auto val="1"/>
        <c:lblAlgn val="ctr"/>
        <c:lblOffset val="100"/>
        <c:noMultiLvlLbl val="0"/>
      </c:catAx>
      <c:valAx>
        <c:axId val="114914432"/>
        <c:scaling>
          <c:orientation val="minMax"/>
          <c:max val="5"/>
        </c:scaling>
        <c:delete val="0"/>
        <c:axPos val="l"/>
        <c:majorGridlines/>
        <c:numFmt formatCode="General" sourceLinked="1"/>
        <c:majorTickMark val="out"/>
        <c:minorTickMark val="none"/>
        <c:tickLblPos val="nextTo"/>
        <c:crossAx val="114888064"/>
        <c:crosses val="autoZero"/>
        <c:crossBetween val="between"/>
      </c:valAx>
    </c:plotArea>
    <c:plotVisOnly val="1"/>
    <c:dispBlanksAs val="gap"/>
    <c:showDLblsOverMax val="0"/>
  </c:chart>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cs-CZ">
                <a:solidFill>
                  <a:sysClr val="windowText" lastClr="000000"/>
                </a:solidFill>
                <a:latin typeface="Calibri" panose="020F0502020204030204" pitchFamily="34" charset="0"/>
              </a:rPr>
              <a:t>Počet</a:t>
            </a:r>
            <a:r>
              <a:rPr lang="cs-CZ" baseline="0">
                <a:solidFill>
                  <a:sysClr val="windowText" lastClr="000000"/>
                </a:solidFill>
                <a:latin typeface="Calibri" panose="020F0502020204030204" pitchFamily="34" charset="0"/>
              </a:rPr>
              <a:t> sester na 1 000 obyvatel v roce 2011</a:t>
            </a:r>
            <a:endParaRPr lang="cs-CZ">
              <a:solidFill>
                <a:sysClr val="windowText" lastClr="000000"/>
              </a:solidFill>
              <a:latin typeface="Calibri" panose="020F0502020204030204" pitchFamily="34" charset="0"/>
            </a:endParaRPr>
          </a:p>
        </c:rich>
      </c:tx>
      <c:overlay val="0"/>
    </c:title>
    <c:autoTitleDeleted val="0"/>
    <c:plotArea>
      <c:layout/>
      <c:barChart>
        <c:barDir val="col"/>
        <c:grouping val="clustered"/>
        <c:varyColors val="0"/>
        <c:ser>
          <c:idx val="0"/>
          <c:order val="0"/>
          <c:spPr>
            <a:solidFill>
              <a:srgbClr val="0070C0"/>
            </a:solidFill>
          </c:spPr>
          <c:invertIfNegative val="0"/>
          <c:dPt>
            <c:idx val="8"/>
            <c:invertIfNegative val="0"/>
            <c:bubble3D val="0"/>
            <c:spPr>
              <a:solidFill>
                <a:srgbClr val="FF0000"/>
              </a:solidFill>
            </c:spPr>
          </c:dPt>
          <c:cat>
            <c:strRef>
              <c:f>'[190800241x1t006.xls]List2'!$B$2:$B$18</c:f>
              <c:strCache>
                <c:ptCount val="17"/>
                <c:pt idx="0">
                  <c:v>Switzerland</c:v>
                </c:pt>
                <c:pt idx="1">
                  <c:v>Iceland</c:v>
                </c:pt>
                <c:pt idx="2">
                  <c:v>Norway</c:v>
                </c:pt>
                <c:pt idx="3">
                  <c:v>Luxembourg</c:v>
                </c:pt>
                <c:pt idx="4">
                  <c:v>Germany</c:v>
                </c:pt>
                <c:pt idx="5">
                  <c:v>New Zealand</c:v>
                </c:pt>
                <c:pt idx="6">
                  <c:v>United Kingdom</c:v>
                </c:pt>
                <c:pt idx="7">
                  <c:v>Slovenia</c:v>
                </c:pt>
                <c:pt idx="8">
                  <c:v>Czech Republic</c:v>
                </c:pt>
                <c:pt idx="9">
                  <c:v>Austria</c:v>
                </c:pt>
                <c:pt idx="10">
                  <c:v>Hungary</c:v>
                </c:pt>
                <c:pt idx="11">
                  <c:v>Estonia</c:v>
                </c:pt>
                <c:pt idx="12">
                  <c:v>Spain</c:v>
                </c:pt>
                <c:pt idx="13">
                  <c:v>Poland</c:v>
                </c:pt>
                <c:pt idx="14">
                  <c:v>Israel</c:v>
                </c:pt>
                <c:pt idx="15">
                  <c:v>Korea</c:v>
                </c:pt>
                <c:pt idx="16">
                  <c:v>Mexico</c:v>
                </c:pt>
              </c:strCache>
            </c:strRef>
          </c:cat>
          <c:val>
            <c:numRef>
              <c:f>'[190800241x1t006.xls]List2'!$C$2:$C$18</c:f>
              <c:numCache>
                <c:formatCode>General</c:formatCode>
                <c:ptCount val="17"/>
                <c:pt idx="0">
                  <c:v>16.600000000000001</c:v>
                </c:pt>
                <c:pt idx="1">
                  <c:v>14.82</c:v>
                </c:pt>
                <c:pt idx="2">
                  <c:v>12.870000000000001</c:v>
                </c:pt>
                <c:pt idx="3">
                  <c:v>12.08</c:v>
                </c:pt>
                <c:pt idx="4">
                  <c:v>11.370000000000001</c:v>
                </c:pt>
                <c:pt idx="5">
                  <c:v>10.02</c:v>
                </c:pt>
                <c:pt idx="6">
                  <c:v>8.57</c:v>
                </c:pt>
                <c:pt idx="7">
                  <c:v>8.33</c:v>
                </c:pt>
                <c:pt idx="8">
                  <c:v>8.0300000000000011</c:v>
                </c:pt>
                <c:pt idx="9">
                  <c:v>7.75</c:v>
                </c:pt>
                <c:pt idx="10">
                  <c:v>6.2</c:v>
                </c:pt>
                <c:pt idx="11">
                  <c:v>6.18</c:v>
                </c:pt>
                <c:pt idx="12">
                  <c:v>5.4700000000000006</c:v>
                </c:pt>
                <c:pt idx="13">
                  <c:v>5.21</c:v>
                </c:pt>
                <c:pt idx="14">
                  <c:v>4.8099999999999996</c:v>
                </c:pt>
                <c:pt idx="15">
                  <c:v>4.72</c:v>
                </c:pt>
                <c:pt idx="16">
                  <c:v>2.66</c:v>
                </c:pt>
              </c:numCache>
            </c:numRef>
          </c:val>
        </c:ser>
        <c:dLbls>
          <c:showLegendKey val="0"/>
          <c:showVal val="0"/>
          <c:showCatName val="0"/>
          <c:showSerName val="0"/>
          <c:showPercent val="0"/>
          <c:showBubbleSize val="0"/>
        </c:dLbls>
        <c:gapWidth val="150"/>
        <c:axId val="116929664"/>
        <c:axId val="116931200"/>
      </c:barChart>
      <c:catAx>
        <c:axId val="116929664"/>
        <c:scaling>
          <c:orientation val="minMax"/>
        </c:scaling>
        <c:delete val="0"/>
        <c:axPos val="b"/>
        <c:majorTickMark val="none"/>
        <c:minorTickMark val="none"/>
        <c:tickLblPos val="nextTo"/>
        <c:crossAx val="116931200"/>
        <c:crosses val="autoZero"/>
        <c:auto val="0"/>
        <c:lblAlgn val="ctr"/>
        <c:lblOffset val="100"/>
        <c:noMultiLvlLbl val="0"/>
      </c:catAx>
      <c:valAx>
        <c:axId val="116931200"/>
        <c:scaling>
          <c:orientation val="minMax"/>
        </c:scaling>
        <c:delete val="0"/>
        <c:axPos val="l"/>
        <c:majorGridlines/>
        <c:numFmt formatCode="General" sourceLinked="1"/>
        <c:majorTickMark val="none"/>
        <c:minorTickMark val="none"/>
        <c:tickLblPos val="nextTo"/>
        <c:crossAx val="116929664"/>
        <c:crosses val="autoZero"/>
        <c:crossBetween val="between"/>
      </c:valAx>
    </c:plotArea>
    <c:plotVisOnly val="1"/>
    <c:dispBlanksAs val="gap"/>
    <c:showDLblsOverMax val="0"/>
  </c:chart>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Počet absolventů lékařských fakult</a:t>
            </a:r>
          </a:p>
        </c:rich>
      </c:tx>
      <c:overlay val="0"/>
    </c:title>
    <c:autoTitleDeleted val="0"/>
    <c:plotArea>
      <c:layout/>
      <c:barChart>
        <c:barDir val="col"/>
        <c:grouping val="clustered"/>
        <c:varyColors val="0"/>
        <c:ser>
          <c:idx val="0"/>
          <c:order val="0"/>
          <c:spPr>
            <a:ln>
              <a:solidFill>
                <a:srgbClr val="0070C0"/>
              </a:solidFill>
            </a:ln>
          </c:spPr>
          <c:invertIfNegative val="0"/>
          <c:dPt>
            <c:idx val="3"/>
            <c:invertIfNegative val="0"/>
            <c:bubble3D val="0"/>
            <c:spPr>
              <a:solidFill>
                <a:srgbClr val="FF0000"/>
              </a:solidFill>
              <a:ln>
                <a:solidFill>
                  <a:srgbClr val="0070C0"/>
                </a:solidFill>
              </a:ln>
            </c:spPr>
          </c:dPt>
          <c:cat>
            <c:strRef>
              <c:f>List21!$A$2:$A$27</c:f>
              <c:strCache>
                <c:ptCount val="26"/>
                <c:pt idx="0">
                  <c:v>Denmark</c:v>
                </c:pt>
                <c:pt idx="1">
                  <c:v>Ireland</c:v>
                </c:pt>
                <c:pt idx="2">
                  <c:v>Netherlands</c:v>
                </c:pt>
                <c:pt idx="3">
                  <c:v>Czech Republic</c:v>
                </c:pt>
                <c:pt idx="4">
                  <c:v>Iceland</c:v>
                </c:pt>
                <c:pt idx="5">
                  <c:v>Portugal</c:v>
                </c:pt>
                <c:pt idx="6">
                  <c:v>Mexico</c:v>
                </c:pt>
                <c:pt idx="7">
                  <c:v>Germany</c:v>
                </c:pt>
                <c:pt idx="8">
                  <c:v>United Kingdom</c:v>
                </c:pt>
                <c:pt idx="9">
                  <c:v>Finland</c:v>
                </c:pt>
                <c:pt idx="10">
                  <c:v>Hungary</c:v>
                </c:pt>
                <c:pt idx="11">
                  <c:v>Norway</c:v>
                </c:pt>
                <c:pt idx="12">
                  <c:v>Italy</c:v>
                </c:pt>
                <c:pt idx="13">
                  <c:v>Belgium</c:v>
                </c:pt>
                <c:pt idx="14">
                  <c:v>Slovenia</c:v>
                </c:pt>
                <c:pt idx="15">
                  <c:v>Switzerland</c:v>
                </c:pt>
                <c:pt idx="16">
                  <c:v>Estonia</c:v>
                </c:pt>
                <c:pt idx="17">
                  <c:v>Spain</c:v>
                </c:pt>
                <c:pt idx="18">
                  <c:v>Poland</c:v>
                </c:pt>
                <c:pt idx="19">
                  <c:v>Korea</c:v>
                </c:pt>
                <c:pt idx="20">
                  <c:v>New Zealand</c:v>
                </c:pt>
                <c:pt idx="21">
                  <c:v>Canada</c:v>
                </c:pt>
                <c:pt idx="22">
                  <c:v>Turkey</c:v>
                </c:pt>
                <c:pt idx="23">
                  <c:v>Chile</c:v>
                </c:pt>
                <c:pt idx="24">
                  <c:v>Japan</c:v>
                </c:pt>
                <c:pt idx="25">
                  <c:v>Israel</c:v>
                </c:pt>
              </c:strCache>
            </c:strRef>
          </c:cat>
          <c:val>
            <c:numRef>
              <c:f>List21!$B$2:$B$27</c:f>
              <c:numCache>
                <c:formatCode>General</c:formatCode>
                <c:ptCount val="26"/>
                <c:pt idx="0">
                  <c:v>16.82</c:v>
                </c:pt>
                <c:pt idx="1">
                  <c:v>16.13</c:v>
                </c:pt>
                <c:pt idx="2">
                  <c:v>14.53</c:v>
                </c:pt>
                <c:pt idx="3">
                  <c:v>13.91</c:v>
                </c:pt>
                <c:pt idx="4">
                  <c:v>13.79</c:v>
                </c:pt>
                <c:pt idx="5">
                  <c:v>12.19</c:v>
                </c:pt>
                <c:pt idx="6">
                  <c:v>12.11</c:v>
                </c:pt>
                <c:pt idx="7">
                  <c:v>11.76</c:v>
                </c:pt>
                <c:pt idx="8">
                  <c:v>11.71</c:v>
                </c:pt>
                <c:pt idx="9">
                  <c:v>11.53</c:v>
                </c:pt>
                <c:pt idx="10">
                  <c:v>11.49</c:v>
                </c:pt>
                <c:pt idx="11">
                  <c:v>11.47</c:v>
                </c:pt>
                <c:pt idx="12">
                  <c:v>11.03</c:v>
                </c:pt>
                <c:pt idx="13">
                  <c:v>10.18</c:v>
                </c:pt>
                <c:pt idx="14">
                  <c:v>10.039999999999999</c:v>
                </c:pt>
                <c:pt idx="15">
                  <c:v>9.4</c:v>
                </c:pt>
                <c:pt idx="16">
                  <c:v>9.33</c:v>
                </c:pt>
                <c:pt idx="17">
                  <c:v>8.9600000000000009</c:v>
                </c:pt>
                <c:pt idx="18">
                  <c:v>8.69</c:v>
                </c:pt>
                <c:pt idx="19">
                  <c:v>8.02</c:v>
                </c:pt>
                <c:pt idx="20">
                  <c:v>7.97</c:v>
                </c:pt>
                <c:pt idx="21">
                  <c:v>7.35</c:v>
                </c:pt>
                <c:pt idx="22">
                  <c:v>6.93</c:v>
                </c:pt>
                <c:pt idx="23">
                  <c:v>6.24</c:v>
                </c:pt>
                <c:pt idx="24">
                  <c:v>5.97</c:v>
                </c:pt>
                <c:pt idx="25">
                  <c:v>4.8600000000000003</c:v>
                </c:pt>
              </c:numCache>
            </c:numRef>
          </c:val>
        </c:ser>
        <c:dLbls>
          <c:showLegendKey val="0"/>
          <c:showVal val="0"/>
          <c:showCatName val="0"/>
          <c:showSerName val="0"/>
          <c:showPercent val="0"/>
          <c:showBubbleSize val="0"/>
        </c:dLbls>
        <c:gapWidth val="150"/>
        <c:axId val="116956160"/>
        <c:axId val="116966144"/>
      </c:barChart>
      <c:catAx>
        <c:axId val="116956160"/>
        <c:scaling>
          <c:orientation val="minMax"/>
        </c:scaling>
        <c:delete val="0"/>
        <c:axPos val="b"/>
        <c:majorTickMark val="out"/>
        <c:minorTickMark val="none"/>
        <c:tickLblPos val="nextTo"/>
        <c:crossAx val="116966144"/>
        <c:crosses val="autoZero"/>
        <c:auto val="1"/>
        <c:lblAlgn val="ctr"/>
        <c:lblOffset val="100"/>
        <c:noMultiLvlLbl val="0"/>
      </c:catAx>
      <c:valAx>
        <c:axId val="116966144"/>
        <c:scaling>
          <c:orientation val="minMax"/>
        </c:scaling>
        <c:delete val="0"/>
        <c:axPos val="l"/>
        <c:majorGridlines/>
        <c:numFmt formatCode="General" sourceLinked="1"/>
        <c:majorTickMark val="out"/>
        <c:minorTickMark val="none"/>
        <c:tickLblPos val="nextTo"/>
        <c:crossAx val="116956160"/>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400" b="0"/>
            </a:pPr>
            <a:r>
              <a:rPr lang="cs-CZ" sz="1400" b="0"/>
              <a:t>Vývoj platby za státního pojištěnce</a:t>
            </a:r>
          </a:p>
        </c:rich>
      </c:tx>
      <c:layout>
        <c:manualLayout>
          <c:xMode val="edge"/>
          <c:yMode val="edge"/>
          <c:x val="2.872097162055403E-2"/>
          <c:y val="3.5650623885918005E-2"/>
        </c:manualLayout>
      </c:layout>
      <c:overlay val="0"/>
    </c:title>
    <c:autoTitleDeleted val="0"/>
    <c:plotArea>
      <c:layout/>
      <c:barChart>
        <c:barDir val="col"/>
        <c:grouping val="clustered"/>
        <c:varyColors val="0"/>
        <c:ser>
          <c:idx val="1"/>
          <c:order val="0"/>
          <c:tx>
            <c:v>Skutečná výše měsíční platby</c:v>
          </c:tx>
          <c:invertIfNegative val="0"/>
          <c:cat>
            <c:numRef>
              <c:f>'příjmy v.z.p. a platba státu'!$J$23:$W$23</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'příjmy v.z.p. a platba státu'!$J$24:$W$24</c:f>
              <c:numCache>
                <c:formatCode>General</c:formatCode>
                <c:ptCount val="14"/>
                <c:pt idx="0">
                  <c:v>439</c:v>
                </c:pt>
                <c:pt idx="1">
                  <c:v>467</c:v>
                </c:pt>
                <c:pt idx="2">
                  <c:v>476</c:v>
                </c:pt>
                <c:pt idx="3">
                  <c:v>481</c:v>
                </c:pt>
                <c:pt idx="4">
                  <c:v>513</c:v>
                </c:pt>
                <c:pt idx="5">
                  <c:v>560</c:v>
                </c:pt>
                <c:pt idx="6">
                  <c:v>636</c:v>
                </c:pt>
                <c:pt idx="7">
                  <c:v>680</c:v>
                </c:pt>
                <c:pt idx="8">
                  <c:v>677</c:v>
                </c:pt>
                <c:pt idx="9">
                  <c:v>677</c:v>
                </c:pt>
                <c:pt idx="10">
                  <c:v>723</c:v>
                </c:pt>
                <c:pt idx="11">
                  <c:v>723</c:v>
                </c:pt>
                <c:pt idx="12">
                  <c:v>723</c:v>
                </c:pt>
                <c:pt idx="13">
                  <c:v>723</c:v>
                </c:pt>
              </c:numCache>
            </c:numRef>
          </c:val>
        </c:ser>
        <c:dLbls>
          <c:showLegendKey val="0"/>
          <c:showVal val="0"/>
          <c:showCatName val="0"/>
          <c:showSerName val="0"/>
          <c:showPercent val="0"/>
          <c:showBubbleSize val="0"/>
        </c:dLbls>
        <c:gapWidth val="150"/>
        <c:axId val="112698112"/>
        <c:axId val="112699648"/>
      </c:barChart>
      <c:lineChart>
        <c:grouping val="standard"/>
        <c:varyColors val="0"/>
        <c:ser>
          <c:idx val="2"/>
          <c:order val="1"/>
          <c:tx>
            <c:v>Lineárně extrapolovaná časová řada</c:v>
          </c:tx>
          <c:marker>
            <c:symbol val="none"/>
          </c:marker>
          <c:cat>
            <c:numRef>
              <c:f>'příjmy v.z.p. a platba státu'!$J$23:$W$23</c:f>
              <c:numCache>
                <c:formatCode>General</c:formatCode>
                <c:ptCount val="14"/>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numCache>
            </c:numRef>
          </c:cat>
          <c:val>
            <c:numRef>
              <c:f>'příjmy v.z.p. a platba státu'!$J$25:$W$25</c:f>
              <c:numCache>
                <c:formatCode>General</c:formatCode>
                <c:ptCount val="14"/>
                <c:pt idx="0">
                  <c:v>439</c:v>
                </c:pt>
                <c:pt idx="1">
                  <c:v>467</c:v>
                </c:pt>
                <c:pt idx="2">
                  <c:v>476</c:v>
                </c:pt>
                <c:pt idx="3">
                  <c:v>481</c:v>
                </c:pt>
                <c:pt idx="4">
                  <c:v>513</c:v>
                </c:pt>
                <c:pt idx="5">
                  <c:v>560</c:v>
                </c:pt>
                <c:pt idx="6">
                  <c:v>636</c:v>
                </c:pt>
                <c:pt idx="7">
                  <c:v>680</c:v>
                </c:pt>
                <c:pt idx="8">
                  <c:v>677</c:v>
                </c:pt>
                <c:pt idx="9">
                  <c:v>677</c:v>
                </c:pt>
                <c:pt idx="10">
                  <c:v>723</c:v>
                </c:pt>
                <c:pt idx="11" formatCode="0">
                  <c:v>759.94545454545403</c:v>
                </c:pt>
                <c:pt idx="12" formatCode="0">
                  <c:v>790.70909090909004</c:v>
                </c:pt>
                <c:pt idx="13" formatCode="0">
                  <c:v>821.47272727272798</c:v>
                </c:pt>
              </c:numCache>
            </c:numRef>
          </c:val>
          <c:smooth val="0"/>
        </c:ser>
        <c:dLbls>
          <c:showLegendKey val="0"/>
          <c:showVal val="0"/>
          <c:showCatName val="0"/>
          <c:showSerName val="0"/>
          <c:showPercent val="0"/>
          <c:showBubbleSize val="0"/>
        </c:dLbls>
        <c:marker val="1"/>
        <c:smooth val="0"/>
        <c:axId val="112698112"/>
        <c:axId val="112699648"/>
      </c:lineChart>
      <c:catAx>
        <c:axId val="112698112"/>
        <c:scaling>
          <c:orientation val="minMax"/>
        </c:scaling>
        <c:delete val="0"/>
        <c:axPos val="b"/>
        <c:numFmt formatCode="General" sourceLinked="1"/>
        <c:majorTickMark val="none"/>
        <c:minorTickMark val="none"/>
        <c:tickLblPos val="nextTo"/>
        <c:crossAx val="112699648"/>
        <c:crosses val="autoZero"/>
        <c:auto val="1"/>
        <c:lblAlgn val="ctr"/>
        <c:lblOffset val="100"/>
        <c:noMultiLvlLbl val="0"/>
      </c:catAx>
      <c:valAx>
        <c:axId val="112699648"/>
        <c:scaling>
          <c:orientation val="minMax"/>
        </c:scaling>
        <c:delete val="0"/>
        <c:axPos val="l"/>
        <c:majorGridlines/>
        <c:numFmt formatCode="General" sourceLinked="1"/>
        <c:majorTickMark val="none"/>
        <c:minorTickMark val="none"/>
        <c:tickLblPos val="nextTo"/>
        <c:crossAx val="112698112"/>
        <c:crosses val="autoZero"/>
        <c:crossBetween val="between"/>
      </c:valAx>
    </c:plotArea>
    <c:legend>
      <c:legendPos val="r"/>
      <c:overlay val="0"/>
    </c:legend>
    <c:plotVisOnly val="1"/>
    <c:dispBlanksAs val="gap"/>
    <c:showDLblsOverMax val="0"/>
  </c:chart>
  <c:spPr>
    <a:solidFill>
      <a:schemeClr val="bg1">
        <a:lumMod val="85000"/>
      </a:schemeClr>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400" b="0"/>
            </a:pPr>
            <a:r>
              <a:rPr lang="cs-CZ" sz="1400" b="0" i="0" u="none" strike="noStrike" baseline="0">
                <a:effectLst/>
              </a:rPr>
              <a:t>Vývoj závazků VZP po lhůtě splatnosti</a:t>
            </a:r>
            <a:endParaRPr lang="cs-CZ" sz="1400" b="0"/>
          </a:p>
        </c:rich>
      </c:tx>
      <c:layout>
        <c:manualLayout>
          <c:xMode val="edge"/>
          <c:yMode val="edge"/>
          <c:x val="3.5764844444688339E-2"/>
          <c:y val="3.0999741668819428E-2"/>
        </c:manualLayout>
      </c:layout>
      <c:overlay val="0"/>
    </c:title>
    <c:autoTitleDeleted val="0"/>
    <c:plotArea>
      <c:layout/>
      <c:lineChart>
        <c:grouping val="standard"/>
        <c:varyColors val="0"/>
        <c:ser>
          <c:idx val="2"/>
          <c:order val="0"/>
          <c:dPt>
            <c:idx val="0"/>
            <c:bubble3D val="0"/>
          </c:dPt>
          <c:dLbls>
            <c:dLbl>
              <c:idx val="3"/>
              <c:spPr/>
              <c:txPr>
                <a:bodyPr/>
                <a:lstStyle/>
                <a:p>
                  <a:pPr>
                    <a:defRPr>
                      <a:solidFill>
                        <a:srgbClr val="FF0000"/>
                      </a:solidFill>
                    </a:defRPr>
                  </a:pPr>
                  <a:endParaRPr lang="cs-CZ"/>
                </a:p>
              </c:txPr>
              <c:showLegendKey val="0"/>
              <c:showVal val="1"/>
              <c:showCatName val="0"/>
              <c:showSerName val="0"/>
              <c:showPercent val="0"/>
              <c:showBubbleSize val="0"/>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List1!$E$50:$E$53</c:f>
              <c:strCache>
                <c:ptCount val="4"/>
                <c:pt idx="0">
                  <c:v>31.12.2011</c:v>
                </c:pt>
                <c:pt idx="1">
                  <c:v>31.12.2012</c:v>
                </c:pt>
                <c:pt idx="2">
                  <c:v>31.7.2013</c:v>
                </c:pt>
                <c:pt idx="3">
                  <c:v>31.12.2013 odhad</c:v>
                </c:pt>
              </c:strCache>
            </c:strRef>
          </c:cat>
          <c:val>
            <c:numRef>
              <c:f>List1!$H$50:$H$53</c:f>
              <c:numCache>
                <c:formatCode>General</c:formatCode>
                <c:ptCount val="4"/>
                <c:pt idx="0">
                  <c:v>0</c:v>
                </c:pt>
                <c:pt idx="1">
                  <c:v>740</c:v>
                </c:pt>
                <c:pt idx="2">
                  <c:v>1224</c:v>
                </c:pt>
                <c:pt idx="3">
                  <c:v>3600</c:v>
                </c:pt>
              </c:numCache>
            </c:numRef>
          </c:val>
          <c:smooth val="0"/>
        </c:ser>
        <c:dLbls>
          <c:showLegendKey val="0"/>
          <c:showVal val="0"/>
          <c:showCatName val="0"/>
          <c:showSerName val="0"/>
          <c:showPercent val="0"/>
          <c:showBubbleSize val="0"/>
        </c:dLbls>
        <c:marker val="1"/>
        <c:smooth val="0"/>
        <c:axId val="112716800"/>
        <c:axId val="113836800"/>
      </c:lineChart>
      <c:catAx>
        <c:axId val="112716800"/>
        <c:scaling>
          <c:orientation val="minMax"/>
        </c:scaling>
        <c:delete val="0"/>
        <c:axPos val="b"/>
        <c:numFmt formatCode="General" sourceLinked="0"/>
        <c:majorTickMark val="none"/>
        <c:minorTickMark val="none"/>
        <c:tickLblPos val="nextTo"/>
        <c:crossAx val="113836800"/>
        <c:crosses val="autoZero"/>
        <c:auto val="1"/>
        <c:lblAlgn val="ctr"/>
        <c:lblOffset val="100"/>
        <c:noMultiLvlLbl val="0"/>
      </c:catAx>
      <c:valAx>
        <c:axId val="113836800"/>
        <c:scaling>
          <c:orientation val="minMax"/>
        </c:scaling>
        <c:delete val="0"/>
        <c:axPos val="l"/>
        <c:majorGridlines/>
        <c:numFmt formatCode="General" sourceLinked="1"/>
        <c:majorTickMark val="none"/>
        <c:minorTickMark val="none"/>
        <c:tickLblPos val="nextTo"/>
        <c:crossAx val="112716800"/>
        <c:crosses val="autoZero"/>
        <c:crossBetween val="between"/>
      </c:valAx>
    </c:plotArea>
    <c:plotVisOnly val="1"/>
    <c:dispBlanksAs val="gap"/>
    <c:showDLblsOverMax val="0"/>
  </c:chart>
  <c:spPr>
    <a:noFill/>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a:t>Náklady za hlavní segmenty</a:t>
            </a:r>
          </a:p>
        </c:rich>
      </c:tx>
      <c:overlay val="0"/>
    </c:title>
    <c:autoTitleDeleted val="0"/>
    <c:plotArea>
      <c:layout>
        <c:manualLayout>
          <c:layoutTarget val="inner"/>
          <c:xMode val="edge"/>
          <c:yMode val="edge"/>
          <c:x val="9.3475459728629487E-2"/>
          <c:y val="9.6652516852266168E-2"/>
          <c:w val="0.61123695854551385"/>
          <c:h val="0.81298696131077808"/>
        </c:manualLayout>
      </c:layout>
      <c:lineChart>
        <c:grouping val="standard"/>
        <c:varyColors val="0"/>
        <c:ser>
          <c:idx val="4"/>
          <c:order val="0"/>
          <c:tx>
            <c:strRef>
              <c:f>List3!$B$67:$C$67</c:f>
              <c:strCache>
                <c:ptCount val="1"/>
                <c:pt idx="0">
                  <c:v>na zdravotnickou záchrannou službu na zdravotnickou záchrannou službu</c:v>
                </c:pt>
              </c:strCache>
            </c:strRef>
          </c:tx>
          <c:marker>
            <c:symbol val="none"/>
          </c:marker>
          <c:cat>
            <c:strRef>
              <c:f>List3!$D$48:$R$48</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List3!$D$67:$R$67</c:f>
              <c:numCache>
                <c:formatCode>General</c:formatCode>
                <c:ptCount val="15"/>
                <c:pt idx="0">
                  <c:v>1</c:v>
                </c:pt>
                <c:pt idx="1">
                  <c:v>1.1501662108208865</c:v>
                </c:pt>
                <c:pt idx="2">
                  <c:v>1.2740950260283452</c:v>
                </c:pt>
                <c:pt idx="3">
                  <c:v>1.0888711520254915</c:v>
                </c:pt>
                <c:pt idx="4">
                  <c:v>1.4546907243434317</c:v>
                </c:pt>
                <c:pt idx="5">
                  <c:v>1.4489101669710038</c:v>
                </c:pt>
                <c:pt idx="6">
                  <c:v>1.7798415335422781</c:v>
                </c:pt>
                <c:pt idx="7">
                  <c:v>2.2671108457509734</c:v>
                </c:pt>
                <c:pt idx="8">
                  <c:v>2.2544078729607699</c:v>
                </c:pt>
                <c:pt idx="9">
                  <c:v>2.514159198133751</c:v>
                </c:pt>
                <c:pt idx="10">
                  <c:v>2.7033259585035165</c:v>
                </c:pt>
                <c:pt idx="11">
                  <c:v>2.8290649592114367</c:v>
                </c:pt>
                <c:pt idx="12">
                  <c:v>3.1990111287607279</c:v>
                </c:pt>
                <c:pt idx="13">
                  <c:v>3.3906910378780935</c:v>
                </c:pt>
                <c:pt idx="14">
                  <c:v>3.3906910378780935</c:v>
                </c:pt>
              </c:numCache>
            </c:numRef>
          </c:val>
          <c:smooth val="1"/>
        </c:ser>
        <c:ser>
          <c:idx val="1"/>
          <c:order val="1"/>
          <c:tx>
            <c:strRef>
              <c:f>List3!$B$53:$C$53</c:f>
              <c:strCache>
                <c:ptCount val="1"/>
                <c:pt idx="0">
                  <c:v>na ambulantní  péči celkem na ambulantní péče</c:v>
                </c:pt>
              </c:strCache>
            </c:strRef>
          </c:tx>
          <c:marker>
            <c:symbol val="none"/>
          </c:marker>
          <c:cat>
            <c:strRef>
              <c:f>List3!$D$48:$R$48</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List3!$D$53:$R$53</c:f>
              <c:numCache>
                <c:formatCode>General</c:formatCode>
                <c:ptCount val="15"/>
                <c:pt idx="0">
                  <c:v>1</c:v>
                </c:pt>
                <c:pt idx="1">
                  <c:v>1.0775359109439973</c:v>
                </c:pt>
                <c:pt idx="2">
                  <c:v>1.2091145582112699</c:v>
                </c:pt>
                <c:pt idx="3">
                  <c:v>1.3261588634438295</c:v>
                </c:pt>
                <c:pt idx="4">
                  <c:v>1.4141792242060347</c:v>
                </c:pt>
                <c:pt idx="5">
                  <c:v>1.477879103640853</c:v>
                </c:pt>
                <c:pt idx="6">
                  <c:v>1.5457382983734904</c:v>
                </c:pt>
                <c:pt idx="7">
                  <c:v>1.6953335505271008</c:v>
                </c:pt>
                <c:pt idx="8">
                  <c:v>1.8801102113938664</c:v>
                </c:pt>
                <c:pt idx="9">
                  <c:v>2.1227115900199856</c:v>
                </c:pt>
                <c:pt idx="10">
                  <c:v>2.1669175871443151</c:v>
                </c:pt>
                <c:pt idx="11">
                  <c:v>2.2640656580975058</c:v>
                </c:pt>
                <c:pt idx="12">
                  <c:v>2.292664268791262</c:v>
                </c:pt>
                <c:pt idx="13">
                  <c:v>2.2719447704135232</c:v>
                </c:pt>
                <c:pt idx="14">
                  <c:v>2.296447569989664</c:v>
                </c:pt>
              </c:numCache>
            </c:numRef>
          </c:val>
          <c:smooth val="1"/>
        </c:ser>
        <c:ser>
          <c:idx val="2"/>
          <c:order val="2"/>
          <c:tx>
            <c:strRef>
              <c:f>List3!$B$58:$C$58</c:f>
              <c:strCache>
                <c:ptCount val="1"/>
                <c:pt idx="0">
                  <c:v>na  lůžkovou zdravotní péči celkem na lůžková zdravotní péče</c:v>
                </c:pt>
              </c:strCache>
            </c:strRef>
          </c:tx>
          <c:marker>
            <c:symbol val="none"/>
          </c:marker>
          <c:cat>
            <c:strRef>
              <c:f>List3!$D$48:$R$48</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List3!$D$58:$R$58</c:f>
              <c:numCache>
                <c:formatCode>General</c:formatCode>
                <c:ptCount val="15"/>
                <c:pt idx="0">
                  <c:v>1</c:v>
                </c:pt>
                <c:pt idx="1">
                  <c:v>1.119163879057349</c:v>
                </c:pt>
                <c:pt idx="2">
                  <c:v>1.2497638010201708</c:v>
                </c:pt>
                <c:pt idx="3">
                  <c:v>1.2840253847333853</c:v>
                </c:pt>
                <c:pt idx="4">
                  <c:v>1.3658734487766246</c:v>
                </c:pt>
                <c:pt idx="5">
                  <c:v>1.4472512390992431</c:v>
                </c:pt>
                <c:pt idx="6">
                  <c:v>1.5823724088733673</c:v>
                </c:pt>
                <c:pt idx="7">
                  <c:v>1.7466841195250034</c:v>
                </c:pt>
                <c:pt idx="8">
                  <c:v>1.8753674111812801</c:v>
                </c:pt>
                <c:pt idx="9">
                  <c:v>2.0419165077825787</c:v>
                </c:pt>
                <c:pt idx="10">
                  <c:v>2.1142109800684517</c:v>
                </c:pt>
                <c:pt idx="11">
                  <c:v>2.1372221154549385</c:v>
                </c:pt>
                <c:pt idx="12">
                  <c:v>2.1513169662491096</c:v>
                </c:pt>
                <c:pt idx="13">
                  <c:v>2.0919353987280034</c:v>
                </c:pt>
                <c:pt idx="14">
                  <c:v>2.2194492214269097</c:v>
                </c:pt>
              </c:numCache>
            </c:numRef>
          </c:val>
          <c:smooth val="1"/>
        </c:ser>
        <c:ser>
          <c:idx val="0"/>
          <c:order val="3"/>
          <c:tx>
            <c:strRef>
              <c:f>List3!$B$49:$C$49</c:f>
              <c:strCache>
                <c:ptCount val="1"/>
                <c:pt idx="0">
                  <c:v>Náklady na zdravotní služby celkem</c:v>
                </c:pt>
              </c:strCache>
            </c:strRef>
          </c:tx>
          <c:marker>
            <c:symbol val="none"/>
          </c:marker>
          <c:cat>
            <c:strRef>
              <c:f>List3!$D$48:$R$48</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List3!$D$49:$R$49</c:f>
              <c:numCache>
                <c:formatCode>General</c:formatCode>
                <c:ptCount val="15"/>
                <c:pt idx="0">
                  <c:v>1</c:v>
                </c:pt>
                <c:pt idx="1">
                  <c:v>1.1031423146056654</c:v>
                </c:pt>
                <c:pt idx="2">
                  <c:v>1.2291505926496671</c:v>
                </c:pt>
                <c:pt idx="3">
                  <c:v>1.303678796753118</c:v>
                </c:pt>
                <c:pt idx="4">
                  <c:v>1.4009198738010284</c:v>
                </c:pt>
                <c:pt idx="5">
                  <c:v>1.4694680227361108</c:v>
                </c:pt>
                <c:pt idx="6">
                  <c:v>1.5051655320942028</c:v>
                </c:pt>
                <c:pt idx="7">
                  <c:v>1.6270089226430748</c:v>
                </c:pt>
                <c:pt idx="8">
                  <c:v>1.7288732418475237</c:v>
                </c:pt>
                <c:pt idx="9">
                  <c:v>1.9101113864592867</c:v>
                </c:pt>
                <c:pt idx="10">
                  <c:v>1.9388896122249064</c:v>
                </c:pt>
                <c:pt idx="11">
                  <c:v>1.9743231439773377</c:v>
                </c:pt>
                <c:pt idx="12">
                  <c:v>2.0090748349349412</c:v>
                </c:pt>
                <c:pt idx="13">
                  <c:v>1.9715174379808618</c:v>
                </c:pt>
                <c:pt idx="14">
                  <c:v>2.0533261808487153</c:v>
                </c:pt>
              </c:numCache>
            </c:numRef>
          </c:val>
          <c:smooth val="1"/>
        </c:ser>
        <c:ser>
          <c:idx val="3"/>
          <c:order val="4"/>
          <c:tx>
            <c:strRef>
              <c:f>List3!$B$64:$C$64</c:f>
              <c:strCache>
                <c:ptCount val="1"/>
                <c:pt idx="0">
                  <c:v>na lázeňskou léčebně rehabilitační péči  na lázeňskou léčebně rehabilitační péči </c:v>
                </c:pt>
              </c:strCache>
            </c:strRef>
          </c:tx>
          <c:marker>
            <c:symbol val="none"/>
          </c:marker>
          <c:cat>
            <c:strRef>
              <c:f>List3!$D$48:$R$48</c:f>
              <c:strCache>
                <c:ptCount val="15"/>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strCache>
            </c:strRef>
          </c:cat>
          <c:val>
            <c:numRef>
              <c:f>List3!$D$64:$R$64</c:f>
              <c:numCache>
                <c:formatCode>General</c:formatCode>
                <c:ptCount val="15"/>
                <c:pt idx="0">
                  <c:v>1</c:v>
                </c:pt>
                <c:pt idx="1">
                  <c:v>1.0649270907466575</c:v>
                </c:pt>
                <c:pt idx="2">
                  <c:v>1.1632368528641299</c:v>
                </c:pt>
                <c:pt idx="3">
                  <c:v>1.262724233355037</c:v>
                </c:pt>
                <c:pt idx="4">
                  <c:v>1.2625478869187323</c:v>
                </c:pt>
                <c:pt idx="5">
                  <c:v>1.18934828364198</c:v>
                </c:pt>
                <c:pt idx="6">
                  <c:v>1.05343763722536</c:v>
                </c:pt>
                <c:pt idx="7">
                  <c:v>1.1294544298238973</c:v>
                </c:pt>
                <c:pt idx="8">
                  <c:v>1.0834091700610227</c:v>
                </c:pt>
                <c:pt idx="9">
                  <c:v>1.2046978392210899</c:v>
                </c:pt>
                <c:pt idx="10">
                  <c:v>1.2120659893096712</c:v>
                </c:pt>
                <c:pt idx="11">
                  <c:v>1.1297394800199876</c:v>
                </c:pt>
                <c:pt idx="12">
                  <c:v>0.95415234475553068</c:v>
                </c:pt>
                <c:pt idx="13">
                  <c:v>0.49086737787642842</c:v>
                </c:pt>
                <c:pt idx="14">
                  <c:v>0.56870052942827831</c:v>
                </c:pt>
              </c:numCache>
            </c:numRef>
          </c:val>
          <c:smooth val="1"/>
        </c:ser>
        <c:dLbls>
          <c:showLegendKey val="0"/>
          <c:showVal val="0"/>
          <c:showCatName val="0"/>
          <c:showSerName val="0"/>
          <c:showPercent val="0"/>
          <c:showBubbleSize val="0"/>
        </c:dLbls>
        <c:marker val="1"/>
        <c:smooth val="0"/>
        <c:axId val="113851776"/>
        <c:axId val="113886336"/>
      </c:lineChart>
      <c:catAx>
        <c:axId val="113851776"/>
        <c:scaling>
          <c:orientation val="minMax"/>
        </c:scaling>
        <c:delete val="0"/>
        <c:axPos val="b"/>
        <c:majorTickMark val="none"/>
        <c:minorTickMark val="none"/>
        <c:tickLblPos val="nextTo"/>
        <c:crossAx val="113886336"/>
        <c:crosses val="autoZero"/>
        <c:auto val="1"/>
        <c:lblAlgn val="ctr"/>
        <c:lblOffset val="100"/>
        <c:noMultiLvlLbl val="0"/>
      </c:catAx>
      <c:valAx>
        <c:axId val="113886336"/>
        <c:scaling>
          <c:orientation val="minMax"/>
        </c:scaling>
        <c:delete val="0"/>
        <c:axPos val="l"/>
        <c:majorGridlines/>
        <c:title>
          <c:tx>
            <c:rich>
              <a:bodyPr/>
              <a:lstStyle/>
              <a:p>
                <a:pPr>
                  <a:defRPr/>
                </a:pPr>
                <a:r>
                  <a:rPr lang="cs-CZ"/>
                  <a:t>Kumulativní růst</a:t>
                </a:r>
              </a:p>
            </c:rich>
          </c:tx>
          <c:overlay val="0"/>
        </c:title>
        <c:numFmt formatCode="General" sourceLinked="1"/>
        <c:majorTickMark val="none"/>
        <c:minorTickMark val="none"/>
        <c:tickLblPos val="nextTo"/>
        <c:crossAx val="113851776"/>
        <c:crosses val="autoZero"/>
        <c:crossBetween val="between"/>
      </c:valAx>
    </c:plotArea>
    <c:legend>
      <c:legendPos val="r"/>
      <c:layout>
        <c:manualLayout>
          <c:xMode val="edge"/>
          <c:yMode val="edge"/>
          <c:x val="0.71594764502764996"/>
          <c:y val="0.24470033080541806"/>
          <c:w val="0.27274922779000638"/>
          <c:h val="0.65074064225776052"/>
        </c:manualLayout>
      </c:layout>
      <c:overlay val="0"/>
    </c:legend>
    <c:plotVisOnly val="1"/>
    <c:dispBlanksAs val="gap"/>
    <c:showDLblsOverMax val="0"/>
  </c:chart>
  <c:spPr>
    <a:gradFill>
      <a:gsLst>
        <a:gs pos="0">
          <a:srgbClr xmlns:mc="http://schemas.openxmlformats.org/markup-compatibility/2006" xmlns:a14="http://schemas.microsoft.com/office/drawing/2010/main" val="99CCFF" mc:Ignorable="a14" a14:legacySpreadsheetColorIndex="44"/>
        </a:gs>
        <a:gs pos="100000">
          <a:srgbClr xmlns:mc="http://schemas.openxmlformats.org/markup-compatibility/2006" xmlns:a14="http://schemas.microsoft.com/office/drawing/2010/main" val="FFFFFF" mc:Ignorable="a14" a14:legacySpreadsheetColorIndex="44">
            <a:gamma/>
            <a:tint val="0"/>
            <a:invGamma/>
          </a:srgbClr>
        </a:gs>
      </a:gsLst>
      <a:lin ang="2700000" scaled="1"/>
    </a:gra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lgn="l">
              <a:defRPr sz="1400" b="0"/>
            </a:pPr>
            <a:r>
              <a:rPr lang="cs-CZ" sz="1400" b="0" i="0" u="none" strike="noStrike" baseline="0">
                <a:effectLst/>
              </a:rPr>
              <a:t>Výsledek hospodaření běžného účetního období (v tis. Kč) </a:t>
            </a:r>
            <a:endParaRPr lang="cs-CZ" sz="1400" b="0"/>
          </a:p>
        </c:rich>
      </c:tx>
      <c:layout>
        <c:manualLayout>
          <c:xMode val="edge"/>
          <c:yMode val="edge"/>
          <c:x val="2.2608006554116176E-2"/>
          <c:y val="3.2407407407407406E-2"/>
        </c:manualLayout>
      </c:layout>
      <c:overlay val="0"/>
    </c:title>
    <c:autoTitleDeleted val="0"/>
    <c:plotArea>
      <c:layout/>
      <c:lineChart>
        <c:grouping val="standard"/>
        <c:varyColors val="0"/>
        <c:ser>
          <c:idx val="0"/>
          <c:order val="0"/>
          <c:cat>
            <c:strRef>
              <c:f>vypocet!$C$13:$F$13</c:f>
              <c:strCache>
                <c:ptCount val="4"/>
                <c:pt idx="0">
                  <c:v>R.2010</c:v>
                </c:pt>
                <c:pt idx="1">
                  <c:v>R.2011</c:v>
                </c:pt>
                <c:pt idx="2">
                  <c:v>R.2012</c:v>
                </c:pt>
                <c:pt idx="3">
                  <c:v>1.POL. 2013</c:v>
                </c:pt>
              </c:strCache>
            </c:strRef>
          </c:cat>
          <c:val>
            <c:numRef>
              <c:f>vypocet!$C$14:$F$14</c:f>
              <c:numCache>
                <c:formatCode>#,##0</c:formatCode>
                <c:ptCount val="4"/>
                <c:pt idx="0">
                  <c:v>238801</c:v>
                </c:pt>
                <c:pt idx="1">
                  <c:v>287219</c:v>
                </c:pt>
                <c:pt idx="2">
                  <c:v>399502</c:v>
                </c:pt>
                <c:pt idx="3">
                  <c:v>-1475204</c:v>
                </c:pt>
              </c:numCache>
            </c:numRef>
          </c:val>
          <c:smooth val="0"/>
        </c:ser>
        <c:dLbls>
          <c:showLegendKey val="0"/>
          <c:showVal val="0"/>
          <c:showCatName val="0"/>
          <c:showSerName val="0"/>
          <c:showPercent val="0"/>
          <c:showBubbleSize val="0"/>
        </c:dLbls>
        <c:marker val="1"/>
        <c:smooth val="0"/>
        <c:axId val="113907200"/>
        <c:axId val="113908736"/>
      </c:lineChart>
      <c:catAx>
        <c:axId val="113907200"/>
        <c:scaling>
          <c:orientation val="minMax"/>
        </c:scaling>
        <c:delete val="0"/>
        <c:axPos val="b"/>
        <c:numFmt formatCode="General" sourceLinked="0"/>
        <c:majorTickMark val="none"/>
        <c:minorTickMark val="none"/>
        <c:tickLblPos val="low"/>
        <c:crossAx val="113908736"/>
        <c:crosses val="autoZero"/>
        <c:auto val="1"/>
        <c:lblAlgn val="ctr"/>
        <c:lblOffset val="100"/>
        <c:noMultiLvlLbl val="0"/>
      </c:catAx>
      <c:valAx>
        <c:axId val="113908736"/>
        <c:scaling>
          <c:orientation val="minMax"/>
        </c:scaling>
        <c:delete val="0"/>
        <c:axPos val="l"/>
        <c:majorGridlines/>
        <c:numFmt formatCode="#,##0" sourceLinked="1"/>
        <c:majorTickMark val="none"/>
        <c:minorTickMark val="none"/>
        <c:tickLblPos val="nextTo"/>
        <c:crossAx val="113907200"/>
        <c:crosses val="autoZero"/>
        <c:crossBetween val="between"/>
      </c:valAx>
    </c:plotArea>
    <c:plotVisOnly val="1"/>
    <c:dispBlanksAs val="gap"/>
    <c:showDLblsOverMax val="0"/>
  </c:chart>
  <c:spPr>
    <a:solidFill>
      <a:schemeClr val="bg1">
        <a:lumMod val="85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400" b="0"/>
            </a:pPr>
            <a:r>
              <a:rPr lang="cs-CZ" sz="1400" b="0"/>
              <a:t>Vývoj závazků</a:t>
            </a:r>
            <a:r>
              <a:rPr lang="cs-CZ" sz="1400" b="0" baseline="0"/>
              <a:t> po splatnosti (v tis. Kč)</a:t>
            </a:r>
            <a:endParaRPr lang="cs-CZ" sz="1400" b="0"/>
          </a:p>
        </c:rich>
      </c:tx>
      <c:layout>
        <c:manualLayout>
          <c:xMode val="edge"/>
          <c:yMode val="edge"/>
          <c:x val="4.2499830679166462E-2"/>
          <c:y val="1.9204389574759947E-2"/>
        </c:manualLayout>
      </c:layout>
      <c:overlay val="0"/>
    </c:title>
    <c:autoTitleDeleted val="0"/>
    <c:plotArea>
      <c:layout/>
      <c:lineChart>
        <c:grouping val="standard"/>
        <c:varyColors val="0"/>
        <c:ser>
          <c:idx val="0"/>
          <c:order val="0"/>
          <c:cat>
            <c:strRef>
              <c:f>'[CR nemocnice graf.xls]CR graf'!$B$24:$F$24</c:f>
              <c:strCache>
                <c:ptCount val="5"/>
                <c:pt idx="0">
                  <c:v>r.2010 </c:v>
                </c:pt>
                <c:pt idx="1">
                  <c:v>r.2011</c:v>
                </c:pt>
                <c:pt idx="2">
                  <c:v>r.2012</c:v>
                </c:pt>
                <c:pt idx="3">
                  <c:v>30.6.2013</c:v>
                </c:pt>
                <c:pt idx="4">
                  <c:v>31.12.2013</c:v>
                </c:pt>
              </c:strCache>
            </c:strRef>
          </c:cat>
          <c:val>
            <c:numRef>
              <c:f>'[CR nemocnice graf.xls]CR graf'!$B$25:$F$25</c:f>
              <c:numCache>
                <c:formatCode>#,##0</c:formatCode>
                <c:ptCount val="5"/>
                <c:pt idx="0">
                  <c:v>3477873</c:v>
                </c:pt>
                <c:pt idx="1">
                  <c:v>3672652</c:v>
                </c:pt>
                <c:pt idx="2">
                  <c:v>4042878</c:v>
                </c:pt>
                <c:pt idx="3">
                  <c:v>5199465</c:v>
                </c:pt>
                <c:pt idx="4">
                  <c:v>6400000</c:v>
                </c:pt>
              </c:numCache>
            </c:numRef>
          </c:val>
          <c:smooth val="0"/>
        </c:ser>
        <c:ser>
          <c:idx val="1"/>
          <c:order val="1"/>
          <c:cat>
            <c:strRef>
              <c:f>'[CR nemocnice graf.xls]CR graf'!$B$24:$F$24</c:f>
              <c:strCache>
                <c:ptCount val="5"/>
                <c:pt idx="0">
                  <c:v>r.2010 </c:v>
                </c:pt>
                <c:pt idx="1">
                  <c:v>r.2011</c:v>
                </c:pt>
                <c:pt idx="2">
                  <c:v>r.2012</c:v>
                </c:pt>
                <c:pt idx="3">
                  <c:v>30.6.2013</c:v>
                </c:pt>
                <c:pt idx="4">
                  <c:v>31.12.2013</c:v>
                </c:pt>
              </c:strCache>
            </c:strRef>
          </c:cat>
          <c:val>
            <c:numRef>
              <c:f>'[CR nemocnice graf.xls]CR graf'!$B$26:$F$26</c:f>
              <c:numCache>
                <c:formatCode>General</c:formatCode>
                <c:ptCount val="5"/>
              </c:numCache>
            </c:numRef>
          </c:val>
          <c:smooth val="0"/>
        </c:ser>
        <c:dLbls>
          <c:showLegendKey val="0"/>
          <c:showVal val="0"/>
          <c:showCatName val="0"/>
          <c:showSerName val="0"/>
          <c:showPercent val="0"/>
          <c:showBubbleSize val="0"/>
        </c:dLbls>
        <c:marker val="1"/>
        <c:smooth val="0"/>
        <c:axId val="114027904"/>
        <c:axId val="114029696"/>
      </c:lineChart>
      <c:catAx>
        <c:axId val="114027904"/>
        <c:scaling>
          <c:orientation val="minMax"/>
        </c:scaling>
        <c:delete val="0"/>
        <c:axPos val="b"/>
        <c:numFmt formatCode="General" sourceLinked="1"/>
        <c:majorTickMark val="none"/>
        <c:minorTickMark val="none"/>
        <c:tickLblPos val="nextTo"/>
        <c:crossAx val="114029696"/>
        <c:crosses val="autoZero"/>
        <c:auto val="1"/>
        <c:lblAlgn val="ctr"/>
        <c:lblOffset val="100"/>
        <c:noMultiLvlLbl val="0"/>
      </c:catAx>
      <c:valAx>
        <c:axId val="114029696"/>
        <c:scaling>
          <c:orientation val="minMax"/>
        </c:scaling>
        <c:delete val="0"/>
        <c:axPos val="l"/>
        <c:majorGridlines/>
        <c:numFmt formatCode="#,##0" sourceLinked="1"/>
        <c:majorTickMark val="none"/>
        <c:minorTickMark val="none"/>
        <c:tickLblPos val="nextTo"/>
        <c:crossAx val="114027904"/>
        <c:crosses val="autoZero"/>
        <c:crossBetween val="between"/>
      </c:valAx>
    </c:plotArea>
    <c:plotVisOnly val="1"/>
    <c:dispBlanksAs val="gap"/>
    <c:showDLblsOverMax val="0"/>
  </c:chart>
  <c:spPr>
    <a:solidFill>
      <a:schemeClr val="bg1">
        <a:lumMod val="85000"/>
      </a:schemeClr>
    </a:soli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cs-CZ"/>
              <a:t>Krátkodobé závazky</a:t>
            </a:r>
          </a:p>
        </c:rich>
      </c:tx>
      <c:layout>
        <c:manualLayout>
          <c:xMode val="edge"/>
          <c:yMode val="edge"/>
          <c:x val="0.34816074422023263"/>
          <c:y val="0"/>
        </c:manualLayout>
      </c:layout>
      <c:overlay val="1"/>
    </c:title>
    <c:autoTitleDeleted val="0"/>
    <c:plotArea>
      <c:layout>
        <c:manualLayout>
          <c:layoutTarget val="inner"/>
          <c:xMode val="edge"/>
          <c:yMode val="edge"/>
          <c:x val="0.14005230404861987"/>
          <c:y val="0.13186524870185606"/>
          <c:w val="0.62780361443250321"/>
          <c:h val="0.50517754969397421"/>
        </c:manualLayout>
      </c:layout>
      <c:barChart>
        <c:barDir val="col"/>
        <c:grouping val="stacked"/>
        <c:varyColors val="0"/>
        <c:ser>
          <c:idx val="0"/>
          <c:order val="0"/>
          <c:tx>
            <c:strRef>
              <c:f>IX!$O$4</c:f>
              <c:strCache>
                <c:ptCount val="1"/>
                <c:pt idx="0">
                  <c:v>závazky - zaměstnanci</c:v>
                </c:pt>
              </c:strCache>
            </c:strRef>
          </c:tx>
          <c:invertIfNegative val="0"/>
          <c:cat>
            <c:strRef>
              <c:f>IX!$A$5:$A$16</c:f>
              <c:strCache>
                <c:ptCount val="12"/>
                <c:pt idx="0">
                  <c:v>FN Brno</c:v>
                </c:pt>
                <c:pt idx="1">
                  <c:v>FN Hradec Králové</c:v>
                </c:pt>
                <c:pt idx="2">
                  <c:v>FN Motol</c:v>
                </c:pt>
                <c:pt idx="3">
                  <c:v>FN Olomouc</c:v>
                </c:pt>
                <c:pt idx="4">
                  <c:v>FN Ostrava Poruba</c:v>
                </c:pt>
                <c:pt idx="5">
                  <c:v>FN Plzeň</c:v>
                </c:pt>
                <c:pt idx="6">
                  <c:v>FN U sv. Anny Brno</c:v>
                </c:pt>
                <c:pt idx="7">
                  <c:v>FN Vinohrady</c:v>
                </c:pt>
                <c:pt idx="8">
                  <c:v>Nemocnice Na Bulovce</c:v>
                </c:pt>
                <c:pt idx="9">
                  <c:v>Nemocnice Na Homolce</c:v>
                </c:pt>
                <c:pt idx="10">
                  <c:v>Thomayerova nemocnice</c:v>
                </c:pt>
                <c:pt idx="11">
                  <c:v>Všeob. FN Praha 2</c:v>
                </c:pt>
              </c:strCache>
            </c:strRef>
          </c:cat>
          <c:val>
            <c:numRef>
              <c:f>IX!$O$5:$O$16</c:f>
              <c:numCache>
                <c:formatCode>_-* #,##0\ _K_č_-;\-* #,##0\ _K_č_-;_-* "-"??\ _K_č_-;_-@_-</c:formatCode>
                <c:ptCount val="12"/>
                <c:pt idx="0">
                  <c:v>194450050</c:v>
                </c:pt>
                <c:pt idx="1">
                  <c:v>162637845</c:v>
                </c:pt>
                <c:pt idx="2">
                  <c:v>197047139</c:v>
                </c:pt>
                <c:pt idx="3">
                  <c:v>135432426</c:v>
                </c:pt>
                <c:pt idx="4">
                  <c:v>130212164</c:v>
                </c:pt>
                <c:pt idx="5">
                  <c:v>211879191</c:v>
                </c:pt>
                <c:pt idx="6">
                  <c:v>108489768</c:v>
                </c:pt>
                <c:pt idx="7">
                  <c:v>101682758</c:v>
                </c:pt>
                <c:pt idx="8">
                  <c:v>81221419</c:v>
                </c:pt>
                <c:pt idx="9">
                  <c:v>79045564</c:v>
                </c:pt>
                <c:pt idx="10">
                  <c:v>84385129</c:v>
                </c:pt>
                <c:pt idx="11">
                  <c:v>182496769</c:v>
                </c:pt>
              </c:numCache>
            </c:numRef>
          </c:val>
        </c:ser>
        <c:ser>
          <c:idx val="1"/>
          <c:order val="1"/>
          <c:tx>
            <c:strRef>
              <c:f>IX!$J$4</c:f>
              <c:strCache>
                <c:ptCount val="1"/>
                <c:pt idx="0">
                  <c:v>dodavatelé</c:v>
                </c:pt>
              </c:strCache>
            </c:strRef>
          </c:tx>
          <c:invertIfNegative val="0"/>
          <c:cat>
            <c:strRef>
              <c:f>IX!$A$5:$A$16</c:f>
              <c:strCache>
                <c:ptCount val="12"/>
                <c:pt idx="0">
                  <c:v>FN Brno</c:v>
                </c:pt>
                <c:pt idx="1">
                  <c:v>FN Hradec Králové</c:v>
                </c:pt>
                <c:pt idx="2">
                  <c:v>FN Motol</c:v>
                </c:pt>
                <c:pt idx="3">
                  <c:v>FN Olomouc</c:v>
                </c:pt>
                <c:pt idx="4">
                  <c:v>FN Ostrava Poruba</c:v>
                </c:pt>
                <c:pt idx="5">
                  <c:v>FN Plzeň</c:v>
                </c:pt>
                <c:pt idx="6">
                  <c:v>FN U sv. Anny Brno</c:v>
                </c:pt>
                <c:pt idx="7">
                  <c:v>FN Vinohrady</c:v>
                </c:pt>
                <c:pt idx="8">
                  <c:v>Nemocnice Na Bulovce</c:v>
                </c:pt>
                <c:pt idx="9">
                  <c:v>Nemocnice Na Homolce</c:v>
                </c:pt>
                <c:pt idx="10">
                  <c:v>Thomayerova nemocnice</c:v>
                </c:pt>
                <c:pt idx="11">
                  <c:v>Všeob. FN Praha 2</c:v>
                </c:pt>
              </c:strCache>
            </c:strRef>
          </c:cat>
          <c:val>
            <c:numRef>
              <c:f>IX!$J$5:$J$16</c:f>
              <c:numCache>
                <c:formatCode>_-* #,##0\ _K_č_-;\-* #,##0\ _K_č_-;_-* "-"??\ _K_č_-;_-@_-</c:formatCode>
                <c:ptCount val="12"/>
                <c:pt idx="0">
                  <c:v>1464085516</c:v>
                </c:pt>
                <c:pt idx="1">
                  <c:v>403808481</c:v>
                </c:pt>
                <c:pt idx="2">
                  <c:v>393676292</c:v>
                </c:pt>
                <c:pt idx="3">
                  <c:v>511917581</c:v>
                </c:pt>
                <c:pt idx="4">
                  <c:v>372047403</c:v>
                </c:pt>
                <c:pt idx="5">
                  <c:v>481817008</c:v>
                </c:pt>
                <c:pt idx="6">
                  <c:v>1051137047</c:v>
                </c:pt>
                <c:pt idx="7">
                  <c:v>492413766</c:v>
                </c:pt>
                <c:pt idx="8">
                  <c:v>619038972</c:v>
                </c:pt>
                <c:pt idx="9">
                  <c:v>235975595</c:v>
                </c:pt>
                <c:pt idx="10">
                  <c:v>225284363</c:v>
                </c:pt>
                <c:pt idx="11">
                  <c:v>1412365965</c:v>
                </c:pt>
              </c:numCache>
            </c:numRef>
          </c:val>
        </c:ser>
        <c:ser>
          <c:idx val="2"/>
          <c:order val="2"/>
          <c:tx>
            <c:v>ostatní</c:v>
          </c:tx>
          <c:invertIfNegative val="0"/>
          <c:cat>
            <c:strRef>
              <c:f>IX!$A$5:$A$16</c:f>
              <c:strCache>
                <c:ptCount val="12"/>
                <c:pt idx="0">
                  <c:v>FN Brno</c:v>
                </c:pt>
                <c:pt idx="1">
                  <c:v>FN Hradec Králové</c:v>
                </c:pt>
                <c:pt idx="2">
                  <c:v>FN Motol</c:v>
                </c:pt>
                <c:pt idx="3">
                  <c:v>FN Olomouc</c:v>
                </c:pt>
                <c:pt idx="4">
                  <c:v>FN Ostrava Poruba</c:v>
                </c:pt>
                <c:pt idx="5">
                  <c:v>FN Plzeň</c:v>
                </c:pt>
                <c:pt idx="6">
                  <c:v>FN U sv. Anny Brno</c:v>
                </c:pt>
                <c:pt idx="7">
                  <c:v>FN Vinohrady</c:v>
                </c:pt>
                <c:pt idx="8">
                  <c:v>Nemocnice Na Bulovce</c:v>
                </c:pt>
                <c:pt idx="9">
                  <c:v>Nemocnice Na Homolce</c:v>
                </c:pt>
                <c:pt idx="10">
                  <c:v>Thomayerova nemocnice</c:v>
                </c:pt>
                <c:pt idx="11">
                  <c:v>Všeob. FN Praha 2</c:v>
                </c:pt>
              </c:strCache>
            </c:strRef>
          </c:cat>
          <c:val>
            <c:numRef>
              <c:f>IX!$X$5:$X$16</c:f>
              <c:numCache>
                <c:formatCode>_-* #,##0\ _K_č_-;\-* #,##0\ _K_č_-;_-* "-"??\ _K_č_-;_-@_-</c:formatCode>
                <c:ptCount val="12"/>
                <c:pt idx="0">
                  <c:v>130949596</c:v>
                </c:pt>
                <c:pt idx="1">
                  <c:v>208424366</c:v>
                </c:pt>
                <c:pt idx="2">
                  <c:v>196770795</c:v>
                </c:pt>
                <c:pt idx="3">
                  <c:v>76945839</c:v>
                </c:pt>
                <c:pt idx="4">
                  <c:v>186040784</c:v>
                </c:pt>
                <c:pt idx="5">
                  <c:v>80189598</c:v>
                </c:pt>
                <c:pt idx="6">
                  <c:v>816942134</c:v>
                </c:pt>
                <c:pt idx="7">
                  <c:v>158942394</c:v>
                </c:pt>
                <c:pt idx="8">
                  <c:v>45364266</c:v>
                </c:pt>
                <c:pt idx="9">
                  <c:v>242203470</c:v>
                </c:pt>
                <c:pt idx="10">
                  <c:v>109745603</c:v>
                </c:pt>
                <c:pt idx="11">
                  <c:v>246943033</c:v>
                </c:pt>
              </c:numCache>
            </c:numRef>
          </c:val>
        </c:ser>
        <c:dLbls>
          <c:showLegendKey val="0"/>
          <c:showVal val="0"/>
          <c:showCatName val="0"/>
          <c:showSerName val="0"/>
          <c:showPercent val="0"/>
          <c:showBubbleSize val="0"/>
        </c:dLbls>
        <c:gapWidth val="150"/>
        <c:overlap val="100"/>
        <c:axId val="114063616"/>
        <c:axId val="114577408"/>
      </c:barChart>
      <c:catAx>
        <c:axId val="114063616"/>
        <c:scaling>
          <c:orientation val="minMax"/>
        </c:scaling>
        <c:delete val="0"/>
        <c:axPos val="b"/>
        <c:majorTickMark val="out"/>
        <c:minorTickMark val="none"/>
        <c:tickLblPos val="nextTo"/>
        <c:crossAx val="114577408"/>
        <c:crosses val="autoZero"/>
        <c:auto val="1"/>
        <c:lblAlgn val="ctr"/>
        <c:lblOffset val="100"/>
        <c:noMultiLvlLbl val="0"/>
      </c:catAx>
      <c:valAx>
        <c:axId val="114577408"/>
        <c:scaling>
          <c:orientation val="minMax"/>
        </c:scaling>
        <c:delete val="0"/>
        <c:axPos val="l"/>
        <c:majorGridlines/>
        <c:numFmt formatCode="_-* #,##0\ _K_č_-;\-* #,##0\ _K_č_-;_-* &quot;-&quot;??\ _K_č_-;_-@_-" sourceLinked="1"/>
        <c:majorTickMark val="out"/>
        <c:minorTickMark val="none"/>
        <c:tickLblPos val="nextTo"/>
        <c:crossAx val="114063616"/>
        <c:crosses val="autoZero"/>
        <c:crossBetween val="between"/>
        <c:dispUnits>
          <c:builtInUnit val="millions"/>
          <c:dispUnitsLbl>
            <c:layout>
              <c:manualLayout>
                <c:xMode val="edge"/>
                <c:yMode val="edge"/>
                <c:x val="2.3759335976823653E-2"/>
                <c:y val="0.23442648153419252"/>
              </c:manualLayout>
            </c:layout>
            <c:tx>
              <c:rich>
                <a:bodyPr/>
                <a:lstStyle/>
                <a:p>
                  <a:pPr>
                    <a:defRPr/>
                  </a:pPr>
                  <a:r>
                    <a:rPr lang="cs-CZ"/>
                    <a:t>Miliony Kč</a:t>
                  </a:r>
                </a:p>
              </c:rich>
            </c:tx>
          </c:dispUnitsLbl>
        </c:dispUnits>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cs-CZ"/>
              <a:t>Výsledek hospodaření za běžné účetní období</a:t>
            </a:r>
          </a:p>
        </c:rich>
      </c:tx>
      <c:overlay val="0"/>
    </c:title>
    <c:autoTitleDeleted val="0"/>
    <c:plotArea>
      <c:layout/>
      <c:barChart>
        <c:barDir val="col"/>
        <c:grouping val="clustered"/>
        <c:varyColors val="0"/>
        <c:ser>
          <c:idx val="0"/>
          <c:order val="0"/>
          <c:tx>
            <c:strRef>
              <c:f>IX!$F$20:$F$21</c:f>
              <c:strCache>
                <c:ptCount val="1"/>
                <c:pt idx="0">
                  <c:v>VH b ú o</c:v>
                </c:pt>
              </c:strCache>
            </c:strRef>
          </c:tx>
          <c:invertIfNegative val="0"/>
          <c:cat>
            <c:strRef>
              <c:f>IX!$A$22:$A$33</c:f>
              <c:strCache>
                <c:ptCount val="12"/>
                <c:pt idx="0">
                  <c:v>FN Brno</c:v>
                </c:pt>
                <c:pt idx="1">
                  <c:v>FN Hradec Králové</c:v>
                </c:pt>
                <c:pt idx="2">
                  <c:v>FN Motol</c:v>
                </c:pt>
                <c:pt idx="3">
                  <c:v>FN Olomouc</c:v>
                </c:pt>
                <c:pt idx="4">
                  <c:v>FN Ostrava Poruba</c:v>
                </c:pt>
                <c:pt idx="5">
                  <c:v>FN Plzeň</c:v>
                </c:pt>
                <c:pt idx="6">
                  <c:v>FN U sv. Anny Brno</c:v>
                </c:pt>
                <c:pt idx="7">
                  <c:v>FN Vinohrady</c:v>
                </c:pt>
                <c:pt idx="8">
                  <c:v>Nemocnice Na Bulovce</c:v>
                </c:pt>
                <c:pt idx="9">
                  <c:v>Nemocnice Na Homolce</c:v>
                </c:pt>
                <c:pt idx="10">
                  <c:v>Thomayerova nemocnice</c:v>
                </c:pt>
                <c:pt idx="11">
                  <c:v>Všeob. FN Praha 2</c:v>
                </c:pt>
              </c:strCache>
            </c:strRef>
          </c:cat>
          <c:val>
            <c:numRef>
              <c:f>IX!$F$22:$F$33</c:f>
              <c:numCache>
                <c:formatCode>_-* #,##0\ _K_č_-;\-* #,##0\ _K_č_-;_-* "-"??\ _K_č_-;_-@_-</c:formatCode>
                <c:ptCount val="12"/>
                <c:pt idx="0">
                  <c:v>-289028456</c:v>
                </c:pt>
                <c:pt idx="1">
                  <c:v>-156369759</c:v>
                </c:pt>
                <c:pt idx="2">
                  <c:v>-80630087</c:v>
                </c:pt>
                <c:pt idx="3">
                  <c:v>196712892</c:v>
                </c:pt>
                <c:pt idx="4">
                  <c:v>42505555</c:v>
                </c:pt>
                <c:pt idx="5">
                  <c:v>167161490</c:v>
                </c:pt>
                <c:pt idx="6">
                  <c:v>-197558010</c:v>
                </c:pt>
                <c:pt idx="7">
                  <c:v>377189</c:v>
                </c:pt>
                <c:pt idx="8">
                  <c:v>-17401150</c:v>
                </c:pt>
                <c:pt idx="9">
                  <c:v>23308361</c:v>
                </c:pt>
                <c:pt idx="10">
                  <c:v>-122862479</c:v>
                </c:pt>
                <c:pt idx="11">
                  <c:v>-98170037</c:v>
                </c:pt>
              </c:numCache>
            </c:numRef>
          </c:val>
        </c:ser>
        <c:dLbls>
          <c:showLegendKey val="0"/>
          <c:showVal val="0"/>
          <c:showCatName val="0"/>
          <c:showSerName val="0"/>
          <c:showPercent val="0"/>
          <c:showBubbleSize val="0"/>
        </c:dLbls>
        <c:gapWidth val="150"/>
        <c:axId val="114590080"/>
        <c:axId val="114591616"/>
      </c:barChart>
      <c:catAx>
        <c:axId val="114590080"/>
        <c:scaling>
          <c:orientation val="minMax"/>
        </c:scaling>
        <c:delete val="0"/>
        <c:axPos val="b"/>
        <c:majorTickMark val="out"/>
        <c:minorTickMark val="none"/>
        <c:tickLblPos val="nextTo"/>
        <c:crossAx val="114591616"/>
        <c:crosses val="autoZero"/>
        <c:auto val="1"/>
        <c:lblAlgn val="ctr"/>
        <c:lblOffset val="100"/>
        <c:noMultiLvlLbl val="0"/>
      </c:catAx>
      <c:valAx>
        <c:axId val="114591616"/>
        <c:scaling>
          <c:orientation val="minMax"/>
        </c:scaling>
        <c:delete val="0"/>
        <c:axPos val="l"/>
        <c:majorGridlines/>
        <c:numFmt formatCode="_-* #,##0\ _K_č_-;\-* #,##0\ _K_č_-;_-* &quot;-&quot;??\ _K_č_-;_-@_-" sourceLinked="1"/>
        <c:majorTickMark val="out"/>
        <c:minorTickMark val="none"/>
        <c:tickLblPos val="nextTo"/>
        <c:crossAx val="114590080"/>
        <c:crosses val="autoZero"/>
        <c:crossBetween val="between"/>
        <c:dispUnits>
          <c:builtInUnit val="millions"/>
          <c:dispUnitsLbl>
            <c:layout>
              <c:manualLayout>
                <c:xMode val="edge"/>
                <c:yMode val="edge"/>
                <c:x val="2.1753127693350971E-2"/>
                <c:y val="0.39485089250721489"/>
              </c:manualLayout>
            </c:layout>
            <c:tx>
              <c:rich>
                <a:bodyPr/>
                <a:lstStyle/>
                <a:p>
                  <a:pPr>
                    <a:defRPr/>
                  </a:pPr>
                  <a:r>
                    <a:rPr lang="cs-CZ"/>
                    <a:t>Miliony Kč</a:t>
                  </a:r>
                </a:p>
              </c:rich>
            </c:tx>
          </c:dispUnitsLbl>
        </c:dispUnits>
      </c:valAx>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sz="1800"/>
            </a:pPr>
            <a:r>
              <a:rPr lang="cs-CZ" sz="1800"/>
              <a:t>Náklady na léky ZP</a:t>
            </a:r>
          </a:p>
        </c:rich>
      </c:tx>
      <c:overlay val="0"/>
    </c:title>
    <c:autoTitleDeleted val="0"/>
    <c:plotArea>
      <c:layout>
        <c:manualLayout>
          <c:layoutTarget val="inner"/>
          <c:xMode val="edge"/>
          <c:yMode val="edge"/>
          <c:x val="0.11129051455777331"/>
          <c:y val="0.23087780694079907"/>
          <c:w val="0.87514359396935848"/>
          <c:h val="0.52312843610598059"/>
        </c:manualLayout>
      </c:layout>
      <c:barChart>
        <c:barDir val="col"/>
        <c:grouping val="clustered"/>
        <c:varyColors val="0"/>
        <c:ser>
          <c:idx val="0"/>
          <c:order val="0"/>
          <c:tx>
            <c:strRef>
              <c:f>List2!$A$2</c:f>
              <c:strCache>
                <c:ptCount val="1"/>
                <c:pt idx="0">
                  <c:v>REC</c:v>
                </c:pt>
              </c:strCache>
            </c:strRef>
          </c:tx>
          <c:invertIfNegative val="0"/>
          <c:cat>
            <c:strRef>
              <c:f>List2!$B$1:$H$1</c:f>
              <c:strCache>
                <c:ptCount val="7"/>
                <c:pt idx="0">
                  <c:v>2010/P1</c:v>
                </c:pt>
                <c:pt idx="1">
                  <c:v>2010/P2</c:v>
                </c:pt>
                <c:pt idx="2">
                  <c:v>2011/P1</c:v>
                </c:pt>
                <c:pt idx="3">
                  <c:v>2011/P2</c:v>
                </c:pt>
                <c:pt idx="4">
                  <c:v>2012/P1</c:v>
                </c:pt>
                <c:pt idx="5">
                  <c:v>2012/P2</c:v>
                </c:pt>
                <c:pt idx="6">
                  <c:v>2013/P1</c:v>
                </c:pt>
              </c:strCache>
            </c:strRef>
          </c:cat>
          <c:val>
            <c:numRef>
              <c:f>List2!$B$2:$H$2</c:f>
              <c:numCache>
                <c:formatCode>#,##0</c:formatCode>
                <c:ptCount val="7"/>
                <c:pt idx="0">
                  <c:v>17815130120</c:v>
                </c:pt>
                <c:pt idx="1">
                  <c:v>16296298081</c:v>
                </c:pt>
                <c:pt idx="2">
                  <c:v>17509640258</c:v>
                </c:pt>
                <c:pt idx="3">
                  <c:v>16389461182</c:v>
                </c:pt>
                <c:pt idx="4">
                  <c:v>18776532115</c:v>
                </c:pt>
                <c:pt idx="5">
                  <c:v>17143342158</c:v>
                </c:pt>
                <c:pt idx="6">
                  <c:v>17783376227</c:v>
                </c:pt>
              </c:numCache>
            </c:numRef>
          </c:val>
        </c:ser>
        <c:ser>
          <c:idx val="1"/>
          <c:order val="1"/>
          <c:tx>
            <c:strRef>
              <c:f>List2!$A$3</c:f>
              <c:strCache>
                <c:ptCount val="1"/>
                <c:pt idx="0">
                  <c:v>ZULP</c:v>
                </c:pt>
              </c:strCache>
            </c:strRef>
          </c:tx>
          <c:invertIfNegative val="0"/>
          <c:cat>
            <c:strRef>
              <c:f>List2!$B$1:$H$1</c:f>
              <c:strCache>
                <c:ptCount val="7"/>
                <c:pt idx="0">
                  <c:v>2010/P1</c:v>
                </c:pt>
                <c:pt idx="1">
                  <c:v>2010/P2</c:v>
                </c:pt>
                <c:pt idx="2">
                  <c:v>2011/P1</c:v>
                </c:pt>
                <c:pt idx="3">
                  <c:v>2011/P2</c:v>
                </c:pt>
                <c:pt idx="4">
                  <c:v>2012/P1</c:v>
                </c:pt>
                <c:pt idx="5">
                  <c:v>2012/P2</c:v>
                </c:pt>
                <c:pt idx="6">
                  <c:v>2013/P1</c:v>
                </c:pt>
              </c:strCache>
            </c:strRef>
          </c:cat>
          <c:val>
            <c:numRef>
              <c:f>List2!$B$3:$H$3</c:f>
              <c:numCache>
                <c:formatCode>#,##0</c:formatCode>
                <c:ptCount val="7"/>
                <c:pt idx="0">
                  <c:v>6917822766</c:v>
                </c:pt>
                <c:pt idx="1">
                  <c:v>7619838180</c:v>
                </c:pt>
                <c:pt idx="2">
                  <c:v>7860159744</c:v>
                </c:pt>
                <c:pt idx="3">
                  <c:v>7362196149</c:v>
                </c:pt>
                <c:pt idx="4">
                  <c:v>7529983250</c:v>
                </c:pt>
                <c:pt idx="5">
                  <c:v>7482144700</c:v>
                </c:pt>
                <c:pt idx="6">
                  <c:v>8324668307</c:v>
                </c:pt>
              </c:numCache>
            </c:numRef>
          </c:val>
        </c:ser>
        <c:dLbls>
          <c:showLegendKey val="0"/>
          <c:showVal val="0"/>
          <c:showCatName val="0"/>
          <c:showSerName val="0"/>
          <c:showPercent val="0"/>
          <c:showBubbleSize val="0"/>
        </c:dLbls>
        <c:gapWidth val="150"/>
        <c:axId val="114653824"/>
        <c:axId val="114663808"/>
      </c:barChart>
      <c:catAx>
        <c:axId val="114653824"/>
        <c:scaling>
          <c:orientation val="minMax"/>
        </c:scaling>
        <c:delete val="0"/>
        <c:axPos val="b"/>
        <c:majorTickMark val="out"/>
        <c:minorTickMark val="none"/>
        <c:tickLblPos val="nextTo"/>
        <c:txPr>
          <a:bodyPr/>
          <a:lstStyle/>
          <a:p>
            <a:pPr>
              <a:defRPr sz="1100"/>
            </a:pPr>
            <a:endParaRPr lang="cs-CZ"/>
          </a:p>
        </c:txPr>
        <c:crossAx val="114663808"/>
        <c:crosses val="autoZero"/>
        <c:auto val="1"/>
        <c:lblAlgn val="ctr"/>
        <c:lblOffset val="100"/>
        <c:noMultiLvlLbl val="0"/>
      </c:catAx>
      <c:valAx>
        <c:axId val="114663808"/>
        <c:scaling>
          <c:orientation val="minMax"/>
        </c:scaling>
        <c:delete val="0"/>
        <c:axPos val="l"/>
        <c:majorGridlines/>
        <c:numFmt formatCode="#,##0" sourceLinked="1"/>
        <c:majorTickMark val="out"/>
        <c:minorTickMark val="none"/>
        <c:tickLblPos val="nextTo"/>
        <c:txPr>
          <a:bodyPr/>
          <a:lstStyle/>
          <a:p>
            <a:pPr>
              <a:defRPr sz="1100"/>
            </a:pPr>
            <a:endParaRPr lang="cs-CZ"/>
          </a:p>
        </c:txPr>
        <c:crossAx val="114653824"/>
        <c:crosses val="autoZero"/>
        <c:crossBetween val="between"/>
        <c:dispUnits>
          <c:builtInUnit val="billions"/>
          <c:dispUnitsLbl>
            <c:tx>
              <c:rich>
                <a:bodyPr/>
                <a:lstStyle/>
                <a:p>
                  <a:pPr>
                    <a:defRPr sz="1200"/>
                  </a:pPr>
                  <a:r>
                    <a:rPr lang="cs-CZ" sz="1200"/>
                    <a:t>Miliardy Kč</a:t>
                  </a:r>
                </a:p>
              </c:rich>
            </c:tx>
          </c:dispUnitsLbl>
        </c:dispUnits>
      </c:valAx>
    </c:plotArea>
    <c:legend>
      <c:legendPos val="b"/>
      <c:overlay val="0"/>
      <c:txPr>
        <a:bodyPr/>
        <a:lstStyle/>
        <a:p>
          <a:pPr>
            <a:defRPr sz="1200"/>
          </a:pPr>
          <a:endParaRPr lang="cs-CZ"/>
        </a:p>
      </c:txPr>
    </c:legend>
    <c:plotVisOnly val="1"/>
    <c:dispBlanksAs val="gap"/>
    <c:showDLblsOverMax val="0"/>
  </c:chart>
  <c:txPr>
    <a:bodyPr/>
    <a:lstStyle/>
    <a:p>
      <a:pPr>
        <a:defRPr sz="1800"/>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sablona_prezentace 1">
    <a:dk1>
      <a:srgbClr val="003D61"/>
    </a:dk1>
    <a:lt1>
      <a:srgbClr val="FFFFFF"/>
    </a:lt1>
    <a:dk2>
      <a:srgbClr val="FFFFFF"/>
    </a:dk2>
    <a:lt2>
      <a:srgbClr val="858585"/>
    </a:lt2>
    <a:accent1>
      <a:srgbClr val="FDBB30"/>
    </a:accent1>
    <a:accent2>
      <a:srgbClr val="C2CD23"/>
    </a:accent2>
    <a:accent3>
      <a:srgbClr val="FFFFFF"/>
    </a:accent3>
    <a:accent4>
      <a:srgbClr val="003352"/>
    </a:accent4>
    <a:accent5>
      <a:srgbClr val="FEDAAD"/>
    </a:accent5>
    <a:accent6>
      <a:srgbClr val="B0BA1F"/>
    </a:accent6>
    <a:hlink>
      <a:srgbClr val="003D61"/>
    </a:hlink>
    <a:folHlink>
      <a:srgbClr val="858585"/>
    </a:folHlink>
  </a:clrScheme>
  <a:fontScheme name="sablona_prezentace">
    <a:majorFont>
      <a:latin typeface="GillSans"/>
      <a:ea typeface=""/>
      <a:cs typeface=""/>
    </a:majorFont>
    <a:minorFont>
      <a:latin typeface="GillSans"/>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sablona_prezentace 1">
    <a:dk1>
      <a:srgbClr val="003D61"/>
    </a:dk1>
    <a:lt1>
      <a:srgbClr val="FFFFFF"/>
    </a:lt1>
    <a:dk2>
      <a:srgbClr val="FFFFFF"/>
    </a:dk2>
    <a:lt2>
      <a:srgbClr val="858585"/>
    </a:lt2>
    <a:accent1>
      <a:srgbClr val="FDBB30"/>
    </a:accent1>
    <a:accent2>
      <a:srgbClr val="C2CD23"/>
    </a:accent2>
    <a:accent3>
      <a:srgbClr val="FFFFFF"/>
    </a:accent3>
    <a:accent4>
      <a:srgbClr val="003352"/>
    </a:accent4>
    <a:accent5>
      <a:srgbClr val="FEDAAD"/>
    </a:accent5>
    <a:accent6>
      <a:srgbClr val="B0BA1F"/>
    </a:accent6>
    <a:hlink>
      <a:srgbClr val="003D61"/>
    </a:hlink>
    <a:folHlink>
      <a:srgbClr val="858585"/>
    </a:folHlink>
  </a:clrScheme>
  <a:fontScheme name="sablona_prezentace">
    <a:majorFont>
      <a:latin typeface="GillSans"/>
      <a:ea typeface=""/>
      <a:cs typeface=""/>
    </a:majorFont>
    <a:minorFont>
      <a:latin typeface="GillSans"/>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26D1-057E-464A-A8C9-40659078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4859</Words>
  <Characters>28672</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Situace v českém lázeňství</vt:lpstr>
    </vt:vector>
  </TitlesOfParts>
  <Company>MZČR</Company>
  <LinksUpToDate>false</LinksUpToDate>
  <CharactersWithSpaces>33465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Situace v českém lázeňství</dc:title>
  <dc:subject>aktualizováno k 17. 5. 2013</dc:subject>
  <dc:creator>Ministerstvo zdravotnictví</dc:creator>
  <cp:lastModifiedBy>Vepřek Pavel MUDr.</cp:lastModifiedBy>
  <cp:revision>4</cp:revision>
  <cp:lastPrinted>2013-10-08T06:51:00Z</cp:lastPrinted>
  <dcterms:created xsi:type="dcterms:W3CDTF">2013-11-26T09:01:00Z</dcterms:created>
  <dcterms:modified xsi:type="dcterms:W3CDTF">2013-11-26T13:29:00Z</dcterms:modified>
</cp:coreProperties>
</file>