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B" w:rsidRPr="00D81A7B" w:rsidRDefault="00DE2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Akční karta</w:t>
      </w:r>
      <w:r w:rsidR="00320C40">
        <w:rPr>
          <w:b/>
          <w:sz w:val="28"/>
          <w:szCs w:val="28"/>
        </w:rPr>
        <w:t xml:space="preserve"> </w:t>
      </w:r>
      <w:r w:rsidR="0065260F">
        <w:rPr>
          <w:b/>
          <w:sz w:val="28"/>
          <w:szCs w:val="28"/>
        </w:rPr>
        <w:t xml:space="preserve">č. 5 - </w:t>
      </w:r>
      <w:r w:rsidR="00320C40">
        <w:rPr>
          <w:b/>
          <w:sz w:val="28"/>
          <w:szCs w:val="28"/>
        </w:rPr>
        <w:t xml:space="preserve">MSP </w:t>
      </w:r>
      <w:r w:rsidR="0065260F">
        <w:rPr>
          <w:b/>
          <w:sz w:val="28"/>
          <w:szCs w:val="28"/>
        </w:rPr>
        <w:t>a t</w:t>
      </w:r>
      <w:r w:rsidR="004A1BCD">
        <w:rPr>
          <w:b/>
          <w:sz w:val="28"/>
          <w:szCs w:val="28"/>
        </w:rPr>
        <w:t>echnické vzdělávání</w:t>
      </w:r>
      <w:r w:rsidR="00A74E21">
        <w:rPr>
          <w:b/>
          <w:sz w:val="28"/>
          <w:szCs w:val="28"/>
        </w:rPr>
        <w:t xml:space="preserve"> 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1129"/>
        <w:gridCol w:w="1394"/>
        <w:gridCol w:w="3348"/>
        <w:gridCol w:w="78"/>
        <w:gridCol w:w="1856"/>
        <w:gridCol w:w="1381"/>
        <w:gridCol w:w="28"/>
      </w:tblGrid>
      <w:tr w:rsidR="00712197" w:rsidRPr="00D81A7B" w:rsidTr="005851FD">
        <w:trPr>
          <w:gridAfter w:val="1"/>
          <w:wAfter w:w="28" w:type="dxa"/>
          <w:trHeight w:val="323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Aktivita/úkol/opatření</w:t>
            </w:r>
          </w:p>
        </w:tc>
        <w:tc>
          <w:tcPr>
            <w:tcW w:w="6663" w:type="dxa"/>
            <w:gridSpan w:val="4"/>
            <w:noWrap/>
          </w:tcPr>
          <w:p w:rsidR="00EF1101" w:rsidRPr="00D81A7B" w:rsidRDefault="00A74E21" w:rsidP="00786947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Větší propagace</w:t>
            </w:r>
            <w:r w:rsidR="00CA3EBB">
              <w:rPr>
                <w:rFonts w:asciiTheme="minorHAnsi" w:hAnsiTheme="minorHAnsi" w:cstheme="minorHAnsi"/>
                <w:bCs/>
                <w:i/>
              </w:rPr>
              <w:t xml:space="preserve"> technického vzdělávání na všech úrovních školského systému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– podpora řemesel v návaznosti na iniciativu Řemeslo</w:t>
            </w:r>
            <w:r w:rsidR="00EF1101" w:rsidRPr="00EF1101">
              <w:rPr>
                <w:rFonts w:asciiTheme="minorHAnsi" w:hAnsiTheme="minorHAnsi" w:cstheme="minorHAnsi"/>
                <w:bCs/>
                <w:i/>
              </w:rPr>
              <w:t xml:space="preserve"> 4.0.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A3EBB">
              <w:rPr>
                <w:rFonts w:asciiTheme="minorHAnsi" w:hAnsiTheme="minorHAnsi" w:cstheme="minorHAnsi"/>
                <w:bCs/>
                <w:i/>
              </w:rPr>
              <w:t>a Průmysl 4.0.</w:t>
            </w:r>
            <w:r w:rsidR="00371359">
              <w:rPr>
                <w:rFonts w:asciiTheme="minorHAnsi" w:hAnsiTheme="minorHAnsi" w:cstheme="minorHAnsi"/>
                <w:bCs/>
                <w:i/>
              </w:rPr>
              <w:t>(2.3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body 1</w:t>
            </w:r>
            <w:r w:rsidR="001449DD">
              <w:rPr>
                <w:rFonts w:asciiTheme="minorHAnsi" w:hAnsiTheme="minorHAnsi" w:cstheme="minorHAnsi"/>
                <w:bCs/>
                <w:i/>
              </w:rPr>
              <w:t>8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- 2</w:t>
            </w:r>
            <w:r w:rsidR="001449DD">
              <w:rPr>
                <w:rFonts w:asciiTheme="minorHAnsi" w:hAnsiTheme="minorHAnsi" w:cstheme="minorHAnsi"/>
                <w:bCs/>
                <w:i/>
              </w:rPr>
              <w:t>1</w:t>
            </w:r>
            <w:bookmarkStart w:id="0" w:name="_GoBack"/>
            <w:bookmarkEnd w:id="0"/>
            <w:r w:rsidR="00EF1101">
              <w:rPr>
                <w:rFonts w:asciiTheme="minorHAnsi" w:hAnsiTheme="minorHAnsi" w:cstheme="minorHAnsi"/>
                <w:bCs/>
                <w:i/>
              </w:rPr>
              <w:t>)</w:t>
            </w:r>
            <w:r w:rsidR="00CA3EB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CA3EBB" w:rsidDel="00CA3EBB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Nástroj realizace opatření</w:t>
            </w:r>
          </w:p>
        </w:tc>
        <w:tc>
          <w:tcPr>
            <w:tcW w:w="6663" w:type="dxa"/>
            <w:gridSpan w:val="4"/>
            <w:noWrap/>
          </w:tcPr>
          <w:p w:rsidR="00EF1101" w:rsidRDefault="00A74E21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Zajistit zvýšení finanční bonifikace pro střední školy s technickými obory. Cílem je posílení resp. zvýšení počtů absolventů technických oborů.</w:t>
            </w:r>
          </w:p>
          <w:p w:rsidR="00A74E21" w:rsidRPr="00D81A7B" w:rsidRDefault="00A74E21" w:rsidP="00A47C3B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Zpracovat metodiku hodnocení a stimulace pro ředitele středních škol, aby efektivněji upřednostňovali technické obory. Motivovat žáky a rodiče pro výběr technických oborů</w:t>
            </w:r>
            <w:r w:rsidR="00A47C3B">
              <w:rPr>
                <w:rFonts w:asciiTheme="minorHAnsi" w:hAnsiTheme="minorHAnsi" w:cstheme="minorHAnsi"/>
                <w:bCs/>
                <w:i/>
              </w:rPr>
              <w:t xml:space="preserve"> studia a MSP k realizaci praktického vyučování na svých pracovištích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. </w:t>
            </w:r>
            <w:r w:rsidR="00CA3EBB">
              <w:rPr>
                <w:rFonts w:asciiTheme="minorHAnsi" w:hAnsiTheme="minorHAnsi" w:cstheme="minorHAnsi"/>
                <w:bCs/>
                <w:i/>
              </w:rPr>
              <w:t>Motivovat vysoké školy k adaptaci výukového procesu k potřebám čtvrté průmyslové revoluce.</w:t>
            </w:r>
          </w:p>
        </w:tc>
      </w:tr>
      <w:tr w:rsidR="00712197" w:rsidRPr="00D81A7B" w:rsidTr="005851FD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4E6643" w:rsidRPr="00D81A7B" w:rsidRDefault="00F36715" w:rsidP="00EB5382">
            <w:pPr>
              <w:spacing w:after="0"/>
              <w:rPr>
                <w:rFonts w:asciiTheme="minorHAnsi" w:hAnsiTheme="minorHAnsi" w:cstheme="minorHAnsi"/>
                <w:bCs/>
                <w:shd w:val="pct15" w:color="auto" w:fill="FFFFFF"/>
              </w:rPr>
            </w:pPr>
            <w:r w:rsidRPr="00D81A7B">
              <w:rPr>
                <w:rFonts w:asciiTheme="minorHAnsi" w:hAnsiTheme="minorHAnsi" w:cstheme="minorHAnsi"/>
                <w:bCs/>
              </w:rPr>
              <w:t>Z</w:t>
            </w:r>
            <w:r w:rsidR="00923F6F" w:rsidRPr="00D81A7B">
              <w:rPr>
                <w:rFonts w:asciiTheme="minorHAnsi" w:hAnsiTheme="minorHAnsi" w:cstheme="minorHAnsi"/>
                <w:bCs/>
              </w:rPr>
              <w:t xml:space="preserve">důvodnění a popis </w:t>
            </w:r>
          </w:p>
        </w:tc>
        <w:tc>
          <w:tcPr>
            <w:tcW w:w="6663" w:type="dxa"/>
            <w:gridSpan w:val="4"/>
            <w:noWrap/>
          </w:tcPr>
          <w:p w:rsidR="00D647E6" w:rsidRPr="00E97F20" w:rsidRDefault="00D647E6" w:rsidP="00D647E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97F20">
              <w:rPr>
                <w:rFonts w:asciiTheme="minorHAnsi" w:hAnsiTheme="minorHAnsi" w:cstheme="minorHAnsi"/>
                <w:bCs/>
              </w:rPr>
              <w:t>V současné době roste význam odborného vzdělávání studentů i pracovníků, a to zejména při současných potřebách průmyslového sektoru, pro který je odborné technické a jazykové vzdělání pracovní síly jedním ze základních předpokladů pro udržení konkurenceschopnosti na trhu. Obzvláště vzdělání v technických oborech je stále žádanější kvalifikací na českém trhu práce vzhledem k tomu, že dnes v řadě oborů schází dostatek mladých pracovníků, kteří by mohli vystřídat zkušené odborníky odcházející do důchodu.</w:t>
            </w:r>
          </w:p>
          <w:p w:rsidR="000324DE" w:rsidRDefault="00D647E6" w:rsidP="00D647E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E97F20">
              <w:rPr>
                <w:rFonts w:asciiTheme="minorHAnsi" w:hAnsiTheme="minorHAnsi" w:cstheme="minorHAnsi"/>
                <w:bCs/>
              </w:rPr>
              <w:t xml:space="preserve">Obecně uplatnění vědeckých a technických poznatků v nejrůznějších odvětvích hrají klíčovou úlohu pro společenský rozvoj a hospodářský růst země. Dynamický se rozvíjející globalizace nutí jednotlivé státy vyvíjet dodatečná úsilí ke zlepšení podmínek pro výzkum, vývoj a inovace. </w:t>
            </w:r>
          </w:p>
          <w:p w:rsidR="00E97F20" w:rsidRPr="00DE5083" w:rsidRDefault="00E97F20" w:rsidP="00A47C3B">
            <w:pPr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Posílením středních škol </w:t>
            </w:r>
            <w:r w:rsidR="001C5B64">
              <w:rPr>
                <w:rFonts w:asciiTheme="minorHAnsi" w:hAnsiTheme="minorHAnsi" w:cstheme="minorHAnsi"/>
                <w:bCs/>
              </w:rPr>
              <w:t xml:space="preserve">v otázce zvýhodnění technických oborů a motivace žaků ke studiu těchto </w:t>
            </w:r>
            <w:r w:rsidR="00A47C3B">
              <w:rPr>
                <w:rFonts w:asciiTheme="minorHAnsi" w:hAnsiTheme="minorHAnsi" w:cstheme="minorHAnsi"/>
                <w:bCs/>
              </w:rPr>
              <w:t>o</w:t>
            </w:r>
            <w:r w:rsidR="001C5B64">
              <w:rPr>
                <w:rFonts w:asciiTheme="minorHAnsi" w:hAnsiTheme="minorHAnsi" w:cstheme="minorHAnsi"/>
                <w:bCs/>
              </w:rPr>
              <w:t>borů zajistíme dostatek kvalifikovaných pracovníků pro další období</w:t>
            </w:r>
            <w:r w:rsidR="00A47C3B">
              <w:rPr>
                <w:rFonts w:asciiTheme="minorHAnsi" w:hAnsiTheme="minorHAnsi" w:cstheme="minorHAnsi"/>
                <w:bCs/>
              </w:rPr>
              <w:t xml:space="preserve">. Dále je třeba propagovat možnost daňových odpočtů pro investice do vzdělávání, aby se navýšil počet MSP, které realizují praktické vyučování žáků na svých pracovištích. </w:t>
            </w:r>
          </w:p>
        </w:tc>
      </w:tr>
      <w:tr w:rsidR="00712197" w:rsidRPr="00D81A7B" w:rsidTr="005851FD">
        <w:trPr>
          <w:gridAfter w:val="1"/>
          <w:wAfter w:w="28" w:type="dxa"/>
          <w:trHeight w:val="454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712197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Cíl</w:t>
            </w:r>
            <w:r w:rsidR="000324DE">
              <w:rPr>
                <w:rFonts w:asciiTheme="minorHAnsi" w:hAnsiTheme="minorHAnsi" w:cstheme="minorHAnsi"/>
                <w:bCs/>
              </w:rPr>
              <w:t>(e)</w:t>
            </w:r>
            <w:r w:rsidRPr="00D81A7B">
              <w:rPr>
                <w:rFonts w:asciiTheme="minorHAnsi" w:hAnsiTheme="minorHAnsi" w:cstheme="minorHAnsi"/>
                <w:bCs/>
              </w:rPr>
              <w:t xml:space="preserve">:  </w:t>
            </w:r>
          </w:p>
        </w:tc>
        <w:tc>
          <w:tcPr>
            <w:tcW w:w="6663" w:type="dxa"/>
            <w:gridSpan w:val="4"/>
          </w:tcPr>
          <w:p w:rsidR="00FA0C3E" w:rsidRPr="007F781B" w:rsidRDefault="001C5B64" w:rsidP="000324D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Zvýšení počtů absolventů technických oborů a kvalifikované pracovní síly</w:t>
            </w:r>
          </w:p>
        </w:tc>
      </w:tr>
      <w:tr w:rsidR="009A4ABE" w:rsidRPr="00D81A7B" w:rsidTr="005851FD">
        <w:trPr>
          <w:gridAfter w:val="1"/>
          <w:wAfter w:w="28" w:type="dxa"/>
          <w:trHeight w:val="628"/>
        </w:trPr>
        <w:tc>
          <w:tcPr>
            <w:tcW w:w="2552" w:type="dxa"/>
            <w:gridSpan w:val="3"/>
            <w:noWrap/>
          </w:tcPr>
          <w:p w:rsidR="009A4ABE" w:rsidRDefault="009A4ABE" w:rsidP="0072055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Předpoklad doby realizace opatření</w:t>
            </w:r>
          </w:p>
        </w:tc>
        <w:tc>
          <w:tcPr>
            <w:tcW w:w="6663" w:type="dxa"/>
            <w:gridSpan w:val="4"/>
            <w:noWrap/>
          </w:tcPr>
          <w:p w:rsidR="009A4ABE" w:rsidRPr="00C34D00" w:rsidRDefault="00FA0C3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Druhá 1/2 roku 2017</w:t>
            </w:r>
          </w:p>
        </w:tc>
      </w:tr>
      <w:tr w:rsidR="00744C35" w:rsidRPr="00D81A7B" w:rsidTr="005851FD">
        <w:trPr>
          <w:gridAfter w:val="1"/>
          <w:wAfter w:w="28" w:type="dxa"/>
          <w:trHeight w:val="202"/>
        </w:trPr>
        <w:tc>
          <w:tcPr>
            <w:tcW w:w="2552" w:type="dxa"/>
            <w:gridSpan w:val="3"/>
            <w:vMerge w:val="restart"/>
            <w:noWrap/>
          </w:tcPr>
          <w:p w:rsidR="005851FD" w:rsidRPr="00D81A7B" w:rsidRDefault="00744C35" w:rsidP="005851F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Odpovědnost za </w:t>
            </w:r>
            <w:r w:rsidR="005851FD" w:rsidRPr="00D81A7B">
              <w:rPr>
                <w:rFonts w:asciiTheme="minorHAnsi" w:hAnsiTheme="minorHAnsi" w:cstheme="minorHAnsi"/>
                <w:bCs/>
              </w:rPr>
              <w:t>realizaci</w:t>
            </w:r>
            <w:r w:rsidR="005851FD">
              <w:rPr>
                <w:rFonts w:asciiTheme="minorHAnsi" w:hAnsiTheme="minorHAnsi" w:cstheme="minorHAnsi"/>
                <w:bCs/>
              </w:rPr>
              <w:t xml:space="preserve"> = nositel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t xml:space="preserve">aktivity </w:t>
            </w:r>
          </w:p>
        </w:tc>
        <w:tc>
          <w:tcPr>
            <w:tcW w:w="3348" w:type="dxa"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Organizace</w:t>
            </w:r>
          </w:p>
        </w:tc>
        <w:tc>
          <w:tcPr>
            <w:tcW w:w="3315" w:type="dxa"/>
            <w:gridSpan w:val="3"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Spolugestor</w:t>
            </w:r>
            <w:proofErr w:type="spellEnd"/>
          </w:p>
        </w:tc>
      </w:tr>
      <w:tr w:rsidR="00744C35" w:rsidRPr="00D81A7B" w:rsidTr="005851FD">
        <w:trPr>
          <w:gridAfter w:val="1"/>
          <w:wAfter w:w="28" w:type="dxa"/>
          <w:trHeight w:val="201"/>
        </w:trPr>
        <w:tc>
          <w:tcPr>
            <w:tcW w:w="2552" w:type="dxa"/>
            <w:gridSpan w:val="3"/>
            <w:vMerge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8" w:type="dxa"/>
            <w:noWrap/>
          </w:tcPr>
          <w:p w:rsidR="00744C35" w:rsidRPr="00D81A7B" w:rsidRDefault="001C5B64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MŠMT</w:t>
            </w:r>
          </w:p>
        </w:tc>
        <w:tc>
          <w:tcPr>
            <w:tcW w:w="3315" w:type="dxa"/>
            <w:gridSpan w:val="3"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9A4ABE" w:rsidRPr="00D81A7B" w:rsidTr="005851FD">
        <w:trPr>
          <w:gridAfter w:val="1"/>
          <w:wAfter w:w="28" w:type="dxa"/>
          <w:trHeight w:val="358"/>
        </w:trPr>
        <w:tc>
          <w:tcPr>
            <w:tcW w:w="2552" w:type="dxa"/>
            <w:gridSpan w:val="3"/>
            <w:noWrap/>
          </w:tcPr>
          <w:p w:rsidR="009A4ABE" w:rsidRPr="00D81A7B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Zdroj </w:t>
            </w:r>
            <w:r w:rsidRPr="00D81A7B">
              <w:rPr>
                <w:rFonts w:asciiTheme="minorHAnsi" w:hAnsiTheme="minorHAnsi" w:cstheme="minorHAnsi"/>
                <w:bCs/>
              </w:rPr>
              <w:t xml:space="preserve">financování </w:t>
            </w:r>
          </w:p>
        </w:tc>
        <w:tc>
          <w:tcPr>
            <w:tcW w:w="6663" w:type="dxa"/>
            <w:gridSpan w:val="4"/>
            <w:noWrap/>
          </w:tcPr>
          <w:p w:rsidR="009A4ABE" w:rsidRPr="00D81A7B" w:rsidRDefault="009A6D3F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SR</w:t>
            </w:r>
          </w:p>
        </w:tc>
      </w:tr>
      <w:tr w:rsidR="005851FD" w:rsidRPr="00D81A7B" w:rsidTr="005851FD">
        <w:trPr>
          <w:gridAfter w:val="1"/>
          <w:wAfter w:w="28" w:type="dxa"/>
          <w:trHeight w:val="528"/>
        </w:trPr>
        <w:tc>
          <w:tcPr>
            <w:tcW w:w="2552" w:type="dxa"/>
            <w:gridSpan w:val="3"/>
            <w:noWrap/>
            <w:hideMark/>
          </w:tcPr>
          <w:p w:rsidR="005851FD" w:rsidRPr="00D81A7B" w:rsidRDefault="005851FD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Rozpočet </w:t>
            </w:r>
            <w:r w:rsidRPr="00D81A7B">
              <w:rPr>
                <w:rFonts w:asciiTheme="minorHAnsi" w:hAnsiTheme="minorHAnsi" w:cstheme="minorHAnsi"/>
                <w:bCs/>
              </w:rPr>
              <w:br/>
              <w:t>(odhad)</w:t>
            </w:r>
          </w:p>
        </w:tc>
        <w:tc>
          <w:tcPr>
            <w:tcW w:w="6663" w:type="dxa"/>
            <w:gridSpan w:val="4"/>
            <w:noWrap/>
            <w:hideMark/>
          </w:tcPr>
          <w:p w:rsidR="005851FD" w:rsidRPr="00D81A7B" w:rsidRDefault="009A6D3F" w:rsidP="003417F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Zatím nespecifikováno</w:t>
            </w:r>
          </w:p>
        </w:tc>
      </w:tr>
      <w:tr w:rsidR="00712197" w:rsidRPr="00D81A7B" w:rsidTr="005851FD">
        <w:trPr>
          <w:gridAfter w:val="1"/>
          <w:wAfter w:w="28" w:type="dxa"/>
          <w:trHeight w:val="481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5B0F2B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Partneři či spolupracující subjekty </w:t>
            </w:r>
          </w:p>
        </w:tc>
        <w:tc>
          <w:tcPr>
            <w:tcW w:w="6663" w:type="dxa"/>
            <w:gridSpan w:val="4"/>
            <w:noWrap/>
          </w:tcPr>
          <w:p w:rsidR="00712197" w:rsidRPr="005B0F2B" w:rsidRDefault="00033219" w:rsidP="001C5B64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5B0F2B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</w:tc>
      </w:tr>
      <w:tr w:rsidR="005C6972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trHeight w:val="536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72" w:rsidRPr="00C34D00" w:rsidRDefault="007C61E8" w:rsidP="009A4AB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34D00">
              <w:rPr>
                <w:rFonts w:asciiTheme="minorHAnsi" w:hAnsiTheme="minorHAnsi" w:cstheme="minorHAnsi"/>
                <w:b/>
                <w:bCs/>
              </w:rPr>
              <w:lastRenderedPageBreak/>
              <w:t>Plán aktivit</w:t>
            </w:r>
            <w:r w:rsidR="00EF1101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1"/>
            </w:r>
            <w:r w:rsidR="008A4F46" w:rsidRPr="00C34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61E8" w:rsidRPr="005851FD" w:rsidRDefault="007C61E8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Aktivita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Popis</w:t>
            </w:r>
            <w:r w:rsidR="005851FD" w:rsidRPr="005851FD">
              <w:rPr>
                <w:rFonts w:asciiTheme="minorHAnsi" w:hAnsiTheme="minorHAnsi" w:cstheme="minorHAnsi"/>
                <w:bCs/>
              </w:rPr>
              <w:t xml:space="preserve"> plnění průběžně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EC562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Zodpovídá</w:t>
            </w:r>
            <w:r w:rsidR="00EC562B" w:rsidRPr="005851FD">
              <w:rPr>
                <w:rFonts w:asciiTheme="minorHAnsi" w:hAnsiTheme="minorHAnsi" w:cstheme="minorHAnsi"/>
                <w:bCs/>
              </w:rPr>
              <w:t xml:space="preserve"> (organizace)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Termín realizace</w:t>
            </w:r>
          </w:p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(od- do)</w:t>
            </w: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D81A7B">
            <w:pPr>
              <w:pStyle w:val="nazev"/>
              <w:numPr>
                <w:ilvl w:val="0"/>
                <w:numId w:val="0"/>
              </w:numPr>
              <w:ind w:left="1134" w:hanging="1134"/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  <w:tr w:rsidR="007C61E8" w:rsidRPr="00D81A7B" w:rsidTr="005851F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7C61E8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</w:p>
        </w:tc>
      </w:tr>
    </w:tbl>
    <w:p w:rsidR="00D81A7B" w:rsidRPr="00EC562B" w:rsidRDefault="00D81A7B">
      <w:pPr>
        <w:rPr>
          <w:rFonts w:ascii="Arial Narrow" w:hAnsi="Arial Narrow"/>
          <w:sz w:val="20"/>
          <w:szCs w:val="20"/>
        </w:rPr>
      </w:pPr>
    </w:p>
    <w:sectPr w:rsidR="00D81A7B" w:rsidRPr="00EC562B" w:rsidSect="000F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53" w:rsidRDefault="00AF4E53" w:rsidP="00EF1101">
      <w:pPr>
        <w:spacing w:after="0" w:line="240" w:lineRule="auto"/>
      </w:pPr>
      <w:r>
        <w:separator/>
      </w:r>
    </w:p>
  </w:endnote>
  <w:endnote w:type="continuationSeparator" w:id="0">
    <w:p w:rsidR="00AF4E53" w:rsidRDefault="00AF4E53" w:rsidP="00E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53" w:rsidRDefault="00AF4E53" w:rsidP="00EF1101">
      <w:pPr>
        <w:spacing w:after="0" w:line="240" w:lineRule="auto"/>
      </w:pPr>
      <w:r>
        <w:separator/>
      </w:r>
    </w:p>
  </w:footnote>
  <w:footnote w:type="continuationSeparator" w:id="0">
    <w:p w:rsidR="00AF4E53" w:rsidRDefault="00AF4E53" w:rsidP="00EF1101">
      <w:pPr>
        <w:spacing w:after="0" w:line="240" w:lineRule="auto"/>
      </w:pPr>
      <w:r>
        <w:continuationSeparator/>
      </w:r>
    </w:p>
  </w:footnote>
  <w:footnote w:id="1">
    <w:p w:rsidR="00EF1101" w:rsidRDefault="00EF1101">
      <w:pPr>
        <w:pStyle w:val="Textpoznpodarou"/>
      </w:pPr>
      <w:r>
        <w:rPr>
          <w:rStyle w:val="Znakapoznpodarou"/>
        </w:rPr>
        <w:footnoteRef/>
      </w:r>
      <w:r>
        <w:t xml:space="preserve"> Průběžné plnění zadaného úkolu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62"/>
    <w:multiLevelType w:val="multilevel"/>
    <w:tmpl w:val="0322A98A"/>
    <w:lvl w:ilvl="0">
      <w:start w:val="1"/>
      <w:numFmt w:val="upperRoman"/>
      <w:pStyle w:val="Nadpis1"/>
      <w:lvlText w:val="%1"/>
      <w:lvlJc w:val="left"/>
      <w:pPr>
        <w:tabs>
          <w:tab w:val="num" w:pos="408"/>
        </w:tabs>
        <w:ind w:left="408" w:hanging="480"/>
      </w:pPr>
      <w:rPr>
        <w:rFonts w:ascii="Arial" w:hAnsi="Arial" w:cs="Times New Roman" w:hint="default"/>
        <w:b/>
        <w:i w:val="0"/>
        <w:color w:val="000080"/>
        <w:sz w:val="28"/>
        <w:szCs w:val="28"/>
      </w:rPr>
    </w:lvl>
    <w:lvl w:ilvl="1">
      <w:start w:val="1"/>
      <w:numFmt w:val="decimal"/>
      <w:pStyle w:val="StylNadpis2Tun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3E5200"/>
    <w:multiLevelType w:val="hybridMultilevel"/>
    <w:tmpl w:val="A9C69082"/>
    <w:lvl w:ilvl="0" w:tplc="D940084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F00"/>
    <w:multiLevelType w:val="hybridMultilevel"/>
    <w:tmpl w:val="08006CF2"/>
    <w:lvl w:ilvl="0" w:tplc="905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97"/>
    <w:rsid w:val="000324DE"/>
    <w:rsid w:val="00033219"/>
    <w:rsid w:val="00055B00"/>
    <w:rsid w:val="0007467A"/>
    <w:rsid w:val="000E1EA4"/>
    <w:rsid w:val="000F5D44"/>
    <w:rsid w:val="00100182"/>
    <w:rsid w:val="00132ED7"/>
    <w:rsid w:val="00143048"/>
    <w:rsid w:val="001449DD"/>
    <w:rsid w:val="00152BA4"/>
    <w:rsid w:val="00182CFC"/>
    <w:rsid w:val="001A23E1"/>
    <w:rsid w:val="001C5B64"/>
    <w:rsid w:val="002E4322"/>
    <w:rsid w:val="00320C40"/>
    <w:rsid w:val="003417F8"/>
    <w:rsid w:val="00371359"/>
    <w:rsid w:val="00387800"/>
    <w:rsid w:val="003F497E"/>
    <w:rsid w:val="00407CDC"/>
    <w:rsid w:val="004A1BCD"/>
    <w:rsid w:val="004A7BF0"/>
    <w:rsid w:val="004E6643"/>
    <w:rsid w:val="00542454"/>
    <w:rsid w:val="00553DD0"/>
    <w:rsid w:val="00561627"/>
    <w:rsid w:val="00574108"/>
    <w:rsid w:val="00575CF3"/>
    <w:rsid w:val="005851FD"/>
    <w:rsid w:val="005A2638"/>
    <w:rsid w:val="005B0F2B"/>
    <w:rsid w:val="005C6972"/>
    <w:rsid w:val="005F5FE0"/>
    <w:rsid w:val="0065260F"/>
    <w:rsid w:val="006E21D1"/>
    <w:rsid w:val="006F1E29"/>
    <w:rsid w:val="00705752"/>
    <w:rsid w:val="00712197"/>
    <w:rsid w:val="00720556"/>
    <w:rsid w:val="00742AA5"/>
    <w:rsid w:val="00744C35"/>
    <w:rsid w:val="00786947"/>
    <w:rsid w:val="007C61E8"/>
    <w:rsid w:val="007E4974"/>
    <w:rsid w:val="007F781B"/>
    <w:rsid w:val="008300E5"/>
    <w:rsid w:val="008902FE"/>
    <w:rsid w:val="00892AE7"/>
    <w:rsid w:val="008A4F46"/>
    <w:rsid w:val="008B7738"/>
    <w:rsid w:val="00923F6F"/>
    <w:rsid w:val="009A4ABE"/>
    <w:rsid w:val="009A6D3F"/>
    <w:rsid w:val="009E1135"/>
    <w:rsid w:val="00A47C3B"/>
    <w:rsid w:val="00A721A3"/>
    <w:rsid w:val="00A74E21"/>
    <w:rsid w:val="00AC726A"/>
    <w:rsid w:val="00AE0693"/>
    <w:rsid w:val="00AF4E53"/>
    <w:rsid w:val="00B17922"/>
    <w:rsid w:val="00B17E80"/>
    <w:rsid w:val="00B263A9"/>
    <w:rsid w:val="00BD6110"/>
    <w:rsid w:val="00C22FA8"/>
    <w:rsid w:val="00C34D00"/>
    <w:rsid w:val="00CA3EBB"/>
    <w:rsid w:val="00D647E6"/>
    <w:rsid w:val="00D81A7B"/>
    <w:rsid w:val="00DE2F82"/>
    <w:rsid w:val="00DE5083"/>
    <w:rsid w:val="00E12A50"/>
    <w:rsid w:val="00E97F20"/>
    <w:rsid w:val="00EB5382"/>
    <w:rsid w:val="00EC562B"/>
    <w:rsid w:val="00EF1101"/>
    <w:rsid w:val="00EF1A52"/>
    <w:rsid w:val="00F161F5"/>
    <w:rsid w:val="00F36715"/>
    <w:rsid w:val="00FA0C3E"/>
    <w:rsid w:val="00FC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97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6972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5C6972"/>
    <w:pPr>
      <w:spacing w:before="240" w:after="60"/>
      <w:outlineLvl w:val="1"/>
    </w:pPr>
    <w:rPr>
      <w:rFonts w:cs="Arial"/>
      <w:b w:val="0"/>
      <w:bCs w:val="0"/>
      <w:i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5C6972"/>
    <w:pPr>
      <w:numPr>
        <w:ilvl w:val="2"/>
      </w:numPr>
      <w:outlineLvl w:val="2"/>
    </w:pPr>
    <w:rPr>
      <w:i w:val="0"/>
      <w:sz w:val="20"/>
      <w:szCs w:val="26"/>
    </w:rPr>
  </w:style>
  <w:style w:type="paragraph" w:styleId="Nadpis5">
    <w:name w:val="heading 5"/>
    <w:basedOn w:val="Normln"/>
    <w:next w:val="Normln"/>
    <w:link w:val="Nadpis5Char"/>
    <w:qFormat/>
    <w:rsid w:val="005C6972"/>
    <w:pPr>
      <w:keepNext/>
      <w:spacing w:before="40" w:after="40" w:line="240" w:lineRule="auto"/>
      <w:outlineLvl w:val="4"/>
    </w:pPr>
    <w:rPr>
      <w:rFonts w:ascii="Arial" w:eastAsia="Times New Roman" w:hAnsi="Arial"/>
      <w:b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922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5C6972"/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C6972"/>
    <w:rPr>
      <w:rFonts w:ascii="Arial" w:eastAsia="Times New Roman" w:hAnsi="Arial" w:cs="Arial"/>
      <w:i/>
      <w:iCs/>
      <w:color w:val="000080"/>
      <w:lang w:eastAsia="cs-CZ"/>
    </w:rPr>
  </w:style>
  <w:style w:type="character" w:customStyle="1" w:styleId="Nadpis3Char">
    <w:name w:val="Nadpis 3 Char"/>
    <w:basedOn w:val="Standardnpsmoodstavce"/>
    <w:link w:val="Nadpis3"/>
    <w:rsid w:val="005C6972"/>
    <w:rPr>
      <w:rFonts w:ascii="Arial" w:eastAsia="Times New Roman" w:hAnsi="Arial" w:cs="Arial"/>
      <w:iCs/>
      <w:color w:val="000080"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C6972"/>
    <w:rPr>
      <w:rFonts w:ascii="Arial" w:eastAsia="Times New Roman" w:hAnsi="Arial" w:cs="Times New Roman"/>
      <w:b/>
      <w:sz w:val="20"/>
      <w:szCs w:val="20"/>
      <w:lang w:val="sk-SK" w:eastAsia="sk-SK"/>
    </w:rPr>
  </w:style>
  <w:style w:type="paragraph" w:customStyle="1" w:styleId="StylNadpis2Tun">
    <w:name w:val="Styl Nadpis 2 + Tučné"/>
    <w:basedOn w:val="Nadpis2"/>
    <w:rsid w:val="005C6972"/>
    <w:pPr>
      <w:numPr>
        <w:ilvl w:val="1"/>
      </w:numPr>
    </w:pPr>
    <w:rPr>
      <w:b/>
      <w:bCs/>
      <w:i w:val="0"/>
      <w:sz w:val="24"/>
      <w:szCs w:val="24"/>
    </w:rPr>
  </w:style>
  <w:style w:type="paragraph" w:customStyle="1" w:styleId="nazev">
    <w:name w:val="nazev"/>
    <w:basedOn w:val="Normln"/>
    <w:rsid w:val="005C6972"/>
    <w:pPr>
      <w:numPr>
        <w:numId w:val="2"/>
      </w:numPr>
      <w:spacing w:after="0" w:line="240" w:lineRule="auto"/>
    </w:pPr>
    <w:rPr>
      <w:rFonts w:ascii="Arial" w:eastAsia="Times New Roman" w:hAnsi="Arial"/>
      <w:sz w:val="20"/>
      <w:szCs w:val="20"/>
      <w:lang w:val="en-US" w:eastAsia="sk-SK"/>
    </w:rPr>
  </w:style>
  <w:style w:type="paragraph" w:styleId="Odstavecseseznamem">
    <w:name w:val="List Paragraph"/>
    <w:basedOn w:val="Normln"/>
    <w:uiPriority w:val="34"/>
    <w:qFormat/>
    <w:rsid w:val="00744C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1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101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F1101"/>
    <w:rPr>
      <w:vertAlign w:val="superscript"/>
    </w:rPr>
  </w:style>
  <w:style w:type="paragraph" w:customStyle="1" w:styleId="a">
    <w:uiPriority w:val="20"/>
    <w:qFormat/>
    <w:rsid w:val="00D647E6"/>
    <w:rPr>
      <w:rFonts w:ascii="Calibri" w:eastAsia="Calibri" w:hAnsi="Calibri" w:cs="Times New Roman"/>
      <w:lang w:eastAsia="en-US"/>
    </w:rPr>
  </w:style>
  <w:style w:type="character" w:styleId="Zvraznn">
    <w:name w:val="Emphasis"/>
    <w:basedOn w:val="Standardnpsmoodstavce"/>
    <w:uiPriority w:val="20"/>
    <w:qFormat/>
    <w:rsid w:val="00D64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C635-E998-41E5-88B2-E861264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Chládek | JIC</dc:creator>
  <cp:lastModifiedBy>OSPZV3 ospzv3</cp:lastModifiedBy>
  <cp:revision>2</cp:revision>
  <cp:lastPrinted>2017-05-16T07:26:00Z</cp:lastPrinted>
  <dcterms:created xsi:type="dcterms:W3CDTF">2017-05-16T07:27:00Z</dcterms:created>
  <dcterms:modified xsi:type="dcterms:W3CDTF">2017-05-16T07:27:00Z</dcterms:modified>
</cp:coreProperties>
</file>