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62B" w:rsidRPr="00E44C7B" w:rsidRDefault="00EF2A7E">
      <w:pPr>
        <w:rPr>
          <w:rFonts w:asciiTheme="minorHAnsi" w:hAnsiTheme="minorHAnsi"/>
          <w:b/>
          <w:sz w:val="28"/>
          <w:szCs w:val="28"/>
        </w:rPr>
      </w:pPr>
      <w:r>
        <w:rPr>
          <w:rFonts w:asciiTheme="minorHAnsi" w:hAnsiTheme="minorHAnsi"/>
          <w:b/>
          <w:sz w:val="28"/>
          <w:szCs w:val="28"/>
        </w:rPr>
        <w:t>Akční karta č. 2</w:t>
      </w:r>
      <w:r w:rsidR="00976648">
        <w:rPr>
          <w:rFonts w:asciiTheme="minorHAnsi" w:hAnsiTheme="minorHAnsi"/>
          <w:b/>
          <w:sz w:val="28"/>
          <w:szCs w:val="28"/>
        </w:rPr>
        <w:t xml:space="preserve"> – Snížení pokut za nezveřejněné dokumenty</w:t>
      </w:r>
    </w:p>
    <w:tbl>
      <w:tblPr>
        <w:tblW w:w="924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
        <w:gridCol w:w="1129"/>
        <w:gridCol w:w="1394"/>
        <w:gridCol w:w="3348"/>
        <w:gridCol w:w="78"/>
        <w:gridCol w:w="1856"/>
        <w:gridCol w:w="1381"/>
        <w:gridCol w:w="28"/>
      </w:tblGrid>
      <w:tr w:rsidR="00712197" w:rsidRPr="00E44C7B" w:rsidTr="005851FD">
        <w:trPr>
          <w:gridAfter w:val="1"/>
          <w:wAfter w:w="28" w:type="dxa"/>
          <w:trHeight w:val="323"/>
        </w:trPr>
        <w:tc>
          <w:tcPr>
            <w:tcW w:w="2552" w:type="dxa"/>
            <w:gridSpan w:val="3"/>
            <w:noWrap/>
          </w:tcPr>
          <w:p w:rsidR="00712197" w:rsidRPr="00E44C7B" w:rsidRDefault="009A4ABE" w:rsidP="001C4A95">
            <w:pPr>
              <w:spacing w:after="0"/>
              <w:rPr>
                <w:rFonts w:asciiTheme="minorHAnsi" w:hAnsiTheme="minorHAnsi" w:cstheme="minorHAnsi"/>
                <w:bCs/>
              </w:rPr>
            </w:pPr>
            <w:r w:rsidRPr="00E44C7B">
              <w:rPr>
                <w:rFonts w:asciiTheme="minorHAnsi" w:hAnsiTheme="minorHAnsi" w:cstheme="minorHAnsi"/>
                <w:bCs/>
              </w:rPr>
              <w:t>Aktivita/úkol/opatření</w:t>
            </w:r>
          </w:p>
        </w:tc>
        <w:tc>
          <w:tcPr>
            <w:tcW w:w="6663" w:type="dxa"/>
            <w:gridSpan w:val="4"/>
            <w:noWrap/>
          </w:tcPr>
          <w:p w:rsidR="00712197" w:rsidRPr="000925F1" w:rsidRDefault="00BD5E90" w:rsidP="00003F3B">
            <w:pPr>
              <w:spacing w:after="0"/>
              <w:rPr>
                <w:rFonts w:asciiTheme="minorHAnsi" w:hAnsiTheme="minorHAnsi" w:cstheme="minorHAnsi"/>
                <w:bCs/>
                <w:i/>
              </w:rPr>
            </w:pPr>
            <w:r w:rsidRPr="000925F1">
              <w:rPr>
                <w:rFonts w:asciiTheme="minorHAnsi" w:hAnsiTheme="minorHAnsi"/>
                <w:i/>
              </w:rPr>
              <w:t>Snížení</w:t>
            </w:r>
            <w:r w:rsidR="00267E10" w:rsidRPr="000925F1">
              <w:rPr>
                <w:rFonts w:asciiTheme="minorHAnsi" w:hAnsiTheme="minorHAnsi"/>
                <w:i/>
              </w:rPr>
              <w:t xml:space="preserve"> výše</w:t>
            </w:r>
            <w:r w:rsidR="00003F3B" w:rsidRPr="000925F1">
              <w:rPr>
                <w:rFonts w:asciiTheme="minorHAnsi" w:hAnsiTheme="minorHAnsi"/>
                <w:i/>
              </w:rPr>
              <w:t xml:space="preserve"> </w:t>
            </w:r>
            <w:r w:rsidR="00267E10" w:rsidRPr="000925F1">
              <w:rPr>
                <w:rFonts w:asciiTheme="minorHAnsi" w:hAnsiTheme="minorHAnsi"/>
                <w:i/>
              </w:rPr>
              <w:t>pokut za nezveřejněné účetní výkazy a </w:t>
            </w:r>
            <w:r w:rsidR="00E44C7B" w:rsidRPr="000925F1">
              <w:rPr>
                <w:rFonts w:asciiTheme="minorHAnsi" w:hAnsiTheme="minorHAnsi"/>
                <w:i/>
              </w:rPr>
              <w:t>obchodní dokumenty</w:t>
            </w:r>
            <w:r w:rsidR="00003F3B" w:rsidRPr="000925F1">
              <w:rPr>
                <w:rFonts w:asciiTheme="minorHAnsi" w:hAnsiTheme="minorHAnsi"/>
                <w:i/>
              </w:rPr>
              <w:t xml:space="preserve"> - </w:t>
            </w:r>
            <w:r w:rsidR="006F167E" w:rsidRPr="000925F1">
              <w:rPr>
                <w:rFonts w:asciiTheme="minorHAnsi" w:hAnsiTheme="minorHAnsi"/>
                <w:i/>
              </w:rPr>
              <w:t>prioritní oblast 2.1</w:t>
            </w:r>
            <w:r w:rsidR="00003F3B" w:rsidRPr="000925F1">
              <w:rPr>
                <w:rFonts w:asciiTheme="minorHAnsi" w:hAnsiTheme="minorHAnsi"/>
                <w:i/>
              </w:rPr>
              <w:t xml:space="preserve">, </w:t>
            </w:r>
            <w:r w:rsidR="006F167E" w:rsidRPr="000925F1">
              <w:rPr>
                <w:rFonts w:asciiTheme="minorHAnsi" w:hAnsiTheme="minorHAnsi"/>
                <w:i/>
              </w:rPr>
              <w:t>bod 4</w:t>
            </w:r>
          </w:p>
        </w:tc>
      </w:tr>
      <w:tr w:rsidR="00712197" w:rsidRPr="00E44C7B" w:rsidTr="005851FD">
        <w:trPr>
          <w:gridAfter w:val="1"/>
          <w:wAfter w:w="28" w:type="dxa"/>
          <w:trHeight w:val="321"/>
        </w:trPr>
        <w:tc>
          <w:tcPr>
            <w:tcW w:w="2552" w:type="dxa"/>
            <w:gridSpan w:val="3"/>
            <w:noWrap/>
          </w:tcPr>
          <w:p w:rsidR="00712197" w:rsidRPr="00364F99" w:rsidRDefault="009A4ABE" w:rsidP="001C4A95">
            <w:pPr>
              <w:spacing w:after="0"/>
              <w:rPr>
                <w:rFonts w:asciiTheme="minorHAnsi" w:hAnsiTheme="minorHAnsi" w:cstheme="minorHAnsi"/>
                <w:bCs/>
              </w:rPr>
            </w:pPr>
            <w:r w:rsidRPr="00364F99">
              <w:rPr>
                <w:rFonts w:asciiTheme="minorHAnsi" w:hAnsiTheme="minorHAnsi" w:cstheme="minorHAnsi"/>
                <w:bCs/>
              </w:rPr>
              <w:t>Nástroj realizace opatření</w:t>
            </w:r>
          </w:p>
        </w:tc>
        <w:tc>
          <w:tcPr>
            <w:tcW w:w="6663" w:type="dxa"/>
            <w:gridSpan w:val="4"/>
            <w:noWrap/>
          </w:tcPr>
          <w:p w:rsidR="00100182" w:rsidRPr="000925F1" w:rsidRDefault="00267E10" w:rsidP="00003F3B">
            <w:pPr>
              <w:spacing w:after="0"/>
              <w:rPr>
                <w:rFonts w:asciiTheme="minorHAnsi" w:hAnsiTheme="minorHAnsi" w:cstheme="minorHAnsi"/>
                <w:bCs/>
                <w:i/>
              </w:rPr>
            </w:pPr>
            <w:r w:rsidRPr="000925F1">
              <w:rPr>
                <w:rFonts w:asciiTheme="minorHAnsi" w:hAnsiTheme="minorHAnsi" w:cstheme="minorHAnsi"/>
                <w:bCs/>
                <w:i/>
              </w:rPr>
              <w:t>Úprav</w:t>
            </w:r>
            <w:r w:rsidR="007A4FF9" w:rsidRPr="000925F1">
              <w:rPr>
                <w:rFonts w:asciiTheme="minorHAnsi" w:hAnsiTheme="minorHAnsi" w:cstheme="minorHAnsi"/>
                <w:bCs/>
                <w:i/>
              </w:rPr>
              <w:t>a</w:t>
            </w:r>
            <w:r w:rsidRPr="000925F1">
              <w:rPr>
                <w:rFonts w:asciiTheme="minorHAnsi" w:hAnsiTheme="minorHAnsi" w:cstheme="minorHAnsi"/>
                <w:bCs/>
                <w:i/>
              </w:rPr>
              <w:t xml:space="preserve"> příslušných</w:t>
            </w:r>
            <w:r w:rsidR="00D4503A" w:rsidRPr="000925F1">
              <w:rPr>
                <w:rFonts w:asciiTheme="minorHAnsi" w:hAnsiTheme="minorHAnsi" w:cstheme="minorHAnsi"/>
                <w:bCs/>
                <w:i/>
              </w:rPr>
              <w:t xml:space="preserve"> právních předpisů:</w:t>
            </w:r>
            <w:r w:rsidRPr="000925F1">
              <w:rPr>
                <w:rFonts w:asciiTheme="minorHAnsi" w:hAnsiTheme="minorHAnsi" w:cstheme="minorHAnsi"/>
                <w:bCs/>
                <w:i/>
              </w:rPr>
              <w:t xml:space="preserve"> </w:t>
            </w:r>
            <w:r w:rsidR="00364F99" w:rsidRPr="000925F1">
              <w:rPr>
                <w:rFonts w:asciiTheme="minorHAnsi" w:hAnsiTheme="minorHAnsi" w:cstheme="minorHAnsi"/>
                <w:bCs/>
                <w:i/>
              </w:rPr>
              <w:t>zákona č. 304/2013 Sb., o veřejných rejstřícíc</w:t>
            </w:r>
            <w:r w:rsidR="00E22ED9" w:rsidRPr="000925F1">
              <w:rPr>
                <w:rFonts w:asciiTheme="minorHAnsi" w:hAnsiTheme="minorHAnsi" w:cstheme="minorHAnsi"/>
                <w:bCs/>
                <w:i/>
              </w:rPr>
              <w:t>h právnických a fyzických osob</w:t>
            </w:r>
            <w:r w:rsidR="00364F99" w:rsidRPr="000925F1">
              <w:rPr>
                <w:rFonts w:asciiTheme="minorHAnsi" w:hAnsiTheme="minorHAnsi" w:cstheme="minorHAnsi"/>
                <w:bCs/>
                <w:i/>
              </w:rPr>
              <w:t xml:space="preserve">, </w:t>
            </w:r>
            <w:r w:rsidRPr="000925F1">
              <w:rPr>
                <w:rFonts w:asciiTheme="minorHAnsi" w:hAnsiTheme="minorHAnsi" w:cstheme="minorHAnsi"/>
                <w:bCs/>
                <w:i/>
              </w:rPr>
              <w:t>zákona č. 563/1991 Sb., o účetnictví</w:t>
            </w:r>
            <w:r w:rsidR="00364F99" w:rsidRPr="000925F1">
              <w:rPr>
                <w:rFonts w:asciiTheme="minorHAnsi" w:hAnsiTheme="minorHAnsi" w:cstheme="minorHAnsi"/>
                <w:bCs/>
                <w:i/>
              </w:rPr>
              <w:t xml:space="preserve">, </w:t>
            </w:r>
            <w:r w:rsidRPr="000925F1">
              <w:rPr>
                <w:rFonts w:asciiTheme="minorHAnsi" w:hAnsiTheme="minorHAnsi" w:cstheme="minorHAnsi"/>
                <w:bCs/>
                <w:i/>
              </w:rPr>
              <w:t>obchodního zákoníku</w:t>
            </w:r>
            <w:r w:rsidR="00E44C7B" w:rsidRPr="000925F1">
              <w:rPr>
                <w:rFonts w:asciiTheme="minorHAnsi" w:hAnsiTheme="minorHAnsi" w:cstheme="minorHAnsi"/>
                <w:bCs/>
                <w:i/>
              </w:rPr>
              <w:t xml:space="preserve"> č. </w:t>
            </w:r>
            <w:r w:rsidR="00731CC2" w:rsidRPr="000925F1">
              <w:rPr>
                <w:rFonts w:asciiTheme="minorHAnsi" w:hAnsiTheme="minorHAnsi" w:cstheme="minorHAnsi"/>
                <w:bCs/>
                <w:i/>
              </w:rPr>
              <w:t>513/1991 Sb.</w:t>
            </w:r>
            <w:r w:rsidR="00364F99" w:rsidRPr="000925F1">
              <w:rPr>
                <w:rFonts w:asciiTheme="minorHAnsi" w:hAnsiTheme="minorHAnsi" w:cstheme="minorHAnsi"/>
                <w:bCs/>
                <w:i/>
              </w:rPr>
              <w:t xml:space="preserve"> a</w:t>
            </w:r>
            <w:r w:rsidRPr="000925F1">
              <w:rPr>
                <w:rFonts w:asciiTheme="minorHAnsi" w:hAnsiTheme="minorHAnsi" w:cstheme="minorHAnsi"/>
                <w:bCs/>
                <w:i/>
              </w:rPr>
              <w:t xml:space="preserve"> </w:t>
            </w:r>
            <w:r w:rsidR="00364F99" w:rsidRPr="000925F1">
              <w:rPr>
                <w:rFonts w:asciiTheme="minorHAnsi" w:hAnsiTheme="minorHAnsi" w:cstheme="minorHAnsi"/>
                <w:bCs/>
                <w:i/>
              </w:rPr>
              <w:t>zákona č. 90/2012 Sb., o</w:t>
            </w:r>
            <w:bookmarkStart w:id="0" w:name="_GoBack"/>
            <w:bookmarkEnd w:id="0"/>
            <w:r w:rsidR="00364F99" w:rsidRPr="000925F1">
              <w:rPr>
                <w:rFonts w:asciiTheme="minorHAnsi" w:hAnsiTheme="minorHAnsi" w:cstheme="minorHAnsi"/>
                <w:bCs/>
                <w:i/>
              </w:rPr>
              <w:t xml:space="preserve"> obchodních společnostech a družstvech. </w:t>
            </w:r>
          </w:p>
        </w:tc>
      </w:tr>
      <w:tr w:rsidR="00712197" w:rsidRPr="00E44C7B" w:rsidTr="005851FD">
        <w:trPr>
          <w:gridAfter w:val="1"/>
          <w:wAfter w:w="28" w:type="dxa"/>
          <w:trHeight w:val="321"/>
        </w:trPr>
        <w:tc>
          <w:tcPr>
            <w:tcW w:w="2552" w:type="dxa"/>
            <w:gridSpan w:val="3"/>
            <w:noWrap/>
          </w:tcPr>
          <w:p w:rsidR="004E6643" w:rsidRPr="00364F99" w:rsidRDefault="00F36715" w:rsidP="00EB5382">
            <w:pPr>
              <w:spacing w:after="0"/>
              <w:rPr>
                <w:rFonts w:asciiTheme="minorHAnsi" w:hAnsiTheme="minorHAnsi" w:cstheme="minorHAnsi"/>
                <w:bCs/>
                <w:shd w:val="pct15" w:color="auto" w:fill="FFFFFF"/>
              </w:rPr>
            </w:pPr>
            <w:r w:rsidRPr="00364F99">
              <w:rPr>
                <w:rFonts w:asciiTheme="minorHAnsi" w:hAnsiTheme="minorHAnsi" w:cstheme="minorHAnsi"/>
                <w:bCs/>
              </w:rPr>
              <w:t>Z</w:t>
            </w:r>
            <w:r w:rsidR="00923F6F" w:rsidRPr="00364F99">
              <w:rPr>
                <w:rFonts w:asciiTheme="minorHAnsi" w:hAnsiTheme="minorHAnsi" w:cstheme="minorHAnsi"/>
                <w:bCs/>
              </w:rPr>
              <w:t xml:space="preserve">důvodnění a popis </w:t>
            </w:r>
          </w:p>
        </w:tc>
        <w:tc>
          <w:tcPr>
            <w:tcW w:w="6663" w:type="dxa"/>
            <w:gridSpan w:val="4"/>
            <w:noWrap/>
          </w:tcPr>
          <w:p w:rsidR="00364F99" w:rsidRPr="000925F1" w:rsidRDefault="00364F99" w:rsidP="00003F3B">
            <w:pPr>
              <w:spacing w:after="0"/>
              <w:rPr>
                <w:rFonts w:asciiTheme="minorHAnsi" w:hAnsiTheme="minorHAnsi" w:cstheme="minorHAnsi"/>
                <w:bCs/>
                <w:i/>
              </w:rPr>
            </w:pPr>
            <w:r w:rsidRPr="00BF2C9A">
              <w:rPr>
                <w:rFonts w:asciiTheme="minorHAnsi" w:hAnsiTheme="minorHAnsi" w:cstheme="minorHAnsi"/>
                <w:bCs/>
                <w:i/>
              </w:rPr>
              <w:t>Ustanovení </w:t>
            </w:r>
            <w:hyperlink r:id="rId5" w:tgtFrame="_blank" w:history="1">
              <w:r w:rsidRPr="00BF2C9A">
                <w:rPr>
                  <w:rFonts w:asciiTheme="minorHAnsi" w:hAnsiTheme="minorHAnsi" w:cstheme="minorHAnsi"/>
                  <w:bCs/>
                  <w:i/>
                </w:rPr>
                <w:t>§ 66 Rejstříkového zákona</w:t>
              </w:r>
            </w:hyperlink>
            <w:r w:rsidRPr="00BF2C9A">
              <w:rPr>
                <w:rFonts w:asciiTheme="minorHAnsi" w:hAnsiTheme="minorHAnsi" w:cstheme="minorHAnsi"/>
                <w:bCs/>
                <w:i/>
              </w:rPr>
              <w:t xml:space="preserve"> obsahuje výčet listin, které se povinně zakládají do veřejného rejstříku. Zapisovanými obchodními společnostmi jsou veřejná obchodní společnost, komanditní společnost, společnost s ručením omezeným a akciová společnost. Vedle nich také družstva (sociální a bytová) a evropská družstevní společnost. Právní regulaci založení a vzniku těchto právnických osob provádí zákon č. 90/2012 Sb., o obchodních společnostech a družstvech. Ve smyslu § 18 odst. 1, § 9 a 13a ve spojení s § 1 odst. 2 zákona o účetnictví jsou všechny obchodní společnosti a družstva povinny sestavit příslušnou účetní závěrku, zákon tak ve smyslu § 66 písm. c) zákona o účetnictví vyžaduje jejich vyhotovení. Pro všechny uvedené právní formy právnických osob </w:t>
            </w:r>
            <w:r w:rsidRPr="000925F1">
              <w:rPr>
                <w:rFonts w:asciiTheme="minorHAnsi" w:hAnsiTheme="minorHAnsi" w:cstheme="minorHAnsi"/>
                <w:bCs/>
                <w:i/>
              </w:rPr>
              <w:t xml:space="preserve">tedy platí nutnost zakládat účetní závěrku do sbírky listin. </w:t>
            </w:r>
            <w:r w:rsidR="00E44C7B" w:rsidRPr="000925F1">
              <w:rPr>
                <w:rFonts w:asciiTheme="minorHAnsi" w:hAnsiTheme="minorHAnsi" w:cstheme="minorHAnsi"/>
                <w:bCs/>
                <w:i/>
              </w:rPr>
              <w:t>Z</w:t>
            </w:r>
            <w:r w:rsidR="00D4503A" w:rsidRPr="000925F1">
              <w:rPr>
                <w:rFonts w:asciiTheme="minorHAnsi" w:hAnsiTheme="minorHAnsi" w:cstheme="minorHAnsi"/>
                <w:bCs/>
                <w:i/>
              </w:rPr>
              <w:t xml:space="preserve"> uvedených právních předpisů </w:t>
            </w:r>
            <w:r w:rsidR="00E44C7B" w:rsidRPr="000925F1">
              <w:rPr>
                <w:rFonts w:asciiTheme="minorHAnsi" w:hAnsiTheme="minorHAnsi" w:cstheme="minorHAnsi"/>
                <w:bCs/>
                <w:i/>
              </w:rPr>
              <w:t>vyplývá povinnost každoročně založit svou výroční zprávu a </w:t>
            </w:r>
            <w:r w:rsidR="00BD57F2" w:rsidRPr="000925F1">
              <w:rPr>
                <w:rFonts w:asciiTheme="minorHAnsi" w:hAnsiTheme="minorHAnsi" w:cstheme="minorHAnsi"/>
                <w:bCs/>
                <w:i/>
              </w:rPr>
              <w:t>účetní závěrku do s</w:t>
            </w:r>
            <w:r w:rsidR="00E44C7B" w:rsidRPr="000925F1">
              <w:rPr>
                <w:rFonts w:asciiTheme="minorHAnsi" w:hAnsiTheme="minorHAnsi" w:cstheme="minorHAnsi"/>
                <w:bCs/>
                <w:i/>
              </w:rPr>
              <w:t xml:space="preserve">bírky listin příslušného rejstříkového soudu. </w:t>
            </w:r>
            <w:r w:rsidR="002E0ADB" w:rsidRPr="000925F1">
              <w:rPr>
                <w:rFonts w:asciiTheme="minorHAnsi" w:hAnsiTheme="minorHAnsi" w:cstheme="minorHAnsi"/>
                <w:bCs/>
                <w:i/>
              </w:rPr>
              <w:t>V souladu s </w:t>
            </w:r>
            <w:hyperlink r:id="rId6" w:tgtFrame="_blank" w:history="1">
              <w:r w:rsidR="002E0ADB" w:rsidRPr="000925F1">
                <w:rPr>
                  <w:rFonts w:asciiTheme="minorHAnsi" w:hAnsiTheme="minorHAnsi" w:cstheme="minorHAnsi"/>
                  <w:bCs/>
                  <w:i/>
                </w:rPr>
                <w:t>§ 104 Rejstříkového zákona</w:t>
              </w:r>
            </w:hyperlink>
            <w:r w:rsidR="002E0ADB" w:rsidRPr="000925F1">
              <w:rPr>
                <w:rFonts w:asciiTheme="minorHAnsi" w:hAnsiTheme="minorHAnsi" w:cstheme="minorHAnsi"/>
                <w:bCs/>
                <w:i/>
              </w:rPr>
              <w:t xml:space="preserve"> může předseda senátu uložit pořádkovou pokutu zapsané osobě v případě, jestliže neuposlechla výzvy rejstříkového soudu, aby mu sdělila skutečnosti nebo předložila listiny potřebné k rozhodnutí v řízení zahájeném bez návrhu nebo aby mu předložila listiny, které podle tohoto nebo jiného zákona mají být založeny do sbírky listin. Pořádkovou pokutu lze takto uložit až do výše 100 000,- Kč. Pokud však zapsaná osoba nebude plnit svoji povinnost předkládat požadované listiny opakovaně nebo bude-li mít takové neplnění závažné důsledky pro třetí osoby a bude na tom právní zájem, může rejstříkový soud i bez návrhu zahájit řízení o zrušení zapsané osoby s likvidací dle </w:t>
            </w:r>
            <w:hyperlink r:id="rId7" w:tgtFrame="_blank" w:history="1">
              <w:r w:rsidR="002E0ADB" w:rsidRPr="000925F1">
                <w:rPr>
                  <w:rFonts w:asciiTheme="minorHAnsi" w:hAnsiTheme="minorHAnsi" w:cstheme="minorHAnsi"/>
                  <w:bCs/>
                  <w:i/>
                </w:rPr>
                <w:t>§ 105 Rejstříkového zákona</w:t>
              </w:r>
            </w:hyperlink>
            <w:r w:rsidR="002E0ADB" w:rsidRPr="000925F1">
              <w:rPr>
                <w:rFonts w:asciiTheme="minorHAnsi" w:hAnsiTheme="minorHAnsi" w:cstheme="minorHAnsi"/>
                <w:bCs/>
                <w:i/>
              </w:rPr>
              <w:t xml:space="preserve">. </w:t>
            </w:r>
          </w:p>
          <w:p w:rsidR="00E12A50" w:rsidRPr="00BF2C9A" w:rsidRDefault="002E0ADB" w:rsidP="00003F3B">
            <w:pPr>
              <w:spacing w:after="0"/>
              <w:rPr>
                <w:rFonts w:asciiTheme="minorHAnsi" w:hAnsiTheme="minorHAnsi" w:cstheme="minorHAnsi"/>
                <w:bCs/>
                <w:i/>
              </w:rPr>
            </w:pPr>
            <w:r w:rsidRPr="000925F1">
              <w:rPr>
                <w:rFonts w:asciiTheme="minorHAnsi" w:hAnsiTheme="minorHAnsi" w:cstheme="minorHAnsi"/>
                <w:bCs/>
                <w:i/>
              </w:rPr>
              <w:t>Porušením povinnosti řádně založit účetní závěrku do sbírky listin se však účetní jednotka může dopustit též správního deliktu dle zákona o účetnictví. Zákon zde rozlišuje přestupky účetních jednotek, které nejsou podnikatelé, a správní delikty „ostatních účetních jednotek“. Tak v prvně jmenovaném případě se účetní jednotka, která není podnikatelem, dopustí dle </w:t>
            </w:r>
            <w:hyperlink r:id="rId8" w:tgtFrame="_blank" w:history="1">
              <w:r w:rsidRPr="000925F1">
                <w:rPr>
                  <w:rFonts w:asciiTheme="minorHAnsi" w:hAnsiTheme="minorHAnsi" w:cstheme="minorHAnsi"/>
                  <w:bCs/>
                  <w:i/>
                </w:rPr>
                <w:t>§ 37 odst. 1 písm. g) zákona o účetnictví</w:t>
              </w:r>
            </w:hyperlink>
            <w:r w:rsidRPr="000925F1">
              <w:rPr>
                <w:rFonts w:asciiTheme="minorHAnsi" w:hAnsiTheme="minorHAnsi" w:cstheme="minorHAnsi"/>
                <w:bCs/>
                <w:i/>
              </w:rPr>
              <w:t xml:space="preserve"> přestupku tím, že nezveřejní účetní závěrku či výroční zprávu podle § 21 zákona o účetnictví. Následkem je pokuta až do výše 3% hodnoty aktiv celkem podle § 20 odst. 1 písm. a) bodu 1 zákona o účetnictví. Na straně druhé se, v souladu s </w:t>
            </w:r>
            <w:hyperlink r:id="rId9" w:tgtFrame="_blank" w:history="1">
              <w:r w:rsidRPr="000925F1">
                <w:rPr>
                  <w:rFonts w:asciiTheme="minorHAnsi" w:hAnsiTheme="minorHAnsi" w:cstheme="minorHAnsi"/>
                  <w:bCs/>
                  <w:i/>
                </w:rPr>
                <w:t>§ 37a odst. 1 písm. h) zákona o účetnictví</w:t>
              </w:r>
            </w:hyperlink>
            <w:r w:rsidRPr="000925F1">
              <w:rPr>
                <w:rFonts w:asciiTheme="minorHAnsi" w:hAnsiTheme="minorHAnsi" w:cstheme="minorHAnsi"/>
                <w:bCs/>
                <w:i/>
              </w:rPr>
              <w:t xml:space="preserve">, „účetní </w:t>
            </w:r>
            <w:r w:rsidRPr="00BF2C9A">
              <w:rPr>
                <w:rFonts w:asciiTheme="minorHAnsi" w:hAnsiTheme="minorHAnsi" w:cstheme="minorHAnsi"/>
                <w:bCs/>
                <w:i/>
              </w:rPr>
              <w:t xml:space="preserve">jednotka neuvedená v § 37 zákona o účetnictví nebo osoba odpovědná </w:t>
            </w:r>
            <w:r w:rsidRPr="00BF2C9A">
              <w:rPr>
                <w:rFonts w:asciiTheme="minorHAnsi" w:hAnsiTheme="minorHAnsi" w:cstheme="minorHAnsi"/>
                <w:bCs/>
                <w:i/>
              </w:rPr>
              <w:lastRenderedPageBreak/>
              <w:t>za vedení účetnictví“ dopustí správního de</w:t>
            </w:r>
            <w:r w:rsidRPr="000925F1">
              <w:rPr>
                <w:rFonts w:asciiTheme="minorHAnsi" w:hAnsiTheme="minorHAnsi" w:cstheme="minorHAnsi"/>
                <w:bCs/>
                <w:i/>
              </w:rPr>
              <w:t>liktu tím, že nezveřejní účetní závěrku nebo výroční zprávu podle § 21a zákona o účetnictví. Sankcí je pak opět pokuta až do výše 3% hodnoty aktiv celkem podle § 20 odst. 1 písm. a) bodu 1 zákona o účetnictví. Uvedené správní delikty poté v prvním stupni projednává finanční úřad, nestan</w:t>
            </w:r>
            <w:r w:rsidRPr="00BF2C9A">
              <w:rPr>
                <w:rFonts w:asciiTheme="minorHAnsi" w:hAnsiTheme="minorHAnsi" w:cstheme="minorHAnsi"/>
                <w:bCs/>
                <w:i/>
              </w:rPr>
              <w:t>oví-li zvláštní právní předpis jinak (</w:t>
            </w:r>
            <w:hyperlink r:id="rId10" w:tgtFrame="_blank" w:history="1">
              <w:r w:rsidRPr="00BF2C9A">
                <w:rPr>
                  <w:rFonts w:asciiTheme="minorHAnsi" w:hAnsiTheme="minorHAnsi" w:cstheme="minorHAnsi"/>
                  <w:bCs/>
                  <w:i/>
                </w:rPr>
                <w:t>§ 37ab odst. 4 zákona o účetnictví</w:t>
              </w:r>
            </w:hyperlink>
            <w:r w:rsidRPr="00BF2C9A">
              <w:rPr>
                <w:rFonts w:asciiTheme="minorHAnsi" w:hAnsiTheme="minorHAnsi" w:cstheme="minorHAnsi"/>
                <w:bCs/>
                <w:i/>
              </w:rPr>
              <w:t>).</w:t>
            </w:r>
          </w:p>
        </w:tc>
      </w:tr>
      <w:tr w:rsidR="00712197" w:rsidRPr="00E44C7B" w:rsidTr="005851FD">
        <w:trPr>
          <w:gridAfter w:val="1"/>
          <w:wAfter w:w="28" w:type="dxa"/>
          <w:trHeight w:val="454"/>
        </w:trPr>
        <w:tc>
          <w:tcPr>
            <w:tcW w:w="2552" w:type="dxa"/>
            <w:gridSpan w:val="3"/>
            <w:noWrap/>
            <w:hideMark/>
          </w:tcPr>
          <w:p w:rsidR="00712197" w:rsidRPr="00364F99" w:rsidRDefault="00712197" w:rsidP="009A4ABE">
            <w:pPr>
              <w:spacing w:after="0"/>
              <w:rPr>
                <w:rFonts w:asciiTheme="minorHAnsi" w:hAnsiTheme="minorHAnsi" w:cstheme="minorHAnsi"/>
                <w:bCs/>
              </w:rPr>
            </w:pPr>
            <w:r w:rsidRPr="00364F99">
              <w:rPr>
                <w:rFonts w:asciiTheme="minorHAnsi" w:hAnsiTheme="minorHAnsi" w:cstheme="minorHAnsi"/>
                <w:bCs/>
              </w:rPr>
              <w:lastRenderedPageBreak/>
              <w:t xml:space="preserve">Cíl:  </w:t>
            </w:r>
          </w:p>
        </w:tc>
        <w:tc>
          <w:tcPr>
            <w:tcW w:w="6663" w:type="dxa"/>
            <w:gridSpan w:val="4"/>
          </w:tcPr>
          <w:p w:rsidR="00712197" w:rsidRPr="00364F99" w:rsidRDefault="00BF2C9A" w:rsidP="00003F3B">
            <w:pPr>
              <w:spacing w:after="0"/>
              <w:rPr>
                <w:rFonts w:asciiTheme="minorHAnsi" w:hAnsiTheme="minorHAnsi" w:cstheme="minorHAnsi"/>
                <w:bCs/>
                <w:i/>
              </w:rPr>
            </w:pPr>
            <w:r w:rsidRPr="006F167E">
              <w:rPr>
                <w:rFonts w:asciiTheme="minorHAnsi" w:hAnsiTheme="minorHAnsi" w:cstheme="minorHAnsi"/>
                <w:bCs/>
                <w:i/>
              </w:rPr>
              <w:t xml:space="preserve">Návrh na snížení </w:t>
            </w:r>
            <w:r w:rsidR="00267E10" w:rsidRPr="006F167E">
              <w:rPr>
                <w:rFonts w:asciiTheme="minorHAnsi" w:hAnsiTheme="minorHAnsi" w:cstheme="minorHAnsi"/>
                <w:bCs/>
                <w:i/>
              </w:rPr>
              <w:t xml:space="preserve">sankce </w:t>
            </w:r>
            <w:r w:rsidRPr="006F167E">
              <w:rPr>
                <w:rFonts w:asciiTheme="minorHAnsi" w:hAnsiTheme="minorHAnsi" w:cstheme="minorHAnsi"/>
                <w:bCs/>
                <w:i/>
              </w:rPr>
              <w:t>správního</w:t>
            </w:r>
            <w:r w:rsidR="00364F99" w:rsidRPr="006F167E">
              <w:rPr>
                <w:rFonts w:asciiTheme="minorHAnsi" w:hAnsiTheme="minorHAnsi" w:cstheme="minorHAnsi"/>
                <w:bCs/>
                <w:i/>
              </w:rPr>
              <w:t xml:space="preserve"> deliktu/přestupku </w:t>
            </w:r>
            <w:r w:rsidR="00267E10" w:rsidRPr="006F167E">
              <w:rPr>
                <w:rFonts w:asciiTheme="minorHAnsi" w:hAnsiTheme="minorHAnsi" w:cstheme="minorHAnsi"/>
                <w:bCs/>
                <w:i/>
              </w:rPr>
              <w:t>ve srovnání s ostatními sousedními členskými státy EU, především Rakouska.</w:t>
            </w:r>
            <w:r w:rsidR="00E44C7B" w:rsidRPr="006F167E">
              <w:rPr>
                <w:rFonts w:asciiTheme="minorHAnsi" w:hAnsiTheme="minorHAnsi" w:cstheme="minorHAnsi"/>
                <w:bCs/>
                <w:i/>
              </w:rPr>
              <w:t xml:space="preserve"> Navrhuje se snížení sankcí</w:t>
            </w:r>
            <w:r w:rsidR="00BD5E90" w:rsidRPr="006F167E">
              <w:rPr>
                <w:rFonts w:asciiTheme="minorHAnsi" w:hAnsiTheme="minorHAnsi" w:cstheme="minorHAnsi"/>
                <w:bCs/>
                <w:i/>
              </w:rPr>
              <w:t xml:space="preserve"> (procenta z celkových aktiv) </w:t>
            </w:r>
            <w:r w:rsidRPr="006F167E">
              <w:rPr>
                <w:rFonts w:asciiTheme="minorHAnsi" w:hAnsiTheme="minorHAnsi" w:cstheme="minorHAnsi"/>
                <w:bCs/>
                <w:i/>
              </w:rPr>
              <w:t>a</w:t>
            </w:r>
            <w:r w:rsidR="00BD5E90" w:rsidRPr="006F167E">
              <w:rPr>
                <w:rFonts w:asciiTheme="minorHAnsi" w:hAnsiTheme="minorHAnsi" w:cstheme="minorHAnsi"/>
                <w:bCs/>
                <w:i/>
              </w:rPr>
              <w:t xml:space="preserve"> </w:t>
            </w:r>
            <w:r w:rsidRPr="006F167E">
              <w:rPr>
                <w:rFonts w:asciiTheme="minorHAnsi" w:hAnsiTheme="minorHAnsi" w:cstheme="minorHAnsi"/>
                <w:bCs/>
                <w:i/>
              </w:rPr>
              <w:t xml:space="preserve">posoudit </w:t>
            </w:r>
            <w:r w:rsidR="00BD5E90" w:rsidRPr="006F167E">
              <w:rPr>
                <w:rFonts w:asciiTheme="minorHAnsi" w:hAnsiTheme="minorHAnsi" w:cstheme="minorHAnsi"/>
                <w:bCs/>
                <w:i/>
              </w:rPr>
              <w:t xml:space="preserve">možnost </w:t>
            </w:r>
            <w:r w:rsidR="00E44C7B" w:rsidRPr="006F167E">
              <w:rPr>
                <w:rFonts w:asciiTheme="minorHAnsi" w:hAnsiTheme="minorHAnsi" w:cstheme="minorHAnsi"/>
                <w:bCs/>
                <w:i/>
              </w:rPr>
              <w:t>sdílení dat s finanční</w:t>
            </w:r>
            <w:r w:rsidR="002E0ADB" w:rsidRPr="006F167E">
              <w:rPr>
                <w:rFonts w:asciiTheme="minorHAnsi" w:hAnsiTheme="minorHAnsi" w:cstheme="minorHAnsi"/>
                <w:bCs/>
                <w:i/>
              </w:rPr>
              <w:t>mi</w:t>
            </w:r>
            <w:r w:rsidR="00E44C7B" w:rsidRPr="006F167E">
              <w:rPr>
                <w:rFonts w:asciiTheme="minorHAnsi" w:hAnsiTheme="minorHAnsi" w:cstheme="minorHAnsi"/>
                <w:bCs/>
                <w:i/>
              </w:rPr>
              <w:t xml:space="preserve"> </w:t>
            </w:r>
            <w:r w:rsidR="002E0ADB" w:rsidRPr="006F167E">
              <w:rPr>
                <w:rFonts w:asciiTheme="minorHAnsi" w:hAnsiTheme="minorHAnsi" w:cstheme="minorHAnsi"/>
                <w:bCs/>
                <w:i/>
              </w:rPr>
              <w:t>úřady</w:t>
            </w:r>
            <w:r w:rsidRPr="006F167E">
              <w:rPr>
                <w:rFonts w:asciiTheme="minorHAnsi" w:hAnsiTheme="minorHAnsi" w:cstheme="minorHAnsi"/>
                <w:bCs/>
                <w:i/>
              </w:rPr>
              <w:t>/rejstříkovým</w:t>
            </w:r>
            <w:r w:rsidR="00E44C7B" w:rsidRPr="006F167E">
              <w:rPr>
                <w:rFonts w:asciiTheme="minorHAnsi" w:hAnsiTheme="minorHAnsi" w:cstheme="minorHAnsi"/>
                <w:bCs/>
                <w:i/>
              </w:rPr>
              <w:t xml:space="preserve"> soud</w:t>
            </w:r>
            <w:r w:rsidRPr="006F167E">
              <w:rPr>
                <w:rFonts w:asciiTheme="minorHAnsi" w:hAnsiTheme="minorHAnsi" w:cstheme="minorHAnsi"/>
                <w:bCs/>
                <w:i/>
              </w:rPr>
              <w:t>em</w:t>
            </w:r>
            <w:r w:rsidR="00E44C7B" w:rsidRPr="006F167E">
              <w:rPr>
                <w:rFonts w:asciiTheme="minorHAnsi" w:hAnsiTheme="minorHAnsi" w:cstheme="minorHAnsi"/>
                <w:bCs/>
                <w:i/>
              </w:rPr>
              <w:t xml:space="preserve"> </w:t>
            </w:r>
            <w:r w:rsidR="007A4FF9">
              <w:rPr>
                <w:rFonts w:asciiTheme="minorHAnsi" w:hAnsiTheme="minorHAnsi" w:cstheme="minorHAnsi"/>
                <w:bCs/>
                <w:i/>
              </w:rPr>
              <w:t>s</w:t>
            </w:r>
            <w:r w:rsidR="006F167E">
              <w:rPr>
                <w:rFonts w:asciiTheme="minorHAnsi" w:hAnsiTheme="minorHAnsi" w:cstheme="minorHAnsi"/>
                <w:bCs/>
                <w:i/>
              </w:rPr>
              <w:t xml:space="preserve"> „omezen</w:t>
            </w:r>
            <w:r w:rsidR="007A4FF9">
              <w:rPr>
                <w:rFonts w:asciiTheme="minorHAnsi" w:hAnsiTheme="minorHAnsi" w:cstheme="minorHAnsi"/>
                <w:bCs/>
                <w:i/>
              </w:rPr>
              <w:t>ou</w:t>
            </w:r>
            <w:r w:rsidRPr="006F167E">
              <w:rPr>
                <w:rFonts w:asciiTheme="minorHAnsi" w:hAnsiTheme="minorHAnsi" w:cstheme="minorHAnsi"/>
                <w:bCs/>
                <w:i/>
              </w:rPr>
              <w:t> </w:t>
            </w:r>
            <w:r w:rsidR="006F167E">
              <w:rPr>
                <w:rFonts w:asciiTheme="minorHAnsi" w:hAnsiTheme="minorHAnsi" w:cstheme="minorHAnsi"/>
                <w:bCs/>
                <w:i/>
              </w:rPr>
              <w:t>možnosti</w:t>
            </w:r>
            <w:r w:rsidR="007A4FF9">
              <w:rPr>
                <w:rFonts w:asciiTheme="minorHAnsi" w:hAnsiTheme="minorHAnsi" w:cstheme="minorHAnsi"/>
                <w:bCs/>
                <w:i/>
              </w:rPr>
              <w:t xml:space="preserve"> p</w:t>
            </w:r>
            <w:r w:rsidR="00BD5E90" w:rsidRPr="006F167E">
              <w:rPr>
                <w:rFonts w:asciiTheme="minorHAnsi" w:hAnsiTheme="minorHAnsi" w:cstheme="minorHAnsi"/>
                <w:bCs/>
                <w:i/>
              </w:rPr>
              <w:t>řístup</w:t>
            </w:r>
            <w:r w:rsidRPr="006F167E">
              <w:rPr>
                <w:rFonts w:asciiTheme="minorHAnsi" w:hAnsiTheme="minorHAnsi" w:cstheme="minorHAnsi"/>
                <w:bCs/>
                <w:i/>
              </w:rPr>
              <w:t>u</w:t>
            </w:r>
            <w:r w:rsidR="006F167E">
              <w:rPr>
                <w:rFonts w:asciiTheme="minorHAnsi" w:hAnsiTheme="minorHAnsi" w:cstheme="minorHAnsi"/>
                <w:bCs/>
                <w:i/>
              </w:rPr>
              <w:t>“</w:t>
            </w:r>
            <w:r w:rsidR="00BD5E90" w:rsidRPr="006F167E">
              <w:rPr>
                <w:rFonts w:asciiTheme="minorHAnsi" w:hAnsiTheme="minorHAnsi" w:cstheme="minorHAnsi"/>
                <w:bCs/>
                <w:i/>
              </w:rPr>
              <w:t xml:space="preserve"> </w:t>
            </w:r>
            <w:r w:rsidR="007A4FF9">
              <w:rPr>
                <w:rFonts w:asciiTheme="minorHAnsi" w:hAnsiTheme="minorHAnsi" w:cstheme="minorHAnsi"/>
                <w:bCs/>
                <w:i/>
              </w:rPr>
              <w:t xml:space="preserve">a </w:t>
            </w:r>
            <w:r w:rsidR="006F167E">
              <w:rPr>
                <w:rFonts w:asciiTheme="minorHAnsi" w:hAnsiTheme="minorHAnsi" w:cstheme="minorHAnsi"/>
                <w:bCs/>
                <w:i/>
              </w:rPr>
              <w:t>s </w:t>
            </w:r>
            <w:r w:rsidR="00E44C7B" w:rsidRPr="006F167E">
              <w:rPr>
                <w:rFonts w:asciiTheme="minorHAnsi" w:hAnsiTheme="minorHAnsi" w:cstheme="minorHAnsi"/>
                <w:bCs/>
                <w:i/>
              </w:rPr>
              <w:t>automatick</w:t>
            </w:r>
            <w:r w:rsidR="006F167E">
              <w:rPr>
                <w:rFonts w:asciiTheme="minorHAnsi" w:hAnsiTheme="minorHAnsi" w:cstheme="minorHAnsi"/>
                <w:bCs/>
                <w:i/>
              </w:rPr>
              <w:t xml:space="preserve">ým </w:t>
            </w:r>
            <w:r w:rsidR="00BD5E90" w:rsidRPr="006F167E">
              <w:rPr>
                <w:rFonts w:asciiTheme="minorHAnsi" w:hAnsiTheme="minorHAnsi" w:cstheme="minorHAnsi"/>
                <w:bCs/>
                <w:i/>
              </w:rPr>
              <w:t>generování</w:t>
            </w:r>
            <w:r w:rsidR="006F167E">
              <w:rPr>
                <w:rFonts w:asciiTheme="minorHAnsi" w:hAnsiTheme="minorHAnsi" w:cstheme="minorHAnsi"/>
                <w:bCs/>
                <w:i/>
              </w:rPr>
              <w:t>m</w:t>
            </w:r>
            <w:r w:rsidR="00BD5E90" w:rsidRPr="006F167E">
              <w:rPr>
                <w:rFonts w:asciiTheme="minorHAnsi" w:hAnsiTheme="minorHAnsi" w:cstheme="minorHAnsi"/>
                <w:bCs/>
                <w:i/>
              </w:rPr>
              <w:t xml:space="preserve"> dat. Poskytování těchto údajů</w:t>
            </w:r>
            <w:r w:rsidR="00E22ED9" w:rsidRPr="006F167E">
              <w:rPr>
                <w:rFonts w:asciiTheme="minorHAnsi" w:hAnsiTheme="minorHAnsi" w:cstheme="minorHAnsi"/>
                <w:bCs/>
                <w:i/>
              </w:rPr>
              <w:t xml:space="preserve"> s přístupem „on </w:t>
            </w:r>
            <w:r w:rsidR="006F167E" w:rsidRPr="006F167E">
              <w:rPr>
                <w:rFonts w:asciiTheme="minorHAnsi" w:hAnsiTheme="minorHAnsi" w:cstheme="minorHAnsi"/>
                <w:bCs/>
                <w:i/>
              </w:rPr>
              <w:t>line“ by</w:t>
            </w:r>
            <w:r w:rsidR="00BD5E90" w:rsidRPr="006F167E">
              <w:rPr>
                <w:rFonts w:asciiTheme="minorHAnsi" w:hAnsiTheme="minorHAnsi" w:cstheme="minorHAnsi"/>
                <w:bCs/>
                <w:i/>
              </w:rPr>
              <w:t xml:space="preserve"> </w:t>
            </w:r>
            <w:r w:rsidRPr="006F167E">
              <w:rPr>
                <w:rFonts w:asciiTheme="minorHAnsi" w:hAnsiTheme="minorHAnsi" w:cstheme="minorHAnsi"/>
                <w:bCs/>
                <w:i/>
              </w:rPr>
              <w:t>bylo</w:t>
            </w:r>
            <w:r w:rsidR="002E0ADB" w:rsidRPr="006F167E">
              <w:rPr>
                <w:rFonts w:asciiTheme="minorHAnsi" w:hAnsiTheme="minorHAnsi" w:cstheme="minorHAnsi"/>
                <w:bCs/>
                <w:i/>
              </w:rPr>
              <w:t xml:space="preserve"> </w:t>
            </w:r>
            <w:r w:rsidR="006F167E">
              <w:rPr>
                <w:rFonts w:asciiTheme="minorHAnsi" w:hAnsiTheme="minorHAnsi" w:cstheme="minorHAnsi"/>
                <w:bCs/>
                <w:i/>
              </w:rPr>
              <w:t xml:space="preserve">pro žadatele </w:t>
            </w:r>
            <w:r w:rsidR="00E44C7B" w:rsidRPr="006F167E">
              <w:rPr>
                <w:rFonts w:asciiTheme="minorHAnsi" w:hAnsiTheme="minorHAnsi" w:cstheme="minorHAnsi"/>
                <w:bCs/>
                <w:i/>
              </w:rPr>
              <w:t>zpoplatněné.</w:t>
            </w:r>
          </w:p>
        </w:tc>
      </w:tr>
      <w:tr w:rsidR="009A4ABE" w:rsidRPr="00E44C7B" w:rsidTr="005851FD">
        <w:trPr>
          <w:gridAfter w:val="1"/>
          <w:wAfter w:w="28" w:type="dxa"/>
          <w:trHeight w:val="628"/>
        </w:trPr>
        <w:tc>
          <w:tcPr>
            <w:tcW w:w="2552" w:type="dxa"/>
            <w:gridSpan w:val="3"/>
            <w:noWrap/>
          </w:tcPr>
          <w:p w:rsidR="009A4ABE" w:rsidRPr="00E44C7B" w:rsidRDefault="009A4ABE" w:rsidP="00720556">
            <w:pPr>
              <w:spacing w:after="0"/>
              <w:rPr>
                <w:rFonts w:asciiTheme="minorHAnsi" w:hAnsiTheme="minorHAnsi" w:cstheme="minorHAnsi"/>
                <w:bCs/>
              </w:rPr>
            </w:pPr>
            <w:r w:rsidRPr="00E44C7B">
              <w:rPr>
                <w:rFonts w:asciiTheme="minorHAnsi" w:hAnsiTheme="minorHAnsi" w:cstheme="minorHAnsi"/>
                <w:bCs/>
              </w:rPr>
              <w:t>Předpoklad doby realizace opatření</w:t>
            </w:r>
          </w:p>
        </w:tc>
        <w:tc>
          <w:tcPr>
            <w:tcW w:w="6663" w:type="dxa"/>
            <w:gridSpan w:val="4"/>
            <w:noWrap/>
          </w:tcPr>
          <w:p w:rsidR="009A4ABE" w:rsidRPr="00E44C7B" w:rsidRDefault="006B7FBF" w:rsidP="00003F3B">
            <w:pPr>
              <w:spacing w:after="0"/>
              <w:rPr>
                <w:rFonts w:asciiTheme="minorHAnsi" w:hAnsiTheme="minorHAnsi" w:cstheme="minorHAnsi"/>
                <w:bCs/>
              </w:rPr>
            </w:pPr>
            <w:r>
              <w:rPr>
                <w:rFonts w:asciiTheme="minorHAnsi" w:hAnsiTheme="minorHAnsi" w:cstheme="minorHAnsi"/>
                <w:bCs/>
              </w:rPr>
              <w:t>1. pol</w:t>
            </w:r>
            <w:r w:rsidR="00003F3B">
              <w:rPr>
                <w:rFonts w:asciiTheme="minorHAnsi" w:hAnsiTheme="minorHAnsi" w:cstheme="minorHAnsi"/>
                <w:bCs/>
              </w:rPr>
              <w:t>oletí</w:t>
            </w:r>
            <w:r>
              <w:rPr>
                <w:rFonts w:asciiTheme="minorHAnsi" w:hAnsiTheme="minorHAnsi" w:cstheme="minorHAnsi"/>
                <w:bCs/>
              </w:rPr>
              <w:t xml:space="preserve"> </w:t>
            </w:r>
            <w:r w:rsidR="00E44C7B">
              <w:rPr>
                <w:rFonts w:asciiTheme="minorHAnsi" w:hAnsiTheme="minorHAnsi" w:cstheme="minorHAnsi"/>
                <w:bCs/>
              </w:rPr>
              <w:t>2018</w:t>
            </w:r>
          </w:p>
        </w:tc>
      </w:tr>
      <w:tr w:rsidR="00744C35" w:rsidRPr="00E44C7B" w:rsidTr="005851FD">
        <w:trPr>
          <w:gridAfter w:val="1"/>
          <w:wAfter w:w="28" w:type="dxa"/>
          <w:trHeight w:val="202"/>
        </w:trPr>
        <w:tc>
          <w:tcPr>
            <w:tcW w:w="2552" w:type="dxa"/>
            <w:gridSpan w:val="3"/>
            <w:vMerge w:val="restart"/>
            <w:noWrap/>
          </w:tcPr>
          <w:p w:rsidR="005851FD" w:rsidRPr="00E44C7B" w:rsidRDefault="00744C35" w:rsidP="005851FD">
            <w:pPr>
              <w:spacing w:after="0"/>
              <w:rPr>
                <w:rFonts w:asciiTheme="minorHAnsi" w:hAnsiTheme="minorHAnsi" w:cstheme="minorHAnsi"/>
                <w:bCs/>
              </w:rPr>
            </w:pPr>
            <w:r w:rsidRPr="00E44C7B">
              <w:rPr>
                <w:rFonts w:asciiTheme="minorHAnsi" w:hAnsiTheme="minorHAnsi" w:cstheme="minorHAnsi"/>
                <w:bCs/>
              </w:rPr>
              <w:t xml:space="preserve">Odpovědnost za </w:t>
            </w:r>
            <w:r w:rsidR="005851FD" w:rsidRPr="00E44C7B">
              <w:rPr>
                <w:rFonts w:asciiTheme="minorHAnsi" w:hAnsiTheme="minorHAnsi" w:cstheme="minorHAnsi"/>
                <w:bCs/>
              </w:rPr>
              <w:t>realizaci = nositel</w:t>
            </w:r>
            <w:r w:rsidRPr="00E44C7B">
              <w:rPr>
                <w:rFonts w:asciiTheme="minorHAnsi" w:hAnsiTheme="minorHAnsi" w:cstheme="minorHAnsi"/>
                <w:bCs/>
              </w:rPr>
              <w:t xml:space="preserve"> </w:t>
            </w:r>
            <w:r w:rsidR="005851FD" w:rsidRPr="00E44C7B">
              <w:rPr>
                <w:rFonts w:asciiTheme="minorHAnsi" w:hAnsiTheme="minorHAnsi" w:cstheme="minorHAnsi"/>
                <w:bCs/>
              </w:rPr>
              <w:t xml:space="preserve">aktivity </w:t>
            </w:r>
          </w:p>
        </w:tc>
        <w:tc>
          <w:tcPr>
            <w:tcW w:w="3348" w:type="dxa"/>
            <w:noWrap/>
          </w:tcPr>
          <w:p w:rsidR="00744C35" w:rsidRPr="00E44C7B" w:rsidRDefault="00744C35" w:rsidP="001C4A95">
            <w:pPr>
              <w:spacing w:after="0"/>
              <w:rPr>
                <w:rFonts w:asciiTheme="minorHAnsi" w:hAnsiTheme="minorHAnsi" w:cstheme="minorHAnsi"/>
                <w:bCs/>
              </w:rPr>
            </w:pPr>
            <w:r w:rsidRPr="00E44C7B">
              <w:rPr>
                <w:rFonts w:asciiTheme="minorHAnsi" w:hAnsiTheme="minorHAnsi" w:cstheme="minorHAnsi"/>
                <w:bCs/>
              </w:rPr>
              <w:t>Organizace</w:t>
            </w:r>
          </w:p>
        </w:tc>
        <w:tc>
          <w:tcPr>
            <w:tcW w:w="3315" w:type="dxa"/>
            <w:gridSpan w:val="3"/>
          </w:tcPr>
          <w:p w:rsidR="00744C35" w:rsidRPr="00E44C7B" w:rsidRDefault="005851FD" w:rsidP="001C4A95">
            <w:pPr>
              <w:spacing w:after="0"/>
              <w:rPr>
                <w:rFonts w:asciiTheme="minorHAnsi" w:hAnsiTheme="minorHAnsi" w:cstheme="minorHAnsi"/>
                <w:bCs/>
              </w:rPr>
            </w:pPr>
            <w:r w:rsidRPr="00E44C7B">
              <w:rPr>
                <w:rFonts w:asciiTheme="minorHAnsi" w:hAnsiTheme="minorHAnsi" w:cstheme="minorHAnsi"/>
                <w:bCs/>
              </w:rPr>
              <w:t>Kontaktní osoba</w:t>
            </w:r>
          </w:p>
        </w:tc>
      </w:tr>
      <w:tr w:rsidR="00744C35" w:rsidRPr="00E44C7B" w:rsidTr="005851FD">
        <w:trPr>
          <w:gridAfter w:val="1"/>
          <w:wAfter w:w="28" w:type="dxa"/>
          <w:trHeight w:val="201"/>
        </w:trPr>
        <w:tc>
          <w:tcPr>
            <w:tcW w:w="2552" w:type="dxa"/>
            <w:gridSpan w:val="3"/>
            <w:vMerge/>
            <w:noWrap/>
          </w:tcPr>
          <w:p w:rsidR="00744C35" w:rsidRPr="00E44C7B" w:rsidRDefault="00744C35" w:rsidP="001C4A95">
            <w:pPr>
              <w:spacing w:after="0"/>
              <w:rPr>
                <w:rFonts w:asciiTheme="minorHAnsi" w:hAnsiTheme="minorHAnsi" w:cstheme="minorHAnsi"/>
                <w:bCs/>
              </w:rPr>
            </w:pPr>
          </w:p>
        </w:tc>
        <w:tc>
          <w:tcPr>
            <w:tcW w:w="3348" w:type="dxa"/>
            <w:noWrap/>
          </w:tcPr>
          <w:p w:rsidR="00744C35" w:rsidRPr="00E44C7B" w:rsidRDefault="00267E10" w:rsidP="00267E10">
            <w:pPr>
              <w:spacing w:after="0"/>
              <w:rPr>
                <w:rFonts w:asciiTheme="minorHAnsi" w:hAnsiTheme="minorHAnsi" w:cstheme="minorHAnsi"/>
                <w:bCs/>
              </w:rPr>
            </w:pPr>
            <w:proofErr w:type="spellStart"/>
            <w:r w:rsidRPr="00E44C7B">
              <w:rPr>
                <w:rFonts w:asciiTheme="minorHAnsi" w:hAnsiTheme="minorHAnsi"/>
              </w:rPr>
              <w:t>MSp</w:t>
            </w:r>
            <w:proofErr w:type="spellEnd"/>
            <w:r w:rsidR="00E22ED9">
              <w:rPr>
                <w:rFonts w:asciiTheme="minorHAnsi" w:hAnsiTheme="minorHAnsi"/>
              </w:rPr>
              <w:t xml:space="preserve"> a</w:t>
            </w:r>
            <w:r w:rsidR="00D4503A">
              <w:rPr>
                <w:rFonts w:asciiTheme="minorHAnsi" w:hAnsiTheme="minorHAnsi"/>
              </w:rPr>
              <w:t xml:space="preserve"> MF </w:t>
            </w:r>
          </w:p>
        </w:tc>
        <w:tc>
          <w:tcPr>
            <w:tcW w:w="3315" w:type="dxa"/>
            <w:gridSpan w:val="3"/>
          </w:tcPr>
          <w:p w:rsidR="00744C35" w:rsidRPr="00E44C7B" w:rsidRDefault="00744C35" w:rsidP="001C4A95">
            <w:pPr>
              <w:spacing w:after="0"/>
              <w:rPr>
                <w:rFonts w:asciiTheme="minorHAnsi" w:hAnsiTheme="minorHAnsi" w:cstheme="minorHAnsi"/>
                <w:bCs/>
              </w:rPr>
            </w:pPr>
          </w:p>
        </w:tc>
      </w:tr>
      <w:tr w:rsidR="009A4ABE" w:rsidRPr="00E44C7B" w:rsidTr="005851FD">
        <w:trPr>
          <w:gridAfter w:val="1"/>
          <w:wAfter w:w="28" w:type="dxa"/>
          <w:trHeight w:val="358"/>
        </w:trPr>
        <w:tc>
          <w:tcPr>
            <w:tcW w:w="2552" w:type="dxa"/>
            <w:gridSpan w:val="3"/>
            <w:noWrap/>
          </w:tcPr>
          <w:p w:rsidR="009A4ABE" w:rsidRPr="00E44C7B" w:rsidRDefault="009A4ABE" w:rsidP="001C4A95">
            <w:pPr>
              <w:spacing w:after="0"/>
              <w:rPr>
                <w:rFonts w:asciiTheme="minorHAnsi" w:hAnsiTheme="minorHAnsi" w:cstheme="minorHAnsi"/>
                <w:bCs/>
              </w:rPr>
            </w:pPr>
            <w:r w:rsidRPr="00E44C7B">
              <w:rPr>
                <w:rFonts w:asciiTheme="minorHAnsi" w:hAnsiTheme="minorHAnsi" w:cstheme="minorHAnsi"/>
                <w:bCs/>
              </w:rPr>
              <w:t xml:space="preserve">Zdroj financování </w:t>
            </w:r>
          </w:p>
        </w:tc>
        <w:tc>
          <w:tcPr>
            <w:tcW w:w="6663" w:type="dxa"/>
            <w:gridSpan w:val="4"/>
            <w:noWrap/>
          </w:tcPr>
          <w:p w:rsidR="009A4ABE" w:rsidRPr="00E44C7B" w:rsidRDefault="00267E10" w:rsidP="001C4A95">
            <w:pPr>
              <w:spacing w:after="0"/>
              <w:rPr>
                <w:rFonts w:asciiTheme="minorHAnsi" w:hAnsiTheme="minorHAnsi" w:cstheme="minorHAnsi"/>
                <w:bCs/>
              </w:rPr>
            </w:pPr>
            <w:r w:rsidRPr="00E44C7B">
              <w:rPr>
                <w:rFonts w:asciiTheme="minorHAnsi" w:hAnsiTheme="minorHAnsi"/>
              </w:rPr>
              <w:t xml:space="preserve">V rámci </w:t>
            </w:r>
            <w:r w:rsidR="005B6EF4">
              <w:rPr>
                <w:rFonts w:asciiTheme="minorHAnsi" w:hAnsiTheme="minorHAnsi"/>
              </w:rPr>
              <w:t xml:space="preserve">kapitol – zařazení do </w:t>
            </w:r>
            <w:r w:rsidRPr="00E44C7B">
              <w:rPr>
                <w:rFonts w:asciiTheme="minorHAnsi" w:hAnsiTheme="minorHAnsi"/>
              </w:rPr>
              <w:t>plánu legislativních prací</w:t>
            </w:r>
            <w:r w:rsidR="006F167E">
              <w:rPr>
                <w:rFonts w:asciiTheme="minorHAnsi" w:hAnsiTheme="minorHAnsi"/>
              </w:rPr>
              <w:t xml:space="preserve">. </w:t>
            </w:r>
          </w:p>
        </w:tc>
      </w:tr>
      <w:tr w:rsidR="005851FD" w:rsidRPr="00E44C7B" w:rsidTr="005851FD">
        <w:trPr>
          <w:gridAfter w:val="1"/>
          <w:wAfter w:w="28" w:type="dxa"/>
          <w:trHeight w:val="528"/>
        </w:trPr>
        <w:tc>
          <w:tcPr>
            <w:tcW w:w="2552" w:type="dxa"/>
            <w:gridSpan w:val="3"/>
            <w:noWrap/>
            <w:hideMark/>
          </w:tcPr>
          <w:p w:rsidR="005851FD" w:rsidRPr="00E44C7B" w:rsidRDefault="005851FD" w:rsidP="001C4A95">
            <w:pPr>
              <w:spacing w:after="0"/>
              <w:rPr>
                <w:rFonts w:asciiTheme="minorHAnsi" w:hAnsiTheme="minorHAnsi" w:cstheme="minorHAnsi"/>
                <w:bCs/>
              </w:rPr>
            </w:pPr>
            <w:r w:rsidRPr="00E44C7B">
              <w:rPr>
                <w:rFonts w:asciiTheme="minorHAnsi" w:hAnsiTheme="minorHAnsi" w:cstheme="minorHAnsi"/>
                <w:bCs/>
              </w:rPr>
              <w:t xml:space="preserve">Rozpočet </w:t>
            </w:r>
            <w:r w:rsidRPr="00E44C7B">
              <w:rPr>
                <w:rFonts w:asciiTheme="minorHAnsi" w:hAnsiTheme="minorHAnsi" w:cstheme="minorHAnsi"/>
                <w:bCs/>
              </w:rPr>
              <w:br/>
              <w:t>(odhad)</w:t>
            </w:r>
          </w:p>
        </w:tc>
        <w:tc>
          <w:tcPr>
            <w:tcW w:w="6663" w:type="dxa"/>
            <w:gridSpan w:val="4"/>
            <w:noWrap/>
            <w:hideMark/>
          </w:tcPr>
          <w:p w:rsidR="005851FD" w:rsidRPr="005B6EF4" w:rsidRDefault="005B6EF4" w:rsidP="003417F8">
            <w:pPr>
              <w:spacing w:after="0"/>
              <w:rPr>
                <w:rFonts w:asciiTheme="minorHAnsi" w:hAnsiTheme="minorHAnsi" w:cstheme="minorHAnsi"/>
                <w:bCs/>
              </w:rPr>
            </w:pPr>
            <w:r>
              <w:rPr>
                <w:rFonts w:asciiTheme="minorHAnsi" w:hAnsiTheme="minorHAnsi" w:cstheme="minorHAnsi"/>
                <w:bCs/>
              </w:rPr>
              <w:t xml:space="preserve">Dopady na státní rozpočet (+/-) nelze v současné době kvantifikovat. </w:t>
            </w:r>
          </w:p>
        </w:tc>
      </w:tr>
      <w:tr w:rsidR="00712197" w:rsidRPr="00E44C7B" w:rsidTr="005851FD">
        <w:trPr>
          <w:gridAfter w:val="1"/>
          <w:wAfter w:w="28" w:type="dxa"/>
          <w:trHeight w:val="481"/>
        </w:trPr>
        <w:tc>
          <w:tcPr>
            <w:tcW w:w="2552" w:type="dxa"/>
            <w:gridSpan w:val="3"/>
            <w:noWrap/>
            <w:hideMark/>
          </w:tcPr>
          <w:p w:rsidR="00712197" w:rsidRPr="00E44C7B" w:rsidRDefault="005B0F2B" w:rsidP="009A4ABE">
            <w:pPr>
              <w:spacing w:after="0"/>
              <w:rPr>
                <w:rFonts w:asciiTheme="minorHAnsi" w:hAnsiTheme="minorHAnsi" w:cstheme="minorHAnsi"/>
                <w:bCs/>
              </w:rPr>
            </w:pPr>
            <w:r w:rsidRPr="00E44C7B">
              <w:rPr>
                <w:rFonts w:asciiTheme="minorHAnsi" w:hAnsiTheme="minorHAnsi" w:cstheme="minorHAnsi"/>
                <w:bCs/>
              </w:rPr>
              <w:t xml:space="preserve">Partneři či spolupracující subjekty </w:t>
            </w:r>
          </w:p>
        </w:tc>
        <w:tc>
          <w:tcPr>
            <w:tcW w:w="6663" w:type="dxa"/>
            <w:gridSpan w:val="4"/>
            <w:noWrap/>
          </w:tcPr>
          <w:p w:rsidR="00712197" w:rsidRPr="00E44C7B" w:rsidRDefault="00D4503A" w:rsidP="00C34D00">
            <w:pPr>
              <w:spacing w:after="0"/>
              <w:rPr>
                <w:rFonts w:asciiTheme="minorHAnsi" w:hAnsiTheme="minorHAnsi" w:cstheme="minorHAnsi"/>
                <w:bCs/>
              </w:rPr>
            </w:pPr>
            <w:r w:rsidRPr="00D4503A">
              <w:rPr>
                <w:rFonts w:asciiTheme="minorHAnsi" w:hAnsiTheme="minorHAnsi" w:cstheme="minorHAnsi"/>
                <w:bCs/>
              </w:rPr>
              <w:t>MPO,</w:t>
            </w:r>
            <w:r w:rsidR="00033219" w:rsidRPr="00E44C7B">
              <w:rPr>
                <w:rFonts w:asciiTheme="minorHAnsi" w:hAnsiTheme="minorHAnsi" w:cstheme="minorHAnsi"/>
                <w:bCs/>
                <w:i/>
              </w:rPr>
              <w:t xml:space="preserve"> </w:t>
            </w:r>
            <w:r w:rsidR="005B6EF4">
              <w:rPr>
                <w:rFonts w:asciiTheme="minorHAnsi" w:hAnsiTheme="minorHAnsi" w:cstheme="minorHAnsi"/>
                <w:bCs/>
              </w:rPr>
              <w:t>AMSP ČR, HK, SPD ČR, KZPS ČR</w:t>
            </w:r>
            <w:r w:rsidR="00003F3B">
              <w:rPr>
                <w:rFonts w:asciiTheme="minorHAnsi" w:hAnsiTheme="minorHAnsi" w:cstheme="minorHAnsi"/>
                <w:bCs/>
              </w:rPr>
              <w:t>, ČKOS, SČMVD</w:t>
            </w:r>
            <w:r w:rsidR="005B6EF4">
              <w:rPr>
                <w:rFonts w:asciiTheme="minorHAnsi" w:hAnsiTheme="minorHAnsi" w:cstheme="minorHAnsi"/>
                <w:bCs/>
              </w:rPr>
              <w:t>.</w:t>
            </w:r>
            <w:r w:rsidR="00267E10" w:rsidRPr="00E44C7B">
              <w:rPr>
                <w:rFonts w:asciiTheme="minorHAnsi" w:hAnsiTheme="minorHAnsi" w:cstheme="minorHAnsi"/>
                <w:bCs/>
              </w:rPr>
              <w:t xml:space="preserve"> </w:t>
            </w:r>
          </w:p>
        </w:tc>
      </w:tr>
      <w:tr w:rsidR="005C6972" w:rsidRPr="00E44C7B" w:rsidTr="005851FD">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tblPrEx>
        <w:trPr>
          <w:gridBefore w:val="1"/>
          <w:wBefore w:w="29" w:type="dxa"/>
          <w:trHeight w:val="536"/>
          <w:jc w:val="center"/>
        </w:trPr>
        <w:tc>
          <w:tcPr>
            <w:tcW w:w="9214"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5C6972" w:rsidRPr="00E44C7B" w:rsidRDefault="007C61E8" w:rsidP="009A4ABE">
            <w:pPr>
              <w:spacing w:after="0"/>
              <w:rPr>
                <w:rFonts w:asciiTheme="minorHAnsi" w:hAnsiTheme="minorHAnsi" w:cstheme="minorHAnsi"/>
                <w:b/>
                <w:bCs/>
              </w:rPr>
            </w:pPr>
            <w:r w:rsidRPr="00E44C7B">
              <w:rPr>
                <w:rFonts w:asciiTheme="minorHAnsi" w:hAnsiTheme="minorHAnsi" w:cstheme="minorHAnsi"/>
                <w:b/>
                <w:bCs/>
              </w:rPr>
              <w:t>Plán aktivit</w:t>
            </w:r>
            <w:r w:rsidR="008A4F46" w:rsidRPr="00E44C7B">
              <w:rPr>
                <w:rFonts w:asciiTheme="minorHAnsi" w:hAnsiTheme="minorHAnsi" w:cstheme="minorHAnsi"/>
                <w:b/>
                <w:bCs/>
              </w:rPr>
              <w:t xml:space="preserve"> </w:t>
            </w:r>
          </w:p>
        </w:tc>
      </w:tr>
      <w:tr w:rsidR="007C61E8" w:rsidRPr="00E44C7B" w:rsidTr="005851FD">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tblPrEx>
        <w:trPr>
          <w:gridBefore w:val="1"/>
          <w:wBefore w:w="29" w:type="dxa"/>
          <w:jc w:val="center"/>
        </w:trPr>
        <w:tc>
          <w:tcPr>
            <w:tcW w:w="1129" w:type="dxa"/>
            <w:tcBorders>
              <w:top w:val="single" w:sz="8" w:space="0" w:color="auto"/>
              <w:left w:val="single" w:sz="8" w:space="0" w:color="auto"/>
              <w:bottom w:val="single" w:sz="4" w:space="0" w:color="auto"/>
              <w:right w:val="single" w:sz="4" w:space="0" w:color="auto"/>
            </w:tcBorders>
            <w:shd w:val="clear" w:color="auto" w:fill="auto"/>
            <w:tcMar>
              <w:left w:w="28" w:type="dxa"/>
              <w:right w:w="28" w:type="dxa"/>
            </w:tcMar>
            <w:vAlign w:val="center"/>
          </w:tcPr>
          <w:p w:rsidR="007C61E8" w:rsidRPr="00E44C7B" w:rsidRDefault="007C61E8" w:rsidP="009A4ABE">
            <w:pPr>
              <w:spacing w:after="0"/>
              <w:rPr>
                <w:rFonts w:asciiTheme="minorHAnsi" w:hAnsiTheme="minorHAnsi" w:cstheme="minorHAnsi"/>
                <w:bCs/>
              </w:rPr>
            </w:pPr>
            <w:r w:rsidRPr="00E44C7B">
              <w:rPr>
                <w:rFonts w:asciiTheme="minorHAnsi" w:hAnsiTheme="minorHAnsi" w:cstheme="minorHAnsi"/>
                <w:bCs/>
              </w:rPr>
              <w:t>Aktivita</w:t>
            </w:r>
          </w:p>
        </w:tc>
        <w:tc>
          <w:tcPr>
            <w:tcW w:w="4820"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7C61E8" w:rsidRPr="00E44C7B" w:rsidRDefault="007C61E8" w:rsidP="005C6972">
            <w:pPr>
              <w:spacing w:after="0"/>
              <w:rPr>
                <w:rFonts w:asciiTheme="minorHAnsi" w:hAnsiTheme="minorHAnsi" w:cstheme="minorHAnsi"/>
                <w:bCs/>
              </w:rPr>
            </w:pPr>
            <w:r w:rsidRPr="00E44C7B">
              <w:rPr>
                <w:rFonts w:asciiTheme="minorHAnsi" w:hAnsiTheme="minorHAnsi" w:cstheme="minorHAnsi"/>
                <w:bCs/>
              </w:rPr>
              <w:t>Popis</w:t>
            </w:r>
            <w:r w:rsidR="005851FD" w:rsidRPr="00E44C7B">
              <w:rPr>
                <w:rFonts w:asciiTheme="minorHAnsi" w:hAnsiTheme="minorHAnsi" w:cstheme="minorHAnsi"/>
                <w:bCs/>
              </w:rPr>
              <w:t xml:space="preserve"> plnění průběžně</w:t>
            </w:r>
          </w:p>
        </w:tc>
        <w:tc>
          <w:tcPr>
            <w:tcW w:w="1856" w:type="dxa"/>
            <w:tcBorders>
              <w:top w:val="single" w:sz="8" w:space="0" w:color="auto"/>
              <w:left w:val="single" w:sz="8" w:space="0" w:color="auto"/>
              <w:bottom w:val="single" w:sz="8" w:space="0" w:color="auto"/>
              <w:right w:val="single" w:sz="8" w:space="0" w:color="auto"/>
            </w:tcBorders>
            <w:shd w:val="clear" w:color="auto" w:fill="auto"/>
            <w:vAlign w:val="center"/>
          </w:tcPr>
          <w:p w:rsidR="007C61E8" w:rsidRPr="00E44C7B" w:rsidRDefault="007C61E8" w:rsidP="00EC562B">
            <w:pPr>
              <w:spacing w:after="0"/>
              <w:rPr>
                <w:rFonts w:asciiTheme="minorHAnsi" w:hAnsiTheme="minorHAnsi" w:cstheme="minorHAnsi"/>
                <w:bCs/>
              </w:rPr>
            </w:pPr>
            <w:r w:rsidRPr="00E44C7B">
              <w:rPr>
                <w:rFonts w:asciiTheme="minorHAnsi" w:hAnsiTheme="minorHAnsi" w:cstheme="minorHAnsi"/>
                <w:bCs/>
              </w:rPr>
              <w:t>Zodpovídá</w:t>
            </w:r>
            <w:r w:rsidR="00EC562B" w:rsidRPr="00E44C7B">
              <w:rPr>
                <w:rFonts w:asciiTheme="minorHAnsi" w:hAnsiTheme="minorHAnsi" w:cstheme="minorHAnsi"/>
                <w:bCs/>
              </w:rPr>
              <w:t xml:space="preserve"> (organizace)</w:t>
            </w:r>
          </w:p>
        </w:tc>
        <w:tc>
          <w:tcPr>
            <w:tcW w:w="140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C61E8" w:rsidRPr="00E44C7B" w:rsidRDefault="007C61E8" w:rsidP="005C6972">
            <w:pPr>
              <w:spacing w:after="0"/>
              <w:rPr>
                <w:rFonts w:asciiTheme="minorHAnsi" w:hAnsiTheme="minorHAnsi" w:cstheme="minorHAnsi"/>
                <w:bCs/>
              </w:rPr>
            </w:pPr>
            <w:r w:rsidRPr="00E44C7B">
              <w:rPr>
                <w:rFonts w:asciiTheme="minorHAnsi" w:hAnsiTheme="minorHAnsi" w:cstheme="minorHAnsi"/>
                <w:bCs/>
              </w:rPr>
              <w:t>Termín realizace</w:t>
            </w:r>
          </w:p>
          <w:p w:rsidR="007C61E8" w:rsidRPr="00E44C7B" w:rsidRDefault="007C61E8" w:rsidP="005C6972">
            <w:pPr>
              <w:spacing w:after="0"/>
              <w:rPr>
                <w:rFonts w:asciiTheme="minorHAnsi" w:hAnsiTheme="minorHAnsi" w:cstheme="minorHAnsi"/>
                <w:bCs/>
              </w:rPr>
            </w:pPr>
            <w:r w:rsidRPr="00E44C7B">
              <w:rPr>
                <w:rFonts w:asciiTheme="minorHAnsi" w:hAnsiTheme="minorHAnsi" w:cstheme="minorHAnsi"/>
                <w:bCs/>
              </w:rPr>
              <w:t>(od- do)</w:t>
            </w:r>
          </w:p>
        </w:tc>
      </w:tr>
      <w:tr w:rsidR="007C61E8" w:rsidRPr="00E44C7B" w:rsidTr="005851FD">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tblPrEx>
        <w:trPr>
          <w:gridBefore w:val="1"/>
          <w:wBefore w:w="29" w:type="dxa"/>
          <w:cantSplit/>
          <w:jc w:val="center"/>
        </w:trPr>
        <w:tc>
          <w:tcPr>
            <w:tcW w:w="1129" w:type="dxa"/>
            <w:tcBorders>
              <w:top w:val="single" w:sz="4" w:space="0" w:color="auto"/>
              <w:left w:val="single" w:sz="8" w:space="0" w:color="auto"/>
              <w:bottom w:val="single" w:sz="4" w:space="0" w:color="auto"/>
              <w:right w:val="single" w:sz="4" w:space="0" w:color="auto"/>
            </w:tcBorders>
            <w:shd w:val="clear" w:color="auto" w:fill="auto"/>
            <w:vAlign w:val="center"/>
          </w:tcPr>
          <w:p w:rsidR="007C61E8" w:rsidRPr="00E44C7B" w:rsidRDefault="00BF2C9A" w:rsidP="00BF2C9A">
            <w:pPr>
              <w:spacing w:after="0"/>
              <w:jc w:val="center"/>
              <w:rPr>
                <w:rFonts w:asciiTheme="minorHAnsi" w:hAnsiTheme="minorHAnsi" w:cstheme="minorHAnsi"/>
                <w:bCs/>
              </w:rPr>
            </w:pPr>
            <w:r>
              <w:rPr>
                <w:rFonts w:asciiTheme="minorHAnsi" w:hAnsiTheme="minorHAnsi" w:cstheme="minorHAnsi"/>
                <w:bCs/>
              </w:rPr>
              <w:t>1.</w:t>
            </w:r>
          </w:p>
        </w:tc>
        <w:tc>
          <w:tcPr>
            <w:tcW w:w="482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7C61E8" w:rsidRPr="00BF2C9A" w:rsidRDefault="00BF2C9A" w:rsidP="005C6972">
            <w:pPr>
              <w:pStyle w:val="nazev"/>
              <w:numPr>
                <w:ilvl w:val="0"/>
                <w:numId w:val="0"/>
              </w:numPr>
              <w:rPr>
                <w:rFonts w:asciiTheme="minorHAnsi" w:eastAsia="Calibri" w:hAnsiTheme="minorHAnsi" w:cstheme="minorHAnsi"/>
                <w:bCs/>
                <w:i/>
                <w:sz w:val="22"/>
                <w:szCs w:val="22"/>
                <w:lang w:val="cs-CZ" w:eastAsia="en-US"/>
              </w:rPr>
            </w:pPr>
            <w:r w:rsidRPr="00BF2C9A">
              <w:rPr>
                <w:rFonts w:asciiTheme="minorHAnsi" w:eastAsia="Calibri" w:hAnsiTheme="minorHAnsi" w:cstheme="minorHAnsi"/>
                <w:bCs/>
                <w:i/>
                <w:sz w:val="22"/>
                <w:szCs w:val="22"/>
                <w:lang w:val="cs-CZ" w:eastAsia="en-US"/>
              </w:rPr>
              <w:t>Analýzy sankcí a pokut v rámci EU, porovnání s ČR</w:t>
            </w:r>
          </w:p>
        </w:tc>
        <w:tc>
          <w:tcPr>
            <w:tcW w:w="1856" w:type="dxa"/>
            <w:tcBorders>
              <w:top w:val="single" w:sz="8" w:space="0" w:color="auto"/>
              <w:left w:val="single" w:sz="8" w:space="0" w:color="auto"/>
              <w:bottom w:val="single" w:sz="8" w:space="0" w:color="auto"/>
              <w:right w:val="single" w:sz="8" w:space="0" w:color="auto"/>
            </w:tcBorders>
            <w:shd w:val="clear" w:color="auto" w:fill="auto"/>
            <w:vAlign w:val="center"/>
          </w:tcPr>
          <w:p w:rsidR="007C61E8" w:rsidRPr="00E44C7B" w:rsidRDefault="00BF2C9A" w:rsidP="005C6972">
            <w:pPr>
              <w:pStyle w:val="nazev"/>
              <w:numPr>
                <w:ilvl w:val="0"/>
                <w:numId w:val="0"/>
              </w:numPr>
              <w:rPr>
                <w:rFonts w:asciiTheme="minorHAnsi" w:eastAsia="Calibri" w:hAnsiTheme="minorHAnsi" w:cstheme="minorHAnsi"/>
                <w:bCs/>
                <w:sz w:val="22"/>
                <w:szCs w:val="22"/>
                <w:lang w:val="cs-CZ" w:eastAsia="en-US"/>
              </w:rPr>
            </w:pPr>
            <w:proofErr w:type="spellStart"/>
            <w:r>
              <w:rPr>
                <w:rFonts w:asciiTheme="minorHAnsi" w:eastAsia="Calibri" w:hAnsiTheme="minorHAnsi" w:cstheme="minorHAnsi"/>
                <w:bCs/>
                <w:sz w:val="22"/>
                <w:szCs w:val="22"/>
                <w:lang w:val="cs-CZ" w:eastAsia="en-US"/>
              </w:rPr>
              <w:t>MSp</w:t>
            </w:r>
            <w:proofErr w:type="spellEnd"/>
            <w:r>
              <w:rPr>
                <w:rFonts w:asciiTheme="minorHAnsi" w:eastAsia="Calibri" w:hAnsiTheme="minorHAnsi" w:cstheme="minorHAnsi"/>
                <w:bCs/>
                <w:sz w:val="22"/>
                <w:szCs w:val="22"/>
                <w:lang w:val="cs-CZ" w:eastAsia="en-US"/>
              </w:rPr>
              <w:t xml:space="preserve"> a MF</w:t>
            </w:r>
          </w:p>
        </w:tc>
        <w:tc>
          <w:tcPr>
            <w:tcW w:w="140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C61E8" w:rsidRPr="00E44C7B" w:rsidRDefault="005B6EF4" w:rsidP="005C697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2. Q 2017</w:t>
            </w:r>
          </w:p>
        </w:tc>
      </w:tr>
      <w:tr w:rsidR="007C61E8" w:rsidRPr="00E44C7B" w:rsidTr="005851FD">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tblPrEx>
        <w:trPr>
          <w:gridBefore w:val="1"/>
          <w:wBefore w:w="29" w:type="dxa"/>
          <w:cantSplit/>
          <w:jc w:val="center"/>
        </w:trPr>
        <w:tc>
          <w:tcPr>
            <w:tcW w:w="1129" w:type="dxa"/>
            <w:tcBorders>
              <w:top w:val="single" w:sz="4" w:space="0" w:color="auto"/>
              <w:left w:val="single" w:sz="8" w:space="0" w:color="auto"/>
              <w:bottom w:val="single" w:sz="4" w:space="0" w:color="auto"/>
              <w:right w:val="single" w:sz="4" w:space="0" w:color="auto"/>
            </w:tcBorders>
            <w:vAlign w:val="center"/>
          </w:tcPr>
          <w:p w:rsidR="007C61E8" w:rsidRPr="00E44C7B" w:rsidRDefault="00BF2C9A" w:rsidP="00BF2C9A">
            <w:pPr>
              <w:spacing w:after="0"/>
              <w:jc w:val="center"/>
              <w:rPr>
                <w:rFonts w:asciiTheme="minorHAnsi" w:hAnsiTheme="minorHAnsi" w:cstheme="minorHAnsi"/>
                <w:bCs/>
              </w:rPr>
            </w:pPr>
            <w:r>
              <w:rPr>
                <w:rFonts w:asciiTheme="minorHAnsi" w:hAnsiTheme="minorHAnsi" w:cstheme="minorHAnsi"/>
                <w:bCs/>
              </w:rPr>
              <w:t>2.</w:t>
            </w:r>
          </w:p>
        </w:tc>
        <w:tc>
          <w:tcPr>
            <w:tcW w:w="4820" w:type="dxa"/>
            <w:gridSpan w:val="3"/>
            <w:tcBorders>
              <w:top w:val="single" w:sz="4" w:space="0" w:color="auto"/>
              <w:left w:val="single" w:sz="4" w:space="0" w:color="auto"/>
              <w:bottom w:val="single" w:sz="4" w:space="0" w:color="auto"/>
              <w:right w:val="single" w:sz="8" w:space="0" w:color="auto"/>
            </w:tcBorders>
            <w:vAlign w:val="center"/>
          </w:tcPr>
          <w:p w:rsidR="007C61E8" w:rsidRPr="00BF2C9A" w:rsidRDefault="00BF2C9A" w:rsidP="005C6972">
            <w:pPr>
              <w:pStyle w:val="nazev"/>
              <w:numPr>
                <w:ilvl w:val="0"/>
                <w:numId w:val="0"/>
              </w:numPr>
              <w:rPr>
                <w:rFonts w:asciiTheme="minorHAnsi" w:eastAsia="Calibri" w:hAnsiTheme="minorHAnsi" w:cstheme="minorHAnsi"/>
                <w:bCs/>
                <w:i/>
                <w:sz w:val="22"/>
                <w:szCs w:val="22"/>
                <w:lang w:val="cs-CZ" w:eastAsia="en-US"/>
              </w:rPr>
            </w:pPr>
            <w:r w:rsidRPr="00BF2C9A">
              <w:rPr>
                <w:rFonts w:asciiTheme="minorHAnsi" w:eastAsia="Calibri" w:hAnsiTheme="minorHAnsi" w:cstheme="minorHAnsi"/>
                <w:bCs/>
                <w:i/>
                <w:sz w:val="22"/>
                <w:szCs w:val="22"/>
                <w:lang w:val="cs-CZ" w:eastAsia="en-US"/>
              </w:rPr>
              <w:t>Návrh úprav příslušných právních předpisů</w:t>
            </w:r>
            <w:r w:rsidR="005B6EF4">
              <w:rPr>
                <w:rFonts w:asciiTheme="minorHAnsi" w:eastAsia="Calibri" w:hAnsiTheme="minorHAnsi" w:cstheme="minorHAnsi"/>
                <w:bCs/>
                <w:i/>
                <w:sz w:val="22"/>
                <w:szCs w:val="22"/>
                <w:lang w:val="cs-CZ" w:eastAsia="en-US"/>
              </w:rPr>
              <w:t xml:space="preserve"> s kvantifikací dopadů</w:t>
            </w:r>
          </w:p>
        </w:tc>
        <w:tc>
          <w:tcPr>
            <w:tcW w:w="1856" w:type="dxa"/>
            <w:tcBorders>
              <w:top w:val="single" w:sz="8" w:space="0" w:color="auto"/>
              <w:left w:val="single" w:sz="8" w:space="0" w:color="auto"/>
              <w:bottom w:val="single" w:sz="8" w:space="0" w:color="auto"/>
              <w:right w:val="single" w:sz="8" w:space="0" w:color="auto"/>
            </w:tcBorders>
            <w:vAlign w:val="center"/>
          </w:tcPr>
          <w:p w:rsidR="007C61E8" w:rsidRPr="00E44C7B" w:rsidRDefault="00BF2C9A" w:rsidP="005C6972">
            <w:pPr>
              <w:pStyle w:val="nazev"/>
              <w:numPr>
                <w:ilvl w:val="0"/>
                <w:numId w:val="0"/>
              </w:numPr>
              <w:rPr>
                <w:rFonts w:asciiTheme="minorHAnsi" w:eastAsia="Calibri" w:hAnsiTheme="minorHAnsi" w:cstheme="minorHAnsi"/>
                <w:bCs/>
                <w:sz w:val="22"/>
                <w:szCs w:val="22"/>
                <w:lang w:val="cs-CZ" w:eastAsia="en-US"/>
              </w:rPr>
            </w:pPr>
            <w:proofErr w:type="spellStart"/>
            <w:r>
              <w:rPr>
                <w:rFonts w:asciiTheme="minorHAnsi" w:eastAsia="Calibri" w:hAnsiTheme="minorHAnsi" w:cstheme="minorHAnsi"/>
                <w:bCs/>
                <w:sz w:val="22"/>
                <w:szCs w:val="22"/>
                <w:lang w:val="cs-CZ" w:eastAsia="en-US"/>
              </w:rPr>
              <w:t>MSp</w:t>
            </w:r>
            <w:proofErr w:type="spellEnd"/>
            <w:r>
              <w:rPr>
                <w:rFonts w:asciiTheme="minorHAnsi" w:eastAsia="Calibri" w:hAnsiTheme="minorHAnsi" w:cstheme="minorHAnsi"/>
                <w:bCs/>
                <w:sz w:val="22"/>
                <w:szCs w:val="22"/>
                <w:lang w:val="cs-CZ" w:eastAsia="en-US"/>
              </w:rPr>
              <w:t xml:space="preserve"> a MF</w:t>
            </w:r>
          </w:p>
        </w:tc>
        <w:tc>
          <w:tcPr>
            <w:tcW w:w="1409" w:type="dxa"/>
            <w:gridSpan w:val="2"/>
            <w:tcBorders>
              <w:top w:val="single" w:sz="8" w:space="0" w:color="auto"/>
              <w:left w:val="single" w:sz="8" w:space="0" w:color="auto"/>
              <w:bottom w:val="single" w:sz="8" w:space="0" w:color="auto"/>
              <w:right w:val="single" w:sz="8" w:space="0" w:color="auto"/>
            </w:tcBorders>
            <w:vAlign w:val="center"/>
          </w:tcPr>
          <w:p w:rsidR="007C61E8" w:rsidRPr="00E44C7B" w:rsidRDefault="005B6EF4" w:rsidP="005B6EF4">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3. Q 2017</w:t>
            </w:r>
          </w:p>
        </w:tc>
      </w:tr>
      <w:tr w:rsidR="007C61E8" w:rsidRPr="00E44C7B" w:rsidTr="005851FD">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tblPrEx>
        <w:trPr>
          <w:gridBefore w:val="1"/>
          <w:wBefore w:w="29" w:type="dxa"/>
          <w:cantSplit/>
          <w:jc w:val="center"/>
        </w:trPr>
        <w:tc>
          <w:tcPr>
            <w:tcW w:w="1129" w:type="dxa"/>
            <w:tcBorders>
              <w:top w:val="single" w:sz="4" w:space="0" w:color="auto"/>
              <w:left w:val="single" w:sz="8" w:space="0" w:color="auto"/>
              <w:bottom w:val="single" w:sz="4" w:space="0" w:color="auto"/>
              <w:right w:val="single" w:sz="4" w:space="0" w:color="auto"/>
            </w:tcBorders>
            <w:vAlign w:val="center"/>
          </w:tcPr>
          <w:p w:rsidR="007C61E8" w:rsidRPr="00E44C7B" w:rsidRDefault="00BF2C9A" w:rsidP="00BF2C9A">
            <w:pPr>
              <w:spacing w:after="0"/>
              <w:jc w:val="center"/>
              <w:rPr>
                <w:rFonts w:asciiTheme="minorHAnsi" w:hAnsiTheme="minorHAnsi" w:cstheme="minorHAnsi"/>
                <w:bCs/>
              </w:rPr>
            </w:pPr>
            <w:r>
              <w:rPr>
                <w:rFonts w:asciiTheme="minorHAnsi" w:hAnsiTheme="minorHAnsi" w:cstheme="minorHAnsi"/>
                <w:bCs/>
              </w:rPr>
              <w:t>3.</w:t>
            </w:r>
          </w:p>
        </w:tc>
        <w:tc>
          <w:tcPr>
            <w:tcW w:w="4820" w:type="dxa"/>
            <w:gridSpan w:val="3"/>
            <w:tcBorders>
              <w:top w:val="single" w:sz="4" w:space="0" w:color="auto"/>
              <w:left w:val="single" w:sz="4" w:space="0" w:color="auto"/>
              <w:bottom w:val="single" w:sz="4" w:space="0" w:color="auto"/>
              <w:right w:val="single" w:sz="8" w:space="0" w:color="auto"/>
            </w:tcBorders>
            <w:vAlign w:val="center"/>
          </w:tcPr>
          <w:p w:rsidR="007C61E8" w:rsidRPr="00BF2C9A" w:rsidRDefault="00BF2C9A" w:rsidP="00BF2C9A">
            <w:pPr>
              <w:pStyle w:val="nazev"/>
              <w:numPr>
                <w:ilvl w:val="0"/>
                <w:numId w:val="0"/>
              </w:numPr>
              <w:rPr>
                <w:rFonts w:asciiTheme="minorHAnsi" w:eastAsia="Calibri" w:hAnsiTheme="minorHAnsi" w:cstheme="minorHAnsi"/>
                <w:bCs/>
                <w:i/>
                <w:sz w:val="22"/>
                <w:szCs w:val="22"/>
                <w:lang w:val="cs-CZ" w:eastAsia="en-US"/>
              </w:rPr>
            </w:pPr>
            <w:r w:rsidRPr="00BF2C9A">
              <w:rPr>
                <w:rFonts w:asciiTheme="minorHAnsi" w:eastAsia="Calibri" w:hAnsiTheme="minorHAnsi" w:cstheme="minorHAnsi"/>
                <w:bCs/>
                <w:i/>
                <w:sz w:val="22"/>
                <w:szCs w:val="22"/>
                <w:lang w:val="cs-CZ" w:eastAsia="en-US"/>
              </w:rPr>
              <w:t xml:space="preserve">Zahájení legislativního </w:t>
            </w:r>
            <w:r w:rsidR="005B6EF4" w:rsidRPr="00BF2C9A">
              <w:rPr>
                <w:rFonts w:asciiTheme="minorHAnsi" w:eastAsia="Calibri" w:hAnsiTheme="minorHAnsi" w:cstheme="minorHAnsi"/>
                <w:bCs/>
                <w:i/>
                <w:sz w:val="22"/>
                <w:szCs w:val="22"/>
                <w:lang w:val="cs-CZ" w:eastAsia="en-US"/>
              </w:rPr>
              <w:t>procesu</w:t>
            </w:r>
            <w:r w:rsidR="005B6EF4">
              <w:rPr>
                <w:rFonts w:asciiTheme="minorHAnsi" w:eastAsia="Calibri" w:hAnsiTheme="minorHAnsi" w:cstheme="minorHAnsi"/>
                <w:bCs/>
                <w:i/>
                <w:sz w:val="22"/>
                <w:szCs w:val="22"/>
                <w:lang w:val="cs-CZ" w:eastAsia="en-US"/>
              </w:rPr>
              <w:t>, zařazení</w:t>
            </w:r>
            <w:r>
              <w:rPr>
                <w:rFonts w:asciiTheme="minorHAnsi" w:eastAsia="Calibri" w:hAnsiTheme="minorHAnsi" w:cstheme="minorHAnsi"/>
                <w:bCs/>
                <w:i/>
                <w:sz w:val="22"/>
                <w:szCs w:val="22"/>
                <w:lang w:val="cs-CZ" w:eastAsia="en-US"/>
              </w:rPr>
              <w:t xml:space="preserve"> do  LPV</w:t>
            </w:r>
          </w:p>
        </w:tc>
        <w:tc>
          <w:tcPr>
            <w:tcW w:w="1856" w:type="dxa"/>
            <w:tcBorders>
              <w:top w:val="single" w:sz="8" w:space="0" w:color="auto"/>
              <w:left w:val="single" w:sz="8" w:space="0" w:color="auto"/>
              <w:bottom w:val="single" w:sz="8" w:space="0" w:color="auto"/>
              <w:right w:val="single" w:sz="8" w:space="0" w:color="auto"/>
            </w:tcBorders>
            <w:vAlign w:val="center"/>
          </w:tcPr>
          <w:p w:rsidR="007C61E8" w:rsidRPr="00E44C7B" w:rsidRDefault="00BF2C9A" w:rsidP="005C6972">
            <w:pPr>
              <w:pStyle w:val="nazev"/>
              <w:numPr>
                <w:ilvl w:val="0"/>
                <w:numId w:val="0"/>
              </w:numPr>
              <w:rPr>
                <w:rFonts w:asciiTheme="minorHAnsi" w:eastAsia="Calibri" w:hAnsiTheme="minorHAnsi" w:cstheme="minorHAnsi"/>
                <w:bCs/>
                <w:sz w:val="22"/>
                <w:szCs w:val="22"/>
                <w:lang w:val="cs-CZ" w:eastAsia="en-US"/>
              </w:rPr>
            </w:pPr>
            <w:proofErr w:type="spellStart"/>
            <w:r>
              <w:rPr>
                <w:rFonts w:asciiTheme="minorHAnsi" w:eastAsia="Calibri" w:hAnsiTheme="minorHAnsi" w:cstheme="minorHAnsi"/>
                <w:bCs/>
                <w:sz w:val="22"/>
                <w:szCs w:val="22"/>
                <w:lang w:val="cs-CZ" w:eastAsia="en-US"/>
              </w:rPr>
              <w:t>MSp</w:t>
            </w:r>
            <w:proofErr w:type="spellEnd"/>
            <w:r>
              <w:rPr>
                <w:rFonts w:asciiTheme="minorHAnsi" w:eastAsia="Calibri" w:hAnsiTheme="minorHAnsi" w:cstheme="minorHAnsi"/>
                <w:bCs/>
                <w:sz w:val="22"/>
                <w:szCs w:val="22"/>
                <w:lang w:val="cs-CZ" w:eastAsia="en-US"/>
              </w:rPr>
              <w:t xml:space="preserve"> a MF</w:t>
            </w:r>
          </w:p>
        </w:tc>
        <w:tc>
          <w:tcPr>
            <w:tcW w:w="1409" w:type="dxa"/>
            <w:gridSpan w:val="2"/>
            <w:tcBorders>
              <w:top w:val="single" w:sz="8" w:space="0" w:color="auto"/>
              <w:left w:val="single" w:sz="8" w:space="0" w:color="auto"/>
              <w:bottom w:val="single" w:sz="8" w:space="0" w:color="auto"/>
              <w:right w:val="single" w:sz="8" w:space="0" w:color="auto"/>
            </w:tcBorders>
            <w:vAlign w:val="center"/>
          </w:tcPr>
          <w:p w:rsidR="007C61E8" w:rsidRPr="00E44C7B" w:rsidRDefault="005B6EF4" w:rsidP="005B6EF4">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3. Q 2017</w:t>
            </w:r>
          </w:p>
        </w:tc>
      </w:tr>
      <w:tr w:rsidR="007C61E8" w:rsidRPr="00E44C7B" w:rsidTr="005851FD">
        <w:tblPrEx>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tblPrEx>
        <w:trPr>
          <w:gridBefore w:val="1"/>
          <w:wBefore w:w="29" w:type="dxa"/>
          <w:cantSplit/>
          <w:jc w:val="center"/>
        </w:trPr>
        <w:tc>
          <w:tcPr>
            <w:tcW w:w="1129" w:type="dxa"/>
            <w:tcBorders>
              <w:top w:val="single" w:sz="4" w:space="0" w:color="auto"/>
              <w:left w:val="single" w:sz="8" w:space="0" w:color="auto"/>
              <w:bottom w:val="single" w:sz="8" w:space="0" w:color="auto"/>
              <w:right w:val="single" w:sz="4" w:space="0" w:color="auto"/>
            </w:tcBorders>
            <w:vAlign w:val="center"/>
          </w:tcPr>
          <w:p w:rsidR="007C61E8" w:rsidRPr="00E44C7B" w:rsidRDefault="00BF2C9A" w:rsidP="00BF2C9A">
            <w:pPr>
              <w:spacing w:after="0"/>
              <w:jc w:val="center"/>
              <w:rPr>
                <w:rFonts w:asciiTheme="minorHAnsi" w:hAnsiTheme="minorHAnsi" w:cstheme="minorHAnsi"/>
                <w:bCs/>
              </w:rPr>
            </w:pPr>
            <w:r>
              <w:rPr>
                <w:rFonts w:asciiTheme="minorHAnsi" w:hAnsiTheme="minorHAnsi" w:cstheme="minorHAnsi"/>
                <w:bCs/>
              </w:rPr>
              <w:t>4.</w:t>
            </w:r>
          </w:p>
        </w:tc>
        <w:tc>
          <w:tcPr>
            <w:tcW w:w="4820" w:type="dxa"/>
            <w:gridSpan w:val="3"/>
            <w:tcBorders>
              <w:top w:val="single" w:sz="4" w:space="0" w:color="auto"/>
              <w:left w:val="single" w:sz="4" w:space="0" w:color="auto"/>
              <w:bottom w:val="single" w:sz="8" w:space="0" w:color="auto"/>
              <w:right w:val="single" w:sz="8" w:space="0" w:color="auto"/>
            </w:tcBorders>
            <w:vAlign w:val="center"/>
          </w:tcPr>
          <w:p w:rsidR="007C61E8" w:rsidRPr="00BF2C9A" w:rsidRDefault="00BF2C9A" w:rsidP="005C6972">
            <w:pPr>
              <w:pStyle w:val="nazev"/>
              <w:numPr>
                <w:ilvl w:val="0"/>
                <w:numId w:val="0"/>
              </w:numPr>
              <w:rPr>
                <w:rFonts w:asciiTheme="minorHAnsi" w:eastAsia="Calibri" w:hAnsiTheme="minorHAnsi" w:cstheme="minorHAnsi"/>
                <w:bCs/>
                <w:i/>
                <w:sz w:val="22"/>
                <w:szCs w:val="22"/>
                <w:lang w:val="cs-CZ" w:eastAsia="en-US"/>
              </w:rPr>
            </w:pPr>
            <w:r>
              <w:rPr>
                <w:rFonts w:asciiTheme="minorHAnsi" w:eastAsia="Calibri" w:hAnsiTheme="minorHAnsi" w:cstheme="minorHAnsi"/>
                <w:bCs/>
                <w:i/>
                <w:sz w:val="22"/>
                <w:szCs w:val="22"/>
                <w:lang w:val="cs-CZ" w:eastAsia="en-US"/>
              </w:rPr>
              <w:t>Konzultace s partnery a spolupracujícími subjekty</w:t>
            </w:r>
          </w:p>
        </w:tc>
        <w:tc>
          <w:tcPr>
            <w:tcW w:w="1856" w:type="dxa"/>
            <w:tcBorders>
              <w:top w:val="single" w:sz="8" w:space="0" w:color="auto"/>
              <w:left w:val="single" w:sz="8" w:space="0" w:color="auto"/>
              <w:bottom w:val="single" w:sz="8" w:space="0" w:color="auto"/>
              <w:right w:val="single" w:sz="8" w:space="0" w:color="auto"/>
            </w:tcBorders>
            <w:vAlign w:val="center"/>
          </w:tcPr>
          <w:p w:rsidR="007C61E8" w:rsidRPr="00E44C7B" w:rsidRDefault="007C61E8" w:rsidP="005C6972">
            <w:pPr>
              <w:pStyle w:val="nazev"/>
              <w:numPr>
                <w:ilvl w:val="0"/>
                <w:numId w:val="0"/>
              </w:numPr>
              <w:rPr>
                <w:rFonts w:asciiTheme="minorHAnsi" w:eastAsia="Calibri" w:hAnsiTheme="minorHAnsi" w:cstheme="minorHAnsi"/>
                <w:bCs/>
                <w:sz w:val="22"/>
                <w:szCs w:val="22"/>
                <w:lang w:val="cs-CZ" w:eastAsia="en-US"/>
              </w:rPr>
            </w:pPr>
          </w:p>
        </w:tc>
        <w:tc>
          <w:tcPr>
            <w:tcW w:w="1409" w:type="dxa"/>
            <w:gridSpan w:val="2"/>
            <w:tcBorders>
              <w:top w:val="single" w:sz="8" w:space="0" w:color="auto"/>
              <w:left w:val="single" w:sz="8" w:space="0" w:color="auto"/>
              <w:bottom w:val="single" w:sz="8" w:space="0" w:color="auto"/>
              <w:right w:val="single" w:sz="8" w:space="0" w:color="auto"/>
            </w:tcBorders>
            <w:vAlign w:val="center"/>
          </w:tcPr>
          <w:p w:rsidR="007C61E8" w:rsidRPr="00E44C7B" w:rsidRDefault="00BF2C9A" w:rsidP="005C6972">
            <w:pPr>
              <w:pStyle w:val="nazev"/>
              <w:numPr>
                <w:ilvl w:val="0"/>
                <w:numId w:val="0"/>
              </w:numPr>
              <w:rPr>
                <w:rFonts w:asciiTheme="minorHAnsi" w:eastAsia="Calibri" w:hAnsiTheme="minorHAnsi" w:cstheme="minorHAnsi"/>
                <w:bCs/>
                <w:sz w:val="22"/>
                <w:szCs w:val="22"/>
                <w:lang w:val="cs-CZ" w:eastAsia="en-US"/>
              </w:rPr>
            </w:pPr>
            <w:r>
              <w:rPr>
                <w:rFonts w:asciiTheme="minorHAnsi" w:eastAsia="Calibri" w:hAnsiTheme="minorHAnsi" w:cstheme="minorHAnsi"/>
                <w:bCs/>
                <w:sz w:val="22"/>
                <w:szCs w:val="22"/>
                <w:lang w:val="cs-CZ" w:eastAsia="en-US"/>
              </w:rPr>
              <w:t>Průběžně</w:t>
            </w:r>
          </w:p>
        </w:tc>
      </w:tr>
    </w:tbl>
    <w:p w:rsidR="00D81A7B" w:rsidRPr="00E44C7B" w:rsidRDefault="00D81A7B">
      <w:pPr>
        <w:rPr>
          <w:rFonts w:asciiTheme="minorHAnsi" w:hAnsiTheme="minorHAnsi"/>
        </w:rPr>
      </w:pPr>
    </w:p>
    <w:p w:rsidR="00267E10" w:rsidRPr="00E44C7B" w:rsidRDefault="00267E10">
      <w:pPr>
        <w:rPr>
          <w:rFonts w:asciiTheme="minorHAnsi" w:hAnsiTheme="minorHAnsi"/>
        </w:rPr>
      </w:pPr>
    </w:p>
    <w:sectPr w:rsidR="00267E10" w:rsidRPr="00E44C7B" w:rsidSect="00B204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062"/>
    <w:multiLevelType w:val="multilevel"/>
    <w:tmpl w:val="0322A98A"/>
    <w:lvl w:ilvl="0">
      <w:start w:val="1"/>
      <w:numFmt w:val="upperRoman"/>
      <w:pStyle w:val="Nadpis1"/>
      <w:lvlText w:val="%1"/>
      <w:lvlJc w:val="left"/>
      <w:pPr>
        <w:tabs>
          <w:tab w:val="num" w:pos="408"/>
        </w:tabs>
        <w:ind w:left="408" w:hanging="480"/>
      </w:pPr>
      <w:rPr>
        <w:rFonts w:ascii="Arial" w:hAnsi="Arial" w:cs="Times New Roman" w:hint="default"/>
        <w:b/>
        <w:i w:val="0"/>
        <w:color w:val="000080"/>
        <w:sz w:val="28"/>
        <w:szCs w:val="28"/>
      </w:rPr>
    </w:lvl>
    <w:lvl w:ilvl="1">
      <w:start w:val="1"/>
      <w:numFmt w:val="decimal"/>
      <w:pStyle w:val="StylNadpis2Tun"/>
      <w:lvlText w:val="%1.%2"/>
      <w:lvlJc w:val="left"/>
      <w:pPr>
        <w:tabs>
          <w:tab w:val="num" w:pos="480"/>
        </w:tabs>
        <w:ind w:left="480" w:hanging="480"/>
      </w:pPr>
      <w:rPr>
        <w:rFonts w:ascii="Arial" w:hAnsi="Arial" w:cs="Times New Roman" w:hint="default"/>
        <w:b/>
        <w:i w:val="0"/>
        <w:color w:val="000080"/>
        <w:sz w:val="24"/>
        <w:szCs w:val="24"/>
      </w:rPr>
    </w:lvl>
    <w:lvl w:ilvl="2">
      <w:start w:val="1"/>
      <w:numFmt w:val="decimal"/>
      <w:pStyle w:val="Nadpis3"/>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223E5200"/>
    <w:multiLevelType w:val="hybridMultilevel"/>
    <w:tmpl w:val="A9C69082"/>
    <w:lvl w:ilvl="0" w:tplc="D9400846">
      <w:numFmt w:val="bullet"/>
      <w:lvlText w:val="-"/>
      <w:lvlJc w:val="left"/>
      <w:pPr>
        <w:ind w:left="720" w:hanging="360"/>
      </w:pPr>
      <w:rPr>
        <w:rFonts w:ascii="Calibri" w:eastAsia="Calibri"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7A51F00"/>
    <w:multiLevelType w:val="hybridMultilevel"/>
    <w:tmpl w:val="08006CF2"/>
    <w:lvl w:ilvl="0" w:tplc="905A599C">
      <w:numFmt w:val="bullet"/>
      <w:lvlText w:val="-"/>
      <w:lvlJc w:val="left"/>
      <w:pPr>
        <w:tabs>
          <w:tab w:val="num" w:pos="720"/>
        </w:tabs>
        <w:ind w:left="720" w:hanging="360"/>
      </w:pPr>
      <w:rPr>
        <w:rFonts w:ascii="Times New Roman" w:eastAsia="Batang"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640B541F"/>
    <w:multiLevelType w:val="multilevel"/>
    <w:tmpl w:val="E306F79C"/>
    <w:lvl w:ilvl="0">
      <w:start w:val="11"/>
      <w:numFmt w:val="none"/>
      <w:pStyle w:val="nazev"/>
      <w:lvlText w:val="Název%1:"/>
      <w:lvlJc w:val="left"/>
      <w:pPr>
        <w:tabs>
          <w:tab w:val="num" w:pos="1134"/>
        </w:tabs>
        <w:ind w:left="1134" w:hanging="1134"/>
      </w:pPr>
      <w:rPr>
        <w:rFonts w:ascii="Arial" w:hAnsi="Arial"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712197"/>
    <w:rsid w:val="00003F3B"/>
    <w:rsid w:val="000307B7"/>
    <w:rsid w:val="00033219"/>
    <w:rsid w:val="00055B00"/>
    <w:rsid w:val="0007467A"/>
    <w:rsid w:val="000925F1"/>
    <w:rsid w:val="00100182"/>
    <w:rsid w:val="00132ED7"/>
    <w:rsid w:val="00143048"/>
    <w:rsid w:val="00152BA4"/>
    <w:rsid w:val="00182CFC"/>
    <w:rsid w:val="001A23E1"/>
    <w:rsid w:val="00267E10"/>
    <w:rsid w:val="002E0ADB"/>
    <w:rsid w:val="003141B0"/>
    <w:rsid w:val="003417F8"/>
    <w:rsid w:val="00364F99"/>
    <w:rsid w:val="00387800"/>
    <w:rsid w:val="003F497E"/>
    <w:rsid w:val="004E6643"/>
    <w:rsid w:val="00542454"/>
    <w:rsid w:val="00553DD0"/>
    <w:rsid w:val="00561627"/>
    <w:rsid w:val="00574108"/>
    <w:rsid w:val="005851FD"/>
    <w:rsid w:val="005B0F2B"/>
    <w:rsid w:val="005B6EF4"/>
    <w:rsid w:val="005C6972"/>
    <w:rsid w:val="005F5FE0"/>
    <w:rsid w:val="006B7FBF"/>
    <w:rsid w:val="006E21D1"/>
    <w:rsid w:val="006F167E"/>
    <w:rsid w:val="00705752"/>
    <w:rsid w:val="00712197"/>
    <w:rsid w:val="00720556"/>
    <w:rsid w:val="00731CC2"/>
    <w:rsid w:val="00742AA5"/>
    <w:rsid w:val="00744C35"/>
    <w:rsid w:val="007A4FF9"/>
    <w:rsid w:val="007C61E8"/>
    <w:rsid w:val="007E4974"/>
    <w:rsid w:val="007F781B"/>
    <w:rsid w:val="00815067"/>
    <w:rsid w:val="00825480"/>
    <w:rsid w:val="00882496"/>
    <w:rsid w:val="008902FE"/>
    <w:rsid w:val="00892AE7"/>
    <w:rsid w:val="008A4F46"/>
    <w:rsid w:val="00923F6F"/>
    <w:rsid w:val="00976648"/>
    <w:rsid w:val="009A4ABE"/>
    <w:rsid w:val="009E1135"/>
    <w:rsid w:val="00A957E1"/>
    <w:rsid w:val="00AE0693"/>
    <w:rsid w:val="00B17922"/>
    <w:rsid w:val="00B20412"/>
    <w:rsid w:val="00B263A9"/>
    <w:rsid w:val="00BD57F2"/>
    <w:rsid w:val="00BD5E90"/>
    <w:rsid w:val="00BD6110"/>
    <w:rsid w:val="00BF2C9A"/>
    <w:rsid w:val="00C22FA8"/>
    <w:rsid w:val="00C34D00"/>
    <w:rsid w:val="00D4503A"/>
    <w:rsid w:val="00D81A7B"/>
    <w:rsid w:val="00E12A50"/>
    <w:rsid w:val="00E22ED9"/>
    <w:rsid w:val="00E44C7B"/>
    <w:rsid w:val="00EB5382"/>
    <w:rsid w:val="00EC562B"/>
    <w:rsid w:val="00EF2A7E"/>
    <w:rsid w:val="00F3671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2197"/>
    <w:rPr>
      <w:rFonts w:ascii="Calibri" w:eastAsia="Calibri" w:hAnsi="Calibri" w:cs="Times New Roman"/>
      <w:lang w:eastAsia="en-US"/>
    </w:rPr>
  </w:style>
  <w:style w:type="paragraph" w:styleId="Nadpis1">
    <w:name w:val="heading 1"/>
    <w:basedOn w:val="Normln"/>
    <w:next w:val="Normln"/>
    <w:link w:val="Nadpis1Char"/>
    <w:qFormat/>
    <w:rsid w:val="005C6972"/>
    <w:pPr>
      <w:keepNext/>
      <w:numPr>
        <w:numId w:val="1"/>
      </w:numPr>
      <w:spacing w:after="0" w:line="360" w:lineRule="auto"/>
      <w:jc w:val="both"/>
      <w:outlineLvl w:val="0"/>
    </w:pPr>
    <w:rPr>
      <w:rFonts w:ascii="Arial" w:eastAsia="Times New Roman" w:hAnsi="Arial" w:cs="Tahoma"/>
      <w:b/>
      <w:bCs/>
      <w:color w:val="000080"/>
      <w:sz w:val="28"/>
      <w:szCs w:val="28"/>
      <w:lang w:eastAsia="cs-CZ"/>
    </w:rPr>
  </w:style>
  <w:style w:type="paragraph" w:styleId="Nadpis2">
    <w:name w:val="heading 2"/>
    <w:basedOn w:val="Nadpis1"/>
    <w:next w:val="Normln"/>
    <w:link w:val="Nadpis2Char"/>
    <w:qFormat/>
    <w:rsid w:val="005C6972"/>
    <w:pPr>
      <w:spacing w:before="240" w:after="60"/>
      <w:outlineLvl w:val="1"/>
    </w:pPr>
    <w:rPr>
      <w:rFonts w:cs="Arial"/>
      <w:b w:val="0"/>
      <w:bCs w:val="0"/>
      <w:i/>
      <w:iCs/>
      <w:sz w:val="22"/>
      <w:szCs w:val="22"/>
    </w:rPr>
  </w:style>
  <w:style w:type="paragraph" w:styleId="Nadpis3">
    <w:name w:val="heading 3"/>
    <w:basedOn w:val="Nadpis2"/>
    <w:next w:val="Normln"/>
    <w:link w:val="Nadpis3Char"/>
    <w:qFormat/>
    <w:rsid w:val="005C6972"/>
    <w:pPr>
      <w:numPr>
        <w:ilvl w:val="2"/>
      </w:numPr>
      <w:outlineLvl w:val="2"/>
    </w:pPr>
    <w:rPr>
      <w:i w:val="0"/>
      <w:sz w:val="20"/>
      <w:szCs w:val="26"/>
    </w:rPr>
  </w:style>
  <w:style w:type="paragraph" w:styleId="Nadpis5">
    <w:name w:val="heading 5"/>
    <w:basedOn w:val="Normln"/>
    <w:next w:val="Normln"/>
    <w:link w:val="Nadpis5Char"/>
    <w:qFormat/>
    <w:rsid w:val="005C6972"/>
    <w:pPr>
      <w:keepNext/>
      <w:spacing w:before="40" w:after="40" w:line="240" w:lineRule="auto"/>
      <w:outlineLvl w:val="4"/>
    </w:pPr>
    <w:rPr>
      <w:rFonts w:ascii="Arial" w:eastAsia="Times New Roman" w:hAnsi="Arial"/>
      <w:b/>
      <w:sz w:val="20"/>
      <w:szCs w:val="20"/>
      <w:lang w:val="sk-SK"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3671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6715"/>
    <w:rPr>
      <w:rFonts w:ascii="Tahoma" w:eastAsia="Calibri" w:hAnsi="Tahoma" w:cs="Tahoma"/>
      <w:sz w:val="16"/>
      <w:szCs w:val="16"/>
      <w:lang w:eastAsia="en-US"/>
    </w:rPr>
  </w:style>
  <w:style w:type="character" w:styleId="Odkaznakoment">
    <w:name w:val="annotation reference"/>
    <w:basedOn w:val="Standardnpsmoodstavce"/>
    <w:uiPriority w:val="99"/>
    <w:semiHidden/>
    <w:unhideWhenUsed/>
    <w:rsid w:val="00B17922"/>
    <w:rPr>
      <w:sz w:val="16"/>
      <w:szCs w:val="16"/>
    </w:rPr>
  </w:style>
  <w:style w:type="paragraph" w:styleId="Textkomente">
    <w:name w:val="annotation text"/>
    <w:basedOn w:val="Normln"/>
    <w:link w:val="TextkomenteChar"/>
    <w:uiPriority w:val="99"/>
    <w:semiHidden/>
    <w:unhideWhenUsed/>
    <w:rsid w:val="00B17922"/>
    <w:pPr>
      <w:spacing w:line="240" w:lineRule="auto"/>
    </w:pPr>
    <w:rPr>
      <w:sz w:val="20"/>
      <w:szCs w:val="20"/>
    </w:rPr>
  </w:style>
  <w:style w:type="character" w:customStyle="1" w:styleId="TextkomenteChar">
    <w:name w:val="Text komentáře Char"/>
    <w:basedOn w:val="Standardnpsmoodstavce"/>
    <w:link w:val="Textkomente"/>
    <w:uiPriority w:val="99"/>
    <w:semiHidden/>
    <w:rsid w:val="00B17922"/>
    <w:rPr>
      <w:rFonts w:ascii="Calibri" w:eastAsia="Calibri" w:hAnsi="Calibri" w:cs="Times New Roman"/>
      <w:sz w:val="20"/>
      <w:szCs w:val="20"/>
      <w:lang w:eastAsia="en-US"/>
    </w:rPr>
  </w:style>
  <w:style w:type="paragraph" w:styleId="Pedmtkomente">
    <w:name w:val="annotation subject"/>
    <w:basedOn w:val="Textkomente"/>
    <w:next w:val="Textkomente"/>
    <w:link w:val="PedmtkomenteChar"/>
    <w:uiPriority w:val="99"/>
    <w:semiHidden/>
    <w:unhideWhenUsed/>
    <w:rsid w:val="00B17922"/>
    <w:rPr>
      <w:b/>
      <w:bCs/>
    </w:rPr>
  </w:style>
  <w:style w:type="character" w:customStyle="1" w:styleId="PedmtkomenteChar">
    <w:name w:val="Předmět komentáře Char"/>
    <w:basedOn w:val="TextkomenteChar"/>
    <w:link w:val="Pedmtkomente"/>
    <w:uiPriority w:val="99"/>
    <w:semiHidden/>
    <w:rsid w:val="00B17922"/>
    <w:rPr>
      <w:rFonts w:ascii="Calibri" w:eastAsia="Calibri" w:hAnsi="Calibri" w:cs="Times New Roman"/>
      <w:b/>
      <w:bCs/>
      <w:sz w:val="20"/>
      <w:szCs w:val="20"/>
      <w:lang w:eastAsia="en-US"/>
    </w:rPr>
  </w:style>
  <w:style w:type="character" w:customStyle="1" w:styleId="Nadpis1Char">
    <w:name w:val="Nadpis 1 Char"/>
    <w:basedOn w:val="Standardnpsmoodstavce"/>
    <w:link w:val="Nadpis1"/>
    <w:rsid w:val="005C6972"/>
    <w:rPr>
      <w:rFonts w:ascii="Arial" w:eastAsia="Times New Roman" w:hAnsi="Arial" w:cs="Tahoma"/>
      <w:b/>
      <w:bCs/>
      <w:color w:val="000080"/>
      <w:sz w:val="28"/>
      <w:szCs w:val="28"/>
      <w:lang w:eastAsia="cs-CZ"/>
    </w:rPr>
  </w:style>
  <w:style w:type="character" w:customStyle="1" w:styleId="Nadpis2Char">
    <w:name w:val="Nadpis 2 Char"/>
    <w:basedOn w:val="Standardnpsmoodstavce"/>
    <w:link w:val="Nadpis2"/>
    <w:rsid w:val="005C6972"/>
    <w:rPr>
      <w:rFonts w:ascii="Arial" w:eastAsia="Times New Roman" w:hAnsi="Arial" w:cs="Arial"/>
      <w:i/>
      <w:iCs/>
      <w:color w:val="000080"/>
      <w:lang w:eastAsia="cs-CZ"/>
    </w:rPr>
  </w:style>
  <w:style w:type="character" w:customStyle="1" w:styleId="Nadpis3Char">
    <w:name w:val="Nadpis 3 Char"/>
    <w:basedOn w:val="Standardnpsmoodstavce"/>
    <w:link w:val="Nadpis3"/>
    <w:rsid w:val="005C6972"/>
    <w:rPr>
      <w:rFonts w:ascii="Arial" w:eastAsia="Times New Roman" w:hAnsi="Arial" w:cs="Arial"/>
      <w:iCs/>
      <w:color w:val="000080"/>
      <w:sz w:val="20"/>
      <w:szCs w:val="26"/>
      <w:lang w:eastAsia="cs-CZ"/>
    </w:rPr>
  </w:style>
  <w:style w:type="character" w:customStyle="1" w:styleId="Nadpis5Char">
    <w:name w:val="Nadpis 5 Char"/>
    <w:basedOn w:val="Standardnpsmoodstavce"/>
    <w:link w:val="Nadpis5"/>
    <w:rsid w:val="005C6972"/>
    <w:rPr>
      <w:rFonts w:ascii="Arial" w:eastAsia="Times New Roman" w:hAnsi="Arial" w:cs="Times New Roman"/>
      <w:b/>
      <w:sz w:val="20"/>
      <w:szCs w:val="20"/>
      <w:lang w:val="sk-SK" w:eastAsia="sk-SK"/>
    </w:rPr>
  </w:style>
  <w:style w:type="paragraph" w:customStyle="1" w:styleId="StylNadpis2Tun">
    <w:name w:val="Styl Nadpis 2 + Tučné"/>
    <w:basedOn w:val="Nadpis2"/>
    <w:rsid w:val="005C6972"/>
    <w:pPr>
      <w:numPr>
        <w:ilvl w:val="1"/>
      </w:numPr>
    </w:pPr>
    <w:rPr>
      <w:b/>
      <w:bCs/>
      <w:i w:val="0"/>
      <w:sz w:val="24"/>
      <w:szCs w:val="24"/>
    </w:rPr>
  </w:style>
  <w:style w:type="paragraph" w:customStyle="1" w:styleId="nazev">
    <w:name w:val="nazev"/>
    <w:basedOn w:val="Normln"/>
    <w:rsid w:val="005C6972"/>
    <w:pPr>
      <w:numPr>
        <w:numId w:val="2"/>
      </w:numPr>
      <w:spacing w:after="0" w:line="240" w:lineRule="auto"/>
    </w:pPr>
    <w:rPr>
      <w:rFonts w:ascii="Arial" w:eastAsia="Times New Roman" w:hAnsi="Arial"/>
      <w:sz w:val="20"/>
      <w:szCs w:val="20"/>
      <w:lang w:val="en-US" w:eastAsia="sk-SK"/>
    </w:rPr>
  </w:style>
  <w:style w:type="paragraph" w:styleId="Odstavecseseznamem">
    <w:name w:val="List Paragraph"/>
    <w:basedOn w:val="Normln"/>
    <w:uiPriority w:val="34"/>
    <w:qFormat/>
    <w:rsid w:val="00744C3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exisuno.cz/1dc" TargetMode="External"/><Relationship Id="rId3" Type="http://schemas.openxmlformats.org/officeDocument/2006/relationships/settings" Target="settings.xml"/><Relationship Id="rId7" Type="http://schemas.openxmlformats.org/officeDocument/2006/relationships/hyperlink" Target="http://www.codexisuno.cz/1d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dexisuno.cz/1da" TargetMode="External"/><Relationship Id="rId11" Type="http://schemas.openxmlformats.org/officeDocument/2006/relationships/fontTable" Target="fontTable.xml"/><Relationship Id="rId5" Type="http://schemas.openxmlformats.org/officeDocument/2006/relationships/hyperlink" Target="http://www.codexisuno.cz/1d0" TargetMode="External"/><Relationship Id="rId10" Type="http://schemas.openxmlformats.org/officeDocument/2006/relationships/hyperlink" Target="http://www.codexisuno.cz/1de" TargetMode="External"/><Relationship Id="rId4" Type="http://schemas.openxmlformats.org/officeDocument/2006/relationships/webSettings" Target="webSettings.xml"/><Relationship Id="rId9" Type="http://schemas.openxmlformats.org/officeDocument/2006/relationships/hyperlink" Target="http://www.codexisuno.cz/1dd"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4187</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Lukeš Zdeněk</dc:creator>
  <cp:lastModifiedBy>OSPZV3 ospzv3</cp:lastModifiedBy>
  <cp:revision>2</cp:revision>
  <cp:lastPrinted>2017-05-16T07:23:00Z</cp:lastPrinted>
  <dcterms:created xsi:type="dcterms:W3CDTF">2017-05-16T07:23:00Z</dcterms:created>
  <dcterms:modified xsi:type="dcterms:W3CDTF">2017-05-16T07:23:00Z</dcterms:modified>
</cp:coreProperties>
</file>