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5" w:rsidRPr="006720AE" w:rsidRDefault="00DD22B9" w:rsidP="000038F9">
      <w:pPr>
        <w:pStyle w:val="Nadpis1"/>
        <w:jc w:val="center"/>
        <w:rPr>
          <w:sz w:val="32"/>
          <w:szCs w:val="32"/>
          <w:u w:val="single"/>
        </w:rPr>
      </w:pPr>
      <w:bookmarkStart w:id="0" w:name="_GoBack"/>
      <w:bookmarkStart w:id="1" w:name="_Toc440627789"/>
      <w:bookmarkEnd w:id="0"/>
      <w:r w:rsidRPr="006720AE">
        <w:rPr>
          <w:sz w:val="32"/>
          <w:szCs w:val="32"/>
          <w:u w:val="single"/>
        </w:rPr>
        <w:t>Informace o situaci v oblasti migrace v roce 2015</w:t>
      </w:r>
      <w:bookmarkEnd w:id="1"/>
    </w:p>
    <w:p w:rsidR="00D55EFE" w:rsidRPr="006720AE" w:rsidRDefault="00D55EFE" w:rsidP="00DD22B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271B4" w:rsidRPr="006720AE" w:rsidRDefault="001271B4">
      <w:pPr>
        <w:rPr>
          <w:rFonts w:asciiTheme="majorHAnsi" w:hAnsiTheme="majorHAnsi"/>
        </w:rPr>
      </w:pPr>
    </w:p>
    <w:p w:rsidR="00D375B1" w:rsidRPr="006720AE" w:rsidRDefault="00D375B1">
      <w:pPr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F07935" w:rsidRPr="006720AE" w:rsidRDefault="00F07935" w:rsidP="00D375B1">
      <w:pPr>
        <w:spacing w:after="120" w:line="240" w:lineRule="auto"/>
        <w:jc w:val="both"/>
        <w:rPr>
          <w:rFonts w:asciiTheme="majorHAnsi" w:hAnsiTheme="majorHAnsi"/>
        </w:rPr>
      </w:pPr>
    </w:p>
    <w:p w:rsidR="00D375B1" w:rsidRPr="006720AE" w:rsidRDefault="00D375B1" w:rsidP="00D375B1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Jedná se o prvotní informační zprávu, která pracuje s daty a informacemi </w:t>
      </w:r>
      <w:r w:rsidR="00025AF0">
        <w:rPr>
          <w:rFonts w:asciiTheme="majorHAnsi" w:hAnsiTheme="majorHAnsi"/>
        </w:rPr>
        <w:t xml:space="preserve">za rok 2015 </w:t>
      </w:r>
      <w:r w:rsidRPr="006720AE">
        <w:rPr>
          <w:rFonts w:asciiTheme="majorHAnsi" w:hAnsiTheme="majorHAnsi"/>
        </w:rPr>
        <w:t>dostupnými k 14. lednu 2016.</w:t>
      </w:r>
    </w:p>
    <w:p w:rsidR="00D375B1" w:rsidRPr="006720AE" w:rsidRDefault="00D375B1" w:rsidP="00D375B1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Ucelené informace za celý rok 2015 bude obsahovat Zpráva o situaci v oblasti migrace a integrace cizinců na území České republiky v roce 2015, která je každoročně zpracovávána </w:t>
      </w:r>
      <w:r w:rsidR="00F07935" w:rsidRPr="006720AE">
        <w:rPr>
          <w:rFonts w:asciiTheme="majorHAnsi" w:hAnsiTheme="majorHAnsi"/>
        </w:rPr>
        <w:t>v souladu s usnesením vlády č. 467/1993 a usnesením Poslanecké sněmovny Parlamentu ČR č. 225 ze dne 12. října 1993 a navazujícím usnesením Poslanecké sněmovny Parlamentu ČR č. 716 ze dne 28. června 1995.</w:t>
      </w:r>
      <w:r w:rsidRPr="006720AE">
        <w:rPr>
          <w:rFonts w:asciiTheme="majorHAnsi" w:hAnsiTheme="majorHAnsi"/>
        </w:rPr>
        <w:t xml:space="preserve">   </w:t>
      </w:r>
    </w:p>
    <w:p w:rsidR="00D375B1" w:rsidRPr="006720AE" w:rsidRDefault="00D375B1" w:rsidP="00D375B1">
      <w:pPr>
        <w:spacing w:after="120" w:line="240" w:lineRule="auto"/>
        <w:jc w:val="both"/>
        <w:rPr>
          <w:rFonts w:asciiTheme="majorHAnsi" w:hAnsiTheme="majorHAnsi"/>
        </w:rPr>
        <w:sectPr w:rsidR="00D375B1" w:rsidRPr="006720AE" w:rsidSect="006B7158">
          <w:footerReference w:type="default" r:id="rId8"/>
          <w:pgSz w:w="11906" w:h="16838"/>
          <w:pgMar w:top="1702" w:right="1417" w:bottom="1560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46291801"/>
        <w:docPartObj>
          <w:docPartGallery w:val="Table of Contents"/>
          <w:docPartUnique/>
        </w:docPartObj>
      </w:sdtPr>
      <w:sdtContent>
        <w:p w:rsidR="002B5696" w:rsidRPr="006720AE" w:rsidRDefault="002B5696" w:rsidP="002B5696">
          <w:pPr>
            <w:pStyle w:val="Nadpisobsahu"/>
          </w:pPr>
          <w:r w:rsidRPr="006720AE">
            <w:t>Obsah</w:t>
          </w:r>
        </w:p>
        <w:p w:rsidR="00422A7A" w:rsidRDefault="004C603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4C603E">
            <w:rPr>
              <w:rFonts w:asciiTheme="majorHAnsi" w:hAnsiTheme="majorHAnsi"/>
            </w:rPr>
            <w:fldChar w:fldCharType="begin"/>
          </w:r>
          <w:r w:rsidR="002B5696" w:rsidRPr="006720AE">
            <w:rPr>
              <w:rFonts w:asciiTheme="majorHAnsi" w:hAnsiTheme="majorHAnsi"/>
            </w:rPr>
            <w:instrText xml:space="preserve"> TOC \o "1-3" \h \z \u </w:instrText>
          </w:r>
          <w:r w:rsidRPr="004C603E">
            <w:rPr>
              <w:rFonts w:asciiTheme="majorHAnsi" w:hAnsiTheme="majorHAnsi"/>
            </w:rPr>
            <w:fldChar w:fldCharType="separate"/>
          </w:r>
          <w:hyperlink w:anchor="_Toc440627789" w:history="1">
            <w:r w:rsidR="00422A7A" w:rsidRPr="00801FDF">
              <w:rPr>
                <w:rStyle w:val="Hypertextovodkaz"/>
                <w:noProof/>
              </w:rPr>
              <w:t>Informace o situaci v oblasti migrace v roce 2015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0" w:history="1">
            <w:r w:rsidR="00422A7A" w:rsidRPr="00801FDF">
              <w:rPr>
                <w:rStyle w:val="Hypertextovodkaz"/>
                <w:noProof/>
              </w:rPr>
              <w:t>I. Situace v ČR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1" w:history="1">
            <w:r w:rsidR="00422A7A" w:rsidRPr="00801FDF">
              <w:rPr>
                <w:rStyle w:val="Hypertextovodkaz"/>
                <w:noProof/>
              </w:rPr>
              <w:t>I.1. Stav legální migrace na území ČR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2" w:history="1">
            <w:r w:rsidR="00422A7A" w:rsidRPr="00801FDF">
              <w:rPr>
                <w:rStyle w:val="Hypertextovodkaz"/>
                <w:noProof/>
              </w:rPr>
              <w:t>I.2. Vstup cizinců na území ČR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3" w:history="1">
            <w:r w:rsidR="00422A7A" w:rsidRPr="00801FDF">
              <w:rPr>
                <w:rStyle w:val="Hypertextovodkaz"/>
                <w:noProof/>
              </w:rPr>
              <w:t>I.2.1. Krátkodobá víza (gesce MZV)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4" w:history="1">
            <w:r w:rsidR="00422A7A" w:rsidRPr="00801FDF">
              <w:rPr>
                <w:rStyle w:val="Hypertextovodkaz"/>
                <w:noProof/>
              </w:rPr>
              <w:t>I.2.2. Dlouhodobá pobytová oprávnění na vstupu do ČR (gesce MV)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5" w:history="1">
            <w:r w:rsidR="00422A7A" w:rsidRPr="00801FDF">
              <w:rPr>
                <w:rStyle w:val="Hypertextovodkaz"/>
                <w:noProof/>
              </w:rPr>
              <w:t>I.3. Nelegální migrace (gesce Policie ČR)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6" w:history="1">
            <w:r w:rsidR="00422A7A" w:rsidRPr="00801FDF">
              <w:rPr>
                <w:rStyle w:val="Hypertextovodkaz"/>
                <w:noProof/>
              </w:rPr>
              <w:t>I.3.1. Nelegální migrace přes vnější schengenskou hranici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7" w:history="1">
            <w:r w:rsidR="00422A7A" w:rsidRPr="00801FDF">
              <w:rPr>
                <w:rStyle w:val="Hypertextovodkaz"/>
                <w:noProof/>
              </w:rPr>
              <w:t>I.3.2. Nelegální pobyt na území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8" w:history="1">
            <w:r w:rsidR="00422A7A" w:rsidRPr="00801FDF">
              <w:rPr>
                <w:rStyle w:val="Hypertextovodkaz"/>
                <w:noProof/>
              </w:rPr>
              <w:t>I.3.3. Zařízení pro zajištění cizinců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799" w:history="1">
            <w:r w:rsidR="00422A7A" w:rsidRPr="00801FDF">
              <w:rPr>
                <w:rStyle w:val="Hypertextovodkaz"/>
                <w:noProof/>
              </w:rPr>
              <w:t>I.3.4. Přijatá opatření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0" w:history="1">
            <w:r w:rsidR="00422A7A" w:rsidRPr="00801FDF">
              <w:rPr>
                <w:rStyle w:val="Hypertextovodkaz"/>
                <w:noProof/>
              </w:rPr>
              <w:t>I.3.5. Rozhodnutí o povinnosti opustit území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1" w:history="1">
            <w:r w:rsidR="00422A7A" w:rsidRPr="00801FDF">
              <w:rPr>
                <w:rStyle w:val="Hypertextovodkaz"/>
                <w:noProof/>
              </w:rPr>
              <w:t>I.3.6. Readmisní smlouvy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2" w:history="1">
            <w:r w:rsidR="00422A7A" w:rsidRPr="00801FDF">
              <w:rPr>
                <w:rStyle w:val="Hypertextovodkaz"/>
                <w:noProof/>
              </w:rPr>
              <w:t>I.4. Mezinárodní ochrana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3" w:history="1">
            <w:r w:rsidR="00422A7A" w:rsidRPr="00801FDF">
              <w:rPr>
                <w:rStyle w:val="Hypertextovodkaz"/>
                <w:noProof/>
              </w:rPr>
              <w:t>I.5. Aplikace Dublinského nařízení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4" w:history="1">
            <w:r w:rsidR="00422A7A" w:rsidRPr="00801FDF">
              <w:rPr>
                <w:rStyle w:val="Hypertextovodkaz"/>
                <w:noProof/>
              </w:rPr>
              <w:t>I.6. Aktuality v azylové a migrační politice a legislativě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5" w:history="1">
            <w:r w:rsidR="00422A7A" w:rsidRPr="00801FDF">
              <w:rPr>
                <w:rStyle w:val="Hypertextovodkaz"/>
                <w:noProof/>
              </w:rPr>
              <w:t>I.6.1. Zákon o pobytu cizinců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6" w:history="1">
            <w:r w:rsidR="00422A7A" w:rsidRPr="00801FDF">
              <w:rPr>
                <w:rStyle w:val="Hypertextovodkaz"/>
                <w:noProof/>
              </w:rPr>
              <w:t>I.6.2. Zákon o azylu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7" w:history="1">
            <w:r w:rsidR="00422A7A" w:rsidRPr="00801FDF">
              <w:rPr>
                <w:rStyle w:val="Hypertextovodkaz"/>
                <w:noProof/>
              </w:rPr>
              <w:t>I.6.3. Usnesení vlády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8" w:history="1">
            <w:r w:rsidR="00422A7A" w:rsidRPr="00801FDF">
              <w:rPr>
                <w:rStyle w:val="Hypertextovodkaz"/>
                <w:noProof/>
              </w:rPr>
              <w:t>II. Situace v Evropské unii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09" w:history="1">
            <w:r w:rsidR="00422A7A" w:rsidRPr="00801FDF">
              <w:rPr>
                <w:rStyle w:val="Hypertextovodkaz"/>
                <w:noProof/>
              </w:rPr>
              <w:t>II.1. Situace v oblasti nelegální migrace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10" w:history="1">
            <w:r w:rsidR="00422A7A" w:rsidRPr="00801FDF">
              <w:rPr>
                <w:rStyle w:val="Hypertextovodkaz"/>
                <w:noProof/>
              </w:rPr>
              <w:t>II.1.1. Nelegální překročení vnějších hranic EU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11" w:history="1">
            <w:r w:rsidR="00422A7A" w:rsidRPr="00801FDF">
              <w:rPr>
                <w:rStyle w:val="Hypertextovodkaz"/>
                <w:noProof/>
              </w:rPr>
              <w:t>II.1.2. Situace na hlavních trasách nelegální migrace do EU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12" w:history="1">
            <w:r w:rsidR="00422A7A" w:rsidRPr="00801FDF">
              <w:rPr>
                <w:rStyle w:val="Hypertextovodkaz"/>
                <w:noProof/>
              </w:rPr>
              <w:t>II.1.3. Nelegální pobyt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13" w:history="1">
            <w:r w:rsidR="00422A7A" w:rsidRPr="00801FDF">
              <w:rPr>
                <w:rStyle w:val="Hypertextovodkaz"/>
                <w:noProof/>
              </w:rPr>
              <w:t>II.2. Situace v oblasti mezinárodní ochrany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2A7A" w:rsidRDefault="004C603E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0627814" w:history="1">
            <w:r w:rsidR="00422A7A" w:rsidRPr="00801FDF">
              <w:rPr>
                <w:rStyle w:val="Hypertextovodkaz"/>
                <w:noProof/>
              </w:rPr>
              <w:t>II.2.1. Situace  TOP 3 žadatelů dle země původu</w:t>
            </w:r>
            <w:r w:rsidR="00422A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2A7A">
              <w:rPr>
                <w:noProof/>
                <w:webHidden/>
              </w:rPr>
              <w:instrText xml:space="preserve"> PAGEREF _Toc440627814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2A7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696" w:rsidRPr="006720AE" w:rsidRDefault="004C603E" w:rsidP="002B5696">
          <w:pPr>
            <w:rPr>
              <w:rFonts w:asciiTheme="majorHAnsi" w:hAnsiTheme="majorHAnsi"/>
              <w:b/>
              <w:bCs/>
            </w:rPr>
          </w:pPr>
          <w:r w:rsidRPr="006720AE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2B5696" w:rsidRPr="006720AE" w:rsidRDefault="002B5696" w:rsidP="000038F9">
      <w:pPr>
        <w:pStyle w:val="Nadpis1"/>
      </w:pPr>
    </w:p>
    <w:p w:rsidR="002B5696" w:rsidRPr="006720AE" w:rsidRDefault="002B5696" w:rsidP="002B569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6720AE">
        <w:rPr>
          <w:rFonts w:asciiTheme="majorHAnsi" w:hAnsiTheme="majorHAnsi"/>
        </w:rPr>
        <w:br w:type="page"/>
      </w:r>
    </w:p>
    <w:p w:rsidR="00DD22B9" w:rsidRPr="006720AE" w:rsidRDefault="00DD22B9" w:rsidP="000038F9">
      <w:pPr>
        <w:pStyle w:val="Nadpis1"/>
      </w:pPr>
      <w:bookmarkStart w:id="2" w:name="_Toc440627790"/>
      <w:r w:rsidRPr="006720AE">
        <w:lastRenderedPageBreak/>
        <w:t>I. Situace v ČR</w:t>
      </w:r>
      <w:bookmarkEnd w:id="2"/>
    </w:p>
    <w:p w:rsidR="00DD22B9" w:rsidRPr="006720AE" w:rsidRDefault="00EC19D9" w:rsidP="00392CD0">
      <w:pPr>
        <w:pStyle w:val="Nadpis2"/>
        <w:spacing w:before="240" w:after="240" w:line="240" w:lineRule="auto"/>
      </w:pPr>
      <w:bookmarkStart w:id="3" w:name="_Toc440627791"/>
      <w:r w:rsidRPr="006720AE">
        <w:t>I.</w:t>
      </w:r>
      <w:r w:rsidR="006720AE">
        <w:t>1</w:t>
      </w:r>
      <w:r w:rsidR="00214F27" w:rsidRPr="006720AE">
        <w:t xml:space="preserve">. </w:t>
      </w:r>
      <w:r w:rsidR="00DD22B9" w:rsidRPr="006720AE">
        <w:t>Stav legální migrace na území ČR</w:t>
      </w:r>
      <w:bookmarkEnd w:id="3"/>
    </w:p>
    <w:p w:rsidR="00123103" w:rsidRPr="006720AE" w:rsidRDefault="00123103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/>
          <w:bCs/>
        </w:rPr>
        <w:t xml:space="preserve">Ke dni 31. prosince 2015 bylo evidováno 467 562 cizinců s povoleným přechodným nebo trvalým pobytem </w:t>
      </w:r>
      <w:r w:rsidRPr="006720AE">
        <w:rPr>
          <w:rFonts w:asciiTheme="majorHAnsi" w:hAnsiTheme="majorHAnsi" w:cs="Arial"/>
          <w:bCs/>
        </w:rPr>
        <w:t xml:space="preserve">na území ČR, tj. o 15 639 osob více než na konci roku 2014. </w:t>
      </w:r>
    </w:p>
    <w:p w:rsidR="00540B57" w:rsidRPr="006720AE" w:rsidRDefault="00FD28DB" w:rsidP="00540B57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/>
          <w:bCs/>
        </w:rPr>
        <w:t>Více než polovinu</w:t>
      </w:r>
      <w:r w:rsidR="00123103" w:rsidRPr="006720AE">
        <w:rPr>
          <w:rFonts w:asciiTheme="majorHAnsi" w:hAnsiTheme="majorHAnsi" w:cs="Arial"/>
          <w:b/>
          <w:bCs/>
        </w:rPr>
        <w:t xml:space="preserve"> tvořili cizinci s trvalým pobytem</w:t>
      </w:r>
      <w:r w:rsidR="00123103" w:rsidRPr="006720AE">
        <w:rPr>
          <w:rFonts w:asciiTheme="majorHAnsi" w:hAnsiTheme="majorHAnsi" w:cs="Arial"/>
          <w:bCs/>
        </w:rPr>
        <w:t xml:space="preserve"> (261 553), cizinců s </w:t>
      </w:r>
      <w:r w:rsidR="005A6809" w:rsidRPr="006720AE">
        <w:rPr>
          <w:rFonts w:asciiTheme="majorHAnsi" w:hAnsiTheme="majorHAnsi" w:cs="Arial"/>
          <w:bCs/>
        </w:rPr>
        <w:t xml:space="preserve">přechodným </w:t>
      </w:r>
      <w:r w:rsidR="00123103" w:rsidRPr="006720AE">
        <w:rPr>
          <w:rFonts w:asciiTheme="majorHAnsi" w:hAnsiTheme="majorHAnsi" w:cs="Arial"/>
          <w:bCs/>
        </w:rPr>
        <w:t xml:space="preserve">pobytem bylo evidováno 206 009. </w:t>
      </w:r>
      <w:r w:rsidR="00540B57" w:rsidRPr="006720AE">
        <w:rPr>
          <w:rFonts w:asciiTheme="majorHAnsi" w:hAnsiTheme="majorHAnsi" w:cs="Arial"/>
          <w:b/>
          <w:bCs/>
        </w:rPr>
        <w:t>Cizinci ze zemí EU v ČR pobývají spíše přechodně, zatímco dvě třetiny občanů třetích zemí v ČR pobýv</w:t>
      </w:r>
      <w:r w:rsidR="00CE663F" w:rsidRPr="006720AE">
        <w:rPr>
          <w:rFonts w:asciiTheme="majorHAnsi" w:hAnsiTheme="majorHAnsi" w:cs="Arial"/>
          <w:b/>
          <w:bCs/>
        </w:rPr>
        <w:t>ají</w:t>
      </w:r>
      <w:r w:rsidR="00540B57" w:rsidRPr="006720AE">
        <w:rPr>
          <w:rFonts w:asciiTheme="majorHAnsi" w:hAnsiTheme="majorHAnsi" w:cs="Arial"/>
          <w:b/>
          <w:bCs/>
        </w:rPr>
        <w:t xml:space="preserve"> trvale</w:t>
      </w:r>
      <w:r w:rsidR="00540B57" w:rsidRPr="006720AE">
        <w:rPr>
          <w:rFonts w:asciiTheme="majorHAnsi" w:hAnsiTheme="majorHAnsi" w:cs="Arial"/>
          <w:bCs/>
        </w:rPr>
        <w:t>.</w:t>
      </w:r>
    </w:p>
    <w:tbl>
      <w:tblPr>
        <w:tblW w:w="8722" w:type="dxa"/>
        <w:tblCellMar>
          <w:left w:w="70" w:type="dxa"/>
          <w:right w:w="70" w:type="dxa"/>
        </w:tblCellMar>
        <w:tblLook w:val="04A0"/>
      </w:tblPr>
      <w:tblGrid>
        <w:gridCol w:w="972"/>
        <w:gridCol w:w="1954"/>
        <w:gridCol w:w="940"/>
        <w:gridCol w:w="1096"/>
        <w:gridCol w:w="940"/>
        <w:gridCol w:w="940"/>
        <w:gridCol w:w="940"/>
        <w:gridCol w:w="940"/>
      </w:tblGrid>
      <w:tr w:rsidR="00D12EC1" w:rsidRPr="006720AE" w:rsidTr="005755F7">
        <w:trPr>
          <w:trHeight w:val="291"/>
        </w:trPr>
        <w:tc>
          <w:tcPr>
            <w:tcW w:w="87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1DE" w:rsidRDefault="00A171DE" w:rsidP="005755F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cs-CZ"/>
              </w:rPr>
            </w:pPr>
          </w:p>
          <w:p w:rsidR="00D12EC1" w:rsidRPr="006720AE" w:rsidRDefault="00D12EC1" w:rsidP="005755F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cs-CZ"/>
              </w:rPr>
              <w:t xml:space="preserve">Cizinci s povoleným pobytem v ČR dle kategorie pobytu - porovnání 2015/2014 </w:t>
            </w:r>
          </w:p>
        </w:tc>
      </w:tr>
      <w:tr w:rsidR="00D12EC1" w:rsidRPr="006720AE" w:rsidTr="005755F7">
        <w:trPr>
          <w:trHeight w:val="305"/>
        </w:trPr>
        <w:tc>
          <w:tcPr>
            <w:tcW w:w="2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6"/>
                <w:lang w:eastAsia="cs-CZ"/>
              </w:rPr>
              <w:t>Rok (stav k 31.12.)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</w:t>
            </w:r>
          </w:p>
        </w:tc>
      </w:tr>
      <w:tr w:rsidR="00D12EC1" w:rsidRPr="006720AE" w:rsidTr="005755F7">
        <w:trPr>
          <w:trHeight w:val="480"/>
        </w:trPr>
        <w:tc>
          <w:tcPr>
            <w:tcW w:w="2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cizinců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cizinců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absolutní počet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</w:tr>
      <w:tr w:rsidR="00D12EC1" w:rsidRPr="006720AE" w:rsidTr="005755F7">
        <w:trPr>
          <w:trHeight w:val="305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Všichni cizinci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467 562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451 923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15 639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3,5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trvale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261 553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55,9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251 342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55,6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10 211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4,1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přechodně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206 009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44,1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200 581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44,4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5 428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2,7</w:t>
            </w:r>
          </w:p>
        </w:tc>
      </w:tr>
      <w:tr w:rsidR="00D12EC1" w:rsidRPr="006720AE" w:rsidTr="005755F7">
        <w:trPr>
          <w:trHeight w:val="305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Občané EU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196 378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185 356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11 022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5,9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trvale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75 088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38,2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71 625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38,6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3 463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4,8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přechodně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121 290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61,8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113 731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61,4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7 559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6,6</w:t>
            </w:r>
          </w:p>
        </w:tc>
      </w:tr>
      <w:tr w:rsidR="00D12EC1" w:rsidRPr="006720AE" w:rsidTr="005755F7">
        <w:trPr>
          <w:trHeight w:val="305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Občané třetích zemí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271 184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266 567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4 617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1,7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trvale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186 465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68,8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179 717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67,4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3,8</w:t>
            </w:r>
          </w:p>
        </w:tc>
      </w:tr>
      <w:tr w:rsidR="00D12EC1" w:rsidRPr="006720AE" w:rsidTr="005755F7">
        <w:trPr>
          <w:trHeight w:val="48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přechodně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84 719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31,2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86 850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32,6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-2 131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EC1" w:rsidRPr="006720AE" w:rsidRDefault="00D12EC1" w:rsidP="005755F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-2,5</w:t>
            </w:r>
          </w:p>
        </w:tc>
      </w:tr>
    </w:tbl>
    <w:p w:rsidR="005755F7" w:rsidRPr="006720AE" w:rsidRDefault="005755F7" w:rsidP="005755F7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 xml:space="preserve">Zdroj: </w:t>
      </w:r>
      <w:r w:rsidR="00744310" w:rsidRPr="006720AE">
        <w:rPr>
          <w:rFonts w:asciiTheme="majorHAnsi" w:hAnsiTheme="majorHAnsi" w:cs="Arial"/>
          <w:bCs/>
          <w:sz w:val="16"/>
          <w:szCs w:val="16"/>
        </w:rPr>
        <w:t xml:space="preserve">IS </w:t>
      </w:r>
      <w:r w:rsidRPr="006720AE">
        <w:rPr>
          <w:rFonts w:asciiTheme="majorHAnsi" w:hAnsiTheme="majorHAnsi" w:cs="Arial"/>
          <w:bCs/>
          <w:sz w:val="16"/>
          <w:szCs w:val="16"/>
        </w:rPr>
        <w:t>CIS</w:t>
      </w:r>
    </w:p>
    <w:p w:rsidR="00A171DE" w:rsidRDefault="00A171DE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</w:p>
    <w:p w:rsidR="00540B57" w:rsidRPr="006720AE" w:rsidRDefault="00540B57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Počet cizinců s uděleným trvalý pobytem kontinuálně narůstá již více než 10 let. Od roku 2013 většina cizinců pobývajících na území ČR disponovala povolením k trvalému pobytu. Trend nárůstu počtu cizinců s trvalým pobytem byl způsoben především tím, že cizinci ve větší míře začali splňovat podmínku pěti let pobytu na území a začali přecházet do kategorie trvalého pobytu. </w:t>
      </w:r>
      <w:r w:rsidRPr="006720AE">
        <w:rPr>
          <w:rFonts w:asciiTheme="majorHAnsi" w:hAnsiTheme="majorHAnsi" w:cs="Arial"/>
          <w:b/>
          <w:bCs/>
        </w:rPr>
        <w:t>V kategorii trvalého pobytu dominují občané třetích zemí</w:t>
      </w:r>
      <w:r w:rsidRPr="006720AE">
        <w:rPr>
          <w:rFonts w:asciiTheme="majorHAnsi" w:hAnsiTheme="majorHAnsi" w:cs="Arial"/>
          <w:bCs/>
        </w:rPr>
        <w:t xml:space="preserve"> se 71 %.</w:t>
      </w:r>
    </w:p>
    <w:p w:rsidR="0080206B" w:rsidRPr="006720AE" w:rsidRDefault="0080206B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/>
          <w:bCs/>
        </w:rPr>
        <w:t xml:space="preserve">V kategorii přechodného pobytu od roku 2013 převažují </w:t>
      </w:r>
      <w:r w:rsidR="00D12EC1" w:rsidRPr="006720AE">
        <w:rPr>
          <w:rFonts w:asciiTheme="majorHAnsi" w:hAnsiTheme="majorHAnsi" w:cs="Arial"/>
          <w:b/>
          <w:bCs/>
        </w:rPr>
        <w:t>cizinci z členských zemí EU nad </w:t>
      </w:r>
      <w:r w:rsidRPr="006720AE">
        <w:rPr>
          <w:rFonts w:asciiTheme="majorHAnsi" w:hAnsiTheme="majorHAnsi" w:cs="Arial"/>
          <w:b/>
          <w:bCs/>
        </w:rPr>
        <w:t>cizinci ze třetích zemí</w:t>
      </w:r>
      <w:r w:rsidRPr="006720AE">
        <w:rPr>
          <w:rFonts w:asciiTheme="majorHAnsi" w:hAnsiTheme="majorHAnsi" w:cs="Arial"/>
          <w:bCs/>
        </w:rPr>
        <w:t xml:space="preserve">. Na konci roku 2015 představovali občané EU </w:t>
      </w:r>
      <w:r w:rsidR="00CE663F" w:rsidRPr="006720AE">
        <w:rPr>
          <w:rFonts w:asciiTheme="majorHAnsi" w:hAnsiTheme="majorHAnsi" w:cs="Arial"/>
          <w:bCs/>
        </w:rPr>
        <w:t>5</w:t>
      </w:r>
      <w:r w:rsidR="00540B57" w:rsidRPr="006720AE">
        <w:rPr>
          <w:rFonts w:asciiTheme="majorHAnsi" w:hAnsiTheme="majorHAnsi" w:cs="Arial"/>
          <w:bCs/>
        </w:rPr>
        <w:t>9</w:t>
      </w:r>
      <w:r w:rsidRPr="006720AE">
        <w:rPr>
          <w:rFonts w:asciiTheme="majorHAnsi" w:hAnsiTheme="majorHAnsi" w:cs="Arial"/>
          <w:bCs/>
        </w:rPr>
        <w:t xml:space="preserve"> % cizinců s přechodným pobytem. </w:t>
      </w:r>
    </w:p>
    <w:p w:rsidR="00123103" w:rsidRPr="006720AE" w:rsidRDefault="00123103" w:rsidP="00A171DE">
      <w:pPr>
        <w:keepNext/>
        <w:keepLines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720AE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Počet cizinců s povoleným pobytem v ČR - TOP 10 </w:t>
      </w:r>
      <w:r w:rsidRPr="006720AE">
        <w:rPr>
          <w:rFonts w:asciiTheme="majorHAnsi" w:hAnsiTheme="majorHAnsi" w:cs="Arial"/>
          <w:sz w:val="20"/>
          <w:szCs w:val="20"/>
        </w:rPr>
        <w:t>– porovnání 2014/2015</w:t>
      </w:r>
      <w:r w:rsidR="005755F7" w:rsidRPr="006720AE">
        <w:rPr>
          <w:rFonts w:asciiTheme="majorHAnsi" w:hAnsiTheme="majorHAnsi" w:cs="Arial"/>
          <w:sz w:val="20"/>
          <w:szCs w:val="20"/>
        </w:rPr>
        <w:t xml:space="preserve"> </w:t>
      </w:r>
      <w:r w:rsidR="005755F7" w:rsidRPr="006720AE">
        <w:rPr>
          <w:rFonts w:asciiTheme="majorHAnsi" w:hAnsiTheme="majorHAnsi" w:cs="Arial"/>
          <w:sz w:val="16"/>
          <w:szCs w:val="16"/>
        </w:rPr>
        <w:t>(</w:t>
      </w:r>
      <w:r w:rsidR="005755F7" w:rsidRPr="006720AE">
        <w:rPr>
          <w:rFonts w:asciiTheme="majorHAnsi" w:hAnsiTheme="majorHAnsi" w:cs="Arial"/>
          <w:bCs/>
          <w:sz w:val="16"/>
          <w:szCs w:val="16"/>
        </w:rPr>
        <w:t>Zdroj: CIS)</w:t>
      </w:r>
    </w:p>
    <w:tbl>
      <w:tblPr>
        <w:tblW w:w="878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127"/>
        <w:gridCol w:w="1275"/>
        <w:gridCol w:w="851"/>
        <w:gridCol w:w="2126"/>
        <w:gridCol w:w="1276"/>
        <w:gridCol w:w="1134"/>
      </w:tblGrid>
      <w:tr w:rsidR="00123103" w:rsidRPr="006720AE" w:rsidTr="005A6809">
        <w:trPr>
          <w:trHeight w:hRule="exact" w:val="287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ke dni 31. 12. 2014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highlight w:val="green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ke dni 31. 12. 2015 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104 388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23,1 %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sz w:val="20"/>
                <w:szCs w:val="20"/>
              </w:rPr>
              <w:t>106</w:t>
            </w:r>
            <w:r w:rsidR="005A6809" w:rsidRPr="006720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sz w:val="20"/>
                <w:szCs w:val="20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22,7 %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Slovensko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96 222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21,3 %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Slovensko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101</w:t>
            </w:r>
            <w:r w:rsidR="005A6809"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21,7 %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56 666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12,5 %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sz w:val="20"/>
                <w:szCs w:val="20"/>
              </w:rPr>
              <w:t>56</w:t>
            </w:r>
            <w:r w:rsidR="005A6809" w:rsidRPr="006720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12,2 %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Rusko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34 684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7,7 %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Rusko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sz w:val="20"/>
                <w:szCs w:val="20"/>
              </w:rPr>
              <w:t>34</w:t>
            </w:r>
            <w:r w:rsidR="005A6809" w:rsidRPr="006720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7,5 %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Německo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19 687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4,4 %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Německo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20</w:t>
            </w:r>
            <w:r w:rsidR="005A6809"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4,4 %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Polsko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19 626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4,3 %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Polsko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19</w:t>
            </w:r>
            <w:r w:rsidR="005A6809"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4,2 %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Bulharsko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10 058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2,2 %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Bulharsko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10</w:t>
            </w:r>
            <w:r w:rsidR="005A6809"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2,3 %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Rumunsko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7 741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Rumunsko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9</w:t>
            </w:r>
            <w:r w:rsidR="005A6809"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1,9 %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6 476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5A6809" w:rsidRPr="006720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1,4 %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Spojené království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5 647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FF"/>
                <w:sz w:val="20"/>
                <w:szCs w:val="20"/>
              </w:rPr>
              <w:t>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Mongolsko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5A6809" w:rsidRPr="006720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 w:cs="Arial"/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color w:val="000000"/>
                <w:sz w:val="20"/>
                <w:szCs w:val="20"/>
              </w:rPr>
              <w:t>1,3 %</w:t>
            </w:r>
          </w:p>
        </w:tc>
      </w:tr>
      <w:tr w:rsidR="00123103" w:rsidRPr="006720AE" w:rsidTr="005A6809">
        <w:trPr>
          <w:trHeight w:hRule="exact" w:val="1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občané 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185 356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41 %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občané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196 378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</w:rPr>
              <w:t>42 %</w:t>
            </w:r>
          </w:p>
        </w:tc>
      </w:tr>
      <w:tr w:rsidR="00123103" w:rsidRPr="006720AE" w:rsidTr="005A6809">
        <w:trPr>
          <w:trHeight w:val="2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občané třetích zemí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266 567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občané třetích zemí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ind w:left="125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271 184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103" w:rsidRPr="006720AE" w:rsidRDefault="00123103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720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58 %</w:t>
            </w:r>
          </w:p>
        </w:tc>
      </w:tr>
    </w:tbl>
    <w:p w:rsidR="00123103" w:rsidRDefault="00123103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Zastoupení cizinců pobývajících v </w:t>
      </w:r>
      <w:r w:rsidR="005A6809" w:rsidRPr="006720AE">
        <w:rPr>
          <w:rFonts w:asciiTheme="majorHAnsi" w:hAnsiTheme="majorHAnsi" w:cs="Arial"/>
          <w:bCs/>
        </w:rPr>
        <w:t>ČR</w:t>
      </w:r>
      <w:r w:rsidRPr="006720AE">
        <w:rPr>
          <w:rFonts w:asciiTheme="majorHAnsi" w:hAnsiTheme="majorHAnsi" w:cs="Arial"/>
          <w:bCs/>
        </w:rPr>
        <w:t xml:space="preserve"> dle jejich státní příslušnosti je dlouhodobě takřka neměnné. V TOP 10 došlo ke změně pouze na desáté pozici, kdy občané Mongolska nahradili občany Spojeného království.</w:t>
      </w:r>
    </w:p>
    <w:p w:rsidR="00A171DE" w:rsidRPr="006720AE" w:rsidRDefault="00A171DE" w:rsidP="00A171DE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720AE">
        <w:rPr>
          <w:rFonts w:asciiTheme="majorHAnsi" w:hAnsiTheme="majorHAnsi" w:cs="Arial"/>
          <w:b/>
          <w:bCs/>
          <w:sz w:val="18"/>
          <w:szCs w:val="18"/>
        </w:rPr>
        <w:t>Nejčastější účely přechodného pobytu občanů třetích států:</w:t>
      </w: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96"/>
        <w:gridCol w:w="1866"/>
      </w:tblGrid>
      <w:tr w:rsidR="00A171DE" w:rsidRPr="006720AE" w:rsidTr="00C24F3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Účel pobytu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A171DE" w:rsidRPr="006720AE" w:rsidTr="00C24F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Sloučení rodiny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A171DE" w:rsidRPr="006720AE" w:rsidTr="00C24F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Zaměstnání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171DE" w:rsidRPr="006720AE" w:rsidTr="00C24F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A171DE" w:rsidRPr="006720AE" w:rsidTr="00C24F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Podnikání - OSVČ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171DE" w:rsidRPr="006720AE" w:rsidTr="00C24F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Podnikání – účast v právnické osobě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DE" w:rsidRPr="006720AE" w:rsidRDefault="00A171DE" w:rsidP="00A171D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</w:tbl>
    <w:p w:rsidR="00A171DE" w:rsidRPr="00A171DE" w:rsidRDefault="00A171DE" w:rsidP="00A171DE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A171DE">
        <w:rPr>
          <w:rFonts w:asciiTheme="majorHAnsi" w:hAnsiTheme="majorHAnsi" w:cs="Arial"/>
          <w:bCs/>
          <w:sz w:val="16"/>
          <w:szCs w:val="16"/>
        </w:rPr>
        <w:t>Zdroj: IS CIS</w:t>
      </w:r>
    </w:p>
    <w:p w:rsidR="00A171DE" w:rsidRDefault="00A171DE" w:rsidP="00A171DE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</w:p>
    <w:p w:rsidR="00A171DE" w:rsidRPr="006720AE" w:rsidRDefault="00A171DE" w:rsidP="00A171DE">
      <w:pPr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720AE">
        <w:rPr>
          <w:rFonts w:asciiTheme="majorHAnsi" w:hAnsiTheme="majorHAnsi" w:cs="Arial"/>
          <w:bCs/>
        </w:rPr>
        <w:t xml:space="preserve">S ohledem na místo pobytu cizinců nadále přetrvává jejich značně </w:t>
      </w:r>
      <w:r w:rsidRPr="006720AE">
        <w:rPr>
          <w:rFonts w:asciiTheme="majorHAnsi" w:hAnsiTheme="majorHAnsi" w:cs="Arial"/>
          <w:b/>
          <w:bCs/>
        </w:rPr>
        <w:t>nerovnoměrné prostorové rozložení v rámci jednotlivých regionů ČR</w:t>
      </w:r>
      <w:r w:rsidRPr="006720AE">
        <w:rPr>
          <w:rFonts w:asciiTheme="majorHAnsi" w:hAnsiTheme="majorHAnsi" w:cs="Arial"/>
          <w:bCs/>
        </w:rPr>
        <w:t>. Nejvíce cizinců mělo k 31. prosinci 2015 registrovaný pobyt na území hlavního města Prahy (tj. 37 %) a Středočeského kraje (13 %). Naopak nejméně cizinců s povoleným pobytem na území bylo hlášeno v kraji Vysočina (necelá 2 %) a Zlínském kraji (tj. necelá 2 %).</w:t>
      </w:r>
    </w:p>
    <w:p w:rsidR="00A171DE" w:rsidRPr="006720AE" w:rsidRDefault="00A171DE" w:rsidP="005A680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6"/>
        <w:gridCol w:w="1231"/>
        <w:gridCol w:w="542"/>
        <w:gridCol w:w="911"/>
        <w:gridCol w:w="462"/>
        <w:gridCol w:w="647"/>
        <w:gridCol w:w="1033"/>
        <w:gridCol w:w="605"/>
        <w:gridCol w:w="605"/>
      </w:tblGrid>
      <w:tr w:rsidR="00902217" w:rsidRPr="006720AE" w:rsidTr="005755F7">
        <w:trPr>
          <w:trHeight w:val="465"/>
        </w:trPr>
        <w:tc>
          <w:tcPr>
            <w:tcW w:w="7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16"/>
                <w:lang w:eastAsia="cs-CZ"/>
              </w:rPr>
              <w:t xml:space="preserve">Cizinci s povoleným pobytem v jednotlivých krajích dle kategorie pobytu </w:t>
            </w: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16"/>
                <w:lang w:eastAsia="cs-CZ"/>
              </w:rPr>
              <w:br/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stav k 31. 12. 2015</w:t>
            </w:r>
          </w:p>
        </w:tc>
      </w:tr>
      <w:tr w:rsidR="00902217" w:rsidRPr="006720AE" w:rsidTr="005755F7">
        <w:trPr>
          <w:trHeight w:val="31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 pobytu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 toho </w:t>
            </w:r>
          </w:p>
        </w:tc>
      </w:tr>
      <w:tr w:rsidR="00902217" w:rsidRPr="006720AE" w:rsidTr="005755F7">
        <w:trPr>
          <w:trHeight w:val="495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 povoleným pobytem 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trvale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přechodně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</w:tr>
      <w:tr w:rsidR="00902217" w:rsidRPr="006720AE" w:rsidTr="005755F7">
        <w:trPr>
          <w:trHeight w:val="73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Cizinci s povoleným pobytem v ČR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467 562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261 553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206 009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902217" w:rsidRPr="006720AE" w:rsidTr="005755F7">
        <w:trPr>
          <w:trHeight w:val="495"/>
        </w:trPr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z toho v teritoriu </w:t>
            </w: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kraje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16 415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9 965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39,3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40 716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22 403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8,6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18 313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8,9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45,0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19 097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12 630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6 467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33,9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13 842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8 606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5 236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37,8</w:t>
            </w:r>
          </w:p>
        </w:tc>
      </w:tr>
      <w:tr w:rsidR="00A171DE" w:rsidRPr="006720AE" w:rsidTr="00C24F3A">
        <w:trPr>
          <w:trHeight w:val="31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Druh pobytu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 toho </w:t>
            </w:r>
          </w:p>
        </w:tc>
      </w:tr>
      <w:tr w:rsidR="00A171DE" w:rsidRPr="006720AE" w:rsidTr="00C24F3A">
        <w:trPr>
          <w:trHeight w:val="495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 povoleným pobytem 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trvale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přechodně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tj. %</w:t>
            </w:r>
          </w:p>
        </w:tc>
      </w:tr>
      <w:tr w:rsidR="00A171DE" w:rsidRPr="006720AE" w:rsidTr="00C24F3A">
        <w:trPr>
          <w:trHeight w:val="73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Cizinci s povoleným pobytem v ČR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467 562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261 553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206 009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DE" w:rsidRPr="006720AE" w:rsidRDefault="00A171DE" w:rsidP="00C24F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17 984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11 636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6 348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35,3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24 646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14 089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10 557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42,8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10 459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6 430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4 029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38,5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12 097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6 240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5 857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48,4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27 388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14 910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12 478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45,6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172 517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88 773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33,9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83 744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40,7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48,5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61 923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36 721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14,0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25 202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12,2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40,7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33 041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18 550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14 491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43,9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8 094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5 200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2 894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35,8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8 571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5 128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3 443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40,2</w:t>
            </w:r>
          </w:p>
        </w:tc>
      </w:tr>
      <w:tr w:rsidR="00902217" w:rsidRPr="006720AE" w:rsidTr="005755F7">
        <w:trPr>
          <w:trHeight w:val="3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772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02217" w:rsidRPr="006720AE" w:rsidRDefault="00902217" w:rsidP="0090221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64,8</w:t>
            </w:r>
          </w:p>
        </w:tc>
      </w:tr>
    </w:tbl>
    <w:p w:rsidR="005755F7" w:rsidRPr="006720AE" w:rsidRDefault="005755F7" w:rsidP="005755F7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 xml:space="preserve">Zdroj: </w:t>
      </w:r>
      <w:r w:rsidR="00744310" w:rsidRPr="006720AE">
        <w:rPr>
          <w:rFonts w:asciiTheme="majorHAnsi" w:hAnsiTheme="majorHAnsi" w:cs="Arial"/>
          <w:bCs/>
          <w:sz w:val="16"/>
          <w:szCs w:val="16"/>
        </w:rPr>
        <w:t xml:space="preserve">IS </w:t>
      </w:r>
      <w:r w:rsidRPr="006720AE">
        <w:rPr>
          <w:rFonts w:asciiTheme="majorHAnsi" w:hAnsiTheme="majorHAnsi" w:cs="Arial"/>
          <w:bCs/>
          <w:sz w:val="16"/>
          <w:szCs w:val="16"/>
        </w:rPr>
        <w:t>CIS</w:t>
      </w:r>
    </w:p>
    <w:p w:rsidR="00DD22B9" w:rsidRPr="006720AE" w:rsidRDefault="00EC19D9" w:rsidP="00392CD0">
      <w:pPr>
        <w:pStyle w:val="Nadpis2"/>
        <w:spacing w:before="240" w:after="240" w:line="240" w:lineRule="auto"/>
      </w:pPr>
      <w:bookmarkStart w:id="4" w:name="_Toc440627792"/>
      <w:r w:rsidRPr="006720AE">
        <w:t>I.</w:t>
      </w:r>
      <w:r w:rsidR="006720AE">
        <w:t>2</w:t>
      </w:r>
      <w:r w:rsidR="00DD22B9" w:rsidRPr="006720AE">
        <w:t>. Vstup cizinců na území ČR</w:t>
      </w:r>
      <w:bookmarkEnd w:id="4"/>
    </w:p>
    <w:p w:rsidR="00DD22B9" w:rsidRPr="006720AE" w:rsidRDefault="00EC19D9" w:rsidP="002B5696">
      <w:pPr>
        <w:pStyle w:val="Nadpis3"/>
        <w:spacing w:before="240" w:after="120" w:line="240" w:lineRule="auto"/>
      </w:pPr>
      <w:bookmarkStart w:id="5" w:name="_Toc440627793"/>
      <w:r w:rsidRPr="006720AE">
        <w:t>I.</w:t>
      </w:r>
      <w:r w:rsidR="006720AE">
        <w:t>2</w:t>
      </w:r>
      <w:r w:rsidR="000038F9" w:rsidRPr="006720AE">
        <w:t>.1</w:t>
      </w:r>
      <w:r w:rsidR="00DD22B9" w:rsidRPr="006720AE">
        <w:t>. Krátkodobá víza</w:t>
      </w:r>
      <w:r w:rsidR="00BA4ACB" w:rsidRPr="006720AE">
        <w:t xml:space="preserve"> (gesce MZV)</w:t>
      </w:r>
      <w:bookmarkEnd w:id="5"/>
    </w:p>
    <w:p w:rsidR="00BA4ACB" w:rsidRPr="006720AE" w:rsidRDefault="005755F7" w:rsidP="003C4C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Vízum k pobytu do 90 dnů (dále jen „k</w:t>
      </w:r>
      <w:r w:rsidR="00BA4ACB" w:rsidRPr="006720AE">
        <w:rPr>
          <w:rFonts w:asciiTheme="majorHAnsi" w:hAnsiTheme="majorHAnsi" w:cs="Arial"/>
        </w:rPr>
        <w:t>rátkodob</w:t>
      </w:r>
      <w:r w:rsidR="000038F9" w:rsidRPr="006720AE">
        <w:rPr>
          <w:rFonts w:asciiTheme="majorHAnsi" w:hAnsiTheme="majorHAnsi" w:cs="Arial"/>
        </w:rPr>
        <w:t>é</w:t>
      </w:r>
      <w:r w:rsidR="00BA4ACB" w:rsidRPr="006720AE">
        <w:rPr>
          <w:rFonts w:asciiTheme="majorHAnsi" w:hAnsiTheme="majorHAnsi" w:cs="Arial"/>
        </w:rPr>
        <w:t xml:space="preserve"> víz</w:t>
      </w:r>
      <w:r w:rsidR="000038F9" w:rsidRPr="006720AE">
        <w:rPr>
          <w:rFonts w:asciiTheme="majorHAnsi" w:hAnsiTheme="majorHAnsi" w:cs="Arial"/>
        </w:rPr>
        <w:t>um</w:t>
      </w:r>
      <w:r w:rsidRPr="006720AE">
        <w:rPr>
          <w:rFonts w:asciiTheme="majorHAnsi" w:hAnsiTheme="majorHAnsi" w:cs="Arial"/>
        </w:rPr>
        <w:t>“)</w:t>
      </w:r>
      <w:r w:rsidR="00BA4ACB" w:rsidRPr="006720AE">
        <w:rPr>
          <w:rFonts w:asciiTheme="majorHAnsi" w:hAnsiTheme="majorHAnsi" w:cs="Arial"/>
        </w:rPr>
        <w:t xml:space="preserve"> uděluje zastupitelský úřad ČR podle přímo použitelného právního předpisu Evropských společenství</w:t>
      </w:r>
      <w:r w:rsidR="000038F9" w:rsidRPr="006720AE">
        <w:rPr>
          <w:rStyle w:val="Znakapoznpodarou"/>
          <w:rFonts w:asciiTheme="majorHAnsi" w:hAnsiTheme="majorHAnsi" w:cs="Arial"/>
        </w:rPr>
        <w:footnoteReference w:id="1"/>
      </w:r>
      <w:r w:rsidR="00BA4ACB" w:rsidRPr="006720AE">
        <w:rPr>
          <w:rFonts w:asciiTheme="majorHAnsi" w:hAnsiTheme="majorHAnsi" w:cs="Arial"/>
        </w:rPr>
        <w:t>. Slouží ke krátkodobému pobytu</w:t>
      </w:r>
      <w:r w:rsidR="000038F9" w:rsidRPr="006720AE">
        <w:rPr>
          <w:rFonts w:asciiTheme="majorHAnsi" w:hAnsiTheme="majorHAnsi" w:cs="Arial"/>
        </w:rPr>
        <w:t xml:space="preserve"> na území v délce max. do 90 dnů.</w:t>
      </w:r>
    </w:p>
    <w:p w:rsidR="00BA4ACB" w:rsidRPr="006720AE" w:rsidRDefault="00BA4ACB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 w:cs="Arial"/>
          <w:b/>
          <w:u w:val="single"/>
        </w:rPr>
        <w:t xml:space="preserve">Žádosti </w:t>
      </w:r>
      <w:r w:rsidR="000038F9" w:rsidRPr="006720AE">
        <w:rPr>
          <w:rFonts w:asciiTheme="majorHAnsi" w:hAnsiTheme="majorHAnsi" w:cs="Arial"/>
          <w:b/>
          <w:u w:val="single"/>
        </w:rPr>
        <w:t>o krátkodobé vízum</w:t>
      </w:r>
      <w:r w:rsidR="005755F7" w:rsidRPr="006720AE">
        <w:rPr>
          <w:rFonts w:asciiTheme="majorHAnsi" w:hAnsiTheme="majorHAnsi" w:cs="Arial"/>
          <w:b/>
          <w:u w:val="single"/>
        </w:rPr>
        <w:t xml:space="preserve"> v roce 2015</w:t>
      </w:r>
    </w:p>
    <w:p w:rsidR="000B4A9C" w:rsidRPr="006720AE" w:rsidRDefault="000B4A9C" w:rsidP="005755F7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 w:cs="Arial"/>
          <w:b/>
          <w:noProof/>
          <w:lang w:eastAsia="cs-CZ"/>
        </w:rPr>
        <w:drawing>
          <wp:inline distT="0" distB="0" distL="0" distR="0">
            <wp:extent cx="3166928" cy="2124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72" cy="2128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F7" w:rsidRPr="006720AE" w:rsidRDefault="005755F7" w:rsidP="005755F7">
      <w:pPr>
        <w:spacing w:after="120" w:line="240" w:lineRule="auto"/>
        <w:ind w:left="2126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 xml:space="preserve">Zdroj: </w:t>
      </w:r>
      <w:r w:rsidR="00744310" w:rsidRPr="006720AE">
        <w:rPr>
          <w:rFonts w:asciiTheme="majorHAnsi" w:hAnsiTheme="majorHAnsi" w:cs="Arial"/>
          <w:bCs/>
          <w:sz w:val="16"/>
          <w:szCs w:val="16"/>
        </w:rPr>
        <w:t xml:space="preserve">IS </w:t>
      </w:r>
      <w:r w:rsidRPr="006720AE">
        <w:rPr>
          <w:rFonts w:asciiTheme="majorHAnsi" w:hAnsiTheme="majorHAnsi" w:cs="Arial"/>
          <w:bCs/>
          <w:sz w:val="16"/>
          <w:szCs w:val="16"/>
        </w:rPr>
        <w:t>MZV</w:t>
      </w:r>
    </w:p>
    <w:p w:rsidR="00EC19D9" w:rsidRPr="006720AE" w:rsidRDefault="00BA4ACB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V roce 2015 požádalo o krátkodobé vízum do ČR více než 423 tisíc cizinců. Jednalo se o pokles žádostí o cca 19 % oproti roku 2014. Pokračující pokles žádostí byl i v roce 2015 zaviněn stále se snižujícím absolutním i procentuálním zastoupením žadatelů z Rusk</w:t>
      </w:r>
      <w:r w:rsidR="005755F7" w:rsidRPr="006720AE">
        <w:rPr>
          <w:rFonts w:asciiTheme="majorHAnsi" w:hAnsiTheme="majorHAnsi" w:cs="Arial"/>
          <w:b/>
        </w:rPr>
        <w:t>a</w:t>
      </w:r>
      <w:r w:rsidRPr="006720AE">
        <w:rPr>
          <w:rFonts w:asciiTheme="majorHAnsi" w:hAnsiTheme="majorHAnsi" w:cs="Arial"/>
          <w:b/>
        </w:rPr>
        <w:t xml:space="preserve"> </w:t>
      </w:r>
      <w:r w:rsidRPr="006720AE">
        <w:rPr>
          <w:rFonts w:asciiTheme="majorHAnsi" w:hAnsiTheme="majorHAnsi" w:cs="Arial"/>
        </w:rPr>
        <w:lastRenderedPageBreak/>
        <w:t>(o téměř 123 tisíc žádostí méně ve srovnání s rokem 2014).</w:t>
      </w:r>
      <w:r w:rsidRPr="006720AE">
        <w:rPr>
          <w:rFonts w:asciiTheme="majorHAnsi" w:hAnsiTheme="majorHAnsi" w:cs="Arial"/>
          <w:b/>
        </w:rPr>
        <w:t xml:space="preserve"> </w:t>
      </w:r>
      <w:r w:rsidR="004F0CE5" w:rsidRPr="006720AE">
        <w:rPr>
          <w:rFonts w:asciiTheme="majorHAnsi" w:hAnsiTheme="majorHAnsi" w:cs="Arial"/>
        </w:rPr>
        <w:t>U většiny ostatních TOP 10 státních příslušností žadatelů lze naopak v roce 2015 pozorovat nárůst žadatelů oproti roku 2014.</w:t>
      </w:r>
    </w:p>
    <w:p w:rsidR="00BA4ACB" w:rsidRPr="006720AE" w:rsidRDefault="00BA4ACB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Nejčastějšími žadateli o tento typ víza byli občané Rusk</w:t>
      </w:r>
      <w:r w:rsidR="005755F7" w:rsidRPr="006720AE">
        <w:rPr>
          <w:rFonts w:asciiTheme="majorHAnsi" w:hAnsiTheme="majorHAnsi" w:cs="Arial"/>
          <w:b/>
        </w:rPr>
        <w:t>a (49 %), Ukrajiny (16 %) a </w:t>
      </w:r>
      <w:r w:rsidRPr="006720AE">
        <w:rPr>
          <w:rFonts w:asciiTheme="majorHAnsi" w:hAnsiTheme="majorHAnsi" w:cs="Arial"/>
          <w:b/>
        </w:rPr>
        <w:t>Číny (7 %).</w:t>
      </w:r>
      <w:r w:rsidRPr="006720AE">
        <w:rPr>
          <w:rFonts w:asciiTheme="majorHAnsi" w:hAnsiTheme="majorHAnsi" w:cs="Arial"/>
        </w:rPr>
        <w:t xml:space="preserve"> V první desítce jsou ještě zařazen</w:t>
      </w:r>
      <w:r w:rsidR="00623A40" w:rsidRPr="006720AE">
        <w:rPr>
          <w:rFonts w:asciiTheme="majorHAnsi" w:hAnsiTheme="majorHAnsi" w:cs="Arial"/>
        </w:rPr>
        <w:t>i</w:t>
      </w:r>
      <w:r w:rsidRPr="006720AE">
        <w:rPr>
          <w:rFonts w:asciiTheme="majorHAnsi" w:hAnsiTheme="majorHAnsi" w:cs="Arial"/>
        </w:rPr>
        <w:t xml:space="preserve"> občané Turecka, Indie, Běloruska, Ázerbájdžánu, Kazachstánu, Gruzie a Thajska.</w:t>
      </w:r>
    </w:p>
    <w:p w:rsidR="000038F9" w:rsidRPr="006720AE" w:rsidRDefault="000038F9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</w:rPr>
      </w:pPr>
    </w:p>
    <w:p w:rsidR="000038F9" w:rsidRPr="006720AE" w:rsidRDefault="000038F9" w:rsidP="00EC19D9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 w:cs="Arial"/>
          <w:b/>
          <w:u w:val="single"/>
        </w:rPr>
        <w:t>Udělená krátkodobá víza</w:t>
      </w:r>
    </w:p>
    <w:p w:rsidR="000038F9" w:rsidRPr="006720AE" w:rsidRDefault="000B4A9C" w:rsidP="005755F7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0" w:line="240" w:lineRule="auto"/>
        <w:jc w:val="center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  <w:noProof/>
          <w:lang w:eastAsia="cs-CZ"/>
        </w:rPr>
        <w:drawing>
          <wp:inline distT="0" distB="0" distL="0" distR="0">
            <wp:extent cx="2914650" cy="204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11" cy="205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5F7" w:rsidRPr="006720AE" w:rsidRDefault="005755F7" w:rsidP="005755F7">
      <w:pPr>
        <w:spacing w:after="120" w:line="240" w:lineRule="auto"/>
        <w:ind w:left="2268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>Zdroj: MZV</w:t>
      </w:r>
    </w:p>
    <w:p w:rsidR="00EC19D9" w:rsidRPr="006720AE" w:rsidRDefault="00BA4ACB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</w:rPr>
        <w:t>V roce 201</w:t>
      </w:r>
      <w:r w:rsidR="005C05B0" w:rsidRPr="006720AE">
        <w:rPr>
          <w:rFonts w:asciiTheme="majorHAnsi" w:hAnsiTheme="majorHAnsi" w:cs="Arial"/>
          <w:b/>
        </w:rPr>
        <w:t>5</w:t>
      </w:r>
      <w:r w:rsidRPr="006720AE">
        <w:rPr>
          <w:rFonts w:asciiTheme="majorHAnsi" w:hAnsiTheme="majorHAnsi" w:cs="Arial"/>
          <w:b/>
        </w:rPr>
        <w:t xml:space="preserve"> ČR udělila téměř 410 tisíc krátkodobých víz. Jednalo se o pokles o cca 20 % oproti roku 2014. Pokračující pokles udělených krátkodobých víz byl i v roce 2015 </w:t>
      </w:r>
      <w:r w:rsidR="002E1F2A" w:rsidRPr="006720AE">
        <w:rPr>
          <w:rFonts w:asciiTheme="majorHAnsi" w:hAnsiTheme="majorHAnsi" w:cs="Arial"/>
          <w:b/>
        </w:rPr>
        <w:t>rovněž zapříčiněn menším počtem žádostí</w:t>
      </w:r>
      <w:r w:rsidRPr="006720AE">
        <w:rPr>
          <w:rFonts w:asciiTheme="majorHAnsi" w:hAnsiTheme="majorHAnsi" w:cs="Arial"/>
          <w:b/>
        </w:rPr>
        <w:t xml:space="preserve"> občanů Rusk</w:t>
      </w:r>
      <w:r w:rsidR="005755F7" w:rsidRPr="006720AE">
        <w:rPr>
          <w:rFonts w:asciiTheme="majorHAnsi" w:hAnsiTheme="majorHAnsi" w:cs="Arial"/>
          <w:b/>
        </w:rPr>
        <w:t>a</w:t>
      </w:r>
      <w:r w:rsidRPr="006720AE">
        <w:rPr>
          <w:rFonts w:asciiTheme="majorHAnsi" w:hAnsiTheme="majorHAnsi" w:cs="Arial"/>
          <w:b/>
        </w:rPr>
        <w:t xml:space="preserve"> </w:t>
      </w:r>
      <w:r w:rsidRPr="006720AE">
        <w:rPr>
          <w:rFonts w:asciiTheme="majorHAnsi" w:hAnsiTheme="majorHAnsi" w:cs="Arial"/>
        </w:rPr>
        <w:t>(o více než 136 tisíc udělených víz méně ve srovnání s rokem 2014).</w:t>
      </w:r>
      <w:r w:rsidRPr="006720AE">
        <w:rPr>
          <w:rFonts w:asciiTheme="majorHAnsi" w:hAnsiTheme="majorHAnsi" w:cs="Arial"/>
          <w:b/>
        </w:rPr>
        <w:t xml:space="preserve"> </w:t>
      </w:r>
      <w:r w:rsidR="004F0CE5" w:rsidRPr="006720AE">
        <w:rPr>
          <w:rFonts w:asciiTheme="majorHAnsi" w:hAnsiTheme="majorHAnsi" w:cs="Arial"/>
        </w:rPr>
        <w:t>U většiny ostatních TOP 10 státních příslušností, kterým bylo uděleno krátkodobé vízum, lze naopak v roce 2015 pozorovat nárůst počtu oproti roku 2014.</w:t>
      </w:r>
    </w:p>
    <w:p w:rsidR="00BA4ACB" w:rsidRPr="006720AE" w:rsidRDefault="00BA4ACB" w:rsidP="00BA4ACB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Nejčastěji tento typ víza obdrželi občané Rusk</w:t>
      </w:r>
      <w:r w:rsidR="005755F7" w:rsidRPr="006720AE">
        <w:rPr>
          <w:rFonts w:asciiTheme="majorHAnsi" w:hAnsiTheme="majorHAnsi" w:cs="Arial"/>
          <w:b/>
        </w:rPr>
        <w:t xml:space="preserve">a </w:t>
      </w:r>
      <w:r w:rsidRPr="006720AE">
        <w:rPr>
          <w:rFonts w:asciiTheme="majorHAnsi" w:hAnsiTheme="majorHAnsi" w:cs="Arial"/>
          <w:b/>
        </w:rPr>
        <w:t>(50 %), Ukrajiny (15</w:t>
      </w:r>
      <w:r w:rsidR="00EC19D9" w:rsidRPr="006720AE">
        <w:rPr>
          <w:rFonts w:asciiTheme="majorHAnsi" w:hAnsiTheme="majorHAnsi" w:cs="Arial"/>
          <w:b/>
        </w:rPr>
        <w:t> %) a </w:t>
      </w:r>
      <w:r w:rsidRPr="006720AE">
        <w:rPr>
          <w:rFonts w:asciiTheme="majorHAnsi" w:hAnsiTheme="majorHAnsi" w:cs="Arial"/>
          <w:b/>
        </w:rPr>
        <w:t>Číny (</w:t>
      </w:r>
      <w:r w:rsidR="005755F7" w:rsidRPr="006720AE">
        <w:rPr>
          <w:rFonts w:asciiTheme="majorHAnsi" w:hAnsiTheme="majorHAnsi" w:cs="Arial"/>
          <w:b/>
        </w:rPr>
        <w:t>8</w:t>
      </w:r>
      <w:r w:rsidRPr="006720AE">
        <w:rPr>
          <w:rFonts w:asciiTheme="majorHAnsi" w:hAnsiTheme="majorHAnsi" w:cs="Arial"/>
          <w:b/>
        </w:rPr>
        <w:t> %).</w:t>
      </w:r>
      <w:r w:rsidRPr="006720AE">
        <w:rPr>
          <w:rFonts w:asciiTheme="majorHAnsi" w:hAnsiTheme="majorHAnsi" w:cs="Arial"/>
        </w:rPr>
        <w:t xml:space="preserve"> Do první desítky dále spadají občané Turecka, Indie, Běloruska, Ázerbájdžánu, Kazachstánu, Thajska a Kuvajtu.</w:t>
      </w:r>
    </w:p>
    <w:p w:rsidR="00BA4ACB" w:rsidRPr="006720AE" w:rsidRDefault="00EC19D9" w:rsidP="002B5696">
      <w:pPr>
        <w:pStyle w:val="Nadpis3"/>
        <w:spacing w:before="240" w:after="120" w:line="240" w:lineRule="auto"/>
      </w:pPr>
      <w:bookmarkStart w:id="6" w:name="_Toc440627794"/>
      <w:r w:rsidRPr="006720AE">
        <w:t>I.</w:t>
      </w:r>
      <w:r w:rsidR="006720AE">
        <w:t>2</w:t>
      </w:r>
      <w:r w:rsidRPr="006720AE">
        <w:t>.2</w:t>
      </w:r>
      <w:r w:rsidR="00DD22B9" w:rsidRPr="006720AE">
        <w:t>. Dlouhodobá pobytová oprávnění</w:t>
      </w:r>
      <w:r w:rsidR="002B65F7" w:rsidRPr="006720AE">
        <w:t xml:space="preserve"> na vstupu do ČR</w:t>
      </w:r>
      <w:r w:rsidR="009B7C6B" w:rsidRPr="006720AE">
        <w:t xml:space="preserve"> </w:t>
      </w:r>
      <w:r w:rsidR="00BA4ACB" w:rsidRPr="006720AE">
        <w:t>(gesce MV)</w:t>
      </w:r>
      <w:bookmarkEnd w:id="6"/>
    </w:p>
    <w:p w:rsidR="00BB65DE" w:rsidRPr="006720AE" w:rsidRDefault="00BB65DE" w:rsidP="0091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Cizinci ze třetích zemí, kteří se rozhodnou pobývat v ČR přechodně déle než 90 dnů, mohou na zastupitelských úřadech ČR (dále jen „ZÚ ČR“) požádat o </w:t>
      </w:r>
      <w:r w:rsidR="002E1F2A" w:rsidRPr="006720AE">
        <w:rPr>
          <w:rFonts w:asciiTheme="majorHAnsi" w:hAnsiTheme="majorHAnsi" w:cs="Arial"/>
          <w:bCs/>
        </w:rPr>
        <w:t xml:space="preserve">dlouhodobé </w:t>
      </w:r>
      <w:r w:rsidRPr="006720AE">
        <w:rPr>
          <w:rFonts w:asciiTheme="majorHAnsi" w:hAnsiTheme="majorHAnsi" w:cs="Arial"/>
          <w:bCs/>
        </w:rPr>
        <w:t xml:space="preserve">vízum </w:t>
      </w:r>
      <w:r w:rsidR="002E1F2A" w:rsidRPr="006720AE">
        <w:rPr>
          <w:rFonts w:asciiTheme="majorHAnsi" w:hAnsiTheme="majorHAnsi" w:cs="Arial"/>
          <w:bCs/>
        </w:rPr>
        <w:t>nebo povolení k </w:t>
      </w:r>
      <w:r w:rsidRPr="006720AE">
        <w:rPr>
          <w:rFonts w:asciiTheme="majorHAnsi" w:hAnsiTheme="majorHAnsi" w:cs="Arial"/>
          <w:bCs/>
        </w:rPr>
        <w:t>dlouhodobému pobytu</w:t>
      </w:r>
      <w:r w:rsidR="002E1F2A" w:rsidRPr="006720AE">
        <w:rPr>
          <w:rFonts w:asciiTheme="majorHAnsi" w:hAnsiTheme="majorHAnsi" w:cs="Arial"/>
          <w:bCs/>
        </w:rPr>
        <w:t>. O povolení k dlouhodobému pobytu</w:t>
      </w:r>
      <w:r w:rsidRPr="006720AE">
        <w:rPr>
          <w:rFonts w:asciiTheme="majorHAnsi" w:hAnsiTheme="majorHAnsi" w:cs="Arial"/>
          <w:bCs/>
        </w:rPr>
        <w:t xml:space="preserve"> </w:t>
      </w:r>
      <w:r w:rsidR="002E1F2A" w:rsidRPr="006720AE">
        <w:rPr>
          <w:rFonts w:asciiTheme="majorHAnsi" w:hAnsiTheme="majorHAnsi" w:cs="Arial"/>
          <w:bCs/>
        </w:rPr>
        <w:t>mohou cizinci na ZÚ ČR žádat</w:t>
      </w:r>
      <w:r w:rsidRPr="006720AE">
        <w:rPr>
          <w:rFonts w:asciiTheme="majorHAnsi" w:hAnsiTheme="majorHAnsi" w:cs="Arial"/>
          <w:bCs/>
        </w:rPr>
        <w:t xml:space="preserve"> </w:t>
      </w:r>
      <w:r w:rsidR="002E1F2A" w:rsidRPr="006720AE">
        <w:rPr>
          <w:rFonts w:asciiTheme="majorHAnsi" w:hAnsiTheme="majorHAnsi" w:cs="Arial"/>
          <w:bCs/>
        </w:rPr>
        <w:t xml:space="preserve">v případě pobytových titulů zavedených na základě </w:t>
      </w:r>
      <w:r w:rsidRPr="006720AE">
        <w:rPr>
          <w:rFonts w:asciiTheme="majorHAnsi" w:hAnsiTheme="majorHAnsi" w:cs="Arial"/>
          <w:bCs/>
        </w:rPr>
        <w:t xml:space="preserve">evropských směrnic, </w:t>
      </w:r>
      <w:r w:rsidR="002E1F2A" w:rsidRPr="006720AE">
        <w:rPr>
          <w:rFonts w:asciiTheme="majorHAnsi" w:hAnsiTheme="majorHAnsi" w:cs="Arial"/>
          <w:bCs/>
        </w:rPr>
        <w:t xml:space="preserve">tj. účely studium, výzkum, sloučení rodiny a </w:t>
      </w:r>
      <w:r w:rsidRPr="006720AE">
        <w:rPr>
          <w:rFonts w:asciiTheme="majorHAnsi" w:hAnsiTheme="majorHAnsi" w:cs="Arial"/>
          <w:bCs/>
        </w:rPr>
        <w:t>duální pobytov</w:t>
      </w:r>
      <w:r w:rsidR="002E1F2A" w:rsidRPr="006720AE">
        <w:rPr>
          <w:rFonts w:asciiTheme="majorHAnsi" w:hAnsiTheme="majorHAnsi" w:cs="Arial"/>
          <w:bCs/>
        </w:rPr>
        <w:t>á</w:t>
      </w:r>
      <w:r w:rsidRPr="006720AE">
        <w:rPr>
          <w:rFonts w:asciiTheme="majorHAnsi" w:hAnsiTheme="majorHAnsi" w:cs="Arial"/>
          <w:bCs/>
        </w:rPr>
        <w:t xml:space="preserve"> oprávnění – zaměstnanecká karta nebo modrá karta.</w:t>
      </w:r>
    </w:p>
    <w:p w:rsidR="004F1049" w:rsidRPr="006720AE" w:rsidRDefault="00913C70" w:rsidP="00913C70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Ke </w:t>
      </w:r>
      <w:r w:rsidRPr="006720AE">
        <w:rPr>
          <w:rFonts w:asciiTheme="majorHAnsi" w:hAnsiTheme="majorHAnsi" w:cs="Arial"/>
          <w:b/>
          <w:bCs/>
        </w:rPr>
        <w:t>zrychlení migračního procesu</w:t>
      </w:r>
      <w:r w:rsidRPr="006720AE">
        <w:rPr>
          <w:rFonts w:asciiTheme="majorHAnsi" w:hAnsiTheme="majorHAnsi" w:cs="Arial"/>
          <w:bCs/>
        </w:rPr>
        <w:t xml:space="preserve"> vybraných skupin občanů třetích zemí, o jejichž vstup na území ČR má stát zájem slouží </w:t>
      </w:r>
      <w:r w:rsidRPr="006720AE">
        <w:rPr>
          <w:rFonts w:asciiTheme="majorHAnsi" w:hAnsiTheme="majorHAnsi" w:cs="Arial"/>
          <w:b/>
          <w:bCs/>
        </w:rPr>
        <w:t>migrační projekty</w:t>
      </w:r>
      <w:r w:rsidR="00FD28DB" w:rsidRPr="006720AE">
        <w:rPr>
          <w:rFonts w:asciiTheme="majorHAnsi" w:hAnsiTheme="majorHAnsi" w:cs="Arial"/>
          <w:bCs/>
        </w:rPr>
        <w:t>.</w:t>
      </w:r>
      <w:r w:rsidRPr="006720AE">
        <w:rPr>
          <w:rFonts w:asciiTheme="majorHAnsi" w:hAnsiTheme="majorHAnsi" w:cs="Arial"/>
          <w:bCs/>
        </w:rPr>
        <w:t xml:space="preserve"> </w:t>
      </w:r>
      <w:r w:rsidR="00FD28DB" w:rsidRPr="006720AE">
        <w:rPr>
          <w:rFonts w:asciiTheme="majorHAnsi" w:hAnsiTheme="majorHAnsi" w:cs="Arial"/>
          <w:bCs/>
        </w:rPr>
        <w:t>Ty</w:t>
      </w:r>
      <w:r w:rsidRPr="006720AE">
        <w:rPr>
          <w:rFonts w:asciiTheme="majorHAnsi" w:hAnsiTheme="majorHAnsi" w:cs="Arial"/>
          <w:bCs/>
        </w:rPr>
        <w:t xml:space="preserve"> jsou založeny na přednostním vyřizování žádostí cizinců o pobytová oprávnění</w:t>
      </w:r>
      <w:r w:rsidR="00034E2A" w:rsidRPr="006720AE">
        <w:rPr>
          <w:rFonts w:asciiTheme="majorHAnsi" w:hAnsiTheme="majorHAnsi" w:cs="Arial"/>
          <w:bCs/>
        </w:rPr>
        <w:t xml:space="preserve">, </w:t>
      </w:r>
      <w:r w:rsidR="002E1F2A" w:rsidRPr="006720AE">
        <w:rPr>
          <w:rFonts w:asciiTheme="majorHAnsi" w:hAnsiTheme="majorHAnsi" w:cs="Arial"/>
          <w:bCs/>
        </w:rPr>
        <w:t>případ</w:t>
      </w:r>
      <w:r w:rsidR="00034E2A" w:rsidRPr="006720AE">
        <w:rPr>
          <w:rFonts w:asciiTheme="majorHAnsi" w:hAnsiTheme="majorHAnsi" w:cs="Arial"/>
          <w:bCs/>
        </w:rPr>
        <w:t>ně</w:t>
      </w:r>
      <w:r w:rsidRPr="006720AE">
        <w:rPr>
          <w:rFonts w:asciiTheme="majorHAnsi" w:hAnsiTheme="majorHAnsi" w:cs="Arial"/>
          <w:bCs/>
        </w:rPr>
        <w:t xml:space="preserve"> </w:t>
      </w:r>
      <w:r w:rsidR="002E1F2A" w:rsidRPr="006720AE">
        <w:rPr>
          <w:rFonts w:asciiTheme="majorHAnsi" w:hAnsiTheme="majorHAnsi" w:cs="Arial"/>
          <w:bCs/>
        </w:rPr>
        <w:t>i </w:t>
      </w:r>
      <w:r w:rsidRPr="006720AE">
        <w:rPr>
          <w:rFonts w:asciiTheme="majorHAnsi" w:hAnsiTheme="majorHAnsi" w:cs="Arial"/>
          <w:bCs/>
        </w:rPr>
        <w:t>povolení k</w:t>
      </w:r>
      <w:r w:rsidR="00034E2A" w:rsidRPr="006720AE">
        <w:rPr>
          <w:rFonts w:asciiTheme="majorHAnsi" w:hAnsiTheme="majorHAnsi" w:cs="Arial"/>
          <w:bCs/>
        </w:rPr>
        <w:t> </w:t>
      </w:r>
      <w:r w:rsidRPr="006720AE">
        <w:rPr>
          <w:rFonts w:asciiTheme="majorHAnsi" w:hAnsiTheme="majorHAnsi" w:cs="Arial"/>
          <w:bCs/>
        </w:rPr>
        <w:t>zaměstnání</w:t>
      </w:r>
      <w:r w:rsidR="00034E2A" w:rsidRPr="006720AE">
        <w:rPr>
          <w:rFonts w:asciiTheme="majorHAnsi" w:hAnsiTheme="majorHAnsi" w:cs="Arial"/>
          <w:bCs/>
        </w:rPr>
        <w:t xml:space="preserve"> (do 3</w:t>
      </w:r>
      <w:r w:rsidR="002E1F2A" w:rsidRPr="006720AE">
        <w:rPr>
          <w:rFonts w:asciiTheme="majorHAnsi" w:hAnsiTheme="majorHAnsi" w:cs="Arial"/>
          <w:bCs/>
        </w:rPr>
        <w:t>0</w:t>
      </w:r>
      <w:r w:rsidR="00034E2A" w:rsidRPr="006720AE">
        <w:rPr>
          <w:rFonts w:asciiTheme="majorHAnsi" w:hAnsiTheme="majorHAnsi" w:cs="Arial"/>
          <w:bCs/>
        </w:rPr>
        <w:t xml:space="preserve"> dnů ode dne podání žádosti)</w:t>
      </w:r>
      <w:r w:rsidRPr="006720AE">
        <w:rPr>
          <w:rFonts w:asciiTheme="majorHAnsi" w:hAnsiTheme="majorHAnsi" w:cs="Arial"/>
          <w:bCs/>
        </w:rPr>
        <w:t xml:space="preserve">. </w:t>
      </w:r>
    </w:p>
    <w:p w:rsidR="00913C70" w:rsidRPr="006720AE" w:rsidRDefault="00913C70" w:rsidP="00913C70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Jedná se o následující projekty:</w:t>
      </w:r>
    </w:p>
    <w:p w:rsidR="00913C70" w:rsidRPr="006720AE" w:rsidRDefault="00913C70" w:rsidP="009C2F82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Projekt </w:t>
      </w:r>
      <w:r w:rsidRPr="006720AE">
        <w:rPr>
          <w:rFonts w:asciiTheme="majorHAnsi" w:hAnsiTheme="majorHAnsi" w:cs="Arial"/>
          <w:b/>
          <w:bCs/>
        </w:rPr>
        <w:t>Fast Track</w:t>
      </w:r>
      <w:r w:rsidRPr="006720AE">
        <w:rPr>
          <w:rFonts w:asciiTheme="majorHAnsi" w:hAnsiTheme="majorHAnsi" w:cs="Arial"/>
          <w:bCs/>
        </w:rPr>
        <w:t xml:space="preserve">: Zrychlená procedura pro vnitropodnikově převáděné </w:t>
      </w:r>
      <w:r w:rsidR="009C2F82" w:rsidRPr="006720AE">
        <w:rPr>
          <w:rFonts w:asciiTheme="majorHAnsi" w:hAnsiTheme="majorHAnsi" w:cs="Arial"/>
          <w:bCs/>
        </w:rPr>
        <w:t>a </w:t>
      </w:r>
      <w:r w:rsidRPr="006720AE">
        <w:rPr>
          <w:rFonts w:asciiTheme="majorHAnsi" w:hAnsiTheme="majorHAnsi" w:cs="Arial"/>
          <w:bCs/>
        </w:rPr>
        <w:t>lokalizované zaměstnance a statutární orgány zahraničních investorů - realizace projektu byla zahájena 1. února 2012. Cílem projektu je urychlit proces pracovní migrace kvalifikovaných manažerů, specialistů a statutárních orgánů z řad občanů třetích zemí, kteří jsou v rámci nadnárodních obchodních společností vysíláni do</w:t>
      </w:r>
      <w:r w:rsidR="009C2F82" w:rsidRPr="006720AE">
        <w:rPr>
          <w:rFonts w:asciiTheme="majorHAnsi" w:hAnsiTheme="majorHAnsi" w:cs="Arial"/>
          <w:bCs/>
        </w:rPr>
        <w:t xml:space="preserve"> jejich poboček, které se již v </w:t>
      </w:r>
      <w:r w:rsidRPr="006720AE">
        <w:rPr>
          <w:rFonts w:asciiTheme="majorHAnsi" w:hAnsiTheme="majorHAnsi" w:cs="Arial"/>
          <w:bCs/>
        </w:rPr>
        <w:t xml:space="preserve">ČR etablovaly. </w:t>
      </w:r>
    </w:p>
    <w:p w:rsidR="00913C70" w:rsidRPr="006720AE" w:rsidRDefault="00913C70" w:rsidP="009C2F82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lastRenderedPageBreak/>
        <w:t xml:space="preserve">Projekt </w:t>
      </w:r>
      <w:proofErr w:type="spellStart"/>
      <w:r w:rsidRPr="006720AE">
        <w:rPr>
          <w:rFonts w:asciiTheme="majorHAnsi" w:hAnsiTheme="majorHAnsi" w:cs="Arial"/>
          <w:b/>
          <w:bCs/>
        </w:rPr>
        <w:t>Welcome</w:t>
      </w:r>
      <w:proofErr w:type="spellEnd"/>
      <w:r w:rsidRPr="006720AE">
        <w:rPr>
          <w:rFonts w:asciiTheme="majorHAnsi" w:hAnsiTheme="majorHAnsi" w:cs="Arial"/>
          <w:b/>
          <w:bCs/>
        </w:rPr>
        <w:t xml:space="preserve"> </w:t>
      </w:r>
      <w:proofErr w:type="spellStart"/>
      <w:r w:rsidRPr="006720AE">
        <w:rPr>
          <w:rFonts w:asciiTheme="majorHAnsi" w:hAnsiTheme="majorHAnsi" w:cs="Arial"/>
          <w:b/>
          <w:bCs/>
        </w:rPr>
        <w:t>Package</w:t>
      </w:r>
      <w:proofErr w:type="spellEnd"/>
      <w:r w:rsidRPr="006720AE">
        <w:rPr>
          <w:rFonts w:asciiTheme="majorHAnsi" w:hAnsiTheme="majorHAnsi" w:cs="Arial"/>
          <w:b/>
          <w:bCs/>
        </w:rPr>
        <w:t xml:space="preserve"> pro investory</w:t>
      </w:r>
      <w:r w:rsidRPr="006720AE">
        <w:rPr>
          <w:rFonts w:asciiTheme="majorHAnsi" w:hAnsiTheme="majorHAnsi" w:cs="Arial"/>
          <w:bCs/>
        </w:rPr>
        <w:t xml:space="preserve"> - realizac</w:t>
      </w:r>
      <w:r w:rsidR="002E1F2A" w:rsidRPr="006720AE">
        <w:rPr>
          <w:rFonts w:asciiTheme="majorHAnsi" w:hAnsiTheme="majorHAnsi" w:cs="Arial"/>
          <w:bCs/>
        </w:rPr>
        <w:t>e projektu byla zahájena dne 1. </w:t>
      </w:r>
      <w:r w:rsidRPr="006720AE">
        <w:rPr>
          <w:rFonts w:asciiTheme="majorHAnsi" w:hAnsiTheme="majorHAnsi" w:cs="Arial"/>
          <w:bCs/>
        </w:rPr>
        <w:t xml:space="preserve">července 2013. Cílem projektu je podpořit příliv zahraničních investic do ČR, mezinárodní konkurenceschopnost, expanzi investorů a vytváření nových pracovních míst. Za tímto účelem migrační projekt urychluje proces pracovní migrace kvalifikovaných manažerů, specialistů a statutárních orgánů z řad občanů třetích zemí, kteří jsou v rámci nadnárodních obchodních společností vysíláni </w:t>
      </w:r>
      <w:r w:rsidR="009C2F82" w:rsidRPr="006720AE">
        <w:rPr>
          <w:rFonts w:asciiTheme="majorHAnsi" w:hAnsiTheme="majorHAnsi" w:cs="Arial"/>
          <w:bCs/>
        </w:rPr>
        <w:t>do jejich poboček, které byly v </w:t>
      </w:r>
      <w:r w:rsidRPr="006720AE">
        <w:rPr>
          <w:rFonts w:asciiTheme="majorHAnsi" w:hAnsiTheme="majorHAnsi" w:cs="Arial"/>
          <w:bCs/>
        </w:rPr>
        <w:t xml:space="preserve">ČR nově založeny. </w:t>
      </w:r>
    </w:p>
    <w:p w:rsidR="00913C70" w:rsidRPr="006720AE" w:rsidRDefault="00913C70" w:rsidP="009C2F82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Projekt </w:t>
      </w:r>
      <w:r w:rsidRPr="006720AE">
        <w:rPr>
          <w:rFonts w:asciiTheme="majorHAnsi" w:hAnsiTheme="majorHAnsi" w:cs="Arial"/>
          <w:b/>
          <w:bCs/>
        </w:rPr>
        <w:t>Zjednodušení vstupu a pobytu hospodářsky významných partnerů</w:t>
      </w:r>
      <w:r w:rsidRPr="006720AE">
        <w:rPr>
          <w:rFonts w:asciiTheme="majorHAnsi" w:hAnsiTheme="majorHAnsi" w:cs="Arial"/>
          <w:bCs/>
        </w:rPr>
        <w:t xml:space="preserve"> </w:t>
      </w:r>
      <w:r w:rsidR="004F1049" w:rsidRPr="006720AE">
        <w:rPr>
          <w:rFonts w:asciiTheme="majorHAnsi" w:hAnsiTheme="majorHAnsi" w:cs="Arial"/>
          <w:bCs/>
        </w:rPr>
        <w:t xml:space="preserve">Ministerstva průmyslu a </w:t>
      </w:r>
      <w:r w:rsidR="00DB3151" w:rsidRPr="006720AE">
        <w:rPr>
          <w:rFonts w:asciiTheme="majorHAnsi" w:hAnsiTheme="majorHAnsi" w:cs="Arial"/>
          <w:bCs/>
        </w:rPr>
        <w:t xml:space="preserve">obchodu </w:t>
      </w:r>
      <w:r w:rsidRPr="006720AE">
        <w:rPr>
          <w:rFonts w:asciiTheme="majorHAnsi" w:hAnsiTheme="majorHAnsi" w:cs="Arial"/>
          <w:bCs/>
        </w:rPr>
        <w:t xml:space="preserve">- projekt  je realizován od 1. </w:t>
      </w:r>
      <w:r w:rsidR="002E1F2A" w:rsidRPr="006720AE">
        <w:rPr>
          <w:rFonts w:asciiTheme="majorHAnsi" w:hAnsiTheme="majorHAnsi" w:cs="Arial"/>
          <w:bCs/>
        </w:rPr>
        <w:t>září</w:t>
      </w:r>
      <w:r w:rsidRPr="006720AE">
        <w:rPr>
          <w:rFonts w:asciiTheme="majorHAnsi" w:hAnsiTheme="majorHAnsi" w:cs="Arial"/>
          <w:bCs/>
        </w:rPr>
        <w:t xml:space="preserve"> 2014. Cílem projektu je dosažení časových úspor v rámci zajištění vstupu a pobytu subjektů, na kterých má ČR zvláštní ekonomický zájem s ohledem na jejich potenciální ekonomický přínos – vybraní zahraniční investoři a obchodní partneři českých subjekt</w:t>
      </w:r>
      <w:r w:rsidR="00DB3151" w:rsidRPr="006720AE">
        <w:rPr>
          <w:rFonts w:asciiTheme="majorHAnsi" w:hAnsiTheme="majorHAnsi" w:cs="Arial"/>
          <w:bCs/>
        </w:rPr>
        <w:t>ů. Projekt nabízí flexibilitu v </w:t>
      </w:r>
      <w:r w:rsidRPr="006720AE">
        <w:rPr>
          <w:rFonts w:asciiTheme="majorHAnsi" w:hAnsiTheme="majorHAnsi" w:cs="Arial"/>
          <w:bCs/>
        </w:rPr>
        <w:t xml:space="preserve">rychlosti přijetí žádostí o krátkodobé nebo dlouhodobé vízum a způsobu vyřízení těchto žádostí. </w:t>
      </w:r>
    </w:p>
    <w:p w:rsidR="00913C70" w:rsidRPr="006720AE" w:rsidRDefault="00913C70" w:rsidP="009C2F82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Projekt </w:t>
      </w:r>
      <w:r w:rsidRPr="006720AE">
        <w:rPr>
          <w:rFonts w:asciiTheme="majorHAnsi" w:hAnsiTheme="majorHAnsi" w:cs="Arial"/>
          <w:b/>
          <w:bCs/>
        </w:rPr>
        <w:t>Zrychlená procedura udělování pobytových oprávnění pro cizince – zahraniční studenty ze třetích zemí</w:t>
      </w:r>
      <w:r w:rsidRPr="006720AE">
        <w:rPr>
          <w:rFonts w:asciiTheme="majorHAnsi" w:hAnsiTheme="majorHAnsi" w:cs="Arial"/>
          <w:bCs/>
        </w:rPr>
        <w:t xml:space="preserve"> - realizace projektu byla zahájena dne 1. června 2013. Cílem projektu je usnadnit proceduru vstupu a pobytu občanů třetích států, kteří byli jako stipendisté přijati ke studiu v ČR na základě platných mezinárodních smluv nebo usnesení vlády ČR. V rámci projektu </w:t>
      </w:r>
      <w:r w:rsidR="002E1F2A" w:rsidRPr="006720AE">
        <w:rPr>
          <w:rFonts w:asciiTheme="majorHAnsi" w:hAnsiTheme="majorHAnsi" w:cs="Arial"/>
          <w:bCs/>
        </w:rPr>
        <w:t>js</w:t>
      </w:r>
      <w:r w:rsidRPr="006720AE">
        <w:rPr>
          <w:rFonts w:asciiTheme="majorHAnsi" w:hAnsiTheme="majorHAnsi" w:cs="Arial"/>
          <w:bCs/>
        </w:rPr>
        <w:t xml:space="preserve">ou přednostně vyřizovány jejich žádosti </w:t>
      </w:r>
      <w:r w:rsidR="002E1F2A" w:rsidRPr="006720AE">
        <w:rPr>
          <w:rFonts w:asciiTheme="majorHAnsi" w:hAnsiTheme="majorHAnsi" w:cs="Arial"/>
          <w:bCs/>
        </w:rPr>
        <w:t>a </w:t>
      </w:r>
      <w:r w:rsidRPr="006720AE">
        <w:rPr>
          <w:rFonts w:asciiTheme="majorHAnsi" w:hAnsiTheme="majorHAnsi" w:cs="Arial"/>
          <w:bCs/>
        </w:rPr>
        <w:t xml:space="preserve">ve zrychlené proceduře vydávána </w:t>
      </w:r>
      <w:r w:rsidR="002E1F2A" w:rsidRPr="006720AE">
        <w:rPr>
          <w:rFonts w:asciiTheme="majorHAnsi" w:hAnsiTheme="majorHAnsi" w:cs="Arial"/>
          <w:bCs/>
        </w:rPr>
        <w:t xml:space="preserve">dlouhodobá </w:t>
      </w:r>
      <w:r w:rsidRPr="006720AE">
        <w:rPr>
          <w:rFonts w:asciiTheme="majorHAnsi" w:hAnsiTheme="majorHAnsi" w:cs="Arial"/>
          <w:bCs/>
        </w:rPr>
        <w:t>víza nebo povolení k dlouhodobému poby</w:t>
      </w:r>
      <w:r w:rsidR="009C2F82" w:rsidRPr="006720AE">
        <w:rPr>
          <w:rFonts w:asciiTheme="majorHAnsi" w:hAnsiTheme="majorHAnsi" w:cs="Arial"/>
          <w:bCs/>
        </w:rPr>
        <w:t>tu za </w:t>
      </w:r>
      <w:r w:rsidRPr="006720AE">
        <w:rPr>
          <w:rFonts w:asciiTheme="majorHAnsi" w:hAnsiTheme="majorHAnsi" w:cs="Arial"/>
          <w:bCs/>
        </w:rPr>
        <w:t xml:space="preserve">účelem studia. </w:t>
      </w:r>
    </w:p>
    <w:p w:rsidR="00913C70" w:rsidRPr="006720AE" w:rsidRDefault="00913C70" w:rsidP="009C2F82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Projekt </w:t>
      </w:r>
      <w:r w:rsidRPr="006720AE">
        <w:rPr>
          <w:rFonts w:asciiTheme="majorHAnsi" w:hAnsiTheme="majorHAnsi" w:cs="Arial"/>
          <w:b/>
          <w:bCs/>
        </w:rPr>
        <w:t>Zrychlená procedura pro zahraniční pacienty, kterým bude v ČR poskytována lázeňská léčebně rehabilitační péče</w:t>
      </w:r>
      <w:r w:rsidRPr="006720AE">
        <w:rPr>
          <w:rFonts w:asciiTheme="majorHAnsi" w:hAnsiTheme="majorHAnsi" w:cs="Arial"/>
          <w:bCs/>
        </w:rPr>
        <w:t xml:space="preserve"> - realizace projektu byla zahájena dne 1. listopadu 2012. Cílem projektu je podpořit vybrané lázně v ČR, které tradičně poskytují léčbu zahraničním pacientům, a posílit tak ekonomický přínos lázeňství pro český stát. V rámci projektu jsou ve zrychlené proceduře vyřizovány žádosti o </w:t>
      </w:r>
      <w:r w:rsidR="002E1F2A" w:rsidRPr="006720AE">
        <w:rPr>
          <w:rFonts w:asciiTheme="majorHAnsi" w:hAnsiTheme="majorHAnsi" w:cs="Arial"/>
          <w:bCs/>
        </w:rPr>
        <w:t xml:space="preserve">dlouhodobá </w:t>
      </w:r>
      <w:r w:rsidRPr="006720AE">
        <w:rPr>
          <w:rFonts w:asciiTheme="majorHAnsi" w:hAnsiTheme="majorHAnsi" w:cs="Arial"/>
          <w:bCs/>
        </w:rPr>
        <w:t xml:space="preserve">víza </w:t>
      </w:r>
      <w:r w:rsidR="002F7330" w:rsidRPr="006720AE">
        <w:rPr>
          <w:rFonts w:asciiTheme="majorHAnsi" w:hAnsiTheme="majorHAnsi" w:cs="Arial"/>
          <w:bCs/>
        </w:rPr>
        <w:t>za účelem léčby cizinců</w:t>
      </w:r>
      <w:r w:rsidRPr="006720AE">
        <w:rPr>
          <w:rFonts w:asciiTheme="majorHAnsi" w:hAnsiTheme="majorHAnsi" w:cs="Arial"/>
          <w:bCs/>
        </w:rPr>
        <w:t xml:space="preserve"> z</w:t>
      </w:r>
      <w:r w:rsidR="009C2F82" w:rsidRPr="006720AE">
        <w:rPr>
          <w:rFonts w:asciiTheme="majorHAnsi" w:hAnsiTheme="majorHAnsi" w:cs="Arial"/>
          <w:bCs/>
        </w:rPr>
        <w:t> </w:t>
      </w:r>
      <w:r w:rsidRPr="006720AE">
        <w:rPr>
          <w:rFonts w:asciiTheme="majorHAnsi" w:hAnsiTheme="majorHAnsi" w:cs="Arial"/>
          <w:bCs/>
        </w:rPr>
        <w:t>vybraných</w:t>
      </w:r>
      <w:r w:rsidR="009C2F82" w:rsidRPr="006720AE">
        <w:rPr>
          <w:rFonts w:asciiTheme="majorHAnsi" w:hAnsiTheme="majorHAnsi" w:cs="Arial"/>
          <w:bCs/>
        </w:rPr>
        <w:t xml:space="preserve">, zejména arabských zemí, </w:t>
      </w:r>
      <w:r w:rsidRPr="006720AE">
        <w:rPr>
          <w:rFonts w:asciiTheme="majorHAnsi" w:hAnsiTheme="majorHAnsi" w:cs="Arial"/>
          <w:bCs/>
        </w:rPr>
        <w:t>kteří potřebují léčebně rehabilitační péči přesahující 3 měsíce,</w:t>
      </w:r>
      <w:r w:rsidR="009C2F82" w:rsidRPr="006720AE">
        <w:rPr>
          <w:rFonts w:asciiTheme="majorHAnsi" w:hAnsiTheme="majorHAnsi" w:cs="Arial"/>
          <w:bCs/>
        </w:rPr>
        <w:t xml:space="preserve"> a </w:t>
      </w:r>
      <w:r w:rsidRPr="006720AE">
        <w:rPr>
          <w:rFonts w:asciiTheme="majorHAnsi" w:hAnsiTheme="majorHAnsi" w:cs="Arial"/>
          <w:bCs/>
        </w:rPr>
        <w:t>osobám tvořícím jejich nezbytný doprovod.</w:t>
      </w:r>
    </w:p>
    <w:p w:rsidR="002E1F2A" w:rsidRPr="006720AE" w:rsidRDefault="002E1F2A" w:rsidP="002E1F2A">
      <w:pPr>
        <w:pStyle w:val="Odstavecseseznamem"/>
        <w:numPr>
          <w:ilvl w:val="0"/>
          <w:numId w:val="5"/>
        </w:numPr>
        <w:spacing w:after="120" w:line="240" w:lineRule="auto"/>
        <w:ind w:left="426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/>
        </w:rPr>
        <w:t>Pilotní projekt</w:t>
      </w:r>
      <w:r w:rsidRPr="006720AE">
        <w:rPr>
          <w:rFonts w:asciiTheme="majorHAnsi" w:hAnsiTheme="majorHAnsi"/>
          <w:b/>
        </w:rPr>
        <w:t xml:space="preserve"> Zvláštní postupy pro vysoce kvalifikované zaměstnance z Ukrajiny</w:t>
      </w:r>
      <w:r w:rsidRPr="006720AE">
        <w:rPr>
          <w:rFonts w:asciiTheme="majorHAnsi" w:hAnsiTheme="majorHAnsi"/>
        </w:rPr>
        <w:t xml:space="preserve"> – realizace byla zahájena dne 9. listopadu 2015. Cílem projektu je pomoci cestou zrychlení procesu pracovní migrace </w:t>
      </w:r>
      <w:r w:rsidRPr="006720AE">
        <w:rPr>
          <w:rFonts w:asciiTheme="majorHAnsi" w:hAnsiTheme="majorHAnsi"/>
          <w:bCs/>
        </w:rPr>
        <w:t>českým podnikatelům, kteří chtějí zaměstnat na dlouhodobě neobsazených pracovních místech odborníky ukrajinské národnosti.</w:t>
      </w:r>
    </w:p>
    <w:p w:rsidR="00046150" w:rsidRPr="006720AE" w:rsidRDefault="00046150" w:rsidP="007F394F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7F394F" w:rsidRPr="006720AE" w:rsidRDefault="007F394F" w:rsidP="00652756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 w:cs="Arial"/>
          <w:b/>
          <w:u w:val="single"/>
        </w:rPr>
        <w:t>Žádosti o dlouhodobá pobytová oprávnění na vstupu do ČR</w:t>
      </w:r>
    </w:p>
    <w:p w:rsidR="00123103" w:rsidRPr="006720AE" w:rsidRDefault="00034E2A" w:rsidP="00652756">
      <w:pPr>
        <w:keepNext/>
        <w:keepLines/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b/>
        </w:rPr>
        <w:t xml:space="preserve">Většina </w:t>
      </w:r>
      <w:r w:rsidR="00123103" w:rsidRPr="006720AE">
        <w:rPr>
          <w:rFonts w:asciiTheme="majorHAnsi" w:hAnsiTheme="majorHAnsi"/>
          <w:b/>
        </w:rPr>
        <w:t xml:space="preserve">z celkového počtu 22 483 </w:t>
      </w:r>
      <w:r w:rsidRPr="006720AE">
        <w:rPr>
          <w:rFonts w:asciiTheme="majorHAnsi" w:hAnsiTheme="majorHAnsi"/>
          <w:b/>
        </w:rPr>
        <w:t xml:space="preserve">žádostí o udělení </w:t>
      </w:r>
      <w:r w:rsidR="00123103" w:rsidRPr="006720AE">
        <w:rPr>
          <w:rFonts w:asciiTheme="majorHAnsi" w:hAnsiTheme="majorHAnsi"/>
          <w:b/>
        </w:rPr>
        <w:t>některého z </w:t>
      </w:r>
      <w:r w:rsidRPr="006720AE">
        <w:rPr>
          <w:rFonts w:asciiTheme="majorHAnsi" w:hAnsiTheme="majorHAnsi"/>
          <w:b/>
        </w:rPr>
        <w:t>dlouhodobých pobytových oprávnění</w:t>
      </w:r>
      <w:r w:rsidRPr="006720AE">
        <w:rPr>
          <w:rFonts w:asciiTheme="majorHAnsi" w:hAnsiTheme="majorHAnsi"/>
        </w:rPr>
        <w:t xml:space="preserve"> </w:t>
      </w:r>
      <w:r w:rsidR="00123103" w:rsidRPr="006720AE">
        <w:rPr>
          <w:rFonts w:asciiTheme="majorHAnsi" w:hAnsiTheme="majorHAnsi"/>
          <w:b/>
        </w:rPr>
        <w:t>na vstupu do ČR</w:t>
      </w:r>
      <w:r w:rsidR="00123103" w:rsidRPr="006720AE">
        <w:rPr>
          <w:rFonts w:asciiTheme="majorHAnsi" w:hAnsiTheme="majorHAnsi"/>
        </w:rPr>
        <w:t xml:space="preserve"> </w:t>
      </w:r>
      <w:r w:rsidRPr="006720AE">
        <w:rPr>
          <w:rFonts w:asciiTheme="majorHAnsi" w:hAnsiTheme="majorHAnsi"/>
        </w:rPr>
        <w:t>(víz</w:t>
      </w:r>
      <w:r w:rsidR="00EC2082" w:rsidRPr="006720AE">
        <w:rPr>
          <w:rFonts w:asciiTheme="majorHAnsi" w:hAnsiTheme="majorHAnsi"/>
        </w:rPr>
        <w:t>um</w:t>
      </w:r>
      <w:r w:rsidRPr="006720AE">
        <w:rPr>
          <w:rFonts w:asciiTheme="majorHAnsi" w:hAnsiTheme="majorHAnsi"/>
        </w:rPr>
        <w:t xml:space="preserve">, povolení k pobytu) byla </w:t>
      </w:r>
      <w:r w:rsidR="005213E3" w:rsidRPr="006720AE">
        <w:rPr>
          <w:rFonts w:asciiTheme="majorHAnsi" w:hAnsiTheme="majorHAnsi"/>
        </w:rPr>
        <w:t xml:space="preserve">v roce 2015 </w:t>
      </w:r>
      <w:r w:rsidRPr="006720AE">
        <w:rPr>
          <w:rFonts w:asciiTheme="majorHAnsi" w:hAnsiTheme="majorHAnsi"/>
        </w:rPr>
        <w:t xml:space="preserve">podána </w:t>
      </w:r>
      <w:r w:rsidRPr="006720AE">
        <w:rPr>
          <w:rFonts w:asciiTheme="majorHAnsi" w:hAnsiTheme="majorHAnsi"/>
          <w:b/>
        </w:rPr>
        <w:t>za účelem vzdělávacích aktivit</w:t>
      </w:r>
      <w:r w:rsidR="005833AE" w:rsidRPr="006720AE">
        <w:rPr>
          <w:rFonts w:asciiTheme="majorHAnsi" w:hAnsiTheme="majorHAnsi"/>
          <w:b/>
        </w:rPr>
        <w:t xml:space="preserve">, </w:t>
      </w:r>
      <w:r w:rsidR="005833AE" w:rsidRPr="006720AE">
        <w:rPr>
          <w:rFonts w:asciiTheme="majorHAnsi" w:hAnsiTheme="majorHAnsi"/>
        </w:rPr>
        <w:t>tj.</w:t>
      </w:r>
      <w:r w:rsidRPr="006720AE">
        <w:rPr>
          <w:rFonts w:asciiTheme="majorHAnsi" w:hAnsiTheme="majorHAnsi"/>
        </w:rPr>
        <w:t xml:space="preserve"> účely studi</w:t>
      </w:r>
      <w:r w:rsidR="005833AE" w:rsidRPr="006720AE">
        <w:rPr>
          <w:rFonts w:asciiTheme="majorHAnsi" w:hAnsiTheme="majorHAnsi"/>
        </w:rPr>
        <w:t>a</w:t>
      </w:r>
      <w:r w:rsidRPr="006720AE">
        <w:rPr>
          <w:rFonts w:asciiTheme="majorHAnsi" w:hAnsiTheme="majorHAnsi"/>
        </w:rPr>
        <w:t xml:space="preserve"> a ostatní vzdělávací aktivity (dohromady cca 5</w:t>
      </w:r>
      <w:r w:rsidR="00EC2082" w:rsidRPr="006720AE">
        <w:rPr>
          <w:rFonts w:asciiTheme="majorHAnsi" w:hAnsiTheme="majorHAnsi"/>
        </w:rPr>
        <w:t>2</w:t>
      </w:r>
      <w:r w:rsidRPr="006720AE">
        <w:rPr>
          <w:rFonts w:asciiTheme="majorHAnsi" w:hAnsiTheme="majorHAnsi"/>
        </w:rPr>
        <w:t> % žádo</w:t>
      </w:r>
      <w:r w:rsidR="00DF7F12" w:rsidRPr="006720AE">
        <w:rPr>
          <w:rFonts w:asciiTheme="majorHAnsi" w:hAnsiTheme="majorHAnsi"/>
        </w:rPr>
        <w:t>stí</w:t>
      </w:r>
      <w:r w:rsidR="00EC2082" w:rsidRPr="006720AE">
        <w:rPr>
          <w:rFonts w:asciiTheme="majorHAnsi" w:hAnsiTheme="majorHAnsi"/>
        </w:rPr>
        <w:t xml:space="preserve"> – o 5 % méně než v roce 2014</w:t>
      </w:r>
      <w:r w:rsidR="00DF7F12" w:rsidRPr="006720AE">
        <w:rPr>
          <w:rFonts w:asciiTheme="majorHAnsi" w:hAnsiTheme="majorHAnsi"/>
        </w:rPr>
        <w:t xml:space="preserve">), </w:t>
      </w:r>
      <w:r w:rsidR="00DF7F12" w:rsidRPr="006720AE">
        <w:rPr>
          <w:rFonts w:asciiTheme="majorHAnsi" w:hAnsiTheme="majorHAnsi"/>
          <w:b/>
        </w:rPr>
        <w:t>následoval</w:t>
      </w:r>
      <w:r w:rsidR="00EC2082" w:rsidRPr="006720AE">
        <w:rPr>
          <w:rFonts w:asciiTheme="majorHAnsi" w:hAnsiTheme="majorHAnsi"/>
          <w:b/>
        </w:rPr>
        <w:t>y výdělečné aktivity</w:t>
      </w:r>
      <w:r w:rsidR="00EC2082" w:rsidRPr="006720AE">
        <w:rPr>
          <w:rFonts w:asciiTheme="majorHAnsi" w:hAnsiTheme="majorHAnsi"/>
        </w:rPr>
        <w:t>, tj.</w:t>
      </w:r>
      <w:r w:rsidR="00DF7F12" w:rsidRPr="006720AE">
        <w:rPr>
          <w:rFonts w:asciiTheme="majorHAnsi" w:hAnsiTheme="majorHAnsi"/>
        </w:rPr>
        <w:t xml:space="preserve"> účel </w:t>
      </w:r>
      <w:r w:rsidRPr="006720AE">
        <w:rPr>
          <w:rFonts w:asciiTheme="majorHAnsi" w:hAnsiTheme="majorHAnsi"/>
        </w:rPr>
        <w:t>zaměstnání (</w:t>
      </w:r>
      <w:r w:rsidR="00EC2082" w:rsidRPr="006720AE">
        <w:rPr>
          <w:rFonts w:asciiTheme="majorHAnsi" w:hAnsiTheme="majorHAnsi"/>
        </w:rPr>
        <w:t>21</w:t>
      </w:r>
      <w:r w:rsidRPr="006720AE">
        <w:rPr>
          <w:rFonts w:asciiTheme="majorHAnsi" w:hAnsiTheme="majorHAnsi"/>
        </w:rPr>
        <w:t> % žádostí</w:t>
      </w:r>
      <w:r w:rsidR="00EC2082" w:rsidRPr="006720AE">
        <w:rPr>
          <w:rFonts w:asciiTheme="majorHAnsi" w:hAnsiTheme="majorHAnsi"/>
        </w:rPr>
        <w:t xml:space="preserve"> - o 5 % více než v roce 2014</w:t>
      </w:r>
      <w:r w:rsidRPr="006720AE">
        <w:rPr>
          <w:rFonts w:asciiTheme="majorHAnsi" w:hAnsiTheme="majorHAnsi"/>
        </w:rPr>
        <w:t>) a podnikání (</w:t>
      </w:r>
      <w:r w:rsidR="00EC2082" w:rsidRPr="006720AE">
        <w:rPr>
          <w:rFonts w:asciiTheme="majorHAnsi" w:hAnsiTheme="majorHAnsi"/>
        </w:rPr>
        <w:t>7</w:t>
      </w:r>
      <w:r w:rsidRPr="006720AE">
        <w:rPr>
          <w:rFonts w:asciiTheme="majorHAnsi" w:hAnsiTheme="majorHAnsi"/>
        </w:rPr>
        <w:t> %</w:t>
      </w:r>
      <w:r w:rsidR="00EC2082" w:rsidRPr="006720AE">
        <w:rPr>
          <w:rFonts w:asciiTheme="majorHAnsi" w:hAnsiTheme="majorHAnsi"/>
        </w:rPr>
        <w:t xml:space="preserve"> - o 1 % méně než v roce 2014</w:t>
      </w:r>
      <w:r w:rsidRPr="006720AE">
        <w:rPr>
          <w:rFonts w:asciiTheme="majorHAnsi" w:hAnsiTheme="majorHAnsi"/>
        </w:rPr>
        <w:t xml:space="preserve">). </w:t>
      </w:r>
      <w:r w:rsidR="00EC2082" w:rsidRPr="006720AE">
        <w:rPr>
          <w:rFonts w:asciiTheme="majorHAnsi" w:hAnsiTheme="majorHAnsi"/>
        </w:rPr>
        <w:t>Za </w:t>
      </w:r>
      <w:r w:rsidR="00EC2082" w:rsidRPr="006720AE">
        <w:rPr>
          <w:rFonts w:asciiTheme="majorHAnsi" w:hAnsiTheme="majorHAnsi"/>
          <w:b/>
        </w:rPr>
        <w:t>rodinným</w:t>
      </w:r>
      <w:r w:rsidR="005833AE" w:rsidRPr="006720AE">
        <w:rPr>
          <w:rFonts w:asciiTheme="majorHAnsi" w:hAnsiTheme="majorHAnsi"/>
          <w:b/>
        </w:rPr>
        <w:t>i</w:t>
      </w:r>
      <w:r w:rsidR="00EC2082" w:rsidRPr="006720AE">
        <w:rPr>
          <w:rFonts w:asciiTheme="majorHAnsi" w:hAnsiTheme="majorHAnsi"/>
          <w:b/>
        </w:rPr>
        <w:t xml:space="preserve"> účel</w:t>
      </w:r>
      <w:r w:rsidR="005833AE" w:rsidRPr="006720AE">
        <w:rPr>
          <w:rFonts w:asciiTheme="majorHAnsi" w:hAnsiTheme="majorHAnsi"/>
          <w:b/>
        </w:rPr>
        <w:t>y</w:t>
      </w:r>
      <w:r w:rsidR="00EC2082" w:rsidRPr="006720AE">
        <w:rPr>
          <w:rFonts w:asciiTheme="majorHAnsi" w:hAnsiTheme="majorHAnsi"/>
        </w:rPr>
        <w:t xml:space="preserve"> žádalo 16 % žadatelů (stejné procentuální zastoupení jako v roce 2014). </w:t>
      </w:r>
    </w:p>
    <w:p w:rsidR="00034E2A" w:rsidRPr="006720AE" w:rsidRDefault="00034E2A" w:rsidP="007A60A9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b/>
        </w:rPr>
        <w:t>Nejčastěji</w:t>
      </w:r>
      <w:r w:rsidRPr="006720AE">
        <w:rPr>
          <w:rFonts w:asciiTheme="majorHAnsi" w:hAnsiTheme="majorHAnsi"/>
        </w:rPr>
        <w:t xml:space="preserve"> o dlouhodobé pobytové oprávnění v roce 201</w:t>
      </w:r>
      <w:r w:rsidR="005833AE" w:rsidRPr="006720AE">
        <w:rPr>
          <w:rFonts w:asciiTheme="majorHAnsi" w:hAnsiTheme="majorHAnsi"/>
        </w:rPr>
        <w:t>5</w:t>
      </w:r>
      <w:r w:rsidRPr="006720AE">
        <w:rPr>
          <w:rFonts w:asciiTheme="majorHAnsi" w:hAnsiTheme="majorHAnsi"/>
        </w:rPr>
        <w:t xml:space="preserve"> </w:t>
      </w:r>
      <w:r w:rsidRPr="006720AE">
        <w:rPr>
          <w:rFonts w:asciiTheme="majorHAnsi" w:hAnsiTheme="majorHAnsi"/>
          <w:b/>
        </w:rPr>
        <w:t xml:space="preserve">žádali občané </w:t>
      </w:r>
      <w:r w:rsidR="00FF7098" w:rsidRPr="006720AE">
        <w:rPr>
          <w:rFonts w:asciiTheme="majorHAnsi" w:hAnsiTheme="majorHAnsi"/>
          <w:b/>
        </w:rPr>
        <w:t>Ukrajiny</w:t>
      </w:r>
      <w:r w:rsidRPr="006720AE">
        <w:rPr>
          <w:rFonts w:asciiTheme="majorHAnsi" w:hAnsiTheme="majorHAnsi"/>
        </w:rPr>
        <w:t xml:space="preserve"> (</w:t>
      </w:r>
      <w:r w:rsidR="00FF7098" w:rsidRPr="006720AE">
        <w:rPr>
          <w:rFonts w:asciiTheme="majorHAnsi" w:hAnsiTheme="majorHAnsi"/>
        </w:rPr>
        <w:t>17</w:t>
      </w:r>
      <w:r w:rsidRPr="006720AE">
        <w:rPr>
          <w:rFonts w:asciiTheme="majorHAnsi" w:hAnsiTheme="majorHAnsi"/>
        </w:rPr>
        <w:t xml:space="preserve"> % z celkového počtu žadatelů), dále občané </w:t>
      </w:r>
      <w:r w:rsidRPr="006720AE">
        <w:rPr>
          <w:rFonts w:asciiTheme="majorHAnsi" w:hAnsiTheme="majorHAnsi"/>
          <w:b/>
        </w:rPr>
        <w:t>U</w:t>
      </w:r>
      <w:r w:rsidR="00FF7098" w:rsidRPr="006720AE">
        <w:rPr>
          <w:rFonts w:asciiTheme="majorHAnsi" w:hAnsiTheme="majorHAnsi"/>
          <w:b/>
        </w:rPr>
        <w:t>SA</w:t>
      </w:r>
      <w:r w:rsidRPr="006720AE">
        <w:rPr>
          <w:rFonts w:asciiTheme="majorHAnsi" w:hAnsiTheme="majorHAnsi"/>
        </w:rPr>
        <w:t xml:space="preserve"> (1</w:t>
      </w:r>
      <w:r w:rsidR="00FF7098" w:rsidRPr="006720AE">
        <w:rPr>
          <w:rFonts w:asciiTheme="majorHAnsi" w:hAnsiTheme="majorHAnsi"/>
        </w:rPr>
        <w:t>6</w:t>
      </w:r>
      <w:r w:rsidRPr="006720AE">
        <w:rPr>
          <w:rFonts w:asciiTheme="majorHAnsi" w:hAnsiTheme="majorHAnsi"/>
        </w:rPr>
        <w:t> %)</w:t>
      </w:r>
      <w:r w:rsidR="00FF7098" w:rsidRPr="006720AE">
        <w:rPr>
          <w:rFonts w:asciiTheme="majorHAnsi" w:hAnsiTheme="majorHAnsi"/>
        </w:rPr>
        <w:t>,</w:t>
      </w:r>
      <w:r w:rsidRPr="006720AE">
        <w:rPr>
          <w:rFonts w:asciiTheme="majorHAnsi" w:hAnsiTheme="majorHAnsi"/>
        </w:rPr>
        <w:t> </w:t>
      </w:r>
      <w:r w:rsidR="00FF7098" w:rsidRPr="006720AE">
        <w:rPr>
          <w:rFonts w:asciiTheme="majorHAnsi" w:hAnsiTheme="majorHAnsi"/>
          <w:b/>
        </w:rPr>
        <w:t>Rusk</w:t>
      </w:r>
      <w:r w:rsidR="0097208E" w:rsidRPr="006720AE">
        <w:rPr>
          <w:rFonts w:asciiTheme="majorHAnsi" w:hAnsiTheme="majorHAnsi"/>
          <w:b/>
        </w:rPr>
        <w:t>a</w:t>
      </w:r>
      <w:r w:rsidRPr="006720AE">
        <w:rPr>
          <w:rFonts w:asciiTheme="majorHAnsi" w:hAnsiTheme="majorHAnsi"/>
        </w:rPr>
        <w:t xml:space="preserve"> (1</w:t>
      </w:r>
      <w:r w:rsidR="00FF7098" w:rsidRPr="006720AE">
        <w:rPr>
          <w:rFonts w:asciiTheme="majorHAnsi" w:hAnsiTheme="majorHAnsi"/>
        </w:rPr>
        <w:t>5</w:t>
      </w:r>
      <w:r w:rsidRPr="006720AE">
        <w:rPr>
          <w:rFonts w:asciiTheme="majorHAnsi" w:hAnsiTheme="majorHAnsi"/>
        </w:rPr>
        <w:t> %)</w:t>
      </w:r>
      <w:r w:rsidR="00123103" w:rsidRPr="006720AE">
        <w:rPr>
          <w:rFonts w:asciiTheme="majorHAnsi" w:hAnsiTheme="majorHAnsi"/>
        </w:rPr>
        <w:t>, Vietnamu (6 %) a </w:t>
      </w:r>
      <w:r w:rsidR="00FF7098" w:rsidRPr="006720AE">
        <w:rPr>
          <w:rFonts w:asciiTheme="majorHAnsi" w:hAnsiTheme="majorHAnsi"/>
        </w:rPr>
        <w:t>Indie (4 %)</w:t>
      </w:r>
      <w:r w:rsidRPr="006720AE">
        <w:rPr>
          <w:rFonts w:asciiTheme="majorHAnsi" w:hAnsiTheme="majorHAnsi"/>
        </w:rPr>
        <w:t>.</w:t>
      </w:r>
    </w:p>
    <w:p w:rsidR="00034E2A" w:rsidRPr="006720AE" w:rsidRDefault="00034E2A" w:rsidP="00A171DE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before="240" w:after="12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</w:rPr>
        <w:lastRenderedPageBreak/>
        <w:t>Žádosti o dlouhodobé vízum</w:t>
      </w:r>
    </w:p>
    <w:p w:rsidR="00034E2A" w:rsidRPr="006720AE" w:rsidRDefault="00034E2A" w:rsidP="00A171DE">
      <w:pPr>
        <w:keepNext/>
        <w:keepLines/>
        <w:widowControl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6720AE">
        <w:rPr>
          <w:rFonts w:asciiTheme="majorHAnsi" w:hAnsiTheme="majorHAnsi"/>
          <w:b/>
          <w:bCs/>
          <w:sz w:val="20"/>
          <w:szCs w:val="20"/>
        </w:rPr>
        <w:t>Žádosti o udělení dlouhodobého víza podané na ZÚ ČR dle účelu pobytu - 201</w:t>
      </w:r>
      <w:r w:rsidR="0070101A" w:rsidRPr="006720AE">
        <w:rPr>
          <w:rFonts w:asciiTheme="majorHAnsi" w:hAnsiTheme="majorHAnsi"/>
          <w:b/>
          <w:bCs/>
          <w:sz w:val="20"/>
          <w:szCs w:val="20"/>
        </w:rPr>
        <w:t>5</w:t>
      </w:r>
    </w:p>
    <w:tbl>
      <w:tblPr>
        <w:tblW w:w="6668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116"/>
        <w:gridCol w:w="1843"/>
        <w:gridCol w:w="709"/>
      </w:tblGrid>
      <w:tr w:rsidR="00034E2A" w:rsidRPr="006720AE" w:rsidTr="00FF7098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2A" w:rsidRPr="006720AE" w:rsidRDefault="00034E2A" w:rsidP="00034E2A">
            <w:pPr>
              <w:keepNext/>
              <w:keepLines/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20AE">
              <w:rPr>
                <w:rFonts w:asciiTheme="majorHAnsi" w:hAnsiTheme="majorHAnsi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2A" w:rsidRPr="006720AE" w:rsidRDefault="00034E2A" w:rsidP="00034E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20AE">
              <w:rPr>
                <w:rFonts w:asciiTheme="majorHAnsi" w:hAnsiTheme="majorHAnsi"/>
                <w:b/>
                <w:bCs/>
                <w:sz w:val="20"/>
                <w:szCs w:val="20"/>
              </w:rPr>
              <w:t>Počet žádostí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2A" w:rsidRPr="006720AE" w:rsidRDefault="00034E2A" w:rsidP="00034E2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720AE">
              <w:rPr>
                <w:rFonts w:asciiTheme="majorHAnsi" w:hAnsiTheme="majorHAnsi"/>
                <w:b/>
                <w:bCs/>
                <w:sz w:val="20"/>
                <w:szCs w:val="20"/>
              </w:rPr>
              <w:t>tj. %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studium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EC2082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 w:rsidR="00034E2A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52</w:t>
            </w:r>
            <w:r w:rsidR="00034E2A"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ostatní vzdělávací aktivity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EC2082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  <w:r w:rsidR="00EC2082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EC2082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15,</w:t>
            </w:r>
            <w:r w:rsidR="00EC2082"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podnikání - OSVČ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5833AE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podnikání </w:t>
            </w:r>
            <w:r w:rsidR="005833AE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–</w:t>
            </w: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33AE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účast v právnické osobě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sloučení rodiny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EC2082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034E2A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jiné (kulturní, sportovní, pozvání, a</w:t>
            </w:r>
            <w:r w:rsidR="005833AE"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t</w:t>
            </w: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d.)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3,8</w:t>
            </w:r>
          </w:p>
        </w:tc>
      </w:tr>
      <w:tr w:rsidR="00034E2A" w:rsidRPr="006720AE" w:rsidTr="00FF7098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Celkový součet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EC2082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color w:val="000000"/>
                <w:sz w:val="20"/>
                <w:szCs w:val="20"/>
              </w:rPr>
              <w:t>14 236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2A" w:rsidRPr="006720AE" w:rsidRDefault="00034E2A" w:rsidP="00034E2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720A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034E2A" w:rsidRPr="006720AE" w:rsidRDefault="00034E2A" w:rsidP="00034E2A">
      <w:pPr>
        <w:keepNext/>
        <w:keepLines/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7A60A9" w:rsidRPr="006720AE" w:rsidRDefault="007A60A9" w:rsidP="007A60A9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b/>
        </w:rPr>
        <w:t>V roce 2015 požádalo o dlouhodobé vízum o necelých 7 % žadatelů více než v roce 2014</w:t>
      </w:r>
      <w:r w:rsidRPr="006720AE">
        <w:rPr>
          <w:rFonts w:asciiTheme="majorHAnsi" w:hAnsiTheme="majorHAnsi"/>
        </w:rPr>
        <w:t xml:space="preserve">. Jako v roce 2014 opět </w:t>
      </w:r>
      <w:r w:rsidRPr="006720AE">
        <w:rPr>
          <w:rFonts w:asciiTheme="majorHAnsi" w:hAnsiTheme="majorHAnsi"/>
          <w:b/>
        </w:rPr>
        <w:t>většinu žádostí tvořily ty za účelem vzdělávacích aktivit</w:t>
      </w:r>
      <w:r w:rsidR="0044184A" w:rsidRPr="006720AE">
        <w:rPr>
          <w:rFonts w:asciiTheme="majorHAnsi" w:hAnsiTheme="majorHAnsi"/>
        </w:rPr>
        <w:t xml:space="preserve"> (studium a </w:t>
      </w:r>
      <w:r w:rsidRPr="006720AE">
        <w:rPr>
          <w:rFonts w:asciiTheme="majorHAnsi" w:hAnsiTheme="majorHAnsi"/>
        </w:rPr>
        <w:t xml:space="preserve">ostatní vzdělávací aktivity). Žádostí za účelem studia bylo téměř 53 % z celkového </w:t>
      </w:r>
      <w:r w:rsidR="00003A96" w:rsidRPr="006720AE">
        <w:rPr>
          <w:rFonts w:asciiTheme="majorHAnsi" w:hAnsiTheme="majorHAnsi"/>
        </w:rPr>
        <w:t xml:space="preserve">počtu žádostí </w:t>
      </w:r>
      <w:r w:rsidR="00081D13" w:rsidRPr="006720AE">
        <w:rPr>
          <w:rFonts w:asciiTheme="majorHAnsi" w:hAnsiTheme="majorHAnsi"/>
        </w:rPr>
        <w:t>o vízum -</w:t>
      </w:r>
      <w:r w:rsidR="00003A96" w:rsidRPr="006720AE">
        <w:rPr>
          <w:rFonts w:asciiTheme="majorHAnsi" w:hAnsiTheme="majorHAnsi"/>
        </w:rPr>
        <w:t> </w:t>
      </w:r>
      <w:r w:rsidRPr="006720AE">
        <w:rPr>
          <w:rFonts w:asciiTheme="majorHAnsi" w:hAnsiTheme="majorHAnsi"/>
        </w:rPr>
        <w:t>v absolutním počtu jich bylo o cca 900 více než v loňském roce</w:t>
      </w:r>
      <w:r w:rsidR="00003A96" w:rsidRPr="006720AE">
        <w:rPr>
          <w:rFonts w:asciiTheme="majorHAnsi" w:hAnsiTheme="majorHAnsi"/>
        </w:rPr>
        <w:t xml:space="preserve">. Absolutní nárůst </w:t>
      </w:r>
      <w:r w:rsidR="00652756" w:rsidRPr="006720AE">
        <w:rPr>
          <w:rFonts w:asciiTheme="majorHAnsi" w:hAnsiTheme="majorHAnsi"/>
        </w:rPr>
        <w:t xml:space="preserve">oproti 2014 </w:t>
      </w:r>
      <w:r w:rsidR="00003A96" w:rsidRPr="006720AE">
        <w:rPr>
          <w:rFonts w:asciiTheme="majorHAnsi" w:hAnsiTheme="majorHAnsi"/>
        </w:rPr>
        <w:t>zaznamenaly všechny nejčastější účely uvedené v horní tabulce.</w:t>
      </w:r>
    </w:p>
    <w:p w:rsidR="0036553A" w:rsidRPr="006720AE" w:rsidRDefault="007A60A9" w:rsidP="00B14164">
      <w:pPr>
        <w:keepNext/>
        <w:keepLines/>
        <w:widowControl w:val="0"/>
        <w:tabs>
          <w:tab w:val="left" w:pos="142"/>
          <w:tab w:val="left" w:pos="709"/>
          <w:tab w:val="left" w:pos="851"/>
          <w:tab w:val="left" w:pos="1701"/>
          <w:tab w:val="left" w:pos="2552"/>
        </w:tabs>
        <w:spacing w:after="0" w:line="240" w:lineRule="auto"/>
        <w:ind w:left="142"/>
        <w:jc w:val="both"/>
        <w:rPr>
          <w:rFonts w:asciiTheme="majorHAnsi" w:hAnsiTheme="majorHAnsi" w:cs="Arial"/>
          <w:b/>
          <w:sz w:val="20"/>
          <w:szCs w:val="20"/>
        </w:rPr>
      </w:pPr>
      <w:r w:rsidRPr="006720AE">
        <w:rPr>
          <w:rFonts w:asciiTheme="majorHAnsi" w:hAnsiTheme="majorHAnsi" w:cs="Arial"/>
          <w:b/>
          <w:sz w:val="20"/>
          <w:szCs w:val="20"/>
        </w:rPr>
        <w:t>Žádosti o udělení dlouhodobého víza podané na ZÚ ČR dle státní příslušnosti</w:t>
      </w:r>
      <w:r w:rsidR="0036553A" w:rsidRPr="006720AE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7A60A9" w:rsidRPr="006720AE" w:rsidRDefault="0036553A" w:rsidP="00B14164">
      <w:pPr>
        <w:keepNext/>
        <w:keepLines/>
        <w:widowControl w:val="0"/>
        <w:tabs>
          <w:tab w:val="left" w:pos="142"/>
          <w:tab w:val="left" w:pos="709"/>
          <w:tab w:val="left" w:pos="851"/>
          <w:tab w:val="left" w:pos="1701"/>
          <w:tab w:val="left" w:pos="2552"/>
        </w:tabs>
        <w:spacing w:after="120" w:line="240" w:lineRule="auto"/>
        <w:ind w:left="142"/>
        <w:jc w:val="both"/>
        <w:rPr>
          <w:rFonts w:asciiTheme="majorHAnsi" w:hAnsiTheme="majorHAnsi" w:cs="Arial"/>
          <w:b/>
          <w:sz w:val="20"/>
          <w:szCs w:val="20"/>
        </w:rPr>
      </w:pPr>
      <w:r w:rsidRPr="006720AE">
        <w:rPr>
          <w:rFonts w:asciiTheme="majorHAnsi" w:hAnsiTheme="majorHAnsi" w:cs="Arial"/>
          <w:b/>
          <w:sz w:val="20"/>
          <w:szCs w:val="20"/>
        </w:rPr>
        <w:t>– porovnání let 2014 a 2015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67"/>
      </w:tblGrid>
      <w:tr w:rsidR="0070101A" w:rsidRPr="006720AE" w:rsidTr="00FF7098">
        <w:trPr>
          <w:trHeight w:val="255"/>
          <w:jc w:val="center"/>
        </w:trPr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01A" w:rsidRPr="006720AE" w:rsidRDefault="008364E4" w:rsidP="00392CD0">
            <w:pPr>
              <w:keepNext/>
              <w:keepLines/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720AE">
              <w:rPr>
                <w:rFonts w:asciiTheme="majorHAnsi" w:hAnsiTheme="majorHAnsi"/>
                <w:noProof/>
                <w:sz w:val="18"/>
                <w:szCs w:val="18"/>
                <w:lang w:eastAsia="cs-CZ"/>
              </w:rPr>
              <w:t xml:space="preserve"> </w:t>
            </w:r>
            <w:r w:rsidR="007A60A9" w:rsidRPr="006720AE">
              <w:rPr>
                <w:rFonts w:asciiTheme="majorHAnsi" w:hAnsiTheme="majorHAnsi"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5638800" cy="28194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388" cy="28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60A9" w:rsidRPr="006720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0101A" w:rsidRPr="006720AE">
              <w:rPr>
                <w:rFonts w:asciiTheme="majorHAnsi" w:hAnsiTheme="majorHAnsi"/>
                <w:sz w:val="18"/>
                <w:szCs w:val="18"/>
              </w:rPr>
              <w:t>Zdroj: IS CIS</w:t>
            </w:r>
          </w:p>
        </w:tc>
      </w:tr>
    </w:tbl>
    <w:p w:rsidR="0070101A" w:rsidRPr="006720AE" w:rsidRDefault="0070101A" w:rsidP="00034E2A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</w:rPr>
      </w:pPr>
    </w:p>
    <w:p w:rsidR="00003A96" w:rsidRPr="006720AE" w:rsidRDefault="00081D13" w:rsidP="00003A96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Všech </w:t>
      </w:r>
      <w:r w:rsidR="00003A96" w:rsidRPr="006720AE">
        <w:rPr>
          <w:rFonts w:asciiTheme="majorHAnsi" w:hAnsiTheme="majorHAnsi"/>
        </w:rPr>
        <w:t>TOP 10 státní</w:t>
      </w:r>
      <w:r w:rsidR="00B241AB" w:rsidRPr="006720AE">
        <w:rPr>
          <w:rFonts w:asciiTheme="majorHAnsi" w:hAnsiTheme="majorHAnsi"/>
        </w:rPr>
        <w:t>ch</w:t>
      </w:r>
      <w:r w:rsidR="00003A96" w:rsidRPr="006720AE">
        <w:rPr>
          <w:rFonts w:asciiTheme="majorHAnsi" w:hAnsiTheme="majorHAnsi"/>
        </w:rPr>
        <w:t xml:space="preserve"> příslušnost</w:t>
      </w:r>
      <w:r w:rsidR="00B241AB" w:rsidRPr="006720AE">
        <w:rPr>
          <w:rFonts w:asciiTheme="majorHAnsi" w:hAnsiTheme="majorHAnsi"/>
        </w:rPr>
        <w:t>í</w:t>
      </w:r>
      <w:r w:rsidR="00003A96" w:rsidRPr="006720AE">
        <w:rPr>
          <w:rFonts w:asciiTheme="majorHAnsi" w:hAnsiTheme="majorHAnsi"/>
        </w:rPr>
        <w:t xml:space="preserve"> v roce 2015, s výjimkou občanů Rusk</w:t>
      </w:r>
      <w:r w:rsidR="005833AE" w:rsidRPr="006720AE">
        <w:rPr>
          <w:rFonts w:asciiTheme="majorHAnsi" w:hAnsiTheme="majorHAnsi"/>
        </w:rPr>
        <w:t>a</w:t>
      </w:r>
      <w:r w:rsidR="00003A96" w:rsidRPr="006720AE">
        <w:rPr>
          <w:rFonts w:asciiTheme="majorHAnsi" w:hAnsiTheme="majorHAnsi"/>
        </w:rPr>
        <w:t>, zaznamenal</w:t>
      </w:r>
      <w:r w:rsidR="00744310" w:rsidRPr="006720AE">
        <w:rPr>
          <w:rFonts w:asciiTheme="majorHAnsi" w:hAnsiTheme="majorHAnsi"/>
        </w:rPr>
        <w:t>o</w:t>
      </w:r>
      <w:r w:rsidR="00003A96" w:rsidRPr="006720AE">
        <w:rPr>
          <w:rFonts w:asciiTheme="majorHAnsi" w:hAnsiTheme="majorHAnsi"/>
        </w:rPr>
        <w:t xml:space="preserve"> oproti roku 2014 nárůst žádostí o dlouhodobé vízum. Občanů Rusk</w:t>
      </w:r>
      <w:r w:rsidR="005833AE" w:rsidRPr="006720AE">
        <w:rPr>
          <w:rFonts w:asciiTheme="majorHAnsi" w:hAnsiTheme="majorHAnsi"/>
        </w:rPr>
        <w:t>a</w:t>
      </w:r>
      <w:r w:rsidR="00003A96" w:rsidRPr="006720AE">
        <w:rPr>
          <w:rFonts w:asciiTheme="majorHAnsi" w:hAnsiTheme="majorHAnsi"/>
        </w:rPr>
        <w:t xml:space="preserve"> požádalo cca o pětinu méně než v roce 2014. </w:t>
      </w:r>
    </w:p>
    <w:p w:rsidR="00034E2A" w:rsidRPr="006720AE" w:rsidRDefault="00034E2A" w:rsidP="00081D13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before="240" w:after="12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</w:rPr>
        <w:lastRenderedPageBreak/>
        <w:t>Žádosti o povolení k dlouhodobému pobytu</w:t>
      </w:r>
    </w:p>
    <w:p w:rsidR="0070101A" w:rsidRPr="006720AE" w:rsidRDefault="0070101A" w:rsidP="0044184A">
      <w:pPr>
        <w:keepNext/>
        <w:keepLines/>
        <w:widowControl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6720AE">
        <w:rPr>
          <w:rFonts w:asciiTheme="majorHAnsi" w:hAnsiTheme="majorHAnsi"/>
          <w:b/>
          <w:bCs/>
          <w:sz w:val="20"/>
          <w:szCs w:val="20"/>
        </w:rPr>
        <w:t>Žádosti o udělení povolení k dlouhodobému pobytu podané na ZÚ ČR dle účelu pobytu - 2015</w:t>
      </w: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1600"/>
        <w:gridCol w:w="960"/>
      </w:tblGrid>
      <w:tr w:rsidR="0036553A" w:rsidRPr="006720AE" w:rsidTr="0036553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žádostí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tj. %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24,2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zaměstnanecká karta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4 733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57,4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modrá karta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1,0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sloučení rodiny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15,7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výzkum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44184A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1,7</w:t>
            </w:r>
          </w:p>
        </w:tc>
      </w:tr>
      <w:tr w:rsidR="0036553A" w:rsidRPr="006720AE" w:rsidTr="003655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2F733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2F733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8 247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3A" w:rsidRPr="006720AE" w:rsidRDefault="0036553A" w:rsidP="002F733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:rsidR="0070101A" w:rsidRPr="006720AE" w:rsidRDefault="0070101A" w:rsidP="002F7330">
      <w:pPr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36553A" w:rsidRPr="006720AE" w:rsidRDefault="0036553A" w:rsidP="002F7330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V roce 2015 požádalo </w:t>
      </w:r>
      <w:r w:rsidRPr="006720AE">
        <w:rPr>
          <w:rFonts w:asciiTheme="majorHAnsi" w:hAnsiTheme="majorHAnsi"/>
          <w:b/>
        </w:rPr>
        <w:t>o </w:t>
      </w:r>
      <w:r w:rsidR="00790517" w:rsidRPr="006720AE">
        <w:rPr>
          <w:rFonts w:asciiTheme="majorHAnsi" w:hAnsiTheme="majorHAnsi"/>
          <w:b/>
        </w:rPr>
        <w:t>povolení k </w:t>
      </w:r>
      <w:r w:rsidRPr="006720AE">
        <w:rPr>
          <w:rFonts w:asciiTheme="majorHAnsi" w:hAnsiTheme="majorHAnsi"/>
          <w:b/>
        </w:rPr>
        <w:t>dlouhodobé</w:t>
      </w:r>
      <w:r w:rsidR="00790517" w:rsidRPr="006720AE">
        <w:rPr>
          <w:rFonts w:asciiTheme="majorHAnsi" w:hAnsiTheme="majorHAnsi"/>
          <w:b/>
        </w:rPr>
        <w:t>mu</w:t>
      </w:r>
      <w:r w:rsidRPr="006720AE">
        <w:rPr>
          <w:rFonts w:asciiTheme="majorHAnsi" w:hAnsiTheme="majorHAnsi"/>
          <w:b/>
        </w:rPr>
        <w:t xml:space="preserve"> </w:t>
      </w:r>
      <w:r w:rsidR="00790517" w:rsidRPr="006720AE">
        <w:rPr>
          <w:rFonts w:asciiTheme="majorHAnsi" w:hAnsiTheme="majorHAnsi"/>
          <w:b/>
        </w:rPr>
        <w:t>pobytu</w:t>
      </w:r>
      <w:r w:rsidRPr="006720AE">
        <w:rPr>
          <w:rFonts w:asciiTheme="majorHAnsi" w:hAnsiTheme="majorHAnsi"/>
          <w:b/>
        </w:rPr>
        <w:t xml:space="preserve"> o </w:t>
      </w:r>
      <w:r w:rsidR="00790517" w:rsidRPr="006720AE">
        <w:rPr>
          <w:rFonts w:asciiTheme="majorHAnsi" w:hAnsiTheme="majorHAnsi"/>
          <w:b/>
        </w:rPr>
        <w:t>více než</w:t>
      </w:r>
      <w:r w:rsidRPr="006720AE">
        <w:rPr>
          <w:rFonts w:asciiTheme="majorHAnsi" w:hAnsiTheme="majorHAnsi"/>
          <w:b/>
        </w:rPr>
        <w:t xml:space="preserve"> </w:t>
      </w:r>
      <w:r w:rsidR="00790517" w:rsidRPr="006720AE">
        <w:rPr>
          <w:rFonts w:asciiTheme="majorHAnsi" w:hAnsiTheme="majorHAnsi"/>
          <w:b/>
        </w:rPr>
        <w:t>55</w:t>
      </w:r>
      <w:r w:rsidRPr="006720AE">
        <w:rPr>
          <w:rFonts w:asciiTheme="majorHAnsi" w:hAnsiTheme="majorHAnsi"/>
          <w:b/>
        </w:rPr>
        <w:t> % žadatelů více než v roce 2014</w:t>
      </w:r>
      <w:r w:rsidRPr="006720AE">
        <w:rPr>
          <w:rFonts w:asciiTheme="majorHAnsi" w:hAnsiTheme="majorHAnsi"/>
        </w:rPr>
        <w:t xml:space="preserve">. </w:t>
      </w:r>
      <w:r w:rsidR="00790517" w:rsidRPr="006720AE">
        <w:rPr>
          <w:rFonts w:asciiTheme="majorHAnsi" w:hAnsiTheme="majorHAnsi"/>
        </w:rPr>
        <w:t xml:space="preserve">Zatímco počty žadatelů o studijní, výzkumné a rodinné pobyty zhruba </w:t>
      </w:r>
      <w:r w:rsidR="00081D13" w:rsidRPr="006720AE">
        <w:rPr>
          <w:rFonts w:asciiTheme="majorHAnsi" w:hAnsiTheme="majorHAnsi"/>
        </w:rPr>
        <w:t>korespondu</w:t>
      </w:r>
      <w:r w:rsidR="00790517" w:rsidRPr="006720AE">
        <w:rPr>
          <w:rFonts w:asciiTheme="majorHAnsi" w:hAnsiTheme="majorHAnsi"/>
        </w:rPr>
        <w:t xml:space="preserve">jí </w:t>
      </w:r>
      <w:r w:rsidR="00081D13" w:rsidRPr="006720AE">
        <w:rPr>
          <w:rFonts w:asciiTheme="majorHAnsi" w:hAnsiTheme="majorHAnsi"/>
        </w:rPr>
        <w:t>s </w:t>
      </w:r>
      <w:r w:rsidR="00790517" w:rsidRPr="006720AE">
        <w:rPr>
          <w:rFonts w:asciiTheme="majorHAnsi" w:hAnsiTheme="majorHAnsi"/>
        </w:rPr>
        <w:t>počt</w:t>
      </w:r>
      <w:r w:rsidR="00081D13" w:rsidRPr="006720AE">
        <w:rPr>
          <w:rFonts w:asciiTheme="majorHAnsi" w:hAnsiTheme="majorHAnsi"/>
        </w:rPr>
        <w:t>y žádostí</w:t>
      </w:r>
      <w:r w:rsidR="00790517" w:rsidRPr="006720AE">
        <w:rPr>
          <w:rFonts w:asciiTheme="majorHAnsi" w:hAnsiTheme="majorHAnsi"/>
        </w:rPr>
        <w:t xml:space="preserve"> v roce 2014, v roce 2015 došlo </w:t>
      </w:r>
      <w:r w:rsidR="00790517" w:rsidRPr="006720AE">
        <w:rPr>
          <w:rFonts w:asciiTheme="majorHAnsi" w:hAnsiTheme="majorHAnsi"/>
          <w:b/>
        </w:rPr>
        <w:t>k</w:t>
      </w:r>
      <w:r w:rsidR="0044184A" w:rsidRPr="006720AE">
        <w:rPr>
          <w:rFonts w:asciiTheme="majorHAnsi" w:hAnsiTheme="majorHAnsi"/>
          <w:b/>
        </w:rPr>
        <w:t>e</w:t>
      </w:r>
      <w:r w:rsidR="00790517" w:rsidRPr="006720AE">
        <w:rPr>
          <w:rFonts w:asciiTheme="majorHAnsi" w:hAnsiTheme="majorHAnsi"/>
          <w:b/>
        </w:rPr>
        <w:t> zvýšení zájmu o </w:t>
      </w:r>
      <w:r w:rsidR="00B80D72" w:rsidRPr="006720AE">
        <w:rPr>
          <w:rFonts w:asciiTheme="majorHAnsi" w:hAnsiTheme="majorHAnsi"/>
          <w:b/>
        </w:rPr>
        <w:t xml:space="preserve">zaměstnání v ČR, </w:t>
      </w:r>
      <w:r w:rsidR="00744310" w:rsidRPr="006720AE">
        <w:rPr>
          <w:rFonts w:asciiTheme="majorHAnsi" w:hAnsiTheme="majorHAnsi"/>
          <w:b/>
        </w:rPr>
        <w:t>zejména</w:t>
      </w:r>
      <w:r w:rsidR="00B80D72" w:rsidRPr="006720AE">
        <w:rPr>
          <w:rFonts w:asciiTheme="majorHAnsi" w:hAnsiTheme="majorHAnsi"/>
          <w:b/>
        </w:rPr>
        <w:t xml:space="preserve"> o </w:t>
      </w:r>
      <w:r w:rsidR="00790517" w:rsidRPr="006720AE">
        <w:rPr>
          <w:rFonts w:asciiTheme="majorHAnsi" w:hAnsiTheme="majorHAnsi"/>
          <w:b/>
        </w:rPr>
        <w:t>zaměstnaneckou kartu</w:t>
      </w:r>
      <w:r w:rsidR="00790517" w:rsidRPr="006720AE">
        <w:rPr>
          <w:rFonts w:asciiTheme="majorHAnsi" w:hAnsiTheme="majorHAnsi"/>
        </w:rPr>
        <w:t xml:space="preserve">, která </w:t>
      </w:r>
      <w:r w:rsidR="0044184A" w:rsidRPr="006720AE">
        <w:rPr>
          <w:rFonts w:asciiTheme="majorHAnsi" w:hAnsiTheme="majorHAnsi"/>
        </w:rPr>
        <w:t xml:space="preserve">v roce 2015 </w:t>
      </w:r>
      <w:r w:rsidR="00790517" w:rsidRPr="006720AE">
        <w:rPr>
          <w:rFonts w:asciiTheme="majorHAnsi" w:hAnsiTheme="majorHAnsi"/>
        </w:rPr>
        <w:t>tvoř</w:t>
      </w:r>
      <w:r w:rsidR="0044184A" w:rsidRPr="006720AE">
        <w:rPr>
          <w:rFonts w:asciiTheme="majorHAnsi" w:hAnsiTheme="majorHAnsi"/>
        </w:rPr>
        <w:t>ila</w:t>
      </w:r>
      <w:r w:rsidR="00790517" w:rsidRPr="006720AE">
        <w:rPr>
          <w:rFonts w:asciiTheme="majorHAnsi" w:hAnsiTheme="majorHAnsi"/>
        </w:rPr>
        <w:t xml:space="preserve"> cca 57 % z celkového počtu žádostí</w:t>
      </w:r>
      <w:r w:rsidRPr="006720AE">
        <w:rPr>
          <w:rFonts w:asciiTheme="majorHAnsi" w:hAnsiTheme="majorHAnsi"/>
        </w:rPr>
        <w:t>.</w:t>
      </w:r>
      <w:r w:rsidR="00790517" w:rsidRPr="006720AE">
        <w:rPr>
          <w:rFonts w:asciiTheme="majorHAnsi" w:hAnsiTheme="majorHAnsi"/>
        </w:rPr>
        <w:t xml:space="preserve"> T</w:t>
      </w:r>
      <w:r w:rsidR="009D5827" w:rsidRPr="006720AE">
        <w:rPr>
          <w:rFonts w:asciiTheme="majorHAnsi" w:hAnsiTheme="majorHAnsi"/>
        </w:rPr>
        <w:t>ent</w:t>
      </w:r>
      <w:r w:rsidR="00790517" w:rsidRPr="006720AE">
        <w:rPr>
          <w:rFonts w:asciiTheme="majorHAnsi" w:hAnsiTheme="majorHAnsi"/>
        </w:rPr>
        <w:t xml:space="preserve">o </w:t>
      </w:r>
      <w:r w:rsidR="009D5827" w:rsidRPr="006720AE">
        <w:rPr>
          <w:rFonts w:asciiTheme="majorHAnsi" w:hAnsiTheme="majorHAnsi"/>
        </w:rPr>
        <w:t>nárůst</w:t>
      </w:r>
      <w:r w:rsidR="00790517" w:rsidRPr="006720AE">
        <w:rPr>
          <w:rFonts w:asciiTheme="majorHAnsi" w:hAnsiTheme="majorHAnsi"/>
        </w:rPr>
        <w:t xml:space="preserve"> lze pouze zčásti odůvodnit tím, že </w:t>
      </w:r>
      <w:r w:rsidR="00B80D72" w:rsidRPr="006720AE">
        <w:rPr>
          <w:rFonts w:asciiTheme="majorHAnsi" w:hAnsiTheme="majorHAnsi"/>
        </w:rPr>
        <w:t>o </w:t>
      </w:r>
      <w:r w:rsidR="00790517" w:rsidRPr="006720AE">
        <w:rPr>
          <w:rFonts w:asciiTheme="majorHAnsi" w:hAnsiTheme="majorHAnsi"/>
        </w:rPr>
        <w:t>zaměstnaneck</w:t>
      </w:r>
      <w:r w:rsidR="00B80D72" w:rsidRPr="006720AE">
        <w:rPr>
          <w:rFonts w:asciiTheme="majorHAnsi" w:hAnsiTheme="majorHAnsi"/>
        </w:rPr>
        <w:t>ou</w:t>
      </w:r>
      <w:r w:rsidR="00790517" w:rsidRPr="006720AE">
        <w:rPr>
          <w:rFonts w:asciiTheme="majorHAnsi" w:hAnsiTheme="majorHAnsi"/>
        </w:rPr>
        <w:t xml:space="preserve"> kart</w:t>
      </w:r>
      <w:r w:rsidR="00B80D72" w:rsidRPr="006720AE">
        <w:rPr>
          <w:rFonts w:asciiTheme="majorHAnsi" w:hAnsiTheme="majorHAnsi"/>
        </w:rPr>
        <w:t>u lze žádat</w:t>
      </w:r>
      <w:r w:rsidR="006B7158" w:rsidRPr="006720AE">
        <w:rPr>
          <w:rFonts w:asciiTheme="majorHAnsi" w:hAnsiTheme="majorHAnsi"/>
        </w:rPr>
        <w:t xml:space="preserve"> až od </w:t>
      </w:r>
      <w:r w:rsidR="00790517" w:rsidRPr="006720AE">
        <w:rPr>
          <w:rFonts w:asciiTheme="majorHAnsi" w:hAnsiTheme="majorHAnsi"/>
        </w:rPr>
        <w:t>poloviny roku 2014</w:t>
      </w:r>
      <w:r w:rsidR="009D5827" w:rsidRPr="006720AE">
        <w:rPr>
          <w:rFonts w:asciiTheme="majorHAnsi" w:hAnsiTheme="majorHAnsi"/>
        </w:rPr>
        <w:t xml:space="preserve">, protože </w:t>
      </w:r>
      <w:r w:rsidR="00B80D72" w:rsidRPr="006720AE">
        <w:rPr>
          <w:rFonts w:asciiTheme="majorHAnsi" w:hAnsiTheme="majorHAnsi"/>
        </w:rPr>
        <w:t>za </w:t>
      </w:r>
      <w:r w:rsidR="00790517" w:rsidRPr="006720AE">
        <w:rPr>
          <w:rFonts w:asciiTheme="majorHAnsi" w:hAnsiTheme="majorHAnsi"/>
        </w:rPr>
        <w:t>celý rok 2014 byl</w:t>
      </w:r>
      <w:r w:rsidR="009D5827" w:rsidRPr="006720AE">
        <w:rPr>
          <w:rFonts w:asciiTheme="majorHAnsi" w:hAnsiTheme="majorHAnsi"/>
        </w:rPr>
        <w:t>y</w:t>
      </w:r>
      <w:r w:rsidR="00790517" w:rsidRPr="006720AE">
        <w:rPr>
          <w:rFonts w:asciiTheme="majorHAnsi" w:hAnsiTheme="majorHAnsi"/>
        </w:rPr>
        <w:t xml:space="preserve"> </w:t>
      </w:r>
      <w:r w:rsidR="009D5827" w:rsidRPr="006720AE">
        <w:rPr>
          <w:rFonts w:asciiTheme="majorHAnsi" w:hAnsiTheme="majorHAnsi"/>
        </w:rPr>
        <w:t xml:space="preserve">sice </w:t>
      </w:r>
      <w:r w:rsidR="00790517" w:rsidRPr="006720AE">
        <w:rPr>
          <w:rFonts w:asciiTheme="majorHAnsi" w:hAnsiTheme="majorHAnsi"/>
        </w:rPr>
        <w:t>podán</w:t>
      </w:r>
      <w:r w:rsidR="009D5827" w:rsidRPr="006720AE">
        <w:rPr>
          <w:rFonts w:asciiTheme="majorHAnsi" w:hAnsiTheme="majorHAnsi"/>
        </w:rPr>
        <w:t>y</w:t>
      </w:r>
      <w:r w:rsidR="00790517" w:rsidRPr="006720AE">
        <w:rPr>
          <w:rFonts w:asciiTheme="majorHAnsi" w:hAnsiTheme="majorHAnsi"/>
        </w:rPr>
        <w:t xml:space="preserve"> </w:t>
      </w:r>
      <w:r w:rsidR="009D5827" w:rsidRPr="006720AE">
        <w:rPr>
          <w:rFonts w:asciiTheme="majorHAnsi" w:hAnsiTheme="majorHAnsi"/>
        </w:rPr>
        <w:t>pouze necelé 2 tisíce žádostí o zaměstnaneckou kartu</w:t>
      </w:r>
      <w:r w:rsidR="00744310" w:rsidRPr="006720AE">
        <w:rPr>
          <w:rFonts w:asciiTheme="majorHAnsi" w:hAnsiTheme="majorHAnsi"/>
        </w:rPr>
        <w:t xml:space="preserve"> (včetně žádostí o zelenou kartu, kterou zaměstnanecká karta nahradila)</w:t>
      </w:r>
      <w:r w:rsidR="006B7158" w:rsidRPr="006720AE">
        <w:rPr>
          <w:rFonts w:asciiTheme="majorHAnsi" w:hAnsiTheme="majorHAnsi"/>
        </w:rPr>
        <w:t>,</w:t>
      </w:r>
      <w:r w:rsidR="009D5827" w:rsidRPr="006720AE">
        <w:rPr>
          <w:rFonts w:asciiTheme="majorHAnsi" w:hAnsiTheme="majorHAnsi"/>
        </w:rPr>
        <w:t xml:space="preserve"> a</w:t>
      </w:r>
      <w:r w:rsidR="006B7158" w:rsidRPr="006720AE">
        <w:rPr>
          <w:rFonts w:asciiTheme="majorHAnsi" w:hAnsiTheme="majorHAnsi"/>
        </w:rPr>
        <w:t xml:space="preserve">le k tomuto množství je </w:t>
      </w:r>
      <w:r w:rsidR="00FD28DB" w:rsidRPr="006720AE">
        <w:rPr>
          <w:rFonts w:asciiTheme="majorHAnsi" w:hAnsiTheme="majorHAnsi"/>
        </w:rPr>
        <w:t xml:space="preserve">nutné </w:t>
      </w:r>
      <w:r w:rsidR="006B7158" w:rsidRPr="006720AE">
        <w:rPr>
          <w:rFonts w:asciiTheme="majorHAnsi" w:hAnsiTheme="majorHAnsi"/>
        </w:rPr>
        <w:t>připočítat</w:t>
      </w:r>
      <w:r w:rsidR="009D5827" w:rsidRPr="006720AE">
        <w:rPr>
          <w:rFonts w:asciiTheme="majorHAnsi" w:hAnsiTheme="majorHAnsi"/>
        </w:rPr>
        <w:t xml:space="preserve"> </w:t>
      </w:r>
      <w:r w:rsidR="00790517" w:rsidRPr="006720AE">
        <w:rPr>
          <w:rFonts w:asciiTheme="majorHAnsi" w:hAnsiTheme="majorHAnsi"/>
        </w:rPr>
        <w:t xml:space="preserve">cca 1 tisíc žádostí </w:t>
      </w:r>
      <w:r w:rsidR="00B80D72" w:rsidRPr="006720AE">
        <w:rPr>
          <w:rFonts w:asciiTheme="majorHAnsi" w:hAnsiTheme="majorHAnsi"/>
        </w:rPr>
        <w:t xml:space="preserve">o dlouhodobé vízum </w:t>
      </w:r>
      <w:r w:rsidR="00790517" w:rsidRPr="006720AE">
        <w:rPr>
          <w:rFonts w:asciiTheme="majorHAnsi" w:hAnsiTheme="majorHAnsi"/>
        </w:rPr>
        <w:t>za účelem zaměstnání</w:t>
      </w:r>
      <w:r w:rsidR="00744310" w:rsidRPr="006720AE">
        <w:rPr>
          <w:rFonts w:asciiTheme="majorHAnsi" w:hAnsiTheme="majorHAnsi"/>
        </w:rPr>
        <w:t>.</w:t>
      </w:r>
      <w:r w:rsidR="006B7158" w:rsidRPr="006720AE">
        <w:rPr>
          <w:rFonts w:asciiTheme="majorHAnsi" w:hAnsiTheme="majorHAnsi"/>
        </w:rPr>
        <w:t xml:space="preserve"> </w:t>
      </w:r>
      <w:r w:rsidR="00744310" w:rsidRPr="006720AE">
        <w:rPr>
          <w:rFonts w:asciiTheme="majorHAnsi" w:hAnsiTheme="majorHAnsi"/>
        </w:rPr>
        <w:t>S</w:t>
      </w:r>
      <w:r w:rsidR="009D5827" w:rsidRPr="006720AE">
        <w:rPr>
          <w:rFonts w:asciiTheme="majorHAnsi" w:hAnsiTheme="majorHAnsi"/>
        </w:rPr>
        <w:t xml:space="preserve">oučet </w:t>
      </w:r>
      <w:r w:rsidR="00652756" w:rsidRPr="006720AE">
        <w:rPr>
          <w:rFonts w:asciiTheme="majorHAnsi" w:hAnsiTheme="majorHAnsi"/>
        </w:rPr>
        <w:t xml:space="preserve">obou </w:t>
      </w:r>
      <w:r w:rsidR="009D5827" w:rsidRPr="006720AE">
        <w:rPr>
          <w:rFonts w:asciiTheme="majorHAnsi" w:hAnsiTheme="majorHAnsi"/>
        </w:rPr>
        <w:t xml:space="preserve">těchto </w:t>
      </w:r>
      <w:r w:rsidR="00652756" w:rsidRPr="006720AE">
        <w:rPr>
          <w:rFonts w:asciiTheme="majorHAnsi" w:hAnsiTheme="majorHAnsi"/>
        </w:rPr>
        <w:t xml:space="preserve">typů </w:t>
      </w:r>
      <w:r w:rsidR="009D5827" w:rsidRPr="006720AE">
        <w:rPr>
          <w:rFonts w:asciiTheme="majorHAnsi" w:hAnsiTheme="majorHAnsi"/>
        </w:rPr>
        <w:t xml:space="preserve">žádostí je </w:t>
      </w:r>
      <w:r w:rsidR="006B7158" w:rsidRPr="006720AE">
        <w:rPr>
          <w:rFonts w:asciiTheme="majorHAnsi" w:hAnsiTheme="majorHAnsi"/>
        </w:rPr>
        <w:t xml:space="preserve">však stále </w:t>
      </w:r>
      <w:r w:rsidR="00652756" w:rsidRPr="006720AE">
        <w:rPr>
          <w:rFonts w:asciiTheme="majorHAnsi" w:hAnsiTheme="majorHAnsi"/>
        </w:rPr>
        <w:t>o</w:t>
      </w:r>
      <w:r w:rsidR="00B80D72" w:rsidRPr="006720AE">
        <w:rPr>
          <w:rFonts w:asciiTheme="majorHAnsi" w:hAnsiTheme="majorHAnsi"/>
        </w:rPr>
        <w:t xml:space="preserve"> cca 1 700 žádostí </w:t>
      </w:r>
      <w:r w:rsidR="00652756" w:rsidRPr="006720AE">
        <w:rPr>
          <w:rFonts w:asciiTheme="majorHAnsi" w:hAnsiTheme="majorHAnsi"/>
        </w:rPr>
        <w:t xml:space="preserve">nižší než počet žádostí </w:t>
      </w:r>
      <w:r w:rsidR="00744310" w:rsidRPr="006720AE">
        <w:rPr>
          <w:rFonts w:asciiTheme="majorHAnsi" w:hAnsiTheme="majorHAnsi"/>
        </w:rPr>
        <w:t>o </w:t>
      </w:r>
      <w:r w:rsidR="00571920" w:rsidRPr="006720AE">
        <w:rPr>
          <w:rFonts w:asciiTheme="majorHAnsi" w:hAnsiTheme="majorHAnsi"/>
        </w:rPr>
        <w:t xml:space="preserve">zaměstnaneckou kartu </w:t>
      </w:r>
      <w:r w:rsidR="00B80D72" w:rsidRPr="006720AE">
        <w:rPr>
          <w:rFonts w:asciiTheme="majorHAnsi" w:hAnsiTheme="majorHAnsi"/>
        </w:rPr>
        <w:t>v roce 2015.</w:t>
      </w:r>
    </w:p>
    <w:p w:rsidR="0036553A" w:rsidRPr="006720AE" w:rsidRDefault="0036553A" w:rsidP="00A82365">
      <w:pPr>
        <w:keepNext/>
        <w:keepLines/>
        <w:widowControl w:val="0"/>
        <w:tabs>
          <w:tab w:val="left" w:pos="142"/>
          <w:tab w:val="left" w:pos="709"/>
          <w:tab w:val="left" w:pos="851"/>
          <w:tab w:val="left" w:pos="1701"/>
          <w:tab w:val="left" w:pos="2552"/>
        </w:tabs>
        <w:spacing w:after="0" w:line="240" w:lineRule="auto"/>
        <w:ind w:left="142"/>
        <w:jc w:val="both"/>
        <w:rPr>
          <w:rFonts w:asciiTheme="majorHAnsi" w:hAnsiTheme="majorHAnsi" w:cs="Arial"/>
          <w:b/>
          <w:sz w:val="20"/>
          <w:szCs w:val="20"/>
        </w:rPr>
      </w:pPr>
      <w:r w:rsidRPr="006720AE">
        <w:rPr>
          <w:rFonts w:asciiTheme="majorHAnsi" w:hAnsiTheme="majorHAnsi" w:cs="Arial"/>
          <w:b/>
          <w:sz w:val="20"/>
          <w:szCs w:val="20"/>
        </w:rPr>
        <w:t xml:space="preserve">Žádosti o udělení </w:t>
      </w:r>
      <w:r w:rsidRPr="006720AE">
        <w:rPr>
          <w:rFonts w:asciiTheme="majorHAnsi" w:hAnsiTheme="majorHAnsi"/>
          <w:b/>
          <w:bCs/>
          <w:sz w:val="20"/>
          <w:szCs w:val="20"/>
        </w:rPr>
        <w:t xml:space="preserve">povolení k dlouhodobému pobytu </w:t>
      </w:r>
      <w:r w:rsidRPr="006720AE">
        <w:rPr>
          <w:rFonts w:asciiTheme="majorHAnsi" w:hAnsiTheme="majorHAnsi" w:cs="Arial"/>
          <w:b/>
          <w:sz w:val="20"/>
          <w:szCs w:val="20"/>
        </w:rPr>
        <w:t xml:space="preserve">podané na ZÚ ČR dle státní příslušnosti </w:t>
      </w:r>
    </w:p>
    <w:p w:rsidR="0036553A" w:rsidRPr="006720AE" w:rsidRDefault="0036553A" w:rsidP="00A82365">
      <w:pPr>
        <w:keepNext/>
        <w:keepLines/>
        <w:widowControl w:val="0"/>
        <w:tabs>
          <w:tab w:val="left" w:pos="142"/>
          <w:tab w:val="left" w:pos="709"/>
          <w:tab w:val="left" w:pos="851"/>
          <w:tab w:val="left" w:pos="1701"/>
          <w:tab w:val="left" w:pos="2552"/>
        </w:tabs>
        <w:spacing w:after="120" w:line="240" w:lineRule="auto"/>
        <w:ind w:left="142"/>
        <w:jc w:val="both"/>
        <w:rPr>
          <w:rFonts w:asciiTheme="majorHAnsi" w:hAnsiTheme="majorHAnsi" w:cs="Arial"/>
          <w:b/>
          <w:sz w:val="20"/>
          <w:szCs w:val="20"/>
        </w:rPr>
      </w:pPr>
      <w:r w:rsidRPr="006720AE">
        <w:rPr>
          <w:rFonts w:asciiTheme="majorHAnsi" w:hAnsiTheme="majorHAnsi" w:cs="Arial"/>
          <w:b/>
          <w:sz w:val="20"/>
          <w:szCs w:val="20"/>
        </w:rPr>
        <w:t>– porovnání let 2014 a 2015</w:t>
      </w:r>
    </w:p>
    <w:p w:rsidR="0036553A" w:rsidRPr="006720AE" w:rsidRDefault="0036553A" w:rsidP="00A82365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43575" cy="2867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67"/>
      </w:tblGrid>
      <w:tr w:rsidR="0070101A" w:rsidRPr="006720AE" w:rsidTr="00FF7098">
        <w:trPr>
          <w:trHeight w:val="255"/>
          <w:jc w:val="center"/>
        </w:trPr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01A" w:rsidRPr="006720AE" w:rsidRDefault="0070101A" w:rsidP="00FF7098">
            <w:pPr>
              <w:keepNext/>
              <w:keepLines/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720AE">
              <w:rPr>
                <w:rFonts w:asciiTheme="majorHAnsi" w:hAnsiTheme="majorHAnsi"/>
                <w:sz w:val="18"/>
                <w:szCs w:val="18"/>
              </w:rPr>
              <w:t>Zdroj: IS CIS</w:t>
            </w:r>
          </w:p>
        </w:tc>
      </w:tr>
    </w:tbl>
    <w:p w:rsidR="00034E2A" w:rsidRPr="006720AE" w:rsidRDefault="006B7158" w:rsidP="006B7158">
      <w:pPr>
        <w:spacing w:before="120"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/>
        </w:rPr>
        <w:t xml:space="preserve">Všech </w:t>
      </w:r>
      <w:r w:rsidR="00652756" w:rsidRPr="006720AE">
        <w:rPr>
          <w:rFonts w:asciiTheme="majorHAnsi" w:hAnsiTheme="majorHAnsi"/>
        </w:rPr>
        <w:t>TOP 10 státní</w:t>
      </w:r>
      <w:r w:rsidR="00B241AB" w:rsidRPr="006720AE">
        <w:rPr>
          <w:rFonts w:asciiTheme="majorHAnsi" w:hAnsiTheme="majorHAnsi"/>
        </w:rPr>
        <w:t>ch</w:t>
      </w:r>
      <w:r w:rsidR="00652756" w:rsidRPr="006720AE">
        <w:rPr>
          <w:rFonts w:asciiTheme="majorHAnsi" w:hAnsiTheme="majorHAnsi"/>
        </w:rPr>
        <w:t xml:space="preserve"> příslušnost</w:t>
      </w:r>
      <w:r w:rsidR="00FD28DB" w:rsidRPr="006720AE">
        <w:rPr>
          <w:rFonts w:asciiTheme="majorHAnsi" w:hAnsiTheme="majorHAnsi"/>
        </w:rPr>
        <w:t>í</w:t>
      </w:r>
      <w:r w:rsidR="00652756" w:rsidRPr="006720AE">
        <w:rPr>
          <w:rFonts w:asciiTheme="majorHAnsi" w:hAnsiTheme="majorHAnsi"/>
        </w:rPr>
        <w:t xml:space="preserve"> </w:t>
      </w:r>
      <w:r w:rsidR="00571920" w:rsidRPr="006720AE">
        <w:rPr>
          <w:rFonts w:asciiTheme="majorHAnsi" w:hAnsiTheme="majorHAnsi"/>
        </w:rPr>
        <w:t xml:space="preserve">žadatelů o povolení k dlouhodobému pobytu </w:t>
      </w:r>
      <w:r w:rsidR="00652756" w:rsidRPr="006720AE">
        <w:rPr>
          <w:rFonts w:asciiTheme="majorHAnsi" w:hAnsiTheme="majorHAnsi"/>
        </w:rPr>
        <w:t>v roce 2015, s výjimkou občanů Rusk</w:t>
      </w:r>
      <w:r w:rsidR="0097208E" w:rsidRPr="006720AE">
        <w:rPr>
          <w:rFonts w:asciiTheme="majorHAnsi" w:hAnsiTheme="majorHAnsi"/>
        </w:rPr>
        <w:t>a</w:t>
      </w:r>
      <w:r w:rsidR="00652756" w:rsidRPr="006720AE">
        <w:rPr>
          <w:rFonts w:asciiTheme="majorHAnsi" w:hAnsiTheme="majorHAnsi"/>
        </w:rPr>
        <w:t>, zaznamenal</w:t>
      </w:r>
      <w:r w:rsidR="00FD28DB" w:rsidRPr="006720AE">
        <w:rPr>
          <w:rFonts w:asciiTheme="majorHAnsi" w:hAnsiTheme="majorHAnsi"/>
        </w:rPr>
        <w:t>o</w:t>
      </w:r>
      <w:r w:rsidR="00652756" w:rsidRPr="006720AE">
        <w:rPr>
          <w:rFonts w:asciiTheme="majorHAnsi" w:hAnsiTheme="majorHAnsi"/>
        </w:rPr>
        <w:t xml:space="preserve"> oproti roku 2014 nárůst žádostí. Nejvyšší absolutní navýšení </w:t>
      </w:r>
      <w:r w:rsidR="00571920" w:rsidRPr="006720AE">
        <w:rPr>
          <w:rFonts w:asciiTheme="majorHAnsi" w:hAnsiTheme="majorHAnsi"/>
        </w:rPr>
        <w:t xml:space="preserve">žádostí </w:t>
      </w:r>
      <w:r w:rsidR="00652756" w:rsidRPr="006720AE">
        <w:rPr>
          <w:rFonts w:asciiTheme="majorHAnsi" w:hAnsiTheme="majorHAnsi"/>
        </w:rPr>
        <w:t xml:space="preserve">se týká </w:t>
      </w:r>
      <w:r w:rsidR="00FD28DB" w:rsidRPr="006720AE">
        <w:rPr>
          <w:rFonts w:asciiTheme="majorHAnsi" w:hAnsiTheme="majorHAnsi"/>
        </w:rPr>
        <w:t xml:space="preserve">občanů </w:t>
      </w:r>
      <w:r w:rsidR="00652756" w:rsidRPr="006720AE">
        <w:rPr>
          <w:rFonts w:asciiTheme="majorHAnsi" w:hAnsiTheme="majorHAnsi"/>
        </w:rPr>
        <w:t>Ukrajiny, Mongolska a Indie a</w:t>
      </w:r>
      <w:r w:rsidRPr="006720AE">
        <w:rPr>
          <w:rFonts w:asciiTheme="majorHAnsi" w:hAnsiTheme="majorHAnsi"/>
        </w:rPr>
        <w:t> </w:t>
      </w:r>
      <w:r w:rsidR="00652756" w:rsidRPr="006720AE">
        <w:rPr>
          <w:rFonts w:asciiTheme="majorHAnsi" w:hAnsiTheme="majorHAnsi"/>
        </w:rPr>
        <w:t xml:space="preserve">souvisí se zájmem o zaměstnaneckou kartu. V případě občanů Vietnamu se projevuje zájem o účel </w:t>
      </w:r>
      <w:r w:rsidR="00744310" w:rsidRPr="006720AE">
        <w:rPr>
          <w:rFonts w:asciiTheme="majorHAnsi" w:hAnsiTheme="majorHAnsi"/>
        </w:rPr>
        <w:t>sloučení rodiny</w:t>
      </w:r>
      <w:r w:rsidR="00652756" w:rsidRPr="006720AE">
        <w:rPr>
          <w:rFonts w:asciiTheme="majorHAnsi" w:hAnsiTheme="majorHAnsi"/>
        </w:rPr>
        <w:t>.</w:t>
      </w:r>
    </w:p>
    <w:p w:rsidR="00034E2A" w:rsidRPr="006720AE" w:rsidRDefault="00034E2A" w:rsidP="006B7158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before="240"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6720AE">
        <w:rPr>
          <w:rFonts w:asciiTheme="majorHAnsi" w:hAnsiTheme="majorHAnsi" w:cs="Arial"/>
          <w:b/>
          <w:u w:val="single"/>
        </w:rPr>
        <w:t>Udělená dlouhodobá pobytová oprávnění na vstupu do ČR</w:t>
      </w:r>
    </w:p>
    <w:p w:rsidR="00A82365" w:rsidRPr="006720AE" w:rsidRDefault="006B7158" w:rsidP="00571920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Z celkového počtu 19 213 udělených </w:t>
      </w:r>
      <w:r w:rsidR="00034E2A" w:rsidRPr="006720AE">
        <w:rPr>
          <w:rFonts w:asciiTheme="majorHAnsi" w:hAnsiTheme="majorHAnsi"/>
        </w:rPr>
        <w:t>dlouhodob</w:t>
      </w:r>
      <w:r w:rsidRPr="006720AE">
        <w:rPr>
          <w:rFonts w:asciiTheme="majorHAnsi" w:hAnsiTheme="majorHAnsi"/>
        </w:rPr>
        <w:t>ých</w:t>
      </w:r>
      <w:r w:rsidR="00034E2A" w:rsidRPr="006720AE">
        <w:rPr>
          <w:rFonts w:asciiTheme="majorHAnsi" w:hAnsiTheme="majorHAnsi"/>
        </w:rPr>
        <w:t xml:space="preserve"> pobytov</w:t>
      </w:r>
      <w:r w:rsidRPr="006720AE">
        <w:rPr>
          <w:rFonts w:asciiTheme="majorHAnsi" w:hAnsiTheme="majorHAnsi"/>
        </w:rPr>
        <w:t>ých</w:t>
      </w:r>
      <w:r w:rsidR="00034E2A" w:rsidRPr="006720AE">
        <w:rPr>
          <w:rFonts w:asciiTheme="majorHAnsi" w:hAnsiTheme="majorHAnsi"/>
        </w:rPr>
        <w:t xml:space="preserve"> oprávnění </w:t>
      </w:r>
      <w:r w:rsidRPr="006720AE">
        <w:rPr>
          <w:rFonts w:asciiTheme="majorHAnsi" w:hAnsiTheme="majorHAnsi"/>
        </w:rPr>
        <w:t xml:space="preserve">(dlouhodobé vízum, povolení k dlouhodobému pobytu) z žádostí </w:t>
      </w:r>
      <w:r w:rsidR="00034E2A" w:rsidRPr="006720AE">
        <w:rPr>
          <w:rFonts w:asciiTheme="majorHAnsi" w:hAnsiTheme="majorHAnsi"/>
        </w:rPr>
        <w:t xml:space="preserve">podaných na ZÚ ČR </w:t>
      </w:r>
      <w:r w:rsidR="005213E3" w:rsidRPr="006720AE">
        <w:rPr>
          <w:rFonts w:asciiTheme="majorHAnsi" w:hAnsiTheme="majorHAnsi"/>
        </w:rPr>
        <w:t xml:space="preserve">v roce 2015 </w:t>
      </w:r>
      <w:r w:rsidR="00034E2A" w:rsidRPr="006720AE">
        <w:rPr>
          <w:rFonts w:asciiTheme="majorHAnsi" w:hAnsiTheme="majorHAnsi"/>
          <w:b/>
        </w:rPr>
        <w:t>s </w:t>
      </w:r>
      <w:r w:rsidR="003855C1" w:rsidRPr="006720AE">
        <w:rPr>
          <w:rFonts w:asciiTheme="majorHAnsi" w:hAnsiTheme="majorHAnsi"/>
          <w:b/>
        </w:rPr>
        <w:t>téměř</w:t>
      </w:r>
      <w:r w:rsidR="00034E2A" w:rsidRPr="006720AE">
        <w:rPr>
          <w:rFonts w:asciiTheme="majorHAnsi" w:hAnsiTheme="majorHAnsi"/>
          <w:b/>
        </w:rPr>
        <w:t xml:space="preserve"> </w:t>
      </w:r>
      <w:r w:rsidR="003855C1" w:rsidRPr="006720AE">
        <w:rPr>
          <w:rFonts w:asciiTheme="majorHAnsi" w:hAnsiTheme="majorHAnsi"/>
          <w:b/>
        </w:rPr>
        <w:t>49 %</w:t>
      </w:r>
      <w:r w:rsidR="00034E2A" w:rsidRPr="006720AE">
        <w:rPr>
          <w:rFonts w:asciiTheme="majorHAnsi" w:hAnsiTheme="majorHAnsi"/>
          <w:b/>
        </w:rPr>
        <w:t xml:space="preserve"> </w:t>
      </w:r>
      <w:r w:rsidR="00034E2A" w:rsidRPr="006720AE">
        <w:rPr>
          <w:rFonts w:asciiTheme="majorHAnsi" w:hAnsiTheme="majorHAnsi"/>
          <w:b/>
        </w:rPr>
        <w:lastRenderedPageBreak/>
        <w:t>převažovaly vzdělávací aktivity</w:t>
      </w:r>
      <w:r w:rsidR="00034E2A" w:rsidRPr="006720AE">
        <w:rPr>
          <w:rFonts w:asciiTheme="majorHAnsi" w:hAnsiTheme="majorHAnsi"/>
        </w:rPr>
        <w:t xml:space="preserve"> (účely studium a ostatní vzdělávací aktivity). Následovaly </w:t>
      </w:r>
      <w:r w:rsidR="00034E2A" w:rsidRPr="006720AE">
        <w:rPr>
          <w:rFonts w:asciiTheme="majorHAnsi" w:hAnsiTheme="majorHAnsi"/>
          <w:b/>
        </w:rPr>
        <w:t>v</w:t>
      </w:r>
      <w:r w:rsidR="00A82365" w:rsidRPr="006720AE">
        <w:rPr>
          <w:rFonts w:asciiTheme="majorHAnsi" w:hAnsiTheme="majorHAnsi"/>
          <w:b/>
        </w:rPr>
        <w:t>ýdělečné aktivity</w:t>
      </w:r>
      <w:r w:rsidR="00A82365" w:rsidRPr="006720AE">
        <w:rPr>
          <w:rFonts w:asciiTheme="majorHAnsi" w:hAnsiTheme="majorHAnsi"/>
        </w:rPr>
        <w:t xml:space="preserve"> (zaměstnání a </w:t>
      </w:r>
      <w:r w:rsidR="00034E2A" w:rsidRPr="006720AE">
        <w:rPr>
          <w:rFonts w:asciiTheme="majorHAnsi" w:hAnsiTheme="majorHAnsi"/>
        </w:rPr>
        <w:t>podnikání) s </w:t>
      </w:r>
      <w:r w:rsidR="003855C1" w:rsidRPr="006720AE">
        <w:rPr>
          <w:rFonts w:asciiTheme="majorHAnsi" w:hAnsiTheme="majorHAnsi"/>
          <w:b/>
        </w:rPr>
        <w:t>24</w:t>
      </w:r>
      <w:r w:rsidR="00034E2A" w:rsidRPr="006720AE">
        <w:rPr>
          <w:rFonts w:asciiTheme="majorHAnsi" w:hAnsiTheme="majorHAnsi"/>
          <w:b/>
        </w:rPr>
        <w:t> %</w:t>
      </w:r>
      <w:r w:rsidR="00034E2A" w:rsidRPr="006720AE">
        <w:rPr>
          <w:rFonts w:asciiTheme="majorHAnsi" w:hAnsiTheme="majorHAnsi"/>
        </w:rPr>
        <w:t xml:space="preserve"> (resp. </w:t>
      </w:r>
      <w:r w:rsidR="003855C1" w:rsidRPr="006720AE">
        <w:rPr>
          <w:rFonts w:asciiTheme="majorHAnsi" w:hAnsiTheme="majorHAnsi"/>
        </w:rPr>
        <w:t>20</w:t>
      </w:r>
      <w:r w:rsidR="00034E2A" w:rsidRPr="006720AE">
        <w:rPr>
          <w:rFonts w:asciiTheme="majorHAnsi" w:hAnsiTheme="majorHAnsi"/>
        </w:rPr>
        <w:t xml:space="preserve"> % a </w:t>
      </w:r>
      <w:r w:rsidR="003855C1" w:rsidRPr="006720AE">
        <w:rPr>
          <w:rFonts w:asciiTheme="majorHAnsi" w:hAnsiTheme="majorHAnsi"/>
        </w:rPr>
        <w:t>necelými 4</w:t>
      </w:r>
      <w:r w:rsidR="00034E2A" w:rsidRPr="006720AE">
        <w:rPr>
          <w:rFonts w:asciiTheme="majorHAnsi" w:hAnsiTheme="majorHAnsi"/>
        </w:rPr>
        <w:t> %) a </w:t>
      </w:r>
      <w:r w:rsidR="00034E2A" w:rsidRPr="006720AE">
        <w:rPr>
          <w:rFonts w:asciiTheme="majorHAnsi" w:hAnsiTheme="majorHAnsi"/>
          <w:b/>
        </w:rPr>
        <w:t>účel sloučení rodiny</w:t>
      </w:r>
      <w:r w:rsidR="00034E2A" w:rsidRPr="006720AE">
        <w:rPr>
          <w:rFonts w:asciiTheme="majorHAnsi" w:hAnsiTheme="majorHAnsi"/>
        </w:rPr>
        <w:t xml:space="preserve"> s </w:t>
      </w:r>
      <w:r w:rsidR="00034E2A" w:rsidRPr="006720AE">
        <w:rPr>
          <w:rFonts w:asciiTheme="majorHAnsi" w:hAnsiTheme="majorHAnsi"/>
          <w:b/>
        </w:rPr>
        <w:t>1</w:t>
      </w:r>
      <w:r w:rsidR="003855C1" w:rsidRPr="006720AE">
        <w:rPr>
          <w:rFonts w:asciiTheme="majorHAnsi" w:hAnsiTheme="majorHAnsi"/>
          <w:b/>
        </w:rPr>
        <w:t>6</w:t>
      </w:r>
      <w:r w:rsidR="00034E2A" w:rsidRPr="006720AE">
        <w:rPr>
          <w:rFonts w:asciiTheme="majorHAnsi" w:hAnsiTheme="majorHAnsi"/>
          <w:b/>
        </w:rPr>
        <w:t> %</w:t>
      </w:r>
      <w:r w:rsidR="00034E2A" w:rsidRPr="006720AE">
        <w:rPr>
          <w:rFonts w:asciiTheme="majorHAnsi" w:hAnsiTheme="majorHAnsi"/>
        </w:rPr>
        <w:t xml:space="preserve">. </w:t>
      </w:r>
    </w:p>
    <w:p w:rsidR="00034E2A" w:rsidRPr="006720AE" w:rsidRDefault="00034E2A" w:rsidP="00571920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>Nejvíce dlouhodobých pobytových oprávnění v roce 201</w:t>
      </w:r>
      <w:r w:rsidR="00A82365" w:rsidRPr="006720AE">
        <w:rPr>
          <w:rFonts w:asciiTheme="majorHAnsi" w:hAnsiTheme="majorHAnsi"/>
        </w:rPr>
        <w:t>5</w:t>
      </w:r>
      <w:r w:rsidRPr="006720AE">
        <w:rPr>
          <w:rFonts w:asciiTheme="majorHAnsi" w:hAnsiTheme="majorHAnsi"/>
        </w:rPr>
        <w:t xml:space="preserve"> bylo kladně vyřízeno </w:t>
      </w:r>
      <w:r w:rsidRPr="006720AE">
        <w:rPr>
          <w:rFonts w:asciiTheme="majorHAnsi" w:hAnsiTheme="majorHAnsi"/>
          <w:b/>
        </w:rPr>
        <w:t xml:space="preserve">občanům </w:t>
      </w:r>
      <w:r w:rsidR="003855C1" w:rsidRPr="006720AE">
        <w:rPr>
          <w:rFonts w:asciiTheme="majorHAnsi" w:hAnsiTheme="majorHAnsi"/>
          <w:b/>
        </w:rPr>
        <w:t xml:space="preserve">USA </w:t>
      </w:r>
      <w:r w:rsidRPr="006720AE">
        <w:rPr>
          <w:rFonts w:asciiTheme="majorHAnsi" w:hAnsiTheme="majorHAnsi"/>
          <w:b/>
        </w:rPr>
        <w:t>(</w:t>
      </w:r>
      <w:r w:rsidR="003855C1" w:rsidRPr="006720AE">
        <w:rPr>
          <w:rFonts w:asciiTheme="majorHAnsi" w:hAnsiTheme="majorHAnsi"/>
          <w:b/>
        </w:rPr>
        <w:t>18</w:t>
      </w:r>
      <w:r w:rsidRPr="006720AE">
        <w:rPr>
          <w:rFonts w:asciiTheme="majorHAnsi" w:hAnsiTheme="majorHAnsi"/>
          <w:b/>
        </w:rPr>
        <w:t> %</w:t>
      </w:r>
      <w:r w:rsidR="00FD28DB" w:rsidRPr="006720AE">
        <w:rPr>
          <w:rFonts w:asciiTheme="majorHAnsi" w:hAnsiTheme="majorHAnsi"/>
          <w:b/>
        </w:rPr>
        <w:t>)</w:t>
      </w:r>
      <w:r w:rsidRPr="006720AE">
        <w:rPr>
          <w:rFonts w:asciiTheme="majorHAnsi" w:hAnsiTheme="majorHAnsi"/>
        </w:rPr>
        <w:t xml:space="preserve"> z celkového počtu kladně vyřízených žádostí), dále občanům </w:t>
      </w:r>
      <w:r w:rsidR="003855C1" w:rsidRPr="006720AE">
        <w:rPr>
          <w:rFonts w:asciiTheme="majorHAnsi" w:hAnsiTheme="majorHAnsi"/>
          <w:b/>
        </w:rPr>
        <w:t>Ukrajiny</w:t>
      </w:r>
      <w:r w:rsidRPr="006720AE">
        <w:rPr>
          <w:rFonts w:asciiTheme="majorHAnsi" w:hAnsiTheme="majorHAnsi"/>
          <w:b/>
        </w:rPr>
        <w:t xml:space="preserve"> (1</w:t>
      </w:r>
      <w:r w:rsidR="00B147FE" w:rsidRPr="006720AE">
        <w:rPr>
          <w:rFonts w:asciiTheme="majorHAnsi" w:hAnsiTheme="majorHAnsi"/>
          <w:b/>
        </w:rPr>
        <w:t>6</w:t>
      </w:r>
      <w:r w:rsidRPr="006720AE">
        <w:rPr>
          <w:rFonts w:asciiTheme="majorHAnsi" w:hAnsiTheme="majorHAnsi"/>
          <w:b/>
        </w:rPr>
        <w:t> %)</w:t>
      </w:r>
      <w:r w:rsidR="006B7158" w:rsidRPr="006720AE">
        <w:rPr>
          <w:rFonts w:asciiTheme="majorHAnsi" w:hAnsiTheme="majorHAnsi"/>
          <w:b/>
        </w:rPr>
        <w:t>,</w:t>
      </w:r>
      <w:r w:rsidRPr="006720AE">
        <w:rPr>
          <w:rFonts w:asciiTheme="majorHAnsi" w:hAnsiTheme="majorHAnsi"/>
        </w:rPr>
        <w:t xml:space="preserve">  </w:t>
      </w:r>
      <w:r w:rsidR="003855C1" w:rsidRPr="006720AE">
        <w:rPr>
          <w:rFonts w:asciiTheme="majorHAnsi" w:hAnsiTheme="majorHAnsi"/>
          <w:b/>
        </w:rPr>
        <w:t>Rusk</w:t>
      </w:r>
      <w:r w:rsidR="00744310" w:rsidRPr="006720AE">
        <w:rPr>
          <w:rFonts w:asciiTheme="majorHAnsi" w:hAnsiTheme="majorHAnsi"/>
          <w:b/>
        </w:rPr>
        <w:t>a </w:t>
      </w:r>
      <w:r w:rsidRPr="006720AE">
        <w:rPr>
          <w:rFonts w:asciiTheme="majorHAnsi" w:hAnsiTheme="majorHAnsi"/>
          <w:b/>
        </w:rPr>
        <w:t>(14 %)</w:t>
      </w:r>
      <w:r w:rsidR="006B7158" w:rsidRPr="006720AE">
        <w:rPr>
          <w:rFonts w:asciiTheme="majorHAnsi" w:hAnsiTheme="majorHAnsi"/>
        </w:rPr>
        <w:t>, Vietnamu (6 %) a Turecka (4 %)</w:t>
      </w:r>
      <w:r w:rsidRPr="006720AE">
        <w:rPr>
          <w:rFonts w:asciiTheme="majorHAnsi" w:hAnsiTheme="majorHAnsi"/>
        </w:rPr>
        <w:t>.</w:t>
      </w:r>
    </w:p>
    <w:p w:rsidR="00034E2A" w:rsidRPr="006720AE" w:rsidRDefault="00034E2A" w:rsidP="00392CD0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before="240" w:after="12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</w:rPr>
        <w:t>Udělená dlouhodobá víza</w:t>
      </w:r>
    </w:p>
    <w:tbl>
      <w:tblPr>
        <w:tblW w:w="7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3"/>
        <w:gridCol w:w="2441"/>
        <w:gridCol w:w="720"/>
      </w:tblGrid>
      <w:tr w:rsidR="00B241AB" w:rsidRPr="006720AE" w:rsidTr="00744310">
        <w:trPr>
          <w:trHeight w:val="282"/>
        </w:trPr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Udělená dlouhodobá víza podaná na ZÚ ČR dle účelu pobytu - 2015</w:t>
            </w:r>
          </w:p>
        </w:tc>
      </w:tr>
      <w:tr w:rsidR="00B241AB" w:rsidRPr="006720AE" w:rsidTr="00744310">
        <w:trPr>
          <w:trHeight w:val="342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udělených víz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tj. %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6 840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58,1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ostatní vzdělávací aktivity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1 777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15,1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podnikání - OSVČ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4,5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744310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 xml:space="preserve">podnikání </w:t>
            </w:r>
            <w:r w:rsidR="00744310"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4310"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účast v právnické osobě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sloučení rodiny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16,7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jiné (kulturní, sportovní, pozvání, ad.)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3,8</w:t>
            </w:r>
          </w:p>
        </w:tc>
      </w:tr>
      <w:tr w:rsidR="00B241AB" w:rsidRPr="006720AE" w:rsidTr="00744310">
        <w:trPr>
          <w:trHeight w:val="282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11 770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AB" w:rsidRPr="006720AE" w:rsidRDefault="00B241AB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:rsidR="00B241AB" w:rsidRPr="006720AE" w:rsidRDefault="00B241AB" w:rsidP="00392CD0">
      <w:pPr>
        <w:keepNext/>
        <w:keepLines/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B241AB" w:rsidRPr="006720AE" w:rsidRDefault="00B241AB" w:rsidP="00B241AB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b/>
        </w:rPr>
        <w:t>V roce 2015 bylo dlouhodobé vízum uděleno o </w:t>
      </w:r>
      <w:r w:rsidR="00744310" w:rsidRPr="006720AE">
        <w:rPr>
          <w:rFonts w:asciiTheme="majorHAnsi" w:hAnsiTheme="majorHAnsi"/>
          <w:b/>
        </w:rPr>
        <w:t>cca</w:t>
      </w:r>
      <w:r w:rsidRPr="006720AE">
        <w:rPr>
          <w:rFonts w:asciiTheme="majorHAnsi" w:hAnsiTheme="majorHAnsi"/>
          <w:b/>
        </w:rPr>
        <w:t xml:space="preserve"> 6 % cizinců více než v roce 2014</w:t>
      </w:r>
      <w:r w:rsidRPr="006720AE">
        <w:rPr>
          <w:rFonts w:asciiTheme="majorHAnsi" w:hAnsiTheme="majorHAnsi"/>
        </w:rPr>
        <w:t xml:space="preserve">. </w:t>
      </w:r>
      <w:r w:rsidR="00FD28DB" w:rsidRPr="006720AE">
        <w:rPr>
          <w:rFonts w:asciiTheme="majorHAnsi" w:hAnsiTheme="majorHAnsi"/>
        </w:rPr>
        <w:t>Stejně j</w:t>
      </w:r>
      <w:r w:rsidRPr="006720AE">
        <w:rPr>
          <w:rFonts w:asciiTheme="majorHAnsi" w:hAnsiTheme="majorHAnsi"/>
        </w:rPr>
        <w:t xml:space="preserve">ako v roce 2014 </w:t>
      </w:r>
      <w:r w:rsidRPr="006720AE">
        <w:rPr>
          <w:rFonts w:asciiTheme="majorHAnsi" w:hAnsiTheme="majorHAnsi"/>
          <w:b/>
        </w:rPr>
        <w:t>většinu udělených víz tvořily ty za účelem vzdělávacích aktivit</w:t>
      </w:r>
      <w:r w:rsidRPr="006720AE">
        <w:rPr>
          <w:rFonts w:asciiTheme="majorHAnsi" w:hAnsiTheme="majorHAnsi"/>
        </w:rPr>
        <w:t xml:space="preserve"> (studium a ostatní vzdělávací aktivity). </w:t>
      </w:r>
      <w:r w:rsidR="002F7330" w:rsidRPr="006720AE">
        <w:rPr>
          <w:rFonts w:asciiTheme="majorHAnsi" w:hAnsiTheme="majorHAnsi"/>
        </w:rPr>
        <w:t xml:space="preserve">Udělených víz </w:t>
      </w:r>
      <w:r w:rsidRPr="006720AE">
        <w:rPr>
          <w:rFonts w:asciiTheme="majorHAnsi" w:hAnsiTheme="majorHAnsi"/>
        </w:rPr>
        <w:t xml:space="preserve">za účelem studia bylo přes 58 % z celkového počtu žádostí </w:t>
      </w:r>
      <w:r w:rsidR="00877399" w:rsidRPr="006720AE">
        <w:rPr>
          <w:rFonts w:asciiTheme="majorHAnsi" w:hAnsiTheme="majorHAnsi"/>
        </w:rPr>
        <w:t xml:space="preserve">o dlouhodobé vízum </w:t>
      </w:r>
      <w:r w:rsidRPr="006720AE">
        <w:rPr>
          <w:rFonts w:asciiTheme="majorHAnsi" w:hAnsiTheme="majorHAnsi"/>
        </w:rPr>
        <w:t xml:space="preserve">a v absolutním počtu jich bylo o cca </w:t>
      </w:r>
      <w:r w:rsidR="00744310" w:rsidRPr="006720AE">
        <w:rPr>
          <w:rFonts w:asciiTheme="majorHAnsi" w:hAnsiTheme="majorHAnsi"/>
        </w:rPr>
        <w:t>jeden tisíc</w:t>
      </w:r>
      <w:r w:rsidRPr="006720AE">
        <w:rPr>
          <w:rFonts w:asciiTheme="majorHAnsi" w:hAnsiTheme="majorHAnsi"/>
        </w:rPr>
        <w:t xml:space="preserve"> více než v loňském roce. Absolutní nárůst </w:t>
      </w:r>
      <w:r w:rsidR="002F7330" w:rsidRPr="006720AE">
        <w:rPr>
          <w:rFonts w:asciiTheme="majorHAnsi" w:hAnsiTheme="majorHAnsi"/>
        </w:rPr>
        <w:t xml:space="preserve">udělených víz </w:t>
      </w:r>
      <w:r w:rsidRPr="006720AE">
        <w:rPr>
          <w:rFonts w:asciiTheme="majorHAnsi" w:hAnsiTheme="majorHAnsi"/>
        </w:rPr>
        <w:t xml:space="preserve">oproti 2014 </w:t>
      </w:r>
      <w:r w:rsidR="00877399" w:rsidRPr="006720AE">
        <w:rPr>
          <w:rFonts w:asciiTheme="majorHAnsi" w:hAnsiTheme="majorHAnsi"/>
        </w:rPr>
        <w:t>dále</w:t>
      </w:r>
      <w:r w:rsidRPr="006720AE">
        <w:rPr>
          <w:rFonts w:asciiTheme="majorHAnsi" w:hAnsiTheme="majorHAnsi"/>
        </w:rPr>
        <w:t xml:space="preserve"> zaznamenaly</w:t>
      </w:r>
      <w:r w:rsidR="002F7330" w:rsidRPr="006720AE">
        <w:rPr>
          <w:rFonts w:asciiTheme="majorHAnsi" w:hAnsiTheme="majorHAnsi"/>
        </w:rPr>
        <w:t xml:space="preserve">, s výjimkou účelu podnikání </w:t>
      </w:r>
      <w:r w:rsidR="00744310" w:rsidRPr="006720AE">
        <w:rPr>
          <w:rFonts w:asciiTheme="majorHAnsi" w:hAnsiTheme="majorHAnsi"/>
        </w:rPr>
        <w:t xml:space="preserve">formou účasti </w:t>
      </w:r>
      <w:r w:rsidR="002F7330" w:rsidRPr="006720AE">
        <w:rPr>
          <w:rFonts w:asciiTheme="majorHAnsi" w:hAnsiTheme="majorHAnsi"/>
        </w:rPr>
        <w:t>v právnické osobě,</w:t>
      </w:r>
      <w:r w:rsidRPr="006720AE">
        <w:rPr>
          <w:rFonts w:asciiTheme="majorHAnsi" w:hAnsiTheme="majorHAnsi"/>
        </w:rPr>
        <w:t xml:space="preserve"> všechny nejčastější účely uvedené v horní tabulce.</w:t>
      </w:r>
    </w:p>
    <w:p w:rsidR="00034E2A" w:rsidRPr="006720AE" w:rsidRDefault="00B241AB" w:rsidP="00744310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438775" cy="2948203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77" cy="29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10" w:rsidRPr="006720AE" w:rsidRDefault="00744310" w:rsidP="00744310">
      <w:pPr>
        <w:keepNext/>
        <w:keepLines/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B241AB" w:rsidRPr="006720AE" w:rsidRDefault="002F7330" w:rsidP="00B241AB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 xml:space="preserve">Všechny </w:t>
      </w:r>
      <w:r w:rsidR="00B241AB" w:rsidRPr="006720AE">
        <w:rPr>
          <w:rFonts w:asciiTheme="majorHAnsi" w:hAnsiTheme="majorHAnsi"/>
        </w:rPr>
        <w:t>TOP 10 státní příslušnosti v roce 2015, s výjimkou občanů Rusk</w:t>
      </w:r>
      <w:r w:rsidR="00744310" w:rsidRPr="006720AE">
        <w:rPr>
          <w:rFonts w:asciiTheme="majorHAnsi" w:hAnsiTheme="majorHAnsi"/>
        </w:rPr>
        <w:t>a</w:t>
      </w:r>
      <w:r w:rsidR="00B241AB" w:rsidRPr="006720AE">
        <w:rPr>
          <w:rFonts w:asciiTheme="majorHAnsi" w:hAnsiTheme="majorHAnsi"/>
        </w:rPr>
        <w:t xml:space="preserve"> a Vietnamu, zaznamenaly oproti roku 2014 nárůst počtu kladně rozhodnutých žádostí o dlouhodobé vízum, tj. udělených víz. </w:t>
      </w:r>
    </w:p>
    <w:p w:rsidR="00034E2A" w:rsidRPr="006720AE" w:rsidRDefault="00034E2A" w:rsidP="00392CD0">
      <w:pPr>
        <w:keepNext/>
        <w:keepLines/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before="240" w:after="120" w:line="240" w:lineRule="auto"/>
        <w:jc w:val="both"/>
        <w:rPr>
          <w:rFonts w:asciiTheme="majorHAnsi" w:hAnsiTheme="majorHAnsi" w:cs="Arial"/>
          <w:b/>
        </w:rPr>
      </w:pPr>
      <w:r w:rsidRPr="006720AE">
        <w:rPr>
          <w:rFonts w:asciiTheme="majorHAnsi" w:hAnsiTheme="majorHAnsi" w:cs="Arial"/>
          <w:b/>
        </w:rPr>
        <w:lastRenderedPageBreak/>
        <w:t>Udělená povolení k dlouhodobému pobytu</w:t>
      </w:r>
    </w:p>
    <w:p w:rsidR="002F0F34" w:rsidRPr="006720AE" w:rsidRDefault="002F0F34" w:rsidP="00392CD0">
      <w:pPr>
        <w:keepNext/>
        <w:keepLines/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cs-CZ"/>
        </w:rPr>
      </w:pPr>
      <w:r w:rsidRPr="006720A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cs-CZ"/>
        </w:rPr>
        <w:t>Udělená povolení k dlouhodobému pobytu podaná na ZÚ ČR dle účelu pobytu – 2015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2300"/>
        <w:gridCol w:w="960"/>
      </w:tblGrid>
      <w:tr w:rsidR="002F0F34" w:rsidRPr="006720AE" w:rsidTr="002F0F3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udělených pobytů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tj. %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studium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25,7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zaměstnanecká karta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3 761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50,5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modrá karta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0,9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sloučení rodiny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1 561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21,0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výzkum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2F0F34" w:rsidRPr="006720AE" w:rsidTr="002F0F3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cs-CZ"/>
              </w:rPr>
              <w:t>7 443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34" w:rsidRPr="006720AE" w:rsidRDefault="002F0F34" w:rsidP="00392CD0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:rsidR="002F0F34" w:rsidRPr="006720AE" w:rsidRDefault="002F0F34" w:rsidP="00392CD0">
      <w:pPr>
        <w:keepNext/>
        <w:keepLines/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2F7330" w:rsidRPr="006720AE" w:rsidRDefault="002F7330" w:rsidP="002F7330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b/>
        </w:rPr>
        <w:t>V roce 2015 byl</w:t>
      </w:r>
      <w:r w:rsidR="002F0F34" w:rsidRPr="006720AE">
        <w:rPr>
          <w:rFonts w:asciiTheme="majorHAnsi" w:hAnsiTheme="majorHAnsi"/>
          <w:b/>
        </w:rPr>
        <w:t> </w:t>
      </w:r>
      <w:r w:rsidRPr="006720AE">
        <w:rPr>
          <w:rFonts w:asciiTheme="majorHAnsi" w:hAnsiTheme="majorHAnsi"/>
          <w:b/>
        </w:rPr>
        <w:t>dlouhodob</w:t>
      </w:r>
      <w:r w:rsidR="001713A6" w:rsidRPr="006720AE">
        <w:rPr>
          <w:rFonts w:asciiTheme="majorHAnsi" w:hAnsiTheme="majorHAnsi"/>
          <w:b/>
        </w:rPr>
        <w:t>ý</w:t>
      </w:r>
      <w:r w:rsidRPr="006720AE">
        <w:rPr>
          <w:rFonts w:asciiTheme="majorHAnsi" w:hAnsiTheme="majorHAnsi"/>
          <w:b/>
        </w:rPr>
        <w:t xml:space="preserve"> </w:t>
      </w:r>
      <w:r w:rsidR="002F0F34" w:rsidRPr="006720AE">
        <w:rPr>
          <w:rFonts w:asciiTheme="majorHAnsi" w:hAnsiTheme="majorHAnsi"/>
          <w:b/>
        </w:rPr>
        <w:t>pobyt</w:t>
      </w:r>
      <w:r w:rsidRPr="006720AE">
        <w:rPr>
          <w:rFonts w:asciiTheme="majorHAnsi" w:hAnsiTheme="majorHAnsi"/>
          <w:b/>
        </w:rPr>
        <w:t xml:space="preserve"> </w:t>
      </w:r>
      <w:r w:rsidR="001713A6" w:rsidRPr="006720AE">
        <w:rPr>
          <w:rFonts w:asciiTheme="majorHAnsi" w:hAnsiTheme="majorHAnsi"/>
          <w:b/>
        </w:rPr>
        <w:t>z žádostí podaných na ZÚ ČR povolen</w:t>
      </w:r>
      <w:r w:rsidRPr="006720AE">
        <w:rPr>
          <w:rFonts w:asciiTheme="majorHAnsi" w:hAnsiTheme="majorHAnsi"/>
          <w:b/>
        </w:rPr>
        <w:t xml:space="preserve"> o </w:t>
      </w:r>
      <w:r w:rsidR="009B1E7A" w:rsidRPr="006720AE">
        <w:rPr>
          <w:rFonts w:asciiTheme="majorHAnsi" w:hAnsiTheme="majorHAnsi"/>
          <w:b/>
        </w:rPr>
        <w:t>cca</w:t>
      </w:r>
      <w:r w:rsidRPr="006720AE">
        <w:rPr>
          <w:rFonts w:asciiTheme="majorHAnsi" w:hAnsiTheme="majorHAnsi"/>
          <w:b/>
        </w:rPr>
        <w:t xml:space="preserve"> </w:t>
      </w:r>
      <w:r w:rsidR="002F0F34" w:rsidRPr="006720AE">
        <w:rPr>
          <w:rFonts w:asciiTheme="majorHAnsi" w:hAnsiTheme="majorHAnsi"/>
          <w:b/>
        </w:rPr>
        <w:t>92</w:t>
      </w:r>
      <w:r w:rsidRPr="006720AE">
        <w:rPr>
          <w:rFonts w:asciiTheme="majorHAnsi" w:hAnsiTheme="majorHAnsi"/>
          <w:b/>
        </w:rPr>
        <w:t> % cizinců</w:t>
      </w:r>
      <w:r w:rsidR="00B03E7D" w:rsidRPr="006720AE">
        <w:rPr>
          <w:rFonts w:asciiTheme="majorHAnsi" w:hAnsiTheme="majorHAnsi"/>
          <w:b/>
        </w:rPr>
        <w:t xml:space="preserve"> </w:t>
      </w:r>
      <w:r w:rsidR="009B1E7A" w:rsidRPr="006720AE">
        <w:rPr>
          <w:rFonts w:asciiTheme="majorHAnsi" w:hAnsiTheme="majorHAnsi"/>
          <w:b/>
        </w:rPr>
        <w:t xml:space="preserve">více </w:t>
      </w:r>
      <w:r w:rsidRPr="006720AE">
        <w:rPr>
          <w:rFonts w:asciiTheme="majorHAnsi" w:hAnsiTheme="majorHAnsi"/>
          <w:b/>
        </w:rPr>
        <w:t>než v roce 2014</w:t>
      </w:r>
      <w:r w:rsidRPr="006720AE">
        <w:rPr>
          <w:rFonts w:asciiTheme="majorHAnsi" w:hAnsiTheme="majorHAnsi"/>
        </w:rPr>
        <w:t xml:space="preserve">. </w:t>
      </w:r>
      <w:r w:rsidR="001713A6" w:rsidRPr="006720AE">
        <w:rPr>
          <w:rFonts w:asciiTheme="majorHAnsi" w:hAnsiTheme="majorHAnsi"/>
          <w:b/>
        </w:rPr>
        <w:t>Přes polovinu</w:t>
      </w:r>
      <w:r w:rsidRPr="006720AE">
        <w:rPr>
          <w:rFonts w:asciiTheme="majorHAnsi" w:hAnsiTheme="majorHAnsi"/>
          <w:b/>
        </w:rPr>
        <w:t xml:space="preserve"> udělených </w:t>
      </w:r>
      <w:r w:rsidR="002F0F34" w:rsidRPr="006720AE">
        <w:rPr>
          <w:rFonts w:asciiTheme="majorHAnsi" w:hAnsiTheme="majorHAnsi"/>
          <w:b/>
        </w:rPr>
        <w:t>povolení k pobytu</w:t>
      </w:r>
      <w:r w:rsidRPr="006720AE">
        <w:rPr>
          <w:rFonts w:asciiTheme="majorHAnsi" w:hAnsiTheme="majorHAnsi"/>
          <w:b/>
        </w:rPr>
        <w:t xml:space="preserve"> tvořily ty za účelem </w:t>
      </w:r>
      <w:r w:rsidR="001713A6" w:rsidRPr="006720AE">
        <w:rPr>
          <w:rFonts w:asciiTheme="majorHAnsi" w:hAnsiTheme="majorHAnsi"/>
          <w:b/>
        </w:rPr>
        <w:t>zaměstnání</w:t>
      </w:r>
      <w:r w:rsidRPr="006720AE">
        <w:rPr>
          <w:rFonts w:asciiTheme="majorHAnsi" w:hAnsiTheme="majorHAnsi"/>
        </w:rPr>
        <w:t xml:space="preserve"> (</w:t>
      </w:r>
      <w:r w:rsidR="001713A6" w:rsidRPr="006720AE">
        <w:rPr>
          <w:rFonts w:asciiTheme="majorHAnsi" w:hAnsiTheme="majorHAnsi"/>
        </w:rPr>
        <w:t>hlavně zaměstnanecká karta</w:t>
      </w:r>
      <w:r w:rsidRPr="006720AE">
        <w:rPr>
          <w:rFonts w:asciiTheme="majorHAnsi" w:hAnsiTheme="majorHAnsi"/>
        </w:rPr>
        <w:t xml:space="preserve">). Udělených </w:t>
      </w:r>
      <w:r w:rsidR="001713A6" w:rsidRPr="006720AE">
        <w:rPr>
          <w:rFonts w:asciiTheme="majorHAnsi" w:hAnsiTheme="majorHAnsi"/>
        </w:rPr>
        <w:t>povolení k pobytu</w:t>
      </w:r>
      <w:r w:rsidRPr="006720AE">
        <w:rPr>
          <w:rFonts w:asciiTheme="majorHAnsi" w:hAnsiTheme="majorHAnsi"/>
        </w:rPr>
        <w:t xml:space="preserve"> za účelem </w:t>
      </w:r>
      <w:r w:rsidR="001713A6" w:rsidRPr="006720AE">
        <w:rPr>
          <w:rFonts w:asciiTheme="majorHAnsi" w:hAnsiTheme="majorHAnsi"/>
        </w:rPr>
        <w:t>zaměstnání</w:t>
      </w:r>
      <w:r w:rsidRPr="006720AE">
        <w:rPr>
          <w:rFonts w:asciiTheme="majorHAnsi" w:hAnsiTheme="majorHAnsi"/>
        </w:rPr>
        <w:t xml:space="preserve"> bylo přes 5</w:t>
      </w:r>
      <w:r w:rsidR="001713A6" w:rsidRPr="006720AE">
        <w:rPr>
          <w:rFonts w:asciiTheme="majorHAnsi" w:hAnsiTheme="majorHAnsi"/>
        </w:rPr>
        <w:t>1</w:t>
      </w:r>
      <w:r w:rsidRPr="006720AE">
        <w:rPr>
          <w:rFonts w:asciiTheme="majorHAnsi" w:hAnsiTheme="majorHAnsi"/>
        </w:rPr>
        <w:t> % z celkového počtu žádostí a v absolutním počtu jich bylo o cca 1 </w:t>
      </w:r>
      <w:r w:rsidR="001713A6" w:rsidRPr="006720AE">
        <w:rPr>
          <w:rFonts w:asciiTheme="majorHAnsi" w:hAnsiTheme="majorHAnsi"/>
        </w:rPr>
        <w:t>700</w:t>
      </w:r>
      <w:r w:rsidRPr="006720AE">
        <w:rPr>
          <w:rFonts w:asciiTheme="majorHAnsi" w:hAnsiTheme="majorHAnsi"/>
        </w:rPr>
        <w:t> více než v loňském roce</w:t>
      </w:r>
      <w:r w:rsidR="001713A6" w:rsidRPr="006720AE">
        <w:rPr>
          <w:rFonts w:asciiTheme="majorHAnsi" w:hAnsiTheme="majorHAnsi"/>
        </w:rPr>
        <w:t xml:space="preserve"> (</w:t>
      </w:r>
      <w:r w:rsidR="00B03E7D" w:rsidRPr="006720AE">
        <w:rPr>
          <w:rFonts w:asciiTheme="majorHAnsi" w:hAnsiTheme="majorHAnsi"/>
        </w:rPr>
        <w:t>s</w:t>
      </w:r>
      <w:r w:rsidR="00883530" w:rsidRPr="006720AE">
        <w:rPr>
          <w:rFonts w:asciiTheme="majorHAnsi" w:hAnsiTheme="majorHAnsi"/>
        </w:rPr>
        <w:t>rovnává</w:t>
      </w:r>
      <w:r w:rsidR="001713A6" w:rsidRPr="006720AE">
        <w:rPr>
          <w:rFonts w:asciiTheme="majorHAnsi" w:hAnsiTheme="majorHAnsi"/>
        </w:rPr>
        <w:t xml:space="preserve">me-li </w:t>
      </w:r>
      <w:r w:rsidR="00883530" w:rsidRPr="006720AE">
        <w:rPr>
          <w:rFonts w:asciiTheme="majorHAnsi" w:hAnsiTheme="majorHAnsi"/>
        </w:rPr>
        <w:t>s </w:t>
      </w:r>
      <w:r w:rsidR="001713A6" w:rsidRPr="006720AE">
        <w:rPr>
          <w:rFonts w:asciiTheme="majorHAnsi" w:hAnsiTheme="majorHAnsi"/>
        </w:rPr>
        <w:t>cca 1 </w:t>
      </w:r>
      <w:r w:rsidR="009B1E7A" w:rsidRPr="006720AE">
        <w:rPr>
          <w:rFonts w:asciiTheme="majorHAnsi" w:hAnsiTheme="majorHAnsi"/>
        </w:rPr>
        <w:t>0</w:t>
      </w:r>
      <w:r w:rsidR="001713A6" w:rsidRPr="006720AE">
        <w:rPr>
          <w:rFonts w:asciiTheme="majorHAnsi" w:hAnsiTheme="majorHAnsi"/>
        </w:rPr>
        <w:t>00 zaměstnanecký</w:t>
      </w:r>
      <w:r w:rsidR="00883530" w:rsidRPr="006720AE">
        <w:rPr>
          <w:rFonts w:asciiTheme="majorHAnsi" w:hAnsiTheme="majorHAnsi"/>
        </w:rPr>
        <w:t>mi</w:t>
      </w:r>
      <w:r w:rsidR="001713A6" w:rsidRPr="006720AE">
        <w:rPr>
          <w:rFonts w:asciiTheme="majorHAnsi" w:hAnsiTheme="majorHAnsi"/>
        </w:rPr>
        <w:t xml:space="preserve"> kart</w:t>
      </w:r>
      <w:r w:rsidR="00883530" w:rsidRPr="006720AE">
        <w:rPr>
          <w:rFonts w:asciiTheme="majorHAnsi" w:hAnsiTheme="majorHAnsi"/>
        </w:rPr>
        <w:t>ami</w:t>
      </w:r>
      <w:r w:rsidR="009B1E7A" w:rsidRPr="006720AE">
        <w:rPr>
          <w:rFonts w:asciiTheme="majorHAnsi" w:hAnsiTheme="majorHAnsi"/>
        </w:rPr>
        <w:t>, včetně zelených karet</w:t>
      </w:r>
      <w:r w:rsidR="001713A6" w:rsidRPr="006720AE">
        <w:rPr>
          <w:rFonts w:asciiTheme="majorHAnsi" w:hAnsiTheme="majorHAnsi"/>
        </w:rPr>
        <w:t xml:space="preserve"> a cca 1 100 dlouhodobý</w:t>
      </w:r>
      <w:r w:rsidR="00883530" w:rsidRPr="006720AE">
        <w:rPr>
          <w:rFonts w:asciiTheme="majorHAnsi" w:hAnsiTheme="majorHAnsi"/>
        </w:rPr>
        <w:t>mi</w:t>
      </w:r>
      <w:r w:rsidR="001713A6" w:rsidRPr="006720AE">
        <w:rPr>
          <w:rFonts w:asciiTheme="majorHAnsi" w:hAnsiTheme="majorHAnsi"/>
        </w:rPr>
        <w:t xml:space="preserve"> víz</w:t>
      </w:r>
      <w:r w:rsidR="00883530" w:rsidRPr="006720AE">
        <w:rPr>
          <w:rFonts w:asciiTheme="majorHAnsi" w:hAnsiTheme="majorHAnsi"/>
        </w:rPr>
        <w:t>y</w:t>
      </w:r>
      <w:r w:rsidR="001713A6" w:rsidRPr="006720AE">
        <w:rPr>
          <w:rFonts w:asciiTheme="majorHAnsi" w:hAnsiTheme="majorHAnsi"/>
        </w:rPr>
        <w:t xml:space="preserve"> za účelem zaměstnání udělený</w:t>
      </w:r>
      <w:r w:rsidR="00883530" w:rsidRPr="006720AE">
        <w:rPr>
          <w:rFonts w:asciiTheme="majorHAnsi" w:hAnsiTheme="majorHAnsi"/>
        </w:rPr>
        <w:t>mi</w:t>
      </w:r>
      <w:r w:rsidR="001713A6" w:rsidRPr="006720AE">
        <w:rPr>
          <w:rFonts w:asciiTheme="majorHAnsi" w:hAnsiTheme="majorHAnsi"/>
        </w:rPr>
        <w:t xml:space="preserve"> v roce 2014)</w:t>
      </w:r>
      <w:r w:rsidRPr="006720AE">
        <w:rPr>
          <w:rFonts w:asciiTheme="majorHAnsi" w:hAnsiTheme="majorHAnsi"/>
        </w:rPr>
        <w:t xml:space="preserve">. </w:t>
      </w:r>
      <w:r w:rsidR="001713A6" w:rsidRPr="006720AE">
        <w:rPr>
          <w:rFonts w:asciiTheme="majorHAnsi" w:hAnsiTheme="majorHAnsi"/>
        </w:rPr>
        <w:t>Vysoký a</w:t>
      </w:r>
      <w:r w:rsidRPr="006720AE">
        <w:rPr>
          <w:rFonts w:asciiTheme="majorHAnsi" w:hAnsiTheme="majorHAnsi"/>
        </w:rPr>
        <w:t xml:space="preserve">bsolutní nárůst udělených </w:t>
      </w:r>
      <w:r w:rsidR="001713A6" w:rsidRPr="006720AE">
        <w:rPr>
          <w:rFonts w:asciiTheme="majorHAnsi" w:hAnsiTheme="majorHAnsi"/>
        </w:rPr>
        <w:t>povolení k pobytu</w:t>
      </w:r>
      <w:r w:rsidRPr="006720AE">
        <w:rPr>
          <w:rFonts w:asciiTheme="majorHAnsi" w:hAnsiTheme="majorHAnsi"/>
        </w:rPr>
        <w:t xml:space="preserve"> oproti 2014 ale zaznamenal</w:t>
      </w:r>
      <w:r w:rsidR="001713A6" w:rsidRPr="006720AE">
        <w:rPr>
          <w:rFonts w:asciiTheme="majorHAnsi" w:hAnsiTheme="majorHAnsi"/>
        </w:rPr>
        <w:t xml:space="preserve"> také účel </w:t>
      </w:r>
      <w:r w:rsidR="009B1E7A" w:rsidRPr="006720AE">
        <w:rPr>
          <w:rFonts w:asciiTheme="majorHAnsi" w:hAnsiTheme="majorHAnsi"/>
        </w:rPr>
        <w:t>sloučení rodiny</w:t>
      </w:r>
      <w:r w:rsidR="001713A6" w:rsidRPr="006720AE">
        <w:rPr>
          <w:rFonts w:asciiTheme="majorHAnsi" w:hAnsiTheme="majorHAnsi"/>
        </w:rPr>
        <w:t xml:space="preserve"> (</w:t>
      </w:r>
      <w:r w:rsidR="00883530" w:rsidRPr="006720AE">
        <w:rPr>
          <w:rFonts w:asciiTheme="majorHAnsi" w:hAnsiTheme="majorHAnsi"/>
        </w:rPr>
        <w:t>o více než 600 kladně vyřízených žádostí)</w:t>
      </w:r>
      <w:r w:rsidRPr="006720AE">
        <w:rPr>
          <w:rFonts w:asciiTheme="majorHAnsi" w:hAnsiTheme="majorHAnsi"/>
        </w:rPr>
        <w:t>.</w:t>
      </w:r>
    </w:p>
    <w:p w:rsidR="002F0F34" w:rsidRPr="006720AE" w:rsidRDefault="002F0F34" w:rsidP="009B1E7A">
      <w:pPr>
        <w:spacing w:before="120" w:after="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43575" cy="32480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7A" w:rsidRPr="006720AE" w:rsidRDefault="009B1E7A" w:rsidP="009B1E7A">
      <w:pPr>
        <w:keepNext/>
        <w:keepLines/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20AE">
        <w:rPr>
          <w:rFonts w:asciiTheme="majorHAnsi" w:hAnsiTheme="majorHAnsi"/>
          <w:sz w:val="18"/>
          <w:szCs w:val="18"/>
        </w:rPr>
        <w:t>Zdroj: IS CIS</w:t>
      </w:r>
    </w:p>
    <w:p w:rsidR="002F7330" w:rsidRPr="006720AE" w:rsidRDefault="002F7330" w:rsidP="002F7330">
      <w:pPr>
        <w:spacing w:before="120"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>Všechny TOP 10 státní příslušnosti v roce 2015</w:t>
      </w:r>
      <w:r w:rsidR="00883530" w:rsidRPr="006720AE">
        <w:rPr>
          <w:rFonts w:asciiTheme="majorHAnsi" w:hAnsiTheme="majorHAnsi"/>
        </w:rPr>
        <w:t xml:space="preserve"> </w:t>
      </w:r>
      <w:r w:rsidRPr="006720AE">
        <w:rPr>
          <w:rFonts w:asciiTheme="majorHAnsi" w:hAnsiTheme="majorHAnsi"/>
        </w:rPr>
        <w:t xml:space="preserve">zaznamenaly oproti roku 2014 nárůst počtu </w:t>
      </w:r>
      <w:r w:rsidR="00883530" w:rsidRPr="006720AE">
        <w:rPr>
          <w:rFonts w:asciiTheme="majorHAnsi" w:hAnsiTheme="majorHAnsi"/>
        </w:rPr>
        <w:t>udělených</w:t>
      </w:r>
      <w:r w:rsidRPr="006720AE">
        <w:rPr>
          <w:rFonts w:asciiTheme="majorHAnsi" w:hAnsiTheme="majorHAnsi"/>
        </w:rPr>
        <w:t> </w:t>
      </w:r>
      <w:r w:rsidR="00883530" w:rsidRPr="006720AE">
        <w:rPr>
          <w:rFonts w:asciiTheme="majorHAnsi" w:hAnsiTheme="majorHAnsi"/>
        </w:rPr>
        <w:t>povolení k </w:t>
      </w:r>
      <w:r w:rsidRPr="006720AE">
        <w:rPr>
          <w:rFonts w:asciiTheme="majorHAnsi" w:hAnsiTheme="majorHAnsi"/>
        </w:rPr>
        <w:t>dlouhodobé</w:t>
      </w:r>
      <w:r w:rsidR="00883530" w:rsidRPr="006720AE">
        <w:rPr>
          <w:rFonts w:asciiTheme="majorHAnsi" w:hAnsiTheme="majorHAnsi"/>
        </w:rPr>
        <w:t>mu</w:t>
      </w:r>
      <w:r w:rsidRPr="006720AE">
        <w:rPr>
          <w:rFonts w:asciiTheme="majorHAnsi" w:hAnsiTheme="majorHAnsi"/>
        </w:rPr>
        <w:t xml:space="preserve"> </w:t>
      </w:r>
      <w:r w:rsidR="00883530" w:rsidRPr="006720AE">
        <w:rPr>
          <w:rFonts w:asciiTheme="majorHAnsi" w:hAnsiTheme="majorHAnsi"/>
        </w:rPr>
        <w:t>pobytu</w:t>
      </w:r>
      <w:r w:rsidRPr="006720AE">
        <w:rPr>
          <w:rFonts w:asciiTheme="majorHAnsi" w:hAnsiTheme="majorHAnsi"/>
        </w:rPr>
        <w:t xml:space="preserve">. </w:t>
      </w:r>
      <w:r w:rsidR="00883530" w:rsidRPr="006720AE">
        <w:rPr>
          <w:rFonts w:asciiTheme="majorHAnsi" w:hAnsiTheme="majorHAnsi"/>
        </w:rPr>
        <w:t>Na tomto nárůstu mají hlavní podíl zaměstnanecké karty.</w:t>
      </w:r>
    </w:p>
    <w:p w:rsidR="00034E2A" w:rsidRPr="006720AE" w:rsidRDefault="00034E2A" w:rsidP="00034E2A">
      <w:pPr>
        <w:widowControl w:val="0"/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44635A" w:rsidRPr="006720AE" w:rsidRDefault="0044635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720AE">
        <w:rPr>
          <w:rFonts w:asciiTheme="majorHAnsi" w:hAnsiTheme="majorHAnsi"/>
        </w:rPr>
        <w:br w:type="page"/>
      </w:r>
    </w:p>
    <w:p w:rsidR="00DD22B9" w:rsidRPr="006720AE" w:rsidRDefault="00EC19D9" w:rsidP="00392CD0">
      <w:pPr>
        <w:pStyle w:val="Nadpis2"/>
        <w:spacing w:before="240" w:after="240" w:line="240" w:lineRule="auto"/>
      </w:pPr>
      <w:bookmarkStart w:id="7" w:name="_Toc440627795"/>
      <w:r w:rsidRPr="006720AE">
        <w:lastRenderedPageBreak/>
        <w:t>I.</w:t>
      </w:r>
      <w:r w:rsidR="006720AE">
        <w:t>3</w:t>
      </w:r>
      <w:r w:rsidR="00DD22B9" w:rsidRPr="006720AE">
        <w:t>. Nelegální migrace</w:t>
      </w:r>
      <w:r w:rsidRPr="006720AE">
        <w:t xml:space="preserve"> (gesce Policie ČR)</w:t>
      </w:r>
      <w:bookmarkEnd w:id="7"/>
    </w:p>
    <w:p w:rsidR="00623A40" w:rsidRPr="006720AE" w:rsidRDefault="00623A40" w:rsidP="00623A40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V období od 1. 1. do 31. 12. 2015 bylo zjištěno celkem 8 563 osob při nelegální migraci na území ČR. V porovnání s rokem 2014 došlo k vysokému nárůstu, a to o 3 741 osob (tj. o 78 %). Z celkového počtu bylo 8 323 osob (tj. 97 %) odhaleno při nelegálním pobytu a 240 osob zjištěno při nelegální migraci přes vnější schengenskou hranici ČR.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220"/>
        <w:gridCol w:w="1227"/>
        <w:gridCol w:w="288"/>
        <w:gridCol w:w="288"/>
        <w:gridCol w:w="667"/>
        <w:gridCol w:w="499"/>
        <w:gridCol w:w="174"/>
        <w:gridCol w:w="205"/>
        <w:gridCol w:w="230"/>
        <w:gridCol w:w="476"/>
        <w:gridCol w:w="239"/>
        <w:gridCol w:w="108"/>
        <w:gridCol w:w="343"/>
        <w:gridCol w:w="338"/>
        <w:gridCol w:w="67"/>
        <w:gridCol w:w="204"/>
        <w:gridCol w:w="189"/>
        <w:gridCol w:w="527"/>
        <w:gridCol w:w="57"/>
        <w:gridCol w:w="866"/>
      </w:tblGrid>
      <w:tr w:rsidR="006A74CA" w:rsidRPr="006720AE" w:rsidTr="006A74CA">
        <w:trPr>
          <w:trHeight w:val="225"/>
          <w:jc w:val="center"/>
        </w:trPr>
        <w:tc>
          <w:tcPr>
            <w:tcW w:w="28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Nelegální migrace v ČR </w:t>
            </w:r>
            <w:r w:rsidR="00FD28DB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–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kategorie</w:t>
            </w:r>
            <w:r w:rsidR="00FD28DB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FD28DB" w:rsidRPr="006720AE">
              <w:rPr>
                <w:rFonts w:asciiTheme="majorHAnsi" w:hAnsiTheme="majorHAnsi" w:cs="Arial"/>
                <w:bCs/>
                <w:sz w:val="18"/>
                <w:szCs w:val="18"/>
              </w:rPr>
              <w:t>(zdroj: IS CIS)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450"/>
          <w:jc w:val="center"/>
        </w:trPr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- 31. 12.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-31. 12.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Změna oproti předchozímu období</w:t>
            </w:r>
          </w:p>
        </w:tc>
      </w:tr>
      <w:tr w:rsidR="006A74CA" w:rsidRPr="006720AE" w:rsidTr="006A74CA">
        <w:trPr>
          <w:trHeight w:val="28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 [ %]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absolutní číslo</w:t>
            </w:r>
          </w:p>
        </w:tc>
      </w:tr>
      <w:tr w:rsidR="006A74CA" w:rsidRPr="006720AE" w:rsidTr="006A74CA">
        <w:trPr>
          <w:trHeight w:val="270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migrace</w:t>
            </w:r>
            <w:r w:rsidRPr="006720AE">
              <w:rPr>
                <w:rFonts w:asciiTheme="majorHAnsi" w:hAnsiTheme="majorHAnsi" w:cs="Arial"/>
                <w:sz w:val="18"/>
                <w:szCs w:val="18"/>
              </w:rPr>
              <w:t xml:space="preserve"> (zjištěno osob)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4 822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8 563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77,6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3 741</w:t>
            </w:r>
          </w:p>
        </w:tc>
      </w:tr>
      <w:tr w:rsidR="006A74CA" w:rsidRPr="006720AE" w:rsidTr="006A74CA">
        <w:trPr>
          <w:trHeight w:val="270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</w:tr>
      <w:tr w:rsidR="006A74CA" w:rsidRPr="006720AE" w:rsidTr="006A74CA">
        <w:trPr>
          <w:trHeight w:val="270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přes vnější schengenskou hranici ČR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181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3,8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240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32,6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59</w:t>
            </w:r>
          </w:p>
        </w:tc>
      </w:tr>
      <w:tr w:rsidR="006A74CA" w:rsidRPr="006720AE" w:rsidTr="006A74CA">
        <w:trPr>
          <w:trHeight w:val="240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nelegální pobyt*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4 641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96,2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8 323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97,2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79,3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3 682</w:t>
            </w:r>
          </w:p>
        </w:tc>
      </w:tr>
      <w:tr w:rsidR="006A74CA" w:rsidRPr="006720AE" w:rsidTr="006A74CA">
        <w:trPr>
          <w:trHeight w:val="274"/>
          <w:jc w:val="center"/>
        </w:trPr>
        <w:tc>
          <w:tcPr>
            <w:tcW w:w="31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* osoby zjištěné ve vnitrozemí a na letištích při nelegálním pobytu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31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migrace na území ČR - TOP 10</w:t>
            </w:r>
            <w:r w:rsidR="00FD28DB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FD28DB" w:rsidRPr="006720AE">
              <w:rPr>
                <w:rFonts w:asciiTheme="majorHAnsi" w:hAnsiTheme="majorHAnsi" w:cs="Arial"/>
                <w:bCs/>
                <w:sz w:val="18"/>
                <w:szCs w:val="18"/>
              </w:rPr>
              <w:t>(zdroj: IS CIS)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435"/>
          <w:jc w:val="center"/>
        </w:trPr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- 31. 12.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- 31. 12.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Změna oproti předchozímu období</w:t>
            </w:r>
          </w:p>
        </w:tc>
      </w:tr>
      <w:tr w:rsidR="006A74CA" w:rsidRPr="006720AE" w:rsidTr="006A74CA">
        <w:trPr>
          <w:trHeight w:val="330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 [ %]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absolutní číslo</w:t>
            </w:r>
          </w:p>
        </w:tc>
      </w:tr>
      <w:tr w:rsidR="006A74CA" w:rsidRPr="006720AE" w:rsidTr="006A74CA">
        <w:trPr>
          <w:trHeight w:val="31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zjištěno osob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4 822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8 563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77,6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</w:rPr>
              <w:t>3 741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 nejvíce státní příslušnost: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 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Sýrie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146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2 016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23,5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1 280,8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1 870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Ukrajina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1 035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21,5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1 256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14,7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21,4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221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Kuvajt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451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9,4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591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6,9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31,0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140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Afghánistán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73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1,5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6,8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701,4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512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Rusko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435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9,0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-6,9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-30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Irák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0,4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404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2 276,5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387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Pákistán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0,5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282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1 126,1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259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Kosovo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183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3,8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264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44,3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81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Saudská Arábie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4,8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262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13,4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color w:val="FF0000"/>
                <w:sz w:val="18"/>
                <w:szCs w:val="18"/>
              </w:rPr>
              <w:t>31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Vietnam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304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6,3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-24,0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-73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migrace na území ČR - TOP 10 a kategorie</w:t>
            </w:r>
            <w:r w:rsidR="00FD28DB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FD28DB" w:rsidRPr="006720AE">
              <w:rPr>
                <w:rFonts w:asciiTheme="majorHAnsi" w:hAnsiTheme="majorHAnsi" w:cs="Arial"/>
                <w:bCs/>
                <w:sz w:val="18"/>
                <w:szCs w:val="18"/>
              </w:rPr>
              <w:t>(zdroj: IS CIS)</w:t>
            </w:r>
          </w:p>
        </w:tc>
        <w:tc>
          <w:tcPr>
            <w:tcW w:w="7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285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– 31. 12. 2015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zjištěno osob</w:t>
            </w: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celkem NM</w:t>
            </w: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20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 z toho </w:t>
            </w:r>
          </w:p>
        </w:tc>
      </w:tr>
      <w:tr w:rsidR="006A74CA" w:rsidRPr="006720AE" w:rsidTr="006A74CA">
        <w:trPr>
          <w:trHeight w:val="480"/>
          <w:jc w:val="center"/>
        </w:trPr>
        <w:tc>
          <w:tcPr>
            <w:tcW w:w="21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pobyt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vnější </w:t>
            </w:r>
            <w:proofErr w:type="spellStart"/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sch</w:t>
            </w:r>
            <w:proofErr w:type="spellEnd"/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</w:t>
            </w:r>
          </w:p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hranice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8 563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8 323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97,2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2,8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 nejvíce státní příslušnost: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Sýrie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2 016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23,5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2 016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Ukrajina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1 256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14,7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1 224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97,5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2,5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Kuvajt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591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6,9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588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99,5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0,5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Afghánistán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6,8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583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99,7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0,3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Rusko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358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88,4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11,6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Irák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403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99,8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0,2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Pákistán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282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3,3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276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97,9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2,1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Kosovo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264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Saudská Arábie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258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98,5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1,5</w:t>
            </w:r>
          </w:p>
        </w:tc>
      </w:tr>
      <w:tr w:rsidR="006A74CA" w:rsidRPr="006720AE" w:rsidTr="006A74CA">
        <w:trPr>
          <w:trHeight w:val="225"/>
          <w:jc w:val="center"/>
        </w:trPr>
        <w:tc>
          <w:tcPr>
            <w:tcW w:w="21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ind w:firstLineChars="200" w:firstLine="360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Vietnam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231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229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99,1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0,9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30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migrace v ČR – TOP 10 dle kategorií</w:t>
            </w:r>
            <w:r w:rsidR="00FD28DB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FD28DB" w:rsidRPr="006720AE">
              <w:rPr>
                <w:rFonts w:asciiTheme="majorHAnsi" w:hAnsiTheme="majorHAnsi" w:cs="Arial"/>
                <w:bCs/>
                <w:sz w:val="18"/>
                <w:szCs w:val="18"/>
              </w:rPr>
              <w:t>(zdroj: IS CIS)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39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 1. – 31. 12. 2015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39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migrace v ČR</w:t>
            </w:r>
          </w:p>
        </w:tc>
      </w:tr>
      <w:tr w:rsidR="006A74CA" w:rsidRPr="006720AE" w:rsidTr="006A74CA">
        <w:trPr>
          <w:gridAfter w:val="6"/>
          <w:wAfter w:w="1046" w:type="pct"/>
          <w:trHeight w:val="45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Nelegální pobyt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zjištěno osob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</w:t>
            </w:r>
            <w:r w:rsidR="00FF7EF2"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Přes vnější </w:t>
            </w:r>
          </w:p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Schengenskou</w:t>
            </w:r>
          </w:p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hranici</w:t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zjištěno osob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tj. %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8 323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 občané ČR</w:t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0,0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 xml:space="preserve">     cizinci</w:t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240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100,0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občané EU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1,9</w:t>
            </w:r>
          </w:p>
        </w:tc>
        <w:tc>
          <w:tcPr>
            <w:tcW w:w="7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z toho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občané EU</w:t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1,7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     občané 3. státu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8 163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98,1</w:t>
            </w:r>
          </w:p>
        </w:tc>
        <w:tc>
          <w:tcPr>
            <w:tcW w:w="7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 občané 3. státu</w:t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98,3</w:t>
            </w:r>
          </w:p>
        </w:tc>
      </w:tr>
      <w:tr w:rsidR="006A74CA" w:rsidRPr="006720AE" w:rsidTr="006A74CA">
        <w:trPr>
          <w:gridAfter w:val="6"/>
          <w:wAfter w:w="1046" w:type="pct"/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 xml:space="preserve">z toho 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10 </w:t>
            </w:r>
          </w:p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nejčetnějších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státních příslušností</w:t>
            </w:r>
          </w:p>
        </w:tc>
        <w:tc>
          <w:tcPr>
            <w:tcW w:w="7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 xml:space="preserve">z toho </w:t>
            </w:r>
            <w:r w:rsidRPr="006720A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 nejčetnějších</w:t>
            </w:r>
          </w:p>
        </w:tc>
        <w:tc>
          <w:tcPr>
            <w:tcW w:w="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 xml:space="preserve">státních příslušností 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Sýrie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2016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24,2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Rusko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19,6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Ukrajina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1224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14,7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uprchlík 1951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15,8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Kuvajt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7,1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Ukrajina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13,3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Afghánistán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583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7,0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Albánie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8,8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Irák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4,8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Turecko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4,6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Rusko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358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4,3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Čína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3,8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Pákistán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276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3,3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Pákistán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2,5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Kosovo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264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3,2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Saudská Arábie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1,7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Saudská Arábie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258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3,1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Kazachstán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1,7</w:t>
            </w:r>
          </w:p>
        </w:tc>
      </w:tr>
      <w:tr w:rsidR="006A74CA" w:rsidRPr="006720AE" w:rsidTr="006A74CA">
        <w:trPr>
          <w:gridAfter w:val="6"/>
          <w:wAfter w:w="1046" w:type="pct"/>
          <w:trHeight w:val="225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Vietnam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229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2,8</w:t>
            </w:r>
          </w:p>
        </w:tc>
        <w:tc>
          <w:tcPr>
            <w:tcW w:w="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ind w:firstLineChars="100" w:firstLine="18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USA</w:t>
            </w:r>
          </w:p>
        </w:tc>
        <w:tc>
          <w:tcPr>
            <w:tcW w:w="5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6720AE" w:rsidRDefault="006A74CA" w:rsidP="006A74CA">
            <w:pPr>
              <w:keepNext/>
              <w:keepLine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6720AE">
              <w:rPr>
                <w:rFonts w:asciiTheme="majorHAnsi" w:hAnsiTheme="majorHAnsi" w:cs="Arial"/>
                <w:sz w:val="18"/>
                <w:szCs w:val="18"/>
              </w:rPr>
              <w:t>1,7</w:t>
            </w:r>
          </w:p>
        </w:tc>
      </w:tr>
    </w:tbl>
    <w:p w:rsidR="006A74CA" w:rsidRPr="006720AE" w:rsidRDefault="006A74CA" w:rsidP="006A74C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D96DD7" w:rsidRPr="006720AE" w:rsidRDefault="00D96DD7" w:rsidP="006A74CA">
      <w:pPr>
        <w:pStyle w:val="Nadpis2"/>
        <w:spacing w:before="0" w:line="240" w:lineRule="auto"/>
        <w:rPr>
          <w:sz w:val="18"/>
          <w:szCs w:val="18"/>
        </w:rPr>
      </w:pPr>
    </w:p>
    <w:p w:rsidR="00DD22B9" w:rsidRPr="006720AE" w:rsidRDefault="00EC19D9" w:rsidP="002B5696">
      <w:pPr>
        <w:pStyle w:val="Nadpis3"/>
        <w:spacing w:before="240" w:after="120" w:line="240" w:lineRule="auto"/>
      </w:pPr>
      <w:bookmarkStart w:id="8" w:name="_Toc440627796"/>
      <w:r w:rsidRPr="006720AE">
        <w:t>I.</w:t>
      </w:r>
      <w:r w:rsidR="006720AE">
        <w:t>3</w:t>
      </w:r>
      <w:r w:rsidRPr="006720AE">
        <w:t>.1</w:t>
      </w:r>
      <w:r w:rsidR="00DD22B9" w:rsidRPr="006720AE">
        <w:t xml:space="preserve">. </w:t>
      </w:r>
      <w:r w:rsidR="00131675" w:rsidRPr="006720AE">
        <w:t>N</w:t>
      </w:r>
      <w:r w:rsidR="00DD22B9" w:rsidRPr="006720AE">
        <w:t xml:space="preserve">elegální </w:t>
      </w:r>
      <w:r w:rsidR="00623A40" w:rsidRPr="006720AE">
        <w:t>migrace přes vnější schengenskou hranici</w:t>
      </w:r>
      <w:bookmarkEnd w:id="8"/>
    </w:p>
    <w:p w:rsidR="00131675" w:rsidRPr="006720AE" w:rsidRDefault="00131675" w:rsidP="00131675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V kategorii „nelegální migrace přes vnější schengenskou hranici“ jsou sledovány osoby, které nedovoleně překročily nebo se pokusily o nedovolené překročení vnější schengenské hranice (letiště) ČR (cizinci, i občané ČR). </w:t>
      </w:r>
    </w:p>
    <w:p w:rsidR="00131675" w:rsidRPr="006720AE" w:rsidRDefault="00131675" w:rsidP="00131675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V období od 1. 1. do 31. 12. 2015 bylo při nelegální migraci přes vnější schengenskou hranici ČR odhaleno 240 osob</w:t>
      </w:r>
      <w:r w:rsidRPr="006720AE">
        <w:rPr>
          <w:rFonts w:asciiTheme="majorHAnsi" w:hAnsiTheme="majorHAnsi" w:cs="Arial"/>
        </w:rPr>
        <w:t xml:space="preserve">. </w:t>
      </w:r>
      <w:r w:rsidRPr="006720AE">
        <w:rPr>
          <w:rFonts w:asciiTheme="majorHAnsi" w:hAnsiTheme="majorHAnsi" w:cs="Arial"/>
          <w:b/>
        </w:rPr>
        <w:t>V meziročním porovnání došlo ke zvýšení o 59 osob</w:t>
      </w:r>
      <w:r w:rsidRPr="006720AE">
        <w:rPr>
          <w:rFonts w:asciiTheme="majorHAnsi" w:hAnsiTheme="majorHAnsi" w:cs="Arial"/>
        </w:rPr>
        <w:t xml:space="preserve"> (tj. o 33 %). Kromě tří osob byly všechny odhaleny na mezinárodním letišti </w:t>
      </w:r>
      <w:r w:rsidR="00E1082B" w:rsidRPr="006720AE">
        <w:rPr>
          <w:rFonts w:asciiTheme="majorHAnsi" w:hAnsiTheme="majorHAnsi" w:cs="Arial"/>
        </w:rPr>
        <w:t>v </w:t>
      </w:r>
      <w:r w:rsidRPr="006720AE">
        <w:rPr>
          <w:rFonts w:asciiTheme="majorHAnsi" w:hAnsiTheme="majorHAnsi" w:cs="Arial"/>
        </w:rPr>
        <w:t>Pra</w:t>
      </w:r>
      <w:r w:rsidR="00E1082B" w:rsidRPr="006720AE">
        <w:rPr>
          <w:rFonts w:asciiTheme="majorHAnsi" w:hAnsiTheme="majorHAnsi" w:cs="Arial"/>
        </w:rPr>
        <w:t>ze</w:t>
      </w:r>
      <w:r w:rsidRPr="006720AE">
        <w:rPr>
          <w:rFonts w:asciiTheme="majorHAnsi" w:hAnsiTheme="majorHAnsi" w:cs="Arial"/>
        </w:rPr>
        <w:t xml:space="preserve">. Z hlediska směru migrace se jednalo zejména o </w:t>
      </w:r>
      <w:r w:rsidRPr="006720AE">
        <w:rPr>
          <w:rFonts w:asciiTheme="majorHAnsi" w:hAnsiTheme="majorHAnsi" w:cs="Arial"/>
          <w:b/>
        </w:rPr>
        <w:t>směr do ČR</w:t>
      </w:r>
      <w:r w:rsidRPr="006720AE">
        <w:rPr>
          <w:rFonts w:asciiTheme="majorHAnsi" w:hAnsiTheme="majorHAnsi" w:cs="Arial"/>
        </w:rPr>
        <w:t xml:space="preserve"> (194 osob, tj. 81 %).</w:t>
      </w:r>
    </w:p>
    <w:p w:rsidR="00131675" w:rsidRPr="006720AE" w:rsidRDefault="00131675" w:rsidP="00131675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Bylo zjištěno 47 státních příslušností, </w:t>
      </w:r>
      <w:r w:rsidRPr="006720AE">
        <w:rPr>
          <w:rFonts w:asciiTheme="majorHAnsi" w:hAnsiTheme="majorHAnsi" w:cs="Arial"/>
          <w:b/>
        </w:rPr>
        <w:t>nejvíce občanů Ruska (47 osob, tj. 20 %), uprchlíků dle Konvence 1951 (38 osob), Ukrajiny (32 osob)</w:t>
      </w:r>
      <w:r w:rsidRPr="006720AE">
        <w:rPr>
          <w:rFonts w:asciiTheme="majorHAnsi" w:hAnsiTheme="majorHAnsi" w:cs="Arial"/>
        </w:rPr>
        <w:t xml:space="preserve"> a Albánie (21 osob). Většina občanů Ukrajiny a Albánie předkládala při hraniční kontrole neregulérní cestovní doklady, občané Ruska byli zjišťováni hlavně na vstupu do ČR, kdy nedisponovali platnými vízy. V případě uprchlíků dle Konvence 1951 se jednalo o osoby cestující z Velké Británie bez platných víz. </w:t>
      </w:r>
    </w:p>
    <w:p w:rsidR="00131675" w:rsidRPr="006720AE" w:rsidRDefault="00131675" w:rsidP="00131675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Celkem 70 osob při hraniční kontrole předložilo neregulérní cestovní doklad, což značí v meziročním porovnání nárůst, a to o 23 osob (tj. o 49 %). Tento nárůst je evidován na odletu z ČR, kdy v hodnoceném období bylo odhaleno 46 osob, zatímco za rok 2014 se jednalo o 13 osob. Ve směru na příletu je v meziročním srovnání vykázán pokles (rok 2015: 24 osob, rok 2014: 34 osob). Z hlediska státních příslušností se jednalo zejména o občany Ukrajiny (21 osob) a Albánie (16), kteří byli odhalováni zejména ve směru z ČR, kdy cílovou destinací byla Velká Británie. Celkem bylo zjištěno 82</w:t>
      </w:r>
      <w:r w:rsidRPr="006720AE">
        <w:rPr>
          <w:rFonts w:asciiTheme="majorHAnsi" w:hAnsiTheme="majorHAnsi"/>
          <w:vertAlign w:val="superscript"/>
        </w:rPr>
        <w:footnoteReference w:id="2"/>
      </w:r>
      <w:r w:rsidRPr="006720AE">
        <w:rPr>
          <w:rFonts w:asciiTheme="majorHAnsi" w:hAnsiTheme="majorHAnsi" w:cs="Arial"/>
        </w:rPr>
        <w:t xml:space="preserve"> cestovních dokladů, z toho se jednalo o 46 cestovních pasů a 36 průkazů totožnosti. Nejčastěji byly předkládány rumunské (28), polské (8), řecké (6) a italské (6) neregulérní cestovní doklady. </w:t>
      </w:r>
    </w:p>
    <w:p w:rsidR="00EC19D9" w:rsidRPr="006720AE" w:rsidRDefault="00EC19D9" w:rsidP="002B5696">
      <w:pPr>
        <w:pStyle w:val="Nadpis3"/>
        <w:spacing w:before="240" w:after="120" w:line="240" w:lineRule="auto"/>
      </w:pPr>
      <w:bookmarkStart w:id="9" w:name="_Toc440627797"/>
      <w:r w:rsidRPr="006720AE">
        <w:lastRenderedPageBreak/>
        <w:t>I.</w:t>
      </w:r>
      <w:r w:rsidR="006720AE">
        <w:t>3</w:t>
      </w:r>
      <w:r w:rsidRPr="006720AE">
        <w:t>.2</w:t>
      </w:r>
      <w:r w:rsidR="00DD22B9" w:rsidRPr="006720AE">
        <w:t xml:space="preserve">. </w:t>
      </w:r>
      <w:r w:rsidR="00131675" w:rsidRPr="006720AE">
        <w:t>N</w:t>
      </w:r>
      <w:r w:rsidR="00DD22B9" w:rsidRPr="006720AE">
        <w:t>elegální pobyt na území</w:t>
      </w:r>
      <w:bookmarkEnd w:id="9"/>
      <w:r w:rsidR="00DD22B9" w:rsidRPr="006720AE">
        <w:t xml:space="preserve"> </w:t>
      </w:r>
    </w:p>
    <w:p w:rsidR="00D96DD7" w:rsidRPr="006720AE" w:rsidRDefault="00D96DD7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V kategorii „Nelegální pobyt“ jsou vykazováni cizinci zjištění na území ČR, </w:t>
      </w:r>
      <w:r w:rsidR="006D348C" w:rsidRPr="006720AE">
        <w:rPr>
          <w:rFonts w:asciiTheme="majorHAnsi" w:hAnsiTheme="majorHAnsi" w:cs="Arial"/>
        </w:rPr>
        <w:t>kteří nelegálně pobývali na </w:t>
      </w:r>
      <w:r w:rsidRPr="006720AE">
        <w:rPr>
          <w:rFonts w:asciiTheme="majorHAnsi" w:hAnsiTheme="majorHAnsi" w:cs="Arial"/>
        </w:rPr>
        <w:t>území ČR (včetně tranzitního prostoru na letištích)</w:t>
      </w:r>
      <w:r w:rsidR="00EF55D6" w:rsidRPr="006720AE">
        <w:rPr>
          <w:rFonts w:asciiTheme="majorHAnsi" w:hAnsiTheme="majorHAnsi" w:cs="Arial"/>
        </w:rPr>
        <w:t xml:space="preserve"> - </w:t>
      </w:r>
      <w:r w:rsidR="00EF55D6" w:rsidRPr="006720AE">
        <w:rPr>
          <w:rFonts w:asciiTheme="majorHAnsi" w:hAnsiTheme="majorHAnsi" w:cs="Arial"/>
          <w:bCs/>
          <w:sz w:val="18"/>
          <w:szCs w:val="18"/>
        </w:rPr>
        <w:t>(zdroj: IS CIS)</w:t>
      </w:r>
      <w:r w:rsidRPr="006720AE">
        <w:rPr>
          <w:rFonts w:asciiTheme="majorHAnsi" w:hAnsiTheme="majorHAnsi" w:cs="Arial"/>
        </w:rPr>
        <w:t xml:space="preserve">. </w:t>
      </w:r>
    </w:p>
    <w:p w:rsidR="00D96DD7" w:rsidRPr="006720AE" w:rsidRDefault="006D348C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457450" cy="15430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DD7" w:rsidRPr="006720AE">
        <w:rPr>
          <w:rFonts w:asciiTheme="majorHAnsi" w:hAnsiTheme="majorHAnsi" w:cs="Arial"/>
          <w:b/>
        </w:rPr>
        <w:t xml:space="preserve">V období od 1. 1. do 31. 12. 2015 bylo zjištěno </w:t>
      </w:r>
      <w:r w:rsidRPr="006720AE">
        <w:rPr>
          <w:rFonts w:asciiTheme="majorHAnsi" w:hAnsiTheme="majorHAnsi" w:cs="Arial"/>
          <w:b/>
        </w:rPr>
        <w:t>při </w:t>
      </w:r>
      <w:r w:rsidR="00D96DD7" w:rsidRPr="006720AE">
        <w:rPr>
          <w:rFonts w:asciiTheme="majorHAnsi" w:hAnsiTheme="majorHAnsi" w:cs="Arial"/>
          <w:b/>
        </w:rPr>
        <w:t>nelegálním pobytu 8 323 cizinců</w:t>
      </w:r>
      <w:r w:rsidR="00D96DD7" w:rsidRPr="006720AE">
        <w:rPr>
          <w:rFonts w:asciiTheme="majorHAnsi" w:hAnsiTheme="majorHAnsi" w:cs="Arial"/>
        </w:rPr>
        <w:t xml:space="preserve">. V meziročním srovnání došlo </w:t>
      </w:r>
      <w:r w:rsidR="00DB3151" w:rsidRPr="006720AE">
        <w:rPr>
          <w:rFonts w:asciiTheme="majorHAnsi" w:hAnsiTheme="majorHAnsi" w:cs="Arial"/>
          <w:b/>
        </w:rPr>
        <w:t>k nárůstu, a to o </w:t>
      </w:r>
      <w:r w:rsidR="00D96DD7" w:rsidRPr="006720AE">
        <w:rPr>
          <w:rFonts w:asciiTheme="majorHAnsi" w:hAnsiTheme="majorHAnsi" w:cs="Arial"/>
          <w:b/>
        </w:rPr>
        <w:t>3 682 osob, což představuje zvýšení o 79 %</w:t>
      </w:r>
      <w:r w:rsidR="00D96DD7" w:rsidRPr="006720AE">
        <w:rPr>
          <w:rFonts w:asciiTheme="majorHAnsi" w:hAnsiTheme="majorHAnsi" w:cs="Arial"/>
        </w:rPr>
        <w:t xml:space="preserve">. V rámci jednotlivých měsíců byl </w:t>
      </w:r>
      <w:r w:rsidR="00D96DD7" w:rsidRPr="006720AE">
        <w:rPr>
          <w:rFonts w:asciiTheme="majorHAnsi" w:hAnsiTheme="majorHAnsi" w:cs="Arial"/>
          <w:b/>
        </w:rPr>
        <w:t>počet zjištěných osob rozložen nerovnoměrně</w:t>
      </w:r>
      <w:r w:rsidR="00D96DD7" w:rsidRPr="006720AE">
        <w:rPr>
          <w:rFonts w:asciiTheme="majorHAnsi" w:hAnsiTheme="majorHAnsi" w:cs="Arial"/>
        </w:rPr>
        <w:t xml:space="preserve"> (viz graf) - do května v rozmezí 400-500 osob; v červnu již téměř 600 osob, v červenci 1 050 osob, v srpnu skoro 1 800, od září (téměř 1 300 osob) došlo postupně k poklesu </w:t>
      </w:r>
      <w:r w:rsidRPr="006720AE">
        <w:rPr>
          <w:rFonts w:asciiTheme="majorHAnsi" w:hAnsiTheme="majorHAnsi" w:cs="Arial"/>
        </w:rPr>
        <w:t xml:space="preserve">- </w:t>
      </w:r>
      <w:r w:rsidR="00D96DD7" w:rsidRPr="006720AE">
        <w:rPr>
          <w:rFonts w:asciiTheme="majorHAnsi" w:hAnsiTheme="majorHAnsi" w:cs="Arial"/>
        </w:rPr>
        <w:t xml:space="preserve">v říjnu a listopadu (téměř po 500), </w:t>
      </w:r>
      <w:r w:rsidRPr="006720AE">
        <w:rPr>
          <w:rFonts w:asciiTheme="majorHAnsi" w:hAnsiTheme="majorHAnsi" w:cs="Arial"/>
        </w:rPr>
        <w:t>v </w:t>
      </w:r>
      <w:r w:rsidR="00D96DD7" w:rsidRPr="006720AE">
        <w:rPr>
          <w:rFonts w:asciiTheme="majorHAnsi" w:hAnsiTheme="majorHAnsi" w:cs="Arial"/>
        </w:rPr>
        <w:t>prosinci (</w:t>
      </w:r>
      <w:r w:rsidRPr="006720AE">
        <w:rPr>
          <w:rFonts w:asciiTheme="majorHAnsi" w:hAnsiTheme="majorHAnsi" w:cs="Arial"/>
        </w:rPr>
        <w:t xml:space="preserve">skoro 400, tj. </w:t>
      </w:r>
      <w:r w:rsidR="00D96DD7" w:rsidRPr="006720AE">
        <w:rPr>
          <w:rFonts w:asciiTheme="majorHAnsi" w:hAnsiTheme="majorHAnsi" w:cs="Arial"/>
        </w:rPr>
        <w:t>průměrný měsíční počet</w:t>
      </w:r>
      <w:r w:rsidRPr="006720AE">
        <w:rPr>
          <w:rFonts w:asciiTheme="majorHAnsi" w:hAnsiTheme="majorHAnsi" w:cs="Arial"/>
        </w:rPr>
        <w:t>)</w:t>
      </w:r>
      <w:r w:rsidR="00D96DD7" w:rsidRPr="006720AE">
        <w:rPr>
          <w:rFonts w:asciiTheme="majorHAnsi" w:hAnsiTheme="majorHAnsi" w:cs="Arial"/>
        </w:rPr>
        <w:t xml:space="preserve">. </w:t>
      </w:r>
    </w:p>
    <w:p w:rsidR="0063316F" w:rsidRPr="006720AE" w:rsidRDefault="00D96DD7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Nejvíce osob</w:t>
      </w:r>
      <w:r w:rsidR="006D348C" w:rsidRPr="006720AE">
        <w:rPr>
          <w:rFonts w:asciiTheme="majorHAnsi" w:hAnsiTheme="majorHAnsi" w:cs="Arial"/>
        </w:rPr>
        <w:t xml:space="preserve"> bylo</w:t>
      </w:r>
      <w:r w:rsidRPr="006720AE">
        <w:rPr>
          <w:rFonts w:asciiTheme="majorHAnsi" w:hAnsiTheme="majorHAnsi" w:cs="Arial"/>
        </w:rPr>
        <w:t xml:space="preserve"> zjištěn</w:t>
      </w:r>
      <w:r w:rsidR="006D348C" w:rsidRPr="006720AE">
        <w:rPr>
          <w:rFonts w:asciiTheme="majorHAnsi" w:hAnsiTheme="majorHAnsi" w:cs="Arial"/>
        </w:rPr>
        <w:t>o</w:t>
      </w:r>
      <w:r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  <w:b/>
        </w:rPr>
        <w:t>při kontrolní činnosti útvarů P</w:t>
      </w:r>
      <w:r w:rsidR="0063316F" w:rsidRPr="006720AE">
        <w:rPr>
          <w:rFonts w:asciiTheme="majorHAnsi" w:hAnsiTheme="majorHAnsi" w:cs="Arial"/>
          <w:b/>
        </w:rPr>
        <w:t xml:space="preserve">olicie </w:t>
      </w:r>
      <w:r w:rsidRPr="006720AE">
        <w:rPr>
          <w:rFonts w:asciiTheme="majorHAnsi" w:hAnsiTheme="majorHAnsi" w:cs="Arial"/>
          <w:b/>
        </w:rPr>
        <w:t>ČR</w:t>
      </w:r>
      <w:r w:rsidRPr="006720AE">
        <w:rPr>
          <w:rFonts w:asciiTheme="majorHAnsi" w:hAnsiTheme="majorHAnsi" w:cs="Arial"/>
        </w:rPr>
        <w:t xml:space="preserve"> (66 %). </w:t>
      </w:r>
      <w:r w:rsidR="006D348C" w:rsidRPr="006720AE">
        <w:rPr>
          <w:rFonts w:asciiTheme="majorHAnsi" w:hAnsiTheme="majorHAnsi" w:cs="Arial"/>
        </w:rPr>
        <w:t>Zde došlo ve srovnání s rokem 2014</w:t>
      </w:r>
      <w:r w:rsidR="00DB3151" w:rsidRPr="006720AE">
        <w:rPr>
          <w:rFonts w:asciiTheme="majorHAnsi" w:hAnsiTheme="majorHAnsi" w:cs="Arial"/>
        </w:rPr>
        <w:t> k </w:t>
      </w:r>
      <w:r w:rsidRPr="006720AE">
        <w:rPr>
          <w:rFonts w:asciiTheme="majorHAnsi" w:hAnsiTheme="majorHAnsi" w:cs="Arial"/>
        </w:rPr>
        <w:t>nárůstu o 3 479 osob (tj. +18</w:t>
      </w:r>
      <w:r w:rsidR="006D348C" w:rsidRPr="006720AE">
        <w:rPr>
          <w:rFonts w:asciiTheme="majorHAnsi" w:hAnsiTheme="majorHAnsi" w:cs="Arial"/>
        </w:rPr>
        <w:t>2</w:t>
      </w:r>
      <w:r w:rsidRPr="006720AE">
        <w:rPr>
          <w:rFonts w:asciiTheme="majorHAnsi" w:hAnsiTheme="majorHAnsi" w:cs="Arial"/>
        </w:rPr>
        <w:t xml:space="preserve"> %). </w:t>
      </w:r>
      <w:r w:rsidRPr="006720AE">
        <w:rPr>
          <w:rFonts w:asciiTheme="majorHAnsi" w:hAnsiTheme="majorHAnsi" w:cs="Arial"/>
          <w:b/>
        </w:rPr>
        <w:t>Důvodem zvýšení tohoto počtu je především vyšší počet záchytů nelegálních migrantů při tranzitní migraci přes naše území</w:t>
      </w:r>
      <w:r w:rsidRPr="006720AE">
        <w:rPr>
          <w:rFonts w:asciiTheme="majorHAnsi" w:hAnsiTheme="majorHAnsi" w:cs="Arial"/>
        </w:rPr>
        <w:t xml:space="preserve">. </w:t>
      </w:r>
    </w:p>
    <w:p w:rsidR="00D96DD7" w:rsidRPr="006720AE" w:rsidRDefault="00D96DD7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Z hlediska jednotlivých teritorií, kde jsou nelegální migranti nejvíce zjišťováni, je na prvním místě </w:t>
      </w:r>
      <w:r w:rsidRPr="006720AE">
        <w:rPr>
          <w:rFonts w:asciiTheme="majorHAnsi" w:hAnsiTheme="majorHAnsi" w:cs="Arial"/>
          <w:b/>
        </w:rPr>
        <w:t>Jihomoravsk</w:t>
      </w:r>
      <w:r w:rsidR="0063316F" w:rsidRPr="006720AE">
        <w:rPr>
          <w:rFonts w:asciiTheme="majorHAnsi" w:hAnsiTheme="majorHAnsi" w:cs="Arial"/>
          <w:b/>
        </w:rPr>
        <w:t>ý kraj</w:t>
      </w:r>
      <w:r w:rsidRPr="006720AE">
        <w:rPr>
          <w:rFonts w:asciiTheme="majorHAnsi" w:hAnsiTheme="majorHAnsi" w:cs="Arial"/>
        </w:rPr>
        <w:t>, kde bylo celkem zjištěno 2 060 osob při nelegálním pobytu (tj. 2</w:t>
      </w:r>
      <w:r w:rsidR="0063316F" w:rsidRPr="006720AE">
        <w:rPr>
          <w:rFonts w:asciiTheme="majorHAnsi" w:hAnsiTheme="majorHAnsi" w:cs="Arial"/>
        </w:rPr>
        <w:t>5</w:t>
      </w:r>
      <w:r w:rsidRPr="006720AE">
        <w:rPr>
          <w:rFonts w:asciiTheme="majorHAnsi" w:hAnsiTheme="majorHAnsi" w:cs="Arial"/>
        </w:rPr>
        <w:t> % z celkového počtu nelegálně pobývajících osob)</w:t>
      </w:r>
      <w:r w:rsidR="004F147C" w:rsidRPr="006720AE">
        <w:rPr>
          <w:rFonts w:asciiTheme="majorHAnsi" w:hAnsiTheme="majorHAnsi" w:cs="Arial"/>
        </w:rPr>
        <w:t xml:space="preserve">, </w:t>
      </w:r>
      <w:r w:rsidRPr="006720AE">
        <w:rPr>
          <w:rFonts w:asciiTheme="majorHAnsi" w:hAnsiTheme="majorHAnsi" w:cs="Arial"/>
          <w:b/>
        </w:rPr>
        <w:t>Praha</w:t>
      </w:r>
      <w:r w:rsidRPr="006720AE">
        <w:rPr>
          <w:rFonts w:asciiTheme="majorHAnsi" w:hAnsiTheme="majorHAnsi" w:cs="Arial"/>
        </w:rPr>
        <w:t xml:space="preserve"> (2 054 osob, tj. 2</w:t>
      </w:r>
      <w:r w:rsidR="004F147C" w:rsidRPr="006720AE">
        <w:rPr>
          <w:rFonts w:asciiTheme="majorHAnsi" w:hAnsiTheme="majorHAnsi" w:cs="Arial"/>
        </w:rPr>
        <w:t>5</w:t>
      </w:r>
      <w:r w:rsidRPr="006720AE">
        <w:rPr>
          <w:rFonts w:asciiTheme="majorHAnsi" w:hAnsiTheme="majorHAnsi" w:cs="Arial"/>
        </w:rPr>
        <w:t> %)</w:t>
      </w:r>
      <w:r w:rsidR="004F147C" w:rsidRPr="006720AE">
        <w:rPr>
          <w:rFonts w:asciiTheme="majorHAnsi" w:hAnsiTheme="majorHAnsi" w:cs="Arial"/>
        </w:rPr>
        <w:t xml:space="preserve"> a </w:t>
      </w:r>
      <w:r w:rsidRPr="006720AE">
        <w:rPr>
          <w:rFonts w:asciiTheme="majorHAnsi" w:hAnsiTheme="majorHAnsi" w:cs="Arial"/>
          <w:b/>
        </w:rPr>
        <w:t>Ústeck</w:t>
      </w:r>
      <w:r w:rsidR="004F147C" w:rsidRPr="006720AE">
        <w:rPr>
          <w:rFonts w:asciiTheme="majorHAnsi" w:hAnsiTheme="majorHAnsi" w:cs="Arial"/>
          <w:b/>
        </w:rPr>
        <w:t>ý</w:t>
      </w:r>
      <w:r w:rsidRPr="006720AE">
        <w:rPr>
          <w:rFonts w:asciiTheme="majorHAnsi" w:hAnsiTheme="majorHAnsi" w:cs="Arial"/>
          <w:b/>
        </w:rPr>
        <w:t> </w:t>
      </w:r>
      <w:r w:rsidR="004F147C" w:rsidRPr="006720AE">
        <w:rPr>
          <w:rFonts w:asciiTheme="majorHAnsi" w:hAnsiTheme="majorHAnsi" w:cs="Arial"/>
          <w:b/>
        </w:rPr>
        <w:t>kraj</w:t>
      </w:r>
      <w:r w:rsidRPr="006720AE">
        <w:rPr>
          <w:rFonts w:asciiTheme="majorHAnsi" w:hAnsiTheme="majorHAnsi" w:cs="Arial"/>
        </w:rPr>
        <w:t xml:space="preserve"> (1 418 osob, tj. 17 %). Dále následují mezinárodní letišt</w:t>
      </w:r>
      <w:r w:rsidR="004F147C" w:rsidRPr="006720AE">
        <w:rPr>
          <w:rFonts w:asciiTheme="majorHAnsi" w:hAnsiTheme="majorHAnsi" w:cs="Arial"/>
        </w:rPr>
        <w:t>ě</w:t>
      </w:r>
      <w:r w:rsidRPr="006720AE">
        <w:rPr>
          <w:rFonts w:asciiTheme="majorHAnsi" w:hAnsiTheme="majorHAnsi" w:cs="Arial"/>
        </w:rPr>
        <w:t xml:space="preserve"> a přijímací středisko </w:t>
      </w:r>
      <w:r w:rsidR="004F147C" w:rsidRPr="006720AE">
        <w:rPr>
          <w:rFonts w:asciiTheme="majorHAnsi" w:hAnsiTheme="majorHAnsi" w:cs="Arial"/>
        </w:rPr>
        <w:t>pro žadatele o </w:t>
      </w:r>
      <w:r w:rsidR="00266DEF" w:rsidRPr="006720AE">
        <w:rPr>
          <w:rFonts w:asciiTheme="majorHAnsi" w:hAnsiTheme="majorHAnsi" w:cs="Arial"/>
          <w:bCs/>
        </w:rPr>
        <w:t>žádosti o mezinárodní ochranu</w:t>
      </w:r>
      <w:r w:rsidR="004F147C" w:rsidRPr="006720AE">
        <w:rPr>
          <w:rFonts w:asciiTheme="majorHAnsi" w:hAnsiTheme="majorHAnsi" w:cs="Arial"/>
        </w:rPr>
        <w:t xml:space="preserve"> v </w:t>
      </w:r>
      <w:r w:rsidRPr="006720AE">
        <w:rPr>
          <w:rFonts w:asciiTheme="majorHAnsi" w:hAnsiTheme="majorHAnsi" w:cs="Arial"/>
        </w:rPr>
        <w:t>Zastáv</w:t>
      </w:r>
      <w:r w:rsidR="004F147C" w:rsidRPr="006720AE">
        <w:rPr>
          <w:rFonts w:asciiTheme="majorHAnsi" w:hAnsiTheme="majorHAnsi" w:cs="Arial"/>
        </w:rPr>
        <w:t>ce</w:t>
      </w:r>
      <w:r w:rsidRPr="006720AE">
        <w:rPr>
          <w:rFonts w:asciiTheme="majorHAnsi" w:hAnsiTheme="majorHAnsi" w:cs="Arial"/>
        </w:rPr>
        <w:t xml:space="preserve"> u Brna</w:t>
      </w:r>
      <w:r w:rsidR="004F147C" w:rsidRPr="006720AE">
        <w:rPr>
          <w:rFonts w:asciiTheme="majorHAnsi" w:hAnsiTheme="majorHAnsi" w:cs="Arial"/>
        </w:rPr>
        <w:t xml:space="preserve"> (</w:t>
      </w:r>
      <w:r w:rsidRPr="006720AE">
        <w:rPr>
          <w:rFonts w:asciiTheme="majorHAnsi" w:hAnsiTheme="majorHAnsi" w:cs="Arial"/>
        </w:rPr>
        <w:t>1 057 osob</w:t>
      </w:r>
      <w:r w:rsidR="004F147C" w:rsidRPr="006720AE">
        <w:rPr>
          <w:rFonts w:asciiTheme="majorHAnsi" w:hAnsiTheme="majorHAnsi" w:cs="Arial"/>
        </w:rPr>
        <w:t>,</w:t>
      </w:r>
      <w:r w:rsidRPr="006720AE">
        <w:rPr>
          <w:rFonts w:asciiTheme="majorHAnsi" w:hAnsiTheme="majorHAnsi" w:cs="Arial"/>
        </w:rPr>
        <w:t xml:space="preserve"> tj. 1</w:t>
      </w:r>
      <w:r w:rsidR="004F147C" w:rsidRPr="006720AE">
        <w:rPr>
          <w:rFonts w:asciiTheme="majorHAnsi" w:hAnsiTheme="majorHAnsi" w:cs="Arial"/>
        </w:rPr>
        <w:t>3</w:t>
      </w:r>
      <w:r w:rsidRPr="006720AE">
        <w:rPr>
          <w:rFonts w:asciiTheme="majorHAnsi" w:hAnsiTheme="majorHAnsi" w:cs="Arial"/>
        </w:rPr>
        <w:t> %)</w:t>
      </w:r>
      <w:r w:rsidR="004F147C" w:rsidRPr="006720AE">
        <w:rPr>
          <w:rFonts w:asciiTheme="majorHAnsi" w:hAnsiTheme="majorHAnsi" w:cs="Arial"/>
        </w:rPr>
        <w:t xml:space="preserve"> a</w:t>
      </w:r>
      <w:r w:rsidRPr="006720AE">
        <w:rPr>
          <w:rFonts w:asciiTheme="majorHAnsi" w:hAnsiTheme="majorHAnsi" w:cs="Arial"/>
        </w:rPr>
        <w:t xml:space="preserve"> Středočesk</w:t>
      </w:r>
      <w:r w:rsidR="004F147C" w:rsidRPr="006720AE">
        <w:rPr>
          <w:rFonts w:asciiTheme="majorHAnsi" w:hAnsiTheme="majorHAnsi" w:cs="Arial"/>
        </w:rPr>
        <w:t>ý kraj</w:t>
      </w:r>
      <w:r w:rsidRPr="006720AE">
        <w:rPr>
          <w:rFonts w:asciiTheme="majorHAnsi" w:hAnsiTheme="majorHAnsi" w:cs="Arial"/>
        </w:rPr>
        <w:t xml:space="preserve"> (435 osob, tj. 5</w:t>
      </w:r>
      <w:r w:rsidR="004F147C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 xml:space="preserve">%). </w:t>
      </w:r>
      <w:r w:rsidR="004F147C" w:rsidRPr="006720AE">
        <w:rPr>
          <w:rFonts w:asciiTheme="majorHAnsi" w:hAnsiTheme="majorHAnsi" w:cs="Arial"/>
        </w:rPr>
        <w:t xml:space="preserve">Shora </w:t>
      </w:r>
      <w:r w:rsidR="004F147C" w:rsidRPr="006720AE">
        <w:rPr>
          <w:rFonts w:asciiTheme="majorHAnsi" w:hAnsiTheme="majorHAnsi" w:cs="Arial"/>
          <w:b/>
        </w:rPr>
        <w:t>uvedená teritoria</w:t>
      </w:r>
      <w:r w:rsidRPr="006720AE">
        <w:rPr>
          <w:rFonts w:asciiTheme="majorHAnsi" w:hAnsiTheme="majorHAnsi" w:cs="Arial"/>
          <w:b/>
        </w:rPr>
        <w:t xml:space="preserve"> se na celkovém počtu zjištěných nelegálně pobývajících osob podílel</w:t>
      </w:r>
      <w:r w:rsidR="004F147C" w:rsidRPr="006720AE">
        <w:rPr>
          <w:rFonts w:asciiTheme="majorHAnsi" w:hAnsiTheme="majorHAnsi" w:cs="Arial"/>
          <w:b/>
        </w:rPr>
        <w:t>a</w:t>
      </w:r>
      <w:r w:rsidRPr="006720AE">
        <w:rPr>
          <w:rFonts w:asciiTheme="majorHAnsi" w:hAnsiTheme="majorHAnsi" w:cs="Arial"/>
          <w:b/>
        </w:rPr>
        <w:t xml:space="preserve"> zhruba z 85 %</w:t>
      </w:r>
      <w:r w:rsidRPr="006720AE">
        <w:rPr>
          <w:rFonts w:asciiTheme="majorHAnsi" w:hAnsiTheme="majorHAnsi" w:cs="Arial"/>
        </w:rPr>
        <w:t xml:space="preserve">. </w:t>
      </w:r>
    </w:p>
    <w:p w:rsidR="00D96DD7" w:rsidRPr="006720AE" w:rsidRDefault="00B379E6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084705" cy="18351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DD7" w:rsidRPr="006720AE">
        <w:rPr>
          <w:rFonts w:asciiTheme="majorHAnsi" w:hAnsiTheme="majorHAnsi" w:cs="Arial"/>
        </w:rPr>
        <w:t xml:space="preserve">Z hlediska státní příslušnosti nelegálních migrantů, převládají občané ze třetích zemí (8 163 osob, tj. 98 %). První místo ve statistice v důsledku zvýšené tranzitní nelegální migrace obsadili </w:t>
      </w:r>
      <w:r w:rsidR="00D96DD7" w:rsidRPr="006720AE">
        <w:rPr>
          <w:rFonts w:asciiTheme="majorHAnsi" w:hAnsiTheme="majorHAnsi" w:cs="Arial"/>
          <w:b/>
        </w:rPr>
        <w:t>občané Sýrie</w:t>
      </w:r>
      <w:r w:rsidR="00EF55D6" w:rsidRPr="006720AE">
        <w:rPr>
          <w:rFonts w:asciiTheme="majorHAnsi" w:hAnsiTheme="majorHAnsi" w:cs="Arial"/>
        </w:rPr>
        <w:t xml:space="preserve"> (2 016 osob, tj. </w:t>
      </w:r>
      <w:r w:rsidR="00D96DD7" w:rsidRPr="006720AE">
        <w:rPr>
          <w:rFonts w:asciiTheme="majorHAnsi" w:hAnsiTheme="majorHAnsi" w:cs="Arial"/>
        </w:rPr>
        <w:t>2</w:t>
      </w:r>
      <w:r w:rsidRPr="006720AE">
        <w:rPr>
          <w:rFonts w:asciiTheme="majorHAnsi" w:hAnsiTheme="majorHAnsi" w:cs="Arial"/>
        </w:rPr>
        <w:t>5</w:t>
      </w:r>
      <w:r w:rsidR="00D96DD7" w:rsidRPr="006720AE">
        <w:rPr>
          <w:rFonts w:asciiTheme="majorHAnsi" w:hAnsiTheme="majorHAnsi" w:cs="Arial"/>
        </w:rPr>
        <w:t xml:space="preserve"> % z celkového počtu občanů 3. zemí). </w:t>
      </w:r>
      <w:r w:rsidRPr="006720AE">
        <w:rPr>
          <w:rFonts w:asciiTheme="majorHAnsi" w:hAnsiTheme="majorHAnsi" w:cs="Arial"/>
        </w:rPr>
        <w:t>Na </w:t>
      </w:r>
      <w:r w:rsidR="00D96DD7" w:rsidRPr="006720AE">
        <w:rPr>
          <w:rFonts w:asciiTheme="majorHAnsi" w:hAnsiTheme="majorHAnsi" w:cs="Arial"/>
        </w:rPr>
        <w:t xml:space="preserve">druhém místě se umístili občané </w:t>
      </w:r>
      <w:r w:rsidR="00D96DD7" w:rsidRPr="006720AE">
        <w:rPr>
          <w:rFonts w:asciiTheme="majorHAnsi" w:hAnsiTheme="majorHAnsi" w:cs="Arial"/>
          <w:b/>
        </w:rPr>
        <w:t>Ukrajiny</w:t>
      </w:r>
      <w:r w:rsidR="00D96DD7" w:rsidRPr="006720AE">
        <w:rPr>
          <w:rFonts w:asciiTheme="majorHAnsi" w:hAnsiTheme="majorHAnsi" w:cs="Arial"/>
        </w:rPr>
        <w:t xml:space="preserve"> (1</w:t>
      </w:r>
      <w:r w:rsidRPr="006720AE">
        <w:rPr>
          <w:rFonts w:asciiTheme="majorHAnsi" w:hAnsiTheme="majorHAnsi" w:cs="Arial"/>
        </w:rPr>
        <w:t> </w:t>
      </w:r>
      <w:r w:rsidR="00D96DD7" w:rsidRPr="006720AE">
        <w:rPr>
          <w:rFonts w:asciiTheme="majorHAnsi" w:hAnsiTheme="majorHAnsi" w:cs="Arial"/>
        </w:rPr>
        <w:t>224 osob, tj. 1</w:t>
      </w:r>
      <w:r w:rsidRPr="006720AE">
        <w:rPr>
          <w:rFonts w:asciiTheme="majorHAnsi" w:hAnsiTheme="majorHAnsi" w:cs="Arial"/>
        </w:rPr>
        <w:t>5</w:t>
      </w:r>
      <w:r w:rsidR="00D96DD7" w:rsidRPr="006720AE">
        <w:rPr>
          <w:rFonts w:asciiTheme="majorHAnsi" w:hAnsiTheme="majorHAnsi" w:cs="Arial"/>
        </w:rPr>
        <w:t> %), kteří většinou na naše</w:t>
      </w:r>
      <w:r w:rsidRPr="006720AE">
        <w:rPr>
          <w:rFonts w:asciiTheme="majorHAnsi" w:hAnsiTheme="majorHAnsi" w:cs="Arial"/>
        </w:rPr>
        <w:t xml:space="preserve"> území vstupují legálně a </w:t>
      </w:r>
      <w:r w:rsidR="00D96DD7" w:rsidRPr="006720AE">
        <w:rPr>
          <w:rFonts w:asciiTheme="majorHAnsi" w:hAnsiTheme="majorHAnsi" w:cs="Arial"/>
        </w:rPr>
        <w:t xml:space="preserve">překračují poté povolenou dobu pobytu. </w:t>
      </w:r>
      <w:r w:rsidRPr="006720AE">
        <w:rPr>
          <w:rFonts w:asciiTheme="majorHAnsi" w:hAnsiTheme="majorHAnsi" w:cs="Arial"/>
        </w:rPr>
        <w:t xml:space="preserve">Na třetí místo </w:t>
      </w:r>
      <w:r w:rsidR="00D96DD7" w:rsidRPr="006720AE">
        <w:rPr>
          <w:rFonts w:asciiTheme="majorHAnsi" w:hAnsiTheme="majorHAnsi" w:cs="Arial"/>
        </w:rPr>
        <w:t xml:space="preserve">se zařadili občané </w:t>
      </w:r>
      <w:r w:rsidR="00D96DD7" w:rsidRPr="006720AE">
        <w:rPr>
          <w:rFonts w:asciiTheme="majorHAnsi" w:hAnsiTheme="majorHAnsi" w:cs="Arial"/>
          <w:b/>
        </w:rPr>
        <w:t>Kuvajtu</w:t>
      </w:r>
      <w:r w:rsidR="00D96DD7" w:rsidRPr="006720AE">
        <w:rPr>
          <w:rFonts w:asciiTheme="majorHAnsi" w:hAnsiTheme="majorHAnsi" w:cs="Arial"/>
        </w:rPr>
        <w:t xml:space="preserve"> (588 osob, tj. 7</w:t>
      </w:r>
      <w:r w:rsidRPr="006720AE">
        <w:rPr>
          <w:rFonts w:asciiTheme="majorHAnsi" w:hAnsiTheme="majorHAnsi" w:cs="Arial"/>
        </w:rPr>
        <w:t> </w:t>
      </w:r>
      <w:r w:rsidR="00EF55D6" w:rsidRPr="006720AE">
        <w:rPr>
          <w:rFonts w:asciiTheme="majorHAnsi" w:hAnsiTheme="majorHAnsi" w:cs="Arial"/>
        </w:rPr>
        <w:t>%), kdy se jedná zejména o </w:t>
      </w:r>
      <w:r w:rsidR="00D96DD7" w:rsidRPr="006720AE">
        <w:rPr>
          <w:rFonts w:asciiTheme="majorHAnsi" w:hAnsiTheme="majorHAnsi" w:cs="Arial"/>
        </w:rPr>
        <w:t xml:space="preserve">lázeňské hosty, kteří nevycestují v době platnosti pobytu. Na čtvrtém místě jsou občané Afghánistánu (583 osob, tj. 7 %) a na pátém místě se umístili občané Iráku (403 osob, tj. </w:t>
      </w:r>
      <w:r w:rsidRPr="006720AE">
        <w:rPr>
          <w:rFonts w:asciiTheme="majorHAnsi" w:hAnsiTheme="majorHAnsi" w:cs="Arial"/>
        </w:rPr>
        <w:t>5</w:t>
      </w:r>
      <w:r w:rsidR="00A16E06" w:rsidRPr="006720AE">
        <w:rPr>
          <w:rFonts w:asciiTheme="majorHAnsi" w:hAnsiTheme="majorHAnsi" w:cs="Arial"/>
        </w:rPr>
        <w:t xml:space="preserve"> </w:t>
      </w:r>
      <w:r w:rsidR="00D96DD7" w:rsidRPr="006720AE">
        <w:rPr>
          <w:rFonts w:asciiTheme="majorHAnsi" w:hAnsiTheme="majorHAnsi" w:cs="Arial"/>
        </w:rPr>
        <w:t> %), kdy obě tyto státní příslušnosti nelegálně tranzitovaly přes naše území.</w:t>
      </w:r>
    </w:p>
    <w:p w:rsidR="008701E7" w:rsidRPr="006720AE" w:rsidRDefault="00D96DD7" w:rsidP="008701E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V meziročním srovnání jsou evidovány </w:t>
      </w:r>
      <w:r w:rsidRPr="006720AE">
        <w:rPr>
          <w:rFonts w:asciiTheme="majorHAnsi" w:hAnsiTheme="majorHAnsi" w:cs="Arial"/>
          <w:b/>
        </w:rPr>
        <w:t>nejvyšší nárůsty u občanů Sýrie</w:t>
      </w:r>
      <w:r w:rsidRPr="006720AE">
        <w:rPr>
          <w:rFonts w:asciiTheme="majorHAnsi" w:hAnsiTheme="majorHAnsi" w:cs="Arial"/>
        </w:rPr>
        <w:t xml:space="preserve"> (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 xml:space="preserve">1 874 osob, tj. 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>1 3</w:t>
      </w:r>
      <w:r w:rsidR="00116095" w:rsidRPr="006720AE">
        <w:rPr>
          <w:rFonts w:asciiTheme="majorHAnsi" w:hAnsiTheme="majorHAnsi" w:cs="Arial"/>
        </w:rPr>
        <w:t>20</w:t>
      </w:r>
      <w:r w:rsidRPr="006720AE">
        <w:rPr>
          <w:rFonts w:asciiTheme="majorHAnsi" w:hAnsiTheme="majorHAnsi" w:cs="Arial"/>
        </w:rPr>
        <w:t xml:space="preserve"> %), a to zejména </w:t>
      </w:r>
      <w:r w:rsidRPr="006720AE">
        <w:rPr>
          <w:rFonts w:asciiTheme="majorHAnsi" w:hAnsiTheme="majorHAnsi" w:cs="Arial"/>
          <w:b/>
        </w:rPr>
        <w:t>kvůli vysokým záchytům nelegálně tranzitujících osob</w:t>
      </w:r>
      <w:r w:rsidRPr="006720AE">
        <w:rPr>
          <w:rFonts w:asciiTheme="majorHAnsi" w:hAnsiTheme="majorHAnsi" w:cs="Arial"/>
        </w:rPr>
        <w:t xml:space="preserve"> od dubna. K dalšímu značnému nárůstu došlo u občanů </w:t>
      </w:r>
      <w:r w:rsidRPr="006720AE">
        <w:rPr>
          <w:rFonts w:asciiTheme="majorHAnsi" w:hAnsiTheme="majorHAnsi" w:cs="Arial"/>
          <w:b/>
        </w:rPr>
        <w:t>Afghánistánu</w:t>
      </w:r>
      <w:r w:rsidRPr="006720AE">
        <w:rPr>
          <w:rFonts w:asciiTheme="majorHAnsi" w:hAnsiTheme="majorHAnsi" w:cs="Arial"/>
        </w:rPr>
        <w:t xml:space="preserve"> (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 xml:space="preserve">520 osob, tj. 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 xml:space="preserve">825 %), kdy jejich maximální </w:t>
      </w:r>
      <w:r w:rsidR="00116095" w:rsidRPr="006720AE">
        <w:rPr>
          <w:rFonts w:asciiTheme="majorHAnsi" w:hAnsiTheme="majorHAnsi" w:cs="Arial"/>
        </w:rPr>
        <w:t xml:space="preserve">měsíční </w:t>
      </w:r>
      <w:r w:rsidRPr="006720AE">
        <w:rPr>
          <w:rFonts w:asciiTheme="majorHAnsi" w:hAnsiTheme="majorHAnsi" w:cs="Arial"/>
        </w:rPr>
        <w:t>počty byly vykázány v červenci a srpnu</w:t>
      </w:r>
      <w:r w:rsidR="00116095" w:rsidRPr="006720AE">
        <w:rPr>
          <w:rFonts w:asciiTheme="majorHAnsi" w:hAnsiTheme="majorHAnsi" w:cs="Arial"/>
        </w:rPr>
        <w:t xml:space="preserve">, </w:t>
      </w:r>
      <w:r w:rsidRPr="006720AE">
        <w:rPr>
          <w:rFonts w:asciiTheme="majorHAnsi" w:hAnsiTheme="majorHAnsi" w:cs="Arial"/>
        </w:rPr>
        <w:t xml:space="preserve">občanů </w:t>
      </w:r>
      <w:r w:rsidRPr="006720AE">
        <w:rPr>
          <w:rFonts w:asciiTheme="majorHAnsi" w:hAnsiTheme="majorHAnsi" w:cs="Arial"/>
          <w:b/>
        </w:rPr>
        <w:t>Iráku</w:t>
      </w:r>
      <w:r w:rsidRPr="006720AE">
        <w:rPr>
          <w:rFonts w:asciiTheme="majorHAnsi" w:hAnsiTheme="majorHAnsi" w:cs="Arial"/>
        </w:rPr>
        <w:t xml:space="preserve"> (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>387 osob, tj. +2 41</w:t>
      </w:r>
      <w:r w:rsidR="00116095" w:rsidRPr="006720AE">
        <w:rPr>
          <w:rFonts w:asciiTheme="majorHAnsi" w:hAnsiTheme="majorHAnsi" w:cs="Arial"/>
        </w:rPr>
        <w:t>9</w:t>
      </w:r>
      <w:r w:rsidRPr="006720AE">
        <w:rPr>
          <w:rFonts w:asciiTheme="majorHAnsi" w:hAnsiTheme="majorHAnsi" w:cs="Arial"/>
        </w:rPr>
        <w:t xml:space="preserve"> %), kdy </w:t>
      </w:r>
      <w:r w:rsidR="00116095" w:rsidRPr="006720AE">
        <w:rPr>
          <w:rFonts w:asciiTheme="majorHAnsi" w:hAnsiTheme="majorHAnsi" w:cs="Arial"/>
        </w:rPr>
        <w:t xml:space="preserve">nejvyšší počet </w:t>
      </w:r>
      <w:r w:rsidRPr="006720AE">
        <w:rPr>
          <w:rFonts w:asciiTheme="majorHAnsi" w:hAnsiTheme="majorHAnsi" w:cs="Arial"/>
        </w:rPr>
        <w:t xml:space="preserve">byl evidován </w:t>
      </w:r>
      <w:r w:rsidR="00116095" w:rsidRPr="006720AE">
        <w:rPr>
          <w:rFonts w:asciiTheme="majorHAnsi" w:hAnsiTheme="majorHAnsi" w:cs="Arial"/>
        </w:rPr>
        <w:t>v září, a </w:t>
      </w:r>
      <w:r w:rsidRPr="006720AE">
        <w:rPr>
          <w:rFonts w:asciiTheme="majorHAnsi" w:hAnsiTheme="majorHAnsi" w:cs="Arial"/>
        </w:rPr>
        <w:t xml:space="preserve">občanů </w:t>
      </w:r>
      <w:r w:rsidRPr="006720AE">
        <w:rPr>
          <w:rFonts w:asciiTheme="majorHAnsi" w:hAnsiTheme="majorHAnsi" w:cs="Arial"/>
          <w:b/>
        </w:rPr>
        <w:t xml:space="preserve">Pákistánu </w:t>
      </w:r>
      <w:r w:rsidRPr="006720AE">
        <w:rPr>
          <w:rFonts w:asciiTheme="majorHAnsi" w:hAnsiTheme="majorHAnsi" w:cs="Arial"/>
        </w:rPr>
        <w:t>(</w:t>
      </w:r>
      <w:r w:rsidR="00116095" w:rsidRPr="006720AE">
        <w:rPr>
          <w:rFonts w:asciiTheme="majorHAnsi" w:hAnsiTheme="majorHAnsi" w:cs="Arial"/>
        </w:rPr>
        <w:t>o </w:t>
      </w:r>
      <w:r w:rsidRPr="006720AE">
        <w:rPr>
          <w:rFonts w:asciiTheme="majorHAnsi" w:hAnsiTheme="majorHAnsi" w:cs="Arial"/>
        </w:rPr>
        <w:t>256</w:t>
      </w:r>
      <w:r w:rsidR="00116095" w:rsidRPr="006720AE">
        <w:rPr>
          <w:rFonts w:asciiTheme="majorHAnsi" w:hAnsiTheme="majorHAnsi" w:cs="Arial"/>
        </w:rPr>
        <w:t xml:space="preserve"> osob</w:t>
      </w:r>
      <w:r w:rsidRPr="006720AE">
        <w:rPr>
          <w:rFonts w:asciiTheme="majorHAnsi" w:hAnsiTheme="majorHAnsi" w:cs="Arial"/>
        </w:rPr>
        <w:t xml:space="preserve">, tj. +1 280 %), kdy byli tito </w:t>
      </w:r>
      <w:r w:rsidR="00116095" w:rsidRPr="006720AE">
        <w:rPr>
          <w:rFonts w:asciiTheme="majorHAnsi" w:hAnsiTheme="majorHAnsi" w:cs="Arial"/>
        </w:rPr>
        <w:t>cizinci</w:t>
      </w:r>
      <w:r w:rsidRPr="006720AE">
        <w:rPr>
          <w:rFonts w:asciiTheme="majorHAnsi" w:hAnsiTheme="majorHAnsi" w:cs="Arial"/>
        </w:rPr>
        <w:t xml:space="preserve"> ve vyšších počtech odhalováni od </w:t>
      </w:r>
      <w:r w:rsidR="00116095" w:rsidRPr="006720AE">
        <w:rPr>
          <w:rFonts w:asciiTheme="majorHAnsi" w:hAnsiTheme="majorHAnsi" w:cs="Arial"/>
        </w:rPr>
        <w:t>července, a maximální počet byl evidován v </w:t>
      </w:r>
      <w:r w:rsidRPr="006720AE">
        <w:rPr>
          <w:rFonts w:asciiTheme="majorHAnsi" w:hAnsiTheme="majorHAnsi" w:cs="Arial"/>
        </w:rPr>
        <w:t>srpnu.</w:t>
      </w:r>
      <w:r w:rsidR="00116095" w:rsidRPr="006720AE">
        <w:rPr>
          <w:rFonts w:asciiTheme="majorHAnsi" w:hAnsiTheme="majorHAnsi" w:cs="Arial"/>
        </w:rPr>
        <w:t xml:space="preserve"> Cizinci</w:t>
      </w:r>
      <w:r w:rsidRPr="006720AE">
        <w:rPr>
          <w:rFonts w:asciiTheme="majorHAnsi" w:hAnsiTheme="majorHAnsi" w:cs="Arial"/>
        </w:rPr>
        <w:t xml:space="preserve"> </w:t>
      </w:r>
      <w:r w:rsidR="00116095" w:rsidRPr="006720AE">
        <w:rPr>
          <w:rFonts w:asciiTheme="majorHAnsi" w:hAnsiTheme="majorHAnsi" w:cs="Arial"/>
        </w:rPr>
        <w:t xml:space="preserve">těchto </w:t>
      </w:r>
      <w:r w:rsidRPr="006720AE">
        <w:rPr>
          <w:rFonts w:asciiTheme="majorHAnsi" w:hAnsiTheme="majorHAnsi" w:cs="Arial"/>
        </w:rPr>
        <w:t>státní</w:t>
      </w:r>
      <w:r w:rsidR="00116095" w:rsidRPr="006720AE">
        <w:rPr>
          <w:rFonts w:asciiTheme="majorHAnsi" w:hAnsiTheme="majorHAnsi" w:cs="Arial"/>
        </w:rPr>
        <w:t>ch</w:t>
      </w:r>
      <w:r w:rsidRPr="006720AE">
        <w:rPr>
          <w:rFonts w:asciiTheme="majorHAnsi" w:hAnsiTheme="majorHAnsi" w:cs="Arial"/>
        </w:rPr>
        <w:t xml:space="preserve"> příslušnost</w:t>
      </w:r>
      <w:r w:rsidR="00116095" w:rsidRPr="006720AE">
        <w:rPr>
          <w:rFonts w:asciiTheme="majorHAnsi" w:hAnsiTheme="majorHAnsi" w:cs="Arial"/>
        </w:rPr>
        <w:t xml:space="preserve">í </w:t>
      </w:r>
      <w:r w:rsidRPr="006720AE">
        <w:rPr>
          <w:rFonts w:asciiTheme="majorHAnsi" w:hAnsiTheme="majorHAnsi" w:cs="Arial"/>
        </w:rPr>
        <w:t>nelegálně vstoup</w:t>
      </w:r>
      <w:r w:rsidR="00116095" w:rsidRPr="006720AE">
        <w:rPr>
          <w:rFonts w:asciiTheme="majorHAnsi" w:hAnsiTheme="majorHAnsi" w:cs="Arial"/>
        </w:rPr>
        <w:t>ili</w:t>
      </w:r>
      <w:r w:rsidRPr="006720AE">
        <w:rPr>
          <w:rFonts w:asciiTheme="majorHAnsi" w:hAnsiTheme="majorHAnsi" w:cs="Arial"/>
        </w:rPr>
        <w:t xml:space="preserve"> na území ČR z Rakouska nebo Slovenska </w:t>
      </w:r>
      <w:r w:rsidR="00584C6B" w:rsidRPr="006720AE">
        <w:rPr>
          <w:rFonts w:asciiTheme="majorHAnsi" w:hAnsiTheme="majorHAnsi" w:cs="Arial"/>
        </w:rPr>
        <w:t xml:space="preserve">tzv. </w:t>
      </w:r>
      <w:r w:rsidR="00584C6B" w:rsidRPr="006720AE">
        <w:rPr>
          <w:rFonts w:asciiTheme="majorHAnsi" w:hAnsiTheme="majorHAnsi" w:cs="Arial"/>
          <w:b/>
        </w:rPr>
        <w:t>balkánskou trasou</w:t>
      </w:r>
      <w:r w:rsidR="00584C6B" w:rsidRPr="006720AE">
        <w:rPr>
          <w:rFonts w:asciiTheme="majorHAnsi" w:hAnsiTheme="majorHAnsi" w:cs="Arial"/>
        </w:rPr>
        <w:t xml:space="preserve"> </w:t>
      </w:r>
      <w:r w:rsidR="00116095" w:rsidRPr="006720AE">
        <w:rPr>
          <w:rFonts w:asciiTheme="majorHAnsi" w:hAnsiTheme="majorHAnsi" w:cs="Arial"/>
        </w:rPr>
        <w:t>s </w:t>
      </w:r>
      <w:r w:rsidRPr="006720AE">
        <w:rPr>
          <w:rFonts w:asciiTheme="majorHAnsi" w:hAnsiTheme="majorHAnsi" w:cs="Arial"/>
        </w:rPr>
        <w:t>úmysl</w:t>
      </w:r>
      <w:r w:rsidR="00116095" w:rsidRPr="006720AE">
        <w:rPr>
          <w:rFonts w:asciiTheme="majorHAnsi" w:hAnsiTheme="majorHAnsi" w:cs="Arial"/>
        </w:rPr>
        <w:t>em tranzitovat přes naše území</w:t>
      </w:r>
      <w:r w:rsidRPr="006720AE">
        <w:rPr>
          <w:rFonts w:asciiTheme="majorHAnsi" w:hAnsiTheme="majorHAnsi" w:cs="Arial"/>
        </w:rPr>
        <w:t xml:space="preserve"> </w:t>
      </w:r>
      <w:r w:rsidR="00584C6B" w:rsidRPr="006720AE">
        <w:rPr>
          <w:rFonts w:asciiTheme="majorHAnsi" w:hAnsiTheme="majorHAnsi" w:cs="Arial"/>
        </w:rPr>
        <w:t>do </w:t>
      </w:r>
      <w:r w:rsidRPr="006720AE">
        <w:rPr>
          <w:rFonts w:asciiTheme="majorHAnsi" w:hAnsiTheme="majorHAnsi" w:cs="Arial"/>
        </w:rPr>
        <w:t>dalších západních zemí</w:t>
      </w:r>
      <w:r w:rsidR="00EF55D6" w:rsidRPr="006720AE">
        <w:rPr>
          <w:rFonts w:asciiTheme="majorHAnsi" w:hAnsiTheme="majorHAnsi" w:cs="Arial"/>
        </w:rPr>
        <w:t xml:space="preserve"> (</w:t>
      </w:r>
      <w:r w:rsidRPr="006720AE">
        <w:rPr>
          <w:rFonts w:asciiTheme="majorHAnsi" w:hAnsiTheme="majorHAnsi" w:cs="Arial"/>
        </w:rPr>
        <w:t>Německ</w:t>
      </w:r>
      <w:r w:rsidR="00EF55D6" w:rsidRPr="006720AE">
        <w:rPr>
          <w:rFonts w:asciiTheme="majorHAnsi" w:hAnsiTheme="majorHAnsi" w:cs="Arial"/>
        </w:rPr>
        <w:t>o,</w:t>
      </w:r>
      <w:r w:rsidRPr="006720AE">
        <w:rPr>
          <w:rFonts w:asciiTheme="majorHAnsi" w:hAnsiTheme="majorHAnsi" w:cs="Arial"/>
        </w:rPr>
        <w:t xml:space="preserve"> Skandinávie</w:t>
      </w:r>
      <w:r w:rsidR="00EF55D6" w:rsidRPr="006720AE">
        <w:rPr>
          <w:rFonts w:asciiTheme="majorHAnsi" w:hAnsiTheme="majorHAnsi" w:cs="Arial"/>
        </w:rPr>
        <w:t>)</w:t>
      </w:r>
      <w:r w:rsidRPr="006720AE">
        <w:rPr>
          <w:rFonts w:asciiTheme="majorHAnsi" w:hAnsiTheme="majorHAnsi" w:cs="Arial"/>
        </w:rPr>
        <w:t xml:space="preserve">. </w:t>
      </w:r>
      <w:r w:rsidR="00DB3151" w:rsidRPr="006720AE">
        <w:rPr>
          <w:rFonts w:asciiTheme="majorHAnsi" w:hAnsiTheme="majorHAnsi" w:cs="Arial"/>
        </w:rPr>
        <w:t xml:space="preserve">V ČR tyto osoby nežádaly o mezinárodní ochranu. </w:t>
      </w:r>
      <w:r w:rsidRPr="006720AE">
        <w:rPr>
          <w:rFonts w:asciiTheme="majorHAnsi" w:hAnsiTheme="majorHAnsi" w:cs="Arial"/>
        </w:rPr>
        <w:t>Po</w:t>
      </w:r>
      <w:r w:rsidR="00DB3151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zavedení opatření na</w:t>
      </w:r>
      <w:r w:rsidR="00EF55D6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 xml:space="preserve">vytipovaných rizikových vlakových spojích došlo k přesměrování </w:t>
      </w:r>
      <w:r w:rsidR="00DB3151" w:rsidRPr="006720AE">
        <w:rPr>
          <w:rFonts w:asciiTheme="majorHAnsi" w:hAnsiTheme="majorHAnsi" w:cs="Arial"/>
        </w:rPr>
        <w:t xml:space="preserve">nelegální tranzitní migrace </w:t>
      </w:r>
      <w:r w:rsidRPr="006720AE">
        <w:rPr>
          <w:rFonts w:asciiTheme="majorHAnsi" w:hAnsiTheme="majorHAnsi" w:cs="Arial"/>
        </w:rPr>
        <w:t>také n</w:t>
      </w:r>
      <w:r w:rsidR="00584C6B" w:rsidRPr="006720AE">
        <w:rPr>
          <w:rFonts w:asciiTheme="majorHAnsi" w:hAnsiTheme="majorHAnsi" w:cs="Arial"/>
        </w:rPr>
        <w:t>a silniční přepravu (autobusy a </w:t>
      </w:r>
      <w:r w:rsidRPr="006720AE">
        <w:rPr>
          <w:rFonts w:asciiTheme="majorHAnsi" w:hAnsiTheme="majorHAnsi" w:cs="Arial"/>
        </w:rPr>
        <w:t xml:space="preserve">automobily) </w:t>
      </w:r>
      <w:r w:rsidR="00584C6B" w:rsidRPr="006720AE">
        <w:rPr>
          <w:rFonts w:asciiTheme="majorHAnsi" w:hAnsiTheme="majorHAnsi" w:cs="Arial"/>
        </w:rPr>
        <w:lastRenderedPageBreak/>
        <w:t>s </w:t>
      </w:r>
      <w:r w:rsidRPr="006720AE">
        <w:rPr>
          <w:rFonts w:asciiTheme="majorHAnsi" w:hAnsiTheme="majorHAnsi" w:cs="Arial"/>
        </w:rPr>
        <w:t>využití</w:t>
      </w:r>
      <w:r w:rsidR="00584C6B" w:rsidRPr="006720AE">
        <w:rPr>
          <w:rFonts w:asciiTheme="majorHAnsi" w:hAnsiTheme="majorHAnsi" w:cs="Arial"/>
        </w:rPr>
        <w:t>m</w:t>
      </w:r>
      <w:r w:rsidRPr="006720AE">
        <w:rPr>
          <w:rFonts w:asciiTheme="majorHAnsi" w:hAnsiTheme="majorHAnsi" w:cs="Arial"/>
        </w:rPr>
        <w:t xml:space="preserve"> pomoci převaděčů. </w:t>
      </w:r>
      <w:r w:rsidRPr="006720AE">
        <w:rPr>
          <w:rFonts w:asciiTheme="majorHAnsi" w:hAnsiTheme="majorHAnsi" w:cs="Arial"/>
          <w:b/>
        </w:rPr>
        <w:t>Vlna</w:t>
      </w:r>
      <w:r w:rsidR="00EF55D6" w:rsidRPr="006720AE">
        <w:rPr>
          <w:rFonts w:asciiTheme="majorHAnsi" w:hAnsiTheme="majorHAnsi" w:cs="Arial"/>
          <w:b/>
        </w:rPr>
        <w:t xml:space="preserve"> nelegální tranzitní migrace na </w:t>
      </w:r>
      <w:r w:rsidRPr="006720AE">
        <w:rPr>
          <w:rFonts w:asciiTheme="majorHAnsi" w:hAnsiTheme="majorHAnsi" w:cs="Arial"/>
          <w:b/>
        </w:rPr>
        <w:t xml:space="preserve">území ČR </w:t>
      </w:r>
      <w:r w:rsidR="003C4B43" w:rsidRPr="006720AE">
        <w:rPr>
          <w:rFonts w:asciiTheme="majorHAnsi" w:hAnsiTheme="majorHAnsi" w:cs="Arial"/>
          <w:b/>
        </w:rPr>
        <w:t>dosáhla vrcholu</w:t>
      </w:r>
      <w:r w:rsidRPr="006720AE">
        <w:rPr>
          <w:rFonts w:asciiTheme="majorHAnsi" w:hAnsiTheme="majorHAnsi" w:cs="Arial"/>
          <w:b/>
        </w:rPr>
        <w:t xml:space="preserve"> v období července až září, kdy od druhé poloviny září došlo k markantnímu snížení</w:t>
      </w:r>
      <w:r w:rsidRPr="006720AE">
        <w:rPr>
          <w:rFonts w:asciiTheme="majorHAnsi" w:hAnsiTheme="majorHAnsi" w:cs="Arial"/>
        </w:rPr>
        <w:t>.</w:t>
      </w:r>
      <w:r w:rsidR="00584C6B" w:rsidRPr="006720AE">
        <w:rPr>
          <w:rFonts w:asciiTheme="majorHAnsi" w:hAnsiTheme="majorHAnsi" w:cs="Arial"/>
        </w:rPr>
        <w:t xml:space="preserve"> </w:t>
      </w:r>
      <w:r w:rsidR="00584C6B" w:rsidRPr="006720AE">
        <w:rPr>
          <w:rFonts w:asciiTheme="majorHAnsi" w:hAnsiTheme="majorHAnsi" w:cs="Arial"/>
          <w:b/>
        </w:rPr>
        <w:t xml:space="preserve">Důvodem </w:t>
      </w:r>
      <w:r w:rsidR="008701E7" w:rsidRPr="006720AE">
        <w:rPr>
          <w:rFonts w:asciiTheme="majorHAnsi" w:hAnsiTheme="majorHAnsi" w:cs="Arial"/>
          <w:b/>
        </w:rPr>
        <w:t>je</w:t>
      </w:r>
      <w:r w:rsidR="00584C6B" w:rsidRPr="006720AE">
        <w:rPr>
          <w:rFonts w:asciiTheme="majorHAnsi" w:hAnsiTheme="majorHAnsi" w:cs="Arial"/>
          <w:b/>
        </w:rPr>
        <w:t xml:space="preserve"> zejména skutečnost, že </w:t>
      </w:r>
      <w:r w:rsidR="001244DE" w:rsidRPr="006720AE">
        <w:rPr>
          <w:rFonts w:asciiTheme="majorHAnsi" w:hAnsiTheme="majorHAnsi" w:cs="Arial"/>
          <w:b/>
        </w:rPr>
        <w:t>po odklonu balkánské migrační trasy přes maďarskou jižní hranici se stabilizoval</w:t>
      </w:r>
      <w:r w:rsidR="00584C6B" w:rsidRPr="006720AE">
        <w:rPr>
          <w:rFonts w:asciiTheme="majorHAnsi" w:hAnsiTheme="majorHAnsi" w:cs="Arial"/>
          <w:b/>
        </w:rPr>
        <w:t xml:space="preserve"> průjezd běženců </w:t>
      </w:r>
      <w:r w:rsidR="001244DE" w:rsidRPr="006720AE">
        <w:rPr>
          <w:rFonts w:asciiTheme="majorHAnsi" w:hAnsiTheme="majorHAnsi" w:cs="Arial"/>
          <w:b/>
        </w:rPr>
        <w:t xml:space="preserve">do Německa </w:t>
      </w:r>
      <w:r w:rsidR="00584C6B" w:rsidRPr="006720AE">
        <w:rPr>
          <w:rFonts w:asciiTheme="majorHAnsi" w:hAnsiTheme="majorHAnsi" w:cs="Arial"/>
          <w:b/>
        </w:rPr>
        <w:t xml:space="preserve">přes území </w:t>
      </w:r>
      <w:r w:rsidR="001244DE" w:rsidRPr="006720AE">
        <w:rPr>
          <w:rFonts w:asciiTheme="majorHAnsi" w:hAnsiTheme="majorHAnsi" w:cs="Arial"/>
          <w:b/>
        </w:rPr>
        <w:t xml:space="preserve">dalších </w:t>
      </w:r>
      <w:r w:rsidR="00584C6B" w:rsidRPr="006720AE">
        <w:rPr>
          <w:rFonts w:asciiTheme="majorHAnsi" w:hAnsiTheme="majorHAnsi" w:cs="Arial"/>
          <w:b/>
        </w:rPr>
        <w:t xml:space="preserve">zemí balkánské trasy </w:t>
      </w:r>
      <w:r w:rsidR="008701E7" w:rsidRPr="006720AE">
        <w:rPr>
          <w:rFonts w:asciiTheme="majorHAnsi" w:hAnsiTheme="majorHAnsi" w:cs="Arial"/>
          <w:b/>
        </w:rPr>
        <w:t>(Srbsk</w:t>
      </w:r>
      <w:r w:rsidR="001244DE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>, Chorvatsk</w:t>
      </w:r>
      <w:r w:rsidR="001244DE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>, Slovinsk</w:t>
      </w:r>
      <w:r w:rsidR="001244DE" w:rsidRPr="006720AE">
        <w:rPr>
          <w:rFonts w:asciiTheme="majorHAnsi" w:hAnsiTheme="majorHAnsi" w:cs="Arial"/>
          <w:b/>
        </w:rPr>
        <w:t>a a </w:t>
      </w:r>
      <w:r w:rsidR="008701E7" w:rsidRPr="006720AE">
        <w:rPr>
          <w:rFonts w:asciiTheme="majorHAnsi" w:hAnsiTheme="majorHAnsi" w:cs="Arial"/>
          <w:b/>
        </w:rPr>
        <w:t>Rakousk</w:t>
      </w:r>
      <w:r w:rsidR="001244DE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 xml:space="preserve">) </w:t>
      </w:r>
      <w:r w:rsidR="00890462" w:rsidRPr="006720AE">
        <w:rPr>
          <w:rFonts w:asciiTheme="majorHAnsi" w:hAnsiTheme="majorHAnsi" w:cs="Arial"/>
          <w:b/>
        </w:rPr>
        <w:t>na </w:t>
      </w:r>
      <w:r w:rsidR="00584C6B" w:rsidRPr="006720AE">
        <w:rPr>
          <w:rFonts w:asciiTheme="majorHAnsi" w:hAnsiTheme="majorHAnsi" w:cs="Arial"/>
          <w:b/>
        </w:rPr>
        <w:t>základě dohodnutých procedur spojených s jejich předáváním</w:t>
      </w:r>
      <w:r w:rsidR="00EF55D6" w:rsidRPr="006720AE">
        <w:rPr>
          <w:rFonts w:asciiTheme="majorHAnsi" w:hAnsiTheme="majorHAnsi" w:cs="Arial"/>
          <w:b/>
        </w:rPr>
        <w:t xml:space="preserve">. </w:t>
      </w:r>
      <w:r w:rsidR="008701E7" w:rsidRPr="006720AE">
        <w:rPr>
          <w:rFonts w:asciiTheme="majorHAnsi" w:hAnsiTheme="majorHAnsi" w:cs="Arial"/>
          <w:b/>
        </w:rPr>
        <w:t>ČR ne</w:t>
      </w:r>
      <w:r w:rsidR="00890462" w:rsidRPr="006720AE">
        <w:rPr>
          <w:rFonts w:asciiTheme="majorHAnsi" w:hAnsiTheme="majorHAnsi" w:cs="Arial"/>
          <w:b/>
        </w:rPr>
        <w:t>byl</w:t>
      </w:r>
      <w:r w:rsidR="003C752B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 xml:space="preserve"> </w:t>
      </w:r>
      <w:r w:rsidR="001244DE" w:rsidRPr="006720AE">
        <w:rPr>
          <w:rFonts w:asciiTheme="majorHAnsi" w:hAnsiTheme="majorHAnsi" w:cs="Arial"/>
          <w:b/>
        </w:rPr>
        <w:t>touto migrací zasažen</w:t>
      </w:r>
      <w:r w:rsidR="003C752B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 xml:space="preserve"> a zůst</w:t>
      </w:r>
      <w:r w:rsidR="00890462" w:rsidRPr="006720AE">
        <w:rPr>
          <w:rFonts w:asciiTheme="majorHAnsi" w:hAnsiTheme="majorHAnsi" w:cs="Arial"/>
          <w:b/>
        </w:rPr>
        <w:t>al</w:t>
      </w:r>
      <w:r w:rsidR="003C752B" w:rsidRPr="006720AE">
        <w:rPr>
          <w:rFonts w:asciiTheme="majorHAnsi" w:hAnsiTheme="majorHAnsi" w:cs="Arial"/>
          <w:b/>
        </w:rPr>
        <w:t>a</w:t>
      </w:r>
      <w:r w:rsidR="008701E7" w:rsidRPr="006720AE">
        <w:rPr>
          <w:rFonts w:asciiTheme="majorHAnsi" w:hAnsiTheme="majorHAnsi" w:cs="Arial"/>
          <w:b/>
        </w:rPr>
        <w:t xml:space="preserve"> tak na okraji sekundárního migračního proudu do Západní Evropy</w:t>
      </w:r>
      <w:r w:rsidR="001244DE" w:rsidRPr="006720AE">
        <w:rPr>
          <w:rStyle w:val="Znakapoznpodarou"/>
          <w:rFonts w:asciiTheme="majorHAnsi" w:hAnsiTheme="majorHAnsi" w:cs="Arial"/>
          <w:b/>
        </w:rPr>
        <w:footnoteReference w:id="3"/>
      </w:r>
      <w:r w:rsidR="008701E7" w:rsidRPr="006720AE">
        <w:rPr>
          <w:rFonts w:asciiTheme="majorHAnsi" w:hAnsiTheme="majorHAnsi" w:cs="Arial"/>
        </w:rPr>
        <w:t>.</w:t>
      </w:r>
      <w:r w:rsidR="001244DE" w:rsidRPr="006720AE">
        <w:rPr>
          <w:rFonts w:asciiTheme="majorHAnsi" w:hAnsiTheme="majorHAnsi" w:cs="Arial"/>
        </w:rPr>
        <w:t xml:space="preserve"> </w:t>
      </w:r>
    </w:p>
    <w:p w:rsidR="00D96DD7" w:rsidRPr="006720AE" w:rsidRDefault="00EF55D6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V</w:t>
      </w:r>
      <w:r w:rsidR="007F4B78" w:rsidRPr="006720AE">
        <w:rPr>
          <w:rFonts w:asciiTheme="majorHAnsi" w:hAnsiTheme="majorHAnsi" w:cs="Arial"/>
        </w:rPr>
        <w:t xml:space="preserve"> roce 2015 </w:t>
      </w:r>
      <w:r w:rsidRPr="006720AE">
        <w:rPr>
          <w:rFonts w:asciiTheme="majorHAnsi" w:hAnsiTheme="majorHAnsi" w:cs="Arial"/>
        </w:rPr>
        <w:t xml:space="preserve">docházelo </w:t>
      </w:r>
      <w:r w:rsidR="00D96DD7" w:rsidRPr="006720AE">
        <w:rPr>
          <w:rFonts w:asciiTheme="majorHAnsi" w:hAnsiTheme="majorHAnsi" w:cs="Arial"/>
        </w:rPr>
        <w:t>k </w:t>
      </w:r>
      <w:r w:rsidR="00D96DD7" w:rsidRPr="006720AE">
        <w:rPr>
          <w:rFonts w:asciiTheme="majorHAnsi" w:hAnsiTheme="majorHAnsi" w:cs="Arial"/>
          <w:b/>
        </w:rPr>
        <w:t>přímému záchytu migrantů v úkrytu nákladního nebo dodávkového vozidla</w:t>
      </w:r>
      <w:r w:rsidR="00D96DD7" w:rsidRPr="006720AE">
        <w:rPr>
          <w:rFonts w:asciiTheme="majorHAnsi" w:hAnsiTheme="majorHAnsi" w:cs="Arial"/>
        </w:rPr>
        <w:t xml:space="preserve">, a to v červenci </w:t>
      </w:r>
      <w:r w:rsidR="007F4B78" w:rsidRPr="006720AE">
        <w:rPr>
          <w:rFonts w:asciiTheme="majorHAnsi" w:hAnsiTheme="majorHAnsi" w:cs="Arial"/>
        </w:rPr>
        <w:t>v </w:t>
      </w:r>
      <w:r w:rsidR="00D96DD7" w:rsidRPr="006720AE">
        <w:rPr>
          <w:rFonts w:asciiTheme="majorHAnsi" w:hAnsiTheme="majorHAnsi" w:cs="Arial"/>
        </w:rPr>
        <w:t>Plzeňsk</w:t>
      </w:r>
      <w:r w:rsidR="007F4B78" w:rsidRPr="006720AE">
        <w:rPr>
          <w:rFonts w:asciiTheme="majorHAnsi" w:hAnsiTheme="majorHAnsi" w:cs="Arial"/>
        </w:rPr>
        <w:t>ém</w:t>
      </w:r>
      <w:r w:rsidR="00D96DD7" w:rsidRPr="006720AE">
        <w:rPr>
          <w:rFonts w:asciiTheme="majorHAnsi" w:hAnsiTheme="majorHAnsi" w:cs="Arial"/>
        </w:rPr>
        <w:t xml:space="preserve"> kraj</w:t>
      </w:r>
      <w:r w:rsidR="007F4B78" w:rsidRPr="006720AE">
        <w:rPr>
          <w:rFonts w:asciiTheme="majorHAnsi" w:hAnsiTheme="majorHAnsi" w:cs="Arial"/>
        </w:rPr>
        <w:t>i</w:t>
      </w:r>
      <w:r w:rsidR="00D96DD7" w:rsidRPr="006720AE">
        <w:rPr>
          <w:rFonts w:asciiTheme="majorHAnsi" w:hAnsiTheme="majorHAnsi" w:cs="Arial"/>
        </w:rPr>
        <w:t xml:space="preserve">, kdy </w:t>
      </w:r>
      <w:r w:rsidR="007F4B78" w:rsidRPr="006720AE">
        <w:rPr>
          <w:rFonts w:asciiTheme="majorHAnsi" w:hAnsiTheme="majorHAnsi" w:cs="Arial"/>
        </w:rPr>
        <w:t xml:space="preserve">byla zjištěna </w:t>
      </w:r>
      <w:r w:rsidR="00D96DD7" w:rsidRPr="006720AE">
        <w:rPr>
          <w:rFonts w:asciiTheme="majorHAnsi" w:hAnsiTheme="majorHAnsi" w:cs="Arial"/>
        </w:rPr>
        <w:t>skupin</w:t>
      </w:r>
      <w:r w:rsidR="007F4B78" w:rsidRPr="006720AE">
        <w:rPr>
          <w:rFonts w:asciiTheme="majorHAnsi" w:hAnsiTheme="majorHAnsi" w:cs="Arial"/>
        </w:rPr>
        <w:t>a 76 </w:t>
      </w:r>
      <w:r w:rsidR="00D96DD7" w:rsidRPr="006720AE">
        <w:rPr>
          <w:rFonts w:asciiTheme="majorHAnsi" w:hAnsiTheme="majorHAnsi" w:cs="Arial"/>
        </w:rPr>
        <w:t>nelegálních migrantů</w:t>
      </w:r>
      <w:r w:rsidRPr="006720AE">
        <w:rPr>
          <w:rFonts w:asciiTheme="majorHAnsi" w:hAnsiTheme="majorHAnsi" w:cs="Arial"/>
        </w:rPr>
        <w:t xml:space="preserve"> (</w:t>
      </w:r>
      <w:r w:rsidR="00D96DD7" w:rsidRPr="006720AE">
        <w:rPr>
          <w:rFonts w:asciiTheme="majorHAnsi" w:hAnsiTheme="majorHAnsi" w:cs="Arial"/>
        </w:rPr>
        <w:t>občan</w:t>
      </w:r>
      <w:r w:rsidR="0095059D" w:rsidRPr="006720AE">
        <w:rPr>
          <w:rFonts w:asciiTheme="majorHAnsi" w:hAnsiTheme="majorHAnsi" w:cs="Arial"/>
        </w:rPr>
        <w:t>ů</w:t>
      </w:r>
      <w:r w:rsidR="00D96DD7" w:rsidRPr="006720AE">
        <w:rPr>
          <w:rFonts w:asciiTheme="majorHAnsi" w:hAnsiTheme="majorHAnsi" w:cs="Arial"/>
        </w:rPr>
        <w:t xml:space="preserve"> Afghánistánu a Pákistánu</w:t>
      </w:r>
      <w:r w:rsidRPr="006720AE">
        <w:rPr>
          <w:rFonts w:asciiTheme="majorHAnsi" w:hAnsiTheme="majorHAnsi" w:cs="Arial"/>
        </w:rPr>
        <w:t>)</w:t>
      </w:r>
      <w:r w:rsidR="007F4B78" w:rsidRPr="006720AE">
        <w:rPr>
          <w:rFonts w:asciiTheme="majorHAnsi" w:hAnsiTheme="majorHAnsi" w:cs="Arial"/>
        </w:rPr>
        <w:t>,</w:t>
      </w:r>
      <w:r w:rsidR="00D96DD7" w:rsidRPr="006720AE">
        <w:rPr>
          <w:rFonts w:asciiTheme="majorHAnsi" w:hAnsiTheme="majorHAnsi" w:cs="Arial"/>
        </w:rPr>
        <w:t xml:space="preserve"> v srpnu </w:t>
      </w:r>
      <w:r w:rsidR="007F4B78" w:rsidRPr="006720AE">
        <w:rPr>
          <w:rFonts w:asciiTheme="majorHAnsi" w:hAnsiTheme="majorHAnsi" w:cs="Arial"/>
        </w:rPr>
        <w:t>rovněž v Plzeňském kraji</w:t>
      </w:r>
      <w:r w:rsidR="00D96DD7" w:rsidRPr="006720AE">
        <w:rPr>
          <w:rFonts w:asciiTheme="majorHAnsi" w:hAnsiTheme="majorHAnsi" w:cs="Arial"/>
        </w:rPr>
        <w:t xml:space="preserve">, </w:t>
      </w:r>
      <w:r w:rsidR="007F4B78" w:rsidRPr="006720AE">
        <w:rPr>
          <w:rFonts w:asciiTheme="majorHAnsi" w:hAnsiTheme="majorHAnsi" w:cs="Arial"/>
        </w:rPr>
        <w:t xml:space="preserve">kdy byla zjištěna další 48členná </w:t>
      </w:r>
      <w:r w:rsidR="00D96DD7" w:rsidRPr="006720AE">
        <w:rPr>
          <w:rFonts w:asciiTheme="majorHAnsi" w:hAnsiTheme="majorHAnsi" w:cs="Arial"/>
        </w:rPr>
        <w:t>skupin</w:t>
      </w:r>
      <w:r w:rsidR="007F4B78" w:rsidRPr="006720AE">
        <w:rPr>
          <w:rFonts w:asciiTheme="majorHAnsi" w:hAnsiTheme="majorHAnsi" w:cs="Arial"/>
        </w:rPr>
        <w:t>a</w:t>
      </w:r>
      <w:r w:rsidR="00D96DD7" w:rsidRPr="006720AE">
        <w:rPr>
          <w:rFonts w:asciiTheme="majorHAnsi" w:hAnsiTheme="majorHAnsi" w:cs="Arial"/>
        </w:rPr>
        <w:t xml:space="preserve"> občan</w:t>
      </w:r>
      <w:r w:rsidR="007F4B78" w:rsidRPr="006720AE">
        <w:rPr>
          <w:rFonts w:asciiTheme="majorHAnsi" w:hAnsiTheme="majorHAnsi" w:cs="Arial"/>
        </w:rPr>
        <w:t>ů</w:t>
      </w:r>
      <w:r w:rsidR="00D96DD7" w:rsidRPr="006720AE">
        <w:rPr>
          <w:rFonts w:asciiTheme="majorHAnsi" w:hAnsiTheme="majorHAnsi" w:cs="Arial"/>
        </w:rPr>
        <w:t xml:space="preserve"> Afghánistánu, Sýrie a </w:t>
      </w:r>
      <w:r w:rsidR="00890462" w:rsidRPr="006720AE">
        <w:rPr>
          <w:rFonts w:asciiTheme="majorHAnsi" w:hAnsiTheme="majorHAnsi" w:cs="Arial"/>
        </w:rPr>
        <w:t>Iráku, a v Jihočeském</w:t>
      </w:r>
      <w:r w:rsidR="00D96DD7" w:rsidRPr="006720AE">
        <w:rPr>
          <w:rFonts w:asciiTheme="majorHAnsi" w:hAnsiTheme="majorHAnsi" w:cs="Arial"/>
        </w:rPr>
        <w:t xml:space="preserve"> kraj</w:t>
      </w:r>
      <w:r w:rsidR="007F4B78" w:rsidRPr="006720AE">
        <w:rPr>
          <w:rFonts w:asciiTheme="majorHAnsi" w:hAnsiTheme="majorHAnsi" w:cs="Arial"/>
        </w:rPr>
        <w:t>i</w:t>
      </w:r>
      <w:r w:rsidR="00D96DD7" w:rsidRPr="006720AE">
        <w:rPr>
          <w:rFonts w:asciiTheme="majorHAnsi" w:hAnsiTheme="majorHAnsi" w:cs="Arial"/>
        </w:rPr>
        <w:t xml:space="preserve">, </w:t>
      </w:r>
      <w:r w:rsidR="007F4B78" w:rsidRPr="006720AE">
        <w:rPr>
          <w:rFonts w:asciiTheme="majorHAnsi" w:hAnsiTheme="majorHAnsi" w:cs="Arial"/>
        </w:rPr>
        <w:t>kdy byla zadržena</w:t>
      </w:r>
      <w:r w:rsidR="00D96DD7" w:rsidRPr="006720AE">
        <w:rPr>
          <w:rFonts w:asciiTheme="majorHAnsi" w:hAnsiTheme="majorHAnsi" w:cs="Arial"/>
        </w:rPr>
        <w:t xml:space="preserve"> skupin</w:t>
      </w:r>
      <w:r w:rsidR="007F4B78" w:rsidRPr="006720AE">
        <w:rPr>
          <w:rFonts w:asciiTheme="majorHAnsi" w:hAnsiTheme="majorHAnsi" w:cs="Arial"/>
        </w:rPr>
        <w:t>a</w:t>
      </w:r>
      <w:r w:rsidR="00D96DD7" w:rsidRPr="006720AE">
        <w:rPr>
          <w:rFonts w:asciiTheme="majorHAnsi" w:hAnsiTheme="majorHAnsi" w:cs="Arial"/>
        </w:rPr>
        <w:t xml:space="preserve"> 26 občan</w:t>
      </w:r>
      <w:r w:rsidR="007F4B78" w:rsidRPr="006720AE">
        <w:rPr>
          <w:rFonts w:asciiTheme="majorHAnsi" w:hAnsiTheme="majorHAnsi" w:cs="Arial"/>
        </w:rPr>
        <w:t>ů</w:t>
      </w:r>
      <w:r w:rsidR="00D96DD7" w:rsidRPr="006720AE">
        <w:rPr>
          <w:rFonts w:asciiTheme="majorHAnsi" w:hAnsiTheme="majorHAnsi" w:cs="Arial"/>
        </w:rPr>
        <w:t xml:space="preserve"> Afghánistánu.</w:t>
      </w:r>
    </w:p>
    <w:p w:rsidR="00D96DD7" w:rsidRPr="006720AE" w:rsidRDefault="00D96DD7" w:rsidP="00D96DD7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Neregulérním cestovním dokladem se při nelegálním pobytu prokázalo 234 osob</w:t>
      </w:r>
      <w:r w:rsidRPr="006720AE">
        <w:rPr>
          <w:rFonts w:asciiTheme="majorHAnsi" w:hAnsiTheme="majorHAnsi" w:cs="Arial"/>
        </w:rPr>
        <w:t xml:space="preserve">. V meziročním srovnání </w:t>
      </w:r>
      <w:r w:rsidRPr="006720AE">
        <w:rPr>
          <w:rFonts w:asciiTheme="majorHAnsi" w:hAnsiTheme="majorHAnsi" w:cs="Arial"/>
          <w:b/>
        </w:rPr>
        <w:t>došlo k velkému nárůstu, a to o 120 osob</w:t>
      </w:r>
      <w:r w:rsidRPr="006720AE">
        <w:rPr>
          <w:rFonts w:asciiTheme="majorHAnsi" w:hAnsiTheme="majorHAnsi" w:cs="Arial"/>
        </w:rPr>
        <w:t xml:space="preserve"> (tj. </w:t>
      </w:r>
      <w:r w:rsidR="00955491" w:rsidRPr="006720AE">
        <w:rPr>
          <w:rFonts w:asciiTheme="majorHAnsi" w:hAnsiTheme="majorHAnsi" w:cs="Arial"/>
        </w:rPr>
        <w:t>o</w:t>
      </w:r>
      <w:r w:rsidRPr="006720AE">
        <w:rPr>
          <w:rFonts w:asciiTheme="majorHAnsi" w:hAnsiTheme="majorHAnsi" w:cs="Arial"/>
        </w:rPr>
        <w:t xml:space="preserve">105 %). </w:t>
      </w:r>
      <w:r w:rsidR="00955491" w:rsidRPr="006720AE">
        <w:rPr>
          <w:rFonts w:asciiTheme="majorHAnsi" w:hAnsiTheme="majorHAnsi" w:cs="Arial"/>
        </w:rPr>
        <w:t>N</w:t>
      </w:r>
      <w:r w:rsidRPr="006720AE">
        <w:rPr>
          <w:rFonts w:asciiTheme="majorHAnsi" w:hAnsiTheme="majorHAnsi" w:cs="Arial"/>
        </w:rPr>
        <w:t xml:space="preserve">ejvíce </w:t>
      </w:r>
      <w:r w:rsidR="00955491" w:rsidRPr="006720AE">
        <w:rPr>
          <w:rFonts w:asciiTheme="majorHAnsi" w:hAnsiTheme="majorHAnsi" w:cs="Arial"/>
        </w:rPr>
        <w:t xml:space="preserve">se jednalo </w:t>
      </w:r>
      <w:r w:rsidRPr="006720AE">
        <w:rPr>
          <w:rFonts w:asciiTheme="majorHAnsi" w:hAnsiTheme="majorHAnsi" w:cs="Arial"/>
        </w:rPr>
        <w:t xml:space="preserve">o občany </w:t>
      </w:r>
      <w:r w:rsidRPr="006720AE">
        <w:rPr>
          <w:rFonts w:asciiTheme="majorHAnsi" w:hAnsiTheme="majorHAnsi" w:cs="Arial"/>
          <w:b/>
        </w:rPr>
        <w:t>Ukrajiny</w:t>
      </w:r>
      <w:r w:rsidRPr="006720AE">
        <w:rPr>
          <w:rFonts w:asciiTheme="majorHAnsi" w:hAnsiTheme="majorHAnsi" w:cs="Arial"/>
        </w:rPr>
        <w:t xml:space="preserve"> (85 osob), </w:t>
      </w:r>
      <w:r w:rsidRPr="006720AE">
        <w:rPr>
          <w:rFonts w:asciiTheme="majorHAnsi" w:hAnsiTheme="majorHAnsi" w:cs="Arial"/>
          <w:b/>
        </w:rPr>
        <w:t>Somálska</w:t>
      </w:r>
      <w:r w:rsidRPr="006720AE">
        <w:rPr>
          <w:rFonts w:asciiTheme="majorHAnsi" w:hAnsiTheme="majorHAnsi" w:cs="Arial"/>
        </w:rPr>
        <w:t xml:space="preserve"> (41) a </w:t>
      </w:r>
      <w:r w:rsidRPr="006720AE">
        <w:rPr>
          <w:rFonts w:asciiTheme="majorHAnsi" w:hAnsiTheme="majorHAnsi" w:cs="Arial"/>
          <w:b/>
        </w:rPr>
        <w:t>Sýrie</w:t>
      </w:r>
      <w:r w:rsidRPr="006720AE">
        <w:rPr>
          <w:rFonts w:asciiTheme="majorHAnsi" w:hAnsiTheme="majorHAnsi" w:cs="Arial"/>
        </w:rPr>
        <w:t xml:space="preserve"> (40). Pokračuje trend, kdy občané Ukrajiny předkládají zejména rumunské doklady, a to po uplynutí platnosti povoleného pobytu na území ČR. Po dlouhé době se ve statistice objevili občané Somálska, a to od dubna roku</w:t>
      </w:r>
      <w:r w:rsidR="00955491" w:rsidRPr="006720AE">
        <w:rPr>
          <w:rFonts w:asciiTheme="majorHAnsi" w:hAnsiTheme="majorHAnsi" w:cs="Arial"/>
        </w:rPr>
        <w:t xml:space="preserve"> </w:t>
      </w:r>
      <w:r w:rsidR="00EF55D6" w:rsidRPr="006720AE">
        <w:rPr>
          <w:rFonts w:asciiTheme="majorHAnsi" w:hAnsiTheme="majorHAnsi" w:cs="Arial"/>
        </w:rPr>
        <w:t xml:space="preserve">2015 </w:t>
      </w:r>
      <w:r w:rsidR="00955491" w:rsidRPr="006720AE">
        <w:rPr>
          <w:rFonts w:asciiTheme="majorHAnsi" w:hAnsiTheme="majorHAnsi" w:cs="Arial"/>
        </w:rPr>
        <w:t>(</w:t>
      </w:r>
      <w:r w:rsidRPr="006720AE">
        <w:rPr>
          <w:rFonts w:asciiTheme="majorHAnsi" w:hAnsiTheme="majorHAnsi" w:cs="Arial"/>
        </w:rPr>
        <w:t>10 případů</w:t>
      </w:r>
      <w:r w:rsidR="00955491" w:rsidRPr="006720AE">
        <w:rPr>
          <w:rFonts w:asciiTheme="majorHAnsi" w:hAnsiTheme="majorHAnsi" w:cs="Arial"/>
        </w:rPr>
        <w:t>)</w:t>
      </w:r>
      <w:r w:rsidRPr="006720AE">
        <w:rPr>
          <w:rFonts w:asciiTheme="majorHAnsi" w:hAnsiTheme="majorHAnsi" w:cs="Arial"/>
        </w:rPr>
        <w:t>. Občané Somálska a Sýrie byli odhaleni při nelegální tranzitní migraci. Z celkového počtu 234 osob jich 213 bylo odhaleno ve vnitrozemí a 21 na vzdušné vnitřní schengenské hranici</w:t>
      </w:r>
      <w:r w:rsidR="00955491" w:rsidRPr="006720AE">
        <w:rPr>
          <w:rFonts w:asciiTheme="majorHAnsi" w:hAnsiTheme="majorHAnsi" w:cs="Arial"/>
        </w:rPr>
        <w:t xml:space="preserve"> (</w:t>
      </w:r>
      <w:r w:rsidRPr="006720AE">
        <w:rPr>
          <w:rFonts w:asciiTheme="majorHAnsi" w:hAnsiTheme="majorHAnsi" w:cs="Arial"/>
        </w:rPr>
        <w:t xml:space="preserve">13 </w:t>
      </w:r>
      <w:r w:rsidR="00955491" w:rsidRPr="006720AE">
        <w:rPr>
          <w:rFonts w:asciiTheme="majorHAnsi" w:hAnsiTheme="majorHAnsi" w:cs="Arial"/>
        </w:rPr>
        <w:t>občanů Sýrie</w:t>
      </w:r>
      <w:r w:rsidRPr="006720AE">
        <w:rPr>
          <w:rFonts w:asciiTheme="majorHAnsi" w:hAnsiTheme="majorHAnsi" w:cs="Arial"/>
        </w:rPr>
        <w:t>, 4 A</w:t>
      </w:r>
      <w:r w:rsidR="00955491" w:rsidRPr="006720AE">
        <w:rPr>
          <w:rFonts w:asciiTheme="majorHAnsi" w:hAnsiTheme="majorHAnsi" w:cs="Arial"/>
        </w:rPr>
        <w:t>fghánistánu</w:t>
      </w:r>
      <w:r w:rsidRPr="006720AE">
        <w:rPr>
          <w:rFonts w:asciiTheme="majorHAnsi" w:hAnsiTheme="majorHAnsi" w:cs="Arial"/>
        </w:rPr>
        <w:t>, 2 I</w:t>
      </w:r>
      <w:r w:rsidR="00955491" w:rsidRPr="006720AE">
        <w:rPr>
          <w:rFonts w:asciiTheme="majorHAnsi" w:hAnsiTheme="majorHAnsi" w:cs="Arial"/>
        </w:rPr>
        <w:t>ráku</w:t>
      </w:r>
      <w:r w:rsidRPr="006720AE">
        <w:rPr>
          <w:rFonts w:asciiTheme="majorHAnsi" w:hAnsiTheme="majorHAnsi" w:cs="Arial"/>
        </w:rPr>
        <w:t xml:space="preserve"> a po jednom občan</w:t>
      </w:r>
      <w:r w:rsidR="00955491" w:rsidRPr="006720AE">
        <w:rPr>
          <w:rFonts w:asciiTheme="majorHAnsi" w:hAnsiTheme="majorHAnsi" w:cs="Arial"/>
        </w:rPr>
        <w:t>ovi</w:t>
      </w:r>
      <w:r w:rsidRPr="006720AE">
        <w:rPr>
          <w:rFonts w:asciiTheme="majorHAnsi" w:hAnsiTheme="majorHAnsi" w:cs="Arial"/>
        </w:rPr>
        <w:t xml:space="preserve"> </w:t>
      </w:r>
      <w:r w:rsidR="00955491" w:rsidRPr="006720AE">
        <w:rPr>
          <w:rFonts w:asciiTheme="majorHAnsi" w:hAnsiTheme="majorHAnsi" w:cs="Arial"/>
        </w:rPr>
        <w:t>Maroka</w:t>
      </w:r>
      <w:r w:rsidRPr="006720AE">
        <w:rPr>
          <w:rFonts w:asciiTheme="majorHAnsi" w:hAnsiTheme="majorHAnsi" w:cs="Arial"/>
        </w:rPr>
        <w:t xml:space="preserve"> </w:t>
      </w:r>
      <w:r w:rsidR="007F4B78" w:rsidRPr="006720AE">
        <w:rPr>
          <w:rFonts w:asciiTheme="majorHAnsi" w:hAnsiTheme="majorHAnsi" w:cs="Arial"/>
        </w:rPr>
        <w:t>a </w:t>
      </w:r>
      <w:r w:rsidR="00955491" w:rsidRPr="006720AE">
        <w:rPr>
          <w:rFonts w:asciiTheme="majorHAnsi" w:hAnsiTheme="majorHAnsi" w:cs="Arial"/>
        </w:rPr>
        <w:t>Palestiny</w:t>
      </w:r>
      <w:r w:rsidRPr="006720AE">
        <w:rPr>
          <w:rFonts w:asciiTheme="majorHAnsi" w:hAnsiTheme="majorHAnsi" w:cs="Arial"/>
        </w:rPr>
        <w:t xml:space="preserve"> bylo odhaleno na příletu z</w:t>
      </w:r>
      <w:r w:rsidR="00955491" w:rsidRPr="006720AE">
        <w:rPr>
          <w:rFonts w:asciiTheme="majorHAnsi" w:hAnsiTheme="majorHAnsi" w:cs="Arial"/>
        </w:rPr>
        <w:t xml:space="preserve"> některého </w:t>
      </w:r>
      <w:r w:rsidR="00EF55D6" w:rsidRPr="006720AE">
        <w:rPr>
          <w:rFonts w:asciiTheme="majorHAnsi" w:hAnsiTheme="majorHAnsi" w:cs="Arial"/>
        </w:rPr>
        <w:t>z </w:t>
      </w:r>
      <w:r w:rsidRPr="006720AE">
        <w:rPr>
          <w:rFonts w:asciiTheme="majorHAnsi" w:hAnsiTheme="majorHAnsi" w:cs="Arial"/>
        </w:rPr>
        <w:t>řeckých ostrovů</w:t>
      </w:r>
      <w:r w:rsidR="006F5FD4" w:rsidRPr="006720AE">
        <w:rPr>
          <w:rFonts w:asciiTheme="majorHAnsi" w:hAnsiTheme="majorHAnsi" w:cs="Arial"/>
        </w:rPr>
        <w:t>)</w:t>
      </w:r>
      <w:r w:rsidRPr="006720AE">
        <w:rPr>
          <w:rFonts w:asciiTheme="majorHAnsi" w:hAnsiTheme="majorHAnsi" w:cs="Arial"/>
        </w:rPr>
        <w:t>.</w:t>
      </w:r>
      <w:r w:rsidR="00955491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  <w:b/>
        </w:rPr>
        <w:t>Celkem bylo odhaleno 247 neregulérních cestovních dokladů</w:t>
      </w:r>
      <w:r w:rsidRPr="006720AE">
        <w:rPr>
          <w:rFonts w:asciiTheme="majorHAnsi" w:hAnsiTheme="majorHAnsi" w:cs="Arial"/>
        </w:rPr>
        <w:t xml:space="preserve"> (jedna osoba může disponovat více cestovními doklady), z toho se jednalo o 157 průkazů totožnosti a 90 cestovních pasů. V naprosté většině případů byly zneužity doklady státních příslušností patřící</w:t>
      </w:r>
      <w:r w:rsidR="006F5FD4" w:rsidRPr="006720AE">
        <w:rPr>
          <w:rFonts w:asciiTheme="majorHAnsi" w:hAnsiTheme="majorHAnsi" w:cs="Arial"/>
        </w:rPr>
        <w:t>ch</w:t>
      </w:r>
      <w:r w:rsidRPr="006720AE">
        <w:rPr>
          <w:rFonts w:asciiTheme="majorHAnsi" w:hAnsiTheme="majorHAnsi" w:cs="Arial"/>
        </w:rPr>
        <w:t xml:space="preserve"> mezi země EU (228 dokladů, tj. 92,3 %), z toho nejvíce Rumunska (73), Itálie (57 dokladů), Litvy (18)</w:t>
      </w:r>
      <w:r w:rsidR="00955491" w:rsidRPr="006720AE">
        <w:rPr>
          <w:rFonts w:asciiTheme="majorHAnsi" w:hAnsiTheme="majorHAnsi" w:cs="Arial"/>
        </w:rPr>
        <w:t xml:space="preserve"> a </w:t>
      </w:r>
      <w:r w:rsidRPr="006720AE">
        <w:rPr>
          <w:rFonts w:asciiTheme="majorHAnsi" w:hAnsiTheme="majorHAnsi" w:cs="Arial"/>
        </w:rPr>
        <w:t>Bulharska (14). Nejčastěji byly užity celkové padělky dokladů a poté doklady, kdy došlo k zásahu do ID stránky dokladu (výměna celé stránky, výměna fotografie, přepis údajů atd</w:t>
      </w:r>
      <w:r w:rsidR="00955491" w:rsidRPr="006720AE">
        <w:rPr>
          <w:rFonts w:asciiTheme="majorHAnsi" w:hAnsiTheme="majorHAnsi" w:cs="Arial"/>
        </w:rPr>
        <w:t>.</w:t>
      </w:r>
      <w:r w:rsidRPr="006720AE">
        <w:rPr>
          <w:rFonts w:asciiTheme="majorHAnsi" w:hAnsiTheme="majorHAnsi" w:cs="Arial"/>
        </w:rPr>
        <w:t xml:space="preserve">). </w:t>
      </w:r>
    </w:p>
    <w:p w:rsidR="007F4B78" w:rsidRPr="006720AE" w:rsidRDefault="007F4B78" w:rsidP="007F4B78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U dalších 1 447 osob bylo zjištěno, že jsou žadatelé o mezinárodní ochranu v některém členském státě</w:t>
      </w:r>
      <w:r w:rsidRPr="006720AE">
        <w:rPr>
          <w:rFonts w:asciiTheme="majorHAnsi" w:hAnsiTheme="majorHAnsi" w:cs="Arial"/>
        </w:rPr>
        <w:t xml:space="preserve">. V porovnání s rokem 2014 (253 osob) </w:t>
      </w:r>
      <w:r w:rsidRPr="006720AE">
        <w:rPr>
          <w:rFonts w:asciiTheme="majorHAnsi" w:hAnsiTheme="majorHAnsi" w:cs="Arial"/>
          <w:b/>
        </w:rPr>
        <w:t>došlo k nárůstu těchto osob</w:t>
      </w:r>
      <w:r w:rsidRPr="006720AE">
        <w:rPr>
          <w:rFonts w:asciiTheme="majorHAnsi" w:hAnsiTheme="majorHAnsi" w:cs="Arial"/>
        </w:rPr>
        <w:t xml:space="preserve"> (o 1 194 osob). Tito migranti byli ve větších počtech zjišťováni od 4. čtvrtletí 2014 a tento trend pokračoval i v roce 2015. Tyto osoby byly </w:t>
      </w:r>
      <w:r w:rsidRPr="006720AE">
        <w:rPr>
          <w:rFonts w:asciiTheme="majorHAnsi" w:hAnsiTheme="majorHAnsi" w:cs="Arial"/>
          <w:b/>
        </w:rPr>
        <w:t>zjištěny při tranzitní nelegální migraci, kdy přes naše území směřovaly do Německa</w:t>
      </w:r>
      <w:r w:rsidRPr="006720AE">
        <w:rPr>
          <w:rFonts w:asciiTheme="majorHAnsi" w:hAnsiTheme="majorHAnsi" w:cs="Arial"/>
        </w:rPr>
        <w:t xml:space="preserve">. Nejčastěji se jednalo o </w:t>
      </w:r>
      <w:r w:rsidR="00266DEF" w:rsidRPr="006720AE">
        <w:rPr>
          <w:rFonts w:asciiTheme="majorHAnsi" w:hAnsiTheme="majorHAnsi" w:cs="Arial"/>
          <w:b/>
        </w:rPr>
        <w:t>žadatele o </w:t>
      </w:r>
      <w:r w:rsidR="00266DEF" w:rsidRPr="006720AE">
        <w:rPr>
          <w:rFonts w:asciiTheme="majorHAnsi" w:hAnsiTheme="majorHAnsi" w:cs="Arial"/>
          <w:bCs/>
        </w:rPr>
        <w:t>žádosti o mezinárodní ochranu</w:t>
      </w:r>
      <w:r w:rsidRPr="006720AE">
        <w:rPr>
          <w:rFonts w:asciiTheme="majorHAnsi" w:hAnsiTheme="majorHAnsi" w:cs="Arial"/>
          <w:b/>
        </w:rPr>
        <w:t xml:space="preserve"> v Maďarsku</w:t>
      </w:r>
      <w:r w:rsidRPr="006720AE">
        <w:rPr>
          <w:rFonts w:asciiTheme="majorHAnsi" w:hAnsiTheme="majorHAnsi" w:cs="Arial"/>
        </w:rPr>
        <w:t xml:space="preserve"> (1 161 osob, tj. 80 %) a </w:t>
      </w:r>
      <w:r w:rsidRPr="006720AE">
        <w:rPr>
          <w:rFonts w:asciiTheme="majorHAnsi" w:hAnsiTheme="majorHAnsi" w:cs="Arial"/>
          <w:b/>
        </w:rPr>
        <w:t>Rakousku</w:t>
      </w:r>
      <w:r w:rsidR="00266DEF" w:rsidRPr="006720AE">
        <w:rPr>
          <w:rFonts w:asciiTheme="majorHAnsi" w:hAnsiTheme="majorHAnsi" w:cs="Arial"/>
        </w:rPr>
        <w:t xml:space="preserve"> (155 osob, tj. </w:t>
      </w:r>
      <w:r w:rsidRPr="006720AE">
        <w:rPr>
          <w:rFonts w:asciiTheme="majorHAnsi" w:hAnsiTheme="majorHAnsi" w:cs="Arial"/>
        </w:rPr>
        <w:t xml:space="preserve">11 %). Z hlediska státních příslušností měli největší zastoupení </w:t>
      </w:r>
      <w:r w:rsidRPr="006720AE">
        <w:rPr>
          <w:rFonts w:asciiTheme="majorHAnsi" w:hAnsiTheme="majorHAnsi" w:cs="Arial"/>
          <w:b/>
        </w:rPr>
        <w:t>občané Sýrie</w:t>
      </w:r>
      <w:r w:rsidR="00266DEF" w:rsidRPr="006720AE">
        <w:rPr>
          <w:rFonts w:asciiTheme="majorHAnsi" w:hAnsiTheme="majorHAnsi" w:cs="Arial"/>
        </w:rPr>
        <w:t xml:space="preserve"> (504 osob, tj. </w:t>
      </w:r>
      <w:r w:rsidRPr="006720AE">
        <w:rPr>
          <w:rFonts w:asciiTheme="majorHAnsi" w:hAnsiTheme="majorHAnsi" w:cs="Arial"/>
        </w:rPr>
        <w:t>35</w:t>
      </w:r>
      <w:r w:rsidR="00266DE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 xml:space="preserve">%), </w:t>
      </w:r>
      <w:r w:rsidRPr="006720AE">
        <w:rPr>
          <w:rFonts w:asciiTheme="majorHAnsi" w:hAnsiTheme="majorHAnsi" w:cs="Arial"/>
          <w:b/>
        </w:rPr>
        <w:t>Kosova</w:t>
      </w:r>
      <w:r w:rsidRPr="006720AE">
        <w:rPr>
          <w:rFonts w:asciiTheme="majorHAnsi" w:hAnsiTheme="majorHAnsi" w:cs="Arial"/>
        </w:rPr>
        <w:t xml:space="preserve"> (183 osob), </w:t>
      </w:r>
      <w:r w:rsidRPr="006720AE">
        <w:rPr>
          <w:rFonts w:asciiTheme="majorHAnsi" w:hAnsiTheme="majorHAnsi" w:cs="Arial"/>
          <w:b/>
        </w:rPr>
        <w:t>Afghánistánu</w:t>
      </w:r>
      <w:r w:rsidRPr="006720AE">
        <w:rPr>
          <w:rFonts w:asciiTheme="majorHAnsi" w:hAnsiTheme="majorHAnsi" w:cs="Arial"/>
        </w:rPr>
        <w:t xml:space="preserve"> (162), Pákistánu (141), Bangladéše (82), Iráku (68).</w:t>
      </w:r>
    </w:p>
    <w:p w:rsidR="003C3DBD" w:rsidRPr="006720AE" w:rsidRDefault="003C3DBD" w:rsidP="002B5696">
      <w:pPr>
        <w:pStyle w:val="Nadpis3"/>
        <w:spacing w:before="240" w:after="120" w:line="240" w:lineRule="auto"/>
      </w:pPr>
      <w:bookmarkStart w:id="10" w:name="_Toc440627798"/>
      <w:r w:rsidRPr="006720AE">
        <w:t>I.</w:t>
      </w:r>
      <w:r w:rsidR="006720AE">
        <w:t>3</w:t>
      </w:r>
      <w:r w:rsidRPr="006720AE">
        <w:t>.3. Zařízení pro zajištění cizinců</w:t>
      </w:r>
      <w:bookmarkEnd w:id="10"/>
      <w:r w:rsidRPr="006720AE">
        <w:t xml:space="preserve"> </w:t>
      </w:r>
    </w:p>
    <w:p w:rsidR="00FF508D" w:rsidRPr="006720AE" w:rsidRDefault="00FF508D" w:rsidP="00FF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Zařízení pro zajištění cizinců je místo, kde je cizinec povinen se zdržovat na základě rozhodnutí o zajištění.</w:t>
      </w:r>
    </w:p>
    <w:p w:rsidR="0084281A" w:rsidRPr="006720AE" w:rsidRDefault="00FD19F0" w:rsidP="00FD19F0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Zatímco v roce 2014 provozovala Správa uprchlických zařízení Ministerstva vnitra jedno zařízení pro zajištění cizinců, a to v Bělé </w:t>
      </w:r>
      <w:r w:rsidR="001F2C0C" w:rsidRPr="006720AE">
        <w:rPr>
          <w:rFonts w:asciiTheme="majorHAnsi" w:hAnsiTheme="majorHAnsi" w:cs="Arial"/>
        </w:rPr>
        <w:t>Jezové</w:t>
      </w:r>
      <w:r w:rsidRPr="006720AE">
        <w:rPr>
          <w:rFonts w:asciiTheme="majorHAnsi" w:hAnsiTheme="majorHAnsi" w:cs="Arial"/>
        </w:rPr>
        <w:t xml:space="preserve"> (s ubytovací kapacitou 270 lůžek), </w:t>
      </w:r>
      <w:r w:rsidRPr="006720AE">
        <w:rPr>
          <w:rFonts w:asciiTheme="majorHAnsi" w:hAnsiTheme="majorHAnsi" w:cs="Arial"/>
          <w:b/>
        </w:rPr>
        <w:t>situace</w:t>
      </w:r>
      <w:r w:rsidR="0084281A" w:rsidRPr="006720AE">
        <w:rPr>
          <w:rFonts w:asciiTheme="majorHAnsi" w:hAnsiTheme="majorHAnsi" w:cs="Arial"/>
          <w:b/>
        </w:rPr>
        <w:t>,</w:t>
      </w:r>
      <w:r w:rsidRPr="006720AE">
        <w:rPr>
          <w:rFonts w:asciiTheme="majorHAnsi" w:hAnsiTheme="majorHAnsi" w:cs="Arial"/>
          <w:b/>
        </w:rPr>
        <w:t xml:space="preserve"> zejm. v oblasti </w:t>
      </w:r>
      <w:r w:rsidR="00484E1E" w:rsidRPr="006720AE">
        <w:rPr>
          <w:rFonts w:asciiTheme="majorHAnsi" w:hAnsiTheme="majorHAnsi" w:cs="Arial"/>
          <w:b/>
        </w:rPr>
        <w:t xml:space="preserve">nárůstu </w:t>
      </w:r>
      <w:r w:rsidRPr="006720AE">
        <w:rPr>
          <w:rFonts w:asciiTheme="majorHAnsi" w:hAnsiTheme="majorHAnsi" w:cs="Arial"/>
          <w:b/>
        </w:rPr>
        <w:t>tranzitní nelegální migrace v</w:t>
      </w:r>
      <w:r w:rsidR="00484E1E" w:rsidRPr="006720AE">
        <w:rPr>
          <w:rFonts w:asciiTheme="majorHAnsi" w:hAnsiTheme="majorHAnsi" w:cs="Arial"/>
          <w:b/>
        </w:rPr>
        <w:t xml:space="preserve"> průběhu </w:t>
      </w:r>
      <w:r w:rsidRPr="006720AE">
        <w:rPr>
          <w:rFonts w:asciiTheme="majorHAnsi" w:hAnsiTheme="majorHAnsi" w:cs="Arial"/>
          <w:b/>
        </w:rPr>
        <w:t>ro</w:t>
      </w:r>
      <w:r w:rsidR="00484E1E" w:rsidRPr="006720AE">
        <w:rPr>
          <w:rFonts w:asciiTheme="majorHAnsi" w:hAnsiTheme="majorHAnsi" w:cs="Arial"/>
          <w:b/>
        </w:rPr>
        <w:t>ku</w:t>
      </w:r>
      <w:r w:rsidRPr="006720AE">
        <w:rPr>
          <w:rFonts w:asciiTheme="majorHAnsi" w:hAnsiTheme="majorHAnsi" w:cs="Arial"/>
          <w:b/>
        </w:rPr>
        <w:t xml:space="preserve"> 2015</w:t>
      </w:r>
      <w:r w:rsidR="0084281A" w:rsidRPr="006720AE">
        <w:rPr>
          <w:rFonts w:asciiTheme="majorHAnsi" w:hAnsiTheme="majorHAnsi" w:cs="Arial"/>
          <w:b/>
        </w:rPr>
        <w:t>, si vyžádala razantní navýšení ubytovacích kapacit</w:t>
      </w:r>
      <w:r w:rsidRPr="006720AE">
        <w:rPr>
          <w:rFonts w:asciiTheme="majorHAnsi" w:hAnsiTheme="majorHAnsi" w:cs="Arial"/>
        </w:rPr>
        <w:t xml:space="preserve">. </w:t>
      </w:r>
      <w:r w:rsidR="00BA2F36" w:rsidRPr="006720AE">
        <w:rPr>
          <w:rFonts w:asciiTheme="majorHAnsi" w:hAnsiTheme="majorHAnsi" w:cs="Arial"/>
          <w:b/>
        </w:rPr>
        <w:t>Kapacita</w:t>
      </w:r>
      <w:r w:rsidR="0084281A" w:rsidRPr="006720AE">
        <w:rPr>
          <w:rFonts w:asciiTheme="majorHAnsi" w:hAnsiTheme="majorHAnsi" w:cs="Arial"/>
          <w:b/>
        </w:rPr>
        <w:t xml:space="preserve"> v</w:t>
      </w:r>
      <w:r w:rsidR="00BA2F36" w:rsidRPr="006720AE">
        <w:rPr>
          <w:rFonts w:asciiTheme="majorHAnsi" w:hAnsiTheme="majorHAnsi" w:cs="Arial"/>
          <w:b/>
        </w:rPr>
        <w:t> </w:t>
      </w:r>
      <w:r w:rsidR="0084281A" w:rsidRPr="006720AE">
        <w:rPr>
          <w:rFonts w:asciiTheme="majorHAnsi" w:hAnsiTheme="majorHAnsi" w:cs="Arial"/>
          <w:b/>
        </w:rPr>
        <w:t>Bělé pod Bezdězem</w:t>
      </w:r>
      <w:r w:rsidR="00BA2F36" w:rsidRPr="006720AE">
        <w:rPr>
          <w:rFonts w:asciiTheme="majorHAnsi" w:hAnsiTheme="majorHAnsi" w:cs="Arial"/>
          <w:b/>
        </w:rPr>
        <w:t xml:space="preserve"> byla rozšířena</w:t>
      </w:r>
      <w:r w:rsidR="00BA2F36" w:rsidRPr="006720AE">
        <w:rPr>
          <w:rFonts w:asciiTheme="majorHAnsi" w:hAnsiTheme="majorHAnsi" w:cs="Arial"/>
        </w:rPr>
        <w:t xml:space="preserve"> na krizovou </w:t>
      </w:r>
      <w:r w:rsidR="00BA2F36" w:rsidRPr="006720AE">
        <w:rPr>
          <w:rFonts w:asciiTheme="majorHAnsi" w:hAnsiTheme="majorHAnsi" w:cs="Arial"/>
        </w:rPr>
        <w:lastRenderedPageBreak/>
        <w:t>kapacitu 700 lůžek</w:t>
      </w:r>
      <w:r w:rsidR="0084281A" w:rsidRPr="006720AE">
        <w:rPr>
          <w:rFonts w:asciiTheme="majorHAnsi" w:hAnsiTheme="majorHAnsi" w:cs="Arial"/>
        </w:rPr>
        <w:t xml:space="preserve">, </w:t>
      </w:r>
      <w:r w:rsidR="00BA2F36" w:rsidRPr="006720AE">
        <w:rPr>
          <w:rFonts w:asciiTheme="majorHAnsi" w:hAnsiTheme="majorHAnsi" w:cs="Arial"/>
        </w:rPr>
        <w:t>dočasně bylo zřízeno zařízení pro zajištění cizinců v rámci areálu přijímacího střediska pro nové žadatele o </w:t>
      </w:r>
      <w:r w:rsidR="00196624" w:rsidRPr="006720AE">
        <w:rPr>
          <w:rFonts w:asciiTheme="majorHAnsi" w:hAnsiTheme="majorHAnsi" w:cs="Arial"/>
        </w:rPr>
        <w:t>mezinárodní ochranu</w:t>
      </w:r>
      <w:r w:rsidR="00BA2F36" w:rsidRPr="006720AE">
        <w:rPr>
          <w:rFonts w:asciiTheme="majorHAnsi" w:hAnsiTheme="majorHAnsi" w:cs="Arial"/>
        </w:rPr>
        <w:t xml:space="preserve"> v </w:t>
      </w:r>
      <w:r w:rsidR="0084281A" w:rsidRPr="006720AE">
        <w:rPr>
          <w:rFonts w:asciiTheme="majorHAnsi" w:hAnsiTheme="majorHAnsi" w:cs="Arial"/>
        </w:rPr>
        <w:t xml:space="preserve">Zastávce u Brna </w:t>
      </w:r>
      <w:r w:rsidR="007860AF" w:rsidRPr="006720AE">
        <w:rPr>
          <w:rFonts w:asciiTheme="majorHAnsi" w:hAnsiTheme="majorHAnsi" w:cs="Arial"/>
        </w:rPr>
        <w:t xml:space="preserve">(do otevření zařízení Drahonice) </w:t>
      </w:r>
      <w:r w:rsidR="0084281A" w:rsidRPr="006720AE">
        <w:rPr>
          <w:rFonts w:asciiTheme="majorHAnsi" w:hAnsiTheme="majorHAnsi" w:cs="Arial"/>
        </w:rPr>
        <w:t xml:space="preserve">a </w:t>
      </w:r>
      <w:r w:rsidR="00BA2F36" w:rsidRPr="006720AE">
        <w:rPr>
          <w:rFonts w:asciiTheme="majorHAnsi" w:hAnsiTheme="majorHAnsi" w:cs="Arial"/>
          <w:b/>
        </w:rPr>
        <w:t xml:space="preserve">byla otevřena nová zařízení pro zajištění cizinců </w:t>
      </w:r>
      <w:r w:rsidR="0084281A" w:rsidRPr="006720AE">
        <w:rPr>
          <w:rFonts w:asciiTheme="majorHAnsi" w:hAnsiTheme="majorHAnsi" w:cs="Arial"/>
          <w:b/>
        </w:rPr>
        <w:t>ve Vyšních Lhotách</w:t>
      </w:r>
      <w:r w:rsidR="00BA2F36" w:rsidRPr="006720AE">
        <w:rPr>
          <w:rFonts w:asciiTheme="majorHAnsi" w:hAnsiTheme="majorHAnsi" w:cs="Arial"/>
          <w:b/>
        </w:rPr>
        <w:t xml:space="preserve"> na Frýdecko-Místecku </w:t>
      </w:r>
      <w:r w:rsidR="00FF508D" w:rsidRPr="006720AE">
        <w:rPr>
          <w:rFonts w:asciiTheme="majorHAnsi" w:hAnsiTheme="majorHAnsi" w:cs="Arial"/>
        </w:rPr>
        <w:t xml:space="preserve">(krizová kapacita přes 600 lůžek) </w:t>
      </w:r>
      <w:r w:rsidR="00BA2F36" w:rsidRPr="006720AE">
        <w:rPr>
          <w:rFonts w:asciiTheme="majorHAnsi" w:hAnsiTheme="majorHAnsi" w:cs="Arial"/>
          <w:b/>
        </w:rPr>
        <w:t>a Drahonicích na Lounsku</w:t>
      </w:r>
      <w:r w:rsidR="00FF508D" w:rsidRPr="006720AE">
        <w:rPr>
          <w:rFonts w:asciiTheme="majorHAnsi" w:hAnsiTheme="majorHAnsi" w:cs="Arial"/>
        </w:rPr>
        <w:t xml:space="preserve"> (krizová kapacita 240 lůžek)</w:t>
      </w:r>
      <w:r w:rsidR="0084281A" w:rsidRPr="006720AE">
        <w:rPr>
          <w:rFonts w:asciiTheme="majorHAnsi" w:hAnsiTheme="majorHAnsi" w:cs="Arial"/>
        </w:rPr>
        <w:t>.</w:t>
      </w:r>
      <w:r w:rsidR="00BA2F36" w:rsidRPr="006720AE">
        <w:rPr>
          <w:rFonts w:asciiTheme="majorHAnsi" w:hAnsiTheme="majorHAnsi" w:cs="Arial"/>
        </w:rPr>
        <w:t xml:space="preserve"> </w:t>
      </w:r>
      <w:r w:rsidR="00BA2F36" w:rsidRPr="006720AE">
        <w:rPr>
          <w:rFonts w:asciiTheme="majorHAnsi" w:hAnsiTheme="majorHAnsi" w:cs="Arial"/>
          <w:b/>
        </w:rPr>
        <w:t xml:space="preserve">Krizová kapacita </w:t>
      </w:r>
      <w:r w:rsidR="00FF508D" w:rsidRPr="006720AE">
        <w:rPr>
          <w:rFonts w:asciiTheme="majorHAnsi" w:hAnsiTheme="majorHAnsi" w:cs="Arial"/>
          <w:b/>
        </w:rPr>
        <w:t>zařízení pro </w:t>
      </w:r>
      <w:r w:rsidR="00BA2F36" w:rsidRPr="006720AE">
        <w:rPr>
          <w:rFonts w:asciiTheme="majorHAnsi" w:hAnsiTheme="majorHAnsi" w:cs="Arial"/>
          <w:b/>
        </w:rPr>
        <w:t>zajištění cizinců tak v průběhu roku 2015 dosáhla více než 1 500 lůžek</w:t>
      </w:r>
      <w:r w:rsidR="00BA2F36" w:rsidRPr="006720AE">
        <w:rPr>
          <w:rFonts w:asciiTheme="majorHAnsi" w:hAnsiTheme="majorHAnsi" w:cs="Arial"/>
        </w:rPr>
        <w:t>.</w:t>
      </w:r>
    </w:p>
    <w:p w:rsidR="006A74CA" w:rsidRPr="006720AE" w:rsidRDefault="006720E4" w:rsidP="00FD19F0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Ke </w:t>
      </w:r>
      <w:r w:rsidR="001E353D" w:rsidRPr="006720AE">
        <w:rPr>
          <w:rFonts w:asciiTheme="majorHAnsi" w:hAnsiTheme="majorHAnsi" w:cs="Arial"/>
          <w:b/>
        </w:rPr>
        <w:t>konci roku</w:t>
      </w:r>
      <w:r w:rsidRPr="006720AE">
        <w:rPr>
          <w:rFonts w:asciiTheme="majorHAnsi" w:hAnsiTheme="majorHAnsi" w:cs="Arial"/>
          <w:b/>
        </w:rPr>
        <w:t xml:space="preserve"> 2015 bylo v zařízeních pro zajištění cizinců umístěno</w:t>
      </w:r>
      <w:r w:rsidR="003C3DBD" w:rsidRPr="006720AE">
        <w:rPr>
          <w:rFonts w:asciiTheme="majorHAnsi" w:hAnsiTheme="majorHAnsi" w:cs="Arial"/>
          <w:b/>
        </w:rPr>
        <w:t xml:space="preserve"> </w:t>
      </w:r>
      <w:r w:rsidR="00FF508D" w:rsidRPr="006720AE">
        <w:rPr>
          <w:rFonts w:asciiTheme="majorHAnsi" w:hAnsiTheme="majorHAnsi" w:cs="Arial"/>
          <w:b/>
        </w:rPr>
        <w:t xml:space="preserve">pouze </w:t>
      </w:r>
      <w:r w:rsidR="001E353D" w:rsidRPr="006720AE">
        <w:rPr>
          <w:rFonts w:asciiTheme="majorHAnsi" w:hAnsiTheme="majorHAnsi" w:cs="Arial"/>
          <w:b/>
        </w:rPr>
        <w:t>106 osob</w:t>
      </w:r>
      <w:r w:rsidR="001E353D" w:rsidRPr="006720AE">
        <w:rPr>
          <w:rStyle w:val="Znakapoznpodarou"/>
          <w:rFonts w:asciiTheme="majorHAnsi" w:hAnsiTheme="majorHAnsi" w:cs="Arial"/>
        </w:rPr>
        <w:footnoteReference w:id="4"/>
      </w:r>
      <w:r w:rsidR="001E353D" w:rsidRPr="006720AE">
        <w:rPr>
          <w:rFonts w:asciiTheme="majorHAnsi" w:hAnsiTheme="majorHAnsi" w:cs="Arial"/>
        </w:rPr>
        <w:t xml:space="preserve">, z toho nejvíce (cca čtvrtina) občanů Iráku, následovali občané Afghánistánu a Ukrajiny. Další státní příslušnosti byly zastoupeny jednotkami osob. </w:t>
      </w:r>
    </w:p>
    <w:p w:rsidR="006422BC" w:rsidRPr="006720AE" w:rsidRDefault="006422BC" w:rsidP="002B5696">
      <w:pPr>
        <w:pStyle w:val="Nadpis3"/>
        <w:spacing w:before="240" w:after="120" w:line="240" w:lineRule="auto"/>
      </w:pPr>
      <w:bookmarkStart w:id="11" w:name="_Toc440627799"/>
      <w:r w:rsidRPr="006720AE">
        <w:t>I.</w:t>
      </w:r>
      <w:r w:rsidR="006720AE">
        <w:t>3</w:t>
      </w:r>
      <w:r w:rsidRPr="006720AE">
        <w:t>.</w:t>
      </w:r>
      <w:r w:rsidR="003C3DBD" w:rsidRPr="006720AE">
        <w:t>4</w:t>
      </w:r>
      <w:r w:rsidRPr="006720AE">
        <w:t xml:space="preserve">. </w:t>
      </w:r>
      <w:r w:rsidR="003C4B43" w:rsidRPr="006720AE">
        <w:t>Přijatá o</w:t>
      </w:r>
      <w:r w:rsidRPr="006720AE">
        <w:t>patření</w:t>
      </w:r>
      <w:bookmarkEnd w:id="11"/>
    </w:p>
    <w:p w:rsidR="00DB36EF" w:rsidRPr="006720AE" w:rsidRDefault="00DB36EF" w:rsidP="00DB36EF">
      <w:pPr>
        <w:spacing w:after="120" w:line="240" w:lineRule="auto"/>
        <w:jc w:val="both"/>
        <w:rPr>
          <w:rFonts w:asciiTheme="majorHAnsi" w:hAnsiTheme="majorHAnsi" w:cs="Arial"/>
          <w:b/>
          <w:bCs/>
        </w:rPr>
      </w:pPr>
      <w:r w:rsidRPr="006720AE">
        <w:rPr>
          <w:rFonts w:asciiTheme="majorHAnsi" w:hAnsiTheme="majorHAnsi" w:cs="Arial"/>
        </w:rPr>
        <w:t>Ministr vnitra s cílem minimalizovat dopad nelegální migrace z Rakouska a Slovenska na ČR rozhodl na národní úrovni v rámci Analytického centra pro ochranu státních hranic a migraci</w:t>
      </w:r>
      <w:r w:rsidR="006F5FD4" w:rsidRPr="006720AE">
        <w:rPr>
          <w:rStyle w:val="Znakapoznpodarou"/>
          <w:rFonts w:asciiTheme="majorHAnsi" w:hAnsiTheme="majorHAnsi" w:cs="Arial"/>
        </w:rPr>
        <w:footnoteReference w:id="5"/>
      </w:r>
      <w:r w:rsidR="006F5FD4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 xml:space="preserve"> o zahájení pravidelného monitoringu situace ve vztahu k ČR. Zároveň byla posílena přijatá opatření v</w:t>
      </w:r>
      <w:r w:rsidR="00AF163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příhranič</w:t>
      </w:r>
      <w:r w:rsidR="003C4B43" w:rsidRPr="006720AE">
        <w:rPr>
          <w:rFonts w:asciiTheme="majorHAnsi" w:hAnsiTheme="majorHAnsi" w:cs="Arial"/>
        </w:rPr>
        <w:t xml:space="preserve">ních oblastech, </w:t>
      </w:r>
      <w:r w:rsidRPr="006720AE">
        <w:rPr>
          <w:rFonts w:asciiTheme="majorHAnsi" w:hAnsiTheme="majorHAnsi" w:cs="Arial"/>
        </w:rPr>
        <w:t>a došlo k</w:t>
      </w:r>
      <w:r w:rsidR="00AF163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zapojení pořádkové</w:t>
      </w:r>
      <w:r w:rsidR="003C4B43" w:rsidRPr="006720AE">
        <w:rPr>
          <w:rFonts w:asciiTheme="majorHAnsi" w:hAnsiTheme="majorHAnsi" w:cs="Arial"/>
        </w:rPr>
        <w:t xml:space="preserve"> policie</w:t>
      </w:r>
      <w:r w:rsidRPr="006720AE">
        <w:rPr>
          <w:rFonts w:asciiTheme="majorHAnsi" w:hAnsiTheme="majorHAnsi" w:cs="Arial"/>
        </w:rPr>
        <w:t xml:space="preserve">, dopravní </w:t>
      </w:r>
      <w:r w:rsidR="003C4B43" w:rsidRPr="006720AE">
        <w:rPr>
          <w:rFonts w:asciiTheme="majorHAnsi" w:hAnsiTheme="majorHAnsi" w:cs="Arial"/>
        </w:rPr>
        <w:t>policie a </w:t>
      </w:r>
      <w:r w:rsidRPr="006720AE">
        <w:rPr>
          <w:rFonts w:asciiTheme="majorHAnsi" w:hAnsiTheme="majorHAnsi" w:cs="Arial"/>
        </w:rPr>
        <w:t>složek kriminální policie.</w:t>
      </w:r>
      <w:r w:rsidR="00AF163F" w:rsidRPr="006720AE">
        <w:rPr>
          <w:rFonts w:asciiTheme="majorHAnsi" w:hAnsiTheme="majorHAnsi" w:cs="Arial"/>
        </w:rPr>
        <w:t xml:space="preserve"> </w:t>
      </w:r>
    </w:p>
    <w:p w:rsidR="00DB36EF" w:rsidRPr="006720AE" w:rsidRDefault="00DB36EF" w:rsidP="00DB36EF">
      <w:pPr>
        <w:spacing w:after="120" w:line="240" w:lineRule="auto"/>
        <w:jc w:val="both"/>
        <w:rPr>
          <w:rFonts w:asciiTheme="majorHAnsi" w:hAnsiTheme="majorHAnsi" w:cs="Arial"/>
          <w:b/>
          <w:bCs/>
          <w:u w:val="single"/>
        </w:rPr>
      </w:pPr>
      <w:r w:rsidRPr="006720AE">
        <w:rPr>
          <w:rFonts w:asciiTheme="majorHAnsi" w:hAnsiTheme="majorHAnsi" w:cs="Arial"/>
          <w:b/>
          <w:bCs/>
        </w:rPr>
        <w:t>Opatření spočív</w:t>
      </w:r>
      <w:r w:rsidR="001F2C0C" w:rsidRPr="006720AE">
        <w:rPr>
          <w:rFonts w:asciiTheme="majorHAnsi" w:hAnsiTheme="majorHAnsi" w:cs="Arial"/>
          <w:b/>
          <w:bCs/>
        </w:rPr>
        <w:t>a</w:t>
      </w:r>
      <w:r w:rsidR="00CA4D94" w:rsidRPr="006720AE">
        <w:rPr>
          <w:rFonts w:asciiTheme="majorHAnsi" w:hAnsiTheme="majorHAnsi" w:cs="Arial"/>
          <w:b/>
          <w:bCs/>
        </w:rPr>
        <w:t>la</w:t>
      </w:r>
      <w:r w:rsidRPr="006720AE">
        <w:rPr>
          <w:rFonts w:asciiTheme="majorHAnsi" w:hAnsiTheme="majorHAnsi" w:cs="Arial"/>
          <w:b/>
          <w:bCs/>
        </w:rPr>
        <w:t xml:space="preserve"> především v:</w:t>
      </w:r>
    </w:p>
    <w:p w:rsidR="00DB36EF" w:rsidRPr="006720AE" w:rsidRDefault="00AF163F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z</w:t>
      </w:r>
      <w:r w:rsidR="00DB36EF" w:rsidRPr="006720AE">
        <w:rPr>
          <w:rFonts w:asciiTheme="majorHAnsi" w:hAnsiTheme="majorHAnsi" w:cs="Arial"/>
        </w:rPr>
        <w:t xml:space="preserve">výšení počtu policistů zaměřených </w:t>
      </w:r>
      <w:r w:rsidR="003C4B43" w:rsidRPr="006720AE">
        <w:rPr>
          <w:rFonts w:asciiTheme="majorHAnsi" w:hAnsiTheme="majorHAnsi" w:cs="Arial"/>
        </w:rPr>
        <w:t>na pobytové kontroly</w:t>
      </w:r>
      <w:r w:rsidR="00DB36EF" w:rsidRPr="006720AE">
        <w:rPr>
          <w:rFonts w:asciiTheme="majorHAnsi" w:hAnsiTheme="majorHAnsi" w:cs="Arial"/>
        </w:rPr>
        <w:t xml:space="preserve"> (kromě cizinecké také pořádkové, dopravní a kriminální služby</w:t>
      </w:r>
      <w:r w:rsidRPr="006720AE">
        <w:rPr>
          <w:rFonts w:asciiTheme="majorHAnsi" w:hAnsiTheme="majorHAnsi" w:cs="Arial"/>
        </w:rPr>
        <w:t>);</w:t>
      </w:r>
    </w:p>
    <w:p w:rsidR="00DB36EF" w:rsidRPr="006720AE" w:rsidRDefault="00AF163F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z</w:t>
      </w:r>
      <w:r w:rsidR="00DB36EF" w:rsidRPr="006720AE">
        <w:rPr>
          <w:rFonts w:asciiTheme="majorHAnsi" w:hAnsiTheme="majorHAnsi" w:cs="Arial"/>
        </w:rPr>
        <w:t>výšení počtu policejních hlídek na vytipovaných směrech a na vyhodnocené dopravní prostředky</w:t>
      </w:r>
      <w:r w:rsidRPr="006720AE">
        <w:rPr>
          <w:rFonts w:asciiTheme="majorHAnsi" w:hAnsiTheme="majorHAnsi" w:cs="Arial"/>
        </w:rPr>
        <w:t>;</w:t>
      </w:r>
    </w:p>
    <w:p w:rsidR="00DB36EF" w:rsidRPr="006720AE" w:rsidRDefault="00AF163F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k</w:t>
      </w:r>
      <w:r w:rsidR="00DB36EF" w:rsidRPr="006720AE">
        <w:rPr>
          <w:rFonts w:asciiTheme="majorHAnsi" w:hAnsiTheme="majorHAnsi" w:cs="Arial"/>
        </w:rPr>
        <w:t>oordinaci kontrolních opatření na vytipovaných migračních trasách s využitím policejních sil a prostředků dotčených krajů (Jihomoravský, Pardubický, Středočeský, Ústecký, Plzeňský a Praha)</w:t>
      </w:r>
      <w:r w:rsidRPr="006720AE">
        <w:rPr>
          <w:rFonts w:asciiTheme="majorHAnsi" w:hAnsiTheme="majorHAnsi" w:cs="Arial"/>
        </w:rPr>
        <w:t>;</w:t>
      </w:r>
    </w:p>
    <w:p w:rsidR="00DB36EF" w:rsidRPr="006720AE" w:rsidRDefault="00AF163F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</w:t>
      </w:r>
      <w:r w:rsidR="00DB36EF" w:rsidRPr="006720AE">
        <w:rPr>
          <w:rFonts w:asciiTheme="majorHAnsi" w:hAnsiTheme="majorHAnsi" w:cs="Arial"/>
        </w:rPr>
        <w:t>odpoře výkonu služby příslušníky celní správy</w:t>
      </w:r>
      <w:r w:rsidRPr="006720AE">
        <w:rPr>
          <w:rFonts w:asciiTheme="majorHAnsi" w:hAnsiTheme="majorHAnsi" w:cs="Arial"/>
        </w:rPr>
        <w:t>;</w:t>
      </w:r>
    </w:p>
    <w:p w:rsidR="00DB36EF" w:rsidRPr="006720AE" w:rsidRDefault="00B147FE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</w:t>
      </w:r>
      <w:r w:rsidR="00DB36EF" w:rsidRPr="006720AE">
        <w:rPr>
          <w:rFonts w:asciiTheme="majorHAnsi" w:hAnsiTheme="majorHAnsi" w:cs="Arial"/>
        </w:rPr>
        <w:t xml:space="preserve">osílení počtů policistů (z </w:t>
      </w:r>
      <w:r w:rsidR="00AF163F" w:rsidRPr="006720AE">
        <w:rPr>
          <w:rFonts w:asciiTheme="majorHAnsi" w:hAnsiTheme="majorHAnsi" w:cs="Arial"/>
        </w:rPr>
        <w:t>krajských ředitelství policie</w:t>
      </w:r>
      <w:r w:rsidR="00DB36EF" w:rsidRPr="006720AE">
        <w:rPr>
          <w:rFonts w:asciiTheme="majorHAnsi" w:hAnsiTheme="majorHAnsi" w:cs="Arial"/>
        </w:rPr>
        <w:t xml:space="preserve"> celé ČR) v </w:t>
      </w:r>
      <w:r w:rsidRPr="006720AE">
        <w:rPr>
          <w:rFonts w:asciiTheme="majorHAnsi" w:hAnsiTheme="majorHAnsi" w:cs="Arial"/>
        </w:rPr>
        <w:t>z</w:t>
      </w:r>
      <w:r w:rsidR="00DB36EF" w:rsidRPr="006720AE">
        <w:rPr>
          <w:rFonts w:asciiTheme="majorHAnsi" w:hAnsiTheme="majorHAnsi" w:cs="Arial"/>
        </w:rPr>
        <w:t>ařízení pro zajištění cizinců Bělá Jezová</w:t>
      </w:r>
      <w:r w:rsidRPr="006720AE">
        <w:rPr>
          <w:rFonts w:asciiTheme="majorHAnsi" w:hAnsiTheme="majorHAnsi" w:cs="Arial"/>
        </w:rPr>
        <w:t>;</w:t>
      </w:r>
    </w:p>
    <w:p w:rsidR="00DB36EF" w:rsidRPr="006720AE" w:rsidRDefault="00B147FE" w:rsidP="00AF163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</w:t>
      </w:r>
      <w:r w:rsidR="00DB36EF" w:rsidRPr="006720AE">
        <w:rPr>
          <w:rFonts w:asciiTheme="majorHAnsi" w:hAnsiTheme="majorHAnsi" w:cs="Arial"/>
        </w:rPr>
        <w:t xml:space="preserve">osílení </w:t>
      </w:r>
      <w:r w:rsidR="00AF163F" w:rsidRPr="006720AE">
        <w:rPr>
          <w:rFonts w:asciiTheme="majorHAnsi" w:hAnsiTheme="majorHAnsi" w:cs="Arial"/>
        </w:rPr>
        <w:t xml:space="preserve">Krajského ředitelství Policie ČR </w:t>
      </w:r>
      <w:r w:rsidR="00DB36EF" w:rsidRPr="006720AE">
        <w:rPr>
          <w:rFonts w:asciiTheme="majorHAnsi" w:hAnsiTheme="majorHAnsi" w:cs="Arial"/>
        </w:rPr>
        <w:t>Jihomoravského kraje do</w:t>
      </w:r>
      <w:r w:rsidR="00AF163F" w:rsidRPr="006720AE">
        <w:rPr>
          <w:rFonts w:asciiTheme="majorHAnsi" w:hAnsiTheme="majorHAnsi" w:cs="Arial"/>
        </w:rPr>
        <w:t> odvolání 10 policisty z </w:t>
      </w:r>
      <w:r w:rsidR="00DB36EF" w:rsidRPr="006720AE">
        <w:rPr>
          <w:rFonts w:asciiTheme="majorHAnsi" w:hAnsiTheme="majorHAnsi" w:cs="Arial"/>
        </w:rPr>
        <w:t>cizinecké policie.</w:t>
      </w:r>
    </w:p>
    <w:p w:rsidR="00CA4D94" w:rsidRPr="006720AE" w:rsidRDefault="00DB36EF" w:rsidP="00CA4D94">
      <w:pPr>
        <w:pStyle w:val="Odstavecseseznamem"/>
        <w:spacing w:after="120" w:line="240" w:lineRule="auto"/>
        <w:ind w:left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Z pokynu policejního prezidenta </w:t>
      </w:r>
      <w:r w:rsidR="00AF163F" w:rsidRPr="006720AE">
        <w:rPr>
          <w:rFonts w:asciiTheme="majorHAnsi" w:hAnsiTheme="majorHAnsi" w:cs="Arial"/>
        </w:rPr>
        <w:t>byla</w:t>
      </w:r>
      <w:r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  <w:b/>
          <w:bCs/>
        </w:rPr>
        <w:t>od 22. 10</w:t>
      </w:r>
      <w:r w:rsidR="00AF163F" w:rsidRPr="006720AE">
        <w:rPr>
          <w:rFonts w:asciiTheme="majorHAnsi" w:hAnsiTheme="majorHAnsi" w:cs="Arial"/>
          <w:b/>
          <w:bCs/>
        </w:rPr>
        <w:t>.</w:t>
      </w:r>
      <w:r w:rsidRPr="006720AE">
        <w:rPr>
          <w:rFonts w:asciiTheme="majorHAnsi" w:hAnsiTheme="majorHAnsi" w:cs="Arial"/>
          <w:b/>
          <w:bCs/>
        </w:rPr>
        <w:t xml:space="preserve"> 2015 zmírněna opatření v příhraničních oblastech úseku </w:t>
      </w:r>
      <w:r w:rsidR="00AF163F" w:rsidRPr="006720AE">
        <w:rPr>
          <w:rFonts w:asciiTheme="majorHAnsi" w:hAnsiTheme="majorHAnsi" w:cs="Arial"/>
          <w:b/>
          <w:bCs/>
        </w:rPr>
        <w:t>státních hranic</w:t>
      </w:r>
      <w:r w:rsidRPr="006720AE">
        <w:rPr>
          <w:rFonts w:asciiTheme="majorHAnsi" w:hAnsiTheme="majorHAnsi" w:cs="Arial"/>
          <w:b/>
          <w:bCs/>
        </w:rPr>
        <w:t xml:space="preserve"> s</w:t>
      </w:r>
      <w:r w:rsidR="00AF163F" w:rsidRPr="006720AE">
        <w:rPr>
          <w:rFonts w:asciiTheme="majorHAnsi" w:hAnsiTheme="majorHAnsi" w:cs="Arial"/>
          <w:b/>
          <w:bCs/>
        </w:rPr>
        <w:t> </w:t>
      </w:r>
      <w:r w:rsidRPr="006720AE">
        <w:rPr>
          <w:rFonts w:asciiTheme="majorHAnsi" w:hAnsiTheme="majorHAnsi" w:cs="Arial"/>
          <w:b/>
          <w:bCs/>
        </w:rPr>
        <w:t>Rakousk</w:t>
      </w:r>
      <w:r w:rsidR="00AF163F" w:rsidRPr="006720AE">
        <w:rPr>
          <w:rFonts w:asciiTheme="majorHAnsi" w:hAnsiTheme="majorHAnsi" w:cs="Arial"/>
          <w:b/>
          <w:bCs/>
        </w:rPr>
        <w:t xml:space="preserve">em. </w:t>
      </w:r>
      <w:r w:rsidR="00AF163F" w:rsidRPr="006720AE">
        <w:rPr>
          <w:rFonts w:asciiTheme="majorHAnsi" w:hAnsiTheme="majorHAnsi" w:cs="Arial"/>
        </w:rPr>
        <w:t>Z</w:t>
      </w:r>
      <w:r w:rsidRPr="006720AE">
        <w:rPr>
          <w:rFonts w:asciiTheme="majorHAnsi" w:hAnsiTheme="majorHAnsi" w:cs="Arial"/>
        </w:rPr>
        <w:t xml:space="preserve">výšené kontroly jsou </w:t>
      </w:r>
      <w:r w:rsidR="00AF163F" w:rsidRPr="006720AE">
        <w:rPr>
          <w:rFonts w:asciiTheme="majorHAnsi" w:hAnsiTheme="majorHAnsi" w:cs="Arial"/>
        </w:rPr>
        <w:t xml:space="preserve">nadále </w:t>
      </w:r>
      <w:r w:rsidRPr="006720AE">
        <w:rPr>
          <w:rFonts w:asciiTheme="majorHAnsi" w:hAnsiTheme="majorHAnsi" w:cs="Arial"/>
        </w:rPr>
        <w:t>prováděny u</w:t>
      </w:r>
      <w:r w:rsidR="00AF163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silničních hraničních přechod</w:t>
      </w:r>
      <w:r w:rsidR="00AF163F" w:rsidRPr="006720AE">
        <w:rPr>
          <w:rFonts w:asciiTheme="majorHAnsi" w:hAnsiTheme="majorHAnsi" w:cs="Arial"/>
        </w:rPr>
        <w:t>ů</w:t>
      </w:r>
      <w:r w:rsidRPr="006720AE">
        <w:rPr>
          <w:rFonts w:asciiTheme="majorHAnsi" w:hAnsiTheme="majorHAnsi" w:cs="Arial"/>
        </w:rPr>
        <w:t xml:space="preserve"> 1</w:t>
      </w:r>
      <w:r w:rsidR="00AF163F" w:rsidRPr="006720AE">
        <w:rPr>
          <w:rFonts w:asciiTheme="majorHAnsi" w:hAnsiTheme="majorHAnsi" w:cs="Arial"/>
        </w:rPr>
        <w:t>.</w:t>
      </w:r>
      <w:r w:rsidRPr="006720AE">
        <w:rPr>
          <w:rFonts w:asciiTheme="majorHAnsi" w:hAnsiTheme="majorHAnsi" w:cs="Arial"/>
        </w:rPr>
        <w:t xml:space="preserve"> kategorie a</w:t>
      </w:r>
      <w:r w:rsidR="00AF163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na</w:t>
      </w:r>
      <w:r w:rsidR="00AF163F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železničních hraničních přechodech.</w:t>
      </w:r>
    </w:p>
    <w:p w:rsidR="00CA4D94" w:rsidRPr="006720AE" w:rsidRDefault="00CA4D94" w:rsidP="00CA4D94">
      <w:pPr>
        <w:pStyle w:val="Odstavecseseznamem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7B1EF6" w:rsidRPr="006720AE" w:rsidRDefault="007B1EF6" w:rsidP="00CA4D94">
      <w:pPr>
        <w:pStyle w:val="Odstavecseseznamem"/>
        <w:spacing w:after="120" w:line="240" w:lineRule="auto"/>
        <w:ind w:left="0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Výše uvedená opatření vedla k zásadnímu omezení nelegální tranzitní migrace přes území ČR – důsledným dodržováním národních i evropských pravidel, docílila ČR stavu, kdy má nelegální tranzitní migraci na území pod kontrolou. </w:t>
      </w:r>
    </w:p>
    <w:p w:rsidR="00823855" w:rsidRPr="006720AE" w:rsidRDefault="002B5696" w:rsidP="002B5696">
      <w:pPr>
        <w:pStyle w:val="Nadpis3"/>
        <w:spacing w:before="240" w:after="120" w:line="240" w:lineRule="auto"/>
      </w:pPr>
      <w:bookmarkStart w:id="12" w:name="_Toc440627800"/>
      <w:r w:rsidRPr="006720AE">
        <w:t>I.</w:t>
      </w:r>
      <w:r w:rsidR="006720AE">
        <w:t>3</w:t>
      </w:r>
      <w:r w:rsidRPr="006720AE">
        <w:t>.5</w:t>
      </w:r>
      <w:r w:rsidR="00823855" w:rsidRPr="006720AE">
        <w:t xml:space="preserve">. </w:t>
      </w:r>
      <w:r w:rsidR="006738AC" w:rsidRPr="006720AE">
        <w:t>R</w:t>
      </w:r>
      <w:r w:rsidR="00823855" w:rsidRPr="006720AE">
        <w:t>ozhodnutí o povinnosti opustit území</w:t>
      </w:r>
      <w:bookmarkEnd w:id="12"/>
    </w:p>
    <w:p w:rsidR="00DB36EF" w:rsidRPr="006720AE" w:rsidRDefault="006738AC" w:rsidP="00DB36EF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 roce 2015 bylo </w:t>
      </w:r>
      <w:r w:rsidRPr="006720AE">
        <w:rPr>
          <w:rFonts w:asciiTheme="majorHAnsi" w:hAnsiTheme="majorHAnsi" w:cs="Arial"/>
          <w:b/>
          <w:bCs/>
        </w:rPr>
        <w:t>vydáno</w:t>
      </w:r>
      <w:r w:rsidR="00DB36EF" w:rsidRPr="006720AE">
        <w:rPr>
          <w:rFonts w:asciiTheme="majorHAnsi" w:hAnsiTheme="majorHAnsi" w:cs="Arial"/>
          <w:b/>
          <w:bCs/>
        </w:rPr>
        <w:t xml:space="preserve"> 2</w:t>
      </w:r>
      <w:r w:rsidRPr="006720AE">
        <w:rPr>
          <w:rFonts w:asciiTheme="majorHAnsi" w:hAnsiTheme="majorHAnsi" w:cs="Arial"/>
          <w:b/>
          <w:bCs/>
        </w:rPr>
        <w:t> </w:t>
      </w:r>
      <w:r w:rsidR="00DB36EF" w:rsidRPr="006720AE">
        <w:rPr>
          <w:rFonts w:asciiTheme="majorHAnsi" w:hAnsiTheme="majorHAnsi" w:cs="Arial"/>
          <w:b/>
          <w:bCs/>
        </w:rPr>
        <w:t>630</w:t>
      </w:r>
      <w:r w:rsidRPr="006720AE">
        <w:rPr>
          <w:rFonts w:asciiTheme="majorHAnsi" w:hAnsiTheme="majorHAnsi" w:cs="Arial"/>
          <w:b/>
          <w:bCs/>
        </w:rPr>
        <w:t xml:space="preserve"> rozhodnutí o povinnosti opustit území</w:t>
      </w:r>
      <w:r w:rsidRPr="006720AE">
        <w:rPr>
          <w:rFonts w:asciiTheme="majorHAnsi" w:hAnsiTheme="majorHAnsi" w:cs="Arial"/>
          <w:bCs/>
        </w:rPr>
        <w:t>. Jedná se o nárůst o téměř 800 % oproti roku 2014, kdy bylo vydáno 329 takových rozhodnutí. N</w:t>
      </w:r>
      <w:r w:rsidR="00DB36EF" w:rsidRPr="006720AE">
        <w:rPr>
          <w:rFonts w:asciiTheme="majorHAnsi" w:hAnsiTheme="majorHAnsi" w:cs="Arial"/>
          <w:bCs/>
        </w:rPr>
        <w:t xml:space="preserve">ejvíce </w:t>
      </w:r>
      <w:r w:rsidRPr="006720AE">
        <w:rPr>
          <w:rFonts w:asciiTheme="majorHAnsi" w:hAnsiTheme="majorHAnsi" w:cs="Arial"/>
          <w:bCs/>
        </w:rPr>
        <w:t xml:space="preserve">rozhodnutí o povinnosti opustit území vydalo </w:t>
      </w:r>
      <w:r w:rsidR="00DB36EF" w:rsidRPr="006720AE">
        <w:rPr>
          <w:rFonts w:asciiTheme="majorHAnsi" w:hAnsiTheme="majorHAnsi" w:cs="Arial"/>
          <w:bCs/>
        </w:rPr>
        <w:t>K</w:t>
      </w:r>
      <w:r w:rsidRPr="006720AE">
        <w:rPr>
          <w:rFonts w:asciiTheme="majorHAnsi" w:hAnsiTheme="majorHAnsi" w:cs="Arial"/>
          <w:bCs/>
        </w:rPr>
        <w:t xml:space="preserve">rajské ředitelství </w:t>
      </w:r>
      <w:r w:rsidR="00DB36EF" w:rsidRPr="006720AE">
        <w:rPr>
          <w:rFonts w:asciiTheme="majorHAnsi" w:hAnsiTheme="majorHAnsi" w:cs="Arial"/>
          <w:bCs/>
        </w:rPr>
        <w:t>P</w:t>
      </w:r>
      <w:r w:rsidRPr="006720AE">
        <w:rPr>
          <w:rFonts w:asciiTheme="majorHAnsi" w:hAnsiTheme="majorHAnsi" w:cs="Arial"/>
          <w:bCs/>
        </w:rPr>
        <w:t>olicie ČR</w:t>
      </w:r>
      <w:r w:rsidR="00DB36EF" w:rsidRPr="006720AE">
        <w:rPr>
          <w:rFonts w:asciiTheme="majorHAnsi" w:hAnsiTheme="majorHAnsi" w:cs="Arial"/>
          <w:bCs/>
        </w:rPr>
        <w:t xml:space="preserve"> Jihomoravs</w:t>
      </w:r>
      <w:r w:rsidRPr="006720AE">
        <w:rPr>
          <w:rFonts w:asciiTheme="majorHAnsi" w:hAnsiTheme="majorHAnsi" w:cs="Arial"/>
          <w:bCs/>
        </w:rPr>
        <w:t>kého kraje –</w:t>
      </w:r>
      <w:r w:rsidR="00DB36EF" w:rsidRPr="006720AE">
        <w:rPr>
          <w:rFonts w:asciiTheme="majorHAnsi" w:hAnsiTheme="majorHAnsi" w:cs="Arial"/>
          <w:bCs/>
        </w:rPr>
        <w:t xml:space="preserve"> 1</w:t>
      </w:r>
      <w:r w:rsidRPr="006720AE">
        <w:rPr>
          <w:rFonts w:asciiTheme="majorHAnsi" w:hAnsiTheme="majorHAnsi" w:cs="Arial"/>
          <w:bCs/>
        </w:rPr>
        <w:t> </w:t>
      </w:r>
      <w:r w:rsidR="00DB36EF" w:rsidRPr="006720AE">
        <w:rPr>
          <w:rFonts w:asciiTheme="majorHAnsi" w:hAnsiTheme="majorHAnsi" w:cs="Arial"/>
          <w:bCs/>
        </w:rPr>
        <w:t>026</w:t>
      </w:r>
      <w:r w:rsidRPr="006720AE">
        <w:rPr>
          <w:rFonts w:asciiTheme="majorHAnsi" w:hAnsiTheme="majorHAnsi" w:cs="Arial"/>
          <w:bCs/>
        </w:rPr>
        <w:t xml:space="preserve"> (nárůst o cca 490 % oproti roku 2014, kdy bylo vydáno 209 těchto rozhodnutí)</w:t>
      </w:r>
      <w:r w:rsidR="00DB36EF" w:rsidRPr="006720AE">
        <w:rPr>
          <w:rFonts w:asciiTheme="majorHAnsi" w:hAnsiTheme="majorHAnsi" w:cs="Arial"/>
          <w:bCs/>
        </w:rPr>
        <w:t xml:space="preserve">, Praha </w:t>
      </w:r>
      <w:r w:rsidRPr="006720AE">
        <w:rPr>
          <w:rFonts w:asciiTheme="majorHAnsi" w:hAnsiTheme="majorHAnsi" w:cs="Arial"/>
          <w:bCs/>
        </w:rPr>
        <w:t xml:space="preserve">- </w:t>
      </w:r>
      <w:r w:rsidR="00DB36EF" w:rsidRPr="006720AE">
        <w:rPr>
          <w:rFonts w:asciiTheme="majorHAnsi" w:hAnsiTheme="majorHAnsi" w:cs="Arial"/>
          <w:bCs/>
        </w:rPr>
        <w:t>450, Středočes</w:t>
      </w:r>
      <w:r w:rsidRPr="006720AE">
        <w:rPr>
          <w:rFonts w:asciiTheme="majorHAnsi" w:hAnsiTheme="majorHAnsi" w:cs="Arial"/>
          <w:bCs/>
        </w:rPr>
        <w:t>kého kraje -</w:t>
      </w:r>
      <w:r w:rsidR="00DB36EF" w:rsidRPr="006720AE">
        <w:rPr>
          <w:rFonts w:asciiTheme="majorHAnsi" w:hAnsiTheme="majorHAnsi" w:cs="Arial"/>
          <w:bCs/>
        </w:rPr>
        <w:t xml:space="preserve"> 238 a Pardubic</w:t>
      </w:r>
      <w:r w:rsidRPr="006720AE">
        <w:rPr>
          <w:rFonts w:asciiTheme="majorHAnsi" w:hAnsiTheme="majorHAnsi" w:cs="Arial"/>
          <w:bCs/>
        </w:rPr>
        <w:t>kého kraje s </w:t>
      </w:r>
      <w:r w:rsidR="00DB36EF" w:rsidRPr="006720AE">
        <w:rPr>
          <w:rFonts w:asciiTheme="majorHAnsi" w:hAnsiTheme="majorHAnsi" w:cs="Arial"/>
          <w:bCs/>
        </w:rPr>
        <w:t>207</w:t>
      </w:r>
      <w:r w:rsidRPr="006720AE">
        <w:rPr>
          <w:rFonts w:asciiTheme="majorHAnsi" w:hAnsiTheme="majorHAnsi" w:cs="Arial"/>
          <w:bCs/>
        </w:rPr>
        <w:t xml:space="preserve"> vydanými rozhodnutími. </w:t>
      </w:r>
    </w:p>
    <w:p w:rsidR="00823855" w:rsidRPr="006720AE" w:rsidRDefault="002B5696" w:rsidP="002B5696">
      <w:pPr>
        <w:pStyle w:val="Nadpis3"/>
        <w:spacing w:before="240" w:after="120" w:line="240" w:lineRule="auto"/>
      </w:pPr>
      <w:bookmarkStart w:id="13" w:name="_Toc440627801"/>
      <w:r w:rsidRPr="006720AE">
        <w:lastRenderedPageBreak/>
        <w:t>I.</w:t>
      </w:r>
      <w:r w:rsidR="006720AE">
        <w:t>3</w:t>
      </w:r>
      <w:r w:rsidRPr="006720AE">
        <w:t>.6</w:t>
      </w:r>
      <w:r w:rsidR="00823855" w:rsidRPr="006720AE">
        <w:t xml:space="preserve">. </w:t>
      </w:r>
      <w:r w:rsidR="00D055EB" w:rsidRPr="006720AE">
        <w:t>R</w:t>
      </w:r>
      <w:r w:rsidR="00823855" w:rsidRPr="006720AE">
        <w:t>eadmisní smlouvy</w:t>
      </w:r>
      <w:bookmarkEnd w:id="13"/>
    </w:p>
    <w:p w:rsidR="00F67D69" w:rsidRPr="006720AE" w:rsidRDefault="00D055EB" w:rsidP="00F67D69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ČR</w:t>
      </w:r>
      <w:r w:rsidR="00F67D69" w:rsidRPr="006720AE">
        <w:rPr>
          <w:rFonts w:asciiTheme="majorHAnsi" w:hAnsiTheme="majorHAnsi" w:cs="Arial"/>
          <w:bCs/>
        </w:rPr>
        <w:t xml:space="preserve"> má v současné době uzavřeny </w:t>
      </w:r>
      <w:r w:rsidR="00F67D69" w:rsidRPr="006720AE">
        <w:rPr>
          <w:rFonts w:asciiTheme="majorHAnsi" w:hAnsiTheme="majorHAnsi" w:cs="Arial"/>
          <w:b/>
          <w:bCs/>
        </w:rPr>
        <w:t>bilaterální readmisní dohody s 15 státy</w:t>
      </w:r>
      <w:r w:rsidR="00F67D69" w:rsidRPr="006720AE">
        <w:rPr>
          <w:rFonts w:asciiTheme="majorHAnsi" w:hAnsiTheme="majorHAnsi" w:cs="Arial"/>
          <w:bCs/>
        </w:rPr>
        <w:t xml:space="preserve"> -  Arménií, Bulharskem, Chorvatskem, Kanadou, Kosovem, Maďarskem, Moldávií, Německem, Polskem, Rakouskem, Rumunskem, Slovenskem, Slovinskem, Švýcarskem a Vietnamem.</w:t>
      </w:r>
    </w:p>
    <w:p w:rsidR="00625CEE" w:rsidRPr="006720AE" w:rsidRDefault="00625CEE" w:rsidP="00625CE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 roce 2015 byly korespondenční cestou řešeny připomínky k textu připravované bilaterální dohody s Mongolskem.  Dohoda nebyla dosud podepsána. </w:t>
      </w:r>
    </w:p>
    <w:p w:rsidR="00625CEE" w:rsidRPr="006720AE" w:rsidRDefault="00625CEE" w:rsidP="00625CE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Koncem roku 2015 byla ČR oslovena s nabídkou možného sjednání memoranda o porozumění k otázce návratů s Afghánistánem. </w:t>
      </w:r>
      <w:r w:rsidR="006F5FD4" w:rsidRPr="006720AE">
        <w:rPr>
          <w:rFonts w:asciiTheme="majorHAnsi" w:hAnsiTheme="majorHAnsi" w:cs="Arial"/>
          <w:bCs/>
        </w:rPr>
        <w:t>Koncem roku 2015 byla</w:t>
      </w:r>
      <w:r w:rsidRPr="006720AE">
        <w:rPr>
          <w:rFonts w:asciiTheme="majorHAnsi" w:hAnsiTheme="majorHAnsi" w:cs="Arial"/>
          <w:bCs/>
        </w:rPr>
        <w:t xml:space="preserve"> ČR ve fázi připomínkování textu memoranda. </w:t>
      </w:r>
    </w:p>
    <w:p w:rsidR="00F67D69" w:rsidRPr="006720AE" w:rsidRDefault="00F67D69" w:rsidP="00625CE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Mimo těchto bilaterálních dohod jsou pro ČR závazné rovněž </w:t>
      </w:r>
      <w:r w:rsidRPr="006720AE">
        <w:rPr>
          <w:rFonts w:asciiTheme="majorHAnsi" w:hAnsiTheme="majorHAnsi" w:cs="Arial"/>
          <w:b/>
          <w:bCs/>
        </w:rPr>
        <w:t>readmisní dohody sjednané Evropským společenstvím, resp. Evropskou unií</w:t>
      </w:r>
      <w:r w:rsidRPr="006720AE">
        <w:rPr>
          <w:rFonts w:asciiTheme="majorHAnsi" w:hAnsiTheme="majorHAnsi" w:cs="Arial"/>
          <w:bCs/>
        </w:rPr>
        <w:t>, které jsou sjednány s následujícími 17 státy - Albánie, Arménie, Ázerbájdžán,  Bosna a Hercegovina, Černá Hora, Gruzie,  Hon</w:t>
      </w:r>
      <w:r w:rsidR="00D055EB" w:rsidRPr="006720AE">
        <w:rPr>
          <w:rFonts w:asciiTheme="majorHAnsi" w:hAnsiTheme="majorHAnsi" w:cs="Arial"/>
          <w:bCs/>
        </w:rPr>
        <w:t>gk</w:t>
      </w:r>
      <w:r w:rsidRPr="006720AE">
        <w:rPr>
          <w:rFonts w:asciiTheme="majorHAnsi" w:hAnsiTheme="majorHAnsi" w:cs="Arial"/>
          <w:bCs/>
        </w:rPr>
        <w:t xml:space="preserve">ong, Kapverdy, Macao, Makedonie, Moldávie, Pákistán, Rusko, Srbsko, Srí Lanka, Turecko, a Ukrajina. K některým z těchto dohod sjednala </w:t>
      </w:r>
      <w:r w:rsidR="003C4B43" w:rsidRPr="006720AE">
        <w:rPr>
          <w:rFonts w:asciiTheme="majorHAnsi" w:hAnsiTheme="majorHAnsi" w:cs="Arial"/>
          <w:bCs/>
        </w:rPr>
        <w:t xml:space="preserve">ČR </w:t>
      </w:r>
      <w:r w:rsidRPr="006720AE">
        <w:rPr>
          <w:rFonts w:asciiTheme="majorHAnsi" w:hAnsiTheme="majorHAnsi" w:cs="Arial"/>
          <w:bCs/>
        </w:rPr>
        <w:t xml:space="preserve">bilaterální prováděcí protokoly, které upravují technické podrobnosti týkající se readmisní procedury. </w:t>
      </w:r>
    </w:p>
    <w:p w:rsidR="0044635A" w:rsidRPr="006720AE" w:rsidRDefault="00625CEE" w:rsidP="00625CE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 roce 2015 byly projednávány texty unijních readmisních dohod s Běloruskem a Tuniskem.  </w:t>
      </w:r>
      <w:r w:rsidR="0044635A" w:rsidRPr="006720AE">
        <w:rPr>
          <w:rFonts w:asciiTheme="majorHAnsi" w:hAnsiTheme="majorHAnsi" w:cs="Arial"/>
          <w:bCs/>
        </w:rPr>
        <w:br w:type="page"/>
      </w:r>
    </w:p>
    <w:p w:rsidR="00823855" w:rsidRPr="006720AE" w:rsidRDefault="00EC19D9" w:rsidP="00392CD0">
      <w:pPr>
        <w:pStyle w:val="Nadpis2"/>
        <w:spacing w:before="240" w:after="240" w:line="240" w:lineRule="auto"/>
      </w:pPr>
      <w:bookmarkStart w:id="14" w:name="_Toc440627802"/>
      <w:r w:rsidRPr="006720AE">
        <w:lastRenderedPageBreak/>
        <w:t>I.</w:t>
      </w:r>
      <w:r w:rsidR="006720AE">
        <w:t>4</w:t>
      </w:r>
      <w:r w:rsidR="00823855" w:rsidRPr="006720AE">
        <w:t xml:space="preserve">. </w:t>
      </w:r>
      <w:r w:rsidR="00AC39DC" w:rsidRPr="006720AE">
        <w:t>M</w:t>
      </w:r>
      <w:r w:rsidR="00823855" w:rsidRPr="006720AE">
        <w:t>ezinárodní ochran</w:t>
      </w:r>
      <w:r w:rsidR="00AC39DC" w:rsidRPr="006720AE">
        <w:t>a</w:t>
      </w:r>
      <w:bookmarkEnd w:id="14"/>
    </w:p>
    <w:p w:rsidR="005029AE" w:rsidRPr="006720AE" w:rsidRDefault="005029AE" w:rsidP="005029A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Počet žadatelů o mezinárodní ochranu v ČR v roce 2015 již druhým rokem stoupá. O mezinárodní ochranu v ČR požádalo </w:t>
      </w:r>
      <w:r w:rsidR="0097208E" w:rsidRPr="006720AE">
        <w:rPr>
          <w:rFonts w:asciiTheme="majorHAnsi" w:hAnsiTheme="majorHAnsi" w:cs="Arial"/>
          <w:bCs/>
        </w:rPr>
        <w:t xml:space="preserve">1 525 osob, tj. </w:t>
      </w:r>
      <w:r w:rsidRPr="006720AE">
        <w:rPr>
          <w:rFonts w:asciiTheme="majorHAnsi" w:hAnsiTheme="majorHAnsi" w:cs="Arial"/>
          <w:bCs/>
        </w:rPr>
        <w:t>o 32 % cizinců více než v roce 2014.</w:t>
      </w:r>
    </w:p>
    <w:p w:rsidR="008521F3" w:rsidRPr="006720AE" w:rsidRDefault="008521F3" w:rsidP="008521F3">
      <w:pPr>
        <w:rPr>
          <w:rFonts w:asciiTheme="majorHAnsi" w:hAnsiTheme="majorHAnsi"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60720" cy="110680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AE" w:rsidRPr="006720AE" w:rsidRDefault="008521F3" w:rsidP="005029A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Ve srovnání s dalšími členskými zeměmi EU jsou ale počty </w:t>
      </w:r>
      <w:r w:rsidR="003C4B43" w:rsidRPr="006720AE">
        <w:rPr>
          <w:rFonts w:asciiTheme="majorHAnsi" w:hAnsiTheme="majorHAnsi" w:cs="Arial"/>
          <w:bCs/>
        </w:rPr>
        <w:t>žadatel</w:t>
      </w:r>
      <w:r w:rsidRPr="006720AE">
        <w:rPr>
          <w:rFonts w:asciiTheme="majorHAnsi" w:hAnsiTheme="majorHAnsi" w:cs="Arial"/>
          <w:bCs/>
        </w:rPr>
        <w:t xml:space="preserve">ů o mezinárodní ochranu v ČR nadále podprůměrné. ČR registruje výrazně méně žadatelů o </w:t>
      </w:r>
      <w:r w:rsidR="00CA4D94" w:rsidRPr="006720AE">
        <w:rPr>
          <w:rFonts w:asciiTheme="majorHAnsi" w:hAnsiTheme="majorHAnsi" w:cs="Arial"/>
          <w:bCs/>
        </w:rPr>
        <w:t>mezinárodní ochranu</w:t>
      </w:r>
      <w:r w:rsidRPr="006720AE">
        <w:rPr>
          <w:rFonts w:asciiTheme="majorHAnsi" w:hAnsiTheme="majorHAnsi" w:cs="Arial"/>
          <w:bCs/>
        </w:rPr>
        <w:t xml:space="preserve"> než sousední Německo, Rakousko či Polsko. </w:t>
      </w:r>
    </w:p>
    <w:p w:rsidR="00C96BE7" w:rsidRPr="006720AE" w:rsidRDefault="00C96BE7" w:rsidP="00C96BE7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</w:p>
    <w:p w:rsidR="00C96BE7" w:rsidRPr="006720AE" w:rsidRDefault="00C96BE7" w:rsidP="00CA4D94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4276725" cy="1943100"/>
            <wp:effectExtent l="0" t="0" r="9525" b="1905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4D94" w:rsidRPr="006720AE" w:rsidRDefault="00CA4D94" w:rsidP="00C96BE7">
      <w:pPr>
        <w:spacing w:after="12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>Zdroj: IS AZYL</w:t>
      </w:r>
    </w:p>
    <w:p w:rsidR="00C96BE7" w:rsidRDefault="00C96BE7" w:rsidP="005029A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Měsíční vývoj počtu žádostí o mezinárodní ochranu byl s výjimkou března, kdy o mezinárodní ochranu požádalo téměř 200 osob, bez výraznějších výkyv</w:t>
      </w:r>
      <w:r w:rsidR="00265EE6" w:rsidRPr="006720AE">
        <w:rPr>
          <w:rFonts w:asciiTheme="majorHAnsi" w:hAnsiTheme="majorHAnsi" w:cs="Arial"/>
          <w:bCs/>
        </w:rPr>
        <w:t>ů</w:t>
      </w:r>
      <w:r w:rsidRPr="006720AE">
        <w:rPr>
          <w:rFonts w:asciiTheme="majorHAnsi" w:hAnsiTheme="majorHAnsi" w:cs="Arial"/>
          <w:bCs/>
        </w:rPr>
        <w:t xml:space="preserve"> a pohyboval se </w:t>
      </w:r>
      <w:r w:rsidR="00265EE6" w:rsidRPr="006720AE">
        <w:rPr>
          <w:rFonts w:asciiTheme="majorHAnsi" w:hAnsiTheme="majorHAnsi" w:cs="Arial"/>
          <w:bCs/>
        </w:rPr>
        <w:t>m</w:t>
      </w:r>
      <w:r w:rsidRPr="006720AE">
        <w:rPr>
          <w:rFonts w:asciiTheme="majorHAnsi" w:hAnsiTheme="majorHAnsi" w:cs="Arial"/>
          <w:bCs/>
        </w:rPr>
        <w:t xml:space="preserve">ěsíčně </w:t>
      </w:r>
      <w:r w:rsidR="00265EE6" w:rsidRPr="006720AE">
        <w:rPr>
          <w:rFonts w:asciiTheme="majorHAnsi" w:hAnsiTheme="majorHAnsi" w:cs="Arial"/>
          <w:bCs/>
        </w:rPr>
        <w:t>nad 100 žádost</w:t>
      </w:r>
      <w:r w:rsidR="006F5FD4" w:rsidRPr="006720AE">
        <w:rPr>
          <w:rFonts w:asciiTheme="majorHAnsi" w:hAnsiTheme="majorHAnsi" w:cs="Arial"/>
          <w:bCs/>
        </w:rPr>
        <w:t>mi</w:t>
      </w:r>
      <w:r w:rsidRPr="006720AE">
        <w:rPr>
          <w:rFonts w:asciiTheme="majorHAnsi" w:hAnsiTheme="majorHAnsi" w:cs="Arial"/>
          <w:bCs/>
        </w:rPr>
        <w:t>.</w:t>
      </w:r>
    </w:p>
    <w:p w:rsidR="00A171DE" w:rsidRDefault="00A171DE" w:rsidP="005029AE">
      <w:pPr>
        <w:spacing w:after="120" w:line="240" w:lineRule="auto"/>
        <w:jc w:val="both"/>
        <w:rPr>
          <w:rFonts w:asciiTheme="majorHAnsi" w:hAnsiTheme="majorHAnsi" w:cs="Arial"/>
          <w:bCs/>
        </w:rPr>
      </w:pPr>
      <w:r w:rsidRPr="00A171DE">
        <w:rPr>
          <w:noProof/>
          <w:lang w:eastAsia="cs-CZ"/>
        </w:rPr>
        <w:drawing>
          <wp:inline distT="0" distB="0" distL="0" distR="0">
            <wp:extent cx="5760720" cy="234998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94" w:rsidRPr="006720AE" w:rsidRDefault="00CA4D94" w:rsidP="00CA4D94">
      <w:pPr>
        <w:spacing w:after="12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6720AE">
        <w:rPr>
          <w:rFonts w:asciiTheme="majorHAnsi" w:hAnsiTheme="majorHAnsi" w:cs="Arial"/>
          <w:bCs/>
          <w:sz w:val="16"/>
          <w:szCs w:val="16"/>
        </w:rPr>
        <w:t>Zdroj: IS AZYL</w:t>
      </w:r>
    </w:p>
    <w:p w:rsidR="0044635A" w:rsidRPr="006720AE" w:rsidRDefault="0044635A" w:rsidP="00ED1BD5">
      <w:pPr>
        <w:spacing w:before="120" w:after="120" w:line="240" w:lineRule="auto"/>
        <w:jc w:val="both"/>
        <w:rPr>
          <w:rFonts w:asciiTheme="majorHAnsi" w:hAnsiTheme="majorHAnsi"/>
        </w:rPr>
      </w:pPr>
    </w:p>
    <w:tbl>
      <w:tblPr>
        <w:tblW w:w="78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2"/>
        <w:gridCol w:w="935"/>
        <w:gridCol w:w="1091"/>
        <w:gridCol w:w="935"/>
        <w:gridCol w:w="1087"/>
        <w:gridCol w:w="943"/>
        <w:gridCol w:w="1087"/>
      </w:tblGrid>
      <w:tr w:rsidR="007E105E" w:rsidRPr="006720AE" w:rsidTr="00CA4D94">
        <w:trPr>
          <w:trHeight w:val="290"/>
        </w:trPr>
        <w:tc>
          <w:tcPr>
            <w:tcW w:w="7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Státní příslušnosti žadatelů o mezinárodní ochranu v ČR – TOP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10 – 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srovnání roku 2015/2014</w:t>
            </w:r>
          </w:p>
        </w:tc>
      </w:tr>
      <w:tr w:rsidR="007E105E" w:rsidRPr="006720AE" w:rsidTr="00CA4D94">
        <w:trPr>
          <w:trHeight w:val="43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Změna proti předchozímu období</w:t>
            </w:r>
          </w:p>
        </w:tc>
      </w:tr>
      <w:tr w:rsidR="007E105E" w:rsidRPr="006720AE" w:rsidTr="00CA4D94">
        <w:trPr>
          <w:trHeight w:val="463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žadatelů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žadatelů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tj.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Absolutní číslo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tj. %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1 525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1 156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>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32</w:t>
            </w:r>
          </w:p>
        </w:tc>
      </w:tr>
      <w:tr w:rsidR="007E105E" w:rsidRPr="006720AE" w:rsidTr="00CA4D94">
        <w:trPr>
          <w:trHeight w:val="290"/>
        </w:trPr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z toho TOP 10 *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Ukrajina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44,6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34,8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Sýrie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24,1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Kuba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204,8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Vietnam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26,6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Arménie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57,1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Rusk</w:t>
            </w:r>
            <w:r w:rsidR="0097208E"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0,0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Čína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344,4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Irák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72,7</w:t>
            </w:r>
          </w:p>
        </w:tc>
      </w:tr>
      <w:tr w:rsidR="007E105E" w:rsidRPr="006720AE" w:rsidTr="00CA4D94">
        <w:trPr>
          <w:trHeight w:val="2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Nigérie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cs-CZ"/>
              </w:rPr>
              <w:t>3,8</w:t>
            </w:r>
          </w:p>
        </w:tc>
      </w:tr>
      <w:tr w:rsidR="007E105E" w:rsidRPr="006720AE" w:rsidTr="00CA4D94">
        <w:trPr>
          <w:trHeight w:val="290"/>
        </w:trPr>
        <w:tc>
          <w:tcPr>
            <w:tcW w:w="78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05E" w:rsidRPr="006720AE" w:rsidRDefault="007E105E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</w:pP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Vysvětlivka: 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*</w:t>
            </w:r>
            <w:r w:rsidRPr="0067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720A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cs-CZ"/>
              </w:rPr>
              <w:t>řazeno podle nejvyšší hodnoty roku 2015</w:t>
            </w:r>
          </w:p>
          <w:p w:rsidR="00CA4D94" w:rsidRPr="006720AE" w:rsidRDefault="00CA4D94" w:rsidP="00A171DE">
            <w:pPr>
              <w:keepNext/>
              <w:keepLines/>
              <w:spacing w:after="120" w:line="240" w:lineRule="auto"/>
              <w:jc w:val="both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720AE">
              <w:rPr>
                <w:rFonts w:asciiTheme="majorHAnsi" w:hAnsiTheme="majorHAnsi" w:cs="Arial"/>
                <w:bCs/>
                <w:sz w:val="16"/>
                <w:szCs w:val="16"/>
              </w:rPr>
              <w:t>Zdroj: IS AZYL</w:t>
            </w:r>
          </w:p>
          <w:p w:rsidR="00CA4D94" w:rsidRPr="006720AE" w:rsidRDefault="00CA4D94" w:rsidP="00A171D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21239" w:rsidRPr="006720AE" w:rsidRDefault="007E105E" w:rsidP="007E105E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Všechny TOP 10 státní příslušnosti (s výjimkou Rusk</w:t>
      </w:r>
      <w:r w:rsidR="0097208E" w:rsidRPr="006720AE">
        <w:rPr>
          <w:rFonts w:asciiTheme="majorHAnsi" w:hAnsiTheme="majorHAnsi" w:cs="Arial"/>
          <w:bCs/>
        </w:rPr>
        <w:t>a</w:t>
      </w:r>
      <w:r w:rsidRPr="006720AE">
        <w:rPr>
          <w:rFonts w:asciiTheme="majorHAnsi" w:hAnsiTheme="majorHAnsi" w:cs="Arial"/>
          <w:bCs/>
        </w:rPr>
        <w:t xml:space="preserve">, kde byl počet žadatelů stejný) zaznamenaly v roce 2015 oproti roku 2014 absolutní i procentuální nárůst žadatelů o mezinárodní ochranu. </w:t>
      </w:r>
    </w:p>
    <w:p w:rsidR="00521239" w:rsidRPr="006720AE" w:rsidRDefault="00521239" w:rsidP="007E105E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</w:p>
    <w:p w:rsidR="00A171DE" w:rsidRDefault="00A171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21239" w:rsidRPr="006720AE" w:rsidRDefault="002B5696" w:rsidP="00521239">
      <w:pPr>
        <w:pStyle w:val="Nadpis2"/>
        <w:spacing w:before="240" w:after="240" w:line="240" w:lineRule="auto"/>
      </w:pPr>
      <w:bookmarkStart w:id="15" w:name="_Toc440627803"/>
      <w:r w:rsidRPr="006720AE">
        <w:lastRenderedPageBreak/>
        <w:t>I.</w:t>
      </w:r>
      <w:r w:rsidR="006720AE">
        <w:t>5</w:t>
      </w:r>
      <w:r w:rsidR="00521239" w:rsidRPr="006720AE">
        <w:t>. Aplikace Dublinského nařízení</w:t>
      </w:r>
      <w:bookmarkEnd w:id="15"/>
    </w:p>
    <w:p w:rsidR="00ED1BD5" w:rsidRPr="006720AE" w:rsidRDefault="00521239" w:rsidP="0052123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Nařízení Evropského parlamentu a Rady (EU) č. 604/2013 ze dne 26. června 2013 stanoví kritéria a postupy pro určení členského státu, který je příslušný k posuzování žádosti o mezinárodní ochranu podané státním příslušníkem třetí země nebo osobou bez státní příslušnosti v některém z členských států. Mezi tato kritéria patří například vydané vízum či povolení k pobytu, první žádost o mezinárodní ochranu na území členského státu či rodinné vazby.</w:t>
      </w:r>
    </w:p>
    <w:p w:rsidR="00521239" w:rsidRPr="006720AE" w:rsidRDefault="003F094B" w:rsidP="0052123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Dublinské řízení v roce 2015:</w:t>
      </w:r>
    </w:p>
    <w:p w:rsidR="003F094B" w:rsidRPr="006720AE" w:rsidRDefault="003F094B" w:rsidP="0052123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60720" cy="2560048"/>
            <wp:effectExtent l="0" t="0" r="11430" b="1206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094B" w:rsidRPr="006720AE" w:rsidRDefault="003F094B" w:rsidP="00521239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</w:p>
    <w:p w:rsidR="003F094B" w:rsidRPr="006720AE" w:rsidRDefault="003F094B" w:rsidP="003F094B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V roce 2015 přijala ČR ze strany ostatních členských států EU celkem 428 žádostí dle Nařízení (ES) č. 343/2003. ČR v roce 2015 odeslala celkem 1 847 žádostí.</w:t>
      </w:r>
    </w:p>
    <w:p w:rsidR="003F094B" w:rsidRPr="006720AE" w:rsidRDefault="003F094B" w:rsidP="003F094B">
      <w:pPr>
        <w:spacing w:before="120" w:after="120" w:line="240" w:lineRule="auto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Celkem bylo v roce 2015 do dalších členských zemí EU předáno 160 cizinců. Opačným směrem  do ČR byl</w:t>
      </w:r>
      <w:r w:rsidR="00C633B9" w:rsidRPr="006720AE">
        <w:rPr>
          <w:rFonts w:asciiTheme="majorHAnsi" w:hAnsiTheme="majorHAnsi" w:cs="Arial"/>
          <w:bCs/>
        </w:rPr>
        <w:t>o</w:t>
      </w:r>
      <w:r w:rsidRPr="006720AE">
        <w:rPr>
          <w:rFonts w:asciiTheme="majorHAnsi" w:hAnsiTheme="majorHAnsi" w:cs="Arial"/>
          <w:bCs/>
        </w:rPr>
        <w:t xml:space="preserve"> předán</w:t>
      </w:r>
      <w:r w:rsidR="00C633B9" w:rsidRPr="006720AE">
        <w:rPr>
          <w:rFonts w:asciiTheme="majorHAnsi" w:hAnsiTheme="majorHAnsi" w:cs="Arial"/>
          <w:bCs/>
        </w:rPr>
        <w:t>o</w:t>
      </w:r>
      <w:r w:rsidRPr="006720AE">
        <w:rPr>
          <w:rFonts w:asciiTheme="majorHAnsi" w:hAnsiTheme="majorHAnsi" w:cs="Arial"/>
          <w:bCs/>
        </w:rPr>
        <w:t xml:space="preserve"> </w:t>
      </w:r>
      <w:r w:rsidR="00C633B9" w:rsidRPr="006720AE">
        <w:rPr>
          <w:rFonts w:asciiTheme="majorHAnsi" w:hAnsiTheme="majorHAnsi" w:cs="Arial"/>
          <w:bCs/>
        </w:rPr>
        <w:t>70</w:t>
      </w:r>
      <w:r w:rsidRPr="006720AE">
        <w:rPr>
          <w:rFonts w:asciiTheme="majorHAnsi" w:hAnsiTheme="majorHAnsi" w:cs="Arial"/>
          <w:bCs/>
        </w:rPr>
        <w:t xml:space="preserve"> cizinc</w:t>
      </w:r>
      <w:r w:rsidR="00C633B9" w:rsidRPr="006720AE">
        <w:rPr>
          <w:rFonts w:asciiTheme="majorHAnsi" w:hAnsiTheme="majorHAnsi" w:cs="Arial"/>
          <w:bCs/>
        </w:rPr>
        <w:t>ů</w:t>
      </w:r>
      <w:r w:rsidRPr="006720AE">
        <w:rPr>
          <w:rFonts w:asciiTheme="majorHAnsi" w:hAnsiTheme="majorHAnsi" w:cs="Arial"/>
          <w:bCs/>
        </w:rPr>
        <w:t>.</w:t>
      </w:r>
    </w:p>
    <w:p w:rsidR="006720AE" w:rsidRPr="006720AE" w:rsidRDefault="00521239" w:rsidP="006720AE">
      <w:pPr>
        <w:pStyle w:val="Nadpis2"/>
        <w:spacing w:before="240" w:after="240" w:line="240" w:lineRule="auto"/>
      </w:pPr>
      <w:r w:rsidRPr="006720AE">
        <w:br w:type="page"/>
      </w:r>
      <w:bookmarkStart w:id="16" w:name="_Toc440627804"/>
      <w:r w:rsidR="006720AE" w:rsidRPr="006720AE">
        <w:lastRenderedPageBreak/>
        <w:t>I.</w:t>
      </w:r>
      <w:r w:rsidR="006720AE">
        <w:t>6</w:t>
      </w:r>
      <w:r w:rsidR="006720AE" w:rsidRPr="006720AE">
        <w:t>. Aktuality v azylové a migrační politice a legislativě</w:t>
      </w:r>
      <w:bookmarkEnd w:id="16"/>
    </w:p>
    <w:p w:rsidR="006720AE" w:rsidRPr="006720AE" w:rsidRDefault="006720AE" w:rsidP="006720AE">
      <w:pPr>
        <w:pStyle w:val="Nadpis3"/>
        <w:spacing w:before="240" w:after="120" w:line="240" w:lineRule="auto"/>
      </w:pPr>
      <w:bookmarkStart w:id="17" w:name="_Toc440627805"/>
      <w:r w:rsidRPr="006720AE">
        <w:t>I.</w:t>
      </w:r>
      <w:r>
        <w:t>6</w:t>
      </w:r>
      <w:r w:rsidRPr="006720AE">
        <w:t>.1. Zákon o pobytu cizinců</w:t>
      </w:r>
      <w:bookmarkEnd w:id="17"/>
    </w:p>
    <w:p w:rsidR="006720AE" w:rsidRPr="006720AE" w:rsidRDefault="006720AE" w:rsidP="0067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 roce 2015 byly provedeny </w:t>
      </w:r>
      <w:r w:rsidRPr="006720AE">
        <w:rPr>
          <w:rFonts w:asciiTheme="majorHAnsi" w:hAnsiTheme="majorHAnsi" w:cs="Arial"/>
          <w:b/>
          <w:bCs/>
        </w:rPr>
        <w:t>čtyři novely</w:t>
      </w:r>
      <w:r w:rsidRPr="006720AE">
        <w:rPr>
          <w:rFonts w:asciiTheme="majorHAnsi" w:hAnsiTheme="majorHAnsi" w:cs="Arial"/>
          <w:bCs/>
        </w:rPr>
        <w:t xml:space="preserve"> </w:t>
      </w:r>
      <w:r w:rsidRPr="006720AE">
        <w:rPr>
          <w:rFonts w:asciiTheme="majorHAnsi" w:hAnsiTheme="majorHAnsi" w:cs="Arial"/>
          <w:b/>
          <w:bCs/>
        </w:rPr>
        <w:t>zákona č. 326/1999 Sb</w:t>
      </w:r>
      <w:r w:rsidRPr="006720AE">
        <w:rPr>
          <w:rFonts w:asciiTheme="majorHAnsi" w:hAnsiTheme="majorHAnsi" w:cs="Arial"/>
          <w:bCs/>
        </w:rPr>
        <w:t>., o pobytu na území České republiky a o změně některých zákonů, ve znění pozdějších předpisů.</w:t>
      </w:r>
      <w:r w:rsidRPr="006720AE">
        <w:rPr>
          <w:rFonts w:asciiTheme="majorHAnsi" w:hAnsiTheme="majorHAnsi" w:cs="Arial"/>
          <w:b/>
        </w:rPr>
        <w:t xml:space="preserve"> </w:t>
      </w:r>
      <w:r w:rsidRPr="006720AE">
        <w:rPr>
          <w:rFonts w:asciiTheme="majorHAnsi" w:hAnsiTheme="majorHAnsi" w:cs="Arial"/>
          <w:bCs/>
        </w:rPr>
        <w:t xml:space="preserve"> </w:t>
      </w:r>
    </w:p>
    <w:p w:rsidR="006720AE" w:rsidRPr="006720AE" w:rsidRDefault="006720AE" w:rsidP="006720AE">
      <w:pPr>
        <w:spacing w:after="120"/>
        <w:rPr>
          <w:rFonts w:asciiTheme="majorHAnsi" w:hAnsiTheme="majorHAnsi"/>
          <w:b/>
          <w:u w:val="single"/>
        </w:rPr>
      </w:pPr>
      <w:r w:rsidRPr="006720AE">
        <w:rPr>
          <w:rFonts w:asciiTheme="majorHAnsi" w:hAnsiTheme="majorHAnsi"/>
          <w:b/>
          <w:u w:val="single"/>
        </w:rPr>
        <w:t>Jednalo se o změny, které byly provedeny následujícími zákony:</w:t>
      </w:r>
    </w:p>
    <w:p w:rsidR="006720AE" w:rsidRPr="006720AE" w:rsidRDefault="006720AE" w:rsidP="0067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283" w:hanging="215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  <w:bCs/>
        </w:rPr>
        <w:t>Zákon č. 203/2015 Sb</w:t>
      </w:r>
      <w:r w:rsidRPr="006720AE">
        <w:rPr>
          <w:rFonts w:asciiTheme="majorHAnsi" w:hAnsiTheme="majorHAnsi" w:cs="Arial"/>
          <w:bCs/>
        </w:rPr>
        <w:t>.</w:t>
      </w:r>
      <w:r w:rsidRPr="006720AE">
        <w:rPr>
          <w:rStyle w:val="Znakapoznpodarou"/>
          <w:rFonts w:asciiTheme="majorHAnsi" w:hAnsiTheme="majorHAnsi" w:cs="Arial"/>
          <w:bCs/>
        </w:rPr>
        <w:footnoteReference w:id="6"/>
      </w:r>
      <w:r w:rsidRPr="006720AE">
        <w:rPr>
          <w:rFonts w:asciiTheme="majorHAnsi" w:hAnsiTheme="majorHAnsi" w:cs="Arial"/>
          <w:bCs/>
        </w:rPr>
        <w:t xml:space="preserve"> nabyl účinnosti dnem </w:t>
      </w:r>
      <w:r w:rsidRPr="006720AE">
        <w:rPr>
          <w:rFonts w:asciiTheme="majorHAnsi" w:hAnsiTheme="majorHAnsi" w:cs="Arial"/>
        </w:rPr>
        <w:t>17. 8. 2015</w:t>
      </w:r>
      <w:r w:rsidRPr="006720AE">
        <w:rPr>
          <w:rFonts w:asciiTheme="majorHAnsi" w:hAnsiTheme="majorHAnsi" w:cs="Arial"/>
          <w:b/>
          <w:bCs/>
        </w:rPr>
        <w:t xml:space="preserve">. </w:t>
      </w:r>
      <w:r w:rsidRPr="006720AE">
        <w:rPr>
          <w:rFonts w:asciiTheme="majorHAnsi" w:hAnsiTheme="majorHAnsi" w:cs="Arial"/>
          <w:bCs/>
        </w:rPr>
        <w:t xml:space="preserve">Uvedeným zákonem byla </w:t>
      </w:r>
      <w:r w:rsidRPr="006720AE">
        <w:rPr>
          <w:rFonts w:asciiTheme="majorHAnsi" w:hAnsiTheme="majorHAnsi" w:cs="Arial"/>
          <w:bCs/>
          <w:u w:val="single"/>
        </w:rPr>
        <w:t xml:space="preserve">zavedena </w:t>
      </w:r>
      <w:r w:rsidRPr="006720AE">
        <w:rPr>
          <w:rFonts w:asciiTheme="majorHAnsi" w:hAnsiTheme="majorHAnsi" w:cs="Arial"/>
          <w:u w:val="single"/>
        </w:rPr>
        <w:t>fikce oprávnění cizince vykonávat zaměstnání v době, kdy sice již skončila platnost zaměstnanecké karty</w:t>
      </w:r>
      <w:r w:rsidRPr="006720AE">
        <w:rPr>
          <w:rFonts w:asciiTheme="majorHAnsi" w:hAnsiTheme="majorHAnsi" w:cs="Arial"/>
        </w:rPr>
        <w:t>, ale probíhá řízení o prodloužení její platnosti a dále byly upraveny některé další s tím související otázky.</w:t>
      </w:r>
    </w:p>
    <w:p w:rsidR="006720AE" w:rsidRPr="006720AE" w:rsidRDefault="006720AE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6720AE" w:rsidRPr="006720AE" w:rsidRDefault="006720AE" w:rsidP="0067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15"/>
        <w:jc w:val="both"/>
        <w:rPr>
          <w:rFonts w:asciiTheme="majorHAnsi" w:hAnsiTheme="majorHAnsi" w:cs="Arial"/>
          <w:sz w:val="16"/>
          <w:szCs w:val="16"/>
        </w:rPr>
      </w:pPr>
      <w:r w:rsidRPr="006720AE">
        <w:rPr>
          <w:rFonts w:asciiTheme="majorHAnsi" w:hAnsiTheme="majorHAnsi" w:cs="Arial"/>
          <w:b/>
          <w:bCs/>
        </w:rPr>
        <w:t>Zákon č. 204/2015 Sb.</w:t>
      </w:r>
      <w:r w:rsidRPr="006720AE">
        <w:rPr>
          <w:rStyle w:val="Znakapoznpodarou"/>
          <w:rFonts w:asciiTheme="majorHAnsi" w:hAnsiTheme="majorHAnsi" w:cs="Arial"/>
          <w:bCs/>
        </w:rPr>
        <w:footnoteReference w:id="7"/>
      </w:r>
      <w:r w:rsidRPr="006720AE">
        <w:rPr>
          <w:rFonts w:asciiTheme="majorHAnsi" w:hAnsiTheme="majorHAnsi" w:cs="Arial"/>
          <w:bCs/>
        </w:rPr>
        <w:t>,</w:t>
      </w:r>
      <w:r w:rsidRPr="006720AE">
        <w:rPr>
          <w:rFonts w:asciiTheme="majorHAnsi" w:hAnsiTheme="majorHAnsi" w:cs="Arial"/>
          <w:b/>
          <w:bCs/>
        </w:rPr>
        <w:t xml:space="preserve"> </w:t>
      </w:r>
      <w:r w:rsidRPr="006720AE">
        <w:rPr>
          <w:rFonts w:asciiTheme="majorHAnsi" w:hAnsiTheme="majorHAnsi" w:cs="Arial"/>
          <w:bCs/>
        </w:rPr>
        <w:t xml:space="preserve">jehož podstatná část nabude účinnosti dnem </w:t>
      </w:r>
      <w:r w:rsidRPr="006720AE">
        <w:rPr>
          <w:rFonts w:asciiTheme="majorHAnsi" w:hAnsiTheme="majorHAnsi" w:cs="Arial"/>
        </w:rPr>
        <w:t>1. 10. 2016</w:t>
      </w:r>
      <w:r w:rsidRPr="006720AE">
        <w:rPr>
          <w:rFonts w:asciiTheme="majorHAnsi" w:hAnsiTheme="majorHAnsi" w:cs="Arial"/>
          <w:bCs/>
        </w:rPr>
        <w:t xml:space="preserve">. Uvedeným zákonem byl </w:t>
      </w:r>
      <w:r w:rsidRPr="006720AE">
        <w:rPr>
          <w:rFonts w:asciiTheme="majorHAnsi" w:hAnsiTheme="majorHAnsi" w:cs="Arial"/>
          <w:bCs/>
          <w:u w:val="single"/>
        </w:rPr>
        <w:t>mj. zaveden registr přestupků</w:t>
      </w:r>
      <w:r w:rsidRPr="006720AE">
        <w:rPr>
          <w:rFonts w:asciiTheme="majorHAnsi" w:hAnsiTheme="majorHAnsi" w:cs="Arial"/>
          <w:bCs/>
        </w:rPr>
        <w:t xml:space="preserve"> – novelou zákona o pobytu cizinců je </w:t>
      </w:r>
      <w:r w:rsidRPr="006720AE">
        <w:rPr>
          <w:rFonts w:asciiTheme="majorHAnsi" w:hAnsiTheme="majorHAnsi" w:cs="Arial"/>
          <w:bCs/>
          <w:u w:val="single"/>
        </w:rPr>
        <w:t>umožněn přístup</w:t>
      </w:r>
      <w:r w:rsidRPr="006720AE">
        <w:rPr>
          <w:rFonts w:asciiTheme="majorHAnsi" w:hAnsiTheme="majorHAnsi" w:cs="Arial"/>
          <w:u w:val="single"/>
        </w:rPr>
        <w:t xml:space="preserve"> do tohoto registru</w:t>
      </w:r>
      <w:r w:rsidRPr="006720AE">
        <w:rPr>
          <w:rFonts w:asciiTheme="majorHAnsi" w:hAnsiTheme="majorHAnsi" w:cs="Arial"/>
        </w:rPr>
        <w:t xml:space="preserve"> členům Komise pro rozhodování ve věcech pobytu cizinců pro potřeby posouzení bezúhonnosti.</w:t>
      </w:r>
    </w:p>
    <w:p w:rsidR="006720AE" w:rsidRPr="006720AE" w:rsidRDefault="006720AE" w:rsidP="006720AE">
      <w:pPr>
        <w:pStyle w:val="Odstavecseseznamem"/>
        <w:rPr>
          <w:rFonts w:asciiTheme="majorHAnsi" w:hAnsiTheme="majorHAnsi" w:cs="Arial"/>
          <w:sz w:val="16"/>
          <w:szCs w:val="16"/>
        </w:rPr>
      </w:pPr>
    </w:p>
    <w:p w:rsidR="006720AE" w:rsidRPr="006720AE" w:rsidRDefault="006720AE" w:rsidP="0067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3" w:hanging="215"/>
        <w:jc w:val="both"/>
        <w:rPr>
          <w:rFonts w:asciiTheme="majorHAnsi" w:hAnsiTheme="majorHAnsi" w:cs="Arial"/>
          <w:b/>
          <w:bCs/>
        </w:rPr>
      </w:pPr>
      <w:r w:rsidRPr="006720AE">
        <w:rPr>
          <w:rFonts w:asciiTheme="majorHAnsi" w:hAnsiTheme="majorHAnsi" w:cs="Arial"/>
          <w:b/>
          <w:bCs/>
        </w:rPr>
        <w:t>Zákon č. 314/2015 Sb.</w:t>
      </w:r>
      <w:r w:rsidRPr="006720AE">
        <w:rPr>
          <w:rFonts w:asciiTheme="majorHAnsi" w:hAnsiTheme="majorHAnsi"/>
          <w:vertAlign w:val="superscript"/>
        </w:rPr>
        <w:footnoteReference w:id="8"/>
      </w:r>
      <w:r w:rsidRPr="006720AE">
        <w:rPr>
          <w:rFonts w:asciiTheme="majorHAnsi" w:hAnsiTheme="majorHAnsi" w:cs="Arial"/>
          <w:b/>
          <w:bCs/>
        </w:rPr>
        <w:t xml:space="preserve"> </w:t>
      </w:r>
      <w:r w:rsidRPr="006720AE">
        <w:rPr>
          <w:rFonts w:asciiTheme="majorHAnsi" w:hAnsiTheme="majorHAnsi" w:cs="Arial"/>
          <w:bCs/>
        </w:rPr>
        <w:t>nabyl účinnosti dnem 18. 12. 2015. K hlavním úpravám v zákoně o pobytu cizinců došlo v následujících oblastech: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Dlouhodobá víza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 xml:space="preserve">- Dlouhodobé vízum bude moci být uděleno </w:t>
      </w:r>
      <w:r w:rsidRPr="006720AE">
        <w:rPr>
          <w:rFonts w:asciiTheme="majorHAnsi" w:hAnsiTheme="majorHAnsi"/>
          <w:u w:val="single"/>
        </w:rPr>
        <w:t>s platností až na 1 rok</w:t>
      </w:r>
      <w:r w:rsidRPr="006720AE">
        <w:rPr>
          <w:rFonts w:asciiTheme="majorHAnsi" w:hAnsiTheme="majorHAnsi"/>
        </w:rPr>
        <w:t>. Je - li žadatelem o dlouhodobé vízum cizinec mladší 18 let, bude vyžadován i souhlas zákonného zástupce (obvykle rodiče) či poručníka s pobytem takového cizince na území. Souhlas se nevyžaduje u toho zákonného zástupce, který za cizince žádost podává nebo se kterým má žít na území.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Lhůty pro podání žádosti o dlouhodobý pobyt a jeho prodloužení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>- lhůta pro podání žádosti se prodlužuje, žádost o vydání povolení k dlouhodobému pobytu nebo o prodloužení doby jeho platnosti lze podat nejdříve 120 dnů před skončením platnosti dosavadního povolení k dlouhodobému pobytu či dlouhodobého víza a nejpozději v poslední den platnosti víza či povolení k pobytu. Výjimkou je žádost o prodloužení zaměstnanecké karty, která musí být podána nejdříve 120 dnů a nejpozději 30 dnů před skončením platnosti dosavadní zaměstnanecké karty.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Důvody na vůli nezávislé bránící v podání žádosti ve lhůtě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>nebo prodloužení doby platnosti povolení k dlouhodobému pobytu musí cizinec uplatit při samotném podání žádosti a žádost musí podat do 5 pracovních dnů po jejich odpadnutí. K později sděleným důvodům nebude přihlíženo. Na výzvu je cizinec tyto důvody povinen prokázat.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Definice rodinného příslušníka občana EU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 xml:space="preserve">- v souladu se směrnicí č. 2004/38/ES a navazující judikaturou Soudního dvora EU dochází k upřesnění definice rodinného příslušníka občana </w:t>
      </w:r>
      <w:r w:rsidRPr="006720AE">
        <w:rPr>
          <w:rFonts w:asciiTheme="majorHAnsi" w:hAnsiTheme="majorHAnsi"/>
        </w:rPr>
        <w:lastRenderedPageBreak/>
        <w:t>EU, zejména dosavadní pojem „vztah obdobný vztahu rodinnému“ je upřesněn tak, že bude zahrnovat pouze vztahy mezi nesezdanými partnery.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Trvalý pobyt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>- stanovena plošná povinnost osobního převzetí rozhodnutí o povolení k pobytu. Žádost o vydání povolení k trvalému pobytu nebude oprávněn podat cizinec pobývající na území na základě výjezdního příkazu. Žádosti o vydání povolení k trvalému pobytu z důvodů humanitárních, zřetele hodných a v zájmu ČR nebudou moci být podány na území v době pobytu cizince na území na dlouhodobé vízum či povolení k dlouhodobému pobytu, které již není platné, ale pouze se za platné považuje (tzv. fikce pobytu). Dochází ke změně podmínek konání zkoušky z českého jazyka včetně okruhu škol oprávněných zkoušku konat. Dosavadní osvědčení o znalosti jazyka českého zůstávají v platnosti.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Rodinní příslušníci občanů EU s povoleným přechodným pobytem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>- neprodloužením platnosti pobytové karty rodinného příslušníka občana EU se ukončuje i přechodný pobyt rodinného příslušníka občana EU na území. Za nepodání či opožděné podání žádosti o prodloužení pobytové karty rodinného příslušníka občana EU lze uložit pokutu až do výše 3 000 Kč. Je –li přechodný pobyt na území cizinci ukončen na jeho žádost nebo pouze z důvodu, že přestal být rodinným příslušníkem občana EU nebo a s občanem EU přestal pobývat na území, může v 60 denní lhůtě od právní moci rozhodnutí o ukončení přechodného pobytu na území podat žádost o trvalý pobyt po 5 letech nepřetržitého pobytu na území nebo o dlouhodobý pobyt.</w:t>
      </w:r>
    </w:p>
    <w:p w:rsidR="006720AE" w:rsidRPr="006720AE" w:rsidRDefault="006720AE" w:rsidP="006720AE">
      <w:pPr>
        <w:spacing w:after="60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Souhlas se změnou zaměstnavatele či pracovní pozice u zaměstnaneckých karet</w:t>
      </w:r>
      <w:r w:rsidRPr="006720AE">
        <w:rPr>
          <w:rFonts w:asciiTheme="majorHAnsi" w:hAnsiTheme="majorHAnsi"/>
        </w:rPr>
        <w:t xml:space="preserve"> - požádá – li držitel zaměstnanecké karty o souhlas se změnou zaměstnavatele nebo pracovní pozice ve lhůtě 120 – 30 dnů před skončením platnosti dosavadní zaměstnanecké karty, bude tato žádost vyřízena současně také jako žádost o prodloužení zaměstnanecké karty. Takto nebude postupováno pouze v případě výslovného nesouhlasu žadatele nebo v případě, že délky zaměstnání u nového zaměstnavatele či na nové pracovní pozici nebude přesahovat dobu platnosti dosavadní zaměstnanecké karty.</w:t>
      </w:r>
    </w:p>
    <w:p w:rsidR="006720AE" w:rsidRPr="006720AE" w:rsidRDefault="006720AE" w:rsidP="006720AE">
      <w:pPr>
        <w:spacing w:after="120" w:line="240" w:lineRule="auto"/>
        <w:ind w:left="284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Odpovědnost zákonného zástupce cizince za plnění povinností dle zákona o pobytu cizinců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>- zákonný zástupce cizince mladšího 15 let (nejčastěji rodič) bude povinen zajistit, aby tento cizinec na území ČR pobýval oprávněně, a také bude povinen zajistit plnění povinností stanovených zákonem o pobytu cizinců za takového cizince.</w:t>
      </w:r>
    </w:p>
    <w:p w:rsidR="006720AE" w:rsidRPr="006720AE" w:rsidRDefault="006720AE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6720AE" w:rsidRPr="006720AE" w:rsidRDefault="006720AE" w:rsidP="006720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18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/>
          <w:bCs/>
        </w:rPr>
        <w:t>Zákon č. 318/2015 Sb.</w:t>
      </w:r>
      <w:r w:rsidRPr="006720AE">
        <w:rPr>
          <w:rStyle w:val="Znakapoznpodarou"/>
          <w:rFonts w:asciiTheme="majorHAnsi" w:hAnsiTheme="majorHAnsi" w:cs="Arial"/>
          <w:bCs/>
        </w:rPr>
        <w:footnoteReference w:id="9"/>
      </w:r>
      <w:r w:rsidRPr="006720AE">
        <w:rPr>
          <w:rFonts w:asciiTheme="majorHAnsi" w:hAnsiTheme="majorHAnsi" w:cs="Arial"/>
          <w:bCs/>
        </w:rPr>
        <w:t xml:space="preserve"> nabyl účinnosti dnem </w:t>
      </w:r>
      <w:r w:rsidRPr="006720AE">
        <w:rPr>
          <w:rFonts w:asciiTheme="majorHAnsi" w:hAnsiTheme="majorHAnsi" w:cs="Arial"/>
        </w:rPr>
        <w:t>1. 1. 2016</w:t>
      </w:r>
      <w:r w:rsidRPr="006720AE">
        <w:rPr>
          <w:rFonts w:asciiTheme="majorHAnsi" w:hAnsiTheme="majorHAnsi" w:cs="Arial"/>
          <w:bCs/>
        </w:rPr>
        <w:t xml:space="preserve">. Součástí zákona byla i novela zákona o pobytu cizinců, kterou došlo ke </w:t>
      </w:r>
      <w:r w:rsidRPr="006720AE">
        <w:rPr>
          <w:rFonts w:asciiTheme="majorHAnsi" w:hAnsiTheme="majorHAnsi" w:cs="Arial"/>
          <w:bCs/>
          <w:u w:val="single"/>
        </w:rPr>
        <w:t>zrušení vydávání cizineckých pasů bez nosiče dat s biometrickými údaji a strojově čitelnými údaji</w:t>
      </w:r>
      <w:r w:rsidRPr="006720AE">
        <w:rPr>
          <w:rFonts w:asciiTheme="majorHAnsi" w:hAnsiTheme="majorHAnsi" w:cs="Arial"/>
          <w:bCs/>
        </w:rPr>
        <w:t xml:space="preserve"> a </w:t>
      </w:r>
      <w:r w:rsidRPr="006720AE">
        <w:rPr>
          <w:rFonts w:asciiTheme="majorHAnsi" w:hAnsiTheme="majorHAnsi" w:cs="Arial"/>
          <w:bCs/>
          <w:u w:val="single"/>
        </w:rPr>
        <w:t>ke změně některých údajů vedených v informačním systému cizinců</w:t>
      </w:r>
      <w:r w:rsidRPr="006720AE">
        <w:rPr>
          <w:rFonts w:asciiTheme="majorHAnsi" w:hAnsiTheme="majorHAnsi" w:cs="Arial"/>
          <w:bCs/>
        </w:rPr>
        <w:t xml:space="preserve">. </w:t>
      </w:r>
    </w:p>
    <w:p w:rsidR="006720AE" w:rsidRPr="006720AE" w:rsidRDefault="006720AE" w:rsidP="006720AE">
      <w:pPr>
        <w:pStyle w:val="Nadpis3"/>
        <w:spacing w:before="240" w:after="120" w:line="240" w:lineRule="auto"/>
      </w:pPr>
      <w:bookmarkStart w:id="18" w:name="_Toc440627806"/>
      <w:r w:rsidRPr="006720AE">
        <w:t>I.</w:t>
      </w:r>
      <w:r>
        <w:t>6</w:t>
      </w:r>
      <w:r w:rsidRPr="006720AE">
        <w:t>.2. Zákon o azylu</w:t>
      </w:r>
      <w:bookmarkEnd w:id="18"/>
    </w:p>
    <w:p w:rsidR="006720AE" w:rsidRPr="006720AE" w:rsidRDefault="006720AE" w:rsidP="0067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V roce 2015 se projednávala a dne 18. 12. 2015 i nabyla účinnosti rozsáhlá novela zákona č. 325/1999 Sb., o azylu, ve znění pozdějších předpisů  a dalších předpisů (zákon č. 314/2015 Sb.). </w:t>
      </w:r>
    </w:p>
    <w:p w:rsidR="006720AE" w:rsidRPr="006720AE" w:rsidRDefault="006720AE" w:rsidP="006720AE">
      <w:pPr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lastRenderedPageBreak/>
        <w:t xml:space="preserve">Nová právní úprava obsahuje zejména implementaci dvou azylových směrnic do národního právního řádu, jedná se o tzv. procedurální směrnici (2013/32/EU) a o tzv. přijímací směrnici (2013/33/EU). Nová úprava rovněž zohledňuje vývoj praxe v dané oblasti na území ČR. Rovněž se adaptuje tzv. nařízení Dublin III - nařízení Evropského parlamentu a Rady (EU) č. 604/2013, které má za cíl určit jeden stát příslušný k věcnému posouzení žádosti o mezinárodní ochranu a upravuje se již v minulosti z podstatné části provedená transpozice tzv. nové kvalifikační směrnice (2011/95/EU). Jedná se o poměrně masivní změny, které do značné míry souvisejí s dobudováním tzv. společného evropského azylového systému. </w:t>
      </w:r>
    </w:p>
    <w:p w:rsidR="006720AE" w:rsidRPr="006720AE" w:rsidRDefault="006720AE" w:rsidP="006720AE">
      <w:pPr>
        <w:spacing w:after="0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Tento </w:t>
      </w:r>
      <w:r w:rsidRPr="006720AE">
        <w:rPr>
          <w:rFonts w:asciiTheme="majorHAnsi" w:hAnsiTheme="majorHAnsi" w:cs="Arial"/>
          <w:b/>
          <w:bCs/>
        </w:rPr>
        <w:t>zákon upravuje tyto nejzásadnější změny</w:t>
      </w:r>
      <w:r w:rsidRPr="006720AE">
        <w:rPr>
          <w:rFonts w:asciiTheme="majorHAnsi" w:hAnsiTheme="majorHAnsi" w:cs="Arial"/>
          <w:bCs/>
        </w:rPr>
        <w:t xml:space="preserve">: </w:t>
      </w:r>
    </w:p>
    <w:p w:rsidR="006720AE" w:rsidRPr="006720AE" w:rsidRDefault="006720AE" w:rsidP="006720AE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zrušení institutu úmyslu požádat o udělení mezinárodní ochrany v ČR - cizinec bude plně v postavení žadatele o žádosti o mezinárodní ochranu již od prvotního momentu projevu vůle o tuto ochranu požádat; </w:t>
      </w:r>
    </w:p>
    <w:p w:rsidR="006720AE" w:rsidRPr="006720AE" w:rsidRDefault="006720AE" w:rsidP="006720AE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podstatnou změnou je nové pojetí opakovaných žádostí, kdy novela umožňuje rychlé a efektivní nakládání s druhými a dalšími opakovanými žádostmi; </w:t>
      </w:r>
    </w:p>
    <w:p w:rsidR="006720AE" w:rsidRPr="006720AE" w:rsidRDefault="006720AE" w:rsidP="006720AE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dochází rovněž k novému nastavení lhůt pro vydání rozhodnutí ve věci mezinárodní ochrany, stanovení lhůt pro soudy v případech rozhodování o žalobách proti negativnímu rozhodnutí o mezinárodní ochraně, pokud půjde například o žadatele nacházející se v detenčních zařízeních; krajský soud bude povinen rozhodnout do 60 dnů, stejně tak i Nejvyšší správní soud; </w:t>
      </w:r>
    </w:p>
    <w:p w:rsidR="006720AE" w:rsidRPr="006720AE" w:rsidRDefault="006720AE" w:rsidP="006720AE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zakotvena jsou rovněž přesnější pravidla a nové důvody pro zajištění žadatelů o žádosti o mezinárodní ochranu na území a v přijímacím středisku na mezinárodním letišti, včetně zavedení tzv. alternativ k zajištění;</w:t>
      </w:r>
    </w:p>
    <w:p w:rsidR="006720AE" w:rsidRPr="006720AE" w:rsidRDefault="006720AE" w:rsidP="006720AE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 xml:space="preserve">zrušuje se vízum za účelem strpění a nahrazuje se potvrzením o strpění. </w:t>
      </w:r>
    </w:p>
    <w:p w:rsidR="006720AE" w:rsidRPr="006720AE" w:rsidRDefault="006720AE" w:rsidP="006720AE">
      <w:pPr>
        <w:pStyle w:val="Nadpis3"/>
        <w:spacing w:before="240" w:after="120" w:line="240" w:lineRule="auto"/>
      </w:pPr>
      <w:bookmarkStart w:id="19" w:name="_Toc440627807"/>
      <w:r w:rsidRPr="006720AE">
        <w:t>I.</w:t>
      </w:r>
      <w:r>
        <w:t>6</w:t>
      </w:r>
      <w:r w:rsidRPr="006720AE">
        <w:t>.3. Usnesení vlády</w:t>
      </w:r>
      <w:bookmarkEnd w:id="19"/>
      <w:r w:rsidRPr="006720AE">
        <w:t xml:space="preserve"> </w:t>
      </w:r>
    </w:p>
    <w:p w:rsidR="006720AE" w:rsidRPr="006720AE" w:rsidRDefault="006720AE" w:rsidP="0067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</w:rPr>
      </w:pPr>
      <w:r w:rsidRPr="006720AE">
        <w:rPr>
          <w:rFonts w:asciiTheme="majorHAnsi" w:hAnsiTheme="majorHAnsi" w:cs="Arial"/>
          <w:bCs/>
        </w:rPr>
        <w:t>Vláda ČR se v roce 2015 na svých jednáních vícekrát zabývala migrační situací v ČR, včetně souvisejících otázek, a v návaznosti přijala řadu usnesení.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18 ze dne 14. ledna 2015</w:t>
      </w:r>
      <w:r w:rsidRPr="006720AE">
        <w:rPr>
          <w:rFonts w:asciiTheme="majorHAnsi" w:hAnsiTheme="majorHAnsi"/>
        </w:rPr>
        <w:t xml:space="preserve"> vláda schválila </w:t>
      </w:r>
      <w:r w:rsidRPr="006720AE">
        <w:rPr>
          <w:rFonts w:asciiTheme="majorHAnsi" w:hAnsiTheme="majorHAnsi"/>
          <w:b/>
        </w:rPr>
        <w:t>realizaci přesídlení malé skupiny syrských uprchlíků – 15 rodin s dětmi z Jordánska</w:t>
      </w:r>
      <w:r w:rsidRPr="006720AE">
        <w:rPr>
          <w:rFonts w:asciiTheme="majorHAnsi" w:hAnsiTheme="majorHAnsi"/>
        </w:rPr>
        <w:t>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19 ze dne 14. ledna 2015</w:t>
      </w:r>
      <w:r w:rsidRPr="006720AE">
        <w:rPr>
          <w:rFonts w:asciiTheme="majorHAnsi" w:hAnsiTheme="majorHAnsi"/>
        </w:rPr>
        <w:t xml:space="preserve"> vláda schválila </w:t>
      </w:r>
      <w:r w:rsidRPr="006720AE">
        <w:rPr>
          <w:rFonts w:asciiTheme="majorHAnsi" w:hAnsiTheme="majorHAnsi"/>
          <w:b/>
        </w:rPr>
        <w:t>zřízení Programu Ministerstva vnitra na asistenci uprchlíkům v regionech původu a prevenci velkých migračních pohybů</w:t>
      </w:r>
      <w:r w:rsidRPr="006720AE">
        <w:rPr>
          <w:rFonts w:asciiTheme="majorHAnsi" w:hAnsiTheme="majorHAnsi"/>
        </w:rPr>
        <w:t>. Celkové předpokládané čerpání prostředků v rámci tohoto programu pro rok 2015 bylo 100 mil. Kč.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 45 ze dne 19. ledna 2015</w:t>
      </w:r>
      <w:r w:rsidRPr="006720AE">
        <w:rPr>
          <w:rFonts w:asciiTheme="majorHAnsi" w:hAnsiTheme="majorHAnsi"/>
        </w:rPr>
        <w:t xml:space="preserve"> vláda schválila </w:t>
      </w:r>
      <w:r w:rsidRPr="006720AE">
        <w:rPr>
          <w:rFonts w:asciiTheme="majorHAnsi" w:hAnsiTheme="majorHAnsi"/>
          <w:b/>
        </w:rPr>
        <w:t>pokračování programu humanitárních evakuací zdravotně postižených obyvatel (MEDEVAC) pro rok 2015</w:t>
      </w:r>
      <w:r w:rsidRPr="006720AE">
        <w:rPr>
          <w:rFonts w:asciiTheme="majorHAnsi" w:hAnsiTheme="majorHAnsi"/>
        </w:rPr>
        <w:t>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331 ze dne 6. května 2015</w:t>
      </w:r>
      <w:r w:rsidRPr="006720AE">
        <w:rPr>
          <w:rFonts w:asciiTheme="majorHAnsi" w:hAnsiTheme="majorHAnsi"/>
        </w:rPr>
        <w:t xml:space="preserve"> vláda rozhodla o </w:t>
      </w:r>
      <w:r w:rsidRPr="006720AE">
        <w:rPr>
          <w:rFonts w:asciiTheme="majorHAnsi" w:hAnsiTheme="majorHAnsi"/>
          <w:b/>
        </w:rPr>
        <w:t xml:space="preserve">poskytnutí peněžních darů do zahraničí k realizaci Programu Ministerstva vnitra na asistenci uprchlíkům v regionech původu a prevenci velkých migračních pohybů v roce 2015. </w:t>
      </w:r>
      <w:r w:rsidRPr="006720AE">
        <w:rPr>
          <w:rFonts w:asciiTheme="majorHAnsi" w:hAnsiTheme="majorHAnsi"/>
        </w:rPr>
        <w:t xml:space="preserve">Peněžní dary byly určeny pro Úřad Vysokého komisaře OSN pro uprchlíky (UNHCR) na zlepšení infrastruktury uprchlického tábora </w:t>
      </w:r>
      <w:proofErr w:type="spellStart"/>
      <w:r w:rsidRPr="006720AE">
        <w:rPr>
          <w:rFonts w:asciiTheme="majorHAnsi" w:hAnsiTheme="majorHAnsi"/>
        </w:rPr>
        <w:t>Zátarí</w:t>
      </w:r>
      <w:proofErr w:type="spellEnd"/>
      <w:r w:rsidRPr="006720AE">
        <w:rPr>
          <w:rFonts w:asciiTheme="majorHAnsi" w:hAnsiTheme="majorHAnsi"/>
        </w:rPr>
        <w:t xml:space="preserve">, na obdobný projekt v iráckém Kurdistánu, na zapojení ČR do společných evropských programů rozvoje a ochrany ve třetích zemích (RDPP) a pro Turecko a Srbsko na podporu a rozvoj místních migračních systémů. 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lastRenderedPageBreak/>
        <w:t>Usnesením č. 325 ze dne 6. května 2015</w:t>
      </w:r>
      <w:r w:rsidRPr="006720AE">
        <w:rPr>
          <w:rFonts w:asciiTheme="majorHAnsi" w:hAnsiTheme="majorHAnsi"/>
        </w:rPr>
        <w:t xml:space="preserve"> vláda schválila program Ministerstva zahraničních věcí „</w:t>
      </w:r>
      <w:r w:rsidRPr="006720AE">
        <w:rPr>
          <w:rFonts w:asciiTheme="majorHAnsi" w:hAnsiTheme="majorHAnsi"/>
          <w:b/>
        </w:rPr>
        <w:t xml:space="preserve">Nové elity pro Sýrii – program stipendií vlády České republiky syrským uprchlíkům“, </w:t>
      </w:r>
      <w:r w:rsidRPr="006720AE">
        <w:rPr>
          <w:rFonts w:asciiTheme="majorHAnsi" w:hAnsiTheme="majorHAnsi"/>
        </w:rPr>
        <w:t>na jehož základě ČR poskytne stipendia ke studiu 20 mladým Syřanům.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528 ze dne 1. července 2015</w:t>
      </w:r>
      <w:r w:rsidRPr="006720AE">
        <w:rPr>
          <w:rFonts w:asciiTheme="majorHAnsi" w:hAnsiTheme="majorHAnsi"/>
        </w:rPr>
        <w:t xml:space="preserve"> vláda projednala a vzala na vědomí „</w:t>
      </w:r>
      <w:r w:rsidRPr="006720AE">
        <w:rPr>
          <w:rFonts w:asciiTheme="majorHAnsi" w:hAnsiTheme="majorHAnsi"/>
          <w:b/>
        </w:rPr>
        <w:t>Zprávu o situaci v oblasti migrace a integrace cizinců na území České republiky v roce 2014“</w:t>
      </w:r>
      <w:r w:rsidRPr="006720AE">
        <w:rPr>
          <w:rFonts w:asciiTheme="majorHAnsi" w:hAnsiTheme="majorHAnsi"/>
        </w:rPr>
        <w:t xml:space="preserve">. Zároveň pověřila předsedu vlády předložit zprávu předsedovi Poslanecké sněmovny Parlamentu ČR. Dne 2. září 2015 projednal zprávu výbor pro bezpečnost, který jí svým usnesením č. 85 vzal na vědomí a pověřil předsedu výboru pro bezpečnost, aby zmíněné usnesení předložil předsedovi Poslanecké sněmovny Parlamentu ČR. 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621 dne 29. července 2015</w:t>
      </w:r>
      <w:r w:rsidRPr="006720AE">
        <w:rPr>
          <w:rFonts w:asciiTheme="majorHAnsi" w:hAnsiTheme="majorHAnsi"/>
        </w:rPr>
        <w:t xml:space="preserve"> </w:t>
      </w:r>
      <w:r w:rsidRPr="006720AE">
        <w:rPr>
          <w:rFonts w:asciiTheme="majorHAnsi" w:hAnsiTheme="majorHAnsi"/>
          <w:b/>
        </w:rPr>
        <w:t xml:space="preserve">o Strategii migrační politiky České republiky a o Komunikační strategii České republiky k migraci </w:t>
      </w:r>
      <w:r w:rsidRPr="006720AE">
        <w:rPr>
          <w:rFonts w:asciiTheme="majorHAnsi" w:hAnsiTheme="majorHAnsi"/>
        </w:rPr>
        <w:t xml:space="preserve">vláda přijala materiál, jenž definuje klíčové zásady migrační politiky českého státu, stanovuje cíle v dané oblasti a uvádí konkrétní nástroje sloužící k jejich dosažení. Realizace Strategie je koordinována prostřednictvím Koordinačního orgánu pro řízení ochrany státních hranic a migraci, který nově zasedá i na úrovni členů vlády. </w:t>
      </w:r>
    </w:p>
    <w:p w:rsidR="006720AE" w:rsidRPr="006720AE" w:rsidRDefault="006720AE" w:rsidP="006720AE">
      <w:pPr>
        <w:spacing w:after="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 č. 574 ze dne 13. července 2015</w:t>
      </w:r>
      <w:r w:rsidRPr="006720AE">
        <w:rPr>
          <w:rFonts w:asciiTheme="majorHAnsi" w:hAnsiTheme="majorHAnsi"/>
        </w:rPr>
        <w:t xml:space="preserve"> o opatřeních v souvislosti s migrační situací v Evropské unii a v České republice v návaznosti na závěry Evropské rady ze dne 25. a 26. června 2015</w:t>
      </w:r>
    </w:p>
    <w:p w:rsidR="006720AE" w:rsidRPr="006720AE" w:rsidRDefault="006720AE" w:rsidP="006720AE">
      <w:pPr>
        <w:spacing w:after="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</w:rPr>
        <w:t>a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 č. 683 ze dne 20. srpna 2015</w:t>
      </w:r>
      <w:r w:rsidRPr="006720AE">
        <w:rPr>
          <w:rFonts w:asciiTheme="majorHAnsi" w:hAnsiTheme="majorHAnsi"/>
        </w:rPr>
        <w:t xml:space="preserve"> k návrhům opatření v souvislosti s migrační situací v České republice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  <w:b/>
        </w:rPr>
      </w:pPr>
      <w:r w:rsidRPr="006720AE">
        <w:rPr>
          <w:rFonts w:asciiTheme="majorHAnsi" w:hAnsiTheme="majorHAnsi"/>
        </w:rPr>
        <w:t xml:space="preserve">Těmito dvěma usneseními byly </w:t>
      </w:r>
      <w:r w:rsidRPr="006720AE">
        <w:rPr>
          <w:rFonts w:asciiTheme="majorHAnsi" w:hAnsiTheme="majorHAnsi"/>
          <w:b/>
        </w:rPr>
        <w:t>navýšeny finanční i personální kapacity věcně příslušných státních orgánů, rozšířena kapacita zařízení pro zajištění cizinců i kapacity uprchlických zařízení a zadány úkoly ve věci aktualizace Koncepce integrace cizinců a Státního integračního programu pro osoby s udělenou mezinárodní ochranou.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912 ze dne 9. listopadu 2015</w:t>
      </w:r>
      <w:r w:rsidRPr="006720AE">
        <w:rPr>
          <w:rFonts w:asciiTheme="majorHAnsi" w:hAnsiTheme="majorHAnsi"/>
        </w:rPr>
        <w:t xml:space="preserve"> vláda schválila pilotní projekt</w:t>
      </w:r>
      <w:r w:rsidRPr="006720AE">
        <w:rPr>
          <w:rFonts w:asciiTheme="majorHAnsi" w:hAnsiTheme="majorHAnsi"/>
          <w:b/>
        </w:rPr>
        <w:t xml:space="preserve"> Zvláštní postupy pro vysoce kvalifikované zaměstnance z Ukrajiny</w:t>
      </w:r>
      <w:r w:rsidRPr="006720AE">
        <w:rPr>
          <w:rFonts w:asciiTheme="majorHAnsi" w:hAnsiTheme="majorHAnsi"/>
        </w:rPr>
        <w:t>, který zrychluje proces pracovní migrace vybraných osob z Ukrajiny.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954 ze dne 20. listopadu 2015</w:t>
      </w:r>
      <w:r w:rsidRPr="006720AE">
        <w:rPr>
          <w:rFonts w:asciiTheme="majorHAnsi" w:hAnsiTheme="majorHAnsi"/>
        </w:rPr>
        <w:t xml:space="preserve"> vláda schválila „</w:t>
      </w:r>
      <w:r w:rsidRPr="006720AE">
        <w:rPr>
          <w:rFonts w:asciiTheme="majorHAnsi" w:hAnsiTheme="majorHAnsi"/>
          <w:b/>
        </w:rPr>
        <w:t>Státní integrační program pro osoby s udělenou mezinárodní ochranou v roce 2016 a v letech následujících“</w:t>
      </w:r>
      <w:r w:rsidRPr="006720AE">
        <w:rPr>
          <w:rFonts w:asciiTheme="majorHAnsi" w:hAnsiTheme="majorHAnsi"/>
        </w:rPr>
        <w:t>, který</w:t>
      </w:r>
      <w:r w:rsidRPr="006720AE">
        <w:rPr>
          <w:rFonts w:asciiTheme="majorHAnsi" w:hAnsiTheme="majorHAnsi"/>
          <w:b/>
        </w:rPr>
        <w:t xml:space="preserve"> </w:t>
      </w:r>
      <w:r w:rsidRPr="006720AE">
        <w:rPr>
          <w:rFonts w:asciiTheme="majorHAnsi" w:hAnsiTheme="majorHAnsi"/>
        </w:rPr>
        <w:t xml:space="preserve">upravuje program v gesci Ministerstva vnitra na další období v reakci na odhadovaný vývoj žádostí o mezinárodní ochranu v kontextu aktuální migrační situace v Evropě. 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955 ze dne 20. listopadu 2015</w:t>
      </w:r>
      <w:r w:rsidRPr="006720AE">
        <w:rPr>
          <w:rFonts w:asciiTheme="majorHAnsi" w:hAnsiTheme="majorHAnsi"/>
        </w:rPr>
        <w:t xml:space="preserve"> vláda schválila „</w:t>
      </w:r>
      <w:r w:rsidRPr="006720AE">
        <w:rPr>
          <w:rFonts w:asciiTheme="majorHAnsi" w:hAnsiTheme="majorHAnsi"/>
          <w:b/>
        </w:rPr>
        <w:t>Koncepci Ministerstva vnitra pro asistenci uprchlíkům a státům pod silnými migračními tlaky“</w:t>
      </w:r>
      <w:r w:rsidRPr="006720AE">
        <w:rPr>
          <w:rFonts w:asciiTheme="majorHAnsi" w:hAnsiTheme="majorHAnsi"/>
        </w:rPr>
        <w:t>, která formuluje obecný rámec, v němž Ministerstvo vnitra provádí a do budoucna bude provádět své aktivity v této oblasti.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956</w:t>
      </w:r>
      <w:r w:rsidRPr="006720AE">
        <w:rPr>
          <w:rFonts w:asciiTheme="majorHAnsi" w:hAnsiTheme="majorHAnsi"/>
          <w:b/>
          <w:u w:val="single"/>
        </w:rPr>
        <w:t xml:space="preserve"> </w:t>
      </w:r>
      <w:r w:rsidRPr="006720AE">
        <w:rPr>
          <w:rFonts w:asciiTheme="majorHAnsi" w:hAnsiTheme="majorHAnsi"/>
          <w:u w:val="single"/>
        </w:rPr>
        <w:t>ze dne 20. listopadu 2015</w:t>
      </w:r>
      <w:r w:rsidRPr="006720AE">
        <w:rPr>
          <w:rFonts w:asciiTheme="majorHAnsi" w:hAnsiTheme="majorHAnsi"/>
        </w:rPr>
        <w:t xml:space="preserve"> vláda schválila </w:t>
      </w:r>
      <w:r w:rsidRPr="006720AE">
        <w:rPr>
          <w:rFonts w:asciiTheme="majorHAnsi" w:hAnsiTheme="majorHAnsi"/>
          <w:b/>
        </w:rPr>
        <w:t>zřízení Stálého zdravotně humanitárního programu MEDEVAC</w:t>
      </w:r>
      <w:r w:rsidRPr="006720AE">
        <w:rPr>
          <w:rFonts w:asciiTheme="majorHAnsi" w:hAnsiTheme="majorHAnsi"/>
        </w:rPr>
        <w:t xml:space="preserve"> (sloužícího pro evakuace zdravotné postižených osob do ČR), resp. stálou podobu programu, včetně využití finančních prostředků na jeho realizaci ve výši 60 mil. Kč každoročně z rozpočtové kapitoly Ministerstva vnitra.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958 ze dne 20. listopadu 2015</w:t>
      </w:r>
      <w:r w:rsidRPr="006720AE">
        <w:rPr>
          <w:rFonts w:asciiTheme="majorHAnsi" w:hAnsiTheme="majorHAnsi"/>
        </w:rPr>
        <w:t xml:space="preserve"> vláda schválila</w:t>
      </w:r>
      <w:r w:rsidRPr="006720AE">
        <w:rPr>
          <w:rFonts w:asciiTheme="majorHAnsi" w:hAnsiTheme="majorHAnsi"/>
          <w:b/>
        </w:rPr>
        <w:t xml:space="preserve"> poskytnutí dalších peněžních darů do zahraničí k realizaci Programu Ministerstva vnitra na asistenci uprchlíkům v regionech původu a prevenci velkých migračních pohybů v roce 2015.</w:t>
      </w:r>
      <w:r w:rsidRPr="006720AE">
        <w:rPr>
          <w:rFonts w:asciiTheme="majorHAnsi" w:hAnsiTheme="majorHAnsi"/>
        </w:rPr>
        <w:t xml:space="preserve"> Peněžní dary jsou určeny na rozšíření kapacity uprchlického tábora úřadu vysokého komisaře OSN pro uprchlíky (UNHCR) </w:t>
      </w:r>
      <w:proofErr w:type="spellStart"/>
      <w:r w:rsidRPr="006720AE">
        <w:rPr>
          <w:rFonts w:asciiTheme="majorHAnsi" w:hAnsiTheme="majorHAnsi"/>
        </w:rPr>
        <w:t>Ashti</w:t>
      </w:r>
      <w:proofErr w:type="spellEnd"/>
      <w:r w:rsidRPr="006720AE">
        <w:rPr>
          <w:rFonts w:asciiTheme="majorHAnsi" w:hAnsiTheme="majorHAnsi"/>
        </w:rPr>
        <w:t xml:space="preserve"> ve východní části iráckého Kurdistánu, na Regionální program ochrany a rozvoje EU pro severní Afriku a na posílení srbského migračního a azylového systému.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lastRenderedPageBreak/>
        <w:t>Usnesením č. 962 ze dne 20. listopadu 2015</w:t>
      </w:r>
      <w:r w:rsidRPr="006720AE">
        <w:rPr>
          <w:rFonts w:asciiTheme="majorHAnsi" w:hAnsiTheme="majorHAnsi"/>
        </w:rPr>
        <w:t xml:space="preserve"> vláda schválila</w:t>
      </w:r>
      <w:r w:rsidRPr="006720AE">
        <w:rPr>
          <w:rFonts w:asciiTheme="majorHAnsi" w:hAnsiTheme="majorHAnsi"/>
          <w:b/>
        </w:rPr>
        <w:t xml:space="preserve"> zajištění finančních prostředků na pokračování asistence při přesídlení krajanů v roce 2016 a informaci o průběhu asistence přesídleným krajanům ve 2. pololetí roku 2015.</w:t>
      </w:r>
    </w:p>
    <w:p w:rsidR="006720AE" w:rsidRPr="006720AE" w:rsidRDefault="006720AE" w:rsidP="006720AE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/>
          <w:u w:val="single"/>
        </w:rPr>
        <w:t>Usnesením č. 1052 ze dne 14. prosince 2015</w:t>
      </w:r>
      <w:r w:rsidRPr="006720AE">
        <w:rPr>
          <w:rFonts w:asciiTheme="majorHAnsi" w:hAnsiTheme="majorHAnsi"/>
        </w:rPr>
        <w:t xml:space="preserve"> vláda schválila</w:t>
      </w:r>
      <w:r w:rsidRPr="006720AE">
        <w:rPr>
          <w:rFonts w:asciiTheme="majorHAnsi" w:hAnsiTheme="majorHAnsi"/>
          <w:b/>
        </w:rPr>
        <w:t xml:space="preserve"> realizaci přesídlení 153 osob irácké státní příslušnosti z Irácké republiky a Libanonu do České republiky na základě žádosti Nadačního fondu Generace 21.</w:t>
      </w:r>
      <w:r w:rsidRPr="006720AE">
        <w:rPr>
          <w:rFonts w:asciiTheme="majorHAnsi" w:hAnsiTheme="majorHAnsi"/>
        </w:rPr>
        <w:t xml:space="preserve"> V rámci realizace tohoto přesídlovacího programu přesídlí ČR, za úzké spolupráce s Nadačním Fondem Generace 21, 130 vnitřních uprchlíků z oblasti iráckého Kurdistánu a 23 iráckých uprchlíků z Libanonu do ČR. Celkem jde o 39 rodin.</w:t>
      </w:r>
    </w:p>
    <w:p w:rsidR="006720AE" w:rsidRPr="006720AE" w:rsidRDefault="006720AE" w:rsidP="006720AE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720AE">
        <w:rPr>
          <w:rFonts w:asciiTheme="majorHAnsi" w:hAnsiTheme="majorHAnsi"/>
        </w:rPr>
        <w:br w:type="page"/>
      </w:r>
    </w:p>
    <w:p w:rsidR="00E445D6" w:rsidRPr="006720AE" w:rsidRDefault="00E445D6" w:rsidP="00417DBC">
      <w:pPr>
        <w:pStyle w:val="Nadpis1"/>
      </w:pPr>
      <w:bookmarkStart w:id="20" w:name="_Toc440627808"/>
      <w:r w:rsidRPr="006720AE">
        <w:lastRenderedPageBreak/>
        <w:t>II. Situace v Evropské unii</w:t>
      </w:r>
      <w:bookmarkEnd w:id="20"/>
    </w:p>
    <w:p w:rsidR="00E445D6" w:rsidRPr="006720AE" w:rsidRDefault="00E445D6" w:rsidP="00DD0F69">
      <w:pPr>
        <w:pStyle w:val="Nadpis2"/>
        <w:spacing w:before="240" w:after="240" w:line="240" w:lineRule="auto"/>
      </w:pPr>
      <w:bookmarkStart w:id="21" w:name="_Toc440627809"/>
      <w:r w:rsidRPr="006720AE">
        <w:t>II.1. Situ</w:t>
      </w:r>
      <w:r w:rsidR="00DD0F69" w:rsidRPr="006720AE">
        <w:t>ace v oblasti nelegální migrace</w:t>
      </w:r>
      <w:bookmarkEnd w:id="21"/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Během roku 2015 došlo k výrazným změnám v oblasti nelegální migrace. Došlo k výraznému nárůstu objemu migračního </w:t>
      </w:r>
      <w:r w:rsidR="006F5FD4" w:rsidRPr="006720AE">
        <w:rPr>
          <w:rFonts w:asciiTheme="majorHAnsi" w:hAnsiTheme="majorHAnsi" w:cs="Arial"/>
        </w:rPr>
        <w:t>tok</w:t>
      </w:r>
      <w:r w:rsidRPr="006720AE">
        <w:rPr>
          <w:rFonts w:asciiTheme="majorHAnsi" w:hAnsiTheme="majorHAnsi" w:cs="Arial"/>
        </w:rPr>
        <w:t xml:space="preserve">u. </w:t>
      </w:r>
      <w:r w:rsidRPr="006720AE">
        <w:rPr>
          <w:rFonts w:asciiTheme="majorHAnsi" w:hAnsiTheme="majorHAnsi" w:cs="Arial"/>
          <w:b/>
        </w:rPr>
        <w:t>Do EU dorazilo více než 1,1 mil. migrantů.</w:t>
      </w:r>
      <w:r w:rsidRPr="006720AE">
        <w:rPr>
          <w:rFonts w:asciiTheme="majorHAnsi" w:hAnsiTheme="majorHAnsi" w:cs="Arial"/>
        </w:rPr>
        <w:t xml:space="preserve"> Raza</w:t>
      </w:r>
      <w:r w:rsidR="0097208E" w:rsidRPr="006720AE">
        <w:rPr>
          <w:rFonts w:asciiTheme="majorHAnsi" w:hAnsiTheme="majorHAnsi" w:cs="Arial"/>
        </w:rPr>
        <w:t>ntním způsobem se zvýšil počet ne</w:t>
      </w:r>
      <w:r w:rsidRPr="006720AE">
        <w:rPr>
          <w:rFonts w:asciiTheme="majorHAnsi" w:hAnsiTheme="majorHAnsi" w:cs="Arial"/>
        </w:rPr>
        <w:t xml:space="preserve">legálně pobývajících cizích státních příslušníků na území členských států EU. </w:t>
      </w:r>
      <w:r w:rsidRPr="006720AE">
        <w:rPr>
          <w:rFonts w:asciiTheme="majorHAnsi" w:hAnsiTheme="majorHAnsi" w:cs="Arial"/>
          <w:b/>
        </w:rPr>
        <w:t>Mezi migranty dominují občané Afghánistánu, Sýrie, Pákistánu a Iráku.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Z poznatků agentury FRONTEX vyplývá, že více než </w:t>
      </w:r>
      <w:r w:rsidRPr="006720AE">
        <w:rPr>
          <w:rFonts w:asciiTheme="majorHAnsi" w:hAnsiTheme="majorHAnsi" w:cs="Arial"/>
          <w:b/>
        </w:rPr>
        <w:t>90% migrantů využívá kriminálních zprostředkovatelských sítí za účelem vstupu do EU.</w:t>
      </w:r>
      <w:r w:rsidRPr="006720AE">
        <w:rPr>
          <w:rFonts w:asciiTheme="majorHAnsi" w:hAnsiTheme="majorHAnsi" w:cs="Arial"/>
        </w:rPr>
        <w:t xml:space="preserve"> V průběhu roku mimo jiné docházelo k dílčím změnám migračních tras v souvislosti s opatřeními, která jednotlivé členské státy EU postupně zaváděly</w:t>
      </w:r>
      <w:r w:rsidR="006F5FD4" w:rsidRPr="006720AE">
        <w:rPr>
          <w:rFonts w:asciiTheme="majorHAnsi" w:hAnsiTheme="majorHAnsi" w:cs="Arial"/>
        </w:rPr>
        <w:t>,</w:t>
      </w:r>
      <w:r w:rsidRPr="006720AE">
        <w:rPr>
          <w:rFonts w:asciiTheme="majorHAnsi" w:hAnsiTheme="majorHAnsi" w:cs="Arial"/>
        </w:rPr>
        <w:t xml:space="preserve"> a ke změnám významu některých tras všeobecně. Meziročně zásadně vzrostl význam tzv. balkánské trasy, která téměř pětinásobně z hlediska objemu překonala do té doby nejvýznamnější středomořskou trasu.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Mezi druhým a třetím kvartálem došlo k exponenciálnímu nárůstu v objemu nelegální migrace a tyto hodnoty překonaly všechna maxima od samého počátku sběru dat agentur</w:t>
      </w:r>
      <w:r w:rsidR="006F5FD4" w:rsidRPr="006720AE">
        <w:rPr>
          <w:rFonts w:asciiTheme="majorHAnsi" w:hAnsiTheme="majorHAnsi" w:cs="Arial"/>
        </w:rPr>
        <w:t>ou</w:t>
      </w:r>
      <w:r w:rsidRPr="006720AE">
        <w:rPr>
          <w:rFonts w:asciiTheme="majorHAnsi" w:hAnsiTheme="majorHAnsi" w:cs="Arial"/>
        </w:rPr>
        <w:t xml:space="preserve"> FRONTEX. </w:t>
      </w:r>
      <w:r w:rsidRPr="006720AE">
        <w:rPr>
          <w:rFonts w:asciiTheme="majorHAnsi" w:hAnsiTheme="majorHAnsi" w:cs="Arial"/>
          <w:b/>
        </w:rPr>
        <w:t xml:space="preserve">V oblasti nelegálního překročení vnějších hranic EU došlo meziročně </w:t>
      </w:r>
      <w:r w:rsidR="00410B9C" w:rsidRPr="006720AE">
        <w:rPr>
          <w:rFonts w:asciiTheme="majorHAnsi" w:hAnsiTheme="majorHAnsi" w:cs="Arial"/>
          <w:b/>
        </w:rPr>
        <w:t xml:space="preserve">mezi druhým a třetím kvartálem </w:t>
      </w:r>
      <w:r w:rsidRPr="006720AE">
        <w:rPr>
          <w:rFonts w:asciiTheme="majorHAnsi" w:hAnsiTheme="majorHAnsi" w:cs="Arial"/>
          <w:b/>
        </w:rPr>
        <w:t>2014/2015 k nárůstu o téměř 450</w:t>
      </w:r>
      <w:r w:rsidR="00410B9C" w:rsidRPr="006720AE">
        <w:rPr>
          <w:rFonts w:asciiTheme="majorHAnsi" w:hAnsiTheme="majorHAnsi" w:cs="Arial"/>
          <w:b/>
        </w:rPr>
        <w:t> </w:t>
      </w:r>
      <w:r w:rsidRPr="006720AE">
        <w:rPr>
          <w:rFonts w:asciiTheme="majorHAnsi" w:hAnsiTheme="majorHAnsi" w:cs="Arial"/>
          <w:b/>
        </w:rPr>
        <w:t>%</w:t>
      </w:r>
      <w:r w:rsidRPr="006720AE">
        <w:rPr>
          <w:rFonts w:asciiTheme="majorHAnsi" w:hAnsiTheme="majorHAnsi" w:cs="Arial"/>
        </w:rPr>
        <w:t>, z 112 000 na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617 000 případů. Jedním ze základních problémů zůstává sekund</w:t>
      </w:r>
      <w:r w:rsidR="00410B9C" w:rsidRPr="006720AE">
        <w:rPr>
          <w:rFonts w:asciiTheme="majorHAnsi" w:hAnsiTheme="majorHAnsi" w:cs="Arial"/>
        </w:rPr>
        <w:t>ární migrační pohyb migrantů po </w:t>
      </w:r>
      <w:r w:rsidRPr="006720AE">
        <w:rPr>
          <w:rFonts w:asciiTheme="majorHAnsi" w:hAnsiTheme="majorHAnsi" w:cs="Arial"/>
        </w:rPr>
        <w:t>vstupu na území EU a efektivní návratová politika.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Koncem listopadu 2015 </w:t>
      </w:r>
      <w:r w:rsidR="00C33874" w:rsidRPr="006720AE">
        <w:rPr>
          <w:rFonts w:asciiTheme="majorHAnsi" w:hAnsiTheme="majorHAnsi" w:cs="Arial"/>
        </w:rPr>
        <w:t>došlo k </w:t>
      </w:r>
      <w:r w:rsidRPr="006720AE">
        <w:rPr>
          <w:rFonts w:asciiTheme="majorHAnsi" w:hAnsiTheme="majorHAnsi" w:cs="Arial"/>
        </w:rPr>
        <w:t>dočasné úlevě tlaku na vnějších hranicích EU</w:t>
      </w:r>
      <w:r w:rsidR="00C33874" w:rsidRPr="006720AE">
        <w:rPr>
          <w:rFonts w:asciiTheme="majorHAnsi" w:hAnsiTheme="majorHAnsi" w:cs="Arial"/>
        </w:rPr>
        <w:t xml:space="preserve"> především z důvodu zhoršení počasí</w:t>
      </w:r>
      <w:r w:rsidRPr="006720AE">
        <w:rPr>
          <w:rFonts w:asciiTheme="majorHAnsi" w:hAnsiTheme="majorHAnsi" w:cs="Arial"/>
        </w:rPr>
        <w:t>. Na centrální Středomořské trase počet odjezdů z Libye v listopadu klesal. Tento trend odpovídá sezónnímu zimnímu poklesu pozorovanému již v předchozích letech. Zpravodajství uvádí, že migranti stále přijíždějí do Libye ve vysokých počtech a že převaděčské sítě jsou stále dosti aktivní. Ve světle této skutečnosti lze očekávat oživení migračních toků v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prvních měsících roku 2016 (navzdory kritickým bezpečnostním podmínkám v Libyi).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V rámci EU rozhodla švédská vláda v listopadu o znovu zavedení kontrol na vnitřních hranicích Schengenu</w:t>
      </w:r>
      <w:r w:rsidRPr="006720AE">
        <w:rPr>
          <w:rFonts w:asciiTheme="majorHAnsi" w:hAnsiTheme="majorHAnsi" w:cs="Arial"/>
        </w:rPr>
        <w:t xml:space="preserve"> a zavedla opatření k omezení počtu žádostí o </w:t>
      </w:r>
      <w:r w:rsidR="00972F3B" w:rsidRPr="006720AE">
        <w:rPr>
          <w:rFonts w:asciiTheme="majorHAnsi" w:hAnsiTheme="majorHAnsi" w:cs="Arial"/>
        </w:rPr>
        <w:t>mezinárodní ochranu v </w:t>
      </w:r>
      <w:r w:rsidRPr="006720AE">
        <w:rPr>
          <w:rFonts w:asciiTheme="majorHAnsi" w:hAnsiTheme="majorHAnsi" w:cs="Arial"/>
        </w:rPr>
        <w:t>zemi z důvodu nedostatku přijímacích zařízení v mnoha oblastech. Vzhledem k obrovskému počtu uprchlíků, kteří prohlašují, že jsou nezletilí, zavedlo Švédsko mimo jiné opatření, která mají prověřit pravost těchto prohlášení.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 xml:space="preserve">Opatření přijatá </w:t>
      </w:r>
      <w:r w:rsidR="00855638" w:rsidRPr="006720AE">
        <w:rPr>
          <w:rFonts w:asciiTheme="majorHAnsi" w:hAnsiTheme="majorHAnsi" w:cs="Arial"/>
          <w:b/>
        </w:rPr>
        <w:t>dalšími</w:t>
      </w:r>
      <w:r w:rsidRPr="006720AE">
        <w:rPr>
          <w:rFonts w:asciiTheme="majorHAnsi" w:hAnsiTheme="majorHAnsi" w:cs="Arial"/>
          <w:b/>
        </w:rPr>
        <w:t xml:space="preserve"> členskými státy EU</w:t>
      </w:r>
      <w:r w:rsidR="00855638" w:rsidRPr="006720AE">
        <w:rPr>
          <w:rFonts w:asciiTheme="majorHAnsi" w:hAnsiTheme="majorHAnsi" w:cs="Arial"/>
          <w:b/>
        </w:rPr>
        <w:t xml:space="preserve"> </w:t>
      </w:r>
      <w:r w:rsidR="00855638" w:rsidRPr="006720AE">
        <w:rPr>
          <w:rFonts w:asciiTheme="majorHAnsi" w:hAnsiTheme="majorHAnsi" w:cs="Arial"/>
        </w:rPr>
        <w:t>(</w:t>
      </w:r>
      <w:r w:rsidR="00CA2CA7" w:rsidRPr="006720AE">
        <w:rPr>
          <w:rFonts w:asciiTheme="majorHAnsi" w:hAnsiTheme="majorHAnsi" w:cs="Arial"/>
        </w:rPr>
        <w:t>Slovinskem</w:t>
      </w:r>
      <w:r w:rsidR="00855638" w:rsidRPr="006720AE">
        <w:rPr>
          <w:rFonts w:asciiTheme="majorHAnsi" w:hAnsiTheme="majorHAnsi" w:cs="Arial"/>
        </w:rPr>
        <w:t>, Rakous</w:t>
      </w:r>
      <w:r w:rsidR="00CA2CA7" w:rsidRPr="006720AE">
        <w:rPr>
          <w:rFonts w:asciiTheme="majorHAnsi" w:hAnsiTheme="majorHAnsi" w:cs="Arial"/>
        </w:rPr>
        <w:t>kem, Německem</w:t>
      </w:r>
      <w:r w:rsidR="006F645B" w:rsidRPr="006720AE">
        <w:rPr>
          <w:rFonts w:asciiTheme="majorHAnsi" w:hAnsiTheme="majorHAnsi" w:cs="Arial"/>
        </w:rPr>
        <w:t xml:space="preserve"> a </w:t>
      </w:r>
      <w:r w:rsidR="00CA2CA7" w:rsidRPr="006720AE">
        <w:rPr>
          <w:rFonts w:asciiTheme="majorHAnsi" w:hAnsiTheme="majorHAnsi" w:cs="Arial"/>
        </w:rPr>
        <w:t>Dánskem</w:t>
      </w:r>
      <w:r w:rsidR="00855638" w:rsidRPr="006720AE">
        <w:rPr>
          <w:rFonts w:asciiTheme="majorHAnsi" w:hAnsiTheme="majorHAnsi" w:cs="Arial"/>
        </w:rPr>
        <w:t>)</w:t>
      </w:r>
      <w:r w:rsidRPr="006720AE">
        <w:rPr>
          <w:rFonts w:asciiTheme="majorHAnsi" w:hAnsiTheme="majorHAnsi" w:cs="Arial"/>
        </w:rPr>
        <w:t xml:space="preserve"> n</w:t>
      </w:r>
      <w:r w:rsidR="004337F3" w:rsidRPr="006720AE">
        <w:rPr>
          <w:rFonts w:asciiTheme="majorHAnsi" w:hAnsiTheme="majorHAnsi" w:cs="Arial"/>
        </w:rPr>
        <w:t>ebo zeměmi Západního Balkánu ke </w:t>
      </w:r>
      <w:r w:rsidRPr="006720AE">
        <w:rPr>
          <w:rFonts w:asciiTheme="majorHAnsi" w:hAnsiTheme="majorHAnsi" w:cs="Arial"/>
        </w:rPr>
        <w:t xml:space="preserve">znovuzavedení hraničních kontrol, zlepšení dohledu (včetně plotů), nebo rychlé navrácení migrantů (kteří nejsou ze Sýrie, Afghánistánu nebo Iráku) </w:t>
      </w:r>
      <w:r w:rsidRPr="006720AE">
        <w:rPr>
          <w:rFonts w:asciiTheme="majorHAnsi" w:hAnsiTheme="majorHAnsi" w:cs="Arial"/>
          <w:b/>
        </w:rPr>
        <w:t>zpomalila pohyb nelegálních migrantů, ale dopad na pokles celkového počtu nelegálních přechodů hranic je omezený.</w:t>
      </w:r>
    </w:p>
    <w:p w:rsidR="00E445D6" w:rsidRPr="006720AE" w:rsidRDefault="00E445D6" w:rsidP="002B5696">
      <w:pPr>
        <w:pStyle w:val="Nadpis3"/>
        <w:spacing w:before="240" w:after="120" w:line="240" w:lineRule="auto"/>
      </w:pPr>
      <w:bookmarkStart w:id="22" w:name="_Toc440627810"/>
      <w:r w:rsidRPr="006720AE">
        <w:t>II.1.1. Nelegální překročení vnějších hranic EU</w:t>
      </w:r>
      <w:bookmarkEnd w:id="22"/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Rok 2015 byl zcela zlomovým obdobím ve všech oblastech spojených s nelegální migrací včetně oblasti nelegálního překročení hranic EU. Tuto skutečnost dokazuje markantní nárůst počtu nelegálního překročení hranic. Mezi lednem až listopadem 2015</w:t>
      </w:r>
      <w:r w:rsidR="00410B9C" w:rsidRPr="006720AE">
        <w:rPr>
          <w:rStyle w:val="Znakapoznpodarou"/>
          <w:rFonts w:asciiTheme="majorHAnsi" w:hAnsiTheme="majorHAnsi" w:cs="Arial"/>
        </w:rPr>
        <w:footnoteReference w:id="10"/>
      </w:r>
      <w:r w:rsidRPr="006720AE">
        <w:rPr>
          <w:rFonts w:asciiTheme="majorHAnsi" w:hAnsiTheme="majorHAnsi" w:cs="Arial"/>
        </w:rPr>
        <w:t xml:space="preserve"> hlásily členské státy</w:t>
      </w:r>
      <w:r w:rsidR="004337F3" w:rsidRPr="006720AE">
        <w:rPr>
          <w:rFonts w:asciiTheme="majorHAnsi" w:hAnsiTheme="majorHAnsi" w:cs="Arial"/>
        </w:rPr>
        <w:t xml:space="preserve"> EU a </w:t>
      </w:r>
      <w:r w:rsidRPr="006720AE">
        <w:rPr>
          <w:rFonts w:asciiTheme="majorHAnsi" w:hAnsiTheme="majorHAnsi" w:cs="Arial"/>
        </w:rPr>
        <w:t xml:space="preserve">asociované země Schengenu </w:t>
      </w:r>
      <w:r w:rsidRPr="006720AE">
        <w:rPr>
          <w:rFonts w:asciiTheme="majorHAnsi" w:hAnsiTheme="majorHAnsi" w:cs="Arial"/>
          <w:b/>
        </w:rPr>
        <w:t>1 553 614 odhalení nelegálního překročení hranic</w:t>
      </w:r>
      <w:r w:rsidRPr="006720AE">
        <w:rPr>
          <w:rFonts w:asciiTheme="majorHAnsi" w:hAnsiTheme="majorHAnsi" w:cs="Arial"/>
        </w:rPr>
        <w:t xml:space="preserve"> mezi hraničními přechody, což představuje nárůst o 498% (ve stejném období roku 2014 se jednalo o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259 845 odhalení).</w:t>
      </w:r>
    </w:p>
    <w:p w:rsidR="00E445D6" w:rsidRPr="006720AE" w:rsidRDefault="00E445D6" w:rsidP="00B620C2">
      <w:pPr>
        <w:spacing w:after="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noProof/>
          <w:lang w:eastAsia="cs-CZ"/>
        </w:rPr>
        <w:lastRenderedPageBreak/>
        <w:drawing>
          <wp:inline distT="0" distB="0" distL="0" distR="0">
            <wp:extent cx="5550011" cy="39257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3" cy="39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C2" w:rsidRPr="006720AE" w:rsidRDefault="00B620C2" w:rsidP="00B620C2">
      <w:pPr>
        <w:spacing w:after="120" w:line="240" w:lineRule="auto"/>
        <w:ind w:left="6372" w:firstLine="708"/>
        <w:jc w:val="center"/>
        <w:rPr>
          <w:rFonts w:asciiTheme="majorHAnsi" w:hAnsiTheme="majorHAnsi" w:cs="Arial"/>
          <w:sz w:val="12"/>
          <w:szCs w:val="12"/>
        </w:rPr>
      </w:pPr>
      <w:r w:rsidRPr="006720AE">
        <w:rPr>
          <w:rFonts w:asciiTheme="majorHAnsi" w:hAnsiTheme="majorHAnsi" w:cs="Arial"/>
          <w:sz w:val="12"/>
          <w:szCs w:val="12"/>
        </w:rPr>
        <w:t>Zdroj: FRONTEX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Největší nárůst byl zaznamenán na hranicích s Tureckem. Tento nárůst byl hlášen z nejvíce ovlivněných oblastí z Egejského moře, kde se nacházejí cílové ostrovy Chios, Lesbos a Samos sloužící jako cílové body pro vstup na území EU. Z ostrovů se dále migranti přeplaví na řeckou pevninu, odkud směřují dále do vnitrozemí. Tuto oblast lze reálně považovat za začátek tzv. balkánské trasy.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Problematickým faktem zůstává, že po opuštění Řecka zamíří migranti dočasně mimo EU přes Makedonii a Srbsko a znovu vstupují na území EU např. v Chorvatsku a tedy opět </w:t>
      </w:r>
      <w:r w:rsidR="0097208E" w:rsidRPr="006720AE">
        <w:rPr>
          <w:rFonts w:asciiTheme="majorHAnsi" w:hAnsiTheme="majorHAnsi" w:cs="Arial"/>
        </w:rPr>
        <w:t>ne</w:t>
      </w:r>
      <w:r w:rsidRPr="006720AE">
        <w:rPr>
          <w:rFonts w:asciiTheme="majorHAnsi" w:hAnsiTheme="majorHAnsi" w:cs="Arial"/>
        </w:rPr>
        <w:t>legálně překračují vnější hranice EU. Mezi případy nelegálního překročení hranic opět dominují občané Sýrie, Afghánistánu a Iráku.</w:t>
      </w:r>
    </w:p>
    <w:p w:rsidR="00E445D6" w:rsidRPr="006720AE" w:rsidRDefault="00E445D6" w:rsidP="00E44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center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Případy nelegálního překročení vnějších hranic EU mezi hraničními přechody za měsíc listopad 2015.</w:t>
      </w:r>
    </w:p>
    <w:p w:rsidR="00E445D6" w:rsidRPr="006720AE" w:rsidRDefault="00E445D6" w:rsidP="00E445D6">
      <w:pPr>
        <w:spacing w:after="120" w:line="240" w:lineRule="auto"/>
        <w:jc w:val="center"/>
        <w:rPr>
          <w:rFonts w:asciiTheme="majorHAnsi" w:hAnsiTheme="majorHAnsi" w:cs="Arial"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3648075" cy="228914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830" cy="229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0C2" w:rsidRPr="006720AE">
        <w:rPr>
          <w:rFonts w:asciiTheme="majorHAnsi" w:hAnsiTheme="majorHAnsi" w:cs="Arial"/>
          <w:sz w:val="12"/>
          <w:szCs w:val="12"/>
        </w:rPr>
        <w:t>zdroj: FRONTEX</w:t>
      </w:r>
    </w:p>
    <w:p w:rsidR="00E445D6" w:rsidRPr="006720AE" w:rsidRDefault="00E445D6" w:rsidP="002B5696">
      <w:pPr>
        <w:pStyle w:val="Nadpis3"/>
        <w:spacing w:before="240" w:after="120" w:line="240" w:lineRule="auto"/>
      </w:pPr>
      <w:bookmarkStart w:id="23" w:name="_Toc440627811"/>
      <w:r w:rsidRPr="006720AE">
        <w:lastRenderedPageBreak/>
        <w:t>II.1.2</w:t>
      </w:r>
      <w:r w:rsidR="002B5696" w:rsidRPr="006720AE">
        <w:t>.</w:t>
      </w:r>
      <w:r w:rsidRPr="006720AE">
        <w:t xml:space="preserve"> Situace na hlavních trasách nelegální migrace do EU</w:t>
      </w:r>
      <w:bookmarkEnd w:id="23"/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Během roku 2015 došlo k výraznému posunu ve významu mezi západobalkánskou trasou, která výrazně posílila v objemu počtu migrant</w:t>
      </w:r>
      <w:r w:rsidR="00410B9C" w:rsidRPr="006720AE">
        <w:rPr>
          <w:rFonts w:asciiTheme="majorHAnsi" w:hAnsiTheme="majorHAnsi" w:cs="Arial"/>
        </w:rPr>
        <w:t>ů</w:t>
      </w:r>
      <w:r w:rsidRPr="006720AE">
        <w:rPr>
          <w:rFonts w:asciiTheme="majorHAnsi" w:hAnsiTheme="majorHAnsi" w:cs="Arial"/>
        </w:rPr>
        <w:t xml:space="preserve"> a centrální středomořskou trasou, která v současné době výrazně zaostává, ačkoliv je počet migrantů na této trase stále velice významný.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Na západobalkánské trase</w:t>
      </w:r>
      <w:r w:rsidRPr="006720AE">
        <w:rPr>
          <w:rFonts w:asciiTheme="majorHAnsi" w:hAnsiTheme="majorHAnsi" w:cs="Arial"/>
        </w:rPr>
        <w:t xml:space="preserve"> </w:t>
      </w:r>
      <w:r w:rsidR="008C4AAE" w:rsidRPr="006720AE">
        <w:rPr>
          <w:rFonts w:asciiTheme="majorHAnsi" w:hAnsiTheme="majorHAnsi" w:cs="Arial"/>
        </w:rPr>
        <w:t xml:space="preserve">na pozemní hranici se Srbskem </w:t>
      </w:r>
      <w:r w:rsidRPr="006720AE">
        <w:rPr>
          <w:rFonts w:asciiTheme="majorHAnsi" w:hAnsiTheme="majorHAnsi" w:cs="Arial"/>
        </w:rPr>
        <w:t xml:space="preserve">bylo v listopadu </w:t>
      </w:r>
      <w:r w:rsidR="008C4AAE" w:rsidRPr="006720AE">
        <w:rPr>
          <w:rFonts w:asciiTheme="majorHAnsi" w:hAnsiTheme="majorHAnsi" w:cs="Arial"/>
        </w:rPr>
        <w:t xml:space="preserve">hlášeno </w:t>
      </w:r>
      <w:r w:rsidRPr="006720AE">
        <w:rPr>
          <w:rFonts w:asciiTheme="majorHAnsi" w:hAnsiTheme="majorHAnsi" w:cs="Arial"/>
        </w:rPr>
        <w:t xml:space="preserve">zadržení 164 027 migrantů, což představuje </w:t>
      </w:r>
      <w:r w:rsidRPr="006720AE">
        <w:rPr>
          <w:rFonts w:asciiTheme="majorHAnsi" w:hAnsiTheme="majorHAnsi" w:cs="Arial"/>
          <w:b/>
        </w:rPr>
        <w:t>pokles o 20</w:t>
      </w:r>
      <w:r w:rsidR="004337F3" w:rsidRPr="006720AE">
        <w:rPr>
          <w:rFonts w:asciiTheme="majorHAnsi" w:hAnsiTheme="majorHAnsi" w:cs="Arial"/>
          <w:b/>
        </w:rPr>
        <w:t xml:space="preserve"> </w:t>
      </w:r>
      <w:r w:rsidRPr="006720AE">
        <w:rPr>
          <w:rFonts w:asciiTheme="majorHAnsi" w:hAnsiTheme="majorHAnsi" w:cs="Arial"/>
          <w:b/>
        </w:rPr>
        <w:t>% ve srovnání s počty hlášenými v říjnu</w:t>
      </w:r>
      <w:r w:rsidRPr="006720AE">
        <w:rPr>
          <w:rFonts w:asciiTheme="majorHAnsi" w:hAnsiTheme="majorHAnsi" w:cs="Arial"/>
        </w:rPr>
        <w:t xml:space="preserve">, kdy byl počet zadržených migrantů 204 825. I přes toto dočasné snížení celkový objem neustále narůstá. V období ledna až listopadu 2015 bylo </w:t>
      </w:r>
      <w:r w:rsidR="00E70FC7" w:rsidRPr="006720AE">
        <w:rPr>
          <w:rFonts w:asciiTheme="majorHAnsi" w:hAnsiTheme="majorHAnsi" w:cs="Arial"/>
        </w:rPr>
        <w:t>zjiště</w:t>
      </w:r>
      <w:r w:rsidRPr="006720AE">
        <w:rPr>
          <w:rFonts w:asciiTheme="majorHAnsi" w:hAnsiTheme="majorHAnsi" w:cs="Arial"/>
        </w:rPr>
        <w:t>no 666 786 migrantů na maďarských a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 xml:space="preserve">chorvatských pozemních hranicích se Srbskem, což je </w:t>
      </w:r>
      <w:r w:rsidR="00E70FC7" w:rsidRPr="006720AE">
        <w:rPr>
          <w:rFonts w:asciiTheme="majorHAnsi" w:hAnsiTheme="majorHAnsi" w:cs="Arial"/>
        </w:rPr>
        <w:t>22násobný nárůst ve srovnání se </w:t>
      </w:r>
      <w:r w:rsidRPr="006720AE">
        <w:rPr>
          <w:rFonts w:asciiTheme="majorHAnsi" w:hAnsiTheme="majorHAnsi" w:cs="Arial"/>
        </w:rPr>
        <w:t xml:space="preserve">stejným obdobím minulého roku (29 979 </w:t>
      </w:r>
      <w:r w:rsidR="00E70FC7" w:rsidRPr="006720AE">
        <w:rPr>
          <w:rFonts w:asciiTheme="majorHAnsi" w:hAnsiTheme="majorHAnsi" w:cs="Arial"/>
        </w:rPr>
        <w:t>zjiště</w:t>
      </w:r>
      <w:r w:rsidRPr="006720AE">
        <w:rPr>
          <w:rFonts w:asciiTheme="majorHAnsi" w:hAnsiTheme="majorHAnsi" w:cs="Arial"/>
        </w:rPr>
        <w:t xml:space="preserve">ní).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Posílení opatření pohraniční kontroly maďarskými orgány mělo za následek podstatné snížení počtu neregulérních migrantů na trase z Řecka přes Srbsko do Maďarska</w:t>
      </w:r>
      <w:r w:rsidRPr="006720AE">
        <w:rPr>
          <w:rFonts w:asciiTheme="majorHAnsi" w:hAnsiTheme="majorHAnsi" w:cs="Arial"/>
        </w:rPr>
        <w:t>. Od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 xml:space="preserve">poloviny září cestovali migranti do Německa přes Chorvatsko a Slovinsko. Přibližně 460 000 migrantů vstoupilo do Chorvatska ze Srbska od počátku krize (zdroj: chorvatské ministerstvo vnitra).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Nelegální přechody hranic ve východním Středomoří dosáhly v listopadu počtu 98 597. To představuje vzhledem k říjnu pokles (říjen: 216 241). </w:t>
      </w:r>
      <w:r w:rsidRPr="006720AE">
        <w:rPr>
          <w:rFonts w:asciiTheme="majorHAnsi" w:hAnsiTheme="majorHAnsi" w:cs="Arial"/>
          <w:b/>
        </w:rPr>
        <w:t>Od ledna do listopadu 2015 záchyt</w:t>
      </w:r>
      <w:r w:rsidR="00410B9C" w:rsidRPr="006720AE">
        <w:rPr>
          <w:rFonts w:asciiTheme="majorHAnsi" w:hAnsiTheme="majorHAnsi" w:cs="Arial"/>
          <w:b/>
        </w:rPr>
        <w:t>y</w:t>
      </w:r>
      <w:r w:rsidRPr="006720AE">
        <w:rPr>
          <w:rFonts w:asciiTheme="majorHAnsi" w:hAnsiTheme="majorHAnsi" w:cs="Arial"/>
          <w:b/>
        </w:rPr>
        <w:t xml:space="preserve"> dosáhl</w:t>
      </w:r>
      <w:r w:rsidR="00410B9C" w:rsidRPr="006720AE">
        <w:rPr>
          <w:rFonts w:asciiTheme="majorHAnsi" w:hAnsiTheme="majorHAnsi" w:cs="Arial"/>
          <w:b/>
        </w:rPr>
        <w:t>y</w:t>
      </w:r>
      <w:r w:rsidRPr="006720AE">
        <w:rPr>
          <w:rFonts w:asciiTheme="majorHAnsi" w:hAnsiTheme="majorHAnsi" w:cs="Arial"/>
          <w:b/>
        </w:rPr>
        <w:t xml:space="preserve"> počtu 716 202. To představuje 15násobný nárůst ve srovnání s celým rokem 2014</w:t>
      </w:r>
      <w:r w:rsidRPr="006720AE">
        <w:rPr>
          <w:rFonts w:asciiTheme="majorHAnsi" w:hAnsiTheme="majorHAnsi" w:cs="Arial"/>
        </w:rPr>
        <w:t xml:space="preserve">, kdy počet </w:t>
      </w:r>
      <w:r w:rsidR="006720AE" w:rsidRPr="006720AE">
        <w:rPr>
          <w:rFonts w:asciiTheme="majorHAnsi" w:hAnsiTheme="majorHAnsi" w:cs="Arial"/>
        </w:rPr>
        <w:t>zjiště</w:t>
      </w:r>
      <w:r w:rsidRPr="006720AE">
        <w:rPr>
          <w:rFonts w:asciiTheme="majorHAnsi" w:hAnsiTheme="majorHAnsi" w:cs="Arial"/>
        </w:rPr>
        <w:t>ných migrantů byl 48 135. Nárůst je hlavně spojen s nárůstem počtu migrantů přicházejících ze Sýrie (59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%), Afghánistánu (23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%) a Iráku (8</w:t>
      </w:r>
      <w:r w:rsidR="004337F3" w:rsidRPr="006720AE">
        <w:rPr>
          <w:rFonts w:asciiTheme="majorHAnsi" w:hAnsiTheme="majorHAnsi" w:cs="Arial"/>
        </w:rPr>
        <w:t xml:space="preserve"> </w:t>
      </w:r>
      <w:r w:rsidR="00B2504E" w:rsidRPr="006720AE">
        <w:rPr>
          <w:rFonts w:asciiTheme="majorHAnsi" w:hAnsiTheme="majorHAnsi" w:cs="Arial"/>
        </w:rPr>
        <w:t>%).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Na centrální středomořské trase</w:t>
      </w:r>
      <w:r w:rsidRPr="006720AE">
        <w:rPr>
          <w:rFonts w:asciiTheme="majorHAnsi" w:hAnsiTheme="majorHAnsi" w:cs="Arial"/>
        </w:rPr>
        <w:t xml:space="preserve"> </w:t>
      </w:r>
      <w:r w:rsidR="006720AE" w:rsidRPr="006720AE">
        <w:rPr>
          <w:rFonts w:asciiTheme="majorHAnsi" w:hAnsiTheme="majorHAnsi" w:cs="Arial"/>
        </w:rPr>
        <w:t>počet zjiště</w:t>
      </w:r>
      <w:r w:rsidRPr="006720AE">
        <w:rPr>
          <w:rFonts w:asciiTheme="majorHAnsi" w:hAnsiTheme="majorHAnsi" w:cs="Arial"/>
        </w:rPr>
        <w:t>ní nelegálního překročení vnějších hra</w:t>
      </w:r>
      <w:r w:rsidR="006720AE" w:rsidRPr="006720AE">
        <w:rPr>
          <w:rFonts w:asciiTheme="majorHAnsi" w:hAnsiTheme="majorHAnsi" w:cs="Arial"/>
        </w:rPr>
        <w:t>nic EU poklesl o </w:t>
      </w:r>
      <w:r w:rsidRPr="006720AE">
        <w:rPr>
          <w:rFonts w:asciiTheme="majorHAnsi" w:hAnsiTheme="majorHAnsi" w:cs="Arial"/>
        </w:rPr>
        <w:t>64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 ve srovnání s říjnem 2015. V listopadu bylo hlášeno 3 208 nelegálních přechodů hranic ve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srovnání s 8 916 v říjnu. Mezi lednem až listopadem 2015 počet zadržených migrantů dosáhl 144 300, což ve srovnání s 163 932 migranty zadrženými ve stejném období 2014 představuje pokles o 12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 xml:space="preserve">%.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 w:cs="Arial"/>
          <w:b/>
        </w:rPr>
        <w:t>Analýza podle tras ukazuje všeobecně klesající trend v listopadu ve srovnání s říjnem</w:t>
      </w:r>
      <w:r w:rsidRPr="006720AE">
        <w:rPr>
          <w:rFonts w:asciiTheme="majorHAnsi" w:hAnsiTheme="majorHAnsi" w:cs="Arial"/>
        </w:rPr>
        <w:t>, s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klesajícími příjezdy z Libye</w:t>
      </w:r>
      <w:r w:rsidR="0097208E" w:rsidRPr="006720AE">
        <w:rPr>
          <w:rStyle w:val="Znakapoznpodarou"/>
          <w:rFonts w:asciiTheme="majorHAnsi" w:hAnsiTheme="majorHAnsi" w:cs="Arial"/>
        </w:rPr>
        <w:footnoteReference w:id="11"/>
      </w:r>
      <w:r w:rsidRPr="006720AE">
        <w:rPr>
          <w:rFonts w:asciiTheme="majorHAnsi" w:hAnsiTheme="majorHAnsi" w:cs="Arial"/>
        </w:rPr>
        <w:t xml:space="preserve"> (-66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%), Egypta (-70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%), Alžírska (-32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%) a Tuniska (-58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 xml:space="preserve">%). </w:t>
      </w:r>
      <w:r w:rsidRPr="006720AE">
        <w:rPr>
          <w:rFonts w:asciiTheme="majorHAnsi" w:hAnsiTheme="majorHAnsi" w:cs="Arial"/>
          <w:b/>
        </w:rPr>
        <w:t>Postupující pokles od září je způsoben počátkem nepříznivého počasí v centrálním Středozemním moři.</w:t>
      </w:r>
    </w:p>
    <w:p w:rsidR="00E445D6" w:rsidRPr="006720AE" w:rsidRDefault="00E445D6" w:rsidP="002B5696">
      <w:pPr>
        <w:pStyle w:val="Nadpis3"/>
        <w:spacing w:before="240" w:after="120" w:line="240" w:lineRule="auto"/>
      </w:pPr>
      <w:bookmarkStart w:id="24" w:name="_Toc440627812"/>
      <w:r w:rsidRPr="006720AE">
        <w:t>II.1.3. Nelegální pobyt</w:t>
      </w:r>
      <w:bookmarkEnd w:id="24"/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Se zvýšením objemu nelegální migrace je nedílně spjat zvýšený výskyt a potažmo detekce nelegálního pobytu na území členských států EU. Mezi druhým a třetím kvartálem roku 2015 </w:t>
      </w:r>
      <w:r w:rsidRPr="006720AE">
        <w:rPr>
          <w:rFonts w:asciiTheme="majorHAnsi" w:hAnsiTheme="majorHAnsi" w:cs="Arial"/>
          <w:b/>
        </w:rPr>
        <w:t xml:space="preserve">došlo k nárůstu počtu odhalených případů </w:t>
      </w:r>
      <w:r w:rsidR="0097208E" w:rsidRPr="006720AE">
        <w:rPr>
          <w:rFonts w:asciiTheme="majorHAnsi" w:hAnsiTheme="majorHAnsi" w:cs="Arial"/>
          <w:b/>
        </w:rPr>
        <w:t>ne</w:t>
      </w:r>
      <w:r w:rsidRPr="006720AE">
        <w:rPr>
          <w:rFonts w:asciiTheme="majorHAnsi" w:hAnsiTheme="majorHAnsi" w:cs="Arial"/>
          <w:b/>
        </w:rPr>
        <w:t xml:space="preserve">legálně pobývajících cizinců na území EU </w:t>
      </w:r>
      <w:r w:rsidR="004337F3" w:rsidRPr="006720AE">
        <w:rPr>
          <w:rFonts w:asciiTheme="majorHAnsi" w:hAnsiTheme="majorHAnsi" w:cs="Arial"/>
          <w:b/>
        </w:rPr>
        <w:t>o </w:t>
      </w:r>
      <w:r w:rsidRPr="006720AE">
        <w:rPr>
          <w:rFonts w:asciiTheme="majorHAnsi" w:hAnsiTheme="majorHAnsi" w:cs="Arial"/>
          <w:b/>
        </w:rPr>
        <w:t>71</w:t>
      </w:r>
      <w:r w:rsidR="004337F3" w:rsidRPr="006720AE">
        <w:rPr>
          <w:rFonts w:asciiTheme="majorHAnsi" w:hAnsiTheme="majorHAnsi" w:cs="Arial"/>
          <w:b/>
        </w:rPr>
        <w:t> </w:t>
      </w:r>
      <w:r w:rsidRPr="006720AE">
        <w:rPr>
          <w:rFonts w:asciiTheme="majorHAnsi" w:hAnsiTheme="majorHAnsi" w:cs="Arial"/>
          <w:b/>
        </w:rPr>
        <w:t>%</w:t>
      </w:r>
      <w:r w:rsidRPr="006720AE">
        <w:rPr>
          <w:rFonts w:asciiTheme="majorHAnsi" w:hAnsiTheme="majorHAnsi" w:cs="Arial"/>
        </w:rPr>
        <w:t xml:space="preserve">. V absolutních hodnotách se jednalo o více než 280 000 případů hlášených v schengenském prostoru EU. 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 xml:space="preserve">Mezi osobami zachycenými pro nelegální pobyt </w:t>
      </w:r>
      <w:r w:rsidR="0097208E" w:rsidRPr="006720AE">
        <w:rPr>
          <w:rFonts w:asciiTheme="majorHAnsi" w:hAnsiTheme="majorHAnsi" w:cs="Arial"/>
          <w:b/>
        </w:rPr>
        <w:t xml:space="preserve">na území členských států EU </w:t>
      </w:r>
      <w:r w:rsidRPr="006720AE">
        <w:rPr>
          <w:rFonts w:asciiTheme="majorHAnsi" w:hAnsiTheme="majorHAnsi" w:cs="Arial"/>
          <w:b/>
        </w:rPr>
        <w:t>dominují občané Sýrie, Afghánistánu a</w:t>
      </w:r>
      <w:r w:rsidR="004337F3" w:rsidRPr="006720AE">
        <w:rPr>
          <w:rFonts w:asciiTheme="majorHAnsi" w:hAnsiTheme="majorHAnsi" w:cs="Arial"/>
          <w:b/>
        </w:rPr>
        <w:t> </w:t>
      </w:r>
      <w:r w:rsidRPr="006720AE">
        <w:rPr>
          <w:rFonts w:asciiTheme="majorHAnsi" w:hAnsiTheme="majorHAnsi" w:cs="Arial"/>
          <w:b/>
        </w:rPr>
        <w:t>Iráku</w:t>
      </w:r>
      <w:r w:rsidRPr="006720AE">
        <w:rPr>
          <w:rFonts w:asciiTheme="majorHAnsi" w:hAnsiTheme="majorHAnsi" w:cs="Arial"/>
        </w:rPr>
        <w:t xml:space="preserve"> v souvislosti s migračním proudem z Turecka.  </w:t>
      </w:r>
      <w:r w:rsidR="00410B9C" w:rsidRPr="006720AE">
        <w:rPr>
          <w:rFonts w:asciiTheme="majorHAnsi" w:hAnsiTheme="majorHAnsi" w:cs="Arial"/>
        </w:rPr>
        <w:t>Mezi státy s největším počtem záchytů nelegálních migrantů, které pro migranty představují cílové země, patří Německo (100 378)</w:t>
      </w:r>
      <w:r w:rsidR="00410B9C" w:rsidRPr="006720AE">
        <w:rPr>
          <w:rFonts w:asciiTheme="majorHAnsi" w:hAnsiTheme="majorHAnsi" w:cs="Arial"/>
          <w:vertAlign w:val="superscript"/>
        </w:rPr>
        <w:footnoteReference w:id="12"/>
      </w:r>
      <w:r w:rsidR="00410B9C" w:rsidRPr="006720AE">
        <w:rPr>
          <w:rFonts w:asciiTheme="majorHAnsi" w:hAnsiTheme="majorHAnsi" w:cs="Arial"/>
        </w:rPr>
        <w:t>, Švédsko (40 429), Francie (31 308), a Rakousko (28 743), na n</w:t>
      </w:r>
      <w:r w:rsidR="006720AE" w:rsidRPr="006720AE">
        <w:rPr>
          <w:rFonts w:asciiTheme="majorHAnsi" w:hAnsiTheme="majorHAnsi" w:cs="Arial"/>
        </w:rPr>
        <w:t>ě</w:t>
      </w:r>
      <w:r w:rsidR="00410B9C" w:rsidRPr="006720AE">
        <w:rPr>
          <w:rFonts w:asciiTheme="majorHAnsi" w:hAnsiTheme="majorHAnsi" w:cs="Arial"/>
        </w:rPr>
        <w:t xml:space="preserve">ž dohromady připadá </w:t>
      </w:r>
      <w:r w:rsidR="00410B9C" w:rsidRPr="006720AE">
        <w:rPr>
          <w:rFonts w:asciiTheme="majorHAnsi" w:hAnsiTheme="majorHAnsi" w:cs="Arial"/>
          <w:b/>
        </w:rPr>
        <w:t>70</w:t>
      </w:r>
      <w:r w:rsidR="006720AE" w:rsidRPr="006720AE">
        <w:rPr>
          <w:rFonts w:asciiTheme="majorHAnsi" w:hAnsiTheme="majorHAnsi" w:cs="Arial"/>
          <w:b/>
        </w:rPr>
        <w:t> </w:t>
      </w:r>
      <w:r w:rsidR="00410B9C" w:rsidRPr="006720AE">
        <w:rPr>
          <w:rFonts w:asciiTheme="majorHAnsi" w:hAnsiTheme="majorHAnsi" w:cs="Arial"/>
          <w:b/>
        </w:rPr>
        <w:t>% všech záchytů EU</w:t>
      </w:r>
      <w:r w:rsidR="00410B9C" w:rsidRPr="006720AE">
        <w:rPr>
          <w:rFonts w:asciiTheme="majorHAnsi" w:hAnsiTheme="majorHAnsi" w:cs="Arial"/>
        </w:rPr>
        <w:t xml:space="preserve">. </w:t>
      </w:r>
      <w:r w:rsidRPr="006720AE">
        <w:rPr>
          <w:rFonts w:asciiTheme="majorHAnsi" w:hAnsiTheme="majorHAnsi" w:cs="Arial"/>
        </w:rPr>
        <w:t>Pro Německo zmíněná hodnota představuje šestinásobný nárůst ve srovnání s předchozím rokem ve stejném období.</w:t>
      </w:r>
    </w:p>
    <w:p w:rsidR="00E445D6" w:rsidRPr="006720AE" w:rsidRDefault="00E445D6" w:rsidP="00E445D6">
      <w:pPr>
        <w:rPr>
          <w:rFonts w:asciiTheme="majorHAnsi" w:hAnsiTheme="majorHAnsi"/>
        </w:rPr>
      </w:pPr>
    </w:p>
    <w:p w:rsidR="00E445D6" w:rsidRPr="006720AE" w:rsidRDefault="00E445D6" w:rsidP="00DD0F69">
      <w:pPr>
        <w:pStyle w:val="Nadpis2"/>
        <w:spacing w:before="240" w:after="240" w:line="240" w:lineRule="auto"/>
      </w:pPr>
      <w:bookmarkStart w:id="25" w:name="_Toc440627813"/>
      <w:r w:rsidRPr="006720AE">
        <w:lastRenderedPageBreak/>
        <w:t>II.2. Situace v oblasti mezinárodní ochrany</w:t>
      </w:r>
      <w:bookmarkEnd w:id="25"/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Během prvních jedenácti měsíců bylo v členských státech </w:t>
      </w:r>
      <w:r w:rsidR="00410B9C" w:rsidRPr="006720AE">
        <w:rPr>
          <w:rFonts w:asciiTheme="majorHAnsi" w:hAnsiTheme="majorHAnsi" w:cs="Arial"/>
        </w:rPr>
        <w:t>EU</w:t>
      </w:r>
      <w:r w:rsidRPr="006720AE">
        <w:rPr>
          <w:rFonts w:asciiTheme="majorHAnsi" w:hAnsiTheme="majorHAnsi" w:cs="Arial"/>
        </w:rPr>
        <w:t xml:space="preserve"> p</w:t>
      </w:r>
      <w:r w:rsidR="00410B9C" w:rsidRPr="006720AE">
        <w:rPr>
          <w:rFonts w:asciiTheme="majorHAnsi" w:hAnsiTheme="majorHAnsi" w:cs="Arial"/>
        </w:rPr>
        <w:t>odáno téměř 1 240 000 žádostí o mezinárodní ochranu</w:t>
      </w:r>
      <w:r w:rsidRPr="006720AE">
        <w:rPr>
          <w:rFonts w:asciiTheme="majorHAnsi" w:hAnsiTheme="majorHAnsi" w:cs="Arial"/>
        </w:rPr>
        <w:t xml:space="preserve">. Během listopadu počet žádostí poprvé od začátku roku mírně klesl </w:t>
      </w:r>
      <w:r w:rsidR="004337F3" w:rsidRPr="006720AE">
        <w:rPr>
          <w:rFonts w:asciiTheme="majorHAnsi" w:hAnsiTheme="majorHAnsi" w:cs="Arial"/>
        </w:rPr>
        <w:br/>
      </w:r>
      <w:r w:rsidRPr="006720AE">
        <w:rPr>
          <w:rFonts w:asciiTheme="majorHAnsi" w:hAnsiTheme="majorHAnsi" w:cs="Arial"/>
        </w:rPr>
        <w:t>(- 4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 xml:space="preserve">%, celkem 168 000 podaných žádostí), ale stále se jedná o 2,5 násobek počtu podaných žádostí ve srovnání s listopadem v roce 2014. Tento mírný dočasný pokles byl zapříčiněn převážně zhoršením počasí v Egejském moři. 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Pro migranty jsou hlavními cílovými zeměmi, kde žádají o mezinárodní ochranu, Německo a</w:t>
      </w:r>
      <w:r w:rsidR="004337F3" w:rsidRPr="006720AE">
        <w:rPr>
          <w:rFonts w:asciiTheme="majorHAnsi" w:hAnsiTheme="majorHAnsi" w:cs="Arial"/>
        </w:rPr>
        <w:t> </w:t>
      </w:r>
      <w:r w:rsidRPr="006720AE">
        <w:rPr>
          <w:rFonts w:asciiTheme="majorHAnsi" w:hAnsiTheme="majorHAnsi" w:cs="Arial"/>
        </w:rPr>
        <w:t>Švédsko. V těchto zemích bylo pouze v listopadu 2015 podáno 56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 všech žádostí o</w:t>
      </w:r>
      <w:r w:rsidR="004337F3" w:rsidRPr="006720AE">
        <w:rPr>
          <w:rFonts w:asciiTheme="majorHAnsi" w:hAnsiTheme="majorHAnsi" w:cs="Arial"/>
        </w:rPr>
        <w:t> </w:t>
      </w:r>
      <w:r w:rsidR="00972F3B" w:rsidRPr="006720AE">
        <w:rPr>
          <w:rFonts w:asciiTheme="majorHAnsi" w:hAnsiTheme="majorHAnsi" w:cs="Arial"/>
        </w:rPr>
        <w:t>mezinárodní ochranu</w:t>
      </w:r>
      <w:r w:rsidRPr="006720AE">
        <w:rPr>
          <w:rFonts w:asciiTheme="majorHAnsi" w:hAnsiTheme="majorHAnsi" w:cs="Arial"/>
        </w:rPr>
        <w:t xml:space="preserve"> </w:t>
      </w:r>
      <w:r w:rsidR="008C4AAE" w:rsidRPr="006720AE">
        <w:rPr>
          <w:rFonts w:asciiTheme="majorHAnsi" w:hAnsiTheme="majorHAnsi" w:cs="Arial"/>
        </w:rPr>
        <w:t xml:space="preserve">podaných </w:t>
      </w:r>
      <w:r w:rsidRPr="006720AE">
        <w:rPr>
          <w:rFonts w:asciiTheme="majorHAnsi" w:hAnsiTheme="majorHAnsi" w:cs="Arial"/>
        </w:rPr>
        <w:t xml:space="preserve">v EU. Atraktivní cílovou zemí se začíná stávat i Rakousko, které </w:t>
      </w:r>
      <w:r w:rsidR="008C4AAE" w:rsidRPr="006720AE">
        <w:rPr>
          <w:rFonts w:asciiTheme="majorHAnsi" w:hAnsiTheme="majorHAnsi" w:cs="Arial"/>
        </w:rPr>
        <w:t xml:space="preserve">v listopadu </w:t>
      </w:r>
      <w:r w:rsidRPr="006720AE">
        <w:rPr>
          <w:rFonts w:asciiTheme="majorHAnsi" w:hAnsiTheme="majorHAnsi" w:cs="Arial"/>
        </w:rPr>
        <w:t>zaznamenalo oproti ostatním zemím EU 20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 xml:space="preserve">% nárůst počtu podaných žádostí </w:t>
      </w:r>
      <w:r w:rsidR="008C4AAE" w:rsidRPr="006720AE">
        <w:rPr>
          <w:rFonts w:asciiTheme="majorHAnsi" w:hAnsiTheme="majorHAnsi" w:cs="Arial"/>
        </w:rPr>
        <w:t>a </w:t>
      </w:r>
      <w:r w:rsidRPr="006720AE">
        <w:rPr>
          <w:rFonts w:asciiTheme="majorHAnsi" w:hAnsiTheme="majorHAnsi" w:cs="Arial"/>
        </w:rPr>
        <w:t xml:space="preserve">stalo se tak po Švédsku třetí nejžádanější zemí. </w:t>
      </w:r>
    </w:p>
    <w:p w:rsidR="00410B9C" w:rsidRPr="006720AE" w:rsidRDefault="00410B9C" w:rsidP="0041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 w:cs="Arial"/>
        </w:rPr>
        <w:t>Vývoj počtu žadatelů</w:t>
      </w:r>
      <w:r w:rsidR="00196624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o mezinárodní ochranu v EU, podíl opakovaných žádostí a (údajných) nezletilých osob bez doprovodu v období od října2012 do listopadu 2015:</w:t>
      </w:r>
    </w:p>
    <w:p w:rsidR="00E445D6" w:rsidRPr="006720AE" w:rsidRDefault="00E445D6" w:rsidP="00B620C2">
      <w:pPr>
        <w:spacing w:after="0" w:line="240" w:lineRule="auto"/>
        <w:jc w:val="center"/>
        <w:rPr>
          <w:rFonts w:asciiTheme="majorHAnsi" w:hAnsiTheme="majorHAnsi"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4752975" cy="31908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C2" w:rsidRPr="006720AE" w:rsidRDefault="00B620C2" w:rsidP="00B620C2">
      <w:pPr>
        <w:ind w:left="6372" w:firstLine="708"/>
        <w:jc w:val="center"/>
        <w:rPr>
          <w:rFonts w:asciiTheme="majorHAnsi" w:hAnsiTheme="majorHAnsi"/>
          <w:sz w:val="12"/>
          <w:szCs w:val="12"/>
        </w:rPr>
      </w:pPr>
      <w:r w:rsidRPr="006720AE">
        <w:rPr>
          <w:rFonts w:asciiTheme="majorHAnsi" w:hAnsiTheme="majorHAnsi"/>
          <w:sz w:val="12"/>
          <w:szCs w:val="12"/>
        </w:rPr>
        <w:t>Zdroj: EASO</w:t>
      </w:r>
    </w:p>
    <w:p w:rsidR="00410B9C" w:rsidRPr="006720AE" w:rsidRDefault="00410B9C" w:rsidP="00410B9C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 w:cs="Arial"/>
        </w:rPr>
        <w:t xml:space="preserve">Nejpočetnější skupinu žadatelů o mezinárodní ochranu tvoří občané Sýrie, Afghánistánu a Iráku. Na přelomu roku 2015 byla zaznamenána vlna migrantů/žadatelů ze západobalkánských zemí, ovšem tato vlna polevila </w:t>
      </w:r>
      <w:r w:rsidR="008C4AAE" w:rsidRPr="006720AE">
        <w:rPr>
          <w:rFonts w:asciiTheme="majorHAnsi" w:hAnsiTheme="majorHAnsi" w:cs="Arial"/>
        </w:rPr>
        <w:t>v důsledku stanovení těchto zemí jako bezpečných zemí původu, a s tím souvisejícím poklesem úspěšnosti žadatelů a následnému transportu do země původu</w:t>
      </w:r>
      <w:r w:rsidRPr="006720AE">
        <w:rPr>
          <w:rFonts w:asciiTheme="majorHAnsi" w:hAnsiTheme="majorHAnsi" w:cs="Arial"/>
        </w:rPr>
        <w:t>. Mezi TOP 10 žádostmi se na konci roku v listopadu umístili žadatelé z Íránu (+41 %, 6 960). K výraznému nárůstu došlo na konci roku u žadatelů z Pákistánu. Naopak počet žádostí občanů Eritrey v listopadu poklesl o 49%, ačkoliv Eritrea nadále zůstává mezi prvními deseti zeměmi původu žadatelů o mezinárodní ochranu.</w:t>
      </w:r>
    </w:p>
    <w:p w:rsidR="00D375B1" w:rsidRPr="006720AE" w:rsidRDefault="00410B9C" w:rsidP="00D375B1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 xml:space="preserve">Během roku 2015 </w:t>
      </w:r>
      <w:r w:rsidRPr="006720AE">
        <w:rPr>
          <w:rFonts w:asciiTheme="majorHAnsi" w:hAnsiTheme="majorHAnsi" w:cs="Arial"/>
          <w:b/>
        </w:rPr>
        <w:t>došlo také k výraznému nárůstu v počtu žádostí podaných nezletilými bez doprovodu (NBD)</w:t>
      </w:r>
      <w:r w:rsidRPr="006720AE">
        <w:rPr>
          <w:rFonts w:asciiTheme="majorHAnsi" w:hAnsiTheme="majorHAnsi" w:cs="Arial"/>
        </w:rPr>
        <w:t xml:space="preserve">.  Počet NBD začal konstantně stoupat od května. V srpnu bylo již podáno 10 000 žádostí, v říjnu již 16 000 </w:t>
      </w:r>
      <w:r w:rsidR="00D375B1" w:rsidRPr="006720AE">
        <w:rPr>
          <w:rFonts w:asciiTheme="majorHAnsi" w:hAnsiTheme="majorHAnsi" w:cs="Arial"/>
        </w:rPr>
        <w:t>a tento počet zůstal stejný i v listopadu. Ve srovnání s rokem 2014, kdy bylo celkem podáno NBD 22 000 žádostí se jedná o téměř trojnásobný nárůst (62 000). Nejvíce předpokládaných NBD pocházelo z Afghánistánu a nejvíce bylo registrováno ve Švédsku.</w:t>
      </w:r>
    </w:p>
    <w:p w:rsidR="00E445D6" w:rsidRPr="006720AE" w:rsidRDefault="00277381" w:rsidP="00E445D6">
      <w:pPr>
        <w:spacing w:after="120" w:line="240" w:lineRule="auto"/>
        <w:jc w:val="both"/>
        <w:rPr>
          <w:rFonts w:asciiTheme="majorHAnsi" w:hAnsiTheme="majorHAnsi"/>
        </w:rPr>
      </w:pPr>
      <w:r w:rsidRPr="006720AE">
        <w:rPr>
          <w:rFonts w:asciiTheme="majorHAnsi" w:hAnsiTheme="majorHAnsi" w:cs="Arial"/>
        </w:rPr>
        <w:lastRenderedPageBreak/>
        <w:t>B</w:t>
      </w:r>
      <w:r w:rsidR="00E445D6" w:rsidRPr="006720AE">
        <w:rPr>
          <w:rFonts w:asciiTheme="majorHAnsi" w:hAnsiTheme="majorHAnsi" w:cs="Arial"/>
        </w:rPr>
        <w:t>yl též zaznamenán trend poklesu počtu opakovaných žádostí. V listopadu dosáhl počet nejnižších hodnot za poslední tři roky. Z hlediska úspěšnosti žádostí o mezinárodní ochranu se na prvním místě umístili žadatelé ze Sýrie (téměř 100</w:t>
      </w:r>
      <w:r w:rsidR="004337F3" w:rsidRPr="006720AE">
        <w:rPr>
          <w:rFonts w:asciiTheme="majorHAnsi" w:hAnsiTheme="majorHAnsi" w:cs="Arial"/>
        </w:rPr>
        <w:t xml:space="preserve"> </w:t>
      </w:r>
      <w:r w:rsidR="00E445D6" w:rsidRPr="006720AE">
        <w:rPr>
          <w:rFonts w:asciiTheme="majorHAnsi" w:hAnsiTheme="majorHAnsi" w:cs="Arial"/>
        </w:rPr>
        <w:t>%), Eritrey (95</w:t>
      </w:r>
      <w:r w:rsidR="004337F3" w:rsidRPr="006720AE">
        <w:rPr>
          <w:rFonts w:asciiTheme="majorHAnsi" w:hAnsiTheme="majorHAnsi" w:cs="Arial"/>
        </w:rPr>
        <w:t xml:space="preserve"> </w:t>
      </w:r>
      <w:r w:rsidR="00E445D6" w:rsidRPr="006720AE">
        <w:rPr>
          <w:rFonts w:asciiTheme="majorHAnsi" w:hAnsiTheme="majorHAnsi" w:cs="Arial"/>
        </w:rPr>
        <w:t>%) a Iráku (80</w:t>
      </w:r>
      <w:r w:rsidR="004337F3" w:rsidRPr="006720AE">
        <w:rPr>
          <w:rFonts w:asciiTheme="majorHAnsi" w:hAnsiTheme="majorHAnsi" w:cs="Arial"/>
        </w:rPr>
        <w:t xml:space="preserve"> </w:t>
      </w:r>
      <w:r w:rsidR="00E445D6" w:rsidRPr="006720AE">
        <w:rPr>
          <w:rFonts w:asciiTheme="majorHAnsi" w:hAnsiTheme="majorHAnsi" w:cs="Arial"/>
        </w:rPr>
        <w:t>%). Nejnižší úspěšnost mají žadatelé z Albánie (2</w:t>
      </w:r>
      <w:r w:rsidR="004337F3" w:rsidRPr="006720AE">
        <w:rPr>
          <w:rFonts w:asciiTheme="majorHAnsi" w:hAnsiTheme="majorHAnsi" w:cs="Arial"/>
        </w:rPr>
        <w:t xml:space="preserve"> </w:t>
      </w:r>
      <w:r w:rsidR="00E445D6" w:rsidRPr="006720AE">
        <w:rPr>
          <w:rFonts w:asciiTheme="majorHAnsi" w:hAnsiTheme="majorHAnsi" w:cs="Arial"/>
        </w:rPr>
        <w:t>%).</w:t>
      </w:r>
    </w:p>
    <w:p w:rsidR="00E445D6" w:rsidRPr="006720AE" w:rsidRDefault="00E445D6" w:rsidP="00E44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  <w:tab w:val="left" w:pos="851"/>
          <w:tab w:val="left" w:pos="1701"/>
          <w:tab w:val="left" w:pos="2552"/>
        </w:tabs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</w:rPr>
        <w:t>Počty podaných žádostí o mezinárodní ochranu v  listopadu 2015 dle zemí původu. Na prvních místech se opět umístili občané Sýrie (54 600), Afghánistánu (38 434) a Iráku (19 386).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60720" cy="4170796"/>
            <wp:effectExtent l="0" t="0" r="0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C2" w:rsidRPr="006720AE" w:rsidRDefault="00B620C2" w:rsidP="00B620C2">
      <w:pPr>
        <w:spacing w:after="120" w:line="240" w:lineRule="auto"/>
        <w:ind w:left="7788"/>
        <w:jc w:val="both"/>
        <w:rPr>
          <w:rFonts w:asciiTheme="majorHAnsi" w:hAnsiTheme="majorHAnsi" w:cs="Arial"/>
          <w:sz w:val="12"/>
          <w:szCs w:val="12"/>
        </w:rPr>
      </w:pPr>
      <w:r w:rsidRPr="006720AE">
        <w:rPr>
          <w:rFonts w:asciiTheme="majorHAnsi" w:hAnsiTheme="majorHAnsi" w:cs="Arial"/>
          <w:sz w:val="12"/>
          <w:szCs w:val="12"/>
        </w:rPr>
        <w:t>zdroj: EASO</w:t>
      </w:r>
    </w:p>
    <w:p w:rsidR="00E445D6" w:rsidRPr="006720AE" w:rsidRDefault="00E445D6" w:rsidP="00E445D6">
      <w:pPr>
        <w:spacing w:after="120" w:line="240" w:lineRule="auto"/>
        <w:jc w:val="both"/>
        <w:rPr>
          <w:rFonts w:asciiTheme="majorHAnsi" w:hAnsiTheme="majorHAnsi" w:cs="Arial"/>
        </w:rPr>
      </w:pPr>
    </w:p>
    <w:p w:rsidR="00417DBC" w:rsidRPr="006720AE" w:rsidRDefault="00E445D6" w:rsidP="002B5696">
      <w:pPr>
        <w:pStyle w:val="Nadpis3"/>
        <w:spacing w:before="240" w:after="120" w:line="240" w:lineRule="auto"/>
      </w:pPr>
      <w:bookmarkStart w:id="26" w:name="_Toc440627814"/>
      <w:r w:rsidRPr="006720AE">
        <w:t>II.2.1</w:t>
      </w:r>
      <w:r w:rsidR="002B5696" w:rsidRPr="006720AE">
        <w:t>.</w:t>
      </w:r>
      <w:r w:rsidRPr="006720AE">
        <w:t xml:space="preserve"> Situace  TOP 3 žadatelů dle země původu</w:t>
      </w:r>
      <w:bookmarkEnd w:id="26"/>
    </w:p>
    <w:p w:rsidR="00417DBC" w:rsidRPr="006720AE" w:rsidRDefault="00E445D6" w:rsidP="00417DBC">
      <w:pPr>
        <w:spacing w:after="24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Sýrie</w:t>
      </w:r>
      <w:r w:rsidRPr="006720AE">
        <w:rPr>
          <w:rFonts w:asciiTheme="majorHAnsi" w:hAnsiTheme="majorHAnsi" w:cs="Arial"/>
        </w:rPr>
        <w:t xml:space="preserve"> – V listopadu bylo v zemích EU podáno 54 600 žádostí o mezinárodní ochranu, což představuje pokles o 9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 ve srovnání s říjnem. Tyto hodnoty ovšem stále téměř pětinásobně převyšují hodnoty zaznamenané v listopadu 2014. Jedná se již o druhý měsíc pokračujícího poklesu. Od února 2015 do září 2015 bylo možno naopak sledovat konstantní nárůst počtu syrských žadat</w:t>
      </w:r>
      <w:r w:rsidR="004337F3" w:rsidRPr="006720AE">
        <w:rPr>
          <w:rFonts w:asciiTheme="majorHAnsi" w:hAnsiTheme="majorHAnsi" w:cs="Arial"/>
        </w:rPr>
        <w:t>elů. Po</w:t>
      </w:r>
      <w:r w:rsidRPr="006720AE">
        <w:rPr>
          <w:rFonts w:asciiTheme="majorHAnsi" w:hAnsiTheme="majorHAnsi" w:cs="Arial"/>
        </w:rPr>
        <w:t xml:space="preserve"> Německu a Švédsku se stalo třetí nejčastější cílovou destinací žadatelů Rakousko.</w:t>
      </w:r>
    </w:p>
    <w:p w:rsidR="00417DBC" w:rsidRPr="006720AE" w:rsidRDefault="00E445D6" w:rsidP="00417DBC">
      <w:pPr>
        <w:spacing w:after="24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Afghánistán</w:t>
      </w:r>
      <w:r w:rsidRPr="006720AE">
        <w:rPr>
          <w:rFonts w:asciiTheme="majorHAnsi" w:hAnsiTheme="majorHAnsi" w:cs="Arial"/>
        </w:rPr>
        <w:t xml:space="preserve"> – Po ztrojnásobení počtu žadatelů mezi zářím a říjnem 2015, došlo k opětovnému nárůstu počtu žádostí o další 1/3 během listopadu 2015 (38 434). Od března 2015 počet žad</w:t>
      </w:r>
      <w:r w:rsidR="00417DBC" w:rsidRPr="006720AE">
        <w:rPr>
          <w:rFonts w:asciiTheme="majorHAnsi" w:hAnsiTheme="majorHAnsi" w:cs="Arial"/>
        </w:rPr>
        <w:t>a</w:t>
      </w:r>
      <w:r w:rsidRPr="006720AE">
        <w:rPr>
          <w:rFonts w:asciiTheme="majorHAnsi" w:hAnsiTheme="majorHAnsi" w:cs="Arial"/>
        </w:rPr>
        <w:t>telů z Afghánistánu konstantně vzrůstal každý následující měsíc a v listopadu dosáhl osminásobku počtu žadatelů ve srovnání s listopadem 2014.</w:t>
      </w:r>
    </w:p>
    <w:p w:rsidR="002B5696" w:rsidRPr="006720AE" w:rsidRDefault="00E445D6" w:rsidP="00417DBC">
      <w:pPr>
        <w:spacing w:after="240" w:line="240" w:lineRule="auto"/>
        <w:jc w:val="both"/>
        <w:rPr>
          <w:rFonts w:asciiTheme="majorHAnsi" w:hAnsiTheme="majorHAnsi" w:cs="Arial"/>
        </w:rPr>
      </w:pPr>
      <w:r w:rsidRPr="006720AE">
        <w:rPr>
          <w:rFonts w:asciiTheme="majorHAnsi" w:hAnsiTheme="majorHAnsi" w:cs="Arial"/>
          <w:b/>
        </w:rPr>
        <w:t>Irák</w:t>
      </w:r>
      <w:r w:rsidRPr="006720AE">
        <w:rPr>
          <w:rFonts w:asciiTheme="majorHAnsi" w:hAnsiTheme="majorHAnsi" w:cs="Arial"/>
        </w:rPr>
        <w:t xml:space="preserve"> – Počet žadatelů se v listopadu (19 386) 2015 snížil o 26</w:t>
      </w:r>
      <w:r w:rsidR="004337F3" w:rsidRPr="006720AE">
        <w:rPr>
          <w:rFonts w:asciiTheme="majorHAnsi" w:hAnsiTheme="majorHAnsi" w:cs="Arial"/>
        </w:rPr>
        <w:t xml:space="preserve"> </w:t>
      </w:r>
      <w:r w:rsidRPr="006720AE">
        <w:rPr>
          <w:rFonts w:asciiTheme="majorHAnsi" w:hAnsiTheme="majorHAnsi" w:cs="Arial"/>
        </w:rPr>
        <w:t>%. Až do této doby počet žadatelů od začátku roku 2015 stabilně narůstal. I přes toto snížení počet žádostí podaných v listopadu 2015 zásadním způsobem přev</w:t>
      </w:r>
      <w:r w:rsidR="00D32545" w:rsidRPr="006720AE">
        <w:rPr>
          <w:rFonts w:asciiTheme="majorHAnsi" w:hAnsiTheme="majorHAnsi" w:cs="Arial"/>
        </w:rPr>
        <w:t>y</w:t>
      </w:r>
      <w:r w:rsidRPr="006720AE">
        <w:rPr>
          <w:rFonts w:asciiTheme="majorHAnsi" w:hAnsiTheme="majorHAnsi" w:cs="Arial"/>
        </w:rPr>
        <w:t>šuje počet podaných žádostí v listopadu (2 318) roku 2014.</w:t>
      </w:r>
    </w:p>
    <w:sectPr w:rsidR="002B5696" w:rsidRPr="006720AE" w:rsidSect="006B7158">
      <w:footerReference w:type="default" r:id="rId25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37" w:rsidRDefault="00E14C37" w:rsidP="00DD22B9">
      <w:pPr>
        <w:spacing w:after="0" w:line="240" w:lineRule="auto"/>
      </w:pPr>
      <w:r>
        <w:separator/>
      </w:r>
    </w:p>
  </w:endnote>
  <w:endnote w:type="continuationSeparator" w:id="0">
    <w:p w:rsidR="00E14C37" w:rsidRDefault="00E14C37" w:rsidP="00DD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B1" w:rsidRDefault="00D375B1" w:rsidP="001271B4">
    <w:pPr>
      <w:pStyle w:val="Zpat"/>
    </w:pPr>
  </w:p>
  <w:p w:rsidR="00D375B1" w:rsidRDefault="00D375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46035"/>
      <w:docPartObj>
        <w:docPartGallery w:val="Page Numbers (Bottom of Page)"/>
        <w:docPartUnique/>
      </w:docPartObj>
    </w:sdtPr>
    <w:sdtContent>
      <w:p w:rsidR="00D375B1" w:rsidRDefault="004C603E">
        <w:pPr>
          <w:pStyle w:val="Zpat"/>
          <w:jc w:val="center"/>
        </w:pPr>
        <w:r>
          <w:fldChar w:fldCharType="begin"/>
        </w:r>
        <w:r w:rsidR="00D375B1">
          <w:instrText>PAGE   \* MERGEFORMAT</w:instrText>
        </w:r>
        <w:r>
          <w:fldChar w:fldCharType="separate"/>
        </w:r>
        <w:r w:rsidR="008F57B4">
          <w:rPr>
            <w:noProof/>
          </w:rPr>
          <w:t>30</w:t>
        </w:r>
        <w:r>
          <w:fldChar w:fldCharType="end"/>
        </w:r>
      </w:p>
    </w:sdtContent>
  </w:sdt>
  <w:p w:rsidR="00D375B1" w:rsidRDefault="00D375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37" w:rsidRDefault="00E14C37" w:rsidP="00DD22B9">
      <w:pPr>
        <w:spacing w:after="0" w:line="240" w:lineRule="auto"/>
      </w:pPr>
      <w:r>
        <w:separator/>
      </w:r>
    </w:p>
  </w:footnote>
  <w:footnote w:type="continuationSeparator" w:id="0">
    <w:p w:rsidR="00E14C37" w:rsidRDefault="00E14C37" w:rsidP="00DD22B9">
      <w:pPr>
        <w:spacing w:after="0" w:line="240" w:lineRule="auto"/>
      </w:pPr>
      <w:r>
        <w:continuationSeparator/>
      </w:r>
    </w:p>
  </w:footnote>
  <w:footnote w:id="1">
    <w:p w:rsidR="00D375B1" w:rsidRPr="00BE0647" w:rsidRDefault="00D375B1" w:rsidP="00BE0647">
      <w:pPr>
        <w:pStyle w:val="Textpoznpodarou"/>
        <w:jc w:val="both"/>
        <w:rPr>
          <w:rFonts w:asciiTheme="majorHAnsi" w:hAnsiTheme="majorHAnsi"/>
        </w:rPr>
      </w:pPr>
      <w:r w:rsidRPr="00BE0647">
        <w:rPr>
          <w:rStyle w:val="Znakapoznpodarou"/>
          <w:rFonts w:asciiTheme="majorHAnsi" w:hAnsiTheme="majorHAnsi"/>
        </w:rPr>
        <w:footnoteRef/>
      </w:r>
      <w:r w:rsidRPr="00BE0647">
        <w:rPr>
          <w:rFonts w:asciiTheme="majorHAnsi" w:hAnsiTheme="majorHAnsi"/>
        </w:rPr>
        <w:t xml:space="preserve"> Nařízení EP a Rady (ES) č. 810/2009 o kodexu Společenství o vízech (vízový kodex)</w:t>
      </w:r>
    </w:p>
  </w:footnote>
  <w:footnote w:id="2">
    <w:p w:rsidR="00D375B1" w:rsidRPr="00BE0647" w:rsidRDefault="00D375B1" w:rsidP="00BE0647">
      <w:pPr>
        <w:pStyle w:val="Textpoznpodarou"/>
        <w:jc w:val="both"/>
        <w:rPr>
          <w:rFonts w:asciiTheme="majorHAnsi" w:hAnsiTheme="majorHAnsi"/>
        </w:rPr>
      </w:pPr>
      <w:r w:rsidRPr="00BE0647">
        <w:rPr>
          <w:rStyle w:val="Znakapoznpodarou"/>
          <w:rFonts w:asciiTheme="majorHAnsi" w:hAnsiTheme="majorHAnsi"/>
        </w:rPr>
        <w:footnoteRef/>
      </w:r>
      <w:r w:rsidRPr="00BE0647">
        <w:rPr>
          <w:rFonts w:asciiTheme="majorHAnsi" w:hAnsiTheme="majorHAnsi"/>
        </w:rPr>
        <w:t xml:space="preserve"> </w:t>
      </w:r>
      <w:r w:rsidRPr="00BE0647">
        <w:rPr>
          <w:rFonts w:asciiTheme="majorHAnsi" w:hAnsiTheme="majorHAnsi" w:cs="Arial"/>
        </w:rPr>
        <w:t>Pod pojem cestovní doklad se zahrnuje cestovní pas a průkaz totožnosti, který je určen k překračování státních hranic; jedna osoba může disponovat více cestovními doklady</w:t>
      </w:r>
    </w:p>
  </w:footnote>
  <w:footnote w:id="3">
    <w:p w:rsidR="00D375B1" w:rsidRPr="001244DE" w:rsidRDefault="00D375B1" w:rsidP="001244DE">
      <w:pPr>
        <w:pStyle w:val="Textpoznpodarou"/>
        <w:jc w:val="both"/>
        <w:rPr>
          <w:rFonts w:asciiTheme="majorHAnsi" w:hAnsiTheme="majorHAnsi"/>
        </w:rPr>
      </w:pPr>
      <w:r w:rsidRPr="001244DE">
        <w:rPr>
          <w:rStyle w:val="Znakapoznpodarou"/>
          <w:rFonts w:asciiTheme="majorHAnsi" w:hAnsiTheme="majorHAnsi"/>
        </w:rPr>
        <w:footnoteRef/>
      </w:r>
      <w:r w:rsidRPr="001244DE">
        <w:rPr>
          <w:rFonts w:asciiTheme="majorHAnsi" w:hAnsiTheme="majorHAnsi"/>
        </w:rPr>
        <w:t xml:space="preserve"> Nelegální migraci přes území ČR může </w:t>
      </w:r>
      <w:r>
        <w:rPr>
          <w:rFonts w:asciiTheme="majorHAnsi" w:hAnsiTheme="majorHAnsi"/>
        </w:rPr>
        <w:t xml:space="preserve">negativně </w:t>
      </w:r>
      <w:r w:rsidRPr="001244DE">
        <w:rPr>
          <w:rFonts w:asciiTheme="majorHAnsi" w:hAnsiTheme="majorHAnsi"/>
        </w:rPr>
        <w:t>ovlivnit op</w:t>
      </w:r>
      <w:r>
        <w:rPr>
          <w:rFonts w:asciiTheme="majorHAnsi" w:hAnsiTheme="majorHAnsi"/>
        </w:rPr>
        <w:t>atření bavorské policie, jež od </w:t>
      </w:r>
      <w:r w:rsidRPr="001244DE">
        <w:rPr>
          <w:rFonts w:asciiTheme="majorHAnsi" w:hAnsiTheme="majorHAnsi"/>
        </w:rPr>
        <w:t xml:space="preserve">počátku roku 2016 začala vracet zpět do Rakouska běžence, kteří nechtějí podat žádost o </w:t>
      </w:r>
      <w:r>
        <w:rPr>
          <w:rFonts w:asciiTheme="majorHAnsi" w:hAnsiTheme="majorHAnsi"/>
        </w:rPr>
        <w:t>mezinárodní ochranu v </w:t>
      </w:r>
      <w:r w:rsidRPr="001244DE">
        <w:rPr>
          <w:rFonts w:asciiTheme="majorHAnsi" w:hAnsiTheme="majorHAnsi"/>
        </w:rPr>
        <w:t>Německu, ale jiné unijní zemi (např. Belgii nebo Švédsku). Od zač</w:t>
      </w:r>
      <w:r>
        <w:rPr>
          <w:rFonts w:asciiTheme="majorHAnsi" w:hAnsiTheme="majorHAnsi"/>
        </w:rPr>
        <w:t>átku roku 2016 je takto do </w:t>
      </w:r>
      <w:r w:rsidRPr="001244DE">
        <w:rPr>
          <w:rFonts w:asciiTheme="majorHAnsi" w:hAnsiTheme="majorHAnsi"/>
        </w:rPr>
        <w:t>Rakouska vraceno okolo 200 uprchlíků denně, se vzrůstající tendencí. Protože se navrá</w:t>
      </w:r>
      <w:r>
        <w:rPr>
          <w:rFonts w:asciiTheme="majorHAnsi" w:hAnsiTheme="majorHAnsi"/>
        </w:rPr>
        <w:t>cení běženci mohou pohybovat po </w:t>
      </w:r>
      <w:r w:rsidRPr="001244DE">
        <w:rPr>
          <w:rFonts w:asciiTheme="majorHAnsi" w:hAnsiTheme="majorHAnsi"/>
        </w:rPr>
        <w:t>Rakousku volně, hrozí nebezpečí, že mohou hledat nové cesty do svých cílových destinací, mj. přes území ČR.</w:t>
      </w:r>
    </w:p>
  </w:footnote>
  <w:footnote w:id="4">
    <w:p w:rsidR="00D375B1" w:rsidRPr="001E353D" w:rsidRDefault="00D375B1" w:rsidP="001E353D">
      <w:pPr>
        <w:pStyle w:val="Textpoznpodarou"/>
        <w:jc w:val="both"/>
        <w:rPr>
          <w:rFonts w:asciiTheme="majorHAnsi" w:hAnsiTheme="majorHAnsi"/>
        </w:rPr>
      </w:pPr>
      <w:r w:rsidRPr="001E353D">
        <w:rPr>
          <w:vertAlign w:val="superscript"/>
        </w:rPr>
        <w:footnoteRef/>
      </w:r>
      <w:r w:rsidRPr="001E35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Nízký stav trvá i na počátku roku 2016. </w:t>
      </w:r>
      <w:r w:rsidRPr="001E353D">
        <w:rPr>
          <w:rFonts w:asciiTheme="majorHAnsi" w:hAnsiTheme="majorHAnsi"/>
        </w:rPr>
        <w:t>Kapacita zařízení pro zajištění cizinců ne</w:t>
      </w:r>
      <w:r>
        <w:rPr>
          <w:rFonts w:asciiTheme="majorHAnsi" w:hAnsiTheme="majorHAnsi"/>
        </w:rPr>
        <w:t>ní</w:t>
      </w:r>
      <w:r w:rsidRPr="001E353D">
        <w:rPr>
          <w:rFonts w:asciiTheme="majorHAnsi" w:hAnsiTheme="majorHAnsi"/>
        </w:rPr>
        <w:t xml:space="preserve"> naplněna ani z 10 %</w:t>
      </w:r>
      <w:r>
        <w:rPr>
          <w:rFonts w:asciiTheme="majorHAnsi" w:hAnsiTheme="majorHAnsi"/>
        </w:rPr>
        <w:t xml:space="preserve"> - k 11. 1. 2016 to bylo 108 osob v obdobném složení jako koncem roku</w:t>
      </w:r>
      <w:r w:rsidRPr="001E353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</w:footnote>
  <w:footnote w:id="5">
    <w:p w:rsidR="00D375B1" w:rsidRPr="006F5FD4" w:rsidRDefault="00D375B1" w:rsidP="006F5FD4">
      <w:pPr>
        <w:pStyle w:val="Textpoznpodarou"/>
        <w:rPr>
          <w:rFonts w:asciiTheme="majorHAnsi" w:hAnsiTheme="majorHAnsi"/>
        </w:rPr>
      </w:pPr>
      <w:r w:rsidRPr="006F5FD4">
        <w:rPr>
          <w:rStyle w:val="Znakapoznpodarou"/>
          <w:rFonts w:asciiTheme="majorHAnsi" w:hAnsiTheme="majorHAnsi"/>
        </w:rPr>
        <w:footnoteRef/>
      </w:r>
      <w:r w:rsidRPr="006F5FD4">
        <w:rPr>
          <w:rFonts w:asciiTheme="majorHAnsi" w:hAnsiTheme="majorHAnsi"/>
        </w:rPr>
        <w:t xml:space="preserve"> Stálý meziresortní expertní orgán řízený Ministerstvem vnitra.</w:t>
      </w:r>
    </w:p>
  </w:footnote>
  <w:footnote w:id="6">
    <w:p w:rsidR="006720AE" w:rsidRPr="009202C1" w:rsidRDefault="006720AE" w:rsidP="006720AE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t xml:space="preserve"> </w:t>
      </w:r>
      <w:r w:rsidRPr="009202C1">
        <w:rPr>
          <w:rFonts w:asciiTheme="majorHAnsi" w:hAnsiTheme="majorHAnsi" w:cs="Arial"/>
          <w:bCs/>
        </w:rPr>
        <w:t xml:space="preserve">kterým se mění zákon č. 435/2004 Sb., o zaměstnanosti, ve znění </w:t>
      </w:r>
      <w:r>
        <w:rPr>
          <w:rFonts w:asciiTheme="majorHAnsi" w:hAnsiTheme="majorHAnsi" w:cs="Arial"/>
          <w:bCs/>
        </w:rPr>
        <w:t>pozdějších předpisů, a zákon č. </w:t>
      </w:r>
      <w:r w:rsidRPr="009202C1">
        <w:rPr>
          <w:rFonts w:asciiTheme="majorHAnsi" w:hAnsiTheme="majorHAnsi" w:cs="Arial"/>
          <w:bCs/>
        </w:rPr>
        <w:t>326/1999 Sb., o pobytu cizinců na území České republiky a o změně některých zákonů, ve znění pozdějších předpisů</w:t>
      </w:r>
    </w:p>
  </w:footnote>
  <w:footnote w:id="7">
    <w:p w:rsidR="006720AE" w:rsidRPr="009202C1" w:rsidRDefault="006720AE" w:rsidP="006720AE">
      <w:pPr>
        <w:pStyle w:val="Textpoznpodarou"/>
        <w:jc w:val="both"/>
        <w:rPr>
          <w:rFonts w:asciiTheme="majorHAnsi" w:hAnsiTheme="majorHAnsi"/>
        </w:rPr>
      </w:pPr>
      <w:r w:rsidRPr="009202C1">
        <w:rPr>
          <w:rStyle w:val="Znakapoznpodarou"/>
          <w:rFonts w:asciiTheme="majorHAnsi" w:hAnsiTheme="majorHAnsi"/>
        </w:rPr>
        <w:footnoteRef/>
      </w:r>
      <w:r w:rsidRPr="009202C1">
        <w:rPr>
          <w:rFonts w:asciiTheme="majorHAnsi" w:hAnsiTheme="majorHAnsi"/>
        </w:rPr>
        <w:t xml:space="preserve"> </w:t>
      </w:r>
      <w:r w:rsidRPr="009202C1">
        <w:rPr>
          <w:rFonts w:asciiTheme="majorHAnsi" w:hAnsiTheme="majorHAnsi" w:cs="Arial"/>
          <w:bCs/>
        </w:rPr>
        <w:t xml:space="preserve">kterým se mění zákon č. 200/1990 Sb., o přestupcích, ve znění pozdějších předpisů, zákon č. </w:t>
      </w:r>
      <w:r>
        <w:rPr>
          <w:rFonts w:asciiTheme="majorHAnsi" w:hAnsiTheme="majorHAnsi" w:cs="Arial"/>
          <w:bCs/>
        </w:rPr>
        <w:t> </w:t>
      </w:r>
      <w:r w:rsidRPr="009202C1">
        <w:rPr>
          <w:rFonts w:asciiTheme="majorHAnsi" w:hAnsiTheme="majorHAnsi" w:cs="Arial"/>
          <w:bCs/>
        </w:rPr>
        <w:t xml:space="preserve"> 69/1994 Sb., o Rejstříku trestů, ve znění pozdějších předpisů, a některé další zákony</w:t>
      </w:r>
    </w:p>
  </w:footnote>
  <w:footnote w:id="8">
    <w:p w:rsidR="006720AE" w:rsidRPr="00AE795C" w:rsidRDefault="006720AE" w:rsidP="006720AE">
      <w:pPr>
        <w:pStyle w:val="Textpoznpodarou"/>
        <w:jc w:val="both"/>
        <w:rPr>
          <w:rFonts w:asciiTheme="majorHAnsi" w:hAnsiTheme="majorHAnsi" w:cs="Arial"/>
          <w:bCs/>
        </w:rPr>
      </w:pPr>
      <w:r>
        <w:rPr>
          <w:rStyle w:val="Znakapoznpodarou"/>
        </w:rPr>
        <w:footnoteRef/>
      </w:r>
      <w:r>
        <w:t xml:space="preserve"> </w:t>
      </w:r>
      <w:r w:rsidRPr="00AE795C">
        <w:rPr>
          <w:rFonts w:asciiTheme="majorHAnsi" w:hAnsiTheme="majorHAnsi" w:cs="Arial"/>
          <w:bCs/>
        </w:rPr>
        <w:t>kterým se mění zákon č. 325/1999 Sb., o azylu, ve znění pozdějších pře</w:t>
      </w:r>
      <w:r>
        <w:rPr>
          <w:rFonts w:asciiTheme="majorHAnsi" w:hAnsiTheme="majorHAnsi" w:cs="Arial"/>
          <w:bCs/>
        </w:rPr>
        <w:t>dpisů, zákon č. 326/1999 Sb., o </w:t>
      </w:r>
      <w:r w:rsidRPr="00AE795C">
        <w:rPr>
          <w:rFonts w:asciiTheme="majorHAnsi" w:hAnsiTheme="majorHAnsi" w:cs="Arial"/>
          <w:bCs/>
        </w:rPr>
        <w:t>pobytu cizinců na území České republiky a o změně některých zákonů, ve znění pozdějších předpisů, zákon č. 221/2003 Sb., o dočasné ochraně cizinců, ve znění pozdějších předpisů, a další související zákony</w:t>
      </w:r>
    </w:p>
  </w:footnote>
  <w:footnote w:id="9">
    <w:p w:rsidR="006720AE" w:rsidRPr="00AE795C" w:rsidRDefault="006720AE" w:rsidP="006720AE">
      <w:pPr>
        <w:pStyle w:val="Textpoznpodarou"/>
        <w:jc w:val="both"/>
        <w:rPr>
          <w:rFonts w:asciiTheme="majorHAnsi" w:hAnsiTheme="majorHAnsi" w:cs="Arial"/>
          <w:bCs/>
        </w:rPr>
      </w:pPr>
      <w:r>
        <w:rPr>
          <w:rStyle w:val="Znakapoznpodarou"/>
        </w:rPr>
        <w:footnoteRef/>
      </w:r>
      <w:r>
        <w:t xml:space="preserve"> </w:t>
      </w:r>
      <w:r w:rsidRPr="00AE795C">
        <w:rPr>
          <w:rFonts w:asciiTheme="majorHAnsi" w:hAnsiTheme="majorHAnsi" w:cs="Arial"/>
          <w:bCs/>
        </w:rPr>
        <w:t>kterým se mění zákon č. 133/2000 Sb., o evidenci obyvatel a rodných číslech a o změně některých zákonů (zákon o evidenci obyvatel), ve znění pozdějších předpisů, zákon č. 328/1999 Sb., o občanských průkazech, ve znění pozdějších předpisů, zákon č. 329/1999 Sb., o cestovních dokladech, ve znění pozdějších předpisů, a další související zákony</w:t>
      </w:r>
    </w:p>
  </w:footnote>
  <w:footnote w:id="10">
    <w:p w:rsidR="00D375B1" w:rsidRPr="00410B9C" w:rsidRDefault="00D375B1" w:rsidP="00410B9C">
      <w:pPr>
        <w:pStyle w:val="Textpoznpodarou"/>
        <w:rPr>
          <w:rFonts w:asciiTheme="majorHAnsi" w:hAnsiTheme="majorHAnsi"/>
        </w:rPr>
      </w:pPr>
      <w:r w:rsidRPr="00410B9C">
        <w:rPr>
          <w:rStyle w:val="Znakapoznpodarou"/>
          <w:rFonts w:asciiTheme="majorHAnsi" w:hAnsiTheme="majorHAnsi"/>
        </w:rPr>
        <w:footnoteRef/>
      </w:r>
      <w:r w:rsidRPr="00410B9C">
        <w:rPr>
          <w:rFonts w:asciiTheme="majorHAnsi" w:hAnsiTheme="majorHAnsi"/>
        </w:rPr>
        <w:t xml:space="preserve"> Ke dni zpracování této Informace nebyly k dispozici příslušné statistické údaje za prosinec 2015.</w:t>
      </w:r>
    </w:p>
  </w:footnote>
  <w:footnote w:id="11">
    <w:p w:rsidR="00D375B1" w:rsidRPr="0097208E" w:rsidRDefault="00D375B1">
      <w:pPr>
        <w:pStyle w:val="Textpoznpodarou"/>
        <w:rPr>
          <w:rFonts w:asciiTheme="majorHAnsi" w:hAnsiTheme="majorHAnsi"/>
        </w:rPr>
      </w:pPr>
      <w:r w:rsidRPr="0097208E">
        <w:rPr>
          <w:rStyle w:val="Znakapoznpodarou"/>
          <w:rFonts w:asciiTheme="majorHAnsi" w:hAnsiTheme="majorHAnsi"/>
        </w:rPr>
        <w:footnoteRef/>
      </w:r>
      <w:r w:rsidRPr="0097208E">
        <w:rPr>
          <w:rFonts w:asciiTheme="majorHAnsi" w:hAnsiTheme="majorHAnsi"/>
        </w:rPr>
        <w:t xml:space="preserve"> propad příjezdů z libyjské </w:t>
      </w:r>
      <w:proofErr w:type="spellStart"/>
      <w:r w:rsidRPr="0097208E">
        <w:rPr>
          <w:rFonts w:asciiTheme="majorHAnsi" w:hAnsiTheme="majorHAnsi"/>
        </w:rPr>
        <w:t>Zuwary</w:t>
      </w:r>
      <w:proofErr w:type="spellEnd"/>
    </w:p>
  </w:footnote>
  <w:footnote w:id="12">
    <w:p w:rsidR="00D375B1" w:rsidRDefault="00D375B1" w:rsidP="00410B9C">
      <w:pPr>
        <w:pStyle w:val="Textpoznpodarou"/>
      </w:pPr>
      <w:r>
        <w:rPr>
          <w:rStyle w:val="Znakapoznpodarou"/>
        </w:rPr>
        <w:footnoteRef/>
      </w:r>
      <w:r>
        <w:t xml:space="preserve"> Údaje pouze za třetí kvartál roku 2015, (totožné platí pro ostatní zmíněné země)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691"/>
    <w:multiLevelType w:val="hybridMultilevel"/>
    <w:tmpl w:val="3C423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77"/>
    <w:multiLevelType w:val="hybridMultilevel"/>
    <w:tmpl w:val="4650FB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1D20354"/>
    <w:multiLevelType w:val="hybridMultilevel"/>
    <w:tmpl w:val="7E40DE58"/>
    <w:lvl w:ilvl="0" w:tplc="7D827B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2508D"/>
    <w:multiLevelType w:val="hybridMultilevel"/>
    <w:tmpl w:val="E9505C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91285"/>
    <w:multiLevelType w:val="hybridMultilevel"/>
    <w:tmpl w:val="504A9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641B3"/>
    <w:multiLevelType w:val="hybridMultilevel"/>
    <w:tmpl w:val="82E03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22B9"/>
    <w:rsid w:val="000038F9"/>
    <w:rsid w:val="00003A96"/>
    <w:rsid w:val="00025AF0"/>
    <w:rsid w:val="00034E2A"/>
    <w:rsid w:val="00041FF0"/>
    <w:rsid w:val="00046150"/>
    <w:rsid w:val="00051022"/>
    <w:rsid w:val="000715E2"/>
    <w:rsid w:val="00081D13"/>
    <w:rsid w:val="000B4A9C"/>
    <w:rsid w:val="000E765D"/>
    <w:rsid w:val="00116095"/>
    <w:rsid w:val="00123103"/>
    <w:rsid w:val="001244DE"/>
    <w:rsid w:val="001271B4"/>
    <w:rsid w:val="00131675"/>
    <w:rsid w:val="00143A03"/>
    <w:rsid w:val="001713A6"/>
    <w:rsid w:val="00196624"/>
    <w:rsid w:val="001E353D"/>
    <w:rsid w:val="001F2C0C"/>
    <w:rsid w:val="001F58C9"/>
    <w:rsid w:val="00214F27"/>
    <w:rsid w:val="00232462"/>
    <w:rsid w:val="00235D4A"/>
    <w:rsid w:val="00257227"/>
    <w:rsid w:val="00265EE6"/>
    <w:rsid w:val="00266DEF"/>
    <w:rsid w:val="002735CE"/>
    <w:rsid w:val="00277381"/>
    <w:rsid w:val="002A72A0"/>
    <w:rsid w:val="002B5696"/>
    <w:rsid w:val="002B65F7"/>
    <w:rsid w:val="002D51D8"/>
    <w:rsid w:val="002E1F2A"/>
    <w:rsid w:val="002F0F34"/>
    <w:rsid w:val="002F7330"/>
    <w:rsid w:val="003416EF"/>
    <w:rsid w:val="0036553A"/>
    <w:rsid w:val="003855C1"/>
    <w:rsid w:val="00392CD0"/>
    <w:rsid w:val="003C16F8"/>
    <w:rsid w:val="003C3DBD"/>
    <w:rsid w:val="003C4B43"/>
    <w:rsid w:val="003C4C5F"/>
    <w:rsid w:val="003C752B"/>
    <w:rsid w:val="003F094B"/>
    <w:rsid w:val="0040385B"/>
    <w:rsid w:val="00410B9C"/>
    <w:rsid w:val="00410DB2"/>
    <w:rsid w:val="00417DBC"/>
    <w:rsid w:val="0042178A"/>
    <w:rsid w:val="00422A7A"/>
    <w:rsid w:val="00427807"/>
    <w:rsid w:val="004337F3"/>
    <w:rsid w:val="0044138E"/>
    <w:rsid w:val="0044184A"/>
    <w:rsid w:val="0044635A"/>
    <w:rsid w:val="00451B25"/>
    <w:rsid w:val="00460204"/>
    <w:rsid w:val="004772A5"/>
    <w:rsid w:val="00484E1E"/>
    <w:rsid w:val="004A4A31"/>
    <w:rsid w:val="004C603E"/>
    <w:rsid w:val="004E2171"/>
    <w:rsid w:val="004F0CE5"/>
    <w:rsid w:val="004F1049"/>
    <w:rsid w:val="004F147C"/>
    <w:rsid w:val="005029AE"/>
    <w:rsid w:val="00521239"/>
    <w:rsid w:val="005213E3"/>
    <w:rsid w:val="00540B57"/>
    <w:rsid w:val="00571920"/>
    <w:rsid w:val="005755F7"/>
    <w:rsid w:val="005833AE"/>
    <w:rsid w:val="00584C6B"/>
    <w:rsid w:val="00593D1D"/>
    <w:rsid w:val="005A6809"/>
    <w:rsid w:val="005C05B0"/>
    <w:rsid w:val="005F589A"/>
    <w:rsid w:val="00623A40"/>
    <w:rsid w:val="00625CEE"/>
    <w:rsid w:val="0063316F"/>
    <w:rsid w:val="006422BC"/>
    <w:rsid w:val="006428A7"/>
    <w:rsid w:val="00652756"/>
    <w:rsid w:val="006720AE"/>
    <w:rsid w:val="006720E4"/>
    <w:rsid w:val="006738AC"/>
    <w:rsid w:val="006A74CA"/>
    <w:rsid w:val="006B7158"/>
    <w:rsid w:val="006D348C"/>
    <w:rsid w:val="006F5FD4"/>
    <w:rsid w:val="006F645B"/>
    <w:rsid w:val="0070101A"/>
    <w:rsid w:val="00744310"/>
    <w:rsid w:val="00751826"/>
    <w:rsid w:val="007860AF"/>
    <w:rsid w:val="00790517"/>
    <w:rsid w:val="007A60A9"/>
    <w:rsid w:val="007B1EF6"/>
    <w:rsid w:val="007E105E"/>
    <w:rsid w:val="007F394F"/>
    <w:rsid w:val="007F4B78"/>
    <w:rsid w:val="0080206B"/>
    <w:rsid w:val="00810FEF"/>
    <w:rsid w:val="00823855"/>
    <w:rsid w:val="008364E4"/>
    <w:rsid w:val="00837F0C"/>
    <w:rsid w:val="0084281A"/>
    <w:rsid w:val="008521F3"/>
    <w:rsid w:val="00855638"/>
    <w:rsid w:val="008701E7"/>
    <w:rsid w:val="00877399"/>
    <w:rsid w:val="00883530"/>
    <w:rsid w:val="00890462"/>
    <w:rsid w:val="00894C6F"/>
    <w:rsid w:val="008C4AAE"/>
    <w:rsid w:val="008E1F49"/>
    <w:rsid w:val="008F01C4"/>
    <w:rsid w:val="008F57B4"/>
    <w:rsid w:val="00902217"/>
    <w:rsid w:val="00913C70"/>
    <w:rsid w:val="009202C1"/>
    <w:rsid w:val="009477AE"/>
    <w:rsid w:val="0095059D"/>
    <w:rsid w:val="00955491"/>
    <w:rsid w:val="009660C5"/>
    <w:rsid w:val="009665EE"/>
    <w:rsid w:val="0097208E"/>
    <w:rsid w:val="00972F3B"/>
    <w:rsid w:val="009970ED"/>
    <w:rsid w:val="009B1E7A"/>
    <w:rsid w:val="009B7C6B"/>
    <w:rsid w:val="009C2F82"/>
    <w:rsid w:val="009D5827"/>
    <w:rsid w:val="00A14AA5"/>
    <w:rsid w:val="00A16E06"/>
    <w:rsid w:val="00A171DE"/>
    <w:rsid w:val="00A82365"/>
    <w:rsid w:val="00A87C6D"/>
    <w:rsid w:val="00A90F3B"/>
    <w:rsid w:val="00AC198C"/>
    <w:rsid w:val="00AC39DC"/>
    <w:rsid w:val="00AD3083"/>
    <w:rsid w:val="00AE795C"/>
    <w:rsid w:val="00AF163F"/>
    <w:rsid w:val="00AF6C0D"/>
    <w:rsid w:val="00B03E7D"/>
    <w:rsid w:val="00B14164"/>
    <w:rsid w:val="00B147FE"/>
    <w:rsid w:val="00B241AB"/>
    <w:rsid w:val="00B2504E"/>
    <w:rsid w:val="00B30B3D"/>
    <w:rsid w:val="00B379E6"/>
    <w:rsid w:val="00B439FB"/>
    <w:rsid w:val="00B620C2"/>
    <w:rsid w:val="00B80D72"/>
    <w:rsid w:val="00B956E9"/>
    <w:rsid w:val="00BA1D41"/>
    <w:rsid w:val="00BA2F36"/>
    <w:rsid w:val="00BA4ACB"/>
    <w:rsid w:val="00BA6B06"/>
    <w:rsid w:val="00BB65DE"/>
    <w:rsid w:val="00BE0647"/>
    <w:rsid w:val="00C04C01"/>
    <w:rsid w:val="00C17185"/>
    <w:rsid w:val="00C33874"/>
    <w:rsid w:val="00C633B9"/>
    <w:rsid w:val="00C832DD"/>
    <w:rsid w:val="00C96BE7"/>
    <w:rsid w:val="00CA2CA7"/>
    <w:rsid w:val="00CA4D94"/>
    <w:rsid w:val="00CE663F"/>
    <w:rsid w:val="00CF5D0A"/>
    <w:rsid w:val="00D0240A"/>
    <w:rsid w:val="00D055EB"/>
    <w:rsid w:val="00D11A68"/>
    <w:rsid w:val="00D12EC1"/>
    <w:rsid w:val="00D32545"/>
    <w:rsid w:val="00D375B1"/>
    <w:rsid w:val="00D55EFE"/>
    <w:rsid w:val="00D860B3"/>
    <w:rsid w:val="00D96DD7"/>
    <w:rsid w:val="00DB3151"/>
    <w:rsid w:val="00DB36EF"/>
    <w:rsid w:val="00DD06C9"/>
    <w:rsid w:val="00DD0F69"/>
    <w:rsid w:val="00DD22B9"/>
    <w:rsid w:val="00DF7F12"/>
    <w:rsid w:val="00E1082B"/>
    <w:rsid w:val="00E14C37"/>
    <w:rsid w:val="00E445D6"/>
    <w:rsid w:val="00E70FC7"/>
    <w:rsid w:val="00E811D3"/>
    <w:rsid w:val="00EC19D9"/>
    <w:rsid w:val="00EC2082"/>
    <w:rsid w:val="00ED1BD5"/>
    <w:rsid w:val="00ED4B5F"/>
    <w:rsid w:val="00EF55D6"/>
    <w:rsid w:val="00F07935"/>
    <w:rsid w:val="00F55CB7"/>
    <w:rsid w:val="00F57982"/>
    <w:rsid w:val="00F67D69"/>
    <w:rsid w:val="00FD19F0"/>
    <w:rsid w:val="00FD28DB"/>
    <w:rsid w:val="00FF508D"/>
    <w:rsid w:val="00FF7098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3E"/>
  </w:style>
  <w:style w:type="paragraph" w:styleId="Nadpis1">
    <w:name w:val="heading 1"/>
    <w:basedOn w:val="Normln"/>
    <w:next w:val="Normln"/>
    <w:link w:val="Nadpis1Char"/>
    <w:uiPriority w:val="9"/>
    <w:qFormat/>
    <w:rsid w:val="0000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4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B9"/>
  </w:style>
  <w:style w:type="paragraph" w:styleId="Zpat">
    <w:name w:val="footer"/>
    <w:basedOn w:val="Normln"/>
    <w:link w:val="ZpatChar"/>
    <w:uiPriority w:val="99"/>
    <w:unhideWhenUsed/>
    <w:rsid w:val="00DD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B9"/>
  </w:style>
  <w:style w:type="paragraph" w:styleId="Textbubliny">
    <w:name w:val="Balloon Text"/>
    <w:basedOn w:val="Normln"/>
    <w:link w:val="TextbublinyChar"/>
    <w:uiPriority w:val="99"/>
    <w:semiHidden/>
    <w:unhideWhenUsed/>
    <w:rsid w:val="00B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C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038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38F9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0038F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0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02C1"/>
    <w:pPr>
      <w:ind w:left="720"/>
      <w:contextualSpacing/>
    </w:pPr>
  </w:style>
  <w:style w:type="paragraph" w:customStyle="1" w:styleId="dka1">
    <w:name w:val="Řádka1"/>
    <w:rsid w:val="00D96D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rmlnIMP">
    <w:name w:val="Normální_IMP"/>
    <w:rsid w:val="00D96DD7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4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56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56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B56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B5696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2B5696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410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B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4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2B9"/>
  </w:style>
  <w:style w:type="paragraph" w:styleId="Zpat">
    <w:name w:val="footer"/>
    <w:basedOn w:val="Normln"/>
    <w:link w:val="ZpatChar"/>
    <w:uiPriority w:val="99"/>
    <w:unhideWhenUsed/>
    <w:rsid w:val="00DD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2B9"/>
  </w:style>
  <w:style w:type="paragraph" w:styleId="Textbubliny">
    <w:name w:val="Balloon Text"/>
    <w:basedOn w:val="Normln"/>
    <w:link w:val="TextbublinyChar"/>
    <w:uiPriority w:val="99"/>
    <w:semiHidden/>
    <w:unhideWhenUsed/>
    <w:rsid w:val="00B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C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038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38F9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0038F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0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02C1"/>
    <w:pPr>
      <w:ind w:left="720"/>
      <w:contextualSpacing/>
    </w:pPr>
  </w:style>
  <w:style w:type="paragraph" w:customStyle="1" w:styleId="dka1">
    <w:name w:val="Řádka1"/>
    <w:rsid w:val="00D96D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rmlnIMP">
    <w:name w:val="Normální_IMP"/>
    <w:rsid w:val="00D96DD7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4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56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56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B56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B5696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2B5696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410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B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K\Documents\spisy-2016\migrace\Zpr&#225;va%20o%20migraci%202015%20-%20kr&#225;tk&#225;%20verze\tokov&#225;%20data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K\Documents\spisy-2016\migrace\Zpr&#225;va%20o%20migraci%202015%20-%20kr&#225;tk&#225;%20verze\tokov&#225;%20data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Pr>
        <a:bodyPr/>
        <a:lstStyle/>
        <a:p>
          <a:pPr>
            <a:defRPr sz="1200">
              <a:latin typeface="+mj-lt"/>
            </a:defRPr>
          </a:pPr>
          <a:endParaRPr lang="cs-CZ"/>
        </a:p>
      </c:txPr>
    </c:title>
    <c:plotArea>
      <c:layout/>
      <c:lineChart>
        <c:grouping val="standard"/>
        <c:ser>
          <c:idx val="0"/>
          <c:order val="0"/>
          <c:tx>
            <c:strRef>
              <c:f>Azyl!$E$24</c:f>
              <c:strCache>
                <c:ptCount val="1"/>
                <c:pt idx="0">
                  <c:v>Počet žadatelů
o mezinárodní ochranu</c:v>
                </c:pt>
              </c:strCache>
            </c:strRef>
          </c:tx>
          <c:marker>
            <c:symbol val="none"/>
          </c:marker>
          <c:cat>
            <c:strRef>
              <c:f>Azyl!$D$25:$D$36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Azyl!$E$25:$E$36</c:f>
              <c:numCache>
                <c:formatCode>General</c:formatCode>
                <c:ptCount val="12"/>
                <c:pt idx="0">
                  <c:v>126</c:v>
                </c:pt>
                <c:pt idx="1">
                  <c:v>117</c:v>
                </c:pt>
                <c:pt idx="2">
                  <c:v>196</c:v>
                </c:pt>
                <c:pt idx="3">
                  <c:v>130</c:v>
                </c:pt>
                <c:pt idx="4">
                  <c:v>110</c:v>
                </c:pt>
                <c:pt idx="5">
                  <c:v>105</c:v>
                </c:pt>
                <c:pt idx="6">
                  <c:v>100</c:v>
                </c:pt>
                <c:pt idx="7">
                  <c:v>106</c:v>
                </c:pt>
                <c:pt idx="8">
                  <c:v>125</c:v>
                </c:pt>
                <c:pt idx="9">
                  <c:v>131</c:v>
                </c:pt>
                <c:pt idx="10">
                  <c:v>139</c:v>
                </c:pt>
                <c:pt idx="11">
                  <c:v>140</c:v>
                </c:pt>
              </c:numCache>
            </c:numRef>
          </c:val>
        </c:ser>
        <c:marker val="1"/>
        <c:axId val="77551104"/>
        <c:axId val="77552640"/>
      </c:lineChart>
      <c:catAx>
        <c:axId val="77551104"/>
        <c:scaling>
          <c:orientation val="minMax"/>
        </c:scaling>
        <c:axPos val="b"/>
        <c:tickLblPos val="nextTo"/>
        <c:crossAx val="77552640"/>
        <c:crosses val="autoZero"/>
        <c:auto val="1"/>
        <c:lblAlgn val="ctr"/>
        <c:lblOffset val="100"/>
      </c:catAx>
      <c:valAx>
        <c:axId val="77552640"/>
        <c:scaling>
          <c:orientation val="minMax"/>
        </c:scaling>
        <c:axPos val="l"/>
        <c:majorGridlines/>
        <c:numFmt formatCode="General" sourceLinked="1"/>
        <c:tickLblPos val="nextTo"/>
        <c:crossAx val="775511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lineChart>
        <c:grouping val="standard"/>
        <c:ser>
          <c:idx val="0"/>
          <c:order val="0"/>
          <c:tx>
            <c:strRef>
              <c:f>dublin!$B$2</c:f>
              <c:strCache>
                <c:ptCount val="1"/>
                <c:pt idx="0">
                  <c:v>přijaté žádosti</c:v>
                </c:pt>
              </c:strCache>
            </c:strRef>
          </c:tx>
          <c:marker>
            <c:symbol val="none"/>
          </c:marker>
          <c:cat>
            <c:strRef>
              <c:f>dublin!$A$3:$A$14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dublin!$B$3:$B$14</c:f>
              <c:numCache>
                <c:formatCode>General</c:formatCode>
                <c:ptCount val="12"/>
                <c:pt idx="0">
                  <c:v>39</c:v>
                </c:pt>
                <c:pt idx="1">
                  <c:v>31</c:v>
                </c:pt>
                <c:pt idx="2">
                  <c:v>68</c:v>
                </c:pt>
                <c:pt idx="3">
                  <c:v>52</c:v>
                </c:pt>
                <c:pt idx="4">
                  <c:v>37</c:v>
                </c:pt>
                <c:pt idx="5">
                  <c:v>12</c:v>
                </c:pt>
                <c:pt idx="6">
                  <c:v>8</c:v>
                </c:pt>
                <c:pt idx="7">
                  <c:v>5</c:v>
                </c:pt>
                <c:pt idx="8">
                  <c:v>29</c:v>
                </c:pt>
                <c:pt idx="9">
                  <c:v>30</c:v>
                </c:pt>
                <c:pt idx="10">
                  <c:v>18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dublin!$C$2</c:f>
              <c:strCache>
                <c:ptCount val="1"/>
                <c:pt idx="0">
                  <c:v>odeslané žádosti</c:v>
                </c:pt>
              </c:strCache>
            </c:strRef>
          </c:tx>
          <c:marker>
            <c:symbol val="none"/>
          </c:marker>
          <c:cat>
            <c:strRef>
              <c:f>dublin!$A$3:$A$14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dublin!$C$3:$C$14</c:f>
              <c:numCache>
                <c:formatCode>General</c:formatCode>
                <c:ptCount val="12"/>
                <c:pt idx="0">
                  <c:v>118</c:v>
                </c:pt>
                <c:pt idx="1">
                  <c:v>149</c:v>
                </c:pt>
                <c:pt idx="2">
                  <c:v>110</c:v>
                </c:pt>
                <c:pt idx="3">
                  <c:v>111</c:v>
                </c:pt>
                <c:pt idx="4">
                  <c:v>93</c:v>
                </c:pt>
                <c:pt idx="5">
                  <c:v>139</c:v>
                </c:pt>
                <c:pt idx="6">
                  <c:v>249</c:v>
                </c:pt>
                <c:pt idx="7">
                  <c:v>283</c:v>
                </c:pt>
                <c:pt idx="8">
                  <c:v>413</c:v>
                </c:pt>
                <c:pt idx="9">
                  <c:v>128</c:v>
                </c:pt>
                <c:pt idx="10">
                  <c:v>37</c:v>
                </c:pt>
                <c:pt idx="11">
                  <c:v>17</c:v>
                </c:pt>
              </c:numCache>
            </c:numRef>
          </c:val>
        </c:ser>
        <c:ser>
          <c:idx val="2"/>
          <c:order val="2"/>
          <c:tx>
            <c:strRef>
              <c:f>dublin!$D$2</c:f>
              <c:strCache>
                <c:ptCount val="1"/>
                <c:pt idx="0">
                  <c:v>transfer do ČR</c:v>
                </c:pt>
              </c:strCache>
            </c:strRef>
          </c:tx>
          <c:marker>
            <c:symbol val="none"/>
          </c:marker>
          <c:cat>
            <c:strRef>
              <c:f>dublin!$A$3:$A$14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dublin!$D$3:$D$14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6</c:v>
                </c:pt>
                <c:pt idx="4">
                  <c:v>0</c:v>
                </c:pt>
                <c:pt idx="5">
                  <c:v>8</c:v>
                </c:pt>
                <c:pt idx="6">
                  <c:v>13</c:v>
                </c:pt>
                <c:pt idx="7">
                  <c:v>8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dublin!$E$2</c:f>
              <c:strCache>
                <c:ptCount val="1"/>
                <c:pt idx="0">
                  <c:v>transfer z ČR</c:v>
                </c:pt>
              </c:strCache>
            </c:strRef>
          </c:tx>
          <c:marker>
            <c:symbol val="none"/>
          </c:marker>
          <c:cat>
            <c:strRef>
              <c:f>dublin!$A$3:$A$14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dublin!$E$3:$E$14</c:f>
              <c:numCache>
                <c:formatCode>General</c:formatCode>
                <c:ptCount val="12"/>
                <c:pt idx="0">
                  <c:v>4</c:v>
                </c:pt>
                <c:pt idx="1">
                  <c:v>11</c:v>
                </c:pt>
                <c:pt idx="2">
                  <c:v>11</c:v>
                </c:pt>
                <c:pt idx="3">
                  <c:v>57</c:v>
                </c:pt>
                <c:pt idx="4">
                  <c:v>7</c:v>
                </c:pt>
                <c:pt idx="5">
                  <c:v>10</c:v>
                </c:pt>
                <c:pt idx="6">
                  <c:v>11</c:v>
                </c:pt>
                <c:pt idx="7">
                  <c:v>7</c:v>
                </c:pt>
                <c:pt idx="8">
                  <c:v>8</c:v>
                </c:pt>
                <c:pt idx="9">
                  <c:v>3</c:v>
                </c:pt>
                <c:pt idx="10">
                  <c:v>24</c:v>
                </c:pt>
                <c:pt idx="11">
                  <c:v>7</c:v>
                </c:pt>
              </c:numCache>
            </c:numRef>
          </c:val>
        </c:ser>
        <c:marker val="1"/>
        <c:axId val="118088832"/>
        <c:axId val="118090368"/>
      </c:lineChart>
      <c:catAx>
        <c:axId val="118088832"/>
        <c:scaling>
          <c:orientation val="minMax"/>
        </c:scaling>
        <c:axPos val="b"/>
        <c:tickLblPos val="nextTo"/>
        <c:crossAx val="118090368"/>
        <c:crosses val="autoZero"/>
        <c:auto val="1"/>
        <c:lblAlgn val="ctr"/>
        <c:lblOffset val="100"/>
      </c:catAx>
      <c:valAx>
        <c:axId val="118090368"/>
        <c:scaling>
          <c:orientation val="minMax"/>
        </c:scaling>
        <c:axPos val="l"/>
        <c:majorGridlines/>
        <c:numFmt formatCode="General" sourceLinked="1"/>
        <c:tickLblPos val="nextTo"/>
        <c:crossAx val="11808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3881598133563"/>
          <c:y val="8.7195246427529932E-2"/>
          <c:w val="0.20126616117429774"/>
          <c:h val="0.5756095071449404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266E-C4DF-43AF-928A-DF8BA33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8861</Words>
  <Characters>52286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Černá</dc:creator>
  <cp:lastModifiedBy>OSPZV3 ospzv3</cp:lastModifiedBy>
  <cp:revision>2</cp:revision>
  <cp:lastPrinted>2016-01-12T14:55:00Z</cp:lastPrinted>
  <dcterms:created xsi:type="dcterms:W3CDTF">2016-01-20T13:52:00Z</dcterms:created>
  <dcterms:modified xsi:type="dcterms:W3CDTF">2016-01-20T13:52:00Z</dcterms:modified>
</cp:coreProperties>
</file>