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1B" w:rsidRPr="006151C7" w:rsidRDefault="00E92518" w:rsidP="007056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E574E4" w:rsidRPr="006151C7">
        <w:rPr>
          <w:b/>
          <w:sz w:val="28"/>
          <w:szCs w:val="28"/>
        </w:rPr>
        <w:t>inancování vysokého technického školství</w:t>
      </w:r>
    </w:p>
    <w:p w:rsidR="006151C7" w:rsidRDefault="00E574E4" w:rsidP="007056B0">
      <w:pPr>
        <w:jc w:val="both"/>
        <w:rPr>
          <w:b/>
        </w:rPr>
      </w:pPr>
      <w:r w:rsidRPr="006151C7">
        <w:rPr>
          <w:b/>
        </w:rPr>
        <w:t>O</w:t>
      </w:r>
      <w:r w:rsidR="006151C7">
        <w:rPr>
          <w:b/>
        </w:rPr>
        <w:t>bsah</w:t>
      </w:r>
    </w:p>
    <w:p w:rsidR="00E574E4" w:rsidRDefault="00E574E4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Úvod</w:t>
      </w:r>
    </w:p>
    <w:p w:rsidR="00E574E4" w:rsidRDefault="00E574E4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Základní principy financování vysokých škol</w:t>
      </w:r>
    </w:p>
    <w:p w:rsidR="00E574E4" w:rsidRDefault="00E553B9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Institucionální</w:t>
      </w:r>
      <w:r w:rsidR="00E574E4">
        <w:t xml:space="preserve"> prostředky poskytované na činnost vysokých škol</w:t>
      </w:r>
    </w:p>
    <w:p w:rsidR="00E574E4" w:rsidRDefault="00E574E4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Koeficienty ekonomické náročnosti</w:t>
      </w:r>
    </w:p>
    <w:p w:rsidR="00E574E4" w:rsidRDefault="00E574E4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Indikátory kvality a výkonu</w:t>
      </w:r>
    </w:p>
    <w:p w:rsidR="00E574E4" w:rsidRDefault="00E574E4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Vývoj počtu studentů</w:t>
      </w:r>
    </w:p>
    <w:p w:rsidR="00E574E4" w:rsidRDefault="00E574E4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Vývoj financování</w:t>
      </w:r>
    </w:p>
    <w:p w:rsidR="003D44D9" w:rsidRPr="00937CC6" w:rsidRDefault="003D44D9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 w:rsidRPr="00937CC6">
        <w:t xml:space="preserve">Porovnání </w:t>
      </w:r>
      <w:r w:rsidR="00A60EC5" w:rsidRPr="00937CC6">
        <w:t xml:space="preserve">výdajů v ČR se státy EU a OECD </w:t>
      </w:r>
    </w:p>
    <w:p w:rsidR="00E574E4" w:rsidRDefault="00E574E4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Aktuální situace</w:t>
      </w:r>
    </w:p>
    <w:p w:rsidR="00E574E4" w:rsidRDefault="00E92518" w:rsidP="007056B0">
      <w:pPr>
        <w:pStyle w:val="Odstavecseseznamem"/>
        <w:numPr>
          <w:ilvl w:val="0"/>
          <w:numId w:val="1"/>
        </w:numPr>
        <w:ind w:left="284" w:hanging="284"/>
        <w:jc w:val="both"/>
      </w:pPr>
      <w:r>
        <w:t>N</w:t>
      </w:r>
      <w:r w:rsidR="002E6A16">
        <w:t>a</w:t>
      </w:r>
      <w:r>
        <w:t>vrh</w:t>
      </w:r>
      <w:r w:rsidR="00A60EC5">
        <w:t>ovaná</w:t>
      </w:r>
      <w:r>
        <w:t xml:space="preserve"> opatření</w:t>
      </w:r>
    </w:p>
    <w:p w:rsidR="00E574E4" w:rsidRDefault="00E574E4" w:rsidP="007056B0">
      <w:pPr>
        <w:ind w:left="284" w:hanging="284"/>
        <w:jc w:val="both"/>
      </w:pPr>
    </w:p>
    <w:p w:rsidR="00E574E4" w:rsidRPr="00E553B9" w:rsidRDefault="00E574E4" w:rsidP="007056B0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E553B9">
        <w:rPr>
          <w:b/>
        </w:rPr>
        <w:t>Úvod</w:t>
      </w:r>
    </w:p>
    <w:p w:rsidR="00E77692" w:rsidRDefault="00F07F15" w:rsidP="007056B0">
      <w:pPr>
        <w:jc w:val="both"/>
      </w:pPr>
      <w:r>
        <w:t>F</w:t>
      </w:r>
      <w:r w:rsidR="00E77692">
        <w:t xml:space="preserve">inancování </w:t>
      </w:r>
      <w:r w:rsidR="007553C9">
        <w:t xml:space="preserve">vysokého </w:t>
      </w:r>
      <w:r w:rsidR="00E77692">
        <w:t xml:space="preserve">technického školství </w:t>
      </w:r>
      <w:r w:rsidR="007553C9">
        <w:t xml:space="preserve">je zajišťováno dle metodiky </w:t>
      </w:r>
      <w:r w:rsidR="00A0388A">
        <w:t>M</w:t>
      </w:r>
      <w:r w:rsidR="00E77692">
        <w:t>inisterstv</w:t>
      </w:r>
      <w:r w:rsidR="007553C9">
        <w:t>a</w:t>
      </w:r>
      <w:r w:rsidR="00E77692">
        <w:t xml:space="preserve"> školství, mládeže a tělovýchovy </w:t>
      </w:r>
      <w:r w:rsidR="00A0388A">
        <w:t xml:space="preserve">(dále jen „ministerstvo“) </w:t>
      </w:r>
      <w:r w:rsidR="007553C9">
        <w:t>založené na</w:t>
      </w:r>
      <w:r w:rsidR="00E77692">
        <w:t xml:space="preserve"> jednotné</w:t>
      </w:r>
      <w:r w:rsidR="007553C9">
        <w:t>m</w:t>
      </w:r>
      <w:r w:rsidR="00E77692">
        <w:t xml:space="preserve"> přístupu ke všem oblastem vzdělávání na vysokých školách (s</w:t>
      </w:r>
      <w:r w:rsidR="00C43455">
        <w:t> </w:t>
      </w:r>
      <w:r w:rsidR="00E77692">
        <w:t xml:space="preserve">jedinou významnější výjimkou, týkající se uměleckých vysokých škol). Z tohoto důvodu bude financování vysokého technického školství prezentováno </w:t>
      </w:r>
      <w:r>
        <w:t>v rámci</w:t>
      </w:r>
      <w:r w:rsidR="00E77692">
        <w:t xml:space="preserve"> popisu mechanismu financování celého segmentu veřejných vysokých škol. </w:t>
      </w:r>
      <w:r>
        <w:t>Pozice technických oborů v rámci celku</w:t>
      </w:r>
      <w:r w:rsidR="00C43455">
        <w:t>, pokud je možné ji vydělit,</w:t>
      </w:r>
      <w:r>
        <w:t xml:space="preserve"> </w:t>
      </w:r>
      <w:r w:rsidR="00C43455">
        <w:t>je uvedena v</w:t>
      </w:r>
      <w:r w:rsidR="00E77692">
        <w:t> jednotlivých částech informace</w:t>
      </w:r>
      <w:r w:rsidR="007553C9">
        <w:t xml:space="preserve"> </w:t>
      </w:r>
      <w:r w:rsidR="00E77692">
        <w:t>ve vazbě na popisovanou dílčí část problematiky</w:t>
      </w:r>
      <w:r w:rsidR="00C43455">
        <w:t>.</w:t>
      </w:r>
      <w:r w:rsidR="00E77692">
        <w:t xml:space="preserve">      </w:t>
      </w:r>
    </w:p>
    <w:p w:rsidR="00116DFF" w:rsidRDefault="00116DFF" w:rsidP="007056B0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E553B9">
        <w:rPr>
          <w:b/>
        </w:rPr>
        <w:t>Základní principy financování vysokých škol</w:t>
      </w:r>
    </w:p>
    <w:p w:rsidR="00E77692" w:rsidRDefault="00E77692" w:rsidP="00E77692">
      <w:pPr>
        <w:jc w:val="both"/>
      </w:pPr>
      <w:r>
        <w:t xml:space="preserve">Finanční prostředky státního rozpočtu kapitoly 333 jsou vysokým školám poskytovány </w:t>
      </w:r>
      <w:r w:rsidR="00C43455">
        <w:t>ministerstv</w:t>
      </w:r>
      <w:r w:rsidR="00A0388A">
        <w:t>em</w:t>
      </w:r>
      <w:r>
        <w:t xml:space="preserve"> na základě zákona č. 111/1998 Sb., o</w:t>
      </w:r>
      <w:r w:rsidR="003D1521">
        <w:t> </w:t>
      </w:r>
      <w:r>
        <w:t>vysokých školách a o změně a doplnění dalších zákonů (zákon o vysokých školách)</w:t>
      </w:r>
      <w:r w:rsidR="00A0388A">
        <w:t>,</w:t>
      </w:r>
      <w:r>
        <w:t xml:space="preserve"> (dále jen „zákon“), ve znění pozdějších předpisů, a to formou</w:t>
      </w:r>
    </w:p>
    <w:p w:rsidR="00E77692" w:rsidRDefault="00E77692" w:rsidP="008B03ED">
      <w:pPr>
        <w:ind w:left="709" w:hanging="709"/>
        <w:jc w:val="both"/>
      </w:pPr>
      <w:r>
        <w:t>a)</w:t>
      </w:r>
      <w:r>
        <w:tab/>
        <w:t>příspěvku na vzdělávací a vědeckou, výzkumnou, vývojovou a inovační, uměleckou nebo další tvůrčí činnost (dále jen „příspěvek“) podle § 18 odst. 3 zákona,</w:t>
      </w:r>
    </w:p>
    <w:p w:rsidR="00E77692" w:rsidRDefault="00E77692" w:rsidP="008B03ED">
      <w:pPr>
        <w:ind w:left="709" w:hanging="709"/>
        <w:jc w:val="both"/>
      </w:pPr>
      <w:r>
        <w:t>b)</w:t>
      </w:r>
      <w:r>
        <w:tab/>
        <w:t>dotace (dále jen „dotace“) podle § 18 odst. 5 zákona na rozvoj vysoké školy (dále jen „dotace na rozvoj“),</w:t>
      </w:r>
    </w:p>
    <w:p w:rsidR="00E77692" w:rsidRDefault="00E77692" w:rsidP="00E77692">
      <w:pPr>
        <w:jc w:val="both"/>
      </w:pPr>
      <w:r>
        <w:t>c)</w:t>
      </w:r>
      <w:r>
        <w:tab/>
        <w:t>dotace podle § 18 odst. 5 zákona zejména na ubytování a stravování studentů.</w:t>
      </w:r>
    </w:p>
    <w:p w:rsidR="00E77692" w:rsidRDefault="00E77692" w:rsidP="00E77692">
      <w:pPr>
        <w:jc w:val="both"/>
      </w:pPr>
      <w:r>
        <w:t xml:space="preserve">Na prostředky dle výše uvedených </w:t>
      </w:r>
      <w:r w:rsidR="007C14AC">
        <w:t>písm.</w:t>
      </w:r>
      <w:r>
        <w:t xml:space="preserve"> a) a b) má veřejná vysoká škola ze zákona nárok, zákon však nestanovuje výši těchto prostředků. V případě dle </w:t>
      </w:r>
      <w:r w:rsidR="007C14AC">
        <w:t>písm.</w:t>
      </w:r>
      <w:r>
        <w:t xml:space="preserve"> c) je v zákoně uvedeno, že ministerstvo tyto prostředky poskytnout může.</w:t>
      </w:r>
    </w:p>
    <w:p w:rsidR="00E77692" w:rsidRDefault="002B54A0" w:rsidP="00E77692">
      <w:pPr>
        <w:jc w:val="both"/>
      </w:pPr>
      <w:r>
        <w:t xml:space="preserve">Vysokým školám jsou z kapitoly 333 </w:t>
      </w:r>
      <w:r w:rsidR="007C14AC">
        <w:t>dále</w:t>
      </w:r>
      <w:r>
        <w:t xml:space="preserve"> poskytovány p</w:t>
      </w:r>
      <w:r w:rsidR="00E77692">
        <w:t>rostředky na výzkum a vývoj</w:t>
      </w:r>
      <w:r>
        <w:t xml:space="preserve">, a to </w:t>
      </w:r>
      <w:r w:rsidR="00E77692">
        <w:t>na základě zákona  130/2002 Sb. o podpoře výzkumu, experimentálního vývoje a inovací z veřejných prostředků a o změně některých souvisejících zákonů (zákon o podpoře výzkumu, ex</w:t>
      </w:r>
      <w:r>
        <w:t>perimentálního vývoje a inovací)</w:t>
      </w:r>
      <w:r w:rsidRPr="002B54A0">
        <w:t xml:space="preserve"> ve znění pozdějších předpisů</w:t>
      </w:r>
      <w:r>
        <w:t>.</w:t>
      </w:r>
    </w:p>
    <w:p w:rsidR="003E77E2" w:rsidRDefault="00E553B9" w:rsidP="001C106E">
      <w:pPr>
        <w:jc w:val="both"/>
      </w:pPr>
      <w:r>
        <w:t>P</w:t>
      </w:r>
      <w:r w:rsidRPr="00E553B9">
        <w:t>rostře</w:t>
      </w:r>
      <w:r>
        <w:t xml:space="preserve">dky </w:t>
      </w:r>
      <w:r w:rsidR="002B54A0">
        <w:t xml:space="preserve">vysokým školám </w:t>
      </w:r>
      <w:r>
        <w:t xml:space="preserve">podle </w:t>
      </w:r>
      <w:r w:rsidR="002F1423">
        <w:t>písm.</w:t>
      </w:r>
      <w:r>
        <w:t xml:space="preserve"> a)</w:t>
      </w:r>
      <w:r w:rsidR="00622D51">
        <w:t xml:space="preserve">, které přestavují cca </w:t>
      </w:r>
      <w:r w:rsidR="00A0388A">
        <w:t>18</w:t>
      </w:r>
      <w:r w:rsidR="00622D51">
        <w:t xml:space="preserve"> % výdajů kapitoly (stanoveno </w:t>
      </w:r>
      <w:r w:rsidR="00C43455">
        <w:t xml:space="preserve">ze </w:t>
      </w:r>
      <w:r w:rsidR="00622D51">
        <w:t>sou</w:t>
      </w:r>
      <w:r w:rsidR="002A2430">
        <w:t>č</w:t>
      </w:r>
      <w:r w:rsidR="00622D51">
        <w:t>t</w:t>
      </w:r>
      <w:r w:rsidR="00C43455">
        <w:t>u</w:t>
      </w:r>
      <w:r w:rsidR="00622D51">
        <w:t xml:space="preserve"> výdajů za posledních 5 let) j</w:t>
      </w:r>
      <w:r>
        <w:t>sou školám poskytovány prostřednictví</w:t>
      </w:r>
      <w:r w:rsidR="002B54A0">
        <w:t>m</w:t>
      </w:r>
      <w:r>
        <w:t xml:space="preserve"> několika ukazatelů, z nichž každý reflektuje určitou specifickou oblast či</w:t>
      </w:r>
      <w:r w:rsidR="003E77E2">
        <w:t>n</w:t>
      </w:r>
      <w:r>
        <w:t xml:space="preserve">nosti a finančních potřeb na zabezpečení </w:t>
      </w:r>
      <w:r w:rsidR="00A0388A">
        <w:t>chodu</w:t>
      </w:r>
      <w:r>
        <w:t xml:space="preserve"> veřejné vysoké škol</w:t>
      </w:r>
      <w:r w:rsidR="003E77E2">
        <w:t>y</w:t>
      </w:r>
      <w:r w:rsidR="00C43455">
        <w:t xml:space="preserve">. </w:t>
      </w:r>
    </w:p>
    <w:p w:rsidR="003E77E2" w:rsidRDefault="00C43455" w:rsidP="001C106E">
      <w:pPr>
        <w:jc w:val="both"/>
      </w:pPr>
      <w:r>
        <w:t>V</w:t>
      </w:r>
      <w:r w:rsidR="003E77E2">
        <w:t xml:space="preserve">ýdajové ukazatele </w:t>
      </w:r>
      <w:r>
        <w:t>dle písm</w:t>
      </w:r>
      <w:r w:rsidR="002F1423">
        <w:t>.</w:t>
      </w:r>
      <w:r>
        <w:t xml:space="preserve"> a) </w:t>
      </w:r>
      <w:r w:rsidR="003E77E2">
        <w:t>jsou rozděleny do 4 rozpočtových okruhů v následující struktuře:</w:t>
      </w:r>
    </w:p>
    <w:p w:rsidR="003E77E2" w:rsidRDefault="003E77E2" w:rsidP="002F1423">
      <w:pPr>
        <w:ind w:left="426"/>
        <w:jc w:val="both"/>
      </w:pPr>
      <w:r>
        <w:t>Rozpočtový okru</w:t>
      </w:r>
      <w:r w:rsidR="00622D51">
        <w:t>h</w:t>
      </w:r>
      <w:r>
        <w:t xml:space="preserve"> I – institucionální financování (</w:t>
      </w:r>
      <w:r w:rsidR="00622D51">
        <w:t>v rozp</w:t>
      </w:r>
      <w:r w:rsidR="00C43455">
        <w:t>očtu</w:t>
      </w:r>
      <w:r w:rsidR="00622D51">
        <w:t xml:space="preserve"> </w:t>
      </w:r>
      <w:r w:rsidR="007C14AC">
        <w:t xml:space="preserve">dle písm. a) </w:t>
      </w:r>
      <w:r w:rsidR="00622D51">
        <w:t>na r. 2015 cca 81%)</w:t>
      </w:r>
    </w:p>
    <w:p w:rsidR="00E553B9" w:rsidRDefault="003E77E2" w:rsidP="001C106E">
      <w:pPr>
        <w:pStyle w:val="Odstavecseseznamem"/>
        <w:numPr>
          <w:ilvl w:val="0"/>
          <w:numId w:val="4"/>
        </w:numPr>
        <w:jc w:val="both"/>
      </w:pPr>
      <w:r>
        <w:t xml:space="preserve">Ukazatel A - </w:t>
      </w:r>
      <w:r w:rsidRPr="003E77E2">
        <w:t>studijní programy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>
        <w:t>Ukazatel K – kvalita a výkon</w:t>
      </w:r>
    </w:p>
    <w:p w:rsidR="003E77E2" w:rsidRDefault="003E77E2" w:rsidP="001C106E">
      <w:pPr>
        <w:ind w:left="360"/>
        <w:jc w:val="both"/>
      </w:pPr>
      <w:r>
        <w:t>Rozpočtový okruh II – sociální záležitosti studentů</w:t>
      </w:r>
      <w:r w:rsidR="00622D51">
        <w:t xml:space="preserve"> (cca 11 %)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>
        <w:t>Ukazatel C – stipendia studentů doktorských studijních programů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>
        <w:t>Ukazatel J –</w:t>
      </w:r>
      <w:r w:rsidR="00A0388A">
        <w:t xml:space="preserve"> </w:t>
      </w:r>
      <w:r>
        <w:t>podpora studentského stravování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>
        <w:t>Ukazatel S – sociální stipendia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>
        <w:t>Ukazatel U – ubytovací stipendia</w:t>
      </w:r>
    </w:p>
    <w:p w:rsidR="003E77E2" w:rsidRDefault="003E77E2" w:rsidP="001C106E">
      <w:pPr>
        <w:ind w:left="360"/>
        <w:jc w:val="both"/>
      </w:pPr>
      <w:r>
        <w:t>Rozpočtový okruh III - r</w:t>
      </w:r>
      <w:r w:rsidRPr="003E77E2">
        <w:t>ozvoj vysokých ško</w:t>
      </w:r>
      <w:r>
        <w:t>l</w:t>
      </w:r>
      <w:r w:rsidR="00622D51">
        <w:t xml:space="preserve"> (cca 6 %)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>
        <w:t xml:space="preserve">Ukazatel I - </w:t>
      </w:r>
      <w:r w:rsidRPr="003E77E2">
        <w:t>rozvojové programy</w:t>
      </w:r>
    </w:p>
    <w:p w:rsidR="003E77E2" w:rsidRDefault="003E77E2" w:rsidP="001C106E">
      <w:pPr>
        <w:ind w:left="360"/>
        <w:jc w:val="both"/>
      </w:pPr>
      <w:r>
        <w:t>Rozpočtový okruh IV -m</w:t>
      </w:r>
      <w:r w:rsidRPr="003E77E2">
        <w:t>ezinárodní spolupráce a ostatní</w:t>
      </w:r>
      <w:r w:rsidR="00622D51">
        <w:t xml:space="preserve"> (cca 2 %)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 w:rsidRPr="003E77E2">
        <w:t>Ukazatel D - mezinárodní spolupráce</w:t>
      </w:r>
    </w:p>
    <w:p w:rsidR="003E77E2" w:rsidRDefault="003E77E2" w:rsidP="001C106E">
      <w:pPr>
        <w:pStyle w:val="Odstavecseseznamem"/>
        <w:numPr>
          <w:ilvl w:val="0"/>
          <w:numId w:val="4"/>
        </w:numPr>
        <w:jc w:val="both"/>
      </w:pPr>
      <w:r w:rsidRPr="003E77E2">
        <w:t>Ukazatel F - Fond vzdělávací politiky</w:t>
      </w:r>
    </w:p>
    <w:p w:rsidR="00C43455" w:rsidRDefault="00C43455" w:rsidP="001C106E">
      <w:pPr>
        <w:jc w:val="both"/>
      </w:pPr>
      <w:r w:rsidRPr="00C43455">
        <w:t>Pro stanovení výše poskytovaných částek v jednotlivých ukazatelích jsou používány rozdílné výpočtové postupy vycházející z odpovídajících souborů zdrojových dat.</w:t>
      </w:r>
    </w:p>
    <w:p w:rsidR="00C43455" w:rsidRDefault="00622D51" w:rsidP="002F1423">
      <w:pPr>
        <w:jc w:val="both"/>
      </w:pPr>
      <w:r>
        <w:t xml:space="preserve">Prostředky podle </w:t>
      </w:r>
      <w:r w:rsidR="00C43455">
        <w:t>písm</w:t>
      </w:r>
      <w:r w:rsidR="002F1423">
        <w:t>.</w:t>
      </w:r>
      <w:r>
        <w:t xml:space="preserve"> b</w:t>
      </w:r>
      <w:r w:rsidR="00C43455">
        <w:t>)</w:t>
      </w:r>
      <w:r>
        <w:t xml:space="preserve"> představují </w:t>
      </w:r>
      <w:r w:rsidR="00726214">
        <w:t xml:space="preserve">zejména </w:t>
      </w:r>
      <w:r>
        <w:t xml:space="preserve">výdaje programového financování EDS/SMVS. </w:t>
      </w:r>
      <w:r w:rsidR="00C43455">
        <w:t>Tyto p</w:t>
      </w:r>
      <w:r>
        <w:t>rostředky jsou školám poskytovány v souladu se schválenými dokumentacemi programů, které jsou zpracovávány na základě analýz a vyhodnocení situace materiálně technického zabezpečení celého segmentu veřejného vysokého školství, na základě dlouhodobých záměrů jednotlivých VVŠ a</w:t>
      </w:r>
      <w:r w:rsidR="003D1521">
        <w:t> </w:t>
      </w:r>
      <w:r>
        <w:t xml:space="preserve">s ohledem na </w:t>
      </w:r>
      <w:r w:rsidR="00726214">
        <w:t>dlouhodobý záměr ministerstva.</w:t>
      </w:r>
      <w:r w:rsidR="002F1423">
        <w:t xml:space="preserve"> </w:t>
      </w:r>
      <w:r w:rsidR="00C43455">
        <w:t>Dotace podle písm</w:t>
      </w:r>
      <w:r w:rsidR="002F1423">
        <w:t>.</w:t>
      </w:r>
      <w:r w:rsidR="00C43455">
        <w:t xml:space="preserve"> c) řeší pouze podporu studentského stravování</w:t>
      </w:r>
      <w:r w:rsidR="002F1423">
        <w:t>.</w:t>
      </w:r>
      <w:r w:rsidR="00C43455">
        <w:t xml:space="preserve"> </w:t>
      </w:r>
    </w:p>
    <w:p w:rsidR="00BE73A5" w:rsidRDefault="00726214" w:rsidP="00BE73A5">
      <w:pPr>
        <w:spacing w:after="60"/>
        <w:ind w:firstLine="284"/>
        <w:jc w:val="both"/>
      </w:pPr>
      <w:r>
        <w:t>Prostředky na výzkum a vývoj</w:t>
      </w:r>
      <w:r w:rsidR="005A45E9">
        <w:t xml:space="preserve"> poskytované vysokým školám jsou strukturovány na</w:t>
      </w:r>
      <w:r w:rsidR="00BE73A5">
        <w:t xml:space="preserve">: </w:t>
      </w:r>
    </w:p>
    <w:p w:rsidR="00630989" w:rsidRDefault="007C14AC" w:rsidP="007C14AC">
      <w:pPr>
        <w:spacing w:after="60"/>
        <w:ind w:left="360"/>
        <w:jc w:val="both"/>
      </w:pPr>
      <w:r>
        <w:t xml:space="preserve">- </w:t>
      </w:r>
      <w:r w:rsidR="003D1521">
        <w:t>i</w:t>
      </w:r>
      <w:r w:rsidR="00630989" w:rsidRPr="00630989">
        <w:t>nstitucionální podpor</w:t>
      </w:r>
      <w:r w:rsidR="002F1423">
        <w:t>u</w:t>
      </w:r>
      <w:r w:rsidR="00630989" w:rsidRPr="00630989">
        <w:t xml:space="preserve"> výzkumných organizací podle zhodnocení jimi dosažených výsledků</w:t>
      </w:r>
    </w:p>
    <w:p w:rsidR="00630989" w:rsidRDefault="007C14AC" w:rsidP="003D1521">
      <w:pPr>
        <w:spacing w:after="60"/>
        <w:ind w:left="360"/>
        <w:jc w:val="both"/>
      </w:pPr>
      <w:r>
        <w:t xml:space="preserve">- </w:t>
      </w:r>
      <w:r w:rsidR="003D1521">
        <w:t>ú</w:t>
      </w:r>
      <w:r w:rsidR="00630989" w:rsidRPr="00630989">
        <w:t>čelov</w:t>
      </w:r>
      <w:r w:rsidR="000333A0">
        <w:t>ou</w:t>
      </w:r>
      <w:r w:rsidR="00630989" w:rsidRPr="00630989">
        <w:t xml:space="preserve"> podpor</w:t>
      </w:r>
      <w:r w:rsidR="000333A0">
        <w:t>u</w:t>
      </w:r>
      <w:r w:rsidR="00630989">
        <w:t xml:space="preserve">, v tom </w:t>
      </w:r>
    </w:p>
    <w:p w:rsidR="00630989" w:rsidRDefault="00630989" w:rsidP="001C106E">
      <w:pPr>
        <w:spacing w:after="60"/>
        <w:ind w:left="360"/>
        <w:jc w:val="both"/>
      </w:pPr>
      <w:r>
        <w:t xml:space="preserve">        -  </w:t>
      </w:r>
      <w:r w:rsidRPr="00630989">
        <w:t>účel</w:t>
      </w:r>
      <w:r w:rsidR="00A0388A">
        <w:t>ová</w:t>
      </w:r>
      <w:r w:rsidRPr="00630989">
        <w:t xml:space="preserve"> podpora na programy aplikovaného výzkumu, exp</w:t>
      </w:r>
      <w:r w:rsidR="00A0388A">
        <w:t>erimentálního</w:t>
      </w:r>
      <w:r w:rsidRPr="00630989">
        <w:t xml:space="preserve"> vývoje a inovací</w:t>
      </w:r>
    </w:p>
    <w:p w:rsidR="002B54A0" w:rsidRDefault="00630989" w:rsidP="001C106E">
      <w:pPr>
        <w:spacing w:after="60"/>
        <w:ind w:left="360"/>
        <w:jc w:val="both"/>
      </w:pPr>
      <w:r>
        <w:t xml:space="preserve">     </w:t>
      </w:r>
      <w:r w:rsidR="002B54A0">
        <w:t xml:space="preserve"> </w:t>
      </w:r>
      <w:r>
        <w:t xml:space="preserve">  - </w:t>
      </w:r>
      <w:r w:rsidRPr="00630989">
        <w:t>specifický vysokoškolský výzkum</w:t>
      </w:r>
    </w:p>
    <w:p w:rsidR="00630989" w:rsidRDefault="002B54A0" w:rsidP="001C106E">
      <w:pPr>
        <w:spacing w:after="60"/>
        <w:ind w:left="360"/>
        <w:jc w:val="both"/>
      </w:pPr>
      <w:r>
        <w:t xml:space="preserve">        - velk</w:t>
      </w:r>
      <w:r w:rsidR="000333A0">
        <w:t>é</w:t>
      </w:r>
      <w:r>
        <w:t xml:space="preserve"> infrastruktur</w:t>
      </w:r>
      <w:r w:rsidR="000333A0">
        <w:t>y</w:t>
      </w:r>
      <w:r w:rsidR="007C14AC">
        <w:t>.</w:t>
      </w:r>
    </w:p>
    <w:p w:rsidR="000333A0" w:rsidRDefault="000333A0" w:rsidP="001C106E">
      <w:pPr>
        <w:spacing w:after="60"/>
        <w:ind w:left="360"/>
        <w:jc w:val="both"/>
      </w:pPr>
    </w:p>
    <w:p w:rsidR="00630989" w:rsidRDefault="00630989" w:rsidP="001C106E">
      <w:pPr>
        <w:spacing w:after="60"/>
        <w:ind w:left="360"/>
        <w:jc w:val="both"/>
      </w:pPr>
    </w:p>
    <w:p w:rsidR="007C14AC" w:rsidRDefault="007C14AC" w:rsidP="001C106E">
      <w:pPr>
        <w:spacing w:after="60"/>
        <w:ind w:left="360"/>
        <w:jc w:val="both"/>
      </w:pPr>
    </w:p>
    <w:p w:rsidR="00630989" w:rsidRDefault="00622D51" w:rsidP="001C106E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630989">
        <w:rPr>
          <w:b/>
        </w:rPr>
        <w:t xml:space="preserve">   </w:t>
      </w:r>
      <w:r w:rsidR="00630989" w:rsidRPr="00630989">
        <w:rPr>
          <w:b/>
        </w:rPr>
        <w:t>Institucionální prostředky poskytované na činnost vysokých škol</w:t>
      </w:r>
    </w:p>
    <w:p w:rsidR="00630989" w:rsidRDefault="00630989" w:rsidP="001C106E">
      <w:pPr>
        <w:jc w:val="both"/>
      </w:pPr>
      <w:r w:rsidRPr="006151C7">
        <w:t xml:space="preserve">Objem institucionálních prostředků na činnost se stanovuje na základě počtu </w:t>
      </w:r>
      <w:r w:rsidR="007C14AC">
        <w:t xml:space="preserve">financovaných </w:t>
      </w:r>
      <w:r w:rsidRPr="006151C7">
        <w:t>studentů v závislosti na ekonomické náročnosti jednotlivých studijních programů (ukazatel A</w:t>
      </w:r>
      <w:r w:rsidR="006151C7" w:rsidRPr="006151C7">
        <w:t xml:space="preserve"> – v rozp</w:t>
      </w:r>
      <w:r w:rsidR="002B54A0">
        <w:t>očtu</w:t>
      </w:r>
      <w:r w:rsidR="006151C7" w:rsidRPr="006151C7">
        <w:t xml:space="preserve"> výdajů na r. 2015 ve výši 76% </w:t>
      </w:r>
      <w:r w:rsidR="000333A0">
        <w:t>rozpočtového</w:t>
      </w:r>
      <w:r w:rsidR="006151C7" w:rsidRPr="006151C7">
        <w:t xml:space="preserve"> okruhu I) </w:t>
      </w:r>
      <w:r w:rsidRPr="006151C7">
        <w:t>a na výsledcích jednotlivých institucí v</w:t>
      </w:r>
      <w:r w:rsidR="007C14AC">
        <w:t> </w:t>
      </w:r>
      <w:r w:rsidRPr="006151C7">
        <w:t xml:space="preserve">indikátorech kvality </w:t>
      </w:r>
      <w:r w:rsidR="007C14AC">
        <w:t xml:space="preserve">a výkonu </w:t>
      </w:r>
      <w:r w:rsidR="006151C7" w:rsidRPr="006151C7">
        <w:t>(ukazatel K – v roce 2015 ve výši 24 % rozpočtového okruhu</w:t>
      </w:r>
      <w:r w:rsidR="007C14AC">
        <w:t xml:space="preserve"> I</w:t>
      </w:r>
      <w:r w:rsidR="006151C7" w:rsidRPr="006151C7">
        <w:t>).</w:t>
      </w:r>
    </w:p>
    <w:p w:rsidR="006151C7" w:rsidRDefault="006151C7" w:rsidP="001C106E">
      <w:pPr>
        <w:jc w:val="both"/>
      </w:pPr>
      <w:r>
        <w:t>Počty studentů pro ukazatel A jsou stanovovány na základě výstupů z informačního systému</w:t>
      </w:r>
      <w:r w:rsidR="000333A0">
        <w:t xml:space="preserve"> sdružujícího</w:t>
      </w:r>
      <w:r>
        <w:t xml:space="preserve"> informace z matrik studentů jednotlivých škol (dále jen </w:t>
      </w:r>
      <w:r w:rsidR="000333A0">
        <w:t>„</w:t>
      </w:r>
      <w:r>
        <w:t>SIMS</w:t>
      </w:r>
      <w:r w:rsidR="000333A0">
        <w:t>“</w:t>
      </w:r>
      <w:r>
        <w:t>) a počtů studentů, které jsou ministerstvem stanoveny v časovém předstih</w:t>
      </w:r>
      <w:r w:rsidR="002A2430">
        <w:t>u</w:t>
      </w:r>
      <w:r>
        <w:t xml:space="preserve"> před zahájením </w:t>
      </w:r>
      <w:r w:rsidR="002B54A0">
        <w:t>přijímacího řízení</w:t>
      </w:r>
      <w:r>
        <w:t>, jako limitní počty studentů, zahrnutých do financování pro příští rozpočtové období. Školy stanovením tohoto limitu nejsou omezovány ve své samosprávné působnosti přijmou</w:t>
      </w:r>
      <w:r w:rsidR="002A2430">
        <w:t>t</w:t>
      </w:r>
      <w:r>
        <w:t xml:space="preserve"> počty studentů dle vlastního rozhodnutí, dostávají však transparentní informaci o tom, jaký maximální počet vstoupí do financování. </w:t>
      </w:r>
    </w:p>
    <w:p w:rsidR="006151C7" w:rsidRDefault="006151C7" w:rsidP="007056B0">
      <w:pPr>
        <w:jc w:val="both"/>
      </w:pPr>
      <w:r>
        <w:t xml:space="preserve">Ekonomická náročnost studijního programu je vyjadřována tzv. koeficientem ekonomické náročnosti (dále jen </w:t>
      </w:r>
      <w:r w:rsidR="007A79A2">
        <w:t>„</w:t>
      </w:r>
      <w:r>
        <w:t>KEN</w:t>
      </w:r>
      <w:r w:rsidR="007A79A2">
        <w:t>“</w:t>
      </w:r>
      <w:r>
        <w:t>)</w:t>
      </w:r>
      <w:r w:rsidR="007C14AC">
        <w:t>,</w:t>
      </w:r>
      <w:r>
        <w:t xml:space="preserve"> což je poměrové číslo, vyjadřující ekonomickou náročnost každého akreditovaného studijního programu vzhlede</w:t>
      </w:r>
      <w:r w:rsidR="007A79A2">
        <w:t>m</w:t>
      </w:r>
      <w:r>
        <w:t xml:space="preserve"> k programu s koeficientem 1. Podrobnější pojednání o KEN je obsaženo v následující kapitole.</w:t>
      </w:r>
    </w:p>
    <w:p w:rsidR="00B609F7" w:rsidRDefault="006151C7" w:rsidP="007056B0">
      <w:pPr>
        <w:jc w:val="both"/>
      </w:pPr>
      <w:r>
        <w:t xml:space="preserve">Ukazatel K je tvořen souborem </w:t>
      </w:r>
      <w:r w:rsidR="000333A0">
        <w:t>indikátorů</w:t>
      </w:r>
      <w:r w:rsidR="00B609F7">
        <w:t>,</w:t>
      </w:r>
      <w:r w:rsidR="00591D0E">
        <w:t xml:space="preserve"> </w:t>
      </w:r>
      <w:r w:rsidR="00B609F7">
        <w:t xml:space="preserve">v nichž je v každém </w:t>
      </w:r>
      <w:r w:rsidR="007A79A2">
        <w:t>z nich</w:t>
      </w:r>
      <w:r w:rsidR="00B609F7">
        <w:t xml:space="preserve"> zjišťován podíl konkrétní školy na výsledcích za všechny školy. Zjištěné podíly v jednotlivých indikátorech jsou pro stanovení konečného podílu na rozdělovaných prostředcích prostřednictvím tohoto ukazatele započítány stanovenou váhou. </w:t>
      </w:r>
    </w:p>
    <w:p w:rsidR="00B609F7" w:rsidRPr="00B609F7" w:rsidRDefault="00B609F7" w:rsidP="007056B0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B609F7">
        <w:rPr>
          <w:b/>
        </w:rPr>
        <w:t>Koeficienty ekonomické náročnosti</w:t>
      </w:r>
    </w:p>
    <w:p w:rsidR="00B609F7" w:rsidRDefault="00B609F7" w:rsidP="007056B0">
      <w:pPr>
        <w:jc w:val="both"/>
      </w:pPr>
      <w:r w:rsidRPr="00B609F7">
        <w:t>Každému akreditovanému studijnímu programu je přiřazen KEN. KEN zohledňuje rozdílnou ekonomickou náročnost jednotlivých studijních programů (jde o relace mezi studijními programy, n</w:t>
      </w:r>
      <w:r w:rsidR="007C14AC">
        <w:t>ikoliv</w:t>
      </w:r>
      <w:r w:rsidRPr="00B609F7">
        <w:t xml:space="preserve"> o skutečnou ekonomickou náročnost v absolutní hodnotě); standardní řada KEN má tyto hodnoty: 1,00; 1,20; 1,65; 2,25; 2,80; 3,50; 5,90</w:t>
      </w:r>
      <w:r w:rsidR="007322F7">
        <w:t>.</w:t>
      </w:r>
    </w:p>
    <w:p w:rsidR="007322F7" w:rsidRDefault="007322F7" w:rsidP="007056B0">
      <w:pPr>
        <w:jc w:val="both"/>
      </w:pPr>
      <w:r w:rsidRPr="007322F7">
        <w:t xml:space="preserve">V případě nově </w:t>
      </w:r>
      <w:r w:rsidR="007C14AC">
        <w:t>akreditovaného</w:t>
      </w:r>
      <w:r w:rsidRPr="007322F7">
        <w:t xml:space="preserve"> studijního programu posoudí ministerstvo jeho ekonomickou náročnost a</w:t>
      </w:r>
      <w:r w:rsidR="003D1521">
        <w:t> </w:t>
      </w:r>
      <w:r w:rsidRPr="007322F7">
        <w:t>přiřadí mu jeden ze standardní řady KEN, který nejlépe vystihuje náročnost programu. Pokud je studijnímu programu prodloužena akreditace, aniž by se podmínky realizace studijního programu změnily, zůstává KEN beze změn</w:t>
      </w:r>
      <w:r>
        <w:t>.</w:t>
      </w:r>
    </w:p>
    <w:p w:rsidR="007322F7" w:rsidRDefault="007322F7" w:rsidP="007056B0">
      <w:pPr>
        <w:jc w:val="both"/>
      </w:pPr>
      <w:r>
        <w:t xml:space="preserve">Podíváme-li se na jednotlivé skupiny studijních programů, KEN studijních programů v oblasti přírodních věd a nauk se pohybuje v intervalu 1,2 </w:t>
      </w:r>
      <w:r w:rsidR="000333A0">
        <w:t>-</w:t>
      </w:r>
      <w:r>
        <w:t xml:space="preserve"> 2,8 (průměr </w:t>
      </w:r>
      <w:r w:rsidR="002952B2">
        <w:t xml:space="preserve">KEN z programů </w:t>
      </w:r>
      <w:r>
        <w:t xml:space="preserve">v této oblasti je </w:t>
      </w:r>
      <w:r w:rsidR="00830DA0">
        <w:t>2,1</w:t>
      </w:r>
      <w:r>
        <w:t xml:space="preserve">), v oblasti </w:t>
      </w:r>
      <w:r w:rsidR="00CF33A0">
        <w:t>t</w:t>
      </w:r>
      <w:r>
        <w:t xml:space="preserve">echnický věd a nauk rovněž </w:t>
      </w:r>
      <w:r w:rsidR="000333A0">
        <w:t xml:space="preserve">v intervalu </w:t>
      </w:r>
      <w:r>
        <w:t xml:space="preserve">1,2 </w:t>
      </w:r>
      <w:r w:rsidR="000333A0">
        <w:t>-</w:t>
      </w:r>
      <w:r>
        <w:t xml:space="preserve"> 2,8 (průměr = </w:t>
      </w:r>
      <w:r w:rsidR="00830DA0">
        <w:t>2,0</w:t>
      </w:r>
      <w:r>
        <w:t>), v oblasti zemědělsko-lesnických a</w:t>
      </w:r>
      <w:r w:rsidR="003D1521">
        <w:t> </w:t>
      </w:r>
      <w:r>
        <w:t xml:space="preserve">veterinárních věd a nauk v intervalu 1,2 </w:t>
      </w:r>
      <w:r w:rsidR="000333A0">
        <w:t>-</w:t>
      </w:r>
      <w:r>
        <w:t xml:space="preserve"> 3,5 (průměr = </w:t>
      </w:r>
      <w:r w:rsidR="00830DA0">
        <w:t>2,2</w:t>
      </w:r>
      <w:r>
        <w:t>), v oblasti zdravotnictví, lékařských a</w:t>
      </w:r>
      <w:r w:rsidR="003D1521">
        <w:t> </w:t>
      </w:r>
      <w:r>
        <w:t xml:space="preserve">farmaceutických věd 2,25 </w:t>
      </w:r>
      <w:r w:rsidR="000333A0">
        <w:t>-</w:t>
      </w:r>
      <w:r>
        <w:t xml:space="preserve"> 3,5 (průměr = </w:t>
      </w:r>
      <w:r w:rsidR="00830DA0">
        <w:t>2,6</w:t>
      </w:r>
      <w:r>
        <w:t xml:space="preserve">), v oblasti společenských věd, nauk a služeb v intervalu 1,00 </w:t>
      </w:r>
      <w:r w:rsidR="000333A0">
        <w:t>-</w:t>
      </w:r>
      <w:r>
        <w:t xml:space="preserve"> 1,65 </w:t>
      </w:r>
      <w:r w:rsidR="00830DA0">
        <w:t xml:space="preserve">(průměr 1,1) </w:t>
      </w:r>
      <w:r>
        <w:t xml:space="preserve">a v oblasti </w:t>
      </w:r>
      <w:r w:rsidR="00EA4AB0">
        <w:t xml:space="preserve">věd a nauk o kultuře a umění v intervalu 1,0 </w:t>
      </w:r>
      <w:r w:rsidR="000333A0">
        <w:t>-</w:t>
      </w:r>
      <w:r w:rsidR="00EA4AB0">
        <w:t xml:space="preserve"> 6,9 (průměr = </w:t>
      </w:r>
      <w:r w:rsidR="00830DA0">
        <w:t>3,2</w:t>
      </w:r>
      <w:r w:rsidR="00EA4AB0">
        <w:t>).</w:t>
      </w:r>
    </w:p>
    <w:p w:rsidR="00EA4AB0" w:rsidRDefault="00EA4AB0" w:rsidP="007056B0">
      <w:pPr>
        <w:jc w:val="both"/>
      </w:pPr>
      <w:r>
        <w:t xml:space="preserve">V současné době </w:t>
      </w:r>
      <w:r w:rsidR="000333A0">
        <w:t>je</w:t>
      </w:r>
      <w:r>
        <w:t xml:space="preserve"> v rámci </w:t>
      </w:r>
      <w:r w:rsidR="000333A0">
        <w:t xml:space="preserve">individuálního projektu národního </w:t>
      </w:r>
      <w:r>
        <w:t xml:space="preserve">IPN </w:t>
      </w:r>
      <w:proofErr w:type="spellStart"/>
      <w:r>
        <w:t>Kredo</w:t>
      </w:r>
      <w:proofErr w:type="spellEnd"/>
      <w:r>
        <w:t xml:space="preserve">, jako jedno z řešených témat, </w:t>
      </w:r>
      <w:r w:rsidR="000333A0">
        <w:t>prováděna analýza</w:t>
      </w:r>
      <w:r>
        <w:t xml:space="preserve"> </w:t>
      </w:r>
      <w:r w:rsidR="000333A0">
        <w:t xml:space="preserve">nastavených </w:t>
      </w:r>
      <w:r>
        <w:t>KEN s ohledem na jejich již několikaleté používání při probíhajících dynamických změnách</w:t>
      </w:r>
      <w:r w:rsidR="007A79A2">
        <w:t>, zejména v nákladové struktuře realizovaných studijních programů</w:t>
      </w:r>
      <w:r>
        <w:t xml:space="preserve">. </w:t>
      </w:r>
      <w:r w:rsidR="007C14AC">
        <w:t>Výstup z analýzy dosud není k dispozici.</w:t>
      </w:r>
      <w:r>
        <w:t xml:space="preserve">  </w:t>
      </w:r>
    </w:p>
    <w:p w:rsidR="00EA4AB0" w:rsidRPr="00EA4AB0" w:rsidRDefault="00EA4AB0" w:rsidP="007056B0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 w:rsidRPr="00EA4AB0">
        <w:rPr>
          <w:b/>
        </w:rPr>
        <w:t>Indikátory kvality a výkonu</w:t>
      </w:r>
    </w:p>
    <w:p w:rsidR="00591D0E" w:rsidRDefault="006151C7" w:rsidP="007056B0">
      <w:pPr>
        <w:jc w:val="both"/>
      </w:pPr>
      <w:r>
        <w:t xml:space="preserve"> </w:t>
      </w:r>
      <w:r w:rsidR="00591D0E">
        <w:t>Pro rok 2015 se jedná o následující soubor</w:t>
      </w:r>
      <w:r w:rsidR="00B609F7">
        <w:t xml:space="preserve"> indikátorů </w:t>
      </w:r>
      <w:r w:rsidR="007C14AC">
        <w:t xml:space="preserve">s přiřazenými </w:t>
      </w:r>
      <w:r w:rsidR="00B609F7">
        <w:t>v</w:t>
      </w:r>
      <w:r w:rsidR="007C14AC">
        <w:t>áhami</w:t>
      </w:r>
      <w:r w:rsidR="00591D0E">
        <w:t>:</w:t>
      </w:r>
    </w:p>
    <w:p w:rsidR="001C106E" w:rsidRDefault="001C106E" w:rsidP="007056B0">
      <w:pPr>
        <w:jc w:val="both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7088"/>
        <w:gridCol w:w="1275"/>
      </w:tblGrid>
      <w:tr w:rsidR="00EA4AB0" w:rsidRPr="00591D0E" w:rsidTr="002A2430">
        <w:trPr>
          <w:trHeight w:val="2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AB0" w:rsidRDefault="00EA4AB0" w:rsidP="00591D0E">
            <w:pPr>
              <w:spacing w:after="0" w:line="240" w:lineRule="auto"/>
              <w:jc w:val="both"/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B0" w:rsidRPr="00591D0E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20"/>
                <w:lang w:eastAsia="cs-CZ"/>
              </w:rPr>
            </w:pPr>
            <w:r>
              <w:t xml:space="preserve"> </w:t>
            </w:r>
            <w:r w:rsidRPr="00591D0E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20"/>
                <w:lang w:eastAsia="cs-CZ"/>
              </w:rPr>
              <w:t>Indikátory kvality a výkonu pro ukazatel 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AB0" w:rsidRPr="00591D0E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20"/>
                <w:lang w:eastAsia="cs-CZ"/>
              </w:rPr>
            </w:pPr>
            <w:r w:rsidRPr="00591D0E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20"/>
                <w:lang w:eastAsia="cs-CZ"/>
              </w:rPr>
              <w:t>100 %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Výsledky výzkumu, vývoje a inovací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34,3 %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Výsledky umělecké činnosti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3,5 %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Účelová neinvestiční podpora výzkumu, vývoje a inovací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4 %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Vlastní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4 %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Kvalifikační struktura akademických pracovníků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2,6 %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Zaměstnanost absolventů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16 %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Zahraniční studenti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2,6 %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Samoplátci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4 %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B0" w:rsidRPr="000376AB" w:rsidRDefault="00EA4AB0" w:rsidP="00EA4AB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 xml:space="preserve">Studenti vyslaní v rámci </w:t>
            </w:r>
            <w:proofErr w:type="spellStart"/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mobilitních</w:t>
            </w:r>
            <w:proofErr w:type="spellEnd"/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 xml:space="preserve"> programů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14,5 %</w:t>
            </w:r>
          </w:p>
        </w:tc>
      </w:tr>
      <w:tr w:rsidR="00EA4AB0" w:rsidRPr="00591D0E" w:rsidTr="002A2430">
        <w:trPr>
          <w:trHeight w:val="22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4AB0" w:rsidRPr="000376AB" w:rsidRDefault="009D2E77" w:rsidP="009D2E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 xml:space="preserve">Studenti přijatí v rámci </w:t>
            </w:r>
            <w:proofErr w:type="spellStart"/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mobilitních</w:t>
            </w:r>
            <w:proofErr w:type="spellEnd"/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 xml:space="preserve"> programů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4AB0" w:rsidRPr="000376AB" w:rsidRDefault="00EA4AB0" w:rsidP="00591D0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</w:pPr>
            <w:r w:rsidRPr="000376A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cs-CZ"/>
              </w:rPr>
              <w:t>14,5 %</w:t>
            </w:r>
          </w:p>
        </w:tc>
      </w:tr>
    </w:tbl>
    <w:p w:rsidR="006151C7" w:rsidRDefault="006151C7" w:rsidP="00630989"/>
    <w:p w:rsidR="00B609F7" w:rsidRDefault="00EA4AB0" w:rsidP="007056B0">
      <w:pPr>
        <w:jc w:val="both"/>
      </w:pPr>
      <w:r>
        <w:t xml:space="preserve">Jako zdroje vstupních dat pro uvedené indikátory jsou používány výstupy hodnocení RIV </w:t>
      </w:r>
      <w:r w:rsidR="00A0388A">
        <w:t xml:space="preserve">– </w:t>
      </w:r>
      <w:r w:rsidR="003A6B65">
        <w:t>R</w:t>
      </w:r>
      <w:r w:rsidR="00A0388A">
        <w:t xml:space="preserve">ejstřík informací o výsledcích </w:t>
      </w:r>
      <w:r w:rsidR="003A6B65">
        <w:t xml:space="preserve">Rady pro výzkum, vývoj a inovace </w:t>
      </w:r>
      <w:r>
        <w:t>(ad 1), databáze výstupů umělecké činnosti RUV</w:t>
      </w:r>
      <w:r w:rsidR="003A6B65">
        <w:t xml:space="preserve"> – Registr uměleckých výstupů</w:t>
      </w:r>
      <w:r>
        <w:t xml:space="preserve"> (ad 2), výroční zprávy o hospodaření veřejných vysokých škol (ad 3 a 4), </w:t>
      </w:r>
      <w:r w:rsidR="003A6B65">
        <w:t xml:space="preserve">REDOP - </w:t>
      </w:r>
      <w:r>
        <w:t>databáze docentů a profesorů (ad 5), údaje o zaměstnanosti absolventů vycházející z údajů úřadů práce prezentovaných na webových stránkách MPSV (ad 6) a výstupy databáze SIMS (ad 7</w:t>
      </w:r>
      <w:r w:rsidR="002952B2">
        <w:t xml:space="preserve"> až</w:t>
      </w:r>
      <w:r>
        <w:t xml:space="preserve"> 10).</w:t>
      </w:r>
    </w:p>
    <w:p w:rsidR="001C106E" w:rsidRDefault="001C106E" w:rsidP="007056B0">
      <w:pPr>
        <w:jc w:val="both"/>
      </w:pPr>
    </w:p>
    <w:p w:rsidR="00CF33A0" w:rsidRDefault="00CF33A0" w:rsidP="00CF33A0">
      <w:pPr>
        <w:pStyle w:val="Odstavecseseznamem"/>
        <w:numPr>
          <w:ilvl w:val="0"/>
          <w:numId w:val="2"/>
        </w:numPr>
        <w:ind w:left="567" w:hanging="425"/>
        <w:rPr>
          <w:b/>
        </w:rPr>
      </w:pPr>
      <w:r w:rsidRPr="00CF33A0">
        <w:rPr>
          <w:b/>
        </w:rPr>
        <w:t>Vývoj počtu studentů</w:t>
      </w:r>
    </w:p>
    <w:p w:rsidR="00BA16C6" w:rsidRDefault="00BA16C6" w:rsidP="002A2430">
      <w:pPr>
        <w:jc w:val="both"/>
      </w:pPr>
      <w:r>
        <w:t xml:space="preserve">Pokud se týká </w:t>
      </w:r>
      <w:r w:rsidR="00CF33A0" w:rsidRPr="00CF33A0">
        <w:t>počtu studentů na vysokých školách</w:t>
      </w:r>
      <w:r>
        <w:t>, jak již bylo výše zmíněno, jejich celkové počty a</w:t>
      </w:r>
      <w:r w:rsidR="003D1521">
        <w:t> </w:t>
      </w:r>
      <w:r>
        <w:t>strukturu po jednotlivých studijních programech a skupinách studijních programů určují v rámci své samosprávné působnosti vysoké školy.</w:t>
      </w:r>
      <w:r w:rsidR="002B54A0">
        <w:t xml:space="preserve"> </w:t>
      </w:r>
      <w:r>
        <w:t>M</w:t>
      </w:r>
      <w:r w:rsidR="003A6B65">
        <w:t>inisterstvo</w:t>
      </w:r>
      <w:r>
        <w:t xml:space="preserve"> sice v posledních cca </w:t>
      </w:r>
      <w:r w:rsidR="003A6B65">
        <w:t>pě</w:t>
      </w:r>
      <w:r>
        <w:t>ti letech v souladu s dlouhodobým záměrem ministerstva pro oblast vysokých škol zavádí regulační mechanismy limitováním počtu financovaných studentů, tato regulace je ovšem opět možná jen na úrovn</w:t>
      </w:r>
      <w:r w:rsidR="007C14AC">
        <w:t>i</w:t>
      </w:r>
      <w:r>
        <w:t xml:space="preserve"> škol jako celku. </w:t>
      </w:r>
    </w:p>
    <w:p w:rsidR="00BA16C6" w:rsidRDefault="00BA16C6" w:rsidP="002A2430">
      <w:pPr>
        <w:jc w:val="both"/>
      </w:pPr>
      <w:r>
        <w:t xml:space="preserve">Podíl studentů studujících v technických oborech a jejich vývoj v letech lze zjistit z údajů matrik jednotlivých škol, pro účely </w:t>
      </w:r>
      <w:r w:rsidR="003A6B65">
        <w:t>ministerstva</w:t>
      </w:r>
      <w:r>
        <w:t xml:space="preserve"> vedených v</w:t>
      </w:r>
      <w:r w:rsidR="003A6B65">
        <w:t xml:space="preserve"> SIMS</w:t>
      </w:r>
      <w:r>
        <w:t>.</w:t>
      </w:r>
    </w:p>
    <w:p w:rsidR="00CF33A0" w:rsidRPr="00CF33A0" w:rsidRDefault="00BA16C6" w:rsidP="00CF33A0">
      <w:r>
        <w:t xml:space="preserve">Vývoj počtu fyzických studentů na VVŠ </w:t>
      </w:r>
      <w:r w:rsidR="00CF33A0" w:rsidRPr="00CF33A0"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3D00D4" w:rsidRPr="008B0498" w:rsidTr="009D17C4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3D00D4" w:rsidRPr="008B0498" w:rsidRDefault="003D00D4" w:rsidP="00E2273E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3D00D4" w:rsidRPr="008B0498" w:rsidRDefault="003D00D4" w:rsidP="00E2273E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2014</w:t>
            </w:r>
          </w:p>
        </w:tc>
      </w:tr>
      <w:tr w:rsidR="003D00D4" w:rsidRPr="008B0498" w:rsidTr="009D17C4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Počet fyzických studentů VVŠ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252 837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272 007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293 351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311 817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328 341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342 938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349 794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349 720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344 158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335 318</w:t>
            </w:r>
          </w:p>
        </w:tc>
      </w:tr>
    </w:tbl>
    <w:p w:rsidR="003D00D4" w:rsidRDefault="003D00D4" w:rsidP="00CF33A0"/>
    <w:p w:rsidR="00224417" w:rsidRDefault="00224417" w:rsidP="00CF33A0"/>
    <w:p w:rsidR="00CF33A0" w:rsidRPr="00CF33A0" w:rsidRDefault="00CF33A0" w:rsidP="00CF33A0">
      <w:r w:rsidRPr="00CF33A0">
        <w:t xml:space="preserve">Vývoj počtu financovaných studentů na veřejných vysokých školách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3D00D4" w:rsidRPr="008B0498" w:rsidTr="009D17C4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3D00D4" w:rsidRPr="008B0498" w:rsidRDefault="003D00D4" w:rsidP="00E2273E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3D00D4" w:rsidRPr="008B0498" w:rsidRDefault="003D00D4" w:rsidP="00E2273E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2014</w:t>
            </w:r>
          </w:p>
        </w:tc>
      </w:tr>
      <w:tr w:rsidR="003D00D4" w:rsidRPr="008B0498" w:rsidTr="009D17C4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Počet financovaných studentů VVŠ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245 292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261 365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280 755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297 929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305 619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315 674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317 176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319 191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303 323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E2273E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288 847</w:t>
            </w:r>
          </w:p>
        </w:tc>
      </w:tr>
    </w:tbl>
    <w:p w:rsidR="003D00D4" w:rsidRDefault="003D00D4" w:rsidP="003D00D4"/>
    <w:p w:rsidR="00CF33A0" w:rsidRPr="00CF33A0" w:rsidRDefault="00CF33A0" w:rsidP="00CF33A0">
      <w:r w:rsidRPr="00CF33A0">
        <w:t xml:space="preserve">Vývoj počtu </w:t>
      </w:r>
      <w:r w:rsidR="000A5243">
        <w:t>aktivních studií</w:t>
      </w:r>
      <w:r w:rsidR="00F86F68">
        <w:rPr>
          <w:rStyle w:val="Znakapoznpodarou"/>
        </w:rPr>
        <w:footnoteReference w:id="2"/>
      </w:r>
      <w:r w:rsidRPr="00CF33A0">
        <w:t xml:space="preserve"> na veřejných vysokých školách</w:t>
      </w:r>
      <w:r w:rsidR="000A5243">
        <w:t xml:space="preserve">, </w:t>
      </w:r>
      <w:r w:rsidR="00BA16C6">
        <w:t>z toho</w:t>
      </w:r>
      <w:r w:rsidR="000A5243">
        <w:t xml:space="preserve"> počet aktivních studií technických oborů</w:t>
      </w:r>
      <w:r w:rsidRPr="00CF33A0">
        <w:t>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3D00D4" w:rsidRPr="008B0498" w:rsidTr="002A2430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3D00D4" w:rsidRPr="008B0498" w:rsidRDefault="003D00D4" w:rsidP="00E2273E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3D00D4" w:rsidRPr="008B0498" w:rsidRDefault="003D00D4" w:rsidP="00E2273E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3D00D4" w:rsidRPr="008B0498" w:rsidRDefault="003D00D4" w:rsidP="00E2273E">
            <w:r w:rsidRPr="008B0498">
              <w:t>2014</w:t>
            </w:r>
          </w:p>
        </w:tc>
      </w:tr>
      <w:tr w:rsidR="008B03ED" w:rsidRPr="008B0498" w:rsidTr="008B03ED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B03ED" w:rsidRPr="003D00D4" w:rsidRDefault="008B03ED" w:rsidP="000A5243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Počet</w:t>
            </w:r>
            <w:r>
              <w:rPr>
                <w:sz w:val="16"/>
                <w:szCs w:val="16"/>
              </w:rPr>
              <w:t xml:space="preserve"> aktivních</w:t>
            </w:r>
            <w:r w:rsidRPr="003D00D4">
              <w:rPr>
                <w:sz w:val="16"/>
                <w:szCs w:val="16"/>
              </w:rPr>
              <w:t xml:space="preserve"> stud</w:t>
            </w:r>
            <w:r>
              <w:rPr>
                <w:sz w:val="16"/>
                <w:szCs w:val="16"/>
              </w:rPr>
              <w:t>ií</w:t>
            </w:r>
            <w:r w:rsidRPr="003D00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 </w:t>
            </w:r>
            <w:r w:rsidRPr="003D00D4">
              <w:rPr>
                <w:sz w:val="16"/>
                <w:szCs w:val="16"/>
              </w:rPr>
              <w:t>VVŠ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283 176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307 151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328 144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346 833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362 050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368 610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368 113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360 851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351 270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4"/>
                <w:szCs w:val="14"/>
              </w:rPr>
            </w:pPr>
            <w:r w:rsidRPr="008B03ED">
              <w:rPr>
                <w:sz w:val="14"/>
                <w:szCs w:val="14"/>
              </w:rPr>
              <w:t>334 054</w:t>
            </w:r>
          </w:p>
        </w:tc>
      </w:tr>
      <w:tr w:rsidR="008B03ED" w:rsidRPr="008B0498" w:rsidTr="008B03ED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B03ED" w:rsidRPr="003D00D4" w:rsidRDefault="008B03ED" w:rsidP="00E2273E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Počet</w:t>
            </w:r>
            <w:r>
              <w:rPr>
                <w:sz w:val="16"/>
                <w:szCs w:val="16"/>
              </w:rPr>
              <w:t xml:space="preserve"> aktivních</w:t>
            </w:r>
            <w:r w:rsidRPr="003D00D4">
              <w:rPr>
                <w:sz w:val="16"/>
                <w:szCs w:val="16"/>
              </w:rPr>
              <w:t xml:space="preserve"> stud</w:t>
            </w:r>
            <w:r>
              <w:rPr>
                <w:sz w:val="16"/>
                <w:szCs w:val="16"/>
              </w:rPr>
              <w:t>ií</w:t>
            </w:r>
            <w:r w:rsidRPr="003D00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 w:rsidR="003B4A0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tech</w:t>
            </w:r>
            <w:r w:rsidR="003B4A06">
              <w:rPr>
                <w:sz w:val="16"/>
                <w:szCs w:val="16"/>
              </w:rPr>
              <w:t xml:space="preserve">nických </w:t>
            </w:r>
            <w:r>
              <w:rPr>
                <w:sz w:val="16"/>
                <w:szCs w:val="16"/>
              </w:rPr>
              <w:t xml:space="preserve"> oborech </w:t>
            </w:r>
            <w:r w:rsidRPr="003D00D4">
              <w:rPr>
                <w:sz w:val="16"/>
                <w:szCs w:val="16"/>
              </w:rPr>
              <w:t>VVŠ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77 436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82 912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85 582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87 637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89 588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89 627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88 206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86 047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85 111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80 321</w:t>
            </w:r>
          </w:p>
        </w:tc>
      </w:tr>
      <w:tr w:rsidR="008B03ED" w:rsidRPr="008B0498" w:rsidTr="008B03ED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B03ED" w:rsidRPr="003D00D4" w:rsidRDefault="008B03ED" w:rsidP="00E22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Podíl tech</w:t>
            </w:r>
            <w:r w:rsidR="003B4A06">
              <w:rPr>
                <w:sz w:val="16"/>
                <w:szCs w:val="16"/>
              </w:rPr>
              <w:t>nických</w:t>
            </w:r>
            <w:r>
              <w:rPr>
                <w:sz w:val="16"/>
                <w:szCs w:val="16"/>
              </w:rPr>
              <w:t xml:space="preserve"> </w:t>
            </w:r>
            <w:r w:rsidR="003B4A06">
              <w:rPr>
                <w:sz w:val="16"/>
                <w:szCs w:val="16"/>
              </w:rPr>
              <w:t xml:space="preserve">oborů </w:t>
            </w:r>
            <w:r>
              <w:rPr>
                <w:sz w:val="16"/>
                <w:szCs w:val="16"/>
              </w:rPr>
              <w:t>na všech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27,35%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26,99%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26,08%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25,27%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24,74%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24,31%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23,96%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23,85%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24,23%</w:t>
            </w:r>
          </w:p>
        </w:tc>
        <w:tc>
          <w:tcPr>
            <w:tcW w:w="718" w:type="dxa"/>
            <w:noWrap/>
            <w:vAlign w:val="center"/>
          </w:tcPr>
          <w:p w:rsidR="008B03ED" w:rsidRPr="008B03ED" w:rsidRDefault="008B03ED" w:rsidP="008B03ED">
            <w:pPr>
              <w:jc w:val="center"/>
              <w:rPr>
                <w:sz w:val="16"/>
                <w:szCs w:val="16"/>
              </w:rPr>
            </w:pPr>
            <w:r w:rsidRPr="008B03ED">
              <w:rPr>
                <w:sz w:val="16"/>
                <w:szCs w:val="16"/>
              </w:rPr>
              <w:t>24,04%</w:t>
            </w:r>
          </w:p>
        </w:tc>
      </w:tr>
    </w:tbl>
    <w:p w:rsidR="003D00D4" w:rsidRDefault="003D00D4" w:rsidP="003D00D4"/>
    <w:p w:rsidR="00591D0E" w:rsidRDefault="00591D0E" w:rsidP="00630989"/>
    <w:p w:rsidR="00CF33A0" w:rsidRDefault="00CF33A0" w:rsidP="00CF33A0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 w:rsidRPr="00CF33A0">
        <w:rPr>
          <w:b/>
        </w:rPr>
        <w:t>Vývoj financování</w:t>
      </w:r>
    </w:p>
    <w:p w:rsidR="00E030BE" w:rsidRDefault="00AC2EDC" w:rsidP="007056B0">
      <w:pPr>
        <w:jc w:val="both"/>
      </w:pPr>
      <w:r>
        <w:t xml:space="preserve">Objem finančních prostředků poskytovaných </w:t>
      </w:r>
      <w:r w:rsidR="00140111">
        <w:t>vysoký</w:t>
      </w:r>
      <w:r>
        <w:t>m školám</w:t>
      </w:r>
      <w:r w:rsidR="00140111">
        <w:t xml:space="preserve"> v</w:t>
      </w:r>
      <w:r>
        <w:t xml:space="preserve"> první polovině posledních deseti let meziročně v absolutních částkách rostl, </w:t>
      </w:r>
      <w:r w:rsidR="00E030BE">
        <w:t>v druhé polovině po počátečním výrazném poklesu spíše stagnuje. Při porovnání ročních objemů s hodnotami HDP prvních pět let ukazuje zhruba stabilní stav, v letech 2009 – 2014 se však jedná o výrazný pokles. Obdobné trendy jsou při přepočtu poskytovaných prostředků na jednoho studenta, byť zde v po</w:t>
      </w:r>
      <w:r w:rsidR="00E2273E">
        <w:t>s</w:t>
      </w:r>
      <w:r w:rsidR="00E030BE">
        <w:t>ledním roce a zejména pak v roce 2015, který není do tabulky zahrnut</w:t>
      </w:r>
      <w:r w:rsidR="00E2273E">
        <w:t>,</w:t>
      </w:r>
      <w:r w:rsidR="00E030BE">
        <w:t xml:space="preserve"> dochází </w:t>
      </w:r>
      <w:r w:rsidR="00E2273E">
        <w:t xml:space="preserve">k růstu této hodnoty </w:t>
      </w:r>
      <w:r w:rsidR="00E030BE">
        <w:t xml:space="preserve">v důsledku projevujícího se efektu regulačních opatření </w:t>
      </w:r>
      <w:r w:rsidR="003A6B65">
        <w:t>ministerstva</w:t>
      </w:r>
      <w:r w:rsidR="00E030BE">
        <w:t xml:space="preserve">. </w:t>
      </w:r>
    </w:p>
    <w:p w:rsidR="00E030BE" w:rsidRDefault="00BA16C6" w:rsidP="007056B0">
      <w:pPr>
        <w:jc w:val="both"/>
      </w:pPr>
      <w:r>
        <w:t xml:space="preserve">Na rozdíl od předchozí kapitoly </w:t>
      </w:r>
      <w:r w:rsidR="00E030BE">
        <w:t>srovnání oblast</w:t>
      </w:r>
      <w:r>
        <w:t>i</w:t>
      </w:r>
      <w:r w:rsidR="00E030BE">
        <w:t xml:space="preserve"> technického vzdělávání </w:t>
      </w:r>
      <w:r>
        <w:t xml:space="preserve">s celkem </w:t>
      </w:r>
      <w:r w:rsidR="00E030BE">
        <w:t xml:space="preserve">nelze </w:t>
      </w:r>
      <w:r w:rsidR="00E030BE" w:rsidRPr="001E7A3F">
        <w:t>provést, neboť ministerstvem</w:t>
      </w:r>
      <w:r w:rsidR="00E030BE">
        <w:t xml:space="preserve"> „kontrolovaný“ pohyb prostředků státního rozpočtu směrem ke školám končí na úrovni </w:t>
      </w:r>
      <w:r w:rsidR="003A6B65">
        <w:t>veřejných vysokých škol</w:t>
      </w:r>
      <w:r w:rsidR="00E030BE">
        <w:t xml:space="preserve"> jako celku (rektorátu) a další rozdělování v rámci vzdělávací instituce je v rámci samosprávné působnosti </w:t>
      </w:r>
      <w:r w:rsidR="003A6B65">
        <w:t>veřejn</w:t>
      </w:r>
      <w:r w:rsidR="00B74633">
        <w:t>ých</w:t>
      </w:r>
      <w:r w:rsidR="003A6B65">
        <w:t xml:space="preserve"> vysok</w:t>
      </w:r>
      <w:r w:rsidR="00B74633">
        <w:t>ých škol</w:t>
      </w:r>
      <w:r w:rsidR="00E030BE">
        <w:t xml:space="preserve"> plně v</w:t>
      </w:r>
      <w:r w:rsidR="00B74633">
        <w:t xml:space="preserve"> jejich </w:t>
      </w:r>
      <w:r w:rsidR="00E030BE">
        <w:t xml:space="preserve">kompetenci. </w:t>
      </w:r>
      <w:r w:rsidR="001E7A3F">
        <w:t xml:space="preserve">Za situace, kdy </w:t>
      </w:r>
      <w:r w:rsidR="001E7A3F" w:rsidRPr="001E7A3F">
        <w:t xml:space="preserve">většina </w:t>
      </w:r>
      <w:r w:rsidR="00B74633">
        <w:t xml:space="preserve">veřejných </w:t>
      </w:r>
      <w:r w:rsidR="001E7A3F" w:rsidRPr="001E7A3F">
        <w:t xml:space="preserve">vysokých škol </w:t>
      </w:r>
      <w:r w:rsidR="001E7A3F">
        <w:t>p</w:t>
      </w:r>
      <w:r w:rsidR="001E7A3F" w:rsidRPr="001E7A3F">
        <w:t xml:space="preserve">ůsobí </w:t>
      </w:r>
      <w:r w:rsidR="001E7A3F">
        <w:t xml:space="preserve">ve více </w:t>
      </w:r>
      <w:r w:rsidR="001E7A3F" w:rsidRPr="001E7A3F">
        <w:t>skupin</w:t>
      </w:r>
      <w:r w:rsidR="001E7A3F">
        <w:t>ách</w:t>
      </w:r>
      <w:r w:rsidR="001E7A3F" w:rsidRPr="001E7A3F">
        <w:t xml:space="preserve"> studijních programů</w:t>
      </w:r>
      <w:r w:rsidR="001E7A3F">
        <w:t xml:space="preserve"> (určitou výjimkou jsou umělecké vysoké školy) nelze částky</w:t>
      </w:r>
      <w:r w:rsidR="00B74633">
        <w:t>, které školy</w:t>
      </w:r>
      <w:r w:rsidR="001E7A3F">
        <w:t xml:space="preserve"> využíva</w:t>
      </w:r>
      <w:r w:rsidR="00B74633">
        <w:t>jí</w:t>
      </w:r>
      <w:r w:rsidR="001E7A3F">
        <w:t xml:space="preserve"> pro vzdělávání v konkrétní skupině programů</w:t>
      </w:r>
      <w:r w:rsidR="00B74633">
        <w:t>,</w:t>
      </w:r>
      <w:r w:rsidR="001E7A3F">
        <w:t xml:space="preserve"> zjistit. </w:t>
      </w:r>
      <w:r w:rsidR="00B74633">
        <w:t>T</w:t>
      </w:r>
      <w:r w:rsidR="001E7A3F">
        <w:t>oto platí i pro školy, u</w:t>
      </w:r>
      <w:r w:rsidR="003D1521">
        <w:t> </w:t>
      </w:r>
      <w:r w:rsidR="001E7A3F">
        <w:t xml:space="preserve">kterých by jejich název mohl svádět k opačnému závěru. </w:t>
      </w:r>
      <w:r w:rsidR="00B74633">
        <w:t>Jako příklad lze uvést</w:t>
      </w:r>
      <w:r w:rsidR="001E7A3F">
        <w:t xml:space="preserve"> struktur</w:t>
      </w:r>
      <w:r w:rsidR="00B74633">
        <w:t>u</w:t>
      </w:r>
      <w:r w:rsidR="001E7A3F">
        <w:t xml:space="preserve"> studentů na ČVUT (z dat r.</w:t>
      </w:r>
      <w:r w:rsidR="003D1521">
        <w:t> </w:t>
      </w:r>
      <w:r w:rsidR="001E7A3F">
        <w:t>2014)</w:t>
      </w:r>
      <w:r w:rsidR="00B74633">
        <w:t xml:space="preserve">, kde </w:t>
      </w:r>
      <w:r w:rsidR="001E7A3F">
        <w:t>je</w:t>
      </w:r>
      <w:r w:rsidR="00B74633">
        <w:t xml:space="preserve"> s</w:t>
      </w:r>
      <w:r w:rsidR="007C14AC">
        <w:t>tav</w:t>
      </w:r>
      <w:r w:rsidR="00B74633">
        <w:t xml:space="preserve"> následující</w:t>
      </w:r>
      <w:r w:rsidR="001E7A3F">
        <w:t xml:space="preserve">: technické vědy 79 % studentů, přírodní vědy 13 % studentů, zdravotnické a lékařské vědy 2,5 %, ekonomické vědy 4 % studentů a ostatní </w:t>
      </w:r>
      <w:r>
        <w:t>vědy a nauky</w:t>
      </w:r>
      <w:r w:rsidR="00B74633">
        <w:t xml:space="preserve"> 1,5 % studentů</w:t>
      </w:r>
      <w:r>
        <w:t>.</w:t>
      </w:r>
    </w:p>
    <w:p w:rsidR="001C106E" w:rsidRDefault="00086CF0" w:rsidP="007056B0">
      <w:pPr>
        <w:jc w:val="both"/>
      </w:pPr>
      <w:r>
        <w:t xml:space="preserve">V následujících tabulkách jsou v časových řadách za posledních </w:t>
      </w:r>
      <w:r w:rsidR="005A3553">
        <w:t>deset</w:t>
      </w:r>
      <w:r>
        <w:t xml:space="preserve"> let uvedeny objemy finančních prostředků poskyt</w:t>
      </w:r>
      <w:r w:rsidR="005A3553">
        <w:t>nutých</w:t>
      </w:r>
      <w:r>
        <w:t xml:space="preserve"> vysokým školám prostřednictvím kapitoly </w:t>
      </w:r>
      <w:r w:rsidR="005A3553">
        <w:t>333</w:t>
      </w:r>
      <w:r>
        <w:t xml:space="preserve"> na činnost</w:t>
      </w:r>
      <w:r w:rsidR="00224417">
        <w:t>,</w:t>
      </w:r>
      <w:r>
        <w:t xml:space="preserve"> na výzkum a</w:t>
      </w:r>
      <w:r w:rsidR="003D1521">
        <w:t> </w:t>
      </w:r>
      <w:r>
        <w:t>vývoj</w:t>
      </w:r>
      <w:r w:rsidR="00224417">
        <w:t xml:space="preserve"> a o</w:t>
      </w:r>
      <w:r>
        <w:t>d roku 200</w:t>
      </w:r>
      <w:r w:rsidR="003B4A06">
        <w:t>9</w:t>
      </w:r>
      <w:r>
        <w:t xml:space="preserve"> </w:t>
      </w:r>
      <w:r w:rsidR="003B4A06">
        <w:t xml:space="preserve">i </w:t>
      </w:r>
      <w:r>
        <w:t xml:space="preserve">prostředky poskytované přes kapitolu 333 </w:t>
      </w:r>
      <w:r w:rsidR="005A3553">
        <w:t xml:space="preserve">na </w:t>
      </w:r>
      <w:r>
        <w:t>operační program</w:t>
      </w:r>
      <w:r w:rsidR="005A3553">
        <w:t xml:space="preserve">y </w:t>
      </w:r>
      <w:r w:rsidR="00224417">
        <w:t xml:space="preserve">Vzdělání pro konkurenceschopnost (OP VK) a Výzkum a vývoj pro inovace (OP </w:t>
      </w:r>
      <w:proofErr w:type="spellStart"/>
      <w:r w:rsidR="00224417">
        <w:t>VaVpI</w:t>
      </w:r>
      <w:proofErr w:type="spellEnd"/>
      <w:r w:rsidR="00224417">
        <w:t>)</w:t>
      </w:r>
      <w:r>
        <w:t>.</w:t>
      </w:r>
    </w:p>
    <w:p w:rsidR="00086CF0" w:rsidRDefault="00086CF0" w:rsidP="007056B0">
      <w:pPr>
        <w:jc w:val="both"/>
      </w:pPr>
      <w:r>
        <w:t xml:space="preserve">U výdajů na činnost vysokých škol jsou dále </w:t>
      </w:r>
      <w:r w:rsidR="00224417">
        <w:t xml:space="preserve">v jednotlivých letech </w:t>
      </w:r>
      <w:r>
        <w:t xml:space="preserve">uvedeny </w:t>
      </w:r>
      <w:r w:rsidR="00224417">
        <w:t>jejich podíly</w:t>
      </w:r>
      <w:r>
        <w:t xml:space="preserve"> </w:t>
      </w:r>
      <w:r w:rsidR="00224417">
        <w:t>na HDP a</w:t>
      </w:r>
      <w:r w:rsidR="003D1521">
        <w:t> </w:t>
      </w:r>
      <w:r w:rsidR="00224417">
        <w:t>přepočty těchto výdajů na jednoho financovaného, resp. fyzického studenta.</w:t>
      </w:r>
      <w:r>
        <w:t xml:space="preserve"> </w:t>
      </w:r>
    </w:p>
    <w:p w:rsidR="001D3CF6" w:rsidRDefault="00CF33A0" w:rsidP="007056B0">
      <w:pPr>
        <w:jc w:val="both"/>
      </w:pPr>
      <w:r w:rsidRPr="001D3CF6">
        <w:t xml:space="preserve">Vývoj finančních prostředků, poskytnutých </w:t>
      </w:r>
      <w:r w:rsidR="001D3CF6" w:rsidRPr="001D3CF6">
        <w:t>na činnost vysokých škol (včetně programového financování) ve finančním vyjádření</w:t>
      </w:r>
      <w:r w:rsidR="009D6677">
        <w:t xml:space="preserve"> (v mil. Kč)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8B0498" w:rsidRPr="008B0498" w:rsidTr="002A2430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8B0498" w:rsidRPr="008B0498" w:rsidRDefault="008B0498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8B0498" w:rsidRPr="008B0498" w:rsidRDefault="008B0498" w:rsidP="008B0498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8B0498" w:rsidRPr="008B0498" w:rsidRDefault="008B0498" w:rsidP="008B0498">
            <w:r w:rsidRPr="008B0498">
              <w:t>2014</w:t>
            </w:r>
          </w:p>
        </w:tc>
      </w:tr>
      <w:tr w:rsidR="008B0498" w:rsidRPr="008B0498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B0498" w:rsidRPr="008B0498" w:rsidRDefault="008B0498" w:rsidP="008B0498">
            <w:pPr>
              <w:jc w:val="center"/>
              <w:rPr>
                <w:sz w:val="16"/>
                <w:szCs w:val="16"/>
              </w:rPr>
            </w:pPr>
            <w:r w:rsidRPr="008B0498">
              <w:rPr>
                <w:sz w:val="16"/>
                <w:szCs w:val="16"/>
              </w:rPr>
              <w:t>Výdaje na VVŠ (bez programového financování)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B0498" w:rsidRPr="009D6677" w:rsidRDefault="008B0498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16</w:t>
            </w:r>
            <w:r w:rsidR="009D6677" w:rsidRPr="009D6677">
              <w:rPr>
                <w:sz w:val="16"/>
                <w:szCs w:val="16"/>
              </w:rPr>
              <w:t> </w:t>
            </w:r>
            <w:r w:rsidRPr="009D6677">
              <w:rPr>
                <w:sz w:val="16"/>
                <w:szCs w:val="16"/>
              </w:rPr>
              <w:t>72</w:t>
            </w:r>
            <w:r w:rsidR="009D6677" w:rsidRPr="009D6677">
              <w:rPr>
                <w:sz w:val="16"/>
                <w:szCs w:val="16"/>
              </w:rPr>
              <w:t>2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8B0498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19 064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8B0498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20 3</w:t>
            </w:r>
            <w:r w:rsidR="009D6677" w:rsidRPr="009D6677">
              <w:rPr>
                <w:sz w:val="16"/>
                <w:szCs w:val="16"/>
              </w:rPr>
              <w:t>50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21 080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21 904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20 815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20 161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18 859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19 809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19 907</w:t>
            </w:r>
          </w:p>
        </w:tc>
      </w:tr>
      <w:tr w:rsidR="008B0498" w:rsidRPr="008B0498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B0498" w:rsidRPr="008B0498" w:rsidRDefault="008B0498" w:rsidP="008B0498">
            <w:pPr>
              <w:jc w:val="center"/>
              <w:rPr>
                <w:sz w:val="16"/>
                <w:szCs w:val="16"/>
              </w:rPr>
            </w:pPr>
            <w:r w:rsidRPr="008B0498">
              <w:rPr>
                <w:sz w:val="16"/>
                <w:szCs w:val="16"/>
              </w:rPr>
              <w:t>Programové financování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3 412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3 148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2 513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3 022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2 736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2 634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2 263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2 363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1 995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1 864</w:t>
            </w:r>
          </w:p>
        </w:tc>
      </w:tr>
      <w:tr w:rsidR="008B0498" w:rsidRPr="008B0498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B0498" w:rsidRPr="008B0498" w:rsidRDefault="008B0498" w:rsidP="008B0498">
            <w:pPr>
              <w:jc w:val="center"/>
              <w:rPr>
                <w:sz w:val="16"/>
                <w:szCs w:val="16"/>
              </w:rPr>
            </w:pPr>
            <w:r w:rsidRPr="008B0498">
              <w:rPr>
                <w:sz w:val="16"/>
                <w:szCs w:val="16"/>
              </w:rPr>
              <w:t>Výdaje celkem (mil. Kč)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20 134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22 212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22 863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24 102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24 640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23 449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22 424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21 222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21 804</w:t>
            </w:r>
          </w:p>
        </w:tc>
        <w:tc>
          <w:tcPr>
            <w:tcW w:w="718" w:type="dxa"/>
            <w:noWrap/>
            <w:vAlign w:val="center"/>
            <w:hideMark/>
          </w:tcPr>
          <w:p w:rsidR="008B0498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21 771</w:t>
            </w:r>
          </w:p>
        </w:tc>
      </w:tr>
      <w:tr w:rsidR="003D00D4" w:rsidRPr="008B0498" w:rsidTr="001C4D07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0D4" w:rsidRPr="008B0498" w:rsidRDefault="003D00D4" w:rsidP="008B0498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HDP (mil. Kč)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3 257 972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3 507 131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3 831 819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4 015 346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3 921 827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3 953 651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4 022 410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4 047 675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4 086 260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2"/>
                <w:szCs w:val="12"/>
              </w:rPr>
            </w:pPr>
            <w:r w:rsidRPr="003D00D4">
              <w:rPr>
                <w:sz w:val="12"/>
                <w:szCs w:val="12"/>
              </w:rPr>
              <w:t>4 284 000</w:t>
            </w:r>
          </w:p>
        </w:tc>
      </w:tr>
      <w:tr w:rsidR="003D00D4" w:rsidRPr="008B0498" w:rsidTr="001C4D07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0D4" w:rsidRPr="008B0498" w:rsidRDefault="003D00D4" w:rsidP="008B0498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podíl výdajů na VVŠ k HDP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0,62%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0,63%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0,60%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0,60%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0,63%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0,59%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0,56%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0,52%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0,53%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0,51%</w:t>
            </w:r>
          </w:p>
        </w:tc>
      </w:tr>
    </w:tbl>
    <w:p w:rsidR="008B0498" w:rsidRDefault="008B0498" w:rsidP="00CF33A0"/>
    <w:p w:rsidR="001D3CF6" w:rsidRDefault="001D3CF6" w:rsidP="00CF33A0">
      <w:r w:rsidRPr="001D3CF6">
        <w:t xml:space="preserve"> Dtto v přepočtu na financovaného studenta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9D6677" w:rsidRPr="008B0498" w:rsidTr="002A2430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D6677" w:rsidRPr="008B0498" w:rsidRDefault="009D6677" w:rsidP="009D6677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9D6677" w:rsidRPr="008B0498" w:rsidRDefault="009D6677" w:rsidP="009D6677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9D6677" w:rsidRPr="008B0498" w:rsidRDefault="009D6677" w:rsidP="009D6677">
            <w:r w:rsidRPr="008B0498">
              <w:t>2014</w:t>
            </w:r>
          </w:p>
        </w:tc>
      </w:tr>
      <w:tr w:rsidR="009D6677" w:rsidRPr="008B0498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D6677" w:rsidRPr="008B0498" w:rsidRDefault="009D6677" w:rsidP="009D6677">
            <w:pPr>
              <w:jc w:val="center"/>
              <w:rPr>
                <w:sz w:val="16"/>
                <w:szCs w:val="16"/>
              </w:rPr>
            </w:pPr>
            <w:r w:rsidRPr="008B0498">
              <w:rPr>
                <w:sz w:val="16"/>
                <w:szCs w:val="16"/>
              </w:rPr>
              <w:t>Výdaje celkem (mil. Kč)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20 134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22 212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22 863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24 102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24 640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23 449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22 424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21 222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21 804</w:t>
            </w:r>
          </w:p>
        </w:tc>
        <w:tc>
          <w:tcPr>
            <w:tcW w:w="718" w:type="dxa"/>
            <w:noWrap/>
            <w:vAlign w:val="center"/>
            <w:hideMark/>
          </w:tcPr>
          <w:p w:rsidR="009D6677" w:rsidRPr="009D6677" w:rsidRDefault="009D6677" w:rsidP="009D6677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21 771</w:t>
            </w:r>
          </w:p>
        </w:tc>
      </w:tr>
      <w:tr w:rsidR="003D00D4" w:rsidRPr="008B0498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Počet financovaných studentů VVŠ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245 292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261 365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280 755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297 929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305 619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315 674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317 176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319 191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303 323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4"/>
                <w:szCs w:val="14"/>
              </w:rPr>
            </w:pPr>
            <w:r w:rsidRPr="003D00D4">
              <w:rPr>
                <w:sz w:val="14"/>
                <w:szCs w:val="14"/>
              </w:rPr>
              <w:t>288 847</w:t>
            </w:r>
          </w:p>
        </w:tc>
      </w:tr>
      <w:tr w:rsidR="003D00D4" w:rsidRPr="008B0498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Výdaje na VVŠ na 1 financovaného studenta (Kč)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82 083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84 987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81 434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80 898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80 624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74 283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70 699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66 486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71 883</w:t>
            </w:r>
          </w:p>
        </w:tc>
        <w:tc>
          <w:tcPr>
            <w:tcW w:w="718" w:type="dxa"/>
            <w:noWrap/>
            <w:vAlign w:val="center"/>
          </w:tcPr>
          <w:p w:rsidR="003D00D4" w:rsidRPr="003D00D4" w:rsidRDefault="003D00D4" w:rsidP="003D00D4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>75 371</w:t>
            </w:r>
          </w:p>
        </w:tc>
      </w:tr>
    </w:tbl>
    <w:p w:rsidR="003D00D4" w:rsidRDefault="003D00D4" w:rsidP="00CF33A0"/>
    <w:p w:rsidR="00CF33A0" w:rsidRDefault="001D3CF6" w:rsidP="00CF33A0">
      <w:r w:rsidRPr="001D3CF6">
        <w:t>Dtto v přepočtu na fyzického studenta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7056B0" w:rsidRPr="008B0498" w:rsidTr="002A2430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056B0" w:rsidRPr="008B0498" w:rsidRDefault="007056B0" w:rsidP="00E2273E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7056B0" w:rsidRPr="008B0498" w:rsidRDefault="007056B0" w:rsidP="00E2273E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7056B0" w:rsidRPr="008B0498" w:rsidRDefault="007056B0" w:rsidP="00E2273E">
            <w:r w:rsidRPr="008B0498">
              <w:t>2014</w:t>
            </w:r>
          </w:p>
        </w:tc>
      </w:tr>
      <w:tr w:rsidR="007056B0" w:rsidRPr="009D6677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056B0" w:rsidRPr="008B0498" w:rsidRDefault="007056B0" w:rsidP="00E2273E">
            <w:pPr>
              <w:jc w:val="center"/>
              <w:rPr>
                <w:sz w:val="16"/>
                <w:szCs w:val="16"/>
              </w:rPr>
            </w:pPr>
            <w:r w:rsidRPr="008B0498">
              <w:rPr>
                <w:sz w:val="16"/>
                <w:szCs w:val="16"/>
              </w:rPr>
              <w:t>Výdaje celkem (mil. Kč)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20 134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22 212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22 863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24 102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24 640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23 449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22 424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21 222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21 804</w:t>
            </w:r>
          </w:p>
        </w:tc>
        <w:tc>
          <w:tcPr>
            <w:tcW w:w="718" w:type="dxa"/>
            <w:noWrap/>
            <w:vAlign w:val="center"/>
            <w:hideMark/>
          </w:tcPr>
          <w:p w:rsidR="007056B0" w:rsidRPr="009D6677" w:rsidRDefault="007056B0" w:rsidP="00E2273E">
            <w:pPr>
              <w:jc w:val="center"/>
              <w:rPr>
                <w:sz w:val="16"/>
                <w:szCs w:val="16"/>
              </w:rPr>
            </w:pPr>
            <w:r w:rsidRPr="009D6677">
              <w:rPr>
                <w:sz w:val="16"/>
                <w:szCs w:val="16"/>
              </w:rPr>
              <w:t>21 771</w:t>
            </w:r>
          </w:p>
        </w:tc>
      </w:tr>
      <w:tr w:rsidR="007056B0" w:rsidRPr="003D00D4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056B0" w:rsidRPr="007056B0" w:rsidRDefault="007056B0" w:rsidP="007056B0">
            <w:pPr>
              <w:jc w:val="center"/>
              <w:rPr>
                <w:sz w:val="16"/>
                <w:szCs w:val="16"/>
              </w:rPr>
            </w:pPr>
            <w:r w:rsidRPr="007056B0">
              <w:rPr>
                <w:sz w:val="16"/>
                <w:szCs w:val="16"/>
              </w:rPr>
              <w:t>Počet fyzických studentů VVŠ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252 837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272 007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293 351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311 817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328 341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342 938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349 794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349 720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344 158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335 318</w:t>
            </w:r>
          </w:p>
        </w:tc>
      </w:tr>
      <w:tr w:rsidR="007056B0" w:rsidRPr="003D00D4" w:rsidTr="002A2430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056B0" w:rsidRPr="003D00D4" w:rsidRDefault="007056B0" w:rsidP="007056B0">
            <w:pPr>
              <w:jc w:val="center"/>
              <w:rPr>
                <w:sz w:val="16"/>
                <w:szCs w:val="16"/>
              </w:rPr>
            </w:pPr>
            <w:r w:rsidRPr="003D00D4">
              <w:rPr>
                <w:sz w:val="16"/>
                <w:szCs w:val="16"/>
              </w:rPr>
              <w:t xml:space="preserve">Výdaje na VVŠ na 1 </w:t>
            </w:r>
            <w:r>
              <w:rPr>
                <w:sz w:val="16"/>
                <w:szCs w:val="16"/>
              </w:rPr>
              <w:t>fyzického</w:t>
            </w:r>
            <w:r w:rsidRPr="003D00D4">
              <w:rPr>
                <w:sz w:val="16"/>
                <w:szCs w:val="16"/>
              </w:rPr>
              <w:t xml:space="preserve"> studenta (Kč)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79 634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81 662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77 937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77 295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75 045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68 377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64 106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60 682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63 354</w:t>
            </w:r>
          </w:p>
        </w:tc>
        <w:tc>
          <w:tcPr>
            <w:tcW w:w="718" w:type="dxa"/>
            <w:noWrap/>
            <w:vAlign w:val="center"/>
          </w:tcPr>
          <w:p w:rsidR="007056B0" w:rsidRPr="007056B0" w:rsidRDefault="007056B0" w:rsidP="007056B0">
            <w:pPr>
              <w:jc w:val="center"/>
              <w:rPr>
                <w:sz w:val="14"/>
                <w:szCs w:val="14"/>
              </w:rPr>
            </w:pPr>
            <w:r w:rsidRPr="007056B0">
              <w:rPr>
                <w:sz w:val="14"/>
                <w:szCs w:val="14"/>
              </w:rPr>
              <w:t>64 926</w:t>
            </w:r>
          </w:p>
        </w:tc>
      </w:tr>
    </w:tbl>
    <w:p w:rsidR="007056B0" w:rsidRDefault="007056B0" w:rsidP="007056B0">
      <w:pPr>
        <w:ind w:left="66"/>
        <w:rPr>
          <w:b/>
        </w:rPr>
      </w:pPr>
    </w:p>
    <w:p w:rsidR="00B84453" w:rsidRPr="008B0498" w:rsidRDefault="009D1CCB" w:rsidP="00B84453">
      <w:r>
        <w:t xml:space="preserve">Finanční prostředky poskytnuté VVŠ na </w:t>
      </w:r>
      <w:proofErr w:type="spellStart"/>
      <w:r>
        <w:t>VaV</w:t>
      </w:r>
      <w:proofErr w:type="spellEnd"/>
      <w:r w:rsidR="00B84453" w:rsidRPr="008B0498">
        <w:t> </w:t>
      </w:r>
      <w:r>
        <w:t xml:space="preserve"> (mil. Kč)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9D1CCB" w:rsidRPr="008B0498" w:rsidTr="00E2273E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B84453" w:rsidRPr="008B0498" w:rsidRDefault="00B84453" w:rsidP="00E2273E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B84453" w:rsidRPr="008B0498" w:rsidRDefault="00B84453" w:rsidP="00E2273E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B84453" w:rsidRPr="008B0498" w:rsidRDefault="00B84453" w:rsidP="00E2273E">
            <w:r w:rsidRPr="008B0498">
              <w:t>2014</w:t>
            </w:r>
          </w:p>
        </w:tc>
      </w:tr>
      <w:tr w:rsidR="009D1CCB" w:rsidRPr="003D00D4" w:rsidTr="00F742BA">
        <w:trPr>
          <w:trHeight w:val="449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D1CCB" w:rsidRPr="003D00D4" w:rsidRDefault="009D1CCB" w:rsidP="00E2273E">
            <w:pPr>
              <w:jc w:val="center"/>
              <w:rPr>
                <w:sz w:val="16"/>
                <w:szCs w:val="16"/>
              </w:rPr>
            </w:pPr>
            <w:r w:rsidRPr="009D1CCB">
              <w:rPr>
                <w:sz w:val="16"/>
                <w:szCs w:val="16"/>
              </w:rPr>
              <w:t xml:space="preserve">Finanční prostředky poskytnuté VVŠ na </w:t>
            </w:r>
            <w:proofErr w:type="spellStart"/>
            <w:r w:rsidRPr="009D1CCB">
              <w:rPr>
                <w:sz w:val="16"/>
                <w:szCs w:val="16"/>
              </w:rPr>
              <w:t>VaV</w:t>
            </w:r>
            <w:proofErr w:type="spellEnd"/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4 171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4 761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5 323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5 457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6 417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6 350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8 149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9 272</w:t>
            </w:r>
          </w:p>
        </w:tc>
        <w:tc>
          <w:tcPr>
            <w:tcW w:w="718" w:type="dxa"/>
            <w:noWrap/>
            <w:vAlign w:val="center"/>
          </w:tcPr>
          <w:p w:rsidR="009D1CCB" w:rsidRPr="009D1CCB" w:rsidRDefault="009D1CCB" w:rsidP="009D1CCB">
            <w:pPr>
              <w:jc w:val="center"/>
              <w:rPr>
                <w:sz w:val="18"/>
                <w:szCs w:val="18"/>
              </w:rPr>
            </w:pPr>
            <w:r w:rsidRPr="009D1CCB">
              <w:rPr>
                <w:sz w:val="18"/>
                <w:szCs w:val="18"/>
              </w:rPr>
              <w:t>9</w:t>
            </w:r>
            <w:r w:rsidR="00F742BA">
              <w:rPr>
                <w:sz w:val="18"/>
                <w:szCs w:val="18"/>
              </w:rPr>
              <w:t> </w:t>
            </w:r>
            <w:r w:rsidRPr="009D1CCB">
              <w:rPr>
                <w:sz w:val="18"/>
                <w:szCs w:val="18"/>
              </w:rPr>
              <w:t>626</w:t>
            </w:r>
          </w:p>
        </w:tc>
        <w:tc>
          <w:tcPr>
            <w:tcW w:w="718" w:type="dxa"/>
            <w:noWrap/>
            <w:vAlign w:val="center"/>
          </w:tcPr>
          <w:p w:rsidR="00F742BA" w:rsidRPr="009D1CCB" w:rsidRDefault="00F742BA" w:rsidP="00F74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8 248</w:t>
            </w:r>
          </w:p>
        </w:tc>
      </w:tr>
    </w:tbl>
    <w:p w:rsidR="00B84453" w:rsidRDefault="00B84453" w:rsidP="00B84453"/>
    <w:p w:rsidR="00224417" w:rsidRDefault="00224417" w:rsidP="00B84453">
      <w:r>
        <w:t xml:space="preserve">Finanční prostředky poskytnuté na OP VK a OP </w:t>
      </w:r>
      <w:proofErr w:type="spellStart"/>
      <w:r>
        <w:t>VaVpI</w:t>
      </w:r>
      <w:proofErr w:type="spellEnd"/>
      <w:r>
        <w:t xml:space="preserve"> (mil. Kč)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7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224417" w:rsidRPr="008B0498" w:rsidTr="00E2273E">
        <w:trPr>
          <w:trHeight w:val="300"/>
        </w:trPr>
        <w:tc>
          <w:tcPr>
            <w:tcW w:w="21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224417" w:rsidRPr="008B0498" w:rsidRDefault="00224417" w:rsidP="00E2273E">
            <w:r w:rsidRPr="008B0498">
              <w:t> </w:t>
            </w:r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hideMark/>
          </w:tcPr>
          <w:p w:rsidR="00224417" w:rsidRPr="008B0498" w:rsidRDefault="00224417" w:rsidP="00E2273E">
            <w:r w:rsidRPr="008B0498">
              <w:t>2005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2006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2007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2008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2009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2010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2011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2012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2013</w:t>
            </w:r>
          </w:p>
        </w:tc>
        <w:tc>
          <w:tcPr>
            <w:tcW w:w="718" w:type="dxa"/>
            <w:noWrap/>
            <w:hideMark/>
          </w:tcPr>
          <w:p w:rsidR="00224417" w:rsidRPr="008B0498" w:rsidRDefault="00224417" w:rsidP="00E2273E">
            <w:r w:rsidRPr="008B0498">
              <w:t>2014</w:t>
            </w:r>
          </w:p>
        </w:tc>
      </w:tr>
      <w:tr w:rsidR="003E263A" w:rsidRPr="009D1CCB" w:rsidTr="003B4A06">
        <w:trPr>
          <w:trHeight w:val="300"/>
        </w:trPr>
        <w:tc>
          <w:tcPr>
            <w:tcW w:w="210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E263A" w:rsidRPr="003D00D4" w:rsidRDefault="003E263A" w:rsidP="00224417">
            <w:pPr>
              <w:jc w:val="center"/>
              <w:rPr>
                <w:sz w:val="16"/>
                <w:szCs w:val="16"/>
              </w:rPr>
            </w:pPr>
            <w:r w:rsidRPr="009D1CCB">
              <w:rPr>
                <w:sz w:val="16"/>
                <w:szCs w:val="16"/>
              </w:rPr>
              <w:t xml:space="preserve">Finanční prostředky </w:t>
            </w:r>
            <w:r>
              <w:rPr>
                <w:sz w:val="16"/>
                <w:szCs w:val="16"/>
              </w:rPr>
              <w:t xml:space="preserve">na OP VK a  OP </w:t>
            </w:r>
            <w:proofErr w:type="spellStart"/>
            <w:r>
              <w:rPr>
                <w:sz w:val="16"/>
                <w:szCs w:val="16"/>
              </w:rPr>
              <w:t>VaVpI</w:t>
            </w:r>
            <w:proofErr w:type="spellEnd"/>
          </w:p>
        </w:tc>
        <w:tc>
          <w:tcPr>
            <w:tcW w:w="719" w:type="dxa"/>
            <w:tcBorders>
              <w:left w:val="single" w:sz="12" w:space="0" w:color="auto"/>
            </w:tcBorders>
            <w:noWrap/>
            <w:vAlign w:val="center"/>
          </w:tcPr>
          <w:p w:rsidR="003E263A" w:rsidRPr="003B4A06" w:rsidRDefault="003E263A" w:rsidP="00E2273E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E2273E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E2273E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E2273E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3B4A06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1 447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3B4A06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2 365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3B4A06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10 449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3B4A06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10 171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3B4A06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>10 378</w:t>
            </w:r>
          </w:p>
        </w:tc>
        <w:tc>
          <w:tcPr>
            <w:tcW w:w="718" w:type="dxa"/>
            <w:noWrap/>
            <w:vAlign w:val="center"/>
          </w:tcPr>
          <w:p w:rsidR="003E263A" w:rsidRPr="003B4A06" w:rsidRDefault="003E263A" w:rsidP="003B4A06">
            <w:pPr>
              <w:jc w:val="center"/>
              <w:rPr>
                <w:sz w:val="18"/>
                <w:szCs w:val="18"/>
              </w:rPr>
            </w:pPr>
            <w:r w:rsidRPr="003B4A06">
              <w:rPr>
                <w:sz w:val="18"/>
                <w:szCs w:val="18"/>
              </w:rPr>
              <w:t xml:space="preserve">7 238 </w:t>
            </w:r>
          </w:p>
        </w:tc>
      </w:tr>
    </w:tbl>
    <w:p w:rsidR="000333A0" w:rsidRDefault="000333A0" w:rsidP="000333A0">
      <w:pPr>
        <w:ind w:left="66"/>
        <w:jc w:val="both"/>
        <w:rPr>
          <w:b/>
        </w:rPr>
      </w:pPr>
    </w:p>
    <w:p w:rsidR="00A60EC5" w:rsidRDefault="00A60EC5" w:rsidP="000333A0">
      <w:pPr>
        <w:ind w:left="66"/>
        <w:jc w:val="both"/>
        <w:rPr>
          <w:b/>
        </w:rPr>
      </w:pPr>
    </w:p>
    <w:p w:rsidR="00A60EC5" w:rsidRPr="000333A0" w:rsidRDefault="00A60EC5" w:rsidP="000333A0">
      <w:pPr>
        <w:ind w:left="66"/>
        <w:jc w:val="both"/>
        <w:rPr>
          <w:b/>
        </w:rPr>
      </w:pPr>
    </w:p>
    <w:p w:rsidR="00A60EC5" w:rsidRPr="00937CC6" w:rsidRDefault="00A60EC5" w:rsidP="00A60EC5">
      <w:pPr>
        <w:pStyle w:val="Odstavecseseznamem"/>
        <w:numPr>
          <w:ilvl w:val="0"/>
          <w:numId w:val="2"/>
        </w:numPr>
        <w:ind w:left="426"/>
        <w:rPr>
          <w:b/>
        </w:rPr>
      </w:pPr>
      <w:r w:rsidRPr="00937CC6">
        <w:rPr>
          <w:b/>
        </w:rPr>
        <w:t xml:space="preserve">Porovnání výdajů v ČR se státy EU a OECD </w:t>
      </w:r>
    </w:p>
    <w:p w:rsidR="00A60EC5" w:rsidRPr="00937CC6" w:rsidRDefault="00A60EC5" w:rsidP="002E6A16">
      <w:pPr>
        <w:ind w:left="66"/>
        <w:jc w:val="both"/>
      </w:pPr>
      <w:r w:rsidRPr="00937CC6">
        <w:t xml:space="preserve">Porovnání výdajů na terciární vzdělávání v České republice se státy EU a OECD je demonstrováno prostřednictvím procentuálního podílu veřejných výdajů na hrubém domácím produktu. Uvedené údaje jsou převzaty z publikace </w:t>
      </w:r>
      <w:proofErr w:type="spellStart"/>
      <w:r w:rsidRPr="00937CC6">
        <w:t>Education</w:t>
      </w:r>
      <w:proofErr w:type="spellEnd"/>
      <w:r w:rsidRPr="00937CC6">
        <w:t xml:space="preserve"> </w:t>
      </w:r>
      <w:proofErr w:type="spellStart"/>
      <w:r w:rsidRPr="00937CC6">
        <w:t>at</w:t>
      </w:r>
      <w:proofErr w:type="spellEnd"/>
      <w:r w:rsidRPr="00937CC6">
        <w:t xml:space="preserve"> a </w:t>
      </w:r>
      <w:proofErr w:type="spellStart"/>
      <w:r w:rsidRPr="00937CC6">
        <w:t>Glance</w:t>
      </w:r>
      <w:proofErr w:type="spellEnd"/>
      <w:r w:rsidRPr="00937CC6">
        <w:t xml:space="preserve"> OECD INDICATORS </w:t>
      </w:r>
      <w:r w:rsidR="002E6A16" w:rsidRPr="00937CC6">
        <w:t xml:space="preserve">z roku 2010, která statisticky zpracovává data z roku 2007, a téže publikace z roku 2014 s daty z roku </w:t>
      </w:r>
      <w:r w:rsidRPr="00937CC6">
        <w:t xml:space="preserve">2011.  </w:t>
      </w:r>
    </w:p>
    <w:tbl>
      <w:tblPr>
        <w:tblStyle w:val="Mkatabulky"/>
        <w:tblW w:w="0" w:type="auto"/>
        <w:tblInd w:w="2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1125"/>
        <w:gridCol w:w="1134"/>
      </w:tblGrid>
      <w:tr w:rsidR="002E6A16" w:rsidRPr="00937CC6" w:rsidTr="002E6A16">
        <w:tc>
          <w:tcPr>
            <w:tcW w:w="1951" w:type="dxa"/>
          </w:tcPr>
          <w:p w:rsidR="002E6A16" w:rsidRPr="00937CC6" w:rsidRDefault="002E6A16" w:rsidP="008C6B6E"/>
        </w:tc>
        <w:tc>
          <w:tcPr>
            <w:tcW w:w="1125" w:type="dxa"/>
          </w:tcPr>
          <w:p w:rsidR="002E6A16" w:rsidRPr="00937CC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r. 2007</w:t>
            </w:r>
          </w:p>
        </w:tc>
        <w:tc>
          <w:tcPr>
            <w:tcW w:w="1134" w:type="dxa"/>
          </w:tcPr>
          <w:p w:rsidR="002E6A16" w:rsidRPr="00937CC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r. 2011</w:t>
            </w:r>
          </w:p>
        </w:tc>
      </w:tr>
      <w:tr w:rsidR="002E6A16" w:rsidRPr="00937CC6" w:rsidTr="002E6A16">
        <w:tc>
          <w:tcPr>
            <w:tcW w:w="1951" w:type="dxa"/>
          </w:tcPr>
          <w:p w:rsidR="002E6A16" w:rsidRPr="00937CC6" w:rsidRDefault="002E6A16" w:rsidP="008C6B6E">
            <w:r w:rsidRPr="00937CC6">
              <w:t>Česká republika</w:t>
            </w:r>
          </w:p>
        </w:tc>
        <w:tc>
          <w:tcPr>
            <w:tcW w:w="1125" w:type="dxa"/>
          </w:tcPr>
          <w:p w:rsidR="002E6A16" w:rsidRPr="00937CC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1,1 %</w:t>
            </w:r>
          </w:p>
        </w:tc>
        <w:tc>
          <w:tcPr>
            <w:tcW w:w="1134" w:type="dxa"/>
          </w:tcPr>
          <w:p w:rsidR="002E6A16" w:rsidRPr="00937CC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1,2 %</w:t>
            </w:r>
          </w:p>
        </w:tc>
      </w:tr>
      <w:tr w:rsidR="002E6A16" w:rsidRPr="00937CC6" w:rsidTr="002E6A16">
        <w:tc>
          <w:tcPr>
            <w:tcW w:w="1951" w:type="dxa"/>
          </w:tcPr>
          <w:p w:rsidR="002E6A16" w:rsidRPr="00937CC6" w:rsidRDefault="002E6A16" w:rsidP="00A60EC5">
            <w:r w:rsidRPr="00937CC6">
              <w:t>OECD průměr</w:t>
            </w:r>
          </w:p>
        </w:tc>
        <w:tc>
          <w:tcPr>
            <w:tcW w:w="1125" w:type="dxa"/>
          </w:tcPr>
          <w:p w:rsidR="002E6A16" w:rsidRPr="00937CC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1,2 %</w:t>
            </w:r>
          </w:p>
        </w:tc>
        <w:tc>
          <w:tcPr>
            <w:tcW w:w="1134" w:type="dxa"/>
          </w:tcPr>
          <w:p w:rsidR="002E6A16" w:rsidRPr="00937CC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1,4 %</w:t>
            </w:r>
          </w:p>
        </w:tc>
      </w:tr>
      <w:tr w:rsidR="002E6A16" w:rsidTr="002E6A16">
        <w:tc>
          <w:tcPr>
            <w:tcW w:w="1951" w:type="dxa"/>
          </w:tcPr>
          <w:p w:rsidR="002E6A16" w:rsidRPr="00937CC6" w:rsidRDefault="002E6A16" w:rsidP="00A60EC5">
            <w:bookmarkStart w:id="0" w:name="_GoBack"/>
            <w:bookmarkEnd w:id="0"/>
            <w:r w:rsidRPr="00937CC6">
              <w:t>EU 19/21 průměr</w:t>
            </w:r>
          </w:p>
        </w:tc>
        <w:tc>
          <w:tcPr>
            <w:tcW w:w="1125" w:type="dxa"/>
          </w:tcPr>
          <w:p w:rsidR="002E6A16" w:rsidRPr="00937CC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1,3 %</w:t>
            </w:r>
          </w:p>
        </w:tc>
        <w:tc>
          <w:tcPr>
            <w:tcW w:w="1134" w:type="dxa"/>
          </w:tcPr>
          <w:p w:rsidR="002E6A16" w:rsidRDefault="002E6A16" w:rsidP="008C6B6E">
            <w:pPr>
              <w:jc w:val="center"/>
              <w:rPr>
                <w:b/>
              </w:rPr>
            </w:pPr>
            <w:r w:rsidRPr="00937CC6">
              <w:rPr>
                <w:b/>
              </w:rPr>
              <w:t>1,4%</w:t>
            </w:r>
          </w:p>
        </w:tc>
      </w:tr>
    </w:tbl>
    <w:p w:rsidR="00A60EC5" w:rsidRPr="00A60EC5" w:rsidRDefault="00A60EC5" w:rsidP="00A60EC5">
      <w:pPr>
        <w:rPr>
          <w:b/>
        </w:rPr>
      </w:pPr>
    </w:p>
    <w:p w:rsidR="001D3CF6" w:rsidRDefault="007056B0" w:rsidP="007056B0">
      <w:pPr>
        <w:pStyle w:val="Odstavecseseznamem"/>
        <w:numPr>
          <w:ilvl w:val="0"/>
          <w:numId w:val="2"/>
        </w:numPr>
        <w:ind w:left="426"/>
        <w:jc w:val="both"/>
        <w:rPr>
          <w:b/>
        </w:rPr>
      </w:pPr>
      <w:r>
        <w:rPr>
          <w:b/>
        </w:rPr>
        <w:t>A</w:t>
      </w:r>
      <w:r w:rsidR="001D3CF6" w:rsidRPr="001D3CF6">
        <w:rPr>
          <w:b/>
        </w:rPr>
        <w:t xml:space="preserve">ktuální situace </w:t>
      </w:r>
    </w:p>
    <w:p w:rsidR="00D5544C" w:rsidRDefault="003B4A06" w:rsidP="007056B0">
      <w:pPr>
        <w:jc w:val="both"/>
      </w:pPr>
      <w:r>
        <w:t>Metodika f</w:t>
      </w:r>
      <w:r w:rsidR="00392025">
        <w:t xml:space="preserve">inancování </w:t>
      </w:r>
      <w:r w:rsidR="003B207F">
        <w:t xml:space="preserve">činnosti </w:t>
      </w:r>
      <w:r w:rsidR="00392025">
        <w:t>vysok</w:t>
      </w:r>
      <w:r w:rsidR="003B207F">
        <w:t>ých</w:t>
      </w:r>
      <w:r w:rsidR="00392025">
        <w:t xml:space="preserve"> škol </w:t>
      </w:r>
      <w:r w:rsidR="00532EEA">
        <w:t>je průběžně ověřován</w:t>
      </w:r>
      <w:r w:rsidR="00113FC7">
        <w:t>a</w:t>
      </w:r>
      <w:r w:rsidR="00532EEA">
        <w:t xml:space="preserve"> a</w:t>
      </w:r>
      <w:r w:rsidR="003D1521">
        <w:t> </w:t>
      </w:r>
      <w:r w:rsidR="00113FC7">
        <w:t xml:space="preserve">prostřednictvím diskuse se zástupci reprezentací vysokých škol </w:t>
      </w:r>
      <w:r w:rsidR="00532EEA">
        <w:t>konfrontován</w:t>
      </w:r>
      <w:r w:rsidR="00113FC7">
        <w:t>a</w:t>
      </w:r>
      <w:r w:rsidR="00532EEA">
        <w:t xml:space="preserve"> s</w:t>
      </w:r>
      <w:r w:rsidR="00113FC7">
        <w:t> </w:t>
      </w:r>
      <w:r w:rsidR="00532EEA">
        <w:t>prostředím</w:t>
      </w:r>
      <w:r w:rsidR="00113FC7">
        <w:t>,</w:t>
      </w:r>
      <w:r w:rsidR="00532EEA">
        <w:t xml:space="preserve"> ve kterém je uplatňován</w:t>
      </w:r>
      <w:r w:rsidR="00113FC7">
        <w:t>a</w:t>
      </w:r>
      <w:r>
        <w:t>.</w:t>
      </w:r>
      <w:r w:rsidR="00532EEA">
        <w:t xml:space="preserve"> </w:t>
      </w:r>
      <w:r>
        <w:t>N</w:t>
      </w:r>
      <w:r w:rsidR="00532EEA">
        <w:t xml:space="preserve">a základě těchto diskusí </w:t>
      </w:r>
      <w:r>
        <w:t xml:space="preserve">je </w:t>
      </w:r>
      <w:r w:rsidR="00532EEA">
        <w:t>každoročně aktualizován</w:t>
      </w:r>
      <w:r>
        <w:t>a</w:t>
      </w:r>
      <w:r w:rsidR="00392025">
        <w:t xml:space="preserve">. </w:t>
      </w:r>
      <w:r w:rsidR="003B207F">
        <w:t xml:space="preserve">Mezi přednosti </w:t>
      </w:r>
      <w:r w:rsidR="00113FC7">
        <w:t>používaného</w:t>
      </w:r>
      <w:r w:rsidR="003B207F">
        <w:t xml:space="preserve"> systému patří </w:t>
      </w:r>
      <w:r w:rsidR="00EC3320">
        <w:t xml:space="preserve">zejména </w:t>
      </w:r>
      <w:r w:rsidR="003B207F">
        <w:t>výrazné zastoupení kvalitativních parametrů, propracovaný systém ukazatelů a indikátorů, zohledňujících všechny nejdůležitější aspekty činnosti vysokých škol</w:t>
      </w:r>
      <w:r w:rsidR="00D74476">
        <w:t>. N</w:t>
      </w:r>
      <w:r w:rsidR="003B207F">
        <w:t xml:space="preserve">evýhodou může být jeho složitost, částečně i </w:t>
      </w:r>
      <w:r w:rsidR="00D74476">
        <w:t xml:space="preserve">menší odhadnutelnost poskytovaných prostředků v důsledku </w:t>
      </w:r>
      <w:r>
        <w:t>postupů</w:t>
      </w:r>
      <w:r w:rsidR="00D74476">
        <w:t xml:space="preserve"> založen</w:t>
      </w:r>
      <w:r>
        <w:t>ých</w:t>
      </w:r>
      <w:r w:rsidR="00D74476">
        <w:t xml:space="preserve"> </w:t>
      </w:r>
      <w:r>
        <w:t xml:space="preserve">na </w:t>
      </w:r>
      <w:r w:rsidR="00D74476">
        <w:t>poměřování výsled</w:t>
      </w:r>
      <w:r>
        <w:t>k</w:t>
      </w:r>
      <w:r w:rsidR="00D74476">
        <w:t>ů jedné školy na celku.</w:t>
      </w:r>
      <w:r w:rsidR="003B207F">
        <w:t xml:space="preserve"> Maximální pozornost </w:t>
      </w:r>
      <w:r w:rsidR="00EC3320">
        <w:t>proto musí být trvale</w:t>
      </w:r>
      <w:r w:rsidR="00A62F51">
        <w:t xml:space="preserve"> </w:t>
      </w:r>
      <w:r w:rsidR="003B207F">
        <w:t>věnována celkové efektivitě tohoto systému, zejména pak rovnováze mezi výkonovými a kvalitativními parametry.</w:t>
      </w:r>
    </w:p>
    <w:p w:rsidR="000F0E46" w:rsidRDefault="001D3CF6" w:rsidP="007056B0">
      <w:pPr>
        <w:jc w:val="both"/>
      </w:pPr>
      <w:r>
        <w:t>M</w:t>
      </w:r>
      <w:r w:rsidR="000333A0">
        <w:t xml:space="preserve">inisterstvo </w:t>
      </w:r>
      <w:r>
        <w:t>v oblasti f</w:t>
      </w:r>
      <w:r w:rsidRPr="001D3CF6">
        <w:t xml:space="preserve">inancování vysokého školství </w:t>
      </w:r>
      <w:r>
        <w:t xml:space="preserve">v </w:t>
      </w:r>
      <w:r w:rsidRPr="001D3CF6">
        <w:t>současné době řeší několik problémů</w:t>
      </w:r>
      <w:r w:rsidR="000D277E">
        <w:t>. Část z nich v</w:t>
      </w:r>
      <w:r>
        <w:t>yplýv</w:t>
      </w:r>
      <w:r w:rsidR="000D277E">
        <w:t>á</w:t>
      </w:r>
      <w:r>
        <w:t xml:space="preserve"> z</w:t>
      </w:r>
      <w:r w:rsidR="000333A0">
        <w:t xml:space="preserve"> již </w:t>
      </w:r>
      <w:r>
        <w:t xml:space="preserve">několikaleté </w:t>
      </w:r>
      <w:r w:rsidRPr="001D3CF6">
        <w:t>aplik</w:t>
      </w:r>
      <w:r>
        <w:t>ace</w:t>
      </w:r>
      <w:r w:rsidRPr="001D3CF6">
        <w:t xml:space="preserve"> mechanismu financování </w:t>
      </w:r>
      <w:r>
        <w:t>a jeho dopad</w:t>
      </w:r>
      <w:r w:rsidR="00E2273E">
        <w:t>ů</w:t>
      </w:r>
      <w:r>
        <w:t xml:space="preserve"> na činnost škol</w:t>
      </w:r>
      <w:r w:rsidR="000F0E46">
        <w:t xml:space="preserve">. </w:t>
      </w:r>
      <w:r w:rsidR="000D277E">
        <w:t>Jedná se např. o</w:t>
      </w:r>
      <w:r w:rsidR="000F0E46">
        <w:t xml:space="preserve"> </w:t>
      </w:r>
      <w:r w:rsidR="00EC3320">
        <w:t>pokračující diskusi nad objektivitou nastavení</w:t>
      </w:r>
      <w:r w:rsidR="000F0E46">
        <w:t xml:space="preserve"> koeficientů ekonomické náročnosti, disproporce vyplývající z nehomogenního souboru škol hodnocených jednotnými indikátory v rámci ukazatele K</w:t>
      </w:r>
      <w:r w:rsidR="000D277E">
        <w:t xml:space="preserve"> nebo</w:t>
      </w:r>
      <w:r w:rsidR="000F0E46">
        <w:t xml:space="preserve"> m</w:t>
      </w:r>
      <w:r w:rsidR="00E2273E">
        <w:t>íru</w:t>
      </w:r>
      <w:r w:rsidR="000F0E46">
        <w:t xml:space="preserve"> vypovídací schopnost</w:t>
      </w:r>
      <w:r w:rsidR="00E2273E">
        <w:t>i</w:t>
      </w:r>
      <w:r w:rsidR="000F0E46">
        <w:t xml:space="preserve"> některých ukazatelů z hlediska posouzení výsledků v indikátorech kvality ukazatele K</w:t>
      </w:r>
      <w:r w:rsidR="00E2273E">
        <w:t>.</w:t>
      </w:r>
      <w:r w:rsidR="000F0E46">
        <w:t> </w:t>
      </w:r>
      <w:r w:rsidR="00E2273E">
        <w:t xml:space="preserve">Aktuálním </w:t>
      </w:r>
      <w:r w:rsidR="000D277E">
        <w:t xml:space="preserve">problémem </w:t>
      </w:r>
      <w:r w:rsidR="00E2273E">
        <w:t>začíná být</w:t>
      </w:r>
      <w:r w:rsidR="000F0E46">
        <w:t xml:space="preserve"> řešení situace </w:t>
      </w:r>
      <w:r w:rsidR="00113FC7">
        <w:t xml:space="preserve">vysokých </w:t>
      </w:r>
      <w:r w:rsidR="000F0E46">
        <w:t>škol, které se v důsledku již víceletého uplatňování indikátorů kvality blíží</w:t>
      </w:r>
      <w:r w:rsidR="007C14AC">
        <w:t xml:space="preserve"> k </w:t>
      </w:r>
      <w:r w:rsidR="000F0E46">
        <w:t>hranici ekonomické udržitelnosti.</w:t>
      </w:r>
    </w:p>
    <w:p w:rsidR="006151C7" w:rsidRDefault="000D277E" w:rsidP="007056B0">
      <w:pPr>
        <w:jc w:val="both"/>
      </w:pPr>
      <w:r>
        <w:t xml:space="preserve">Z hlediska financování segmentu vysokých škol je ale zásadnějším problémem </w:t>
      </w:r>
      <w:r w:rsidR="001D3CF6">
        <w:t>střednědob</w:t>
      </w:r>
      <w:r w:rsidR="002D48B7">
        <w:t>ý</w:t>
      </w:r>
      <w:r w:rsidR="001D3CF6">
        <w:t xml:space="preserve"> výhled Ministerstva financí</w:t>
      </w:r>
      <w:r w:rsidR="002D48B7">
        <w:t xml:space="preserve"> pro kapitolu </w:t>
      </w:r>
      <w:r w:rsidR="007A75B7">
        <w:t>333</w:t>
      </w:r>
      <w:r w:rsidR="002D48B7">
        <w:t>, který</w:t>
      </w:r>
      <w:r w:rsidR="001D3CF6">
        <w:t xml:space="preserve"> </w:t>
      </w:r>
      <w:r w:rsidR="000F0E46">
        <w:t xml:space="preserve">místo žádoucího posílení výdajů </w:t>
      </w:r>
      <w:r w:rsidR="002D48B7">
        <w:t>n</w:t>
      </w:r>
      <w:r w:rsidR="000F0E46">
        <w:t>a vysoké školy</w:t>
      </w:r>
      <w:r w:rsidR="002D48B7">
        <w:t>,</w:t>
      </w:r>
      <w:r w:rsidR="000F0E46">
        <w:t xml:space="preserve"> když už ne na úroveň alespoň průměru </w:t>
      </w:r>
      <w:r w:rsidR="00D5544C">
        <w:t xml:space="preserve">ve státech EU nebo OECD (měřeno podílem </w:t>
      </w:r>
      <w:r w:rsidR="000F0E46">
        <w:t>výdajů na školství v porovnání s</w:t>
      </w:r>
      <w:r w:rsidR="00D5544C">
        <w:t> </w:t>
      </w:r>
      <w:r w:rsidR="000F0E46">
        <w:t>HDP</w:t>
      </w:r>
      <w:r w:rsidR="00D5544C">
        <w:t>)</w:t>
      </w:r>
      <w:r w:rsidR="000F0E46">
        <w:t>, tak alespoň tak</w:t>
      </w:r>
      <w:r w:rsidR="00FE20C6">
        <w:t>,</w:t>
      </w:r>
      <w:r w:rsidR="000F0E46">
        <w:t xml:space="preserve"> aby bylo dosaženo měrných výdajů na jednoho studenta v úrovni let 2005 a 2006</w:t>
      </w:r>
      <w:r w:rsidR="002D48B7">
        <w:t xml:space="preserve">, signalizuje </w:t>
      </w:r>
      <w:r w:rsidR="00532EEA">
        <w:t>pro příští rozpočtová období</w:t>
      </w:r>
      <w:r w:rsidR="002D48B7">
        <w:t xml:space="preserve"> snižování výdajů na vysoké školství v ČR</w:t>
      </w:r>
      <w:r w:rsidR="000F0E46">
        <w:t xml:space="preserve">.  </w:t>
      </w:r>
      <w:r w:rsidR="001D3CF6">
        <w:t xml:space="preserve"> </w:t>
      </w:r>
    </w:p>
    <w:p w:rsidR="008B45E7" w:rsidRDefault="008B45E7" w:rsidP="007056B0">
      <w:pPr>
        <w:jc w:val="both"/>
      </w:pPr>
      <w:r>
        <w:t>Systém financování vysokých škol je v poslední době vystavován stále častějším a stále více silově prosazovaný</w:t>
      </w:r>
      <w:r w:rsidR="00D5544C">
        <w:t>m</w:t>
      </w:r>
      <w:r>
        <w:t xml:space="preserve"> požadavkům na speciální podporu těch či oněch oblastí a skupin studijních oborů</w:t>
      </w:r>
      <w:r w:rsidR="00EC3320">
        <w:t>. Případná akceptace takových požadavků však</w:t>
      </w:r>
      <w:r w:rsidR="00CD0BD8">
        <w:t xml:space="preserve"> </w:t>
      </w:r>
      <w:r>
        <w:t>za současných p</w:t>
      </w:r>
      <w:r w:rsidR="00113FC7">
        <w:t>ravidel</w:t>
      </w:r>
      <w:r w:rsidR="00CD0BD8">
        <w:t xml:space="preserve"> rozpis</w:t>
      </w:r>
      <w:r w:rsidR="00113FC7">
        <w:t>u</w:t>
      </w:r>
      <w:r w:rsidR="00CD0BD8">
        <w:t xml:space="preserve"> státního rozpočtu a</w:t>
      </w:r>
      <w:r w:rsidR="007A75B7">
        <w:t> </w:t>
      </w:r>
      <w:r w:rsidR="00CD0BD8">
        <w:t xml:space="preserve">systému financování VŠ znamená, že každé zvýhodnění na jedné straně znamená znevýhodnění na straně druhé, resp. u všech ostatních škol. </w:t>
      </w:r>
    </w:p>
    <w:p w:rsidR="00D5544C" w:rsidRDefault="00D5544C" w:rsidP="00D5544C">
      <w:pPr>
        <w:jc w:val="both"/>
      </w:pPr>
      <w:r>
        <w:t xml:space="preserve">Snahou </w:t>
      </w:r>
      <w:r w:rsidR="00113FC7">
        <w:t>m</w:t>
      </w:r>
      <w:r w:rsidR="00FE20C6">
        <w:t>i</w:t>
      </w:r>
      <w:r w:rsidR="00113FC7">
        <w:t>nisterstva</w:t>
      </w:r>
      <w:r>
        <w:t xml:space="preserve"> v oblasti financování zůstává posilovat principy financování podle kvality. K tomu je nutné vyhodnotit schopnost stávajících mechanismů financování přispívat ke zvyšování kvality činností vysokých škol s ohledem na různorodost jejich profilů. Na základě této analýzy </w:t>
      </w:r>
      <w:r w:rsidR="00392025">
        <w:t>lze</w:t>
      </w:r>
      <w:r>
        <w:t xml:space="preserve"> navr</w:t>
      </w:r>
      <w:r w:rsidR="00392025">
        <w:t>hnout</w:t>
      </w:r>
      <w:r>
        <w:t xml:space="preserve"> úpravy systému směřující zejména ke zvyšování vypovídací síly a spolehlivosti používaných indikátorů a snižování významu pouhého počtu studentů pro výpočet příspěvku.</w:t>
      </w:r>
    </w:p>
    <w:p w:rsidR="00392025" w:rsidRDefault="00392025" w:rsidP="00392025">
      <w:pPr>
        <w:jc w:val="both"/>
      </w:pPr>
      <w:r>
        <w:t>Současně bude nutné věnovat větší pozornost</w:t>
      </w:r>
      <w:r w:rsidR="00D5544C">
        <w:t xml:space="preserve"> </w:t>
      </w:r>
      <w:r>
        <w:t xml:space="preserve">zohlednění </w:t>
      </w:r>
      <w:r w:rsidR="00D5544C">
        <w:t>specifik odlišných profilů studijních programů ve financování</w:t>
      </w:r>
      <w:r>
        <w:t>.</w:t>
      </w:r>
      <w:r w:rsidR="00D5544C">
        <w:t xml:space="preserve"> Spravedlivé posouzení kvality vzdělávání vyžaduje odlišné hodnocení výstupů teoreticky orientovaných akademických programů a programů orientovaných na trh práce a</w:t>
      </w:r>
      <w:r w:rsidR="003D1521">
        <w:t> </w:t>
      </w:r>
      <w:r w:rsidR="00D5544C">
        <w:t xml:space="preserve">profesní uplatnění. </w:t>
      </w:r>
    </w:p>
    <w:p w:rsidR="000F0E46" w:rsidRDefault="008B45E7" w:rsidP="007056B0">
      <w:pPr>
        <w:jc w:val="both"/>
      </w:pPr>
      <w:r>
        <w:t>M</w:t>
      </w:r>
      <w:r w:rsidR="00113FC7">
        <w:t>inisterstvo</w:t>
      </w:r>
      <w:r w:rsidR="00D5544C">
        <w:t xml:space="preserve"> </w:t>
      </w:r>
      <w:r w:rsidR="00CD0BD8">
        <w:t>při řešení všech problémů financování intenzivně spolupracuje s vysokými školami a</w:t>
      </w:r>
      <w:r w:rsidR="003D1521">
        <w:t> </w:t>
      </w:r>
      <w:r w:rsidR="00CD0BD8">
        <w:t xml:space="preserve">prostřednictvím zástupců jejich reprezentací v Reprezentativní komisi </w:t>
      </w:r>
      <w:r w:rsidR="003D1521">
        <w:t xml:space="preserve">pro rozpis rozpočtu vysokých škol </w:t>
      </w:r>
      <w:r w:rsidR="00EC3320">
        <w:t>pro</w:t>
      </w:r>
      <w:r w:rsidR="00CD0BD8">
        <w:t xml:space="preserve">jednává </w:t>
      </w:r>
      <w:r w:rsidR="003D1521">
        <w:t>veškeré</w:t>
      </w:r>
      <w:r w:rsidR="00CD0BD8">
        <w:t xml:space="preserve"> z</w:t>
      </w:r>
      <w:r w:rsidR="003D1521">
        <w:t>áležitostí, týkající se této</w:t>
      </w:r>
      <w:r w:rsidR="00CD0BD8">
        <w:t xml:space="preserve"> oblasti.  </w:t>
      </w:r>
    </w:p>
    <w:p w:rsidR="006F7B62" w:rsidRDefault="006F7B62" w:rsidP="007056B0">
      <w:pPr>
        <w:jc w:val="both"/>
      </w:pPr>
      <w:r>
        <w:t>Shoda panuje v názoru, že žádoucím stavem, a to nejen v oblasti technického vzdělávání</w:t>
      </w:r>
      <w:r w:rsidR="00EC3320">
        <w:t>,</w:t>
      </w:r>
      <w:r>
        <w:t xml:space="preserve"> by byl menší počet dobrých studentů s výrazně větším objemem finančních prostředků vztažených k jednomu studentovi a vyšší kvalitou vzdělávání. Takového stavu však nelze </w:t>
      </w:r>
      <w:r w:rsidRPr="006F7B62">
        <w:t xml:space="preserve">docílit jednorázově pomocí takových opatření, která by výrazným způsobem z roku na rok změnila objemy prostředků poskytovaných jednotlivým veřejným školám. </w:t>
      </w:r>
      <w:r w:rsidR="00204137">
        <w:t>Radikální</w:t>
      </w:r>
      <w:r w:rsidRPr="006F7B62">
        <w:t xml:space="preserve"> postup by přivodil ekonomickou nestabilitu na </w:t>
      </w:r>
      <w:r w:rsidR="00FE20C6">
        <w:t xml:space="preserve">vysokých </w:t>
      </w:r>
      <w:r w:rsidRPr="006F7B62">
        <w:t xml:space="preserve">školách, na jejichž úkor by </w:t>
      </w:r>
      <w:r w:rsidR="005B22F8">
        <w:t xml:space="preserve">docházelo k přesunům finančních prostředků, a to </w:t>
      </w:r>
      <w:r w:rsidR="00204137">
        <w:t>ve prospěch jiných</w:t>
      </w:r>
      <w:r w:rsidR="005B22F8">
        <w:t xml:space="preserve">, </w:t>
      </w:r>
      <w:r w:rsidRPr="006F7B62">
        <w:t>např. technický</w:t>
      </w:r>
      <w:r w:rsidR="005B22F8">
        <w:t>ch</w:t>
      </w:r>
      <w:r w:rsidRPr="006F7B62">
        <w:t xml:space="preserve"> škol.</w:t>
      </w:r>
    </w:p>
    <w:p w:rsidR="00696845" w:rsidRDefault="00696845" w:rsidP="007056B0">
      <w:pPr>
        <w:jc w:val="both"/>
      </w:pPr>
    </w:p>
    <w:p w:rsidR="00696845" w:rsidRPr="00E92518" w:rsidRDefault="00696845" w:rsidP="00E92518">
      <w:pPr>
        <w:pStyle w:val="Odstavecseseznamem"/>
        <w:numPr>
          <w:ilvl w:val="0"/>
          <w:numId w:val="2"/>
        </w:numPr>
        <w:ind w:left="426"/>
        <w:jc w:val="both"/>
        <w:rPr>
          <w:b/>
        </w:rPr>
      </w:pPr>
      <w:r w:rsidRPr="00E92518">
        <w:rPr>
          <w:b/>
        </w:rPr>
        <w:t>N</w:t>
      </w:r>
      <w:r w:rsidR="007A4A15" w:rsidRPr="00E92518">
        <w:rPr>
          <w:b/>
        </w:rPr>
        <w:t>a</w:t>
      </w:r>
      <w:r w:rsidRPr="00E92518">
        <w:rPr>
          <w:b/>
        </w:rPr>
        <w:t>vrhovaná opatření</w:t>
      </w:r>
    </w:p>
    <w:p w:rsidR="00FF6159" w:rsidRDefault="00FF6159" w:rsidP="00FF6159">
      <w:pPr>
        <w:jc w:val="both"/>
      </w:pPr>
      <w:r>
        <w:t>Ministerstvo školství, mládeže a tělovýchovy předpokládá podpořit technické a přírodovědné obory</w:t>
      </w:r>
      <w:r w:rsidR="006C51E6">
        <w:t xml:space="preserve"> na vysokých školách </w:t>
      </w:r>
      <w:r>
        <w:t xml:space="preserve">přijetím takových změn celkového systému financování, které umožní nejen vlastním vysokým školám, ale celému technickému sektoru společnosti posunout </w:t>
      </w:r>
      <w:r w:rsidR="006C51E6">
        <w:t xml:space="preserve">stav </w:t>
      </w:r>
      <w:r>
        <w:t>technické</w:t>
      </w:r>
      <w:r w:rsidR="006C51E6">
        <w:t>ho</w:t>
      </w:r>
      <w:r>
        <w:t xml:space="preserve"> vzdělán</w:t>
      </w:r>
      <w:r w:rsidR="006C51E6">
        <w:t>í</w:t>
      </w:r>
      <w:r>
        <w:t xml:space="preserve"> na úroveň, kterou si zaslouží. </w:t>
      </w:r>
    </w:p>
    <w:p w:rsidR="00FF6159" w:rsidRDefault="00FF6159" w:rsidP="007056B0">
      <w:pPr>
        <w:jc w:val="both"/>
      </w:pPr>
      <w:r>
        <w:t>Cílem v</w:t>
      </w:r>
      <w:r w:rsidR="00BB79B3">
        <w:t> současné době zahajovan</w:t>
      </w:r>
      <w:r>
        <w:t>ého</w:t>
      </w:r>
      <w:r w:rsidR="00BB79B3">
        <w:t xml:space="preserve"> proces</w:t>
      </w:r>
      <w:r>
        <w:t>u</w:t>
      </w:r>
      <w:r w:rsidR="00BB79B3">
        <w:t xml:space="preserve"> přípravy změn financování vysokých škol </w:t>
      </w:r>
      <w:r>
        <w:t>je</w:t>
      </w:r>
      <w:r w:rsidR="00BB79B3">
        <w:t xml:space="preserve"> vytvořit systém financování, jehož </w:t>
      </w:r>
      <w:r w:rsidR="00ED60E7">
        <w:t>hlavními</w:t>
      </w:r>
      <w:r w:rsidR="00BB79B3">
        <w:t xml:space="preserve"> rysy </w:t>
      </w:r>
      <w:r>
        <w:t>jsou</w:t>
      </w:r>
      <w:r w:rsidR="00BB79B3">
        <w:t xml:space="preserve"> zejména: stabilita, finanční jistota a transparentnost, důraz na kvalitu a diferenciace škol v závislosti na kvalitativních výsledcích, </w:t>
      </w:r>
      <w:r w:rsidR="00ED60E7">
        <w:t xml:space="preserve">zohlednění </w:t>
      </w:r>
      <w:r w:rsidR="002C6CD5">
        <w:t>orientace</w:t>
      </w:r>
      <w:r w:rsidR="00ED60E7">
        <w:t xml:space="preserve"> </w:t>
      </w:r>
      <w:r w:rsidR="006C51E6">
        <w:t xml:space="preserve">studijních </w:t>
      </w:r>
      <w:r w:rsidR="002C6CD5">
        <w:t>program</w:t>
      </w:r>
      <w:r w:rsidR="006C51E6">
        <w:t>ů</w:t>
      </w:r>
      <w:r w:rsidR="002C6CD5">
        <w:t xml:space="preserve"> (akademické programy, programy orientované na trh práce a profesní uplatnění) </w:t>
      </w:r>
      <w:r>
        <w:t>ve financování, zahrnutí společenského faktoru společenské potřeby oblasti studia</w:t>
      </w:r>
      <w:r w:rsidR="002C6CD5">
        <w:t xml:space="preserve"> apod</w:t>
      </w:r>
      <w:r>
        <w:t>.</w:t>
      </w:r>
    </w:p>
    <w:p w:rsidR="00FF6159" w:rsidRDefault="007B27FF" w:rsidP="00E92518">
      <w:pPr>
        <w:jc w:val="both"/>
      </w:pPr>
      <w:r>
        <w:t>Významným faktorem v</w:t>
      </w:r>
      <w:r w:rsidR="00FF6159">
        <w:t xml:space="preserve"> tomto </w:t>
      </w:r>
      <w:r>
        <w:t xml:space="preserve">období je finalizace prací v rámci </w:t>
      </w:r>
      <w:proofErr w:type="spellStart"/>
      <w:r>
        <w:t>IPn</w:t>
      </w:r>
      <w:proofErr w:type="spellEnd"/>
      <w:r>
        <w:t xml:space="preserve"> </w:t>
      </w:r>
      <w:proofErr w:type="spellStart"/>
      <w:r>
        <w:t>Kredo</w:t>
      </w:r>
      <w:proofErr w:type="spellEnd"/>
      <w:r>
        <w:t xml:space="preserve"> s předpokládaným termínem konce realizace k </w:t>
      </w:r>
      <w:r w:rsidR="00E75829">
        <w:t>31. 10. 2015</w:t>
      </w:r>
      <w:r w:rsidR="00FF6159">
        <w:t>. V</w:t>
      </w:r>
      <w:r w:rsidR="00E75829">
        <w:t xml:space="preserve"> rámci aktivity KA 04 </w:t>
      </w:r>
      <w:r w:rsidR="00FF6159">
        <w:t>„</w:t>
      </w:r>
      <w:r w:rsidR="00E75829">
        <w:t>Podklady pro strategická rozhodování MŠMT</w:t>
      </w:r>
      <w:r w:rsidR="00FF6159">
        <w:t xml:space="preserve">“ tohoto projektu </w:t>
      </w:r>
      <w:r w:rsidR="00E75829">
        <w:t xml:space="preserve">je realizováno podtéma </w:t>
      </w:r>
      <w:r w:rsidR="006C51E6">
        <w:t>„</w:t>
      </w:r>
      <w:r w:rsidR="00E75829">
        <w:t>Efektivní financování</w:t>
      </w:r>
      <w:r w:rsidR="006C51E6">
        <w:t>“</w:t>
      </w:r>
      <w:r w:rsidR="00FF6159">
        <w:t xml:space="preserve">, </w:t>
      </w:r>
      <w:r w:rsidR="00E92518">
        <w:t>jehož výstupy by měly tvořit jeden z vý</w:t>
      </w:r>
      <w:r w:rsidR="006C51E6">
        <w:t>znamných</w:t>
      </w:r>
      <w:r w:rsidR="00E92518">
        <w:t xml:space="preserve"> analytických podkladů pro formulaci změn. S těmito </w:t>
      </w:r>
      <w:r>
        <w:t>výstupy</w:t>
      </w:r>
      <w:r w:rsidR="00FF6159">
        <w:t xml:space="preserve"> </w:t>
      </w:r>
      <w:r>
        <w:t xml:space="preserve">budou </w:t>
      </w:r>
      <w:r w:rsidR="002C6CD5">
        <w:t xml:space="preserve">rovněž </w:t>
      </w:r>
      <w:r>
        <w:t>konfrontovány</w:t>
      </w:r>
      <w:r w:rsidR="00FF6159">
        <w:t xml:space="preserve">, konkretizovány, </w:t>
      </w:r>
      <w:r>
        <w:t xml:space="preserve">případně upravovány a dále rozvíjeny dále uvedené návrhy na opatření. </w:t>
      </w:r>
    </w:p>
    <w:p w:rsidR="00E75829" w:rsidRDefault="00FF6159" w:rsidP="00E92518">
      <w:pPr>
        <w:jc w:val="both"/>
      </w:pPr>
      <w:r>
        <w:t>Současně po celou dobu přípravy musí probíhat komunikace s reprezentacemi vysokých škol a dalšími zainteresovanými stranami.</w:t>
      </w:r>
      <w:r w:rsidR="007B27FF">
        <w:t xml:space="preserve"> </w:t>
      </w:r>
    </w:p>
    <w:p w:rsidR="00696845" w:rsidRDefault="00696845" w:rsidP="007056B0">
      <w:pPr>
        <w:jc w:val="both"/>
      </w:pPr>
      <w:r>
        <w:t xml:space="preserve">S ohledem na </w:t>
      </w:r>
      <w:r w:rsidR="002C6CD5">
        <w:t xml:space="preserve">záměr pokračovat v </w:t>
      </w:r>
      <w:r w:rsidR="007A4A15">
        <w:t xml:space="preserve">posilování významu kvality v procesu financování </w:t>
      </w:r>
      <w:r w:rsidR="002C6CD5">
        <w:t>je</w:t>
      </w:r>
      <w:r w:rsidR="007A4A15">
        <w:t xml:space="preserve"> nezbytné</w:t>
      </w:r>
      <w:r>
        <w:t xml:space="preserve"> zvyšování </w:t>
      </w:r>
      <w:r w:rsidR="007A4A15">
        <w:t>vypovídací schopnosti</w:t>
      </w:r>
      <w:r>
        <w:t xml:space="preserve"> </w:t>
      </w:r>
      <w:r w:rsidR="00DB67B1">
        <w:t xml:space="preserve">a validity zdrojových dat </w:t>
      </w:r>
      <w:r w:rsidR="007A4A15">
        <w:t>(zejména z pohledu vymezení oblastí, ve kterých mají správnou vypovídací schopnost</w:t>
      </w:r>
      <w:r w:rsidR="000A6B1D">
        <w:t>, a to</w:t>
      </w:r>
      <w:r w:rsidR="007A4A15">
        <w:t xml:space="preserve"> </w:t>
      </w:r>
      <w:r w:rsidR="000A6B1D">
        <w:t xml:space="preserve">jak </w:t>
      </w:r>
      <w:r w:rsidR="007A4A15">
        <w:t xml:space="preserve">z hlediska jejich hodnot </w:t>
      </w:r>
      <w:r w:rsidR="000A6B1D">
        <w:t>tak</w:t>
      </w:r>
      <w:r w:rsidR="007A4A15">
        <w:t xml:space="preserve"> relací při srovnání mezi jednotlivými </w:t>
      </w:r>
      <w:r w:rsidR="000A6B1D">
        <w:t>vysokými školami</w:t>
      </w:r>
      <w:r w:rsidR="007A4A15">
        <w:t>)</w:t>
      </w:r>
      <w:r w:rsidR="002C6CD5">
        <w:t>. Za tímto účelem</w:t>
      </w:r>
      <w:r>
        <w:t xml:space="preserve"> je nutné</w:t>
      </w:r>
      <w:r w:rsidR="002C6CD5">
        <w:t xml:space="preserve"> d</w:t>
      </w:r>
      <w:r w:rsidR="00CB1146">
        <w:t xml:space="preserve">o procesu přípravy </w:t>
      </w:r>
      <w:r w:rsidR="002C6CD5">
        <w:t>změny financování</w:t>
      </w:r>
      <w:r w:rsidR="000A6B1D">
        <w:t>,</w:t>
      </w:r>
      <w:r w:rsidR="002C6CD5">
        <w:t xml:space="preserve"> </w:t>
      </w:r>
      <w:r w:rsidR="00CB1146">
        <w:t xml:space="preserve">formou spolupráce na </w:t>
      </w:r>
      <w:r>
        <w:t xml:space="preserve">úpravách jejich definicí, způsobu sběru a vyhodnocování </w:t>
      </w:r>
      <w:r w:rsidR="002C6CD5">
        <w:t xml:space="preserve">dat </w:t>
      </w:r>
      <w:r w:rsidR="00CB1146">
        <w:t>apod.</w:t>
      </w:r>
      <w:r w:rsidR="000A6B1D">
        <w:t>,</w:t>
      </w:r>
      <w:r>
        <w:t xml:space="preserve"> </w:t>
      </w:r>
      <w:r w:rsidR="00CB1146">
        <w:t xml:space="preserve">kromě vlastních vysokých škol zapojit i </w:t>
      </w:r>
      <w:r>
        <w:t xml:space="preserve">subjekty </w:t>
      </w:r>
      <w:r w:rsidR="002C6CD5">
        <w:t>z</w:t>
      </w:r>
      <w:r>
        <w:t xml:space="preserve"> prostředí, které je hlavním odběratelem produktů vysokých škol</w:t>
      </w:r>
      <w:r w:rsidR="007A4A15">
        <w:t xml:space="preserve"> </w:t>
      </w:r>
      <w:r>
        <w:t>- tedy absolventů.</w:t>
      </w:r>
    </w:p>
    <w:p w:rsidR="00696845" w:rsidRDefault="002C6CD5" w:rsidP="007056B0">
      <w:pPr>
        <w:jc w:val="both"/>
      </w:pPr>
      <w:r>
        <w:t>Dále je</w:t>
      </w:r>
      <w:r w:rsidR="00696845">
        <w:t xml:space="preserve"> nezbytné upravit přístup k</w:t>
      </w:r>
      <w:r w:rsidR="00975385">
        <w:t> </w:t>
      </w:r>
      <w:r w:rsidR="00DF0651">
        <w:t>„</w:t>
      </w:r>
      <w:r w:rsidR="00975385">
        <w:t>preferenci</w:t>
      </w:r>
      <w:r w:rsidR="00DF0651">
        <w:t>“</w:t>
      </w:r>
      <w:r w:rsidR="00975385">
        <w:t xml:space="preserve"> vybraných oborů nebo oblastí studia a to tak, že </w:t>
      </w:r>
      <w:r w:rsidR="00DF0651">
        <w:t xml:space="preserve">tato </w:t>
      </w:r>
      <w:r w:rsidR="00975385">
        <w:t>preference v oblasti financování nebude řešena z rozpočtu kapitoly MŠMT</w:t>
      </w:r>
      <w:r w:rsidR="00DF0651">
        <w:t xml:space="preserve">, </w:t>
      </w:r>
      <w:r w:rsidR="00975385">
        <w:t xml:space="preserve">kde </w:t>
      </w:r>
      <w:r w:rsidR="00DF0651">
        <w:t>by zvýhodnění určitých oborů muselo být prováděno na úkor dalších</w:t>
      </w:r>
      <w:r w:rsidR="00975385">
        <w:t xml:space="preserve">, ale </w:t>
      </w:r>
      <w:r w:rsidR="00DF0651">
        <w:t>potřebné</w:t>
      </w:r>
      <w:r w:rsidR="00975385">
        <w:t xml:space="preserve"> </w:t>
      </w:r>
      <w:r w:rsidR="007A4A15">
        <w:t xml:space="preserve">finanční prostředky </w:t>
      </w:r>
      <w:r w:rsidR="00DF0651">
        <w:t>budou řešeny prostřednictvím kapitol SR, do jejichž působnosti tato preference směřuje</w:t>
      </w:r>
      <w:r w:rsidR="007A4A15">
        <w:t>.</w:t>
      </w:r>
      <w:r w:rsidR="00CB1146">
        <w:t xml:space="preserve"> </w:t>
      </w:r>
      <w:r w:rsidR="00DF0651">
        <w:t xml:space="preserve">Účelovost </w:t>
      </w:r>
      <w:r w:rsidR="006C51E6">
        <w:t xml:space="preserve">těchto prostředků může </w:t>
      </w:r>
      <w:r w:rsidR="00DB67B1">
        <w:t xml:space="preserve">být </w:t>
      </w:r>
      <w:r w:rsidR="006C51E6">
        <w:t>zaměřena</w:t>
      </w:r>
      <w:r w:rsidR="00DF0651">
        <w:t xml:space="preserve"> jak </w:t>
      </w:r>
      <w:r w:rsidR="00CB1146">
        <w:t>kvantitativn</w:t>
      </w:r>
      <w:r w:rsidR="006C51E6">
        <w:t>ě</w:t>
      </w:r>
      <w:r w:rsidR="00CB1146">
        <w:t xml:space="preserve"> </w:t>
      </w:r>
      <w:r w:rsidR="006C51E6">
        <w:t xml:space="preserve">(počty studentů) </w:t>
      </w:r>
      <w:r w:rsidR="00DF0651">
        <w:t>tak</w:t>
      </w:r>
      <w:r w:rsidR="00CB1146">
        <w:t xml:space="preserve"> kvalitativn</w:t>
      </w:r>
      <w:r w:rsidR="006C51E6">
        <w:t>ě</w:t>
      </w:r>
      <w:r w:rsidR="00CB1146">
        <w:t xml:space="preserve">“. </w:t>
      </w:r>
    </w:p>
    <w:p w:rsidR="00116DFF" w:rsidRDefault="00CB1146" w:rsidP="006C51E6">
      <w:pPr>
        <w:jc w:val="both"/>
      </w:pPr>
      <w:r>
        <w:t xml:space="preserve">Vzhledem k tomu, že aplikace takových opatření není realizovatelná v cyklu </w:t>
      </w:r>
      <w:r w:rsidR="006C51E6">
        <w:t xml:space="preserve">ročního </w:t>
      </w:r>
      <w:r>
        <w:t xml:space="preserve">rozpočtování, bude ve shodě s dalšími </w:t>
      </w:r>
      <w:r w:rsidR="006C51E6">
        <w:t xml:space="preserve">požadavky na zavedení </w:t>
      </w:r>
      <w:r>
        <w:t>víceletého financování usilováno o prodloužení dosavadního ročního období garan</w:t>
      </w:r>
      <w:r w:rsidR="006C51E6">
        <w:t>tované</w:t>
      </w:r>
      <w:r>
        <w:t xml:space="preserve"> rozpočtové jistoty. Tento přístup umožní školám uvažovat </w:t>
      </w:r>
      <w:r w:rsidR="00CC28BB">
        <w:t>koncepčně a strategicky.</w:t>
      </w:r>
    </w:p>
    <w:sectPr w:rsidR="00116DFF" w:rsidSect="001179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C7" w:rsidRDefault="00FC63C7" w:rsidP="00F86F68">
      <w:pPr>
        <w:spacing w:after="0" w:line="240" w:lineRule="auto"/>
      </w:pPr>
      <w:r>
        <w:separator/>
      </w:r>
    </w:p>
  </w:endnote>
  <w:endnote w:type="continuationSeparator" w:id="0">
    <w:p w:rsidR="00FC63C7" w:rsidRDefault="00FC63C7" w:rsidP="00F86F68">
      <w:pPr>
        <w:spacing w:after="0" w:line="240" w:lineRule="auto"/>
      </w:pPr>
      <w:r>
        <w:continuationSeparator/>
      </w:r>
    </w:p>
  </w:endnote>
  <w:endnote w:type="continuationNotice" w:id="1">
    <w:p w:rsidR="00FC63C7" w:rsidRDefault="00FC63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820471"/>
      <w:docPartObj>
        <w:docPartGallery w:val="Page Numbers (Bottom of Page)"/>
        <w:docPartUnique/>
      </w:docPartObj>
    </w:sdtPr>
    <w:sdtContent>
      <w:p w:rsidR="00CB1146" w:rsidRDefault="001179A2">
        <w:pPr>
          <w:pStyle w:val="Zpat"/>
          <w:jc w:val="center"/>
        </w:pPr>
        <w:r>
          <w:fldChar w:fldCharType="begin"/>
        </w:r>
        <w:r w:rsidR="00CB1146">
          <w:instrText>PAGE   \* MERGEFORMAT</w:instrText>
        </w:r>
        <w:r>
          <w:fldChar w:fldCharType="separate"/>
        </w:r>
        <w:r w:rsidR="00532B24">
          <w:rPr>
            <w:noProof/>
          </w:rPr>
          <w:t>1</w:t>
        </w:r>
        <w:r>
          <w:fldChar w:fldCharType="end"/>
        </w:r>
      </w:p>
    </w:sdtContent>
  </w:sdt>
  <w:p w:rsidR="00CB1146" w:rsidRDefault="00CB11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C7" w:rsidRDefault="00FC63C7" w:rsidP="00F86F68">
      <w:pPr>
        <w:spacing w:after="0" w:line="240" w:lineRule="auto"/>
      </w:pPr>
      <w:r>
        <w:separator/>
      </w:r>
    </w:p>
  </w:footnote>
  <w:footnote w:type="continuationSeparator" w:id="0">
    <w:p w:rsidR="00FC63C7" w:rsidRDefault="00FC63C7" w:rsidP="00F86F68">
      <w:pPr>
        <w:spacing w:after="0" w:line="240" w:lineRule="auto"/>
      </w:pPr>
      <w:r>
        <w:continuationSeparator/>
      </w:r>
    </w:p>
  </w:footnote>
  <w:footnote w:type="continuationNotice" w:id="1">
    <w:p w:rsidR="00FC63C7" w:rsidRDefault="00FC63C7">
      <w:pPr>
        <w:spacing w:after="0" w:line="240" w:lineRule="auto"/>
      </w:pPr>
    </w:p>
  </w:footnote>
  <w:footnote w:id="2">
    <w:p w:rsidR="00CB1146" w:rsidRDefault="00CB1146">
      <w:pPr>
        <w:pStyle w:val="Textpoznpodarou"/>
      </w:pPr>
      <w:r>
        <w:rPr>
          <w:rStyle w:val="Znakapoznpodarou"/>
        </w:rPr>
        <w:footnoteRef/>
      </w:r>
      <w:r>
        <w:t xml:space="preserve"> Aktivní studia, kategorie zohledňující skutečnost, že jeden student může souběžně studovat více studií, byla pro toto srovnání zvolena proto, že v této kategorii lze ze SIMS zjistit počty studentů v jednotlivých skupinách studijních oborů.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24" w:rsidRDefault="00532B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D0B"/>
    <w:multiLevelType w:val="hybridMultilevel"/>
    <w:tmpl w:val="2F4861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744F8F"/>
    <w:multiLevelType w:val="hybridMultilevel"/>
    <w:tmpl w:val="7E3C6A50"/>
    <w:lvl w:ilvl="0" w:tplc="BE9637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91841"/>
    <w:multiLevelType w:val="hybridMultilevel"/>
    <w:tmpl w:val="70F84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B83"/>
    <w:multiLevelType w:val="hybridMultilevel"/>
    <w:tmpl w:val="28F6B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574E4"/>
    <w:rsid w:val="000333A0"/>
    <w:rsid w:val="000376AB"/>
    <w:rsid w:val="00080229"/>
    <w:rsid w:val="00086CF0"/>
    <w:rsid w:val="00092FCB"/>
    <w:rsid w:val="000A5243"/>
    <w:rsid w:val="000A6B1D"/>
    <w:rsid w:val="000B4453"/>
    <w:rsid w:val="000B44A4"/>
    <w:rsid w:val="000D277E"/>
    <w:rsid w:val="000F0E46"/>
    <w:rsid w:val="000F2015"/>
    <w:rsid w:val="00113FC7"/>
    <w:rsid w:val="00116DFF"/>
    <w:rsid w:val="001179A2"/>
    <w:rsid w:val="00140111"/>
    <w:rsid w:val="001A291B"/>
    <w:rsid w:val="001C106E"/>
    <w:rsid w:val="001C4D07"/>
    <w:rsid w:val="001D13BE"/>
    <w:rsid w:val="001D3A4B"/>
    <w:rsid w:val="001D3CF6"/>
    <w:rsid w:val="001E7A3F"/>
    <w:rsid w:val="00204137"/>
    <w:rsid w:val="00214115"/>
    <w:rsid w:val="00224417"/>
    <w:rsid w:val="002952B2"/>
    <w:rsid w:val="002A2430"/>
    <w:rsid w:val="002B54A0"/>
    <w:rsid w:val="002C6CD5"/>
    <w:rsid w:val="002D48B7"/>
    <w:rsid w:val="002E6A16"/>
    <w:rsid w:val="002F1423"/>
    <w:rsid w:val="00392025"/>
    <w:rsid w:val="003A6B65"/>
    <w:rsid w:val="003B207F"/>
    <w:rsid w:val="003B4A06"/>
    <w:rsid w:val="003D00D4"/>
    <w:rsid w:val="003D1521"/>
    <w:rsid w:val="003D44D9"/>
    <w:rsid w:val="003E263A"/>
    <w:rsid w:val="003E77E2"/>
    <w:rsid w:val="003F13C7"/>
    <w:rsid w:val="004C6213"/>
    <w:rsid w:val="00532B24"/>
    <w:rsid w:val="00532EEA"/>
    <w:rsid w:val="00563E54"/>
    <w:rsid w:val="00591D0E"/>
    <w:rsid w:val="005A3553"/>
    <w:rsid w:val="005A45E9"/>
    <w:rsid w:val="005B22F8"/>
    <w:rsid w:val="005D1FD9"/>
    <w:rsid w:val="006151C7"/>
    <w:rsid w:val="00622D51"/>
    <w:rsid w:val="00630989"/>
    <w:rsid w:val="00696845"/>
    <w:rsid w:val="006C51E6"/>
    <w:rsid w:val="006F7B62"/>
    <w:rsid w:val="007056B0"/>
    <w:rsid w:val="00726214"/>
    <w:rsid w:val="007322F7"/>
    <w:rsid w:val="007553C9"/>
    <w:rsid w:val="00780EDA"/>
    <w:rsid w:val="007A4A15"/>
    <w:rsid w:val="007A75B7"/>
    <w:rsid w:val="007A79A2"/>
    <w:rsid w:val="007B27FF"/>
    <w:rsid w:val="007C14AC"/>
    <w:rsid w:val="00830DA0"/>
    <w:rsid w:val="008B03ED"/>
    <w:rsid w:val="008B0498"/>
    <w:rsid w:val="008B45E7"/>
    <w:rsid w:val="008C6B6E"/>
    <w:rsid w:val="00937CC6"/>
    <w:rsid w:val="0096086F"/>
    <w:rsid w:val="009752A0"/>
    <w:rsid w:val="00975385"/>
    <w:rsid w:val="009D17C4"/>
    <w:rsid w:val="009D1CCB"/>
    <w:rsid w:val="009D2E77"/>
    <w:rsid w:val="009D6677"/>
    <w:rsid w:val="009E00CF"/>
    <w:rsid w:val="00A0388A"/>
    <w:rsid w:val="00A04893"/>
    <w:rsid w:val="00A5517C"/>
    <w:rsid w:val="00A60EC5"/>
    <w:rsid w:val="00A62F51"/>
    <w:rsid w:val="00A76F99"/>
    <w:rsid w:val="00AC2EDC"/>
    <w:rsid w:val="00B13AE4"/>
    <w:rsid w:val="00B41CFA"/>
    <w:rsid w:val="00B609F7"/>
    <w:rsid w:val="00B74633"/>
    <w:rsid w:val="00B84453"/>
    <w:rsid w:val="00BA16C6"/>
    <w:rsid w:val="00BB79B3"/>
    <w:rsid w:val="00BE73A5"/>
    <w:rsid w:val="00C04F3F"/>
    <w:rsid w:val="00C43455"/>
    <w:rsid w:val="00CB1146"/>
    <w:rsid w:val="00CC28BB"/>
    <w:rsid w:val="00CD0BD8"/>
    <w:rsid w:val="00CF33A0"/>
    <w:rsid w:val="00D03919"/>
    <w:rsid w:val="00D17FE3"/>
    <w:rsid w:val="00D5544C"/>
    <w:rsid w:val="00D74476"/>
    <w:rsid w:val="00DB67B1"/>
    <w:rsid w:val="00DC28FB"/>
    <w:rsid w:val="00DF0651"/>
    <w:rsid w:val="00E030BE"/>
    <w:rsid w:val="00E2273E"/>
    <w:rsid w:val="00E553B9"/>
    <w:rsid w:val="00E574E4"/>
    <w:rsid w:val="00E75829"/>
    <w:rsid w:val="00E77692"/>
    <w:rsid w:val="00E834AC"/>
    <w:rsid w:val="00E92518"/>
    <w:rsid w:val="00EA4AB0"/>
    <w:rsid w:val="00EC3320"/>
    <w:rsid w:val="00ED60E7"/>
    <w:rsid w:val="00F07F15"/>
    <w:rsid w:val="00F3700A"/>
    <w:rsid w:val="00F742BA"/>
    <w:rsid w:val="00F86F68"/>
    <w:rsid w:val="00FC63C7"/>
    <w:rsid w:val="00FE20C6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4E4"/>
    <w:pPr>
      <w:ind w:left="720"/>
      <w:contextualSpacing/>
    </w:pPr>
  </w:style>
  <w:style w:type="table" w:styleId="Mkatabulky">
    <w:name w:val="Table Grid"/>
    <w:basedOn w:val="Normlntabulka"/>
    <w:uiPriority w:val="59"/>
    <w:rsid w:val="008B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69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6F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6F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6F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4AC"/>
  </w:style>
  <w:style w:type="paragraph" w:styleId="Zpat">
    <w:name w:val="footer"/>
    <w:basedOn w:val="Normln"/>
    <w:link w:val="ZpatChar"/>
    <w:uiPriority w:val="99"/>
    <w:unhideWhenUsed/>
    <w:rsid w:val="007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4AC"/>
  </w:style>
  <w:style w:type="paragraph" w:styleId="Revize">
    <w:name w:val="Revision"/>
    <w:hidden/>
    <w:uiPriority w:val="99"/>
    <w:semiHidden/>
    <w:rsid w:val="00532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4E4"/>
    <w:pPr>
      <w:ind w:left="720"/>
      <w:contextualSpacing/>
    </w:pPr>
  </w:style>
  <w:style w:type="table" w:styleId="Mkatabulky">
    <w:name w:val="Table Grid"/>
    <w:basedOn w:val="Normlntabulka"/>
    <w:uiPriority w:val="59"/>
    <w:rsid w:val="008B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69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6F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6F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6F6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4AC"/>
  </w:style>
  <w:style w:type="paragraph" w:styleId="Zpat">
    <w:name w:val="footer"/>
    <w:basedOn w:val="Normln"/>
    <w:link w:val="ZpatChar"/>
    <w:uiPriority w:val="99"/>
    <w:unhideWhenUsed/>
    <w:rsid w:val="007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4AC"/>
  </w:style>
  <w:style w:type="paragraph" w:styleId="Revize">
    <w:name w:val="Revision"/>
    <w:hidden/>
    <w:uiPriority w:val="99"/>
    <w:semiHidden/>
    <w:rsid w:val="00532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184D-E0DA-4510-ABD6-3881AE2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Valášek Petr</dc:creator>
  <cp:lastModifiedBy>OSPZV3 ospzv3</cp:lastModifiedBy>
  <cp:revision>2</cp:revision>
  <cp:lastPrinted>2015-09-22T08:34:00Z</cp:lastPrinted>
  <dcterms:created xsi:type="dcterms:W3CDTF">2015-09-22T08:36:00Z</dcterms:created>
  <dcterms:modified xsi:type="dcterms:W3CDTF">2015-09-22T08:36:00Z</dcterms:modified>
</cp:coreProperties>
</file>