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3799" w14:textId="77777777" w:rsidR="00A325B3" w:rsidRDefault="00A325B3" w:rsidP="00360988">
      <w:pPr>
        <w:jc w:val="center"/>
        <w:rPr>
          <w:b/>
          <w:sz w:val="28"/>
          <w:szCs w:val="24"/>
          <w:u w:val="single"/>
        </w:rPr>
      </w:pPr>
    </w:p>
    <w:p w14:paraId="4667C75E" w14:textId="77777777" w:rsidR="00A325B3" w:rsidRDefault="00A325B3" w:rsidP="00360988">
      <w:pPr>
        <w:jc w:val="center"/>
        <w:rPr>
          <w:b/>
          <w:sz w:val="28"/>
          <w:szCs w:val="24"/>
          <w:u w:val="single"/>
        </w:rPr>
      </w:pPr>
    </w:p>
    <w:p w14:paraId="16583260" w14:textId="77777777" w:rsidR="00A325B3" w:rsidRDefault="00A325B3" w:rsidP="00360988">
      <w:pPr>
        <w:jc w:val="center"/>
        <w:rPr>
          <w:b/>
          <w:sz w:val="28"/>
          <w:szCs w:val="24"/>
          <w:u w:val="single"/>
        </w:rPr>
      </w:pPr>
    </w:p>
    <w:p w14:paraId="50913C74" w14:textId="77777777" w:rsidR="00A325B3" w:rsidRDefault="00A325B3" w:rsidP="00360988">
      <w:pPr>
        <w:jc w:val="center"/>
        <w:rPr>
          <w:b/>
          <w:sz w:val="28"/>
          <w:szCs w:val="24"/>
          <w:u w:val="single"/>
        </w:rPr>
      </w:pPr>
    </w:p>
    <w:p w14:paraId="6EC91517" w14:textId="77777777" w:rsidR="00A325B3" w:rsidRDefault="00A325B3" w:rsidP="00360988">
      <w:pPr>
        <w:jc w:val="center"/>
        <w:rPr>
          <w:b/>
          <w:sz w:val="28"/>
          <w:szCs w:val="24"/>
          <w:u w:val="single"/>
        </w:rPr>
      </w:pPr>
    </w:p>
    <w:p w14:paraId="333B0339" w14:textId="77777777" w:rsidR="00A325B3" w:rsidRDefault="00A325B3" w:rsidP="00360988">
      <w:pPr>
        <w:jc w:val="center"/>
        <w:rPr>
          <w:b/>
          <w:sz w:val="28"/>
          <w:szCs w:val="24"/>
          <w:u w:val="single"/>
        </w:rPr>
      </w:pPr>
    </w:p>
    <w:p w14:paraId="79F782E3" w14:textId="77777777" w:rsidR="00A325B3" w:rsidRDefault="00A325B3" w:rsidP="00360988">
      <w:pPr>
        <w:jc w:val="center"/>
        <w:rPr>
          <w:b/>
          <w:sz w:val="28"/>
          <w:szCs w:val="24"/>
          <w:u w:val="single"/>
        </w:rPr>
      </w:pPr>
    </w:p>
    <w:p w14:paraId="27652EDC" w14:textId="77777777" w:rsidR="00A325B3" w:rsidRDefault="00A325B3" w:rsidP="00360988">
      <w:pPr>
        <w:jc w:val="center"/>
        <w:rPr>
          <w:b/>
          <w:sz w:val="28"/>
          <w:szCs w:val="24"/>
          <w:u w:val="single"/>
        </w:rPr>
      </w:pPr>
    </w:p>
    <w:p w14:paraId="64B87141" w14:textId="654EA6B7" w:rsidR="003D71CA" w:rsidRDefault="003D71CA" w:rsidP="00FA48D9">
      <w:pPr>
        <w:pStyle w:val="Nzev"/>
        <w:jc w:val="center"/>
        <w:rPr>
          <w:b/>
          <w:sz w:val="48"/>
        </w:rPr>
      </w:pPr>
      <w:r>
        <w:rPr>
          <w:b/>
          <w:sz w:val="48"/>
        </w:rPr>
        <w:t xml:space="preserve">Dopad </w:t>
      </w:r>
      <w:r w:rsidR="00E449B8">
        <w:rPr>
          <w:b/>
          <w:sz w:val="48"/>
        </w:rPr>
        <w:t>Nové</w:t>
      </w:r>
      <w:r>
        <w:rPr>
          <w:b/>
          <w:sz w:val="48"/>
        </w:rPr>
        <w:t xml:space="preserve"> agendy </w:t>
      </w:r>
      <w:r w:rsidR="00E449B8">
        <w:rPr>
          <w:b/>
          <w:sz w:val="48"/>
        </w:rPr>
        <w:t>dovedností</w:t>
      </w:r>
      <w:r>
        <w:rPr>
          <w:b/>
          <w:sz w:val="48"/>
        </w:rPr>
        <w:t xml:space="preserve"> </w:t>
      </w:r>
    </w:p>
    <w:p w14:paraId="3822B935" w14:textId="5EB73D91" w:rsidR="00360988" w:rsidRPr="00FA48D9" w:rsidRDefault="00E449B8" w:rsidP="00FA48D9">
      <w:pPr>
        <w:pStyle w:val="Nzev"/>
        <w:jc w:val="center"/>
        <w:rPr>
          <w:b/>
          <w:sz w:val="48"/>
        </w:rPr>
      </w:pPr>
      <w:r>
        <w:rPr>
          <w:b/>
          <w:sz w:val="48"/>
        </w:rPr>
        <w:t xml:space="preserve">pro Evropu </w:t>
      </w:r>
      <w:r w:rsidR="003D71CA">
        <w:rPr>
          <w:b/>
          <w:sz w:val="48"/>
        </w:rPr>
        <w:t>na ČR – 2. etapa</w:t>
      </w:r>
    </w:p>
    <w:p w14:paraId="6D0B2FD7" w14:textId="77777777" w:rsidR="003415A8" w:rsidRDefault="003415A8" w:rsidP="00741E5D"/>
    <w:p w14:paraId="4E890F24" w14:textId="77777777" w:rsidR="00741E5D" w:rsidRDefault="00741E5D" w:rsidP="00741E5D"/>
    <w:p w14:paraId="7B16B762" w14:textId="77777777" w:rsidR="00741E5D" w:rsidRDefault="00741E5D" w:rsidP="00741E5D"/>
    <w:p w14:paraId="76E99713" w14:textId="6BEA9D5B" w:rsidR="003415A8" w:rsidRPr="003D71CA" w:rsidRDefault="003D71CA" w:rsidP="00741E5D">
      <w:pPr>
        <w:jc w:val="center"/>
        <w:rPr>
          <w:b/>
          <w:sz w:val="28"/>
          <w:szCs w:val="24"/>
        </w:rPr>
      </w:pPr>
      <w:r w:rsidRPr="003D71CA">
        <w:rPr>
          <w:rFonts w:cs="Arial"/>
          <w:b/>
          <w:sz w:val="28"/>
          <w:szCs w:val="28"/>
        </w:rPr>
        <w:t>Expertní skupina pro evropskou a mezinárodní legislativu</w:t>
      </w:r>
    </w:p>
    <w:p w14:paraId="53640D0E" w14:textId="77777777" w:rsidR="003D71CA" w:rsidRDefault="003D71CA" w:rsidP="003D71CA">
      <w:pPr>
        <w:spacing w:after="0"/>
        <w:jc w:val="center"/>
        <w:rPr>
          <w:sz w:val="24"/>
          <w:szCs w:val="24"/>
        </w:rPr>
      </w:pPr>
      <w:r>
        <w:rPr>
          <w:sz w:val="24"/>
          <w:szCs w:val="24"/>
        </w:rPr>
        <w:t>JUDr. Marie Zvolská – metodik, ASO</w:t>
      </w:r>
      <w:r w:rsidR="00CB4789">
        <w:rPr>
          <w:sz w:val="24"/>
          <w:szCs w:val="24"/>
        </w:rPr>
        <w:br/>
      </w:r>
      <w:r>
        <w:rPr>
          <w:sz w:val="24"/>
          <w:szCs w:val="24"/>
        </w:rPr>
        <w:t>Ing. Mgr. Alena Mastantuono – člen, ASO</w:t>
      </w:r>
    </w:p>
    <w:p w14:paraId="00342625" w14:textId="4055A22F" w:rsidR="00CB4789" w:rsidRDefault="003D71CA" w:rsidP="003D71CA">
      <w:pPr>
        <w:spacing w:after="0"/>
        <w:jc w:val="center"/>
        <w:rPr>
          <w:sz w:val="24"/>
          <w:szCs w:val="24"/>
        </w:rPr>
      </w:pPr>
      <w:r>
        <w:rPr>
          <w:sz w:val="24"/>
          <w:szCs w:val="24"/>
        </w:rPr>
        <w:t>Mgr. Tomáš Hartman – člen, ASO</w:t>
      </w:r>
      <w:r>
        <w:rPr>
          <w:sz w:val="24"/>
          <w:szCs w:val="24"/>
        </w:rPr>
        <w:br/>
        <w:t>Pavel Trantina – člen, KZPS ČR</w:t>
      </w:r>
    </w:p>
    <w:p w14:paraId="47DAE96E" w14:textId="77777777" w:rsidR="003D71CA" w:rsidRDefault="003D71CA" w:rsidP="00CB4789">
      <w:pPr>
        <w:jc w:val="center"/>
        <w:rPr>
          <w:sz w:val="24"/>
          <w:szCs w:val="24"/>
        </w:rPr>
      </w:pPr>
    </w:p>
    <w:p w14:paraId="082A52A5" w14:textId="5EA46972" w:rsidR="00CB4789" w:rsidRDefault="00CB4789" w:rsidP="00CB4789">
      <w:pPr>
        <w:jc w:val="center"/>
        <w:rPr>
          <w:sz w:val="24"/>
          <w:szCs w:val="24"/>
        </w:rPr>
      </w:pPr>
    </w:p>
    <w:p w14:paraId="4FF586F2" w14:textId="5A0652A4" w:rsidR="00CB4789" w:rsidRDefault="00CB4789" w:rsidP="00CB4789">
      <w:pPr>
        <w:jc w:val="center"/>
        <w:rPr>
          <w:sz w:val="24"/>
          <w:szCs w:val="24"/>
        </w:rPr>
      </w:pPr>
    </w:p>
    <w:p w14:paraId="42878230" w14:textId="0DDDB772" w:rsidR="00A325B3" w:rsidRDefault="00082596" w:rsidP="002C0162">
      <w:pPr>
        <w:jc w:val="center"/>
        <w:rPr>
          <w:sz w:val="24"/>
          <w:szCs w:val="24"/>
        </w:rPr>
      </w:pPr>
      <w:r>
        <w:rPr>
          <w:sz w:val="24"/>
          <w:szCs w:val="24"/>
        </w:rPr>
        <w:t>2017</w:t>
      </w:r>
      <w:bookmarkStart w:id="0" w:name="_GoBack"/>
      <w:bookmarkEnd w:id="0"/>
    </w:p>
    <w:p w14:paraId="2EF656C3" w14:textId="77777777" w:rsidR="002C0162" w:rsidRDefault="002C0162" w:rsidP="00102346">
      <w:pPr>
        <w:rPr>
          <w:sz w:val="24"/>
          <w:szCs w:val="24"/>
        </w:rPr>
      </w:pPr>
    </w:p>
    <w:p w14:paraId="3B6B3E66" w14:textId="77777777" w:rsidR="00A325B3" w:rsidRDefault="00A325B3">
      <w:pPr>
        <w:rPr>
          <w:sz w:val="24"/>
          <w:szCs w:val="24"/>
        </w:rPr>
      </w:pPr>
      <w:r>
        <w:rPr>
          <w:sz w:val="24"/>
          <w:szCs w:val="24"/>
        </w:rPr>
        <w:br w:type="page"/>
      </w:r>
    </w:p>
    <w:bookmarkStart w:id="1" w:name="_Toc493513444" w:displacedByCustomXml="next"/>
    <w:bookmarkStart w:id="2" w:name="_Toc475396286" w:displacedByCustomXml="next"/>
    <w:sdt>
      <w:sdtPr>
        <w:rPr>
          <w:rFonts w:asciiTheme="minorHAnsi" w:eastAsiaTheme="minorEastAsia" w:hAnsiTheme="minorHAnsi" w:cstheme="minorBidi"/>
          <w:color w:val="auto"/>
          <w:sz w:val="22"/>
          <w:szCs w:val="22"/>
        </w:rPr>
        <w:id w:val="-1603799697"/>
        <w:docPartObj>
          <w:docPartGallery w:val="Table of Contents"/>
          <w:docPartUnique/>
        </w:docPartObj>
      </w:sdtPr>
      <w:sdtEndPr>
        <w:rPr>
          <w:b/>
          <w:bCs/>
        </w:rPr>
      </w:sdtEndPr>
      <w:sdtContent>
        <w:p w14:paraId="03B1AD0A" w14:textId="77777777" w:rsidR="00DF74DB" w:rsidRDefault="00B67119" w:rsidP="00306160">
          <w:pPr>
            <w:pStyle w:val="Nadpis1"/>
            <w:numPr>
              <w:ilvl w:val="0"/>
              <w:numId w:val="0"/>
            </w:numPr>
            <w:rPr>
              <w:noProof/>
            </w:rPr>
          </w:pPr>
          <w:r>
            <w:t>Obsah</w:t>
          </w:r>
          <w:bookmarkEnd w:id="2"/>
          <w:bookmarkEnd w:id="1"/>
          <w:r w:rsidR="00306160">
            <w:rPr>
              <w:rFonts w:cstheme="minorHAnsi"/>
              <w:caps/>
              <w:sz w:val="24"/>
              <w:szCs w:val="24"/>
              <w:u w:val="single"/>
            </w:rPr>
            <w:fldChar w:fldCharType="begin"/>
          </w:r>
          <w:r w:rsidR="00306160">
            <w:rPr>
              <w:rFonts w:cstheme="minorHAnsi"/>
              <w:caps/>
              <w:sz w:val="24"/>
              <w:szCs w:val="24"/>
              <w:u w:val="single"/>
            </w:rPr>
            <w:instrText xml:space="preserve"> TOC \o "1-3" \h \z \u </w:instrText>
          </w:r>
          <w:r w:rsidR="00306160">
            <w:rPr>
              <w:rFonts w:cstheme="minorHAnsi"/>
              <w:caps/>
              <w:sz w:val="24"/>
              <w:szCs w:val="24"/>
              <w:u w:val="single"/>
            </w:rPr>
            <w:fldChar w:fldCharType="separate"/>
          </w:r>
        </w:p>
        <w:p w14:paraId="5247FCE6" w14:textId="77777777" w:rsidR="00DF74DB" w:rsidRDefault="00C1014D">
          <w:pPr>
            <w:pStyle w:val="Obsah1"/>
            <w:tabs>
              <w:tab w:val="right" w:leader="dot" w:pos="9062"/>
            </w:tabs>
            <w:rPr>
              <w:rFonts w:asciiTheme="minorHAnsi" w:hAnsiTheme="minorHAnsi"/>
              <w:b w:val="0"/>
              <w:bCs w:val="0"/>
              <w:caps w:val="0"/>
              <w:noProof/>
            </w:rPr>
          </w:pPr>
          <w:hyperlink w:anchor="_Toc493513444" w:history="1">
            <w:r w:rsidR="00DF74DB" w:rsidRPr="00DA17F4">
              <w:rPr>
                <w:rStyle w:val="Hypertextovodkaz"/>
                <w:noProof/>
              </w:rPr>
              <w:t>Obsah</w:t>
            </w:r>
            <w:r w:rsidR="00DF74DB">
              <w:rPr>
                <w:noProof/>
                <w:webHidden/>
              </w:rPr>
              <w:tab/>
            </w:r>
            <w:r w:rsidR="00DF74DB">
              <w:rPr>
                <w:noProof/>
                <w:webHidden/>
              </w:rPr>
              <w:fldChar w:fldCharType="begin"/>
            </w:r>
            <w:r w:rsidR="00DF74DB">
              <w:rPr>
                <w:noProof/>
                <w:webHidden/>
              </w:rPr>
              <w:instrText xml:space="preserve"> PAGEREF _Toc493513444 \h </w:instrText>
            </w:r>
            <w:r w:rsidR="00DF74DB">
              <w:rPr>
                <w:noProof/>
                <w:webHidden/>
              </w:rPr>
            </w:r>
            <w:r w:rsidR="00DF74DB">
              <w:rPr>
                <w:noProof/>
                <w:webHidden/>
              </w:rPr>
              <w:fldChar w:fldCharType="separate"/>
            </w:r>
            <w:r w:rsidR="00964DC2">
              <w:rPr>
                <w:noProof/>
                <w:webHidden/>
              </w:rPr>
              <w:t>2</w:t>
            </w:r>
            <w:r w:rsidR="00DF74DB">
              <w:rPr>
                <w:noProof/>
                <w:webHidden/>
              </w:rPr>
              <w:fldChar w:fldCharType="end"/>
            </w:r>
          </w:hyperlink>
        </w:p>
        <w:p w14:paraId="2EBDDA19" w14:textId="77777777" w:rsidR="00DF74DB" w:rsidRDefault="00C1014D">
          <w:pPr>
            <w:pStyle w:val="Obsah1"/>
            <w:tabs>
              <w:tab w:val="right" w:leader="dot" w:pos="9062"/>
            </w:tabs>
            <w:rPr>
              <w:rFonts w:asciiTheme="minorHAnsi" w:hAnsiTheme="minorHAnsi"/>
              <w:b w:val="0"/>
              <w:bCs w:val="0"/>
              <w:caps w:val="0"/>
              <w:noProof/>
            </w:rPr>
          </w:pPr>
          <w:hyperlink w:anchor="_Toc493513445" w:history="1">
            <w:r w:rsidR="00DF74DB" w:rsidRPr="00DA17F4">
              <w:rPr>
                <w:rStyle w:val="Hypertextovodkaz"/>
                <w:noProof/>
              </w:rPr>
              <w:t>Úvod</w:t>
            </w:r>
            <w:r w:rsidR="00DF74DB">
              <w:rPr>
                <w:noProof/>
                <w:webHidden/>
              </w:rPr>
              <w:tab/>
            </w:r>
            <w:r w:rsidR="00DF74DB">
              <w:rPr>
                <w:noProof/>
                <w:webHidden/>
              </w:rPr>
              <w:fldChar w:fldCharType="begin"/>
            </w:r>
            <w:r w:rsidR="00DF74DB">
              <w:rPr>
                <w:noProof/>
                <w:webHidden/>
              </w:rPr>
              <w:instrText xml:space="preserve"> PAGEREF _Toc493513445 \h </w:instrText>
            </w:r>
            <w:r w:rsidR="00DF74DB">
              <w:rPr>
                <w:noProof/>
                <w:webHidden/>
              </w:rPr>
            </w:r>
            <w:r w:rsidR="00DF74DB">
              <w:rPr>
                <w:noProof/>
                <w:webHidden/>
              </w:rPr>
              <w:fldChar w:fldCharType="separate"/>
            </w:r>
            <w:r w:rsidR="00964DC2">
              <w:rPr>
                <w:noProof/>
                <w:webHidden/>
              </w:rPr>
              <w:t>3</w:t>
            </w:r>
            <w:r w:rsidR="00DF74DB">
              <w:rPr>
                <w:noProof/>
                <w:webHidden/>
              </w:rPr>
              <w:fldChar w:fldCharType="end"/>
            </w:r>
          </w:hyperlink>
        </w:p>
        <w:p w14:paraId="4464C30E" w14:textId="77777777" w:rsidR="00DF74DB" w:rsidRDefault="00C1014D">
          <w:pPr>
            <w:pStyle w:val="Obsah1"/>
            <w:tabs>
              <w:tab w:val="left" w:pos="440"/>
              <w:tab w:val="right" w:leader="dot" w:pos="9062"/>
            </w:tabs>
            <w:rPr>
              <w:rFonts w:asciiTheme="minorHAnsi" w:hAnsiTheme="minorHAnsi"/>
              <w:b w:val="0"/>
              <w:bCs w:val="0"/>
              <w:caps w:val="0"/>
              <w:noProof/>
            </w:rPr>
          </w:pPr>
          <w:hyperlink w:anchor="_Toc493513446" w:history="1">
            <w:r w:rsidR="00DF74DB" w:rsidRPr="00DA17F4">
              <w:rPr>
                <w:rStyle w:val="Hypertextovodkaz"/>
                <w:noProof/>
              </w:rPr>
              <w:t>1</w:t>
            </w:r>
            <w:r w:rsidR="00DF74DB">
              <w:rPr>
                <w:rFonts w:asciiTheme="minorHAnsi" w:hAnsiTheme="minorHAnsi"/>
                <w:b w:val="0"/>
                <w:bCs w:val="0"/>
                <w:caps w:val="0"/>
                <w:noProof/>
              </w:rPr>
              <w:tab/>
            </w:r>
            <w:r w:rsidR="00DF74DB" w:rsidRPr="00DA17F4">
              <w:rPr>
                <w:rStyle w:val="Hypertextovodkaz"/>
                <w:noProof/>
              </w:rPr>
              <w:t>Obsah návrhů Evropské komise a stav jejich projednávání</w:t>
            </w:r>
            <w:r w:rsidR="00DF74DB">
              <w:rPr>
                <w:noProof/>
                <w:webHidden/>
              </w:rPr>
              <w:tab/>
            </w:r>
            <w:r w:rsidR="00DF74DB">
              <w:rPr>
                <w:noProof/>
                <w:webHidden/>
              </w:rPr>
              <w:fldChar w:fldCharType="begin"/>
            </w:r>
            <w:r w:rsidR="00DF74DB">
              <w:rPr>
                <w:noProof/>
                <w:webHidden/>
              </w:rPr>
              <w:instrText xml:space="preserve"> PAGEREF _Toc493513446 \h </w:instrText>
            </w:r>
            <w:r w:rsidR="00DF74DB">
              <w:rPr>
                <w:noProof/>
                <w:webHidden/>
              </w:rPr>
            </w:r>
            <w:r w:rsidR="00DF74DB">
              <w:rPr>
                <w:noProof/>
                <w:webHidden/>
              </w:rPr>
              <w:fldChar w:fldCharType="separate"/>
            </w:r>
            <w:r w:rsidR="00964DC2">
              <w:rPr>
                <w:noProof/>
                <w:webHidden/>
              </w:rPr>
              <w:t>4</w:t>
            </w:r>
            <w:r w:rsidR="00DF74DB">
              <w:rPr>
                <w:noProof/>
                <w:webHidden/>
              </w:rPr>
              <w:fldChar w:fldCharType="end"/>
            </w:r>
          </w:hyperlink>
        </w:p>
        <w:p w14:paraId="689BBEFC" w14:textId="77777777" w:rsidR="00DF74DB" w:rsidRDefault="00C1014D">
          <w:pPr>
            <w:pStyle w:val="Obsah2"/>
            <w:rPr>
              <w:rFonts w:cstheme="minorBidi"/>
              <w:noProof/>
              <w:sz w:val="24"/>
              <w:szCs w:val="24"/>
            </w:rPr>
          </w:pPr>
          <w:hyperlink w:anchor="_Toc493513447" w:history="1">
            <w:r w:rsidR="00DF74DB" w:rsidRPr="00DA17F4">
              <w:rPr>
                <w:rStyle w:val="Hypertextovodkaz"/>
                <w:noProof/>
              </w:rPr>
              <w:t>1.1</w:t>
            </w:r>
            <w:r w:rsidR="00DF74DB">
              <w:rPr>
                <w:rFonts w:cstheme="minorBidi"/>
                <w:noProof/>
                <w:sz w:val="24"/>
                <w:szCs w:val="24"/>
              </w:rPr>
              <w:tab/>
            </w:r>
            <w:r w:rsidR="00DF74DB" w:rsidRPr="00DA17F4">
              <w:rPr>
                <w:rStyle w:val="Hypertextovodkaz"/>
                <w:noProof/>
                <w:shd w:val="clear" w:color="auto" w:fill="FFFFFF"/>
              </w:rPr>
              <w:t>Revize rámce EU pro klíčové schopnosti</w:t>
            </w:r>
            <w:r w:rsidR="00DF74DB">
              <w:rPr>
                <w:noProof/>
                <w:webHidden/>
              </w:rPr>
              <w:tab/>
            </w:r>
            <w:r w:rsidR="00DF74DB">
              <w:rPr>
                <w:noProof/>
                <w:webHidden/>
              </w:rPr>
              <w:fldChar w:fldCharType="begin"/>
            </w:r>
            <w:r w:rsidR="00DF74DB">
              <w:rPr>
                <w:noProof/>
                <w:webHidden/>
              </w:rPr>
              <w:instrText xml:space="preserve"> PAGEREF _Toc493513447 \h </w:instrText>
            </w:r>
            <w:r w:rsidR="00DF74DB">
              <w:rPr>
                <w:noProof/>
                <w:webHidden/>
              </w:rPr>
            </w:r>
            <w:r w:rsidR="00DF74DB">
              <w:rPr>
                <w:noProof/>
                <w:webHidden/>
              </w:rPr>
              <w:fldChar w:fldCharType="separate"/>
            </w:r>
            <w:r w:rsidR="00964DC2">
              <w:rPr>
                <w:noProof/>
                <w:webHidden/>
              </w:rPr>
              <w:t>4</w:t>
            </w:r>
            <w:r w:rsidR="00DF74DB">
              <w:rPr>
                <w:noProof/>
                <w:webHidden/>
              </w:rPr>
              <w:fldChar w:fldCharType="end"/>
            </w:r>
          </w:hyperlink>
        </w:p>
        <w:p w14:paraId="39FAADA7" w14:textId="77777777" w:rsidR="00DF74DB" w:rsidRDefault="00C1014D">
          <w:pPr>
            <w:pStyle w:val="Obsah2"/>
            <w:rPr>
              <w:rFonts w:cstheme="minorBidi"/>
              <w:noProof/>
              <w:sz w:val="24"/>
              <w:szCs w:val="24"/>
            </w:rPr>
          </w:pPr>
          <w:hyperlink w:anchor="_Toc493513448" w:history="1">
            <w:r w:rsidR="00DF74DB" w:rsidRPr="00DA17F4">
              <w:rPr>
                <w:rStyle w:val="Hypertextovodkaz"/>
                <w:noProof/>
              </w:rPr>
              <w:t>1.2</w:t>
            </w:r>
            <w:r w:rsidR="00DF74DB">
              <w:rPr>
                <w:rFonts w:cstheme="minorBidi"/>
                <w:noProof/>
                <w:sz w:val="24"/>
                <w:szCs w:val="24"/>
              </w:rPr>
              <w:tab/>
            </w:r>
            <w:r w:rsidR="00DF74DB" w:rsidRPr="00DA17F4">
              <w:rPr>
                <w:rStyle w:val="Hypertextovodkaz"/>
                <w:noProof/>
                <w:shd w:val="clear" w:color="auto" w:fill="FFFFFF"/>
              </w:rPr>
              <w:t>Modernizace odborného vzdělávání a přípravy</w:t>
            </w:r>
            <w:r w:rsidR="00DF74DB">
              <w:rPr>
                <w:noProof/>
                <w:webHidden/>
              </w:rPr>
              <w:tab/>
            </w:r>
            <w:r w:rsidR="00DF74DB">
              <w:rPr>
                <w:noProof/>
                <w:webHidden/>
              </w:rPr>
              <w:fldChar w:fldCharType="begin"/>
            </w:r>
            <w:r w:rsidR="00DF74DB">
              <w:rPr>
                <w:noProof/>
                <w:webHidden/>
              </w:rPr>
              <w:instrText xml:space="preserve"> PAGEREF _Toc493513448 \h </w:instrText>
            </w:r>
            <w:r w:rsidR="00DF74DB">
              <w:rPr>
                <w:noProof/>
                <w:webHidden/>
              </w:rPr>
            </w:r>
            <w:r w:rsidR="00DF74DB">
              <w:rPr>
                <w:noProof/>
                <w:webHidden/>
              </w:rPr>
              <w:fldChar w:fldCharType="separate"/>
            </w:r>
            <w:r w:rsidR="00964DC2">
              <w:rPr>
                <w:noProof/>
                <w:webHidden/>
              </w:rPr>
              <w:t>4</w:t>
            </w:r>
            <w:r w:rsidR="00DF74DB">
              <w:rPr>
                <w:noProof/>
                <w:webHidden/>
              </w:rPr>
              <w:fldChar w:fldCharType="end"/>
            </w:r>
          </w:hyperlink>
        </w:p>
        <w:p w14:paraId="60E4ACEB" w14:textId="77777777" w:rsidR="00DF74DB" w:rsidRDefault="00C1014D">
          <w:pPr>
            <w:pStyle w:val="Obsah2"/>
            <w:rPr>
              <w:rFonts w:cstheme="minorBidi"/>
              <w:noProof/>
              <w:sz w:val="24"/>
              <w:szCs w:val="24"/>
            </w:rPr>
          </w:pPr>
          <w:hyperlink w:anchor="_Toc493513449" w:history="1">
            <w:r w:rsidR="00DF74DB" w:rsidRPr="00DA17F4">
              <w:rPr>
                <w:rStyle w:val="Hypertextovodkaz"/>
                <w:noProof/>
              </w:rPr>
              <w:t>1.3</w:t>
            </w:r>
            <w:r w:rsidR="00DF74DB">
              <w:rPr>
                <w:rFonts w:cstheme="minorBidi"/>
                <w:noProof/>
                <w:sz w:val="24"/>
                <w:szCs w:val="24"/>
              </w:rPr>
              <w:tab/>
            </w:r>
            <w:r w:rsidR="00DF74DB" w:rsidRPr="00DA17F4">
              <w:rPr>
                <w:rStyle w:val="Hypertextovodkaz"/>
                <w:noProof/>
                <w:shd w:val="clear" w:color="auto" w:fill="FFFFFF"/>
              </w:rPr>
              <w:t>Jak řešit odliv mozků?</w:t>
            </w:r>
            <w:r w:rsidR="00DF74DB">
              <w:rPr>
                <w:noProof/>
                <w:webHidden/>
              </w:rPr>
              <w:tab/>
            </w:r>
            <w:r w:rsidR="00DF74DB">
              <w:rPr>
                <w:noProof/>
                <w:webHidden/>
              </w:rPr>
              <w:fldChar w:fldCharType="begin"/>
            </w:r>
            <w:r w:rsidR="00DF74DB">
              <w:rPr>
                <w:noProof/>
                <w:webHidden/>
              </w:rPr>
              <w:instrText xml:space="preserve"> PAGEREF _Toc493513449 \h </w:instrText>
            </w:r>
            <w:r w:rsidR="00DF74DB">
              <w:rPr>
                <w:noProof/>
                <w:webHidden/>
              </w:rPr>
            </w:r>
            <w:r w:rsidR="00DF74DB">
              <w:rPr>
                <w:noProof/>
                <w:webHidden/>
              </w:rPr>
              <w:fldChar w:fldCharType="separate"/>
            </w:r>
            <w:r w:rsidR="00964DC2">
              <w:rPr>
                <w:noProof/>
                <w:webHidden/>
              </w:rPr>
              <w:t>5</w:t>
            </w:r>
            <w:r w:rsidR="00DF74DB">
              <w:rPr>
                <w:noProof/>
                <w:webHidden/>
              </w:rPr>
              <w:fldChar w:fldCharType="end"/>
            </w:r>
          </w:hyperlink>
        </w:p>
        <w:p w14:paraId="3FCA97A0" w14:textId="77777777" w:rsidR="00DF74DB" w:rsidRDefault="00C1014D">
          <w:pPr>
            <w:pStyle w:val="Obsah2"/>
            <w:rPr>
              <w:rFonts w:cstheme="minorBidi"/>
              <w:noProof/>
              <w:sz w:val="24"/>
              <w:szCs w:val="24"/>
            </w:rPr>
          </w:pPr>
          <w:hyperlink w:anchor="_Toc493513450" w:history="1">
            <w:r w:rsidR="00DF74DB" w:rsidRPr="00DA17F4">
              <w:rPr>
                <w:rStyle w:val="Hypertextovodkaz"/>
                <w:noProof/>
              </w:rPr>
              <w:t>1.4</w:t>
            </w:r>
            <w:r w:rsidR="00DF74DB">
              <w:rPr>
                <w:rFonts w:cstheme="minorBidi"/>
                <w:noProof/>
                <w:sz w:val="24"/>
                <w:szCs w:val="24"/>
              </w:rPr>
              <w:tab/>
            </w:r>
            <w:r w:rsidR="00DF74DB" w:rsidRPr="00DA17F4">
              <w:rPr>
                <w:rStyle w:val="Hypertextovodkaz"/>
                <w:noProof/>
                <w:shd w:val="clear" w:color="auto" w:fill="FFFFFF"/>
              </w:rPr>
              <w:t>Sledování uplatnění absolventů</w:t>
            </w:r>
            <w:r w:rsidR="00DF74DB">
              <w:rPr>
                <w:noProof/>
                <w:webHidden/>
              </w:rPr>
              <w:tab/>
            </w:r>
            <w:r w:rsidR="00DF74DB">
              <w:rPr>
                <w:noProof/>
                <w:webHidden/>
              </w:rPr>
              <w:fldChar w:fldCharType="begin"/>
            </w:r>
            <w:r w:rsidR="00DF74DB">
              <w:rPr>
                <w:noProof/>
                <w:webHidden/>
              </w:rPr>
              <w:instrText xml:space="preserve"> PAGEREF _Toc493513450 \h </w:instrText>
            </w:r>
            <w:r w:rsidR="00DF74DB">
              <w:rPr>
                <w:noProof/>
                <w:webHidden/>
              </w:rPr>
            </w:r>
            <w:r w:rsidR="00DF74DB">
              <w:rPr>
                <w:noProof/>
                <w:webHidden/>
              </w:rPr>
              <w:fldChar w:fldCharType="separate"/>
            </w:r>
            <w:r w:rsidR="00964DC2">
              <w:rPr>
                <w:noProof/>
                <w:webHidden/>
              </w:rPr>
              <w:t>5</w:t>
            </w:r>
            <w:r w:rsidR="00DF74DB">
              <w:rPr>
                <w:noProof/>
                <w:webHidden/>
              </w:rPr>
              <w:fldChar w:fldCharType="end"/>
            </w:r>
          </w:hyperlink>
        </w:p>
        <w:p w14:paraId="5A27B050" w14:textId="77777777" w:rsidR="00DF74DB" w:rsidRDefault="00C1014D">
          <w:pPr>
            <w:pStyle w:val="Obsah2"/>
            <w:rPr>
              <w:rFonts w:cstheme="minorBidi"/>
              <w:noProof/>
              <w:sz w:val="24"/>
              <w:szCs w:val="24"/>
            </w:rPr>
          </w:pPr>
          <w:hyperlink w:anchor="_Toc493513451" w:history="1">
            <w:r w:rsidR="00DF74DB" w:rsidRPr="00DA17F4">
              <w:rPr>
                <w:rStyle w:val="Hypertextovodkaz"/>
                <w:noProof/>
              </w:rPr>
              <w:t>1.5</w:t>
            </w:r>
            <w:r w:rsidR="00DF74DB">
              <w:rPr>
                <w:rFonts w:cstheme="minorBidi"/>
                <w:noProof/>
                <w:sz w:val="24"/>
                <w:szCs w:val="24"/>
              </w:rPr>
              <w:tab/>
            </w:r>
            <w:r w:rsidR="00DF74DB" w:rsidRPr="00DA17F4">
              <w:rPr>
                <w:rStyle w:val="Hypertextovodkaz"/>
                <w:noProof/>
                <w:shd w:val="clear" w:color="auto" w:fill="FFFFFF"/>
              </w:rPr>
              <w:t>Nový rámec pro Europass a uznávání dovedností získaných mimo formální vzdělávání</w:t>
            </w:r>
            <w:r w:rsidR="00DF74DB">
              <w:rPr>
                <w:noProof/>
                <w:webHidden/>
              </w:rPr>
              <w:tab/>
            </w:r>
            <w:r w:rsidR="00DF74DB">
              <w:rPr>
                <w:noProof/>
                <w:webHidden/>
              </w:rPr>
              <w:fldChar w:fldCharType="begin"/>
            </w:r>
            <w:r w:rsidR="00DF74DB">
              <w:rPr>
                <w:noProof/>
                <w:webHidden/>
              </w:rPr>
              <w:instrText xml:space="preserve"> PAGEREF _Toc493513451 \h </w:instrText>
            </w:r>
            <w:r w:rsidR="00DF74DB">
              <w:rPr>
                <w:noProof/>
                <w:webHidden/>
              </w:rPr>
            </w:r>
            <w:r w:rsidR="00DF74DB">
              <w:rPr>
                <w:noProof/>
                <w:webHidden/>
              </w:rPr>
              <w:fldChar w:fldCharType="separate"/>
            </w:r>
            <w:r w:rsidR="00964DC2">
              <w:rPr>
                <w:noProof/>
                <w:webHidden/>
              </w:rPr>
              <w:t>6</w:t>
            </w:r>
            <w:r w:rsidR="00DF74DB">
              <w:rPr>
                <w:noProof/>
                <w:webHidden/>
              </w:rPr>
              <w:fldChar w:fldCharType="end"/>
            </w:r>
          </w:hyperlink>
        </w:p>
        <w:p w14:paraId="3FA3C913" w14:textId="77777777" w:rsidR="00DF74DB" w:rsidRDefault="00C1014D">
          <w:pPr>
            <w:pStyle w:val="Obsah2"/>
            <w:rPr>
              <w:rFonts w:cstheme="minorBidi"/>
              <w:noProof/>
              <w:sz w:val="24"/>
              <w:szCs w:val="24"/>
            </w:rPr>
          </w:pPr>
          <w:hyperlink w:anchor="_Toc493513452" w:history="1">
            <w:r w:rsidR="00DF74DB" w:rsidRPr="00DA17F4">
              <w:rPr>
                <w:rStyle w:val="Hypertextovodkaz"/>
                <w:noProof/>
              </w:rPr>
              <w:t>1.6</w:t>
            </w:r>
            <w:r w:rsidR="00DF74DB">
              <w:rPr>
                <w:rFonts w:cstheme="minorBidi"/>
                <w:noProof/>
                <w:sz w:val="24"/>
                <w:szCs w:val="24"/>
              </w:rPr>
              <w:tab/>
            </w:r>
            <w:r w:rsidR="00DF74DB" w:rsidRPr="00DA17F4">
              <w:rPr>
                <w:rStyle w:val="Hypertextovodkaz"/>
                <w:noProof/>
                <w:shd w:val="clear" w:color="auto" w:fill="FFFFFF"/>
              </w:rPr>
              <w:t>Nová Evropská strategie pro vzdělávání</w:t>
            </w:r>
            <w:r w:rsidR="00DF74DB">
              <w:rPr>
                <w:noProof/>
                <w:webHidden/>
              </w:rPr>
              <w:tab/>
            </w:r>
            <w:r w:rsidR="00DF74DB">
              <w:rPr>
                <w:noProof/>
                <w:webHidden/>
              </w:rPr>
              <w:fldChar w:fldCharType="begin"/>
            </w:r>
            <w:r w:rsidR="00DF74DB">
              <w:rPr>
                <w:noProof/>
                <w:webHidden/>
              </w:rPr>
              <w:instrText xml:space="preserve"> PAGEREF _Toc493513452 \h </w:instrText>
            </w:r>
            <w:r w:rsidR="00DF74DB">
              <w:rPr>
                <w:noProof/>
                <w:webHidden/>
              </w:rPr>
            </w:r>
            <w:r w:rsidR="00DF74DB">
              <w:rPr>
                <w:noProof/>
                <w:webHidden/>
              </w:rPr>
              <w:fldChar w:fldCharType="separate"/>
            </w:r>
            <w:r w:rsidR="00964DC2">
              <w:rPr>
                <w:noProof/>
                <w:webHidden/>
              </w:rPr>
              <w:t>7</w:t>
            </w:r>
            <w:r w:rsidR="00DF74DB">
              <w:rPr>
                <w:noProof/>
                <w:webHidden/>
              </w:rPr>
              <w:fldChar w:fldCharType="end"/>
            </w:r>
          </w:hyperlink>
        </w:p>
        <w:p w14:paraId="0965B9D8" w14:textId="77777777" w:rsidR="00DF74DB" w:rsidRDefault="00C1014D">
          <w:pPr>
            <w:pStyle w:val="Obsah1"/>
            <w:tabs>
              <w:tab w:val="left" w:pos="440"/>
              <w:tab w:val="right" w:leader="dot" w:pos="9062"/>
            </w:tabs>
            <w:rPr>
              <w:rFonts w:asciiTheme="minorHAnsi" w:hAnsiTheme="minorHAnsi"/>
              <w:b w:val="0"/>
              <w:bCs w:val="0"/>
              <w:caps w:val="0"/>
              <w:noProof/>
            </w:rPr>
          </w:pPr>
          <w:hyperlink w:anchor="_Toc493513453" w:history="1">
            <w:r w:rsidR="00DF74DB" w:rsidRPr="00DA17F4">
              <w:rPr>
                <w:rStyle w:val="Hypertextovodkaz"/>
                <w:noProof/>
              </w:rPr>
              <w:t>2</w:t>
            </w:r>
            <w:r w:rsidR="00DF74DB">
              <w:rPr>
                <w:rFonts w:asciiTheme="minorHAnsi" w:hAnsiTheme="minorHAnsi"/>
                <w:b w:val="0"/>
                <w:bCs w:val="0"/>
                <w:caps w:val="0"/>
                <w:noProof/>
              </w:rPr>
              <w:tab/>
            </w:r>
            <w:r w:rsidR="00DF74DB" w:rsidRPr="00DA17F4">
              <w:rPr>
                <w:rStyle w:val="Hypertextovodkaz"/>
                <w:noProof/>
              </w:rPr>
              <w:t>Analytická část</w:t>
            </w:r>
            <w:r w:rsidR="00DF74DB">
              <w:rPr>
                <w:noProof/>
                <w:webHidden/>
              </w:rPr>
              <w:tab/>
            </w:r>
            <w:r w:rsidR="00DF74DB">
              <w:rPr>
                <w:noProof/>
                <w:webHidden/>
              </w:rPr>
              <w:fldChar w:fldCharType="begin"/>
            </w:r>
            <w:r w:rsidR="00DF74DB">
              <w:rPr>
                <w:noProof/>
                <w:webHidden/>
              </w:rPr>
              <w:instrText xml:space="preserve"> PAGEREF _Toc493513453 \h </w:instrText>
            </w:r>
            <w:r w:rsidR="00DF74DB">
              <w:rPr>
                <w:noProof/>
                <w:webHidden/>
              </w:rPr>
            </w:r>
            <w:r w:rsidR="00DF74DB">
              <w:rPr>
                <w:noProof/>
                <w:webHidden/>
              </w:rPr>
              <w:fldChar w:fldCharType="separate"/>
            </w:r>
            <w:r w:rsidR="00964DC2">
              <w:rPr>
                <w:noProof/>
                <w:webHidden/>
              </w:rPr>
              <w:t>10</w:t>
            </w:r>
            <w:r w:rsidR="00DF74DB">
              <w:rPr>
                <w:noProof/>
                <w:webHidden/>
              </w:rPr>
              <w:fldChar w:fldCharType="end"/>
            </w:r>
          </w:hyperlink>
        </w:p>
        <w:p w14:paraId="1E974214" w14:textId="79BE285A" w:rsidR="00DF74DB" w:rsidRDefault="00C1014D">
          <w:pPr>
            <w:pStyle w:val="Obsah2"/>
            <w:rPr>
              <w:rFonts w:cstheme="minorBidi"/>
              <w:noProof/>
              <w:sz w:val="24"/>
              <w:szCs w:val="24"/>
            </w:rPr>
          </w:pPr>
          <w:hyperlink w:anchor="_Toc493513454" w:history="1">
            <w:r w:rsidR="00DF74DB" w:rsidRPr="00DA17F4">
              <w:rPr>
                <w:rStyle w:val="Hypertextovodkaz"/>
                <w:noProof/>
              </w:rPr>
              <w:t>2.1</w:t>
            </w:r>
            <w:r w:rsidR="00DF74DB">
              <w:rPr>
                <w:rFonts w:cstheme="minorBidi"/>
                <w:noProof/>
                <w:sz w:val="24"/>
                <w:szCs w:val="24"/>
              </w:rPr>
              <w:tab/>
            </w:r>
            <w:r w:rsidR="00DF74DB" w:rsidRPr="00DA17F4">
              <w:rPr>
                <w:rStyle w:val="Hypertextovodkaz"/>
                <w:noProof/>
                <w:shd w:val="clear" w:color="auto" w:fill="FFFFFF"/>
              </w:rPr>
              <w:t>Poskytování a rozvoj dovedností v souvislosti s postupující d</w:t>
            </w:r>
            <w:r w:rsidR="001C72F2">
              <w:rPr>
                <w:rStyle w:val="Hypertextovodkaz"/>
                <w:noProof/>
                <w:shd w:val="clear" w:color="auto" w:fill="FFFFFF"/>
              </w:rPr>
              <w:t>i</w:t>
            </w:r>
            <w:r w:rsidR="00DF74DB" w:rsidRPr="00DA17F4">
              <w:rPr>
                <w:rStyle w:val="Hypertextovodkaz"/>
                <w:noProof/>
                <w:shd w:val="clear" w:color="auto" w:fill="FFFFFF"/>
              </w:rPr>
              <w:t>gitalizací</w:t>
            </w:r>
            <w:r w:rsidR="00DF74DB">
              <w:rPr>
                <w:noProof/>
                <w:webHidden/>
              </w:rPr>
              <w:tab/>
            </w:r>
            <w:r w:rsidR="00DF74DB">
              <w:rPr>
                <w:noProof/>
                <w:webHidden/>
              </w:rPr>
              <w:fldChar w:fldCharType="begin"/>
            </w:r>
            <w:r w:rsidR="00DF74DB">
              <w:rPr>
                <w:noProof/>
                <w:webHidden/>
              </w:rPr>
              <w:instrText xml:space="preserve"> PAGEREF _Toc493513454 \h </w:instrText>
            </w:r>
            <w:r w:rsidR="00DF74DB">
              <w:rPr>
                <w:noProof/>
                <w:webHidden/>
              </w:rPr>
            </w:r>
            <w:r w:rsidR="00DF74DB">
              <w:rPr>
                <w:noProof/>
                <w:webHidden/>
              </w:rPr>
              <w:fldChar w:fldCharType="separate"/>
            </w:r>
            <w:r w:rsidR="00964DC2">
              <w:rPr>
                <w:noProof/>
                <w:webHidden/>
              </w:rPr>
              <w:t>10</w:t>
            </w:r>
            <w:r w:rsidR="00DF74DB">
              <w:rPr>
                <w:noProof/>
                <w:webHidden/>
              </w:rPr>
              <w:fldChar w:fldCharType="end"/>
            </w:r>
          </w:hyperlink>
        </w:p>
        <w:p w14:paraId="32A907FD" w14:textId="45F136CD" w:rsidR="00DF74DB" w:rsidRDefault="00C1014D">
          <w:pPr>
            <w:pStyle w:val="Obsah2"/>
            <w:rPr>
              <w:rFonts w:cstheme="minorBidi"/>
              <w:noProof/>
              <w:sz w:val="24"/>
              <w:szCs w:val="24"/>
            </w:rPr>
          </w:pPr>
          <w:hyperlink w:anchor="_Toc493513455" w:history="1">
            <w:r w:rsidR="00DF74DB" w:rsidRPr="00DA17F4">
              <w:rPr>
                <w:rStyle w:val="Hypertextovodkaz"/>
                <w:noProof/>
              </w:rPr>
              <w:t>2.2</w:t>
            </w:r>
            <w:r w:rsidR="00DF74DB">
              <w:rPr>
                <w:rFonts w:cstheme="minorBidi"/>
                <w:noProof/>
                <w:sz w:val="24"/>
                <w:szCs w:val="24"/>
              </w:rPr>
              <w:tab/>
            </w:r>
            <w:r w:rsidR="00DF74DB" w:rsidRPr="00DA17F4">
              <w:rPr>
                <w:rStyle w:val="Hypertextovodkaz"/>
                <w:noProof/>
                <w:shd w:val="clear" w:color="auto" w:fill="FFFFFF"/>
              </w:rPr>
              <w:t>Modernizace vzdělávání v Evropě i v ČR</w:t>
            </w:r>
            <w:r w:rsidR="00DF74DB">
              <w:rPr>
                <w:noProof/>
                <w:webHidden/>
              </w:rPr>
              <w:tab/>
            </w:r>
            <w:r w:rsidR="00DF74DB">
              <w:rPr>
                <w:noProof/>
                <w:webHidden/>
              </w:rPr>
              <w:fldChar w:fldCharType="begin"/>
            </w:r>
            <w:r w:rsidR="00DF74DB">
              <w:rPr>
                <w:noProof/>
                <w:webHidden/>
              </w:rPr>
              <w:instrText xml:space="preserve"> PAGEREF _Toc493513455 \h </w:instrText>
            </w:r>
            <w:r w:rsidR="00DF74DB">
              <w:rPr>
                <w:noProof/>
                <w:webHidden/>
              </w:rPr>
            </w:r>
            <w:r w:rsidR="00DF74DB">
              <w:rPr>
                <w:noProof/>
                <w:webHidden/>
              </w:rPr>
              <w:fldChar w:fldCharType="separate"/>
            </w:r>
            <w:r w:rsidR="00964DC2">
              <w:rPr>
                <w:noProof/>
                <w:webHidden/>
              </w:rPr>
              <w:t>13</w:t>
            </w:r>
            <w:r w:rsidR="00DF74DB">
              <w:rPr>
                <w:noProof/>
                <w:webHidden/>
              </w:rPr>
              <w:fldChar w:fldCharType="end"/>
            </w:r>
          </w:hyperlink>
        </w:p>
        <w:p w14:paraId="19A45126" w14:textId="77777777" w:rsidR="00DF74DB" w:rsidRDefault="00C1014D">
          <w:pPr>
            <w:pStyle w:val="Obsah1"/>
            <w:tabs>
              <w:tab w:val="left" w:pos="440"/>
              <w:tab w:val="right" w:leader="dot" w:pos="9062"/>
            </w:tabs>
            <w:rPr>
              <w:rFonts w:asciiTheme="minorHAnsi" w:hAnsiTheme="minorHAnsi"/>
              <w:b w:val="0"/>
              <w:bCs w:val="0"/>
              <w:caps w:val="0"/>
              <w:noProof/>
            </w:rPr>
          </w:pPr>
          <w:hyperlink w:anchor="_Toc493513457" w:history="1">
            <w:r w:rsidR="00DF74DB" w:rsidRPr="00DA17F4">
              <w:rPr>
                <w:rStyle w:val="Hypertextovodkaz"/>
                <w:noProof/>
              </w:rPr>
              <w:t>3</w:t>
            </w:r>
            <w:r w:rsidR="00DF74DB">
              <w:rPr>
                <w:rFonts w:asciiTheme="minorHAnsi" w:hAnsiTheme="minorHAnsi"/>
                <w:b w:val="0"/>
                <w:bCs w:val="0"/>
                <w:caps w:val="0"/>
                <w:noProof/>
              </w:rPr>
              <w:tab/>
            </w:r>
            <w:r w:rsidR="00DF74DB" w:rsidRPr="00DA17F4">
              <w:rPr>
                <w:rStyle w:val="Hypertextovodkaz"/>
                <w:noProof/>
              </w:rPr>
              <w:t>Doporučení</w:t>
            </w:r>
            <w:r w:rsidR="00DF74DB">
              <w:rPr>
                <w:noProof/>
                <w:webHidden/>
              </w:rPr>
              <w:tab/>
            </w:r>
            <w:r w:rsidR="00DF74DB">
              <w:rPr>
                <w:noProof/>
                <w:webHidden/>
              </w:rPr>
              <w:fldChar w:fldCharType="begin"/>
            </w:r>
            <w:r w:rsidR="00DF74DB">
              <w:rPr>
                <w:noProof/>
                <w:webHidden/>
              </w:rPr>
              <w:instrText xml:space="preserve"> PAGEREF _Toc493513457 \h </w:instrText>
            </w:r>
            <w:r w:rsidR="00DF74DB">
              <w:rPr>
                <w:noProof/>
                <w:webHidden/>
              </w:rPr>
            </w:r>
            <w:r w:rsidR="00DF74DB">
              <w:rPr>
                <w:noProof/>
                <w:webHidden/>
              </w:rPr>
              <w:fldChar w:fldCharType="separate"/>
            </w:r>
            <w:r w:rsidR="00964DC2">
              <w:rPr>
                <w:noProof/>
                <w:webHidden/>
              </w:rPr>
              <w:t>17</w:t>
            </w:r>
            <w:r w:rsidR="00DF74DB">
              <w:rPr>
                <w:noProof/>
                <w:webHidden/>
              </w:rPr>
              <w:fldChar w:fldCharType="end"/>
            </w:r>
          </w:hyperlink>
        </w:p>
        <w:p w14:paraId="4FC9E948" w14:textId="77777777" w:rsidR="00DF74DB" w:rsidRDefault="00C1014D">
          <w:pPr>
            <w:pStyle w:val="Obsah1"/>
            <w:tabs>
              <w:tab w:val="right" w:leader="dot" w:pos="9062"/>
            </w:tabs>
            <w:rPr>
              <w:rFonts w:asciiTheme="minorHAnsi" w:hAnsiTheme="minorHAnsi"/>
              <w:b w:val="0"/>
              <w:bCs w:val="0"/>
              <w:caps w:val="0"/>
              <w:noProof/>
            </w:rPr>
          </w:pPr>
          <w:hyperlink w:anchor="_Toc493513458" w:history="1">
            <w:r w:rsidR="00DF74DB" w:rsidRPr="00DA17F4">
              <w:rPr>
                <w:rStyle w:val="Hypertextovodkaz"/>
                <w:noProof/>
                <w:shd w:val="clear" w:color="auto" w:fill="FFFFFF"/>
              </w:rPr>
              <w:t>Seznam použité literatury a zdrojů</w:t>
            </w:r>
            <w:r w:rsidR="00DF74DB">
              <w:rPr>
                <w:noProof/>
                <w:webHidden/>
              </w:rPr>
              <w:tab/>
            </w:r>
            <w:r w:rsidR="00DF74DB">
              <w:rPr>
                <w:noProof/>
                <w:webHidden/>
              </w:rPr>
              <w:fldChar w:fldCharType="begin"/>
            </w:r>
            <w:r w:rsidR="00DF74DB">
              <w:rPr>
                <w:noProof/>
                <w:webHidden/>
              </w:rPr>
              <w:instrText xml:space="preserve"> PAGEREF _Toc493513458 \h </w:instrText>
            </w:r>
            <w:r w:rsidR="00DF74DB">
              <w:rPr>
                <w:noProof/>
                <w:webHidden/>
              </w:rPr>
            </w:r>
            <w:r w:rsidR="00DF74DB">
              <w:rPr>
                <w:noProof/>
                <w:webHidden/>
              </w:rPr>
              <w:fldChar w:fldCharType="separate"/>
            </w:r>
            <w:r w:rsidR="00964DC2">
              <w:rPr>
                <w:noProof/>
                <w:webHidden/>
              </w:rPr>
              <w:t>19</w:t>
            </w:r>
            <w:r w:rsidR="00DF74DB">
              <w:rPr>
                <w:noProof/>
                <w:webHidden/>
              </w:rPr>
              <w:fldChar w:fldCharType="end"/>
            </w:r>
          </w:hyperlink>
        </w:p>
        <w:p w14:paraId="4CA529ED" w14:textId="2B34E5C1" w:rsidR="00B67119" w:rsidRDefault="00306160">
          <w:r>
            <w:rPr>
              <w:rFonts w:asciiTheme="majorHAnsi" w:hAnsiTheme="majorHAnsi" w:cstheme="minorHAnsi"/>
              <w:caps/>
              <w:sz w:val="24"/>
              <w:szCs w:val="24"/>
              <w:u w:val="single"/>
            </w:rPr>
            <w:fldChar w:fldCharType="end"/>
          </w:r>
        </w:p>
      </w:sdtContent>
    </w:sdt>
    <w:p w14:paraId="77464E3F" w14:textId="77777777" w:rsidR="00A325B3" w:rsidRPr="00C71B1A" w:rsidRDefault="00A325B3" w:rsidP="00102346">
      <w:pPr>
        <w:rPr>
          <w:sz w:val="24"/>
          <w:szCs w:val="24"/>
        </w:rPr>
      </w:pPr>
    </w:p>
    <w:p w14:paraId="5F34CF54" w14:textId="77777777" w:rsidR="00834285" w:rsidRDefault="00834285">
      <w:pPr>
        <w:rPr>
          <w:rFonts w:asciiTheme="majorHAnsi" w:eastAsiaTheme="majorEastAsia" w:hAnsiTheme="majorHAnsi" w:cstheme="majorBidi"/>
          <w:color w:val="365F91" w:themeColor="accent1" w:themeShade="BF"/>
          <w:sz w:val="32"/>
          <w:szCs w:val="32"/>
        </w:rPr>
      </w:pPr>
      <w:r>
        <w:br w:type="page"/>
      </w:r>
    </w:p>
    <w:p w14:paraId="0802C0E1" w14:textId="43C14958" w:rsidR="00834285" w:rsidRPr="007C2B88" w:rsidRDefault="009608BF" w:rsidP="00881BAC">
      <w:pPr>
        <w:pStyle w:val="Nadpis1"/>
        <w:numPr>
          <w:ilvl w:val="0"/>
          <w:numId w:val="0"/>
        </w:numPr>
      </w:pPr>
      <w:bookmarkStart w:id="3" w:name="_Toc493513445"/>
      <w:r>
        <w:lastRenderedPageBreak/>
        <w:t>Úvod</w:t>
      </w:r>
      <w:bookmarkEnd w:id="3"/>
    </w:p>
    <w:p w14:paraId="73A3AC24" w14:textId="77777777" w:rsidR="003D71CA" w:rsidRDefault="003D71CA" w:rsidP="003D71CA">
      <w:pPr>
        <w:spacing w:after="0" w:line="240" w:lineRule="auto"/>
        <w:rPr>
          <w:rFonts w:ascii="Times New Roman" w:hAnsi="Times New Roman" w:cs="Times New Roman"/>
          <w:color w:val="000000"/>
          <w:sz w:val="24"/>
          <w:szCs w:val="24"/>
        </w:rPr>
      </w:pPr>
    </w:p>
    <w:p w14:paraId="75B53B47" w14:textId="186F50E2" w:rsidR="003D71CA" w:rsidRPr="003D71CA" w:rsidRDefault="003D71CA" w:rsidP="0090760A">
      <w:pPr>
        <w:spacing w:after="0" w:line="240" w:lineRule="auto"/>
        <w:jc w:val="both"/>
        <w:rPr>
          <w:rFonts w:cs="Times New Roman"/>
          <w:sz w:val="24"/>
          <w:szCs w:val="24"/>
        </w:rPr>
      </w:pPr>
      <w:r w:rsidRPr="003D71CA">
        <w:rPr>
          <w:rFonts w:cs="Times New Roman"/>
          <w:color w:val="000000"/>
          <w:sz w:val="24"/>
          <w:szCs w:val="24"/>
        </w:rPr>
        <w:t xml:space="preserve">V roce 2017 pokračuje Evropská komise s představováním jednotlivých návrhů na implementaci Nové agendy pro dovednosti v Evropě. Druhá studie našeho týmu se proto </w:t>
      </w:r>
      <w:r w:rsidR="00543A1F">
        <w:rPr>
          <w:rFonts w:cs="Times New Roman"/>
          <w:color w:val="000000"/>
          <w:sz w:val="24"/>
          <w:szCs w:val="24"/>
        </w:rPr>
        <w:t>měla zaměřit</w:t>
      </w:r>
      <w:r w:rsidRPr="003D71CA">
        <w:rPr>
          <w:rFonts w:cs="Times New Roman"/>
          <w:color w:val="000000"/>
          <w:sz w:val="24"/>
          <w:szCs w:val="24"/>
        </w:rPr>
        <w:t xml:space="preserve"> zejména na</w:t>
      </w:r>
    </w:p>
    <w:p w14:paraId="44B01671" w14:textId="77777777" w:rsidR="003D71CA" w:rsidRPr="003D71CA" w:rsidRDefault="003D71CA" w:rsidP="0090760A">
      <w:pPr>
        <w:spacing w:after="0" w:line="240" w:lineRule="auto"/>
        <w:jc w:val="both"/>
        <w:rPr>
          <w:rFonts w:cs="Times New Roman"/>
          <w:sz w:val="24"/>
          <w:szCs w:val="24"/>
        </w:rPr>
      </w:pPr>
      <w:r w:rsidRPr="003D71CA">
        <w:rPr>
          <w:rFonts w:cs="Times New Roman"/>
          <w:color w:val="000000"/>
          <w:sz w:val="24"/>
          <w:szCs w:val="24"/>
        </w:rPr>
        <w:t>- revizi rámce EU pro klíčové schopnosti,</w:t>
      </w:r>
    </w:p>
    <w:p w14:paraId="3259CC70" w14:textId="77777777" w:rsidR="003D71CA" w:rsidRPr="003D71CA" w:rsidRDefault="003D71CA" w:rsidP="0090760A">
      <w:pPr>
        <w:spacing w:after="0" w:line="240" w:lineRule="auto"/>
        <w:jc w:val="both"/>
        <w:rPr>
          <w:rFonts w:cs="Times New Roman"/>
          <w:sz w:val="24"/>
          <w:szCs w:val="24"/>
        </w:rPr>
      </w:pPr>
      <w:r w:rsidRPr="003D71CA">
        <w:rPr>
          <w:rFonts w:cs="Times New Roman"/>
          <w:color w:val="000000"/>
          <w:sz w:val="24"/>
          <w:szCs w:val="24"/>
        </w:rPr>
        <w:t>- návrhy podporující modernizaci odborného vzdělávání a přípravy,</w:t>
      </w:r>
    </w:p>
    <w:p w14:paraId="3A04A0EE" w14:textId="77777777" w:rsidR="003D71CA" w:rsidRDefault="003D71CA" w:rsidP="0090760A">
      <w:pPr>
        <w:spacing w:after="0" w:line="240" w:lineRule="auto"/>
        <w:jc w:val="both"/>
        <w:rPr>
          <w:rFonts w:cs="Times New Roman"/>
          <w:color w:val="000000"/>
          <w:sz w:val="24"/>
          <w:szCs w:val="24"/>
        </w:rPr>
      </w:pPr>
      <w:r w:rsidRPr="003D71CA">
        <w:rPr>
          <w:rFonts w:cs="Times New Roman"/>
          <w:color w:val="000000"/>
          <w:sz w:val="24"/>
          <w:szCs w:val="24"/>
        </w:rPr>
        <w:t>- osvědčené postupy ohledně účinných způsobů jak řešit odliv mozků</w:t>
      </w:r>
    </w:p>
    <w:p w14:paraId="65336D2C" w14:textId="375B07DA" w:rsidR="00AD100D" w:rsidRPr="003D71CA" w:rsidRDefault="00AD100D" w:rsidP="0090760A">
      <w:pPr>
        <w:spacing w:after="0" w:line="240" w:lineRule="auto"/>
        <w:jc w:val="both"/>
        <w:rPr>
          <w:rFonts w:cs="Times New Roman"/>
          <w:sz w:val="24"/>
          <w:szCs w:val="24"/>
        </w:rPr>
      </w:pPr>
      <w:r>
        <w:rPr>
          <w:rFonts w:cs="Times New Roman"/>
          <w:color w:val="000000"/>
          <w:sz w:val="24"/>
          <w:szCs w:val="24"/>
        </w:rPr>
        <w:t>- sledování uplatnění absolventů,</w:t>
      </w:r>
    </w:p>
    <w:p w14:paraId="5E9EA5CC" w14:textId="77777777" w:rsidR="003D71CA" w:rsidRDefault="003D71CA" w:rsidP="0090760A">
      <w:pPr>
        <w:spacing w:after="0" w:line="240" w:lineRule="auto"/>
        <w:jc w:val="both"/>
        <w:rPr>
          <w:rFonts w:cs="Times New Roman"/>
          <w:color w:val="000000"/>
          <w:sz w:val="24"/>
          <w:szCs w:val="24"/>
        </w:rPr>
      </w:pPr>
      <w:r w:rsidRPr="003D71CA">
        <w:rPr>
          <w:rFonts w:cs="Times New Roman"/>
          <w:color w:val="000000"/>
          <w:sz w:val="24"/>
          <w:szCs w:val="24"/>
        </w:rPr>
        <w:t xml:space="preserve">- nový rámec pro </w:t>
      </w:r>
      <w:proofErr w:type="spellStart"/>
      <w:r w:rsidRPr="003D71CA">
        <w:rPr>
          <w:rFonts w:cs="Times New Roman"/>
          <w:color w:val="000000"/>
          <w:sz w:val="24"/>
          <w:szCs w:val="24"/>
        </w:rPr>
        <w:t>Europass</w:t>
      </w:r>
      <w:proofErr w:type="spellEnd"/>
      <w:r w:rsidRPr="003D71CA">
        <w:rPr>
          <w:rFonts w:cs="Times New Roman"/>
          <w:color w:val="000000"/>
          <w:sz w:val="24"/>
          <w:szCs w:val="24"/>
        </w:rPr>
        <w:t xml:space="preserve"> a uznávání dovedností získaných mimo formální vzdělávání.</w:t>
      </w:r>
    </w:p>
    <w:p w14:paraId="39833A30" w14:textId="77777777" w:rsidR="00D347F4" w:rsidRDefault="00D347F4" w:rsidP="0090760A">
      <w:pPr>
        <w:spacing w:after="0" w:line="240" w:lineRule="auto"/>
        <w:jc w:val="both"/>
        <w:rPr>
          <w:rFonts w:cs="Times New Roman"/>
          <w:color w:val="000000"/>
          <w:sz w:val="24"/>
          <w:szCs w:val="24"/>
        </w:rPr>
      </w:pPr>
    </w:p>
    <w:p w14:paraId="7A5C273D" w14:textId="5BE4CA76" w:rsidR="00D347F4" w:rsidRDefault="001C4DDA" w:rsidP="0090760A">
      <w:pPr>
        <w:spacing w:after="0" w:line="240" w:lineRule="auto"/>
        <w:jc w:val="both"/>
        <w:rPr>
          <w:rFonts w:cs="Times New Roman"/>
          <w:color w:val="000000"/>
          <w:sz w:val="24"/>
          <w:szCs w:val="24"/>
        </w:rPr>
      </w:pPr>
      <w:r w:rsidRPr="004B6C6E">
        <w:rPr>
          <w:rFonts w:cs="Times New Roman"/>
          <w:color w:val="000000"/>
          <w:sz w:val="24"/>
          <w:szCs w:val="24"/>
        </w:rPr>
        <w:t>Řada těchto dokumentů však stále prochází procesem projednávání, k odlivu mozků dokonce ještě nebyl předložen žádný materiál. Ve studii se proto zaměřujeme více na dovednosti samotné a jejich získávání. A přidáváme rovněž reakci na návrh Nové evropské strategie pro vzdělávání, jež s tématem úzce souvisí.</w:t>
      </w:r>
    </w:p>
    <w:p w14:paraId="696D5E10" w14:textId="77777777" w:rsidR="001C4DDA" w:rsidRDefault="001C4DDA" w:rsidP="003D71CA">
      <w:pPr>
        <w:spacing w:after="0" w:line="240" w:lineRule="auto"/>
        <w:rPr>
          <w:rFonts w:cs="Times New Roman"/>
          <w:color w:val="000000"/>
          <w:sz w:val="24"/>
          <w:szCs w:val="24"/>
        </w:rPr>
      </w:pPr>
    </w:p>
    <w:p w14:paraId="7337F87D" w14:textId="77777777" w:rsidR="001C4DDA" w:rsidRDefault="001C4DDA" w:rsidP="003D71CA">
      <w:pPr>
        <w:spacing w:after="0" w:line="240" w:lineRule="auto"/>
        <w:rPr>
          <w:rFonts w:cs="Times New Roman"/>
          <w:color w:val="000000"/>
          <w:sz w:val="24"/>
          <w:szCs w:val="24"/>
        </w:rPr>
      </w:pPr>
    </w:p>
    <w:p w14:paraId="60534405" w14:textId="77777777" w:rsidR="001C4DDA" w:rsidRPr="003D71CA" w:rsidRDefault="001C4DDA" w:rsidP="003D71CA">
      <w:pPr>
        <w:spacing w:after="0" w:line="240" w:lineRule="auto"/>
        <w:rPr>
          <w:rFonts w:cs="Times New Roman"/>
          <w:sz w:val="24"/>
          <w:szCs w:val="24"/>
        </w:rPr>
      </w:pPr>
    </w:p>
    <w:p w14:paraId="074B6D10" w14:textId="77777777" w:rsidR="003D71CA" w:rsidRPr="003D71CA" w:rsidRDefault="003D71CA" w:rsidP="003D71CA">
      <w:pPr>
        <w:spacing w:after="0" w:line="240" w:lineRule="auto"/>
        <w:rPr>
          <w:rFonts w:ascii="Times New Roman" w:eastAsia="Times New Roman" w:hAnsi="Times New Roman" w:cs="Times New Roman"/>
          <w:sz w:val="24"/>
          <w:szCs w:val="24"/>
        </w:rPr>
      </w:pPr>
    </w:p>
    <w:p w14:paraId="7BCD5DBA" w14:textId="769CC7BC" w:rsidR="00102346" w:rsidRDefault="00102346" w:rsidP="007C2B88">
      <w:pPr>
        <w:ind w:left="567" w:firstLine="720"/>
        <w:rPr>
          <w:sz w:val="24"/>
          <w:szCs w:val="24"/>
        </w:rPr>
      </w:pPr>
    </w:p>
    <w:p w14:paraId="0D64E4D6" w14:textId="77777777" w:rsidR="009608BF" w:rsidRDefault="009608BF">
      <w:pPr>
        <w:rPr>
          <w:rFonts w:asciiTheme="majorHAnsi" w:eastAsiaTheme="majorEastAsia" w:hAnsiTheme="majorHAnsi" w:cstheme="majorBidi"/>
          <w:color w:val="365F91" w:themeColor="accent1" w:themeShade="BF"/>
          <w:sz w:val="32"/>
          <w:szCs w:val="32"/>
        </w:rPr>
      </w:pPr>
      <w:r>
        <w:br w:type="page"/>
      </w:r>
    </w:p>
    <w:p w14:paraId="109197B1" w14:textId="0560D17F" w:rsidR="00B67119" w:rsidRPr="009608BF" w:rsidRDefault="004D4AED" w:rsidP="00881BAC">
      <w:pPr>
        <w:pStyle w:val="Nadpis1"/>
      </w:pPr>
      <w:bookmarkStart w:id="4" w:name="_Toc493513446"/>
      <w:r>
        <w:lastRenderedPageBreak/>
        <w:t>Obsah návrhů Evropské komise a stav jejich projednávání</w:t>
      </w:r>
      <w:bookmarkEnd w:id="4"/>
    </w:p>
    <w:p w14:paraId="3004B2FD" w14:textId="77777777" w:rsidR="00E842DD" w:rsidRPr="003D71CA" w:rsidRDefault="00E842DD" w:rsidP="004D4AED">
      <w:pPr>
        <w:spacing w:after="0" w:line="240" w:lineRule="auto"/>
        <w:rPr>
          <w:rFonts w:ascii="Times New Roman" w:hAnsi="Times New Roman" w:cs="Times New Roman"/>
          <w:sz w:val="24"/>
          <w:szCs w:val="24"/>
        </w:rPr>
      </w:pPr>
    </w:p>
    <w:p w14:paraId="0A7DD4B4" w14:textId="27220128" w:rsidR="00881BAC" w:rsidRDefault="00ED2876" w:rsidP="00881BAC">
      <w:pPr>
        <w:pStyle w:val="Nadpis2"/>
        <w:rPr>
          <w:shd w:val="clear" w:color="auto" w:fill="FFFFFF"/>
        </w:rPr>
      </w:pPr>
      <w:bookmarkStart w:id="5" w:name="_Toc493513447"/>
      <w:r>
        <w:rPr>
          <w:shd w:val="clear" w:color="auto" w:fill="FFFFFF"/>
        </w:rPr>
        <w:t>Revize rámce EU pro klíčové schopnosti</w:t>
      </w:r>
      <w:bookmarkEnd w:id="5"/>
    </w:p>
    <w:p w14:paraId="1B0059D4" w14:textId="665F27B2" w:rsidR="00C0492D" w:rsidRPr="00C0492D" w:rsidRDefault="0090760A" w:rsidP="0090760A">
      <w:pPr>
        <w:pStyle w:val="Normlnweb"/>
        <w:jc w:val="both"/>
        <w:rPr>
          <w:rFonts w:asciiTheme="minorHAnsi" w:hAnsiTheme="minorHAnsi"/>
          <w:color w:val="000000"/>
          <w:bdr w:val="none" w:sz="0" w:space="0" w:color="auto" w:frame="1"/>
        </w:rPr>
      </w:pPr>
      <w:r>
        <w:rPr>
          <w:rFonts w:asciiTheme="minorHAnsi" w:hAnsiTheme="minorHAnsi"/>
          <w:color w:val="000000"/>
          <w:bdr w:val="none" w:sz="0" w:space="0" w:color="auto" w:frame="1"/>
        </w:rPr>
        <w:t>Dochází</w:t>
      </w:r>
      <w:r w:rsidR="00D347F4">
        <w:rPr>
          <w:rFonts w:asciiTheme="minorHAnsi" w:hAnsiTheme="minorHAnsi"/>
          <w:color w:val="000000"/>
          <w:bdr w:val="none" w:sz="0" w:space="0" w:color="auto" w:frame="1"/>
        </w:rPr>
        <w:t xml:space="preserve"> k p</w:t>
      </w:r>
      <w:r w:rsidR="00C0492D" w:rsidRPr="00C0492D">
        <w:rPr>
          <w:rFonts w:asciiTheme="minorHAnsi" w:hAnsiTheme="minorHAnsi"/>
          <w:color w:val="000000"/>
          <w:bdr w:val="none" w:sz="0" w:space="0" w:color="auto" w:frame="1"/>
        </w:rPr>
        <w:t>řezkum</w:t>
      </w:r>
      <w:r w:rsidR="00D347F4">
        <w:rPr>
          <w:rFonts w:asciiTheme="minorHAnsi" w:hAnsiTheme="minorHAnsi"/>
          <w:color w:val="000000"/>
          <w:bdr w:val="none" w:sz="0" w:space="0" w:color="auto" w:frame="1"/>
        </w:rPr>
        <w:t>u</w:t>
      </w:r>
      <w:r w:rsidR="00C0492D" w:rsidRPr="00C0492D">
        <w:rPr>
          <w:rFonts w:asciiTheme="minorHAnsi" w:hAnsiTheme="minorHAnsi"/>
          <w:color w:val="000000"/>
          <w:bdr w:val="none" w:sz="0" w:space="0" w:color="auto" w:frame="1"/>
        </w:rPr>
        <w:t xml:space="preserve"> doporučení o klíčových schopnostech s cílem pomoci více lidem osvojit si soubor základních dovedností nezbytných k tomu, aby mohli pracovat a žít ve 21. století, se zvláštním zaměřením na podporu podnikatelského a inovativního ducha a dovedností. </w:t>
      </w:r>
    </w:p>
    <w:p w14:paraId="0AC03006" w14:textId="1F55CC16" w:rsidR="00C0492D" w:rsidRPr="00C0492D" w:rsidRDefault="00D347F4" w:rsidP="0090760A">
      <w:pPr>
        <w:widowControl w:val="0"/>
        <w:autoSpaceDE w:val="0"/>
        <w:autoSpaceDN w:val="0"/>
        <w:adjustRightInd w:val="0"/>
        <w:spacing w:line="320" w:lineRule="atLeast"/>
        <w:jc w:val="both"/>
        <w:rPr>
          <w:rFonts w:cs="Helvetica Neue"/>
          <w:sz w:val="24"/>
          <w:szCs w:val="24"/>
        </w:rPr>
      </w:pPr>
      <w:r>
        <w:rPr>
          <w:rFonts w:cs="Helvetica Neue"/>
          <w:sz w:val="24"/>
          <w:szCs w:val="24"/>
        </w:rPr>
        <w:t>Komise navrhla</w:t>
      </w:r>
      <w:r w:rsidR="00C0492D" w:rsidRPr="00C0492D">
        <w:rPr>
          <w:rFonts w:cs="Helvetica Neue"/>
          <w:sz w:val="24"/>
          <w:szCs w:val="24"/>
        </w:rPr>
        <w:t xml:space="preserve"> členským stát</w:t>
      </w:r>
      <w:r w:rsidR="00C0492D">
        <w:rPr>
          <w:rFonts w:cs="Helvetica Neue"/>
          <w:sz w:val="24"/>
          <w:szCs w:val="24"/>
        </w:rPr>
        <w:t>ů</w:t>
      </w:r>
      <w:r w:rsidR="00C0492D" w:rsidRPr="00C0492D">
        <w:rPr>
          <w:rFonts w:cs="Helvetica Neue"/>
          <w:sz w:val="24"/>
          <w:szCs w:val="24"/>
        </w:rPr>
        <w:t>m,</w:t>
      </w:r>
      <w:r w:rsidR="00C0492D">
        <w:rPr>
          <w:rFonts w:cs="Helvetica Neue"/>
          <w:sz w:val="24"/>
          <w:szCs w:val="24"/>
        </w:rPr>
        <w:t xml:space="preserve"> že přezkoumá doporučení o klíč</w:t>
      </w:r>
      <w:r w:rsidR="00C0492D" w:rsidRPr="00C0492D">
        <w:rPr>
          <w:rFonts w:cs="Helvetica Neue"/>
          <w:sz w:val="24"/>
          <w:szCs w:val="24"/>
        </w:rPr>
        <w:t>ových schopnostech z roku 2006 s cíle</w:t>
      </w:r>
      <w:r w:rsidR="00C0492D">
        <w:rPr>
          <w:rFonts w:cs="Helvetica Neue"/>
          <w:sz w:val="24"/>
          <w:szCs w:val="24"/>
        </w:rPr>
        <w:t>m uvést je do souladu s hospodář</w:t>
      </w:r>
      <w:r w:rsidR="00C0492D" w:rsidRPr="00C0492D">
        <w:rPr>
          <w:rFonts w:cs="Helvetica Neue"/>
          <w:sz w:val="24"/>
          <w:szCs w:val="24"/>
        </w:rPr>
        <w:t>skými a soci</w:t>
      </w:r>
      <w:r w:rsidR="00C0492D">
        <w:rPr>
          <w:rFonts w:cs="Helvetica Neue"/>
          <w:sz w:val="24"/>
          <w:szCs w:val="24"/>
        </w:rPr>
        <w:t>álními změnami, k nimž došlo bě</w:t>
      </w:r>
      <w:r w:rsidR="00C0492D" w:rsidRPr="00C0492D">
        <w:rPr>
          <w:rFonts w:cs="Helvetica Neue"/>
          <w:sz w:val="24"/>
          <w:szCs w:val="24"/>
        </w:rPr>
        <w:t xml:space="preserve">hem posledních deseti let. </w:t>
      </w:r>
    </w:p>
    <w:p w14:paraId="4D8B4175" w14:textId="123093AD" w:rsidR="00E842DD" w:rsidRDefault="00C0492D" w:rsidP="0090760A">
      <w:pPr>
        <w:widowControl w:val="0"/>
        <w:autoSpaceDE w:val="0"/>
        <w:autoSpaceDN w:val="0"/>
        <w:adjustRightInd w:val="0"/>
        <w:spacing w:line="320" w:lineRule="atLeast"/>
        <w:jc w:val="both"/>
        <w:rPr>
          <w:rFonts w:cs="Helvetica Neue"/>
          <w:sz w:val="24"/>
          <w:szCs w:val="24"/>
        </w:rPr>
      </w:pPr>
      <w:r>
        <w:rPr>
          <w:rFonts w:cs="Helvetica Neue"/>
          <w:sz w:val="24"/>
          <w:szCs w:val="24"/>
        </w:rPr>
        <w:t>Přezkum dále podpoří společ</w:t>
      </w:r>
      <w:r w:rsidRPr="00C0492D">
        <w:rPr>
          <w:rFonts w:cs="Helvetica Neue"/>
          <w:sz w:val="24"/>
          <w:szCs w:val="24"/>
        </w:rPr>
        <w:t xml:space="preserve">né </w:t>
      </w:r>
      <w:r>
        <w:rPr>
          <w:rFonts w:cs="Helvetica Neue"/>
          <w:sz w:val="24"/>
          <w:szCs w:val="24"/>
        </w:rPr>
        <w:t>chápání základního souboru klíč</w:t>
      </w:r>
      <w:r w:rsidRPr="00C0492D">
        <w:rPr>
          <w:rFonts w:cs="Helvetica Neue"/>
          <w:sz w:val="24"/>
          <w:szCs w:val="24"/>
        </w:rPr>
        <w:t>ových schopností nezbytných pro práci a ži</w:t>
      </w:r>
      <w:r>
        <w:rPr>
          <w:rFonts w:cs="Helvetica Neue"/>
          <w:sz w:val="24"/>
          <w:szCs w:val="24"/>
        </w:rPr>
        <w:t>vot ve 21. století a bude podně</w:t>
      </w:r>
      <w:r w:rsidRPr="00C0492D">
        <w:rPr>
          <w:rFonts w:cs="Helvetica Neue"/>
          <w:sz w:val="24"/>
          <w:szCs w:val="24"/>
        </w:rPr>
        <w:t>tem k jejich zavedení do p</w:t>
      </w:r>
      <w:r>
        <w:rPr>
          <w:rFonts w:cs="Helvetica Neue"/>
          <w:sz w:val="24"/>
          <w:szCs w:val="24"/>
        </w:rPr>
        <w:t>rogramů vzdělávání a odborné př</w:t>
      </w:r>
      <w:r w:rsidRPr="00C0492D">
        <w:rPr>
          <w:rFonts w:cs="Helvetica Neue"/>
          <w:sz w:val="24"/>
          <w:szCs w:val="24"/>
        </w:rPr>
        <w:t>ípravy a národních strategií v této oblast</w:t>
      </w:r>
      <w:r>
        <w:rPr>
          <w:rFonts w:cs="Helvetica Neue"/>
          <w:sz w:val="24"/>
          <w:szCs w:val="24"/>
        </w:rPr>
        <w:t>i. Napomůže rovněž</w:t>
      </w:r>
      <w:r w:rsidRPr="00C0492D">
        <w:rPr>
          <w:rFonts w:cs="Helvetica Neue"/>
          <w:sz w:val="24"/>
          <w:szCs w:val="24"/>
        </w:rPr>
        <w:t xml:space="preserve"> v úsilí o lepší </w:t>
      </w:r>
      <w:r>
        <w:rPr>
          <w:rFonts w:cs="Helvetica Neue"/>
          <w:sz w:val="24"/>
          <w:szCs w:val="24"/>
        </w:rPr>
        <w:t>popis, rozvoj, hodnocení, ověřování a srovnávání klíč</w:t>
      </w:r>
      <w:r w:rsidRPr="00C0492D">
        <w:rPr>
          <w:rFonts w:cs="Helvetica Neue"/>
          <w:sz w:val="24"/>
          <w:szCs w:val="24"/>
        </w:rPr>
        <w:t>ových schopností a souvisejících dovedností ve formálním, neformálním i</w:t>
      </w:r>
      <w:r>
        <w:rPr>
          <w:rFonts w:cs="Helvetica Neue"/>
          <w:sz w:val="24"/>
          <w:szCs w:val="24"/>
        </w:rPr>
        <w:t xml:space="preserve"> informálním vzdělávacím prostředí. Zvláštní pozornost bude vě</w:t>
      </w:r>
      <w:r w:rsidRPr="00C0492D">
        <w:rPr>
          <w:rFonts w:cs="Helvetica Neue"/>
          <w:sz w:val="24"/>
          <w:szCs w:val="24"/>
        </w:rPr>
        <w:t>nována podnikatelským dovednoste</w:t>
      </w:r>
      <w:r>
        <w:rPr>
          <w:rFonts w:cs="Helvetica Neue"/>
          <w:sz w:val="24"/>
          <w:szCs w:val="24"/>
        </w:rPr>
        <w:t>m (pomáhat lidem, aby byli tvořivější, aktivnější, schopní využít př</w:t>
      </w:r>
      <w:r w:rsidR="00D347F4">
        <w:rPr>
          <w:rFonts w:cs="Helvetica Neue"/>
          <w:sz w:val="24"/>
          <w:szCs w:val="24"/>
        </w:rPr>
        <w:t>íležitostí a inovativní), včetně</w:t>
      </w:r>
      <w:r w:rsidRPr="00C0492D">
        <w:rPr>
          <w:rFonts w:cs="Helvetica Neue"/>
          <w:sz w:val="24"/>
          <w:szCs w:val="24"/>
        </w:rPr>
        <w:t xml:space="preserve"> podpory politik, které vedou všechny mladé lidi k tomu, aby získali prakt</w:t>
      </w:r>
      <w:r>
        <w:rPr>
          <w:rFonts w:cs="Helvetica Neue"/>
          <w:sz w:val="24"/>
          <w:szCs w:val="24"/>
        </w:rPr>
        <w:t>ickou zkušenost s podnikáním ještě před ukonč</w:t>
      </w:r>
      <w:r w:rsidRPr="00C0492D">
        <w:rPr>
          <w:rFonts w:cs="Helvetica Neue"/>
          <w:sz w:val="24"/>
          <w:szCs w:val="24"/>
        </w:rPr>
        <w:t>ením školy. Komise mezit</w:t>
      </w:r>
      <w:r>
        <w:rPr>
          <w:rFonts w:cs="Helvetica Neue"/>
          <w:sz w:val="24"/>
          <w:szCs w:val="24"/>
        </w:rPr>
        <w:t>ím vytvoř</w:t>
      </w:r>
      <w:r w:rsidRPr="00C0492D">
        <w:rPr>
          <w:rFonts w:cs="Helvetica Neue"/>
          <w:sz w:val="24"/>
          <w:szCs w:val="24"/>
        </w:rPr>
        <w:t>ila dva zvláštní rámce, které mají za cíl zajistit obecnou shodu a p</w:t>
      </w:r>
      <w:r>
        <w:rPr>
          <w:rFonts w:cs="Helvetica Neue"/>
          <w:sz w:val="24"/>
          <w:szCs w:val="24"/>
        </w:rPr>
        <w:t>osílit digitální dovednosti obč</w:t>
      </w:r>
      <w:r w:rsidRPr="00C0492D">
        <w:rPr>
          <w:rFonts w:cs="Helvetica Neue"/>
          <w:sz w:val="24"/>
          <w:szCs w:val="24"/>
        </w:rPr>
        <w:t>anů (</w:t>
      </w:r>
      <w:proofErr w:type="spellStart"/>
      <w:r w:rsidRPr="00C0492D">
        <w:rPr>
          <w:rFonts w:cs="Helvetica Neue"/>
          <w:sz w:val="24"/>
          <w:szCs w:val="24"/>
        </w:rPr>
        <w:t>DigComp</w:t>
      </w:r>
      <w:proofErr w:type="spellEnd"/>
      <w:r w:rsidRPr="00C0492D">
        <w:rPr>
          <w:rFonts w:cs="Helvetica Neue"/>
          <w:sz w:val="24"/>
          <w:szCs w:val="24"/>
        </w:rPr>
        <w:t>) a jejich dovednosti v oblasti podnikání (</w:t>
      </w:r>
      <w:proofErr w:type="spellStart"/>
      <w:r w:rsidRPr="00C0492D">
        <w:rPr>
          <w:rFonts w:cs="Helvetica Neue"/>
          <w:sz w:val="24"/>
          <w:szCs w:val="24"/>
        </w:rPr>
        <w:t>EntreComp</w:t>
      </w:r>
      <w:proofErr w:type="spellEnd"/>
      <w:r w:rsidRPr="00C0492D">
        <w:rPr>
          <w:rFonts w:cs="Helvetica Neue"/>
          <w:sz w:val="24"/>
          <w:szCs w:val="24"/>
        </w:rPr>
        <w:t>).</w:t>
      </w:r>
    </w:p>
    <w:p w14:paraId="18616587" w14:textId="77777777" w:rsidR="00D347F4" w:rsidRDefault="00D347F4" w:rsidP="00C0492D">
      <w:pPr>
        <w:widowControl w:val="0"/>
        <w:autoSpaceDE w:val="0"/>
        <w:autoSpaceDN w:val="0"/>
        <w:adjustRightInd w:val="0"/>
        <w:spacing w:line="320" w:lineRule="atLeast"/>
        <w:rPr>
          <w:rFonts w:cs="Helvetica Neue"/>
          <w:sz w:val="24"/>
          <w:szCs w:val="24"/>
        </w:rPr>
      </w:pPr>
    </w:p>
    <w:p w14:paraId="02D0533B" w14:textId="57A623B5" w:rsidR="00E842DD" w:rsidRDefault="00ED2876" w:rsidP="00E842DD">
      <w:pPr>
        <w:pStyle w:val="Nadpis2"/>
        <w:rPr>
          <w:shd w:val="clear" w:color="auto" w:fill="FFFFFF"/>
        </w:rPr>
      </w:pPr>
      <w:bookmarkStart w:id="6" w:name="_Toc493513448"/>
      <w:r>
        <w:rPr>
          <w:shd w:val="clear" w:color="auto" w:fill="FFFFFF"/>
        </w:rPr>
        <w:t>Modernizace odborného vzdělávání a přípravy</w:t>
      </w:r>
      <w:bookmarkEnd w:id="6"/>
    </w:p>
    <w:p w14:paraId="5E9F8F72" w14:textId="77777777" w:rsidR="00452AE5" w:rsidRDefault="00452AE5" w:rsidP="0090760A">
      <w:pPr>
        <w:widowControl w:val="0"/>
        <w:autoSpaceDE w:val="0"/>
        <w:autoSpaceDN w:val="0"/>
        <w:adjustRightInd w:val="0"/>
        <w:spacing w:after="0" w:line="240" w:lineRule="auto"/>
        <w:jc w:val="both"/>
        <w:rPr>
          <w:rFonts w:cs="êM\Uˇ"/>
          <w:sz w:val="24"/>
          <w:szCs w:val="24"/>
        </w:rPr>
      </w:pPr>
    </w:p>
    <w:p w14:paraId="379511E4" w14:textId="77777777" w:rsidR="00D347F4" w:rsidRPr="00D347F4" w:rsidRDefault="00D347F4" w:rsidP="0090760A">
      <w:pPr>
        <w:widowControl w:val="0"/>
        <w:autoSpaceDE w:val="0"/>
        <w:autoSpaceDN w:val="0"/>
        <w:adjustRightInd w:val="0"/>
        <w:spacing w:after="0" w:line="240" w:lineRule="auto"/>
        <w:jc w:val="both"/>
        <w:rPr>
          <w:rFonts w:cs="êM\Uˇ"/>
          <w:sz w:val="24"/>
          <w:szCs w:val="24"/>
        </w:rPr>
      </w:pPr>
      <w:r w:rsidRPr="00D347F4">
        <w:rPr>
          <w:rFonts w:cs="êM\Uˇ"/>
          <w:sz w:val="24"/>
          <w:szCs w:val="24"/>
        </w:rPr>
        <w:t>Aby se pomohlo studentům odborného vzdělávání a přípravy přijít více do styku s pracovním</w:t>
      </w:r>
    </w:p>
    <w:p w14:paraId="6C9E01B4" w14:textId="25101507" w:rsidR="00D347F4" w:rsidRDefault="00D347F4" w:rsidP="0090760A">
      <w:pPr>
        <w:widowControl w:val="0"/>
        <w:autoSpaceDE w:val="0"/>
        <w:autoSpaceDN w:val="0"/>
        <w:adjustRightInd w:val="0"/>
        <w:spacing w:after="0" w:line="240" w:lineRule="auto"/>
        <w:jc w:val="both"/>
        <w:rPr>
          <w:rFonts w:cs="êM\Uˇ"/>
          <w:sz w:val="24"/>
          <w:szCs w:val="24"/>
        </w:rPr>
      </w:pPr>
      <w:r w:rsidRPr="00D347F4">
        <w:rPr>
          <w:rFonts w:cs="êM\Uˇ"/>
          <w:sz w:val="24"/>
          <w:szCs w:val="24"/>
        </w:rPr>
        <w:t>prostř</w:t>
      </w:r>
      <w:r>
        <w:rPr>
          <w:rFonts w:cs="êM\Uˇ"/>
          <w:sz w:val="24"/>
          <w:szCs w:val="24"/>
        </w:rPr>
        <w:t>edím, vyvine Komise soubor podpůrný</w:t>
      </w:r>
      <w:r w:rsidRPr="00D347F4">
        <w:rPr>
          <w:rFonts w:cs="êM\Uˇ"/>
          <w:sz w:val="24"/>
          <w:szCs w:val="24"/>
        </w:rPr>
        <w:t>ch služeb k usnadnění sdílení znalostí, vytváření sítí</w:t>
      </w:r>
      <w:r>
        <w:rPr>
          <w:rFonts w:cs="êM\Uˇ"/>
          <w:sz w:val="24"/>
          <w:szCs w:val="24"/>
        </w:rPr>
        <w:t xml:space="preserve"> </w:t>
      </w:r>
      <w:r w:rsidRPr="00D347F4">
        <w:rPr>
          <w:rFonts w:cs="êM\Uˇ"/>
          <w:sz w:val="24"/>
          <w:szCs w:val="24"/>
        </w:rPr>
        <w:t>a spolupráce v oblasti učňovské přípravy v rámci Evropské aliance pro učňovskou přípravu, a to</w:t>
      </w:r>
      <w:r>
        <w:rPr>
          <w:rFonts w:cs="êM\Uˇ"/>
          <w:sz w:val="24"/>
          <w:szCs w:val="24"/>
        </w:rPr>
        <w:t xml:space="preserve"> </w:t>
      </w:r>
      <w:r w:rsidRPr="00D347F4">
        <w:rPr>
          <w:rFonts w:cs="êM\Uˇ"/>
          <w:sz w:val="24"/>
          <w:szCs w:val="24"/>
        </w:rPr>
        <w:t>na základě vynikajících zkušeností se zapojením aktérů trhu práce. Nedávno přijatý Pakt pro mládež</w:t>
      </w:r>
      <w:r>
        <w:rPr>
          <w:rFonts w:cs="êM\Uˇ"/>
          <w:sz w:val="24"/>
          <w:szCs w:val="24"/>
        </w:rPr>
        <w:t xml:space="preserve"> by měl poskytnout 100 000 nový</w:t>
      </w:r>
      <w:r w:rsidRPr="00D347F4">
        <w:rPr>
          <w:rFonts w:cs="êM\Uˇ"/>
          <w:sz w:val="24"/>
          <w:szCs w:val="24"/>
        </w:rPr>
        <w:t>ch příležitostí pro učňovskou přípravu, stáž</w:t>
      </w:r>
      <w:r>
        <w:rPr>
          <w:rFonts w:cs="êM\Uˇ"/>
          <w:sz w:val="24"/>
          <w:szCs w:val="24"/>
        </w:rPr>
        <w:t xml:space="preserve">e nebo nástupní pozice a vytvořit </w:t>
      </w:r>
      <w:r w:rsidRPr="00D347F4">
        <w:rPr>
          <w:rFonts w:cs="êM\Uˇ"/>
          <w:sz w:val="24"/>
          <w:szCs w:val="24"/>
        </w:rPr>
        <w:t xml:space="preserve">10 000 partnerství mezi podniky a vzdělávacími institucemi. </w:t>
      </w:r>
    </w:p>
    <w:p w14:paraId="109C8E52" w14:textId="77777777" w:rsidR="00D347F4" w:rsidRDefault="00D347F4" w:rsidP="0090760A">
      <w:pPr>
        <w:widowControl w:val="0"/>
        <w:autoSpaceDE w:val="0"/>
        <w:autoSpaceDN w:val="0"/>
        <w:adjustRightInd w:val="0"/>
        <w:spacing w:after="0" w:line="240" w:lineRule="auto"/>
        <w:jc w:val="both"/>
        <w:rPr>
          <w:rFonts w:cs="êM\Uˇ"/>
          <w:sz w:val="24"/>
          <w:szCs w:val="24"/>
        </w:rPr>
      </w:pPr>
    </w:p>
    <w:p w14:paraId="57F59134" w14:textId="16E0BB23" w:rsidR="00E842DD" w:rsidRDefault="00D347F4" w:rsidP="0090760A">
      <w:pPr>
        <w:widowControl w:val="0"/>
        <w:autoSpaceDE w:val="0"/>
        <w:autoSpaceDN w:val="0"/>
        <w:adjustRightInd w:val="0"/>
        <w:spacing w:after="0" w:line="240" w:lineRule="auto"/>
        <w:jc w:val="both"/>
        <w:rPr>
          <w:rFonts w:cs="êM\Uˇ"/>
          <w:sz w:val="24"/>
          <w:szCs w:val="24"/>
        </w:rPr>
      </w:pPr>
      <w:r w:rsidRPr="00D347F4">
        <w:rPr>
          <w:rFonts w:cs="êM\Uˇ"/>
          <w:sz w:val="24"/>
          <w:szCs w:val="24"/>
        </w:rPr>
        <w:t>S cílem prezentovat odborná studia jako</w:t>
      </w:r>
      <w:r>
        <w:rPr>
          <w:rFonts w:cs="êM\Uˇ"/>
          <w:sz w:val="24"/>
          <w:szCs w:val="24"/>
        </w:rPr>
        <w:t xml:space="preserve"> </w:t>
      </w:r>
      <w:r w:rsidRPr="00D347F4">
        <w:rPr>
          <w:rFonts w:cs="êM\Uˇ"/>
          <w:sz w:val="24"/>
          <w:szCs w:val="24"/>
        </w:rPr>
        <w:t>hlavní vo</w:t>
      </w:r>
      <w:r>
        <w:rPr>
          <w:rFonts w:cs="êM\Uˇ"/>
          <w:sz w:val="24"/>
          <w:szCs w:val="24"/>
        </w:rPr>
        <w:t>lbu zahájila</w:t>
      </w:r>
      <w:r w:rsidRPr="00D347F4">
        <w:rPr>
          <w:rFonts w:cs="êM\Uˇ"/>
          <w:sz w:val="24"/>
          <w:szCs w:val="24"/>
        </w:rPr>
        <w:t xml:space="preserve"> Komise v prosinci 2016 v úzk</w:t>
      </w:r>
      <w:r>
        <w:rPr>
          <w:rFonts w:cs="êM\Uˇ"/>
          <w:sz w:val="24"/>
          <w:szCs w:val="24"/>
        </w:rPr>
        <w:t>é spolupráci s řadou zúčastněný</w:t>
      </w:r>
      <w:r w:rsidRPr="00D347F4">
        <w:rPr>
          <w:rFonts w:cs="êM\Uˇ"/>
          <w:sz w:val="24"/>
          <w:szCs w:val="24"/>
        </w:rPr>
        <w:t>ch stran první</w:t>
      </w:r>
      <w:r>
        <w:rPr>
          <w:rFonts w:cs="êM\Uˇ"/>
          <w:sz w:val="24"/>
          <w:szCs w:val="24"/>
        </w:rPr>
        <w:t xml:space="preserve"> Evropský tý</w:t>
      </w:r>
      <w:r w:rsidRPr="00D347F4">
        <w:rPr>
          <w:rFonts w:cs="êM\Uˇ"/>
          <w:sz w:val="24"/>
          <w:szCs w:val="24"/>
        </w:rPr>
        <w:t>den dovedností v odbor</w:t>
      </w:r>
      <w:r>
        <w:rPr>
          <w:rFonts w:cs="êM\Uˇ"/>
          <w:sz w:val="24"/>
          <w:szCs w:val="24"/>
        </w:rPr>
        <w:t>ném vzdělávání a přípravě a předložila</w:t>
      </w:r>
      <w:r w:rsidRPr="00D347F4">
        <w:rPr>
          <w:rFonts w:cs="êM\Uˇ"/>
          <w:sz w:val="24"/>
          <w:szCs w:val="24"/>
        </w:rPr>
        <w:t xml:space="preserve"> návrhy na zlepšení dostupnosti</w:t>
      </w:r>
      <w:r>
        <w:rPr>
          <w:rFonts w:cs="êM\Uˇ"/>
          <w:sz w:val="24"/>
          <w:szCs w:val="24"/>
        </w:rPr>
        <w:t xml:space="preserve"> údajů o vý</w:t>
      </w:r>
      <w:r w:rsidRPr="00D347F4">
        <w:rPr>
          <w:rFonts w:cs="êM\Uˇ"/>
          <w:sz w:val="24"/>
          <w:szCs w:val="24"/>
        </w:rPr>
        <w:t>sledcích odborného vzdělávání a přípravy na trhu práce. Ke z</w:t>
      </w:r>
      <w:r>
        <w:rPr>
          <w:rFonts w:cs="êM\Uˇ"/>
          <w:sz w:val="24"/>
          <w:szCs w:val="24"/>
        </w:rPr>
        <w:t>vý</w:t>
      </w:r>
      <w:r w:rsidRPr="00D347F4">
        <w:rPr>
          <w:rFonts w:cs="êM\Uˇ"/>
          <w:sz w:val="24"/>
          <w:szCs w:val="24"/>
        </w:rPr>
        <w:t>šení kvality poskytovaného</w:t>
      </w:r>
      <w:r>
        <w:rPr>
          <w:rFonts w:cs="êM\Uˇ"/>
          <w:sz w:val="24"/>
          <w:szCs w:val="24"/>
        </w:rPr>
        <w:t xml:space="preserve"> </w:t>
      </w:r>
      <w:r w:rsidRPr="00D347F4">
        <w:rPr>
          <w:rFonts w:cs="êM\Uˇ"/>
          <w:sz w:val="24"/>
          <w:szCs w:val="24"/>
        </w:rPr>
        <w:t>odborného vzdělávání a přípravy by mělo dojít díky tomu, že se bude podporovat zavádění ujednání o</w:t>
      </w:r>
      <w:r>
        <w:rPr>
          <w:rFonts w:cs="êM\Uˇ"/>
          <w:sz w:val="24"/>
          <w:szCs w:val="24"/>
        </w:rPr>
        <w:t xml:space="preserve"> </w:t>
      </w:r>
      <w:r w:rsidRPr="00D347F4">
        <w:rPr>
          <w:rFonts w:cs="êM\Uˇ"/>
          <w:sz w:val="24"/>
          <w:szCs w:val="24"/>
        </w:rPr>
        <w:t>zajištění kvality na úrovni poskytovatelů.</w:t>
      </w:r>
    </w:p>
    <w:p w14:paraId="5433012C" w14:textId="77777777" w:rsidR="00583A68" w:rsidRDefault="00583A68" w:rsidP="0090760A">
      <w:pPr>
        <w:widowControl w:val="0"/>
        <w:autoSpaceDE w:val="0"/>
        <w:autoSpaceDN w:val="0"/>
        <w:adjustRightInd w:val="0"/>
        <w:spacing w:after="0" w:line="240" w:lineRule="auto"/>
        <w:jc w:val="both"/>
        <w:rPr>
          <w:rFonts w:cs="êM\Uˇ"/>
          <w:sz w:val="24"/>
          <w:szCs w:val="24"/>
        </w:rPr>
      </w:pPr>
    </w:p>
    <w:p w14:paraId="543C3047" w14:textId="2415077C" w:rsidR="00A1725A" w:rsidRPr="0085142F" w:rsidRDefault="0007425B" w:rsidP="0085142F">
      <w:pPr>
        <w:jc w:val="both"/>
        <w:rPr>
          <w:sz w:val="24"/>
          <w:szCs w:val="24"/>
        </w:rPr>
      </w:pPr>
      <w:r w:rsidRPr="0085142F">
        <w:rPr>
          <w:sz w:val="24"/>
          <w:szCs w:val="24"/>
        </w:rPr>
        <w:lastRenderedPageBreak/>
        <w:t xml:space="preserve">Evropská komise 5. října 2017 představila 14 kritérií, s jejichž pomocí by členské státy a zúčastněné strany měly rozvíjet kvalitní a účinnou učňovskou přípravu. Iniciativa pod názvem Evropský rámec pro kvalitní a efektivní přípravu se zaměřuje na osobní rozvoj učňů, a tím k rozvoji kompetentní a kvalifikované pracovní síly, která reaguje na potřeby trhu práce. Iniciativa mj. reflektuje evropský pilíř sociálních práv, který stanoví právo na kvalitní a inkluzivní vzdělávání, odbornou přípravu a celoživotní učení. Provádění kritérií EU finančně podpoří z Evropského sociálního fondu. Konkrétními nástroji na podporu je již zmiňovaná Evropská aliance pro učňovskou přípravu či dále záruky pro mladé lidi. </w:t>
      </w:r>
    </w:p>
    <w:p w14:paraId="6CF37C1B" w14:textId="77777777" w:rsidR="00D347F4" w:rsidRPr="00D347F4" w:rsidRDefault="00D347F4" w:rsidP="0090760A">
      <w:pPr>
        <w:widowControl w:val="0"/>
        <w:autoSpaceDE w:val="0"/>
        <w:autoSpaceDN w:val="0"/>
        <w:adjustRightInd w:val="0"/>
        <w:spacing w:after="0" w:line="240" w:lineRule="auto"/>
        <w:jc w:val="both"/>
        <w:rPr>
          <w:rFonts w:cs="êM\Uˇ"/>
          <w:sz w:val="24"/>
          <w:szCs w:val="24"/>
        </w:rPr>
      </w:pPr>
    </w:p>
    <w:p w14:paraId="7E3C6804" w14:textId="57BAAD39" w:rsidR="00E842DD" w:rsidRDefault="00ED2876" w:rsidP="00E842DD">
      <w:pPr>
        <w:pStyle w:val="Nadpis2"/>
        <w:rPr>
          <w:shd w:val="clear" w:color="auto" w:fill="FFFFFF"/>
        </w:rPr>
      </w:pPr>
      <w:bookmarkStart w:id="7" w:name="_Toc493513449"/>
      <w:r>
        <w:rPr>
          <w:shd w:val="clear" w:color="auto" w:fill="FFFFFF"/>
        </w:rPr>
        <w:t>Jak řešit odliv mozků?</w:t>
      </w:r>
      <w:bookmarkEnd w:id="7"/>
    </w:p>
    <w:p w14:paraId="2A4EFA15" w14:textId="77777777" w:rsidR="00452AE5" w:rsidRDefault="00452AE5" w:rsidP="0090760A">
      <w:pPr>
        <w:spacing w:after="0" w:line="240" w:lineRule="auto"/>
        <w:jc w:val="both"/>
        <w:rPr>
          <w:rFonts w:eastAsia="Times New Roman" w:cs="Times New Roman"/>
          <w:color w:val="444444"/>
          <w:sz w:val="24"/>
          <w:szCs w:val="24"/>
          <w:shd w:val="clear" w:color="auto" w:fill="FFFFFF"/>
        </w:rPr>
      </w:pPr>
    </w:p>
    <w:p w14:paraId="20005AF3" w14:textId="5D2F04B4" w:rsidR="00D347F4" w:rsidRPr="00D347F4" w:rsidRDefault="00D347F4" w:rsidP="0090760A">
      <w:pPr>
        <w:spacing w:after="0" w:line="240" w:lineRule="auto"/>
        <w:jc w:val="both"/>
        <w:rPr>
          <w:rFonts w:eastAsia="Times New Roman" w:cs="Times New Roman"/>
          <w:sz w:val="24"/>
          <w:szCs w:val="24"/>
        </w:rPr>
      </w:pPr>
      <w:r w:rsidRPr="00D347F4">
        <w:rPr>
          <w:rFonts w:eastAsia="Times New Roman" w:cs="Times New Roman"/>
          <w:color w:val="444444"/>
          <w:sz w:val="24"/>
          <w:szCs w:val="24"/>
          <w:shd w:val="clear" w:color="auto" w:fill="FFFFFF"/>
        </w:rPr>
        <w:t>V souvislosti s Novou agendou dovedností chce EU čelit nejen nedostatečným dovednostem svých občanů, ale také odlivu vysoce kvalifikovaných lidí. Komise navrhla provést analýzu situace a bude nabádat členské státy, aby mezi sebou sdílely osvědčené postupy v boji proti odlivu mozků.</w:t>
      </w:r>
      <w:r w:rsidR="00DF74DB">
        <w:rPr>
          <w:rFonts w:eastAsia="Times New Roman" w:cs="Times New Roman"/>
          <w:color w:val="444444"/>
          <w:sz w:val="24"/>
          <w:szCs w:val="24"/>
          <w:shd w:val="clear" w:color="auto" w:fill="FFFFFF"/>
        </w:rPr>
        <w:t xml:space="preserve"> Více informací k této analýze není v současnosti známo.</w:t>
      </w:r>
    </w:p>
    <w:p w14:paraId="16C10D84" w14:textId="77777777" w:rsidR="00E842DD" w:rsidRDefault="00E842DD" w:rsidP="00881BAC">
      <w:pPr>
        <w:rPr>
          <w:rFonts w:ascii="Open Sans" w:hAnsi="Open Sans" w:cs="Open Sans"/>
          <w:color w:val="000000"/>
          <w:sz w:val="21"/>
          <w:szCs w:val="21"/>
          <w:shd w:val="clear" w:color="auto" w:fill="FFFFFF"/>
        </w:rPr>
      </w:pPr>
    </w:p>
    <w:p w14:paraId="3A48F4E0" w14:textId="429DDC52" w:rsidR="00AD100D" w:rsidRDefault="00AD100D" w:rsidP="00881BAC">
      <w:pPr>
        <w:pStyle w:val="Nadpis2"/>
        <w:rPr>
          <w:shd w:val="clear" w:color="auto" w:fill="FFFFFF"/>
        </w:rPr>
      </w:pPr>
      <w:bookmarkStart w:id="8" w:name="_Toc493513450"/>
      <w:r>
        <w:rPr>
          <w:shd w:val="clear" w:color="auto" w:fill="FFFFFF"/>
        </w:rPr>
        <w:t>Sledování uplatnění absolventů</w:t>
      </w:r>
      <w:bookmarkEnd w:id="8"/>
    </w:p>
    <w:p w14:paraId="62F40236" w14:textId="77777777" w:rsidR="007A04CD" w:rsidRDefault="007A04CD" w:rsidP="007A04CD">
      <w:pPr>
        <w:spacing w:after="120" w:line="254" w:lineRule="auto"/>
        <w:jc w:val="both"/>
      </w:pPr>
    </w:p>
    <w:p w14:paraId="7D203737" w14:textId="7211BD1F" w:rsidR="00AD100D" w:rsidRPr="00AD100D" w:rsidRDefault="00AD100D" w:rsidP="007A04CD">
      <w:pPr>
        <w:spacing w:after="120" w:line="254" w:lineRule="auto"/>
        <w:jc w:val="both"/>
        <w:rPr>
          <w:sz w:val="24"/>
          <w:szCs w:val="24"/>
        </w:rPr>
      </w:pPr>
      <w:r w:rsidRPr="00AD100D">
        <w:rPr>
          <w:sz w:val="24"/>
          <w:szCs w:val="24"/>
        </w:rPr>
        <w:t xml:space="preserve">Návrh doporučení Rady o sledování uplatnění absolventů, který byl představen Evropskou komisí dne 30. května 2017 s cílem poskytnout členským státům podporu při zlepšování informací o úspěšnosti absolventů na trhu práce, je </w:t>
      </w:r>
      <w:r w:rsidR="007A04CD">
        <w:rPr>
          <w:sz w:val="24"/>
          <w:szCs w:val="24"/>
        </w:rPr>
        <w:t>dalším</w:t>
      </w:r>
      <w:r w:rsidRPr="00AD100D">
        <w:rPr>
          <w:sz w:val="24"/>
          <w:szCs w:val="24"/>
        </w:rPr>
        <w:t xml:space="preserve"> z deseti opatření tzv. Nov</w:t>
      </w:r>
      <w:r w:rsidR="007A04CD">
        <w:rPr>
          <w:sz w:val="24"/>
          <w:szCs w:val="24"/>
        </w:rPr>
        <w:t>é agendy dovedností pro Evropu.</w:t>
      </w:r>
    </w:p>
    <w:p w14:paraId="2D913464" w14:textId="48E48D57" w:rsidR="007A04CD" w:rsidRDefault="00AD100D" w:rsidP="007A04CD">
      <w:pPr>
        <w:spacing w:after="120" w:line="254" w:lineRule="auto"/>
        <w:jc w:val="both"/>
        <w:rPr>
          <w:sz w:val="24"/>
          <w:szCs w:val="24"/>
        </w:rPr>
      </w:pPr>
      <w:r w:rsidRPr="00AD100D">
        <w:rPr>
          <w:sz w:val="24"/>
          <w:szCs w:val="24"/>
        </w:rPr>
        <w:t xml:space="preserve">Cílem navrhovaného doporučení Rady je zlepšit dostupnost kvalitativních a kvantitativních informací o tom, co absolventi terciárního vzdělávání a odborného vzdělávání a přípravy v Evropě dělají poté, co své vzdělávání či přípravu ukončí. Tyto informace mohou být využity službami, které novým studentům pomáhají informovaně se rozhodnout, co studovat, pedagogickými pracovníky a vedením institucí jako vstup pro koncipování kurzů a vládními orgány pro rozhodování o tom, kam nasměrovat systémy vysokoškolského vzdělávání a odborného vzdělávání a přípravy. Cílem tohoto návrhu je stimulovat další rozvoj a využívání různých forem mechanismů sledování uplatnění absolventů na úrovni vzdělávacích systémů v jednotlivých členských státech a podporovat větší spolupráci mezi vnitrostátními subjekty </w:t>
      </w:r>
      <w:r w:rsidRPr="007A04CD">
        <w:rPr>
          <w:sz w:val="24"/>
          <w:szCs w:val="24"/>
        </w:rPr>
        <w:t>zapojenými do sledování, aby tak došlo ke sdílení osvědčených postupů a v konečném důsledku ke zvýšení srovnatelnosti shromážděných údajů ze sledování.</w:t>
      </w:r>
    </w:p>
    <w:p w14:paraId="3EC86F19" w14:textId="19761AEF" w:rsidR="007A04CD" w:rsidRPr="007A04CD" w:rsidRDefault="007A04CD" w:rsidP="007A04CD">
      <w:pPr>
        <w:spacing w:after="120"/>
        <w:jc w:val="both"/>
        <w:rPr>
          <w:sz w:val="24"/>
          <w:szCs w:val="24"/>
        </w:rPr>
      </w:pPr>
      <w:r w:rsidRPr="007A04CD">
        <w:rPr>
          <w:sz w:val="24"/>
          <w:szCs w:val="24"/>
        </w:rPr>
        <w:t xml:space="preserve">Ministerstvo školství ČR se v obecné rovině ztotožňuje se záměrem návrhu doporučení o sledování uplatnění absolventů terciárního vzdělávání a odborného vzdělávání a přípravy a tuto iniciativu vítá. I přesto, že se doporučení zdají být velmi ambiciózní, lze říci, že ČR s uvedenými doporučeními souhlasí a její snahy se ubírají stejným směrem. Výstupy této iniciativy mohou být cenným podkladem pro rozvoj a případné budoucí změny v oblasti terciárního vzdělávání v ČR. Cíl je v souladu například s opakovanou realizací šetření </w:t>
      </w:r>
      <w:r w:rsidRPr="007A04CD">
        <w:rPr>
          <w:sz w:val="24"/>
          <w:szCs w:val="24"/>
        </w:rPr>
        <w:lastRenderedPageBreak/>
        <w:t xml:space="preserve">uplatnění absolventů vysokých škol v minulosti (REFLEX) a plánovaným šetřením, které by mělo být realizováno v letech 2017–2018. MŠMT má zájem o rozvoj šetření absolventů i v budoucnosti, včetně mezinárodně srovnatelného šetření vycházejícího ze studie proveditelnosti </w:t>
      </w:r>
      <w:proofErr w:type="spellStart"/>
      <w:r w:rsidRPr="007A04CD">
        <w:rPr>
          <w:sz w:val="24"/>
          <w:szCs w:val="24"/>
        </w:rPr>
        <w:t>Eurograduate</w:t>
      </w:r>
      <w:proofErr w:type="spellEnd"/>
      <w:r w:rsidRPr="007A04CD">
        <w:rPr>
          <w:sz w:val="24"/>
          <w:szCs w:val="24"/>
        </w:rPr>
        <w:t xml:space="preserve">. </w:t>
      </w:r>
    </w:p>
    <w:p w14:paraId="070C4784" w14:textId="579F223B" w:rsidR="00AD100D" w:rsidRDefault="007A04CD" w:rsidP="007A04CD">
      <w:pPr>
        <w:spacing w:after="120"/>
        <w:jc w:val="both"/>
        <w:rPr>
          <w:sz w:val="24"/>
          <w:szCs w:val="24"/>
        </w:rPr>
      </w:pPr>
      <w:r w:rsidRPr="007A04CD">
        <w:rPr>
          <w:sz w:val="24"/>
          <w:szCs w:val="24"/>
        </w:rPr>
        <w:t xml:space="preserve">Národní ústav pro vzdělávání (NÚV) se tématu uplatnitelnosti a přechodu absolventů na trh práce věnuje dlouhodobě a již několik let realizuje longitudinální šetření, v rámci něhož je sledováno, v jakých profesích se absolventi na trhu práce uplatňují, zda absolventi pracují v oboru, který vystudovali v rámci počátečního vzdělávání (shoda vzdělání a zaměstnání), míra identifikace s oborem (hypotetická opakovaná volba vystudovaného oboru), spokojenost s vystudovaným oborem a míra využití znalostí získaných během studia v zaměstnání a další. Toto longitudinální šetření se primárně zaměřuje na absolventy učebních a maturitních oborů, ale částečně se také věnuje absolventům VOŠ. </w:t>
      </w:r>
    </w:p>
    <w:p w14:paraId="1041C9BE" w14:textId="3CBDB100" w:rsidR="000D08D0" w:rsidRPr="007A04CD" w:rsidRDefault="000D08D0" w:rsidP="000D08D0">
      <w:pPr>
        <w:spacing w:after="120" w:line="254" w:lineRule="auto"/>
        <w:jc w:val="both"/>
        <w:rPr>
          <w:sz w:val="24"/>
          <w:szCs w:val="24"/>
        </w:rPr>
      </w:pPr>
      <w:r>
        <w:rPr>
          <w:sz w:val="24"/>
          <w:szCs w:val="24"/>
        </w:rPr>
        <w:t>Podle posledního Monitoru vzdělávání a odborné přípravy</w:t>
      </w:r>
      <w:r>
        <w:rPr>
          <w:rStyle w:val="Znakapoznpodarou"/>
          <w:szCs w:val="24"/>
        </w:rPr>
        <w:footnoteReference w:id="1"/>
      </w:r>
      <w:r>
        <w:rPr>
          <w:sz w:val="24"/>
          <w:szCs w:val="24"/>
        </w:rPr>
        <w:t xml:space="preserve">, který vydala Evropská komise v listopadu 2017, je míra zaměstnanosti absolventů všech úrovní vzdělávání vyšší, než je průměr EU, kromě pracovníků s nízkou </w:t>
      </w:r>
      <w:r w:rsidR="00412093">
        <w:rPr>
          <w:sz w:val="24"/>
          <w:szCs w:val="24"/>
        </w:rPr>
        <w:t>kvalifikací. Oproti roku 2013 se v roce 2016 zvýšila míra zaměstnanosti nedávných absolventů ve věku 20 – 34 let na stupních ISCED 3-8 (středoškolské až doktorské studium) 80,4 % na 86,7 %. Průměr EU se zvýšil ze 75,4 % v roce 2013 na 78,2 % v minulém roce.</w:t>
      </w:r>
      <w:r w:rsidR="00A1725A">
        <w:rPr>
          <w:sz w:val="24"/>
          <w:szCs w:val="24"/>
        </w:rPr>
        <w:t xml:space="preserve"> </w:t>
      </w:r>
    </w:p>
    <w:p w14:paraId="0EF1146B" w14:textId="77777777" w:rsidR="007A04CD" w:rsidRPr="007A04CD" w:rsidRDefault="007A04CD" w:rsidP="007A04CD">
      <w:pPr>
        <w:spacing w:after="120"/>
        <w:jc w:val="both"/>
        <w:rPr>
          <w:sz w:val="24"/>
          <w:szCs w:val="24"/>
        </w:rPr>
      </w:pPr>
    </w:p>
    <w:p w14:paraId="285370DA" w14:textId="36307C03" w:rsidR="00E842DD" w:rsidRDefault="00E842DD" w:rsidP="00E842DD">
      <w:pPr>
        <w:pStyle w:val="Nadpis2"/>
        <w:rPr>
          <w:shd w:val="clear" w:color="auto" w:fill="FFFFFF"/>
        </w:rPr>
      </w:pPr>
      <w:bookmarkStart w:id="9" w:name="_Toc493513451"/>
      <w:r>
        <w:rPr>
          <w:shd w:val="clear" w:color="auto" w:fill="FFFFFF"/>
        </w:rPr>
        <w:t>N</w:t>
      </w:r>
      <w:r w:rsidR="00ED2876">
        <w:rPr>
          <w:shd w:val="clear" w:color="auto" w:fill="FFFFFF"/>
        </w:rPr>
        <w:t xml:space="preserve">ový rámec pro </w:t>
      </w:r>
      <w:proofErr w:type="spellStart"/>
      <w:r w:rsidR="00ED2876">
        <w:rPr>
          <w:shd w:val="clear" w:color="auto" w:fill="FFFFFF"/>
        </w:rPr>
        <w:t>Europass</w:t>
      </w:r>
      <w:proofErr w:type="spellEnd"/>
      <w:r w:rsidR="00ED2876">
        <w:rPr>
          <w:shd w:val="clear" w:color="auto" w:fill="FFFFFF"/>
        </w:rPr>
        <w:t xml:space="preserve"> a uznávání dovedností získaných mimo formální vzdělávání</w:t>
      </w:r>
      <w:bookmarkEnd w:id="9"/>
    </w:p>
    <w:p w14:paraId="32DCC029" w14:textId="77777777" w:rsidR="00452AE5" w:rsidRDefault="00452AE5" w:rsidP="0090760A">
      <w:pPr>
        <w:autoSpaceDE w:val="0"/>
        <w:autoSpaceDN w:val="0"/>
        <w:adjustRightInd w:val="0"/>
        <w:jc w:val="both"/>
        <w:rPr>
          <w:rFonts w:eastAsia="Arial Unicode MS"/>
          <w:color w:val="000000"/>
          <w:sz w:val="24"/>
          <w:szCs w:val="24"/>
          <w:lang w:eastAsia="en-GB"/>
        </w:rPr>
      </w:pPr>
    </w:p>
    <w:p w14:paraId="248860DA" w14:textId="77777777" w:rsidR="00CF0732" w:rsidRPr="00D347F4" w:rsidRDefault="00CF0732" w:rsidP="0090760A">
      <w:pPr>
        <w:autoSpaceDE w:val="0"/>
        <w:autoSpaceDN w:val="0"/>
        <w:adjustRightInd w:val="0"/>
        <w:jc w:val="both"/>
        <w:rPr>
          <w:rFonts w:eastAsia="Arial Unicode MS"/>
          <w:color w:val="000000"/>
          <w:sz w:val="24"/>
          <w:szCs w:val="24"/>
          <w:lang w:eastAsia="en-GB"/>
        </w:rPr>
      </w:pPr>
      <w:r w:rsidRPr="00D347F4">
        <w:rPr>
          <w:rFonts w:eastAsia="Arial Unicode MS"/>
          <w:color w:val="000000"/>
          <w:sz w:val="24"/>
          <w:szCs w:val="24"/>
          <w:lang w:eastAsia="en-GB"/>
        </w:rPr>
        <w:t xml:space="preserve">Revize rámce </w:t>
      </w:r>
      <w:proofErr w:type="spellStart"/>
      <w:r w:rsidRPr="00D347F4">
        <w:rPr>
          <w:rFonts w:eastAsia="Arial Unicode MS"/>
          <w:color w:val="000000"/>
          <w:sz w:val="24"/>
          <w:szCs w:val="24"/>
          <w:lang w:eastAsia="en-GB"/>
        </w:rPr>
        <w:t>Europass</w:t>
      </w:r>
      <w:proofErr w:type="spellEnd"/>
      <w:r w:rsidRPr="00D347F4">
        <w:rPr>
          <w:rFonts w:eastAsia="Arial Unicode MS"/>
          <w:color w:val="000000"/>
          <w:sz w:val="24"/>
          <w:szCs w:val="24"/>
          <w:lang w:eastAsia="en-GB"/>
        </w:rPr>
        <w:t xml:space="preserve"> je jedním z deseti opatření balíčku Nové agendy dovedností pro Evropu, který byl představen Komisí v červnu 2016.</w:t>
      </w:r>
    </w:p>
    <w:p w14:paraId="369A065C" w14:textId="77777777" w:rsidR="00CF0732" w:rsidRPr="00D347F4" w:rsidRDefault="00CF0732" w:rsidP="0090760A">
      <w:pPr>
        <w:autoSpaceDE w:val="0"/>
        <w:autoSpaceDN w:val="0"/>
        <w:adjustRightInd w:val="0"/>
        <w:jc w:val="both"/>
        <w:rPr>
          <w:rFonts w:eastAsia="Arial Unicode MS"/>
          <w:color w:val="000000"/>
          <w:sz w:val="24"/>
          <w:szCs w:val="24"/>
          <w:lang w:eastAsia="en-GB"/>
        </w:rPr>
      </w:pPr>
      <w:r w:rsidRPr="00D347F4">
        <w:rPr>
          <w:rFonts w:eastAsia="Arial Unicode MS"/>
          <w:color w:val="000000"/>
          <w:sz w:val="24"/>
          <w:szCs w:val="24"/>
          <w:lang w:eastAsia="en-GB"/>
        </w:rPr>
        <w:t xml:space="preserve">Jedná se o první revizi Rozhodnutí o </w:t>
      </w:r>
      <w:proofErr w:type="spellStart"/>
      <w:r w:rsidRPr="00D347F4">
        <w:rPr>
          <w:rFonts w:eastAsia="Arial Unicode MS"/>
          <w:color w:val="000000"/>
          <w:sz w:val="24"/>
          <w:szCs w:val="24"/>
          <w:lang w:eastAsia="en-GB"/>
        </w:rPr>
        <w:t>Europassu</w:t>
      </w:r>
      <w:proofErr w:type="spellEnd"/>
      <w:r w:rsidRPr="00D347F4">
        <w:rPr>
          <w:rFonts w:eastAsia="Arial Unicode MS"/>
          <w:color w:val="000000"/>
          <w:sz w:val="24"/>
          <w:szCs w:val="24"/>
          <w:lang w:eastAsia="en-GB"/>
        </w:rPr>
        <w:t xml:space="preserve"> z roku 2004. </w:t>
      </w:r>
      <w:proofErr w:type="spellStart"/>
      <w:r w:rsidRPr="00D347F4">
        <w:rPr>
          <w:rFonts w:eastAsia="Arial Unicode MS"/>
          <w:color w:val="000000"/>
          <w:sz w:val="24"/>
          <w:szCs w:val="24"/>
          <w:lang w:eastAsia="en-GB"/>
        </w:rPr>
        <w:t>Europass</w:t>
      </w:r>
      <w:proofErr w:type="spellEnd"/>
      <w:r w:rsidRPr="00D347F4">
        <w:rPr>
          <w:rFonts w:eastAsia="Arial Unicode MS"/>
          <w:color w:val="000000"/>
          <w:sz w:val="24"/>
          <w:szCs w:val="24"/>
          <w:lang w:eastAsia="en-GB"/>
        </w:rPr>
        <w:t xml:space="preserve"> byl zřízen před dvanácti lety a tento návrh Rozhodnutí nyní reaguje na pokrok v oblasti technologií a na změny trhu práce, systémů vzdělávání a odborné přípravy a společnosti obecně. Nový rámec </w:t>
      </w:r>
      <w:proofErr w:type="spellStart"/>
      <w:r w:rsidRPr="00D347F4">
        <w:rPr>
          <w:rFonts w:eastAsia="Arial Unicode MS"/>
          <w:color w:val="000000"/>
          <w:sz w:val="24"/>
          <w:szCs w:val="24"/>
          <w:lang w:eastAsia="en-GB"/>
        </w:rPr>
        <w:t>Europass</w:t>
      </w:r>
      <w:proofErr w:type="spellEnd"/>
      <w:r w:rsidRPr="00D347F4">
        <w:rPr>
          <w:rFonts w:eastAsia="Arial Unicode MS"/>
          <w:color w:val="000000"/>
          <w:sz w:val="24"/>
          <w:szCs w:val="24"/>
          <w:lang w:eastAsia="en-GB"/>
        </w:rPr>
        <w:t xml:space="preserve"> si klade za cíl zajistit celoevropskou on-line platformu, prostřednictvím které budou mít všechny osoby, v rámci online služby, přístup k široké škále služeb, jako je tvorba elektronického portfolia nebo možnost hodnocení vlastních dovedností. Tyto služby má obohatit paleta informací týkajících se možností vzdělávání, kvalifikací, postupů uznávání a dat o pracovním trhu a získávání poznatků o potřebných dovednostech, jako jsou trendy na poli profesí a povolání, které budou získávány ze všech členských států. Tyto různorodé informace budou pomáhat jednotlivým osobám v informovaném rozhodování ohledně profesní dráhy, mobility a vzdělávání. Z dostupných informací budou podobně těžit i zaměstnavatelé, poskytovatelé vzdělávání a odborné přípravy, odborní poradci, služby </w:t>
      </w:r>
      <w:r w:rsidRPr="00D347F4">
        <w:rPr>
          <w:rFonts w:eastAsia="Arial Unicode MS"/>
          <w:color w:val="000000"/>
          <w:sz w:val="24"/>
          <w:szCs w:val="24"/>
          <w:lang w:eastAsia="en-GB"/>
        </w:rPr>
        <w:lastRenderedPageBreak/>
        <w:t>zaměstnanosti a politici, pokud jde například o lepší získávání poznatků o tom, jaké dovednosti jsou třeba a v jaké oblasti je možné stimulovat poskytování vzdělávacích kurzů, jestliže zde zjistí nedostatky.</w:t>
      </w:r>
    </w:p>
    <w:p w14:paraId="59517904" w14:textId="432F1942" w:rsidR="00CF0732" w:rsidRPr="00D347F4" w:rsidRDefault="00CF0732" w:rsidP="0090760A">
      <w:pPr>
        <w:autoSpaceDE w:val="0"/>
        <w:autoSpaceDN w:val="0"/>
        <w:adjustRightInd w:val="0"/>
        <w:jc w:val="both"/>
        <w:rPr>
          <w:rFonts w:eastAsia="Arial Unicode MS"/>
          <w:color w:val="000000"/>
          <w:sz w:val="24"/>
          <w:szCs w:val="24"/>
          <w:lang w:eastAsia="en-GB"/>
        </w:rPr>
      </w:pPr>
      <w:r w:rsidRPr="00D347F4">
        <w:rPr>
          <w:rFonts w:eastAsia="Arial Unicode MS"/>
          <w:color w:val="000000"/>
          <w:sz w:val="24"/>
          <w:szCs w:val="24"/>
          <w:lang w:eastAsia="en-GB"/>
        </w:rPr>
        <w:t xml:space="preserve">Nová on-line platforma </w:t>
      </w:r>
      <w:proofErr w:type="spellStart"/>
      <w:r w:rsidRPr="00D347F4">
        <w:rPr>
          <w:rFonts w:eastAsia="Arial Unicode MS"/>
          <w:color w:val="000000"/>
          <w:sz w:val="24"/>
          <w:szCs w:val="24"/>
          <w:lang w:eastAsia="en-GB"/>
        </w:rPr>
        <w:t>Europass</w:t>
      </w:r>
      <w:proofErr w:type="spellEnd"/>
      <w:r w:rsidRPr="00D347F4">
        <w:rPr>
          <w:rFonts w:eastAsia="Arial Unicode MS"/>
          <w:color w:val="000000"/>
          <w:sz w:val="24"/>
          <w:szCs w:val="24"/>
          <w:lang w:eastAsia="en-GB"/>
        </w:rPr>
        <w:t>, kterou Evropská komise momentálně vyvíjí, bude zahrnovat informace, které v současné době poskytují nástroje jako Portál vzdělávacích příležitostí a kvalifikací v Evropě - PLOTEUS (na němž jsou k dispozici informace o možnostech vzdělávání a kvalifikacích), Přehled dovedností EU - SKILLSPANORAMA (který nabízí informace týkající se poznatků o požadovaných dovednostech na úrovni vnitrostátní i na úrovni EU, jakož i informace týkající se povolání a konkrétních odvětví). Vývoj a provozování těchto nástrojů doposud podporuje z odborného hlediska Evropské středisko pro rozvoj odborného vzdělávání (</w:t>
      </w:r>
      <w:proofErr w:type="spellStart"/>
      <w:r w:rsidRPr="00D347F4">
        <w:rPr>
          <w:rFonts w:eastAsia="Arial Unicode MS"/>
          <w:color w:val="000000"/>
          <w:sz w:val="24"/>
          <w:szCs w:val="24"/>
          <w:lang w:eastAsia="en-GB"/>
        </w:rPr>
        <w:t>Cedefop</w:t>
      </w:r>
      <w:proofErr w:type="spellEnd"/>
      <w:r w:rsidRPr="00D347F4">
        <w:rPr>
          <w:rFonts w:eastAsia="Arial Unicode MS"/>
          <w:color w:val="000000"/>
          <w:sz w:val="24"/>
          <w:szCs w:val="24"/>
          <w:lang w:eastAsia="en-GB"/>
        </w:rPr>
        <w:t>).</w:t>
      </w:r>
    </w:p>
    <w:p w14:paraId="553C085C" w14:textId="7FAA5D24" w:rsidR="00452AE5" w:rsidRDefault="00CF0732" w:rsidP="0090760A">
      <w:pPr>
        <w:autoSpaceDE w:val="0"/>
        <w:autoSpaceDN w:val="0"/>
        <w:adjustRightInd w:val="0"/>
        <w:jc w:val="both"/>
        <w:rPr>
          <w:sz w:val="24"/>
          <w:szCs w:val="24"/>
        </w:rPr>
      </w:pPr>
      <w:r w:rsidRPr="00D347F4">
        <w:rPr>
          <w:rFonts w:eastAsia="Arial Unicode MS"/>
          <w:color w:val="000000"/>
          <w:sz w:val="24"/>
          <w:szCs w:val="24"/>
          <w:lang w:eastAsia="en-GB"/>
        </w:rPr>
        <w:t xml:space="preserve">Díky tomuto návrhu tedy </w:t>
      </w:r>
      <w:proofErr w:type="spellStart"/>
      <w:r w:rsidRPr="00D347F4">
        <w:rPr>
          <w:rFonts w:eastAsia="Arial Unicode MS"/>
          <w:color w:val="000000"/>
          <w:sz w:val="24"/>
          <w:szCs w:val="24"/>
          <w:lang w:eastAsia="en-GB"/>
        </w:rPr>
        <w:t>Europass</w:t>
      </w:r>
      <w:proofErr w:type="spellEnd"/>
      <w:r w:rsidRPr="00D347F4">
        <w:rPr>
          <w:rFonts w:eastAsia="Arial Unicode MS"/>
          <w:color w:val="000000"/>
          <w:sz w:val="24"/>
          <w:szCs w:val="24"/>
          <w:lang w:eastAsia="en-GB"/>
        </w:rPr>
        <w:t xml:space="preserve"> rozšiřuje záběr z pouze dokumentového nástroje v on-line platformu poskytující kromě nástrojů i informace o dovednostech a kvalifikacích, které doposud byly poskytovány na množství jiných uživatelům ne příliš známých portálů.</w:t>
      </w:r>
      <w:r w:rsidRPr="00D347F4">
        <w:rPr>
          <w:sz w:val="24"/>
          <w:szCs w:val="24"/>
        </w:rPr>
        <w:t xml:space="preserve"> </w:t>
      </w:r>
    </w:p>
    <w:p w14:paraId="45C41FE5" w14:textId="77777777" w:rsidR="00AD100D" w:rsidRDefault="00AD100D" w:rsidP="0090760A">
      <w:pPr>
        <w:autoSpaceDE w:val="0"/>
        <w:autoSpaceDN w:val="0"/>
        <w:adjustRightInd w:val="0"/>
        <w:jc w:val="both"/>
        <w:rPr>
          <w:sz w:val="24"/>
          <w:szCs w:val="24"/>
        </w:rPr>
      </w:pPr>
    </w:p>
    <w:p w14:paraId="7B199287" w14:textId="45D43287" w:rsidR="00452AE5" w:rsidRDefault="00452AE5" w:rsidP="00AD100D">
      <w:pPr>
        <w:pStyle w:val="Nadpis2"/>
        <w:rPr>
          <w:shd w:val="clear" w:color="auto" w:fill="FFFFFF"/>
        </w:rPr>
      </w:pPr>
      <w:bookmarkStart w:id="10" w:name="_Toc493513452"/>
      <w:r>
        <w:rPr>
          <w:shd w:val="clear" w:color="auto" w:fill="FFFFFF"/>
        </w:rPr>
        <w:t>Nová Evropská strategie pro vzdělávání</w:t>
      </w:r>
      <w:bookmarkEnd w:id="10"/>
    </w:p>
    <w:p w14:paraId="78A34061" w14:textId="77777777" w:rsidR="00AD100D" w:rsidRPr="00AD100D" w:rsidRDefault="00AD100D" w:rsidP="00AD100D"/>
    <w:p w14:paraId="7CF20F1A" w14:textId="77777777" w:rsidR="00452AE5" w:rsidRPr="00452AE5" w:rsidRDefault="00452AE5" w:rsidP="00452AE5">
      <w:pPr>
        <w:jc w:val="both"/>
        <w:rPr>
          <w:sz w:val="24"/>
          <w:szCs w:val="24"/>
        </w:rPr>
      </w:pPr>
      <w:r w:rsidRPr="00452AE5">
        <w:rPr>
          <w:sz w:val="24"/>
          <w:szCs w:val="24"/>
        </w:rPr>
        <w:t xml:space="preserve">V návaznosti na své sdělení o zlepšování a modernizaci vzdělávání (7. prosince 2016) spustila Evropská komise dne 30. května 2017 novou iniciativu pro mládež ve školách a institucích vysokoškolského vzdělávání s názvem „Strategie vysoce kvalitního inkluzivního vzdělávání zaměřeného na budoucnost“. Balíček se skládá ze dvou obnovených programů EU pro modernizaci vzdělávání – jeden pro školy a druhý pro vysokoškolské vzdělávání. </w:t>
      </w:r>
    </w:p>
    <w:p w14:paraId="4B95B37D" w14:textId="609BC686" w:rsidR="00452AE5" w:rsidRPr="00452AE5" w:rsidRDefault="00452AE5" w:rsidP="00452AE5">
      <w:pPr>
        <w:jc w:val="both"/>
        <w:rPr>
          <w:sz w:val="24"/>
          <w:szCs w:val="24"/>
        </w:rPr>
      </w:pPr>
      <w:r w:rsidRPr="00452AE5">
        <w:rPr>
          <w:sz w:val="24"/>
          <w:szCs w:val="24"/>
        </w:rPr>
        <w:t>Pokud jde o školy, informace z členských států poukazují na tři oblasti, v nichž je třeba přijmout opatření a ve kterých může podpora EU pomoci při řešení důležitých otázek:</w:t>
      </w:r>
    </w:p>
    <w:p w14:paraId="49139102" w14:textId="77777777" w:rsidR="00452AE5" w:rsidRPr="00452AE5" w:rsidRDefault="00452AE5" w:rsidP="00452AE5">
      <w:pPr>
        <w:pStyle w:val="Odstavecseseznamem"/>
        <w:numPr>
          <w:ilvl w:val="0"/>
          <w:numId w:val="35"/>
        </w:numPr>
        <w:jc w:val="both"/>
        <w:rPr>
          <w:sz w:val="24"/>
          <w:szCs w:val="24"/>
        </w:rPr>
      </w:pPr>
      <w:r w:rsidRPr="00452AE5">
        <w:rPr>
          <w:sz w:val="24"/>
          <w:szCs w:val="24"/>
        </w:rPr>
        <w:t>zvýšení kvality a </w:t>
      </w:r>
      <w:proofErr w:type="spellStart"/>
      <w:r w:rsidRPr="00452AE5">
        <w:rPr>
          <w:sz w:val="24"/>
          <w:szCs w:val="24"/>
        </w:rPr>
        <w:t>inkluzivnosti</w:t>
      </w:r>
      <w:proofErr w:type="spellEnd"/>
      <w:r w:rsidRPr="00452AE5">
        <w:rPr>
          <w:sz w:val="24"/>
          <w:szCs w:val="24"/>
        </w:rPr>
        <w:t xml:space="preserve"> škol;</w:t>
      </w:r>
    </w:p>
    <w:p w14:paraId="0EAEE853" w14:textId="77777777" w:rsidR="00452AE5" w:rsidRPr="00452AE5" w:rsidRDefault="00452AE5" w:rsidP="00452AE5">
      <w:pPr>
        <w:pStyle w:val="Odstavecseseznamem"/>
        <w:numPr>
          <w:ilvl w:val="0"/>
          <w:numId w:val="35"/>
        </w:numPr>
        <w:jc w:val="both"/>
        <w:rPr>
          <w:sz w:val="24"/>
          <w:szCs w:val="24"/>
        </w:rPr>
      </w:pPr>
      <w:r w:rsidRPr="00452AE5">
        <w:rPr>
          <w:sz w:val="24"/>
          <w:szCs w:val="24"/>
        </w:rPr>
        <w:t>podporování vynikajících učitelů a vedoucích pracovníků škol;</w:t>
      </w:r>
    </w:p>
    <w:p w14:paraId="6FAA4A6F" w14:textId="2454DDEC" w:rsidR="00452AE5" w:rsidRPr="00452AE5" w:rsidRDefault="00452AE5" w:rsidP="00452AE5">
      <w:pPr>
        <w:pStyle w:val="Odstavecseseznamem"/>
        <w:numPr>
          <w:ilvl w:val="0"/>
          <w:numId w:val="35"/>
        </w:numPr>
        <w:jc w:val="both"/>
        <w:rPr>
          <w:sz w:val="24"/>
          <w:szCs w:val="24"/>
        </w:rPr>
      </w:pPr>
      <w:r w:rsidRPr="00452AE5">
        <w:rPr>
          <w:sz w:val="24"/>
          <w:szCs w:val="24"/>
        </w:rPr>
        <w:t>zlepšení řízení a správy systémů školního vzdělávání</w:t>
      </w:r>
    </w:p>
    <w:p w14:paraId="72D7685C" w14:textId="66D26838" w:rsidR="00452AE5" w:rsidRPr="00452AE5" w:rsidRDefault="00452AE5" w:rsidP="00452AE5">
      <w:pPr>
        <w:jc w:val="both"/>
        <w:rPr>
          <w:sz w:val="24"/>
          <w:szCs w:val="24"/>
        </w:rPr>
      </w:pPr>
      <w:r w:rsidRPr="00452AE5">
        <w:rPr>
          <w:sz w:val="24"/>
          <w:szCs w:val="24"/>
        </w:rPr>
        <w:t>Komise navrhuje doplnit do těchto tří oblastí opatření přijatá členskými státy v podobě podpory vzájemného učení, posílení důkazů o tom, co ve vzdělávání funguje, a poskytnutí pomoci s vnitrostátními reformami v těch členských státech, které si to přejí. Mezi příklady takové podpory mohou patřit: posílení rozvoje dovedností a mezikulturního učení prostřednictvím partnerství mezi školami, mobility a projektů e-</w:t>
      </w:r>
      <w:proofErr w:type="spellStart"/>
      <w:r w:rsidRPr="00452AE5">
        <w:rPr>
          <w:sz w:val="24"/>
          <w:szCs w:val="24"/>
        </w:rPr>
        <w:t>Twinning</w:t>
      </w:r>
      <w:proofErr w:type="spellEnd"/>
      <w:r w:rsidRPr="00452AE5">
        <w:rPr>
          <w:sz w:val="24"/>
          <w:szCs w:val="24"/>
        </w:rPr>
        <w:t xml:space="preserve"> v rámci programu Erasmus+, posílení vzájemného učení během kariérního a profesního rozvoje učitelů </w:t>
      </w:r>
      <w:r w:rsidRPr="00452AE5">
        <w:rPr>
          <w:sz w:val="24"/>
          <w:szCs w:val="24"/>
        </w:rPr>
        <w:lastRenderedPageBreak/>
        <w:t>a vedoucích pracovníků škol a zřizování nových podpůrných mechanismů na pomoc členským státům při hledání pomoci s návrhy a prováděním reforem vzdělávání.</w:t>
      </w:r>
    </w:p>
    <w:p w14:paraId="38DDB607" w14:textId="30F5231B" w:rsidR="00452AE5" w:rsidRPr="00452AE5" w:rsidRDefault="00452AE5" w:rsidP="00452AE5">
      <w:pPr>
        <w:jc w:val="both"/>
        <w:rPr>
          <w:sz w:val="24"/>
          <w:szCs w:val="24"/>
        </w:rPr>
      </w:pPr>
      <w:r w:rsidRPr="00452AE5">
        <w:rPr>
          <w:sz w:val="24"/>
          <w:szCs w:val="24"/>
        </w:rPr>
        <w:t>Obnovená strategie vysokoškolského vzdělávání navazuje na program pro modernizaci z roku 2011. Komise ve svém sdělení stanoví své plány pro čtyři klíčové oblasti:</w:t>
      </w:r>
    </w:p>
    <w:p w14:paraId="2C9CFCF7" w14:textId="77777777" w:rsidR="00452AE5" w:rsidRPr="00452AE5" w:rsidRDefault="00452AE5" w:rsidP="00452AE5">
      <w:pPr>
        <w:pStyle w:val="Odstavecseseznamem"/>
        <w:numPr>
          <w:ilvl w:val="0"/>
          <w:numId w:val="36"/>
        </w:numPr>
        <w:jc w:val="both"/>
        <w:rPr>
          <w:sz w:val="24"/>
          <w:szCs w:val="24"/>
        </w:rPr>
      </w:pPr>
      <w:r w:rsidRPr="00452AE5">
        <w:rPr>
          <w:sz w:val="24"/>
          <w:szCs w:val="24"/>
        </w:rPr>
        <w:t>zajištění toho, aby absolventi vysokoškolského vzdělávání byli vybaveni soubory dovedností, které budou potřebné pro ně samé i pro moderní ekonomiku;</w:t>
      </w:r>
    </w:p>
    <w:p w14:paraId="1DA16214" w14:textId="77777777" w:rsidR="00452AE5" w:rsidRPr="00452AE5" w:rsidRDefault="00452AE5" w:rsidP="00452AE5">
      <w:pPr>
        <w:pStyle w:val="Odstavecseseznamem"/>
        <w:numPr>
          <w:ilvl w:val="0"/>
          <w:numId w:val="36"/>
        </w:numPr>
        <w:jc w:val="both"/>
        <w:rPr>
          <w:sz w:val="24"/>
          <w:szCs w:val="24"/>
        </w:rPr>
      </w:pPr>
      <w:r w:rsidRPr="00452AE5">
        <w:rPr>
          <w:sz w:val="24"/>
          <w:szCs w:val="24"/>
        </w:rPr>
        <w:t>vytvoření inkluzivních systémů vysokoškolského vzdělávání;</w:t>
      </w:r>
    </w:p>
    <w:p w14:paraId="533C64A5" w14:textId="77777777" w:rsidR="00452AE5" w:rsidRPr="00452AE5" w:rsidRDefault="00452AE5" w:rsidP="00452AE5">
      <w:pPr>
        <w:pStyle w:val="Odstavecseseznamem"/>
        <w:numPr>
          <w:ilvl w:val="0"/>
          <w:numId w:val="36"/>
        </w:numPr>
        <w:jc w:val="both"/>
        <w:rPr>
          <w:sz w:val="24"/>
          <w:szCs w:val="24"/>
        </w:rPr>
      </w:pPr>
      <w:r w:rsidRPr="00452AE5">
        <w:rPr>
          <w:sz w:val="24"/>
          <w:szCs w:val="24"/>
        </w:rPr>
        <w:t>zajištění toho, aby vysokoškolské instituce přispívaly k inovacím ve všech dalších oblastech hospodářství;</w:t>
      </w:r>
    </w:p>
    <w:p w14:paraId="1655072E" w14:textId="2112C757" w:rsidR="00452AE5" w:rsidRPr="00DF74DB" w:rsidRDefault="00452AE5" w:rsidP="00452AE5">
      <w:pPr>
        <w:pStyle w:val="Odstavecseseznamem"/>
        <w:numPr>
          <w:ilvl w:val="0"/>
          <w:numId w:val="36"/>
        </w:numPr>
        <w:jc w:val="both"/>
        <w:rPr>
          <w:sz w:val="24"/>
          <w:szCs w:val="24"/>
        </w:rPr>
      </w:pPr>
      <w:r w:rsidRPr="00452AE5">
        <w:rPr>
          <w:sz w:val="24"/>
          <w:szCs w:val="24"/>
        </w:rPr>
        <w:t>podpora institucí vysokoškolského vzdělávání a vlád v co nejlepším využívání dostupných lidských a finančních zdrojů.</w:t>
      </w:r>
    </w:p>
    <w:p w14:paraId="57011BFE" w14:textId="4BFF790B" w:rsidR="00452AE5" w:rsidRPr="000F2F3D" w:rsidRDefault="00452AE5" w:rsidP="00452AE5">
      <w:pPr>
        <w:jc w:val="both"/>
      </w:pPr>
      <w:r w:rsidRPr="00452AE5">
        <w:rPr>
          <w:sz w:val="24"/>
          <w:szCs w:val="24"/>
        </w:rPr>
        <w:t>A konečně, aby bylo možné zajistit, že vysokoškolské vzdělávání pomůže posílit růst a tvorbu pracovních míst, musí vysoké školy přizpůsobit osnovy na míru současným a očekávaným potřebám ekonomiky a společnosti a budoucí studenti potřebují aktuální a spolehlivé informace, které jim pomohou při rozhodování, jaké předměty si zvolit. Proto také Komise představila paralelní návrh doporučení Rady o sledování uplatnění absolventů, který je součástí nové agendy dovednost</w:t>
      </w:r>
      <w:r w:rsidR="0007425B">
        <w:rPr>
          <w:sz w:val="24"/>
          <w:szCs w:val="24"/>
        </w:rPr>
        <w:t>í</w:t>
      </w:r>
      <w:r w:rsidRPr="00452AE5">
        <w:rPr>
          <w:sz w:val="24"/>
          <w:szCs w:val="24"/>
        </w:rPr>
        <w:t xml:space="preserve"> pro Evropu</w:t>
      </w:r>
      <w:r w:rsidR="0007425B">
        <w:rPr>
          <w:sz w:val="24"/>
          <w:szCs w:val="24"/>
        </w:rPr>
        <w:t>,</w:t>
      </w:r>
      <w:r w:rsidRPr="00452AE5">
        <w:rPr>
          <w:sz w:val="24"/>
          <w:szCs w:val="24"/>
        </w:rPr>
        <w:t xml:space="preserve"> a který se kromě absolventů vysokoškolského vzdělávání bude vztahovat také na absolventy programů odborného vzdělávání a přípravy. To by mělo stimulovat a podpořit orgány členských států ke zlepšení kvality a dostupnosti informací o tom, jak absolventi po skončení studia postupují v kariéře nebo v dalším vzdělávání, a podporovat je v tomto úsilí.</w:t>
      </w:r>
    </w:p>
    <w:p w14:paraId="71355B3F" w14:textId="2D7D315A" w:rsidR="00AD100D" w:rsidRPr="00AD100D" w:rsidRDefault="00AD100D" w:rsidP="00AD100D">
      <w:pPr>
        <w:spacing w:after="120"/>
        <w:jc w:val="both"/>
        <w:rPr>
          <w:sz w:val="24"/>
          <w:szCs w:val="24"/>
        </w:rPr>
      </w:pPr>
      <w:r w:rsidRPr="00AD100D">
        <w:rPr>
          <w:color w:val="000000"/>
          <w:sz w:val="24"/>
          <w:szCs w:val="24"/>
        </w:rPr>
        <w:t>V tomto směru jsou nyní projednávány závěry Rady</w:t>
      </w:r>
      <w:r w:rsidRPr="00AD100D">
        <w:rPr>
          <w:sz w:val="24"/>
          <w:szCs w:val="24"/>
        </w:rPr>
        <w:t xml:space="preserve"> o obnoveném programu EU v oblasti vysokoškolského vzdělávání</w:t>
      </w:r>
      <w:r w:rsidR="005E1128">
        <w:rPr>
          <w:sz w:val="24"/>
          <w:szCs w:val="24"/>
        </w:rPr>
        <w:t>.</w:t>
      </w:r>
      <w:r w:rsidR="000D08D0">
        <w:rPr>
          <w:sz w:val="24"/>
          <w:szCs w:val="24"/>
        </w:rPr>
        <w:t xml:space="preserve"> </w:t>
      </w:r>
      <w:r w:rsidRPr="00AD100D">
        <w:rPr>
          <w:sz w:val="24"/>
          <w:szCs w:val="24"/>
        </w:rPr>
        <w:t>Co se týče výzev identifikovaných ve sdělení Evropskou komisí, návrh závěrů vyzývá členské státy, aby se zaměřily na následující čtyři prioritní oblasti činnosti: 1) podpora vynikající kvality v rozvoji dovedností; 2) podpora inkluzivního vysokoškolského vzdělávání a podpora akademických pracovníků; 3) podpora a rozvoj inovací; 4) podpora efektivních systémů vysokoškolského vzdělávání a rozvoj zajišťování jejich kvality. V rámci jednotlivých prioritních oblastí jsou členské státy v návrhu závěrů vyzývány například, k následujícím aktivitám:</w:t>
      </w:r>
    </w:p>
    <w:p w14:paraId="26FA8350" w14:textId="77777777" w:rsidR="00AD100D" w:rsidRPr="00AD100D" w:rsidRDefault="00AD100D" w:rsidP="00AD100D">
      <w:pPr>
        <w:spacing w:after="120"/>
        <w:jc w:val="both"/>
        <w:rPr>
          <w:sz w:val="24"/>
          <w:szCs w:val="24"/>
        </w:rPr>
      </w:pPr>
      <w:r w:rsidRPr="00AD100D">
        <w:rPr>
          <w:sz w:val="24"/>
          <w:szCs w:val="24"/>
        </w:rPr>
        <w:t>1) Podpora vysokoškolských institucí za účelem lepšího vybavení studentů znalostmi, dovednostmi a schopnostmi; motivace studentů ke kariéře v oblasti vědy, techniky, inženýrství, (umění), a matematiky (STE(A)M); využívání prognóz a analýz za účelem poskytování informací studentům pro lepší rozhodování o možnostech studia; podpora inovativních postupů při učení.</w:t>
      </w:r>
    </w:p>
    <w:p w14:paraId="738C5E9D" w14:textId="53D12A7B" w:rsidR="00AD100D" w:rsidRPr="00AD100D" w:rsidRDefault="00AD100D" w:rsidP="00AD100D">
      <w:pPr>
        <w:spacing w:after="120"/>
        <w:jc w:val="both"/>
        <w:rPr>
          <w:sz w:val="24"/>
          <w:szCs w:val="24"/>
        </w:rPr>
      </w:pPr>
      <w:r w:rsidRPr="00AD100D">
        <w:rPr>
          <w:sz w:val="24"/>
          <w:szCs w:val="24"/>
        </w:rPr>
        <w:t>2) vytvoření lepších podmínek ke studiu pro studenty z nedostatečně zastoupených skupin; otevření systémů vysokoškolského vzdělávání a usnadněním přechodů mezi nimi; motiv</w:t>
      </w:r>
      <w:r w:rsidR="0085142F">
        <w:rPr>
          <w:sz w:val="24"/>
          <w:szCs w:val="24"/>
        </w:rPr>
        <w:t xml:space="preserve">ace </w:t>
      </w:r>
      <w:r w:rsidRPr="00AD100D">
        <w:rPr>
          <w:sz w:val="24"/>
          <w:szCs w:val="24"/>
        </w:rPr>
        <w:lastRenderedPageBreak/>
        <w:t>akademick</w:t>
      </w:r>
      <w:r w:rsidR="0085142F">
        <w:rPr>
          <w:sz w:val="24"/>
          <w:szCs w:val="24"/>
        </w:rPr>
        <w:t>ých</w:t>
      </w:r>
      <w:r w:rsidRPr="00AD100D">
        <w:rPr>
          <w:sz w:val="24"/>
          <w:szCs w:val="24"/>
        </w:rPr>
        <w:t xml:space="preserve"> pracovní</w:t>
      </w:r>
      <w:r w:rsidR="005E1128">
        <w:rPr>
          <w:sz w:val="24"/>
          <w:szCs w:val="24"/>
        </w:rPr>
        <w:t>k</w:t>
      </w:r>
      <w:r w:rsidR="0085142F">
        <w:rPr>
          <w:sz w:val="24"/>
          <w:szCs w:val="24"/>
        </w:rPr>
        <w:t>ů</w:t>
      </w:r>
      <w:r w:rsidRPr="00AD100D">
        <w:rPr>
          <w:sz w:val="24"/>
          <w:szCs w:val="24"/>
        </w:rPr>
        <w:t xml:space="preserve"> k profesnímu rozvoji; podpo</w:t>
      </w:r>
      <w:r w:rsidR="0085142F">
        <w:rPr>
          <w:sz w:val="24"/>
          <w:szCs w:val="24"/>
        </w:rPr>
        <w:t xml:space="preserve">ra </w:t>
      </w:r>
      <w:r w:rsidRPr="00AD100D">
        <w:rPr>
          <w:sz w:val="24"/>
          <w:szCs w:val="24"/>
        </w:rPr>
        <w:t>zlepšování digitálních kompetencí u akademických pracovníků; v</w:t>
      </w:r>
      <w:r w:rsidR="005E1128">
        <w:rPr>
          <w:sz w:val="24"/>
          <w:szCs w:val="24"/>
        </w:rPr>
        <w:t>ývoj</w:t>
      </w:r>
      <w:r w:rsidRPr="00AD100D">
        <w:rPr>
          <w:sz w:val="24"/>
          <w:szCs w:val="24"/>
        </w:rPr>
        <w:t xml:space="preserve"> systém</w:t>
      </w:r>
      <w:r w:rsidR="0085142F">
        <w:rPr>
          <w:sz w:val="24"/>
          <w:szCs w:val="24"/>
        </w:rPr>
        <w:t>ů</w:t>
      </w:r>
      <w:r w:rsidRPr="00AD100D">
        <w:rPr>
          <w:sz w:val="24"/>
          <w:szCs w:val="24"/>
        </w:rPr>
        <w:t xml:space="preserve"> odměňování, které ocení vynikající výuku; podpora mobility ve vzdělávání a dalších relevantních mezinárodních zkušeností u studentů a akademických pracovníků.</w:t>
      </w:r>
    </w:p>
    <w:p w14:paraId="6B16A2F8" w14:textId="77777777" w:rsidR="00AD100D" w:rsidRPr="00AD100D" w:rsidRDefault="00AD100D" w:rsidP="00AD100D">
      <w:pPr>
        <w:spacing w:after="120"/>
        <w:jc w:val="both"/>
        <w:rPr>
          <w:sz w:val="24"/>
          <w:szCs w:val="24"/>
        </w:rPr>
      </w:pPr>
      <w:r w:rsidRPr="00AD100D">
        <w:rPr>
          <w:sz w:val="24"/>
          <w:szCs w:val="24"/>
        </w:rPr>
        <w:t>3) podpora vysokoškolských institucí při vytváření příznivých podmínek pro podnikatelské myšlení a kreativitu; podpora rozvoje doktorských programů s cílem lépe připravit absolventy na práci jak v akademickém sektoru tak mimo něj.</w:t>
      </w:r>
    </w:p>
    <w:p w14:paraId="575E7AF3" w14:textId="2C331CC4" w:rsidR="00452AE5" w:rsidRDefault="00AD100D" w:rsidP="00AD100D">
      <w:pPr>
        <w:spacing w:after="120"/>
        <w:jc w:val="both"/>
        <w:rPr>
          <w:sz w:val="24"/>
          <w:szCs w:val="24"/>
        </w:rPr>
      </w:pPr>
      <w:r w:rsidRPr="00AD100D">
        <w:rPr>
          <w:sz w:val="24"/>
          <w:szCs w:val="24"/>
        </w:rPr>
        <w:t>4) zajištění dostatečného, spravedlivého a udržitelného financování vysokoškolského vzdělávání; zajištění aktivní účasti a zapojení interních a externích zúčastněných stran do řízení vysokoškolských institucí; zvyšování účinnosti, efektivity a transparentnosti zajišťování kvality.</w:t>
      </w:r>
    </w:p>
    <w:p w14:paraId="1AB43EF9" w14:textId="77777777" w:rsidR="00AD100D" w:rsidRPr="00AD100D" w:rsidRDefault="00AD100D" w:rsidP="00AD100D">
      <w:pPr>
        <w:spacing w:after="120"/>
        <w:jc w:val="both"/>
        <w:rPr>
          <w:sz w:val="24"/>
          <w:szCs w:val="24"/>
        </w:rPr>
      </w:pPr>
      <w:r w:rsidRPr="00AD100D">
        <w:rPr>
          <w:sz w:val="24"/>
          <w:szCs w:val="24"/>
        </w:rPr>
        <w:t xml:space="preserve">Návrh závěrů vítá snahu Evropské komise například v oblasti posílení spolupráce v rámci programu Erasmus+ a strategického rámce pro vzdělávání a přípravu za účelem podpory vynikající výuky a občanské a společenské odpovědnosti studentů a vysokoškolských institucí prostřednictvím uznávání dobrovolné a komunitní práce a rozvoje spolupráce s podniky. Vítá snahu Komise v podpoře opatření pro zlepšení mobility a motivace studentů ke kariéře v oblasti vědy, techniky, inženýrství, (umění), a matematiky (STE(A)M) a rozvoji inovativních pedagogických postupů. Dále návrh závěrů vítá snahu Komise vytvářet synergie mezi nástroji EU pro budování důkazů a posílit práci sítě Eurydice a spolupráci s OECD s cílem zajistit součinnost, vyhnout se duplicitě a společně těžit ze společného úsilí. </w:t>
      </w:r>
    </w:p>
    <w:p w14:paraId="0FE0A223" w14:textId="77777777" w:rsidR="00AD100D" w:rsidRPr="00AD100D" w:rsidRDefault="00AD100D" w:rsidP="00AD100D">
      <w:pPr>
        <w:spacing w:after="120"/>
        <w:jc w:val="both"/>
        <w:rPr>
          <w:sz w:val="24"/>
          <w:szCs w:val="24"/>
        </w:rPr>
      </w:pPr>
      <w:r w:rsidRPr="00AD100D">
        <w:rPr>
          <w:sz w:val="24"/>
          <w:szCs w:val="24"/>
        </w:rPr>
        <w:t>Evropská komise je v návrhu závěrů vyzývána, aby tyto závěry plně zohlednila při přípravě svých návrhů pro budoucí strategickou spolupráci v oblasti vzdělávání a odborné přípravy.</w:t>
      </w:r>
    </w:p>
    <w:p w14:paraId="1948D8DC" w14:textId="77777777" w:rsidR="00AD100D" w:rsidRPr="00AD100D" w:rsidRDefault="00AD100D" w:rsidP="00AD100D">
      <w:pPr>
        <w:spacing w:after="120"/>
        <w:jc w:val="both"/>
        <w:rPr>
          <w:sz w:val="24"/>
          <w:szCs w:val="24"/>
        </w:rPr>
      </w:pPr>
    </w:p>
    <w:p w14:paraId="122EBE01" w14:textId="77777777" w:rsidR="009608BF" w:rsidRPr="00AD100D" w:rsidRDefault="009608BF">
      <w:pPr>
        <w:rPr>
          <w:rFonts w:asciiTheme="majorHAnsi" w:eastAsiaTheme="majorEastAsia" w:hAnsiTheme="majorHAnsi" w:cstheme="majorBidi"/>
          <w:color w:val="365F91" w:themeColor="accent1" w:themeShade="BF"/>
          <w:sz w:val="24"/>
          <w:szCs w:val="24"/>
        </w:rPr>
      </w:pPr>
      <w:r w:rsidRPr="00AD100D">
        <w:rPr>
          <w:sz w:val="24"/>
          <w:szCs w:val="24"/>
        </w:rPr>
        <w:br w:type="page"/>
      </w:r>
    </w:p>
    <w:p w14:paraId="1DDE8DA4" w14:textId="0DA29F26" w:rsidR="00B67119" w:rsidRDefault="00ED2876" w:rsidP="00881BAC">
      <w:pPr>
        <w:pStyle w:val="Nadpis1"/>
      </w:pPr>
      <w:bookmarkStart w:id="11" w:name="_Toc493513453"/>
      <w:r>
        <w:lastRenderedPageBreak/>
        <w:t>Analytická část</w:t>
      </w:r>
      <w:bookmarkEnd w:id="11"/>
    </w:p>
    <w:p w14:paraId="24A1A181" w14:textId="77777777" w:rsidR="001C4DDA" w:rsidRPr="001C4DDA" w:rsidRDefault="001C4DDA" w:rsidP="001C4DDA"/>
    <w:p w14:paraId="48C4B86F" w14:textId="17AA2B0E" w:rsidR="00ED2876" w:rsidRDefault="001C4DDA" w:rsidP="00ED2876">
      <w:pPr>
        <w:pStyle w:val="Nadpis2"/>
        <w:rPr>
          <w:shd w:val="clear" w:color="auto" w:fill="FFFFFF"/>
        </w:rPr>
      </w:pPr>
      <w:bookmarkStart w:id="12" w:name="_Toc493513454"/>
      <w:r>
        <w:rPr>
          <w:shd w:val="clear" w:color="auto" w:fill="FFFFFF"/>
        </w:rPr>
        <w:t>Poskytování a rozvoj dovedností v souvislosti s </w:t>
      </w:r>
      <w:r w:rsidR="0090760A">
        <w:rPr>
          <w:shd w:val="clear" w:color="auto" w:fill="FFFFFF"/>
        </w:rPr>
        <w:t>postupující</w:t>
      </w:r>
      <w:r w:rsidR="00DF74DB">
        <w:rPr>
          <w:shd w:val="clear" w:color="auto" w:fill="FFFFFF"/>
        </w:rPr>
        <w:t xml:space="preserve"> di</w:t>
      </w:r>
      <w:r w:rsidR="0090760A">
        <w:rPr>
          <w:shd w:val="clear" w:color="auto" w:fill="FFFFFF"/>
        </w:rPr>
        <w:t>gitalizací</w:t>
      </w:r>
      <w:bookmarkEnd w:id="12"/>
    </w:p>
    <w:p w14:paraId="6B82D4F2" w14:textId="77777777" w:rsidR="0090760A" w:rsidRDefault="0090760A" w:rsidP="0090760A">
      <w:pPr>
        <w:pStyle w:val="Nadpis2"/>
        <w:numPr>
          <w:ilvl w:val="0"/>
          <w:numId w:val="0"/>
        </w:numPr>
        <w:ind w:left="567"/>
        <w:jc w:val="both"/>
        <w:rPr>
          <w:rFonts w:asciiTheme="minorHAnsi" w:eastAsia="Times New Roman" w:hAnsiTheme="minorHAnsi" w:cs="Times New Roman"/>
          <w:color w:val="auto"/>
          <w:sz w:val="24"/>
          <w:szCs w:val="24"/>
          <w:lang w:bidi="cs-CZ"/>
        </w:rPr>
      </w:pPr>
    </w:p>
    <w:p w14:paraId="744A5B9F" w14:textId="51D03D59" w:rsidR="0090760A" w:rsidRPr="0090760A" w:rsidRDefault="0090760A" w:rsidP="0090760A">
      <w:pPr>
        <w:jc w:val="both"/>
        <w:rPr>
          <w:rFonts w:eastAsia="Times New Roman"/>
          <w:sz w:val="24"/>
          <w:szCs w:val="24"/>
          <w:lang w:bidi="cs-CZ"/>
        </w:rPr>
      </w:pPr>
      <w:r w:rsidRPr="0090760A">
        <w:rPr>
          <w:rFonts w:eastAsia="Times New Roman"/>
          <w:sz w:val="24"/>
          <w:szCs w:val="24"/>
          <w:lang w:bidi="cs-CZ"/>
        </w:rPr>
        <w:t xml:space="preserve">Kompetence jsou nezbytnou podmínkou pro přeměnu znalostí ve výsledky, které zvýší náš blahobyt – neboť digitální věk přináší nové výzvy. </w:t>
      </w:r>
      <w:r w:rsidRPr="0090760A">
        <w:rPr>
          <w:rFonts w:eastAsia="Times New Roman"/>
          <w:b/>
          <w:sz w:val="24"/>
          <w:szCs w:val="24"/>
          <w:lang w:bidi="cs-CZ"/>
        </w:rPr>
        <w:t>Technické a sociální kompetence</w:t>
      </w:r>
      <w:r w:rsidRPr="0090760A">
        <w:rPr>
          <w:rFonts w:eastAsia="Times New Roman"/>
          <w:sz w:val="24"/>
          <w:szCs w:val="24"/>
          <w:lang w:bidi="cs-CZ"/>
        </w:rPr>
        <w:t>, které zahrnují schopnost komunikovat a spolupracovat s lidmi v různých souvislostech a pomocí různých technických nástrojů, a </w:t>
      </w:r>
      <w:r w:rsidRPr="0090760A">
        <w:rPr>
          <w:rFonts w:eastAsia="Times New Roman"/>
          <w:b/>
          <w:sz w:val="24"/>
          <w:szCs w:val="24"/>
          <w:lang w:bidi="cs-CZ"/>
        </w:rPr>
        <w:t>podnikatelské kompetence</w:t>
      </w:r>
      <w:r w:rsidRPr="0090760A">
        <w:rPr>
          <w:rFonts w:eastAsia="Times New Roman"/>
          <w:sz w:val="24"/>
          <w:szCs w:val="24"/>
          <w:lang w:bidi="cs-CZ"/>
        </w:rPr>
        <w:t xml:space="preserve"> a zaměření se na odpovědnost vůči společnosti jsou již podmínkou, ale většina vzdělávacích systémů stále není schopna je poskytnout, neboť byly navrženy pro jinou dobu, kdy studenti neměli nezbytné schopnosti a dovednosti, které jsou v dnešní době významné pro zaměstnavatele a, co je důležitější, pro ně samotné. V</w:t>
      </w:r>
      <w:r w:rsidR="00EA51DC">
        <w:rPr>
          <w:rFonts w:eastAsia="Times New Roman"/>
          <w:sz w:val="24"/>
          <w:szCs w:val="24"/>
          <w:lang w:bidi="cs-CZ"/>
        </w:rPr>
        <w:t xml:space="preserve"> tomto ohledu je vhodné, aby </w:t>
      </w:r>
      <w:r w:rsidRPr="0090760A">
        <w:rPr>
          <w:rFonts w:eastAsia="Times New Roman"/>
          <w:sz w:val="24"/>
          <w:szCs w:val="24"/>
          <w:lang w:bidi="cs-CZ"/>
        </w:rPr>
        <w:t>členské</w:t>
      </w:r>
      <w:r w:rsidR="00EA51DC">
        <w:rPr>
          <w:rFonts w:eastAsia="Times New Roman"/>
          <w:sz w:val="24"/>
          <w:szCs w:val="24"/>
          <w:lang w:bidi="cs-CZ"/>
        </w:rPr>
        <w:t xml:space="preserve"> státy </w:t>
      </w:r>
      <w:r w:rsidRPr="0090760A">
        <w:rPr>
          <w:rFonts w:eastAsia="Times New Roman"/>
          <w:sz w:val="24"/>
          <w:szCs w:val="24"/>
          <w:lang w:bidi="cs-CZ"/>
        </w:rPr>
        <w:t xml:space="preserve">ve spolupráci s orgány, institucemi a agenturami EU zavedly v oblasti </w:t>
      </w:r>
      <w:r w:rsidRPr="0090760A">
        <w:rPr>
          <w:rFonts w:eastAsia="Times New Roman"/>
          <w:b/>
          <w:sz w:val="24"/>
          <w:szCs w:val="24"/>
          <w:lang w:bidi="cs-CZ"/>
        </w:rPr>
        <w:t>vzdělávání a rozvoje dovedností</w:t>
      </w:r>
      <w:r w:rsidRPr="0090760A">
        <w:rPr>
          <w:rFonts w:eastAsia="Times New Roman"/>
          <w:sz w:val="24"/>
          <w:szCs w:val="24"/>
          <w:lang w:bidi="cs-CZ"/>
        </w:rPr>
        <w:t xml:space="preserve"> inovativnější řešení, jelikož Evropa potřebuje skutečnou změnu paradigmatu, pokud jde o cíle a fungování odvětví vzdělávání a chápání jeho místa a úlohy ve společnosti</w:t>
      </w:r>
      <w:r w:rsidRPr="0090760A">
        <w:rPr>
          <w:rFonts w:eastAsia="Times New Roman"/>
          <w:sz w:val="24"/>
          <w:szCs w:val="24"/>
          <w:vertAlign w:val="superscript"/>
          <w:lang w:bidi="cs-CZ"/>
        </w:rPr>
        <w:footnoteReference w:id="2"/>
      </w:r>
      <w:r w:rsidRPr="0090760A">
        <w:rPr>
          <w:rFonts w:eastAsia="Times New Roman"/>
          <w:sz w:val="24"/>
          <w:szCs w:val="24"/>
          <w:lang w:bidi="cs-CZ"/>
        </w:rPr>
        <w:t>.</w:t>
      </w:r>
    </w:p>
    <w:p w14:paraId="046CD266" w14:textId="5861BF78" w:rsidR="0090760A" w:rsidRPr="0090760A" w:rsidRDefault="0090760A" w:rsidP="0090760A">
      <w:pPr>
        <w:jc w:val="both"/>
        <w:rPr>
          <w:rFonts w:eastAsia="Times New Roman"/>
          <w:sz w:val="24"/>
          <w:szCs w:val="24"/>
          <w:lang w:bidi="cs-CZ"/>
        </w:rPr>
      </w:pPr>
      <w:r w:rsidRPr="0090760A">
        <w:rPr>
          <w:rFonts w:eastAsia="Times New Roman"/>
          <w:b/>
          <w:sz w:val="24"/>
          <w:szCs w:val="24"/>
          <w:lang w:bidi="cs-CZ"/>
        </w:rPr>
        <w:t>Digitalizace</w:t>
      </w:r>
      <w:r w:rsidRPr="0090760A">
        <w:rPr>
          <w:rFonts w:eastAsia="Times New Roman"/>
          <w:sz w:val="24"/>
          <w:szCs w:val="24"/>
          <w:lang w:bidi="cs-CZ"/>
        </w:rPr>
        <w:t xml:space="preserve"> vytváří potenciál pro přístupné a individuálně přizpůsobené technologie, které mohou nabídnout vzdělávací dráhy více zaměřené na studenty a vytvořit </w:t>
      </w:r>
      <w:r w:rsidRPr="0090760A">
        <w:rPr>
          <w:rFonts w:eastAsia="Times New Roman"/>
          <w:b/>
          <w:sz w:val="24"/>
          <w:szCs w:val="24"/>
          <w:lang w:bidi="cs-CZ"/>
        </w:rPr>
        <w:t>nepřetržitý sled učení</w:t>
      </w:r>
      <w:r w:rsidRPr="0090760A">
        <w:rPr>
          <w:rFonts w:eastAsia="Times New Roman"/>
          <w:sz w:val="24"/>
          <w:szCs w:val="24"/>
          <w:lang w:bidi="cs-CZ"/>
        </w:rPr>
        <w:t xml:space="preserve"> mezi formálním, neformálním a informálním učením. Digitální řešení mohou být začleněna do strategií celoživotního učení a mohou být mocným nástrojem ke zmenšení mezer v oblasti dosažených úspěchů a příležitostí. To však silně závisí na tom, jak je digitální technologie zaváděna a využívána ve vzdělávacím prostředí.</w:t>
      </w:r>
    </w:p>
    <w:p w14:paraId="1B2E7592" w14:textId="38FB3C2E" w:rsidR="0090760A" w:rsidRPr="0090760A" w:rsidRDefault="0090760A" w:rsidP="0090760A">
      <w:pPr>
        <w:jc w:val="both"/>
        <w:rPr>
          <w:rFonts w:eastAsia="Times New Roman"/>
          <w:sz w:val="24"/>
          <w:szCs w:val="24"/>
          <w:lang w:bidi="cs-CZ"/>
        </w:rPr>
      </w:pPr>
      <w:r w:rsidRPr="0090760A">
        <w:rPr>
          <w:rFonts w:eastAsia="Times New Roman"/>
          <w:sz w:val="24"/>
          <w:szCs w:val="24"/>
          <w:lang w:bidi="cs-CZ"/>
        </w:rPr>
        <w:t xml:space="preserve">Aby se dosáhlo lepších studijních zkušeností a lepších výsledků učení, musí systém vzdělávání vyvážit </w:t>
      </w:r>
      <w:r w:rsidRPr="0090760A">
        <w:rPr>
          <w:rFonts w:eastAsia="Times New Roman"/>
          <w:b/>
          <w:sz w:val="24"/>
          <w:szCs w:val="24"/>
          <w:lang w:bidi="cs-CZ"/>
        </w:rPr>
        <w:t>potřeby studentů</w:t>
      </w:r>
      <w:r w:rsidRPr="0090760A">
        <w:rPr>
          <w:rFonts w:eastAsia="Times New Roman"/>
          <w:sz w:val="24"/>
          <w:szCs w:val="24"/>
          <w:lang w:bidi="cs-CZ"/>
        </w:rPr>
        <w:t xml:space="preserve"> a potřeby trhu. Student musí být středem: je tím, kdo by měl regulovat své vzdělávání, odbornou přípravu a zvyšování kvalifikace. Tímto způsobem bude zajištěno, že studenti prostřednictvím své studijní zkušenosti neskončí jako pasivní konzumenti technologií, ale jako aktivní, digitální občané, kteří jsou schopni využít znalostí, jež získali, pomocí řízení povahy, místa, tempa a načasování svého studia v souladu se svými názory a hodnotami a v souladu s hodnotami, jako je solidarita a respektování rozdílů, jež jsou součástí evropské identity. Tento přístup poukazuje na to, že je důležité zapojení studentů do procesu učení na individuální úrovni i na úrovni spolupráce. Sdílení cílů v rámci týmu, využití sebereflexe a vzájemné hodnocení jsou klíčové pro vytváření znalostí. Sociální změnu nevytvářejí digitální technologie, nýbrž lidé. Budoucí investice do technologií musí být tedy úzce spojeny s investicemi do lidí a s rozšířením jejich přístupu k příležitostem v oblasti celoživotního učení.</w:t>
      </w:r>
    </w:p>
    <w:p w14:paraId="09F8BE4E" w14:textId="1390B7E9" w:rsidR="0090760A" w:rsidRPr="0090760A" w:rsidRDefault="0090760A" w:rsidP="0090760A">
      <w:pPr>
        <w:jc w:val="both"/>
        <w:rPr>
          <w:rFonts w:eastAsia="Times New Roman"/>
          <w:sz w:val="24"/>
          <w:szCs w:val="24"/>
          <w:lang w:bidi="cs-CZ"/>
        </w:rPr>
      </w:pPr>
      <w:r w:rsidRPr="0090760A">
        <w:rPr>
          <w:rFonts w:eastAsia="Times New Roman"/>
          <w:sz w:val="24"/>
          <w:szCs w:val="24"/>
          <w:lang w:bidi="cs-CZ"/>
        </w:rPr>
        <w:lastRenderedPageBreak/>
        <w:t>Budoucí dovednosti by měly být rovněž sladěny s potřebami společnosti a s </w:t>
      </w:r>
      <w:r w:rsidRPr="0090760A">
        <w:rPr>
          <w:rFonts w:eastAsia="Times New Roman"/>
          <w:b/>
          <w:sz w:val="24"/>
          <w:szCs w:val="24"/>
          <w:lang w:bidi="cs-CZ"/>
        </w:rPr>
        <w:t>požadavky trhu práce</w:t>
      </w:r>
      <w:r w:rsidRPr="0090760A">
        <w:rPr>
          <w:rFonts w:eastAsia="Times New Roman"/>
          <w:sz w:val="24"/>
          <w:szCs w:val="24"/>
          <w:lang w:bidi="cs-CZ"/>
        </w:rPr>
        <w:t>. Toho lze dosáhnout pouze pomocí úzké spolupráce mezi podniky a veřejnými a soukromými vzdělávacími institucemi. Proměnlivější trhy práce povedou k výzvám, neboť podniky a pracovníci se budou muset dostatečně rychle přizpůsobovat. EHSV ve svém stanovisku Přizpůsobení dovedností potřebám měnícího se průmyslu a služeb</w:t>
      </w:r>
      <w:r w:rsidRPr="0090760A">
        <w:rPr>
          <w:rFonts w:eastAsia="Times New Roman"/>
          <w:sz w:val="24"/>
          <w:szCs w:val="24"/>
          <w:vertAlign w:val="superscript"/>
          <w:lang w:bidi="cs-CZ"/>
        </w:rPr>
        <w:footnoteReference w:id="3"/>
      </w:r>
      <w:r w:rsidRPr="0090760A">
        <w:rPr>
          <w:rFonts w:eastAsia="Times New Roman"/>
          <w:sz w:val="24"/>
          <w:szCs w:val="24"/>
          <w:lang w:bidi="cs-CZ"/>
        </w:rPr>
        <w:t xml:space="preserve"> z roku 2010 uvedl, že podporuje zavádění </w:t>
      </w:r>
      <w:r w:rsidRPr="0090760A">
        <w:rPr>
          <w:rFonts w:eastAsia="Times New Roman"/>
          <w:b/>
          <w:sz w:val="24"/>
          <w:szCs w:val="24"/>
          <w:lang w:bidi="cs-CZ"/>
        </w:rPr>
        <w:t>odvětvových rad</w:t>
      </w:r>
      <w:r w:rsidRPr="0090760A">
        <w:rPr>
          <w:rFonts w:eastAsia="Times New Roman"/>
          <w:sz w:val="24"/>
          <w:szCs w:val="24"/>
          <w:lang w:bidi="cs-CZ"/>
        </w:rPr>
        <w:t xml:space="preserve"> pro zaměstnanost a dovednosti na evropské úrovni. Doposud byly odvětvové rady zřízeny pouze ve dvou odvětvích, plánované odvětvové rady ve zbylých 14 odvětvích jsou stále ještě v plenkách. EHSV by rád požádal Evropskou komisi, aby vysvětlila, proč je tento postup tak pomalý a nedostává se mu potřebné podpory ze strany odvětví a vnitrostátních orgánů. </w:t>
      </w:r>
    </w:p>
    <w:p w14:paraId="4EF66395" w14:textId="31EC1AC5" w:rsidR="0090760A" w:rsidRPr="0090760A" w:rsidRDefault="0090760A" w:rsidP="0090760A">
      <w:pPr>
        <w:jc w:val="both"/>
        <w:rPr>
          <w:rFonts w:eastAsia="Times New Roman"/>
          <w:sz w:val="24"/>
          <w:szCs w:val="24"/>
          <w:lang w:bidi="cs-CZ"/>
        </w:rPr>
      </w:pPr>
      <w:r w:rsidRPr="0090760A">
        <w:rPr>
          <w:rFonts w:eastAsia="Times New Roman"/>
          <w:sz w:val="24"/>
          <w:szCs w:val="24"/>
          <w:lang w:bidi="cs-CZ"/>
        </w:rPr>
        <w:t>Studenti musí být směrováni k </w:t>
      </w:r>
      <w:r w:rsidRPr="0090760A">
        <w:rPr>
          <w:rFonts w:eastAsia="Times New Roman"/>
          <w:b/>
          <w:sz w:val="24"/>
          <w:szCs w:val="24"/>
          <w:lang w:bidi="cs-CZ"/>
        </w:rPr>
        <w:t>inovativním postupům</w:t>
      </w:r>
      <w:r w:rsidRPr="0090760A">
        <w:rPr>
          <w:rFonts w:eastAsia="Times New Roman"/>
          <w:sz w:val="24"/>
          <w:szCs w:val="24"/>
          <w:lang w:bidi="cs-CZ"/>
        </w:rPr>
        <w:t xml:space="preserve"> vytváření znalostí, což s sebou nese spojení sociálního, fyzického, digitálního, virtuálního a mobilního prostoru pro učení a pochopení toho, jak se učit. Učení založené na dotazování a projektech, na jevech, činnosti zaměřené na aktivaci studentů, učení založené na spolupráci a převrácené učení například vedou k přemýšlivějším a </w:t>
      </w:r>
      <w:proofErr w:type="spellStart"/>
      <w:r w:rsidRPr="0090760A">
        <w:rPr>
          <w:rFonts w:eastAsia="Times New Roman"/>
          <w:sz w:val="24"/>
          <w:szCs w:val="24"/>
          <w:lang w:bidi="cs-CZ"/>
        </w:rPr>
        <w:t>participativnějším</w:t>
      </w:r>
      <w:proofErr w:type="spellEnd"/>
      <w:r w:rsidRPr="0090760A">
        <w:rPr>
          <w:rFonts w:eastAsia="Times New Roman"/>
          <w:sz w:val="24"/>
          <w:szCs w:val="24"/>
          <w:lang w:bidi="cs-CZ"/>
        </w:rPr>
        <w:t xml:space="preserve"> procesům učení. Alternativní způsoby myšlení jsou důležité ve všech tvůrčích činnostech a schopnost uniknout z dané kultury a společnosti je silně spojena s vynalézavou hrou. Jedním možným způsobem, jak zmenšit nebo odstranit mezery mezi inovacemi v technologiích a v pedagogice, je účinněji propojit formální, neformální a informální struktury učení.</w:t>
      </w:r>
    </w:p>
    <w:p w14:paraId="763D0CB7" w14:textId="49CBC917" w:rsidR="0090760A" w:rsidRPr="0090760A" w:rsidRDefault="0090760A" w:rsidP="0090760A">
      <w:pPr>
        <w:jc w:val="both"/>
        <w:rPr>
          <w:rFonts w:eastAsia="Times New Roman"/>
          <w:sz w:val="24"/>
          <w:szCs w:val="24"/>
          <w:lang w:bidi="cs-CZ"/>
        </w:rPr>
      </w:pPr>
      <w:r w:rsidRPr="0090760A">
        <w:rPr>
          <w:rFonts w:eastAsia="Times New Roman"/>
          <w:b/>
          <w:sz w:val="24"/>
          <w:szCs w:val="24"/>
          <w:lang w:bidi="cs-CZ"/>
        </w:rPr>
        <w:t>Celoživotní učení</w:t>
      </w:r>
      <w:r w:rsidRPr="0090760A">
        <w:rPr>
          <w:rFonts w:eastAsia="Times New Roman"/>
          <w:sz w:val="24"/>
          <w:szCs w:val="24"/>
          <w:lang w:bidi="cs-CZ"/>
        </w:rPr>
        <w:t xml:space="preserve"> je nutností pro všechny. Požadavky týkající se učení budou důležitější, přičemž se budou zvyšovat nároky na flexibilitu jednotlivců, podniků a všech systémů vzdělávání a odborné přípravy. Celoživotní učení začíná solidním všeobecným vzděláváním, které je klíčové pro vývoj jednotlivce, jenž jej připravuje na nové a nepředvídatelné výzvy, a pokračuje mnohem déle odborným vzděláváním a informálním učením. Zejména informální učení by mělo být podpořeno harmonizovaným systémem diplomů a norem platným v rámci celé EU a také náležitými společnými nástroji k určení srovnatelnosti a rovnocennosti výsledků učení. Stále důležitější úlohu zde bude hrát mezioborový přístup. </w:t>
      </w:r>
    </w:p>
    <w:p w14:paraId="715D037C" w14:textId="5A628795" w:rsidR="008F214A" w:rsidRPr="0090760A" w:rsidRDefault="0090760A" w:rsidP="0090760A">
      <w:pPr>
        <w:jc w:val="both"/>
        <w:rPr>
          <w:rFonts w:eastAsia="Times New Roman"/>
          <w:sz w:val="24"/>
          <w:szCs w:val="24"/>
          <w:lang w:bidi="cs-CZ"/>
        </w:rPr>
      </w:pPr>
      <w:r w:rsidRPr="0090760A">
        <w:rPr>
          <w:rFonts w:eastAsia="Times New Roman"/>
          <w:b/>
          <w:sz w:val="24"/>
          <w:szCs w:val="24"/>
          <w:lang w:bidi="cs-CZ"/>
        </w:rPr>
        <w:t>Digitální dovednosti</w:t>
      </w:r>
      <w:r w:rsidRPr="0090760A">
        <w:rPr>
          <w:rFonts w:eastAsia="Times New Roman"/>
          <w:sz w:val="24"/>
          <w:szCs w:val="24"/>
          <w:lang w:bidi="cs-CZ"/>
        </w:rPr>
        <w:t xml:space="preserve"> musí být vyučovány co nejdříve. Základní vzdělávání by mělo zahrnovat více interaktivního digitálního učení</w:t>
      </w:r>
      <w:r w:rsidRPr="0090760A">
        <w:rPr>
          <w:rFonts w:eastAsia="Times New Roman"/>
          <w:sz w:val="24"/>
          <w:szCs w:val="24"/>
          <w:vertAlign w:val="superscript"/>
          <w:lang w:bidi="cs-CZ"/>
        </w:rPr>
        <w:footnoteReference w:id="4"/>
      </w:r>
      <w:r w:rsidRPr="0090760A">
        <w:rPr>
          <w:rFonts w:eastAsia="Times New Roman"/>
          <w:sz w:val="24"/>
          <w:szCs w:val="24"/>
          <w:lang w:bidi="cs-CZ"/>
        </w:rPr>
        <w:t xml:space="preserve">. Digitální dovednosti však mohou přesáhnout programování a zahrnovat informovanost o tom, co se skrývá za „kliknutím myší“: pochopení systému, vzájemná propojení, sociální dopad a otázky týkající se soukromí a bezpečnosti. </w:t>
      </w:r>
      <w:r w:rsidR="008F214A">
        <w:rPr>
          <w:rFonts w:eastAsia="Times New Roman"/>
          <w:sz w:val="24"/>
          <w:szCs w:val="24"/>
          <w:lang w:bidi="cs-CZ"/>
        </w:rPr>
        <w:t>Evropský parlament ve svém usnesení o nové agendě dovedností pro Evropu</w:t>
      </w:r>
      <w:r w:rsidR="008F214A">
        <w:rPr>
          <w:rStyle w:val="Znakapoznpodarou"/>
          <w:rFonts w:eastAsia="Times New Roman"/>
          <w:szCs w:val="24"/>
          <w:lang w:bidi="cs-CZ"/>
        </w:rPr>
        <w:footnoteReference w:id="5"/>
      </w:r>
      <w:r w:rsidR="008F214A">
        <w:rPr>
          <w:rFonts w:eastAsia="Times New Roman"/>
          <w:sz w:val="24"/>
          <w:szCs w:val="24"/>
          <w:lang w:bidi="cs-CZ"/>
        </w:rPr>
        <w:t xml:space="preserve"> upozorňuje</w:t>
      </w:r>
      <w:r w:rsidR="00155001">
        <w:rPr>
          <w:rFonts w:eastAsia="Times New Roman"/>
          <w:sz w:val="24"/>
          <w:szCs w:val="24"/>
          <w:lang w:bidi="cs-CZ"/>
        </w:rPr>
        <w:t xml:space="preserve"> na</w:t>
      </w:r>
      <w:r w:rsidR="00155001">
        <w:rPr>
          <w:rFonts w:ascii="inherit" w:hAnsi="inherit" w:cs="Arial"/>
          <w:color w:val="666666"/>
          <w:sz w:val="18"/>
          <w:szCs w:val="18"/>
        </w:rPr>
        <w:t xml:space="preserve"> </w:t>
      </w:r>
      <w:r w:rsidR="00155001" w:rsidRPr="00B21AD9">
        <w:rPr>
          <w:rFonts w:eastAsia="Times New Roman"/>
          <w:sz w:val="24"/>
          <w:szCs w:val="24"/>
          <w:lang w:bidi="cs-CZ"/>
        </w:rPr>
        <w:t>po</w:t>
      </w:r>
      <w:r w:rsidR="008F214A" w:rsidRPr="00B21AD9">
        <w:rPr>
          <w:rFonts w:eastAsia="Times New Roman"/>
          <w:sz w:val="24"/>
          <w:szCs w:val="24"/>
          <w:lang w:bidi="cs-CZ"/>
        </w:rPr>
        <w:t>t</w:t>
      </w:r>
      <w:r w:rsidR="008F214A" w:rsidRPr="00B21AD9">
        <w:rPr>
          <w:rFonts w:eastAsia="Times New Roman" w:hint="eastAsia"/>
          <w:sz w:val="24"/>
          <w:szCs w:val="24"/>
          <w:lang w:bidi="cs-CZ"/>
        </w:rPr>
        <w:t>ř</w:t>
      </w:r>
      <w:r w:rsidR="008F214A" w:rsidRPr="00B21AD9">
        <w:rPr>
          <w:rFonts w:eastAsia="Times New Roman"/>
          <w:sz w:val="24"/>
          <w:szCs w:val="24"/>
          <w:lang w:bidi="cs-CZ"/>
        </w:rPr>
        <w:t>eb</w:t>
      </w:r>
      <w:r w:rsidR="00155001" w:rsidRPr="00B21AD9">
        <w:rPr>
          <w:rFonts w:eastAsia="Times New Roman"/>
          <w:sz w:val="24"/>
          <w:szCs w:val="24"/>
          <w:lang w:bidi="cs-CZ"/>
        </w:rPr>
        <w:t>u za</w:t>
      </w:r>
      <w:r w:rsidR="00155001" w:rsidRPr="00B21AD9">
        <w:rPr>
          <w:rFonts w:eastAsia="Times New Roman" w:hint="eastAsia"/>
          <w:sz w:val="24"/>
          <w:szCs w:val="24"/>
          <w:lang w:bidi="cs-CZ"/>
        </w:rPr>
        <w:t>č</w:t>
      </w:r>
      <w:r w:rsidR="00155001" w:rsidRPr="00B21AD9">
        <w:rPr>
          <w:rFonts w:eastAsia="Times New Roman"/>
          <w:sz w:val="24"/>
          <w:szCs w:val="24"/>
          <w:lang w:bidi="cs-CZ"/>
        </w:rPr>
        <w:t>lenit</w:t>
      </w:r>
      <w:r w:rsidR="008F214A" w:rsidRPr="00B21AD9">
        <w:rPr>
          <w:rFonts w:eastAsia="Times New Roman"/>
          <w:sz w:val="24"/>
          <w:szCs w:val="24"/>
          <w:lang w:bidi="cs-CZ"/>
        </w:rPr>
        <w:t xml:space="preserve"> do proces</w:t>
      </w:r>
      <w:r w:rsidR="008F214A" w:rsidRPr="00B21AD9">
        <w:rPr>
          <w:rFonts w:eastAsia="Times New Roman" w:hint="eastAsia"/>
          <w:sz w:val="24"/>
          <w:szCs w:val="24"/>
          <w:lang w:bidi="cs-CZ"/>
        </w:rPr>
        <w:t>ů</w:t>
      </w:r>
      <w:r w:rsidR="008F214A" w:rsidRPr="00B21AD9">
        <w:rPr>
          <w:rFonts w:eastAsia="Times New Roman"/>
          <w:sz w:val="24"/>
          <w:szCs w:val="24"/>
          <w:lang w:bidi="cs-CZ"/>
        </w:rPr>
        <w:t xml:space="preserve"> v</w:t>
      </w:r>
      <w:r w:rsidR="008F214A" w:rsidRPr="00B21AD9">
        <w:rPr>
          <w:rFonts w:eastAsia="Times New Roman" w:hint="eastAsia"/>
          <w:sz w:val="24"/>
          <w:szCs w:val="24"/>
          <w:lang w:bidi="cs-CZ"/>
        </w:rPr>
        <w:t>ý</w:t>
      </w:r>
      <w:r w:rsidR="008F214A" w:rsidRPr="00B21AD9">
        <w:rPr>
          <w:rFonts w:eastAsia="Times New Roman"/>
          <w:sz w:val="24"/>
          <w:szCs w:val="24"/>
          <w:lang w:bidi="cs-CZ"/>
        </w:rPr>
        <w:t>uky a vzd</w:t>
      </w:r>
      <w:r w:rsidR="008F214A" w:rsidRPr="00B21AD9">
        <w:rPr>
          <w:rFonts w:eastAsia="Times New Roman" w:hint="eastAsia"/>
          <w:sz w:val="24"/>
          <w:szCs w:val="24"/>
          <w:lang w:bidi="cs-CZ"/>
        </w:rPr>
        <w:t>ě</w:t>
      </w:r>
      <w:r w:rsidR="008F214A" w:rsidRPr="00B21AD9">
        <w:rPr>
          <w:rFonts w:eastAsia="Times New Roman"/>
          <w:sz w:val="24"/>
          <w:szCs w:val="24"/>
          <w:lang w:bidi="cs-CZ"/>
        </w:rPr>
        <w:t>l</w:t>
      </w:r>
      <w:r w:rsidR="008F214A" w:rsidRPr="00B21AD9">
        <w:rPr>
          <w:rFonts w:eastAsia="Times New Roman" w:hint="eastAsia"/>
          <w:sz w:val="24"/>
          <w:szCs w:val="24"/>
          <w:lang w:bidi="cs-CZ"/>
        </w:rPr>
        <w:t>á</w:t>
      </w:r>
      <w:r w:rsidR="008F214A" w:rsidRPr="00B21AD9">
        <w:rPr>
          <w:rFonts w:eastAsia="Times New Roman"/>
          <w:sz w:val="24"/>
          <w:szCs w:val="24"/>
          <w:lang w:bidi="cs-CZ"/>
        </w:rPr>
        <w:t>v</w:t>
      </w:r>
      <w:r w:rsidR="008F214A" w:rsidRPr="00B21AD9">
        <w:rPr>
          <w:rFonts w:eastAsia="Times New Roman" w:hint="eastAsia"/>
          <w:sz w:val="24"/>
          <w:szCs w:val="24"/>
          <w:lang w:bidi="cs-CZ"/>
        </w:rPr>
        <w:t>á</w:t>
      </w:r>
      <w:r w:rsidR="008F214A" w:rsidRPr="00B21AD9">
        <w:rPr>
          <w:rFonts w:eastAsia="Times New Roman"/>
          <w:sz w:val="24"/>
          <w:szCs w:val="24"/>
          <w:lang w:bidi="cs-CZ"/>
        </w:rPr>
        <w:t>n</w:t>
      </w:r>
      <w:r w:rsidR="008F214A" w:rsidRPr="00B21AD9">
        <w:rPr>
          <w:rFonts w:eastAsia="Times New Roman" w:hint="eastAsia"/>
          <w:sz w:val="24"/>
          <w:szCs w:val="24"/>
          <w:lang w:bidi="cs-CZ"/>
        </w:rPr>
        <w:t>í</w:t>
      </w:r>
      <w:r w:rsidR="008F214A" w:rsidRPr="00B21AD9">
        <w:rPr>
          <w:rFonts w:eastAsia="Times New Roman"/>
          <w:sz w:val="24"/>
          <w:szCs w:val="24"/>
          <w:lang w:bidi="cs-CZ"/>
        </w:rPr>
        <w:t xml:space="preserve"> nov</w:t>
      </w:r>
      <w:r w:rsidR="008F214A" w:rsidRPr="00B21AD9">
        <w:rPr>
          <w:rFonts w:eastAsia="Times New Roman" w:hint="eastAsia"/>
          <w:sz w:val="24"/>
          <w:szCs w:val="24"/>
          <w:lang w:bidi="cs-CZ"/>
        </w:rPr>
        <w:t>é</w:t>
      </w:r>
      <w:r w:rsidR="008F214A" w:rsidRPr="00B21AD9">
        <w:rPr>
          <w:rFonts w:eastAsia="Times New Roman"/>
          <w:sz w:val="24"/>
          <w:szCs w:val="24"/>
          <w:lang w:bidi="cs-CZ"/>
        </w:rPr>
        <w:t xml:space="preserve"> technologie a zprost</w:t>
      </w:r>
      <w:r w:rsidR="008F214A" w:rsidRPr="00B21AD9">
        <w:rPr>
          <w:rFonts w:eastAsia="Times New Roman" w:hint="eastAsia"/>
          <w:sz w:val="24"/>
          <w:szCs w:val="24"/>
          <w:lang w:bidi="cs-CZ"/>
        </w:rPr>
        <w:t>ř</w:t>
      </w:r>
      <w:r w:rsidR="008F214A" w:rsidRPr="00B21AD9">
        <w:rPr>
          <w:rFonts w:eastAsia="Times New Roman"/>
          <w:sz w:val="24"/>
          <w:szCs w:val="24"/>
          <w:lang w:bidi="cs-CZ"/>
        </w:rPr>
        <w:t xml:space="preserve">edkovat </w:t>
      </w:r>
      <w:r w:rsidR="008F214A" w:rsidRPr="00B21AD9">
        <w:rPr>
          <w:rFonts w:eastAsia="Times New Roman"/>
          <w:sz w:val="24"/>
          <w:szCs w:val="24"/>
          <w:lang w:bidi="cs-CZ"/>
        </w:rPr>
        <w:lastRenderedPageBreak/>
        <w:t>vzd</w:t>
      </w:r>
      <w:r w:rsidR="008F214A" w:rsidRPr="00B21AD9">
        <w:rPr>
          <w:rFonts w:eastAsia="Times New Roman" w:hint="eastAsia"/>
          <w:sz w:val="24"/>
          <w:szCs w:val="24"/>
          <w:lang w:bidi="cs-CZ"/>
        </w:rPr>
        <w:t>ě</w:t>
      </w:r>
      <w:r w:rsidR="008F214A" w:rsidRPr="00B21AD9">
        <w:rPr>
          <w:rFonts w:eastAsia="Times New Roman"/>
          <w:sz w:val="24"/>
          <w:szCs w:val="24"/>
          <w:lang w:bidi="cs-CZ"/>
        </w:rPr>
        <w:t>l</w:t>
      </w:r>
      <w:r w:rsidR="008F214A" w:rsidRPr="00B21AD9">
        <w:rPr>
          <w:rFonts w:eastAsia="Times New Roman" w:hint="eastAsia"/>
          <w:sz w:val="24"/>
          <w:szCs w:val="24"/>
          <w:lang w:bidi="cs-CZ"/>
        </w:rPr>
        <w:t>á</w:t>
      </w:r>
      <w:r w:rsidR="008F214A" w:rsidRPr="00B21AD9">
        <w:rPr>
          <w:rFonts w:eastAsia="Times New Roman"/>
          <w:sz w:val="24"/>
          <w:szCs w:val="24"/>
          <w:lang w:bidi="cs-CZ"/>
        </w:rPr>
        <w:t>v</w:t>
      </w:r>
      <w:r w:rsidR="008F214A" w:rsidRPr="00B21AD9">
        <w:rPr>
          <w:rFonts w:eastAsia="Times New Roman" w:hint="eastAsia"/>
          <w:sz w:val="24"/>
          <w:szCs w:val="24"/>
          <w:lang w:bidi="cs-CZ"/>
        </w:rPr>
        <w:t>á</w:t>
      </w:r>
      <w:r w:rsidR="008F214A" w:rsidRPr="00B21AD9">
        <w:rPr>
          <w:rFonts w:eastAsia="Times New Roman"/>
          <w:sz w:val="24"/>
          <w:szCs w:val="24"/>
          <w:lang w:bidi="cs-CZ"/>
        </w:rPr>
        <w:t>n</w:t>
      </w:r>
      <w:r w:rsidR="008F214A" w:rsidRPr="00B21AD9">
        <w:rPr>
          <w:rFonts w:eastAsia="Times New Roman" w:hint="eastAsia"/>
          <w:sz w:val="24"/>
          <w:szCs w:val="24"/>
          <w:lang w:bidi="cs-CZ"/>
        </w:rPr>
        <w:t>í</w:t>
      </w:r>
      <w:r w:rsidR="008F214A" w:rsidRPr="00B21AD9">
        <w:rPr>
          <w:rFonts w:eastAsia="Times New Roman"/>
          <w:sz w:val="24"/>
          <w:szCs w:val="24"/>
          <w:lang w:bidi="cs-CZ"/>
        </w:rPr>
        <w:t>, p</w:t>
      </w:r>
      <w:r w:rsidR="008F214A" w:rsidRPr="00B21AD9">
        <w:rPr>
          <w:rFonts w:eastAsia="Times New Roman" w:hint="eastAsia"/>
          <w:sz w:val="24"/>
          <w:szCs w:val="24"/>
          <w:lang w:bidi="cs-CZ"/>
        </w:rPr>
        <w:t>ř</w:t>
      </w:r>
      <w:r w:rsidR="008F214A" w:rsidRPr="00B21AD9">
        <w:rPr>
          <w:rFonts w:eastAsia="Times New Roman"/>
          <w:sz w:val="24"/>
          <w:szCs w:val="24"/>
          <w:lang w:bidi="cs-CZ"/>
        </w:rPr>
        <w:t>i kter</w:t>
      </w:r>
      <w:r w:rsidR="008F214A" w:rsidRPr="00B21AD9">
        <w:rPr>
          <w:rFonts w:eastAsia="Times New Roman" w:hint="eastAsia"/>
          <w:sz w:val="24"/>
          <w:szCs w:val="24"/>
          <w:lang w:bidi="cs-CZ"/>
        </w:rPr>
        <w:t>é</w:t>
      </w:r>
      <w:r w:rsidR="008F214A" w:rsidRPr="00B21AD9">
        <w:rPr>
          <w:rFonts w:eastAsia="Times New Roman"/>
          <w:sz w:val="24"/>
          <w:szCs w:val="24"/>
          <w:lang w:bidi="cs-CZ"/>
        </w:rPr>
        <w:t>m by se mohly uplat</w:t>
      </w:r>
      <w:r w:rsidR="008F214A" w:rsidRPr="00B21AD9">
        <w:rPr>
          <w:rFonts w:eastAsia="Times New Roman" w:hint="eastAsia"/>
          <w:sz w:val="24"/>
          <w:szCs w:val="24"/>
          <w:lang w:bidi="cs-CZ"/>
        </w:rPr>
        <w:t>ň</w:t>
      </w:r>
      <w:r w:rsidR="008F214A" w:rsidRPr="00B21AD9">
        <w:rPr>
          <w:rFonts w:eastAsia="Times New Roman"/>
          <w:sz w:val="24"/>
          <w:szCs w:val="24"/>
          <w:lang w:bidi="cs-CZ"/>
        </w:rPr>
        <w:t>ovat p</w:t>
      </w:r>
      <w:r w:rsidR="008F214A" w:rsidRPr="00B21AD9">
        <w:rPr>
          <w:rFonts w:eastAsia="Times New Roman" w:hint="eastAsia"/>
          <w:sz w:val="24"/>
          <w:szCs w:val="24"/>
          <w:lang w:bidi="cs-CZ"/>
        </w:rPr>
        <w:t>ří</w:t>
      </w:r>
      <w:r w:rsidR="008F214A" w:rsidRPr="00B21AD9">
        <w:rPr>
          <w:rFonts w:eastAsia="Times New Roman"/>
          <w:sz w:val="24"/>
          <w:szCs w:val="24"/>
          <w:lang w:bidi="cs-CZ"/>
        </w:rPr>
        <w:t>m</w:t>
      </w:r>
      <w:r w:rsidR="008F214A" w:rsidRPr="00B21AD9">
        <w:rPr>
          <w:rFonts w:eastAsia="Times New Roman" w:hint="eastAsia"/>
          <w:sz w:val="24"/>
          <w:szCs w:val="24"/>
          <w:lang w:bidi="cs-CZ"/>
        </w:rPr>
        <w:t>é</w:t>
      </w:r>
      <w:r w:rsidR="008F214A" w:rsidRPr="00B21AD9">
        <w:rPr>
          <w:rFonts w:eastAsia="Times New Roman"/>
          <w:sz w:val="24"/>
          <w:szCs w:val="24"/>
          <w:lang w:bidi="cs-CZ"/>
        </w:rPr>
        <w:t xml:space="preserve"> zku</w:t>
      </w:r>
      <w:r w:rsidR="008F214A" w:rsidRPr="00B21AD9">
        <w:rPr>
          <w:rFonts w:eastAsia="Times New Roman" w:hint="eastAsia"/>
          <w:sz w:val="24"/>
          <w:szCs w:val="24"/>
          <w:lang w:bidi="cs-CZ"/>
        </w:rPr>
        <w:t>š</w:t>
      </w:r>
      <w:r w:rsidR="008F214A" w:rsidRPr="00B21AD9">
        <w:rPr>
          <w:rFonts w:eastAsia="Times New Roman"/>
          <w:sz w:val="24"/>
          <w:szCs w:val="24"/>
          <w:lang w:bidi="cs-CZ"/>
        </w:rPr>
        <w:t>enosti z re</w:t>
      </w:r>
      <w:r w:rsidR="008F214A" w:rsidRPr="00B21AD9">
        <w:rPr>
          <w:rFonts w:eastAsia="Times New Roman" w:hint="eastAsia"/>
          <w:sz w:val="24"/>
          <w:szCs w:val="24"/>
          <w:lang w:bidi="cs-CZ"/>
        </w:rPr>
        <w:t>á</w:t>
      </w:r>
      <w:r w:rsidR="008F214A" w:rsidRPr="00B21AD9">
        <w:rPr>
          <w:rFonts w:eastAsia="Times New Roman"/>
          <w:sz w:val="24"/>
          <w:szCs w:val="24"/>
          <w:lang w:bidi="cs-CZ"/>
        </w:rPr>
        <w:t>ln</w:t>
      </w:r>
      <w:r w:rsidR="008F214A" w:rsidRPr="00B21AD9">
        <w:rPr>
          <w:rFonts w:eastAsia="Times New Roman" w:hint="eastAsia"/>
          <w:sz w:val="24"/>
          <w:szCs w:val="24"/>
          <w:lang w:bidi="cs-CZ"/>
        </w:rPr>
        <w:t>é</w:t>
      </w:r>
      <w:r w:rsidR="008F214A" w:rsidRPr="00B21AD9">
        <w:rPr>
          <w:rFonts w:eastAsia="Times New Roman"/>
          <w:sz w:val="24"/>
          <w:szCs w:val="24"/>
          <w:lang w:bidi="cs-CZ"/>
        </w:rPr>
        <w:t xml:space="preserve">ho </w:t>
      </w:r>
      <w:r w:rsidR="008F214A" w:rsidRPr="00B21AD9">
        <w:rPr>
          <w:rFonts w:eastAsia="Times New Roman" w:hint="eastAsia"/>
          <w:sz w:val="24"/>
          <w:szCs w:val="24"/>
          <w:lang w:bidi="cs-CZ"/>
        </w:rPr>
        <w:t>ž</w:t>
      </w:r>
      <w:r w:rsidR="008F214A" w:rsidRPr="00B21AD9">
        <w:rPr>
          <w:rFonts w:eastAsia="Times New Roman"/>
          <w:sz w:val="24"/>
          <w:szCs w:val="24"/>
          <w:lang w:bidi="cs-CZ"/>
        </w:rPr>
        <w:t>ivota</w:t>
      </w:r>
      <w:r w:rsidR="00155001">
        <w:rPr>
          <w:rFonts w:eastAsia="Times New Roman"/>
          <w:sz w:val="24"/>
          <w:szCs w:val="24"/>
          <w:lang w:bidi="cs-CZ"/>
        </w:rPr>
        <w:t xml:space="preserve">. Dodává, že </w:t>
      </w:r>
      <w:r w:rsidR="008F214A" w:rsidRPr="00B21AD9">
        <w:rPr>
          <w:rFonts w:eastAsia="Times New Roman"/>
          <w:sz w:val="24"/>
          <w:szCs w:val="24"/>
          <w:lang w:bidi="cs-CZ"/>
        </w:rPr>
        <w:t>je t</w:t>
      </w:r>
      <w:r w:rsidR="008F214A" w:rsidRPr="00B21AD9">
        <w:rPr>
          <w:rFonts w:eastAsia="Times New Roman" w:hint="eastAsia"/>
          <w:sz w:val="24"/>
          <w:szCs w:val="24"/>
          <w:lang w:bidi="cs-CZ"/>
        </w:rPr>
        <w:t>ř</w:t>
      </w:r>
      <w:r w:rsidR="008F214A" w:rsidRPr="00B21AD9">
        <w:rPr>
          <w:rFonts w:eastAsia="Times New Roman"/>
          <w:sz w:val="24"/>
          <w:szCs w:val="24"/>
          <w:lang w:bidi="cs-CZ"/>
        </w:rPr>
        <w:t>eba osnovy pro v</w:t>
      </w:r>
      <w:r w:rsidR="008F214A" w:rsidRPr="00B21AD9">
        <w:rPr>
          <w:rFonts w:eastAsia="Times New Roman" w:hint="eastAsia"/>
          <w:sz w:val="24"/>
          <w:szCs w:val="24"/>
          <w:lang w:bidi="cs-CZ"/>
        </w:rPr>
        <w:t>ý</w:t>
      </w:r>
      <w:r w:rsidR="008F214A" w:rsidRPr="00B21AD9">
        <w:rPr>
          <w:rFonts w:eastAsia="Times New Roman"/>
          <w:sz w:val="24"/>
          <w:szCs w:val="24"/>
          <w:lang w:bidi="cs-CZ"/>
        </w:rPr>
        <w:t>uku zam</w:t>
      </w:r>
      <w:r w:rsidR="008F214A" w:rsidRPr="00B21AD9">
        <w:rPr>
          <w:rFonts w:eastAsia="Times New Roman" w:hint="eastAsia"/>
          <w:sz w:val="24"/>
          <w:szCs w:val="24"/>
          <w:lang w:bidi="cs-CZ"/>
        </w:rPr>
        <w:t>ěř</w:t>
      </w:r>
      <w:r w:rsidR="008F214A" w:rsidRPr="00B21AD9">
        <w:rPr>
          <w:rFonts w:eastAsia="Times New Roman"/>
          <w:sz w:val="24"/>
          <w:szCs w:val="24"/>
          <w:lang w:bidi="cs-CZ"/>
        </w:rPr>
        <w:t>enou na IKT a sd</w:t>
      </w:r>
      <w:r w:rsidR="008F214A" w:rsidRPr="00B21AD9">
        <w:rPr>
          <w:rFonts w:eastAsia="Times New Roman" w:hint="eastAsia"/>
          <w:sz w:val="24"/>
          <w:szCs w:val="24"/>
          <w:lang w:bidi="cs-CZ"/>
        </w:rPr>
        <w:t>ě</w:t>
      </w:r>
      <w:r w:rsidR="008F214A" w:rsidRPr="00B21AD9">
        <w:rPr>
          <w:rFonts w:eastAsia="Times New Roman"/>
          <w:sz w:val="24"/>
          <w:szCs w:val="24"/>
          <w:lang w:bidi="cs-CZ"/>
        </w:rPr>
        <w:t>lovac</w:t>
      </w:r>
      <w:r w:rsidR="008F214A" w:rsidRPr="00B21AD9">
        <w:rPr>
          <w:rFonts w:eastAsia="Times New Roman" w:hint="eastAsia"/>
          <w:sz w:val="24"/>
          <w:szCs w:val="24"/>
          <w:lang w:bidi="cs-CZ"/>
        </w:rPr>
        <w:t>í</w:t>
      </w:r>
      <w:r w:rsidR="008F214A" w:rsidRPr="00B21AD9">
        <w:rPr>
          <w:rFonts w:eastAsia="Times New Roman"/>
          <w:sz w:val="24"/>
          <w:szCs w:val="24"/>
          <w:lang w:bidi="cs-CZ"/>
        </w:rPr>
        <w:t xml:space="preserve"> prost</w:t>
      </w:r>
      <w:r w:rsidR="008F214A" w:rsidRPr="00B21AD9">
        <w:rPr>
          <w:rFonts w:eastAsia="Times New Roman" w:hint="eastAsia"/>
          <w:sz w:val="24"/>
          <w:szCs w:val="24"/>
          <w:lang w:bidi="cs-CZ"/>
        </w:rPr>
        <w:t>ř</w:t>
      </w:r>
      <w:r w:rsidR="008F214A" w:rsidRPr="00B21AD9">
        <w:rPr>
          <w:rFonts w:eastAsia="Times New Roman"/>
          <w:sz w:val="24"/>
          <w:szCs w:val="24"/>
          <w:lang w:bidi="cs-CZ"/>
        </w:rPr>
        <w:t>edky p</w:t>
      </w:r>
      <w:r w:rsidR="008F214A" w:rsidRPr="00B21AD9">
        <w:rPr>
          <w:rFonts w:eastAsia="Times New Roman" w:hint="eastAsia"/>
          <w:sz w:val="24"/>
          <w:szCs w:val="24"/>
          <w:lang w:bidi="cs-CZ"/>
        </w:rPr>
        <w:t>ř</w:t>
      </w:r>
      <w:r w:rsidR="008F214A" w:rsidRPr="00B21AD9">
        <w:rPr>
          <w:rFonts w:eastAsia="Times New Roman"/>
          <w:sz w:val="24"/>
          <w:szCs w:val="24"/>
          <w:lang w:bidi="cs-CZ"/>
        </w:rPr>
        <w:t>izp</w:t>
      </w:r>
      <w:r w:rsidR="008F214A" w:rsidRPr="00B21AD9">
        <w:rPr>
          <w:rFonts w:eastAsia="Times New Roman" w:hint="eastAsia"/>
          <w:sz w:val="24"/>
          <w:szCs w:val="24"/>
          <w:lang w:bidi="cs-CZ"/>
        </w:rPr>
        <w:t>ů</w:t>
      </w:r>
      <w:r w:rsidR="008F214A" w:rsidRPr="00B21AD9">
        <w:rPr>
          <w:rFonts w:eastAsia="Times New Roman"/>
          <w:sz w:val="24"/>
          <w:szCs w:val="24"/>
          <w:lang w:bidi="cs-CZ"/>
        </w:rPr>
        <w:t>sobit v</w:t>
      </w:r>
      <w:r w:rsidR="008F214A" w:rsidRPr="00B21AD9">
        <w:rPr>
          <w:rFonts w:eastAsia="Times New Roman" w:hint="eastAsia"/>
          <w:sz w:val="24"/>
          <w:szCs w:val="24"/>
          <w:lang w:bidi="cs-CZ"/>
        </w:rPr>
        <w:t>ě</w:t>
      </w:r>
      <w:r w:rsidR="008F214A" w:rsidRPr="00B21AD9">
        <w:rPr>
          <w:rFonts w:eastAsia="Times New Roman"/>
          <w:sz w:val="24"/>
          <w:szCs w:val="24"/>
          <w:lang w:bidi="cs-CZ"/>
        </w:rPr>
        <w:t>ku, zohled</w:t>
      </w:r>
      <w:r w:rsidR="008F214A" w:rsidRPr="00B21AD9">
        <w:rPr>
          <w:rFonts w:eastAsia="Times New Roman" w:hint="eastAsia"/>
          <w:sz w:val="24"/>
          <w:szCs w:val="24"/>
          <w:lang w:bidi="cs-CZ"/>
        </w:rPr>
        <w:t>ň</w:t>
      </w:r>
      <w:r w:rsidR="008F214A" w:rsidRPr="00B21AD9">
        <w:rPr>
          <w:rFonts w:eastAsia="Times New Roman"/>
          <w:sz w:val="24"/>
          <w:szCs w:val="24"/>
          <w:lang w:bidi="cs-CZ"/>
        </w:rPr>
        <w:t>ovat v</w:t>
      </w:r>
      <w:r w:rsidR="008F214A" w:rsidRPr="00B21AD9">
        <w:rPr>
          <w:rFonts w:eastAsia="Times New Roman" w:hint="eastAsia"/>
          <w:sz w:val="24"/>
          <w:szCs w:val="24"/>
          <w:lang w:bidi="cs-CZ"/>
        </w:rPr>
        <w:t>ý</w:t>
      </w:r>
      <w:r w:rsidR="008F214A" w:rsidRPr="00B21AD9">
        <w:rPr>
          <w:rFonts w:eastAsia="Times New Roman"/>
          <w:sz w:val="24"/>
          <w:szCs w:val="24"/>
          <w:lang w:bidi="cs-CZ"/>
        </w:rPr>
        <w:t>voj a zdrav</w:t>
      </w:r>
      <w:r w:rsidR="008F214A" w:rsidRPr="00B21AD9">
        <w:rPr>
          <w:rFonts w:eastAsia="Times New Roman" w:hint="eastAsia"/>
          <w:sz w:val="24"/>
          <w:szCs w:val="24"/>
          <w:lang w:bidi="cs-CZ"/>
        </w:rPr>
        <w:t>í</w:t>
      </w:r>
      <w:r w:rsidR="008F214A" w:rsidRPr="00B21AD9">
        <w:rPr>
          <w:rFonts w:eastAsia="Times New Roman"/>
          <w:sz w:val="24"/>
          <w:szCs w:val="24"/>
          <w:lang w:bidi="cs-CZ"/>
        </w:rPr>
        <w:t xml:space="preserve"> d</w:t>
      </w:r>
      <w:r w:rsidR="008F214A" w:rsidRPr="00B21AD9">
        <w:rPr>
          <w:rFonts w:eastAsia="Times New Roman" w:hint="eastAsia"/>
          <w:sz w:val="24"/>
          <w:szCs w:val="24"/>
          <w:lang w:bidi="cs-CZ"/>
        </w:rPr>
        <w:t>í</w:t>
      </w:r>
      <w:r w:rsidR="008F214A" w:rsidRPr="00B21AD9">
        <w:rPr>
          <w:rFonts w:eastAsia="Times New Roman"/>
          <w:sz w:val="24"/>
          <w:szCs w:val="24"/>
          <w:lang w:bidi="cs-CZ"/>
        </w:rPr>
        <w:t>t</w:t>
      </w:r>
      <w:r w:rsidR="008F214A" w:rsidRPr="00B21AD9">
        <w:rPr>
          <w:rFonts w:eastAsia="Times New Roman" w:hint="eastAsia"/>
          <w:sz w:val="24"/>
          <w:szCs w:val="24"/>
          <w:lang w:bidi="cs-CZ"/>
        </w:rPr>
        <w:t>ě</w:t>
      </w:r>
      <w:r w:rsidR="008F214A" w:rsidRPr="00B21AD9">
        <w:rPr>
          <w:rFonts w:eastAsia="Times New Roman"/>
          <w:sz w:val="24"/>
          <w:szCs w:val="24"/>
          <w:lang w:bidi="cs-CZ"/>
        </w:rPr>
        <w:t>te a v</w:t>
      </w:r>
      <w:r w:rsidR="008F214A" w:rsidRPr="00B21AD9">
        <w:rPr>
          <w:rFonts w:eastAsia="Times New Roman" w:hint="eastAsia"/>
          <w:sz w:val="24"/>
          <w:szCs w:val="24"/>
          <w:lang w:bidi="cs-CZ"/>
        </w:rPr>
        <w:t>č</w:t>
      </w:r>
      <w:r w:rsidR="008F214A" w:rsidRPr="00B21AD9">
        <w:rPr>
          <w:rFonts w:eastAsia="Times New Roman"/>
          <w:sz w:val="24"/>
          <w:szCs w:val="24"/>
          <w:lang w:bidi="cs-CZ"/>
        </w:rPr>
        <w:t>as za</w:t>
      </w:r>
      <w:r w:rsidR="008F214A" w:rsidRPr="00B21AD9">
        <w:rPr>
          <w:rFonts w:eastAsia="Times New Roman" w:hint="eastAsia"/>
          <w:sz w:val="24"/>
          <w:szCs w:val="24"/>
          <w:lang w:bidi="cs-CZ"/>
        </w:rPr>
        <w:t>čí</w:t>
      </w:r>
      <w:r w:rsidR="008F214A" w:rsidRPr="00B21AD9">
        <w:rPr>
          <w:rFonts w:eastAsia="Times New Roman"/>
          <w:sz w:val="24"/>
          <w:szCs w:val="24"/>
          <w:lang w:bidi="cs-CZ"/>
        </w:rPr>
        <w:t>t s veden</w:t>
      </w:r>
      <w:r w:rsidR="008F214A" w:rsidRPr="00B21AD9">
        <w:rPr>
          <w:rFonts w:eastAsia="Times New Roman" w:hint="eastAsia"/>
          <w:sz w:val="24"/>
          <w:szCs w:val="24"/>
          <w:lang w:bidi="cs-CZ"/>
        </w:rPr>
        <w:t>í</w:t>
      </w:r>
      <w:r w:rsidR="008F214A" w:rsidRPr="00B21AD9">
        <w:rPr>
          <w:rFonts w:eastAsia="Times New Roman"/>
          <w:sz w:val="24"/>
          <w:szCs w:val="24"/>
          <w:lang w:bidi="cs-CZ"/>
        </w:rPr>
        <w:t>m k zodpov</w:t>
      </w:r>
      <w:r w:rsidR="008F214A" w:rsidRPr="00B21AD9">
        <w:rPr>
          <w:rFonts w:eastAsia="Times New Roman" w:hint="eastAsia"/>
          <w:sz w:val="24"/>
          <w:szCs w:val="24"/>
          <w:lang w:bidi="cs-CZ"/>
        </w:rPr>
        <w:t>ě</w:t>
      </w:r>
      <w:r w:rsidR="008F214A" w:rsidRPr="00B21AD9">
        <w:rPr>
          <w:rFonts w:eastAsia="Times New Roman"/>
          <w:sz w:val="24"/>
          <w:szCs w:val="24"/>
          <w:lang w:bidi="cs-CZ"/>
        </w:rPr>
        <w:t>dn</w:t>
      </w:r>
      <w:r w:rsidR="008F214A" w:rsidRPr="00B21AD9">
        <w:rPr>
          <w:rFonts w:eastAsia="Times New Roman" w:hint="eastAsia"/>
          <w:sz w:val="24"/>
          <w:szCs w:val="24"/>
          <w:lang w:bidi="cs-CZ"/>
        </w:rPr>
        <w:t>é</w:t>
      </w:r>
      <w:r w:rsidR="008F214A" w:rsidRPr="00B21AD9">
        <w:rPr>
          <w:rFonts w:eastAsia="Times New Roman"/>
          <w:sz w:val="24"/>
          <w:szCs w:val="24"/>
          <w:lang w:bidi="cs-CZ"/>
        </w:rPr>
        <w:t>mu vyu</w:t>
      </w:r>
      <w:r w:rsidR="008F214A" w:rsidRPr="00B21AD9">
        <w:rPr>
          <w:rFonts w:eastAsia="Times New Roman" w:hint="eastAsia"/>
          <w:sz w:val="24"/>
          <w:szCs w:val="24"/>
          <w:lang w:bidi="cs-CZ"/>
        </w:rPr>
        <w:t>ží</w:t>
      </w:r>
      <w:r w:rsidR="008F214A" w:rsidRPr="00B21AD9">
        <w:rPr>
          <w:rFonts w:eastAsia="Times New Roman"/>
          <w:sz w:val="24"/>
          <w:szCs w:val="24"/>
          <w:lang w:bidi="cs-CZ"/>
        </w:rPr>
        <w:t>v</w:t>
      </w:r>
      <w:r w:rsidR="008F214A" w:rsidRPr="00B21AD9">
        <w:rPr>
          <w:rFonts w:eastAsia="Times New Roman" w:hint="eastAsia"/>
          <w:sz w:val="24"/>
          <w:szCs w:val="24"/>
          <w:lang w:bidi="cs-CZ"/>
        </w:rPr>
        <w:t>á</w:t>
      </w:r>
      <w:r w:rsidR="008F214A" w:rsidRPr="00B21AD9">
        <w:rPr>
          <w:rFonts w:eastAsia="Times New Roman"/>
          <w:sz w:val="24"/>
          <w:szCs w:val="24"/>
          <w:lang w:bidi="cs-CZ"/>
        </w:rPr>
        <w:t>n</w:t>
      </w:r>
      <w:r w:rsidR="008F214A" w:rsidRPr="00B21AD9">
        <w:rPr>
          <w:rFonts w:eastAsia="Times New Roman" w:hint="eastAsia"/>
          <w:sz w:val="24"/>
          <w:szCs w:val="24"/>
          <w:lang w:bidi="cs-CZ"/>
        </w:rPr>
        <w:t>í</w:t>
      </w:r>
      <w:r w:rsidR="008F214A" w:rsidRPr="00B21AD9">
        <w:rPr>
          <w:rFonts w:eastAsia="Times New Roman"/>
          <w:sz w:val="24"/>
          <w:szCs w:val="24"/>
          <w:lang w:bidi="cs-CZ"/>
        </w:rPr>
        <w:t xml:space="preserve"> technologi</w:t>
      </w:r>
      <w:r w:rsidR="008F214A" w:rsidRPr="00B21AD9">
        <w:rPr>
          <w:rFonts w:eastAsia="Times New Roman" w:hint="eastAsia"/>
          <w:sz w:val="24"/>
          <w:szCs w:val="24"/>
          <w:lang w:bidi="cs-CZ"/>
        </w:rPr>
        <w:t>í</w:t>
      </w:r>
      <w:r w:rsidR="008F214A" w:rsidRPr="00B21AD9">
        <w:rPr>
          <w:rFonts w:eastAsia="Times New Roman"/>
          <w:sz w:val="24"/>
          <w:szCs w:val="24"/>
          <w:lang w:bidi="cs-CZ"/>
        </w:rPr>
        <w:t xml:space="preserve"> a pos</w:t>
      </w:r>
      <w:r w:rsidR="008F214A" w:rsidRPr="00B21AD9">
        <w:rPr>
          <w:rFonts w:eastAsia="Times New Roman" w:hint="eastAsia"/>
          <w:sz w:val="24"/>
          <w:szCs w:val="24"/>
          <w:lang w:bidi="cs-CZ"/>
        </w:rPr>
        <w:t>í</w:t>
      </w:r>
      <w:r w:rsidR="008F214A" w:rsidRPr="00B21AD9">
        <w:rPr>
          <w:rFonts w:eastAsia="Times New Roman"/>
          <w:sz w:val="24"/>
          <w:szCs w:val="24"/>
          <w:lang w:bidi="cs-CZ"/>
        </w:rPr>
        <w:t>len</w:t>
      </w:r>
      <w:r w:rsidR="008F214A" w:rsidRPr="00B21AD9">
        <w:rPr>
          <w:rFonts w:eastAsia="Times New Roman" w:hint="eastAsia"/>
          <w:sz w:val="24"/>
          <w:szCs w:val="24"/>
          <w:lang w:bidi="cs-CZ"/>
        </w:rPr>
        <w:t>í</w:t>
      </w:r>
      <w:r w:rsidR="008F214A" w:rsidRPr="00B21AD9">
        <w:rPr>
          <w:rFonts w:eastAsia="Times New Roman"/>
          <w:sz w:val="24"/>
          <w:szCs w:val="24"/>
          <w:lang w:bidi="cs-CZ"/>
        </w:rPr>
        <w:t>m kritick</w:t>
      </w:r>
      <w:r w:rsidR="008F214A" w:rsidRPr="00B21AD9">
        <w:rPr>
          <w:rFonts w:eastAsia="Times New Roman" w:hint="eastAsia"/>
          <w:sz w:val="24"/>
          <w:szCs w:val="24"/>
          <w:lang w:bidi="cs-CZ"/>
        </w:rPr>
        <w:t>é</w:t>
      </w:r>
      <w:r w:rsidR="008F214A" w:rsidRPr="00B21AD9">
        <w:rPr>
          <w:rFonts w:eastAsia="Times New Roman"/>
          <w:sz w:val="24"/>
          <w:szCs w:val="24"/>
          <w:lang w:bidi="cs-CZ"/>
        </w:rPr>
        <w:t>ho my</w:t>
      </w:r>
      <w:r w:rsidR="008F214A" w:rsidRPr="00B21AD9">
        <w:rPr>
          <w:rFonts w:eastAsia="Times New Roman" w:hint="eastAsia"/>
          <w:sz w:val="24"/>
          <w:szCs w:val="24"/>
          <w:lang w:bidi="cs-CZ"/>
        </w:rPr>
        <w:t>š</w:t>
      </w:r>
      <w:r w:rsidR="008F214A" w:rsidRPr="00B21AD9">
        <w:rPr>
          <w:rFonts w:eastAsia="Times New Roman"/>
          <w:sz w:val="24"/>
          <w:szCs w:val="24"/>
          <w:lang w:bidi="cs-CZ"/>
        </w:rPr>
        <w:t>len</w:t>
      </w:r>
      <w:r w:rsidR="008F214A" w:rsidRPr="00B21AD9">
        <w:rPr>
          <w:rFonts w:eastAsia="Times New Roman" w:hint="eastAsia"/>
          <w:sz w:val="24"/>
          <w:szCs w:val="24"/>
          <w:lang w:bidi="cs-CZ"/>
        </w:rPr>
        <w:t>í</w:t>
      </w:r>
      <w:r w:rsidR="00155001">
        <w:rPr>
          <w:rFonts w:eastAsia="Times New Roman"/>
          <w:sz w:val="24"/>
          <w:szCs w:val="24"/>
          <w:lang w:bidi="cs-CZ"/>
        </w:rPr>
        <w:t>. Klade také důraz na podporu žen – dívek ve studiu IKT.</w:t>
      </w:r>
    </w:p>
    <w:p w14:paraId="0300223F" w14:textId="3485D5AB" w:rsidR="0090760A" w:rsidRPr="0090760A" w:rsidRDefault="0090760A" w:rsidP="0090760A">
      <w:pPr>
        <w:jc w:val="both"/>
        <w:rPr>
          <w:rFonts w:eastAsia="Times New Roman"/>
          <w:sz w:val="24"/>
          <w:szCs w:val="24"/>
          <w:lang w:bidi="cs-CZ"/>
        </w:rPr>
      </w:pPr>
      <w:r w:rsidRPr="0090760A">
        <w:rPr>
          <w:rFonts w:eastAsia="Times New Roman"/>
          <w:sz w:val="24"/>
          <w:szCs w:val="24"/>
          <w:lang w:bidi="cs-CZ"/>
        </w:rPr>
        <w:t xml:space="preserve">Stále důležitější úlohu budou hrát </w:t>
      </w:r>
      <w:r w:rsidRPr="0090760A">
        <w:rPr>
          <w:rFonts w:eastAsia="Times New Roman"/>
          <w:b/>
          <w:sz w:val="24"/>
          <w:szCs w:val="24"/>
          <w:lang w:bidi="cs-CZ"/>
        </w:rPr>
        <w:t>pedagogové a učitelé,</w:t>
      </w:r>
      <w:r w:rsidRPr="0090760A">
        <w:rPr>
          <w:rFonts w:eastAsia="Times New Roman"/>
          <w:sz w:val="24"/>
          <w:szCs w:val="24"/>
          <w:lang w:bidi="cs-CZ"/>
        </w:rPr>
        <w:t xml:space="preserve"> a jejich schopnosti se tedy budou muset přizpůsobit novým přístupům, technologiím a znalostem v novém vzdělávacím prostředí. Kvalitativní příprava pedagogů se proto stane klíčovou, stejně jako jejich status z hlediska profesní flexibility, odměny, sociálních záruk atd. Aby došlo ke změně v kvalitě evropského systému vzdělávání, doporučuje EHSV následovat současné úspěšné příklady v rámci EU</w:t>
      </w:r>
      <w:r w:rsidRPr="0090760A">
        <w:rPr>
          <w:rFonts w:eastAsia="Times New Roman"/>
          <w:sz w:val="24"/>
          <w:szCs w:val="24"/>
          <w:vertAlign w:val="superscript"/>
          <w:lang w:bidi="cs-CZ"/>
        </w:rPr>
        <w:footnoteReference w:id="6"/>
      </w:r>
      <w:r w:rsidRPr="0090760A">
        <w:rPr>
          <w:rFonts w:eastAsia="Times New Roman"/>
          <w:sz w:val="24"/>
          <w:szCs w:val="24"/>
          <w:lang w:bidi="cs-CZ"/>
        </w:rPr>
        <w:t>.</w:t>
      </w:r>
    </w:p>
    <w:p w14:paraId="1016CBEB" w14:textId="352E2FAC" w:rsidR="0090760A" w:rsidRPr="0090760A" w:rsidRDefault="0090760A" w:rsidP="0090760A">
      <w:pPr>
        <w:jc w:val="both"/>
        <w:rPr>
          <w:rFonts w:eastAsia="Times New Roman"/>
          <w:sz w:val="24"/>
          <w:szCs w:val="24"/>
          <w:lang w:bidi="cs-CZ"/>
        </w:rPr>
      </w:pPr>
      <w:r w:rsidRPr="0090760A">
        <w:rPr>
          <w:rFonts w:eastAsia="Times New Roman"/>
          <w:b/>
          <w:sz w:val="24"/>
          <w:szCs w:val="24"/>
          <w:lang w:bidi="cs-CZ"/>
        </w:rPr>
        <w:t>Digitální řešení</w:t>
      </w:r>
      <w:r w:rsidRPr="0090760A">
        <w:rPr>
          <w:rFonts w:eastAsia="Times New Roman"/>
          <w:sz w:val="24"/>
          <w:szCs w:val="24"/>
          <w:lang w:bidi="cs-CZ"/>
        </w:rPr>
        <w:t xml:space="preserve"> hrají významnou úlohu v přeměně a podpoře výuky, přičemž vedou k většímu zapojení studentů a lepším výsledkům</w:t>
      </w:r>
      <w:r w:rsidRPr="0090760A">
        <w:rPr>
          <w:rFonts w:eastAsia="Times New Roman"/>
          <w:sz w:val="24"/>
          <w:szCs w:val="24"/>
          <w:vertAlign w:val="superscript"/>
          <w:lang w:bidi="cs-CZ"/>
        </w:rPr>
        <w:footnoteReference w:id="7"/>
      </w:r>
      <w:r w:rsidRPr="0090760A">
        <w:rPr>
          <w:rFonts w:eastAsia="Times New Roman"/>
          <w:sz w:val="24"/>
          <w:szCs w:val="24"/>
          <w:lang w:bidi="cs-CZ"/>
        </w:rPr>
        <w:t>. Učitelé a pedagogové nejsou náležitě připraveni a nedostávají nezbytnou podporu ve věci účinného využívání technologií a učení se od ostatních, mj. od svých studentů, zatímco čelí rostoucí administrativní práci. Výbor tudíž požaduje investice do multimodálního, vícevrstevného výchozího a pokračujícího profesního rozvoje učitelů a dalších pedagogů, včetně rodičů.</w:t>
      </w:r>
    </w:p>
    <w:p w14:paraId="01668EE8" w14:textId="47E7AA42" w:rsidR="0090760A" w:rsidRPr="0090760A" w:rsidRDefault="0090760A" w:rsidP="0090760A">
      <w:pPr>
        <w:jc w:val="both"/>
        <w:rPr>
          <w:rFonts w:eastAsia="Times New Roman"/>
          <w:sz w:val="24"/>
          <w:szCs w:val="24"/>
          <w:lang w:bidi="cs-CZ"/>
        </w:rPr>
      </w:pPr>
      <w:r w:rsidRPr="0090760A">
        <w:rPr>
          <w:rFonts w:eastAsia="Times New Roman"/>
          <w:sz w:val="24"/>
          <w:szCs w:val="24"/>
          <w:lang w:bidi="cs-CZ"/>
        </w:rPr>
        <w:t xml:space="preserve">Kromě pomoci subjektům formálního vzdělávání v jejich snahách stát se poskytovateli celoživotního vzdělávání je třeba poskytnout další podporu </w:t>
      </w:r>
      <w:r w:rsidRPr="0090760A">
        <w:rPr>
          <w:rFonts w:eastAsia="Times New Roman"/>
          <w:b/>
          <w:sz w:val="24"/>
          <w:szCs w:val="24"/>
          <w:lang w:bidi="cs-CZ"/>
        </w:rPr>
        <w:t>poskytovatelům neformálního vzdělávání</w:t>
      </w:r>
      <w:r w:rsidRPr="0090760A">
        <w:rPr>
          <w:rFonts w:eastAsia="Times New Roman"/>
          <w:sz w:val="24"/>
          <w:szCs w:val="24"/>
          <w:lang w:bidi="cs-CZ"/>
        </w:rPr>
        <w:t>. Mají nejlepší pozici pro to, aby oslovili znevýhodněné a zranitelné skupiny, a mohou zaručit právo osob na příležitosti v oblasti celoživotního učení, včetně možnosti uznat znalosti získané pomocí digitálních, online a otevřených studijních zdrojů a nástrojů a pomocí různých metod hodnocení a sebehodnocení, formativních a souhrnných metod.</w:t>
      </w:r>
    </w:p>
    <w:p w14:paraId="4A03166D" w14:textId="1D7B787A" w:rsidR="0090760A" w:rsidRPr="0090760A" w:rsidRDefault="0090760A" w:rsidP="0090760A">
      <w:pPr>
        <w:jc w:val="both"/>
        <w:rPr>
          <w:rFonts w:eastAsia="Times New Roman"/>
          <w:sz w:val="24"/>
          <w:szCs w:val="24"/>
          <w:lang w:bidi="cs-CZ"/>
        </w:rPr>
      </w:pPr>
      <w:r w:rsidRPr="0090760A">
        <w:rPr>
          <w:rFonts w:eastAsia="Times New Roman"/>
          <w:sz w:val="24"/>
          <w:szCs w:val="24"/>
          <w:lang w:bidi="cs-CZ"/>
        </w:rPr>
        <w:t xml:space="preserve">Kromě potenciálu zlepšit procesy výuky a učení mohou digitální technologie rovněž podpořit </w:t>
      </w:r>
      <w:r w:rsidRPr="0090760A">
        <w:rPr>
          <w:rFonts w:eastAsia="Times New Roman"/>
          <w:b/>
          <w:sz w:val="24"/>
          <w:szCs w:val="24"/>
          <w:lang w:bidi="cs-CZ"/>
        </w:rPr>
        <w:t>nové metody hodnocení</w:t>
      </w:r>
      <w:r w:rsidRPr="0090760A">
        <w:rPr>
          <w:rFonts w:eastAsia="Times New Roman"/>
          <w:sz w:val="24"/>
          <w:szCs w:val="24"/>
          <w:lang w:bidi="cs-CZ"/>
        </w:rPr>
        <w:t>, včetně sebehodnocení, které mohou doplnit tradiční souhrnné přístupy. Konkrétně jde o metody, jež zajistí, že hodnocení bude nedílnou součástí učení, a to prostřednictvím umělé inteligence, strojové inteligence, analýzy učení a nových způsobů propojování hodnocení s výukovými materiály. Využití analytických technologií umožňuje rychlou cyklickou zpětnou vazbu, díky níž je možné provádět hodnocení v reálném čase, a přispět tak k individuálně přizpůsobenému učení.</w:t>
      </w:r>
    </w:p>
    <w:p w14:paraId="738021F8" w14:textId="77777777" w:rsidR="0090760A" w:rsidRDefault="0090760A" w:rsidP="0090760A">
      <w:pPr>
        <w:jc w:val="both"/>
        <w:rPr>
          <w:rFonts w:eastAsia="Times New Roman"/>
          <w:sz w:val="24"/>
          <w:szCs w:val="24"/>
          <w:lang w:bidi="cs-CZ"/>
        </w:rPr>
      </w:pPr>
      <w:r w:rsidRPr="0090760A">
        <w:rPr>
          <w:rFonts w:eastAsia="Times New Roman"/>
          <w:sz w:val="24"/>
          <w:szCs w:val="24"/>
          <w:lang w:bidi="cs-CZ"/>
        </w:rPr>
        <w:lastRenderedPageBreak/>
        <w:t xml:space="preserve">V oblasti vědy a výzkumu na úrovni vysokých škol je v důsledku digitalizace všech oblastí výzkumu nezbytné čelit obrovskému množství vědeckých údajů. Vhodná datová infrastruktura (na vnitrostátní a mezinárodní úrovni) umožní přístup k těmto údajům a jejich analýzu na dálku. Zatímco Evropa má v plánu zajistit infrastrukturu potřebnou ke zrychlení vědy a inovací, odhaduje se, že v Evropě bude do roku 2025 zapotřebí půl milionu </w:t>
      </w:r>
      <w:r w:rsidRPr="0090760A">
        <w:rPr>
          <w:rFonts w:eastAsia="Times New Roman"/>
          <w:b/>
          <w:sz w:val="24"/>
          <w:szCs w:val="24"/>
          <w:lang w:bidi="cs-CZ"/>
        </w:rPr>
        <w:t>odborníků v oblasti dat</w:t>
      </w:r>
      <w:r w:rsidRPr="0090760A">
        <w:rPr>
          <w:rFonts w:eastAsia="Times New Roman"/>
          <w:sz w:val="24"/>
          <w:szCs w:val="24"/>
          <w:vertAlign w:val="superscript"/>
          <w:lang w:bidi="cs-CZ"/>
        </w:rPr>
        <w:footnoteReference w:id="8"/>
      </w:r>
      <w:r w:rsidRPr="0090760A">
        <w:rPr>
          <w:rFonts w:eastAsia="Times New Roman"/>
          <w:sz w:val="24"/>
          <w:szCs w:val="24"/>
          <w:lang w:bidi="cs-CZ"/>
        </w:rPr>
        <w:t>. Evropa musí vyvinout intenzivní úsilí, aby vytvořila takové odborné znalosti týkající se základních údajů. V tomto ohledu hraje významnou úlohu špičkové vnitrostátní vzdělávání, které musí být doplněno evropskými programy, jako je Erasmus+ a akce „Marie Curie-</w:t>
      </w:r>
      <w:proofErr w:type="spellStart"/>
      <w:r w:rsidRPr="0090760A">
        <w:rPr>
          <w:rFonts w:eastAsia="Times New Roman"/>
          <w:sz w:val="24"/>
          <w:szCs w:val="24"/>
          <w:lang w:bidi="cs-CZ"/>
        </w:rPr>
        <w:t>Skłodowská</w:t>
      </w:r>
      <w:proofErr w:type="spellEnd"/>
      <w:r w:rsidRPr="0090760A">
        <w:rPr>
          <w:rFonts w:eastAsia="Times New Roman"/>
          <w:sz w:val="24"/>
          <w:szCs w:val="24"/>
          <w:lang w:bidi="cs-CZ"/>
        </w:rPr>
        <w:t>“.</w:t>
      </w:r>
    </w:p>
    <w:p w14:paraId="049C00D9" w14:textId="77777777" w:rsidR="00452AE5" w:rsidRPr="0090760A" w:rsidRDefault="00452AE5" w:rsidP="0090760A">
      <w:pPr>
        <w:jc w:val="both"/>
        <w:rPr>
          <w:rFonts w:eastAsia="Times New Roman"/>
          <w:sz w:val="24"/>
          <w:szCs w:val="24"/>
          <w:lang w:bidi="cs-CZ"/>
        </w:rPr>
      </w:pPr>
    </w:p>
    <w:p w14:paraId="71D7F341" w14:textId="50FC7F88" w:rsidR="00452AE5" w:rsidRDefault="00ED2876" w:rsidP="00452AE5">
      <w:pPr>
        <w:pStyle w:val="Nadpis2"/>
        <w:rPr>
          <w:shd w:val="clear" w:color="auto" w:fill="FFFFFF"/>
        </w:rPr>
      </w:pPr>
      <w:bookmarkStart w:id="13" w:name="_Toc493513455"/>
      <w:r>
        <w:rPr>
          <w:shd w:val="clear" w:color="auto" w:fill="FFFFFF"/>
        </w:rPr>
        <w:t xml:space="preserve">Modernizace vzdělávání </w:t>
      </w:r>
      <w:r w:rsidR="00452AE5">
        <w:rPr>
          <w:shd w:val="clear" w:color="auto" w:fill="FFFFFF"/>
        </w:rPr>
        <w:t>v Evropě i v ČR</w:t>
      </w:r>
      <w:bookmarkEnd w:id="13"/>
    </w:p>
    <w:p w14:paraId="566A562A" w14:textId="77777777" w:rsidR="00452AE5" w:rsidRPr="00452AE5" w:rsidRDefault="00452AE5" w:rsidP="00452AE5"/>
    <w:p w14:paraId="0AEE5700" w14:textId="34A9D644" w:rsidR="00452AE5" w:rsidRPr="00452AE5" w:rsidRDefault="00452AE5" w:rsidP="00452AE5">
      <w:pPr>
        <w:jc w:val="both"/>
        <w:rPr>
          <w:rFonts w:ascii="Open Sans" w:hAnsi="Open Sans" w:cs="Open Sans"/>
          <w:color w:val="000000"/>
          <w:sz w:val="24"/>
          <w:szCs w:val="24"/>
          <w:shd w:val="clear" w:color="auto" w:fill="FFFFFF"/>
        </w:rPr>
      </w:pPr>
      <w:r w:rsidRPr="00452AE5">
        <w:rPr>
          <w:sz w:val="24"/>
          <w:szCs w:val="24"/>
        </w:rPr>
        <w:t>V reakci na dvě nové iniciativy E</w:t>
      </w:r>
      <w:r w:rsidR="00155001">
        <w:rPr>
          <w:sz w:val="24"/>
          <w:szCs w:val="24"/>
        </w:rPr>
        <w:t>vropské komise</w:t>
      </w:r>
      <w:r w:rsidRPr="00452AE5">
        <w:rPr>
          <w:sz w:val="24"/>
          <w:szCs w:val="24"/>
        </w:rPr>
        <w:t xml:space="preserve"> a na politiky členských států obecněji se zde zaměřujeme na následující tři průřezové priority pro školy a vysokoškolské vzdělávání.</w:t>
      </w:r>
    </w:p>
    <w:p w14:paraId="434A0B69" w14:textId="77777777" w:rsidR="00452AE5" w:rsidRPr="00452AE5" w:rsidRDefault="00452AE5" w:rsidP="00452AE5">
      <w:pPr>
        <w:jc w:val="both"/>
        <w:rPr>
          <w:rFonts w:eastAsia="Calibri"/>
          <w:b/>
          <w:sz w:val="24"/>
          <w:szCs w:val="24"/>
        </w:rPr>
      </w:pPr>
      <w:r w:rsidRPr="00452AE5">
        <w:rPr>
          <w:b/>
          <w:sz w:val="24"/>
          <w:szCs w:val="24"/>
        </w:rPr>
        <w:t xml:space="preserve">Základní odborné dovednosti („hard </w:t>
      </w:r>
      <w:proofErr w:type="spellStart"/>
      <w:r w:rsidRPr="00452AE5">
        <w:rPr>
          <w:b/>
          <w:sz w:val="24"/>
          <w:szCs w:val="24"/>
        </w:rPr>
        <w:t>skills</w:t>
      </w:r>
      <w:proofErr w:type="spellEnd"/>
      <w:r w:rsidRPr="00452AE5">
        <w:rPr>
          <w:b/>
          <w:sz w:val="24"/>
          <w:szCs w:val="24"/>
        </w:rPr>
        <w:t xml:space="preserve">“) jsou nezbytné, nicméně nejinak tomu je v případě sociálních („soft </w:t>
      </w:r>
      <w:proofErr w:type="spellStart"/>
      <w:r w:rsidRPr="00452AE5">
        <w:rPr>
          <w:b/>
          <w:sz w:val="24"/>
          <w:szCs w:val="24"/>
        </w:rPr>
        <w:t>skills</w:t>
      </w:r>
      <w:proofErr w:type="spellEnd"/>
      <w:r w:rsidRPr="00452AE5">
        <w:rPr>
          <w:b/>
          <w:sz w:val="24"/>
          <w:szCs w:val="24"/>
        </w:rPr>
        <w:t>“) a průřezových dovednosti, kompetencí a znalostí.</w:t>
      </w:r>
    </w:p>
    <w:p w14:paraId="160DEFDB" w14:textId="2C87600A" w:rsidR="00452AE5" w:rsidRPr="00452AE5" w:rsidRDefault="00EA51DC" w:rsidP="00452AE5">
      <w:pPr>
        <w:jc w:val="both"/>
        <w:rPr>
          <w:rFonts w:eastAsia="Calibri"/>
          <w:sz w:val="24"/>
          <w:szCs w:val="24"/>
        </w:rPr>
      </w:pPr>
      <w:r>
        <w:rPr>
          <w:sz w:val="24"/>
          <w:szCs w:val="24"/>
        </w:rPr>
        <w:t xml:space="preserve">Je </w:t>
      </w:r>
      <w:r w:rsidR="00452AE5" w:rsidRPr="00452AE5">
        <w:rPr>
          <w:sz w:val="24"/>
          <w:szCs w:val="24"/>
        </w:rPr>
        <w:t>důležité, aby Komise zajistila, že členské státy přijmou holistickou definici potřeb studentů, tj. včetně odborných a sociálních dovedností, jakož i kompetencí a interdisciplinárních znalostí</w:t>
      </w:r>
      <w:r w:rsidR="00155001">
        <w:rPr>
          <w:sz w:val="24"/>
          <w:szCs w:val="24"/>
        </w:rPr>
        <w:t>.</w:t>
      </w:r>
      <w:r w:rsidR="00452AE5" w:rsidRPr="00452AE5">
        <w:rPr>
          <w:sz w:val="24"/>
          <w:szCs w:val="24"/>
        </w:rPr>
        <w:t xml:space="preserve"> Tyto tři aspekty by měly pokrývat nejen schopnosti potřebné k</w:t>
      </w:r>
      <w:r w:rsidR="00155001">
        <w:rPr>
          <w:sz w:val="24"/>
          <w:szCs w:val="24"/>
        </w:rPr>
        <w:t> </w:t>
      </w:r>
      <w:r w:rsidR="00452AE5" w:rsidRPr="00452AE5">
        <w:rPr>
          <w:sz w:val="24"/>
          <w:szCs w:val="24"/>
        </w:rPr>
        <w:t>práci, ale také zahrnovat širší účel osobního rozvoje všech jednotlivců v</w:t>
      </w:r>
      <w:r w:rsidR="00155001">
        <w:rPr>
          <w:sz w:val="24"/>
          <w:szCs w:val="24"/>
        </w:rPr>
        <w:t> </w:t>
      </w:r>
      <w:r w:rsidR="00452AE5" w:rsidRPr="00452AE5">
        <w:rPr>
          <w:sz w:val="24"/>
          <w:szCs w:val="24"/>
        </w:rPr>
        <w:t>průběhu jejich života. Vzdělávací reformy, především v</w:t>
      </w:r>
      <w:r w:rsidR="00155001">
        <w:rPr>
          <w:sz w:val="24"/>
          <w:szCs w:val="24"/>
        </w:rPr>
        <w:t> </w:t>
      </w:r>
      <w:r w:rsidR="00452AE5" w:rsidRPr="00452AE5">
        <w:rPr>
          <w:sz w:val="24"/>
          <w:szCs w:val="24"/>
        </w:rPr>
        <w:t>systémech vysokoškolského vzdělávání, se tedy také musí soustředit na to, jak lépe pěstovat aktivní občanství, posílení postavení mladých lidí a znalosti o tom, jak EU funguje a jaké přináší výhody. Je vhodné si připomenout, že vzdělávání samo o sobě nemůže vyřešit socioekonomické nerovnosti, jelikož předpokladem pro udržitelnější řešení jsou součinnosti s</w:t>
      </w:r>
      <w:r w:rsidR="00155001">
        <w:rPr>
          <w:sz w:val="24"/>
          <w:szCs w:val="24"/>
        </w:rPr>
        <w:t> </w:t>
      </w:r>
      <w:r w:rsidR="00452AE5" w:rsidRPr="00452AE5">
        <w:rPr>
          <w:sz w:val="24"/>
          <w:szCs w:val="24"/>
        </w:rPr>
        <w:t>doplňkovými politikami v</w:t>
      </w:r>
      <w:r w:rsidR="00155001">
        <w:rPr>
          <w:sz w:val="24"/>
          <w:szCs w:val="24"/>
        </w:rPr>
        <w:t> </w:t>
      </w:r>
      <w:r w:rsidR="00452AE5" w:rsidRPr="00452AE5">
        <w:rPr>
          <w:sz w:val="24"/>
          <w:szCs w:val="24"/>
        </w:rPr>
        <w:t>sociální oblasti a oblasti zaměstnání.</w:t>
      </w:r>
    </w:p>
    <w:p w14:paraId="2ABE6028" w14:textId="63A990A1" w:rsidR="00452AE5" w:rsidRPr="00452AE5" w:rsidRDefault="00452AE5" w:rsidP="00452AE5">
      <w:pPr>
        <w:jc w:val="both"/>
        <w:rPr>
          <w:rFonts w:eastAsia="Calibri"/>
          <w:sz w:val="24"/>
          <w:szCs w:val="24"/>
        </w:rPr>
      </w:pPr>
      <w:r w:rsidRPr="00452AE5">
        <w:rPr>
          <w:sz w:val="24"/>
          <w:szCs w:val="24"/>
        </w:rPr>
        <w:t>Zvláštní pozornost by měla být věnována rozvoji takzvaných sociálních dovedností, jelikož si jich zaměstnavatelé čím dál více cení</w:t>
      </w:r>
      <w:r w:rsidR="00155001">
        <w:rPr>
          <w:sz w:val="24"/>
          <w:szCs w:val="24"/>
        </w:rPr>
        <w:t>,</w:t>
      </w:r>
      <w:r w:rsidRPr="00452AE5">
        <w:rPr>
          <w:sz w:val="24"/>
          <w:szCs w:val="24"/>
        </w:rPr>
        <w:t xml:space="preserve"> a protože jsou také užitečné mimo pracovní prostředí. EHSV proto podporuje opatření, jako ta uvedená ve sdělení Komise: projekty na posouzení </w:t>
      </w:r>
      <w:r w:rsidRPr="00452AE5">
        <w:rPr>
          <w:sz w:val="24"/>
          <w:szCs w:val="24"/>
        </w:rPr>
        <w:lastRenderedPageBreak/>
        <w:t>kreativity, spolupráce při řešení problémů</w:t>
      </w:r>
      <w:r w:rsidRPr="00452AE5">
        <w:rPr>
          <w:rStyle w:val="Znakapoznpodarou"/>
          <w:szCs w:val="24"/>
        </w:rPr>
        <w:footnoteReference w:id="9"/>
      </w:r>
      <w:r w:rsidRPr="00452AE5">
        <w:rPr>
          <w:sz w:val="24"/>
          <w:szCs w:val="24"/>
        </w:rPr>
        <w:t xml:space="preserve"> a kritické myšlení. Tvůrcům politik se musí dostat odpovídající podpory a odborné přípravy, aby pochopili celý rozměr těchto dovedností.</w:t>
      </w:r>
    </w:p>
    <w:p w14:paraId="74244251" w14:textId="0CD285A2" w:rsidR="00452AE5" w:rsidRPr="00452AE5" w:rsidRDefault="00155001" w:rsidP="00452AE5">
      <w:pPr>
        <w:jc w:val="both"/>
        <w:rPr>
          <w:sz w:val="24"/>
          <w:szCs w:val="24"/>
        </w:rPr>
      </w:pPr>
      <w:r>
        <w:rPr>
          <w:sz w:val="24"/>
          <w:szCs w:val="24"/>
        </w:rPr>
        <w:t xml:space="preserve">Základem nastavení potřebných programů vzdělávání a tedy zajištění, že absolventi budou mít potřebné kvalifikace, je </w:t>
      </w:r>
      <w:r w:rsidR="00452AE5" w:rsidRPr="00452AE5">
        <w:rPr>
          <w:sz w:val="24"/>
          <w:szCs w:val="24"/>
        </w:rPr>
        <w:t>spolupráce mezi univerzitami a světem práce, avšak ten by se neměl omezovat pouze na podnikatelský sektor. K budování partnerství mezi podniky a vzdělávacími institucemi by nemělo docházet čistě na základě kritéria, zda mladí lidé jsou, nebo nejsou „přímo zaměstnatelní“. Podniky musejí mít možnost plně využívat lidského potenciálu prostřednictvím mobilizace správných dovedností a vytváření nových příležitostí, které přináší digitální revoluce, a to všem věkovým skupinám. A podniky by měly podporovat mladé lidi, aby pokračovali ve své odborné přípravě i po vstupu do světa práce. Vzdělávání je nepřetržitý proces a v omezeném počtu let formálního vzdělávání nelze uspokojit všechny potřeby.</w:t>
      </w:r>
    </w:p>
    <w:p w14:paraId="61515F2B" w14:textId="035D590B" w:rsidR="00452AE5" w:rsidRPr="00452AE5" w:rsidRDefault="00452AE5" w:rsidP="00452AE5">
      <w:pPr>
        <w:jc w:val="both"/>
        <w:rPr>
          <w:sz w:val="24"/>
          <w:szCs w:val="24"/>
        </w:rPr>
      </w:pPr>
      <w:r w:rsidRPr="00452AE5">
        <w:rPr>
          <w:sz w:val="24"/>
          <w:szCs w:val="24"/>
        </w:rPr>
        <w:t>Jak EHSV poukázal</w:t>
      </w:r>
      <w:r w:rsidR="005912EC">
        <w:rPr>
          <w:sz w:val="24"/>
          <w:szCs w:val="24"/>
        </w:rPr>
        <w:t xml:space="preserve"> ve svém stanovisku</w:t>
      </w:r>
      <w:r w:rsidRPr="00452AE5">
        <w:rPr>
          <w:sz w:val="24"/>
          <w:szCs w:val="24"/>
        </w:rPr>
        <w:t>, je třeba „podporovat zavádění duálních systémů vzdělávání a odborné přípravy, propojujících výuku ve třídě s praxí na pracovišti a současně zvyšovat povědomí vzdělávacích institucí a podniků o významu těchto iniciativ“</w:t>
      </w:r>
      <w:r w:rsidRPr="00452AE5">
        <w:rPr>
          <w:rStyle w:val="Znakapoznpodarou"/>
          <w:szCs w:val="24"/>
        </w:rPr>
        <w:footnoteReference w:id="10"/>
      </w:r>
      <w:r w:rsidRPr="00452AE5">
        <w:rPr>
          <w:sz w:val="24"/>
          <w:szCs w:val="24"/>
        </w:rPr>
        <w:t>. Pracovní zkušenosti studentů škol a užší vazby mezi školami, průmyslem, univerzitami a výzkumem jsou klíčové pro utváření kvalifikované a udržitelné zaměstnanosti mladých lidí.</w:t>
      </w:r>
      <w:r w:rsidR="00155001">
        <w:rPr>
          <w:sz w:val="24"/>
          <w:szCs w:val="24"/>
        </w:rPr>
        <w:t xml:space="preserve"> Podobně jako EHSV podpořil i Evropský parlament ve svém zářijovém usnesení o agendě dovedností pro Evropu, duální systém</w:t>
      </w:r>
      <w:r w:rsidR="005912EC">
        <w:rPr>
          <w:sz w:val="24"/>
          <w:szCs w:val="24"/>
        </w:rPr>
        <w:t>. Z</w:t>
      </w:r>
      <w:r w:rsidR="005912EC">
        <w:rPr>
          <w:sz w:val="23"/>
          <w:szCs w:val="23"/>
        </w:rPr>
        <w:t xml:space="preserve">důrazňuje však, že systém, který se používá v jednom členském státě, nelze slepě okopírovat v jiném členském státě, proto vybízí k výměně osvědčených modelů. </w:t>
      </w:r>
      <w:r w:rsidR="00155001">
        <w:rPr>
          <w:sz w:val="24"/>
          <w:szCs w:val="24"/>
        </w:rPr>
        <w:t xml:space="preserve"> </w:t>
      </w:r>
    </w:p>
    <w:p w14:paraId="2D1DE176" w14:textId="07628094" w:rsidR="00452AE5" w:rsidRPr="00452AE5" w:rsidRDefault="00452AE5" w:rsidP="00452AE5">
      <w:pPr>
        <w:jc w:val="both"/>
        <w:rPr>
          <w:rFonts w:eastAsia="Calibri"/>
          <w:b/>
          <w:sz w:val="24"/>
          <w:szCs w:val="24"/>
        </w:rPr>
      </w:pPr>
      <w:r w:rsidRPr="00452AE5">
        <w:rPr>
          <w:b/>
          <w:sz w:val="24"/>
          <w:szCs w:val="24"/>
        </w:rPr>
        <w:t>Nové pedagogické koncepty pro vysoce kvalitní vyučování a celoživotní učení</w:t>
      </w:r>
    </w:p>
    <w:p w14:paraId="550284F4" w14:textId="7CC8CEDA" w:rsidR="00452AE5" w:rsidRPr="00452AE5" w:rsidRDefault="00452AE5" w:rsidP="00452AE5">
      <w:pPr>
        <w:jc w:val="both"/>
        <w:rPr>
          <w:rFonts w:eastAsia="Calibri"/>
          <w:sz w:val="24"/>
          <w:szCs w:val="24"/>
        </w:rPr>
      </w:pPr>
      <w:r w:rsidRPr="00452AE5">
        <w:rPr>
          <w:sz w:val="24"/>
          <w:szCs w:val="24"/>
        </w:rPr>
        <w:t xml:space="preserve">V „době digitálního vzdělávání“ je třeba využívat technologie ve vzdělávání s rozmyslem. Naučit se </w:t>
      </w:r>
      <w:r>
        <w:rPr>
          <w:sz w:val="24"/>
          <w:szCs w:val="24"/>
        </w:rPr>
        <w:t>programovat</w:t>
      </w:r>
      <w:r w:rsidRPr="00452AE5">
        <w:rPr>
          <w:sz w:val="24"/>
          <w:szCs w:val="24"/>
        </w:rPr>
        <w:t xml:space="preserve"> není samo o sobě cílem. Pokroky v digitálním vzdělávání by měly mladým lidem pomoci jasněji rozlišit mezi informacemi a znalostmi a rozvíjet kritické myšlení, odpovídající mediální gramotnost a naučit je například rozeznat fale</w:t>
      </w:r>
      <w:r>
        <w:rPr>
          <w:sz w:val="24"/>
          <w:szCs w:val="24"/>
        </w:rPr>
        <w:t>šné zprávy nebo chránit své souk</w:t>
      </w:r>
      <w:r w:rsidRPr="00452AE5">
        <w:rPr>
          <w:sz w:val="24"/>
          <w:szCs w:val="24"/>
        </w:rPr>
        <w:t xml:space="preserve">romí na internetu. </w:t>
      </w:r>
    </w:p>
    <w:p w14:paraId="6C1939DD" w14:textId="3EB4721D" w:rsidR="00452AE5" w:rsidRPr="00452AE5" w:rsidRDefault="00452AE5" w:rsidP="00452AE5">
      <w:pPr>
        <w:jc w:val="both"/>
        <w:rPr>
          <w:rFonts w:eastAsia="Calibri"/>
          <w:sz w:val="24"/>
          <w:szCs w:val="24"/>
        </w:rPr>
      </w:pPr>
      <w:r w:rsidRPr="00452AE5">
        <w:rPr>
          <w:sz w:val="24"/>
          <w:szCs w:val="24"/>
        </w:rPr>
        <w:t xml:space="preserve">Přestože se sdělení zaměřuje na školy a vysokoškolské vzdělávání, nebyla věnována dostatečná pozornost spolupráci a vazbám mezi formálním, neformálním a informálním </w:t>
      </w:r>
      <w:r w:rsidRPr="00452AE5">
        <w:rPr>
          <w:sz w:val="24"/>
          <w:szCs w:val="24"/>
        </w:rPr>
        <w:lastRenderedPageBreak/>
        <w:t>učením, jak podtrhují závěry Rady z roku 2012</w:t>
      </w:r>
      <w:r w:rsidRPr="00452AE5">
        <w:rPr>
          <w:rStyle w:val="Znakapoznpodarou"/>
          <w:szCs w:val="24"/>
        </w:rPr>
        <w:footnoteReference w:id="11"/>
      </w:r>
      <w:r w:rsidRPr="00452AE5">
        <w:rPr>
          <w:sz w:val="24"/>
          <w:szCs w:val="24"/>
        </w:rPr>
        <w:t xml:space="preserve"> k tématu „Partnerství a flexibilní formy celoživotního rozvoje dovedností“. I v současné době zavedla komplexní strategii celoživotního učení pouze polovina členských států EU</w:t>
      </w:r>
      <w:r w:rsidRPr="00452AE5">
        <w:rPr>
          <w:rStyle w:val="Znakapoznpodarou"/>
          <w:szCs w:val="24"/>
        </w:rPr>
        <w:footnoteReference w:id="12"/>
      </w:r>
      <w:r w:rsidRPr="00452AE5">
        <w:rPr>
          <w:sz w:val="24"/>
          <w:szCs w:val="24"/>
        </w:rPr>
        <w:t>. V této souvislosti mohou být technologie také prospěšné, a to pro diverzifikaci přístupů ke vzdělávání.</w:t>
      </w:r>
    </w:p>
    <w:p w14:paraId="596AF1D4" w14:textId="2B8A922F" w:rsidR="00452AE5" w:rsidRPr="00452AE5" w:rsidRDefault="00452AE5" w:rsidP="00452AE5">
      <w:pPr>
        <w:jc w:val="both"/>
        <w:rPr>
          <w:rFonts w:eastAsia="Calibri"/>
          <w:sz w:val="24"/>
          <w:szCs w:val="24"/>
        </w:rPr>
      </w:pPr>
      <w:r w:rsidRPr="00452AE5">
        <w:rPr>
          <w:sz w:val="24"/>
          <w:szCs w:val="24"/>
        </w:rPr>
        <w:t xml:space="preserve">Komise se po léta soustředila na rozvoj sítí EU a podporu spolupráce za účelem výměny osvědčených postupů a vzájemného učení, ale bylo by také zajímavé změřit, jak moc vzdělavatelé tyto nástroje a mechanismy ve skutečnosti využívají. Je velmi pravděpodobné, že mnoho učitelů a vzdělavatelů neví o všech zdrojích podpory, financování a odborné přípravy, které jsou jim na úrovni EU k dispozici. Lepší budování kapacit a lepší pracovní podmínky učitelů jsou jedněmi z největších výzev, kterým členské státy čelí. </w:t>
      </w:r>
    </w:p>
    <w:p w14:paraId="13171296" w14:textId="2F2DAF86" w:rsidR="00452AE5" w:rsidRPr="00452AE5" w:rsidRDefault="00452AE5" w:rsidP="00452AE5">
      <w:pPr>
        <w:jc w:val="both"/>
        <w:rPr>
          <w:rFonts w:eastAsia="Calibri"/>
          <w:sz w:val="24"/>
          <w:szCs w:val="24"/>
        </w:rPr>
      </w:pPr>
      <w:r w:rsidRPr="00452AE5">
        <w:rPr>
          <w:sz w:val="24"/>
          <w:szCs w:val="24"/>
        </w:rPr>
        <w:t>V návaznosti na doporučení Komise musí členské státy podpořit vzdělavatele a učitele v celoživotním učení a také posílit jejich mobilitu prostřednictvím program</w:t>
      </w:r>
      <w:r w:rsidR="005912EC">
        <w:rPr>
          <w:sz w:val="24"/>
          <w:szCs w:val="24"/>
        </w:rPr>
        <w:t>u</w:t>
      </w:r>
      <w:r w:rsidRPr="00452AE5">
        <w:rPr>
          <w:sz w:val="24"/>
          <w:szCs w:val="24"/>
        </w:rPr>
        <w:t xml:space="preserve"> Erasmus+. Zvláštní pozornost je nutné věnovat zlepšování participativních aspektů vyučování, jelikož se to ukázalo jako velmi dobrý pedagogický postup, který studentům umožňuje získávat znalosti a rozvíjet určité průřezové dovednosti, například komunikaci. Znamenalo by to významný posun od vzdělávání zaměřeného na učitele směrem k vyučování zaměřenému na studenta.</w:t>
      </w:r>
    </w:p>
    <w:p w14:paraId="2302F749" w14:textId="5153F31E" w:rsidR="00452AE5" w:rsidRPr="00452AE5" w:rsidRDefault="00452AE5" w:rsidP="00452AE5">
      <w:pPr>
        <w:jc w:val="both"/>
        <w:rPr>
          <w:rFonts w:eastAsia="Calibri"/>
          <w:b/>
          <w:sz w:val="24"/>
          <w:szCs w:val="24"/>
        </w:rPr>
      </w:pPr>
      <w:r w:rsidRPr="00452AE5">
        <w:rPr>
          <w:b/>
          <w:sz w:val="24"/>
          <w:szCs w:val="24"/>
        </w:rPr>
        <w:t>Podnikatelské učení prostřednictvím sociálních projektů</w:t>
      </w:r>
    </w:p>
    <w:p w14:paraId="6E17125F" w14:textId="6EDDBB4C" w:rsidR="00452AE5" w:rsidRPr="00452AE5" w:rsidRDefault="00452AE5" w:rsidP="00452AE5">
      <w:pPr>
        <w:jc w:val="both"/>
        <w:rPr>
          <w:rFonts w:eastAsia="Calibri"/>
          <w:sz w:val="24"/>
          <w:szCs w:val="24"/>
        </w:rPr>
      </w:pPr>
      <w:r w:rsidRPr="00452AE5">
        <w:rPr>
          <w:sz w:val="24"/>
          <w:szCs w:val="24"/>
        </w:rPr>
        <w:t>Vzdělávání musí prohlubovat klíčové kompetence, dovednosti a postoje, které jsou zapotřebí pro úspěch v životě po dokončení formálního vzdělání. Jde například o týmovou práci nebo řízení projektů. Tento nový soubor dovedností by nejen pomohl zlepšit zaměstnatelnost, ale také by zlepšil schopnost budoucích dospělých vytvářeti si svá vlastní pracovní místa individuálně i kolektivně. Činnostní a zážitkové učení jsou alternativními přístupy k učení, které mohou zvyšovat schopnost udržet si znalosti a jsou užitečnější při rozvoji praktických dovedností oproti odbornosti v konkrétním předmětu.</w:t>
      </w:r>
    </w:p>
    <w:p w14:paraId="641FFA74" w14:textId="1A478ECE" w:rsidR="00452AE5" w:rsidRPr="00452AE5" w:rsidRDefault="005912EC" w:rsidP="00452AE5">
      <w:pPr>
        <w:jc w:val="both"/>
        <w:rPr>
          <w:rFonts w:eastAsia="Calibri"/>
          <w:sz w:val="24"/>
          <w:szCs w:val="24"/>
        </w:rPr>
      </w:pPr>
      <w:r>
        <w:rPr>
          <w:sz w:val="24"/>
          <w:szCs w:val="24"/>
        </w:rPr>
        <w:t>D</w:t>
      </w:r>
      <w:r w:rsidR="00452AE5" w:rsidRPr="00452AE5">
        <w:rPr>
          <w:sz w:val="24"/>
          <w:szCs w:val="24"/>
        </w:rPr>
        <w:t xml:space="preserve">ůležité </w:t>
      </w:r>
      <w:r>
        <w:rPr>
          <w:sz w:val="24"/>
          <w:szCs w:val="24"/>
        </w:rPr>
        <w:t xml:space="preserve">je </w:t>
      </w:r>
      <w:r w:rsidR="00452AE5" w:rsidRPr="00452AE5">
        <w:rPr>
          <w:sz w:val="24"/>
          <w:szCs w:val="24"/>
        </w:rPr>
        <w:t xml:space="preserve">zaujmout komplexní přístup k podnikání a využít přitom nového rámce </w:t>
      </w:r>
      <w:hyperlink r:id="rId8">
        <w:proofErr w:type="spellStart"/>
        <w:r w:rsidR="00452AE5" w:rsidRPr="00452AE5">
          <w:rPr>
            <w:rStyle w:val="Hypertextovodkaz"/>
            <w:sz w:val="24"/>
            <w:szCs w:val="24"/>
          </w:rPr>
          <w:t>EntreComp</w:t>
        </w:r>
        <w:proofErr w:type="spellEnd"/>
      </w:hyperlink>
      <w:r w:rsidR="00452AE5" w:rsidRPr="00452AE5">
        <w:rPr>
          <w:sz w:val="24"/>
          <w:szCs w:val="24"/>
        </w:rPr>
        <w:t xml:space="preserve">. Ideální příležitostí pro nabývání těchto dovedností a potřebného postoje je rozvoj sociálních projektů uvnitř škol i mimo ně, který rovněž přispívá k lepším vazbám na další vzdělávací prostředí. V tomto ohledu musí být pro členské státy klíčová podpora iniciativy Evropského sboru solidarity pro mladé lidi ve školách a ve vysokoškolském </w:t>
      </w:r>
      <w:r w:rsidR="00452AE5" w:rsidRPr="00452AE5">
        <w:rPr>
          <w:sz w:val="24"/>
          <w:szCs w:val="24"/>
        </w:rPr>
        <w:lastRenderedPageBreak/>
        <w:t>vzdělávání. Navíc narůstá zájem o sociální podnikání, které představuje jeden ze způsobů, jak si mladí lidé mohou splnit svoji touhu po smysluplnějším zaměstn</w:t>
      </w:r>
      <w:r>
        <w:rPr>
          <w:sz w:val="24"/>
          <w:szCs w:val="24"/>
        </w:rPr>
        <w:t>á</w:t>
      </w:r>
      <w:r w:rsidR="00452AE5" w:rsidRPr="00452AE5">
        <w:rPr>
          <w:sz w:val="24"/>
          <w:szCs w:val="24"/>
        </w:rPr>
        <w:t xml:space="preserve">ní. </w:t>
      </w:r>
    </w:p>
    <w:p w14:paraId="308908C3" w14:textId="18944B34" w:rsidR="00452AE5" w:rsidRPr="00452AE5" w:rsidRDefault="00452AE5" w:rsidP="00452AE5">
      <w:pPr>
        <w:jc w:val="both"/>
        <w:rPr>
          <w:sz w:val="24"/>
          <w:szCs w:val="24"/>
        </w:rPr>
      </w:pPr>
      <w:r>
        <w:rPr>
          <w:sz w:val="24"/>
          <w:szCs w:val="24"/>
        </w:rPr>
        <w:t xml:space="preserve">Jak již </w:t>
      </w:r>
      <w:r w:rsidRPr="00452AE5">
        <w:rPr>
          <w:sz w:val="24"/>
          <w:szCs w:val="24"/>
        </w:rPr>
        <w:t>zdůraznil</w:t>
      </w:r>
      <w:r>
        <w:rPr>
          <w:sz w:val="24"/>
          <w:szCs w:val="24"/>
        </w:rPr>
        <w:t xml:space="preserve"> například EHSV</w:t>
      </w:r>
      <w:r w:rsidRPr="00452AE5">
        <w:rPr>
          <w:sz w:val="24"/>
          <w:szCs w:val="24"/>
        </w:rPr>
        <w:t>, podnikatelská výchova napříč Evropou, napříč osnovami a jako součást celoživotního učení i nadále vyžaduje skutečné odhodlání ze strany tvůrců rozhodnutí. Je třeba oceňovat a podporovat ambice, tvořivost a podnikavost a nezaměňovat je s podnikatelskou činností nebo tvorbou zisku. Tvořivost se rozvíjí učením ve formálních a neformálních systémech. Vzdělavatelé musí být plně zapojeni, aby bylo předáno správné sdělení. Učitelé se mohou stavět zamítavě k úzké definici podnikání, jako např. v začínajících podnicích, ale vstřícněji akceptovat širší pojetí podnikavosti jako klíčové kompetence pro život. K začlenění „podnikatelského ducha“ do školního prostředí lze využít „schodiště k podnikání“ (</w:t>
      </w:r>
      <w:proofErr w:type="spellStart"/>
      <w:r w:rsidRPr="00452AE5">
        <w:rPr>
          <w:sz w:val="24"/>
          <w:szCs w:val="24"/>
        </w:rPr>
        <w:t>entrepreneurial</w:t>
      </w:r>
      <w:proofErr w:type="spellEnd"/>
      <w:r w:rsidRPr="00452AE5">
        <w:rPr>
          <w:sz w:val="24"/>
          <w:szCs w:val="24"/>
        </w:rPr>
        <w:t xml:space="preserve"> </w:t>
      </w:r>
      <w:proofErr w:type="spellStart"/>
      <w:r w:rsidRPr="00452AE5">
        <w:rPr>
          <w:sz w:val="24"/>
          <w:szCs w:val="24"/>
        </w:rPr>
        <w:t>staircase</w:t>
      </w:r>
      <w:proofErr w:type="spellEnd"/>
      <w:r w:rsidRPr="00452AE5">
        <w:rPr>
          <w:sz w:val="24"/>
          <w:szCs w:val="24"/>
        </w:rPr>
        <w:t>) k rozvíjení aktivit a výuky</w:t>
      </w:r>
      <w:r w:rsidRPr="00452AE5">
        <w:rPr>
          <w:rStyle w:val="Znakapoznpodarou"/>
          <w:szCs w:val="24"/>
        </w:rPr>
        <w:footnoteReference w:id="13"/>
      </w:r>
      <w:r w:rsidRPr="00452AE5">
        <w:rPr>
          <w:sz w:val="24"/>
          <w:szCs w:val="24"/>
        </w:rPr>
        <w:t>.</w:t>
      </w:r>
    </w:p>
    <w:p w14:paraId="1421F0B7" w14:textId="4A80280C" w:rsidR="00452AE5" w:rsidRPr="00452AE5" w:rsidRDefault="00452AE5" w:rsidP="00452AE5">
      <w:pPr>
        <w:jc w:val="both"/>
        <w:rPr>
          <w:rFonts w:eastAsia="Calibri"/>
          <w:sz w:val="24"/>
          <w:szCs w:val="24"/>
        </w:rPr>
      </w:pPr>
      <w:r w:rsidRPr="00452AE5">
        <w:rPr>
          <w:sz w:val="24"/>
          <w:szCs w:val="24"/>
        </w:rPr>
        <w:t>I přesto, že jsou zapotřebí odborné dovednosti, nemohou ekonomiky určovat směr (vysokoškolského) vzdělávání. Jinými slovy iniciativy, jakými je sledování uplatnění absolventů na úrovni vzdělávacích systémů, mohou být problematické, protože mohou vyústit v programy vysokoškolského vzdělávání a osnovám založeným na účelových výstupech vzdělávání, jako jsou mzdy nebo míra zaměstnanosti absolventů. Některé členské státy již mají své vlastní systémy sledování, a proto by mohlo být kontraproduktivní vytvářet nový systém, který by ve většině případů s</w:t>
      </w:r>
      <w:r w:rsidR="00554678">
        <w:rPr>
          <w:sz w:val="24"/>
          <w:szCs w:val="24"/>
        </w:rPr>
        <w:t>l</w:t>
      </w:r>
      <w:r w:rsidRPr="00452AE5">
        <w:rPr>
          <w:sz w:val="24"/>
          <w:szCs w:val="24"/>
        </w:rPr>
        <w:t xml:space="preserve">oužil k opodstatnění úsporných opatření v humanitních oborech a společenských vědách. </w:t>
      </w:r>
    </w:p>
    <w:p w14:paraId="5DD1D208" w14:textId="3810C494" w:rsidR="00452AE5" w:rsidRPr="00452AE5" w:rsidRDefault="00452AE5" w:rsidP="00452AE5">
      <w:pPr>
        <w:jc w:val="both"/>
        <w:rPr>
          <w:rFonts w:eastAsia="Calibri"/>
          <w:sz w:val="24"/>
          <w:szCs w:val="24"/>
        </w:rPr>
      </w:pPr>
      <w:r w:rsidRPr="00452AE5">
        <w:rPr>
          <w:sz w:val="24"/>
          <w:szCs w:val="24"/>
        </w:rPr>
        <w:t>Klíčem ke zlepšování a modernizaci vzdělávacích systémů je dostupnost a účinné rozdělování finančních prostředků a koordinované řízení. Komise to ve svých pracovních dokumentech dostatečně neuznává a neklade dostatečný důraz na skutečnost, že zdroje ve vzdělávání by se měly soustředit nejen na výkonnost, ale také na inkluzi</w:t>
      </w:r>
      <w:r w:rsidR="0023002C">
        <w:rPr>
          <w:sz w:val="24"/>
          <w:szCs w:val="24"/>
        </w:rPr>
        <w:t xml:space="preserve"> </w:t>
      </w:r>
      <w:r w:rsidRPr="00452AE5">
        <w:rPr>
          <w:sz w:val="24"/>
          <w:szCs w:val="24"/>
        </w:rPr>
        <w:t>jednotliv</w:t>
      </w:r>
      <w:r w:rsidR="00554678">
        <w:rPr>
          <w:sz w:val="24"/>
          <w:szCs w:val="24"/>
        </w:rPr>
        <w:t>ých</w:t>
      </w:r>
      <w:r w:rsidRPr="00452AE5">
        <w:rPr>
          <w:sz w:val="24"/>
          <w:szCs w:val="24"/>
        </w:rPr>
        <w:t xml:space="preserve"> student</w:t>
      </w:r>
      <w:r w:rsidR="00554678">
        <w:rPr>
          <w:sz w:val="24"/>
          <w:szCs w:val="24"/>
        </w:rPr>
        <w:t>ů</w:t>
      </w:r>
      <w:r w:rsidRPr="00452AE5">
        <w:rPr>
          <w:sz w:val="24"/>
          <w:szCs w:val="24"/>
        </w:rPr>
        <w:t xml:space="preserve"> ze znevýhodněných prostředí a na integraci uprchlíků. Navíc téměř neuznává význam konzultací s různými zúčastněnými subjekty a jejich zapojení do procesu, a to především organizací občanské společnosti. </w:t>
      </w:r>
    </w:p>
    <w:p w14:paraId="11534197" w14:textId="6AF66E32" w:rsidR="00ED2876" w:rsidRDefault="00ED2876" w:rsidP="00452AE5">
      <w:pPr>
        <w:jc w:val="both"/>
        <w:rPr>
          <w:rFonts w:ascii="Open Sans" w:hAnsi="Open Sans" w:cs="Open Sans"/>
          <w:color w:val="000000"/>
          <w:sz w:val="21"/>
          <w:szCs w:val="21"/>
          <w:shd w:val="clear" w:color="auto" w:fill="FFFFFF"/>
        </w:rPr>
      </w:pPr>
    </w:p>
    <w:p w14:paraId="46EA2E3B" w14:textId="64AF62BC" w:rsidR="00ED2876" w:rsidRPr="0023002C" w:rsidRDefault="00ED2876" w:rsidP="0023002C">
      <w:pPr>
        <w:pStyle w:val="Nadpis2"/>
        <w:numPr>
          <w:ilvl w:val="0"/>
          <w:numId w:val="0"/>
        </w:numPr>
        <w:rPr>
          <w:rFonts w:ascii="Open Sans" w:hAnsi="Open Sans" w:cs="Open Sans"/>
          <w:color w:val="000000"/>
          <w:sz w:val="21"/>
          <w:szCs w:val="21"/>
          <w:shd w:val="clear" w:color="auto" w:fill="FFFFFF"/>
        </w:rPr>
      </w:pPr>
    </w:p>
    <w:p w14:paraId="7ECD3CFA" w14:textId="77777777" w:rsidR="009608BF" w:rsidRDefault="009608BF">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br w:type="page"/>
      </w:r>
    </w:p>
    <w:p w14:paraId="2796B80F" w14:textId="3A4404EE" w:rsidR="00ED2876" w:rsidRDefault="00950DA9" w:rsidP="00ED2876">
      <w:pPr>
        <w:pStyle w:val="Nadpis1"/>
      </w:pPr>
      <w:bookmarkStart w:id="14" w:name="_Toc493513457"/>
      <w:r>
        <w:lastRenderedPageBreak/>
        <w:t>Doporučení</w:t>
      </w:r>
      <w:bookmarkEnd w:id="14"/>
    </w:p>
    <w:p w14:paraId="6EC0E923" w14:textId="77777777" w:rsidR="0090760A" w:rsidRDefault="0090760A" w:rsidP="0090760A">
      <w:pPr>
        <w:rPr>
          <w:rFonts w:ascii="Open Sans" w:hAnsi="Open Sans" w:cs="Open Sans"/>
          <w:color w:val="000000"/>
          <w:sz w:val="21"/>
          <w:szCs w:val="21"/>
          <w:shd w:val="clear" w:color="auto" w:fill="FFFFFF"/>
        </w:rPr>
      </w:pPr>
    </w:p>
    <w:p w14:paraId="6937B444" w14:textId="30578A59" w:rsidR="0090760A" w:rsidRPr="0090760A" w:rsidRDefault="0090760A" w:rsidP="00452AE5">
      <w:pPr>
        <w:jc w:val="both"/>
        <w:rPr>
          <w:sz w:val="24"/>
          <w:szCs w:val="24"/>
        </w:rPr>
      </w:pPr>
      <w:r w:rsidRPr="0090760A">
        <w:rPr>
          <w:sz w:val="24"/>
          <w:szCs w:val="24"/>
        </w:rPr>
        <w:t xml:space="preserve">Digitalizace dramaticky změní </w:t>
      </w:r>
      <w:r>
        <w:rPr>
          <w:sz w:val="24"/>
          <w:szCs w:val="24"/>
        </w:rPr>
        <w:t xml:space="preserve">do budoucna </w:t>
      </w:r>
      <w:r w:rsidRPr="0090760A">
        <w:rPr>
          <w:sz w:val="24"/>
          <w:szCs w:val="24"/>
        </w:rPr>
        <w:t>náš pracovní život. Musíme</w:t>
      </w:r>
      <w:r>
        <w:rPr>
          <w:sz w:val="24"/>
          <w:szCs w:val="24"/>
        </w:rPr>
        <w:t xml:space="preserve"> však</w:t>
      </w:r>
      <w:r w:rsidRPr="0090760A">
        <w:rPr>
          <w:sz w:val="24"/>
          <w:szCs w:val="24"/>
        </w:rPr>
        <w:t xml:space="preserve"> </w:t>
      </w:r>
      <w:r w:rsidRPr="0090760A">
        <w:rPr>
          <w:b/>
          <w:sz w:val="24"/>
          <w:szCs w:val="24"/>
        </w:rPr>
        <w:t xml:space="preserve">jednat </w:t>
      </w:r>
      <w:r>
        <w:rPr>
          <w:b/>
          <w:sz w:val="24"/>
          <w:szCs w:val="24"/>
        </w:rPr>
        <w:t xml:space="preserve">už </w:t>
      </w:r>
      <w:r w:rsidRPr="0090760A">
        <w:rPr>
          <w:b/>
          <w:sz w:val="24"/>
          <w:szCs w:val="24"/>
        </w:rPr>
        <w:t>nyní</w:t>
      </w:r>
      <w:r w:rsidRPr="0090760A">
        <w:rPr>
          <w:sz w:val="24"/>
          <w:szCs w:val="24"/>
        </w:rPr>
        <w:t>, abychom zajistili, že v budoucnosti budou k dispozici vhodné dovednosti, aby Evropa zůstala konkurenceschopná a byla schopna vytvářet nové podniky a nová pracovní místa, aby mohli lidé po celou dobu své pracovní kariéry setrvat na trhu práce</w:t>
      </w:r>
      <w:r w:rsidR="00554678">
        <w:rPr>
          <w:sz w:val="24"/>
          <w:szCs w:val="24"/>
        </w:rPr>
        <w:t>,</w:t>
      </w:r>
      <w:r w:rsidRPr="0090760A">
        <w:rPr>
          <w:sz w:val="24"/>
          <w:szCs w:val="24"/>
        </w:rPr>
        <w:t xml:space="preserve"> a aby bylo možné zajistit všem blahobyt. Rychlost, jakou probíhá digitalizace a automatizace, skrývá také sociální rizika, jimiž se musíme zabývat prostřednictvím koordinovaného úsilí všech zainteresovaných stran z řad činitelů s rozhodovací pravomocí, sociálních partnerů a občanské společnosti. </w:t>
      </w:r>
    </w:p>
    <w:p w14:paraId="7FBD5FBF" w14:textId="1C2F3EFA" w:rsidR="0090760A" w:rsidRPr="0090760A" w:rsidRDefault="0090760A" w:rsidP="00452AE5">
      <w:pPr>
        <w:jc w:val="both"/>
        <w:rPr>
          <w:sz w:val="24"/>
          <w:szCs w:val="24"/>
        </w:rPr>
      </w:pPr>
      <w:r w:rsidRPr="0090760A">
        <w:rPr>
          <w:sz w:val="24"/>
          <w:szCs w:val="24"/>
        </w:rPr>
        <w:t>Díky dostupnosti širokopásmových sítí s velmi vysokou kapacitou se bude v budoucnosti v oblasti práce objevovat stále vyšší počet</w:t>
      </w:r>
      <w:r w:rsidRPr="0090760A">
        <w:rPr>
          <w:b/>
          <w:sz w:val="24"/>
          <w:szCs w:val="24"/>
        </w:rPr>
        <w:t xml:space="preserve"> </w:t>
      </w:r>
      <w:r w:rsidRPr="0090760A">
        <w:rPr>
          <w:sz w:val="24"/>
          <w:szCs w:val="24"/>
        </w:rPr>
        <w:t>atypických forem práce, jako jsou (mnohonásobné) částečné pracovní úvazky, práce s více dodavateli a tzv. „</w:t>
      </w:r>
      <w:proofErr w:type="spellStart"/>
      <w:r w:rsidRPr="0090760A">
        <w:rPr>
          <w:b/>
          <w:sz w:val="24"/>
          <w:szCs w:val="24"/>
        </w:rPr>
        <w:t>crowdworking</w:t>
      </w:r>
      <w:proofErr w:type="spellEnd"/>
      <w:r w:rsidRPr="0090760A">
        <w:rPr>
          <w:sz w:val="24"/>
          <w:szCs w:val="24"/>
        </w:rPr>
        <w:t xml:space="preserve">“ s pracovníky nabízejícími své dovednosti na internetových platformách v rámci sítě vysoce kvalifikovaných a specializovaných odborníků. </w:t>
      </w:r>
      <w:r w:rsidR="00554678">
        <w:rPr>
          <w:sz w:val="24"/>
          <w:szCs w:val="24"/>
        </w:rPr>
        <w:t xml:space="preserve">V naší úvaze se neomezujeme pouze na zaměstnané pracovníky, ale i na samotné podnikatele, ať již v roli větších podniků či samostatně výdělečných osob. Musíme si uvědomit, že nové modely podnikání máme již dnes. </w:t>
      </w:r>
      <w:r>
        <w:rPr>
          <w:sz w:val="24"/>
          <w:szCs w:val="24"/>
        </w:rPr>
        <w:t xml:space="preserve">S </w:t>
      </w:r>
      <w:r w:rsidRPr="0090760A">
        <w:rPr>
          <w:sz w:val="24"/>
          <w:szCs w:val="24"/>
        </w:rPr>
        <w:t xml:space="preserve">ohledem na tento nárůst atypické práce musí být významnou prioritou zajištění </w:t>
      </w:r>
      <w:r w:rsidRPr="0090760A">
        <w:rPr>
          <w:b/>
          <w:sz w:val="24"/>
          <w:szCs w:val="24"/>
        </w:rPr>
        <w:t>sociálního zabezpečení</w:t>
      </w:r>
      <w:r w:rsidRPr="0090760A">
        <w:rPr>
          <w:sz w:val="24"/>
          <w:szCs w:val="24"/>
        </w:rPr>
        <w:t xml:space="preserve"> a zabránění </w:t>
      </w:r>
      <w:r w:rsidRPr="0090760A">
        <w:rPr>
          <w:b/>
          <w:sz w:val="24"/>
          <w:szCs w:val="24"/>
        </w:rPr>
        <w:t>chudobě</w:t>
      </w:r>
      <w:r w:rsidRPr="0090760A">
        <w:rPr>
          <w:sz w:val="24"/>
          <w:szCs w:val="24"/>
        </w:rPr>
        <w:t xml:space="preserve"> (také u starších osob). </w:t>
      </w:r>
    </w:p>
    <w:p w14:paraId="1FF72BE7" w14:textId="49296320" w:rsidR="0090760A" w:rsidRPr="0090760A" w:rsidRDefault="0090760A" w:rsidP="00452AE5">
      <w:pPr>
        <w:jc w:val="both"/>
        <w:rPr>
          <w:sz w:val="24"/>
          <w:szCs w:val="24"/>
        </w:rPr>
      </w:pPr>
      <w:r w:rsidRPr="0090760A">
        <w:rPr>
          <w:sz w:val="24"/>
          <w:szCs w:val="24"/>
        </w:rPr>
        <w:t xml:space="preserve">Práce se mění i v tradičních společnostech. Konkrétně jde o to, že práce vyžadující vysokou úroveň znalostí může být vykonávána za stále více neomezených podmínek, které na jedné straně odrážejí </w:t>
      </w:r>
      <w:r w:rsidRPr="0090760A">
        <w:rPr>
          <w:b/>
          <w:sz w:val="24"/>
          <w:szCs w:val="24"/>
        </w:rPr>
        <w:t>kýženou flexibilitu</w:t>
      </w:r>
      <w:r w:rsidRPr="0090760A">
        <w:rPr>
          <w:sz w:val="24"/>
          <w:szCs w:val="24"/>
        </w:rPr>
        <w:t xml:space="preserve">, již chce hodně zaměstnanců, na druhé straně ale mohou vést k větší intenzifikaci a větším překážkám. To, že se </w:t>
      </w:r>
      <w:r w:rsidRPr="0090760A">
        <w:rPr>
          <w:b/>
          <w:sz w:val="24"/>
          <w:szCs w:val="24"/>
        </w:rPr>
        <w:t>práce</w:t>
      </w:r>
      <w:r w:rsidRPr="0090760A">
        <w:rPr>
          <w:sz w:val="24"/>
          <w:szCs w:val="24"/>
        </w:rPr>
        <w:t xml:space="preserve"> stále častěji vykonává </w:t>
      </w:r>
      <w:r w:rsidRPr="0090760A">
        <w:rPr>
          <w:b/>
          <w:sz w:val="24"/>
          <w:szCs w:val="24"/>
        </w:rPr>
        <w:t>na různých místech</w:t>
      </w:r>
      <w:r w:rsidRPr="0090760A">
        <w:rPr>
          <w:sz w:val="24"/>
          <w:szCs w:val="24"/>
        </w:rPr>
        <w:t>, vyžaduje nové sociální dovednosti.</w:t>
      </w:r>
    </w:p>
    <w:p w14:paraId="2B16795F" w14:textId="53CCACA6" w:rsidR="0090760A" w:rsidRPr="0090760A" w:rsidRDefault="0090760A" w:rsidP="00452AE5">
      <w:pPr>
        <w:jc w:val="both"/>
        <w:rPr>
          <w:sz w:val="24"/>
          <w:szCs w:val="24"/>
        </w:rPr>
      </w:pPr>
      <w:r w:rsidRPr="0090760A">
        <w:rPr>
          <w:sz w:val="24"/>
          <w:szCs w:val="24"/>
        </w:rPr>
        <w:t xml:space="preserve">Na budoucnost práce budou mít významný vliv </w:t>
      </w:r>
      <w:r w:rsidRPr="0090760A">
        <w:rPr>
          <w:b/>
          <w:sz w:val="24"/>
          <w:szCs w:val="24"/>
        </w:rPr>
        <w:t>automatizace</w:t>
      </w:r>
      <w:r w:rsidRPr="0090760A">
        <w:rPr>
          <w:sz w:val="24"/>
          <w:szCs w:val="24"/>
        </w:rPr>
        <w:t xml:space="preserve"> a </w:t>
      </w:r>
      <w:r w:rsidRPr="0090760A">
        <w:rPr>
          <w:b/>
          <w:sz w:val="24"/>
          <w:szCs w:val="24"/>
        </w:rPr>
        <w:t>roboti</w:t>
      </w:r>
      <w:r w:rsidRPr="0090760A">
        <w:rPr>
          <w:sz w:val="24"/>
          <w:szCs w:val="24"/>
        </w:rPr>
        <w:t>. Mohou nahradit monotónní, těžkou nebo nebezpečnou práci a nová generace tzv. „</w:t>
      </w:r>
      <w:proofErr w:type="spellStart"/>
      <w:r w:rsidRPr="0090760A">
        <w:rPr>
          <w:sz w:val="24"/>
          <w:szCs w:val="24"/>
        </w:rPr>
        <w:t>kolaborativních</w:t>
      </w:r>
      <w:proofErr w:type="spellEnd"/>
      <w:r w:rsidRPr="0090760A">
        <w:rPr>
          <w:sz w:val="24"/>
          <w:szCs w:val="24"/>
        </w:rPr>
        <w:t xml:space="preserve"> robotů“ se může stát fyzickým partnerem pracovníků a může být obzvláštním přínosem pro osoby s tělesným postižením. I když současní roboti nahrazují zejména manuální práci, povolání „bílých límečků“ budou využitím umělé inteligence též ovlivněna. Automatizace a roboti mohou stabilizovat hospodářství ve stárnoucí společnosti.</w:t>
      </w:r>
    </w:p>
    <w:p w14:paraId="183B05E2" w14:textId="77777777" w:rsidR="0090760A" w:rsidRPr="0090760A" w:rsidRDefault="0090760A" w:rsidP="00452AE5">
      <w:pPr>
        <w:jc w:val="both"/>
        <w:rPr>
          <w:sz w:val="24"/>
          <w:szCs w:val="24"/>
        </w:rPr>
      </w:pPr>
      <w:r w:rsidRPr="0090760A">
        <w:rPr>
          <w:sz w:val="24"/>
          <w:szCs w:val="24"/>
        </w:rPr>
        <w:t xml:space="preserve">Značný počet </w:t>
      </w:r>
      <w:r w:rsidRPr="0090760A">
        <w:rPr>
          <w:b/>
          <w:sz w:val="24"/>
          <w:szCs w:val="24"/>
        </w:rPr>
        <w:t>pracovních míst</w:t>
      </w:r>
      <w:r w:rsidRPr="0090760A">
        <w:rPr>
          <w:sz w:val="24"/>
          <w:szCs w:val="24"/>
        </w:rPr>
        <w:t xml:space="preserve"> bude ovlivněn zaváděním více robotů na pracoviště. Můžeme očekávat, že stejně jako v minulosti povede větší blahobyt společnosti k růstu a novým pracovním místům v určitých odvětvích, jako je kultura, umění, cestovní ruch, sociální práce, vzdělávání, komunikace, zábava nebo zdravotní péče. Tento vývoj se však může projevit rychleji než v minulosti, což může vést k narušením, a proto bude v rané fázi nutný sociální dialog.</w:t>
      </w:r>
    </w:p>
    <w:p w14:paraId="2B5D76CF" w14:textId="77777777" w:rsidR="0090760A" w:rsidRPr="0090760A" w:rsidRDefault="0090760A" w:rsidP="00452AE5">
      <w:pPr>
        <w:jc w:val="both"/>
        <w:rPr>
          <w:sz w:val="24"/>
          <w:szCs w:val="24"/>
        </w:rPr>
      </w:pPr>
    </w:p>
    <w:p w14:paraId="129DE58F" w14:textId="6E0836F7" w:rsidR="0090760A" w:rsidRPr="0090760A" w:rsidRDefault="0090760A" w:rsidP="00452AE5">
      <w:pPr>
        <w:jc w:val="both"/>
        <w:rPr>
          <w:sz w:val="24"/>
          <w:szCs w:val="24"/>
        </w:rPr>
      </w:pPr>
      <w:r w:rsidRPr="0090760A">
        <w:rPr>
          <w:sz w:val="24"/>
          <w:szCs w:val="24"/>
        </w:rPr>
        <w:t>Pro</w:t>
      </w:r>
      <w:r w:rsidRPr="0090760A">
        <w:rPr>
          <w:color w:val="FF0000"/>
          <w:sz w:val="24"/>
          <w:szCs w:val="24"/>
        </w:rPr>
        <w:t xml:space="preserve"> </w:t>
      </w:r>
      <w:r w:rsidRPr="0090760A">
        <w:rPr>
          <w:sz w:val="24"/>
          <w:szCs w:val="24"/>
        </w:rPr>
        <w:t xml:space="preserve">všechny bude nutností </w:t>
      </w:r>
      <w:r w:rsidRPr="0090760A">
        <w:rPr>
          <w:b/>
          <w:sz w:val="24"/>
          <w:szCs w:val="24"/>
        </w:rPr>
        <w:t>celoživotní učení</w:t>
      </w:r>
      <w:r w:rsidRPr="0090760A">
        <w:rPr>
          <w:sz w:val="24"/>
          <w:szCs w:val="24"/>
        </w:rPr>
        <w:t>, zejména to, které souvisí s digitálními dovednostmi, přičemž bude od jednotlivců, podniků a všech systémů vzdělávání a odborné přípravy vyžadována stále větší flexibilita. Kromě formálního vzdělávání se bude muset mnohem více času věnovat odborné přípravě a informálnímu učení, které by měly být co nejvíce podpořeny harmonizovaným systémem diplomů a norem platným v rámci celé EU. EHSV navíc v této souvislosti již navrhoval, aby se zvážilo přijetí evropských opatření týkajících se studijního volna</w:t>
      </w:r>
      <w:r w:rsidRPr="0090760A">
        <w:rPr>
          <w:rStyle w:val="Znakapoznpodarou"/>
          <w:szCs w:val="24"/>
          <w:u w:val="single"/>
        </w:rPr>
        <w:footnoteReference w:id="14"/>
      </w:r>
      <w:r w:rsidRPr="0090760A">
        <w:rPr>
          <w:sz w:val="24"/>
          <w:szCs w:val="24"/>
        </w:rPr>
        <w:t>.</w:t>
      </w:r>
    </w:p>
    <w:p w14:paraId="145E7B28" w14:textId="4C3199B1" w:rsidR="0090760A" w:rsidRPr="0090760A" w:rsidRDefault="0090760A" w:rsidP="00452AE5">
      <w:pPr>
        <w:jc w:val="both"/>
        <w:rPr>
          <w:sz w:val="24"/>
          <w:szCs w:val="24"/>
        </w:rPr>
      </w:pPr>
      <w:r w:rsidRPr="0090760A">
        <w:rPr>
          <w:sz w:val="24"/>
          <w:szCs w:val="24"/>
        </w:rPr>
        <w:t xml:space="preserve">Základní vzdělávání by mělo zahrnovat více </w:t>
      </w:r>
      <w:r w:rsidRPr="0090760A">
        <w:rPr>
          <w:b/>
          <w:sz w:val="24"/>
          <w:szCs w:val="24"/>
        </w:rPr>
        <w:t>interaktivního digitálního učení</w:t>
      </w:r>
      <w:r w:rsidRPr="0090760A">
        <w:rPr>
          <w:sz w:val="24"/>
          <w:szCs w:val="24"/>
        </w:rPr>
        <w:t>. Digitální dovednosti však mohou přesáhnout programování a zahrnovat informovanost o tom, co se skrývá za „kliknutím myší“: pochopení systému, vzájemná propojení, sociální dopad a otázky týkající se soukromí a bezpečnosti.</w:t>
      </w:r>
    </w:p>
    <w:p w14:paraId="3ED09267" w14:textId="25E1EDCC" w:rsidR="0090760A" w:rsidRPr="0090760A" w:rsidRDefault="0090760A" w:rsidP="00452AE5">
      <w:pPr>
        <w:jc w:val="both"/>
        <w:rPr>
          <w:sz w:val="24"/>
          <w:szCs w:val="24"/>
        </w:rPr>
      </w:pPr>
      <w:r w:rsidRPr="0090760A">
        <w:rPr>
          <w:sz w:val="24"/>
          <w:szCs w:val="24"/>
        </w:rPr>
        <w:t>Budoucí dovednosti by měly být sladěny s potřebami společnosti a s </w:t>
      </w:r>
      <w:r w:rsidRPr="0090760A">
        <w:rPr>
          <w:b/>
          <w:sz w:val="24"/>
          <w:szCs w:val="24"/>
        </w:rPr>
        <w:t>požadavky trhu práce</w:t>
      </w:r>
      <w:r w:rsidRPr="0090760A">
        <w:rPr>
          <w:sz w:val="24"/>
          <w:szCs w:val="24"/>
        </w:rPr>
        <w:t xml:space="preserve">. Toho lze dosáhnout pouze pomocí úzké spolupráce mezi sociálními partnery a veřejnými a soukromými systémy vzdělávání. Proměnlivější trhy povedou k výzvám, neboť podniky a pracovníci se budou muset dostatečně rychle přizpůsobovat. To je výzvou zejména pro systémy odborného vzdělávání. </w:t>
      </w:r>
    </w:p>
    <w:p w14:paraId="626100EA" w14:textId="676C846C" w:rsidR="0090760A" w:rsidRPr="0090760A" w:rsidRDefault="0090760A" w:rsidP="00452AE5">
      <w:pPr>
        <w:jc w:val="both"/>
        <w:rPr>
          <w:sz w:val="24"/>
          <w:szCs w:val="24"/>
        </w:rPr>
      </w:pPr>
      <w:r w:rsidRPr="0090760A">
        <w:rPr>
          <w:sz w:val="24"/>
          <w:szCs w:val="24"/>
        </w:rPr>
        <w:t xml:space="preserve">Veřejné a soukromé organizace (školy, vysoké školy, obchodní komory, odborové svazy, střediska pro vzdělávání) musí poskytovat </w:t>
      </w:r>
      <w:r w:rsidRPr="0090760A">
        <w:rPr>
          <w:b/>
          <w:sz w:val="24"/>
          <w:szCs w:val="24"/>
        </w:rPr>
        <w:t>odborné vzdělávání</w:t>
      </w:r>
      <w:r w:rsidRPr="0090760A">
        <w:rPr>
          <w:sz w:val="24"/>
          <w:szCs w:val="24"/>
        </w:rPr>
        <w:t xml:space="preserve"> v oblasti nových technologií, zejména pro ty, kteří nejsou schopni toto vzdělávání sami zajistit, jako jsou </w:t>
      </w:r>
      <w:r w:rsidRPr="0090760A">
        <w:rPr>
          <w:b/>
          <w:sz w:val="24"/>
          <w:szCs w:val="24"/>
        </w:rPr>
        <w:t>malé a střední podniky</w:t>
      </w:r>
      <w:r w:rsidRPr="0090760A">
        <w:rPr>
          <w:sz w:val="24"/>
          <w:szCs w:val="24"/>
        </w:rPr>
        <w:t xml:space="preserve">, svobodná povolání a osoby samostatně výdělečně činné. </w:t>
      </w:r>
    </w:p>
    <w:p w14:paraId="3E6CFF4D" w14:textId="77777777" w:rsidR="0090760A" w:rsidRPr="0090760A" w:rsidRDefault="0090760A" w:rsidP="00452AE5">
      <w:pPr>
        <w:jc w:val="both"/>
        <w:rPr>
          <w:sz w:val="24"/>
          <w:szCs w:val="24"/>
        </w:rPr>
      </w:pPr>
      <w:r w:rsidRPr="0090760A">
        <w:rPr>
          <w:sz w:val="24"/>
          <w:szCs w:val="24"/>
        </w:rPr>
        <w:t xml:space="preserve">Dlouhodobý vývoj, který může vést k novým a nepředvídatelným výzvám, kdy současné dovednosti mohou rychle zastarat, lze nejlépe vyřešit prostřednictvím </w:t>
      </w:r>
      <w:r w:rsidRPr="0090760A">
        <w:rPr>
          <w:b/>
          <w:sz w:val="24"/>
          <w:szCs w:val="24"/>
        </w:rPr>
        <w:t>všeobecného vzdělávání</w:t>
      </w:r>
      <w:r w:rsidRPr="0090760A">
        <w:rPr>
          <w:sz w:val="24"/>
          <w:szCs w:val="24"/>
        </w:rPr>
        <w:t xml:space="preserve">. Čím lepší všeobecné vzdělání, tím lepší příprava na neznámé. Široké všeobecné vzdělání je také nejlepším základem pro zajištění toho, jak se naučit rozpoznat </w:t>
      </w:r>
      <w:r w:rsidRPr="0090760A">
        <w:rPr>
          <w:b/>
          <w:sz w:val="24"/>
          <w:szCs w:val="24"/>
        </w:rPr>
        <w:t>spolehlivé informace</w:t>
      </w:r>
      <w:r w:rsidRPr="0090760A">
        <w:rPr>
          <w:sz w:val="24"/>
          <w:szCs w:val="24"/>
        </w:rPr>
        <w:t xml:space="preserve"> na internetu a nebýt tak zranitelný vůči falešným zprávám (</w:t>
      </w:r>
      <w:proofErr w:type="spellStart"/>
      <w:r w:rsidRPr="0090760A">
        <w:rPr>
          <w:sz w:val="24"/>
          <w:szCs w:val="24"/>
        </w:rPr>
        <w:t>fake</w:t>
      </w:r>
      <w:proofErr w:type="spellEnd"/>
      <w:r w:rsidRPr="0090760A">
        <w:rPr>
          <w:sz w:val="24"/>
          <w:szCs w:val="24"/>
        </w:rPr>
        <w:t xml:space="preserve"> </w:t>
      </w:r>
      <w:proofErr w:type="spellStart"/>
      <w:r w:rsidRPr="0090760A">
        <w:rPr>
          <w:sz w:val="24"/>
          <w:szCs w:val="24"/>
        </w:rPr>
        <w:t>news</w:t>
      </w:r>
      <w:proofErr w:type="spellEnd"/>
      <w:r w:rsidRPr="0090760A">
        <w:rPr>
          <w:sz w:val="24"/>
          <w:szCs w:val="24"/>
        </w:rPr>
        <w:t xml:space="preserve">). </w:t>
      </w:r>
    </w:p>
    <w:p w14:paraId="5C1FE825" w14:textId="081E7D2D" w:rsidR="00ED2876" w:rsidRDefault="00ED2876" w:rsidP="00452AE5">
      <w:pPr>
        <w:jc w:val="both"/>
        <w:rPr>
          <w:rFonts w:ascii="Open Sans" w:hAnsi="Open Sans" w:cs="Open Sans"/>
          <w:color w:val="000000"/>
          <w:sz w:val="21"/>
          <w:szCs w:val="21"/>
          <w:shd w:val="clear" w:color="auto" w:fill="FFFFFF"/>
        </w:rPr>
      </w:pPr>
    </w:p>
    <w:p w14:paraId="3530F975" w14:textId="77777777" w:rsidR="00ED2876" w:rsidRDefault="00ED2876" w:rsidP="00881BAC">
      <w:pPr>
        <w:pStyle w:val="Nadpis1"/>
        <w:numPr>
          <w:ilvl w:val="0"/>
          <w:numId w:val="0"/>
        </w:numPr>
      </w:pPr>
    </w:p>
    <w:p w14:paraId="32DEC776" w14:textId="77777777" w:rsidR="00ED2876" w:rsidRDefault="00ED2876" w:rsidP="00881BAC">
      <w:pPr>
        <w:pStyle w:val="Nadpis1"/>
        <w:numPr>
          <w:ilvl w:val="0"/>
          <w:numId w:val="0"/>
        </w:numPr>
      </w:pPr>
    </w:p>
    <w:p w14:paraId="2AB42B51" w14:textId="77777777" w:rsidR="00ED2876" w:rsidRDefault="00ED2876">
      <w:pPr>
        <w:spacing w:after="200"/>
        <w:rPr>
          <w:rFonts w:asciiTheme="majorHAnsi" w:eastAsiaTheme="majorEastAsia" w:hAnsiTheme="majorHAnsi" w:cstheme="majorBidi"/>
          <w:color w:val="365F91" w:themeColor="accent1" w:themeShade="BF"/>
          <w:sz w:val="32"/>
          <w:szCs w:val="32"/>
        </w:rPr>
      </w:pPr>
      <w:r>
        <w:br w:type="page"/>
      </w:r>
    </w:p>
    <w:p w14:paraId="17658989" w14:textId="3A8008D3" w:rsidR="004B6C6E" w:rsidRPr="004B6C6E" w:rsidRDefault="00950DA9" w:rsidP="004B6C6E">
      <w:pPr>
        <w:pStyle w:val="Nadpis1"/>
        <w:numPr>
          <w:ilvl w:val="0"/>
          <w:numId w:val="0"/>
        </w:numPr>
        <w:rPr>
          <w:shd w:val="clear" w:color="auto" w:fill="FFFFFF"/>
        </w:rPr>
      </w:pPr>
      <w:r>
        <w:rPr>
          <w:shd w:val="clear" w:color="auto" w:fill="FFFFFF"/>
        </w:rPr>
        <w:lastRenderedPageBreak/>
        <w:t xml:space="preserve"> </w:t>
      </w:r>
      <w:bookmarkStart w:id="15" w:name="_Toc493513458"/>
      <w:r w:rsidR="009608BF">
        <w:rPr>
          <w:shd w:val="clear" w:color="auto" w:fill="FFFFFF"/>
        </w:rPr>
        <w:t>Seznam použité literatury</w:t>
      </w:r>
      <w:r w:rsidR="001B5948">
        <w:rPr>
          <w:shd w:val="clear" w:color="auto" w:fill="FFFFFF"/>
        </w:rPr>
        <w:t xml:space="preserve"> a zdrojů</w:t>
      </w:r>
      <w:bookmarkEnd w:id="15"/>
    </w:p>
    <w:p w14:paraId="192612C4" w14:textId="0F0C5C87" w:rsidR="004B6C6E" w:rsidRDefault="004B6C6E" w:rsidP="004B6C6E">
      <w:r>
        <w:t>(</w:t>
      </w:r>
      <w:r w:rsidR="00696D4F">
        <w:t>přímé</w:t>
      </w:r>
      <w:r>
        <w:t xml:space="preserve"> </w:t>
      </w:r>
      <w:r w:rsidR="00696D4F">
        <w:t>odkazy</w:t>
      </w:r>
      <w:r>
        <w:t xml:space="preserve"> výše v textu)</w:t>
      </w:r>
    </w:p>
    <w:p w14:paraId="5CDF636A" w14:textId="77777777" w:rsidR="004B6C6E" w:rsidRDefault="004B6C6E" w:rsidP="004B6C6E"/>
    <w:p w14:paraId="2A8064F3" w14:textId="2ACD636A" w:rsidR="004B6C6E" w:rsidRPr="006F7114" w:rsidRDefault="004B6C6E" w:rsidP="004B6C6E">
      <w:pPr>
        <w:rPr>
          <w:b/>
          <w:sz w:val="24"/>
          <w:szCs w:val="24"/>
        </w:rPr>
      </w:pPr>
      <w:r w:rsidRPr="006F7114">
        <w:rPr>
          <w:b/>
          <w:sz w:val="24"/>
          <w:szCs w:val="24"/>
        </w:rPr>
        <w:t>Úřední věstník EU</w:t>
      </w:r>
      <w:r w:rsidR="00696D4F">
        <w:rPr>
          <w:b/>
          <w:sz w:val="24"/>
          <w:szCs w:val="24"/>
        </w:rPr>
        <w:t xml:space="preserve"> - </w:t>
      </w:r>
      <w:hyperlink r:id="rId9" w:history="1">
        <w:r w:rsidR="00696D4F" w:rsidRPr="00696D4F">
          <w:rPr>
            <w:rStyle w:val="Hypertextovodkaz"/>
            <w:sz w:val="24"/>
            <w:szCs w:val="24"/>
          </w:rPr>
          <w:t>http://eur-lex.europa.eu/homepage.html</w:t>
        </w:r>
      </w:hyperlink>
      <w:r w:rsidR="00696D4F">
        <w:rPr>
          <w:b/>
          <w:sz w:val="24"/>
          <w:szCs w:val="24"/>
        </w:rPr>
        <w:t xml:space="preserve"> </w:t>
      </w:r>
    </w:p>
    <w:p w14:paraId="26502762" w14:textId="6C03A946" w:rsidR="004B6C6E" w:rsidRPr="006F7114" w:rsidRDefault="004B6C6E" w:rsidP="004B6C6E">
      <w:pPr>
        <w:rPr>
          <w:b/>
          <w:sz w:val="24"/>
          <w:szCs w:val="24"/>
        </w:rPr>
      </w:pPr>
      <w:r w:rsidRPr="006F7114">
        <w:rPr>
          <w:b/>
          <w:sz w:val="24"/>
          <w:szCs w:val="24"/>
        </w:rPr>
        <w:t>Pracovní dokumenty Evropské komise</w:t>
      </w:r>
    </w:p>
    <w:p w14:paraId="02D54978" w14:textId="37DFBA86" w:rsidR="004B6C6E" w:rsidRPr="006F7114" w:rsidRDefault="004B6C6E" w:rsidP="004B6C6E">
      <w:pPr>
        <w:rPr>
          <w:b/>
          <w:sz w:val="24"/>
          <w:szCs w:val="24"/>
        </w:rPr>
      </w:pPr>
      <w:r w:rsidRPr="006F7114">
        <w:rPr>
          <w:b/>
          <w:sz w:val="24"/>
          <w:szCs w:val="24"/>
        </w:rPr>
        <w:t>Stanoviska Evropského hospodářského a sociálního výboru</w:t>
      </w:r>
      <w:r w:rsidR="00696D4F">
        <w:rPr>
          <w:b/>
          <w:sz w:val="24"/>
          <w:szCs w:val="24"/>
        </w:rPr>
        <w:t xml:space="preserve"> - </w:t>
      </w:r>
      <w:hyperlink r:id="rId10" w:history="1">
        <w:r w:rsidR="00696D4F" w:rsidRPr="00696D4F">
          <w:rPr>
            <w:rStyle w:val="Hypertextovodkaz"/>
            <w:sz w:val="24"/>
            <w:szCs w:val="24"/>
          </w:rPr>
          <w:t>www.eesc.europa.eu</w:t>
        </w:r>
      </w:hyperlink>
      <w:r w:rsidR="00696D4F">
        <w:rPr>
          <w:b/>
          <w:sz w:val="24"/>
          <w:szCs w:val="24"/>
        </w:rPr>
        <w:t xml:space="preserve"> </w:t>
      </w:r>
    </w:p>
    <w:p w14:paraId="695C917B" w14:textId="5F7AA734" w:rsidR="006F7114" w:rsidRPr="006F7114" w:rsidRDefault="006F7114" w:rsidP="004B6C6E">
      <w:pPr>
        <w:rPr>
          <w:b/>
          <w:sz w:val="24"/>
          <w:szCs w:val="24"/>
        </w:rPr>
      </w:pPr>
      <w:r w:rsidRPr="006F7114">
        <w:rPr>
          <w:b/>
          <w:sz w:val="24"/>
          <w:szCs w:val="24"/>
        </w:rPr>
        <w:t>Výzkumné studie</w:t>
      </w:r>
    </w:p>
    <w:p w14:paraId="1F461AB0" w14:textId="5E2974CB" w:rsidR="006F7114" w:rsidRPr="006F7114" w:rsidRDefault="006F7114" w:rsidP="006F7114">
      <w:pPr>
        <w:pStyle w:val="Nadpis1"/>
        <w:numPr>
          <w:ilvl w:val="0"/>
          <w:numId w:val="39"/>
        </w:numPr>
        <w:spacing w:before="0" w:after="450"/>
        <w:rPr>
          <w:rFonts w:asciiTheme="minorHAnsi" w:eastAsia="Times New Roman" w:hAnsiTheme="minorHAnsi"/>
          <w:color w:val="111111"/>
          <w:sz w:val="24"/>
          <w:szCs w:val="24"/>
        </w:rPr>
      </w:pPr>
      <w:r w:rsidRPr="006F7114">
        <w:rPr>
          <w:rFonts w:asciiTheme="minorHAnsi" w:eastAsia="Times New Roman" w:hAnsiTheme="minorHAnsi"/>
          <w:bCs/>
          <w:color w:val="111111"/>
          <w:sz w:val="24"/>
          <w:szCs w:val="24"/>
        </w:rPr>
        <w:t xml:space="preserve">ICT </w:t>
      </w:r>
      <w:proofErr w:type="spellStart"/>
      <w:r w:rsidRPr="006F7114">
        <w:rPr>
          <w:rFonts w:asciiTheme="minorHAnsi" w:eastAsia="Times New Roman" w:hAnsiTheme="minorHAnsi"/>
          <w:bCs/>
          <w:color w:val="111111"/>
          <w:sz w:val="24"/>
          <w:szCs w:val="24"/>
        </w:rPr>
        <w:t>for</w:t>
      </w:r>
      <w:proofErr w:type="spellEnd"/>
      <w:r w:rsidRPr="006F7114">
        <w:rPr>
          <w:rFonts w:asciiTheme="minorHAnsi" w:eastAsia="Times New Roman" w:hAnsiTheme="minorHAnsi"/>
          <w:bCs/>
          <w:color w:val="111111"/>
          <w:sz w:val="24"/>
          <w:szCs w:val="24"/>
        </w:rPr>
        <w:t xml:space="preserve"> Learning, </w:t>
      </w:r>
      <w:proofErr w:type="spellStart"/>
      <w:r w:rsidRPr="006F7114">
        <w:rPr>
          <w:rFonts w:asciiTheme="minorHAnsi" w:eastAsia="Times New Roman" w:hAnsiTheme="minorHAnsi"/>
          <w:bCs/>
          <w:color w:val="111111"/>
          <w:sz w:val="24"/>
          <w:szCs w:val="24"/>
        </w:rPr>
        <w:t>Innovation</w:t>
      </w:r>
      <w:proofErr w:type="spellEnd"/>
      <w:r w:rsidRPr="006F7114">
        <w:rPr>
          <w:rFonts w:asciiTheme="minorHAnsi" w:eastAsia="Times New Roman" w:hAnsiTheme="minorHAnsi"/>
          <w:bCs/>
          <w:color w:val="111111"/>
          <w:sz w:val="24"/>
          <w:szCs w:val="24"/>
        </w:rPr>
        <w:t xml:space="preserve"> and </w:t>
      </w:r>
      <w:proofErr w:type="spellStart"/>
      <w:r w:rsidRPr="006F7114">
        <w:rPr>
          <w:rFonts w:asciiTheme="minorHAnsi" w:eastAsia="Times New Roman" w:hAnsiTheme="minorHAnsi"/>
          <w:bCs/>
          <w:color w:val="111111"/>
          <w:sz w:val="24"/>
          <w:szCs w:val="24"/>
        </w:rPr>
        <w:t>Creativity</w:t>
      </w:r>
      <w:proofErr w:type="spellEnd"/>
      <w:r w:rsidR="00696D4F">
        <w:rPr>
          <w:rFonts w:asciiTheme="minorHAnsi" w:eastAsia="Times New Roman" w:hAnsiTheme="minorHAnsi"/>
          <w:bCs/>
          <w:color w:val="111111"/>
          <w:sz w:val="24"/>
          <w:szCs w:val="24"/>
        </w:rPr>
        <w:t>, 2008</w:t>
      </w:r>
    </w:p>
    <w:p w14:paraId="4B70362B" w14:textId="7CBCF8EA" w:rsidR="004B6C6E" w:rsidRPr="006F7114" w:rsidRDefault="004B6C6E" w:rsidP="004B6C6E">
      <w:pPr>
        <w:rPr>
          <w:b/>
          <w:sz w:val="24"/>
          <w:szCs w:val="24"/>
        </w:rPr>
      </w:pPr>
      <w:r w:rsidRPr="006F7114">
        <w:rPr>
          <w:b/>
          <w:sz w:val="24"/>
          <w:szCs w:val="24"/>
        </w:rPr>
        <w:t>Poziční dokumenty ČR k projednávaným iniciativám</w:t>
      </w:r>
    </w:p>
    <w:p w14:paraId="33CC37C0" w14:textId="643B767B" w:rsidR="004B6C6E" w:rsidRPr="006F7114" w:rsidRDefault="004B6C6E" w:rsidP="004B6C6E">
      <w:pPr>
        <w:rPr>
          <w:b/>
          <w:sz w:val="24"/>
          <w:szCs w:val="24"/>
        </w:rPr>
      </w:pPr>
      <w:r w:rsidRPr="006F7114">
        <w:rPr>
          <w:b/>
          <w:sz w:val="24"/>
          <w:szCs w:val="24"/>
        </w:rPr>
        <w:t>Webové stránky:</w:t>
      </w:r>
    </w:p>
    <w:p w14:paraId="4915AD12" w14:textId="7763C8CE" w:rsidR="006F7114" w:rsidRPr="00696D4F" w:rsidRDefault="004B6C6E" w:rsidP="00696D4F">
      <w:pPr>
        <w:pStyle w:val="Odstavecseseznamem"/>
        <w:numPr>
          <w:ilvl w:val="0"/>
          <w:numId w:val="37"/>
        </w:numPr>
        <w:rPr>
          <w:sz w:val="24"/>
          <w:szCs w:val="24"/>
        </w:rPr>
      </w:pPr>
      <w:r>
        <w:rPr>
          <w:sz w:val="24"/>
          <w:szCs w:val="24"/>
        </w:rPr>
        <w:t>Evropské komise</w:t>
      </w:r>
      <w:r w:rsidR="00696D4F">
        <w:rPr>
          <w:sz w:val="24"/>
          <w:szCs w:val="24"/>
        </w:rPr>
        <w:t xml:space="preserve"> - </w:t>
      </w:r>
      <w:hyperlink r:id="rId11" w:history="1">
        <w:r w:rsidR="00696D4F" w:rsidRPr="0079201D">
          <w:rPr>
            <w:rStyle w:val="Hypertextovodkaz"/>
            <w:sz w:val="24"/>
            <w:szCs w:val="24"/>
          </w:rPr>
          <w:t>www.ec.europa.eu</w:t>
        </w:r>
      </w:hyperlink>
      <w:r w:rsidR="00696D4F">
        <w:rPr>
          <w:sz w:val="24"/>
          <w:szCs w:val="24"/>
        </w:rPr>
        <w:t xml:space="preserve"> - zejména DG EAC a EMPL</w:t>
      </w:r>
    </w:p>
    <w:p w14:paraId="1F390D00" w14:textId="61A6463A" w:rsidR="004B6C6E" w:rsidRDefault="004B6C6E" w:rsidP="004B6C6E">
      <w:pPr>
        <w:pStyle w:val="Odstavecseseznamem"/>
        <w:numPr>
          <w:ilvl w:val="0"/>
          <w:numId w:val="37"/>
        </w:numPr>
        <w:rPr>
          <w:sz w:val="24"/>
          <w:szCs w:val="24"/>
        </w:rPr>
      </w:pPr>
      <w:r>
        <w:rPr>
          <w:sz w:val="24"/>
          <w:szCs w:val="24"/>
        </w:rPr>
        <w:t>Evropského parlamentu</w:t>
      </w:r>
      <w:r w:rsidR="00696D4F">
        <w:rPr>
          <w:sz w:val="24"/>
          <w:szCs w:val="24"/>
        </w:rPr>
        <w:t xml:space="preserve"> – </w:t>
      </w:r>
      <w:hyperlink r:id="rId12" w:history="1">
        <w:r w:rsidR="00696D4F" w:rsidRPr="0079201D">
          <w:rPr>
            <w:rStyle w:val="Hypertextovodkaz"/>
            <w:sz w:val="24"/>
            <w:szCs w:val="24"/>
          </w:rPr>
          <w:t>www.europarl.europa.eu</w:t>
        </w:r>
      </w:hyperlink>
      <w:r w:rsidR="00696D4F">
        <w:rPr>
          <w:sz w:val="24"/>
          <w:szCs w:val="24"/>
        </w:rPr>
        <w:t xml:space="preserve"> </w:t>
      </w:r>
    </w:p>
    <w:p w14:paraId="0EFBC7AB" w14:textId="7756121B" w:rsidR="006F7114" w:rsidRDefault="006F7114" w:rsidP="004B6C6E">
      <w:pPr>
        <w:pStyle w:val="Odstavecseseznamem"/>
        <w:numPr>
          <w:ilvl w:val="0"/>
          <w:numId w:val="37"/>
        </w:numPr>
        <w:rPr>
          <w:sz w:val="24"/>
          <w:szCs w:val="24"/>
        </w:rPr>
      </w:pPr>
      <w:r>
        <w:rPr>
          <w:sz w:val="24"/>
          <w:szCs w:val="24"/>
        </w:rPr>
        <w:t>Rady EU</w:t>
      </w:r>
      <w:r w:rsidR="00696D4F">
        <w:rPr>
          <w:sz w:val="24"/>
          <w:szCs w:val="24"/>
        </w:rPr>
        <w:t xml:space="preserve"> – </w:t>
      </w:r>
      <w:hyperlink r:id="rId13" w:history="1">
        <w:r w:rsidR="00696D4F" w:rsidRPr="0079201D">
          <w:rPr>
            <w:rStyle w:val="Hypertextovodkaz"/>
            <w:sz w:val="24"/>
            <w:szCs w:val="24"/>
          </w:rPr>
          <w:t>www.consilium.europa.eu</w:t>
        </w:r>
      </w:hyperlink>
      <w:r w:rsidR="00696D4F">
        <w:rPr>
          <w:sz w:val="24"/>
          <w:szCs w:val="24"/>
        </w:rPr>
        <w:t xml:space="preserve"> </w:t>
      </w:r>
    </w:p>
    <w:p w14:paraId="78A626A9" w14:textId="77777777" w:rsidR="004B6C6E" w:rsidRPr="004B6C6E" w:rsidRDefault="004B6C6E" w:rsidP="006F7114">
      <w:pPr>
        <w:pStyle w:val="Odstavecseseznamem"/>
        <w:rPr>
          <w:sz w:val="24"/>
          <w:szCs w:val="24"/>
        </w:rPr>
      </w:pPr>
    </w:p>
    <w:sectPr w:rsidR="004B6C6E" w:rsidRPr="004B6C6E" w:rsidSect="00BD218B">
      <w:footerReference w:type="default" r:id="rId14"/>
      <w:headerReference w:type="first" r:id="rId15"/>
      <w:pgSz w:w="11906" w:h="16838"/>
      <w:pgMar w:top="1972"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E3621" w14:textId="77777777" w:rsidR="00C1014D" w:rsidRDefault="00C1014D" w:rsidP="00360988">
      <w:pPr>
        <w:spacing w:after="0" w:line="240" w:lineRule="auto"/>
      </w:pPr>
      <w:r>
        <w:separator/>
      </w:r>
    </w:p>
  </w:endnote>
  <w:endnote w:type="continuationSeparator" w:id="0">
    <w:p w14:paraId="6F4D119E" w14:textId="77777777" w:rsidR="00C1014D" w:rsidRDefault="00C1014D" w:rsidP="0036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êM\Uˇ">
    <w:altName w:val="Times New Roman"/>
    <w:panose1 w:val="00000000000000000000"/>
    <w:charset w:val="4D"/>
    <w:family w:val="auto"/>
    <w:notTrueType/>
    <w:pitch w:val="default"/>
    <w:sig w:usb0="00000003" w:usb1="00000000" w:usb2="00000000" w:usb3="00000000" w:csb0="00000001" w:csb1="00000000"/>
  </w:font>
  <w:font w:name="Open Sans">
    <w:altName w:val="Tahoma"/>
    <w:panose1 w:val="020B0606030504020204"/>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96405"/>
      <w:docPartObj>
        <w:docPartGallery w:val="Page Numbers (Bottom of Page)"/>
        <w:docPartUnique/>
      </w:docPartObj>
    </w:sdtPr>
    <w:sdtEndPr/>
    <w:sdtContent>
      <w:p w14:paraId="0CE8ED60" w14:textId="530D3B40" w:rsidR="00A83DDF" w:rsidRDefault="00A83DDF" w:rsidP="007C2B88">
        <w:pPr>
          <w:pStyle w:val="Zpat"/>
          <w:jc w:val="center"/>
        </w:pPr>
        <w:r>
          <w:fldChar w:fldCharType="begin"/>
        </w:r>
        <w:r>
          <w:instrText>PAGE   \* MERGEFORMAT</w:instrText>
        </w:r>
        <w:r>
          <w:fldChar w:fldCharType="separate"/>
        </w:r>
        <w:r w:rsidR="00964DC2">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DE2CE" w14:textId="77777777" w:rsidR="00C1014D" w:rsidRDefault="00C1014D" w:rsidP="00360988">
      <w:pPr>
        <w:spacing w:after="0" w:line="240" w:lineRule="auto"/>
      </w:pPr>
      <w:r>
        <w:separator/>
      </w:r>
    </w:p>
  </w:footnote>
  <w:footnote w:type="continuationSeparator" w:id="0">
    <w:p w14:paraId="3061EB72" w14:textId="77777777" w:rsidR="00C1014D" w:rsidRDefault="00C1014D" w:rsidP="00360988">
      <w:pPr>
        <w:spacing w:after="0" w:line="240" w:lineRule="auto"/>
      </w:pPr>
      <w:r>
        <w:continuationSeparator/>
      </w:r>
    </w:p>
  </w:footnote>
  <w:footnote w:id="1">
    <w:p w14:paraId="46E52AFB" w14:textId="4ED2FD0A" w:rsidR="000D08D0" w:rsidRDefault="000D08D0" w:rsidP="000D08D0">
      <w:pPr>
        <w:pStyle w:val="Textpoznpodarou"/>
      </w:pPr>
      <w:r>
        <w:rPr>
          <w:rStyle w:val="Znakapoznpodarou"/>
        </w:rPr>
        <w:footnoteRef/>
      </w:r>
      <w:r>
        <w:t xml:space="preserve"> Viz </w:t>
      </w:r>
      <w:hyperlink r:id="rId1" w:history="1">
        <w:r w:rsidR="00696D4F" w:rsidRPr="0079201D">
          <w:rPr>
            <w:rStyle w:val="Hypertextovodkaz"/>
          </w:rPr>
          <w:t>https://ec.europa.eu/education/sites/education/files/monitor2017_en.pdf</w:t>
        </w:r>
      </w:hyperlink>
      <w:r w:rsidR="00696D4F">
        <w:t xml:space="preserve"> </w:t>
      </w:r>
    </w:p>
  </w:footnote>
  <w:footnote w:id="2">
    <w:p w14:paraId="15A42726" w14:textId="77777777" w:rsidR="00A83DDF" w:rsidRPr="006B2974" w:rsidRDefault="00A83DDF" w:rsidP="0090760A">
      <w:pPr>
        <w:pStyle w:val="Textpoznpodarou"/>
        <w:ind w:left="567" w:hanging="567"/>
      </w:pPr>
      <w:r>
        <w:rPr>
          <w:rStyle w:val="Znakapoznpodarou"/>
        </w:rPr>
        <w:footnoteRef/>
      </w:r>
      <w:r>
        <w:t xml:space="preserve"> </w:t>
      </w:r>
      <w:r>
        <w:tab/>
        <w:t xml:space="preserve">Viz stanovisko EHSV </w:t>
      </w:r>
      <w:r>
        <w:rPr>
          <w:i/>
        </w:rPr>
        <w:t>Nová agenda dovedností pro Evropu</w:t>
      </w:r>
      <w:r>
        <w:t xml:space="preserve">, </w:t>
      </w:r>
      <w:hyperlink r:id="rId2">
        <w:r>
          <w:rPr>
            <w:rStyle w:val="Hypertextovodkaz"/>
          </w:rPr>
          <w:t>Úř. věst. C 173, 31.5.2017, s. 45</w:t>
        </w:r>
      </w:hyperlink>
      <w:r>
        <w:t>.</w:t>
      </w:r>
    </w:p>
  </w:footnote>
  <w:footnote w:id="3">
    <w:p w14:paraId="557EA09D" w14:textId="77777777" w:rsidR="00A83DDF" w:rsidRPr="006B2974" w:rsidRDefault="00A83DDF" w:rsidP="0090760A">
      <w:pPr>
        <w:pStyle w:val="Textpoznpodarou"/>
        <w:ind w:left="567" w:hanging="567"/>
      </w:pPr>
      <w:r>
        <w:rPr>
          <w:rStyle w:val="Znakapoznpodarou"/>
        </w:rPr>
        <w:footnoteRef/>
      </w:r>
      <w:r>
        <w:t xml:space="preserve"> </w:t>
      </w:r>
      <w:r>
        <w:tab/>
      </w:r>
      <w:hyperlink r:id="rId3">
        <w:r>
          <w:rPr>
            <w:rStyle w:val="Hypertextovodkaz"/>
          </w:rPr>
          <w:t>Úř. věst. C 347, 18.12.2010, s. 1</w:t>
        </w:r>
      </w:hyperlink>
      <w:r>
        <w:t>.</w:t>
      </w:r>
    </w:p>
  </w:footnote>
  <w:footnote w:id="4">
    <w:p w14:paraId="75E48FA2" w14:textId="77777777" w:rsidR="00A83DDF" w:rsidRPr="006B2974" w:rsidRDefault="00A83DDF" w:rsidP="0090760A">
      <w:pPr>
        <w:pStyle w:val="Textpoznpodarou"/>
        <w:ind w:left="567" w:hanging="567"/>
      </w:pPr>
      <w:r>
        <w:rPr>
          <w:rStyle w:val="Znakapoznpodarou"/>
        </w:rPr>
        <w:footnoteRef/>
      </w:r>
      <w:r>
        <w:t xml:space="preserve"> </w:t>
      </w:r>
      <w:r>
        <w:tab/>
        <w:t>Například v Japonsku je vývoj her součástí osnov od věku 5 let; v Estonsku je základní a vizuální programování vyučováno od druhého stupně. Tyto příklady mohou sloužit jako průkopnické modely.</w:t>
      </w:r>
    </w:p>
  </w:footnote>
  <w:footnote w:id="5">
    <w:p w14:paraId="0ACC61FD" w14:textId="6BE06583" w:rsidR="00A83DDF" w:rsidRDefault="00A83DDF">
      <w:pPr>
        <w:pStyle w:val="Textpoznpodarou"/>
      </w:pPr>
      <w:r>
        <w:rPr>
          <w:rStyle w:val="Znakapoznpodarou"/>
        </w:rPr>
        <w:footnoteRef/>
      </w:r>
      <w:r>
        <w:t xml:space="preserve">         Usnesení Evropského parlamentu </w:t>
      </w:r>
      <w:hyperlink r:id="rId4" w:history="1">
        <w:r w:rsidRPr="00B21AD9">
          <w:t>2017/2002(INI)</w:t>
        </w:r>
      </w:hyperlink>
      <w:r>
        <w:t xml:space="preserve"> </w:t>
      </w:r>
      <w:r w:rsidRPr="00EA51DC">
        <w:t>ze</w:t>
      </w:r>
      <w:r>
        <w:rPr>
          <w:rFonts w:eastAsia="Times New Roman"/>
          <w:lang w:bidi="cs-CZ"/>
        </w:rPr>
        <w:t xml:space="preserve"> 14. září 2017.</w:t>
      </w:r>
    </w:p>
  </w:footnote>
  <w:footnote w:id="6">
    <w:p w14:paraId="5C672991" w14:textId="77777777" w:rsidR="00A83DDF" w:rsidRPr="00583A68" w:rsidRDefault="00A83DDF" w:rsidP="0090760A">
      <w:pPr>
        <w:pStyle w:val="Textpoznpodarou"/>
        <w:ind w:left="567" w:hanging="567"/>
      </w:pPr>
      <w:r>
        <w:rPr>
          <w:rStyle w:val="Znakapoznpodarou"/>
        </w:rPr>
        <w:footnoteRef/>
      </w:r>
      <w:r>
        <w:tab/>
        <w:t xml:space="preserve">Například finský vzdělávací systém obecně, gymnázium v kodaňské městské části </w:t>
      </w:r>
      <w:r>
        <w:t>Ørestad (Dánsko), mateřská škola Egalia ve Stockholmu (Švédsko) atd.</w:t>
      </w:r>
    </w:p>
  </w:footnote>
  <w:footnote w:id="7">
    <w:p w14:paraId="7CB29948" w14:textId="77777777" w:rsidR="00A83DDF" w:rsidRPr="006B2974" w:rsidRDefault="00A83DDF" w:rsidP="0090760A">
      <w:pPr>
        <w:pStyle w:val="Textpoznpodarou"/>
        <w:ind w:left="567" w:hanging="567"/>
      </w:pPr>
      <w:r>
        <w:rPr>
          <w:rStyle w:val="Znakapoznpodarou"/>
        </w:rPr>
        <w:footnoteRef/>
      </w:r>
      <w:r>
        <w:t xml:space="preserve"> </w:t>
      </w:r>
      <w:r>
        <w:tab/>
        <w:t xml:space="preserve">Institute </w:t>
      </w:r>
      <w:r>
        <w:t xml:space="preserve">for Prospective Technological studies (Ústav pro studium technologií budoucnosti), </w:t>
      </w:r>
      <w:hyperlink r:id="rId5">
        <w:r>
          <w:rPr>
            <w:rStyle w:val="Hypertextovodkaz"/>
            <w:i/>
          </w:rPr>
          <w:t>Policy brief on ICT for Learning, Innovation and Creativity (Stručné informace o politice na téma IKT pro učení, inovace a tvořivost)</w:t>
        </w:r>
      </w:hyperlink>
      <w:r>
        <w:t>, 2008.</w:t>
      </w:r>
    </w:p>
  </w:footnote>
  <w:footnote w:id="8">
    <w:p w14:paraId="6AAF57CA" w14:textId="77777777" w:rsidR="00A83DDF" w:rsidRPr="00583A68" w:rsidRDefault="00A83DDF" w:rsidP="0090760A">
      <w:pPr>
        <w:pStyle w:val="Textpoznpodarou"/>
        <w:ind w:left="567" w:hanging="567"/>
      </w:pPr>
      <w:r>
        <w:rPr>
          <w:rStyle w:val="Znakapoznpodarou"/>
        </w:rPr>
        <w:footnoteRef/>
      </w:r>
      <w:r>
        <w:t xml:space="preserve"> </w:t>
      </w:r>
      <w:r>
        <w:tab/>
        <w:t xml:space="preserve">Odborná skupina Komise na vysoké úrovni pro evropský </w:t>
      </w:r>
      <w:r>
        <w:t xml:space="preserve">cloud pro otevřenou vědu, </w:t>
      </w:r>
      <w:hyperlink r:id="rId6" w:anchor="view=fit&amp;pagemode=none">
        <w:r>
          <w:rPr>
            <w:rStyle w:val="Hypertextovodkaz"/>
            <w:i/>
          </w:rPr>
          <w:t>Realising the European Open Science Cloud (Uskutečnění evropského cloudu pro otevřenou vědu)</w:t>
        </w:r>
      </w:hyperlink>
      <w:r>
        <w:t>, 2016, s. 12.</w:t>
      </w:r>
    </w:p>
  </w:footnote>
  <w:footnote w:id="9">
    <w:p w14:paraId="55736608" w14:textId="77777777" w:rsidR="00A83DDF" w:rsidRPr="003B1E65" w:rsidRDefault="00A83DDF" w:rsidP="00452AE5">
      <w:pPr>
        <w:pStyle w:val="Textpoznpodarou"/>
      </w:pPr>
      <w:r>
        <w:rPr>
          <w:rStyle w:val="Znakapoznpodarou"/>
        </w:rPr>
        <w:footnoteRef/>
      </w:r>
      <w:r>
        <w:rPr>
          <w:rStyle w:val="Znakapoznpodarou"/>
        </w:rPr>
        <w:t xml:space="preserve"> </w:t>
      </w:r>
      <w:r>
        <w:tab/>
      </w:r>
      <w:hyperlink r:id="rId7">
        <w:r>
          <w:rPr>
            <w:rStyle w:val="Hypertextovodkaz"/>
          </w:rPr>
          <w:t>Zlepšování kvality výuky a učení v evropských systémech vysokoškolského vzdělávání</w:t>
        </w:r>
      </w:hyperlink>
      <w:r>
        <w:t>, zpráva skupiny na vysoké úrovni pro modernizaci vysokoškolského vzdělávání, Evropská komise, červen 2013.</w:t>
      </w:r>
    </w:p>
  </w:footnote>
  <w:footnote w:id="10">
    <w:p w14:paraId="471E14AD" w14:textId="77777777" w:rsidR="00A83DDF" w:rsidRPr="00C87DB6" w:rsidRDefault="00A83DDF" w:rsidP="00452AE5">
      <w:pPr>
        <w:pStyle w:val="Textpoznpodarou"/>
      </w:pPr>
      <w:r>
        <w:rPr>
          <w:rStyle w:val="Znakapoznpodarou"/>
        </w:rPr>
        <w:footnoteRef/>
      </w:r>
      <w:r>
        <w:t xml:space="preserve"> </w:t>
      </w:r>
      <w:r>
        <w:tab/>
        <w:t>Přehodnocení vzdělávání (SOC/476 – CES658-2013).</w:t>
      </w:r>
    </w:p>
  </w:footnote>
  <w:footnote w:id="11">
    <w:p w14:paraId="680C0D88" w14:textId="77777777" w:rsidR="00A83DDF" w:rsidRPr="003B1E65" w:rsidRDefault="00A83DDF" w:rsidP="00452AE5">
      <w:pPr>
        <w:pStyle w:val="Textpoznpodarou"/>
      </w:pPr>
      <w:r>
        <w:rPr>
          <w:rStyle w:val="Znakapoznpodarou"/>
        </w:rPr>
        <w:footnoteRef/>
      </w:r>
      <w:r>
        <w:rPr>
          <w:rStyle w:val="Znakapoznpodarou"/>
        </w:rPr>
        <w:t xml:space="preserve"> </w:t>
      </w:r>
      <w:r>
        <w:tab/>
        <w:t>Pracovní dokument útvarů Komise na téma „</w:t>
      </w:r>
      <w:hyperlink r:id="rId8">
        <w:r>
          <w:rPr>
            <w:rStyle w:val="Hypertextovodkaz"/>
          </w:rPr>
          <w:t>Partnerství a flexibilní formy celoživotního rozvoje dovedností</w:t>
        </w:r>
      </w:hyperlink>
      <w:r>
        <w:t>“, který doprovází sdělení Komise na téma „Přehodnocení vzdělávání: investice do dovedností pro dosažení lepších socioekonomických výsledků“.</w:t>
      </w:r>
    </w:p>
  </w:footnote>
  <w:footnote w:id="12">
    <w:p w14:paraId="31700EB2" w14:textId="77777777" w:rsidR="00A83DDF" w:rsidRPr="003B1E65" w:rsidRDefault="00A83DDF" w:rsidP="00452AE5">
      <w:pPr>
        <w:pStyle w:val="Textpoznpodarou"/>
      </w:pPr>
      <w:r>
        <w:rPr>
          <w:rStyle w:val="Znakapoznpodarou"/>
        </w:rPr>
        <w:footnoteRef/>
      </w:r>
      <w:r>
        <w:rPr>
          <w:rStyle w:val="Znakapoznpodarou"/>
        </w:rPr>
        <w:t xml:space="preserve"> </w:t>
      </w:r>
      <w:r>
        <w:tab/>
        <w:t>Pracovní dokument útvarů Komise doprovázející […] Návrh společné zprávy Rady a Komise pro rok 2015 o provádění strategického rámce evropské spolupráce v oblasti vzdělávání a odborné přípravy (ET 2020) – Nové priority evropské spolupráce v oblasti vzdělávání a odborné přípravy, srpen 2015.</w:t>
      </w:r>
    </w:p>
  </w:footnote>
  <w:footnote w:id="13">
    <w:p w14:paraId="32F098E8" w14:textId="1AF78FB1" w:rsidR="00A83DDF" w:rsidRPr="00C87DB6" w:rsidRDefault="00A83DDF" w:rsidP="00452AE5">
      <w:pPr>
        <w:pStyle w:val="Textpoznpodarou"/>
      </w:pPr>
      <w:r>
        <w:rPr>
          <w:rStyle w:val="Znakapoznpodarou"/>
        </w:rPr>
        <w:footnoteRef/>
      </w:r>
      <w:r>
        <w:t xml:space="preserve"> </w:t>
      </w:r>
      <w:r>
        <w:tab/>
      </w:r>
      <w:r w:rsidR="004B6C6E">
        <w:t xml:space="preserve">Stanovisko EHSV: </w:t>
      </w:r>
      <w:r>
        <w:t>Tvořivost a podnikání: nástroje k překonání krize (INT/519 - CESE 1165/2010).</w:t>
      </w:r>
    </w:p>
  </w:footnote>
  <w:footnote w:id="14">
    <w:p w14:paraId="768B1532" w14:textId="77777777" w:rsidR="00A83DDF" w:rsidRPr="00E11C58" w:rsidRDefault="00A83DDF" w:rsidP="0090760A">
      <w:pPr>
        <w:pStyle w:val="Textpoznpodarou"/>
        <w:ind w:left="567" w:hanging="567"/>
        <w:rPr>
          <w:i/>
        </w:rPr>
      </w:pPr>
      <w:r>
        <w:rPr>
          <w:rStyle w:val="Znakapoznpodarou"/>
        </w:rPr>
        <w:footnoteRef/>
      </w:r>
      <w:r>
        <w:tab/>
        <w:t xml:space="preserve">Viz stanovisko EHSV </w:t>
      </w:r>
      <w:r>
        <w:rPr>
          <w:i/>
        </w:rPr>
        <w:t>Dopady digitalizace na odvětví služeb a zaměstnanost ve vztahu k průmyslové změně</w:t>
      </w:r>
      <w:r>
        <w:t xml:space="preserve">, </w:t>
      </w:r>
      <w:hyperlink r:id="rId9">
        <w:r>
          <w:rPr>
            <w:rStyle w:val="Hypertextovodkaz"/>
          </w:rPr>
          <w:t>Úř. věst. C 13, 15.1.2016, s. 161</w:t>
        </w:r>
      </w:hyperlink>
      <w:r>
        <w:t>, odstavce 1.5.1 a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B7C1" w14:textId="77777777" w:rsidR="00A83DDF" w:rsidRDefault="00A83DDF" w:rsidP="003415A8">
    <w:pPr>
      <w:pStyle w:val="Zhlav"/>
    </w:pPr>
    <w:r w:rsidRPr="00360988">
      <w:rPr>
        <w:noProof/>
      </w:rPr>
      <w:drawing>
        <wp:anchor distT="0" distB="0" distL="114300" distR="114300" simplePos="0" relativeHeight="251659264" behindDoc="1" locked="0" layoutInCell="1" allowOverlap="1" wp14:anchorId="6F683FC0" wp14:editId="0D62A463">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25"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1C49125B" wp14:editId="3A51DCDD">
          <wp:extent cx="2628900" cy="545075"/>
          <wp:effectExtent l="0" t="0" r="0" b="7620"/>
          <wp:docPr id="26" name="Obrázek 2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14:paraId="66389F8E" w14:textId="1772C94C" w:rsidR="00A83DDF" w:rsidRPr="003415A8" w:rsidRDefault="00A83DDF" w:rsidP="003415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BF9"/>
    <w:multiLevelType w:val="hybridMultilevel"/>
    <w:tmpl w:val="4636FC5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16951BC"/>
    <w:multiLevelType w:val="hybridMultilevel"/>
    <w:tmpl w:val="DAB27A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24836C2"/>
    <w:multiLevelType w:val="hybridMultilevel"/>
    <w:tmpl w:val="D990230C"/>
    <w:lvl w:ilvl="0" w:tplc="95D81054">
      <w:numFmt w:val="bullet"/>
      <w:lvlText w:val="•"/>
      <w:lvlJc w:val="left"/>
      <w:pPr>
        <w:ind w:left="2490" w:hanging="690"/>
      </w:pPr>
      <w:rPr>
        <w:rFonts w:ascii="Calibri" w:eastAsiaTheme="minorEastAsia"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2C577F7"/>
    <w:multiLevelType w:val="hybridMultilevel"/>
    <w:tmpl w:val="C66A4518"/>
    <w:lvl w:ilvl="0" w:tplc="04050001">
      <w:start w:val="1"/>
      <w:numFmt w:val="bullet"/>
      <w:lvlText w:val=""/>
      <w:lvlJc w:val="left"/>
      <w:pPr>
        <w:ind w:left="1440" w:hanging="360"/>
      </w:pPr>
      <w:rPr>
        <w:rFonts w:ascii="Symbol" w:hAnsi="Symbol" w:hint="default"/>
      </w:rPr>
    </w:lvl>
    <w:lvl w:ilvl="1" w:tplc="2A10F578">
      <w:numFmt w:val="bullet"/>
      <w:lvlText w:val="-"/>
      <w:lvlJc w:val="left"/>
      <w:pPr>
        <w:ind w:left="2490" w:hanging="690"/>
      </w:pPr>
      <w:rPr>
        <w:rFonts w:ascii="Calibri" w:eastAsiaTheme="minorEastAsia"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7575684"/>
    <w:multiLevelType w:val="hybridMultilevel"/>
    <w:tmpl w:val="6642800A"/>
    <w:lvl w:ilvl="0" w:tplc="A838166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B84F47"/>
    <w:multiLevelType w:val="singleLevel"/>
    <w:tmpl w:val="71343100"/>
    <w:lvl w:ilvl="0">
      <w:start w:val="1"/>
      <w:numFmt w:val="bullet"/>
      <w:lvlText w:val=""/>
      <w:lvlJc w:val="left"/>
      <w:pPr>
        <w:ind w:left="927" w:hanging="360"/>
      </w:pPr>
      <w:rPr>
        <w:rFonts w:ascii="Symbol" w:hAnsi="Symbol" w:hint="default"/>
      </w:rPr>
    </w:lvl>
  </w:abstractNum>
  <w:abstractNum w:abstractNumId="6" w15:restartNumberingAfterBreak="0">
    <w:nsid w:val="0C51438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114F4895"/>
    <w:multiLevelType w:val="hybridMultilevel"/>
    <w:tmpl w:val="395AB136"/>
    <w:lvl w:ilvl="0" w:tplc="2CE82D10">
      <w:numFmt w:val="bullet"/>
      <w:lvlText w:val="-"/>
      <w:lvlJc w:val="left"/>
      <w:pPr>
        <w:ind w:left="720" w:hanging="360"/>
      </w:pPr>
      <w:rPr>
        <w:rFonts w:ascii="Georgia" w:eastAsia="Times New Roman" w:hAnsi="Georgia" w:cstheme="majorBidi"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BA2FFB"/>
    <w:multiLevelType w:val="hybridMultilevel"/>
    <w:tmpl w:val="FC2A72A2"/>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5190C7B"/>
    <w:multiLevelType w:val="hybridMultilevel"/>
    <w:tmpl w:val="D5B63C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AF306AB"/>
    <w:multiLevelType w:val="hybridMultilevel"/>
    <w:tmpl w:val="FBEC4E5E"/>
    <w:lvl w:ilvl="0" w:tplc="95D81054">
      <w:numFmt w:val="bullet"/>
      <w:lvlText w:val="•"/>
      <w:lvlJc w:val="left"/>
      <w:pPr>
        <w:ind w:left="2490" w:hanging="690"/>
      </w:pPr>
      <w:rPr>
        <w:rFonts w:ascii="Calibri" w:eastAsiaTheme="minorEastAsia"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1CB870A3"/>
    <w:multiLevelType w:val="singleLevel"/>
    <w:tmpl w:val="C9DA26BA"/>
    <w:lvl w:ilvl="0">
      <w:start w:val="1"/>
      <w:numFmt w:val="bullet"/>
      <w:lvlText w:val=""/>
      <w:lvlJc w:val="left"/>
      <w:pPr>
        <w:ind w:left="1080" w:hanging="360"/>
      </w:pPr>
      <w:rPr>
        <w:rFonts w:ascii="Symbol" w:hAnsi="Symbol" w:hint="default"/>
      </w:rPr>
    </w:lvl>
  </w:abstractNum>
  <w:abstractNum w:abstractNumId="12" w15:restartNumberingAfterBreak="0">
    <w:nsid w:val="1CF945CD"/>
    <w:multiLevelType w:val="hybridMultilevel"/>
    <w:tmpl w:val="07D4CD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99B5EA3"/>
    <w:multiLevelType w:val="hybridMultilevel"/>
    <w:tmpl w:val="3ADEBDD8"/>
    <w:lvl w:ilvl="0" w:tplc="D38AFC5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214A05"/>
    <w:multiLevelType w:val="hybridMultilevel"/>
    <w:tmpl w:val="B240CA0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352B0280"/>
    <w:multiLevelType w:val="singleLevel"/>
    <w:tmpl w:val="C9DA26BA"/>
    <w:lvl w:ilvl="0">
      <w:start w:val="1"/>
      <w:numFmt w:val="bullet"/>
      <w:lvlText w:val=""/>
      <w:lvlJc w:val="left"/>
      <w:pPr>
        <w:ind w:left="1080" w:hanging="360"/>
      </w:pPr>
      <w:rPr>
        <w:rFonts w:ascii="Symbol" w:hAnsi="Symbol" w:hint="default"/>
      </w:rPr>
    </w:lvl>
  </w:abstractNum>
  <w:abstractNum w:abstractNumId="16" w15:restartNumberingAfterBreak="0">
    <w:nsid w:val="3AB86B73"/>
    <w:multiLevelType w:val="hybridMultilevel"/>
    <w:tmpl w:val="C49E6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00B38FD"/>
    <w:multiLevelType w:val="hybridMultilevel"/>
    <w:tmpl w:val="E272E9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7507A02"/>
    <w:multiLevelType w:val="hybridMultilevel"/>
    <w:tmpl w:val="DEFE4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91530B"/>
    <w:multiLevelType w:val="hybridMultilevel"/>
    <w:tmpl w:val="310636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A3F0439"/>
    <w:multiLevelType w:val="hybridMultilevel"/>
    <w:tmpl w:val="50BEF1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1F621E5"/>
    <w:multiLevelType w:val="singleLevel"/>
    <w:tmpl w:val="C9DA26BA"/>
    <w:lvl w:ilvl="0">
      <w:start w:val="1"/>
      <w:numFmt w:val="bullet"/>
      <w:lvlText w:val=""/>
      <w:lvlJc w:val="left"/>
      <w:pPr>
        <w:ind w:left="1080" w:hanging="360"/>
      </w:pPr>
      <w:rPr>
        <w:rFonts w:ascii="Symbol" w:hAnsi="Symbol" w:hint="default"/>
      </w:rPr>
    </w:lvl>
  </w:abstractNum>
  <w:abstractNum w:abstractNumId="22" w15:restartNumberingAfterBreak="0">
    <w:nsid w:val="52FB2242"/>
    <w:multiLevelType w:val="hybridMultilevel"/>
    <w:tmpl w:val="DAAC7A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31B70A1"/>
    <w:multiLevelType w:val="hybridMultilevel"/>
    <w:tmpl w:val="3E326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B15FA8"/>
    <w:multiLevelType w:val="multilevel"/>
    <w:tmpl w:val="DE1A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B66481"/>
    <w:multiLevelType w:val="hybridMultilevel"/>
    <w:tmpl w:val="F94C5EF8"/>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E873481"/>
    <w:multiLevelType w:val="hybridMultilevel"/>
    <w:tmpl w:val="124C2CD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EB17FC6"/>
    <w:multiLevelType w:val="hybridMultilevel"/>
    <w:tmpl w:val="390AA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4C2A6B"/>
    <w:multiLevelType w:val="hybridMultilevel"/>
    <w:tmpl w:val="0AD872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46F3C84"/>
    <w:multiLevelType w:val="hybridMultilevel"/>
    <w:tmpl w:val="4AE229D2"/>
    <w:lvl w:ilvl="0" w:tplc="04050001">
      <w:start w:val="1"/>
      <w:numFmt w:val="bullet"/>
      <w:lvlText w:val=""/>
      <w:lvlJc w:val="left"/>
      <w:pPr>
        <w:ind w:left="1440" w:hanging="360"/>
      </w:pPr>
      <w:rPr>
        <w:rFonts w:ascii="Symbol" w:hAnsi="Symbol" w:hint="default"/>
      </w:rPr>
    </w:lvl>
    <w:lvl w:ilvl="1" w:tplc="D08E8758">
      <w:numFmt w:val="bullet"/>
      <w:lvlText w:val="-"/>
      <w:lvlJc w:val="left"/>
      <w:pPr>
        <w:ind w:left="2490" w:hanging="690"/>
      </w:pPr>
      <w:rPr>
        <w:rFonts w:ascii="Calibri" w:eastAsiaTheme="minorEastAsia"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8AD7673"/>
    <w:multiLevelType w:val="hybridMultilevel"/>
    <w:tmpl w:val="F3F48308"/>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C623AA8"/>
    <w:multiLevelType w:val="hybridMultilevel"/>
    <w:tmpl w:val="D8E0B17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D842846"/>
    <w:multiLevelType w:val="hybridMultilevel"/>
    <w:tmpl w:val="8DC2AC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16F6FD0"/>
    <w:multiLevelType w:val="hybridMultilevel"/>
    <w:tmpl w:val="BE4E36A6"/>
    <w:lvl w:ilvl="0" w:tplc="95D81054">
      <w:numFmt w:val="bullet"/>
      <w:lvlText w:val="•"/>
      <w:lvlJc w:val="left"/>
      <w:pPr>
        <w:ind w:left="1410" w:hanging="69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3555C6B"/>
    <w:multiLevelType w:val="hybridMultilevel"/>
    <w:tmpl w:val="799608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77807F8"/>
    <w:multiLevelType w:val="hybridMultilevel"/>
    <w:tmpl w:val="EFF2CBE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7BE67624"/>
    <w:multiLevelType w:val="hybridMultilevel"/>
    <w:tmpl w:val="21D69B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7C313479"/>
    <w:multiLevelType w:val="singleLevel"/>
    <w:tmpl w:val="71343100"/>
    <w:lvl w:ilvl="0">
      <w:start w:val="1"/>
      <w:numFmt w:val="bullet"/>
      <w:lvlText w:val=""/>
      <w:lvlJc w:val="left"/>
      <w:pPr>
        <w:ind w:left="927" w:hanging="360"/>
      </w:pPr>
      <w:rPr>
        <w:rFonts w:ascii="Symbol" w:hAnsi="Symbol" w:hint="default"/>
      </w:rPr>
    </w:lvl>
  </w:abstractNum>
  <w:abstractNum w:abstractNumId="38" w15:restartNumberingAfterBreak="0">
    <w:nsid w:val="7FF70437"/>
    <w:multiLevelType w:val="hybridMultilevel"/>
    <w:tmpl w:val="B6962C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7"/>
  </w:num>
  <w:num w:numId="2">
    <w:abstractNumId w:val="29"/>
  </w:num>
  <w:num w:numId="3">
    <w:abstractNumId w:val="3"/>
  </w:num>
  <w:num w:numId="4">
    <w:abstractNumId w:val="34"/>
  </w:num>
  <w:num w:numId="5">
    <w:abstractNumId w:val="9"/>
  </w:num>
  <w:num w:numId="6">
    <w:abstractNumId w:val="32"/>
  </w:num>
  <w:num w:numId="7">
    <w:abstractNumId w:val="17"/>
  </w:num>
  <w:num w:numId="8">
    <w:abstractNumId w:val="38"/>
  </w:num>
  <w:num w:numId="9">
    <w:abstractNumId w:val="33"/>
  </w:num>
  <w:num w:numId="10">
    <w:abstractNumId w:val="25"/>
  </w:num>
  <w:num w:numId="11">
    <w:abstractNumId w:val="31"/>
  </w:num>
  <w:num w:numId="12">
    <w:abstractNumId w:val="26"/>
  </w:num>
  <w:num w:numId="13">
    <w:abstractNumId w:val="8"/>
  </w:num>
  <w:num w:numId="14">
    <w:abstractNumId w:val="10"/>
  </w:num>
  <w:num w:numId="15">
    <w:abstractNumId w:val="2"/>
  </w:num>
  <w:num w:numId="16">
    <w:abstractNumId w:val="30"/>
  </w:num>
  <w:num w:numId="17">
    <w:abstractNumId w:val="0"/>
  </w:num>
  <w:num w:numId="18">
    <w:abstractNumId w:val="19"/>
  </w:num>
  <w:num w:numId="19">
    <w:abstractNumId w:val="20"/>
  </w:num>
  <w:num w:numId="20">
    <w:abstractNumId w:val="28"/>
  </w:num>
  <w:num w:numId="21">
    <w:abstractNumId w:val="12"/>
  </w:num>
  <w:num w:numId="22">
    <w:abstractNumId w:val="16"/>
  </w:num>
  <w:num w:numId="23">
    <w:abstractNumId w:val="22"/>
  </w:num>
  <w:num w:numId="24">
    <w:abstractNumId w:val="36"/>
  </w:num>
  <w:num w:numId="25">
    <w:abstractNumId w:val="1"/>
  </w:num>
  <w:num w:numId="26">
    <w:abstractNumId w:val="35"/>
  </w:num>
  <w:num w:numId="27">
    <w:abstractNumId w:val="14"/>
  </w:num>
  <w:num w:numId="28">
    <w:abstractNumId w:val="6"/>
  </w:num>
  <w:num w:numId="29">
    <w:abstractNumId w:val="24"/>
  </w:num>
  <w:num w:numId="30">
    <w:abstractNumId w:val="21"/>
  </w:num>
  <w:num w:numId="31">
    <w:abstractNumId w:val="15"/>
  </w:num>
  <w:num w:numId="32">
    <w:abstractNumId w:val="11"/>
  </w:num>
  <w:num w:numId="33">
    <w:abstractNumId w:val="37"/>
  </w:num>
  <w:num w:numId="34">
    <w:abstractNumId w:val="5"/>
  </w:num>
  <w:num w:numId="35">
    <w:abstractNumId w:val="23"/>
  </w:num>
  <w:num w:numId="36">
    <w:abstractNumId w:val="18"/>
  </w:num>
  <w:num w:numId="37">
    <w:abstractNumId w:val="4"/>
  </w:num>
  <w:num w:numId="38">
    <w:abstractNumId w:val="1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346"/>
    <w:rsid w:val="000002C2"/>
    <w:rsid w:val="000270BB"/>
    <w:rsid w:val="00040C15"/>
    <w:rsid w:val="00050544"/>
    <w:rsid w:val="00055D33"/>
    <w:rsid w:val="000715F9"/>
    <w:rsid w:val="0007425B"/>
    <w:rsid w:val="0008201C"/>
    <w:rsid w:val="00082596"/>
    <w:rsid w:val="00087EE4"/>
    <w:rsid w:val="000D08D0"/>
    <w:rsid w:val="000E7F28"/>
    <w:rsid w:val="00102346"/>
    <w:rsid w:val="001172ED"/>
    <w:rsid w:val="00123AB3"/>
    <w:rsid w:val="00124E5D"/>
    <w:rsid w:val="00125944"/>
    <w:rsid w:val="00127009"/>
    <w:rsid w:val="00127662"/>
    <w:rsid w:val="00141D6C"/>
    <w:rsid w:val="00155001"/>
    <w:rsid w:val="001560C8"/>
    <w:rsid w:val="001566BA"/>
    <w:rsid w:val="001648B2"/>
    <w:rsid w:val="00170F22"/>
    <w:rsid w:val="001825C8"/>
    <w:rsid w:val="001858B6"/>
    <w:rsid w:val="001948A8"/>
    <w:rsid w:val="00195447"/>
    <w:rsid w:val="001A1AA9"/>
    <w:rsid w:val="001A6977"/>
    <w:rsid w:val="001B2E0B"/>
    <w:rsid w:val="001B384C"/>
    <w:rsid w:val="001B5948"/>
    <w:rsid w:val="001C4DDA"/>
    <w:rsid w:val="001C72F2"/>
    <w:rsid w:val="001C7FC8"/>
    <w:rsid w:val="001E196A"/>
    <w:rsid w:val="001F3A96"/>
    <w:rsid w:val="002172E4"/>
    <w:rsid w:val="00220751"/>
    <w:rsid w:val="00222844"/>
    <w:rsid w:val="002234A9"/>
    <w:rsid w:val="00226046"/>
    <w:rsid w:val="0023002C"/>
    <w:rsid w:val="00234B78"/>
    <w:rsid w:val="00242817"/>
    <w:rsid w:val="00251B0E"/>
    <w:rsid w:val="00251EB4"/>
    <w:rsid w:val="002679D8"/>
    <w:rsid w:val="00281410"/>
    <w:rsid w:val="00292AF7"/>
    <w:rsid w:val="00295DD7"/>
    <w:rsid w:val="002C0162"/>
    <w:rsid w:val="002C3EEA"/>
    <w:rsid w:val="002C6348"/>
    <w:rsid w:val="002D2102"/>
    <w:rsid w:val="002D6A46"/>
    <w:rsid w:val="002D6ACD"/>
    <w:rsid w:val="003059B4"/>
    <w:rsid w:val="00306160"/>
    <w:rsid w:val="00311617"/>
    <w:rsid w:val="00322AD6"/>
    <w:rsid w:val="0032457D"/>
    <w:rsid w:val="00325465"/>
    <w:rsid w:val="00331FCC"/>
    <w:rsid w:val="003407CD"/>
    <w:rsid w:val="003415A8"/>
    <w:rsid w:val="00347680"/>
    <w:rsid w:val="003503A0"/>
    <w:rsid w:val="00360988"/>
    <w:rsid w:val="00360B2F"/>
    <w:rsid w:val="00361A46"/>
    <w:rsid w:val="00364C87"/>
    <w:rsid w:val="003802A3"/>
    <w:rsid w:val="0039442B"/>
    <w:rsid w:val="003B4ADC"/>
    <w:rsid w:val="003D277D"/>
    <w:rsid w:val="003D71CA"/>
    <w:rsid w:val="003E08ED"/>
    <w:rsid w:val="00402B01"/>
    <w:rsid w:val="0040376B"/>
    <w:rsid w:val="00410DD5"/>
    <w:rsid w:val="00412093"/>
    <w:rsid w:val="004265B3"/>
    <w:rsid w:val="00433531"/>
    <w:rsid w:val="004360EB"/>
    <w:rsid w:val="0045201B"/>
    <w:rsid w:val="00452AE5"/>
    <w:rsid w:val="00460338"/>
    <w:rsid w:val="00461DE7"/>
    <w:rsid w:val="00461E6D"/>
    <w:rsid w:val="00462687"/>
    <w:rsid w:val="00466065"/>
    <w:rsid w:val="00472419"/>
    <w:rsid w:val="004809C7"/>
    <w:rsid w:val="0048772E"/>
    <w:rsid w:val="00493F89"/>
    <w:rsid w:val="00495A47"/>
    <w:rsid w:val="004A0B03"/>
    <w:rsid w:val="004B6C6E"/>
    <w:rsid w:val="004C2F42"/>
    <w:rsid w:val="004C6B1B"/>
    <w:rsid w:val="004D3C07"/>
    <w:rsid w:val="004D4293"/>
    <w:rsid w:val="004D4AED"/>
    <w:rsid w:val="004D5704"/>
    <w:rsid w:val="004D5CEC"/>
    <w:rsid w:val="004E2B14"/>
    <w:rsid w:val="004F0948"/>
    <w:rsid w:val="004F1ECE"/>
    <w:rsid w:val="004F6C36"/>
    <w:rsid w:val="00504597"/>
    <w:rsid w:val="005052AC"/>
    <w:rsid w:val="0051241B"/>
    <w:rsid w:val="0051361A"/>
    <w:rsid w:val="005213E9"/>
    <w:rsid w:val="005269CF"/>
    <w:rsid w:val="00543A1F"/>
    <w:rsid w:val="00544D89"/>
    <w:rsid w:val="00554678"/>
    <w:rsid w:val="005678BF"/>
    <w:rsid w:val="00576B90"/>
    <w:rsid w:val="0057755B"/>
    <w:rsid w:val="00577EE7"/>
    <w:rsid w:val="0058146C"/>
    <w:rsid w:val="00583A68"/>
    <w:rsid w:val="005864B7"/>
    <w:rsid w:val="0058723C"/>
    <w:rsid w:val="0059128C"/>
    <w:rsid w:val="005912EC"/>
    <w:rsid w:val="005A4383"/>
    <w:rsid w:val="005A44C4"/>
    <w:rsid w:val="005B25C6"/>
    <w:rsid w:val="005B3FAA"/>
    <w:rsid w:val="005E1128"/>
    <w:rsid w:val="005E2485"/>
    <w:rsid w:val="00600032"/>
    <w:rsid w:val="0060451D"/>
    <w:rsid w:val="006168FA"/>
    <w:rsid w:val="006207B3"/>
    <w:rsid w:val="006215D6"/>
    <w:rsid w:val="0062416A"/>
    <w:rsid w:val="00630870"/>
    <w:rsid w:val="0064798B"/>
    <w:rsid w:val="006707D7"/>
    <w:rsid w:val="00683CF8"/>
    <w:rsid w:val="00690432"/>
    <w:rsid w:val="00696D4F"/>
    <w:rsid w:val="00697B54"/>
    <w:rsid w:val="006B14E2"/>
    <w:rsid w:val="006B51BE"/>
    <w:rsid w:val="006C1851"/>
    <w:rsid w:val="006C7067"/>
    <w:rsid w:val="006F0638"/>
    <w:rsid w:val="006F1BE5"/>
    <w:rsid w:val="006F1E24"/>
    <w:rsid w:val="006F7114"/>
    <w:rsid w:val="007175AB"/>
    <w:rsid w:val="00724321"/>
    <w:rsid w:val="00737A06"/>
    <w:rsid w:val="00741E5D"/>
    <w:rsid w:val="007437EC"/>
    <w:rsid w:val="007515B0"/>
    <w:rsid w:val="00764E76"/>
    <w:rsid w:val="00792369"/>
    <w:rsid w:val="00795328"/>
    <w:rsid w:val="007A04CD"/>
    <w:rsid w:val="007B2416"/>
    <w:rsid w:val="007C2B88"/>
    <w:rsid w:val="007F45FB"/>
    <w:rsid w:val="00803A46"/>
    <w:rsid w:val="00820214"/>
    <w:rsid w:val="00825570"/>
    <w:rsid w:val="0083228C"/>
    <w:rsid w:val="00834285"/>
    <w:rsid w:val="008365F1"/>
    <w:rsid w:val="00840491"/>
    <w:rsid w:val="00840864"/>
    <w:rsid w:val="008409CB"/>
    <w:rsid w:val="0085142F"/>
    <w:rsid w:val="00863830"/>
    <w:rsid w:val="00881BAC"/>
    <w:rsid w:val="00883B1A"/>
    <w:rsid w:val="00885071"/>
    <w:rsid w:val="008C569D"/>
    <w:rsid w:val="008D6C71"/>
    <w:rsid w:val="008E7A47"/>
    <w:rsid w:val="008F214A"/>
    <w:rsid w:val="008F47BE"/>
    <w:rsid w:val="0090760A"/>
    <w:rsid w:val="009128BB"/>
    <w:rsid w:val="00924805"/>
    <w:rsid w:val="00950DA9"/>
    <w:rsid w:val="009608BF"/>
    <w:rsid w:val="009615B7"/>
    <w:rsid w:val="00964DC2"/>
    <w:rsid w:val="00983931"/>
    <w:rsid w:val="00984404"/>
    <w:rsid w:val="00985016"/>
    <w:rsid w:val="009931ED"/>
    <w:rsid w:val="00995B09"/>
    <w:rsid w:val="009A3629"/>
    <w:rsid w:val="009C0D06"/>
    <w:rsid w:val="009C35DA"/>
    <w:rsid w:val="009C60CA"/>
    <w:rsid w:val="009E4B81"/>
    <w:rsid w:val="009E5C77"/>
    <w:rsid w:val="009F2CD7"/>
    <w:rsid w:val="00A007D7"/>
    <w:rsid w:val="00A04D85"/>
    <w:rsid w:val="00A1529B"/>
    <w:rsid w:val="00A16A95"/>
    <w:rsid w:val="00A1725A"/>
    <w:rsid w:val="00A25133"/>
    <w:rsid w:val="00A25F74"/>
    <w:rsid w:val="00A300A5"/>
    <w:rsid w:val="00A325B3"/>
    <w:rsid w:val="00A4715B"/>
    <w:rsid w:val="00A51DB1"/>
    <w:rsid w:val="00A52E87"/>
    <w:rsid w:val="00A63C16"/>
    <w:rsid w:val="00A7423A"/>
    <w:rsid w:val="00A8210C"/>
    <w:rsid w:val="00A833C3"/>
    <w:rsid w:val="00A83DDF"/>
    <w:rsid w:val="00A97EB0"/>
    <w:rsid w:val="00AA2228"/>
    <w:rsid w:val="00AA2A12"/>
    <w:rsid w:val="00AA3D03"/>
    <w:rsid w:val="00AA6B45"/>
    <w:rsid w:val="00AD100D"/>
    <w:rsid w:val="00AE2B77"/>
    <w:rsid w:val="00AE6F73"/>
    <w:rsid w:val="00B04DF9"/>
    <w:rsid w:val="00B06369"/>
    <w:rsid w:val="00B21AD9"/>
    <w:rsid w:val="00B32E42"/>
    <w:rsid w:val="00B35766"/>
    <w:rsid w:val="00B53D57"/>
    <w:rsid w:val="00B5695B"/>
    <w:rsid w:val="00B67119"/>
    <w:rsid w:val="00B70D03"/>
    <w:rsid w:val="00B77BF0"/>
    <w:rsid w:val="00B84B74"/>
    <w:rsid w:val="00B94DDB"/>
    <w:rsid w:val="00BA1052"/>
    <w:rsid w:val="00BA2049"/>
    <w:rsid w:val="00BA25E5"/>
    <w:rsid w:val="00BA666A"/>
    <w:rsid w:val="00BA7296"/>
    <w:rsid w:val="00BB1252"/>
    <w:rsid w:val="00BB16EB"/>
    <w:rsid w:val="00BC7E1A"/>
    <w:rsid w:val="00BD218B"/>
    <w:rsid w:val="00BD7509"/>
    <w:rsid w:val="00BF4C2D"/>
    <w:rsid w:val="00BF68D4"/>
    <w:rsid w:val="00C01418"/>
    <w:rsid w:val="00C0492D"/>
    <w:rsid w:val="00C1014D"/>
    <w:rsid w:val="00C10244"/>
    <w:rsid w:val="00C20FDF"/>
    <w:rsid w:val="00C30CC9"/>
    <w:rsid w:val="00C34651"/>
    <w:rsid w:val="00C46FCE"/>
    <w:rsid w:val="00C54E5D"/>
    <w:rsid w:val="00C622D3"/>
    <w:rsid w:val="00C71B1A"/>
    <w:rsid w:val="00C92A9B"/>
    <w:rsid w:val="00CA29F6"/>
    <w:rsid w:val="00CB1D77"/>
    <w:rsid w:val="00CB4789"/>
    <w:rsid w:val="00CC088D"/>
    <w:rsid w:val="00CD135C"/>
    <w:rsid w:val="00CE18A4"/>
    <w:rsid w:val="00CF0732"/>
    <w:rsid w:val="00CF1791"/>
    <w:rsid w:val="00D13EA5"/>
    <w:rsid w:val="00D21B2B"/>
    <w:rsid w:val="00D312B3"/>
    <w:rsid w:val="00D323C7"/>
    <w:rsid w:val="00D347F4"/>
    <w:rsid w:val="00D374C5"/>
    <w:rsid w:val="00D465CC"/>
    <w:rsid w:val="00D56561"/>
    <w:rsid w:val="00D62689"/>
    <w:rsid w:val="00D6584E"/>
    <w:rsid w:val="00D82BE0"/>
    <w:rsid w:val="00D8313B"/>
    <w:rsid w:val="00D8390B"/>
    <w:rsid w:val="00DB66E7"/>
    <w:rsid w:val="00DD2B90"/>
    <w:rsid w:val="00DD4D22"/>
    <w:rsid w:val="00DD7701"/>
    <w:rsid w:val="00DE40AD"/>
    <w:rsid w:val="00DE701E"/>
    <w:rsid w:val="00DF197E"/>
    <w:rsid w:val="00DF25B4"/>
    <w:rsid w:val="00DF74DB"/>
    <w:rsid w:val="00E022BE"/>
    <w:rsid w:val="00E14349"/>
    <w:rsid w:val="00E3004B"/>
    <w:rsid w:val="00E34252"/>
    <w:rsid w:val="00E37D49"/>
    <w:rsid w:val="00E41131"/>
    <w:rsid w:val="00E449B8"/>
    <w:rsid w:val="00E71B63"/>
    <w:rsid w:val="00E74AFA"/>
    <w:rsid w:val="00E842DD"/>
    <w:rsid w:val="00EA4BF2"/>
    <w:rsid w:val="00EA51DC"/>
    <w:rsid w:val="00EB15DC"/>
    <w:rsid w:val="00ED2876"/>
    <w:rsid w:val="00EE2375"/>
    <w:rsid w:val="00EE28E8"/>
    <w:rsid w:val="00EF7439"/>
    <w:rsid w:val="00F14011"/>
    <w:rsid w:val="00F225C4"/>
    <w:rsid w:val="00F2504D"/>
    <w:rsid w:val="00F36790"/>
    <w:rsid w:val="00F375DD"/>
    <w:rsid w:val="00F44B75"/>
    <w:rsid w:val="00F62502"/>
    <w:rsid w:val="00F7289F"/>
    <w:rsid w:val="00F832F1"/>
    <w:rsid w:val="00F87EAC"/>
    <w:rsid w:val="00FA48D9"/>
    <w:rsid w:val="00FE1F31"/>
    <w:rsid w:val="00FE5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50B7"/>
  <w15:docId w15:val="{E9F5821A-5332-41BD-87A9-E7CE6F67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81BAC"/>
    <w:pPr>
      <w:spacing w:after="240"/>
    </w:pPr>
  </w:style>
  <w:style w:type="paragraph" w:styleId="Nadpis1">
    <w:name w:val="heading 1"/>
    <w:basedOn w:val="Normln"/>
    <w:next w:val="Normln"/>
    <w:link w:val="Nadpis1Char"/>
    <w:uiPriority w:val="9"/>
    <w:qFormat/>
    <w:rsid w:val="00881BAC"/>
    <w:pPr>
      <w:keepNext/>
      <w:keepLines/>
      <w:numPr>
        <w:numId w:val="28"/>
      </w:numPr>
      <w:spacing w:before="240" w:after="0"/>
      <w:ind w:left="0" w:firstLine="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4285"/>
    <w:pPr>
      <w:keepNext/>
      <w:keepLines/>
      <w:numPr>
        <w:ilvl w:val="1"/>
        <w:numId w:val="28"/>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834285"/>
    <w:pPr>
      <w:keepNext/>
      <w:keepLines/>
      <w:numPr>
        <w:ilvl w:val="2"/>
        <w:numId w:val="28"/>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834285"/>
    <w:pPr>
      <w:keepNext/>
      <w:keepLines/>
      <w:numPr>
        <w:ilvl w:val="3"/>
        <w:numId w:val="28"/>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834285"/>
    <w:pPr>
      <w:keepNext/>
      <w:keepLines/>
      <w:numPr>
        <w:ilvl w:val="4"/>
        <w:numId w:val="28"/>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834285"/>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34285"/>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3428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3428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346"/>
    <w:pPr>
      <w:ind w:left="720"/>
      <w:contextualSpacing/>
    </w:pPr>
  </w:style>
  <w:style w:type="paragraph" w:styleId="Zhlav">
    <w:name w:val="header"/>
    <w:basedOn w:val="Normln"/>
    <w:link w:val="ZhlavChar"/>
    <w:uiPriority w:val="99"/>
    <w:unhideWhenUsed/>
    <w:rsid w:val="003609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988"/>
  </w:style>
  <w:style w:type="paragraph" w:styleId="Zpat">
    <w:name w:val="footer"/>
    <w:basedOn w:val="Normln"/>
    <w:link w:val="ZpatChar"/>
    <w:uiPriority w:val="99"/>
    <w:unhideWhenUsed/>
    <w:rsid w:val="00360988"/>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988"/>
  </w:style>
  <w:style w:type="paragraph" w:styleId="Textbubliny">
    <w:name w:val="Balloon Text"/>
    <w:basedOn w:val="Normln"/>
    <w:link w:val="TextbublinyChar"/>
    <w:uiPriority w:val="99"/>
    <w:semiHidden/>
    <w:unhideWhenUsed/>
    <w:rsid w:val="003609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988"/>
    <w:rPr>
      <w:rFonts w:ascii="Tahoma" w:hAnsi="Tahoma" w:cs="Tahoma"/>
      <w:sz w:val="16"/>
      <w:szCs w:val="16"/>
    </w:rPr>
  </w:style>
  <w:style w:type="character" w:styleId="Hypertextovodkaz">
    <w:name w:val="Hyperlink"/>
    <w:basedOn w:val="Standardnpsmoodstavce"/>
    <w:uiPriority w:val="99"/>
    <w:unhideWhenUsed/>
    <w:rsid w:val="004D3C07"/>
    <w:rPr>
      <w:color w:val="0000FF" w:themeColor="hyperlink"/>
      <w:u w:val="single"/>
    </w:rPr>
  </w:style>
  <w:style w:type="paragraph" w:styleId="Bezmezer">
    <w:name w:val="No Spacing"/>
    <w:uiPriority w:val="1"/>
    <w:qFormat/>
    <w:rsid w:val="008D6C71"/>
    <w:pPr>
      <w:spacing w:after="0" w:line="240" w:lineRule="auto"/>
    </w:pPr>
  </w:style>
  <w:style w:type="table" w:styleId="Mkatabulky">
    <w:name w:val="Table Grid"/>
    <w:basedOn w:val="Normlntabulka"/>
    <w:uiPriority w:val="59"/>
    <w:rsid w:val="00EF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81BAC"/>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834285"/>
    <w:pPr>
      <w:spacing w:line="259" w:lineRule="auto"/>
      <w:outlineLvl w:val="9"/>
    </w:pPr>
  </w:style>
  <w:style w:type="character" w:customStyle="1" w:styleId="Nadpis2Char">
    <w:name w:val="Nadpis 2 Char"/>
    <w:basedOn w:val="Standardnpsmoodstavce"/>
    <w:link w:val="Nadpis2"/>
    <w:uiPriority w:val="9"/>
    <w:rsid w:val="0083428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83428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83428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834285"/>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83428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83428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83428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34285"/>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B67119"/>
    <w:pPr>
      <w:spacing w:before="360" w:after="0"/>
    </w:pPr>
    <w:rPr>
      <w:rFonts w:asciiTheme="majorHAnsi" w:hAnsiTheme="majorHAnsi"/>
      <w:b/>
      <w:bCs/>
      <w:caps/>
      <w:sz w:val="24"/>
      <w:szCs w:val="24"/>
    </w:rPr>
  </w:style>
  <w:style w:type="paragraph" w:styleId="Obsah2">
    <w:name w:val="toc 2"/>
    <w:basedOn w:val="Normln"/>
    <w:next w:val="Normln"/>
    <w:autoRedefine/>
    <w:uiPriority w:val="39"/>
    <w:unhideWhenUsed/>
    <w:rsid w:val="005052AC"/>
    <w:pPr>
      <w:tabs>
        <w:tab w:val="left" w:pos="660"/>
        <w:tab w:val="right" w:leader="dot" w:pos="9062"/>
      </w:tabs>
      <w:spacing w:before="240" w:after="0"/>
    </w:pPr>
    <w:rPr>
      <w:rFonts w:cstheme="minorHAnsi"/>
      <w:b/>
      <w:bCs/>
      <w:sz w:val="20"/>
      <w:szCs w:val="20"/>
    </w:rPr>
  </w:style>
  <w:style w:type="paragraph" w:styleId="Obsah3">
    <w:name w:val="toc 3"/>
    <w:basedOn w:val="Normln"/>
    <w:next w:val="Normln"/>
    <w:autoRedefine/>
    <w:uiPriority w:val="39"/>
    <w:unhideWhenUsed/>
    <w:rsid w:val="00B67119"/>
    <w:pPr>
      <w:spacing w:after="0"/>
      <w:ind w:left="220"/>
    </w:pPr>
    <w:rPr>
      <w:rFonts w:cstheme="minorHAnsi"/>
      <w:sz w:val="20"/>
      <w:szCs w:val="20"/>
    </w:rPr>
  </w:style>
  <w:style w:type="character" w:styleId="Odkaznakoment">
    <w:name w:val="annotation reference"/>
    <w:basedOn w:val="Standardnpsmoodstavce"/>
    <w:uiPriority w:val="99"/>
    <w:semiHidden/>
    <w:unhideWhenUsed/>
    <w:rsid w:val="00F36790"/>
    <w:rPr>
      <w:sz w:val="16"/>
      <w:szCs w:val="16"/>
    </w:rPr>
  </w:style>
  <w:style w:type="paragraph" w:styleId="Textkomente">
    <w:name w:val="annotation text"/>
    <w:basedOn w:val="Normln"/>
    <w:link w:val="TextkomenteChar"/>
    <w:uiPriority w:val="99"/>
    <w:semiHidden/>
    <w:unhideWhenUsed/>
    <w:rsid w:val="00F3679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790"/>
    <w:rPr>
      <w:sz w:val="20"/>
      <w:szCs w:val="20"/>
    </w:rPr>
  </w:style>
  <w:style w:type="paragraph" w:styleId="Pedmtkomente">
    <w:name w:val="annotation subject"/>
    <w:basedOn w:val="Textkomente"/>
    <w:next w:val="Textkomente"/>
    <w:link w:val="PedmtkomenteChar"/>
    <w:uiPriority w:val="99"/>
    <w:semiHidden/>
    <w:unhideWhenUsed/>
    <w:rsid w:val="00F36790"/>
    <w:rPr>
      <w:b/>
      <w:bCs/>
    </w:rPr>
  </w:style>
  <w:style w:type="character" w:customStyle="1" w:styleId="PedmtkomenteChar">
    <w:name w:val="Předmět komentáře Char"/>
    <w:basedOn w:val="TextkomenteChar"/>
    <w:link w:val="Pedmtkomente"/>
    <w:uiPriority w:val="99"/>
    <w:semiHidden/>
    <w:rsid w:val="00F36790"/>
    <w:rPr>
      <w:b/>
      <w:bCs/>
      <w:sz w:val="20"/>
      <w:szCs w:val="20"/>
    </w:rPr>
  </w:style>
  <w:style w:type="paragraph" w:styleId="Revize">
    <w:name w:val="Revision"/>
    <w:hidden/>
    <w:uiPriority w:val="99"/>
    <w:semiHidden/>
    <w:rsid w:val="00F36790"/>
    <w:pPr>
      <w:spacing w:after="0" w:line="240" w:lineRule="auto"/>
    </w:pPr>
  </w:style>
  <w:style w:type="paragraph" w:styleId="Nzev">
    <w:name w:val="Title"/>
    <w:basedOn w:val="Normln"/>
    <w:next w:val="Normln"/>
    <w:link w:val="NzevChar"/>
    <w:uiPriority w:val="10"/>
    <w:qFormat/>
    <w:rsid w:val="00FA48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A48D9"/>
    <w:rPr>
      <w:rFonts w:asciiTheme="majorHAnsi" w:eastAsiaTheme="majorEastAsia" w:hAnsiTheme="majorHAnsi" w:cstheme="majorBidi"/>
      <w:spacing w:val="-10"/>
      <w:kern w:val="28"/>
      <w:sz w:val="56"/>
      <w:szCs w:val="56"/>
    </w:rPr>
  </w:style>
  <w:style w:type="paragraph" w:styleId="Obsah4">
    <w:name w:val="toc 4"/>
    <w:basedOn w:val="Normln"/>
    <w:next w:val="Normln"/>
    <w:autoRedefine/>
    <w:uiPriority w:val="39"/>
    <w:unhideWhenUsed/>
    <w:rsid w:val="00881BAC"/>
    <w:pPr>
      <w:spacing w:after="0"/>
      <w:ind w:left="440"/>
    </w:pPr>
    <w:rPr>
      <w:rFonts w:cstheme="minorHAnsi"/>
      <w:sz w:val="20"/>
      <w:szCs w:val="20"/>
    </w:rPr>
  </w:style>
  <w:style w:type="paragraph" w:styleId="Obsah5">
    <w:name w:val="toc 5"/>
    <w:basedOn w:val="Normln"/>
    <w:next w:val="Normln"/>
    <w:autoRedefine/>
    <w:uiPriority w:val="39"/>
    <w:unhideWhenUsed/>
    <w:rsid w:val="00881BAC"/>
    <w:pPr>
      <w:spacing w:after="0"/>
      <w:ind w:left="660"/>
    </w:pPr>
    <w:rPr>
      <w:rFonts w:cstheme="minorHAnsi"/>
      <w:sz w:val="20"/>
      <w:szCs w:val="20"/>
    </w:rPr>
  </w:style>
  <w:style w:type="paragraph" w:styleId="Obsah6">
    <w:name w:val="toc 6"/>
    <w:basedOn w:val="Normln"/>
    <w:next w:val="Normln"/>
    <w:autoRedefine/>
    <w:uiPriority w:val="39"/>
    <w:unhideWhenUsed/>
    <w:rsid w:val="00881BAC"/>
    <w:pPr>
      <w:spacing w:after="0"/>
      <w:ind w:left="880"/>
    </w:pPr>
    <w:rPr>
      <w:rFonts w:cstheme="minorHAnsi"/>
      <w:sz w:val="20"/>
      <w:szCs w:val="20"/>
    </w:rPr>
  </w:style>
  <w:style w:type="paragraph" w:styleId="Obsah7">
    <w:name w:val="toc 7"/>
    <w:basedOn w:val="Normln"/>
    <w:next w:val="Normln"/>
    <w:autoRedefine/>
    <w:uiPriority w:val="39"/>
    <w:unhideWhenUsed/>
    <w:rsid w:val="00881BAC"/>
    <w:pPr>
      <w:spacing w:after="0"/>
      <w:ind w:left="1100"/>
    </w:pPr>
    <w:rPr>
      <w:rFonts w:cstheme="minorHAnsi"/>
      <w:sz w:val="20"/>
      <w:szCs w:val="20"/>
    </w:rPr>
  </w:style>
  <w:style w:type="paragraph" w:styleId="Obsah8">
    <w:name w:val="toc 8"/>
    <w:basedOn w:val="Normln"/>
    <w:next w:val="Normln"/>
    <w:autoRedefine/>
    <w:uiPriority w:val="39"/>
    <w:unhideWhenUsed/>
    <w:rsid w:val="00881BAC"/>
    <w:pPr>
      <w:spacing w:after="0"/>
      <w:ind w:left="1320"/>
    </w:pPr>
    <w:rPr>
      <w:rFonts w:cstheme="minorHAnsi"/>
      <w:sz w:val="20"/>
      <w:szCs w:val="20"/>
    </w:rPr>
  </w:style>
  <w:style w:type="paragraph" w:styleId="Obsah9">
    <w:name w:val="toc 9"/>
    <w:basedOn w:val="Normln"/>
    <w:next w:val="Normln"/>
    <w:autoRedefine/>
    <w:uiPriority w:val="39"/>
    <w:unhideWhenUsed/>
    <w:rsid w:val="00881BAC"/>
    <w:pPr>
      <w:spacing w:after="0"/>
      <w:ind w:left="1540"/>
    </w:pPr>
    <w:rPr>
      <w:rFonts w:cstheme="minorHAnsi"/>
      <w:sz w:val="20"/>
      <w:szCs w:val="20"/>
    </w:rPr>
  </w:style>
  <w:style w:type="paragraph" w:styleId="Normlnweb">
    <w:name w:val="Normal (Web)"/>
    <w:basedOn w:val="Normln"/>
    <w:uiPriority w:val="99"/>
    <w:semiHidden/>
    <w:unhideWhenUsed/>
    <w:rsid w:val="003D71CA"/>
    <w:pPr>
      <w:spacing w:before="100" w:beforeAutospacing="1" w:after="100" w:afterAutospacing="1" w:line="240" w:lineRule="auto"/>
    </w:pPr>
    <w:rPr>
      <w:rFonts w:ascii="Times New Roman" w:hAnsi="Times New Roman" w:cs="Times New Roman"/>
      <w:sz w:val="24"/>
      <w:szCs w:val="24"/>
    </w:rPr>
  </w:style>
  <w:style w:type="paragraph" w:styleId="Textpoznpodarou">
    <w:name w:val="footnote text"/>
    <w:basedOn w:val="Normln"/>
    <w:link w:val="TextpoznpodarouChar"/>
    <w:unhideWhenUsed/>
    <w:qFormat/>
    <w:rsid w:val="0090760A"/>
    <w:pPr>
      <w:spacing w:after="0" w:line="240" w:lineRule="auto"/>
    </w:pPr>
    <w:rPr>
      <w:sz w:val="24"/>
      <w:szCs w:val="24"/>
    </w:rPr>
  </w:style>
  <w:style w:type="character" w:customStyle="1" w:styleId="TextpoznpodarouChar">
    <w:name w:val="Text pozn. pod čarou Char"/>
    <w:basedOn w:val="Standardnpsmoodstavce"/>
    <w:link w:val="Textpoznpodarou"/>
    <w:rsid w:val="0090760A"/>
    <w:rPr>
      <w:sz w:val="24"/>
      <w:szCs w:val="24"/>
    </w:rPr>
  </w:style>
  <w:style w:type="character" w:styleId="Znakapoznpodarou">
    <w:name w:val="footnote reference"/>
    <w:basedOn w:val="Standardnpsmoodstavce"/>
    <w:qFormat/>
    <w:rsid w:val="0090760A"/>
    <w:rPr>
      <w:sz w:val="24"/>
      <w:vertAlign w:val="superscript"/>
    </w:rPr>
  </w:style>
  <w:style w:type="character" w:styleId="Siln">
    <w:name w:val="Strong"/>
    <w:basedOn w:val="Standardnpsmoodstavce"/>
    <w:uiPriority w:val="22"/>
    <w:qFormat/>
    <w:rsid w:val="00583A68"/>
    <w:rPr>
      <w:b/>
      <w:bCs/>
    </w:rPr>
  </w:style>
  <w:style w:type="character" w:styleId="Sledovanodkaz">
    <w:name w:val="FollowedHyperlink"/>
    <w:basedOn w:val="Standardnpsmoodstavce"/>
    <w:uiPriority w:val="99"/>
    <w:semiHidden/>
    <w:unhideWhenUsed/>
    <w:rsid w:val="004B6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8352">
      <w:bodyDiv w:val="1"/>
      <w:marLeft w:val="0"/>
      <w:marRight w:val="0"/>
      <w:marTop w:val="0"/>
      <w:marBottom w:val="0"/>
      <w:divBdr>
        <w:top w:val="none" w:sz="0" w:space="0" w:color="auto"/>
        <w:left w:val="none" w:sz="0" w:space="0" w:color="auto"/>
        <w:bottom w:val="none" w:sz="0" w:space="0" w:color="auto"/>
        <w:right w:val="none" w:sz="0" w:space="0" w:color="auto"/>
      </w:divBdr>
    </w:div>
    <w:div w:id="615911501">
      <w:bodyDiv w:val="1"/>
      <w:marLeft w:val="0"/>
      <w:marRight w:val="0"/>
      <w:marTop w:val="0"/>
      <w:marBottom w:val="0"/>
      <w:divBdr>
        <w:top w:val="none" w:sz="0" w:space="0" w:color="auto"/>
        <w:left w:val="none" w:sz="0" w:space="0" w:color="auto"/>
        <w:bottom w:val="none" w:sz="0" w:space="0" w:color="auto"/>
        <w:right w:val="none" w:sz="0" w:space="0" w:color="auto"/>
      </w:divBdr>
    </w:div>
    <w:div w:id="1035303363">
      <w:bodyDiv w:val="1"/>
      <w:marLeft w:val="0"/>
      <w:marRight w:val="0"/>
      <w:marTop w:val="0"/>
      <w:marBottom w:val="0"/>
      <w:divBdr>
        <w:top w:val="none" w:sz="0" w:space="0" w:color="auto"/>
        <w:left w:val="none" w:sz="0" w:space="0" w:color="auto"/>
        <w:bottom w:val="none" w:sz="0" w:space="0" w:color="auto"/>
        <w:right w:val="none" w:sz="0" w:space="0" w:color="auto"/>
      </w:divBdr>
    </w:div>
    <w:div w:id="1113789948">
      <w:bodyDiv w:val="1"/>
      <w:marLeft w:val="0"/>
      <w:marRight w:val="0"/>
      <w:marTop w:val="0"/>
      <w:marBottom w:val="0"/>
      <w:divBdr>
        <w:top w:val="none" w:sz="0" w:space="0" w:color="auto"/>
        <w:left w:val="none" w:sz="0" w:space="0" w:color="auto"/>
        <w:bottom w:val="none" w:sz="0" w:space="0" w:color="auto"/>
        <w:right w:val="none" w:sz="0" w:space="0" w:color="auto"/>
      </w:divBdr>
    </w:div>
    <w:div w:id="1198078206">
      <w:bodyDiv w:val="1"/>
      <w:marLeft w:val="0"/>
      <w:marRight w:val="0"/>
      <w:marTop w:val="0"/>
      <w:marBottom w:val="0"/>
      <w:divBdr>
        <w:top w:val="none" w:sz="0" w:space="0" w:color="auto"/>
        <w:left w:val="none" w:sz="0" w:space="0" w:color="auto"/>
        <w:bottom w:val="none" w:sz="0" w:space="0" w:color="auto"/>
        <w:right w:val="none" w:sz="0" w:space="0" w:color="auto"/>
      </w:divBdr>
      <w:divsChild>
        <w:div w:id="1324813962">
          <w:marLeft w:val="0"/>
          <w:marRight w:val="0"/>
          <w:marTop w:val="0"/>
          <w:marBottom w:val="0"/>
          <w:divBdr>
            <w:top w:val="none" w:sz="0" w:space="0" w:color="auto"/>
            <w:left w:val="none" w:sz="0" w:space="0" w:color="auto"/>
            <w:bottom w:val="none" w:sz="0" w:space="0" w:color="auto"/>
            <w:right w:val="none" w:sz="0" w:space="0" w:color="auto"/>
          </w:divBdr>
          <w:divsChild>
            <w:div w:id="2102986888">
              <w:marLeft w:val="0"/>
              <w:marRight w:val="0"/>
              <w:marTop w:val="0"/>
              <w:marBottom w:val="0"/>
              <w:divBdr>
                <w:top w:val="none" w:sz="0" w:space="0" w:color="auto"/>
                <w:left w:val="none" w:sz="0" w:space="0" w:color="auto"/>
                <w:bottom w:val="none" w:sz="0" w:space="0" w:color="auto"/>
                <w:right w:val="none" w:sz="0" w:space="0" w:color="auto"/>
              </w:divBdr>
              <w:divsChild>
                <w:div w:id="13359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4302">
      <w:bodyDiv w:val="1"/>
      <w:marLeft w:val="0"/>
      <w:marRight w:val="0"/>
      <w:marTop w:val="0"/>
      <w:marBottom w:val="0"/>
      <w:divBdr>
        <w:top w:val="none" w:sz="0" w:space="0" w:color="auto"/>
        <w:left w:val="none" w:sz="0" w:space="0" w:color="auto"/>
        <w:bottom w:val="none" w:sz="0" w:space="0" w:color="auto"/>
        <w:right w:val="none" w:sz="0" w:space="0" w:color="auto"/>
      </w:divBdr>
    </w:div>
    <w:div w:id="1256211643">
      <w:bodyDiv w:val="1"/>
      <w:marLeft w:val="0"/>
      <w:marRight w:val="0"/>
      <w:marTop w:val="0"/>
      <w:marBottom w:val="0"/>
      <w:divBdr>
        <w:top w:val="none" w:sz="0" w:space="0" w:color="auto"/>
        <w:left w:val="none" w:sz="0" w:space="0" w:color="auto"/>
        <w:bottom w:val="none" w:sz="0" w:space="0" w:color="auto"/>
        <w:right w:val="none" w:sz="0" w:space="0" w:color="auto"/>
      </w:divBdr>
    </w:div>
    <w:div w:id="1469977413">
      <w:bodyDiv w:val="1"/>
      <w:marLeft w:val="0"/>
      <w:marRight w:val="0"/>
      <w:marTop w:val="0"/>
      <w:marBottom w:val="0"/>
      <w:divBdr>
        <w:top w:val="none" w:sz="0" w:space="0" w:color="auto"/>
        <w:left w:val="none" w:sz="0" w:space="0" w:color="auto"/>
        <w:bottom w:val="none" w:sz="0" w:space="0" w:color="auto"/>
        <w:right w:val="none" w:sz="0" w:space="0" w:color="auto"/>
      </w:divBdr>
    </w:div>
    <w:div w:id="1580601718">
      <w:bodyDiv w:val="1"/>
      <w:marLeft w:val="0"/>
      <w:marRight w:val="0"/>
      <w:marTop w:val="0"/>
      <w:marBottom w:val="0"/>
      <w:divBdr>
        <w:top w:val="none" w:sz="0" w:space="0" w:color="auto"/>
        <w:left w:val="none" w:sz="0" w:space="0" w:color="auto"/>
        <w:bottom w:val="none" w:sz="0" w:space="0" w:color="auto"/>
        <w:right w:val="none" w:sz="0" w:space="0" w:color="auto"/>
      </w:divBdr>
    </w:div>
    <w:div w:id="1826362427">
      <w:bodyDiv w:val="1"/>
      <w:marLeft w:val="0"/>
      <w:marRight w:val="0"/>
      <w:marTop w:val="0"/>
      <w:marBottom w:val="0"/>
      <w:divBdr>
        <w:top w:val="none" w:sz="0" w:space="0" w:color="auto"/>
        <w:left w:val="none" w:sz="0" w:space="0" w:color="auto"/>
        <w:bottom w:val="none" w:sz="0" w:space="0" w:color="auto"/>
        <w:right w:val="none" w:sz="0" w:space="0" w:color="auto"/>
      </w:divBdr>
    </w:div>
    <w:div w:id="1848517965">
      <w:bodyDiv w:val="1"/>
      <w:marLeft w:val="0"/>
      <w:marRight w:val="0"/>
      <w:marTop w:val="0"/>
      <w:marBottom w:val="0"/>
      <w:divBdr>
        <w:top w:val="none" w:sz="0" w:space="0" w:color="auto"/>
        <w:left w:val="none" w:sz="0" w:space="0" w:color="auto"/>
        <w:bottom w:val="none" w:sz="0" w:space="0" w:color="auto"/>
        <w:right w:val="none" w:sz="0" w:space="0" w:color="auto"/>
      </w:divBdr>
    </w:div>
    <w:div w:id="1860582462">
      <w:bodyDiv w:val="1"/>
      <w:marLeft w:val="0"/>
      <w:marRight w:val="0"/>
      <w:marTop w:val="0"/>
      <w:marBottom w:val="0"/>
      <w:divBdr>
        <w:top w:val="none" w:sz="0" w:space="0" w:color="auto"/>
        <w:left w:val="none" w:sz="0" w:space="0" w:color="auto"/>
        <w:bottom w:val="none" w:sz="0" w:space="0" w:color="auto"/>
        <w:right w:val="none" w:sz="0" w:space="0" w:color="auto"/>
      </w:divBdr>
    </w:div>
    <w:div w:id="1983003174">
      <w:bodyDiv w:val="1"/>
      <w:marLeft w:val="0"/>
      <w:marRight w:val="0"/>
      <w:marTop w:val="0"/>
      <w:marBottom w:val="0"/>
      <w:divBdr>
        <w:top w:val="none" w:sz="0" w:space="0" w:color="auto"/>
        <w:left w:val="none" w:sz="0" w:space="0" w:color="auto"/>
        <w:bottom w:val="none" w:sz="0" w:space="0" w:color="auto"/>
        <w:right w:val="none" w:sz="0" w:space="0" w:color="auto"/>
      </w:divBdr>
    </w:div>
    <w:div w:id="20245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1317&amp;langId=cs" TargetMode="External"/><Relationship Id="rId13" Type="http://schemas.openxmlformats.org/officeDocument/2006/relationships/hyperlink" Target="http://www.consilium.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rl.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esc.europa.eu" TargetMode="External"/><Relationship Id="rId4" Type="http://schemas.openxmlformats.org/officeDocument/2006/relationships/settings" Target="settings.xml"/><Relationship Id="rId9" Type="http://schemas.openxmlformats.org/officeDocument/2006/relationships/hyperlink" Target="http://eur-lex.europa.eu/homepage.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celex:52012SC0376" TargetMode="External"/><Relationship Id="rId3" Type="http://schemas.openxmlformats.org/officeDocument/2006/relationships/hyperlink" Target="http://eur-lex.europa.eu/legal-content/CS/TXT/?qid=1498828190155&amp;uri=CELEX%3A52010AE0259" TargetMode="External"/><Relationship Id="rId7" Type="http://schemas.openxmlformats.org/officeDocument/2006/relationships/hyperlink" Target="http://ec.europa.eu/dgs/education_culture/repository/education/library/reports/modernisation_en.pdf" TargetMode="External"/><Relationship Id="rId2" Type="http://schemas.openxmlformats.org/officeDocument/2006/relationships/hyperlink" Target="http://eur-lex.europa.eu/legal-content/CS/TXT/?uri=uriserv:OJ.C_.2017.173.01.0045.01.CES&amp;toc=OJ:C:2017:173:TOC" TargetMode="External"/><Relationship Id="rId1" Type="http://schemas.openxmlformats.org/officeDocument/2006/relationships/hyperlink" Target="https://ec.europa.eu/education/sites/education/files/monitor2017_en.pdf" TargetMode="External"/><Relationship Id="rId6" Type="http://schemas.openxmlformats.org/officeDocument/2006/relationships/hyperlink" Target="https://ec.europa.eu/research/openscience/pdf/realising_the_european_open_science_cloud_2016.pdf" TargetMode="External"/><Relationship Id="rId5" Type="http://schemas.openxmlformats.org/officeDocument/2006/relationships/hyperlink" Target="https://www.researchgate.net/publication/239615297_ICT_for_Learning_Innovation_and_Creativity" TargetMode="External"/><Relationship Id="rId4" Type="http://schemas.openxmlformats.org/officeDocument/2006/relationships/hyperlink" Target="http://www.europarl.europa.eu/sides/getDoc.do?type=TA&amp;reference=P8-TA-2017-0360&amp;language=CS&amp;ring=A8-2017-0276" TargetMode="External"/><Relationship Id="rId9" Type="http://schemas.openxmlformats.org/officeDocument/2006/relationships/hyperlink" Target="http://eur-lex.europa.eu/legal-content/CS/TXT/?uri=uriserv%3AOJ.C_.2016.013.01.0161.01.CES&amp;toc=OJ%3AC%3A2016%3A013%3ATOChttp%3A%2F%2Feur-lex.europa.eu%2Flegal-content%2FEN%2FTXT%2F%3Fqid%3D149554527416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9A271-82D5-4BEA-B7BF-0A988597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5830</Words>
  <Characters>34397</Characters>
  <Application>Microsoft Office Word</Application>
  <DocSecurity>0</DocSecurity>
  <Lines>286</Lines>
  <Paragraphs>80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iPodpora II</Manager>
  <Company>Microsoft</Company>
  <LinksUpToDate>false</LinksUpToDate>
  <CharactersWithSpaces>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Irma</dc:creator>
  <cp:lastModifiedBy>PC01</cp:lastModifiedBy>
  <cp:revision>3</cp:revision>
  <cp:lastPrinted>2017-11-28T11:34:00Z</cp:lastPrinted>
  <dcterms:created xsi:type="dcterms:W3CDTF">2017-11-28T11:35:00Z</dcterms:created>
  <dcterms:modified xsi:type="dcterms:W3CDTF">2018-05-24T05:03:00Z</dcterms:modified>
</cp:coreProperties>
</file>