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10" w:rsidRPr="00C42310" w:rsidRDefault="00C42310" w:rsidP="00EA0076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A0076" w:rsidRDefault="00C42310" w:rsidP="00EA0076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cs-CZ"/>
        </w:rPr>
      </w:pPr>
      <w:r w:rsidRPr="00EA0076">
        <w:rPr>
          <w:rFonts w:ascii="Calibri" w:eastAsia="Times New Roman" w:hAnsi="Calibri" w:cs="Calibri"/>
          <w:b/>
          <w:bCs/>
          <w:kern w:val="36"/>
          <w:sz w:val="32"/>
          <w:szCs w:val="32"/>
          <w:lang w:eastAsia="cs-CZ"/>
        </w:rPr>
        <w:t xml:space="preserve">Vládní výdaje na sociální ochranu představovaly téměř </w:t>
      </w:r>
    </w:p>
    <w:p w:rsidR="00C42310" w:rsidRPr="00EA0076" w:rsidRDefault="00C42310" w:rsidP="00EA0076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cs-CZ"/>
        </w:rPr>
      </w:pPr>
      <w:r w:rsidRPr="00EA0076">
        <w:rPr>
          <w:rFonts w:ascii="Calibri" w:eastAsia="Times New Roman" w:hAnsi="Calibri" w:cs="Calibri"/>
          <w:b/>
          <w:bCs/>
          <w:kern w:val="36"/>
          <w:sz w:val="32"/>
          <w:szCs w:val="32"/>
          <w:lang w:eastAsia="cs-CZ"/>
        </w:rPr>
        <w:t>jednu pětinu HDP</w:t>
      </w:r>
    </w:p>
    <w:p w:rsidR="00A53668" w:rsidRPr="00EA0076" w:rsidRDefault="00A53668" w:rsidP="00EA0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A53668" w:rsidRDefault="00C42310" w:rsidP="00C423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Publikoval: </w:t>
      </w:r>
      <w:hyperlink r:id="rId6" w:history="1">
        <w:r w:rsidRPr="00C42310">
          <w:rPr>
            <w:rFonts w:ascii="Calibri" w:eastAsia="Times New Roman" w:hAnsi="Calibri" w:cs="Calibri"/>
            <w:sz w:val="24"/>
            <w:szCs w:val="24"/>
            <w:u w:val="single"/>
            <w:lang w:eastAsia="cs-CZ"/>
          </w:rPr>
          <w:t xml:space="preserve">Antonín </w:t>
        </w:r>
        <w:proofErr w:type="spellStart"/>
        <w:r w:rsidRPr="00C42310">
          <w:rPr>
            <w:rFonts w:ascii="Calibri" w:eastAsia="Times New Roman" w:hAnsi="Calibri" w:cs="Calibri"/>
            <w:sz w:val="24"/>
            <w:szCs w:val="24"/>
            <w:u w:val="single"/>
            <w:lang w:eastAsia="cs-CZ"/>
          </w:rPr>
          <w:t>Peltrám</w:t>
        </w:r>
      </w:hyperlink>
      <w:proofErr w:type="spellEnd"/>
    </w:p>
    <w:p w:rsidR="00EA0076" w:rsidRPr="00C42310" w:rsidRDefault="00EA0076" w:rsidP="00EA00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Zdroj: Freeimages.com</w:t>
      </w:r>
    </w:p>
    <w:p w:rsidR="00A53668" w:rsidRDefault="00A53668" w:rsidP="00EA00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A53668" w:rsidRDefault="00A53668" w:rsidP="00C423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C42310" w:rsidRPr="00C42310" w:rsidRDefault="00C42310" w:rsidP="00A53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noProof/>
          <w:sz w:val="24"/>
          <w:szCs w:val="24"/>
          <w:lang w:eastAsia="cs-CZ"/>
        </w:rPr>
        <w:drawing>
          <wp:inline distT="0" distB="0" distL="0" distR="0">
            <wp:extent cx="6905625" cy="3829050"/>
            <wp:effectExtent l="0" t="0" r="9525" b="0"/>
            <wp:docPr id="3" name="Obrázek 3" descr="https://www.elogistika.info/wp-content/uploads/2018/03/1-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ogistika.info/wp-content/uploads/2018/03/1-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Osm členských států: Finsko, Francie, Dánsko, Rakousko, Itálie, Řecko, Švédsko a Belgie věnovalo sociálnímu zabezpečení nejméně 20% HDP, zatímco Irsko, Litva, Rumunsko, Lotyšsko, Malta, Česká republika a Bulharsko do 13% HDP.</w:t>
      </w: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 xml:space="preserve">Výdaje na sociální ochranu lze dále rozdělit do několika podrobných skupin. Skupina „“stáří“, která zahrnuje důchody, tvoří největší část výdajů na sociální ochranu ve všech členských státech. Výdaje  </w:t>
      </w:r>
      <w:proofErr w:type="spellStart"/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na„stáří</w:t>
      </w:r>
      <w:proofErr w:type="spellEnd"/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“ jako podíl na HDP byly nejvyšší v roce 2016 v Řecku (16,0%), následované Finskem (13,7%), Francií a Itálií (13,5%) a Rakouskem (13,0%). Naproti tomu nejnižší podíly mělo Irsko (3,5%), Litva (5,9%), Kypr (6,2%) a Nizozemsko (6,7%). Výdaje veřejných institucí na „stáří“ představovaly v EU 10,2% HDP.</w:t>
      </w: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Veřejné výdaje na zdravotnictví a vzdělávání nejvyšší v Dánsku</w:t>
      </w:r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Podíly nejméně 8 % HDP v roce 2016 vykazovaly Dánsko (8,6 %) a Francie (8,1 %) nejvyšší podíl vládních výdajů vynaložených na zdravotní péči mezi členskými státy. Dánsko a Švédsko (6,9% HDP), Belgie (6,4%) a Finsko (6,1%) zaznamenaly nejvyšší podíl vládních výdajů na vzdělávání v roce 2016.</w:t>
      </w: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br/>
        <w:t>Ve veřejných výdajích na hospodářské záležitosti měly nejvyšší % v roce 2016  Maďarsko</w:t>
      </w: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br/>
        <w:t>(7,1 % HDP) a Belgie (6,5 %).</w:t>
      </w: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A0076" w:rsidRDefault="00EA0076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Nejvyšší podíl výdajů na veřejné </w:t>
      </w:r>
      <w:proofErr w:type="spellStart"/>
      <w:r w:rsidRPr="00C423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službyv</w:t>
      </w:r>
      <w:proofErr w:type="spellEnd"/>
      <w:r w:rsidRPr="00C423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roce 2016 mělo Řecko (9,2 % HDP</w:t>
      </w: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).</w:t>
      </w:r>
      <w:bookmarkStart w:id="0" w:name="_GoBack"/>
      <w:bookmarkEnd w:id="0"/>
    </w:p>
    <w:p w:rsidR="00C42310" w:rsidRPr="00C42310" w:rsidRDefault="00C42310" w:rsidP="00EA0076">
      <w:pPr>
        <w:spacing w:after="0" w:line="240" w:lineRule="auto"/>
        <w:ind w:right="-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V roce 2016 bylo 2%či více HDP vynaloženo na obranu v Estonsku (2,4%), v Řecku (2,1%) a ve Velké Británii (2,0%). Nejvyšší podíl vládních výdajů na veřejný pořádek a bezpečnost byl v Bulharsku (2,4%), v oblasti ochrany životního prostředí v Řecku (1,6%) a Nizozemsku (1,4%), v oblasti bydlení a občanské vybavenosti Bulharsko (1,9%),„rekreace, kultura a náboženství  Maďarsko (3,3%) a Estonsko (2,1%).</w:t>
      </w:r>
    </w:p>
    <w:p w:rsidR="00A53668" w:rsidRDefault="00A53668" w:rsidP="00EA00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C42310" w:rsidRPr="00EA0076" w:rsidRDefault="00C42310" w:rsidP="00EA0076">
      <w:pPr>
        <w:shd w:val="clear" w:color="auto" w:fill="FFFFFF" w:themeFill="background1"/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0076">
        <w:rPr>
          <w:rFonts w:ascii="Calibri" w:eastAsia="Times New Roman" w:hAnsi="Calibri" w:cs="Calibri"/>
          <w:b/>
          <w:sz w:val="24"/>
          <w:szCs w:val="24"/>
          <w:lang w:eastAsia="cs-CZ"/>
        </w:rPr>
        <w:t>Metody a definice</w:t>
      </w:r>
    </w:p>
    <w:p w:rsidR="00EA0076" w:rsidRPr="00EA0076" w:rsidRDefault="00EA0076" w:rsidP="00EA0076">
      <w:pPr>
        <w:shd w:val="clear" w:color="auto" w:fill="FFFFFF" w:themeFill="background1"/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C42310" w:rsidRPr="00C42310" w:rsidRDefault="00C42310" w:rsidP="00EA0076">
      <w:pPr>
        <w:shd w:val="clear" w:color="auto" w:fill="FFFFFF" w:themeFill="background1"/>
        <w:spacing w:after="0" w:line="240" w:lineRule="auto"/>
        <w:ind w:right="-56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t>Klasifikace funkcí veřejné správy země (v EU=vlády, COFOG) člení výdaje do deseti hlavních celků (známá pod názvem „COFOG I“): všeobecné veřejné služby; obrana; veřejného pořádku a bezpečnosti; hospodářské záležitosti; ochrana životního prostředí; bydlení a komunity; zdraví; rekreaci, kultuře a náboženství; vzdělání; sociální ochranu. Tyto celky jsou dále rozděleny do 69 skupin (úroveň COFOG II).</w:t>
      </w:r>
    </w:p>
    <w:p w:rsidR="00C42310" w:rsidRPr="00C42310" w:rsidRDefault="00C42310" w:rsidP="00EA0076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42310">
        <w:rPr>
          <w:rFonts w:ascii="Calibri" w:eastAsia="Times New Roman" w:hAnsi="Calibri" w:cs="Calibr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591300" cy="4495800"/>
            <wp:effectExtent l="0" t="0" r="0" b="0"/>
            <wp:docPr id="2" name="Obrázek 2" descr="https://www.elogistika.info/wp-content/uploads/2018/03/2-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ogistika.info/wp-content/uploads/2018/03/2-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10">
        <w:rPr>
          <w:rFonts w:ascii="Calibri" w:eastAsia="Times New Roman" w:hAnsi="Calibri" w:cs="Calibri"/>
          <w:noProof/>
          <w:sz w:val="24"/>
          <w:szCs w:val="24"/>
          <w:lang w:eastAsia="cs-CZ"/>
        </w:rPr>
        <w:drawing>
          <wp:inline distT="0" distB="0" distL="0" distR="0">
            <wp:extent cx="6496050" cy="4219575"/>
            <wp:effectExtent l="0" t="0" r="0" b="9525"/>
            <wp:docPr id="1" name="Obrázek 1" descr="https://www.elogistika.info/wp-content/uploads/2018/03/3-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ogistika.info/wp-content/uploads/2018/03/3-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10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Podle publikace vydané Eurostatem 9. 3. mezi hlavní funkce výdajů vládních institucí v Evropské unii patří „sociální ochrana“, zdaleka největší v roce 2016, což odpovídá 19,1% HDP. Dalšími nejdůležitějšími oblastmi byly „zdraví“ (7,1%), „všeobecné veřejné služby“, jako jsou zahraniční záležitosti a transakce veřejného dluhu (6,0%), vzdělávání (4,7%) a ekonomické záležitosti (4,0%). Na veřejný pořádek a bezpečnost připadlo 1,7%, obranu 1,3%, rekreaci, kulturu a náboženství 1,0%, ochranu životního prostředí 0,7% a bydlení a občanskou vybavenost 0,6%. Tyto údaje na úrovni EU však maskují významné rozdíly mezi členskými státy v podílu HDP určeném pro každou funkci výdajů vládních institucí.</w:t>
      </w:r>
    </w:p>
    <w:p w:rsidR="00C42310" w:rsidRPr="00C42310" w:rsidRDefault="00C42310" w:rsidP="00EA0076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C42310" w:rsidRPr="00C42310" w:rsidSect="00A53668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3E" w:rsidRDefault="0098543E" w:rsidP="00A53668">
      <w:pPr>
        <w:spacing w:after="0" w:line="240" w:lineRule="auto"/>
      </w:pPr>
      <w:r>
        <w:separator/>
      </w:r>
    </w:p>
  </w:endnote>
  <w:endnote w:type="continuationSeparator" w:id="0">
    <w:p w:rsidR="0098543E" w:rsidRDefault="0098543E" w:rsidP="00A5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667703"/>
      <w:docPartObj>
        <w:docPartGallery w:val="Page Numbers (Bottom of Page)"/>
        <w:docPartUnique/>
      </w:docPartObj>
    </w:sdtPr>
    <w:sdtContent>
      <w:p w:rsidR="00EA0076" w:rsidRDefault="00EA00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0076" w:rsidRDefault="00EA0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3E" w:rsidRDefault="0098543E" w:rsidP="00A53668">
      <w:pPr>
        <w:spacing w:after="0" w:line="240" w:lineRule="auto"/>
      </w:pPr>
      <w:r>
        <w:separator/>
      </w:r>
    </w:p>
  </w:footnote>
  <w:footnote w:type="continuationSeparator" w:id="0">
    <w:p w:rsidR="0098543E" w:rsidRDefault="0098543E" w:rsidP="00A5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0"/>
    <w:rsid w:val="0098543E"/>
    <w:rsid w:val="00A53668"/>
    <w:rsid w:val="00C42310"/>
    <w:rsid w:val="00E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665"/>
  <w15:chartTrackingRefBased/>
  <w15:docId w15:val="{7F2541DC-27AA-418F-BB51-BFAF8AC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23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wp-caption-text">
    <w:name w:val="wp-caption-text"/>
    <w:basedOn w:val="Normln"/>
    <w:rsid w:val="00C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C42310"/>
  </w:style>
  <w:style w:type="character" w:customStyle="1" w:styleId="fn">
    <w:name w:val="fn"/>
    <w:basedOn w:val="Standardnpsmoodstavce"/>
    <w:rsid w:val="00C42310"/>
  </w:style>
  <w:style w:type="character" w:styleId="Hypertextovodkaz">
    <w:name w:val="Hyperlink"/>
    <w:basedOn w:val="Standardnpsmoodstavce"/>
    <w:uiPriority w:val="99"/>
    <w:semiHidden/>
    <w:unhideWhenUsed/>
    <w:rsid w:val="00C423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23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668"/>
  </w:style>
  <w:style w:type="paragraph" w:styleId="Zpat">
    <w:name w:val="footer"/>
    <w:basedOn w:val="Normln"/>
    <w:link w:val="ZpatChar"/>
    <w:uiPriority w:val="99"/>
    <w:unhideWhenUsed/>
    <w:rsid w:val="00A5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1756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9101">
          <w:marLeft w:val="0"/>
          <w:marRight w:val="0"/>
          <w:marTop w:val="0"/>
          <w:marBottom w:val="315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  <w:divsChild>
            <w:div w:id="212214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571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1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FFA507"/>
                    <w:left w:val="single" w:sz="24" w:space="15" w:color="FFA507"/>
                    <w:bottom w:val="single" w:sz="2" w:space="15" w:color="FFA507"/>
                    <w:right w:val="single" w:sz="2" w:space="15" w:color="FFA50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logistika.info/wp-content/uploads/2018/03/1-5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ogistika.info/author/peltram/" TargetMode="External"/><Relationship Id="rId11" Type="http://schemas.openxmlformats.org/officeDocument/2006/relationships/hyperlink" Target="https://www.elogistika.info/wp-content/uploads/2018/03/3-4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elogistika.info/wp-content/uploads/2018/03/2-5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Irma Procházková</cp:lastModifiedBy>
  <cp:revision>2</cp:revision>
  <dcterms:created xsi:type="dcterms:W3CDTF">2018-03-22T11:43:00Z</dcterms:created>
  <dcterms:modified xsi:type="dcterms:W3CDTF">2018-03-22T11:43:00Z</dcterms:modified>
</cp:coreProperties>
</file>