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88" w:rsidRPr="0059130C" w:rsidRDefault="00407388" w:rsidP="00407388">
      <w:pPr>
        <w:jc w:val="center"/>
      </w:pPr>
      <w:bookmarkStart w:id="0" w:name="_GoBack"/>
      <w:bookmarkEnd w:id="0"/>
      <w:r w:rsidRPr="0059130C">
        <w:rPr>
          <w:noProof/>
          <w:lang w:val="cs-CZ" w:eastAsia="cs-CZ"/>
        </w:rPr>
        <w:drawing>
          <wp:inline distT="0" distB="0" distL="0" distR="0" wp14:anchorId="5768FFD4" wp14:editId="722B5C27">
            <wp:extent cx="874395" cy="564515"/>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59130C">
        <w:rPr>
          <w:noProof/>
          <w:lang w:val="cs-CZ" w:eastAsia="cs-CZ"/>
        </w:rPr>
        <mc:AlternateContent>
          <mc:Choice Requires="wps">
            <w:drawing>
              <wp:anchor distT="0" distB="0" distL="114300" distR="114300" simplePos="0" relativeHeight="251660288" behindDoc="1" locked="0" layoutInCell="0" allowOverlap="1" wp14:anchorId="047B32D7" wp14:editId="055A208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388" w:rsidRPr="00295679" w:rsidRDefault="00407388" w:rsidP="00407388">
                            <w:pPr>
                              <w:jc w:val="center"/>
                              <w:rPr>
                                <w:rFonts w:ascii="Arial" w:hAnsi="Arial" w:cs="Arial"/>
                                <w:b/>
                                <w:sz w:val="48"/>
                                <w:lang w:val="nl-BE"/>
                              </w:rPr>
                            </w:pPr>
                            <w:r w:rsidRPr="00295679">
                              <w:rPr>
                                <w:rFonts w:ascii="Arial" w:hAnsi="Arial" w:cs="Arial"/>
                                <w:b/>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B32D7"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407388" w:rsidRPr="00295679" w:rsidRDefault="00407388" w:rsidP="00407388">
                      <w:pPr>
                        <w:jc w:val="center"/>
                        <w:rPr>
                          <w:rFonts w:ascii="Arial" w:hAnsi="Arial" w:cs="Arial"/>
                          <w:b/>
                          <w:sz w:val="48"/>
                          <w:lang w:val="nl-BE"/>
                        </w:rPr>
                      </w:pPr>
                      <w:r w:rsidRPr="00295679">
                        <w:rPr>
                          <w:rFonts w:ascii="Arial" w:hAnsi="Arial" w:cs="Arial"/>
                          <w:b/>
                          <w:sz w:val="48"/>
                          <w:lang w:val="nl-BE"/>
                        </w:rPr>
                        <w:t>EN</w:t>
                      </w:r>
                    </w:p>
                  </w:txbxContent>
                </v:textbox>
                <w10:wrap anchorx="page" anchory="page"/>
              </v:shape>
            </w:pict>
          </mc:Fallback>
        </mc:AlternateContent>
      </w:r>
    </w:p>
    <w:p w:rsidR="00407388" w:rsidRPr="0059130C" w:rsidRDefault="00407388" w:rsidP="00407388">
      <w:pPr>
        <w:jc w:val="center"/>
        <w:rPr>
          <w:lang w:val="en-US"/>
        </w:rPr>
      </w:pPr>
      <w:r w:rsidRPr="0059130C">
        <w:rPr>
          <w:rFonts w:ascii="Arial" w:hAnsi="Arial" w:cs="Arial"/>
          <w:b/>
          <w:i/>
          <w:sz w:val="20"/>
        </w:rPr>
        <w:t>European Economic and Social Committee</w:t>
      </w:r>
    </w:p>
    <w:p w:rsidR="00E66707" w:rsidRPr="00567D26" w:rsidRDefault="00E66707" w:rsidP="005709C1">
      <w:pPr>
        <w:jc w:val="center"/>
        <w:rPr>
          <w:rFonts w:asciiTheme="minorHAnsi" w:hAnsiTheme="minorHAnsi"/>
          <w:sz w:val="20"/>
          <w:szCs w:val="20"/>
          <w:lang w:val="en-GB"/>
        </w:rPr>
      </w:pPr>
    </w:p>
    <w:p w:rsidR="00A202F9" w:rsidRPr="00CC0BA2" w:rsidRDefault="00EB530B" w:rsidP="00E66707">
      <w:pPr>
        <w:pBdr>
          <w:bottom w:val="single" w:sz="4" w:space="1" w:color="auto"/>
        </w:pBdr>
        <w:jc w:val="center"/>
        <w:rPr>
          <w:rFonts w:asciiTheme="minorHAnsi" w:hAnsiTheme="minorHAnsi"/>
          <w:b/>
          <w:sz w:val="44"/>
          <w:szCs w:val="44"/>
          <w:lang w:val="en-GB" w:eastAsia="en-GB" w:bidi="en-GB"/>
        </w:rPr>
      </w:pPr>
      <w:r w:rsidRPr="00CC0BA2">
        <w:rPr>
          <w:rFonts w:asciiTheme="minorHAnsi" w:hAnsiTheme="minorHAnsi"/>
          <w:b/>
          <w:sz w:val="44"/>
          <w:szCs w:val="44"/>
          <w:lang w:val="en-GB" w:eastAsia="en-GB" w:bidi="en-GB"/>
        </w:rPr>
        <w:t>«</w:t>
      </w:r>
      <w:r w:rsidR="00A202F9" w:rsidRPr="00CC0BA2">
        <w:rPr>
          <w:rFonts w:asciiTheme="minorHAnsi" w:hAnsiTheme="minorHAnsi"/>
          <w:b/>
          <w:sz w:val="44"/>
          <w:szCs w:val="44"/>
          <w:lang w:val="en-GB" w:eastAsia="en-GB" w:bidi="en-GB"/>
        </w:rPr>
        <w:t xml:space="preserve">The investment plan and the Social Pillar: </w:t>
      </w:r>
      <w:r w:rsidR="00A202F9" w:rsidRPr="00CC0BA2">
        <w:rPr>
          <w:rFonts w:asciiTheme="minorHAnsi" w:hAnsiTheme="minorHAnsi"/>
          <w:b/>
          <w:sz w:val="44"/>
          <w:szCs w:val="44"/>
          <w:lang w:val="en-GB" w:eastAsia="en-GB" w:bidi="en-GB"/>
        </w:rPr>
        <w:br/>
        <w:t>a step towards a new strategy for Europe</w:t>
      </w:r>
      <w:r w:rsidRPr="00CC0BA2">
        <w:rPr>
          <w:rFonts w:asciiTheme="minorHAnsi" w:hAnsiTheme="minorHAnsi"/>
          <w:b/>
          <w:sz w:val="44"/>
          <w:szCs w:val="44"/>
          <w:lang w:val="en-GB" w:eastAsia="en-GB" w:bidi="en-GB"/>
        </w:rPr>
        <w:t>»</w:t>
      </w:r>
    </w:p>
    <w:p w:rsidR="00E66707" w:rsidRPr="00567D26" w:rsidRDefault="00E66707" w:rsidP="00E66707">
      <w:pPr>
        <w:jc w:val="center"/>
        <w:rPr>
          <w:rFonts w:asciiTheme="minorHAnsi" w:hAnsiTheme="minorHAnsi"/>
          <w:b/>
          <w:sz w:val="20"/>
          <w:szCs w:val="20"/>
          <w:lang w:val="en-GB" w:eastAsia="en-GB" w:bidi="en-GB"/>
        </w:rPr>
      </w:pPr>
      <w:r w:rsidRPr="00567D26">
        <w:rPr>
          <w:rFonts w:asciiTheme="minorHAnsi" w:hAnsiTheme="minorHAnsi"/>
          <w:b/>
          <w:sz w:val="20"/>
          <w:szCs w:val="20"/>
          <w:lang w:val="en-GB" w:eastAsia="en-GB" w:bidi="en-GB"/>
        </w:rPr>
        <w:t>Contribution of the Workers' Group</w:t>
      </w:r>
    </w:p>
    <w:p w:rsidR="00E66707" w:rsidRPr="00567D26" w:rsidRDefault="00E66707" w:rsidP="00E66707">
      <w:pPr>
        <w:spacing w:before="240" w:after="240"/>
        <w:jc w:val="center"/>
        <w:rPr>
          <w:rFonts w:asciiTheme="minorHAnsi" w:hAnsiTheme="minorHAnsi"/>
          <w:i/>
          <w:spacing w:val="-3"/>
          <w:sz w:val="20"/>
          <w:szCs w:val="20"/>
          <w:lang w:val="en-GB" w:eastAsia="en-GB" w:bidi="en-GB"/>
        </w:rPr>
      </w:pPr>
      <w:r w:rsidRPr="00567D26">
        <w:rPr>
          <w:rFonts w:asciiTheme="minorHAnsi" w:hAnsiTheme="minorHAnsi"/>
          <w:noProof/>
          <w:sz w:val="20"/>
          <w:szCs w:val="20"/>
          <w:lang w:val="cs-CZ" w:eastAsia="cs-CZ"/>
        </w:rPr>
        <w:drawing>
          <wp:anchor distT="0" distB="0" distL="114300" distR="114300" simplePos="0" relativeHeight="251658240" behindDoc="0" locked="0" layoutInCell="1" allowOverlap="1" wp14:anchorId="7EEF8610" wp14:editId="45F70B2C">
            <wp:simplePos x="0" y="0"/>
            <wp:positionH relativeFrom="column">
              <wp:posOffset>480060</wp:posOffset>
            </wp:positionH>
            <wp:positionV relativeFrom="paragraph">
              <wp:posOffset>147955</wp:posOffset>
            </wp:positionV>
            <wp:extent cx="4770120" cy="5021580"/>
            <wp:effectExtent l="0" t="0" r="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770120" cy="5021580"/>
                    </a:xfrm>
                    <a:prstGeom prst="rect">
                      <a:avLst/>
                    </a:prstGeom>
                  </pic:spPr>
                </pic:pic>
              </a:graphicData>
            </a:graphic>
            <wp14:sizeRelH relativeFrom="page">
              <wp14:pctWidth>0</wp14:pctWidth>
            </wp14:sizeRelH>
            <wp14:sizeRelV relativeFrom="page">
              <wp14:pctHeight>0</wp14:pctHeight>
            </wp14:sizeRelV>
          </wp:anchor>
        </w:drawing>
      </w:r>
    </w:p>
    <w:p w:rsidR="00A202F9" w:rsidRPr="00567D26" w:rsidRDefault="00AC07E0" w:rsidP="00E66707">
      <w:pPr>
        <w:spacing w:before="240" w:after="240" w:line="288" w:lineRule="auto"/>
        <w:jc w:val="center"/>
        <w:rPr>
          <w:rFonts w:asciiTheme="minorHAnsi" w:hAnsiTheme="minorHAnsi"/>
          <w:sz w:val="20"/>
          <w:szCs w:val="20"/>
          <w:u w:val="single"/>
          <w:lang w:val="en-GB" w:eastAsia="en-GB" w:bidi="en-GB"/>
        </w:rPr>
      </w:pPr>
      <w:r w:rsidRPr="00567D26">
        <w:rPr>
          <w:rFonts w:asciiTheme="minorHAnsi" w:hAnsiTheme="minorHAnsi"/>
          <w:sz w:val="20"/>
          <w:szCs w:val="20"/>
          <w:u w:val="single"/>
          <w:lang w:val="en-GB" w:eastAsia="en-GB" w:bidi="en-GB"/>
        </w:rPr>
        <w:t xml:space="preserve">Synthesis of the </w:t>
      </w:r>
      <w:r w:rsidR="0063166F" w:rsidRPr="00567D26">
        <w:rPr>
          <w:rFonts w:asciiTheme="minorHAnsi" w:hAnsiTheme="minorHAnsi"/>
          <w:sz w:val="20"/>
          <w:szCs w:val="20"/>
          <w:u w:val="single"/>
          <w:lang w:val="en-GB" w:eastAsia="en-GB" w:bidi="en-GB"/>
        </w:rPr>
        <w:t>Study</w:t>
      </w:r>
    </w:p>
    <w:p w:rsidR="00567D26" w:rsidRPr="00567D26" w:rsidRDefault="00567D26" w:rsidP="00567D26">
      <w:pPr>
        <w:jc w:val="center"/>
        <w:rPr>
          <w:rFonts w:asciiTheme="minorHAnsi" w:hAnsiTheme="minorHAnsi"/>
          <w:sz w:val="20"/>
          <w:szCs w:val="20"/>
          <w:lang w:val="en-GB"/>
        </w:rPr>
      </w:pPr>
      <w:r w:rsidRPr="00567D26">
        <w:rPr>
          <w:rFonts w:asciiTheme="minorHAnsi" w:hAnsiTheme="minorHAnsi"/>
          <w:sz w:val="20"/>
          <w:szCs w:val="20"/>
          <w:lang w:val="en-GB"/>
        </w:rPr>
        <w:t>The study has been realised by Istituto per la Ricerca Sociale  - IRS (Italy)</w:t>
      </w:r>
    </w:p>
    <w:p w:rsidR="00567D26" w:rsidRPr="00567D26" w:rsidRDefault="00567D26" w:rsidP="00567D26">
      <w:pPr>
        <w:jc w:val="center"/>
        <w:rPr>
          <w:rFonts w:asciiTheme="minorHAnsi" w:hAnsiTheme="minorHAnsi"/>
          <w:sz w:val="20"/>
          <w:szCs w:val="20"/>
          <w:lang w:val="en-GB"/>
        </w:rPr>
      </w:pPr>
      <w:r w:rsidRPr="00567D26">
        <w:rPr>
          <w:rFonts w:asciiTheme="minorHAnsi" w:hAnsiTheme="minorHAnsi"/>
          <w:sz w:val="20"/>
          <w:szCs w:val="20"/>
          <w:lang w:val="en-GB"/>
        </w:rPr>
        <w:t>The research team has been coordinated by Chiara Crepaldi with the scientific supervision of Manuela Samek Lodovici</w:t>
      </w:r>
    </w:p>
    <w:p w:rsidR="00567D26" w:rsidRPr="00567D26" w:rsidRDefault="00567D26" w:rsidP="00567D26">
      <w:pPr>
        <w:jc w:val="center"/>
        <w:rPr>
          <w:rFonts w:asciiTheme="minorHAnsi" w:hAnsiTheme="minorHAnsi"/>
          <w:sz w:val="20"/>
          <w:szCs w:val="20"/>
          <w:lang w:val="en-GB"/>
        </w:rPr>
      </w:pPr>
      <w:r w:rsidRPr="00567D26">
        <w:rPr>
          <w:rFonts w:asciiTheme="minorHAnsi" w:hAnsiTheme="minorHAnsi"/>
          <w:sz w:val="20"/>
          <w:szCs w:val="20"/>
          <w:lang w:val="en-GB"/>
        </w:rPr>
        <w:t>The research team is composed by Chiara Crepaldi, Manuela Samek Lodovici, Claudio Castegnaro, and, as country experts, Flavia Pesce, Anne Eydoux, Elvira Gonzales Gago</w:t>
      </w:r>
    </w:p>
    <w:p w:rsidR="00567D26" w:rsidRPr="00567D26" w:rsidRDefault="00567D26" w:rsidP="00567D26">
      <w:pPr>
        <w:jc w:val="center"/>
        <w:rPr>
          <w:rFonts w:asciiTheme="minorHAnsi" w:hAnsiTheme="minorHAnsi"/>
          <w:sz w:val="20"/>
          <w:szCs w:val="20"/>
          <w:lang w:val="en-GB"/>
        </w:rPr>
      </w:pPr>
    </w:p>
    <w:p w:rsidR="00407388" w:rsidRDefault="00407388" w:rsidP="00567D26">
      <w:pPr>
        <w:jc w:val="center"/>
        <w:rPr>
          <w:rFonts w:asciiTheme="minorHAnsi" w:hAnsiTheme="minorHAnsi"/>
          <w:sz w:val="20"/>
          <w:szCs w:val="20"/>
          <w:lang w:val="en-GB"/>
        </w:rPr>
      </w:pPr>
      <w:r>
        <w:rPr>
          <w:rFonts w:asciiTheme="minorHAnsi" w:hAnsiTheme="minorHAnsi"/>
          <w:sz w:val="20"/>
          <w:szCs w:val="20"/>
          <w:lang w:val="en-GB"/>
        </w:rPr>
        <w:br w:type="page"/>
      </w: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lang w:val="en-GB"/>
        </w:rPr>
      </w:pPr>
    </w:p>
    <w:p w:rsidR="00567D26" w:rsidRPr="00567D26" w:rsidRDefault="00567D26" w:rsidP="00567D26">
      <w:pPr>
        <w:jc w:val="center"/>
        <w:rPr>
          <w:rFonts w:asciiTheme="minorHAnsi" w:hAnsiTheme="minorHAnsi"/>
          <w:sz w:val="20"/>
          <w:szCs w:val="20"/>
          <w:u w:val="single"/>
          <w:lang w:val="en-GB" w:eastAsia="en-GB" w:bidi="en-GB"/>
        </w:rPr>
      </w:pPr>
    </w:p>
    <w:p w:rsidR="00A202F9" w:rsidRPr="00567D26" w:rsidRDefault="00A202F9" w:rsidP="00567D26">
      <w:pPr>
        <w:jc w:val="center"/>
        <w:rPr>
          <w:rFonts w:asciiTheme="minorHAnsi" w:hAnsiTheme="minorHAnsi"/>
          <w:sz w:val="20"/>
          <w:szCs w:val="20"/>
          <w:lang w:val="en-GB"/>
        </w:rPr>
      </w:pPr>
      <w:r w:rsidRPr="00567D26">
        <w:rPr>
          <w:rFonts w:asciiTheme="minorHAnsi" w:hAnsiTheme="minorHAnsi"/>
          <w:sz w:val="20"/>
          <w:szCs w:val="20"/>
          <w:lang w:val="en-GB"/>
        </w:rPr>
        <w:t xml:space="preserve">The information and views set out in this study are those of the authors and do not necessarily reflect the official opinion of the European Economic and Social Committee. The European Economic and Social Committee does not guarantee the accuracy of the data included in this study. </w:t>
      </w:r>
      <w:r w:rsidRPr="00567D26">
        <w:rPr>
          <w:rFonts w:asciiTheme="minorHAnsi" w:hAnsiTheme="minorHAnsi"/>
          <w:sz w:val="20"/>
          <w:szCs w:val="20"/>
          <w:lang w:val="en-GB"/>
        </w:rPr>
        <w:br/>
        <w:t>Neither the European Economic and Social Committee nor any person acting on the European Economic and Social Committee’s behalf may be held responsible for the use which may be made of the information contained therein.</w:t>
      </w:r>
    </w:p>
    <w:p w:rsidR="00C93AB6" w:rsidRPr="00567D26" w:rsidRDefault="00C93AB6" w:rsidP="008573AC">
      <w:pPr>
        <w:spacing w:before="1200" w:after="240"/>
        <w:jc w:val="both"/>
        <w:rPr>
          <w:rFonts w:asciiTheme="minorHAnsi" w:hAnsiTheme="minorHAnsi"/>
          <w:i/>
          <w:spacing w:val="-3"/>
          <w:sz w:val="20"/>
          <w:szCs w:val="20"/>
          <w:lang w:val="en-GB"/>
        </w:rPr>
      </w:pPr>
    </w:p>
    <w:p w:rsidR="002479D4" w:rsidRPr="00567D26" w:rsidRDefault="002479D4" w:rsidP="00567D26">
      <w:pPr>
        <w:pStyle w:val="Nadpis1"/>
        <w:numPr>
          <w:ilvl w:val="0"/>
          <w:numId w:val="0"/>
        </w:numPr>
        <w:ind w:left="360"/>
        <w:jc w:val="both"/>
        <w:rPr>
          <w:rFonts w:asciiTheme="minorHAnsi" w:hAnsiTheme="minorHAnsi"/>
          <w:sz w:val="20"/>
          <w:szCs w:val="20"/>
          <w:lang w:val="en-GB"/>
        </w:rPr>
      </w:pPr>
      <w:bookmarkStart w:id="1" w:name="_Toc467849883"/>
      <w:bookmarkStart w:id="2" w:name="_Toc466458112"/>
      <w:r w:rsidRPr="00567D26">
        <w:rPr>
          <w:rFonts w:asciiTheme="minorHAnsi" w:hAnsiTheme="minorHAnsi"/>
          <w:sz w:val="20"/>
          <w:szCs w:val="20"/>
          <w:lang w:val="en-GB"/>
        </w:rPr>
        <w:t>Objectives and scope</w:t>
      </w:r>
      <w:bookmarkEnd w:id="1"/>
    </w:p>
    <w:p w:rsidR="003C01AC" w:rsidRPr="00567D26" w:rsidRDefault="003C01AC" w:rsidP="003C01AC">
      <w:pPr>
        <w:spacing w:line="288" w:lineRule="auto"/>
        <w:jc w:val="both"/>
        <w:rPr>
          <w:rFonts w:asciiTheme="minorHAnsi" w:eastAsia="Calibri" w:hAnsiTheme="minorHAnsi"/>
          <w:sz w:val="20"/>
          <w:szCs w:val="20"/>
          <w:lang w:val="en-GB" w:eastAsia="en-US"/>
        </w:rPr>
      </w:pPr>
      <w:r w:rsidRPr="00567D26">
        <w:rPr>
          <w:rFonts w:asciiTheme="minorHAnsi" w:hAnsiTheme="minorHAnsi"/>
          <w:sz w:val="20"/>
          <w:szCs w:val="20"/>
          <w:lang w:val="en-GB"/>
        </w:rPr>
        <w:t>As a consequence of ‘the economic storm that ravaged Europe and called its integration into question’</w:t>
      </w:r>
      <w:r w:rsidRPr="00567D26">
        <w:rPr>
          <w:rFonts w:asciiTheme="minorHAnsi" w:hAnsiTheme="minorHAnsi"/>
          <w:sz w:val="20"/>
          <w:szCs w:val="20"/>
          <w:vertAlign w:val="superscript"/>
          <w:lang w:val="en-GB"/>
        </w:rPr>
        <w:footnoteReference w:id="1"/>
      </w:r>
      <w:r w:rsidRPr="00567D26">
        <w:rPr>
          <w:rFonts w:asciiTheme="minorHAnsi" w:hAnsiTheme="minorHAnsi"/>
          <w:sz w:val="20"/>
          <w:szCs w:val="20"/>
          <w:lang w:val="en-GB"/>
        </w:rPr>
        <w:t xml:space="preserve"> it has become clear that the </w:t>
      </w:r>
      <w:r w:rsidRPr="00567D26">
        <w:rPr>
          <w:rFonts w:asciiTheme="minorHAnsi" w:hAnsiTheme="minorHAnsi"/>
          <w:b/>
          <w:sz w:val="20"/>
          <w:szCs w:val="20"/>
          <w:lang w:val="en-GB"/>
        </w:rPr>
        <w:t>fight to growing social inequality in Europe should represent the greatest challenge</w:t>
      </w:r>
      <w:r w:rsidRPr="00567D26">
        <w:rPr>
          <w:rFonts w:asciiTheme="minorHAnsi" w:hAnsiTheme="minorHAnsi"/>
          <w:sz w:val="20"/>
          <w:szCs w:val="20"/>
          <w:lang w:val="en-GB"/>
        </w:rPr>
        <w:t xml:space="preserve"> to overcome, together with another challenge, the need to relaunch investment in Europe: s</w:t>
      </w:r>
      <w:r w:rsidRPr="00567D26">
        <w:rPr>
          <w:rFonts w:asciiTheme="minorHAnsi" w:eastAsia="Calibri" w:hAnsiTheme="minorHAnsi"/>
          <w:sz w:val="20"/>
          <w:szCs w:val="20"/>
          <w:lang w:val="en-GB" w:eastAsia="en-US"/>
        </w:rPr>
        <w:t>ince the global economic and financial crisis, in fact the EU has been suffering from low levels of investment, in 2013 15 % below the highs experienced in 2007</w:t>
      </w:r>
      <w:r w:rsidRPr="00567D26">
        <w:rPr>
          <w:rFonts w:asciiTheme="minorHAnsi" w:eastAsia="Calibri" w:hAnsiTheme="minorHAnsi"/>
          <w:sz w:val="20"/>
          <w:szCs w:val="20"/>
          <w:vertAlign w:val="superscript"/>
          <w:lang w:val="en-GB" w:eastAsia="en-US"/>
        </w:rPr>
        <w:footnoteReference w:id="2"/>
      </w:r>
      <w:r w:rsidRPr="00567D26">
        <w:rPr>
          <w:rFonts w:asciiTheme="minorHAnsi" w:eastAsia="Calibri" w:hAnsiTheme="minorHAnsi"/>
          <w:sz w:val="20"/>
          <w:szCs w:val="20"/>
          <w:lang w:val="en-GB" w:eastAsia="en-US"/>
        </w:rPr>
        <w:t>.</w:t>
      </w:r>
    </w:p>
    <w:p w:rsidR="003C01AC" w:rsidRPr="00567D26" w:rsidRDefault="003C01AC" w:rsidP="003C01AC">
      <w:pPr>
        <w:spacing w:line="288" w:lineRule="auto"/>
        <w:jc w:val="both"/>
        <w:rPr>
          <w:rFonts w:asciiTheme="minorHAnsi" w:hAnsiTheme="minorHAnsi"/>
          <w:sz w:val="20"/>
          <w:szCs w:val="20"/>
          <w:lang w:val="en-GB"/>
        </w:rPr>
      </w:pPr>
      <w:r w:rsidRPr="00567D26">
        <w:rPr>
          <w:rFonts w:asciiTheme="minorHAnsi" w:hAnsiTheme="minorHAnsi"/>
          <w:sz w:val="20"/>
          <w:szCs w:val="20"/>
          <w:lang w:val="en-GB"/>
        </w:rPr>
        <w:t>It is in this context that in October 2014 the European Commission President Jean-Claude Juncker, proposed as first priority as Commission President an ambitious Jobs, Growth and Investment Package. In his first speech to the European Parliament, he spoke of his wish for Europe to be ‘</w:t>
      </w:r>
      <w:r w:rsidRPr="00567D26">
        <w:rPr>
          <w:rFonts w:asciiTheme="minorHAnsi" w:hAnsiTheme="minorHAnsi"/>
          <w:b/>
          <w:sz w:val="20"/>
          <w:szCs w:val="20"/>
          <w:lang w:val="en-GB"/>
        </w:rPr>
        <w:t>triple A rating on social issues’</w:t>
      </w:r>
      <w:r w:rsidRPr="00567D26">
        <w:rPr>
          <w:rFonts w:asciiTheme="minorHAnsi" w:hAnsiTheme="minorHAnsi"/>
          <w:sz w:val="20"/>
          <w:szCs w:val="20"/>
          <w:lang w:val="en-GB"/>
        </w:rPr>
        <w:t xml:space="preserve">, putting social issues further up on the agenda. He said that </w:t>
      </w:r>
      <w:r w:rsidRPr="00567D26">
        <w:rPr>
          <w:rFonts w:asciiTheme="minorHAnsi" w:hAnsiTheme="minorHAnsi"/>
          <w:b/>
          <w:sz w:val="20"/>
          <w:szCs w:val="20"/>
          <w:lang w:val="en-GB"/>
        </w:rPr>
        <w:t>recovery from the crisis in fact calls for greater attention to those policy fields which have long-term effects</w:t>
      </w:r>
      <w:r w:rsidRPr="00567D26">
        <w:rPr>
          <w:rFonts w:asciiTheme="minorHAnsi" w:hAnsiTheme="minorHAnsi"/>
          <w:sz w:val="20"/>
          <w:szCs w:val="20"/>
          <w:lang w:val="en-GB"/>
        </w:rPr>
        <w:t xml:space="preserve">, like education and employment/social policies. </w:t>
      </w:r>
    </w:p>
    <w:p w:rsidR="003C01AC" w:rsidRPr="00567D26" w:rsidRDefault="003C01AC" w:rsidP="003C01AC">
      <w:pPr>
        <w:spacing w:line="288" w:lineRule="auto"/>
        <w:jc w:val="both"/>
        <w:rPr>
          <w:rFonts w:asciiTheme="minorHAnsi" w:eastAsia="Calibri" w:hAnsiTheme="minorHAnsi"/>
          <w:sz w:val="20"/>
          <w:szCs w:val="20"/>
          <w:lang w:val="en-GB" w:eastAsia="en-US"/>
        </w:rPr>
      </w:pPr>
      <w:r w:rsidRPr="00567D26">
        <w:rPr>
          <w:rFonts w:asciiTheme="minorHAnsi" w:hAnsiTheme="minorHAnsi"/>
          <w:sz w:val="20"/>
          <w:szCs w:val="20"/>
          <w:lang w:val="en-GB" w:eastAsia="en-US"/>
        </w:rPr>
        <w:t xml:space="preserve">To promote a </w:t>
      </w:r>
      <w:r w:rsidRPr="00567D26">
        <w:rPr>
          <w:rFonts w:asciiTheme="minorHAnsi" w:eastAsia="Calibri" w:hAnsiTheme="minorHAnsi"/>
          <w:sz w:val="20"/>
          <w:szCs w:val="20"/>
          <w:lang w:val="en-GB" w:eastAsia="en-US"/>
        </w:rPr>
        <w:t>collective and coordinated effort at European level the Investment Plan for Europe (IPE) was launched in November 2014 to bring investments back in line with their historical trends.</w:t>
      </w:r>
    </w:p>
    <w:p w:rsidR="003C01AC" w:rsidRPr="00567D26" w:rsidRDefault="003C01AC" w:rsidP="003C01AC">
      <w:pPr>
        <w:spacing w:line="288" w:lineRule="auto"/>
        <w:jc w:val="both"/>
        <w:rPr>
          <w:rFonts w:asciiTheme="minorHAnsi" w:eastAsia="Calibri" w:hAnsiTheme="minorHAnsi"/>
          <w:sz w:val="20"/>
          <w:szCs w:val="20"/>
          <w:lang w:val="en-GB" w:eastAsia="en-US"/>
        </w:rPr>
      </w:pPr>
    </w:p>
    <w:p w:rsidR="003C01AC" w:rsidRPr="00567D26" w:rsidRDefault="003C01AC" w:rsidP="003C01AC">
      <w:pPr>
        <w:spacing w:line="288" w:lineRule="auto"/>
        <w:jc w:val="both"/>
        <w:rPr>
          <w:rFonts w:asciiTheme="minorHAnsi" w:hAnsiTheme="minorHAnsi"/>
          <w:sz w:val="20"/>
          <w:szCs w:val="20"/>
          <w:lang w:val="en-GB"/>
        </w:rPr>
      </w:pPr>
      <w:r w:rsidRPr="00567D26">
        <w:rPr>
          <w:rFonts w:asciiTheme="minorHAnsi" w:hAnsiTheme="minorHAnsi"/>
          <w:sz w:val="20"/>
          <w:szCs w:val="20"/>
          <w:lang w:val="en-GB"/>
        </w:rPr>
        <w:t xml:space="preserve">The focus of the study is to analyse in depth </w:t>
      </w:r>
      <w:r w:rsidRPr="00567D26">
        <w:rPr>
          <w:rFonts w:asciiTheme="minorHAnsi" w:eastAsia="Calibri" w:hAnsiTheme="minorHAnsi"/>
          <w:sz w:val="20"/>
          <w:szCs w:val="20"/>
          <w:lang w:val="en-GB" w:eastAsia="en-US"/>
        </w:rPr>
        <w:t xml:space="preserve">the advancements of the </w:t>
      </w:r>
      <w:r w:rsidRPr="00567D26">
        <w:rPr>
          <w:rFonts w:asciiTheme="minorHAnsi" w:eastAsia="Calibri" w:hAnsiTheme="minorHAnsi"/>
          <w:b/>
          <w:sz w:val="20"/>
          <w:szCs w:val="20"/>
          <w:lang w:val="en-GB" w:eastAsia="en-US"/>
        </w:rPr>
        <w:t>Jobs,</w:t>
      </w:r>
      <w:r w:rsidRPr="00567D26">
        <w:rPr>
          <w:rFonts w:asciiTheme="minorHAnsi" w:eastAsia="Calibri" w:hAnsiTheme="minorHAnsi"/>
          <w:sz w:val="20"/>
          <w:szCs w:val="20"/>
          <w:lang w:val="en-GB" w:eastAsia="en-US"/>
        </w:rPr>
        <w:t xml:space="preserve"> </w:t>
      </w:r>
      <w:r w:rsidRPr="00567D26">
        <w:rPr>
          <w:rFonts w:asciiTheme="minorHAnsi" w:hAnsiTheme="minorHAnsi"/>
          <w:b/>
          <w:sz w:val="20"/>
          <w:szCs w:val="20"/>
          <w:lang w:val="en-GB"/>
        </w:rPr>
        <w:t xml:space="preserve">Growth and Investment Package </w:t>
      </w:r>
      <w:r w:rsidRPr="00567D26">
        <w:rPr>
          <w:rFonts w:asciiTheme="minorHAnsi" w:hAnsiTheme="minorHAnsi"/>
          <w:sz w:val="20"/>
          <w:szCs w:val="20"/>
          <w:lang w:val="en-GB"/>
        </w:rPr>
        <w:t xml:space="preserve">and its contribution towards promoting a more sustainable and inclusive growth through specific actions and projects to be funded in the area of social inclusion, social cohesion and social rights. </w:t>
      </w:r>
    </w:p>
    <w:p w:rsidR="003C01AC" w:rsidRPr="00567D26" w:rsidRDefault="003C01AC" w:rsidP="003C01AC">
      <w:pPr>
        <w:spacing w:line="288" w:lineRule="auto"/>
        <w:jc w:val="both"/>
        <w:rPr>
          <w:rFonts w:asciiTheme="minorHAnsi" w:hAnsiTheme="minorHAnsi"/>
          <w:sz w:val="20"/>
          <w:szCs w:val="20"/>
          <w:lang w:val="en-GB"/>
        </w:rPr>
      </w:pPr>
      <w:r w:rsidRPr="00567D26">
        <w:rPr>
          <w:rFonts w:asciiTheme="minorHAnsi" w:hAnsiTheme="minorHAnsi"/>
          <w:sz w:val="20"/>
          <w:szCs w:val="20"/>
          <w:lang w:val="en-GB" w:eastAsia="zh-CN"/>
        </w:rPr>
        <w:t xml:space="preserve">The study is based on the </w:t>
      </w:r>
      <w:r w:rsidRPr="00567D26">
        <w:rPr>
          <w:rFonts w:asciiTheme="minorHAnsi" w:hAnsiTheme="minorHAnsi"/>
          <w:b/>
          <w:sz w:val="20"/>
          <w:szCs w:val="20"/>
          <w:lang w:val="en-GB" w:eastAsia="zh-CN"/>
        </w:rPr>
        <w:t>concept of inclusive growth</w:t>
      </w:r>
      <w:r w:rsidRPr="00567D26">
        <w:rPr>
          <w:rFonts w:asciiTheme="minorHAnsi" w:hAnsiTheme="minorHAnsi"/>
          <w:sz w:val="20"/>
          <w:szCs w:val="20"/>
          <w:lang w:val="en-GB" w:eastAsia="zh-CN"/>
        </w:rPr>
        <w:t xml:space="preserve">, derived from the development literature: it not only states that growth with equity is possible, but also that </w:t>
      </w:r>
      <w:r w:rsidRPr="00567D26">
        <w:rPr>
          <w:rFonts w:asciiTheme="minorHAnsi" w:hAnsiTheme="minorHAnsi"/>
          <w:b/>
          <w:sz w:val="20"/>
          <w:szCs w:val="20"/>
          <w:lang w:val="en-GB" w:eastAsia="zh-CN"/>
        </w:rPr>
        <w:t>equity is necessary for growth</w:t>
      </w:r>
      <w:r w:rsidRPr="00567D26">
        <w:rPr>
          <w:rFonts w:asciiTheme="minorHAnsi" w:hAnsiTheme="minorHAnsi"/>
          <w:sz w:val="20"/>
          <w:szCs w:val="20"/>
          <w:lang w:val="en-GB" w:eastAsia="zh-CN"/>
        </w:rPr>
        <w:t>.</w:t>
      </w:r>
      <w:r w:rsidRPr="00567D26">
        <w:rPr>
          <w:rFonts w:asciiTheme="minorHAnsi" w:hAnsiTheme="minorHAnsi"/>
          <w:sz w:val="20"/>
          <w:szCs w:val="20"/>
          <w:lang w:val="en-GB"/>
        </w:rPr>
        <w:t xml:space="preserve"> As a number of EU researches evidence, investing in growth and job creation – the top priorities of the Commission Plan – may not be enough to ensure sustainable and inclusive growth. </w:t>
      </w:r>
      <w:r w:rsidR="00CF6DD0" w:rsidRPr="00567D26">
        <w:rPr>
          <w:rFonts w:asciiTheme="minorHAnsi" w:hAnsiTheme="minorHAnsi"/>
          <w:sz w:val="20"/>
          <w:szCs w:val="20"/>
          <w:lang w:val="en-GB"/>
        </w:rPr>
        <w:t xml:space="preserve">Literature review shows there is a wide awareness among stakeholders, also from the economic sector and among policymakers, that economic growth and employment have to be accompanied by redistributive measures promoting equity and social outcomes. </w:t>
      </w:r>
      <w:r w:rsidR="007E6BD6" w:rsidRPr="00567D26">
        <w:rPr>
          <w:rFonts w:asciiTheme="minorHAnsi" w:hAnsiTheme="minorHAnsi"/>
          <w:sz w:val="20"/>
          <w:szCs w:val="20"/>
          <w:lang w:val="en-GB"/>
        </w:rPr>
        <w:t>OECD studies evidence a positive impact that social redistribution policies have exerted on economic growth</w:t>
      </w:r>
      <w:r w:rsidR="007E6BD6" w:rsidRPr="00567D26">
        <w:rPr>
          <w:rStyle w:val="Znakapoznpodarou"/>
          <w:rFonts w:asciiTheme="minorHAnsi" w:hAnsiTheme="minorHAnsi"/>
          <w:sz w:val="20"/>
          <w:szCs w:val="20"/>
          <w:lang w:val="en-GB"/>
        </w:rPr>
        <w:footnoteReference w:id="3"/>
      </w:r>
      <w:r w:rsidR="003F6595" w:rsidRPr="00567D26">
        <w:rPr>
          <w:rFonts w:asciiTheme="minorHAnsi" w:hAnsiTheme="minorHAnsi"/>
          <w:sz w:val="20"/>
          <w:szCs w:val="20"/>
          <w:lang w:val="en-GB"/>
        </w:rPr>
        <w:t>: i</w:t>
      </w:r>
      <w:r w:rsidR="007E6BD6" w:rsidRPr="00567D26">
        <w:rPr>
          <w:rFonts w:asciiTheme="minorHAnsi" w:hAnsiTheme="minorHAnsi"/>
          <w:sz w:val="20"/>
          <w:szCs w:val="20"/>
          <w:lang w:val="en-GB"/>
        </w:rPr>
        <w:t>n fact, countries where tax and social security systems have also been used in redistribution, such as Germany, Denmark and Sweden, see their Gini coefficient fall dramatically</w:t>
      </w:r>
      <w:r w:rsidR="007E6BD6" w:rsidRPr="00567D26">
        <w:rPr>
          <w:rStyle w:val="Znakapoznpodarou"/>
          <w:rFonts w:asciiTheme="minorHAnsi" w:hAnsiTheme="minorHAnsi"/>
          <w:sz w:val="20"/>
          <w:szCs w:val="20"/>
          <w:lang w:val="en-GB"/>
        </w:rPr>
        <w:footnoteReference w:id="4"/>
      </w:r>
      <w:r w:rsidR="007E6BD6" w:rsidRPr="00567D26">
        <w:rPr>
          <w:rFonts w:asciiTheme="minorHAnsi" w:hAnsiTheme="minorHAnsi"/>
          <w:sz w:val="20"/>
          <w:szCs w:val="20"/>
          <w:lang w:val="en-GB"/>
        </w:rPr>
        <w:t>.</w:t>
      </w:r>
      <w:r w:rsidR="00EA0FC2" w:rsidRPr="00567D26">
        <w:rPr>
          <w:rFonts w:asciiTheme="minorHAnsi" w:hAnsiTheme="minorHAnsi"/>
          <w:sz w:val="20"/>
          <w:szCs w:val="20"/>
          <w:lang w:val="en-GB"/>
        </w:rPr>
        <w:t xml:space="preserve"> </w:t>
      </w:r>
      <w:r w:rsidRPr="00567D26">
        <w:rPr>
          <w:rFonts w:asciiTheme="minorHAnsi" w:hAnsiTheme="minorHAnsi"/>
          <w:sz w:val="20"/>
          <w:szCs w:val="20"/>
          <w:lang w:val="en-GB"/>
        </w:rPr>
        <w:t xml:space="preserve">Closing the investment gap left behind by the financial and economic crisis as well as promoting employment, in particular youth employment, and investments in human capital remain a key challenge for the EU. </w:t>
      </w:r>
    </w:p>
    <w:p w:rsidR="009001FD" w:rsidRPr="00567D26" w:rsidRDefault="009001FD" w:rsidP="009001FD">
      <w:pPr>
        <w:spacing w:line="288" w:lineRule="auto"/>
        <w:jc w:val="both"/>
        <w:rPr>
          <w:rFonts w:asciiTheme="minorHAnsi" w:hAnsiTheme="minorHAnsi"/>
          <w:sz w:val="20"/>
          <w:szCs w:val="20"/>
          <w:lang w:val="en-GB"/>
        </w:rPr>
      </w:pPr>
    </w:p>
    <w:p w:rsidR="009001FD" w:rsidRPr="00567D26" w:rsidRDefault="009001FD" w:rsidP="009001FD">
      <w:pPr>
        <w:pBdr>
          <w:top w:val="single" w:sz="4" w:space="1" w:color="auto"/>
          <w:left w:val="single" w:sz="4" w:space="4" w:color="auto"/>
          <w:bottom w:val="single" w:sz="4" w:space="1" w:color="auto"/>
          <w:right w:val="single" w:sz="4" w:space="4" w:color="auto"/>
        </w:pBdr>
        <w:jc w:val="both"/>
        <w:rPr>
          <w:rFonts w:asciiTheme="minorHAnsi" w:hAnsiTheme="minorHAnsi"/>
          <w:sz w:val="20"/>
          <w:szCs w:val="20"/>
          <w:lang w:val="en-GB" w:eastAsia="en-US"/>
        </w:rPr>
      </w:pPr>
      <w:r w:rsidRPr="00567D26">
        <w:rPr>
          <w:rFonts w:asciiTheme="minorHAnsi" w:hAnsiTheme="minorHAnsi"/>
          <w:sz w:val="20"/>
          <w:szCs w:val="20"/>
          <w:lang w:val="en-GB" w:eastAsia="en-US"/>
        </w:rPr>
        <w:t>‘The pursuit of severe austerity policies imposed on countries affected by high public and external debts and budget deficits is contributing to widening the gap between the most advanced countries and those affected by austerity. New policies are necessary to combine economic growth and budget deficit control with effective social inclusion policies. Poverty, insecure employment and unemployment have reached an unacceptable level. The lack of future prospects for young people represents a significant obstacle to a renewable future for Europe.’</w:t>
      </w:r>
    </w:p>
    <w:p w:rsidR="009001FD" w:rsidRPr="00567D26" w:rsidRDefault="009001FD" w:rsidP="009001FD">
      <w:pPr>
        <w:pBdr>
          <w:top w:val="single" w:sz="4" w:space="1" w:color="auto"/>
          <w:left w:val="single" w:sz="4" w:space="4" w:color="auto"/>
          <w:bottom w:val="single" w:sz="4" w:space="1" w:color="auto"/>
          <w:right w:val="single" w:sz="4" w:space="4" w:color="auto"/>
        </w:pBdr>
        <w:jc w:val="both"/>
        <w:rPr>
          <w:rFonts w:asciiTheme="minorHAnsi" w:hAnsiTheme="minorHAnsi"/>
          <w:sz w:val="20"/>
          <w:szCs w:val="20"/>
          <w:lang w:val="en-GB"/>
        </w:rPr>
      </w:pPr>
    </w:p>
    <w:p w:rsidR="009001FD" w:rsidRPr="00567D26" w:rsidRDefault="009001FD" w:rsidP="009001FD">
      <w:pPr>
        <w:pBdr>
          <w:top w:val="single" w:sz="4" w:space="1" w:color="auto"/>
          <w:left w:val="single" w:sz="4" w:space="4" w:color="auto"/>
          <w:bottom w:val="single" w:sz="4" w:space="1" w:color="auto"/>
          <w:right w:val="single" w:sz="4" w:space="4" w:color="auto"/>
        </w:pBdr>
        <w:jc w:val="both"/>
        <w:rPr>
          <w:rFonts w:asciiTheme="minorHAnsi" w:hAnsiTheme="minorHAnsi"/>
          <w:sz w:val="20"/>
          <w:szCs w:val="20"/>
          <w:lang w:val="en-GB"/>
        </w:rPr>
      </w:pPr>
      <w:r w:rsidRPr="00567D26">
        <w:rPr>
          <w:rFonts w:asciiTheme="minorHAnsi" w:hAnsiTheme="minorHAnsi"/>
          <w:sz w:val="20"/>
          <w:szCs w:val="20"/>
          <w:lang w:val="en-GB"/>
        </w:rPr>
        <w:t xml:space="preserve">EESC, </w:t>
      </w:r>
      <w:r w:rsidRPr="00567D26">
        <w:rPr>
          <w:rFonts w:asciiTheme="minorHAnsi" w:hAnsiTheme="minorHAnsi"/>
          <w:i/>
          <w:sz w:val="20"/>
          <w:szCs w:val="20"/>
          <w:lang w:val="en-GB"/>
        </w:rPr>
        <w:t>New measures for development-oriented governance and implementation – evaluation of the European Structural and Investment Funds and ensuing recommendations</w:t>
      </w:r>
      <w:r w:rsidRPr="00567D26">
        <w:rPr>
          <w:rFonts w:asciiTheme="minorHAnsi" w:hAnsiTheme="minorHAnsi"/>
          <w:sz w:val="20"/>
          <w:szCs w:val="20"/>
          <w:lang w:val="en-GB"/>
        </w:rPr>
        <w:t>, ECO/400, 2016</w:t>
      </w:r>
    </w:p>
    <w:p w:rsidR="009001FD" w:rsidRPr="00567D26" w:rsidRDefault="009001FD" w:rsidP="009001FD">
      <w:pPr>
        <w:jc w:val="both"/>
        <w:rPr>
          <w:rFonts w:asciiTheme="minorHAnsi" w:hAnsiTheme="minorHAnsi"/>
          <w:sz w:val="20"/>
          <w:szCs w:val="20"/>
          <w:lang w:val="en-GB"/>
        </w:rPr>
      </w:pPr>
    </w:p>
    <w:p w:rsidR="00A45730" w:rsidRPr="00567D26" w:rsidRDefault="00A45730" w:rsidP="00407388">
      <w:pPr>
        <w:pStyle w:val="Nadpis1"/>
        <w:keepNext/>
        <w:rPr>
          <w:rFonts w:asciiTheme="minorHAnsi" w:hAnsiTheme="minorHAnsi"/>
          <w:sz w:val="20"/>
          <w:szCs w:val="20"/>
        </w:rPr>
      </w:pPr>
      <w:bookmarkStart w:id="3" w:name="_Toc466458113"/>
      <w:bookmarkStart w:id="4" w:name="_Toc467849884"/>
      <w:bookmarkEnd w:id="2"/>
      <w:r w:rsidRPr="00567D26">
        <w:rPr>
          <w:rFonts w:asciiTheme="minorHAnsi" w:hAnsiTheme="minorHAnsi"/>
          <w:sz w:val="20"/>
          <w:szCs w:val="20"/>
        </w:rPr>
        <w:lastRenderedPageBreak/>
        <w:t>Main results</w:t>
      </w:r>
      <w:bookmarkEnd w:id="3"/>
      <w:bookmarkEnd w:id="4"/>
    </w:p>
    <w:p w:rsidR="006F7F46" w:rsidRPr="00567D26" w:rsidRDefault="006F7F46" w:rsidP="00407388">
      <w:pPr>
        <w:keepNext/>
        <w:spacing w:line="288" w:lineRule="auto"/>
        <w:jc w:val="both"/>
        <w:rPr>
          <w:rFonts w:asciiTheme="minorHAnsi" w:hAnsiTheme="minorHAnsi"/>
          <w:sz w:val="20"/>
          <w:szCs w:val="20"/>
          <w:lang w:val="en-GB" w:eastAsia="en-US"/>
        </w:rPr>
      </w:pPr>
      <w:r w:rsidRPr="00567D26">
        <w:rPr>
          <w:rFonts w:asciiTheme="minorHAnsi" w:hAnsiTheme="minorHAnsi"/>
          <w:sz w:val="20"/>
          <w:szCs w:val="20"/>
          <w:lang w:val="en-GB" w:eastAsia="en-US"/>
        </w:rPr>
        <w:t>The IPE is articulated in three Pillars:</w:t>
      </w:r>
    </w:p>
    <w:p w:rsidR="006F7F46" w:rsidRPr="00567D26" w:rsidRDefault="006F7F46" w:rsidP="006F7F46">
      <w:pPr>
        <w:pStyle w:val="elencopuntato"/>
        <w:jc w:val="both"/>
        <w:rPr>
          <w:rFonts w:asciiTheme="minorHAnsi" w:hAnsiTheme="minorHAnsi"/>
          <w:sz w:val="20"/>
          <w:szCs w:val="20"/>
          <w:lang w:val="en-GB"/>
        </w:rPr>
      </w:pPr>
      <w:r w:rsidRPr="00567D26">
        <w:rPr>
          <w:rFonts w:asciiTheme="minorHAnsi" w:hAnsiTheme="minorHAnsi"/>
          <w:b/>
          <w:sz w:val="20"/>
          <w:szCs w:val="20"/>
          <w:lang w:val="en-GB"/>
        </w:rPr>
        <w:t>PILLAR 1</w:t>
      </w:r>
      <w:r w:rsidRPr="00567D26">
        <w:rPr>
          <w:rFonts w:asciiTheme="minorHAnsi" w:hAnsiTheme="minorHAnsi"/>
          <w:sz w:val="20"/>
          <w:szCs w:val="20"/>
          <w:lang w:val="en-GB"/>
        </w:rPr>
        <w:t>: The European fund for strategic investments, fund</w:t>
      </w:r>
      <w:r w:rsidR="003F6595" w:rsidRPr="00567D26">
        <w:rPr>
          <w:rFonts w:asciiTheme="minorHAnsi" w:hAnsiTheme="minorHAnsi"/>
          <w:sz w:val="20"/>
          <w:szCs w:val="20"/>
          <w:lang w:val="en-GB"/>
        </w:rPr>
        <w:t>s</w:t>
      </w:r>
      <w:r w:rsidRPr="00567D26">
        <w:rPr>
          <w:rFonts w:asciiTheme="minorHAnsi" w:hAnsiTheme="minorHAnsi"/>
          <w:sz w:val="20"/>
          <w:szCs w:val="20"/>
          <w:lang w:val="en-GB"/>
        </w:rPr>
        <w:t xml:space="preserve"> the so called </w:t>
      </w:r>
      <w:r w:rsidRPr="00567D26">
        <w:rPr>
          <w:rFonts w:asciiTheme="minorHAnsi" w:hAnsiTheme="minorHAnsi"/>
          <w:b/>
          <w:sz w:val="20"/>
          <w:szCs w:val="20"/>
          <w:lang w:val="en-GB"/>
        </w:rPr>
        <w:t>EFSI projects</w:t>
      </w:r>
      <w:r w:rsidRPr="00567D26">
        <w:rPr>
          <w:rFonts w:asciiTheme="minorHAnsi" w:hAnsiTheme="minorHAnsi"/>
          <w:sz w:val="20"/>
          <w:szCs w:val="20"/>
          <w:lang w:val="en-GB"/>
        </w:rPr>
        <w:t>. EFSI has two specific windows: the SME Window (SMEW) and the Infrastructure &amp; Innovation Window (IIW).</w:t>
      </w:r>
    </w:p>
    <w:p w:rsidR="00692FFD" w:rsidRPr="00567D26" w:rsidRDefault="006F7F46" w:rsidP="00692FFD">
      <w:pPr>
        <w:pStyle w:val="Odstavecseseznamem"/>
        <w:numPr>
          <w:ilvl w:val="2"/>
          <w:numId w:val="4"/>
        </w:numPr>
        <w:spacing w:after="0" w:line="288" w:lineRule="auto"/>
        <w:ind w:left="1560"/>
        <w:jc w:val="both"/>
        <w:rPr>
          <w:rFonts w:asciiTheme="minorHAnsi" w:hAnsiTheme="minorHAnsi" w:cs="Times New Roman"/>
          <w:sz w:val="20"/>
          <w:szCs w:val="20"/>
          <w:lang w:val="en-GB" w:eastAsia="en-US"/>
        </w:rPr>
      </w:pPr>
      <w:r w:rsidRPr="00567D26">
        <w:rPr>
          <w:rFonts w:asciiTheme="minorHAnsi" w:hAnsiTheme="minorHAnsi" w:cs="Times New Roman"/>
          <w:b/>
          <w:sz w:val="20"/>
          <w:szCs w:val="20"/>
          <w:lang w:val="en-GB" w:eastAsia="en-US"/>
        </w:rPr>
        <w:t>Infrastructure and Innovation (IIW)</w:t>
      </w:r>
      <w:r w:rsidRPr="00567D26">
        <w:rPr>
          <w:rFonts w:asciiTheme="minorHAnsi" w:hAnsiTheme="minorHAnsi" w:cs="Times New Roman"/>
          <w:sz w:val="20"/>
          <w:szCs w:val="20"/>
          <w:lang w:val="en-GB" w:eastAsia="en-US"/>
        </w:rPr>
        <w:t xml:space="preserve"> proj</w:t>
      </w:r>
      <w:r w:rsidR="00692FFD" w:rsidRPr="00567D26">
        <w:rPr>
          <w:rFonts w:asciiTheme="minorHAnsi" w:hAnsiTheme="minorHAnsi" w:cs="Times New Roman"/>
          <w:sz w:val="20"/>
          <w:szCs w:val="20"/>
          <w:lang w:val="en-GB" w:eastAsia="en-US"/>
        </w:rPr>
        <w:t>ects are implemented by the European Investment Bank</w:t>
      </w:r>
      <w:r w:rsidR="00E617D4" w:rsidRPr="00567D26">
        <w:rPr>
          <w:rFonts w:asciiTheme="minorHAnsi" w:hAnsiTheme="minorHAnsi" w:cs="Times New Roman"/>
          <w:sz w:val="20"/>
          <w:szCs w:val="20"/>
          <w:lang w:val="en-GB" w:eastAsia="en-US"/>
        </w:rPr>
        <w:t xml:space="preserve"> (</w:t>
      </w:r>
      <w:r w:rsidR="00692FFD" w:rsidRPr="00567D26">
        <w:rPr>
          <w:rFonts w:asciiTheme="minorHAnsi" w:hAnsiTheme="minorHAnsi" w:cs="Times New Roman"/>
          <w:sz w:val="20"/>
          <w:szCs w:val="20"/>
          <w:lang w:val="en-GB" w:eastAsia="en-US"/>
        </w:rPr>
        <w:t>EIB</w:t>
      </w:r>
      <w:r w:rsidR="00E617D4" w:rsidRPr="00567D26">
        <w:rPr>
          <w:rFonts w:asciiTheme="minorHAnsi" w:hAnsiTheme="minorHAnsi" w:cs="Times New Roman"/>
          <w:sz w:val="20"/>
          <w:szCs w:val="20"/>
          <w:lang w:val="en-GB" w:eastAsia="en-US"/>
        </w:rPr>
        <w:t xml:space="preserve">). </w:t>
      </w:r>
      <w:r w:rsidR="007E5CEC" w:rsidRPr="00567D26">
        <w:rPr>
          <w:rFonts w:asciiTheme="minorHAnsi" w:hAnsiTheme="minorHAnsi" w:cs="Times New Roman"/>
          <w:sz w:val="20"/>
          <w:szCs w:val="20"/>
          <w:lang w:val="en-GB" w:eastAsia="en-US"/>
        </w:rPr>
        <w:t xml:space="preserve">Projects presented by investors are examined and selected by the EIB Investment Committee. </w:t>
      </w:r>
      <w:r w:rsidR="007E5CEC" w:rsidRPr="00567D26">
        <w:rPr>
          <w:rFonts w:asciiTheme="minorHAnsi" w:hAnsiTheme="minorHAnsi" w:cs="Times New Roman"/>
          <w:sz w:val="20"/>
          <w:szCs w:val="20"/>
          <w:lang w:val="en-GB"/>
        </w:rPr>
        <w:t>Eligible projects must be economically and technically viable, support EU objectives,</w:t>
      </w:r>
      <w:r w:rsidR="007E5CEC" w:rsidRPr="00567D26">
        <w:rPr>
          <w:rFonts w:asciiTheme="minorHAnsi" w:hAnsiTheme="minorHAnsi" w:cs="Times New Roman"/>
          <w:b/>
          <w:sz w:val="20"/>
          <w:szCs w:val="20"/>
          <w:lang w:val="en-GB"/>
        </w:rPr>
        <w:t xml:space="preserve"> </w:t>
      </w:r>
      <w:r w:rsidR="007E5CEC" w:rsidRPr="00567D26">
        <w:rPr>
          <w:rFonts w:asciiTheme="minorHAnsi" w:hAnsiTheme="minorHAnsi" w:cs="Times New Roman"/>
          <w:sz w:val="20"/>
          <w:szCs w:val="20"/>
          <w:lang w:val="en-GB"/>
        </w:rPr>
        <w:t>have a potential to leverage other sources of funding, be projects that require support from the EFSI and cannot be implemented through existing EU and EIB instruments alone</w:t>
      </w:r>
      <w:r w:rsidR="007E5CEC" w:rsidRPr="00567D26">
        <w:rPr>
          <w:rStyle w:val="Znakapoznpodarou"/>
          <w:rFonts w:asciiTheme="minorHAnsi" w:hAnsiTheme="minorHAnsi" w:cs="Times New Roman"/>
          <w:sz w:val="20"/>
          <w:szCs w:val="20"/>
          <w:lang w:val="en-GB" w:eastAsia="en-US"/>
        </w:rPr>
        <w:footnoteReference w:id="5"/>
      </w:r>
      <w:r w:rsidR="007E5CEC" w:rsidRPr="00567D26">
        <w:rPr>
          <w:rFonts w:asciiTheme="minorHAnsi" w:hAnsiTheme="minorHAnsi" w:cs="Times New Roman"/>
          <w:sz w:val="20"/>
          <w:szCs w:val="20"/>
          <w:lang w:val="en-GB"/>
        </w:rPr>
        <w:t xml:space="preserve">. </w:t>
      </w:r>
    </w:p>
    <w:p w:rsidR="00692FFD" w:rsidRPr="00567D26" w:rsidRDefault="00692FFD" w:rsidP="00692FFD">
      <w:pPr>
        <w:pStyle w:val="Odstavecseseznamem"/>
        <w:numPr>
          <w:ilvl w:val="2"/>
          <w:numId w:val="4"/>
        </w:numPr>
        <w:spacing w:after="0" w:line="288" w:lineRule="auto"/>
        <w:ind w:left="1560"/>
        <w:jc w:val="both"/>
        <w:rPr>
          <w:rFonts w:asciiTheme="minorHAnsi" w:hAnsiTheme="minorHAnsi" w:cs="Times New Roman"/>
          <w:sz w:val="20"/>
          <w:szCs w:val="20"/>
          <w:lang w:val="en-GB" w:eastAsia="en-US"/>
        </w:rPr>
      </w:pPr>
      <w:r w:rsidRPr="00567D26">
        <w:rPr>
          <w:rFonts w:asciiTheme="minorHAnsi" w:hAnsiTheme="minorHAnsi" w:cs="Times New Roman"/>
          <w:b/>
          <w:sz w:val="20"/>
          <w:szCs w:val="20"/>
          <w:lang w:val="en-GB" w:eastAsia="en-US"/>
        </w:rPr>
        <w:t>SMEW</w:t>
      </w:r>
      <w:r w:rsidRPr="00567D26">
        <w:rPr>
          <w:rFonts w:asciiTheme="minorHAnsi" w:hAnsiTheme="minorHAnsi" w:cs="Times New Roman"/>
          <w:b/>
          <w:sz w:val="20"/>
          <w:szCs w:val="20"/>
          <w:lang w:val="en-GB"/>
        </w:rPr>
        <w:t xml:space="preserve"> support</w:t>
      </w:r>
      <w:r w:rsidRPr="00567D26">
        <w:rPr>
          <w:rFonts w:asciiTheme="minorHAnsi" w:hAnsiTheme="minorHAnsi" w:cs="Times New Roman"/>
          <w:sz w:val="20"/>
          <w:szCs w:val="20"/>
          <w:lang w:val="en-GB"/>
        </w:rPr>
        <w:t xml:space="preserve"> is delivered through </w:t>
      </w:r>
      <w:r w:rsidRPr="00567D26">
        <w:rPr>
          <w:rFonts w:asciiTheme="minorHAnsi" w:hAnsiTheme="minorHAnsi" w:cs="Times New Roman"/>
          <w:b/>
          <w:sz w:val="20"/>
          <w:szCs w:val="20"/>
          <w:lang w:val="en-GB"/>
        </w:rPr>
        <w:t xml:space="preserve">financial instruments </w:t>
      </w:r>
      <w:r w:rsidRPr="00567D26">
        <w:rPr>
          <w:rFonts w:asciiTheme="minorHAnsi" w:hAnsiTheme="minorHAnsi" w:cs="Times New Roman"/>
          <w:sz w:val="20"/>
          <w:szCs w:val="20"/>
          <w:lang w:val="en-GB"/>
        </w:rPr>
        <w:t>in the form of guarantees and equity investments intended to accelerate the roll-out of existing EC or EIB mandates</w:t>
      </w:r>
      <w:r w:rsidRPr="00567D26">
        <w:rPr>
          <w:rStyle w:val="Znakapoznpodarou"/>
          <w:rFonts w:asciiTheme="minorHAnsi" w:hAnsiTheme="minorHAnsi" w:cs="Times New Roman"/>
          <w:sz w:val="20"/>
          <w:szCs w:val="20"/>
          <w:lang w:val="en-GB"/>
        </w:rPr>
        <w:footnoteReference w:id="6"/>
      </w:r>
      <w:r w:rsidRPr="00567D26">
        <w:rPr>
          <w:rFonts w:asciiTheme="minorHAnsi" w:hAnsiTheme="minorHAnsi" w:cs="Times New Roman"/>
          <w:sz w:val="20"/>
          <w:szCs w:val="20"/>
          <w:lang w:val="en-GB"/>
        </w:rPr>
        <w:t xml:space="preserve">. The </w:t>
      </w:r>
      <w:r w:rsidRPr="00567D26">
        <w:rPr>
          <w:rFonts w:asciiTheme="minorHAnsi" w:hAnsiTheme="minorHAnsi" w:cs="Times New Roman"/>
          <w:noProof/>
          <w:sz w:val="20"/>
          <w:szCs w:val="20"/>
          <w:lang w:val="en-GB"/>
        </w:rPr>
        <w:t xml:space="preserve">SME window is used to support start-ups, SMEs and small mid-caps with difficult access to bank funding, to promote new instruments for providing finance at more favourable terms (rates, duration, collateral). </w:t>
      </w:r>
    </w:p>
    <w:p w:rsidR="006F7F46" w:rsidRPr="00567D26" w:rsidRDefault="006F7F46" w:rsidP="00B95A67">
      <w:pPr>
        <w:pStyle w:val="elencopuntato"/>
        <w:jc w:val="both"/>
        <w:rPr>
          <w:rFonts w:asciiTheme="minorHAnsi" w:hAnsiTheme="minorHAnsi"/>
          <w:sz w:val="20"/>
          <w:szCs w:val="20"/>
        </w:rPr>
      </w:pPr>
      <w:r w:rsidRPr="00567D26">
        <w:rPr>
          <w:rFonts w:asciiTheme="minorHAnsi" w:hAnsiTheme="minorHAnsi"/>
          <w:b/>
          <w:sz w:val="20"/>
          <w:szCs w:val="20"/>
        </w:rPr>
        <w:t>PILLAR 2:</w:t>
      </w:r>
      <w:r w:rsidRPr="00567D26">
        <w:rPr>
          <w:rFonts w:asciiTheme="minorHAnsi" w:hAnsiTheme="minorHAnsi"/>
          <w:sz w:val="20"/>
          <w:szCs w:val="20"/>
        </w:rPr>
        <w:t xml:space="preserve"> </w:t>
      </w:r>
      <w:r w:rsidRPr="00567D26">
        <w:rPr>
          <w:rFonts w:asciiTheme="minorHAnsi" w:hAnsiTheme="minorHAnsi"/>
          <w:b/>
          <w:sz w:val="20"/>
          <w:szCs w:val="20"/>
        </w:rPr>
        <w:t xml:space="preserve">The </w:t>
      </w:r>
      <w:r w:rsidR="0023251B" w:rsidRPr="00567D26">
        <w:rPr>
          <w:rFonts w:asciiTheme="minorHAnsi" w:hAnsiTheme="minorHAnsi"/>
          <w:b/>
          <w:sz w:val="20"/>
          <w:szCs w:val="20"/>
          <w:lang w:val="en-GB"/>
        </w:rPr>
        <w:t>The European Investment Project Portal (</w:t>
      </w:r>
      <w:r w:rsidRPr="00567D26">
        <w:rPr>
          <w:rFonts w:asciiTheme="minorHAnsi" w:hAnsiTheme="minorHAnsi"/>
          <w:b/>
          <w:sz w:val="20"/>
          <w:szCs w:val="20"/>
        </w:rPr>
        <w:t>EIPP</w:t>
      </w:r>
      <w:r w:rsidR="0023251B" w:rsidRPr="00567D26">
        <w:rPr>
          <w:rFonts w:asciiTheme="minorHAnsi" w:hAnsiTheme="minorHAnsi"/>
          <w:b/>
          <w:sz w:val="20"/>
          <w:szCs w:val="20"/>
        </w:rPr>
        <w:t>)</w:t>
      </w:r>
      <w:r w:rsidRPr="00567D26">
        <w:rPr>
          <w:rFonts w:asciiTheme="minorHAnsi" w:hAnsiTheme="minorHAnsi"/>
          <w:sz w:val="20"/>
          <w:szCs w:val="20"/>
        </w:rPr>
        <w:t xml:space="preserve"> is intended to help investment finance reach the real economy, by providing information on EU investment projects realised via a </w:t>
      </w:r>
      <w:r w:rsidRPr="00567D26">
        <w:rPr>
          <w:rFonts w:asciiTheme="minorHAnsi" w:hAnsiTheme="minorHAnsi"/>
          <w:b/>
          <w:sz w:val="20"/>
          <w:szCs w:val="20"/>
        </w:rPr>
        <w:t>publicly accessible database</w:t>
      </w:r>
      <w:r w:rsidRPr="00567D26">
        <w:rPr>
          <w:rFonts w:asciiTheme="minorHAnsi" w:hAnsiTheme="minorHAnsi"/>
          <w:sz w:val="20"/>
          <w:szCs w:val="20"/>
        </w:rPr>
        <w:t>.</w:t>
      </w:r>
      <w:r w:rsidR="00152118" w:rsidRPr="00567D26">
        <w:rPr>
          <w:rFonts w:asciiTheme="minorHAnsi" w:hAnsiTheme="minorHAnsi"/>
          <w:sz w:val="20"/>
          <w:szCs w:val="20"/>
        </w:rPr>
        <w:t xml:space="preserve"> The publication of the projects on the EIP portal is not subject to a preliminary assessment, apart from a preliminary screening on the basis of the admission criteria</w:t>
      </w:r>
      <w:r w:rsidR="00152118" w:rsidRPr="00567D26">
        <w:rPr>
          <w:rStyle w:val="Znakapoznpodarou"/>
          <w:rFonts w:asciiTheme="minorHAnsi" w:hAnsiTheme="minorHAnsi"/>
          <w:sz w:val="20"/>
          <w:szCs w:val="20"/>
          <w:lang w:val="en-GB"/>
        </w:rPr>
        <w:footnoteReference w:id="7"/>
      </w:r>
      <w:r w:rsidR="00152118" w:rsidRPr="00567D26">
        <w:rPr>
          <w:rFonts w:asciiTheme="minorHAnsi" w:hAnsiTheme="minorHAnsi"/>
          <w:sz w:val="20"/>
          <w:szCs w:val="20"/>
        </w:rPr>
        <w:t>. The quality of the projects will be assessed only by potential investors, and, as stated on the portal, ‘The publication of an investment project on the project portal is not a pre-condition or guarantee for receiving any EU or EIB/EFSI financing support’</w:t>
      </w:r>
      <w:r w:rsidR="00152118" w:rsidRPr="00567D26">
        <w:rPr>
          <w:rFonts w:asciiTheme="minorHAnsi" w:hAnsiTheme="minorHAnsi"/>
          <w:sz w:val="20"/>
          <w:szCs w:val="20"/>
          <w:vertAlign w:val="superscript"/>
        </w:rPr>
        <w:footnoteReference w:id="8"/>
      </w:r>
      <w:r w:rsidR="00152118" w:rsidRPr="00567D26">
        <w:rPr>
          <w:rFonts w:asciiTheme="minorHAnsi" w:hAnsiTheme="minorHAnsi"/>
          <w:sz w:val="20"/>
          <w:szCs w:val="20"/>
        </w:rPr>
        <w:t>.</w:t>
      </w:r>
    </w:p>
    <w:p w:rsidR="006F7F46" w:rsidRPr="00567D26" w:rsidRDefault="006F7F46" w:rsidP="006F7F46">
      <w:pPr>
        <w:pStyle w:val="elencopuntato"/>
        <w:jc w:val="both"/>
        <w:rPr>
          <w:rFonts w:asciiTheme="minorHAnsi" w:hAnsiTheme="minorHAnsi"/>
          <w:sz w:val="20"/>
          <w:szCs w:val="20"/>
          <w:lang w:val="en-GB"/>
        </w:rPr>
      </w:pPr>
      <w:r w:rsidRPr="00567D26">
        <w:rPr>
          <w:rFonts w:asciiTheme="minorHAnsi" w:hAnsiTheme="minorHAnsi"/>
          <w:b/>
          <w:sz w:val="20"/>
          <w:szCs w:val="20"/>
          <w:lang w:val="en-GB"/>
        </w:rPr>
        <w:t xml:space="preserve">PILLAR 3: </w:t>
      </w:r>
      <w:r w:rsidRPr="00567D26">
        <w:rPr>
          <w:rFonts w:asciiTheme="minorHAnsi" w:hAnsiTheme="minorHAnsi"/>
          <w:sz w:val="20"/>
          <w:szCs w:val="20"/>
          <w:lang w:val="en-GB"/>
        </w:rPr>
        <w:t xml:space="preserve">is intended to support the </w:t>
      </w:r>
      <w:r w:rsidRPr="00567D26">
        <w:rPr>
          <w:rFonts w:asciiTheme="minorHAnsi" w:hAnsiTheme="minorHAnsi"/>
          <w:b/>
          <w:sz w:val="20"/>
          <w:szCs w:val="20"/>
          <w:lang w:val="en-GB"/>
        </w:rPr>
        <w:t xml:space="preserve">improvement of the investment environment – </w:t>
      </w:r>
      <w:r w:rsidRPr="00567D26">
        <w:rPr>
          <w:rFonts w:asciiTheme="minorHAnsi" w:hAnsiTheme="minorHAnsi"/>
          <w:sz w:val="20"/>
          <w:szCs w:val="20"/>
          <w:lang w:val="en-GB"/>
        </w:rPr>
        <w:t>it does not present specific investment projects.</w:t>
      </w:r>
    </w:p>
    <w:p w:rsidR="006F7F46" w:rsidRPr="00567D26" w:rsidRDefault="006F7F46" w:rsidP="006F7F46">
      <w:pPr>
        <w:pStyle w:val="elencopuntato"/>
        <w:numPr>
          <w:ilvl w:val="0"/>
          <w:numId w:val="0"/>
        </w:numPr>
        <w:jc w:val="both"/>
        <w:rPr>
          <w:rFonts w:asciiTheme="minorHAnsi" w:hAnsiTheme="minorHAnsi"/>
          <w:sz w:val="20"/>
          <w:szCs w:val="20"/>
          <w:lang w:val="en-GB"/>
        </w:rPr>
      </w:pPr>
    </w:p>
    <w:p w:rsidR="00692FFD" w:rsidRPr="00567D26" w:rsidRDefault="007A2666" w:rsidP="00E8260F">
      <w:pPr>
        <w:pStyle w:val="elencopuntato"/>
        <w:numPr>
          <w:ilvl w:val="0"/>
          <w:numId w:val="0"/>
        </w:numPr>
        <w:jc w:val="both"/>
        <w:rPr>
          <w:rFonts w:asciiTheme="minorHAnsi" w:hAnsiTheme="minorHAnsi"/>
          <w:sz w:val="20"/>
          <w:szCs w:val="20"/>
          <w:lang w:val="en-GB"/>
        </w:rPr>
      </w:pPr>
      <w:r w:rsidRPr="00567D26">
        <w:rPr>
          <w:rFonts w:asciiTheme="minorHAnsi" w:hAnsiTheme="minorHAnsi"/>
          <w:sz w:val="20"/>
          <w:szCs w:val="20"/>
          <w:lang w:val="en-GB"/>
        </w:rPr>
        <w:t xml:space="preserve">The study concentrates on the first two pillars. </w:t>
      </w:r>
      <w:r w:rsidR="007A0916" w:rsidRPr="00567D26">
        <w:rPr>
          <w:rFonts w:asciiTheme="minorHAnsi" w:hAnsiTheme="minorHAnsi"/>
          <w:sz w:val="20"/>
          <w:szCs w:val="20"/>
          <w:lang w:val="en-GB"/>
        </w:rPr>
        <w:t xml:space="preserve">Before entering in the details of the projects approved and signed, it is important to have </w:t>
      </w:r>
      <w:r w:rsidR="007A0916" w:rsidRPr="00567D26">
        <w:rPr>
          <w:rFonts w:asciiTheme="minorHAnsi" w:hAnsiTheme="minorHAnsi"/>
          <w:b/>
          <w:sz w:val="20"/>
          <w:szCs w:val="20"/>
          <w:lang w:val="en-GB"/>
        </w:rPr>
        <w:t>an overview of the first year and a half of implementation of the Juncker Plan</w:t>
      </w:r>
      <w:r w:rsidR="007A0916" w:rsidRPr="00567D26">
        <w:rPr>
          <w:rFonts w:asciiTheme="minorHAnsi" w:hAnsiTheme="minorHAnsi"/>
          <w:sz w:val="20"/>
          <w:szCs w:val="20"/>
          <w:lang w:val="en-GB"/>
        </w:rPr>
        <w:t>. As described by EIB’s evaluation</w:t>
      </w:r>
      <w:r w:rsidR="007A0916" w:rsidRPr="00567D26">
        <w:rPr>
          <w:rStyle w:val="Znakapoznpodarou"/>
          <w:rFonts w:asciiTheme="minorHAnsi" w:hAnsiTheme="minorHAnsi"/>
          <w:sz w:val="20"/>
          <w:szCs w:val="20"/>
          <w:lang w:val="en-GB"/>
        </w:rPr>
        <w:footnoteReference w:id="9"/>
      </w:r>
      <w:r w:rsidR="007A0916" w:rsidRPr="00567D26">
        <w:rPr>
          <w:rFonts w:asciiTheme="minorHAnsi" w:hAnsiTheme="minorHAnsi"/>
          <w:sz w:val="20"/>
          <w:szCs w:val="20"/>
          <w:lang w:val="en-GB"/>
        </w:rPr>
        <w:t xml:space="preserve"> ‘as of 30 June 2016, </w:t>
      </w:r>
      <w:r w:rsidR="007A0916" w:rsidRPr="00567D26">
        <w:rPr>
          <w:rFonts w:asciiTheme="minorHAnsi" w:hAnsiTheme="minorHAnsi"/>
          <w:b/>
          <w:sz w:val="20"/>
          <w:szCs w:val="20"/>
          <w:lang w:val="en-GB"/>
        </w:rPr>
        <w:t>262 operations had been approved under EFSI</w:t>
      </w:r>
      <w:r w:rsidR="007A0916" w:rsidRPr="00567D26">
        <w:rPr>
          <w:rFonts w:asciiTheme="minorHAnsi" w:hAnsiTheme="minorHAnsi"/>
          <w:sz w:val="20"/>
          <w:szCs w:val="20"/>
          <w:lang w:val="en-GB"/>
        </w:rPr>
        <w:t>. These operations accounted for a financing amount of EUR 17.45 billion and, based on the EFSI’s multiplier calculation methodology, represent a total investment mobilised of EUR 104.75 billion.’</w:t>
      </w:r>
      <w:r w:rsidR="00014D7A" w:rsidRPr="00567D26">
        <w:rPr>
          <w:rFonts w:asciiTheme="minorHAnsi" w:hAnsiTheme="minorHAnsi"/>
          <w:sz w:val="20"/>
          <w:szCs w:val="20"/>
          <w:lang w:val="en-GB"/>
        </w:rPr>
        <w:t xml:space="preserve"> Most of the operations approved and signed belong to SMEW, but for a much lower amount of money due to their lowe</w:t>
      </w:r>
      <w:r w:rsidRPr="00567D26">
        <w:rPr>
          <w:rFonts w:asciiTheme="minorHAnsi" w:hAnsiTheme="minorHAnsi"/>
          <w:sz w:val="20"/>
          <w:szCs w:val="20"/>
          <w:lang w:val="en-GB"/>
        </w:rPr>
        <w:t>r</w:t>
      </w:r>
      <w:r w:rsidR="00014D7A" w:rsidRPr="00567D26">
        <w:rPr>
          <w:rFonts w:asciiTheme="minorHAnsi" w:hAnsiTheme="minorHAnsi"/>
          <w:sz w:val="20"/>
          <w:szCs w:val="20"/>
          <w:lang w:val="en-GB"/>
        </w:rPr>
        <w:t xml:space="preserve"> scale. </w:t>
      </w:r>
      <w:r w:rsidR="00C678CA" w:rsidRPr="00567D26">
        <w:rPr>
          <w:rFonts w:asciiTheme="minorHAnsi" w:hAnsiTheme="minorHAnsi"/>
          <w:sz w:val="20"/>
          <w:szCs w:val="20"/>
          <w:lang w:val="en-GB"/>
        </w:rPr>
        <w:t xml:space="preserve"> </w:t>
      </w:r>
    </w:p>
    <w:p w:rsidR="00C678CA" w:rsidRPr="00567D26" w:rsidRDefault="00C678CA" w:rsidP="007A0916">
      <w:pPr>
        <w:spacing w:line="288" w:lineRule="auto"/>
        <w:jc w:val="both"/>
        <w:rPr>
          <w:rFonts w:asciiTheme="minorHAnsi" w:hAnsiTheme="minorHAnsi"/>
          <w:sz w:val="20"/>
          <w:szCs w:val="20"/>
          <w:lang w:val="en-GB"/>
        </w:rPr>
      </w:pPr>
      <w:r w:rsidRPr="00567D26">
        <w:rPr>
          <w:rFonts w:asciiTheme="minorHAnsi" w:hAnsiTheme="minorHAnsi"/>
          <w:sz w:val="20"/>
          <w:szCs w:val="20"/>
          <w:lang w:val="en-GB"/>
        </w:rPr>
        <w:t>After two years, as of 26 September 2016, the approved transactions have become 324 in 27 of the 28 EU Member States.</w:t>
      </w:r>
    </w:p>
    <w:p w:rsidR="0085513E" w:rsidRPr="00567D26" w:rsidRDefault="0085513E" w:rsidP="007A0916">
      <w:pPr>
        <w:spacing w:line="288" w:lineRule="auto"/>
        <w:jc w:val="both"/>
        <w:rPr>
          <w:rFonts w:asciiTheme="minorHAnsi" w:hAnsiTheme="minorHAnsi"/>
          <w:sz w:val="20"/>
          <w:szCs w:val="20"/>
          <w:lang w:val="en-GB"/>
        </w:rPr>
      </w:pPr>
    </w:p>
    <w:p w:rsidR="00E8260F" w:rsidRPr="00567D26" w:rsidRDefault="007A0916" w:rsidP="007A0916">
      <w:pPr>
        <w:spacing w:line="288" w:lineRule="auto"/>
        <w:jc w:val="both"/>
        <w:rPr>
          <w:rFonts w:asciiTheme="minorHAnsi" w:hAnsiTheme="minorHAnsi"/>
          <w:noProof/>
          <w:sz w:val="20"/>
          <w:szCs w:val="20"/>
          <w:lang w:val="en-GB"/>
        </w:rPr>
      </w:pPr>
      <w:r w:rsidRPr="00567D26">
        <w:rPr>
          <w:rFonts w:asciiTheme="minorHAnsi" w:hAnsiTheme="minorHAnsi"/>
          <w:sz w:val="20"/>
          <w:szCs w:val="20"/>
          <w:lang w:val="en-GB"/>
        </w:rPr>
        <w:t>As stated by Vice-President Jyrki Katainen, responsible for Jobs, Growth, Investment and Competitiveness ‘The Investment Plan for Europe has proved itself to be a success. We are providing additional financing for innovative projects and SMEs under the European Fund for Strategic Investments; we are helping businesses prepare funding applications through the Advisory Hub; we are letting investors worldwide know what investment opportunities exist in Europe through the Project Portal; and we are bringing down barriers to investment through the Capital Markets Union and other EU initiatives. I am very satisfied with the Investment Plan’s results so far.’</w:t>
      </w:r>
      <w:r w:rsidR="00E8260F" w:rsidRPr="00567D26">
        <w:rPr>
          <w:rFonts w:asciiTheme="minorHAnsi" w:hAnsiTheme="minorHAnsi"/>
          <w:sz w:val="20"/>
          <w:szCs w:val="20"/>
          <w:lang w:val="en-GB"/>
        </w:rPr>
        <w:t xml:space="preserve"> </w:t>
      </w:r>
    </w:p>
    <w:p w:rsidR="007A0916" w:rsidRPr="00567D26" w:rsidRDefault="007A0916" w:rsidP="007A0916">
      <w:pPr>
        <w:spacing w:line="288" w:lineRule="auto"/>
        <w:jc w:val="both"/>
        <w:rPr>
          <w:rFonts w:asciiTheme="minorHAnsi" w:hAnsiTheme="minorHAnsi"/>
          <w:sz w:val="20"/>
          <w:szCs w:val="20"/>
          <w:lang w:val="en-GB"/>
        </w:rPr>
      </w:pPr>
      <w:r w:rsidRPr="00567D26">
        <w:rPr>
          <w:rFonts w:asciiTheme="minorHAnsi" w:hAnsiTheme="minorHAnsi"/>
          <w:sz w:val="20"/>
          <w:szCs w:val="20"/>
          <w:lang w:val="en-GB"/>
        </w:rPr>
        <w:lastRenderedPageBreak/>
        <w:t>Given the success of the Plan, President Juncker announced in his 2016 State of Union Speech that the Commission has doubled the EFSI in duration and financial capacity, allowing it to be continued in the future, from the initial three-year period (2015-2018) target of EUR 315 billion, to at least half a trillion euro of investments by 2020.</w:t>
      </w:r>
      <w:r w:rsidR="00E8260F" w:rsidRPr="00567D26">
        <w:rPr>
          <w:rFonts w:asciiTheme="minorHAnsi" w:hAnsiTheme="minorHAnsi"/>
          <w:noProof/>
          <w:sz w:val="20"/>
          <w:szCs w:val="20"/>
          <w:lang w:val="en-GB"/>
        </w:rPr>
        <w:t xml:space="preserve"> In particular, as announced in the Commission’s Communication  </w:t>
      </w:r>
      <w:r w:rsidR="00E8260F" w:rsidRPr="00567D26">
        <w:rPr>
          <w:rFonts w:asciiTheme="minorHAnsi" w:hAnsiTheme="minorHAnsi"/>
          <w:i/>
          <w:noProof/>
          <w:sz w:val="20"/>
          <w:szCs w:val="20"/>
          <w:lang w:val="en-GB"/>
        </w:rPr>
        <w:t>Europe investing again</w:t>
      </w:r>
      <w:r w:rsidR="00E8260F" w:rsidRPr="00567D26">
        <w:rPr>
          <w:rStyle w:val="Znakapoznpodarou"/>
          <w:rFonts w:asciiTheme="minorHAnsi" w:hAnsiTheme="minorHAnsi"/>
          <w:noProof/>
          <w:sz w:val="20"/>
          <w:szCs w:val="20"/>
          <w:lang w:val="en-GB"/>
        </w:rPr>
        <w:footnoteReference w:id="10"/>
      </w:r>
      <w:r w:rsidR="00E8260F" w:rsidRPr="00567D26">
        <w:rPr>
          <w:rFonts w:asciiTheme="minorHAnsi" w:hAnsiTheme="minorHAnsi"/>
          <w:noProof/>
          <w:sz w:val="20"/>
          <w:szCs w:val="20"/>
          <w:lang w:val="en-GB"/>
        </w:rPr>
        <w:t xml:space="preserve"> it was decided to scale up EFSI-SMEW to benefit SMEs and small mid-cap companies in all Member States.</w:t>
      </w:r>
    </w:p>
    <w:p w:rsidR="006F7F46" w:rsidRPr="00567D26" w:rsidRDefault="006F7F46" w:rsidP="003F35EC">
      <w:pPr>
        <w:spacing w:line="288" w:lineRule="auto"/>
        <w:jc w:val="both"/>
        <w:rPr>
          <w:rFonts w:asciiTheme="minorHAnsi" w:hAnsiTheme="minorHAnsi"/>
          <w:sz w:val="20"/>
          <w:szCs w:val="20"/>
          <w:lang w:val="en-GB"/>
        </w:rPr>
      </w:pPr>
    </w:p>
    <w:p w:rsidR="00A45730" w:rsidRPr="00567D26" w:rsidRDefault="00A45730" w:rsidP="003F35EC">
      <w:pPr>
        <w:spacing w:line="288" w:lineRule="auto"/>
        <w:jc w:val="both"/>
        <w:rPr>
          <w:rFonts w:asciiTheme="minorHAnsi" w:hAnsiTheme="minorHAnsi"/>
          <w:b/>
          <w:sz w:val="20"/>
          <w:szCs w:val="20"/>
          <w:lang w:val="en-GB"/>
        </w:rPr>
      </w:pPr>
      <w:r w:rsidRPr="00567D26">
        <w:rPr>
          <w:rFonts w:asciiTheme="minorHAnsi" w:hAnsiTheme="minorHAnsi"/>
          <w:sz w:val="20"/>
          <w:szCs w:val="20"/>
          <w:lang w:val="en-GB"/>
        </w:rPr>
        <w:t xml:space="preserve">In this context which are the main results </w:t>
      </w:r>
      <w:r w:rsidR="004A58C7" w:rsidRPr="00567D26">
        <w:rPr>
          <w:rFonts w:asciiTheme="minorHAnsi" w:hAnsiTheme="minorHAnsi"/>
          <w:sz w:val="20"/>
          <w:szCs w:val="20"/>
          <w:lang w:val="en-GB"/>
        </w:rPr>
        <w:t xml:space="preserve">so far </w:t>
      </w:r>
      <w:r w:rsidRPr="00567D26">
        <w:rPr>
          <w:rFonts w:asciiTheme="minorHAnsi" w:hAnsiTheme="minorHAnsi"/>
          <w:sz w:val="20"/>
          <w:szCs w:val="20"/>
          <w:lang w:val="en-GB"/>
        </w:rPr>
        <w:t xml:space="preserve">of the Plan </w:t>
      </w:r>
      <w:r w:rsidRPr="00567D26">
        <w:rPr>
          <w:rFonts w:asciiTheme="minorHAnsi" w:hAnsiTheme="minorHAnsi"/>
          <w:b/>
          <w:sz w:val="20"/>
          <w:szCs w:val="20"/>
          <w:lang w:val="en-GB"/>
        </w:rPr>
        <w:t>from the social perspective?</w:t>
      </w:r>
    </w:p>
    <w:p w:rsidR="005E4E96" w:rsidRPr="00567D26" w:rsidRDefault="00A45730" w:rsidP="005E4E96">
      <w:pPr>
        <w:autoSpaceDE w:val="0"/>
        <w:autoSpaceDN w:val="0"/>
        <w:adjustRightInd w:val="0"/>
        <w:spacing w:line="288" w:lineRule="auto"/>
        <w:jc w:val="both"/>
        <w:rPr>
          <w:rFonts w:asciiTheme="minorHAnsi" w:hAnsiTheme="minorHAnsi"/>
          <w:sz w:val="20"/>
          <w:szCs w:val="20"/>
          <w:lang w:val="en-GB"/>
        </w:rPr>
      </w:pPr>
      <w:r w:rsidRPr="00567D26">
        <w:rPr>
          <w:rFonts w:asciiTheme="minorHAnsi" w:hAnsiTheme="minorHAnsi"/>
          <w:b/>
          <w:sz w:val="20"/>
          <w:szCs w:val="20"/>
          <w:lang w:val="en-GB"/>
        </w:rPr>
        <w:t>According to various stakeholders the Plan misses the opportunity to move in the direction of promoting a more inclusive EU</w:t>
      </w:r>
      <w:r w:rsidRPr="00567D26">
        <w:rPr>
          <w:rFonts w:asciiTheme="minorHAnsi" w:hAnsiTheme="minorHAnsi"/>
          <w:sz w:val="20"/>
          <w:szCs w:val="20"/>
          <w:lang w:val="en-GB"/>
        </w:rPr>
        <w:t>.</w:t>
      </w:r>
      <w:r w:rsidR="00B37E5C" w:rsidRPr="00567D26">
        <w:rPr>
          <w:rFonts w:asciiTheme="minorHAnsi" w:hAnsiTheme="minorHAnsi"/>
          <w:sz w:val="20"/>
          <w:szCs w:val="20"/>
          <w:lang w:val="en-GB"/>
        </w:rPr>
        <w:t xml:space="preserve"> Since the crisis</w:t>
      </w:r>
      <w:r w:rsidR="005E4E96" w:rsidRPr="00567D26">
        <w:rPr>
          <w:rFonts w:asciiTheme="minorHAnsi" w:hAnsiTheme="minorHAnsi"/>
          <w:sz w:val="20"/>
          <w:szCs w:val="20"/>
          <w:lang w:val="en-GB"/>
        </w:rPr>
        <w:t>,</w:t>
      </w:r>
      <w:r w:rsidR="00B37E5C" w:rsidRPr="00567D26">
        <w:rPr>
          <w:rFonts w:asciiTheme="minorHAnsi" w:hAnsiTheme="minorHAnsi"/>
          <w:sz w:val="20"/>
          <w:szCs w:val="20"/>
          <w:lang w:val="en-GB"/>
        </w:rPr>
        <w:t xml:space="preserve"> i</w:t>
      </w:r>
      <w:r w:rsidRPr="00567D26">
        <w:rPr>
          <w:rFonts w:asciiTheme="minorHAnsi" w:hAnsiTheme="minorHAnsi"/>
          <w:sz w:val="20"/>
          <w:szCs w:val="20"/>
          <w:lang w:val="en-GB"/>
        </w:rPr>
        <w:t xml:space="preserve">nvestments in social, employment and education policies have been </w:t>
      </w:r>
      <w:r w:rsidR="00C0730A" w:rsidRPr="00567D26">
        <w:rPr>
          <w:rFonts w:asciiTheme="minorHAnsi" w:hAnsiTheme="minorHAnsi"/>
          <w:sz w:val="20"/>
          <w:szCs w:val="20"/>
          <w:lang w:val="en-GB"/>
        </w:rPr>
        <w:t>reduced</w:t>
      </w:r>
      <w:r w:rsidRPr="00567D26">
        <w:rPr>
          <w:rFonts w:asciiTheme="minorHAnsi" w:hAnsiTheme="minorHAnsi"/>
          <w:sz w:val="20"/>
          <w:szCs w:val="20"/>
          <w:lang w:val="en-GB"/>
        </w:rPr>
        <w:t xml:space="preserve"> in </w:t>
      </w:r>
      <w:r w:rsidR="00C0730A" w:rsidRPr="00567D26">
        <w:rPr>
          <w:rFonts w:asciiTheme="minorHAnsi" w:hAnsiTheme="minorHAnsi"/>
          <w:sz w:val="20"/>
          <w:szCs w:val="20"/>
          <w:lang w:val="en-GB"/>
        </w:rPr>
        <w:t xml:space="preserve">some of </w:t>
      </w:r>
      <w:r w:rsidRPr="00567D26">
        <w:rPr>
          <w:rFonts w:asciiTheme="minorHAnsi" w:hAnsiTheme="minorHAnsi"/>
          <w:sz w:val="20"/>
          <w:szCs w:val="20"/>
          <w:lang w:val="en-GB"/>
        </w:rPr>
        <w:t xml:space="preserve">the EU </w:t>
      </w:r>
      <w:r w:rsidR="00C0730A" w:rsidRPr="00567D26">
        <w:rPr>
          <w:rFonts w:asciiTheme="minorHAnsi" w:hAnsiTheme="minorHAnsi"/>
          <w:sz w:val="20"/>
          <w:szCs w:val="20"/>
          <w:lang w:val="en-GB"/>
        </w:rPr>
        <w:t>countries</w:t>
      </w:r>
      <w:r w:rsidRPr="00567D26">
        <w:rPr>
          <w:rFonts w:asciiTheme="minorHAnsi" w:hAnsiTheme="minorHAnsi"/>
          <w:sz w:val="20"/>
          <w:szCs w:val="20"/>
          <w:lang w:val="en-GB"/>
        </w:rPr>
        <w:t>, especially in those countries most hit by the crisis.</w:t>
      </w:r>
      <w:r w:rsidR="00B37E5C" w:rsidRPr="00567D26">
        <w:rPr>
          <w:rFonts w:asciiTheme="minorHAnsi" w:hAnsiTheme="minorHAnsi"/>
          <w:sz w:val="20"/>
          <w:szCs w:val="20"/>
          <w:lang w:val="en-GB"/>
        </w:rPr>
        <w:t xml:space="preserve"> </w:t>
      </w:r>
      <w:r w:rsidRPr="00567D26">
        <w:rPr>
          <w:rFonts w:asciiTheme="minorHAnsi" w:hAnsiTheme="minorHAnsi"/>
          <w:b/>
          <w:sz w:val="20"/>
          <w:szCs w:val="20"/>
          <w:lang w:val="en-GB"/>
        </w:rPr>
        <w:t xml:space="preserve">The Juncker Plan and the EFSI </w:t>
      </w:r>
      <w:r w:rsidR="00B37E5C" w:rsidRPr="00567D26">
        <w:rPr>
          <w:rFonts w:asciiTheme="minorHAnsi" w:hAnsiTheme="minorHAnsi"/>
          <w:b/>
          <w:sz w:val="20"/>
          <w:szCs w:val="20"/>
          <w:lang w:val="en-GB"/>
        </w:rPr>
        <w:t xml:space="preserve">in particular </w:t>
      </w:r>
      <w:r w:rsidRPr="00567D26">
        <w:rPr>
          <w:rFonts w:asciiTheme="minorHAnsi" w:hAnsiTheme="minorHAnsi"/>
          <w:b/>
          <w:sz w:val="20"/>
          <w:szCs w:val="20"/>
          <w:lang w:val="en-GB"/>
        </w:rPr>
        <w:t xml:space="preserve">pay little attention to long-term investments in social infrastructures and services and to the needs of disadvantaged population groups in the design and implementation of infrastructural investments. </w:t>
      </w:r>
    </w:p>
    <w:p w:rsidR="00343844" w:rsidRPr="00567D26" w:rsidRDefault="00343844" w:rsidP="005E4E96">
      <w:pPr>
        <w:autoSpaceDE w:val="0"/>
        <w:autoSpaceDN w:val="0"/>
        <w:adjustRightInd w:val="0"/>
        <w:spacing w:line="288" w:lineRule="auto"/>
        <w:jc w:val="both"/>
        <w:rPr>
          <w:rFonts w:asciiTheme="minorHAnsi" w:hAnsiTheme="minorHAnsi"/>
          <w:sz w:val="20"/>
          <w:szCs w:val="20"/>
          <w:lang w:val="en-GB"/>
        </w:rPr>
      </w:pPr>
      <w:r w:rsidRPr="00567D26">
        <w:rPr>
          <w:rFonts w:asciiTheme="minorHAnsi" w:hAnsiTheme="minorHAnsi"/>
          <w:sz w:val="20"/>
          <w:szCs w:val="20"/>
          <w:lang w:val="en-GB"/>
        </w:rPr>
        <w:t xml:space="preserve">Concerning the </w:t>
      </w:r>
      <w:r w:rsidRPr="00567D26">
        <w:rPr>
          <w:rFonts w:asciiTheme="minorHAnsi" w:hAnsiTheme="minorHAnsi"/>
          <w:b/>
          <w:sz w:val="20"/>
          <w:szCs w:val="20"/>
          <w:lang w:val="en-GB"/>
        </w:rPr>
        <w:t>sectors distribution</w:t>
      </w:r>
      <w:r w:rsidRPr="00567D26">
        <w:rPr>
          <w:rFonts w:asciiTheme="minorHAnsi" w:hAnsiTheme="minorHAnsi"/>
          <w:sz w:val="20"/>
          <w:szCs w:val="20"/>
          <w:lang w:val="en-GB"/>
        </w:rPr>
        <w:t xml:space="preserve">, seven are the sectors foreseen in the EFSI strategic orientation: RDI, smaller companies, energy, digital, transport, environment, social infrastructure. </w:t>
      </w:r>
      <w:r w:rsidR="00720F96" w:rsidRPr="00567D26">
        <w:rPr>
          <w:rFonts w:asciiTheme="minorHAnsi" w:hAnsiTheme="minorHAnsi"/>
          <w:sz w:val="20"/>
          <w:szCs w:val="20"/>
          <w:lang w:val="en-GB"/>
        </w:rPr>
        <w:t xml:space="preserve">Social infrastructures represent only </w:t>
      </w:r>
      <w:r w:rsidR="00B4164E" w:rsidRPr="00567D26">
        <w:rPr>
          <w:rFonts w:asciiTheme="minorHAnsi" w:hAnsiTheme="minorHAnsi"/>
          <w:sz w:val="20"/>
          <w:szCs w:val="20"/>
          <w:lang w:val="en-GB"/>
        </w:rPr>
        <w:t>3</w:t>
      </w:r>
      <w:r w:rsidR="00720F96" w:rsidRPr="00567D26">
        <w:rPr>
          <w:rFonts w:asciiTheme="minorHAnsi" w:hAnsiTheme="minorHAnsi"/>
          <w:sz w:val="20"/>
          <w:szCs w:val="20"/>
          <w:lang w:val="en-GB"/>
        </w:rPr>
        <w:t>% of all EFSI investments so far</w:t>
      </w:r>
      <w:r w:rsidR="00B4164E" w:rsidRPr="00567D26">
        <w:rPr>
          <w:rStyle w:val="Znakapoznpodarou"/>
          <w:rFonts w:asciiTheme="minorHAnsi" w:hAnsiTheme="minorHAnsi"/>
          <w:sz w:val="20"/>
          <w:szCs w:val="20"/>
          <w:lang w:val="en-GB"/>
        </w:rPr>
        <w:footnoteReference w:id="11"/>
      </w:r>
      <w:r w:rsidR="00720F96" w:rsidRPr="00567D26">
        <w:rPr>
          <w:rFonts w:asciiTheme="minorHAnsi" w:hAnsiTheme="minorHAnsi"/>
          <w:sz w:val="20"/>
          <w:szCs w:val="20"/>
          <w:lang w:val="en-GB"/>
        </w:rPr>
        <w:t xml:space="preserve">, as </w:t>
      </w:r>
      <w:r w:rsidRPr="00567D26">
        <w:rPr>
          <w:rFonts w:asciiTheme="minorHAnsi" w:hAnsiTheme="minorHAnsi"/>
          <w:sz w:val="20"/>
          <w:szCs w:val="20"/>
          <w:lang w:val="en-GB"/>
        </w:rPr>
        <w:t>the following chart concerning the distribution by sectors provided by European Commission Interim Report shows</w:t>
      </w:r>
      <w:r w:rsidR="00720F96" w:rsidRPr="00567D26">
        <w:rPr>
          <w:rFonts w:asciiTheme="minorHAnsi" w:hAnsiTheme="minorHAnsi"/>
          <w:sz w:val="20"/>
          <w:szCs w:val="20"/>
          <w:lang w:val="en-GB"/>
        </w:rPr>
        <w:t>:</w:t>
      </w:r>
      <w:r w:rsidR="005E4E96" w:rsidRPr="00567D26">
        <w:rPr>
          <w:rFonts w:asciiTheme="minorHAnsi" w:hAnsiTheme="minorHAnsi"/>
          <w:sz w:val="20"/>
          <w:szCs w:val="20"/>
          <w:lang w:val="en-GB"/>
        </w:rPr>
        <w:t xml:space="preserve"> </w:t>
      </w:r>
    </w:p>
    <w:p w:rsidR="00720F96" w:rsidRPr="00567D26" w:rsidRDefault="00720F96" w:rsidP="00343844">
      <w:pPr>
        <w:jc w:val="both"/>
        <w:rPr>
          <w:rFonts w:asciiTheme="minorHAnsi" w:hAnsiTheme="minorHAnsi"/>
          <w:b/>
          <w:sz w:val="20"/>
          <w:szCs w:val="20"/>
          <w:lang w:val="en-GB"/>
        </w:rPr>
      </w:pPr>
    </w:p>
    <w:p w:rsidR="00343844" w:rsidRPr="00567D26" w:rsidRDefault="00343844" w:rsidP="00343844">
      <w:pPr>
        <w:jc w:val="both"/>
        <w:rPr>
          <w:rFonts w:asciiTheme="minorHAnsi" w:hAnsiTheme="minorHAnsi"/>
          <w:b/>
          <w:sz w:val="20"/>
          <w:szCs w:val="20"/>
          <w:lang w:val="en-GB"/>
        </w:rPr>
      </w:pPr>
      <w:r w:rsidRPr="00567D26">
        <w:rPr>
          <w:rFonts w:asciiTheme="minorHAnsi" w:hAnsiTheme="minorHAnsi"/>
          <w:b/>
          <w:sz w:val="20"/>
          <w:szCs w:val="20"/>
          <w:lang w:val="en-GB"/>
        </w:rPr>
        <w:t>Figure 1: Efsi (IIW and SMEW) investments by sector</w:t>
      </w:r>
    </w:p>
    <w:p w:rsidR="00B4164E" w:rsidRPr="00567D26" w:rsidRDefault="00B4164E" w:rsidP="00761204">
      <w:pPr>
        <w:pStyle w:val="elencopuntato"/>
        <w:numPr>
          <w:ilvl w:val="0"/>
          <w:numId w:val="0"/>
        </w:numPr>
        <w:ind w:left="785"/>
        <w:jc w:val="center"/>
        <w:rPr>
          <w:rFonts w:asciiTheme="minorHAnsi" w:hAnsiTheme="minorHAnsi"/>
          <w:noProof/>
          <w:sz w:val="20"/>
          <w:szCs w:val="20"/>
          <w:lang w:val="it-IT" w:eastAsia="it-IT"/>
        </w:rPr>
      </w:pPr>
      <w:r w:rsidRPr="00567D26">
        <w:rPr>
          <w:rFonts w:asciiTheme="minorHAnsi" w:hAnsiTheme="minorHAnsi"/>
          <w:noProof/>
          <w:sz w:val="20"/>
          <w:szCs w:val="20"/>
          <w:lang w:val="cs-CZ" w:eastAsia="cs-CZ"/>
        </w:rPr>
        <w:drawing>
          <wp:inline distT="0" distB="0" distL="0" distR="0" wp14:anchorId="31747E76" wp14:editId="5D2448C9">
            <wp:extent cx="2608289" cy="196580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6338" cy="1979410"/>
                    </a:xfrm>
                    <a:prstGeom prst="rect">
                      <a:avLst/>
                    </a:prstGeom>
                    <a:noFill/>
                  </pic:spPr>
                </pic:pic>
              </a:graphicData>
            </a:graphic>
          </wp:inline>
        </w:drawing>
      </w:r>
    </w:p>
    <w:p w:rsidR="00343844" w:rsidRPr="00567D26" w:rsidRDefault="00343844" w:rsidP="00343844">
      <w:pPr>
        <w:pStyle w:val="elencopuntato"/>
        <w:numPr>
          <w:ilvl w:val="0"/>
          <w:numId w:val="0"/>
        </w:numPr>
        <w:ind w:left="785"/>
        <w:jc w:val="both"/>
        <w:rPr>
          <w:rFonts w:asciiTheme="minorHAnsi" w:hAnsiTheme="minorHAnsi"/>
          <w:sz w:val="20"/>
          <w:szCs w:val="20"/>
          <w:lang w:val="en-GB"/>
        </w:rPr>
      </w:pPr>
      <w:r w:rsidRPr="00567D26">
        <w:rPr>
          <w:rFonts w:asciiTheme="minorHAnsi" w:hAnsiTheme="minorHAnsi"/>
          <w:sz w:val="20"/>
          <w:szCs w:val="20"/>
          <w:lang w:val="en-GB"/>
        </w:rPr>
        <w:t xml:space="preserve">Source: </w:t>
      </w:r>
      <w:r w:rsidRPr="00567D26">
        <w:rPr>
          <w:rFonts w:asciiTheme="minorHAnsi" w:hAnsiTheme="minorHAnsi"/>
          <w:i/>
          <w:sz w:val="20"/>
          <w:szCs w:val="20"/>
          <w:lang w:val="en-GB"/>
        </w:rPr>
        <w:t>The Investment Plan for Europe</w:t>
      </w:r>
      <w:r w:rsidR="00B4164E" w:rsidRPr="00567D26">
        <w:rPr>
          <w:rFonts w:asciiTheme="minorHAnsi" w:hAnsiTheme="minorHAnsi"/>
          <w:i/>
          <w:sz w:val="20"/>
          <w:szCs w:val="20"/>
          <w:lang w:val="en-GB"/>
        </w:rPr>
        <w:t xml:space="preserve"> Two years on</w:t>
      </w:r>
    </w:p>
    <w:p w:rsidR="0085513E" w:rsidRPr="00567D26" w:rsidRDefault="0085513E" w:rsidP="00343844">
      <w:pPr>
        <w:spacing w:line="288" w:lineRule="auto"/>
        <w:jc w:val="both"/>
        <w:rPr>
          <w:rFonts w:asciiTheme="minorHAnsi" w:hAnsiTheme="minorHAnsi"/>
          <w:sz w:val="20"/>
          <w:szCs w:val="20"/>
          <w:lang w:val="en-GB" w:eastAsia="en-US"/>
        </w:rPr>
      </w:pPr>
    </w:p>
    <w:p w:rsidR="00343844" w:rsidRPr="00567D26" w:rsidRDefault="00343844" w:rsidP="00343844">
      <w:pPr>
        <w:spacing w:line="288" w:lineRule="auto"/>
        <w:jc w:val="both"/>
        <w:rPr>
          <w:rFonts w:asciiTheme="minorHAnsi" w:hAnsiTheme="minorHAnsi"/>
          <w:sz w:val="20"/>
          <w:szCs w:val="20"/>
          <w:lang w:val="en-GB" w:eastAsia="en-US"/>
        </w:rPr>
      </w:pPr>
      <w:r w:rsidRPr="00567D26">
        <w:rPr>
          <w:rFonts w:asciiTheme="minorHAnsi" w:hAnsiTheme="minorHAnsi"/>
          <w:sz w:val="20"/>
          <w:szCs w:val="20"/>
          <w:lang w:val="en-GB" w:eastAsia="en-US"/>
        </w:rPr>
        <w:t xml:space="preserve">The </w:t>
      </w:r>
      <w:r w:rsidRPr="00567D26">
        <w:rPr>
          <w:rFonts w:asciiTheme="minorHAnsi" w:hAnsiTheme="minorHAnsi"/>
          <w:sz w:val="20"/>
          <w:szCs w:val="20"/>
          <w:lang w:val="en-GB"/>
        </w:rPr>
        <w:t>following</w:t>
      </w:r>
      <w:r w:rsidRPr="00567D26">
        <w:rPr>
          <w:rFonts w:asciiTheme="minorHAnsi" w:hAnsiTheme="minorHAnsi"/>
          <w:sz w:val="20"/>
          <w:szCs w:val="20"/>
          <w:lang w:val="en-GB" w:eastAsia="en-US"/>
        </w:rPr>
        <w:t xml:space="preserve"> table presents the sector distribution of </w:t>
      </w:r>
      <w:r w:rsidR="00D83246" w:rsidRPr="00567D26">
        <w:rPr>
          <w:rFonts w:asciiTheme="minorHAnsi" w:hAnsiTheme="minorHAnsi"/>
          <w:sz w:val="20"/>
          <w:szCs w:val="20"/>
          <w:lang w:val="en-GB" w:eastAsia="en-US"/>
        </w:rPr>
        <w:t xml:space="preserve">the 124 </w:t>
      </w:r>
      <w:r w:rsidRPr="00567D26">
        <w:rPr>
          <w:rFonts w:asciiTheme="minorHAnsi" w:hAnsiTheme="minorHAnsi"/>
          <w:sz w:val="20"/>
          <w:szCs w:val="20"/>
          <w:lang w:val="en-GB" w:eastAsia="en-US"/>
        </w:rPr>
        <w:t xml:space="preserve">EFSI IIW projects </w:t>
      </w:r>
      <w:r w:rsidR="00720F96" w:rsidRPr="00567D26">
        <w:rPr>
          <w:rFonts w:asciiTheme="minorHAnsi" w:hAnsiTheme="minorHAnsi"/>
          <w:sz w:val="20"/>
          <w:szCs w:val="20"/>
          <w:lang w:val="en-GB" w:eastAsia="en-US"/>
        </w:rPr>
        <w:t>signed, presented</w:t>
      </w:r>
      <w:r w:rsidRPr="00567D26">
        <w:rPr>
          <w:rFonts w:asciiTheme="minorHAnsi" w:hAnsiTheme="minorHAnsi"/>
          <w:sz w:val="20"/>
          <w:szCs w:val="20"/>
          <w:lang w:val="en-GB" w:eastAsia="en-US"/>
        </w:rPr>
        <w:t xml:space="preserve"> or under approval by country</w:t>
      </w:r>
      <w:r w:rsidR="00D83246" w:rsidRPr="00567D26">
        <w:rPr>
          <w:rFonts w:asciiTheme="minorHAnsi" w:hAnsiTheme="minorHAnsi"/>
          <w:sz w:val="20"/>
          <w:szCs w:val="20"/>
          <w:lang w:val="en-GB" w:eastAsia="en-US"/>
        </w:rPr>
        <w:t xml:space="preserve"> </w:t>
      </w:r>
      <w:r w:rsidR="00D83246" w:rsidRPr="00567D26">
        <w:rPr>
          <w:rFonts w:asciiTheme="minorHAnsi" w:hAnsiTheme="minorHAnsi"/>
          <w:sz w:val="20"/>
          <w:szCs w:val="20"/>
          <w:lang w:val="en-GB"/>
        </w:rPr>
        <w:t>up to 11 October 2016</w:t>
      </w:r>
      <w:r w:rsidRPr="00567D26">
        <w:rPr>
          <w:rFonts w:asciiTheme="minorHAnsi" w:hAnsiTheme="minorHAnsi"/>
          <w:sz w:val="20"/>
          <w:szCs w:val="20"/>
          <w:lang w:val="en-GB" w:eastAsia="en-US"/>
        </w:rPr>
        <w:t xml:space="preserve">. Most of the projects cover more than one sector, and a few projects are presented by multiple countries. For this </w:t>
      </w:r>
      <w:r w:rsidR="007C5A8F" w:rsidRPr="00567D26">
        <w:rPr>
          <w:rFonts w:asciiTheme="minorHAnsi" w:hAnsiTheme="minorHAnsi"/>
          <w:sz w:val="20"/>
          <w:szCs w:val="20"/>
          <w:lang w:val="en-GB" w:eastAsia="en-US"/>
        </w:rPr>
        <w:t>reason,</w:t>
      </w:r>
      <w:r w:rsidRPr="00567D26">
        <w:rPr>
          <w:rFonts w:asciiTheme="minorHAnsi" w:hAnsiTheme="minorHAnsi"/>
          <w:sz w:val="20"/>
          <w:szCs w:val="20"/>
          <w:lang w:val="en-GB" w:eastAsia="en-US"/>
        </w:rPr>
        <w:t xml:space="preserve"> in some cases the totals by country and by sector do not represent, respectively, the sums per row and column.</w:t>
      </w:r>
    </w:p>
    <w:p w:rsidR="00407388" w:rsidRDefault="00407388" w:rsidP="00343844">
      <w:pPr>
        <w:jc w:val="both"/>
        <w:rPr>
          <w:rFonts w:asciiTheme="minorHAnsi" w:hAnsiTheme="minorHAnsi"/>
          <w:sz w:val="20"/>
          <w:szCs w:val="20"/>
          <w:lang w:val="en-GB" w:eastAsia="en-US"/>
        </w:rPr>
      </w:pPr>
      <w:r>
        <w:rPr>
          <w:rFonts w:asciiTheme="minorHAnsi" w:hAnsiTheme="minorHAnsi"/>
          <w:sz w:val="20"/>
          <w:szCs w:val="20"/>
          <w:lang w:val="en-GB" w:eastAsia="en-US"/>
        </w:rPr>
        <w:br w:type="page"/>
      </w:r>
    </w:p>
    <w:p w:rsidR="00343844" w:rsidRPr="00567D26" w:rsidRDefault="00343844" w:rsidP="00343844">
      <w:pPr>
        <w:jc w:val="both"/>
        <w:rPr>
          <w:rFonts w:asciiTheme="minorHAnsi" w:hAnsiTheme="minorHAnsi"/>
          <w:sz w:val="20"/>
          <w:szCs w:val="20"/>
          <w:lang w:val="en-GB" w:eastAsia="en-US"/>
        </w:rPr>
      </w:pPr>
    </w:p>
    <w:tbl>
      <w:tblPr>
        <w:tblW w:w="9874" w:type="dxa"/>
        <w:tblInd w:w="-401" w:type="dxa"/>
        <w:tblCellMar>
          <w:left w:w="70" w:type="dxa"/>
          <w:right w:w="70" w:type="dxa"/>
        </w:tblCellMar>
        <w:tblLook w:val="04A0" w:firstRow="1" w:lastRow="0" w:firstColumn="1" w:lastColumn="0" w:noHBand="0" w:noVBand="1"/>
      </w:tblPr>
      <w:tblGrid>
        <w:gridCol w:w="190"/>
        <w:gridCol w:w="1213"/>
        <w:gridCol w:w="960"/>
        <w:gridCol w:w="960"/>
        <w:gridCol w:w="1191"/>
        <w:gridCol w:w="960"/>
        <w:gridCol w:w="1020"/>
        <w:gridCol w:w="1264"/>
        <w:gridCol w:w="960"/>
        <w:gridCol w:w="196"/>
        <w:gridCol w:w="960"/>
      </w:tblGrid>
      <w:tr w:rsidR="00343844" w:rsidRPr="00567D26" w:rsidTr="00442915">
        <w:trPr>
          <w:trHeight w:val="315"/>
        </w:trPr>
        <w:tc>
          <w:tcPr>
            <w:tcW w:w="9874" w:type="dxa"/>
            <w:gridSpan w:val="11"/>
            <w:tcBorders>
              <w:top w:val="nil"/>
              <w:left w:val="nil"/>
              <w:bottom w:val="nil"/>
              <w:right w:val="nil"/>
            </w:tcBorders>
            <w:shd w:val="clear" w:color="auto" w:fill="auto"/>
            <w:vAlign w:val="center"/>
            <w:hideMark/>
          </w:tcPr>
          <w:p w:rsidR="00343844" w:rsidRPr="00567D26" w:rsidRDefault="00343844" w:rsidP="00442915">
            <w:pPr>
              <w:rPr>
                <w:rFonts w:asciiTheme="minorHAnsi" w:hAnsiTheme="minorHAnsi"/>
                <w:b/>
                <w:bCs/>
                <w:color w:val="000000"/>
                <w:sz w:val="20"/>
                <w:szCs w:val="20"/>
                <w:lang w:val="en-GB"/>
              </w:rPr>
            </w:pPr>
            <w:r w:rsidRPr="00567D26">
              <w:rPr>
                <w:rFonts w:asciiTheme="minorHAnsi" w:hAnsiTheme="minorHAnsi"/>
                <w:b/>
                <w:bCs/>
                <w:color w:val="000000"/>
                <w:sz w:val="20"/>
                <w:szCs w:val="20"/>
                <w:lang w:val="en-GB"/>
              </w:rPr>
              <w:t>Table 1: EFSI - IIW Projects</w:t>
            </w:r>
          </w:p>
        </w:tc>
      </w:tr>
      <w:tr w:rsidR="00343844" w:rsidRPr="00567D26" w:rsidTr="00442915">
        <w:trPr>
          <w:trHeight w:val="20"/>
        </w:trPr>
        <w:tc>
          <w:tcPr>
            <w:tcW w:w="1464" w:type="dxa"/>
            <w:gridSpan w:val="2"/>
            <w:vMerge w:val="restart"/>
            <w:tcBorders>
              <w:top w:val="double" w:sz="6" w:space="0" w:color="000000"/>
              <w:left w:val="nil"/>
              <w:bottom w:val="single" w:sz="8" w:space="0" w:color="000000"/>
              <w:right w:val="nil"/>
            </w:tcBorders>
            <w:shd w:val="clear" w:color="auto" w:fill="auto"/>
            <w:vAlign w:val="center"/>
            <w:hideMark/>
          </w:tcPr>
          <w:p w:rsidR="00343844" w:rsidRPr="00567D26" w:rsidRDefault="00343844" w:rsidP="00442915">
            <w:pPr>
              <w:rPr>
                <w:rFonts w:asciiTheme="minorHAnsi" w:hAnsiTheme="minorHAnsi"/>
                <w:sz w:val="20"/>
                <w:szCs w:val="20"/>
                <w:lang w:val="en-GB"/>
              </w:rPr>
            </w:pPr>
            <w:r w:rsidRPr="00567D26">
              <w:rPr>
                <w:rFonts w:asciiTheme="minorHAnsi" w:hAnsiTheme="minorHAnsi"/>
                <w:sz w:val="20"/>
                <w:szCs w:val="20"/>
                <w:lang w:val="en-GB"/>
              </w:rPr>
              <w:t xml:space="preserve"> </w:t>
            </w:r>
            <w:r w:rsidRPr="00567D26">
              <w:rPr>
                <w:rFonts w:asciiTheme="minorHAnsi" w:hAnsiTheme="minorHAnsi"/>
                <w:color w:val="000000"/>
                <w:sz w:val="20"/>
                <w:szCs w:val="20"/>
                <w:lang w:val="en-GB"/>
              </w:rPr>
              <w:t>Country</w:t>
            </w:r>
          </w:p>
        </w:tc>
        <w:tc>
          <w:tcPr>
            <w:tcW w:w="7254" w:type="dxa"/>
            <w:gridSpan w:val="7"/>
            <w:tcBorders>
              <w:top w:val="double" w:sz="6" w:space="0" w:color="000000"/>
              <w:left w:val="nil"/>
              <w:bottom w:val="single" w:sz="4" w:space="0" w:color="000000"/>
              <w:right w:val="nil"/>
            </w:tcBorders>
            <w:shd w:val="clear" w:color="auto" w:fill="auto"/>
            <w:vAlign w:val="bottom"/>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Sector</w:t>
            </w:r>
          </w:p>
        </w:tc>
        <w:tc>
          <w:tcPr>
            <w:tcW w:w="196" w:type="dxa"/>
            <w:tcBorders>
              <w:top w:val="double" w:sz="6" w:space="0" w:color="000000"/>
              <w:left w:val="nil"/>
              <w:bottom w:val="nil"/>
              <w:right w:val="nil"/>
            </w:tcBorders>
            <w:shd w:val="clear" w:color="auto" w:fill="auto"/>
            <w:noWrap/>
            <w:vAlign w:val="center"/>
            <w:hideMark/>
          </w:tcPr>
          <w:p w:rsidR="00343844" w:rsidRPr="00567D26" w:rsidRDefault="00343844" w:rsidP="00442915">
            <w:pPr>
              <w:rPr>
                <w:rFonts w:asciiTheme="minorHAnsi" w:hAnsiTheme="minorHAnsi"/>
                <w:sz w:val="20"/>
                <w:szCs w:val="20"/>
                <w:lang w:val="en-GB"/>
              </w:rPr>
            </w:pPr>
            <w:r w:rsidRPr="00567D26">
              <w:rPr>
                <w:rFonts w:asciiTheme="minorHAnsi" w:hAnsiTheme="minorHAnsi"/>
                <w:sz w:val="20"/>
                <w:szCs w:val="20"/>
                <w:lang w:val="en-GB"/>
              </w:rPr>
              <w:t> </w:t>
            </w:r>
          </w:p>
        </w:tc>
        <w:tc>
          <w:tcPr>
            <w:tcW w:w="960" w:type="dxa"/>
            <w:vMerge w:val="restart"/>
            <w:tcBorders>
              <w:top w:val="double" w:sz="6" w:space="0" w:color="000000"/>
              <w:left w:val="nil"/>
              <w:bottom w:val="single" w:sz="8" w:space="0" w:color="000000"/>
              <w:right w:val="nil"/>
            </w:tcBorders>
            <w:shd w:val="clear" w:color="auto" w:fill="auto"/>
            <w:vAlign w:val="bottom"/>
            <w:hideMark/>
          </w:tcPr>
          <w:p w:rsidR="00343844" w:rsidRPr="00567D26" w:rsidRDefault="00343844" w:rsidP="00442915">
            <w:pPr>
              <w:rPr>
                <w:rFonts w:asciiTheme="minorHAnsi" w:hAnsiTheme="minorHAnsi"/>
                <w:b/>
                <w:color w:val="000000"/>
                <w:sz w:val="20"/>
                <w:szCs w:val="20"/>
                <w:lang w:val="en-GB"/>
              </w:rPr>
            </w:pPr>
            <w:r w:rsidRPr="00567D26">
              <w:rPr>
                <w:rFonts w:asciiTheme="minorHAnsi" w:hAnsiTheme="minorHAnsi"/>
                <w:b/>
                <w:color w:val="000000"/>
                <w:sz w:val="20"/>
                <w:szCs w:val="20"/>
                <w:lang w:val="en-GB"/>
              </w:rPr>
              <w:t>Total projects per Country</w:t>
            </w:r>
          </w:p>
        </w:tc>
      </w:tr>
      <w:tr w:rsidR="00343844" w:rsidRPr="00567D26" w:rsidTr="00442915">
        <w:trPr>
          <w:trHeight w:val="20"/>
        </w:trPr>
        <w:tc>
          <w:tcPr>
            <w:tcW w:w="1464" w:type="dxa"/>
            <w:gridSpan w:val="2"/>
            <w:vMerge/>
            <w:tcBorders>
              <w:top w:val="double" w:sz="6" w:space="0" w:color="000000"/>
              <w:left w:val="nil"/>
              <w:bottom w:val="single" w:sz="8" w:space="0" w:color="000000"/>
              <w:right w:val="nil"/>
            </w:tcBorders>
            <w:vAlign w:val="center"/>
            <w:hideMark/>
          </w:tcPr>
          <w:p w:rsidR="00343844" w:rsidRPr="00567D26" w:rsidRDefault="00343844" w:rsidP="00442915">
            <w:pPr>
              <w:rPr>
                <w:rFonts w:asciiTheme="minorHAnsi" w:hAnsiTheme="minorHAnsi"/>
                <w:sz w:val="20"/>
                <w:szCs w:val="20"/>
                <w:lang w:val="en-GB"/>
              </w:rPr>
            </w:pPr>
          </w:p>
        </w:tc>
        <w:tc>
          <w:tcPr>
            <w:tcW w:w="960" w:type="dxa"/>
            <w:tcBorders>
              <w:top w:val="nil"/>
              <w:left w:val="nil"/>
              <w:bottom w:val="single" w:sz="8" w:space="0" w:color="000000"/>
              <w:right w:val="nil"/>
            </w:tcBorders>
            <w:shd w:val="clear" w:color="auto" w:fill="auto"/>
            <w:vAlign w:val="bottom"/>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Digital</w:t>
            </w:r>
          </w:p>
        </w:tc>
        <w:tc>
          <w:tcPr>
            <w:tcW w:w="960" w:type="dxa"/>
            <w:tcBorders>
              <w:top w:val="nil"/>
              <w:left w:val="nil"/>
              <w:bottom w:val="single" w:sz="8" w:space="0" w:color="000000"/>
              <w:right w:val="nil"/>
            </w:tcBorders>
            <w:shd w:val="clear" w:color="auto" w:fill="auto"/>
            <w:vAlign w:val="bottom"/>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Energy</w:t>
            </w:r>
          </w:p>
        </w:tc>
        <w:tc>
          <w:tcPr>
            <w:tcW w:w="1185" w:type="dxa"/>
            <w:tcBorders>
              <w:top w:val="nil"/>
              <w:left w:val="nil"/>
              <w:bottom w:val="single" w:sz="8" w:space="0" w:color="000000"/>
              <w:right w:val="nil"/>
            </w:tcBorders>
            <w:shd w:val="clear" w:color="auto" w:fill="auto"/>
            <w:vAlign w:val="bottom"/>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Environment and resource efficiency</w:t>
            </w:r>
          </w:p>
        </w:tc>
        <w:tc>
          <w:tcPr>
            <w:tcW w:w="960" w:type="dxa"/>
            <w:tcBorders>
              <w:top w:val="nil"/>
              <w:left w:val="nil"/>
              <w:bottom w:val="single" w:sz="8" w:space="0" w:color="000000"/>
              <w:right w:val="nil"/>
            </w:tcBorders>
            <w:shd w:val="clear" w:color="auto" w:fill="auto"/>
            <w:vAlign w:val="bottom"/>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RDI</w:t>
            </w:r>
          </w:p>
        </w:tc>
        <w:tc>
          <w:tcPr>
            <w:tcW w:w="1011" w:type="dxa"/>
            <w:tcBorders>
              <w:top w:val="nil"/>
              <w:left w:val="nil"/>
              <w:bottom w:val="single" w:sz="8" w:space="0" w:color="000000"/>
              <w:right w:val="nil"/>
            </w:tcBorders>
            <w:shd w:val="clear" w:color="auto" w:fill="auto"/>
            <w:vAlign w:val="bottom"/>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Smaller companies</w:t>
            </w:r>
          </w:p>
        </w:tc>
        <w:tc>
          <w:tcPr>
            <w:tcW w:w="1218" w:type="dxa"/>
            <w:tcBorders>
              <w:top w:val="nil"/>
              <w:left w:val="nil"/>
              <w:bottom w:val="single" w:sz="8" w:space="0" w:color="000000"/>
              <w:right w:val="nil"/>
            </w:tcBorders>
            <w:shd w:val="clear" w:color="auto" w:fill="auto"/>
            <w:vAlign w:val="bottom"/>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Social infrastructure</w:t>
            </w:r>
          </w:p>
        </w:tc>
        <w:tc>
          <w:tcPr>
            <w:tcW w:w="960" w:type="dxa"/>
            <w:tcBorders>
              <w:top w:val="nil"/>
              <w:left w:val="nil"/>
              <w:bottom w:val="single" w:sz="8" w:space="0" w:color="000000"/>
              <w:right w:val="nil"/>
            </w:tcBorders>
            <w:shd w:val="clear" w:color="auto" w:fill="auto"/>
            <w:vAlign w:val="bottom"/>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Transport</w:t>
            </w:r>
          </w:p>
        </w:tc>
        <w:tc>
          <w:tcPr>
            <w:tcW w:w="196" w:type="dxa"/>
            <w:tcBorders>
              <w:top w:val="nil"/>
              <w:left w:val="nil"/>
              <w:bottom w:val="single" w:sz="8" w:space="0" w:color="000000"/>
              <w:right w:val="nil"/>
            </w:tcBorders>
            <w:shd w:val="clear" w:color="auto" w:fill="auto"/>
            <w:vAlign w:val="bottom"/>
            <w:hideMark/>
          </w:tcPr>
          <w:p w:rsidR="00343844" w:rsidRPr="00567D26" w:rsidRDefault="00343844" w:rsidP="00442915">
            <w:pPr>
              <w:jc w:val="center"/>
              <w:rPr>
                <w:rFonts w:asciiTheme="minorHAnsi" w:hAnsiTheme="minorHAnsi"/>
                <w:color w:val="000000"/>
                <w:sz w:val="20"/>
                <w:szCs w:val="20"/>
                <w:lang w:val="en-GB"/>
              </w:rPr>
            </w:pPr>
          </w:p>
        </w:tc>
        <w:tc>
          <w:tcPr>
            <w:tcW w:w="960" w:type="dxa"/>
            <w:vMerge/>
            <w:tcBorders>
              <w:top w:val="double" w:sz="6" w:space="0" w:color="000000"/>
              <w:left w:val="nil"/>
              <w:bottom w:val="single" w:sz="8" w:space="0" w:color="000000"/>
              <w:right w:val="nil"/>
            </w:tcBorders>
            <w:vAlign w:val="center"/>
            <w:hideMark/>
          </w:tcPr>
          <w:p w:rsidR="00343844" w:rsidRPr="00567D26" w:rsidRDefault="00343844" w:rsidP="00442915">
            <w:pPr>
              <w:jc w:val="center"/>
              <w:rPr>
                <w:rFonts w:asciiTheme="minorHAnsi" w:hAnsiTheme="minorHAnsi"/>
                <w:b/>
                <w:color w:val="000000"/>
                <w:sz w:val="20"/>
                <w:szCs w:val="20"/>
                <w:lang w:val="en-GB"/>
              </w:rPr>
            </w:pPr>
          </w:p>
        </w:tc>
      </w:tr>
      <w:tr w:rsidR="00343844" w:rsidRPr="00567D26" w:rsidTr="00442915">
        <w:trPr>
          <w:trHeight w:val="20"/>
        </w:trPr>
        <w:tc>
          <w:tcPr>
            <w:tcW w:w="190" w:type="dxa"/>
            <w:vMerge w:val="restart"/>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Austria</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2</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Belgium</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3</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4</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Croatia</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1</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Denmark</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4</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i/>
                <w:color w:val="000000"/>
                <w:sz w:val="20"/>
                <w:szCs w:val="20"/>
                <w:lang w:val="en-GB"/>
              </w:rPr>
            </w:pPr>
            <w:r w:rsidRPr="00567D26">
              <w:rPr>
                <w:rFonts w:asciiTheme="minorHAnsi" w:hAnsiTheme="minorHAnsi"/>
                <w:i/>
                <w:color w:val="000000"/>
                <w:sz w:val="20"/>
                <w:szCs w:val="20"/>
                <w:lang w:val="en-GB"/>
              </w:rPr>
              <w:t>EU Countries</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i/>
                <w:color w:val="000000"/>
                <w:sz w:val="20"/>
                <w:szCs w:val="20"/>
                <w:lang w:val="en-GB"/>
              </w:rPr>
            </w:pPr>
            <w:r w:rsidRPr="00567D26">
              <w:rPr>
                <w:rFonts w:asciiTheme="minorHAnsi" w:hAnsiTheme="minorHAnsi"/>
                <w:i/>
                <w:color w:val="000000"/>
                <w:sz w:val="20"/>
                <w:szCs w:val="20"/>
                <w:lang w:val="en-GB"/>
              </w:rPr>
              <w:t>3</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i/>
                <w:color w:val="000000"/>
                <w:sz w:val="20"/>
                <w:szCs w:val="20"/>
                <w:lang w:val="en-GB"/>
              </w:rPr>
            </w:pPr>
            <w:r w:rsidRPr="00567D26">
              <w:rPr>
                <w:rFonts w:asciiTheme="minorHAnsi" w:hAnsiTheme="minorHAnsi"/>
                <w:i/>
                <w:color w:val="000000"/>
                <w:sz w:val="20"/>
                <w:szCs w:val="20"/>
                <w:lang w:val="en-GB"/>
              </w:rPr>
              <w:t>7</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i/>
                <w:color w:val="000000"/>
                <w:sz w:val="20"/>
                <w:szCs w:val="20"/>
                <w:lang w:val="en-GB"/>
              </w:rPr>
            </w:pPr>
            <w:r w:rsidRPr="00567D26">
              <w:rPr>
                <w:rFonts w:asciiTheme="minorHAnsi" w:hAnsiTheme="minorHAnsi"/>
                <w:i/>
                <w:color w:val="000000"/>
                <w:sz w:val="20"/>
                <w:szCs w:val="20"/>
                <w:lang w:val="en-GB"/>
              </w:rPr>
              <w:t>4</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i/>
                <w:color w:val="000000"/>
                <w:sz w:val="20"/>
                <w:szCs w:val="20"/>
                <w:lang w:val="en-GB"/>
              </w:rPr>
            </w:pP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i/>
                <w:color w:val="000000"/>
                <w:sz w:val="20"/>
                <w:szCs w:val="20"/>
                <w:lang w:val="en-GB"/>
              </w:rPr>
            </w:pP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i/>
                <w:color w:val="000000"/>
                <w:sz w:val="20"/>
                <w:szCs w:val="20"/>
                <w:lang w:val="en-GB"/>
              </w:rPr>
            </w:pPr>
            <w:r w:rsidRPr="00567D26">
              <w:rPr>
                <w:rFonts w:asciiTheme="minorHAnsi" w:hAnsiTheme="minorHAnsi"/>
                <w:i/>
                <w:color w:val="000000"/>
                <w:sz w:val="20"/>
                <w:szCs w:val="20"/>
                <w:lang w:val="en-GB"/>
              </w:rPr>
              <w:t>2</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i/>
                <w:color w:val="000000"/>
                <w:sz w:val="20"/>
                <w:szCs w:val="20"/>
                <w:lang w:val="en-GB"/>
              </w:rPr>
            </w:pPr>
            <w:r w:rsidRPr="00567D26">
              <w:rPr>
                <w:rFonts w:asciiTheme="minorHAnsi" w:hAnsiTheme="minorHAnsi"/>
                <w:i/>
                <w:color w:val="000000"/>
                <w:sz w:val="20"/>
                <w:szCs w:val="20"/>
                <w:lang w:val="en-GB"/>
              </w:rPr>
              <w:t>5</w:t>
            </w: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i/>
                <w:color w:val="000000"/>
                <w:sz w:val="20"/>
                <w:szCs w:val="20"/>
                <w:lang w:val="en-GB"/>
              </w:rPr>
            </w:pPr>
            <w:r w:rsidRPr="00567D26">
              <w:rPr>
                <w:rFonts w:asciiTheme="minorHAnsi" w:hAnsiTheme="minorHAnsi"/>
                <w:b/>
                <w:i/>
                <w:color w:val="000000"/>
                <w:sz w:val="20"/>
                <w:szCs w:val="20"/>
                <w:lang w:val="en-GB"/>
              </w:rPr>
              <w:t>10</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Finland</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4</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6</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France</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4</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7</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4</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7</w:t>
            </w: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5</w:t>
            </w: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2</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3</w:t>
            </w: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23</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Germany</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4</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4</w:t>
            </w: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10</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Greece</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2</w:t>
            </w: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5</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Ireland</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2</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2</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4</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Italy</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6</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3</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2</w:t>
            </w: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5</w:t>
            </w: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2</w:t>
            </w: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15</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Lithuania</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2</w:t>
            </w: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3</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Netherlands</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3</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Norway</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1</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Poland</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2</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3</w:t>
            </w: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2</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9</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Portugal</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2</w:t>
            </w: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8</w:t>
            </w: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4</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10</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Romania</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1</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Slovakia</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1</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Spain</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3</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7</w:t>
            </w: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7</w:t>
            </w: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3</w:t>
            </w: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19</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Sweden</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2</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5</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i/>
                <w:color w:val="000000"/>
                <w:sz w:val="20"/>
                <w:szCs w:val="20"/>
                <w:lang w:val="en-GB"/>
              </w:rPr>
            </w:pPr>
            <w:r w:rsidRPr="00567D26">
              <w:rPr>
                <w:rFonts w:asciiTheme="minorHAnsi" w:hAnsiTheme="minorHAnsi"/>
                <w:i/>
                <w:color w:val="000000"/>
                <w:sz w:val="20"/>
                <w:szCs w:val="20"/>
                <w:lang w:val="en-GB"/>
              </w:rPr>
              <w:t>Switzerland</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i/>
                <w:color w:val="000000"/>
                <w:sz w:val="20"/>
                <w:szCs w:val="20"/>
                <w:lang w:val="en-GB"/>
              </w:rPr>
            </w:pPr>
            <w:r w:rsidRPr="00567D26">
              <w:rPr>
                <w:rFonts w:asciiTheme="minorHAnsi" w:hAnsiTheme="minorHAnsi"/>
                <w: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i/>
                <w:color w:val="000000"/>
                <w:sz w:val="20"/>
                <w:szCs w:val="20"/>
                <w:lang w:val="en-GB"/>
              </w:rPr>
            </w:pPr>
            <w:r w:rsidRPr="00567D26">
              <w:rPr>
                <w:rFonts w:asciiTheme="minorHAnsi" w:hAnsiTheme="minorHAnsi"/>
                <w:i/>
                <w:color w:val="000000"/>
                <w:sz w:val="20"/>
                <w:szCs w:val="20"/>
                <w:lang w:val="en-GB"/>
              </w:rPr>
              <w:t>1</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i/>
                <w:color w:val="000000"/>
                <w:sz w:val="20"/>
                <w:szCs w:val="20"/>
                <w:lang w:val="en-GB"/>
              </w:rPr>
            </w:pPr>
            <w:r w:rsidRPr="00567D26">
              <w:rPr>
                <w:rFonts w:asciiTheme="minorHAnsi" w:hAnsiTheme="minorHAnsi"/>
                <w: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i/>
                <w:color w:val="000000"/>
                <w:sz w:val="20"/>
                <w:szCs w:val="20"/>
                <w:lang w:val="en-GB"/>
              </w:rPr>
            </w:pP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i/>
                <w:color w:val="000000"/>
                <w:sz w:val="20"/>
                <w:szCs w:val="20"/>
                <w:lang w:val="en-GB"/>
              </w:rPr>
            </w:pP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i/>
                <w:color w:val="000000"/>
                <w:sz w:val="20"/>
                <w:szCs w:val="20"/>
                <w:lang w:val="en-GB"/>
              </w:rPr>
            </w:pPr>
            <w:r w:rsidRPr="00567D26">
              <w:rPr>
                <w:rFonts w:asciiTheme="minorHAnsi" w:hAnsiTheme="minorHAnsi"/>
                <w:i/>
                <w:color w:val="000000"/>
                <w:sz w:val="20"/>
                <w:szCs w:val="20"/>
                <w:lang w:val="en-GB"/>
              </w:rPr>
              <w:t>1</w:t>
            </w: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i/>
                <w:color w:val="000000"/>
                <w:sz w:val="20"/>
                <w:szCs w:val="20"/>
                <w:lang w:val="en-GB"/>
              </w:rPr>
            </w:pPr>
            <w:r w:rsidRPr="00567D26">
              <w:rPr>
                <w:rFonts w:asciiTheme="minorHAnsi" w:hAnsiTheme="minorHAnsi"/>
                <w:b/>
                <w:i/>
                <w:color w:val="000000"/>
                <w:sz w:val="20"/>
                <w:szCs w:val="20"/>
                <w:lang w:val="en-GB"/>
              </w:rPr>
              <w:t>1</w:t>
            </w:r>
          </w:p>
        </w:tc>
      </w:tr>
      <w:tr w:rsidR="00343844" w:rsidRPr="00567D26" w:rsidTr="00442915">
        <w:trPr>
          <w:trHeight w:val="20"/>
        </w:trPr>
        <w:tc>
          <w:tcPr>
            <w:tcW w:w="190" w:type="dxa"/>
            <w:vMerge/>
            <w:tcBorders>
              <w:top w:val="nil"/>
              <w:left w:val="nil"/>
              <w:bottom w:val="single" w:sz="4" w:space="0" w:color="000000"/>
              <w:right w:val="nil"/>
            </w:tcBorders>
            <w:vAlign w:val="center"/>
            <w:hideMark/>
          </w:tcPr>
          <w:p w:rsidR="00343844" w:rsidRPr="00567D26" w:rsidRDefault="00343844" w:rsidP="00442915">
            <w:pPr>
              <w:rPr>
                <w:rFonts w:asciiTheme="minorHAnsi" w:hAnsiTheme="minorHAnsi"/>
                <w:color w:val="000000"/>
                <w:sz w:val="20"/>
                <w:szCs w:val="20"/>
                <w:lang w:val="en-GB"/>
              </w:rPr>
            </w:pPr>
          </w:p>
        </w:tc>
        <w:tc>
          <w:tcPr>
            <w:tcW w:w="1274" w:type="dxa"/>
            <w:tcBorders>
              <w:top w:val="nil"/>
              <w:left w:val="nil"/>
              <w:bottom w:val="single" w:sz="4" w:space="0" w:color="000000"/>
              <w:right w:val="nil"/>
            </w:tcBorders>
            <w:shd w:val="clear" w:color="auto" w:fill="auto"/>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United Kingdom</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185"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3</w:t>
            </w:r>
          </w:p>
        </w:tc>
        <w:tc>
          <w:tcPr>
            <w:tcW w:w="1011"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1</w:t>
            </w:r>
          </w:p>
        </w:tc>
        <w:tc>
          <w:tcPr>
            <w:tcW w:w="1218"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3</w:t>
            </w: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2</w:t>
            </w:r>
          </w:p>
        </w:tc>
        <w:tc>
          <w:tcPr>
            <w:tcW w:w="196" w:type="dxa"/>
            <w:tcBorders>
              <w:top w:val="nil"/>
              <w:left w:val="nil"/>
              <w:bottom w:val="single" w:sz="4" w:space="0" w:color="000000"/>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single" w:sz="4"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14</w:t>
            </w:r>
          </w:p>
        </w:tc>
      </w:tr>
      <w:tr w:rsidR="00343844" w:rsidRPr="00567D26" w:rsidTr="00442915">
        <w:trPr>
          <w:trHeight w:val="20"/>
        </w:trPr>
        <w:tc>
          <w:tcPr>
            <w:tcW w:w="190" w:type="dxa"/>
            <w:tcBorders>
              <w:top w:val="nil"/>
              <w:left w:val="nil"/>
              <w:bottom w:val="nil"/>
              <w:right w:val="nil"/>
            </w:tcBorders>
            <w:shd w:val="clear" w:color="000000" w:fill="D9D9D9"/>
            <w:noWrap/>
            <w:vAlign w:val="center"/>
            <w:hideMark/>
          </w:tcPr>
          <w:p w:rsidR="00343844" w:rsidRPr="00567D26" w:rsidRDefault="00343844" w:rsidP="00442915">
            <w:pPr>
              <w:rPr>
                <w:rFonts w:asciiTheme="minorHAnsi" w:hAnsiTheme="minorHAnsi"/>
                <w:sz w:val="20"/>
                <w:szCs w:val="20"/>
                <w:lang w:val="en-GB"/>
              </w:rPr>
            </w:pPr>
            <w:r w:rsidRPr="00567D26">
              <w:rPr>
                <w:rFonts w:asciiTheme="minorHAnsi" w:hAnsiTheme="minorHAnsi"/>
                <w:sz w:val="20"/>
                <w:szCs w:val="20"/>
                <w:lang w:val="en-GB"/>
              </w:rPr>
              <w:t> </w:t>
            </w:r>
          </w:p>
        </w:tc>
        <w:tc>
          <w:tcPr>
            <w:tcW w:w="1274" w:type="dxa"/>
            <w:tcBorders>
              <w:top w:val="nil"/>
              <w:left w:val="nil"/>
              <w:bottom w:val="nil"/>
              <w:right w:val="nil"/>
            </w:tcBorders>
            <w:shd w:val="clear" w:color="000000" w:fill="D9D9D9"/>
            <w:hideMark/>
          </w:tcPr>
          <w:p w:rsidR="00343844" w:rsidRPr="00567D26" w:rsidRDefault="00343844" w:rsidP="00442915">
            <w:pPr>
              <w:rPr>
                <w:rFonts w:asciiTheme="minorHAnsi" w:hAnsiTheme="minorHAnsi"/>
                <w:color w:val="000000"/>
                <w:sz w:val="20"/>
                <w:szCs w:val="20"/>
                <w:lang w:val="en-GB"/>
              </w:rPr>
            </w:pPr>
            <w:r w:rsidRPr="00567D26">
              <w:rPr>
                <w:rFonts w:asciiTheme="minorHAnsi" w:hAnsiTheme="minorHAnsi"/>
                <w:color w:val="000000"/>
                <w:sz w:val="20"/>
                <w:szCs w:val="20"/>
                <w:lang w:val="en-GB"/>
              </w:rPr>
              <w:t> </w:t>
            </w:r>
          </w:p>
        </w:tc>
        <w:tc>
          <w:tcPr>
            <w:tcW w:w="960" w:type="dxa"/>
            <w:tcBorders>
              <w:top w:val="nil"/>
              <w:left w:val="nil"/>
              <w:bottom w:val="nil"/>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nil"/>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1185" w:type="dxa"/>
            <w:tcBorders>
              <w:top w:val="nil"/>
              <w:left w:val="nil"/>
              <w:bottom w:val="nil"/>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nil"/>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1011" w:type="dxa"/>
            <w:tcBorders>
              <w:top w:val="nil"/>
              <w:left w:val="nil"/>
              <w:bottom w:val="nil"/>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1218" w:type="dxa"/>
            <w:tcBorders>
              <w:top w:val="nil"/>
              <w:left w:val="nil"/>
              <w:bottom w:val="nil"/>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nil"/>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196" w:type="dxa"/>
            <w:tcBorders>
              <w:top w:val="nil"/>
              <w:left w:val="nil"/>
              <w:bottom w:val="nil"/>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c>
          <w:tcPr>
            <w:tcW w:w="960" w:type="dxa"/>
            <w:tcBorders>
              <w:top w:val="nil"/>
              <w:left w:val="nil"/>
              <w:bottom w:val="nil"/>
              <w:right w:val="nil"/>
            </w:tcBorders>
            <w:shd w:val="clear" w:color="000000" w:fill="D9D9D9"/>
            <w:noWrap/>
            <w:hideMark/>
          </w:tcPr>
          <w:p w:rsidR="00343844" w:rsidRPr="00567D26" w:rsidRDefault="00343844" w:rsidP="00442915">
            <w:pPr>
              <w:jc w:val="center"/>
              <w:rPr>
                <w:rFonts w:asciiTheme="minorHAnsi" w:hAnsiTheme="minorHAnsi"/>
                <w:color w:val="000000"/>
                <w:sz w:val="20"/>
                <w:szCs w:val="20"/>
                <w:lang w:val="en-GB"/>
              </w:rPr>
            </w:pPr>
          </w:p>
        </w:tc>
      </w:tr>
      <w:tr w:rsidR="00343844" w:rsidRPr="00567D26" w:rsidTr="00442915">
        <w:trPr>
          <w:trHeight w:val="20"/>
        </w:trPr>
        <w:tc>
          <w:tcPr>
            <w:tcW w:w="1464" w:type="dxa"/>
            <w:gridSpan w:val="2"/>
            <w:tcBorders>
              <w:top w:val="single" w:sz="4" w:space="0" w:color="000000"/>
              <w:left w:val="nil"/>
              <w:bottom w:val="double" w:sz="6" w:space="0" w:color="000000"/>
              <w:right w:val="nil"/>
            </w:tcBorders>
            <w:shd w:val="clear" w:color="auto" w:fill="auto"/>
            <w:hideMark/>
          </w:tcPr>
          <w:p w:rsidR="00343844" w:rsidRPr="00567D26" w:rsidRDefault="00343844" w:rsidP="00442915">
            <w:pPr>
              <w:rPr>
                <w:rFonts w:asciiTheme="minorHAnsi" w:hAnsiTheme="minorHAnsi"/>
                <w:b/>
                <w:color w:val="000000"/>
                <w:sz w:val="20"/>
                <w:szCs w:val="20"/>
                <w:lang w:val="en-GB"/>
              </w:rPr>
            </w:pPr>
            <w:r w:rsidRPr="00567D26">
              <w:rPr>
                <w:rFonts w:asciiTheme="minorHAnsi" w:hAnsiTheme="minorHAnsi"/>
                <w:b/>
                <w:color w:val="000000"/>
                <w:sz w:val="20"/>
                <w:szCs w:val="20"/>
                <w:lang w:val="en-GB"/>
              </w:rPr>
              <w:t>Total projects per sector</w:t>
            </w:r>
          </w:p>
        </w:tc>
        <w:tc>
          <w:tcPr>
            <w:tcW w:w="960" w:type="dxa"/>
            <w:tcBorders>
              <w:top w:val="single" w:sz="4" w:space="0" w:color="000000"/>
              <w:left w:val="nil"/>
              <w:bottom w:val="double" w:sz="6"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12</w:t>
            </w:r>
          </w:p>
        </w:tc>
        <w:tc>
          <w:tcPr>
            <w:tcW w:w="960" w:type="dxa"/>
            <w:tcBorders>
              <w:top w:val="single" w:sz="4" w:space="0" w:color="000000"/>
              <w:left w:val="nil"/>
              <w:bottom w:val="double" w:sz="6"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45</w:t>
            </w:r>
          </w:p>
        </w:tc>
        <w:tc>
          <w:tcPr>
            <w:tcW w:w="1185" w:type="dxa"/>
            <w:tcBorders>
              <w:top w:val="single" w:sz="4" w:space="0" w:color="000000"/>
              <w:left w:val="nil"/>
              <w:bottom w:val="double" w:sz="6"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19</w:t>
            </w:r>
          </w:p>
        </w:tc>
        <w:tc>
          <w:tcPr>
            <w:tcW w:w="960" w:type="dxa"/>
            <w:tcBorders>
              <w:top w:val="single" w:sz="4" w:space="0" w:color="000000"/>
              <w:left w:val="nil"/>
              <w:bottom w:val="double" w:sz="6"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22</w:t>
            </w:r>
          </w:p>
        </w:tc>
        <w:tc>
          <w:tcPr>
            <w:tcW w:w="1011" w:type="dxa"/>
            <w:tcBorders>
              <w:top w:val="single" w:sz="4" w:space="0" w:color="000000"/>
              <w:left w:val="nil"/>
              <w:bottom w:val="double" w:sz="6"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32</w:t>
            </w:r>
          </w:p>
        </w:tc>
        <w:tc>
          <w:tcPr>
            <w:tcW w:w="1218" w:type="dxa"/>
            <w:tcBorders>
              <w:top w:val="single" w:sz="4" w:space="0" w:color="000000"/>
              <w:left w:val="nil"/>
              <w:bottom w:val="double" w:sz="6"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15</w:t>
            </w:r>
          </w:p>
        </w:tc>
        <w:tc>
          <w:tcPr>
            <w:tcW w:w="960" w:type="dxa"/>
            <w:tcBorders>
              <w:top w:val="single" w:sz="4" w:space="0" w:color="000000"/>
              <w:left w:val="nil"/>
              <w:bottom w:val="double" w:sz="6"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21</w:t>
            </w:r>
          </w:p>
        </w:tc>
        <w:tc>
          <w:tcPr>
            <w:tcW w:w="196" w:type="dxa"/>
            <w:tcBorders>
              <w:top w:val="single" w:sz="4" w:space="0" w:color="000000"/>
              <w:left w:val="nil"/>
              <w:bottom w:val="double" w:sz="6"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p>
        </w:tc>
        <w:tc>
          <w:tcPr>
            <w:tcW w:w="960" w:type="dxa"/>
            <w:tcBorders>
              <w:top w:val="single" w:sz="4" w:space="0" w:color="000000"/>
              <w:left w:val="nil"/>
              <w:bottom w:val="double" w:sz="6" w:space="0" w:color="000000"/>
              <w:right w:val="nil"/>
            </w:tcBorders>
            <w:shd w:val="clear" w:color="auto" w:fill="auto"/>
            <w:noWrap/>
            <w:hideMark/>
          </w:tcPr>
          <w:p w:rsidR="00343844" w:rsidRPr="00567D26" w:rsidRDefault="00343844" w:rsidP="00442915">
            <w:pPr>
              <w:jc w:val="center"/>
              <w:rPr>
                <w:rFonts w:asciiTheme="minorHAnsi" w:hAnsiTheme="minorHAnsi"/>
                <w:b/>
                <w:color w:val="000000"/>
                <w:sz w:val="20"/>
                <w:szCs w:val="20"/>
                <w:lang w:val="en-GB"/>
              </w:rPr>
            </w:pPr>
          </w:p>
        </w:tc>
      </w:tr>
    </w:tbl>
    <w:p w:rsidR="00343844" w:rsidRPr="00567D26" w:rsidRDefault="00343844" w:rsidP="00343844">
      <w:pPr>
        <w:autoSpaceDE w:val="0"/>
        <w:autoSpaceDN w:val="0"/>
        <w:adjustRightInd w:val="0"/>
        <w:spacing w:line="288" w:lineRule="auto"/>
        <w:jc w:val="both"/>
        <w:rPr>
          <w:rFonts w:asciiTheme="minorHAnsi" w:hAnsiTheme="minorHAnsi"/>
          <w:sz w:val="20"/>
          <w:szCs w:val="20"/>
          <w:lang w:val="en-GB"/>
        </w:rPr>
      </w:pPr>
    </w:p>
    <w:p w:rsidR="00343844" w:rsidRPr="00567D26" w:rsidRDefault="00343844" w:rsidP="00343844">
      <w:pPr>
        <w:spacing w:line="288" w:lineRule="auto"/>
        <w:jc w:val="both"/>
        <w:rPr>
          <w:rFonts w:asciiTheme="minorHAnsi" w:hAnsiTheme="minorHAnsi"/>
          <w:sz w:val="20"/>
          <w:szCs w:val="20"/>
          <w:lang w:val="en-GB" w:eastAsia="en-US"/>
        </w:rPr>
      </w:pPr>
      <w:r w:rsidRPr="00567D26">
        <w:rPr>
          <w:rFonts w:asciiTheme="minorHAnsi" w:hAnsiTheme="minorHAnsi"/>
          <w:sz w:val="20"/>
          <w:szCs w:val="20"/>
          <w:lang w:val="en-GB" w:eastAsia="en-US"/>
        </w:rPr>
        <w:t>Social infrastructures projects are concentrated in a few countries: Portugal with 4, the UK with 3, France, Ireland and Poland with 2, Austria and Spain with 1, and 2 presented by multiple countries. What is interesting to note is that not all projects promoting social infrastructures seem able to deliver relevant social outcomes. As the analysis evidenced</w:t>
      </w:r>
      <w:r w:rsidR="00F650DF" w:rsidRPr="00567D26">
        <w:rPr>
          <w:rFonts w:asciiTheme="minorHAnsi" w:hAnsiTheme="minorHAnsi"/>
          <w:sz w:val="20"/>
          <w:szCs w:val="20"/>
          <w:lang w:val="en-GB" w:eastAsia="en-US"/>
        </w:rPr>
        <w:t>,</w:t>
      </w:r>
      <w:r w:rsidRPr="00567D26">
        <w:rPr>
          <w:rFonts w:asciiTheme="minorHAnsi" w:hAnsiTheme="minorHAnsi"/>
          <w:sz w:val="20"/>
          <w:szCs w:val="20"/>
          <w:lang w:val="en-GB" w:eastAsia="en-US"/>
        </w:rPr>
        <w:t xml:space="preserve"> 4 out of 15 projects </w:t>
      </w:r>
      <w:r w:rsidR="00F650DF" w:rsidRPr="00567D26">
        <w:rPr>
          <w:rFonts w:asciiTheme="minorHAnsi" w:hAnsiTheme="minorHAnsi"/>
          <w:sz w:val="20"/>
          <w:szCs w:val="20"/>
          <w:lang w:val="en-GB" w:eastAsia="en-US"/>
        </w:rPr>
        <w:t>in social infrastructures (26.6</w:t>
      </w:r>
      <w:r w:rsidRPr="00567D26">
        <w:rPr>
          <w:rFonts w:asciiTheme="minorHAnsi" w:hAnsiTheme="minorHAnsi"/>
          <w:sz w:val="20"/>
          <w:szCs w:val="20"/>
          <w:lang w:val="en-GB" w:eastAsia="en-US"/>
        </w:rPr>
        <w:t xml:space="preserve">%) do not describe any social outcome in their presentation on the EFSI portal. At the same time </w:t>
      </w:r>
    </w:p>
    <w:p w:rsidR="00343844" w:rsidRPr="00567D26" w:rsidRDefault="00343844" w:rsidP="00343844">
      <w:pPr>
        <w:spacing w:line="288" w:lineRule="auto"/>
        <w:jc w:val="both"/>
        <w:rPr>
          <w:rFonts w:asciiTheme="minorHAnsi" w:hAnsiTheme="minorHAnsi"/>
          <w:sz w:val="20"/>
          <w:szCs w:val="20"/>
          <w:lang w:val="en-GB" w:eastAsia="en-US"/>
        </w:rPr>
      </w:pPr>
      <w:r w:rsidRPr="00567D26">
        <w:rPr>
          <w:rFonts w:asciiTheme="minorHAnsi" w:hAnsiTheme="minorHAnsi"/>
          <w:b/>
          <w:sz w:val="20"/>
          <w:szCs w:val="20"/>
          <w:lang w:val="en-GB" w:eastAsia="en-US"/>
        </w:rPr>
        <w:t>37 out of overall 124 project</w:t>
      </w:r>
      <w:r w:rsidR="00F650DF" w:rsidRPr="00567D26">
        <w:rPr>
          <w:rFonts w:asciiTheme="minorHAnsi" w:hAnsiTheme="minorHAnsi"/>
          <w:b/>
          <w:sz w:val="20"/>
          <w:szCs w:val="20"/>
          <w:lang w:val="en-GB" w:eastAsia="en-US"/>
        </w:rPr>
        <w:t>s</w:t>
      </w:r>
      <w:r w:rsidRPr="00567D26">
        <w:rPr>
          <w:rFonts w:asciiTheme="minorHAnsi" w:hAnsiTheme="minorHAnsi"/>
          <w:b/>
          <w:sz w:val="20"/>
          <w:szCs w:val="20"/>
          <w:lang w:val="en-GB" w:eastAsia="en-US"/>
        </w:rPr>
        <w:t xml:space="preserve"> present a m</w:t>
      </w:r>
      <w:r w:rsidRPr="00567D26">
        <w:rPr>
          <w:rFonts w:asciiTheme="minorHAnsi" w:hAnsiTheme="minorHAnsi"/>
          <w:b/>
          <w:color w:val="000000"/>
          <w:sz w:val="20"/>
          <w:szCs w:val="20"/>
          <w:lang w:val="en-GB" w:eastAsia="en-US"/>
        </w:rPr>
        <w:t>edium or high DIRECT social impact</w:t>
      </w:r>
      <w:r w:rsidRPr="00567D26">
        <w:rPr>
          <w:rFonts w:asciiTheme="minorHAnsi" w:hAnsiTheme="minorHAnsi"/>
          <w:color w:val="000000"/>
          <w:sz w:val="20"/>
          <w:szCs w:val="20"/>
          <w:lang w:val="en-GB" w:eastAsia="en-US"/>
        </w:rPr>
        <w:t xml:space="preserve">: it has been assessed by reading projects descriptions and giving a mark from 0 to 3 for their direct social impacts as described by projects promoters: </w:t>
      </w:r>
      <w:r w:rsidRPr="00567D26">
        <w:rPr>
          <w:rFonts w:asciiTheme="minorHAnsi" w:hAnsiTheme="minorHAnsi"/>
          <w:sz w:val="20"/>
          <w:szCs w:val="20"/>
          <w:lang w:val="en-GB" w:eastAsia="en-US"/>
        </w:rPr>
        <w:t xml:space="preserve">  </w:t>
      </w:r>
    </w:p>
    <w:p w:rsidR="00343844" w:rsidRPr="00567D26" w:rsidRDefault="00343844" w:rsidP="00343844">
      <w:pPr>
        <w:autoSpaceDE w:val="0"/>
        <w:autoSpaceDN w:val="0"/>
        <w:adjustRightInd w:val="0"/>
        <w:jc w:val="both"/>
        <w:rPr>
          <w:rFonts w:asciiTheme="minorHAnsi" w:hAnsiTheme="minorHAnsi"/>
          <w:sz w:val="20"/>
          <w:szCs w:val="20"/>
          <w:lang w:val="en-GB" w:eastAsia="en-US"/>
        </w:rPr>
      </w:pPr>
    </w:p>
    <w:p w:rsidR="00720F96" w:rsidRPr="00567D26" w:rsidRDefault="00720F96" w:rsidP="00343844">
      <w:pPr>
        <w:autoSpaceDE w:val="0"/>
        <w:autoSpaceDN w:val="0"/>
        <w:adjustRightInd w:val="0"/>
        <w:jc w:val="both"/>
        <w:rPr>
          <w:rFonts w:asciiTheme="minorHAnsi" w:hAnsiTheme="minorHAnsi"/>
          <w:sz w:val="20"/>
          <w:szCs w:val="20"/>
          <w:lang w:val="en-GB" w:eastAsia="en-US"/>
        </w:rPr>
      </w:pPr>
    </w:p>
    <w:tbl>
      <w:tblPr>
        <w:tblW w:w="83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3544"/>
        <w:gridCol w:w="1559"/>
        <w:gridCol w:w="2126"/>
        <w:gridCol w:w="840"/>
      </w:tblGrid>
      <w:tr w:rsidR="00343844" w:rsidRPr="00567D26" w:rsidTr="00761204">
        <w:trPr>
          <w:cantSplit/>
          <w:jc w:val="center"/>
        </w:trPr>
        <w:tc>
          <w:tcPr>
            <w:tcW w:w="8353" w:type="dxa"/>
            <w:gridSpan w:val="5"/>
            <w:tcBorders>
              <w:top w:val="nil"/>
              <w:left w:val="nil"/>
              <w:bottom w:val="nil"/>
              <w:right w:val="nil"/>
            </w:tcBorders>
            <w:shd w:val="clear" w:color="auto" w:fill="FFFFFF"/>
          </w:tcPr>
          <w:p w:rsidR="00343844" w:rsidRPr="00567D26" w:rsidRDefault="00343844" w:rsidP="00407388">
            <w:pPr>
              <w:keepNext/>
              <w:autoSpaceDE w:val="0"/>
              <w:autoSpaceDN w:val="0"/>
              <w:adjustRightInd w:val="0"/>
              <w:spacing w:line="320" w:lineRule="atLeast"/>
              <w:ind w:left="60" w:right="60"/>
              <w:rPr>
                <w:rFonts w:asciiTheme="minorHAnsi" w:hAnsiTheme="minorHAnsi"/>
                <w:color w:val="000000"/>
                <w:sz w:val="20"/>
                <w:szCs w:val="20"/>
                <w:lang w:val="en-GB" w:eastAsia="en-US"/>
              </w:rPr>
            </w:pPr>
            <w:r w:rsidRPr="00567D26">
              <w:rPr>
                <w:rFonts w:asciiTheme="minorHAnsi" w:hAnsiTheme="minorHAnsi"/>
                <w:b/>
                <w:bCs/>
                <w:color w:val="000000"/>
                <w:sz w:val="20"/>
                <w:szCs w:val="20"/>
                <w:lang w:val="en-GB" w:eastAsia="en-US"/>
              </w:rPr>
              <w:lastRenderedPageBreak/>
              <w:t>Table 2 : Potential direct social impact</w:t>
            </w:r>
          </w:p>
        </w:tc>
      </w:tr>
      <w:tr w:rsidR="00343844" w:rsidRPr="00567D26" w:rsidTr="00761204">
        <w:trPr>
          <w:gridAfter w:val="1"/>
          <w:wAfter w:w="840" w:type="dxa"/>
          <w:cantSplit/>
          <w:jc w:val="center"/>
        </w:trPr>
        <w:tc>
          <w:tcPr>
            <w:tcW w:w="3828" w:type="dxa"/>
            <w:gridSpan w:val="2"/>
            <w:tcBorders>
              <w:top w:val="single" w:sz="6" w:space="0" w:color="000000"/>
              <w:left w:val="nil"/>
              <w:bottom w:val="single" w:sz="16" w:space="0" w:color="000000"/>
              <w:right w:val="nil"/>
            </w:tcBorders>
            <w:shd w:val="clear" w:color="auto" w:fill="FFFFFF"/>
          </w:tcPr>
          <w:p w:rsidR="00343844" w:rsidRPr="00567D26" w:rsidRDefault="00343844" w:rsidP="00407388">
            <w:pPr>
              <w:keepNext/>
              <w:autoSpaceDE w:val="0"/>
              <w:autoSpaceDN w:val="0"/>
              <w:adjustRightInd w:val="0"/>
              <w:spacing w:line="320" w:lineRule="atLeast"/>
              <w:ind w:left="60" w:right="60"/>
              <w:rPr>
                <w:rFonts w:asciiTheme="minorHAnsi" w:hAnsiTheme="minorHAnsi"/>
                <w:color w:val="000000"/>
                <w:sz w:val="20"/>
                <w:szCs w:val="20"/>
                <w:lang w:val="en-GB" w:eastAsia="en-US"/>
              </w:rPr>
            </w:pPr>
          </w:p>
        </w:tc>
        <w:tc>
          <w:tcPr>
            <w:tcW w:w="1559" w:type="dxa"/>
            <w:tcBorders>
              <w:top w:val="single" w:sz="6" w:space="0" w:color="000000"/>
              <w:left w:val="single" w:sz="16" w:space="0" w:color="000000"/>
              <w:bottom w:val="single" w:sz="16" w:space="0" w:color="000000"/>
            </w:tcBorders>
            <w:shd w:val="clear" w:color="auto" w:fill="FFFFFF"/>
          </w:tcPr>
          <w:p w:rsidR="00343844" w:rsidRPr="00567D26" w:rsidRDefault="00343844" w:rsidP="00407388">
            <w:pPr>
              <w:keepNext/>
              <w:autoSpaceDE w:val="0"/>
              <w:autoSpaceDN w:val="0"/>
              <w:adjustRightInd w:val="0"/>
              <w:spacing w:line="320" w:lineRule="atLeast"/>
              <w:ind w:left="60" w:right="60"/>
              <w:jc w:val="center"/>
              <w:rPr>
                <w:rFonts w:asciiTheme="minorHAnsi" w:hAnsiTheme="minorHAnsi"/>
                <w:color w:val="000000"/>
                <w:sz w:val="20"/>
                <w:szCs w:val="20"/>
                <w:lang w:val="en-GB" w:eastAsia="en-US"/>
              </w:rPr>
            </w:pPr>
            <w:r w:rsidRPr="00567D26">
              <w:rPr>
                <w:rFonts w:asciiTheme="minorHAnsi" w:hAnsiTheme="minorHAnsi"/>
                <w:color w:val="000000"/>
                <w:sz w:val="20"/>
                <w:szCs w:val="20"/>
                <w:lang w:val="en-GB" w:eastAsia="en-US"/>
              </w:rPr>
              <w:t>Count</w:t>
            </w:r>
          </w:p>
        </w:tc>
        <w:tc>
          <w:tcPr>
            <w:tcW w:w="2126" w:type="dxa"/>
            <w:tcBorders>
              <w:top w:val="single" w:sz="6" w:space="0" w:color="000000"/>
              <w:bottom w:val="single" w:sz="16" w:space="0" w:color="000000"/>
              <w:right w:val="nil"/>
            </w:tcBorders>
            <w:shd w:val="clear" w:color="auto" w:fill="FFFFFF"/>
          </w:tcPr>
          <w:p w:rsidR="00343844" w:rsidRPr="00567D26" w:rsidRDefault="00343844" w:rsidP="00407388">
            <w:pPr>
              <w:keepNext/>
              <w:autoSpaceDE w:val="0"/>
              <w:autoSpaceDN w:val="0"/>
              <w:adjustRightInd w:val="0"/>
              <w:spacing w:line="320" w:lineRule="atLeast"/>
              <w:ind w:left="60" w:right="60"/>
              <w:jc w:val="center"/>
              <w:rPr>
                <w:rFonts w:asciiTheme="minorHAnsi" w:hAnsiTheme="minorHAnsi"/>
                <w:color w:val="000000"/>
                <w:sz w:val="20"/>
                <w:szCs w:val="20"/>
                <w:lang w:val="en-GB" w:eastAsia="en-US"/>
              </w:rPr>
            </w:pPr>
            <w:r w:rsidRPr="00567D26">
              <w:rPr>
                <w:rFonts w:asciiTheme="minorHAnsi" w:hAnsiTheme="minorHAnsi"/>
                <w:color w:val="000000"/>
                <w:sz w:val="20"/>
                <w:szCs w:val="20"/>
                <w:lang w:val="en-GB" w:eastAsia="en-US"/>
              </w:rPr>
              <w:t>%</w:t>
            </w:r>
          </w:p>
        </w:tc>
      </w:tr>
      <w:tr w:rsidR="00343844" w:rsidRPr="00567D26" w:rsidTr="00761204">
        <w:trPr>
          <w:gridAfter w:val="1"/>
          <w:wAfter w:w="840" w:type="dxa"/>
          <w:cantSplit/>
          <w:jc w:val="center"/>
        </w:trPr>
        <w:tc>
          <w:tcPr>
            <w:tcW w:w="284" w:type="dxa"/>
            <w:vMerge w:val="restart"/>
            <w:tcBorders>
              <w:top w:val="single" w:sz="16" w:space="0" w:color="000000"/>
              <w:left w:val="nil"/>
              <w:bottom w:val="nil"/>
              <w:right w:val="nil"/>
            </w:tcBorders>
            <w:shd w:val="clear" w:color="auto" w:fill="FFFFFF"/>
            <w:vAlign w:val="center"/>
          </w:tcPr>
          <w:p w:rsidR="00343844" w:rsidRPr="00567D26" w:rsidRDefault="00343844" w:rsidP="00407388">
            <w:pPr>
              <w:keepNext/>
              <w:autoSpaceDE w:val="0"/>
              <w:autoSpaceDN w:val="0"/>
              <w:adjustRightInd w:val="0"/>
              <w:ind w:left="60" w:right="60"/>
              <w:rPr>
                <w:rFonts w:asciiTheme="minorHAnsi" w:hAnsiTheme="minorHAnsi"/>
                <w:color w:val="000000"/>
                <w:sz w:val="20"/>
                <w:szCs w:val="20"/>
                <w:lang w:val="en-GB" w:eastAsia="en-US"/>
              </w:rPr>
            </w:pPr>
          </w:p>
        </w:tc>
        <w:tc>
          <w:tcPr>
            <w:tcW w:w="3544" w:type="dxa"/>
            <w:tcBorders>
              <w:top w:val="single" w:sz="16" w:space="0" w:color="000000"/>
              <w:left w:val="nil"/>
              <w:bottom w:val="nil"/>
              <w:right w:val="single" w:sz="16" w:space="0" w:color="000000"/>
            </w:tcBorders>
            <w:shd w:val="clear" w:color="auto" w:fill="FFFFFF"/>
            <w:vAlign w:val="center"/>
          </w:tcPr>
          <w:p w:rsidR="00343844" w:rsidRPr="00567D26" w:rsidRDefault="00343844" w:rsidP="00407388">
            <w:pPr>
              <w:keepNext/>
              <w:autoSpaceDE w:val="0"/>
              <w:autoSpaceDN w:val="0"/>
              <w:adjustRightInd w:val="0"/>
              <w:ind w:left="60" w:right="60"/>
              <w:rPr>
                <w:rFonts w:asciiTheme="minorHAnsi" w:hAnsiTheme="minorHAnsi"/>
                <w:color w:val="000000"/>
                <w:sz w:val="20"/>
                <w:szCs w:val="20"/>
                <w:lang w:val="en-GB" w:eastAsia="en-US"/>
              </w:rPr>
            </w:pPr>
            <w:r w:rsidRPr="00567D26">
              <w:rPr>
                <w:rFonts w:asciiTheme="minorHAnsi" w:hAnsiTheme="minorHAnsi"/>
                <w:color w:val="000000"/>
                <w:sz w:val="20"/>
                <w:szCs w:val="20"/>
                <w:lang w:val="en-GB" w:eastAsia="en-US"/>
              </w:rPr>
              <w:t>None or low DIRECT social impact</w:t>
            </w:r>
          </w:p>
        </w:tc>
        <w:tc>
          <w:tcPr>
            <w:tcW w:w="1559" w:type="dxa"/>
            <w:tcBorders>
              <w:top w:val="single" w:sz="16" w:space="0" w:color="000000"/>
              <w:left w:val="single" w:sz="16" w:space="0" w:color="000000"/>
              <w:bottom w:val="nil"/>
            </w:tcBorders>
            <w:shd w:val="clear" w:color="auto" w:fill="FFFFFF"/>
            <w:vAlign w:val="center"/>
          </w:tcPr>
          <w:p w:rsidR="00343844" w:rsidRPr="00567D26" w:rsidRDefault="00343844" w:rsidP="00407388">
            <w:pPr>
              <w:keepNext/>
              <w:autoSpaceDE w:val="0"/>
              <w:autoSpaceDN w:val="0"/>
              <w:adjustRightInd w:val="0"/>
              <w:ind w:left="60" w:right="60"/>
              <w:jc w:val="center"/>
              <w:rPr>
                <w:rFonts w:asciiTheme="minorHAnsi" w:hAnsiTheme="minorHAnsi"/>
                <w:color w:val="000000"/>
                <w:sz w:val="20"/>
                <w:szCs w:val="20"/>
                <w:lang w:val="en-GB" w:eastAsia="en-US"/>
              </w:rPr>
            </w:pPr>
            <w:r w:rsidRPr="00567D26">
              <w:rPr>
                <w:rFonts w:asciiTheme="minorHAnsi" w:hAnsiTheme="minorHAnsi"/>
                <w:color w:val="000000"/>
                <w:sz w:val="20"/>
                <w:szCs w:val="20"/>
                <w:lang w:val="en-GB" w:eastAsia="en-US"/>
              </w:rPr>
              <w:t>82</w:t>
            </w:r>
          </w:p>
        </w:tc>
        <w:tc>
          <w:tcPr>
            <w:tcW w:w="2126" w:type="dxa"/>
            <w:tcBorders>
              <w:top w:val="single" w:sz="16" w:space="0" w:color="000000"/>
              <w:bottom w:val="nil"/>
              <w:right w:val="nil"/>
            </w:tcBorders>
            <w:shd w:val="clear" w:color="auto" w:fill="FFFFFF"/>
            <w:vAlign w:val="center"/>
          </w:tcPr>
          <w:p w:rsidR="00343844" w:rsidRPr="00567D26" w:rsidRDefault="00343844" w:rsidP="00407388">
            <w:pPr>
              <w:keepNext/>
              <w:autoSpaceDE w:val="0"/>
              <w:autoSpaceDN w:val="0"/>
              <w:adjustRightInd w:val="0"/>
              <w:ind w:left="60" w:right="60"/>
              <w:jc w:val="center"/>
              <w:rPr>
                <w:rFonts w:asciiTheme="minorHAnsi" w:hAnsiTheme="minorHAnsi"/>
                <w:color w:val="000000"/>
                <w:sz w:val="20"/>
                <w:szCs w:val="20"/>
                <w:lang w:val="en-GB" w:eastAsia="en-US"/>
              </w:rPr>
            </w:pPr>
            <w:r w:rsidRPr="00567D26">
              <w:rPr>
                <w:rFonts w:asciiTheme="minorHAnsi" w:hAnsiTheme="minorHAnsi"/>
                <w:color w:val="000000"/>
                <w:sz w:val="20"/>
                <w:szCs w:val="20"/>
                <w:lang w:val="en-GB" w:eastAsia="en-US"/>
              </w:rPr>
              <w:t>66.2</w:t>
            </w:r>
          </w:p>
        </w:tc>
      </w:tr>
      <w:tr w:rsidR="00343844" w:rsidRPr="00567D26" w:rsidTr="00761204">
        <w:trPr>
          <w:gridAfter w:val="1"/>
          <w:wAfter w:w="840" w:type="dxa"/>
          <w:cantSplit/>
          <w:jc w:val="center"/>
        </w:trPr>
        <w:tc>
          <w:tcPr>
            <w:tcW w:w="284" w:type="dxa"/>
            <w:vMerge/>
            <w:tcBorders>
              <w:top w:val="single" w:sz="16" w:space="0" w:color="000000"/>
              <w:left w:val="nil"/>
              <w:bottom w:val="nil"/>
              <w:right w:val="nil"/>
            </w:tcBorders>
            <w:shd w:val="clear" w:color="auto" w:fill="FFFFFF"/>
            <w:vAlign w:val="center"/>
          </w:tcPr>
          <w:p w:rsidR="00343844" w:rsidRPr="00567D26" w:rsidRDefault="00343844" w:rsidP="00407388">
            <w:pPr>
              <w:keepNext/>
              <w:autoSpaceDE w:val="0"/>
              <w:autoSpaceDN w:val="0"/>
              <w:adjustRightInd w:val="0"/>
              <w:rPr>
                <w:rFonts w:asciiTheme="minorHAnsi" w:hAnsiTheme="minorHAnsi"/>
                <w:color w:val="000000"/>
                <w:sz w:val="20"/>
                <w:szCs w:val="20"/>
                <w:lang w:val="en-GB" w:eastAsia="en-US"/>
              </w:rPr>
            </w:pPr>
          </w:p>
        </w:tc>
        <w:tc>
          <w:tcPr>
            <w:tcW w:w="3544" w:type="dxa"/>
            <w:tcBorders>
              <w:top w:val="nil"/>
              <w:left w:val="nil"/>
              <w:bottom w:val="nil"/>
              <w:right w:val="single" w:sz="16" w:space="0" w:color="000000"/>
            </w:tcBorders>
            <w:shd w:val="clear" w:color="auto" w:fill="FFFFFF"/>
            <w:vAlign w:val="center"/>
          </w:tcPr>
          <w:p w:rsidR="00343844" w:rsidRPr="00567D26" w:rsidRDefault="00343844" w:rsidP="00407388">
            <w:pPr>
              <w:keepNext/>
              <w:autoSpaceDE w:val="0"/>
              <w:autoSpaceDN w:val="0"/>
              <w:adjustRightInd w:val="0"/>
              <w:ind w:left="60" w:right="60"/>
              <w:rPr>
                <w:rFonts w:asciiTheme="minorHAnsi" w:hAnsiTheme="minorHAnsi"/>
                <w:color w:val="000000"/>
                <w:sz w:val="20"/>
                <w:szCs w:val="20"/>
                <w:lang w:val="en-GB" w:eastAsia="en-US"/>
              </w:rPr>
            </w:pPr>
            <w:r w:rsidRPr="00567D26">
              <w:rPr>
                <w:rFonts w:asciiTheme="minorHAnsi" w:hAnsiTheme="minorHAnsi"/>
                <w:color w:val="000000"/>
                <w:sz w:val="20"/>
                <w:szCs w:val="20"/>
                <w:lang w:val="en-GB" w:eastAsia="en-US"/>
              </w:rPr>
              <w:t>Medium or high DIRECT social impact</w:t>
            </w:r>
          </w:p>
        </w:tc>
        <w:tc>
          <w:tcPr>
            <w:tcW w:w="1559" w:type="dxa"/>
            <w:tcBorders>
              <w:top w:val="nil"/>
              <w:left w:val="single" w:sz="16" w:space="0" w:color="000000"/>
              <w:bottom w:val="nil"/>
            </w:tcBorders>
            <w:shd w:val="clear" w:color="auto" w:fill="FFFFFF"/>
            <w:vAlign w:val="center"/>
          </w:tcPr>
          <w:p w:rsidR="00343844" w:rsidRPr="00567D26" w:rsidRDefault="00343844" w:rsidP="00407388">
            <w:pPr>
              <w:keepNext/>
              <w:autoSpaceDE w:val="0"/>
              <w:autoSpaceDN w:val="0"/>
              <w:adjustRightInd w:val="0"/>
              <w:ind w:left="60" w:right="60"/>
              <w:jc w:val="center"/>
              <w:rPr>
                <w:rFonts w:asciiTheme="minorHAnsi" w:hAnsiTheme="minorHAnsi"/>
                <w:color w:val="000000"/>
                <w:sz w:val="20"/>
                <w:szCs w:val="20"/>
                <w:lang w:val="en-GB" w:eastAsia="en-US"/>
              </w:rPr>
            </w:pPr>
            <w:r w:rsidRPr="00567D26">
              <w:rPr>
                <w:rFonts w:asciiTheme="minorHAnsi" w:hAnsiTheme="minorHAnsi"/>
                <w:color w:val="000000"/>
                <w:sz w:val="20"/>
                <w:szCs w:val="20"/>
                <w:lang w:val="en-GB" w:eastAsia="en-US"/>
              </w:rPr>
              <w:t>37</w:t>
            </w:r>
          </w:p>
        </w:tc>
        <w:tc>
          <w:tcPr>
            <w:tcW w:w="2126" w:type="dxa"/>
            <w:tcBorders>
              <w:top w:val="nil"/>
              <w:bottom w:val="nil"/>
              <w:right w:val="nil"/>
            </w:tcBorders>
            <w:shd w:val="clear" w:color="auto" w:fill="FFFFFF"/>
            <w:vAlign w:val="center"/>
          </w:tcPr>
          <w:p w:rsidR="00343844" w:rsidRPr="00567D26" w:rsidRDefault="00343844" w:rsidP="00407388">
            <w:pPr>
              <w:keepNext/>
              <w:autoSpaceDE w:val="0"/>
              <w:autoSpaceDN w:val="0"/>
              <w:adjustRightInd w:val="0"/>
              <w:ind w:left="60" w:right="60"/>
              <w:jc w:val="center"/>
              <w:rPr>
                <w:rFonts w:asciiTheme="minorHAnsi" w:hAnsiTheme="minorHAnsi"/>
                <w:color w:val="000000"/>
                <w:sz w:val="20"/>
                <w:szCs w:val="20"/>
                <w:lang w:val="en-GB" w:eastAsia="en-US"/>
              </w:rPr>
            </w:pPr>
            <w:r w:rsidRPr="00567D26">
              <w:rPr>
                <w:rFonts w:asciiTheme="minorHAnsi" w:hAnsiTheme="minorHAnsi"/>
                <w:color w:val="000000"/>
                <w:sz w:val="20"/>
                <w:szCs w:val="20"/>
                <w:lang w:val="en-GB" w:eastAsia="en-US"/>
              </w:rPr>
              <w:t>29.8</w:t>
            </w:r>
          </w:p>
        </w:tc>
      </w:tr>
      <w:tr w:rsidR="00343844" w:rsidRPr="00567D26" w:rsidTr="00761204">
        <w:trPr>
          <w:gridAfter w:val="1"/>
          <w:wAfter w:w="840" w:type="dxa"/>
          <w:cantSplit/>
          <w:jc w:val="center"/>
        </w:trPr>
        <w:tc>
          <w:tcPr>
            <w:tcW w:w="284" w:type="dxa"/>
            <w:vMerge/>
            <w:tcBorders>
              <w:top w:val="single" w:sz="16" w:space="0" w:color="000000"/>
              <w:left w:val="nil"/>
              <w:bottom w:val="nil"/>
              <w:right w:val="nil"/>
            </w:tcBorders>
            <w:shd w:val="clear" w:color="auto" w:fill="FFFFFF"/>
            <w:vAlign w:val="center"/>
          </w:tcPr>
          <w:p w:rsidR="00343844" w:rsidRPr="00567D26" w:rsidRDefault="00343844" w:rsidP="00407388">
            <w:pPr>
              <w:keepNext/>
              <w:autoSpaceDE w:val="0"/>
              <w:autoSpaceDN w:val="0"/>
              <w:adjustRightInd w:val="0"/>
              <w:rPr>
                <w:rFonts w:asciiTheme="minorHAnsi" w:hAnsiTheme="minorHAnsi"/>
                <w:color w:val="000000"/>
                <w:sz w:val="20"/>
                <w:szCs w:val="20"/>
                <w:lang w:val="en-GB" w:eastAsia="en-US"/>
              </w:rPr>
            </w:pPr>
          </w:p>
        </w:tc>
        <w:tc>
          <w:tcPr>
            <w:tcW w:w="3544" w:type="dxa"/>
            <w:tcBorders>
              <w:top w:val="nil"/>
              <w:left w:val="nil"/>
              <w:bottom w:val="nil"/>
              <w:right w:val="single" w:sz="16" w:space="0" w:color="000000"/>
            </w:tcBorders>
            <w:shd w:val="clear" w:color="auto" w:fill="FFFFFF"/>
            <w:vAlign w:val="center"/>
          </w:tcPr>
          <w:p w:rsidR="00343844" w:rsidRPr="00567D26" w:rsidRDefault="00343844" w:rsidP="00407388">
            <w:pPr>
              <w:keepNext/>
              <w:autoSpaceDE w:val="0"/>
              <w:autoSpaceDN w:val="0"/>
              <w:adjustRightInd w:val="0"/>
              <w:ind w:left="60" w:right="60"/>
              <w:rPr>
                <w:rFonts w:asciiTheme="minorHAnsi" w:hAnsiTheme="minorHAnsi"/>
                <w:color w:val="000000"/>
                <w:sz w:val="20"/>
                <w:szCs w:val="20"/>
                <w:lang w:val="en-GB" w:eastAsia="en-US"/>
              </w:rPr>
            </w:pPr>
            <w:r w:rsidRPr="00567D26">
              <w:rPr>
                <w:rFonts w:asciiTheme="minorHAnsi" w:hAnsiTheme="minorHAnsi"/>
                <w:color w:val="000000"/>
                <w:sz w:val="20"/>
                <w:szCs w:val="20"/>
                <w:lang w:val="en-GB" w:eastAsia="en-US"/>
              </w:rPr>
              <w:t>Total</w:t>
            </w:r>
          </w:p>
        </w:tc>
        <w:tc>
          <w:tcPr>
            <w:tcW w:w="1559" w:type="dxa"/>
            <w:tcBorders>
              <w:top w:val="nil"/>
              <w:left w:val="single" w:sz="16" w:space="0" w:color="000000"/>
              <w:bottom w:val="nil"/>
            </w:tcBorders>
            <w:shd w:val="clear" w:color="auto" w:fill="FFFFFF"/>
            <w:vAlign w:val="center"/>
          </w:tcPr>
          <w:p w:rsidR="00343844" w:rsidRPr="00567D26" w:rsidRDefault="00343844" w:rsidP="00407388">
            <w:pPr>
              <w:keepNext/>
              <w:autoSpaceDE w:val="0"/>
              <w:autoSpaceDN w:val="0"/>
              <w:adjustRightInd w:val="0"/>
              <w:ind w:left="60" w:right="60"/>
              <w:jc w:val="center"/>
              <w:rPr>
                <w:rFonts w:asciiTheme="minorHAnsi" w:hAnsiTheme="minorHAnsi"/>
                <w:color w:val="000000"/>
                <w:sz w:val="20"/>
                <w:szCs w:val="20"/>
                <w:lang w:val="en-GB" w:eastAsia="en-US"/>
              </w:rPr>
            </w:pPr>
            <w:r w:rsidRPr="00567D26">
              <w:rPr>
                <w:rFonts w:asciiTheme="minorHAnsi" w:hAnsiTheme="minorHAnsi"/>
                <w:color w:val="000000"/>
                <w:sz w:val="20"/>
                <w:szCs w:val="20"/>
                <w:lang w:val="en-GB" w:eastAsia="en-US"/>
              </w:rPr>
              <w:t>119</w:t>
            </w:r>
          </w:p>
        </w:tc>
        <w:tc>
          <w:tcPr>
            <w:tcW w:w="2126" w:type="dxa"/>
            <w:tcBorders>
              <w:top w:val="nil"/>
              <w:bottom w:val="nil"/>
              <w:right w:val="nil"/>
            </w:tcBorders>
            <w:shd w:val="clear" w:color="auto" w:fill="FFFFFF"/>
            <w:vAlign w:val="center"/>
          </w:tcPr>
          <w:p w:rsidR="00343844" w:rsidRPr="00567D26" w:rsidRDefault="00343844" w:rsidP="00407388">
            <w:pPr>
              <w:keepNext/>
              <w:autoSpaceDE w:val="0"/>
              <w:autoSpaceDN w:val="0"/>
              <w:adjustRightInd w:val="0"/>
              <w:ind w:left="60" w:right="60"/>
              <w:jc w:val="center"/>
              <w:rPr>
                <w:rFonts w:asciiTheme="minorHAnsi" w:hAnsiTheme="minorHAnsi"/>
                <w:color w:val="000000"/>
                <w:sz w:val="20"/>
                <w:szCs w:val="20"/>
                <w:lang w:val="en-GB" w:eastAsia="en-US"/>
              </w:rPr>
            </w:pPr>
            <w:r w:rsidRPr="00567D26">
              <w:rPr>
                <w:rFonts w:asciiTheme="minorHAnsi" w:hAnsiTheme="minorHAnsi"/>
                <w:color w:val="000000"/>
                <w:sz w:val="20"/>
                <w:szCs w:val="20"/>
                <w:lang w:val="en-GB" w:eastAsia="en-US"/>
              </w:rPr>
              <w:t>96.0</w:t>
            </w:r>
          </w:p>
        </w:tc>
      </w:tr>
      <w:tr w:rsidR="00343844" w:rsidRPr="00567D26" w:rsidTr="00761204">
        <w:trPr>
          <w:gridAfter w:val="1"/>
          <w:wAfter w:w="840" w:type="dxa"/>
          <w:cantSplit/>
          <w:jc w:val="center"/>
        </w:trPr>
        <w:tc>
          <w:tcPr>
            <w:tcW w:w="284" w:type="dxa"/>
            <w:tcBorders>
              <w:top w:val="nil"/>
              <w:left w:val="nil"/>
              <w:bottom w:val="nil"/>
              <w:right w:val="nil"/>
            </w:tcBorders>
            <w:shd w:val="clear" w:color="auto" w:fill="FFFFFF"/>
            <w:vAlign w:val="center"/>
          </w:tcPr>
          <w:p w:rsidR="00343844" w:rsidRPr="00567D26" w:rsidRDefault="00343844" w:rsidP="00407388">
            <w:pPr>
              <w:keepNext/>
              <w:autoSpaceDE w:val="0"/>
              <w:autoSpaceDN w:val="0"/>
              <w:adjustRightInd w:val="0"/>
              <w:ind w:left="60" w:right="60"/>
              <w:rPr>
                <w:rFonts w:asciiTheme="minorHAnsi" w:hAnsiTheme="minorHAnsi"/>
                <w:i/>
                <w:color w:val="000000"/>
                <w:sz w:val="20"/>
                <w:szCs w:val="20"/>
                <w:lang w:val="en-GB" w:eastAsia="en-US"/>
              </w:rPr>
            </w:pPr>
          </w:p>
        </w:tc>
        <w:tc>
          <w:tcPr>
            <w:tcW w:w="3544" w:type="dxa"/>
            <w:tcBorders>
              <w:top w:val="nil"/>
              <w:left w:val="nil"/>
              <w:bottom w:val="nil"/>
              <w:right w:val="single" w:sz="16" w:space="0" w:color="000000"/>
            </w:tcBorders>
            <w:shd w:val="clear" w:color="auto" w:fill="FFFFFF"/>
            <w:vAlign w:val="center"/>
          </w:tcPr>
          <w:p w:rsidR="00343844" w:rsidRPr="00567D26" w:rsidRDefault="00343844" w:rsidP="00407388">
            <w:pPr>
              <w:keepNext/>
              <w:autoSpaceDE w:val="0"/>
              <w:autoSpaceDN w:val="0"/>
              <w:adjustRightInd w:val="0"/>
              <w:ind w:left="60" w:right="60"/>
              <w:rPr>
                <w:rFonts w:asciiTheme="minorHAnsi" w:hAnsiTheme="minorHAnsi"/>
                <w:i/>
                <w:color w:val="000000"/>
                <w:sz w:val="20"/>
                <w:szCs w:val="20"/>
                <w:lang w:val="en-GB" w:eastAsia="en-US"/>
              </w:rPr>
            </w:pPr>
            <w:r w:rsidRPr="00567D26">
              <w:rPr>
                <w:rFonts w:asciiTheme="minorHAnsi" w:hAnsiTheme="minorHAnsi"/>
                <w:i/>
                <w:color w:val="000000"/>
                <w:sz w:val="20"/>
                <w:szCs w:val="20"/>
                <w:lang w:val="en-GB" w:eastAsia="en-US"/>
              </w:rPr>
              <w:t xml:space="preserve">Missing value </w:t>
            </w:r>
          </w:p>
        </w:tc>
        <w:tc>
          <w:tcPr>
            <w:tcW w:w="1559" w:type="dxa"/>
            <w:tcBorders>
              <w:top w:val="nil"/>
              <w:left w:val="single" w:sz="16" w:space="0" w:color="000000"/>
              <w:bottom w:val="nil"/>
            </w:tcBorders>
            <w:shd w:val="clear" w:color="auto" w:fill="FFFFFF"/>
            <w:vAlign w:val="center"/>
          </w:tcPr>
          <w:p w:rsidR="00343844" w:rsidRPr="00567D26" w:rsidRDefault="00343844" w:rsidP="00407388">
            <w:pPr>
              <w:keepNext/>
              <w:autoSpaceDE w:val="0"/>
              <w:autoSpaceDN w:val="0"/>
              <w:adjustRightInd w:val="0"/>
              <w:ind w:left="60" w:right="60"/>
              <w:jc w:val="center"/>
              <w:rPr>
                <w:rFonts w:asciiTheme="minorHAnsi" w:hAnsiTheme="minorHAnsi"/>
                <w:i/>
                <w:color w:val="000000"/>
                <w:sz w:val="20"/>
                <w:szCs w:val="20"/>
                <w:lang w:val="en-GB" w:eastAsia="en-US"/>
              </w:rPr>
            </w:pPr>
            <w:r w:rsidRPr="00567D26">
              <w:rPr>
                <w:rFonts w:asciiTheme="minorHAnsi" w:hAnsiTheme="minorHAnsi"/>
                <w:i/>
                <w:color w:val="000000"/>
                <w:sz w:val="20"/>
                <w:szCs w:val="20"/>
                <w:lang w:val="en-GB" w:eastAsia="en-US"/>
              </w:rPr>
              <w:t>5</w:t>
            </w:r>
          </w:p>
        </w:tc>
        <w:tc>
          <w:tcPr>
            <w:tcW w:w="2126" w:type="dxa"/>
            <w:tcBorders>
              <w:top w:val="nil"/>
              <w:bottom w:val="nil"/>
              <w:right w:val="nil"/>
            </w:tcBorders>
            <w:shd w:val="clear" w:color="auto" w:fill="FFFFFF"/>
            <w:vAlign w:val="center"/>
          </w:tcPr>
          <w:p w:rsidR="00343844" w:rsidRPr="00567D26" w:rsidRDefault="00343844" w:rsidP="00407388">
            <w:pPr>
              <w:keepNext/>
              <w:autoSpaceDE w:val="0"/>
              <w:autoSpaceDN w:val="0"/>
              <w:adjustRightInd w:val="0"/>
              <w:ind w:left="60" w:right="60"/>
              <w:jc w:val="center"/>
              <w:rPr>
                <w:rFonts w:asciiTheme="minorHAnsi" w:hAnsiTheme="minorHAnsi"/>
                <w:i/>
                <w:color w:val="000000"/>
                <w:sz w:val="20"/>
                <w:szCs w:val="20"/>
                <w:lang w:val="en-GB" w:eastAsia="en-US"/>
              </w:rPr>
            </w:pPr>
            <w:r w:rsidRPr="00567D26">
              <w:rPr>
                <w:rFonts w:asciiTheme="minorHAnsi" w:hAnsiTheme="minorHAnsi"/>
                <w:i/>
                <w:color w:val="000000"/>
                <w:sz w:val="20"/>
                <w:szCs w:val="20"/>
                <w:lang w:val="en-GB" w:eastAsia="en-US"/>
              </w:rPr>
              <w:t>4.0</w:t>
            </w:r>
          </w:p>
        </w:tc>
      </w:tr>
      <w:tr w:rsidR="00343844" w:rsidRPr="00567D26" w:rsidTr="00761204">
        <w:trPr>
          <w:gridAfter w:val="1"/>
          <w:wAfter w:w="840" w:type="dxa"/>
          <w:cantSplit/>
          <w:jc w:val="center"/>
        </w:trPr>
        <w:tc>
          <w:tcPr>
            <w:tcW w:w="3828" w:type="dxa"/>
            <w:gridSpan w:val="2"/>
            <w:tcBorders>
              <w:top w:val="nil"/>
              <w:left w:val="nil"/>
              <w:bottom w:val="single" w:sz="6" w:space="0" w:color="000000"/>
              <w:right w:val="nil"/>
            </w:tcBorders>
            <w:shd w:val="clear" w:color="auto" w:fill="FFFFFF"/>
            <w:vAlign w:val="center"/>
          </w:tcPr>
          <w:p w:rsidR="00343844" w:rsidRPr="00567D26" w:rsidRDefault="00343844" w:rsidP="00442915">
            <w:pPr>
              <w:autoSpaceDE w:val="0"/>
              <w:autoSpaceDN w:val="0"/>
              <w:adjustRightInd w:val="0"/>
              <w:ind w:left="60" w:right="60"/>
              <w:rPr>
                <w:rFonts w:asciiTheme="minorHAnsi" w:hAnsiTheme="minorHAnsi"/>
                <w:color w:val="000000"/>
                <w:sz w:val="20"/>
                <w:szCs w:val="20"/>
                <w:lang w:val="en-GB" w:eastAsia="en-US"/>
              </w:rPr>
            </w:pPr>
            <w:r w:rsidRPr="00567D26">
              <w:rPr>
                <w:rFonts w:asciiTheme="minorHAnsi" w:hAnsiTheme="minorHAnsi"/>
                <w:color w:val="000000"/>
                <w:sz w:val="20"/>
                <w:szCs w:val="20"/>
                <w:lang w:val="en-GB" w:eastAsia="en-US"/>
              </w:rPr>
              <w:t>Total</w:t>
            </w:r>
          </w:p>
        </w:tc>
        <w:tc>
          <w:tcPr>
            <w:tcW w:w="1559" w:type="dxa"/>
            <w:tcBorders>
              <w:top w:val="nil"/>
              <w:left w:val="single" w:sz="16" w:space="0" w:color="000000"/>
              <w:bottom w:val="single" w:sz="6" w:space="0" w:color="000000"/>
            </w:tcBorders>
            <w:shd w:val="clear" w:color="auto" w:fill="FFFFFF"/>
            <w:vAlign w:val="center"/>
          </w:tcPr>
          <w:p w:rsidR="00343844" w:rsidRPr="00567D26" w:rsidRDefault="00343844" w:rsidP="00442915">
            <w:pPr>
              <w:autoSpaceDE w:val="0"/>
              <w:autoSpaceDN w:val="0"/>
              <w:adjustRightInd w:val="0"/>
              <w:ind w:left="60" w:right="60"/>
              <w:jc w:val="center"/>
              <w:rPr>
                <w:rFonts w:asciiTheme="minorHAnsi" w:hAnsiTheme="minorHAnsi"/>
                <w:color w:val="000000"/>
                <w:sz w:val="20"/>
                <w:szCs w:val="20"/>
                <w:lang w:val="en-GB" w:eastAsia="en-US"/>
              </w:rPr>
            </w:pPr>
            <w:r w:rsidRPr="00567D26">
              <w:rPr>
                <w:rFonts w:asciiTheme="minorHAnsi" w:hAnsiTheme="minorHAnsi"/>
                <w:color w:val="000000"/>
                <w:sz w:val="20"/>
                <w:szCs w:val="20"/>
                <w:lang w:val="en-GB" w:eastAsia="en-US"/>
              </w:rPr>
              <w:t>124</w:t>
            </w:r>
          </w:p>
        </w:tc>
        <w:tc>
          <w:tcPr>
            <w:tcW w:w="2126" w:type="dxa"/>
            <w:tcBorders>
              <w:top w:val="nil"/>
              <w:bottom w:val="single" w:sz="6" w:space="0" w:color="000000"/>
              <w:right w:val="nil"/>
            </w:tcBorders>
            <w:shd w:val="clear" w:color="auto" w:fill="FFFFFF"/>
            <w:vAlign w:val="center"/>
          </w:tcPr>
          <w:p w:rsidR="00343844" w:rsidRPr="00567D26" w:rsidRDefault="00343844" w:rsidP="00442915">
            <w:pPr>
              <w:autoSpaceDE w:val="0"/>
              <w:autoSpaceDN w:val="0"/>
              <w:adjustRightInd w:val="0"/>
              <w:ind w:left="60" w:right="60"/>
              <w:jc w:val="center"/>
              <w:rPr>
                <w:rFonts w:asciiTheme="minorHAnsi" w:hAnsiTheme="minorHAnsi"/>
                <w:color w:val="000000"/>
                <w:sz w:val="20"/>
                <w:szCs w:val="20"/>
                <w:lang w:val="en-GB" w:eastAsia="en-US"/>
              </w:rPr>
            </w:pPr>
            <w:r w:rsidRPr="00567D26">
              <w:rPr>
                <w:rFonts w:asciiTheme="minorHAnsi" w:hAnsiTheme="minorHAnsi"/>
                <w:color w:val="000000"/>
                <w:sz w:val="20"/>
                <w:szCs w:val="20"/>
                <w:lang w:val="en-GB" w:eastAsia="en-US"/>
              </w:rPr>
              <w:t>100.0</w:t>
            </w:r>
          </w:p>
        </w:tc>
      </w:tr>
    </w:tbl>
    <w:p w:rsidR="00343844" w:rsidRPr="00567D26" w:rsidRDefault="00343844" w:rsidP="00343844">
      <w:pPr>
        <w:jc w:val="both"/>
        <w:rPr>
          <w:rFonts w:asciiTheme="minorHAnsi" w:hAnsiTheme="minorHAnsi"/>
          <w:sz w:val="20"/>
          <w:szCs w:val="20"/>
          <w:lang w:val="en-GB" w:eastAsia="en-US"/>
        </w:rPr>
      </w:pPr>
    </w:p>
    <w:p w:rsidR="00343844" w:rsidRPr="00567D26" w:rsidRDefault="00343844" w:rsidP="00152118">
      <w:pPr>
        <w:spacing w:line="288" w:lineRule="auto"/>
        <w:jc w:val="both"/>
        <w:rPr>
          <w:rFonts w:asciiTheme="minorHAnsi" w:hAnsiTheme="minorHAnsi"/>
          <w:sz w:val="20"/>
          <w:szCs w:val="20"/>
          <w:lang w:val="en-GB" w:eastAsia="en-US"/>
        </w:rPr>
      </w:pPr>
      <w:r w:rsidRPr="00567D26">
        <w:rPr>
          <w:rFonts w:asciiTheme="minorHAnsi" w:hAnsiTheme="minorHAnsi"/>
          <w:sz w:val="20"/>
          <w:szCs w:val="20"/>
          <w:lang w:val="en-GB" w:eastAsia="en-US"/>
        </w:rPr>
        <w:t xml:space="preserve">The </w:t>
      </w:r>
      <w:r w:rsidRPr="00567D26">
        <w:rPr>
          <w:rFonts w:asciiTheme="minorHAnsi" w:hAnsiTheme="minorHAnsi"/>
          <w:b/>
          <w:sz w:val="20"/>
          <w:szCs w:val="20"/>
          <w:lang w:val="en-GB" w:eastAsia="en-US"/>
        </w:rPr>
        <w:t>main expected and described social impacts</w:t>
      </w:r>
      <w:r w:rsidRPr="00567D26">
        <w:rPr>
          <w:rFonts w:asciiTheme="minorHAnsi" w:hAnsiTheme="minorHAnsi"/>
          <w:sz w:val="20"/>
          <w:szCs w:val="20"/>
          <w:lang w:val="en-GB" w:eastAsia="en-US"/>
        </w:rPr>
        <w:t xml:space="preserve"> concern the enhancement of access to essential services, the development of rural areas, the construction of healthcare infrastructures, </w:t>
      </w:r>
      <w:r w:rsidR="004B0F20" w:rsidRPr="00567D26">
        <w:rPr>
          <w:rFonts w:asciiTheme="minorHAnsi" w:hAnsiTheme="minorHAnsi"/>
          <w:sz w:val="20"/>
          <w:szCs w:val="20"/>
          <w:lang w:val="en-GB" w:eastAsia="en-US"/>
        </w:rPr>
        <w:t>health and safety at work, housing, job creation.</w:t>
      </w:r>
    </w:p>
    <w:p w:rsidR="00343844" w:rsidRPr="00567D26" w:rsidRDefault="00343844" w:rsidP="00152118">
      <w:pPr>
        <w:pStyle w:val="Odstavecseseznamem"/>
        <w:autoSpaceDE w:val="0"/>
        <w:autoSpaceDN w:val="0"/>
        <w:adjustRightInd w:val="0"/>
        <w:spacing w:after="0" w:line="288" w:lineRule="auto"/>
        <w:jc w:val="both"/>
        <w:rPr>
          <w:rFonts w:asciiTheme="minorHAnsi" w:hAnsiTheme="minorHAnsi" w:cs="Times New Roman"/>
          <w:sz w:val="20"/>
          <w:szCs w:val="20"/>
          <w:lang w:val="en-GB"/>
        </w:rPr>
      </w:pPr>
    </w:p>
    <w:p w:rsidR="001474F0" w:rsidRPr="00567D26" w:rsidRDefault="001474F0" w:rsidP="009D0686">
      <w:pPr>
        <w:spacing w:line="288" w:lineRule="auto"/>
        <w:jc w:val="both"/>
        <w:rPr>
          <w:rFonts w:asciiTheme="minorHAnsi" w:hAnsiTheme="minorHAnsi"/>
          <w:sz w:val="20"/>
          <w:szCs w:val="20"/>
          <w:lang w:val="en-GB"/>
        </w:rPr>
      </w:pPr>
      <w:r w:rsidRPr="00567D26">
        <w:rPr>
          <w:rFonts w:asciiTheme="minorHAnsi" w:hAnsiTheme="minorHAnsi"/>
          <w:sz w:val="20"/>
          <w:szCs w:val="20"/>
          <w:lang w:val="en-GB"/>
        </w:rPr>
        <w:t xml:space="preserve">Not much </w:t>
      </w:r>
      <w:r w:rsidRPr="00567D26">
        <w:rPr>
          <w:rFonts w:asciiTheme="minorHAnsi" w:hAnsiTheme="minorHAnsi"/>
          <w:sz w:val="20"/>
          <w:szCs w:val="20"/>
          <w:lang w:val="en-GB" w:eastAsia="en-US"/>
        </w:rPr>
        <w:t>different</w:t>
      </w:r>
      <w:r w:rsidRPr="00567D26">
        <w:rPr>
          <w:rFonts w:asciiTheme="minorHAnsi" w:hAnsiTheme="minorHAnsi"/>
          <w:sz w:val="20"/>
          <w:szCs w:val="20"/>
          <w:lang w:val="en-GB"/>
        </w:rPr>
        <w:t xml:space="preserve"> is the situation of </w:t>
      </w:r>
      <w:r w:rsidRPr="00567D26">
        <w:rPr>
          <w:rFonts w:asciiTheme="minorHAnsi" w:hAnsiTheme="minorHAnsi"/>
          <w:b/>
          <w:sz w:val="20"/>
          <w:szCs w:val="20"/>
          <w:lang w:val="en-GB"/>
        </w:rPr>
        <w:t>EIPP projects</w:t>
      </w:r>
      <w:r w:rsidRPr="00567D26">
        <w:rPr>
          <w:rFonts w:asciiTheme="minorHAnsi" w:hAnsiTheme="minorHAnsi"/>
          <w:sz w:val="20"/>
          <w:szCs w:val="20"/>
          <w:lang w:val="en-GB"/>
        </w:rPr>
        <w:t xml:space="preserve">. As already mentioned these projects are published </w:t>
      </w:r>
      <w:r w:rsidRPr="00567D26">
        <w:rPr>
          <w:rFonts w:asciiTheme="minorHAnsi" w:hAnsiTheme="minorHAnsi"/>
          <w:sz w:val="20"/>
          <w:szCs w:val="20"/>
          <w:lang w:val="en-GB" w:eastAsia="en-US"/>
        </w:rPr>
        <w:t xml:space="preserve">on the EIP portal, but the publication is not a pre-condition or guarantee for receiving any EU or EIB/EFSI financing support. So this is merely a meeting point between project promoters and international investors, launched to support the visibility and the financing opportunities for investment projects across Europe. In this context the role of Greece is prominent: among the 120 projects published </w:t>
      </w:r>
      <w:r w:rsidRPr="00567D26">
        <w:rPr>
          <w:rFonts w:asciiTheme="minorHAnsi" w:hAnsiTheme="minorHAnsi"/>
          <w:sz w:val="20"/>
          <w:szCs w:val="20"/>
          <w:lang w:val="en-GB"/>
        </w:rPr>
        <w:t>by 25 out of 28 EU countries Greece is the country that features the most with 48 projects, none of them in cooperation with other countries.</w:t>
      </w:r>
      <w:r w:rsidR="009D0686" w:rsidRPr="00567D26">
        <w:rPr>
          <w:rFonts w:asciiTheme="minorHAnsi" w:hAnsiTheme="minorHAnsi"/>
          <w:sz w:val="20"/>
          <w:szCs w:val="20"/>
          <w:lang w:val="en-GB"/>
        </w:rPr>
        <w:t xml:space="preserve"> </w:t>
      </w:r>
    </w:p>
    <w:p w:rsidR="009D0686" w:rsidRPr="00567D26" w:rsidRDefault="009D0686" w:rsidP="009D0686">
      <w:pPr>
        <w:spacing w:line="288" w:lineRule="auto"/>
        <w:jc w:val="both"/>
        <w:rPr>
          <w:rFonts w:asciiTheme="minorHAnsi" w:hAnsiTheme="minorHAnsi"/>
          <w:sz w:val="20"/>
          <w:szCs w:val="20"/>
          <w:lang w:val="en-GB" w:eastAsia="en-US"/>
        </w:rPr>
      </w:pPr>
      <w:r w:rsidRPr="00567D26">
        <w:rPr>
          <w:rFonts w:asciiTheme="minorHAnsi" w:hAnsiTheme="minorHAnsi"/>
          <w:sz w:val="20"/>
          <w:szCs w:val="20"/>
          <w:lang w:val="en-GB" w:eastAsia="en-US"/>
        </w:rPr>
        <w:t>Most of the EIPP projects cover more than one sector (for this reason the total number of projects by subsector is higher than the total number of projects in all and by sector). This is the distribution of the 120 projects between the 25 sectors and subsectors:</w:t>
      </w:r>
    </w:p>
    <w:p w:rsidR="009D0686" w:rsidRPr="00567D26" w:rsidRDefault="009D0686" w:rsidP="009D0686">
      <w:pPr>
        <w:jc w:val="both"/>
        <w:rPr>
          <w:rFonts w:asciiTheme="minorHAnsi" w:hAnsiTheme="minorHAnsi"/>
          <w:sz w:val="20"/>
          <w:szCs w:val="20"/>
          <w:lang w:val="en-GB" w:eastAsia="en-US"/>
        </w:rPr>
      </w:pPr>
    </w:p>
    <w:p w:rsidR="007F3498" w:rsidRPr="00567D26" w:rsidRDefault="007F3498" w:rsidP="00407388">
      <w:pPr>
        <w:keepNext/>
        <w:jc w:val="both"/>
        <w:rPr>
          <w:rFonts w:asciiTheme="minorHAnsi" w:hAnsiTheme="minorHAnsi"/>
          <w:b/>
          <w:sz w:val="20"/>
          <w:szCs w:val="20"/>
          <w:lang w:val="en-GB" w:eastAsia="en-US"/>
        </w:rPr>
      </w:pPr>
      <w:r w:rsidRPr="00567D26">
        <w:rPr>
          <w:rFonts w:asciiTheme="minorHAnsi" w:hAnsiTheme="minorHAnsi"/>
          <w:b/>
          <w:sz w:val="20"/>
          <w:szCs w:val="20"/>
          <w:lang w:val="en-GB" w:eastAsia="en-US"/>
        </w:rPr>
        <w:t>Table 3: EIPP projects publish</w:t>
      </w:r>
      <w:r w:rsidR="00387BED" w:rsidRPr="00567D26">
        <w:rPr>
          <w:rFonts w:asciiTheme="minorHAnsi" w:hAnsiTheme="minorHAnsi"/>
          <w:b/>
          <w:sz w:val="20"/>
          <w:szCs w:val="20"/>
          <w:lang w:val="en-GB" w:eastAsia="en-US"/>
        </w:rPr>
        <w:t>ed</w:t>
      </w:r>
      <w:r w:rsidRPr="00567D26">
        <w:rPr>
          <w:rFonts w:asciiTheme="minorHAnsi" w:hAnsiTheme="minorHAnsi"/>
          <w:b/>
          <w:sz w:val="20"/>
          <w:szCs w:val="20"/>
          <w:lang w:val="en-GB" w:eastAsia="en-US"/>
        </w:rPr>
        <w:t xml:space="preserve"> on EIP Portal by sector</w:t>
      </w:r>
    </w:p>
    <w:p w:rsidR="007F3498" w:rsidRPr="00567D26" w:rsidRDefault="007F3498" w:rsidP="00407388">
      <w:pPr>
        <w:keepNext/>
        <w:jc w:val="both"/>
        <w:rPr>
          <w:rFonts w:asciiTheme="minorHAnsi" w:hAnsiTheme="minorHAnsi"/>
          <w:b/>
          <w:sz w:val="20"/>
          <w:szCs w:val="20"/>
          <w:lang w:val="en-GB" w:eastAsia="en-US"/>
        </w:rPr>
      </w:pPr>
    </w:p>
    <w:tbl>
      <w:tblPr>
        <w:tblW w:w="7655" w:type="dxa"/>
        <w:jc w:val="center"/>
        <w:tblCellMar>
          <w:left w:w="70" w:type="dxa"/>
          <w:right w:w="70" w:type="dxa"/>
        </w:tblCellMar>
        <w:tblLook w:val="04A0" w:firstRow="1" w:lastRow="0" w:firstColumn="1" w:lastColumn="0" w:noHBand="0" w:noVBand="1"/>
      </w:tblPr>
      <w:tblGrid>
        <w:gridCol w:w="575"/>
        <w:gridCol w:w="2969"/>
        <w:gridCol w:w="142"/>
        <w:gridCol w:w="709"/>
        <w:gridCol w:w="992"/>
        <w:gridCol w:w="567"/>
        <w:gridCol w:w="1701"/>
      </w:tblGrid>
      <w:tr w:rsidR="009D0686" w:rsidRPr="00567D26" w:rsidTr="00567D26">
        <w:trPr>
          <w:trHeight w:val="300"/>
          <w:jc w:val="center"/>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686" w:rsidRPr="00567D26" w:rsidRDefault="009D0686" w:rsidP="00442915">
            <w:pPr>
              <w:rPr>
                <w:rFonts w:asciiTheme="minorHAnsi" w:hAnsiTheme="minorHAnsi"/>
                <w:b/>
                <w:bCs/>
                <w:sz w:val="20"/>
                <w:szCs w:val="20"/>
                <w:lang w:val="en-GB"/>
              </w:rPr>
            </w:pPr>
            <w:r w:rsidRPr="00567D26">
              <w:rPr>
                <w:rFonts w:asciiTheme="minorHAnsi" w:hAnsiTheme="minorHAnsi"/>
                <w:b/>
                <w:bCs/>
                <w:sz w:val="20"/>
                <w:szCs w:val="20"/>
                <w:lang w:val="en-GB"/>
              </w:rPr>
              <w:t>Sectors and subsectors</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686" w:rsidRPr="00567D26" w:rsidRDefault="009D0686" w:rsidP="00442915">
            <w:pPr>
              <w:jc w:val="center"/>
              <w:rPr>
                <w:rFonts w:asciiTheme="minorHAnsi" w:hAnsiTheme="minorHAnsi"/>
                <w:b/>
                <w:bCs/>
                <w:sz w:val="20"/>
                <w:szCs w:val="20"/>
                <w:lang w:val="en-GB"/>
              </w:rPr>
            </w:pPr>
            <w:r w:rsidRPr="00567D26">
              <w:rPr>
                <w:rFonts w:asciiTheme="minorHAnsi" w:hAnsiTheme="minorHAnsi"/>
                <w:b/>
                <w:bCs/>
                <w:sz w:val="20"/>
                <w:szCs w:val="20"/>
                <w:lang w:val="en-GB"/>
              </w:rPr>
              <w:t>N. of projects mentioning a specific sector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D0686" w:rsidRPr="00567D26" w:rsidRDefault="009D0686" w:rsidP="00442915">
            <w:pPr>
              <w:jc w:val="center"/>
              <w:rPr>
                <w:rFonts w:asciiTheme="minorHAnsi" w:hAnsiTheme="minorHAnsi"/>
                <w:b/>
                <w:bCs/>
                <w:sz w:val="20"/>
                <w:szCs w:val="20"/>
                <w:lang w:val="en-GB"/>
              </w:rPr>
            </w:pPr>
            <w:r w:rsidRPr="00567D26">
              <w:rPr>
                <w:rFonts w:asciiTheme="minorHAnsi" w:hAnsiTheme="minorHAnsi"/>
                <w:b/>
                <w:bCs/>
                <w:sz w:val="20"/>
                <w:szCs w:val="20"/>
                <w:lang w:val="en-GB"/>
              </w:rPr>
              <w:t>% of projects including the sector over the 120 projects published</w:t>
            </w:r>
          </w:p>
        </w:tc>
      </w:tr>
      <w:tr w:rsidR="009D0686" w:rsidRPr="00567D26" w:rsidTr="00567D26">
        <w:trPr>
          <w:trHeight w:val="300"/>
          <w:jc w:val="center"/>
        </w:trPr>
        <w:tc>
          <w:tcPr>
            <w:tcW w:w="354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D0686" w:rsidRPr="00567D26" w:rsidRDefault="009D0686" w:rsidP="00274AC0">
            <w:pPr>
              <w:rPr>
                <w:rFonts w:asciiTheme="minorHAnsi" w:hAnsiTheme="minorHAnsi"/>
                <w:b/>
                <w:sz w:val="20"/>
                <w:szCs w:val="20"/>
                <w:lang w:val="en-GB" w:eastAsia="en-US"/>
              </w:rPr>
            </w:pPr>
            <w:r w:rsidRPr="00567D26">
              <w:rPr>
                <w:rFonts w:asciiTheme="minorHAnsi" w:hAnsiTheme="minorHAnsi"/>
                <w:b/>
                <w:sz w:val="20"/>
                <w:szCs w:val="20"/>
                <w:lang w:val="en-GB" w:eastAsia="en-US"/>
              </w:rPr>
              <w:t>Knowledge and digital economy</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9D0686" w:rsidRPr="00567D26" w:rsidRDefault="009D0686" w:rsidP="00274AC0">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27</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tcPr>
          <w:p w:rsidR="009D0686" w:rsidRPr="00567D26" w:rsidRDefault="009D0686" w:rsidP="00274AC0">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22.5</w:t>
            </w:r>
          </w:p>
        </w:tc>
      </w:tr>
      <w:tr w:rsidR="009D0686" w:rsidRPr="00567D26" w:rsidTr="00567D26">
        <w:trPr>
          <w:trHeight w:val="300"/>
          <w:jc w:val="center"/>
        </w:trPr>
        <w:tc>
          <w:tcPr>
            <w:tcW w:w="354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9D0686" w:rsidRPr="00567D26" w:rsidRDefault="009D0686" w:rsidP="00274AC0">
            <w:pPr>
              <w:rPr>
                <w:rFonts w:asciiTheme="minorHAnsi" w:hAnsiTheme="minorHAnsi"/>
                <w:b/>
                <w:sz w:val="20"/>
                <w:szCs w:val="20"/>
                <w:lang w:val="en-GB"/>
              </w:rPr>
            </w:pPr>
            <w:r w:rsidRPr="00567D26">
              <w:rPr>
                <w:rFonts w:asciiTheme="minorHAnsi" w:hAnsiTheme="minorHAnsi"/>
                <w:sz w:val="20"/>
                <w:szCs w:val="20"/>
                <w:lang w:val="en-GB"/>
              </w:rPr>
              <w:t xml:space="preserve"> </w:t>
            </w:r>
            <w:r w:rsidRPr="00567D26">
              <w:rPr>
                <w:rFonts w:asciiTheme="minorHAnsi" w:hAnsiTheme="minorHAnsi"/>
                <w:b/>
                <w:sz w:val="20"/>
                <w:szCs w:val="20"/>
                <w:lang w:val="en-GB"/>
              </w:rPr>
              <w:t>Energy union</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9D0686" w:rsidRPr="00567D26" w:rsidRDefault="009D0686" w:rsidP="00274AC0">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39</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tcPr>
          <w:p w:rsidR="009D0686" w:rsidRPr="00567D26" w:rsidRDefault="009D0686" w:rsidP="00274AC0">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32.5</w:t>
            </w:r>
          </w:p>
        </w:tc>
      </w:tr>
      <w:tr w:rsidR="009D0686" w:rsidRPr="00567D26" w:rsidTr="00567D26">
        <w:trPr>
          <w:trHeight w:val="300"/>
          <w:jc w:val="center"/>
        </w:trPr>
        <w:tc>
          <w:tcPr>
            <w:tcW w:w="354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9D0686" w:rsidRPr="00567D26" w:rsidRDefault="009D0686" w:rsidP="00274AC0">
            <w:pPr>
              <w:rPr>
                <w:rFonts w:asciiTheme="minorHAnsi" w:hAnsiTheme="minorHAnsi"/>
                <w:b/>
                <w:sz w:val="20"/>
                <w:szCs w:val="20"/>
                <w:lang w:val="en-GB"/>
              </w:rPr>
            </w:pPr>
            <w:r w:rsidRPr="00567D26">
              <w:rPr>
                <w:rFonts w:asciiTheme="minorHAnsi" w:hAnsiTheme="minorHAnsi"/>
                <w:b/>
                <w:sz w:val="20"/>
                <w:szCs w:val="20"/>
                <w:lang w:val="en-GB"/>
              </w:rPr>
              <w:t xml:space="preserve"> Transport</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9D0686" w:rsidRPr="00567D26" w:rsidRDefault="009D0686" w:rsidP="00274AC0">
            <w:pPr>
              <w:jc w:val="center"/>
              <w:rPr>
                <w:rFonts w:asciiTheme="minorHAnsi" w:hAnsiTheme="minorHAnsi"/>
                <w:b/>
                <w:color w:val="000000"/>
                <w:sz w:val="20"/>
                <w:szCs w:val="20"/>
                <w:lang w:val="en-GB"/>
              </w:rPr>
            </w:pPr>
            <w:r w:rsidRPr="00567D26">
              <w:rPr>
                <w:rFonts w:asciiTheme="minorHAnsi" w:hAnsiTheme="minorHAnsi"/>
                <w:b/>
                <w:color w:val="000000"/>
                <w:sz w:val="20"/>
                <w:szCs w:val="20"/>
                <w:lang w:val="en-GB"/>
              </w:rPr>
              <w:t>41</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tcPr>
          <w:p w:rsidR="009D0686" w:rsidRPr="00567D26" w:rsidRDefault="009D0686" w:rsidP="00274AC0">
            <w:pPr>
              <w:jc w:val="center"/>
              <w:rPr>
                <w:rFonts w:asciiTheme="minorHAnsi" w:hAnsiTheme="minorHAnsi"/>
                <w:color w:val="000000"/>
                <w:sz w:val="20"/>
                <w:szCs w:val="20"/>
                <w:lang w:val="en-GB"/>
              </w:rPr>
            </w:pPr>
            <w:r w:rsidRPr="00567D26">
              <w:rPr>
                <w:rFonts w:asciiTheme="minorHAnsi" w:hAnsiTheme="minorHAnsi"/>
                <w:color w:val="000000"/>
                <w:sz w:val="20"/>
                <w:szCs w:val="20"/>
                <w:lang w:val="en-GB"/>
              </w:rPr>
              <w:t>34.2</w:t>
            </w:r>
          </w:p>
        </w:tc>
      </w:tr>
      <w:tr w:rsidR="009D0686" w:rsidRPr="00567D26" w:rsidTr="00567D26">
        <w:trPr>
          <w:trHeight w:val="300"/>
          <w:jc w:val="center"/>
        </w:trPr>
        <w:tc>
          <w:tcPr>
            <w:tcW w:w="354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9D0686" w:rsidRPr="00567D26" w:rsidRDefault="009D0686" w:rsidP="00274AC0">
            <w:pPr>
              <w:rPr>
                <w:rFonts w:asciiTheme="minorHAnsi" w:hAnsiTheme="minorHAnsi"/>
                <w:b/>
                <w:sz w:val="20"/>
                <w:szCs w:val="20"/>
                <w:lang w:val="en-GB"/>
              </w:rPr>
            </w:pPr>
            <w:r w:rsidRPr="00567D26">
              <w:rPr>
                <w:rFonts w:asciiTheme="minorHAnsi" w:hAnsiTheme="minorHAnsi"/>
                <w:b/>
                <w:sz w:val="20"/>
                <w:szCs w:val="20"/>
                <w:lang w:val="en-GB"/>
              </w:rPr>
              <w:t>Social infrastructure and other</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D0686" w:rsidRPr="00567D26" w:rsidRDefault="009D0686" w:rsidP="00274AC0">
            <w:pPr>
              <w:jc w:val="center"/>
              <w:rPr>
                <w:rFonts w:asciiTheme="minorHAnsi" w:hAnsiTheme="minorHAnsi"/>
                <w:b/>
                <w:sz w:val="20"/>
                <w:szCs w:val="20"/>
                <w:lang w:val="en-GB"/>
              </w:rPr>
            </w:pPr>
            <w:r w:rsidRPr="00567D26">
              <w:rPr>
                <w:rFonts w:asciiTheme="minorHAnsi" w:hAnsiTheme="minorHAnsi"/>
                <w:b/>
                <w:sz w:val="20"/>
                <w:szCs w:val="20"/>
                <w:lang w:val="en-GB"/>
              </w:rPr>
              <w:t>28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9D0686" w:rsidRPr="00567D26" w:rsidRDefault="009D0686" w:rsidP="00274AC0">
            <w:pPr>
              <w:jc w:val="center"/>
              <w:rPr>
                <w:rFonts w:asciiTheme="minorHAnsi" w:hAnsiTheme="minorHAnsi"/>
                <w:b/>
                <w:sz w:val="20"/>
                <w:szCs w:val="20"/>
                <w:lang w:val="en-GB"/>
              </w:rPr>
            </w:pPr>
            <w:r w:rsidRPr="00567D26">
              <w:rPr>
                <w:rFonts w:asciiTheme="minorHAnsi" w:hAnsiTheme="minorHAnsi"/>
                <w:b/>
                <w:sz w:val="20"/>
                <w:szCs w:val="20"/>
                <w:lang w:val="en-GB"/>
              </w:rPr>
              <w:t>23.3</w:t>
            </w:r>
          </w:p>
        </w:tc>
      </w:tr>
      <w:tr w:rsidR="00274AC0" w:rsidRPr="00567D26" w:rsidTr="00567D26">
        <w:trPr>
          <w:gridBefore w:val="1"/>
          <w:gridAfter w:val="1"/>
          <w:wBefore w:w="575" w:type="dxa"/>
          <w:wAfter w:w="1701" w:type="dxa"/>
          <w:trHeight w:val="300"/>
          <w:jc w:val="center"/>
        </w:trPr>
        <w:tc>
          <w:tcPr>
            <w:tcW w:w="382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274AC0" w:rsidRPr="00567D26" w:rsidRDefault="00274AC0" w:rsidP="00274AC0">
            <w:pPr>
              <w:ind w:left="344"/>
              <w:rPr>
                <w:rFonts w:asciiTheme="minorHAnsi" w:hAnsiTheme="minorHAnsi"/>
                <w:sz w:val="20"/>
                <w:szCs w:val="20"/>
                <w:lang w:val="en-GB"/>
              </w:rPr>
            </w:pPr>
            <w:r w:rsidRPr="00567D26">
              <w:rPr>
                <w:rFonts w:asciiTheme="minorHAnsi" w:hAnsiTheme="minorHAnsi"/>
                <w:sz w:val="20"/>
                <w:szCs w:val="20"/>
                <w:lang w:val="en-GB"/>
              </w:rPr>
              <w:t>Human Capital, Education &amp; Training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4AC0" w:rsidRPr="00567D26" w:rsidRDefault="00274AC0" w:rsidP="00274AC0">
            <w:pPr>
              <w:jc w:val="center"/>
              <w:rPr>
                <w:rFonts w:asciiTheme="minorHAnsi" w:hAnsiTheme="minorHAnsi"/>
                <w:sz w:val="20"/>
                <w:szCs w:val="20"/>
                <w:lang w:val="en-GB"/>
              </w:rPr>
            </w:pPr>
            <w:r w:rsidRPr="00567D26">
              <w:rPr>
                <w:rFonts w:asciiTheme="minorHAnsi" w:hAnsiTheme="minorHAnsi"/>
                <w:sz w:val="20"/>
                <w:szCs w:val="20"/>
                <w:lang w:val="en-GB"/>
              </w:rPr>
              <w:t>5</w:t>
            </w:r>
          </w:p>
        </w:tc>
      </w:tr>
      <w:tr w:rsidR="00274AC0" w:rsidRPr="00567D26" w:rsidTr="00567D26">
        <w:trPr>
          <w:gridBefore w:val="1"/>
          <w:gridAfter w:val="1"/>
          <w:wBefore w:w="575" w:type="dxa"/>
          <w:wAfter w:w="1701" w:type="dxa"/>
          <w:trHeight w:val="300"/>
          <w:jc w:val="center"/>
        </w:trPr>
        <w:tc>
          <w:tcPr>
            <w:tcW w:w="382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274AC0" w:rsidRPr="00567D26" w:rsidRDefault="00274AC0" w:rsidP="00274AC0">
            <w:pPr>
              <w:ind w:left="344"/>
              <w:rPr>
                <w:rFonts w:asciiTheme="minorHAnsi" w:hAnsiTheme="minorHAnsi"/>
                <w:sz w:val="20"/>
                <w:szCs w:val="20"/>
                <w:lang w:val="en-GB"/>
              </w:rPr>
            </w:pPr>
            <w:r w:rsidRPr="00567D26">
              <w:rPr>
                <w:rFonts w:asciiTheme="minorHAnsi" w:hAnsiTheme="minorHAnsi"/>
                <w:sz w:val="20"/>
                <w:szCs w:val="20"/>
                <w:lang w:val="en-GB"/>
              </w:rPr>
              <w:t>Health</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4AC0" w:rsidRPr="00567D26" w:rsidRDefault="00274AC0" w:rsidP="00274AC0">
            <w:pPr>
              <w:jc w:val="center"/>
              <w:rPr>
                <w:rFonts w:asciiTheme="minorHAnsi" w:hAnsiTheme="minorHAnsi"/>
                <w:sz w:val="20"/>
                <w:szCs w:val="20"/>
                <w:lang w:val="en-GB"/>
              </w:rPr>
            </w:pPr>
            <w:r w:rsidRPr="00567D26">
              <w:rPr>
                <w:rFonts w:asciiTheme="minorHAnsi" w:hAnsiTheme="minorHAnsi"/>
                <w:sz w:val="20"/>
                <w:szCs w:val="20"/>
                <w:lang w:val="en-GB"/>
              </w:rPr>
              <w:t>9</w:t>
            </w:r>
          </w:p>
        </w:tc>
      </w:tr>
      <w:tr w:rsidR="00274AC0" w:rsidRPr="00567D26" w:rsidTr="00567D26">
        <w:trPr>
          <w:gridBefore w:val="1"/>
          <w:gridAfter w:val="1"/>
          <w:wBefore w:w="575" w:type="dxa"/>
          <w:wAfter w:w="1701" w:type="dxa"/>
          <w:trHeight w:val="300"/>
          <w:jc w:val="center"/>
        </w:trPr>
        <w:tc>
          <w:tcPr>
            <w:tcW w:w="382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274AC0" w:rsidRPr="00567D26" w:rsidRDefault="00274AC0" w:rsidP="00274AC0">
            <w:pPr>
              <w:ind w:left="344"/>
              <w:rPr>
                <w:rFonts w:asciiTheme="minorHAnsi" w:hAnsiTheme="minorHAnsi"/>
                <w:sz w:val="20"/>
                <w:szCs w:val="20"/>
                <w:lang w:val="en-GB"/>
              </w:rPr>
            </w:pPr>
            <w:r w:rsidRPr="00567D26">
              <w:rPr>
                <w:rFonts w:asciiTheme="minorHAnsi" w:hAnsiTheme="minorHAnsi"/>
                <w:sz w:val="20"/>
                <w:szCs w:val="20"/>
                <w:lang w:val="en-GB"/>
              </w:rPr>
              <w:t>Cultural &amp; Creative Industries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4AC0" w:rsidRPr="00567D26" w:rsidRDefault="00274AC0" w:rsidP="00274AC0">
            <w:pPr>
              <w:jc w:val="center"/>
              <w:rPr>
                <w:rFonts w:asciiTheme="minorHAnsi" w:hAnsiTheme="minorHAnsi"/>
                <w:sz w:val="20"/>
                <w:szCs w:val="20"/>
                <w:lang w:val="en-GB"/>
              </w:rPr>
            </w:pPr>
            <w:r w:rsidRPr="00567D26">
              <w:rPr>
                <w:rFonts w:asciiTheme="minorHAnsi" w:hAnsiTheme="minorHAnsi"/>
                <w:sz w:val="20"/>
                <w:szCs w:val="20"/>
                <w:lang w:val="en-GB"/>
              </w:rPr>
              <w:t>1</w:t>
            </w:r>
          </w:p>
        </w:tc>
      </w:tr>
      <w:tr w:rsidR="00274AC0" w:rsidRPr="00567D26" w:rsidTr="00567D26">
        <w:trPr>
          <w:gridBefore w:val="1"/>
          <w:gridAfter w:val="1"/>
          <w:wBefore w:w="575" w:type="dxa"/>
          <w:wAfter w:w="1701" w:type="dxa"/>
          <w:trHeight w:val="300"/>
          <w:jc w:val="center"/>
        </w:trPr>
        <w:tc>
          <w:tcPr>
            <w:tcW w:w="382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274AC0" w:rsidRPr="00567D26" w:rsidRDefault="00274AC0" w:rsidP="00274AC0">
            <w:pPr>
              <w:ind w:left="344"/>
              <w:rPr>
                <w:rFonts w:asciiTheme="minorHAnsi" w:hAnsiTheme="minorHAnsi"/>
                <w:sz w:val="20"/>
                <w:szCs w:val="20"/>
                <w:lang w:val="en-GB"/>
              </w:rPr>
            </w:pPr>
            <w:r w:rsidRPr="00567D26">
              <w:rPr>
                <w:rFonts w:asciiTheme="minorHAnsi" w:hAnsiTheme="minorHAnsi"/>
                <w:sz w:val="20"/>
                <w:szCs w:val="20"/>
                <w:lang w:val="en-GB"/>
              </w:rPr>
              <w:t>Social Infrastructure, Social and Solidarity Economy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4AC0" w:rsidRPr="00567D26" w:rsidRDefault="00274AC0" w:rsidP="00274AC0">
            <w:pPr>
              <w:jc w:val="center"/>
              <w:rPr>
                <w:rFonts w:asciiTheme="minorHAnsi" w:hAnsiTheme="minorHAnsi"/>
                <w:sz w:val="20"/>
                <w:szCs w:val="20"/>
                <w:lang w:val="en-GB"/>
              </w:rPr>
            </w:pPr>
            <w:r w:rsidRPr="00567D26">
              <w:rPr>
                <w:rFonts w:asciiTheme="minorHAnsi" w:hAnsiTheme="minorHAnsi"/>
                <w:sz w:val="20"/>
                <w:szCs w:val="20"/>
                <w:lang w:val="en-GB"/>
              </w:rPr>
              <w:t>5</w:t>
            </w:r>
          </w:p>
        </w:tc>
      </w:tr>
      <w:tr w:rsidR="00274AC0" w:rsidRPr="00567D26" w:rsidTr="00567D26">
        <w:trPr>
          <w:gridBefore w:val="1"/>
          <w:gridAfter w:val="1"/>
          <w:wBefore w:w="575" w:type="dxa"/>
          <w:wAfter w:w="1701" w:type="dxa"/>
          <w:trHeight w:val="300"/>
          <w:jc w:val="center"/>
        </w:trPr>
        <w:tc>
          <w:tcPr>
            <w:tcW w:w="382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274AC0" w:rsidRPr="00567D26" w:rsidRDefault="00274AC0" w:rsidP="00274AC0">
            <w:pPr>
              <w:ind w:left="344"/>
              <w:rPr>
                <w:rFonts w:asciiTheme="minorHAnsi" w:hAnsiTheme="minorHAnsi"/>
                <w:i/>
                <w:sz w:val="20"/>
                <w:szCs w:val="20"/>
                <w:lang w:val="en-GB"/>
              </w:rPr>
            </w:pPr>
            <w:r w:rsidRPr="00567D26">
              <w:rPr>
                <w:rFonts w:asciiTheme="minorHAnsi" w:hAnsiTheme="minorHAnsi"/>
                <w:i/>
                <w:sz w:val="20"/>
                <w:szCs w:val="20"/>
                <w:lang w:val="en-GB"/>
              </w:rPr>
              <w:t>Tourism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4AC0" w:rsidRPr="00567D26" w:rsidRDefault="00274AC0" w:rsidP="00274AC0">
            <w:pPr>
              <w:jc w:val="center"/>
              <w:rPr>
                <w:rFonts w:asciiTheme="minorHAnsi" w:hAnsiTheme="minorHAnsi"/>
                <w:i/>
                <w:sz w:val="20"/>
                <w:szCs w:val="20"/>
                <w:lang w:val="en-GB"/>
              </w:rPr>
            </w:pPr>
            <w:r w:rsidRPr="00567D26">
              <w:rPr>
                <w:rFonts w:asciiTheme="minorHAnsi" w:hAnsiTheme="minorHAnsi"/>
                <w:i/>
                <w:sz w:val="20"/>
                <w:szCs w:val="20"/>
                <w:lang w:val="en-GB"/>
              </w:rPr>
              <w:t>13</w:t>
            </w:r>
          </w:p>
        </w:tc>
      </w:tr>
      <w:tr w:rsidR="009D0686" w:rsidRPr="00567D26" w:rsidTr="00567D26">
        <w:trPr>
          <w:trHeight w:val="300"/>
          <w:jc w:val="center"/>
        </w:trPr>
        <w:tc>
          <w:tcPr>
            <w:tcW w:w="368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9D0686" w:rsidRPr="00567D26" w:rsidRDefault="009D0686" w:rsidP="00274AC0">
            <w:pPr>
              <w:rPr>
                <w:rFonts w:asciiTheme="minorHAnsi" w:hAnsiTheme="minorHAnsi"/>
                <w:b/>
                <w:sz w:val="20"/>
                <w:szCs w:val="20"/>
                <w:lang w:val="en-GB"/>
              </w:rPr>
            </w:pPr>
            <w:r w:rsidRPr="00567D26">
              <w:rPr>
                <w:rFonts w:asciiTheme="minorHAnsi" w:hAnsiTheme="minorHAnsi"/>
                <w:b/>
                <w:sz w:val="20"/>
                <w:szCs w:val="20"/>
                <w:lang w:val="en-GB"/>
              </w:rPr>
              <w:t xml:space="preserve"> Resources and environment</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9D0686" w:rsidRPr="00567D26" w:rsidRDefault="009D0686" w:rsidP="00274AC0">
            <w:pPr>
              <w:jc w:val="center"/>
              <w:rPr>
                <w:rFonts w:asciiTheme="minorHAnsi" w:hAnsiTheme="minorHAnsi"/>
                <w:b/>
                <w:sz w:val="20"/>
                <w:szCs w:val="20"/>
                <w:lang w:val="en-GB"/>
              </w:rPr>
            </w:pPr>
            <w:r w:rsidRPr="00567D26">
              <w:rPr>
                <w:rFonts w:asciiTheme="minorHAnsi" w:hAnsiTheme="minorHAnsi"/>
                <w:b/>
                <w:sz w:val="20"/>
                <w:szCs w:val="20"/>
                <w:lang w:val="en-GB"/>
              </w:rPr>
              <w:t>17</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tcPr>
          <w:p w:rsidR="009D0686" w:rsidRPr="00567D26" w:rsidRDefault="009D0686" w:rsidP="00274AC0">
            <w:pPr>
              <w:jc w:val="center"/>
              <w:rPr>
                <w:rFonts w:asciiTheme="minorHAnsi" w:hAnsiTheme="minorHAnsi"/>
                <w:sz w:val="20"/>
                <w:szCs w:val="20"/>
                <w:lang w:val="en-GB"/>
              </w:rPr>
            </w:pPr>
            <w:r w:rsidRPr="00567D26">
              <w:rPr>
                <w:rFonts w:asciiTheme="minorHAnsi" w:hAnsiTheme="minorHAnsi"/>
                <w:sz w:val="20"/>
                <w:szCs w:val="20"/>
                <w:lang w:val="en-GB"/>
              </w:rPr>
              <w:t>14.2</w:t>
            </w:r>
          </w:p>
        </w:tc>
      </w:tr>
      <w:tr w:rsidR="009D0686" w:rsidRPr="00567D26" w:rsidTr="00567D26">
        <w:trPr>
          <w:trHeight w:val="300"/>
          <w:jc w:val="center"/>
        </w:trPr>
        <w:tc>
          <w:tcPr>
            <w:tcW w:w="368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9D0686" w:rsidRPr="00567D26" w:rsidRDefault="009D0686" w:rsidP="00274AC0">
            <w:pPr>
              <w:rPr>
                <w:rFonts w:asciiTheme="minorHAnsi" w:hAnsiTheme="minorHAnsi"/>
                <w:b/>
                <w:sz w:val="20"/>
                <w:szCs w:val="20"/>
                <w:lang w:val="en-GB"/>
              </w:rPr>
            </w:pPr>
            <w:r w:rsidRPr="00567D26">
              <w:rPr>
                <w:rFonts w:asciiTheme="minorHAnsi" w:hAnsiTheme="minorHAnsi"/>
                <w:sz w:val="20"/>
                <w:szCs w:val="20"/>
                <w:lang w:val="en-GB"/>
              </w:rPr>
              <w:t xml:space="preserve"> </w:t>
            </w:r>
            <w:r w:rsidRPr="00567D26">
              <w:rPr>
                <w:rFonts w:asciiTheme="minorHAnsi" w:hAnsiTheme="minorHAnsi"/>
                <w:b/>
                <w:sz w:val="20"/>
                <w:szCs w:val="20"/>
                <w:lang w:val="en-GB"/>
              </w:rPr>
              <w:t>Financing for SMEs and mid-caps</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9D0686" w:rsidRPr="00567D26" w:rsidRDefault="009D0686" w:rsidP="00274AC0">
            <w:pPr>
              <w:jc w:val="right"/>
              <w:rPr>
                <w:rFonts w:asciiTheme="minorHAnsi" w:hAnsiTheme="minorHAnsi"/>
                <w:sz w:val="20"/>
                <w:szCs w:val="20"/>
                <w:lang w:val="en-GB"/>
              </w:rPr>
            </w:pPr>
            <w:r w:rsidRPr="00567D26">
              <w:rPr>
                <w:rFonts w:asciiTheme="minorHAnsi" w:hAnsiTheme="minorHAnsi"/>
                <w:sz w:val="20"/>
                <w:szCs w:val="20"/>
                <w:lang w:val="en-GB"/>
              </w:rPr>
              <w:t>4</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tcPr>
          <w:p w:rsidR="009D0686" w:rsidRPr="00567D26" w:rsidRDefault="009D0686" w:rsidP="00274AC0">
            <w:pPr>
              <w:jc w:val="center"/>
              <w:rPr>
                <w:rFonts w:asciiTheme="minorHAnsi" w:hAnsiTheme="minorHAnsi"/>
                <w:sz w:val="20"/>
                <w:szCs w:val="20"/>
                <w:lang w:val="en-GB"/>
              </w:rPr>
            </w:pPr>
            <w:r w:rsidRPr="00567D26">
              <w:rPr>
                <w:rFonts w:asciiTheme="minorHAnsi" w:hAnsiTheme="minorHAnsi"/>
                <w:sz w:val="20"/>
                <w:szCs w:val="20"/>
                <w:lang w:val="en-GB"/>
              </w:rPr>
              <w:t>3.3</w:t>
            </w:r>
          </w:p>
        </w:tc>
      </w:tr>
    </w:tbl>
    <w:p w:rsidR="009D0686" w:rsidRPr="00567D26" w:rsidRDefault="009D0686" w:rsidP="009D0686">
      <w:pPr>
        <w:jc w:val="both"/>
        <w:rPr>
          <w:rFonts w:asciiTheme="minorHAnsi" w:hAnsiTheme="minorHAnsi"/>
          <w:sz w:val="20"/>
          <w:szCs w:val="20"/>
          <w:lang w:val="en-GB" w:eastAsia="en-US"/>
        </w:rPr>
      </w:pPr>
    </w:p>
    <w:p w:rsidR="00274AC0" w:rsidRPr="00567D26" w:rsidRDefault="00274AC0" w:rsidP="00042586">
      <w:pPr>
        <w:spacing w:line="288" w:lineRule="auto"/>
        <w:jc w:val="both"/>
        <w:rPr>
          <w:rFonts w:asciiTheme="minorHAnsi" w:hAnsiTheme="minorHAnsi"/>
          <w:sz w:val="20"/>
          <w:szCs w:val="20"/>
          <w:lang w:val="en-GB"/>
        </w:rPr>
      </w:pPr>
    </w:p>
    <w:p w:rsidR="00042586" w:rsidRPr="00567D26" w:rsidRDefault="00042586" w:rsidP="00042586">
      <w:pPr>
        <w:spacing w:line="288" w:lineRule="auto"/>
        <w:jc w:val="both"/>
        <w:rPr>
          <w:rFonts w:asciiTheme="minorHAnsi" w:hAnsiTheme="minorHAnsi"/>
          <w:sz w:val="20"/>
          <w:szCs w:val="20"/>
          <w:lang w:val="en-GB"/>
        </w:rPr>
      </w:pPr>
      <w:r w:rsidRPr="00567D26">
        <w:rPr>
          <w:rFonts w:asciiTheme="minorHAnsi" w:hAnsiTheme="minorHAnsi"/>
          <w:sz w:val="20"/>
          <w:szCs w:val="20"/>
          <w:lang w:val="en-GB"/>
        </w:rPr>
        <w:t>Besides Juncker’s approach moving in a direction consistent with th</w:t>
      </w:r>
      <w:r w:rsidR="00274AC0" w:rsidRPr="00567D26">
        <w:rPr>
          <w:rFonts w:asciiTheme="minorHAnsi" w:hAnsiTheme="minorHAnsi"/>
          <w:sz w:val="20"/>
          <w:szCs w:val="20"/>
          <w:lang w:val="en-GB"/>
        </w:rPr>
        <w:t>e</w:t>
      </w:r>
      <w:r w:rsidRPr="00567D26">
        <w:rPr>
          <w:rFonts w:asciiTheme="minorHAnsi" w:hAnsiTheme="minorHAnsi"/>
          <w:sz w:val="20"/>
          <w:szCs w:val="20"/>
          <w:lang w:val="en-GB"/>
        </w:rPr>
        <w:t xml:space="preserve"> perspective</w:t>
      </w:r>
      <w:r w:rsidR="00274AC0" w:rsidRPr="00567D26">
        <w:rPr>
          <w:rFonts w:asciiTheme="minorHAnsi" w:hAnsiTheme="minorHAnsi"/>
          <w:sz w:val="20"/>
          <w:szCs w:val="20"/>
          <w:lang w:val="en-GB"/>
        </w:rPr>
        <w:t xml:space="preserve"> of a more inclusive Europe</w:t>
      </w:r>
      <w:r w:rsidRPr="00567D26">
        <w:rPr>
          <w:rFonts w:asciiTheme="minorHAnsi" w:hAnsiTheme="minorHAnsi"/>
          <w:sz w:val="20"/>
          <w:szCs w:val="20"/>
          <w:lang w:val="en-GB"/>
        </w:rPr>
        <w:t>, as his speeches demonstrate, unfortunately the IPE does not seem particularly able to support the principles at the base of Social Europe,</w:t>
      </w:r>
      <w:r w:rsidR="007C5A8F" w:rsidRPr="00567D26">
        <w:rPr>
          <w:rFonts w:asciiTheme="minorHAnsi" w:hAnsiTheme="minorHAnsi"/>
          <w:sz w:val="20"/>
          <w:szCs w:val="20"/>
          <w:lang w:val="en-GB"/>
        </w:rPr>
        <w:t xml:space="preserve"> </w:t>
      </w:r>
      <w:r w:rsidRPr="00567D26">
        <w:rPr>
          <w:rFonts w:asciiTheme="minorHAnsi" w:hAnsiTheme="minorHAnsi"/>
          <w:sz w:val="20"/>
          <w:szCs w:val="20"/>
          <w:lang w:val="en-GB"/>
        </w:rPr>
        <w:t>also presented in the Social Pillar under elaboration. At the same time IPE does not seem to respond to the most relevant challenges the EU is facing.</w:t>
      </w:r>
    </w:p>
    <w:p w:rsidR="00152118" w:rsidRPr="00567D26" w:rsidRDefault="00E35F95" w:rsidP="00407388">
      <w:pPr>
        <w:pStyle w:val="Nadpis2"/>
        <w:keepNext/>
        <w:rPr>
          <w:rFonts w:asciiTheme="minorHAnsi" w:hAnsiTheme="minorHAnsi"/>
          <w:sz w:val="20"/>
          <w:szCs w:val="20"/>
        </w:rPr>
      </w:pPr>
      <w:bookmarkStart w:id="5" w:name="_Toc467849885"/>
      <w:r w:rsidRPr="00567D26">
        <w:rPr>
          <w:rFonts w:asciiTheme="minorHAnsi" w:hAnsiTheme="minorHAnsi"/>
          <w:sz w:val="20"/>
          <w:szCs w:val="20"/>
        </w:rPr>
        <w:lastRenderedPageBreak/>
        <w:t xml:space="preserve">The role of IPE </w:t>
      </w:r>
      <w:r w:rsidR="00725672" w:rsidRPr="00567D26">
        <w:rPr>
          <w:rFonts w:asciiTheme="minorHAnsi" w:hAnsiTheme="minorHAnsi"/>
          <w:sz w:val="20"/>
          <w:szCs w:val="20"/>
        </w:rPr>
        <w:t xml:space="preserve">in </w:t>
      </w:r>
      <w:r w:rsidR="00042586" w:rsidRPr="00567D26">
        <w:rPr>
          <w:rFonts w:asciiTheme="minorHAnsi" w:hAnsiTheme="minorHAnsi"/>
          <w:sz w:val="20"/>
          <w:szCs w:val="20"/>
        </w:rPr>
        <w:t>responding to</w:t>
      </w:r>
      <w:r w:rsidR="00725672" w:rsidRPr="00567D26">
        <w:rPr>
          <w:rFonts w:asciiTheme="minorHAnsi" w:hAnsiTheme="minorHAnsi"/>
          <w:sz w:val="20"/>
          <w:szCs w:val="20"/>
        </w:rPr>
        <w:t xml:space="preserve"> the main social challenges Europe is facing</w:t>
      </w:r>
      <w:bookmarkEnd w:id="5"/>
      <w:r w:rsidR="00725672" w:rsidRPr="00567D26">
        <w:rPr>
          <w:rFonts w:asciiTheme="minorHAnsi" w:hAnsiTheme="minorHAnsi"/>
          <w:sz w:val="20"/>
          <w:szCs w:val="20"/>
        </w:rPr>
        <w:t xml:space="preserve"> </w:t>
      </w:r>
    </w:p>
    <w:p w:rsidR="004A58C7" w:rsidRPr="00567D26" w:rsidRDefault="00A45730" w:rsidP="00407388">
      <w:pPr>
        <w:keepNext/>
        <w:autoSpaceDE w:val="0"/>
        <w:autoSpaceDN w:val="0"/>
        <w:adjustRightInd w:val="0"/>
        <w:spacing w:line="288" w:lineRule="auto"/>
        <w:jc w:val="both"/>
        <w:rPr>
          <w:rFonts w:asciiTheme="minorHAnsi" w:hAnsiTheme="minorHAnsi"/>
          <w:sz w:val="20"/>
          <w:szCs w:val="20"/>
          <w:lang w:val="en-GB"/>
        </w:rPr>
      </w:pPr>
      <w:r w:rsidRPr="00567D26">
        <w:rPr>
          <w:rFonts w:asciiTheme="minorHAnsi" w:hAnsiTheme="minorHAnsi"/>
          <w:sz w:val="20"/>
          <w:szCs w:val="20"/>
          <w:lang w:val="en-GB"/>
        </w:rPr>
        <w:t>Reflecting on the</w:t>
      </w:r>
      <w:r w:rsidRPr="00567D26">
        <w:rPr>
          <w:rFonts w:asciiTheme="minorHAnsi" w:hAnsiTheme="minorHAnsi"/>
          <w:b/>
          <w:sz w:val="20"/>
          <w:szCs w:val="20"/>
          <w:lang w:val="en-GB"/>
        </w:rPr>
        <w:t xml:space="preserve"> </w:t>
      </w:r>
      <w:r w:rsidR="00B9764A" w:rsidRPr="00567D26">
        <w:rPr>
          <w:rFonts w:asciiTheme="minorHAnsi" w:hAnsiTheme="minorHAnsi"/>
          <w:b/>
          <w:sz w:val="20"/>
          <w:szCs w:val="20"/>
          <w:lang w:val="en-GB"/>
        </w:rPr>
        <w:t xml:space="preserve">role of the IPE to support the </w:t>
      </w:r>
      <w:r w:rsidRPr="00567D26">
        <w:rPr>
          <w:rFonts w:asciiTheme="minorHAnsi" w:hAnsiTheme="minorHAnsi"/>
          <w:b/>
          <w:sz w:val="20"/>
          <w:szCs w:val="20"/>
          <w:lang w:val="en-GB"/>
        </w:rPr>
        <w:t>main social challenges</w:t>
      </w:r>
      <w:r w:rsidRPr="00567D26">
        <w:rPr>
          <w:rFonts w:asciiTheme="minorHAnsi" w:hAnsiTheme="minorHAnsi"/>
          <w:sz w:val="20"/>
          <w:szCs w:val="20"/>
          <w:lang w:val="en-GB"/>
        </w:rPr>
        <w:t xml:space="preserve">, </w:t>
      </w:r>
      <w:r w:rsidR="00602A11" w:rsidRPr="00567D26">
        <w:rPr>
          <w:rFonts w:asciiTheme="minorHAnsi" w:hAnsiTheme="minorHAnsi"/>
          <w:sz w:val="20"/>
          <w:szCs w:val="20"/>
          <w:lang w:val="en-GB"/>
        </w:rPr>
        <w:t xml:space="preserve">described in the report through Eurostat data and Country Specific Recommendations issued to Member States, </w:t>
      </w:r>
      <w:r w:rsidRPr="00567D26">
        <w:rPr>
          <w:rFonts w:asciiTheme="minorHAnsi" w:hAnsiTheme="minorHAnsi"/>
          <w:sz w:val="20"/>
          <w:szCs w:val="20"/>
          <w:lang w:val="en-GB"/>
        </w:rPr>
        <w:t>it is possible to observe that</w:t>
      </w:r>
      <w:r w:rsidR="004A58C7" w:rsidRPr="00567D26">
        <w:rPr>
          <w:rFonts w:asciiTheme="minorHAnsi" w:hAnsiTheme="minorHAnsi"/>
          <w:sz w:val="20"/>
          <w:szCs w:val="20"/>
          <w:lang w:val="en-GB"/>
        </w:rPr>
        <w:t>:</w:t>
      </w:r>
    </w:p>
    <w:p w:rsidR="004A58C7" w:rsidRPr="00567D26" w:rsidRDefault="00A45730" w:rsidP="00274AC0">
      <w:pPr>
        <w:pStyle w:val="Odstavecseseznamem"/>
        <w:numPr>
          <w:ilvl w:val="1"/>
          <w:numId w:val="13"/>
        </w:numPr>
        <w:autoSpaceDE w:val="0"/>
        <w:autoSpaceDN w:val="0"/>
        <w:adjustRightInd w:val="0"/>
        <w:spacing w:after="0" w:line="288" w:lineRule="auto"/>
        <w:ind w:left="709"/>
        <w:jc w:val="both"/>
        <w:rPr>
          <w:rFonts w:asciiTheme="minorHAnsi" w:hAnsiTheme="minorHAnsi" w:cs="Times New Roman"/>
          <w:sz w:val="20"/>
          <w:szCs w:val="20"/>
          <w:lang w:val="en-GB"/>
        </w:rPr>
      </w:pPr>
      <w:r w:rsidRPr="00567D26">
        <w:rPr>
          <w:rFonts w:asciiTheme="minorHAnsi" w:hAnsiTheme="minorHAnsi" w:cs="Times New Roman"/>
          <w:sz w:val="20"/>
          <w:szCs w:val="20"/>
          <w:lang w:val="en-GB"/>
        </w:rPr>
        <w:t xml:space="preserve">none of the EFSI/EIPP projects considered tackle </w:t>
      </w:r>
      <w:r w:rsidRPr="00567D26">
        <w:rPr>
          <w:rFonts w:asciiTheme="minorHAnsi" w:hAnsiTheme="minorHAnsi" w:cs="Times New Roman"/>
          <w:b/>
          <w:sz w:val="20"/>
          <w:szCs w:val="20"/>
          <w:lang w:val="en-GB"/>
        </w:rPr>
        <w:t>poverty and in-</w:t>
      </w:r>
      <w:r w:rsidR="004A58C7" w:rsidRPr="00567D26">
        <w:rPr>
          <w:rFonts w:asciiTheme="minorHAnsi" w:hAnsiTheme="minorHAnsi" w:cs="Times New Roman"/>
          <w:b/>
          <w:sz w:val="20"/>
          <w:szCs w:val="20"/>
          <w:lang w:val="en-GB"/>
        </w:rPr>
        <w:t xml:space="preserve">work </w:t>
      </w:r>
      <w:r w:rsidRPr="00567D26">
        <w:rPr>
          <w:rFonts w:asciiTheme="minorHAnsi" w:hAnsiTheme="minorHAnsi" w:cs="Times New Roman"/>
          <w:b/>
          <w:sz w:val="20"/>
          <w:szCs w:val="20"/>
          <w:lang w:val="en-GB"/>
        </w:rPr>
        <w:t>poverty</w:t>
      </w:r>
      <w:r w:rsidRPr="00567D26">
        <w:rPr>
          <w:rFonts w:asciiTheme="minorHAnsi" w:hAnsiTheme="minorHAnsi" w:cs="Times New Roman"/>
          <w:sz w:val="20"/>
          <w:szCs w:val="20"/>
          <w:lang w:val="en-GB"/>
        </w:rPr>
        <w:t xml:space="preserve"> </w:t>
      </w:r>
      <w:r w:rsidRPr="00567D26">
        <w:rPr>
          <w:rFonts w:asciiTheme="minorHAnsi" w:hAnsiTheme="minorHAnsi" w:cs="Times New Roman"/>
          <w:b/>
          <w:sz w:val="20"/>
          <w:szCs w:val="20"/>
          <w:lang w:val="en-GB"/>
        </w:rPr>
        <w:t>issues</w:t>
      </w:r>
      <w:r w:rsidRPr="00567D26">
        <w:rPr>
          <w:rFonts w:asciiTheme="minorHAnsi" w:hAnsiTheme="minorHAnsi" w:cs="Times New Roman"/>
          <w:sz w:val="20"/>
          <w:szCs w:val="20"/>
          <w:lang w:val="en-GB"/>
        </w:rPr>
        <w:t xml:space="preserve"> directly, even if this represents a priority and an emergency for EU policymaking and for the creation of a more inclusive Europe; </w:t>
      </w:r>
    </w:p>
    <w:p w:rsidR="001A4656" w:rsidRPr="00567D26" w:rsidRDefault="00A45730" w:rsidP="00274AC0">
      <w:pPr>
        <w:pStyle w:val="Odstavecseseznamem"/>
        <w:numPr>
          <w:ilvl w:val="1"/>
          <w:numId w:val="13"/>
        </w:numPr>
        <w:autoSpaceDE w:val="0"/>
        <w:autoSpaceDN w:val="0"/>
        <w:adjustRightInd w:val="0"/>
        <w:spacing w:after="0" w:line="288" w:lineRule="auto"/>
        <w:ind w:left="709"/>
        <w:jc w:val="both"/>
        <w:rPr>
          <w:rFonts w:asciiTheme="minorHAnsi" w:hAnsiTheme="minorHAnsi" w:cs="Times New Roman"/>
          <w:sz w:val="20"/>
          <w:szCs w:val="20"/>
          <w:lang w:val="en-GB"/>
        </w:rPr>
      </w:pPr>
      <w:r w:rsidRPr="00567D26">
        <w:rPr>
          <w:rFonts w:asciiTheme="minorHAnsi" w:hAnsiTheme="minorHAnsi" w:cs="Times New Roman"/>
          <w:sz w:val="20"/>
          <w:szCs w:val="20"/>
          <w:lang w:val="en-GB"/>
        </w:rPr>
        <w:t>only a few projects have tackled the issue of the</w:t>
      </w:r>
      <w:r w:rsidR="00602A11" w:rsidRPr="00567D26">
        <w:rPr>
          <w:rFonts w:asciiTheme="minorHAnsi" w:hAnsiTheme="minorHAnsi" w:cs="Times New Roman"/>
          <w:sz w:val="20"/>
          <w:szCs w:val="20"/>
          <w:lang w:val="en-GB"/>
        </w:rPr>
        <w:t xml:space="preserve"> </w:t>
      </w:r>
      <w:r w:rsidR="00602A11" w:rsidRPr="00567D26">
        <w:rPr>
          <w:rFonts w:asciiTheme="minorHAnsi" w:hAnsiTheme="minorHAnsi" w:cs="Times New Roman"/>
          <w:b/>
          <w:sz w:val="20"/>
          <w:szCs w:val="20"/>
          <w:lang w:val="en-GB"/>
        </w:rPr>
        <w:t>demographic change</w:t>
      </w:r>
      <w:r w:rsidR="00602A11" w:rsidRPr="00567D26">
        <w:rPr>
          <w:rFonts w:asciiTheme="minorHAnsi" w:hAnsiTheme="minorHAnsi" w:cs="Times New Roman"/>
          <w:sz w:val="20"/>
          <w:szCs w:val="20"/>
          <w:lang w:val="en-GB"/>
        </w:rPr>
        <w:t xml:space="preserve"> and the</w:t>
      </w:r>
      <w:r w:rsidRPr="00567D26">
        <w:rPr>
          <w:rFonts w:asciiTheme="minorHAnsi" w:hAnsiTheme="minorHAnsi" w:cs="Times New Roman"/>
          <w:sz w:val="20"/>
          <w:szCs w:val="20"/>
          <w:lang w:val="en-GB"/>
        </w:rPr>
        <w:t xml:space="preserve"> </w:t>
      </w:r>
      <w:r w:rsidRPr="00567D26">
        <w:rPr>
          <w:rFonts w:asciiTheme="minorHAnsi" w:hAnsiTheme="minorHAnsi" w:cs="Times New Roman"/>
          <w:b/>
          <w:sz w:val="20"/>
          <w:szCs w:val="20"/>
          <w:lang w:val="en-GB"/>
        </w:rPr>
        <w:t>ageing society</w:t>
      </w:r>
      <w:r w:rsidR="00602A11" w:rsidRPr="00567D26">
        <w:rPr>
          <w:rFonts w:asciiTheme="minorHAnsi" w:hAnsiTheme="minorHAnsi" w:cs="Times New Roman"/>
          <w:b/>
          <w:sz w:val="20"/>
          <w:szCs w:val="20"/>
          <w:lang w:val="en-GB"/>
        </w:rPr>
        <w:t>,</w:t>
      </w:r>
      <w:r w:rsidRPr="00567D26">
        <w:rPr>
          <w:rFonts w:asciiTheme="minorHAnsi" w:hAnsiTheme="minorHAnsi" w:cs="Times New Roman"/>
          <w:sz w:val="20"/>
          <w:szCs w:val="20"/>
          <w:lang w:val="en-GB"/>
        </w:rPr>
        <w:t xml:space="preserve"> while the development of </w:t>
      </w:r>
      <w:r w:rsidRPr="00567D26">
        <w:rPr>
          <w:rFonts w:asciiTheme="minorHAnsi" w:hAnsiTheme="minorHAnsi" w:cs="Times New Roman"/>
          <w:b/>
          <w:sz w:val="20"/>
          <w:szCs w:val="20"/>
          <w:lang w:val="en-GB"/>
        </w:rPr>
        <w:t>social infrastructures</w:t>
      </w:r>
      <w:r w:rsidRPr="00567D26">
        <w:rPr>
          <w:rFonts w:asciiTheme="minorHAnsi" w:hAnsiTheme="minorHAnsi" w:cs="Times New Roman"/>
          <w:sz w:val="20"/>
          <w:szCs w:val="20"/>
          <w:lang w:val="en-GB"/>
        </w:rPr>
        <w:t xml:space="preserve"> and </w:t>
      </w:r>
      <w:r w:rsidRPr="00567D26">
        <w:rPr>
          <w:rFonts w:asciiTheme="minorHAnsi" w:hAnsiTheme="minorHAnsi" w:cs="Times New Roman"/>
          <w:b/>
          <w:sz w:val="20"/>
          <w:szCs w:val="20"/>
          <w:lang w:val="en-GB"/>
        </w:rPr>
        <w:t>social and health services</w:t>
      </w:r>
      <w:r w:rsidRPr="00567D26">
        <w:rPr>
          <w:rFonts w:asciiTheme="minorHAnsi" w:hAnsiTheme="minorHAnsi" w:cs="Times New Roman"/>
          <w:sz w:val="20"/>
          <w:szCs w:val="20"/>
          <w:lang w:val="en-GB"/>
        </w:rPr>
        <w:t xml:space="preserve"> such as childcare, hospitals and long-term care residences represents a priority for a large number of MSs, as well as an area for financially rewarding long term social investments, as</w:t>
      </w:r>
      <w:r w:rsidR="004A58C7" w:rsidRPr="00567D26">
        <w:rPr>
          <w:rFonts w:asciiTheme="minorHAnsi" w:hAnsiTheme="minorHAnsi" w:cs="Times New Roman"/>
          <w:sz w:val="20"/>
          <w:szCs w:val="20"/>
          <w:lang w:val="en-GB"/>
        </w:rPr>
        <w:t xml:space="preserve"> many studies clearly evidence</w:t>
      </w:r>
      <w:r w:rsidR="00602A11" w:rsidRPr="00567D26">
        <w:rPr>
          <w:rFonts w:asciiTheme="minorHAnsi" w:hAnsiTheme="minorHAnsi" w:cs="Times New Roman"/>
          <w:sz w:val="20"/>
          <w:szCs w:val="20"/>
          <w:lang w:val="en-GB"/>
        </w:rPr>
        <w:t>;</w:t>
      </w:r>
    </w:p>
    <w:p w:rsidR="00A45730" w:rsidRPr="00567D26" w:rsidRDefault="00725672" w:rsidP="00274AC0">
      <w:pPr>
        <w:pStyle w:val="Odstavecseseznamem"/>
        <w:numPr>
          <w:ilvl w:val="1"/>
          <w:numId w:val="13"/>
        </w:numPr>
        <w:autoSpaceDE w:val="0"/>
        <w:autoSpaceDN w:val="0"/>
        <w:adjustRightInd w:val="0"/>
        <w:spacing w:after="0" w:line="288" w:lineRule="auto"/>
        <w:ind w:left="709"/>
        <w:jc w:val="both"/>
        <w:rPr>
          <w:rFonts w:asciiTheme="minorHAnsi" w:hAnsiTheme="minorHAnsi" w:cs="Times New Roman"/>
          <w:sz w:val="20"/>
          <w:szCs w:val="20"/>
          <w:lang w:val="en-GB"/>
        </w:rPr>
      </w:pPr>
      <w:r w:rsidRPr="00567D26">
        <w:rPr>
          <w:rFonts w:asciiTheme="minorHAnsi" w:hAnsiTheme="minorHAnsi" w:cs="Times New Roman"/>
          <w:b/>
          <w:sz w:val="20"/>
          <w:szCs w:val="20"/>
          <w:lang w:val="en-GB"/>
        </w:rPr>
        <w:t>t</w:t>
      </w:r>
      <w:r w:rsidR="00A45730" w:rsidRPr="00567D26">
        <w:rPr>
          <w:rFonts w:asciiTheme="minorHAnsi" w:hAnsiTheme="minorHAnsi" w:cs="Times New Roman"/>
          <w:b/>
          <w:sz w:val="20"/>
          <w:szCs w:val="20"/>
          <w:lang w:val="en-GB"/>
        </w:rPr>
        <w:t xml:space="preserve">he plan is not playing a prominent role in fighting youth unemployment </w:t>
      </w:r>
      <w:r w:rsidR="00A45730" w:rsidRPr="00567D26">
        <w:rPr>
          <w:rFonts w:asciiTheme="minorHAnsi" w:hAnsiTheme="minorHAnsi" w:cs="Times New Roman"/>
          <w:sz w:val="20"/>
          <w:szCs w:val="20"/>
          <w:lang w:val="en-GB"/>
        </w:rPr>
        <w:t xml:space="preserve">despite this challenge being addressed as an absolute priority of the Commission: none of the projects analysed explicitly mentions this potential added value. </w:t>
      </w:r>
      <w:r w:rsidR="006C6EB2" w:rsidRPr="00567D26">
        <w:rPr>
          <w:rFonts w:asciiTheme="minorHAnsi" w:hAnsiTheme="minorHAnsi" w:cs="Times New Roman"/>
          <w:sz w:val="20"/>
          <w:szCs w:val="20"/>
          <w:lang w:val="en-GB" w:eastAsia="en-US"/>
        </w:rPr>
        <w:t xml:space="preserve">It has to be said that at this concern Europe is highly investing in </w:t>
      </w:r>
      <w:r w:rsidR="00B166EC" w:rsidRPr="00567D26">
        <w:rPr>
          <w:rFonts w:asciiTheme="minorHAnsi" w:hAnsiTheme="minorHAnsi" w:cs="Times New Roman"/>
          <w:sz w:val="20"/>
          <w:szCs w:val="20"/>
          <w:lang w:val="en-GB" w:eastAsia="en-US"/>
        </w:rPr>
        <w:t xml:space="preserve">a </w:t>
      </w:r>
      <w:r w:rsidR="006C6EB2" w:rsidRPr="00567D26">
        <w:rPr>
          <w:rFonts w:asciiTheme="minorHAnsi" w:hAnsiTheme="minorHAnsi" w:cs="Times New Roman"/>
          <w:sz w:val="20"/>
          <w:szCs w:val="20"/>
          <w:lang w:val="en-GB" w:eastAsia="en-US"/>
        </w:rPr>
        <w:t xml:space="preserve">successful specific measures: the </w:t>
      </w:r>
      <w:r w:rsidR="006C6EB2" w:rsidRPr="00567D26">
        <w:rPr>
          <w:rFonts w:asciiTheme="minorHAnsi" w:eastAsia="Times New Roman" w:hAnsiTheme="minorHAnsi" w:cs="Times New Roman"/>
          <w:sz w:val="20"/>
          <w:szCs w:val="20"/>
          <w:lang w:val="en-GB" w:eastAsia="en-US"/>
        </w:rPr>
        <w:t>Youth Guarantee</w:t>
      </w:r>
      <w:r w:rsidR="006C6EB2" w:rsidRPr="00567D26">
        <w:rPr>
          <w:rFonts w:asciiTheme="minorHAnsi" w:hAnsiTheme="minorHAnsi" w:cs="Times New Roman"/>
          <w:sz w:val="20"/>
          <w:szCs w:val="20"/>
          <w:lang w:val="en-GB" w:eastAsia="en-US"/>
        </w:rPr>
        <w:t>.</w:t>
      </w:r>
    </w:p>
    <w:p w:rsidR="00CE5130" w:rsidRPr="00567D26" w:rsidRDefault="00CE5130" w:rsidP="00CE5130">
      <w:pPr>
        <w:pStyle w:val="Odstavecseseznamem"/>
        <w:autoSpaceDE w:val="0"/>
        <w:autoSpaceDN w:val="0"/>
        <w:adjustRightInd w:val="0"/>
        <w:spacing w:after="0" w:line="288" w:lineRule="auto"/>
        <w:jc w:val="both"/>
        <w:rPr>
          <w:rFonts w:asciiTheme="minorHAnsi" w:hAnsiTheme="minorHAnsi" w:cs="Times New Roman"/>
          <w:sz w:val="20"/>
          <w:szCs w:val="20"/>
          <w:lang w:val="en-GB"/>
        </w:rPr>
      </w:pPr>
    </w:p>
    <w:p w:rsidR="00725672" w:rsidRPr="00567D26" w:rsidRDefault="00725672" w:rsidP="00407388">
      <w:pPr>
        <w:keepNext/>
        <w:spacing w:line="288" w:lineRule="auto"/>
        <w:jc w:val="both"/>
        <w:rPr>
          <w:rFonts w:asciiTheme="minorHAnsi" w:hAnsiTheme="minorHAnsi"/>
          <w:sz w:val="20"/>
          <w:szCs w:val="20"/>
          <w:lang w:val="en-GB"/>
        </w:rPr>
      </w:pPr>
      <w:r w:rsidRPr="00567D26">
        <w:rPr>
          <w:rFonts w:asciiTheme="minorHAnsi" w:hAnsiTheme="minorHAnsi"/>
          <w:sz w:val="20"/>
          <w:szCs w:val="20"/>
          <w:lang w:val="en-GB"/>
        </w:rPr>
        <w:t xml:space="preserve">As the analysis of the projects has evidenced, </w:t>
      </w:r>
      <w:r w:rsidRPr="00567D26">
        <w:rPr>
          <w:rFonts w:asciiTheme="minorHAnsi" w:hAnsiTheme="minorHAnsi"/>
          <w:b/>
          <w:sz w:val="20"/>
          <w:szCs w:val="20"/>
          <w:lang w:val="en-GB"/>
        </w:rPr>
        <w:t>IPE only partially tackles a few of the Social Pillars under elaboration</w:t>
      </w:r>
      <w:r w:rsidRPr="00567D26">
        <w:rPr>
          <w:rFonts w:asciiTheme="minorHAnsi" w:hAnsiTheme="minorHAnsi"/>
          <w:sz w:val="20"/>
          <w:szCs w:val="20"/>
          <w:lang w:val="en-GB"/>
        </w:rPr>
        <w:t>, even though IPE could push relevant opportunities to intervene by</w:t>
      </w:r>
      <w:r w:rsidR="001117B2" w:rsidRPr="00567D26">
        <w:rPr>
          <w:rFonts w:asciiTheme="minorHAnsi" w:hAnsiTheme="minorHAnsi"/>
          <w:sz w:val="20"/>
          <w:szCs w:val="20"/>
          <w:lang w:val="en-GB"/>
        </w:rPr>
        <w:t xml:space="preserve"> supporting many of the Pillars:</w:t>
      </w:r>
      <w:r w:rsidRPr="00567D26">
        <w:rPr>
          <w:rFonts w:asciiTheme="minorHAnsi" w:hAnsiTheme="minorHAnsi"/>
          <w:sz w:val="20"/>
          <w:szCs w:val="20"/>
          <w:lang w:val="en-GB"/>
        </w:rPr>
        <w:t xml:space="preserve"> </w:t>
      </w:r>
    </w:p>
    <w:p w:rsidR="00725672" w:rsidRPr="00567D26" w:rsidRDefault="00725672" w:rsidP="001117B2">
      <w:pPr>
        <w:pStyle w:val="Odstavecseseznamem"/>
        <w:numPr>
          <w:ilvl w:val="0"/>
          <w:numId w:val="27"/>
        </w:numPr>
        <w:spacing w:after="0" w:line="288" w:lineRule="auto"/>
        <w:ind w:left="709"/>
        <w:jc w:val="both"/>
        <w:rPr>
          <w:rFonts w:asciiTheme="minorHAnsi" w:hAnsiTheme="minorHAnsi" w:cs="Times New Roman"/>
          <w:sz w:val="20"/>
          <w:szCs w:val="20"/>
          <w:lang w:val="en-GB"/>
        </w:rPr>
      </w:pPr>
      <w:r w:rsidRPr="00567D26">
        <w:rPr>
          <w:rFonts w:asciiTheme="minorHAnsi" w:hAnsiTheme="minorHAnsi" w:cs="Times New Roman"/>
          <w:sz w:val="20"/>
          <w:szCs w:val="20"/>
          <w:lang w:val="en-GB"/>
        </w:rPr>
        <w:t>It could support investments in education and training</w:t>
      </w:r>
      <w:r w:rsidR="00926A9A" w:rsidRPr="00567D26">
        <w:rPr>
          <w:rFonts w:asciiTheme="minorHAnsi" w:hAnsiTheme="minorHAnsi" w:cs="Times New Roman"/>
          <w:sz w:val="20"/>
          <w:szCs w:val="20"/>
          <w:lang w:val="en-GB"/>
        </w:rPr>
        <w:t xml:space="preserve"> </w:t>
      </w:r>
      <w:r w:rsidRPr="00567D26">
        <w:rPr>
          <w:rFonts w:asciiTheme="minorHAnsi" w:hAnsiTheme="minorHAnsi" w:cs="Times New Roman"/>
          <w:sz w:val="20"/>
          <w:szCs w:val="20"/>
          <w:lang w:val="en-GB"/>
        </w:rPr>
        <w:t xml:space="preserve"> (</w:t>
      </w:r>
      <w:r w:rsidR="00926A9A" w:rsidRPr="00567D26">
        <w:rPr>
          <w:rFonts w:asciiTheme="minorHAnsi" w:hAnsiTheme="minorHAnsi" w:cs="Times New Roman"/>
          <w:sz w:val="20"/>
          <w:szCs w:val="20"/>
          <w:lang w:val="en-US"/>
        </w:rPr>
        <w:t>Pillar 1: Skills, education and lifelong learning</w:t>
      </w:r>
      <w:r w:rsidRPr="00567D26">
        <w:rPr>
          <w:rFonts w:asciiTheme="minorHAnsi" w:hAnsiTheme="minorHAnsi" w:cs="Times New Roman"/>
          <w:sz w:val="20"/>
          <w:szCs w:val="20"/>
          <w:lang w:val="en-GB"/>
        </w:rPr>
        <w:t>).</w:t>
      </w:r>
    </w:p>
    <w:p w:rsidR="00725672" w:rsidRPr="00567D26" w:rsidRDefault="00725672" w:rsidP="001117B2">
      <w:pPr>
        <w:pStyle w:val="Odstavecseseznamem"/>
        <w:numPr>
          <w:ilvl w:val="0"/>
          <w:numId w:val="27"/>
        </w:numPr>
        <w:spacing w:after="0" w:line="288" w:lineRule="auto"/>
        <w:ind w:left="709"/>
        <w:jc w:val="both"/>
        <w:rPr>
          <w:rFonts w:asciiTheme="minorHAnsi" w:hAnsiTheme="minorHAnsi" w:cs="Times New Roman"/>
          <w:sz w:val="20"/>
          <w:szCs w:val="20"/>
          <w:lang w:val="en-GB"/>
        </w:rPr>
      </w:pPr>
      <w:r w:rsidRPr="00567D26">
        <w:rPr>
          <w:rFonts w:asciiTheme="minorHAnsi" w:hAnsiTheme="minorHAnsi" w:cs="Times New Roman"/>
          <w:sz w:val="20"/>
          <w:szCs w:val="20"/>
          <w:lang w:val="en-GB"/>
        </w:rPr>
        <w:t>It could be foreseen that projects, to access to the EFSI guarantee or be published on EIPP website, should be assessed in respect of the conditions included in Pillars 2, 7, 8 and 9</w:t>
      </w:r>
      <w:r w:rsidR="00926A9A" w:rsidRPr="00567D26">
        <w:rPr>
          <w:rStyle w:val="Znakapoznpodarou"/>
          <w:rFonts w:asciiTheme="minorHAnsi" w:hAnsiTheme="minorHAnsi" w:cs="Times New Roman"/>
          <w:sz w:val="20"/>
          <w:szCs w:val="20"/>
          <w:lang w:val="en-GB"/>
        </w:rPr>
        <w:footnoteReference w:id="12"/>
      </w:r>
      <w:r w:rsidRPr="00567D26">
        <w:rPr>
          <w:rFonts w:asciiTheme="minorHAnsi" w:hAnsiTheme="minorHAnsi" w:cs="Times New Roman"/>
          <w:sz w:val="20"/>
          <w:szCs w:val="20"/>
          <w:lang w:val="en-GB"/>
        </w:rPr>
        <w:t xml:space="preserve">: only a few projects present, in their brief description, issues referring to these social rights. </w:t>
      </w:r>
    </w:p>
    <w:p w:rsidR="00725672" w:rsidRPr="00567D26" w:rsidRDefault="00725672" w:rsidP="001117B2">
      <w:pPr>
        <w:pStyle w:val="Odstavecseseznamem"/>
        <w:numPr>
          <w:ilvl w:val="0"/>
          <w:numId w:val="27"/>
        </w:numPr>
        <w:spacing w:after="0" w:line="288" w:lineRule="auto"/>
        <w:ind w:left="709"/>
        <w:jc w:val="both"/>
        <w:rPr>
          <w:rFonts w:asciiTheme="minorHAnsi" w:hAnsiTheme="minorHAnsi" w:cs="Times New Roman"/>
          <w:sz w:val="20"/>
          <w:szCs w:val="20"/>
          <w:lang w:val="en-GB"/>
        </w:rPr>
      </w:pPr>
      <w:r w:rsidRPr="00567D26">
        <w:rPr>
          <w:rFonts w:asciiTheme="minorHAnsi" w:hAnsiTheme="minorHAnsi" w:cs="Times New Roman"/>
          <w:sz w:val="20"/>
          <w:szCs w:val="20"/>
          <w:lang w:val="en-GB"/>
        </w:rPr>
        <w:t xml:space="preserve">Ensuring universal access to high-quality healthcare while guaranteeing the financial sustainability of health systems and issues related to the ageing society represent two of the main challenges EU MSs are facing: </w:t>
      </w:r>
      <w:r w:rsidR="00926A9A" w:rsidRPr="00567D26">
        <w:rPr>
          <w:rFonts w:asciiTheme="minorHAnsi" w:hAnsiTheme="minorHAnsi" w:cs="Times New Roman"/>
          <w:sz w:val="20"/>
          <w:szCs w:val="20"/>
          <w:lang w:val="en-GB"/>
        </w:rPr>
        <w:t>a few</w:t>
      </w:r>
      <w:r w:rsidRPr="00567D26">
        <w:rPr>
          <w:rFonts w:asciiTheme="minorHAnsi" w:hAnsiTheme="minorHAnsi" w:cs="Times New Roman"/>
          <w:sz w:val="20"/>
          <w:szCs w:val="20"/>
          <w:lang w:val="en-GB" w:eastAsia="en-US"/>
        </w:rPr>
        <w:t xml:space="preserve"> projects under both EFSI and EIPP have been developed to respond to them (Pillar 12</w:t>
      </w:r>
      <w:r w:rsidR="00926A9A" w:rsidRPr="00567D26">
        <w:rPr>
          <w:rFonts w:asciiTheme="minorHAnsi" w:hAnsiTheme="minorHAnsi" w:cs="Times New Roman"/>
          <w:sz w:val="20"/>
          <w:szCs w:val="20"/>
          <w:lang w:val="en-GB" w:eastAsia="en-US"/>
        </w:rPr>
        <w:t>:</w:t>
      </w:r>
      <w:r w:rsidR="00926A9A" w:rsidRPr="00567D26">
        <w:rPr>
          <w:rFonts w:asciiTheme="minorHAnsi" w:hAnsiTheme="minorHAnsi"/>
          <w:b/>
          <w:sz w:val="20"/>
          <w:szCs w:val="20"/>
          <w:lang w:val="en-US"/>
        </w:rPr>
        <w:t xml:space="preserve"> </w:t>
      </w:r>
      <w:r w:rsidR="00926A9A" w:rsidRPr="00567D26">
        <w:rPr>
          <w:rFonts w:asciiTheme="minorHAnsi" w:hAnsiTheme="minorHAnsi" w:cs="Times New Roman"/>
          <w:sz w:val="20"/>
          <w:szCs w:val="20"/>
          <w:lang w:val="en-US"/>
        </w:rPr>
        <w:t>Healthcare and sickness benefits</w:t>
      </w:r>
      <w:r w:rsidRPr="00567D26">
        <w:rPr>
          <w:rFonts w:asciiTheme="minorHAnsi" w:hAnsiTheme="minorHAnsi" w:cs="Times New Roman"/>
          <w:sz w:val="20"/>
          <w:szCs w:val="20"/>
          <w:lang w:val="en-GB" w:eastAsia="en-US"/>
        </w:rPr>
        <w:t xml:space="preserve">). </w:t>
      </w:r>
    </w:p>
    <w:p w:rsidR="00725672" w:rsidRPr="00567D26" w:rsidRDefault="00725672" w:rsidP="001117B2">
      <w:pPr>
        <w:pStyle w:val="Odstavecseseznamem"/>
        <w:numPr>
          <w:ilvl w:val="0"/>
          <w:numId w:val="27"/>
        </w:numPr>
        <w:spacing w:after="0" w:line="288" w:lineRule="auto"/>
        <w:ind w:left="709"/>
        <w:jc w:val="both"/>
        <w:rPr>
          <w:rFonts w:asciiTheme="minorHAnsi" w:hAnsiTheme="minorHAnsi" w:cs="Times New Roman"/>
          <w:sz w:val="20"/>
          <w:szCs w:val="20"/>
          <w:lang w:val="en-GB"/>
        </w:rPr>
      </w:pPr>
      <w:r w:rsidRPr="00567D26">
        <w:rPr>
          <w:rFonts w:asciiTheme="minorHAnsi" w:hAnsiTheme="minorHAnsi" w:cs="Times New Roman"/>
          <w:sz w:val="20"/>
          <w:szCs w:val="20"/>
          <w:lang w:val="en-GB"/>
        </w:rPr>
        <w:t xml:space="preserve">While Pillar 16 on disability represents a real and conspicuous opportunity to promote private investments as the enhancement of accessibility and mobility in all living spaces (at the workplace, in public spaces, in public offices, in houses, etc.) and is able to mobilise a huge amount of resources, not even one of the EFSI projects has addressed this issue, even where this could be part of the already programmed activity. </w:t>
      </w:r>
    </w:p>
    <w:p w:rsidR="00725672" w:rsidRPr="00567D26" w:rsidRDefault="00725672" w:rsidP="001117B2">
      <w:pPr>
        <w:pStyle w:val="Odstavecseseznamem"/>
        <w:numPr>
          <w:ilvl w:val="0"/>
          <w:numId w:val="27"/>
        </w:numPr>
        <w:spacing w:after="0" w:line="288" w:lineRule="auto"/>
        <w:ind w:left="709"/>
        <w:jc w:val="both"/>
        <w:rPr>
          <w:rFonts w:asciiTheme="minorHAnsi" w:hAnsiTheme="minorHAnsi" w:cs="Times New Roman"/>
          <w:sz w:val="20"/>
          <w:szCs w:val="20"/>
          <w:lang w:val="en-GB"/>
        </w:rPr>
      </w:pPr>
      <w:r w:rsidRPr="00567D26">
        <w:rPr>
          <w:rFonts w:asciiTheme="minorHAnsi" w:hAnsiTheme="minorHAnsi" w:cs="Times New Roman"/>
          <w:sz w:val="20"/>
          <w:szCs w:val="20"/>
          <w:lang w:val="en-GB"/>
        </w:rPr>
        <w:t xml:space="preserve">The same can be said for Pillar 17: Long-term care and Pillar 18: Childcare. These two pillars, as the previous one, represent another conspicuous opportunity to promote private investments to build new infrastructures much needed at EU level, but not even one of the EFSI projects addresses these issues. </w:t>
      </w:r>
    </w:p>
    <w:p w:rsidR="00725672" w:rsidRPr="00567D26" w:rsidRDefault="00725672" w:rsidP="001117B2">
      <w:pPr>
        <w:pStyle w:val="Odstavecseseznamem"/>
        <w:numPr>
          <w:ilvl w:val="0"/>
          <w:numId w:val="27"/>
        </w:numPr>
        <w:spacing w:after="0" w:line="288" w:lineRule="auto"/>
        <w:ind w:left="709"/>
        <w:jc w:val="both"/>
        <w:rPr>
          <w:rFonts w:asciiTheme="minorHAnsi" w:hAnsiTheme="minorHAnsi" w:cs="Times New Roman"/>
          <w:sz w:val="20"/>
          <w:szCs w:val="20"/>
          <w:lang w:val="en-GB"/>
        </w:rPr>
      </w:pPr>
      <w:r w:rsidRPr="00567D26">
        <w:rPr>
          <w:rFonts w:asciiTheme="minorHAnsi" w:hAnsiTheme="minorHAnsi" w:cs="Times New Roman"/>
          <w:sz w:val="20"/>
          <w:szCs w:val="20"/>
          <w:lang w:val="en-GB"/>
        </w:rPr>
        <w:t xml:space="preserve">A few projects tackle more or less directly the accessibility of vulnerable categories, or population in need, to suitable housing through the development of projects promoting social housing (Pillar 19). </w:t>
      </w:r>
    </w:p>
    <w:p w:rsidR="00040A04" w:rsidRPr="00567D26" w:rsidRDefault="00725672" w:rsidP="00834742">
      <w:pPr>
        <w:pStyle w:val="Odstavecseseznamem"/>
        <w:numPr>
          <w:ilvl w:val="0"/>
          <w:numId w:val="27"/>
        </w:numPr>
        <w:spacing w:after="0" w:line="288" w:lineRule="auto"/>
        <w:ind w:left="709"/>
        <w:jc w:val="both"/>
        <w:rPr>
          <w:rFonts w:asciiTheme="minorHAnsi" w:hAnsiTheme="minorHAnsi" w:cs="Times New Roman"/>
          <w:sz w:val="20"/>
          <w:szCs w:val="20"/>
          <w:lang w:val="en-GB"/>
        </w:rPr>
      </w:pPr>
      <w:r w:rsidRPr="00567D26">
        <w:rPr>
          <w:rFonts w:asciiTheme="minorHAnsi" w:hAnsiTheme="minorHAnsi" w:cs="Times New Roman"/>
          <w:sz w:val="20"/>
          <w:szCs w:val="20"/>
          <w:lang w:val="en-GB"/>
        </w:rPr>
        <w:t>In Pillar 20</w:t>
      </w:r>
      <w:r w:rsidR="00254FD8" w:rsidRPr="00567D26">
        <w:rPr>
          <w:rFonts w:asciiTheme="minorHAnsi" w:hAnsiTheme="minorHAnsi" w:cs="Times New Roman"/>
          <w:sz w:val="20"/>
          <w:szCs w:val="20"/>
          <w:lang w:val="en-GB"/>
        </w:rPr>
        <w:t xml:space="preserve"> (</w:t>
      </w:r>
      <w:r w:rsidR="00254FD8" w:rsidRPr="00567D26">
        <w:rPr>
          <w:rFonts w:asciiTheme="minorHAnsi" w:hAnsiTheme="minorHAnsi" w:cs="Times New Roman"/>
          <w:sz w:val="20"/>
          <w:szCs w:val="20"/>
          <w:lang w:val="en-US"/>
        </w:rPr>
        <w:t>Access to essential services)</w:t>
      </w:r>
      <w:r w:rsidR="00254FD8" w:rsidRPr="00567D26">
        <w:rPr>
          <w:rFonts w:asciiTheme="minorHAnsi" w:hAnsiTheme="minorHAnsi" w:cs="Times New Roman"/>
          <w:sz w:val="20"/>
          <w:szCs w:val="20"/>
          <w:lang w:val="en-GB"/>
        </w:rPr>
        <w:t xml:space="preserve"> </w:t>
      </w:r>
      <w:r w:rsidRPr="00567D26">
        <w:rPr>
          <w:rFonts w:asciiTheme="minorHAnsi" w:hAnsiTheme="minorHAnsi" w:cs="Times New Roman"/>
          <w:sz w:val="20"/>
          <w:szCs w:val="20"/>
          <w:lang w:val="en-GB"/>
        </w:rPr>
        <w:t>it is possible to find the wider and more diversified description of potential social effects generated by the projects presented. EFSI projects are intended to deliver social outcomes by enhancing (economic) accessibility to essential services, such as energy and heating savings for households, renovation of public transport vehicles, wider dissemination of communication services (Wi-Fi, broadband and fibre).</w:t>
      </w:r>
    </w:p>
    <w:p w:rsidR="00677A56" w:rsidRPr="00567D26" w:rsidRDefault="00677A56" w:rsidP="00254FD8">
      <w:pPr>
        <w:spacing w:line="288" w:lineRule="auto"/>
        <w:jc w:val="both"/>
        <w:rPr>
          <w:rFonts w:asciiTheme="minorHAnsi" w:hAnsiTheme="minorHAnsi"/>
          <w:sz w:val="20"/>
          <w:szCs w:val="20"/>
          <w:lang w:val="en-GB"/>
        </w:rPr>
      </w:pPr>
    </w:p>
    <w:p w:rsidR="00725672" w:rsidRPr="00567D26" w:rsidRDefault="00725672" w:rsidP="00254FD8">
      <w:pPr>
        <w:spacing w:line="288" w:lineRule="auto"/>
        <w:jc w:val="both"/>
        <w:rPr>
          <w:rFonts w:asciiTheme="minorHAnsi" w:hAnsiTheme="minorHAnsi"/>
          <w:sz w:val="20"/>
          <w:szCs w:val="20"/>
          <w:lang w:val="en-GB"/>
        </w:rPr>
      </w:pPr>
      <w:r w:rsidRPr="00567D26">
        <w:rPr>
          <w:rFonts w:asciiTheme="minorHAnsi" w:hAnsiTheme="minorHAnsi"/>
          <w:sz w:val="20"/>
          <w:szCs w:val="20"/>
          <w:lang w:val="en-GB"/>
        </w:rPr>
        <w:t>A</w:t>
      </w:r>
      <w:r w:rsidR="00834742" w:rsidRPr="00567D26">
        <w:rPr>
          <w:rFonts w:asciiTheme="minorHAnsi" w:hAnsiTheme="minorHAnsi"/>
          <w:sz w:val="20"/>
          <w:szCs w:val="20"/>
          <w:lang w:val="en-GB"/>
        </w:rPr>
        <w:t xml:space="preserve">nother relevant issue concerns </w:t>
      </w:r>
      <w:r w:rsidR="00834742" w:rsidRPr="00567D26">
        <w:rPr>
          <w:rFonts w:asciiTheme="minorHAnsi" w:hAnsiTheme="minorHAnsi"/>
          <w:b/>
          <w:sz w:val="20"/>
          <w:szCs w:val="20"/>
          <w:lang w:val="en-GB"/>
        </w:rPr>
        <w:t>jobs creation</w:t>
      </w:r>
      <w:r w:rsidR="00834742" w:rsidRPr="00567D26">
        <w:rPr>
          <w:rFonts w:asciiTheme="minorHAnsi" w:hAnsiTheme="minorHAnsi"/>
          <w:sz w:val="20"/>
          <w:szCs w:val="20"/>
          <w:lang w:val="en-GB"/>
        </w:rPr>
        <w:t>. A</w:t>
      </w:r>
      <w:r w:rsidRPr="00567D26">
        <w:rPr>
          <w:rFonts w:asciiTheme="minorHAnsi" w:hAnsiTheme="minorHAnsi"/>
          <w:sz w:val="20"/>
          <w:szCs w:val="20"/>
          <w:lang w:val="en-GB"/>
        </w:rPr>
        <w:t xml:space="preserve">t the beginning of the implementation phase Jyrki Katainen, the Commissioner for Growth and Jobs, in a debate (26/1/2015) with the Economic and Monetary Affairs Committee stated that his expectation was that </w:t>
      </w:r>
      <w:r w:rsidRPr="00567D26">
        <w:rPr>
          <w:rFonts w:asciiTheme="minorHAnsi" w:hAnsiTheme="minorHAnsi"/>
          <w:b/>
          <w:sz w:val="20"/>
          <w:szCs w:val="20"/>
          <w:lang w:val="en-GB"/>
        </w:rPr>
        <w:t>the</w:t>
      </w:r>
      <w:r w:rsidRPr="00567D26">
        <w:rPr>
          <w:rFonts w:asciiTheme="minorHAnsi" w:hAnsiTheme="minorHAnsi"/>
          <w:sz w:val="20"/>
          <w:szCs w:val="20"/>
          <w:lang w:val="en-GB"/>
        </w:rPr>
        <w:t xml:space="preserve"> </w:t>
      </w:r>
      <w:r w:rsidRPr="00567D26">
        <w:rPr>
          <w:rFonts w:asciiTheme="minorHAnsi" w:hAnsiTheme="minorHAnsi"/>
          <w:b/>
          <w:sz w:val="20"/>
          <w:szCs w:val="20"/>
          <w:lang w:val="en-GB"/>
        </w:rPr>
        <w:t>plan would create 1.3 million jobs</w:t>
      </w:r>
      <w:r w:rsidRPr="00567D26">
        <w:rPr>
          <w:rFonts w:asciiTheme="minorHAnsi" w:hAnsiTheme="minorHAnsi"/>
          <w:sz w:val="20"/>
          <w:szCs w:val="20"/>
          <w:lang w:val="en-GB"/>
        </w:rPr>
        <w:t xml:space="preserve">. Data available at this stage of </w:t>
      </w:r>
      <w:r w:rsidRPr="00567D26">
        <w:rPr>
          <w:rFonts w:asciiTheme="minorHAnsi" w:hAnsiTheme="minorHAnsi"/>
          <w:sz w:val="20"/>
          <w:szCs w:val="20"/>
          <w:lang w:val="en-GB"/>
        </w:rPr>
        <w:lastRenderedPageBreak/>
        <w:t xml:space="preserve">implementation are not able to justify such a prevision: </w:t>
      </w:r>
      <w:r w:rsidR="000736BF" w:rsidRPr="00567D26">
        <w:rPr>
          <w:rFonts w:asciiTheme="minorHAnsi" w:hAnsiTheme="minorHAnsi"/>
          <w:sz w:val="20"/>
          <w:szCs w:val="20"/>
          <w:lang w:val="en-GB"/>
        </w:rPr>
        <w:t>at the end of September according to EU Commission Interim report</w:t>
      </w:r>
      <w:r w:rsidR="000736BF" w:rsidRPr="00567D26">
        <w:rPr>
          <w:rStyle w:val="Znakapoznpodarou"/>
          <w:rFonts w:asciiTheme="minorHAnsi" w:hAnsiTheme="minorHAnsi"/>
          <w:sz w:val="20"/>
          <w:szCs w:val="20"/>
          <w:lang w:val="en-GB"/>
        </w:rPr>
        <w:footnoteReference w:id="13"/>
      </w:r>
      <w:r w:rsidR="000736BF" w:rsidRPr="00567D26">
        <w:rPr>
          <w:rFonts w:asciiTheme="minorHAnsi" w:hAnsiTheme="minorHAnsi"/>
          <w:sz w:val="20"/>
          <w:szCs w:val="20"/>
          <w:lang w:val="en-GB"/>
        </w:rPr>
        <w:t xml:space="preserve"> </w:t>
      </w:r>
      <w:r w:rsidR="009F5BA5" w:rsidRPr="00567D26">
        <w:rPr>
          <w:rFonts w:asciiTheme="minorHAnsi" w:hAnsiTheme="minorHAnsi"/>
          <w:sz w:val="20"/>
          <w:szCs w:val="20"/>
          <w:lang w:val="en-GB"/>
        </w:rPr>
        <w:t xml:space="preserve">new jobs created were about 100 </w:t>
      </w:r>
      <w:r w:rsidR="000736BF" w:rsidRPr="00567D26">
        <w:rPr>
          <w:rFonts w:asciiTheme="minorHAnsi" w:hAnsiTheme="minorHAnsi"/>
          <w:sz w:val="20"/>
          <w:szCs w:val="20"/>
          <w:lang w:val="en-GB"/>
        </w:rPr>
        <w:t>000</w:t>
      </w:r>
      <w:r w:rsidR="009F5BA5" w:rsidRPr="00567D26">
        <w:rPr>
          <w:rFonts w:asciiTheme="minorHAnsi" w:hAnsiTheme="minorHAnsi"/>
          <w:sz w:val="20"/>
          <w:szCs w:val="20"/>
          <w:lang w:val="en-GB"/>
        </w:rPr>
        <w:t>. T</w:t>
      </w:r>
      <w:r w:rsidRPr="00567D26">
        <w:rPr>
          <w:rFonts w:asciiTheme="minorHAnsi" w:hAnsiTheme="minorHAnsi"/>
          <w:sz w:val="20"/>
          <w:szCs w:val="20"/>
          <w:lang w:val="en-GB" w:eastAsia="en-US"/>
        </w:rPr>
        <w:t>he creation of new jobs</w:t>
      </w:r>
      <w:r w:rsidR="009F5BA5" w:rsidRPr="00567D26">
        <w:rPr>
          <w:rFonts w:asciiTheme="minorHAnsi" w:hAnsiTheme="minorHAnsi"/>
          <w:sz w:val="20"/>
          <w:szCs w:val="20"/>
          <w:lang w:val="en-GB" w:eastAsia="en-US"/>
        </w:rPr>
        <w:t xml:space="preserve"> in fact</w:t>
      </w:r>
      <w:r w:rsidRPr="00567D26">
        <w:rPr>
          <w:rFonts w:asciiTheme="minorHAnsi" w:hAnsiTheme="minorHAnsi"/>
          <w:sz w:val="20"/>
          <w:szCs w:val="20"/>
          <w:lang w:val="en-GB" w:eastAsia="en-US"/>
        </w:rPr>
        <w:t xml:space="preserve"> is barely mentioned in the synthesis of the projects, as if it were not the first and more relevant outcome expected by the Juncker Plan, worthy of mention to facilitate the assessment of the expected project impact by EIB. Moreover, in a few cases </w:t>
      </w:r>
      <w:r w:rsidRPr="00567D26">
        <w:rPr>
          <w:rFonts w:asciiTheme="minorHAnsi" w:hAnsiTheme="minorHAnsi"/>
          <w:b/>
          <w:sz w:val="20"/>
          <w:szCs w:val="20"/>
          <w:lang w:val="en-GB" w:eastAsia="en-US"/>
        </w:rPr>
        <w:t>it is</w:t>
      </w:r>
      <w:r w:rsidRPr="00567D26">
        <w:rPr>
          <w:rFonts w:asciiTheme="minorHAnsi" w:hAnsiTheme="minorHAnsi"/>
          <w:sz w:val="20"/>
          <w:szCs w:val="20"/>
          <w:lang w:val="en-GB" w:eastAsia="en-US"/>
        </w:rPr>
        <w:t xml:space="preserve"> </w:t>
      </w:r>
      <w:r w:rsidRPr="00567D26">
        <w:rPr>
          <w:rFonts w:asciiTheme="minorHAnsi" w:hAnsiTheme="minorHAnsi"/>
          <w:b/>
          <w:sz w:val="20"/>
          <w:szCs w:val="20"/>
          <w:lang w:val="en-GB" w:eastAsia="en-US"/>
        </w:rPr>
        <w:t>explicitly mentioned that the project will have no impact on this concern</w:t>
      </w:r>
      <w:r w:rsidRPr="00567D26">
        <w:rPr>
          <w:rFonts w:asciiTheme="minorHAnsi" w:hAnsiTheme="minorHAnsi"/>
          <w:sz w:val="20"/>
          <w:szCs w:val="20"/>
          <w:lang w:val="en-GB" w:eastAsia="en-US"/>
        </w:rPr>
        <w:t xml:space="preserve"> as it is not expected to promote new employment. </w:t>
      </w:r>
    </w:p>
    <w:p w:rsidR="00725672" w:rsidRPr="00567D26" w:rsidRDefault="00725672" w:rsidP="00725672">
      <w:pPr>
        <w:pStyle w:val="Odstavecseseznamem"/>
        <w:spacing w:after="0" w:line="288" w:lineRule="auto"/>
        <w:jc w:val="both"/>
        <w:rPr>
          <w:rFonts w:asciiTheme="minorHAnsi" w:hAnsiTheme="minorHAnsi" w:cs="Times New Roman"/>
          <w:sz w:val="20"/>
          <w:szCs w:val="20"/>
          <w:lang w:val="en-GB"/>
        </w:rPr>
      </w:pPr>
    </w:p>
    <w:p w:rsidR="00834742" w:rsidRPr="00567D26" w:rsidRDefault="00834742" w:rsidP="00834742">
      <w:pPr>
        <w:spacing w:line="288" w:lineRule="auto"/>
        <w:jc w:val="both"/>
        <w:rPr>
          <w:rFonts w:asciiTheme="minorHAnsi" w:hAnsiTheme="minorHAnsi"/>
          <w:sz w:val="20"/>
          <w:szCs w:val="20"/>
          <w:lang w:val="en-GB" w:eastAsia="en-US"/>
        </w:rPr>
      </w:pPr>
      <w:r w:rsidRPr="00567D26">
        <w:rPr>
          <w:rFonts w:asciiTheme="minorHAnsi" w:hAnsiTheme="minorHAnsi"/>
          <w:sz w:val="20"/>
          <w:szCs w:val="20"/>
          <w:lang w:val="en-GB" w:eastAsia="en-US"/>
        </w:rPr>
        <w:t xml:space="preserve">A positive outcome of </w:t>
      </w:r>
      <w:r w:rsidR="00725672" w:rsidRPr="00567D26">
        <w:rPr>
          <w:rFonts w:asciiTheme="minorHAnsi" w:hAnsiTheme="minorHAnsi"/>
          <w:sz w:val="20"/>
          <w:szCs w:val="20"/>
          <w:lang w:val="en-GB" w:eastAsia="en-US"/>
        </w:rPr>
        <w:t xml:space="preserve">the Plan </w:t>
      </w:r>
      <w:r w:rsidRPr="00567D26">
        <w:rPr>
          <w:rFonts w:asciiTheme="minorHAnsi" w:hAnsiTheme="minorHAnsi"/>
          <w:sz w:val="20"/>
          <w:szCs w:val="20"/>
          <w:lang w:val="en-GB" w:eastAsia="en-US"/>
        </w:rPr>
        <w:t>concerns</w:t>
      </w:r>
      <w:r w:rsidRPr="00567D26">
        <w:rPr>
          <w:rFonts w:asciiTheme="minorHAnsi" w:hAnsiTheme="minorHAnsi"/>
          <w:b/>
          <w:sz w:val="20"/>
          <w:szCs w:val="20"/>
          <w:lang w:val="en-GB" w:eastAsia="en-US"/>
        </w:rPr>
        <w:t xml:space="preserve"> the relevant role it is playing </w:t>
      </w:r>
      <w:r w:rsidR="00725672" w:rsidRPr="00567D26">
        <w:rPr>
          <w:rFonts w:asciiTheme="minorHAnsi" w:hAnsiTheme="minorHAnsi"/>
          <w:b/>
          <w:sz w:val="20"/>
          <w:szCs w:val="20"/>
          <w:lang w:val="en-GB" w:eastAsia="en-US"/>
        </w:rPr>
        <w:t>in promoting social entrepreneurship</w:t>
      </w:r>
      <w:r w:rsidR="00725672" w:rsidRPr="00567D26">
        <w:rPr>
          <w:rFonts w:asciiTheme="minorHAnsi" w:hAnsiTheme="minorHAnsi"/>
          <w:sz w:val="20"/>
          <w:szCs w:val="20"/>
          <w:lang w:val="en-GB" w:eastAsia="en-US"/>
        </w:rPr>
        <w:t xml:space="preserve">. </w:t>
      </w:r>
      <w:r w:rsidR="00725672" w:rsidRPr="00567D26">
        <w:rPr>
          <w:rFonts w:asciiTheme="minorHAnsi" w:hAnsiTheme="minorHAnsi"/>
          <w:sz w:val="20"/>
          <w:szCs w:val="20"/>
          <w:lang w:val="en-GB"/>
        </w:rPr>
        <w:t>According</w:t>
      </w:r>
      <w:r w:rsidR="00725672" w:rsidRPr="00567D26">
        <w:rPr>
          <w:rFonts w:asciiTheme="minorHAnsi" w:hAnsiTheme="minorHAnsi"/>
          <w:sz w:val="20"/>
          <w:szCs w:val="20"/>
          <w:lang w:val="en-GB" w:eastAsia="en-US"/>
        </w:rPr>
        <w:t xml:space="preserve"> to the European Commission Communication</w:t>
      </w:r>
      <w:r w:rsidR="00725672" w:rsidRPr="00567D26">
        <w:rPr>
          <w:rFonts w:asciiTheme="minorHAnsi" w:hAnsiTheme="minorHAnsi"/>
          <w:sz w:val="20"/>
          <w:szCs w:val="20"/>
          <w:lang w:val="en-GB"/>
        </w:rPr>
        <w:t xml:space="preserve"> COM(2016) 359 final</w:t>
      </w:r>
      <w:r w:rsidR="00725672" w:rsidRPr="00567D26">
        <w:rPr>
          <w:rStyle w:val="Znakapoznpodarou"/>
          <w:rFonts w:asciiTheme="minorHAnsi" w:hAnsiTheme="minorHAnsi"/>
          <w:sz w:val="20"/>
          <w:szCs w:val="20"/>
          <w:lang w:val="en-GB" w:eastAsia="en-US"/>
        </w:rPr>
        <w:footnoteReference w:id="14"/>
      </w:r>
      <w:r w:rsidR="00725672" w:rsidRPr="00567D26">
        <w:rPr>
          <w:rFonts w:asciiTheme="minorHAnsi" w:hAnsiTheme="minorHAnsi"/>
          <w:sz w:val="20"/>
          <w:szCs w:val="20"/>
          <w:lang w:val="en-GB" w:eastAsia="en-US"/>
        </w:rPr>
        <w:t xml:space="preserve"> the EFSI is supporting the European Investment Fund (EIF) </w:t>
      </w:r>
      <w:r w:rsidR="00725672" w:rsidRPr="00567D26">
        <w:rPr>
          <w:rFonts w:asciiTheme="minorHAnsi" w:hAnsiTheme="minorHAnsi"/>
          <w:b/>
          <w:sz w:val="20"/>
          <w:szCs w:val="20"/>
          <w:lang w:val="en-GB" w:eastAsia="en-US"/>
        </w:rPr>
        <w:t>to help exceptional numbers of European SMEs to access finance</w:t>
      </w:r>
      <w:r w:rsidR="00725672" w:rsidRPr="00567D26">
        <w:rPr>
          <w:rFonts w:asciiTheme="minorHAnsi" w:hAnsiTheme="minorHAnsi"/>
          <w:sz w:val="20"/>
          <w:szCs w:val="20"/>
          <w:lang w:val="en-GB" w:eastAsia="en-US"/>
        </w:rPr>
        <w:t xml:space="preserve">. Under SMEW it has introduced provisions (by advancing funding) intended to push programmes previously launched but which found difficulties in their initial phase and lagged behind. </w:t>
      </w:r>
    </w:p>
    <w:p w:rsidR="001E242B" w:rsidRPr="00567D26" w:rsidRDefault="001E242B" w:rsidP="00834742">
      <w:pPr>
        <w:spacing w:line="288" w:lineRule="auto"/>
        <w:jc w:val="both"/>
        <w:rPr>
          <w:rFonts w:asciiTheme="minorHAnsi" w:hAnsiTheme="minorHAnsi"/>
          <w:sz w:val="20"/>
          <w:szCs w:val="20"/>
          <w:lang w:val="en-GB"/>
        </w:rPr>
      </w:pPr>
    </w:p>
    <w:p w:rsidR="00386DCE" w:rsidRPr="00567D26" w:rsidRDefault="00386DCE" w:rsidP="00407388">
      <w:pPr>
        <w:pStyle w:val="Nadpis2"/>
        <w:keepNext/>
        <w:rPr>
          <w:rFonts w:asciiTheme="minorHAnsi" w:hAnsiTheme="minorHAnsi"/>
          <w:sz w:val="20"/>
          <w:szCs w:val="20"/>
        </w:rPr>
      </w:pPr>
      <w:bookmarkStart w:id="6" w:name="_Toc467849886"/>
      <w:r w:rsidRPr="00567D26">
        <w:rPr>
          <w:rFonts w:asciiTheme="minorHAnsi" w:hAnsiTheme="minorHAnsi"/>
          <w:sz w:val="20"/>
          <w:szCs w:val="20"/>
        </w:rPr>
        <w:t>Governance of the Plan</w:t>
      </w:r>
      <w:bookmarkEnd w:id="6"/>
      <w:r w:rsidRPr="00567D26">
        <w:rPr>
          <w:rFonts w:asciiTheme="minorHAnsi" w:hAnsiTheme="minorHAnsi"/>
          <w:sz w:val="20"/>
          <w:szCs w:val="20"/>
        </w:rPr>
        <w:t xml:space="preserve"> </w:t>
      </w:r>
    </w:p>
    <w:p w:rsidR="00386DCE" w:rsidRPr="00567D26" w:rsidRDefault="00386DCE" w:rsidP="00386DCE">
      <w:pPr>
        <w:autoSpaceDE w:val="0"/>
        <w:autoSpaceDN w:val="0"/>
        <w:adjustRightInd w:val="0"/>
        <w:spacing w:line="288" w:lineRule="auto"/>
        <w:jc w:val="both"/>
        <w:rPr>
          <w:rFonts w:asciiTheme="minorHAnsi" w:hAnsiTheme="minorHAnsi"/>
          <w:sz w:val="20"/>
          <w:szCs w:val="20"/>
          <w:lang w:val="en-GB"/>
        </w:rPr>
      </w:pPr>
      <w:r w:rsidRPr="00567D26">
        <w:rPr>
          <w:rFonts w:asciiTheme="minorHAnsi" w:hAnsiTheme="minorHAnsi"/>
          <w:b/>
          <w:sz w:val="20"/>
          <w:szCs w:val="20"/>
          <w:lang w:val="en-GB"/>
        </w:rPr>
        <w:t>The EFSI</w:t>
      </w:r>
      <w:r w:rsidRPr="00567D26">
        <w:rPr>
          <w:rFonts w:asciiTheme="minorHAnsi" w:hAnsiTheme="minorHAnsi"/>
          <w:sz w:val="20"/>
          <w:szCs w:val="20"/>
          <w:lang w:val="en-GB"/>
        </w:rPr>
        <w:t xml:space="preserve"> </w:t>
      </w:r>
      <w:r w:rsidRPr="00567D26">
        <w:rPr>
          <w:rFonts w:asciiTheme="minorHAnsi" w:hAnsiTheme="minorHAnsi"/>
          <w:b/>
          <w:sz w:val="20"/>
          <w:szCs w:val="20"/>
          <w:lang w:val="en-GB"/>
        </w:rPr>
        <w:t>governance and implementation mechanisms do not facilitate long-term social investments</w:t>
      </w:r>
      <w:r w:rsidRPr="00567D26">
        <w:rPr>
          <w:rFonts w:asciiTheme="minorHAnsi" w:hAnsiTheme="minorHAnsi"/>
          <w:sz w:val="20"/>
          <w:szCs w:val="20"/>
          <w:lang w:val="en-GB"/>
        </w:rPr>
        <w:t xml:space="preserve"> and the involvement of social investors. The EFSI is demand driven and the EIB performs its standard due diligence in respect of any proposed EFSI operations, to determine the project’s eligibility, mobilisation of private capital and consistency with Union policies as well as its economic, technical and financial viability. However, there are no requirements for mainstreaming social inclusion and accessibility criteria</w:t>
      </w:r>
      <w:r w:rsidR="00C13BC1" w:rsidRPr="00567D26">
        <w:rPr>
          <w:rFonts w:asciiTheme="minorHAnsi" w:hAnsiTheme="minorHAnsi"/>
          <w:sz w:val="20"/>
          <w:szCs w:val="20"/>
          <w:lang w:val="en-GB"/>
        </w:rPr>
        <w:t xml:space="preserve"> and no geographical or sector</w:t>
      </w:r>
      <w:r w:rsidRPr="00567D26">
        <w:rPr>
          <w:rFonts w:asciiTheme="minorHAnsi" w:hAnsiTheme="minorHAnsi"/>
          <w:sz w:val="20"/>
          <w:szCs w:val="20"/>
          <w:lang w:val="en-GB"/>
        </w:rPr>
        <w:t>al allocation criteria or quotas are envisaged for the most deprived areas or the most employment-creating investments. In addition, the shift from the use of grants to the use of financial instruments (as for the EFSI, but also the greater use of these instruments in the ESI Funds) is likely to penalise investments in social infrastructures and services which are not providing an immediate economic return to private investors.</w:t>
      </w:r>
    </w:p>
    <w:p w:rsidR="00C13BC1" w:rsidRPr="00567D26" w:rsidRDefault="00C13BC1" w:rsidP="00C13BC1">
      <w:pPr>
        <w:spacing w:line="288" w:lineRule="auto"/>
        <w:jc w:val="both"/>
        <w:rPr>
          <w:rFonts w:asciiTheme="minorHAnsi" w:hAnsiTheme="minorHAnsi"/>
          <w:sz w:val="20"/>
          <w:szCs w:val="20"/>
          <w:lang w:val="en-GB"/>
        </w:rPr>
      </w:pPr>
      <w:r w:rsidRPr="00567D26">
        <w:rPr>
          <w:rFonts w:asciiTheme="minorHAnsi" w:eastAsiaTheme="minorEastAsia" w:hAnsiTheme="minorHAnsi"/>
          <w:sz w:val="20"/>
          <w:szCs w:val="20"/>
          <w:lang w:val="en-GB"/>
        </w:rPr>
        <w:t xml:space="preserve">At this concern it is to be noted </w:t>
      </w:r>
      <w:r w:rsidRPr="00567D26">
        <w:rPr>
          <w:rFonts w:asciiTheme="minorHAnsi" w:eastAsiaTheme="minorEastAsia" w:hAnsiTheme="minorHAnsi"/>
          <w:b/>
          <w:sz w:val="20"/>
          <w:szCs w:val="20"/>
          <w:lang w:val="en-GB"/>
        </w:rPr>
        <w:t>t</w:t>
      </w:r>
      <w:r w:rsidRPr="00567D26">
        <w:rPr>
          <w:rFonts w:asciiTheme="minorHAnsi" w:hAnsiTheme="minorHAnsi"/>
          <w:b/>
          <w:sz w:val="20"/>
          <w:szCs w:val="20"/>
          <w:lang w:val="en-GB"/>
        </w:rPr>
        <w:t>he lack of connection between Juncker’s plan and EU Cohesion Policy Programmes.</w:t>
      </w:r>
      <w:r w:rsidRPr="00567D26">
        <w:rPr>
          <w:rFonts w:asciiTheme="minorHAnsi" w:hAnsiTheme="minorHAnsi"/>
          <w:sz w:val="20"/>
          <w:szCs w:val="20"/>
          <w:lang w:val="en-GB"/>
        </w:rPr>
        <w:t xml:space="preserve"> </w:t>
      </w:r>
      <w:r w:rsidRPr="00567D26">
        <w:rPr>
          <w:rFonts w:asciiTheme="minorHAnsi" w:hAnsiTheme="minorHAnsi"/>
          <w:sz w:val="20"/>
          <w:szCs w:val="20"/>
          <w:lang w:val="en-GB" w:eastAsia="en-US"/>
        </w:rPr>
        <w:t>Different</w:t>
      </w:r>
      <w:r w:rsidRPr="00567D26">
        <w:rPr>
          <w:rFonts w:asciiTheme="minorHAnsi" w:hAnsiTheme="minorHAnsi"/>
          <w:sz w:val="20"/>
          <w:szCs w:val="20"/>
          <w:lang w:val="en-GB"/>
        </w:rPr>
        <w:t xml:space="preserve"> stakeholders evidence the lack of synergies or interaction between the different European funding tools, considering this as a potential obstacle able to significantly reduce the effectiveness of the investment</w:t>
      </w:r>
      <w:r w:rsidRPr="00567D26">
        <w:rPr>
          <w:rFonts w:asciiTheme="minorHAnsi" w:hAnsiTheme="minorHAnsi"/>
          <w:sz w:val="20"/>
          <w:szCs w:val="20"/>
          <w:vertAlign w:val="superscript"/>
          <w:lang w:val="en-GB"/>
        </w:rPr>
        <w:footnoteReference w:id="15"/>
      </w:r>
      <w:r w:rsidRPr="00567D26">
        <w:rPr>
          <w:rFonts w:asciiTheme="minorHAnsi" w:hAnsiTheme="minorHAnsi"/>
          <w:sz w:val="20"/>
          <w:szCs w:val="20"/>
          <w:lang w:val="en-GB"/>
        </w:rPr>
        <w:t>.</w:t>
      </w:r>
    </w:p>
    <w:p w:rsidR="00C13BC1" w:rsidRPr="00567D26" w:rsidRDefault="00C13BC1" w:rsidP="00386DCE">
      <w:pPr>
        <w:spacing w:line="288" w:lineRule="auto"/>
        <w:jc w:val="both"/>
        <w:rPr>
          <w:rFonts w:asciiTheme="minorHAnsi" w:hAnsiTheme="minorHAnsi"/>
          <w:sz w:val="20"/>
          <w:szCs w:val="20"/>
          <w:lang w:val="en-GB"/>
        </w:rPr>
      </w:pPr>
    </w:p>
    <w:p w:rsidR="00FA745F" w:rsidRPr="00567D26" w:rsidRDefault="00FA745F" w:rsidP="00FA745F">
      <w:pPr>
        <w:spacing w:line="288" w:lineRule="auto"/>
        <w:contextualSpacing/>
        <w:jc w:val="both"/>
        <w:rPr>
          <w:rFonts w:asciiTheme="minorHAnsi" w:hAnsiTheme="minorHAnsi"/>
          <w:sz w:val="20"/>
          <w:szCs w:val="20"/>
          <w:lang w:val="en-GB"/>
        </w:rPr>
      </w:pPr>
      <w:r w:rsidRPr="00567D26">
        <w:rPr>
          <w:rFonts w:asciiTheme="minorHAnsi" w:eastAsiaTheme="minorEastAsia" w:hAnsiTheme="minorHAnsi"/>
          <w:sz w:val="20"/>
          <w:szCs w:val="20"/>
          <w:lang w:val="en-GB"/>
        </w:rPr>
        <w:t xml:space="preserve">In terms of </w:t>
      </w:r>
      <w:r w:rsidRPr="00567D26">
        <w:rPr>
          <w:rFonts w:asciiTheme="minorHAnsi" w:eastAsiaTheme="minorEastAsia" w:hAnsiTheme="minorHAnsi"/>
          <w:b/>
          <w:sz w:val="20"/>
          <w:szCs w:val="20"/>
          <w:lang w:val="en-GB"/>
        </w:rPr>
        <w:t>territorial distribution of investments</w:t>
      </w:r>
      <w:r w:rsidRPr="00567D26">
        <w:rPr>
          <w:rFonts w:asciiTheme="minorHAnsi" w:eastAsiaTheme="minorEastAsia" w:hAnsiTheme="minorHAnsi"/>
          <w:sz w:val="20"/>
          <w:szCs w:val="20"/>
          <w:lang w:val="en-GB"/>
        </w:rPr>
        <w:t xml:space="preserve"> after one year SMEW and IIW together were concentrated in the EU15 (92 %), and under-serve</w:t>
      </w:r>
      <w:r w:rsidR="001E242B" w:rsidRPr="00567D26">
        <w:rPr>
          <w:rFonts w:asciiTheme="minorHAnsi" w:eastAsiaTheme="minorEastAsia" w:hAnsiTheme="minorHAnsi"/>
          <w:sz w:val="20"/>
          <w:szCs w:val="20"/>
          <w:lang w:val="en-GB"/>
        </w:rPr>
        <w:t>d</w:t>
      </w:r>
      <w:r w:rsidRPr="00567D26">
        <w:rPr>
          <w:rFonts w:asciiTheme="minorHAnsi" w:eastAsiaTheme="minorEastAsia" w:hAnsiTheme="minorHAnsi"/>
          <w:sz w:val="20"/>
          <w:szCs w:val="20"/>
          <w:lang w:val="en-GB"/>
        </w:rPr>
        <w:t xml:space="preserve"> the EU13 (8 %), but most of the less-developed regions in Europe are found in the EU13’s Central and Eastern European countries. According to a more updated </w:t>
      </w:r>
      <w:r w:rsidRPr="00567D26">
        <w:rPr>
          <w:rFonts w:asciiTheme="minorHAnsi" w:hAnsiTheme="minorHAnsi"/>
          <w:sz w:val="20"/>
          <w:szCs w:val="20"/>
          <w:lang w:val="en-GB"/>
        </w:rPr>
        <w:t>statistic provided by EC and EIB,</w:t>
      </w:r>
      <w:r w:rsidRPr="00567D26">
        <w:rPr>
          <w:rFonts w:asciiTheme="minorHAnsi" w:eastAsiaTheme="minorEastAsia" w:hAnsiTheme="minorHAnsi"/>
          <w:sz w:val="20"/>
          <w:szCs w:val="20"/>
          <w:lang w:val="en-GB"/>
        </w:rPr>
        <w:t xml:space="preserve"> for </w:t>
      </w:r>
      <w:r w:rsidRPr="00567D26">
        <w:rPr>
          <w:rFonts w:asciiTheme="minorHAnsi" w:hAnsiTheme="minorHAnsi"/>
          <w:b/>
          <w:sz w:val="20"/>
          <w:szCs w:val="20"/>
          <w:lang w:val="en-GB"/>
        </w:rPr>
        <w:t>EFSI-SMEW,</w:t>
      </w:r>
      <w:r w:rsidRPr="00567D26">
        <w:rPr>
          <w:rFonts w:asciiTheme="minorHAnsi" w:hAnsiTheme="minorHAnsi"/>
          <w:sz w:val="20"/>
          <w:szCs w:val="20"/>
          <w:lang w:val="en-GB"/>
        </w:rPr>
        <w:t xml:space="preserve"> in total amount, Italy, Spain, Germany and France appear by far the most significant beneficiaries, but when considering the amount of support by inhabitant it appears that some of the smallest countries are actually those most benefitted by EFSI SMEW support. The same can be said concerning </w:t>
      </w:r>
      <w:r w:rsidRPr="00567D26">
        <w:rPr>
          <w:rFonts w:asciiTheme="minorHAnsi" w:hAnsiTheme="minorHAnsi"/>
          <w:b/>
          <w:sz w:val="20"/>
          <w:szCs w:val="20"/>
          <w:lang w:val="en-GB"/>
        </w:rPr>
        <w:t xml:space="preserve">EFSI-IIW projects: </w:t>
      </w:r>
      <w:r w:rsidRPr="00567D26">
        <w:rPr>
          <w:rFonts w:asciiTheme="minorHAnsi" w:hAnsiTheme="minorHAnsi"/>
          <w:sz w:val="20"/>
          <w:szCs w:val="20"/>
          <w:lang w:val="en-GB"/>
        </w:rPr>
        <w:t>20 EU MSs out of 28 have at least one project.</w:t>
      </w:r>
      <w:r w:rsidRPr="00567D26">
        <w:rPr>
          <w:rFonts w:asciiTheme="minorHAnsi" w:hAnsiTheme="minorHAnsi"/>
          <w:sz w:val="20"/>
          <w:szCs w:val="20"/>
          <w:lang w:val="en-GB" w:eastAsia="en-US"/>
        </w:rPr>
        <w:t xml:space="preserve"> Countries with the highest number of projects submitted are France (23), Spain (19), Italy (15), UK (14), Germany (10), all among the biggest countries of the EU, and Portugal (10). T</w:t>
      </w:r>
      <w:r w:rsidRPr="00567D26">
        <w:rPr>
          <w:rFonts w:asciiTheme="minorHAnsi" w:hAnsiTheme="minorHAnsi"/>
          <w:sz w:val="20"/>
          <w:szCs w:val="20"/>
          <w:lang w:val="en-GB"/>
        </w:rPr>
        <w:t xml:space="preserve">he smallest EU countries and some of the eastern countries have no projects: this is the case for 8 countries (Bulgaria, Cyprus, Estonia, Hungary, Latvia, Luxembourg, Malta and Slovenia). A part from them according to </w:t>
      </w:r>
      <w:r w:rsidRPr="00567D26">
        <w:rPr>
          <w:rFonts w:asciiTheme="minorHAnsi" w:hAnsiTheme="minorHAnsi"/>
          <w:i/>
          <w:sz w:val="20"/>
          <w:szCs w:val="20"/>
          <w:lang w:val="en-GB"/>
        </w:rPr>
        <w:t>EFSI stakeholders consultation</w:t>
      </w:r>
      <w:r w:rsidRPr="00567D26">
        <w:rPr>
          <w:rStyle w:val="Znakapoznpodarou"/>
          <w:rFonts w:asciiTheme="minorHAnsi" w:hAnsiTheme="minorHAnsi"/>
          <w:i/>
          <w:sz w:val="20"/>
          <w:szCs w:val="20"/>
          <w:lang w:val="en-GB"/>
        </w:rPr>
        <w:footnoteReference w:id="16"/>
      </w:r>
      <w:r w:rsidRPr="00567D26">
        <w:rPr>
          <w:rFonts w:asciiTheme="minorHAnsi" w:hAnsiTheme="minorHAnsi"/>
          <w:sz w:val="20"/>
          <w:szCs w:val="20"/>
          <w:lang w:val="en-GB"/>
        </w:rPr>
        <w:t xml:space="preserve"> considering EFSI support and investment mobilised per capita or with respect to GDP ‘it is clear that smaller MSs benefitted to the same extent as larger Member States’. </w:t>
      </w:r>
    </w:p>
    <w:p w:rsidR="00D47A8F" w:rsidRPr="00567D26" w:rsidRDefault="00FA745F" w:rsidP="00FA745F">
      <w:pPr>
        <w:spacing w:line="288" w:lineRule="auto"/>
        <w:contextualSpacing/>
        <w:jc w:val="both"/>
        <w:rPr>
          <w:rFonts w:asciiTheme="minorHAnsi" w:hAnsiTheme="minorHAnsi"/>
          <w:sz w:val="20"/>
          <w:szCs w:val="20"/>
          <w:lang w:val="en-GB"/>
        </w:rPr>
      </w:pPr>
      <w:r w:rsidRPr="00567D26">
        <w:rPr>
          <w:rFonts w:asciiTheme="minorHAnsi" w:hAnsiTheme="minorHAnsi"/>
          <w:sz w:val="20"/>
          <w:szCs w:val="20"/>
          <w:lang w:val="en-GB"/>
        </w:rPr>
        <w:lastRenderedPageBreak/>
        <w:t xml:space="preserve">According to various positions the problem is that the Plan does not ensure that more funds will be invested in countries with the greatest needs and experiencing a difficult economic situation </w:t>
      </w:r>
      <w:r w:rsidR="0097329D" w:rsidRPr="00567D26">
        <w:rPr>
          <w:rFonts w:asciiTheme="minorHAnsi" w:hAnsiTheme="minorHAnsi"/>
          <w:sz w:val="20"/>
          <w:szCs w:val="20"/>
          <w:lang w:val="en-GB"/>
        </w:rPr>
        <w:t>(ETUC</w:t>
      </w:r>
      <w:r w:rsidR="0097329D" w:rsidRPr="00567D26">
        <w:rPr>
          <w:rFonts w:asciiTheme="minorHAnsi" w:hAnsiTheme="minorHAnsi"/>
          <w:sz w:val="20"/>
          <w:szCs w:val="20"/>
          <w:vertAlign w:val="superscript"/>
          <w:lang w:val="en-GB"/>
        </w:rPr>
        <w:footnoteReference w:id="17"/>
      </w:r>
      <w:r w:rsidR="0097329D" w:rsidRPr="00567D26">
        <w:rPr>
          <w:rFonts w:asciiTheme="minorHAnsi" w:hAnsiTheme="minorHAnsi"/>
          <w:sz w:val="20"/>
          <w:szCs w:val="20"/>
          <w:lang w:val="en-GB"/>
        </w:rPr>
        <w:t>)</w:t>
      </w:r>
      <w:r w:rsidR="000134C5" w:rsidRPr="00567D26">
        <w:rPr>
          <w:rFonts w:asciiTheme="minorHAnsi" w:hAnsiTheme="minorHAnsi"/>
          <w:sz w:val="20"/>
          <w:szCs w:val="20"/>
          <w:lang w:val="en-GB"/>
        </w:rPr>
        <w:t>. According to CEEP</w:t>
      </w:r>
      <w:r w:rsidR="000134C5" w:rsidRPr="00567D26">
        <w:rPr>
          <w:rFonts w:asciiTheme="minorHAnsi" w:hAnsiTheme="minorHAnsi"/>
          <w:sz w:val="20"/>
          <w:szCs w:val="20"/>
          <w:vertAlign w:val="superscript"/>
          <w:lang w:val="en-GB"/>
        </w:rPr>
        <w:footnoteReference w:id="18"/>
      </w:r>
      <w:r w:rsidR="000134C5" w:rsidRPr="00567D26">
        <w:rPr>
          <w:rFonts w:asciiTheme="minorHAnsi" w:hAnsiTheme="minorHAnsi"/>
          <w:sz w:val="20"/>
          <w:szCs w:val="20"/>
          <w:lang w:val="en-GB"/>
        </w:rPr>
        <w:t xml:space="preserve"> the investments largely benefit high-income countries, which could easily do without European aid. According to OSE-ETUI investment risks to be ‘biased towards projects offering quick financial returns and towards countries free from the constraints of the Stability and Growth Pact or, if already covered by Eurozone rules, facing the smallest budget difficulties’</w:t>
      </w:r>
      <w:r w:rsidR="000134C5" w:rsidRPr="00567D26">
        <w:rPr>
          <w:rFonts w:asciiTheme="minorHAnsi" w:hAnsiTheme="minorHAnsi"/>
          <w:sz w:val="20"/>
          <w:szCs w:val="20"/>
          <w:vertAlign w:val="superscript"/>
          <w:lang w:val="en-GB"/>
        </w:rPr>
        <w:footnoteReference w:id="19"/>
      </w:r>
      <w:r w:rsidR="000134C5" w:rsidRPr="00567D26">
        <w:rPr>
          <w:rFonts w:asciiTheme="minorHAnsi" w:hAnsiTheme="minorHAnsi"/>
          <w:sz w:val="20"/>
          <w:szCs w:val="20"/>
          <w:lang w:val="en-GB"/>
        </w:rPr>
        <w:t>. As Natali and Vanhercke suggest, the Juncker plan misses a unique benefit from a plan coordinated at the European level, which is that it can bring investment to countries that need it the most, raising finance from private investors who will be able to trust an EU-level institution</w:t>
      </w:r>
      <w:r w:rsidR="000134C5" w:rsidRPr="00567D26">
        <w:rPr>
          <w:rFonts w:asciiTheme="minorHAnsi" w:hAnsiTheme="minorHAnsi"/>
          <w:sz w:val="20"/>
          <w:szCs w:val="20"/>
          <w:vertAlign w:val="superscript"/>
          <w:lang w:val="en-GB"/>
        </w:rPr>
        <w:footnoteReference w:id="20"/>
      </w:r>
      <w:r w:rsidR="000134C5" w:rsidRPr="00567D26">
        <w:rPr>
          <w:rFonts w:asciiTheme="minorHAnsi" w:hAnsiTheme="minorHAnsi"/>
          <w:sz w:val="20"/>
          <w:szCs w:val="20"/>
          <w:lang w:val="en-GB"/>
        </w:rPr>
        <w:t>.</w:t>
      </w:r>
    </w:p>
    <w:p w:rsidR="00D47A8F" w:rsidRPr="00567D26" w:rsidRDefault="00D47A8F" w:rsidP="0097329D">
      <w:pPr>
        <w:autoSpaceDE w:val="0"/>
        <w:autoSpaceDN w:val="0"/>
        <w:adjustRightInd w:val="0"/>
        <w:spacing w:line="288" w:lineRule="auto"/>
        <w:jc w:val="both"/>
        <w:rPr>
          <w:rFonts w:asciiTheme="minorHAnsi" w:hAnsiTheme="minorHAnsi"/>
          <w:sz w:val="20"/>
          <w:szCs w:val="20"/>
          <w:lang w:val="en-GB"/>
        </w:rPr>
      </w:pPr>
      <w:r w:rsidRPr="00567D26">
        <w:rPr>
          <w:rFonts w:asciiTheme="minorHAnsi" w:hAnsiTheme="minorHAnsi"/>
          <w:sz w:val="20"/>
          <w:szCs w:val="20"/>
          <w:lang w:val="en-GB"/>
        </w:rPr>
        <w:t xml:space="preserve">EFSI 2.0 has considered this weakness and has introduced corrections for the future. </w:t>
      </w:r>
    </w:p>
    <w:p w:rsidR="00D47A8F" w:rsidRPr="00567D26" w:rsidRDefault="00D47A8F" w:rsidP="00D47A8F">
      <w:pPr>
        <w:autoSpaceDE w:val="0"/>
        <w:autoSpaceDN w:val="0"/>
        <w:adjustRightInd w:val="0"/>
        <w:spacing w:line="288" w:lineRule="auto"/>
        <w:jc w:val="both"/>
        <w:rPr>
          <w:rFonts w:asciiTheme="minorHAnsi" w:hAnsiTheme="minorHAnsi"/>
          <w:sz w:val="20"/>
          <w:szCs w:val="20"/>
          <w:lang w:val="en-GB"/>
        </w:rPr>
      </w:pPr>
    </w:p>
    <w:p w:rsidR="00CE5130" w:rsidRPr="00567D26" w:rsidRDefault="00A45730" w:rsidP="00884440">
      <w:pPr>
        <w:spacing w:line="288" w:lineRule="auto"/>
        <w:jc w:val="both"/>
        <w:rPr>
          <w:rFonts w:asciiTheme="minorHAnsi" w:hAnsiTheme="minorHAnsi"/>
          <w:sz w:val="20"/>
          <w:szCs w:val="20"/>
          <w:lang w:val="en-GB"/>
        </w:rPr>
      </w:pPr>
      <w:r w:rsidRPr="00567D26">
        <w:rPr>
          <w:rFonts w:asciiTheme="minorHAnsi" w:hAnsiTheme="minorHAnsi"/>
          <w:sz w:val="20"/>
          <w:szCs w:val="20"/>
          <w:lang w:val="en-GB"/>
        </w:rPr>
        <w:t xml:space="preserve">One of the </w:t>
      </w:r>
      <w:r w:rsidR="009B77A4" w:rsidRPr="00567D26">
        <w:rPr>
          <w:rFonts w:asciiTheme="minorHAnsi" w:hAnsiTheme="minorHAnsi"/>
          <w:sz w:val="20"/>
          <w:szCs w:val="20"/>
          <w:lang w:val="en-GB"/>
        </w:rPr>
        <w:t>weaknesses</w:t>
      </w:r>
      <w:r w:rsidRPr="00567D26">
        <w:rPr>
          <w:rFonts w:asciiTheme="minorHAnsi" w:hAnsiTheme="minorHAnsi"/>
          <w:sz w:val="20"/>
          <w:szCs w:val="20"/>
          <w:lang w:val="en-GB"/>
        </w:rPr>
        <w:t xml:space="preserve"> that emerged in all evaluations analysed is that one of the key points of the EFSI, the </w:t>
      </w:r>
      <w:r w:rsidRPr="00567D26">
        <w:rPr>
          <w:rFonts w:asciiTheme="minorHAnsi" w:hAnsiTheme="minorHAnsi"/>
          <w:b/>
          <w:sz w:val="20"/>
          <w:szCs w:val="20"/>
          <w:lang w:val="en-GB"/>
        </w:rPr>
        <w:t>additionality</w:t>
      </w:r>
      <w:r w:rsidRPr="00567D26">
        <w:rPr>
          <w:rFonts w:asciiTheme="minorHAnsi" w:hAnsiTheme="minorHAnsi"/>
          <w:sz w:val="20"/>
          <w:szCs w:val="20"/>
          <w:lang w:val="en-GB"/>
        </w:rPr>
        <w:t xml:space="preserve">, has not been complied with completely. The EFSI fund should support riskier investment situations or ‘market failures’: ‘There is a general concern that additionality is not being sufficiently observed and delivered via EFSI; therefore, in future it needs to be strengthened and systematically communicated.’ According to the </w:t>
      </w:r>
      <w:r w:rsidRPr="00567D26">
        <w:rPr>
          <w:rFonts w:asciiTheme="minorHAnsi" w:hAnsiTheme="minorHAnsi"/>
          <w:i/>
          <w:sz w:val="20"/>
          <w:szCs w:val="20"/>
          <w:lang w:val="en-GB"/>
        </w:rPr>
        <w:t>EFSI stakeholders consultation</w:t>
      </w:r>
      <w:r w:rsidRPr="00567D26">
        <w:rPr>
          <w:rStyle w:val="Znakapoznpodarou"/>
          <w:rFonts w:asciiTheme="minorHAnsi" w:hAnsiTheme="minorHAnsi"/>
          <w:sz w:val="20"/>
          <w:szCs w:val="20"/>
          <w:lang w:val="en-GB"/>
        </w:rPr>
        <w:footnoteReference w:id="21"/>
      </w:r>
      <w:r w:rsidRPr="00567D26">
        <w:rPr>
          <w:rFonts w:asciiTheme="minorHAnsi" w:hAnsiTheme="minorHAnsi"/>
          <w:sz w:val="20"/>
          <w:szCs w:val="20"/>
          <w:lang w:val="en-GB"/>
        </w:rPr>
        <w:t xml:space="preserve"> the </w:t>
      </w:r>
      <w:r w:rsidRPr="00567D26">
        <w:rPr>
          <w:rFonts w:asciiTheme="minorHAnsi" w:hAnsiTheme="minorHAnsi"/>
          <w:b/>
          <w:sz w:val="20"/>
          <w:szCs w:val="20"/>
          <w:lang w:val="en-GB"/>
        </w:rPr>
        <w:t>education</w:t>
      </w:r>
      <w:r w:rsidRPr="00567D26">
        <w:rPr>
          <w:rFonts w:asciiTheme="minorHAnsi" w:hAnsiTheme="minorHAnsi"/>
          <w:sz w:val="20"/>
          <w:szCs w:val="20"/>
          <w:lang w:val="en-GB"/>
        </w:rPr>
        <w:t xml:space="preserve">, </w:t>
      </w:r>
      <w:r w:rsidRPr="00567D26">
        <w:rPr>
          <w:rFonts w:asciiTheme="minorHAnsi" w:hAnsiTheme="minorHAnsi"/>
          <w:b/>
          <w:sz w:val="20"/>
          <w:szCs w:val="20"/>
          <w:lang w:val="en-GB"/>
        </w:rPr>
        <w:t>health and culture sectors seem to be more challenging in this respect, as the projects in these sectors are less bankable</w:t>
      </w:r>
      <w:r w:rsidRPr="00567D26">
        <w:rPr>
          <w:rFonts w:asciiTheme="minorHAnsi" w:hAnsiTheme="minorHAnsi"/>
          <w:sz w:val="20"/>
          <w:szCs w:val="20"/>
          <w:lang w:val="en-GB"/>
        </w:rPr>
        <w:t xml:space="preserve"> but </w:t>
      </w:r>
      <w:r w:rsidR="00386DCE" w:rsidRPr="00567D26">
        <w:rPr>
          <w:rFonts w:asciiTheme="minorHAnsi" w:hAnsiTheme="minorHAnsi"/>
          <w:sz w:val="20"/>
          <w:szCs w:val="20"/>
          <w:lang w:val="en-GB"/>
        </w:rPr>
        <w:t>‘</w:t>
      </w:r>
      <w:r w:rsidRPr="00567D26">
        <w:rPr>
          <w:rFonts w:asciiTheme="minorHAnsi" w:hAnsiTheme="minorHAnsi"/>
          <w:sz w:val="20"/>
          <w:szCs w:val="20"/>
          <w:lang w:val="en-GB"/>
        </w:rPr>
        <w:t>most probably will continue to be under-invested in Member States with tight budget constraints, although the EIB will continue its efforts in identifying promoters with economically viable projects in these sectors</w:t>
      </w:r>
      <w:r w:rsidR="00386DCE" w:rsidRPr="00567D26">
        <w:rPr>
          <w:rFonts w:asciiTheme="minorHAnsi" w:hAnsiTheme="minorHAnsi"/>
          <w:sz w:val="20"/>
          <w:szCs w:val="20"/>
          <w:lang w:val="en-GB"/>
        </w:rPr>
        <w:t>’</w:t>
      </w:r>
      <w:r w:rsidRPr="00567D26">
        <w:rPr>
          <w:rFonts w:asciiTheme="minorHAnsi" w:hAnsiTheme="minorHAnsi"/>
          <w:sz w:val="20"/>
          <w:szCs w:val="20"/>
          <w:lang w:val="en-GB"/>
        </w:rPr>
        <w:t>.</w:t>
      </w:r>
    </w:p>
    <w:p w:rsidR="00C13BC1" w:rsidRPr="00567D26" w:rsidRDefault="00C13BC1" w:rsidP="00407388">
      <w:pPr>
        <w:pStyle w:val="Nadpis1"/>
        <w:keepNext/>
        <w:rPr>
          <w:rFonts w:asciiTheme="minorHAnsi" w:hAnsiTheme="minorHAnsi"/>
          <w:sz w:val="20"/>
          <w:szCs w:val="20"/>
        </w:rPr>
      </w:pPr>
      <w:bookmarkStart w:id="7" w:name="_Toc467849887"/>
      <w:r w:rsidRPr="00567D26">
        <w:rPr>
          <w:rFonts w:asciiTheme="minorHAnsi" w:hAnsiTheme="minorHAnsi"/>
          <w:sz w:val="20"/>
          <w:szCs w:val="20"/>
        </w:rPr>
        <w:t>Conclusions</w:t>
      </w:r>
      <w:r w:rsidR="007F3498" w:rsidRPr="00567D26">
        <w:rPr>
          <w:rFonts w:asciiTheme="minorHAnsi" w:hAnsiTheme="minorHAnsi"/>
          <w:sz w:val="20"/>
          <w:szCs w:val="20"/>
        </w:rPr>
        <w:t xml:space="preserve"> and Recommendations</w:t>
      </w:r>
      <w:bookmarkEnd w:id="7"/>
    </w:p>
    <w:p w:rsidR="00040A04" w:rsidRPr="00567D26" w:rsidRDefault="00040A04" w:rsidP="00CE5130">
      <w:pPr>
        <w:autoSpaceDE w:val="0"/>
        <w:autoSpaceDN w:val="0"/>
        <w:adjustRightInd w:val="0"/>
        <w:spacing w:line="288" w:lineRule="auto"/>
        <w:jc w:val="both"/>
        <w:rPr>
          <w:rFonts w:asciiTheme="minorHAnsi" w:hAnsiTheme="minorHAnsi"/>
          <w:sz w:val="20"/>
          <w:szCs w:val="20"/>
          <w:lang w:val="en-GB"/>
        </w:rPr>
      </w:pPr>
      <w:r w:rsidRPr="00567D26">
        <w:rPr>
          <w:rFonts w:asciiTheme="minorHAnsi" w:hAnsiTheme="minorHAnsi"/>
          <w:sz w:val="20"/>
          <w:szCs w:val="20"/>
          <w:lang w:val="en-GB"/>
        </w:rPr>
        <w:t xml:space="preserve">Much more could have been achieved and is expected for the future from the IPE in terms of social potential impact. </w:t>
      </w:r>
      <w:r w:rsidRPr="00567D26">
        <w:rPr>
          <w:rFonts w:asciiTheme="minorHAnsi" w:eastAsia="MS Gothic" w:hAnsiTheme="minorHAnsi"/>
          <w:sz w:val="20"/>
          <w:szCs w:val="20"/>
          <w:lang w:val="en-GB"/>
        </w:rPr>
        <w:t xml:space="preserve">The recent Commission Communication </w:t>
      </w:r>
      <w:r w:rsidRPr="00567D26">
        <w:rPr>
          <w:rFonts w:asciiTheme="minorHAnsi" w:eastAsia="MS Gothic" w:hAnsiTheme="minorHAnsi"/>
          <w:i/>
          <w:sz w:val="20"/>
          <w:szCs w:val="20"/>
          <w:lang w:val="en-GB"/>
        </w:rPr>
        <w:t>Europe investing again</w:t>
      </w:r>
      <w:r w:rsidRPr="00567D26">
        <w:rPr>
          <w:rFonts w:asciiTheme="minorHAnsi" w:eastAsia="MS Gothic" w:hAnsiTheme="minorHAnsi"/>
          <w:sz w:val="20"/>
          <w:szCs w:val="20"/>
          <w:lang w:val="en-GB"/>
        </w:rPr>
        <w:t xml:space="preserve"> highlights that ‘</w:t>
      </w:r>
      <w:r w:rsidRPr="00567D26">
        <w:rPr>
          <w:rFonts w:asciiTheme="minorHAnsi" w:hAnsiTheme="minorHAnsi"/>
          <w:sz w:val="20"/>
          <w:szCs w:val="20"/>
          <w:lang w:val="en-GB"/>
        </w:rPr>
        <w:t xml:space="preserve">The mechanisms of the Investment Plan work and must be reinforced to continue the mobilisation of private investments </w:t>
      </w:r>
      <w:r w:rsidRPr="00567D26">
        <w:rPr>
          <w:rFonts w:asciiTheme="minorHAnsi" w:hAnsiTheme="minorHAnsi"/>
          <w:b/>
          <w:sz w:val="20"/>
          <w:szCs w:val="20"/>
          <w:lang w:val="en-GB"/>
        </w:rPr>
        <w:t>in sectors critical to Europe’s future</w:t>
      </w:r>
      <w:r w:rsidRPr="00567D26">
        <w:rPr>
          <w:rFonts w:asciiTheme="minorHAnsi" w:hAnsiTheme="minorHAnsi"/>
          <w:sz w:val="20"/>
          <w:szCs w:val="20"/>
          <w:lang w:val="en-GB"/>
        </w:rPr>
        <w:t xml:space="preserve"> and where market failures remain. This includes investments in the areas of [...] </w:t>
      </w:r>
      <w:r w:rsidRPr="00567D26">
        <w:rPr>
          <w:rFonts w:asciiTheme="minorHAnsi" w:hAnsiTheme="minorHAnsi"/>
          <w:b/>
          <w:sz w:val="20"/>
          <w:szCs w:val="20"/>
          <w:lang w:val="en-GB"/>
        </w:rPr>
        <w:t>social and human capital and related infrastructure, healthcare,</w:t>
      </w:r>
      <w:r w:rsidRPr="00567D26">
        <w:rPr>
          <w:rFonts w:asciiTheme="minorHAnsi" w:hAnsiTheme="minorHAnsi"/>
          <w:sz w:val="20"/>
          <w:szCs w:val="20"/>
          <w:lang w:val="en-GB"/>
        </w:rPr>
        <w:t xml:space="preserve"> research and innovation [...]’.</w:t>
      </w:r>
    </w:p>
    <w:p w:rsidR="00C13BC1" w:rsidRPr="00567D26" w:rsidRDefault="00C13BC1" w:rsidP="00CE5130">
      <w:pPr>
        <w:autoSpaceDE w:val="0"/>
        <w:autoSpaceDN w:val="0"/>
        <w:adjustRightInd w:val="0"/>
        <w:spacing w:line="288" w:lineRule="auto"/>
        <w:jc w:val="both"/>
        <w:rPr>
          <w:rFonts w:asciiTheme="minorHAnsi" w:hAnsiTheme="minorHAnsi"/>
          <w:sz w:val="20"/>
          <w:szCs w:val="20"/>
          <w:lang w:val="en-GB"/>
        </w:rPr>
      </w:pPr>
    </w:p>
    <w:p w:rsidR="00040A04" w:rsidRPr="00567D26" w:rsidRDefault="00040A04" w:rsidP="00040A04">
      <w:pPr>
        <w:spacing w:line="288" w:lineRule="auto"/>
        <w:jc w:val="both"/>
        <w:rPr>
          <w:rFonts w:asciiTheme="minorHAnsi" w:hAnsiTheme="minorHAnsi"/>
          <w:sz w:val="20"/>
          <w:szCs w:val="20"/>
          <w:lang w:val="en-GB"/>
        </w:rPr>
      </w:pPr>
      <w:r w:rsidRPr="00567D26">
        <w:rPr>
          <w:rFonts w:asciiTheme="minorHAnsi" w:hAnsiTheme="minorHAnsi"/>
          <w:b/>
          <w:sz w:val="20"/>
          <w:szCs w:val="20"/>
          <w:lang w:val="en-GB"/>
        </w:rPr>
        <w:t xml:space="preserve">The EFSI II Window </w:t>
      </w:r>
      <w:r w:rsidRPr="00567D26">
        <w:rPr>
          <w:rFonts w:asciiTheme="minorHAnsi" w:hAnsiTheme="minorHAnsi"/>
          <w:sz w:val="20"/>
          <w:szCs w:val="20"/>
          <w:lang w:val="en-GB"/>
        </w:rPr>
        <w:t>does not appear able to deliver similar relevant outcomes. It could tackle the most relevant societal challenges affecting Europe, but it hasn’t been enough developed in this direction and, according to the experts interviewed, it should not be expected to. The analysis produced shows that only a few of the projects signed, approved or under approval pay specific attention to societal challenges</w:t>
      </w:r>
      <w:r w:rsidR="00C13BC1" w:rsidRPr="00567D26">
        <w:rPr>
          <w:rFonts w:asciiTheme="minorHAnsi" w:hAnsiTheme="minorHAnsi"/>
          <w:sz w:val="20"/>
          <w:szCs w:val="20"/>
          <w:lang w:val="en-GB"/>
        </w:rPr>
        <w:t>: g</w:t>
      </w:r>
      <w:r w:rsidRPr="00567D26">
        <w:rPr>
          <w:rFonts w:asciiTheme="minorHAnsi" w:hAnsiTheme="minorHAnsi"/>
          <w:sz w:val="20"/>
          <w:szCs w:val="20"/>
          <w:lang w:val="en-GB"/>
        </w:rPr>
        <w:t>rowth is pursued through the exploiting of energy resources, the development of RDI, and transport. Also, within the 15 projects promoting social infrastructures only a few appear to have a strong potential social impact.</w:t>
      </w:r>
    </w:p>
    <w:p w:rsidR="00040A04" w:rsidRPr="00567D26" w:rsidRDefault="00040A04" w:rsidP="00040A04">
      <w:pPr>
        <w:spacing w:line="288" w:lineRule="auto"/>
        <w:jc w:val="both"/>
        <w:rPr>
          <w:rFonts w:asciiTheme="minorHAnsi" w:hAnsiTheme="minorHAnsi"/>
          <w:sz w:val="20"/>
          <w:szCs w:val="20"/>
          <w:lang w:val="en-GB"/>
        </w:rPr>
      </w:pPr>
    </w:p>
    <w:p w:rsidR="001E242B" w:rsidRPr="00567D26" w:rsidRDefault="001E242B" w:rsidP="001E242B">
      <w:pPr>
        <w:spacing w:line="288" w:lineRule="auto"/>
        <w:jc w:val="both"/>
        <w:rPr>
          <w:rFonts w:asciiTheme="minorHAnsi" w:hAnsiTheme="minorHAnsi"/>
          <w:sz w:val="20"/>
          <w:szCs w:val="20"/>
          <w:lang w:val="en-GB"/>
        </w:rPr>
      </w:pPr>
      <w:r w:rsidRPr="00567D26">
        <w:rPr>
          <w:rFonts w:asciiTheme="minorHAnsi" w:hAnsiTheme="minorHAnsi"/>
          <w:b/>
          <w:sz w:val="20"/>
          <w:szCs w:val="20"/>
          <w:lang w:val="en-GB" w:eastAsia="en-US"/>
        </w:rPr>
        <w:t>SMEW</w:t>
      </w:r>
      <w:r w:rsidRPr="00567D26">
        <w:rPr>
          <w:rFonts w:asciiTheme="minorHAnsi" w:hAnsiTheme="minorHAnsi"/>
          <w:sz w:val="20"/>
          <w:szCs w:val="20"/>
          <w:lang w:val="en-GB" w:eastAsia="en-US"/>
        </w:rPr>
        <w:t xml:space="preserve"> </w:t>
      </w:r>
      <w:r w:rsidRPr="00567D26">
        <w:rPr>
          <w:rFonts w:asciiTheme="minorHAnsi" w:hAnsiTheme="minorHAnsi"/>
          <w:b/>
          <w:sz w:val="20"/>
          <w:szCs w:val="20"/>
          <w:lang w:val="en-GB" w:eastAsia="en-US"/>
        </w:rPr>
        <w:t>seems to be the tool intended to promote growth with the highest potential to deliver relevant social effects, considering its expected role in promoting social entrepreneurship and to develop the social economy</w:t>
      </w:r>
      <w:r w:rsidRPr="00567D26">
        <w:rPr>
          <w:rFonts w:asciiTheme="minorHAnsi" w:hAnsiTheme="minorHAnsi"/>
          <w:sz w:val="20"/>
          <w:szCs w:val="20"/>
          <w:lang w:val="en-GB" w:eastAsia="en-US"/>
        </w:rPr>
        <w:t>. T</w:t>
      </w:r>
      <w:r w:rsidRPr="00567D26">
        <w:rPr>
          <w:rFonts w:asciiTheme="minorHAnsi" w:hAnsiTheme="minorHAnsi"/>
          <w:sz w:val="20"/>
          <w:szCs w:val="20"/>
          <w:lang w:val="en-GB"/>
        </w:rPr>
        <w:t>he EUR 116 billion in investments in its first year of operation have benefitted more than 200 000 small and medium-sized enterprises (SMEs)</w:t>
      </w:r>
      <w:r w:rsidRPr="00567D26">
        <w:rPr>
          <w:rStyle w:val="Znakapoznpodarou"/>
          <w:rFonts w:asciiTheme="minorHAnsi" w:hAnsiTheme="minorHAnsi"/>
          <w:sz w:val="20"/>
          <w:szCs w:val="20"/>
          <w:lang w:val="en-GB"/>
        </w:rPr>
        <w:footnoteReference w:id="22"/>
      </w:r>
      <w:r w:rsidRPr="00567D26">
        <w:rPr>
          <w:rFonts w:asciiTheme="minorHAnsi" w:hAnsiTheme="minorHAnsi"/>
          <w:sz w:val="20"/>
          <w:szCs w:val="20"/>
          <w:lang w:val="en-GB"/>
        </w:rPr>
        <w:t xml:space="preserve">. </w:t>
      </w:r>
    </w:p>
    <w:p w:rsidR="001E242B" w:rsidRPr="00567D26" w:rsidRDefault="001E242B" w:rsidP="00040A04">
      <w:pPr>
        <w:spacing w:line="288" w:lineRule="auto"/>
        <w:jc w:val="both"/>
        <w:rPr>
          <w:rFonts w:asciiTheme="minorHAnsi" w:hAnsiTheme="minorHAnsi"/>
          <w:sz w:val="20"/>
          <w:szCs w:val="20"/>
          <w:lang w:val="en-GB"/>
        </w:rPr>
      </w:pPr>
    </w:p>
    <w:p w:rsidR="00040A04" w:rsidRPr="00567D26" w:rsidRDefault="00040A04" w:rsidP="00040A04">
      <w:pPr>
        <w:spacing w:line="288" w:lineRule="auto"/>
        <w:jc w:val="both"/>
        <w:rPr>
          <w:rFonts w:asciiTheme="minorHAnsi" w:hAnsiTheme="minorHAnsi"/>
          <w:sz w:val="20"/>
          <w:szCs w:val="20"/>
          <w:lang w:val="en-GB"/>
        </w:rPr>
      </w:pPr>
      <w:r w:rsidRPr="00567D26">
        <w:rPr>
          <w:rFonts w:asciiTheme="minorHAnsi" w:hAnsiTheme="minorHAnsi"/>
          <w:b/>
          <w:sz w:val="20"/>
          <w:szCs w:val="20"/>
          <w:lang w:val="en-GB"/>
        </w:rPr>
        <w:lastRenderedPageBreak/>
        <w:t xml:space="preserve">The EIPP </w:t>
      </w:r>
      <w:r w:rsidRPr="00567D26">
        <w:rPr>
          <w:rFonts w:asciiTheme="minorHAnsi" w:hAnsiTheme="minorHAnsi"/>
          <w:sz w:val="20"/>
          <w:szCs w:val="20"/>
          <w:lang w:val="en-GB"/>
        </w:rPr>
        <w:t>is no more than a meeting point where (mainly) PPP projects looking for additional private investors/funders can be presented. It allows a boost to the visibility of projects for a large network of international investors. In this way viable projects can more easily find an investor willing to support a good project. Several interesting projects are present and have been described in the</w:t>
      </w:r>
      <w:r w:rsidR="00C13BC1" w:rsidRPr="00567D26">
        <w:rPr>
          <w:rFonts w:asciiTheme="minorHAnsi" w:hAnsiTheme="minorHAnsi"/>
          <w:sz w:val="20"/>
          <w:szCs w:val="20"/>
          <w:lang w:val="en-GB"/>
        </w:rPr>
        <w:t xml:space="preserve"> report</w:t>
      </w:r>
      <w:r w:rsidRPr="00567D26">
        <w:rPr>
          <w:rFonts w:asciiTheme="minorHAnsi" w:hAnsiTheme="minorHAnsi"/>
          <w:sz w:val="20"/>
          <w:szCs w:val="20"/>
          <w:lang w:val="en-GB"/>
        </w:rPr>
        <w:t>, some of them with a potential for interesting social impact. However, up to now no information is available on the return of the initiative.</w:t>
      </w:r>
    </w:p>
    <w:p w:rsidR="00A45730" w:rsidRPr="00567D26" w:rsidRDefault="00A45730" w:rsidP="008573AC">
      <w:pPr>
        <w:jc w:val="both"/>
        <w:rPr>
          <w:rFonts w:asciiTheme="minorHAnsi" w:hAnsiTheme="minorHAnsi"/>
          <w:sz w:val="20"/>
          <w:szCs w:val="20"/>
          <w:lang w:val="en-GB"/>
        </w:rPr>
      </w:pPr>
    </w:p>
    <w:p w:rsidR="00A45730" w:rsidRPr="00567D26" w:rsidRDefault="00A45730" w:rsidP="00407388">
      <w:pPr>
        <w:pStyle w:val="Nadpis2"/>
        <w:keepNext/>
        <w:rPr>
          <w:rFonts w:asciiTheme="minorHAnsi" w:hAnsiTheme="minorHAnsi"/>
          <w:sz w:val="20"/>
          <w:szCs w:val="20"/>
        </w:rPr>
      </w:pPr>
      <w:bookmarkStart w:id="8" w:name="_Toc466458114"/>
      <w:bookmarkStart w:id="9" w:name="_Toc467849888"/>
      <w:r w:rsidRPr="00567D26">
        <w:rPr>
          <w:rFonts w:asciiTheme="minorHAnsi" w:hAnsiTheme="minorHAnsi"/>
          <w:sz w:val="20"/>
          <w:szCs w:val="20"/>
        </w:rPr>
        <w:t>Criteria for social investments and recommendations for future policymaking emerging from the study</w:t>
      </w:r>
      <w:bookmarkEnd w:id="8"/>
      <w:bookmarkEnd w:id="9"/>
    </w:p>
    <w:p w:rsidR="00A45730" w:rsidRPr="00567D26" w:rsidRDefault="00A45730" w:rsidP="008573AC">
      <w:pPr>
        <w:pStyle w:val="Normlnweb"/>
        <w:spacing w:before="0" w:beforeAutospacing="0" w:after="0" w:afterAutospacing="0" w:line="288" w:lineRule="auto"/>
        <w:jc w:val="both"/>
        <w:rPr>
          <w:rFonts w:asciiTheme="minorHAnsi" w:hAnsiTheme="minorHAnsi"/>
          <w:sz w:val="20"/>
          <w:szCs w:val="20"/>
          <w:lang w:val="en-GB"/>
        </w:rPr>
      </w:pPr>
      <w:r w:rsidRPr="00567D26">
        <w:rPr>
          <w:rFonts w:asciiTheme="minorHAnsi" w:hAnsiTheme="minorHAnsi"/>
          <w:sz w:val="20"/>
          <w:szCs w:val="20"/>
          <w:lang w:val="en-GB"/>
        </w:rPr>
        <w:t xml:space="preserve">The </w:t>
      </w:r>
      <w:r w:rsidR="00C13BC1" w:rsidRPr="00567D26">
        <w:rPr>
          <w:rFonts w:asciiTheme="minorHAnsi" w:hAnsiTheme="minorHAnsi"/>
          <w:sz w:val="20"/>
          <w:szCs w:val="20"/>
          <w:lang w:val="en-GB"/>
        </w:rPr>
        <w:t xml:space="preserve">report </w:t>
      </w:r>
      <w:r w:rsidRPr="00567D26">
        <w:rPr>
          <w:rFonts w:asciiTheme="minorHAnsi" w:hAnsiTheme="minorHAnsi"/>
          <w:sz w:val="20"/>
          <w:szCs w:val="20"/>
          <w:lang w:val="en-GB"/>
        </w:rPr>
        <w:t>ha</w:t>
      </w:r>
      <w:r w:rsidR="00C13BC1" w:rsidRPr="00567D26">
        <w:rPr>
          <w:rFonts w:asciiTheme="minorHAnsi" w:hAnsiTheme="minorHAnsi"/>
          <w:sz w:val="20"/>
          <w:szCs w:val="20"/>
          <w:lang w:val="en-GB"/>
        </w:rPr>
        <w:t>s</w:t>
      </w:r>
      <w:r w:rsidRPr="00567D26">
        <w:rPr>
          <w:rFonts w:asciiTheme="minorHAnsi" w:hAnsiTheme="minorHAnsi"/>
          <w:sz w:val="20"/>
          <w:szCs w:val="20"/>
          <w:lang w:val="en-GB"/>
        </w:rPr>
        <w:t xml:space="preserve"> presented and discussed the limitations of the EFSI in addressing the most relevant challenges EU is facing. This section is aimed at developing possible criteria for supporting social investments and their sustainability in the presence of public budget constraints resulting from the austerity measures adopted in the EU-28 which are eroding the existing welfare systems and investments in education and training.</w:t>
      </w:r>
    </w:p>
    <w:p w:rsidR="00A45730" w:rsidRPr="00567D26" w:rsidRDefault="00A45730" w:rsidP="008573AC">
      <w:pPr>
        <w:jc w:val="both"/>
        <w:rPr>
          <w:rFonts w:asciiTheme="minorHAnsi" w:hAnsiTheme="minorHAnsi"/>
          <w:sz w:val="20"/>
          <w:szCs w:val="20"/>
          <w:lang w:val="en-GB"/>
        </w:rPr>
      </w:pPr>
    </w:p>
    <w:p w:rsidR="00A45730" w:rsidRPr="00567D26" w:rsidRDefault="00A45730" w:rsidP="008573AC">
      <w:pPr>
        <w:pStyle w:val="elencopuntato"/>
        <w:numPr>
          <w:ilvl w:val="0"/>
          <w:numId w:val="0"/>
        </w:numPr>
        <w:autoSpaceDE w:val="0"/>
        <w:autoSpaceDN w:val="0"/>
        <w:adjustRightInd w:val="0"/>
        <w:jc w:val="both"/>
        <w:rPr>
          <w:rFonts w:asciiTheme="minorHAnsi" w:hAnsiTheme="minorHAnsi"/>
          <w:color w:val="262626"/>
          <w:sz w:val="20"/>
          <w:szCs w:val="20"/>
          <w:lang w:val="en-GB"/>
        </w:rPr>
      </w:pPr>
      <w:r w:rsidRPr="00567D26">
        <w:rPr>
          <w:rFonts w:asciiTheme="minorHAnsi" w:hAnsiTheme="minorHAnsi"/>
          <w:sz w:val="20"/>
          <w:szCs w:val="20"/>
          <w:lang w:val="en-GB"/>
        </w:rPr>
        <w:t>Moving from examples provided by effective public–private partnerships the following criteria could be considered for supporting social investments with attention to their social sustainability.</w:t>
      </w:r>
      <w:r w:rsidRPr="00567D26">
        <w:rPr>
          <w:rFonts w:asciiTheme="minorHAnsi" w:eastAsia="Times New Roman" w:hAnsiTheme="minorHAnsi"/>
          <w:sz w:val="20"/>
          <w:szCs w:val="20"/>
          <w:lang w:val="en-GB"/>
        </w:rPr>
        <w:t xml:space="preserve"> As suggested in a recent ILO report</w:t>
      </w:r>
      <w:r w:rsidRPr="00567D26">
        <w:rPr>
          <w:rFonts w:asciiTheme="minorHAnsi" w:eastAsia="Times New Roman" w:hAnsiTheme="minorHAnsi"/>
          <w:sz w:val="20"/>
          <w:szCs w:val="20"/>
          <w:vertAlign w:val="superscript"/>
          <w:lang w:val="en-GB"/>
        </w:rPr>
        <w:footnoteReference w:id="23"/>
      </w:r>
      <w:r w:rsidR="00F60596" w:rsidRPr="00567D26">
        <w:rPr>
          <w:rFonts w:asciiTheme="minorHAnsi" w:eastAsia="Times New Roman" w:hAnsiTheme="minorHAnsi"/>
          <w:sz w:val="20"/>
          <w:szCs w:val="20"/>
          <w:lang w:val="en-GB"/>
        </w:rPr>
        <w:t xml:space="preserve"> </w:t>
      </w:r>
      <w:r w:rsidRPr="00567D26">
        <w:rPr>
          <w:rFonts w:asciiTheme="minorHAnsi" w:eastAsia="Times New Roman" w:hAnsiTheme="minorHAnsi"/>
          <w:sz w:val="20"/>
          <w:szCs w:val="20"/>
          <w:vertAlign w:val="superscript"/>
          <w:lang w:val="en-GB"/>
        </w:rPr>
        <w:t xml:space="preserve"> </w:t>
      </w:r>
      <w:r w:rsidRPr="00567D26">
        <w:rPr>
          <w:rFonts w:asciiTheme="minorHAnsi" w:eastAsia="Times New Roman" w:hAnsiTheme="minorHAnsi"/>
          <w:sz w:val="20"/>
          <w:szCs w:val="20"/>
          <w:lang w:val="en-GB"/>
        </w:rPr>
        <w:t xml:space="preserve">the employment and social impact of the Investment Plan depends on </w:t>
      </w:r>
      <w:r w:rsidRPr="00567D26">
        <w:rPr>
          <w:rFonts w:asciiTheme="minorHAnsi" w:eastAsia="Times New Roman" w:hAnsiTheme="minorHAnsi"/>
          <w:b/>
          <w:sz w:val="20"/>
          <w:szCs w:val="20"/>
          <w:lang w:val="en-GB"/>
        </w:rPr>
        <w:t>key design features and distribution criteria</w:t>
      </w:r>
      <w:r w:rsidRPr="00567D26">
        <w:rPr>
          <w:rFonts w:asciiTheme="minorHAnsi" w:eastAsia="Times New Roman" w:hAnsiTheme="minorHAnsi"/>
          <w:sz w:val="20"/>
          <w:szCs w:val="20"/>
          <w:lang w:val="en-GB"/>
        </w:rPr>
        <w:t xml:space="preserve"> </w:t>
      </w:r>
      <w:r w:rsidRPr="00567D26">
        <w:rPr>
          <w:rFonts w:asciiTheme="minorHAnsi" w:hAnsiTheme="minorHAnsi"/>
          <w:color w:val="262626"/>
          <w:sz w:val="20"/>
          <w:szCs w:val="20"/>
          <w:lang w:val="en-GB"/>
        </w:rPr>
        <w:t>on how the funding is allocated both across and within countries, and whether any consideration is given to social investments and the implementation of complementary measures such as active labour market policies.</w:t>
      </w:r>
    </w:p>
    <w:p w:rsidR="003008BF" w:rsidRPr="00567D26" w:rsidRDefault="00A45730" w:rsidP="008573AC">
      <w:pPr>
        <w:pStyle w:val="elencopuntato"/>
        <w:numPr>
          <w:ilvl w:val="0"/>
          <w:numId w:val="0"/>
        </w:numPr>
        <w:autoSpaceDE w:val="0"/>
        <w:autoSpaceDN w:val="0"/>
        <w:adjustRightInd w:val="0"/>
        <w:jc w:val="both"/>
        <w:rPr>
          <w:rFonts w:asciiTheme="minorHAnsi" w:hAnsiTheme="minorHAnsi"/>
          <w:color w:val="262626"/>
          <w:sz w:val="20"/>
          <w:szCs w:val="20"/>
          <w:lang w:val="en-GB"/>
        </w:rPr>
      </w:pPr>
      <w:r w:rsidRPr="00567D26">
        <w:rPr>
          <w:rFonts w:asciiTheme="minorHAnsi" w:hAnsiTheme="minorHAnsi"/>
          <w:color w:val="262626"/>
          <w:sz w:val="20"/>
          <w:szCs w:val="20"/>
          <w:lang w:val="en-GB"/>
        </w:rPr>
        <w:t>To this end, a few recommendations and related specific criteria have been formulated</w:t>
      </w:r>
      <w:r w:rsidR="005F7384" w:rsidRPr="00567D26">
        <w:rPr>
          <w:rFonts w:asciiTheme="minorHAnsi" w:hAnsiTheme="minorHAnsi"/>
          <w:color w:val="262626"/>
          <w:sz w:val="20"/>
          <w:szCs w:val="20"/>
          <w:lang w:val="en-GB"/>
        </w:rPr>
        <w:t>.</w:t>
      </w:r>
    </w:p>
    <w:p w:rsidR="003008BF" w:rsidRPr="00567D26" w:rsidRDefault="003008BF" w:rsidP="008573AC">
      <w:pPr>
        <w:pStyle w:val="elencopuntato"/>
        <w:numPr>
          <w:ilvl w:val="0"/>
          <w:numId w:val="0"/>
        </w:numPr>
        <w:autoSpaceDE w:val="0"/>
        <w:autoSpaceDN w:val="0"/>
        <w:adjustRightInd w:val="0"/>
        <w:jc w:val="both"/>
        <w:rPr>
          <w:rFonts w:asciiTheme="minorHAnsi" w:hAnsiTheme="minorHAnsi"/>
          <w:color w:val="262626"/>
          <w:sz w:val="20"/>
          <w:szCs w:val="20"/>
          <w:lang w:val="en-GB"/>
        </w:rPr>
      </w:pPr>
    </w:p>
    <w:p w:rsidR="00A45730" w:rsidRPr="00567D26" w:rsidRDefault="00A45730" w:rsidP="00407388">
      <w:pPr>
        <w:pStyle w:val="Nadpis3"/>
        <w:keepNext/>
        <w:rPr>
          <w:rFonts w:asciiTheme="minorHAnsi" w:hAnsiTheme="minorHAnsi"/>
          <w:sz w:val="20"/>
          <w:szCs w:val="20"/>
        </w:rPr>
      </w:pPr>
      <w:bookmarkStart w:id="10" w:name="_Toc466458115"/>
      <w:bookmarkStart w:id="11" w:name="_Toc467849889"/>
      <w:r w:rsidRPr="00567D26">
        <w:rPr>
          <w:rFonts w:asciiTheme="minorHAnsi" w:hAnsiTheme="minorHAnsi"/>
          <w:sz w:val="20"/>
          <w:szCs w:val="20"/>
        </w:rPr>
        <w:t>Evaluation of the social impact of the projects should be enhanced</w:t>
      </w:r>
      <w:bookmarkEnd w:id="10"/>
      <w:bookmarkEnd w:id="11"/>
    </w:p>
    <w:p w:rsidR="007F3498" w:rsidRPr="00567D26" w:rsidRDefault="007F3498" w:rsidP="00407388">
      <w:pPr>
        <w:keepNext/>
        <w:rPr>
          <w:rFonts w:asciiTheme="minorHAnsi" w:eastAsiaTheme="minorEastAsia" w:hAnsiTheme="minorHAnsi"/>
          <w:sz w:val="20"/>
          <w:szCs w:val="20"/>
          <w:lang w:val="en-US" w:eastAsia="en-US"/>
        </w:rPr>
      </w:pPr>
    </w:p>
    <w:p w:rsidR="00A45730" w:rsidRPr="00567D26" w:rsidRDefault="00A45730" w:rsidP="00F60596">
      <w:pPr>
        <w:pStyle w:val="elencopuntato"/>
        <w:numPr>
          <w:ilvl w:val="0"/>
          <w:numId w:val="0"/>
        </w:numPr>
        <w:autoSpaceDE w:val="0"/>
        <w:autoSpaceDN w:val="0"/>
        <w:adjustRightInd w:val="0"/>
        <w:jc w:val="both"/>
        <w:rPr>
          <w:rFonts w:asciiTheme="minorHAnsi" w:hAnsiTheme="minorHAnsi"/>
          <w:sz w:val="20"/>
          <w:szCs w:val="20"/>
          <w:lang w:val="en-GB"/>
        </w:rPr>
      </w:pPr>
      <w:r w:rsidRPr="00567D26">
        <w:rPr>
          <w:rFonts w:asciiTheme="minorHAnsi" w:hAnsiTheme="minorHAnsi"/>
          <w:sz w:val="20"/>
          <w:szCs w:val="20"/>
          <w:lang w:val="en-GB"/>
        </w:rPr>
        <w:t>According to ETUC, EFSI projects must be monitored to see whether they meet EU policy objectives and their contribution to societal and economic challenges</w:t>
      </w:r>
      <w:r w:rsidRPr="00567D26">
        <w:rPr>
          <w:rFonts w:asciiTheme="minorHAnsi" w:hAnsiTheme="minorHAnsi"/>
          <w:sz w:val="20"/>
          <w:szCs w:val="20"/>
          <w:vertAlign w:val="superscript"/>
          <w:lang w:val="en-GB"/>
        </w:rPr>
        <w:footnoteReference w:id="24"/>
      </w:r>
      <w:r w:rsidRPr="00567D26">
        <w:rPr>
          <w:rFonts w:asciiTheme="minorHAnsi" w:hAnsiTheme="minorHAnsi"/>
          <w:sz w:val="20"/>
          <w:szCs w:val="20"/>
          <w:lang w:val="en-GB"/>
        </w:rPr>
        <w:t xml:space="preserve">. Ex-ante evaluation of projects to be </w:t>
      </w:r>
      <w:r w:rsidRPr="00567D26">
        <w:rPr>
          <w:rFonts w:asciiTheme="minorHAnsi" w:hAnsiTheme="minorHAnsi"/>
          <w:color w:val="262626"/>
          <w:sz w:val="20"/>
          <w:szCs w:val="20"/>
          <w:lang w:val="en-GB"/>
        </w:rPr>
        <w:t>supported</w:t>
      </w:r>
      <w:r w:rsidRPr="00567D26">
        <w:rPr>
          <w:rFonts w:asciiTheme="minorHAnsi" w:hAnsiTheme="minorHAnsi"/>
          <w:sz w:val="20"/>
          <w:szCs w:val="20"/>
          <w:lang w:val="en-GB"/>
        </w:rPr>
        <w:t>, according to EIB, has not been carried out in a satisfactory form: ‘EFSI was swiftly designed to answer an urgent political call for an investment plan in Europe. This urgency came at the expense of rigorous design and good practice in terms of ex-ante evaluations as defined by the E</w:t>
      </w:r>
      <w:r w:rsidR="003B6CB8" w:rsidRPr="00567D26">
        <w:rPr>
          <w:rFonts w:asciiTheme="minorHAnsi" w:hAnsiTheme="minorHAnsi"/>
          <w:sz w:val="20"/>
          <w:szCs w:val="20"/>
          <w:lang w:val="en-GB"/>
        </w:rPr>
        <w:t>U Budget Financial Regulation’</w:t>
      </w:r>
      <w:r w:rsidRPr="00567D26">
        <w:rPr>
          <w:rFonts w:asciiTheme="minorHAnsi" w:hAnsiTheme="minorHAnsi"/>
          <w:sz w:val="20"/>
          <w:szCs w:val="20"/>
          <w:vertAlign w:val="superscript"/>
          <w:lang w:val="en-GB"/>
        </w:rPr>
        <w:footnoteReference w:id="25"/>
      </w:r>
      <w:r w:rsidRPr="00567D26">
        <w:rPr>
          <w:rFonts w:asciiTheme="minorHAnsi" w:hAnsiTheme="minorHAnsi"/>
          <w:sz w:val="20"/>
          <w:szCs w:val="20"/>
          <w:lang w:val="en-GB"/>
        </w:rPr>
        <w:t>.</w:t>
      </w:r>
    </w:p>
    <w:p w:rsidR="00A45730" w:rsidRPr="00567D26" w:rsidRDefault="00A45730" w:rsidP="008573AC">
      <w:pPr>
        <w:pStyle w:val="elencopuntato"/>
        <w:numPr>
          <w:ilvl w:val="0"/>
          <w:numId w:val="0"/>
        </w:numPr>
        <w:autoSpaceDE w:val="0"/>
        <w:autoSpaceDN w:val="0"/>
        <w:adjustRightInd w:val="0"/>
        <w:jc w:val="both"/>
        <w:rPr>
          <w:rFonts w:asciiTheme="minorHAnsi" w:hAnsiTheme="minorHAnsi"/>
          <w:color w:val="262626"/>
          <w:sz w:val="20"/>
          <w:szCs w:val="20"/>
          <w:lang w:val="en-GB"/>
        </w:rPr>
      </w:pPr>
    </w:p>
    <w:p w:rsidR="00A45730" w:rsidRPr="00567D26" w:rsidRDefault="00A45730" w:rsidP="00D03F09">
      <w:pPr>
        <w:pStyle w:val="elencopuntato"/>
        <w:numPr>
          <w:ilvl w:val="0"/>
          <w:numId w:val="0"/>
        </w:numPr>
        <w:autoSpaceDE w:val="0"/>
        <w:autoSpaceDN w:val="0"/>
        <w:adjustRightInd w:val="0"/>
        <w:jc w:val="both"/>
        <w:rPr>
          <w:rFonts w:asciiTheme="minorHAnsi" w:hAnsiTheme="minorHAnsi"/>
          <w:sz w:val="20"/>
          <w:szCs w:val="20"/>
          <w:lang w:val="en-GB"/>
        </w:rPr>
      </w:pPr>
      <w:r w:rsidRPr="00567D26">
        <w:rPr>
          <w:rFonts w:asciiTheme="minorHAnsi" w:hAnsiTheme="minorHAnsi"/>
          <w:color w:val="262626"/>
          <w:sz w:val="20"/>
          <w:szCs w:val="20"/>
          <w:lang w:val="en-GB"/>
        </w:rPr>
        <w:t xml:space="preserve">In the assessment and selection of the investments to be funded specific criteria must be set out in order to </w:t>
      </w:r>
      <w:r w:rsidRPr="00567D26">
        <w:rPr>
          <w:rFonts w:asciiTheme="minorHAnsi" w:hAnsiTheme="minorHAnsi"/>
          <w:b/>
          <w:color w:val="262626"/>
          <w:sz w:val="20"/>
          <w:szCs w:val="20"/>
          <w:lang w:val="en-GB"/>
        </w:rPr>
        <w:t>m</w:t>
      </w:r>
      <w:r w:rsidRPr="00567D26">
        <w:rPr>
          <w:rFonts w:asciiTheme="minorHAnsi" w:hAnsiTheme="minorHAnsi"/>
          <w:b/>
          <w:sz w:val="20"/>
          <w:szCs w:val="20"/>
          <w:lang w:val="en-GB"/>
        </w:rPr>
        <w:t>ainstream greater attention to social inclusion and employment in proposed investments</w:t>
      </w:r>
      <w:r w:rsidR="00580B8B" w:rsidRPr="00567D26">
        <w:rPr>
          <w:rFonts w:asciiTheme="minorHAnsi" w:hAnsiTheme="minorHAnsi"/>
          <w:b/>
          <w:sz w:val="20"/>
          <w:szCs w:val="20"/>
          <w:lang w:val="en-GB"/>
        </w:rPr>
        <w:t>,</w:t>
      </w:r>
      <w:r w:rsidRPr="00567D26">
        <w:rPr>
          <w:rFonts w:asciiTheme="minorHAnsi" w:hAnsiTheme="minorHAnsi"/>
          <w:b/>
          <w:sz w:val="20"/>
          <w:szCs w:val="20"/>
          <w:lang w:val="en-GB"/>
        </w:rPr>
        <w:t xml:space="preserve"> </w:t>
      </w:r>
      <w:r w:rsidRPr="00567D26">
        <w:rPr>
          <w:rFonts w:asciiTheme="minorHAnsi" w:hAnsiTheme="minorHAnsi"/>
          <w:sz w:val="20"/>
          <w:szCs w:val="20"/>
          <w:lang w:val="en-GB"/>
        </w:rPr>
        <w:t>by including social impact and territorial criteria among the selection criteria of supported investments. The assessment of projects’ social value in the EFSI selection criteria could be based on</w:t>
      </w:r>
      <w:r w:rsidR="00D03F09" w:rsidRPr="00567D26">
        <w:rPr>
          <w:rFonts w:asciiTheme="minorHAnsi" w:hAnsiTheme="minorHAnsi"/>
          <w:sz w:val="20"/>
          <w:szCs w:val="20"/>
          <w:lang w:val="en-GB"/>
        </w:rPr>
        <w:t xml:space="preserve"> </w:t>
      </w:r>
      <w:r w:rsidRPr="00567D26">
        <w:rPr>
          <w:rFonts w:asciiTheme="minorHAnsi" w:hAnsiTheme="minorHAnsi"/>
          <w:sz w:val="20"/>
          <w:szCs w:val="20"/>
          <w:lang w:val="en-GB"/>
        </w:rPr>
        <w:t>the assessment of the social impact dimension in all infrastructural projects (e.g. local workforce upskilling or RDI activities, or jobs created or goods/services of public interest created)</w:t>
      </w:r>
      <w:r w:rsidR="003B6CB8" w:rsidRPr="00567D26">
        <w:rPr>
          <w:rFonts w:asciiTheme="minorHAnsi" w:hAnsiTheme="minorHAnsi"/>
          <w:sz w:val="20"/>
          <w:szCs w:val="20"/>
          <w:vertAlign w:val="superscript"/>
          <w:lang w:val="en-GB"/>
        </w:rPr>
        <w:t xml:space="preserve"> </w:t>
      </w:r>
      <w:r w:rsidR="003B6CB8" w:rsidRPr="00567D26">
        <w:rPr>
          <w:rFonts w:asciiTheme="minorHAnsi" w:hAnsiTheme="minorHAnsi"/>
          <w:sz w:val="20"/>
          <w:szCs w:val="20"/>
          <w:vertAlign w:val="superscript"/>
          <w:lang w:val="en-GB"/>
        </w:rPr>
        <w:footnoteReference w:id="26"/>
      </w:r>
      <w:r w:rsidRPr="00567D26">
        <w:rPr>
          <w:rFonts w:asciiTheme="minorHAnsi" w:hAnsiTheme="minorHAnsi"/>
          <w:sz w:val="20"/>
          <w:szCs w:val="20"/>
          <w:lang w:val="en-GB"/>
        </w:rPr>
        <w:t>;</w:t>
      </w:r>
    </w:p>
    <w:p w:rsidR="00A45730" w:rsidRPr="00567D26" w:rsidRDefault="00A45730" w:rsidP="00407388">
      <w:pPr>
        <w:keepNext/>
        <w:autoSpaceDE w:val="0"/>
        <w:autoSpaceDN w:val="0"/>
        <w:adjustRightInd w:val="0"/>
        <w:jc w:val="both"/>
        <w:rPr>
          <w:rFonts w:asciiTheme="minorHAnsi" w:hAnsiTheme="minorHAnsi"/>
          <w:sz w:val="20"/>
          <w:szCs w:val="20"/>
          <w:lang w:val="en-GB"/>
        </w:rPr>
      </w:pPr>
      <w:r w:rsidRPr="00567D26">
        <w:rPr>
          <w:rFonts w:asciiTheme="minorHAnsi" w:hAnsiTheme="minorHAnsi"/>
          <w:sz w:val="20"/>
          <w:szCs w:val="20"/>
          <w:lang w:val="en-GB"/>
        </w:rPr>
        <w:t>Operationally, this means ensuring that:</w:t>
      </w:r>
    </w:p>
    <w:p w:rsidR="00A45730" w:rsidRPr="00567D26" w:rsidRDefault="00A45730" w:rsidP="008573AC">
      <w:pPr>
        <w:autoSpaceDE w:val="0"/>
        <w:autoSpaceDN w:val="0"/>
        <w:adjustRightInd w:val="0"/>
        <w:ind w:left="426"/>
        <w:jc w:val="both"/>
        <w:rPr>
          <w:rFonts w:asciiTheme="minorHAnsi" w:hAnsiTheme="minorHAnsi"/>
          <w:sz w:val="20"/>
          <w:szCs w:val="20"/>
          <w:lang w:val="en-GB"/>
        </w:rPr>
      </w:pPr>
    </w:p>
    <w:p w:rsidR="00A45730" w:rsidRPr="00567D26" w:rsidRDefault="00A45730" w:rsidP="00580B8B">
      <w:pPr>
        <w:autoSpaceDE w:val="0"/>
        <w:autoSpaceDN w:val="0"/>
        <w:adjustRightInd w:val="0"/>
        <w:spacing w:line="288" w:lineRule="auto"/>
        <w:ind w:left="567" w:hanging="432"/>
        <w:jc w:val="both"/>
        <w:rPr>
          <w:rFonts w:asciiTheme="minorHAnsi" w:hAnsiTheme="minorHAnsi"/>
          <w:sz w:val="20"/>
          <w:szCs w:val="20"/>
          <w:lang w:val="en-GB"/>
        </w:rPr>
      </w:pPr>
      <w:r w:rsidRPr="00567D26">
        <w:rPr>
          <w:rFonts w:asciiTheme="minorHAnsi" w:hAnsiTheme="minorHAnsi"/>
          <w:sz w:val="20"/>
          <w:szCs w:val="20"/>
          <w:lang w:val="en-GB"/>
        </w:rPr>
        <w:t xml:space="preserve">a) </w:t>
      </w:r>
      <w:r w:rsidRPr="00567D26">
        <w:rPr>
          <w:rFonts w:asciiTheme="minorHAnsi" w:hAnsiTheme="minorHAnsi"/>
          <w:b/>
          <w:sz w:val="20"/>
          <w:szCs w:val="20"/>
          <w:lang w:val="en-GB"/>
        </w:rPr>
        <w:t>the</w:t>
      </w:r>
      <w:r w:rsidRPr="00567D26">
        <w:rPr>
          <w:rFonts w:asciiTheme="minorHAnsi" w:hAnsiTheme="minorHAnsi"/>
          <w:sz w:val="20"/>
          <w:szCs w:val="20"/>
          <w:lang w:val="en-GB"/>
        </w:rPr>
        <w:t xml:space="preserve"> ‘</w:t>
      </w:r>
      <w:r w:rsidRPr="00567D26">
        <w:rPr>
          <w:rFonts w:asciiTheme="minorHAnsi" w:hAnsiTheme="minorHAnsi"/>
          <w:b/>
          <w:sz w:val="20"/>
          <w:szCs w:val="20"/>
          <w:lang w:val="en-GB"/>
        </w:rPr>
        <w:t>Social value’ of proposed investments is clearly spelt out in investment proposals</w:t>
      </w:r>
      <w:r w:rsidRPr="00567D26">
        <w:rPr>
          <w:rFonts w:asciiTheme="minorHAnsi" w:hAnsiTheme="minorHAnsi"/>
          <w:sz w:val="20"/>
          <w:szCs w:val="20"/>
          <w:lang w:val="en-GB"/>
        </w:rPr>
        <w:t>, aligned with consolidated practice and implemented in every investment decision;</w:t>
      </w:r>
    </w:p>
    <w:p w:rsidR="00A45730" w:rsidRPr="00567D26" w:rsidRDefault="00A45730" w:rsidP="00580B8B">
      <w:pPr>
        <w:autoSpaceDE w:val="0"/>
        <w:autoSpaceDN w:val="0"/>
        <w:adjustRightInd w:val="0"/>
        <w:spacing w:line="288" w:lineRule="auto"/>
        <w:ind w:left="567" w:hanging="432"/>
        <w:jc w:val="both"/>
        <w:rPr>
          <w:rFonts w:asciiTheme="minorHAnsi" w:hAnsiTheme="minorHAnsi"/>
          <w:sz w:val="20"/>
          <w:szCs w:val="20"/>
          <w:lang w:val="en-GB"/>
        </w:rPr>
      </w:pPr>
      <w:r w:rsidRPr="00567D26">
        <w:rPr>
          <w:rFonts w:asciiTheme="minorHAnsi" w:hAnsiTheme="minorHAnsi"/>
          <w:sz w:val="20"/>
          <w:szCs w:val="20"/>
          <w:lang w:val="en-GB"/>
        </w:rPr>
        <w:t xml:space="preserve">b) </w:t>
      </w:r>
      <w:r w:rsidRPr="00567D26">
        <w:rPr>
          <w:rFonts w:asciiTheme="minorHAnsi" w:hAnsiTheme="minorHAnsi"/>
          <w:b/>
          <w:sz w:val="20"/>
          <w:szCs w:val="20"/>
          <w:lang w:val="en-GB"/>
        </w:rPr>
        <w:t>the ‘social value’ is properly weighted in the projects’ evaluation grid</w:t>
      </w:r>
      <w:r w:rsidRPr="00567D26">
        <w:rPr>
          <w:rFonts w:asciiTheme="minorHAnsi" w:hAnsiTheme="minorHAnsi"/>
          <w:sz w:val="20"/>
          <w:szCs w:val="20"/>
          <w:lang w:val="en-GB"/>
        </w:rPr>
        <w:t xml:space="preserve"> (e.g. by assessing infrastructure projects also in local workforce upskilling, new jobs created, related RDI activities, smart specialisation, partnerships with local actors etc.);</w:t>
      </w:r>
    </w:p>
    <w:p w:rsidR="00A45730" w:rsidRPr="00567D26" w:rsidRDefault="00A45730" w:rsidP="00580B8B">
      <w:pPr>
        <w:autoSpaceDE w:val="0"/>
        <w:autoSpaceDN w:val="0"/>
        <w:adjustRightInd w:val="0"/>
        <w:spacing w:line="288" w:lineRule="auto"/>
        <w:ind w:left="567" w:hanging="432"/>
        <w:jc w:val="both"/>
        <w:rPr>
          <w:rFonts w:asciiTheme="minorHAnsi" w:hAnsiTheme="minorHAnsi"/>
          <w:sz w:val="20"/>
          <w:szCs w:val="20"/>
          <w:lang w:val="en-GB"/>
        </w:rPr>
      </w:pPr>
      <w:r w:rsidRPr="00567D26">
        <w:rPr>
          <w:rFonts w:asciiTheme="minorHAnsi" w:hAnsiTheme="minorHAnsi"/>
          <w:sz w:val="20"/>
          <w:szCs w:val="20"/>
          <w:lang w:val="en-GB"/>
        </w:rPr>
        <w:lastRenderedPageBreak/>
        <w:t xml:space="preserve">b) </w:t>
      </w:r>
      <w:r w:rsidRPr="00567D26">
        <w:rPr>
          <w:rFonts w:asciiTheme="minorHAnsi" w:hAnsiTheme="minorHAnsi"/>
          <w:b/>
          <w:sz w:val="20"/>
          <w:szCs w:val="20"/>
          <w:lang w:val="en-GB"/>
        </w:rPr>
        <w:t>at least one member of the Independent Expert Committee has specific expertise in evaluating social impacts</w:t>
      </w:r>
      <w:r w:rsidRPr="00567D26">
        <w:rPr>
          <w:rFonts w:asciiTheme="minorHAnsi" w:hAnsiTheme="minorHAnsi"/>
          <w:sz w:val="20"/>
          <w:szCs w:val="20"/>
          <w:lang w:val="en-GB"/>
        </w:rPr>
        <w:t xml:space="preserve"> and that each member of the Independent Investment Committee is provided with detailed information on the importance of taking into account the social dimension of every project;</w:t>
      </w:r>
    </w:p>
    <w:p w:rsidR="00A45730" w:rsidRPr="00567D26" w:rsidRDefault="00A45730" w:rsidP="00580B8B">
      <w:pPr>
        <w:autoSpaceDE w:val="0"/>
        <w:autoSpaceDN w:val="0"/>
        <w:adjustRightInd w:val="0"/>
        <w:spacing w:line="288" w:lineRule="auto"/>
        <w:ind w:left="567" w:hanging="432"/>
        <w:jc w:val="both"/>
        <w:rPr>
          <w:rFonts w:asciiTheme="minorHAnsi" w:hAnsiTheme="minorHAnsi"/>
          <w:sz w:val="20"/>
          <w:szCs w:val="20"/>
          <w:lang w:val="en-GB"/>
        </w:rPr>
      </w:pPr>
      <w:r w:rsidRPr="00567D26">
        <w:rPr>
          <w:rFonts w:asciiTheme="minorHAnsi" w:hAnsiTheme="minorHAnsi"/>
          <w:sz w:val="20"/>
          <w:szCs w:val="20"/>
          <w:lang w:val="en-GB"/>
        </w:rPr>
        <w:t xml:space="preserve">c) </w:t>
      </w:r>
      <w:r w:rsidRPr="00567D26">
        <w:rPr>
          <w:rFonts w:asciiTheme="minorHAnsi" w:hAnsiTheme="minorHAnsi"/>
          <w:b/>
          <w:sz w:val="20"/>
          <w:szCs w:val="20"/>
          <w:lang w:val="en-GB"/>
        </w:rPr>
        <w:t>the Investment Advisory Hub includes social investment and impact investing experts</w:t>
      </w:r>
      <w:r w:rsidRPr="00567D26">
        <w:rPr>
          <w:rFonts w:asciiTheme="minorHAnsi" w:hAnsiTheme="minorHAnsi"/>
          <w:sz w:val="20"/>
          <w:szCs w:val="20"/>
          <w:lang w:val="en-GB"/>
        </w:rPr>
        <w:t xml:space="preserve"> to provide guidance on how to evaluate societal impact and build effective public–private partnerships for social investments and investments in the public good.</w:t>
      </w:r>
    </w:p>
    <w:p w:rsidR="00A45730" w:rsidRPr="00567D26" w:rsidRDefault="00A45730" w:rsidP="00D03F09">
      <w:pPr>
        <w:pStyle w:val="elencopuntato"/>
        <w:numPr>
          <w:ilvl w:val="0"/>
          <w:numId w:val="0"/>
        </w:numPr>
        <w:ind w:left="426"/>
        <w:jc w:val="both"/>
        <w:rPr>
          <w:rFonts w:asciiTheme="minorHAnsi" w:hAnsiTheme="minorHAnsi"/>
          <w:sz w:val="20"/>
          <w:szCs w:val="20"/>
          <w:shd w:val="clear" w:color="auto" w:fill="FFFF00"/>
          <w:lang w:val="en-GB"/>
        </w:rPr>
      </w:pPr>
    </w:p>
    <w:p w:rsidR="00A45730" w:rsidRPr="00567D26" w:rsidRDefault="00A45730" w:rsidP="008573AC">
      <w:pPr>
        <w:pStyle w:val="elencopuntato"/>
        <w:numPr>
          <w:ilvl w:val="0"/>
          <w:numId w:val="0"/>
        </w:numPr>
        <w:ind w:left="426"/>
        <w:jc w:val="both"/>
        <w:rPr>
          <w:rFonts w:asciiTheme="minorHAnsi" w:hAnsiTheme="minorHAnsi"/>
          <w:sz w:val="20"/>
          <w:szCs w:val="20"/>
          <w:lang w:val="en-GB"/>
        </w:rPr>
      </w:pPr>
      <w:r w:rsidRPr="00567D26">
        <w:rPr>
          <w:rFonts w:asciiTheme="minorHAnsi" w:hAnsiTheme="minorHAnsi"/>
          <w:sz w:val="20"/>
          <w:szCs w:val="20"/>
          <w:lang w:val="en-GB"/>
        </w:rPr>
        <w:t xml:space="preserve">In this way both projects’ proponents and evaluators will have to explicitly consider and mention the expected employment, social and territorial impacts of their investment proposals and selected activities will be likely to have a stronger social and employment impact compared to those selected so far. </w:t>
      </w:r>
      <w:r w:rsidRPr="00567D26">
        <w:rPr>
          <w:rFonts w:asciiTheme="minorHAnsi" w:hAnsiTheme="minorHAnsi"/>
          <w:b/>
          <w:sz w:val="20"/>
          <w:szCs w:val="20"/>
          <w:lang w:val="en-GB"/>
        </w:rPr>
        <w:t>Social impact assessment</w:t>
      </w:r>
      <w:r w:rsidRPr="00567D26">
        <w:rPr>
          <w:rFonts w:asciiTheme="minorHAnsi" w:hAnsiTheme="minorHAnsi"/>
          <w:sz w:val="20"/>
          <w:szCs w:val="20"/>
          <w:lang w:val="en-GB"/>
        </w:rPr>
        <w:t xml:space="preserve"> is now a well-established component of the impact assessment procedures adopted by EU institutions; alternatively, other methodologies could be adopted for example the SUROI (Sustainable Return on Investment) criteria, based on a benefit–cost analysis</w:t>
      </w:r>
      <w:r w:rsidRPr="00567D26">
        <w:rPr>
          <w:rStyle w:val="Znakapoznpodarou"/>
          <w:rFonts w:asciiTheme="minorHAnsi" w:hAnsiTheme="minorHAnsi"/>
          <w:sz w:val="20"/>
          <w:szCs w:val="20"/>
          <w:lang w:val="en-GB"/>
        </w:rPr>
        <w:footnoteReference w:id="27"/>
      </w:r>
      <w:r w:rsidRPr="00567D26">
        <w:rPr>
          <w:rFonts w:asciiTheme="minorHAnsi" w:hAnsiTheme="minorHAnsi"/>
          <w:sz w:val="20"/>
          <w:szCs w:val="20"/>
          <w:lang w:val="en-GB"/>
        </w:rPr>
        <w:t>. The (Social) Impact Investment takes into consideration social and environmental impact, financial return and the trade-offs between them in any investment opportunity, and it is usually adopted by charitable foundations, ethical banks, individual philanthropists and specialist impact investment funds. Different investment projects could then be compared on the basis of total risk-adjusted financial, social, environmental and resilience returns.</w:t>
      </w:r>
    </w:p>
    <w:p w:rsidR="00D03F09" w:rsidRPr="00567D26" w:rsidRDefault="00D03F09" w:rsidP="008573AC">
      <w:pPr>
        <w:pStyle w:val="elencopuntato"/>
        <w:numPr>
          <w:ilvl w:val="0"/>
          <w:numId w:val="0"/>
        </w:numPr>
        <w:ind w:left="426"/>
        <w:jc w:val="both"/>
        <w:rPr>
          <w:rFonts w:asciiTheme="minorHAnsi" w:hAnsiTheme="minorHAnsi"/>
          <w:sz w:val="20"/>
          <w:szCs w:val="20"/>
          <w:lang w:val="en-GB"/>
        </w:rPr>
      </w:pPr>
    </w:p>
    <w:p w:rsidR="00D03F09" w:rsidRPr="00567D26" w:rsidRDefault="00D03F09" w:rsidP="00E51527">
      <w:pPr>
        <w:pStyle w:val="elencopuntato"/>
        <w:numPr>
          <w:ilvl w:val="0"/>
          <w:numId w:val="0"/>
        </w:numPr>
        <w:jc w:val="both"/>
        <w:rPr>
          <w:rFonts w:asciiTheme="minorHAnsi" w:hAnsiTheme="minorHAnsi"/>
          <w:sz w:val="20"/>
          <w:szCs w:val="20"/>
          <w:lang w:val="en-GB"/>
        </w:rPr>
      </w:pPr>
      <w:r w:rsidRPr="00567D26">
        <w:rPr>
          <w:rFonts w:asciiTheme="minorHAnsi" w:hAnsiTheme="minorHAnsi"/>
          <w:sz w:val="20"/>
          <w:szCs w:val="20"/>
          <w:lang w:val="en-GB"/>
        </w:rPr>
        <w:t>In addition</w:t>
      </w:r>
      <w:r w:rsidR="003B6CB8" w:rsidRPr="00567D26">
        <w:rPr>
          <w:rFonts w:asciiTheme="minorHAnsi" w:hAnsiTheme="minorHAnsi"/>
          <w:sz w:val="20"/>
          <w:szCs w:val="20"/>
          <w:lang w:val="en-GB"/>
        </w:rPr>
        <w:t>,</w:t>
      </w:r>
      <w:r w:rsidRPr="00567D26">
        <w:rPr>
          <w:rFonts w:asciiTheme="minorHAnsi" w:hAnsiTheme="minorHAnsi"/>
          <w:sz w:val="20"/>
          <w:szCs w:val="20"/>
          <w:lang w:val="en-GB"/>
        </w:rPr>
        <w:t xml:space="preserve"> a share of the available funding resources should be dedicated to social investments and investments in public goods. Ensure that a share of the available funding resources is dedicated to social investments and investments in public goods as ends in themselves and not just as a complementary investment to hard infrastructure (like the 25 % funding targeted to social inclusion in the 2014-2020 ESF). This can also mean the inclusion of social investment projects as a specific category in the pipeline (for example by encouraging social businesses or third sector organisations or social investors to present and sponsor projects in the pipeline, or by ensuring that EIF-backed Social Impact accelerator is among EFSI’s investment options).</w:t>
      </w:r>
    </w:p>
    <w:p w:rsidR="00A45730" w:rsidRPr="00567D26" w:rsidRDefault="00A45730" w:rsidP="008573AC">
      <w:pPr>
        <w:autoSpaceDE w:val="0"/>
        <w:autoSpaceDN w:val="0"/>
        <w:adjustRightInd w:val="0"/>
        <w:ind w:left="284" w:hanging="425"/>
        <w:jc w:val="both"/>
        <w:rPr>
          <w:rFonts w:asciiTheme="minorHAnsi" w:hAnsiTheme="minorHAnsi"/>
          <w:sz w:val="20"/>
          <w:szCs w:val="20"/>
          <w:lang w:val="en-GB"/>
        </w:rPr>
      </w:pPr>
    </w:p>
    <w:p w:rsidR="007F3498" w:rsidRPr="00567D26" w:rsidRDefault="007F3498" w:rsidP="008573AC">
      <w:pPr>
        <w:autoSpaceDE w:val="0"/>
        <w:autoSpaceDN w:val="0"/>
        <w:adjustRightInd w:val="0"/>
        <w:ind w:left="284" w:hanging="425"/>
        <w:jc w:val="both"/>
        <w:rPr>
          <w:rFonts w:asciiTheme="minorHAnsi" w:hAnsiTheme="minorHAnsi"/>
          <w:sz w:val="20"/>
          <w:szCs w:val="20"/>
          <w:lang w:val="en-GB"/>
        </w:rPr>
      </w:pPr>
    </w:p>
    <w:p w:rsidR="00A45730" w:rsidRPr="00567D26" w:rsidRDefault="00A45730" w:rsidP="00407388">
      <w:pPr>
        <w:pStyle w:val="Nadpis3"/>
        <w:keepNext/>
        <w:rPr>
          <w:rFonts w:asciiTheme="minorHAnsi" w:hAnsiTheme="minorHAnsi"/>
          <w:sz w:val="20"/>
          <w:szCs w:val="20"/>
        </w:rPr>
      </w:pPr>
      <w:bookmarkStart w:id="12" w:name="_Toc466458117"/>
      <w:bookmarkStart w:id="13" w:name="_Toc467849890"/>
      <w:r w:rsidRPr="00567D26">
        <w:rPr>
          <w:rFonts w:asciiTheme="minorHAnsi" w:hAnsiTheme="minorHAnsi"/>
          <w:sz w:val="20"/>
          <w:szCs w:val="20"/>
        </w:rPr>
        <w:t>A more adequate geographical distribution of the operations should be ensured</w:t>
      </w:r>
      <w:bookmarkEnd w:id="12"/>
      <w:bookmarkEnd w:id="13"/>
    </w:p>
    <w:p w:rsidR="007F3498" w:rsidRPr="00567D26" w:rsidRDefault="007F3498" w:rsidP="00407388">
      <w:pPr>
        <w:keepNext/>
        <w:spacing w:line="288" w:lineRule="auto"/>
        <w:jc w:val="both"/>
        <w:rPr>
          <w:rFonts w:asciiTheme="minorHAnsi" w:hAnsiTheme="minorHAnsi"/>
          <w:sz w:val="20"/>
          <w:szCs w:val="20"/>
          <w:lang w:val="en-GB"/>
        </w:rPr>
      </w:pPr>
    </w:p>
    <w:p w:rsidR="00A45730" w:rsidRPr="00567D26" w:rsidRDefault="00A45730" w:rsidP="00407388">
      <w:pPr>
        <w:keepNext/>
        <w:spacing w:line="288" w:lineRule="auto"/>
        <w:jc w:val="both"/>
        <w:rPr>
          <w:rFonts w:asciiTheme="minorHAnsi" w:hAnsiTheme="minorHAnsi"/>
          <w:sz w:val="20"/>
          <w:szCs w:val="20"/>
          <w:lang w:val="en-GB"/>
        </w:rPr>
      </w:pPr>
      <w:r w:rsidRPr="00567D26">
        <w:rPr>
          <w:rFonts w:asciiTheme="minorHAnsi" w:hAnsiTheme="minorHAnsi"/>
          <w:sz w:val="20"/>
          <w:szCs w:val="20"/>
          <w:lang w:val="en-GB"/>
        </w:rPr>
        <w:t xml:space="preserve">The portfolio is concentrated in a few countries and </w:t>
      </w:r>
      <w:r w:rsidR="005D5463" w:rsidRPr="00567D26">
        <w:rPr>
          <w:rFonts w:asciiTheme="minorHAnsi" w:hAnsiTheme="minorHAnsi"/>
          <w:sz w:val="20"/>
          <w:szCs w:val="20"/>
          <w:lang w:val="en-GB"/>
        </w:rPr>
        <w:t xml:space="preserve">some </w:t>
      </w:r>
      <w:r w:rsidRPr="00567D26">
        <w:rPr>
          <w:rFonts w:asciiTheme="minorHAnsi" w:hAnsiTheme="minorHAnsi"/>
          <w:sz w:val="20"/>
          <w:szCs w:val="20"/>
          <w:lang w:val="en-GB"/>
        </w:rPr>
        <w:t xml:space="preserve">newer Member States are so less served by EFSI: among the reasons for that the EU Commission Communication COM (2016)359 aligns the following: </w:t>
      </w:r>
    </w:p>
    <w:p w:rsidR="00A45730" w:rsidRPr="00567D26" w:rsidRDefault="00A45730" w:rsidP="008573AC">
      <w:pPr>
        <w:pStyle w:val="elencopuntato"/>
        <w:jc w:val="both"/>
        <w:rPr>
          <w:rFonts w:asciiTheme="minorHAnsi" w:hAnsiTheme="minorHAnsi"/>
          <w:sz w:val="20"/>
          <w:szCs w:val="20"/>
          <w:lang w:val="en-GB"/>
        </w:rPr>
      </w:pPr>
      <w:r w:rsidRPr="00567D26">
        <w:rPr>
          <w:rFonts w:asciiTheme="minorHAnsi" w:hAnsiTheme="minorHAnsi"/>
          <w:sz w:val="20"/>
          <w:szCs w:val="20"/>
          <w:lang w:val="en-GB"/>
        </w:rPr>
        <w:t xml:space="preserve">Smaller Member States have less capacity and financial capability to originate and structure bankable projects. </w:t>
      </w:r>
    </w:p>
    <w:p w:rsidR="00A45730" w:rsidRPr="00567D26" w:rsidRDefault="00A45730" w:rsidP="008573AC">
      <w:pPr>
        <w:pStyle w:val="elencopuntato"/>
        <w:jc w:val="both"/>
        <w:rPr>
          <w:rFonts w:asciiTheme="minorHAnsi" w:hAnsiTheme="minorHAnsi"/>
          <w:sz w:val="20"/>
          <w:szCs w:val="20"/>
          <w:lang w:val="en-GB"/>
        </w:rPr>
      </w:pPr>
      <w:r w:rsidRPr="00567D26">
        <w:rPr>
          <w:rFonts w:asciiTheme="minorHAnsi" w:hAnsiTheme="minorHAnsi"/>
          <w:sz w:val="20"/>
          <w:szCs w:val="20"/>
          <w:lang w:val="en-GB"/>
        </w:rPr>
        <w:t xml:space="preserve">Some Member States have established very early central coordination units for EFSI projects. </w:t>
      </w:r>
    </w:p>
    <w:p w:rsidR="00A45730" w:rsidRPr="00567D26" w:rsidRDefault="00A45730" w:rsidP="008573AC">
      <w:pPr>
        <w:pStyle w:val="elencopuntato"/>
        <w:jc w:val="both"/>
        <w:rPr>
          <w:rFonts w:asciiTheme="minorHAnsi" w:hAnsiTheme="minorHAnsi"/>
          <w:sz w:val="20"/>
          <w:szCs w:val="20"/>
          <w:lang w:val="en-GB"/>
        </w:rPr>
      </w:pPr>
      <w:r w:rsidRPr="00567D26">
        <w:rPr>
          <w:rFonts w:asciiTheme="minorHAnsi" w:hAnsiTheme="minorHAnsi"/>
          <w:sz w:val="20"/>
          <w:szCs w:val="20"/>
          <w:lang w:val="en-GB"/>
        </w:rPr>
        <w:t xml:space="preserve">Not all Member States have NPBs (national Promotion Bank) in place, helping to originate projects, or their NPBs are very recent institutions. </w:t>
      </w:r>
    </w:p>
    <w:p w:rsidR="00A45730" w:rsidRPr="00567D26" w:rsidRDefault="00A45730" w:rsidP="008573AC">
      <w:pPr>
        <w:pStyle w:val="elencopuntato"/>
        <w:numPr>
          <w:ilvl w:val="0"/>
          <w:numId w:val="0"/>
        </w:numPr>
        <w:jc w:val="both"/>
        <w:rPr>
          <w:rFonts w:asciiTheme="minorHAnsi" w:hAnsiTheme="minorHAnsi"/>
          <w:sz w:val="20"/>
          <w:szCs w:val="20"/>
          <w:lang w:val="en-GB"/>
        </w:rPr>
      </w:pPr>
    </w:p>
    <w:p w:rsidR="00A45730" w:rsidRPr="00567D26" w:rsidRDefault="00A45730" w:rsidP="008573AC">
      <w:pPr>
        <w:pStyle w:val="elencopuntato"/>
        <w:numPr>
          <w:ilvl w:val="0"/>
          <w:numId w:val="0"/>
        </w:numPr>
        <w:jc w:val="both"/>
        <w:rPr>
          <w:rFonts w:asciiTheme="minorHAnsi" w:hAnsiTheme="minorHAnsi"/>
          <w:sz w:val="20"/>
          <w:szCs w:val="20"/>
          <w:lang w:val="en-GB"/>
        </w:rPr>
      </w:pPr>
      <w:r w:rsidRPr="00567D26">
        <w:rPr>
          <w:rFonts w:asciiTheme="minorHAnsi" w:hAnsiTheme="minorHAnsi"/>
          <w:sz w:val="20"/>
          <w:szCs w:val="20"/>
          <w:lang w:val="en-GB"/>
        </w:rPr>
        <w:t>Among the optimisation measures the following are mentioned: “further dialogue with external partners, pro-active outreach/ information dissemination of EFSI activities (and combining EFSI with ESIF), higher involvement of local offices, specialised task force groups from EIB services to target specific regions (example of Greek team), closer cooperation with NPBs and external partners who could act as EFSI ambassadors; combination with ESIF fund shall help for</w:t>
      </w:r>
      <w:r w:rsidR="003B6CB8" w:rsidRPr="00567D26">
        <w:rPr>
          <w:rFonts w:asciiTheme="minorHAnsi" w:hAnsiTheme="minorHAnsi"/>
          <w:sz w:val="20"/>
          <w:szCs w:val="20"/>
          <w:lang w:val="en-GB"/>
        </w:rPr>
        <w:t xml:space="preserve"> cohesion regions”</w:t>
      </w:r>
      <w:r w:rsidRPr="00567D26">
        <w:rPr>
          <w:rStyle w:val="Znakapoznpodarou"/>
          <w:rFonts w:asciiTheme="minorHAnsi" w:hAnsiTheme="minorHAnsi"/>
          <w:sz w:val="20"/>
          <w:szCs w:val="20"/>
          <w:lang w:val="en-GB"/>
        </w:rPr>
        <w:footnoteReference w:id="28"/>
      </w:r>
      <w:r w:rsidR="003B6CB8" w:rsidRPr="00567D26">
        <w:rPr>
          <w:rFonts w:asciiTheme="minorHAnsi" w:hAnsiTheme="minorHAnsi"/>
          <w:sz w:val="20"/>
          <w:szCs w:val="20"/>
          <w:lang w:val="en-GB"/>
        </w:rPr>
        <w:t>.</w:t>
      </w:r>
    </w:p>
    <w:p w:rsidR="00D03F09" w:rsidRPr="00567D26" w:rsidRDefault="00D03F09" w:rsidP="00D03F09">
      <w:pPr>
        <w:pStyle w:val="elencopuntato"/>
        <w:numPr>
          <w:ilvl w:val="0"/>
          <w:numId w:val="0"/>
        </w:numPr>
        <w:jc w:val="both"/>
        <w:rPr>
          <w:rFonts w:asciiTheme="minorHAnsi" w:hAnsiTheme="minorHAnsi"/>
          <w:sz w:val="20"/>
          <w:szCs w:val="20"/>
          <w:lang w:val="en-GB"/>
        </w:rPr>
      </w:pPr>
    </w:p>
    <w:p w:rsidR="00A45730" w:rsidRPr="00567D26" w:rsidRDefault="00A45730" w:rsidP="00D03F09">
      <w:pPr>
        <w:pStyle w:val="elencopuntato"/>
        <w:numPr>
          <w:ilvl w:val="0"/>
          <w:numId w:val="0"/>
        </w:numPr>
        <w:jc w:val="both"/>
        <w:rPr>
          <w:rFonts w:asciiTheme="minorHAnsi" w:hAnsiTheme="minorHAnsi"/>
          <w:sz w:val="20"/>
          <w:szCs w:val="20"/>
          <w:shd w:val="clear" w:color="auto" w:fill="FFFF00"/>
          <w:lang w:val="en-GB"/>
        </w:rPr>
      </w:pPr>
      <w:r w:rsidRPr="00567D26">
        <w:rPr>
          <w:rFonts w:asciiTheme="minorHAnsi" w:hAnsiTheme="minorHAnsi"/>
          <w:sz w:val="20"/>
          <w:szCs w:val="20"/>
          <w:lang w:val="en-GB"/>
        </w:rPr>
        <w:t xml:space="preserve">Other criteria, more focused on the enhancement of the social impact of IPE can be envisaged. In order to avoid the risk that the Investment Plan does not address more disadvantaged areas where the engagement of the private sector is particularly at risk, and to increase the employment outcomes, a criterion suggested by ILO (ILO, 2015) could be to </w:t>
      </w:r>
      <w:r w:rsidRPr="00567D26">
        <w:rPr>
          <w:rFonts w:asciiTheme="minorHAnsi" w:hAnsiTheme="minorHAnsi"/>
          <w:b/>
          <w:sz w:val="20"/>
          <w:szCs w:val="20"/>
          <w:lang w:val="en-GB"/>
        </w:rPr>
        <w:t>take into a</w:t>
      </w:r>
      <w:r w:rsidRPr="00567D26">
        <w:rPr>
          <w:rFonts w:asciiTheme="minorHAnsi" w:hAnsiTheme="minorHAnsi"/>
          <w:b/>
          <w:color w:val="262626"/>
          <w:sz w:val="20"/>
          <w:szCs w:val="20"/>
          <w:lang w:val="en-GB"/>
        </w:rPr>
        <w:t>ccount the current levels of employment in the territorial allocation of funds</w:t>
      </w:r>
      <w:r w:rsidRPr="00567D26">
        <w:rPr>
          <w:rStyle w:val="Znakapoznpodarou"/>
          <w:rFonts w:asciiTheme="minorHAnsi" w:hAnsiTheme="minorHAnsi"/>
          <w:color w:val="262626"/>
          <w:sz w:val="20"/>
          <w:szCs w:val="20"/>
          <w:lang w:val="en-GB"/>
        </w:rPr>
        <w:footnoteReference w:id="29"/>
      </w:r>
      <w:r w:rsidRPr="00567D26">
        <w:rPr>
          <w:rFonts w:asciiTheme="minorHAnsi" w:hAnsiTheme="minorHAnsi"/>
          <w:color w:val="262626"/>
          <w:sz w:val="20"/>
          <w:szCs w:val="20"/>
          <w:lang w:val="en-GB"/>
        </w:rPr>
        <w:t xml:space="preserve">. </w:t>
      </w:r>
      <w:r w:rsidRPr="00567D26">
        <w:rPr>
          <w:rFonts w:asciiTheme="minorHAnsi" w:hAnsiTheme="minorHAnsi"/>
          <w:sz w:val="20"/>
          <w:szCs w:val="20"/>
          <w:lang w:val="en-GB"/>
        </w:rPr>
        <w:t xml:space="preserve">Targeting investments to sectors with high employment intensity (e.g. care services, education and lifelong learning) could also help to have higher employment impacts. In order to ensure that </w:t>
      </w:r>
      <w:r w:rsidRPr="00567D26">
        <w:rPr>
          <w:rFonts w:asciiTheme="minorHAnsi" w:hAnsiTheme="minorHAnsi"/>
          <w:color w:val="262626"/>
          <w:sz w:val="20"/>
          <w:szCs w:val="20"/>
          <w:lang w:val="en-GB"/>
        </w:rPr>
        <w:t xml:space="preserve">the supported investments are able to leverage people with the right skill, around </w:t>
      </w:r>
      <w:r w:rsidRPr="00567D26">
        <w:rPr>
          <w:rFonts w:asciiTheme="minorHAnsi" w:hAnsiTheme="minorHAnsi"/>
          <w:sz w:val="20"/>
          <w:szCs w:val="20"/>
          <w:lang w:val="en-GB"/>
        </w:rPr>
        <w:t xml:space="preserve">5 % of funds could be reallocated towards measures to support improvement in skills and other </w:t>
      </w:r>
      <w:r w:rsidRPr="00567D26">
        <w:rPr>
          <w:rFonts w:asciiTheme="minorHAnsi" w:hAnsiTheme="minorHAnsi"/>
          <w:b/>
          <w:sz w:val="20"/>
          <w:szCs w:val="20"/>
          <w:lang w:val="en-GB"/>
        </w:rPr>
        <w:t>ALMPs</w:t>
      </w:r>
      <w:r w:rsidRPr="00567D26">
        <w:rPr>
          <w:rFonts w:asciiTheme="minorHAnsi" w:hAnsiTheme="minorHAnsi"/>
          <w:sz w:val="20"/>
          <w:szCs w:val="20"/>
          <w:lang w:val="en-GB"/>
        </w:rPr>
        <w:t xml:space="preserve">. According to ILO (2015) estimates, the job gains from such a redistribution would be in the order of 4.3 % or 0.1 million (compared to an allocation solely focused on investment), bringing </w:t>
      </w:r>
      <w:r w:rsidRPr="00567D26">
        <w:rPr>
          <w:rFonts w:asciiTheme="minorHAnsi" w:hAnsiTheme="minorHAnsi"/>
          <w:color w:val="262626"/>
          <w:sz w:val="20"/>
          <w:szCs w:val="20"/>
          <w:lang w:val="en-GB"/>
        </w:rPr>
        <w:t xml:space="preserve">the total gain of an employment-friendly approach to 2.1 million jobs. </w:t>
      </w:r>
      <w:r w:rsidRPr="00567D26">
        <w:rPr>
          <w:rFonts w:asciiTheme="minorHAnsi" w:hAnsiTheme="minorHAnsi"/>
          <w:sz w:val="20"/>
          <w:szCs w:val="20"/>
          <w:lang w:val="en-GB"/>
        </w:rPr>
        <w:t>S</w:t>
      </w:r>
      <w:r w:rsidRPr="00567D26">
        <w:rPr>
          <w:rFonts w:asciiTheme="minorHAnsi" w:hAnsiTheme="minorHAnsi"/>
          <w:b/>
          <w:bCs/>
          <w:sz w:val="20"/>
          <w:szCs w:val="20"/>
          <w:lang w:val="en-GB"/>
        </w:rPr>
        <w:t>ocial innovation</w:t>
      </w:r>
      <w:r w:rsidRPr="00567D26">
        <w:rPr>
          <w:rFonts w:asciiTheme="minorHAnsi" w:hAnsiTheme="minorHAnsi"/>
          <w:sz w:val="20"/>
          <w:szCs w:val="20"/>
          <w:lang w:val="en-GB"/>
        </w:rPr>
        <w:t xml:space="preserve"> and the </w:t>
      </w:r>
      <w:r w:rsidRPr="00567D26">
        <w:rPr>
          <w:rFonts w:asciiTheme="minorHAnsi" w:hAnsiTheme="minorHAnsi"/>
          <w:b/>
          <w:bCs/>
          <w:sz w:val="20"/>
          <w:szCs w:val="20"/>
          <w:lang w:val="en-GB"/>
        </w:rPr>
        <w:t>modernisation of social and employment policies could also be considered in the selection criteria</w:t>
      </w:r>
      <w:r w:rsidRPr="00567D26">
        <w:rPr>
          <w:rFonts w:asciiTheme="minorHAnsi" w:hAnsiTheme="minorHAnsi"/>
          <w:sz w:val="20"/>
          <w:szCs w:val="20"/>
          <w:lang w:val="en-GB"/>
        </w:rPr>
        <w:t>, promoting new policy approaches, new financing mechanism, new services and the involvement of new stakeholders (such as private companies or NGOs) in social investments. This requires improvements in the capacity of operators and public administrations to deliver affordable, sustainable and high-quality services, and the individuation of the proper mix of (income) assistance, service provision and activation incentives.</w:t>
      </w:r>
    </w:p>
    <w:p w:rsidR="00A45730" w:rsidRPr="00567D26" w:rsidRDefault="00A45730" w:rsidP="008573AC">
      <w:pPr>
        <w:pStyle w:val="elencopuntato"/>
        <w:numPr>
          <w:ilvl w:val="0"/>
          <w:numId w:val="0"/>
        </w:numPr>
        <w:ind w:left="426"/>
        <w:contextualSpacing w:val="0"/>
        <w:jc w:val="both"/>
        <w:rPr>
          <w:rFonts w:asciiTheme="minorHAnsi" w:hAnsiTheme="minorHAnsi"/>
          <w:sz w:val="20"/>
          <w:szCs w:val="20"/>
          <w:shd w:val="clear" w:color="auto" w:fill="FFFF00"/>
          <w:lang w:val="en-GB"/>
        </w:rPr>
      </w:pPr>
    </w:p>
    <w:p w:rsidR="007F3498" w:rsidRPr="00567D26" w:rsidRDefault="007F3498" w:rsidP="008573AC">
      <w:pPr>
        <w:pStyle w:val="elencopuntato"/>
        <w:numPr>
          <w:ilvl w:val="0"/>
          <w:numId w:val="0"/>
        </w:numPr>
        <w:ind w:left="426"/>
        <w:contextualSpacing w:val="0"/>
        <w:jc w:val="both"/>
        <w:rPr>
          <w:rFonts w:asciiTheme="minorHAnsi" w:hAnsiTheme="minorHAnsi"/>
          <w:sz w:val="20"/>
          <w:szCs w:val="20"/>
          <w:shd w:val="clear" w:color="auto" w:fill="FFFF00"/>
          <w:lang w:val="en-GB"/>
        </w:rPr>
      </w:pPr>
    </w:p>
    <w:p w:rsidR="00A45730" w:rsidRPr="00567D26" w:rsidRDefault="00A45730" w:rsidP="00407388">
      <w:pPr>
        <w:pStyle w:val="Nadpis3"/>
        <w:keepNext/>
        <w:rPr>
          <w:rFonts w:asciiTheme="minorHAnsi" w:hAnsiTheme="minorHAnsi"/>
          <w:sz w:val="20"/>
          <w:szCs w:val="20"/>
        </w:rPr>
      </w:pPr>
      <w:bookmarkStart w:id="14" w:name="_Toc466458118"/>
      <w:bookmarkStart w:id="15" w:name="_Toc467849891"/>
      <w:r w:rsidRPr="00567D26">
        <w:rPr>
          <w:rFonts w:asciiTheme="minorHAnsi" w:hAnsiTheme="minorHAnsi"/>
          <w:sz w:val="20"/>
          <w:szCs w:val="20"/>
        </w:rPr>
        <w:t>Public and private funding streams should be aligned within the new investment framework</w:t>
      </w:r>
      <w:bookmarkEnd w:id="14"/>
      <w:bookmarkEnd w:id="15"/>
    </w:p>
    <w:p w:rsidR="00A45730" w:rsidRPr="00567D26" w:rsidRDefault="00A45730" w:rsidP="00407388">
      <w:pPr>
        <w:keepNext/>
        <w:jc w:val="both"/>
        <w:rPr>
          <w:rFonts w:asciiTheme="minorHAnsi" w:hAnsiTheme="minorHAnsi"/>
          <w:b/>
          <w:sz w:val="20"/>
          <w:szCs w:val="20"/>
          <w:lang w:val="en-GB"/>
        </w:rPr>
      </w:pPr>
    </w:p>
    <w:p w:rsidR="00A45730" w:rsidRPr="00567D26" w:rsidRDefault="00A45730" w:rsidP="00D03F09">
      <w:pPr>
        <w:spacing w:line="288" w:lineRule="auto"/>
        <w:jc w:val="both"/>
        <w:rPr>
          <w:rFonts w:asciiTheme="minorHAnsi" w:hAnsiTheme="minorHAnsi"/>
          <w:b/>
          <w:bCs/>
          <w:sz w:val="20"/>
          <w:szCs w:val="20"/>
          <w:lang w:val="en-GB"/>
        </w:rPr>
      </w:pPr>
      <w:r w:rsidRPr="00567D26">
        <w:rPr>
          <w:rFonts w:asciiTheme="minorHAnsi" w:hAnsiTheme="minorHAnsi"/>
          <w:b/>
          <w:sz w:val="20"/>
          <w:szCs w:val="20"/>
          <w:lang w:val="en-GB"/>
        </w:rPr>
        <w:t>The connection between Juncker’s plan and EU Cohesion Policy is lacking</w:t>
      </w:r>
      <w:r w:rsidR="00B8518D" w:rsidRPr="00567D26">
        <w:rPr>
          <w:rFonts w:asciiTheme="minorHAnsi" w:hAnsiTheme="minorHAnsi"/>
          <w:b/>
          <w:sz w:val="20"/>
          <w:szCs w:val="20"/>
          <w:lang w:val="en-GB"/>
        </w:rPr>
        <w:t xml:space="preserve"> </w:t>
      </w:r>
      <w:r w:rsidR="00B8518D" w:rsidRPr="00567D26">
        <w:rPr>
          <w:rFonts w:asciiTheme="minorHAnsi" w:hAnsiTheme="minorHAnsi"/>
          <w:sz w:val="20"/>
          <w:szCs w:val="20"/>
          <w:lang w:val="en-GB"/>
        </w:rPr>
        <w:t>(a part from SMEW)</w:t>
      </w:r>
      <w:r w:rsidRPr="00567D26">
        <w:rPr>
          <w:rFonts w:asciiTheme="minorHAnsi" w:hAnsiTheme="minorHAnsi"/>
          <w:sz w:val="20"/>
          <w:szCs w:val="20"/>
          <w:lang w:val="en-GB"/>
        </w:rPr>
        <w:t xml:space="preserve">, and according to </w:t>
      </w:r>
      <w:r w:rsidRPr="00567D26">
        <w:rPr>
          <w:rFonts w:asciiTheme="minorHAnsi" w:eastAsiaTheme="minorEastAsia" w:hAnsiTheme="minorHAnsi"/>
          <w:sz w:val="20"/>
          <w:szCs w:val="20"/>
          <w:lang w:val="en-GB" w:eastAsia="en-US"/>
        </w:rPr>
        <w:t>different</w:t>
      </w:r>
      <w:r w:rsidRPr="00567D26">
        <w:rPr>
          <w:rFonts w:asciiTheme="minorHAnsi" w:hAnsiTheme="minorHAnsi"/>
          <w:sz w:val="20"/>
          <w:szCs w:val="20"/>
          <w:lang w:val="en-GB"/>
        </w:rPr>
        <w:t xml:space="preserve"> stakeholders this lack of synergies or interaction represent</w:t>
      </w:r>
      <w:r w:rsidR="00E261B6" w:rsidRPr="00567D26">
        <w:rPr>
          <w:rFonts w:asciiTheme="minorHAnsi" w:hAnsiTheme="minorHAnsi"/>
          <w:sz w:val="20"/>
          <w:szCs w:val="20"/>
          <w:lang w:val="en-GB"/>
        </w:rPr>
        <w:t>s</w:t>
      </w:r>
      <w:r w:rsidRPr="00567D26">
        <w:rPr>
          <w:rFonts w:asciiTheme="minorHAnsi" w:hAnsiTheme="minorHAnsi"/>
          <w:sz w:val="20"/>
          <w:szCs w:val="20"/>
          <w:lang w:val="en-GB"/>
        </w:rPr>
        <w:t xml:space="preserve"> a potential obstacle able to significantly reduce the effectiveness of the instruments and of investment</w:t>
      </w:r>
      <w:r w:rsidRPr="00567D26">
        <w:rPr>
          <w:rFonts w:asciiTheme="minorHAnsi" w:hAnsiTheme="minorHAnsi"/>
          <w:sz w:val="20"/>
          <w:szCs w:val="20"/>
          <w:vertAlign w:val="superscript"/>
          <w:lang w:val="en-GB"/>
        </w:rPr>
        <w:footnoteReference w:id="30"/>
      </w:r>
      <w:r w:rsidRPr="00567D26">
        <w:rPr>
          <w:rFonts w:asciiTheme="minorHAnsi" w:hAnsiTheme="minorHAnsi"/>
          <w:sz w:val="20"/>
          <w:szCs w:val="20"/>
          <w:lang w:val="en-GB"/>
        </w:rPr>
        <w:t>. This is particularly the case for the Structural Funds, whose specific objectives do not match those of IPE, and in particular of EFSI</w:t>
      </w:r>
      <w:r w:rsidR="00B8518D" w:rsidRPr="00567D26">
        <w:rPr>
          <w:rFonts w:asciiTheme="minorHAnsi" w:hAnsiTheme="minorHAnsi"/>
          <w:sz w:val="20"/>
          <w:szCs w:val="20"/>
          <w:lang w:val="en-GB"/>
        </w:rPr>
        <w:t xml:space="preserve"> - IIW</w:t>
      </w:r>
      <w:r w:rsidRPr="00567D26">
        <w:rPr>
          <w:rFonts w:asciiTheme="minorHAnsi" w:hAnsiTheme="minorHAnsi"/>
          <w:sz w:val="20"/>
          <w:szCs w:val="20"/>
          <w:lang w:val="en-GB"/>
        </w:rPr>
        <w:t>. The combination of the EFSI with other EU sources of Union funding, including the European Structural and Investment Funds (ESIF) should be enhanced, and this has been considered by th</w:t>
      </w:r>
      <w:r w:rsidR="005E59A0" w:rsidRPr="00567D26">
        <w:rPr>
          <w:rFonts w:asciiTheme="minorHAnsi" w:hAnsiTheme="minorHAnsi"/>
          <w:sz w:val="20"/>
          <w:szCs w:val="20"/>
          <w:lang w:val="en-GB"/>
        </w:rPr>
        <w:t>e</w:t>
      </w:r>
      <w:r w:rsidRPr="00567D26">
        <w:rPr>
          <w:rFonts w:asciiTheme="minorHAnsi" w:hAnsiTheme="minorHAnsi"/>
          <w:sz w:val="20"/>
          <w:szCs w:val="20"/>
          <w:lang w:val="en-GB"/>
        </w:rPr>
        <w:t xml:space="preserve"> Commission as a key point for EFSI 2.0 “</w:t>
      </w:r>
      <w:r w:rsidRPr="00567D26">
        <w:rPr>
          <w:rFonts w:asciiTheme="minorHAnsi" w:hAnsiTheme="minorHAnsi"/>
          <w:b/>
          <w:bCs/>
          <w:sz w:val="20"/>
          <w:szCs w:val="20"/>
          <w:lang w:val="en-GB"/>
        </w:rPr>
        <w:t>Complementarity between the EFSI and other EU funds is a key part of the Commission’s overall commitment to ensure a better use of EU funds across all policy areas”</w:t>
      </w:r>
      <w:r w:rsidRPr="00567D26">
        <w:rPr>
          <w:rStyle w:val="Znakapoznpodarou"/>
          <w:rFonts w:asciiTheme="minorHAnsi" w:hAnsiTheme="minorHAnsi"/>
          <w:sz w:val="20"/>
          <w:szCs w:val="20"/>
          <w:lang w:val="en-GB"/>
        </w:rPr>
        <w:footnoteReference w:id="31"/>
      </w:r>
      <w:r w:rsidRPr="00567D26">
        <w:rPr>
          <w:rFonts w:asciiTheme="minorHAnsi" w:hAnsiTheme="minorHAnsi"/>
          <w:bCs/>
          <w:sz w:val="20"/>
          <w:szCs w:val="20"/>
          <w:lang w:val="en-GB"/>
        </w:rPr>
        <w:t>.</w:t>
      </w:r>
      <w:r w:rsidRPr="00567D26">
        <w:rPr>
          <w:rFonts w:asciiTheme="minorHAnsi" w:hAnsiTheme="minorHAnsi"/>
          <w:b/>
          <w:bCs/>
          <w:sz w:val="20"/>
          <w:szCs w:val="20"/>
          <w:lang w:val="en-GB"/>
        </w:rPr>
        <w:t xml:space="preserve"> </w:t>
      </w:r>
    </w:p>
    <w:p w:rsidR="00A45730" w:rsidRPr="00567D26" w:rsidRDefault="00A45730" w:rsidP="00D03F09">
      <w:pPr>
        <w:autoSpaceDE w:val="0"/>
        <w:autoSpaceDN w:val="0"/>
        <w:adjustRightInd w:val="0"/>
        <w:spacing w:line="288" w:lineRule="auto"/>
        <w:ind w:left="426"/>
        <w:jc w:val="both"/>
        <w:rPr>
          <w:rFonts w:asciiTheme="minorHAnsi" w:hAnsiTheme="minorHAnsi"/>
          <w:sz w:val="20"/>
          <w:szCs w:val="20"/>
          <w:lang w:val="en-GB"/>
        </w:rPr>
      </w:pPr>
      <w:r w:rsidRPr="00567D26">
        <w:rPr>
          <w:rFonts w:asciiTheme="minorHAnsi" w:hAnsiTheme="minorHAnsi"/>
          <w:b/>
          <w:sz w:val="20"/>
          <w:szCs w:val="20"/>
          <w:lang w:val="en-GB"/>
        </w:rPr>
        <w:t>a)</w:t>
      </w:r>
      <w:r w:rsidRPr="00567D26">
        <w:rPr>
          <w:rFonts w:asciiTheme="minorHAnsi" w:hAnsiTheme="minorHAnsi"/>
          <w:sz w:val="20"/>
          <w:szCs w:val="20"/>
          <w:lang w:val="en-GB"/>
        </w:rPr>
        <w:t xml:space="preserve"> </w:t>
      </w:r>
      <w:r w:rsidRPr="00567D26">
        <w:rPr>
          <w:rFonts w:asciiTheme="minorHAnsi" w:hAnsiTheme="minorHAnsi"/>
          <w:b/>
          <w:sz w:val="20"/>
          <w:szCs w:val="20"/>
          <w:lang w:val="en-GB"/>
        </w:rPr>
        <w:t>The complementarities of EFSI and ESIF are relevant,</w:t>
      </w:r>
      <w:r w:rsidRPr="00567D26">
        <w:rPr>
          <w:rFonts w:asciiTheme="minorHAnsi" w:hAnsiTheme="minorHAnsi"/>
          <w:sz w:val="20"/>
          <w:szCs w:val="20"/>
          <w:lang w:val="en-GB"/>
        </w:rPr>
        <w:t xml:space="preserve"> and have been underlined in a recent EC document</w:t>
      </w:r>
      <w:r w:rsidRPr="00567D26">
        <w:rPr>
          <w:rStyle w:val="Znakapoznpodarou"/>
          <w:rFonts w:asciiTheme="minorHAnsi" w:hAnsiTheme="minorHAnsi"/>
          <w:sz w:val="20"/>
          <w:szCs w:val="20"/>
          <w:lang w:val="en-GB"/>
        </w:rPr>
        <w:footnoteReference w:id="32"/>
      </w:r>
      <w:r w:rsidRPr="00567D26">
        <w:rPr>
          <w:rFonts w:asciiTheme="minorHAnsi" w:hAnsiTheme="minorHAnsi"/>
          <w:sz w:val="20"/>
          <w:szCs w:val="20"/>
          <w:lang w:val="en-GB"/>
        </w:rPr>
        <w:t>, stating that “In the next few years, EFSI and ESI Funds will be able to finance significant levels of investment in Member States and their regions... While rationale, design, legislative framework and timeframe for implementation are different, there is considerable scope for ensuring coordination, synergies and complementarity for additional investments.”</w:t>
      </w:r>
      <w:r w:rsidRPr="00567D26">
        <w:rPr>
          <w:rFonts w:asciiTheme="minorHAnsi" w:hAnsiTheme="minorHAnsi"/>
          <w:i/>
          <w:sz w:val="20"/>
          <w:szCs w:val="20"/>
          <w:lang w:val="en-GB"/>
        </w:rPr>
        <w:t xml:space="preserve"> </w:t>
      </w:r>
      <w:r w:rsidRPr="00567D26">
        <w:rPr>
          <w:rFonts w:asciiTheme="minorHAnsi" w:hAnsiTheme="minorHAnsi"/>
          <w:sz w:val="20"/>
          <w:szCs w:val="20"/>
          <w:lang w:val="en-GB"/>
        </w:rPr>
        <w:t xml:space="preserve">However, the feasibility of such coordination is to be verified, given the wide differences both in the scope and type of support provided by the two types of funds. According to the EC, although ESI Funds resources cannot be directly transferred to EFSI, ESI Funds should contribute to the </w:t>
      </w:r>
      <w:r w:rsidRPr="00567D26">
        <w:rPr>
          <w:rFonts w:asciiTheme="minorHAnsi" w:hAnsiTheme="minorHAnsi"/>
          <w:sz w:val="20"/>
          <w:szCs w:val="20"/>
          <w:lang w:val="en-GB"/>
        </w:rPr>
        <w:lastRenderedPageBreak/>
        <w:t>achievement of the objectives of the Investment Plan in complementarity with EFSI support, in a way which brings demonstrable added value and also ensures coordination and synergies</w:t>
      </w:r>
      <w:r w:rsidR="007517C6" w:rsidRPr="00567D26">
        <w:rPr>
          <w:rFonts w:asciiTheme="minorHAnsi" w:hAnsiTheme="minorHAnsi"/>
          <w:sz w:val="20"/>
          <w:szCs w:val="20"/>
          <w:lang w:val="en-GB"/>
        </w:rPr>
        <w:t>;</w:t>
      </w:r>
    </w:p>
    <w:p w:rsidR="00A45730" w:rsidRPr="00567D26" w:rsidRDefault="00A45730" w:rsidP="00D03F09">
      <w:pPr>
        <w:autoSpaceDE w:val="0"/>
        <w:autoSpaceDN w:val="0"/>
        <w:adjustRightInd w:val="0"/>
        <w:spacing w:line="288" w:lineRule="auto"/>
        <w:ind w:left="426"/>
        <w:jc w:val="both"/>
        <w:rPr>
          <w:rFonts w:asciiTheme="minorHAnsi" w:hAnsiTheme="minorHAnsi"/>
          <w:sz w:val="20"/>
          <w:szCs w:val="20"/>
          <w:lang w:val="en-GB"/>
        </w:rPr>
      </w:pPr>
      <w:r w:rsidRPr="00567D26">
        <w:rPr>
          <w:rFonts w:asciiTheme="minorHAnsi" w:hAnsiTheme="minorHAnsi"/>
          <w:b/>
          <w:sz w:val="20"/>
          <w:szCs w:val="20"/>
          <w:lang w:val="en-GB"/>
        </w:rPr>
        <w:t>b</w:t>
      </w:r>
      <w:r w:rsidRPr="00567D26">
        <w:rPr>
          <w:rFonts w:asciiTheme="minorHAnsi" w:hAnsiTheme="minorHAnsi"/>
          <w:sz w:val="20"/>
          <w:szCs w:val="20"/>
          <w:lang w:val="en-GB"/>
        </w:rPr>
        <w:t xml:space="preserve">) </w:t>
      </w:r>
      <w:r w:rsidRPr="00567D26">
        <w:rPr>
          <w:rFonts w:asciiTheme="minorHAnsi" w:hAnsiTheme="minorHAnsi"/>
          <w:b/>
          <w:sz w:val="20"/>
          <w:szCs w:val="20"/>
          <w:lang w:val="en-GB"/>
        </w:rPr>
        <w:t xml:space="preserve">EU Social Entrepreneurship Funds (SEF) and other impact investment funds such as the EIF-backed Social Investment Accelerator (SIA), </w:t>
      </w:r>
      <w:r w:rsidRPr="00567D26">
        <w:rPr>
          <w:rFonts w:asciiTheme="minorHAnsi" w:hAnsiTheme="minorHAnsi"/>
          <w:sz w:val="20"/>
          <w:szCs w:val="20"/>
          <w:lang w:val="en-GB"/>
        </w:rPr>
        <w:t>recently re-capitalised with EUR 610 million (and a further EUR 300 million is in discussion with the EC) should be among EFSI’s investment options</w:t>
      </w:r>
      <w:r w:rsidRPr="00567D26">
        <w:rPr>
          <w:rFonts w:asciiTheme="minorHAnsi" w:hAnsiTheme="minorHAnsi"/>
          <w:b/>
          <w:sz w:val="20"/>
          <w:szCs w:val="20"/>
          <w:lang w:val="en-GB"/>
        </w:rPr>
        <w:t xml:space="preserve"> </w:t>
      </w:r>
      <w:r w:rsidRPr="00567D26">
        <w:rPr>
          <w:rFonts w:asciiTheme="minorHAnsi" w:hAnsiTheme="minorHAnsi"/>
          <w:sz w:val="20"/>
          <w:szCs w:val="20"/>
          <w:lang w:val="en-GB"/>
        </w:rPr>
        <w:t>and on an equal footing with European long term investment (ELTIF) funds. Broadening the scope of the definition of social undertakings under the SEF regulation review (due in 2017) will be of the utmost importance in order to ensure the take-up by impact investors and the quality and ambition of projects funded.</w:t>
      </w:r>
    </w:p>
    <w:p w:rsidR="00A45730" w:rsidRPr="00567D26" w:rsidRDefault="00A45730" w:rsidP="00D03F09">
      <w:pPr>
        <w:autoSpaceDE w:val="0"/>
        <w:autoSpaceDN w:val="0"/>
        <w:adjustRightInd w:val="0"/>
        <w:spacing w:line="288" w:lineRule="auto"/>
        <w:ind w:left="426"/>
        <w:jc w:val="both"/>
        <w:rPr>
          <w:rFonts w:asciiTheme="minorHAnsi" w:hAnsiTheme="minorHAnsi"/>
          <w:sz w:val="20"/>
          <w:szCs w:val="20"/>
          <w:lang w:val="en-GB"/>
        </w:rPr>
      </w:pPr>
      <w:r w:rsidRPr="00567D26">
        <w:rPr>
          <w:rFonts w:asciiTheme="minorHAnsi" w:hAnsiTheme="minorHAnsi"/>
          <w:b/>
          <w:sz w:val="20"/>
          <w:szCs w:val="20"/>
          <w:lang w:val="en-GB"/>
        </w:rPr>
        <w:t>c) Private social investing funds should be considered investible vehicles</w:t>
      </w:r>
      <w:r w:rsidRPr="00567D26">
        <w:rPr>
          <w:rFonts w:asciiTheme="minorHAnsi" w:hAnsiTheme="minorHAnsi"/>
          <w:sz w:val="20"/>
          <w:szCs w:val="20"/>
          <w:lang w:val="en-GB"/>
        </w:rPr>
        <w:t>, and projects dealing with systemic social innovation should be encouraged with higher scores in the societal value assessment.</w:t>
      </w:r>
    </w:p>
    <w:p w:rsidR="00A45730" w:rsidRPr="00567D26" w:rsidRDefault="00A45730" w:rsidP="00D03F09">
      <w:pPr>
        <w:autoSpaceDE w:val="0"/>
        <w:autoSpaceDN w:val="0"/>
        <w:adjustRightInd w:val="0"/>
        <w:spacing w:line="288" w:lineRule="auto"/>
        <w:ind w:left="426"/>
        <w:jc w:val="both"/>
        <w:rPr>
          <w:rFonts w:asciiTheme="minorHAnsi" w:hAnsiTheme="minorHAnsi"/>
          <w:sz w:val="20"/>
          <w:szCs w:val="20"/>
          <w:lang w:val="en-GB"/>
        </w:rPr>
      </w:pPr>
      <w:r w:rsidRPr="00567D26">
        <w:rPr>
          <w:rFonts w:asciiTheme="minorHAnsi" w:hAnsiTheme="minorHAnsi"/>
          <w:b/>
          <w:sz w:val="20"/>
          <w:szCs w:val="20"/>
          <w:lang w:val="en-GB"/>
        </w:rPr>
        <w:t>d) Impact funds capitalised through structural funds</w:t>
      </w:r>
      <w:r w:rsidRPr="00567D26">
        <w:rPr>
          <w:rFonts w:asciiTheme="minorHAnsi" w:hAnsiTheme="minorHAnsi"/>
          <w:sz w:val="20"/>
          <w:szCs w:val="20"/>
          <w:lang w:val="en-GB"/>
        </w:rPr>
        <w:t xml:space="preserve"> such as the recently launched Portugal Social Innovation Initiative and the Key Fund already operating in the north-east of England offer viable examples of opportunities to align the new strategy with the Cohesion Policy, leveraging structural funds.</w:t>
      </w:r>
    </w:p>
    <w:p w:rsidR="005E59A0" w:rsidRPr="00567D26" w:rsidRDefault="005E59A0" w:rsidP="007F3498">
      <w:pPr>
        <w:rPr>
          <w:rFonts w:asciiTheme="minorHAnsi" w:eastAsiaTheme="minorEastAsia" w:hAnsiTheme="minorHAnsi"/>
          <w:sz w:val="20"/>
          <w:szCs w:val="20"/>
          <w:lang w:val="en-US"/>
        </w:rPr>
      </w:pPr>
    </w:p>
    <w:p w:rsidR="00A45730" w:rsidRPr="00567D26" w:rsidRDefault="005E59A0" w:rsidP="005E59A0">
      <w:pPr>
        <w:spacing w:line="288" w:lineRule="auto"/>
        <w:jc w:val="both"/>
        <w:rPr>
          <w:rFonts w:asciiTheme="minorHAnsi" w:hAnsiTheme="minorHAnsi"/>
          <w:b/>
          <w:sz w:val="20"/>
          <w:szCs w:val="20"/>
          <w:lang w:val="en-GB"/>
        </w:rPr>
      </w:pPr>
      <w:r w:rsidRPr="00567D26">
        <w:rPr>
          <w:rFonts w:asciiTheme="minorHAnsi" w:hAnsiTheme="minorHAnsi"/>
          <w:sz w:val="20"/>
          <w:szCs w:val="20"/>
          <w:lang w:val="en-GB"/>
        </w:rPr>
        <w:t xml:space="preserve">Also </w:t>
      </w:r>
      <w:r w:rsidRPr="00567D26">
        <w:rPr>
          <w:rFonts w:asciiTheme="minorHAnsi" w:hAnsiTheme="minorHAnsi"/>
          <w:b/>
          <w:sz w:val="20"/>
          <w:szCs w:val="20"/>
          <w:lang w:val="en-GB"/>
        </w:rPr>
        <w:t>t</w:t>
      </w:r>
      <w:r w:rsidR="00A45730" w:rsidRPr="00567D26">
        <w:rPr>
          <w:rFonts w:asciiTheme="minorHAnsi" w:hAnsiTheme="minorHAnsi"/>
          <w:b/>
          <w:sz w:val="20"/>
          <w:szCs w:val="20"/>
          <w:lang w:val="en-GB"/>
        </w:rPr>
        <w:t>he</w:t>
      </w:r>
      <w:r w:rsidR="00A45730" w:rsidRPr="00567D26">
        <w:rPr>
          <w:rFonts w:asciiTheme="minorHAnsi" w:hAnsiTheme="minorHAnsi"/>
          <w:sz w:val="20"/>
          <w:szCs w:val="20"/>
          <w:lang w:val="en-GB"/>
        </w:rPr>
        <w:t xml:space="preserve"> </w:t>
      </w:r>
      <w:r w:rsidR="00A45730" w:rsidRPr="00567D26">
        <w:rPr>
          <w:rFonts w:asciiTheme="minorHAnsi" w:hAnsiTheme="minorHAnsi"/>
          <w:b/>
          <w:sz w:val="20"/>
          <w:szCs w:val="20"/>
          <w:lang w:val="en-GB"/>
        </w:rPr>
        <w:t>synergies between IPE and the Social Investment Package should be explored</w:t>
      </w:r>
      <w:r w:rsidR="007517C6" w:rsidRPr="00567D26">
        <w:rPr>
          <w:rFonts w:asciiTheme="minorHAnsi" w:hAnsiTheme="minorHAnsi"/>
          <w:b/>
          <w:sz w:val="20"/>
          <w:szCs w:val="20"/>
          <w:lang w:val="en-GB"/>
        </w:rPr>
        <w:t>.</w:t>
      </w:r>
    </w:p>
    <w:p w:rsidR="007517C6" w:rsidRPr="00567D26" w:rsidRDefault="00A45730" w:rsidP="00D03F09">
      <w:pPr>
        <w:spacing w:line="288" w:lineRule="auto"/>
        <w:jc w:val="both"/>
        <w:rPr>
          <w:rFonts w:asciiTheme="minorHAnsi" w:hAnsiTheme="minorHAnsi"/>
          <w:sz w:val="20"/>
          <w:szCs w:val="20"/>
          <w:lang w:val="en-GB"/>
        </w:rPr>
      </w:pPr>
      <w:r w:rsidRPr="00567D26">
        <w:rPr>
          <w:rFonts w:asciiTheme="minorHAnsi" w:hAnsiTheme="minorHAnsi"/>
          <w:sz w:val="20"/>
          <w:szCs w:val="20"/>
          <w:lang w:val="en-GB"/>
        </w:rPr>
        <w:t xml:space="preserve">In 2013 an </w:t>
      </w:r>
      <w:r w:rsidRPr="00567D26">
        <w:rPr>
          <w:rFonts w:asciiTheme="minorHAnsi" w:hAnsiTheme="minorHAnsi"/>
          <w:b/>
          <w:sz w:val="20"/>
          <w:szCs w:val="20"/>
          <w:lang w:val="en-GB"/>
        </w:rPr>
        <w:t>Investment Package</w:t>
      </w:r>
      <w:r w:rsidRPr="00567D26">
        <w:rPr>
          <w:rFonts w:asciiTheme="minorHAnsi" w:hAnsiTheme="minorHAnsi"/>
          <w:sz w:val="20"/>
          <w:szCs w:val="20"/>
          <w:lang w:val="en-GB"/>
        </w:rPr>
        <w:t xml:space="preserve"> was specifically issued to promote social equality and social inclusion: this is the 2013 Social Investment Package for Growth and Cohesion (SIP) which intended to 1) increase the sustainability and adequacy of social systems through simplification and better targeting; 2) pursue activation and enabling of policies through targeted, conditional and more effective support; 3) supporting specific needs arising throughout the individual’s life, with a specific attention in investing in children to address inequality and challenges faced by children through early involvement. Among the concrete measures mentioned in the document to stimulate funding in social investment a few can be considered as in line with IPE: </w:t>
      </w:r>
    </w:p>
    <w:p w:rsidR="007517C6" w:rsidRPr="00567D26" w:rsidRDefault="00A45730" w:rsidP="00607A29">
      <w:pPr>
        <w:spacing w:line="288" w:lineRule="auto"/>
        <w:ind w:left="426"/>
        <w:jc w:val="both"/>
        <w:rPr>
          <w:rFonts w:asciiTheme="minorHAnsi" w:hAnsiTheme="minorHAnsi"/>
          <w:sz w:val="20"/>
          <w:szCs w:val="20"/>
          <w:lang w:val="en-GB"/>
        </w:rPr>
      </w:pPr>
      <w:r w:rsidRPr="00567D26">
        <w:rPr>
          <w:rFonts w:asciiTheme="minorHAnsi" w:hAnsiTheme="minorHAnsi"/>
          <w:sz w:val="20"/>
          <w:szCs w:val="20"/>
          <w:lang w:val="en-GB"/>
        </w:rPr>
        <w:t xml:space="preserve">a) </w:t>
      </w:r>
      <w:r w:rsidRPr="00567D26">
        <w:rPr>
          <w:rFonts w:asciiTheme="minorHAnsi" w:hAnsiTheme="minorHAnsi"/>
          <w:b/>
          <w:sz w:val="20"/>
          <w:szCs w:val="20"/>
          <w:lang w:val="en-GB"/>
        </w:rPr>
        <w:t>Supporting social enterprises’ access to finance</w:t>
      </w:r>
      <w:r w:rsidRPr="00567D26">
        <w:rPr>
          <w:rFonts w:asciiTheme="minorHAnsi" w:hAnsiTheme="minorHAnsi"/>
          <w:sz w:val="20"/>
          <w:szCs w:val="20"/>
          <w:lang w:val="en-GB"/>
        </w:rPr>
        <w:t xml:space="preserve">: </w:t>
      </w:r>
      <w:r w:rsidR="007517C6" w:rsidRPr="00567D26">
        <w:rPr>
          <w:rFonts w:asciiTheme="minorHAnsi" w:hAnsiTheme="minorHAnsi"/>
          <w:sz w:val="20"/>
          <w:szCs w:val="20"/>
          <w:lang w:val="en-GB"/>
        </w:rPr>
        <w:t>the</w:t>
      </w:r>
      <w:r w:rsidRPr="00567D26">
        <w:rPr>
          <w:rFonts w:asciiTheme="minorHAnsi" w:hAnsiTheme="minorHAnsi"/>
          <w:sz w:val="20"/>
          <w:szCs w:val="20"/>
          <w:lang w:val="en-GB"/>
        </w:rPr>
        <w:t xml:space="preserve"> Social Entrepreneurship Funds</w:t>
      </w:r>
      <w:r w:rsidR="007517C6" w:rsidRPr="00567D26">
        <w:rPr>
          <w:rFonts w:asciiTheme="minorHAnsi" w:hAnsiTheme="minorHAnsi"/>
          <w:sz w:val="20"/>
          <w:szCs w:val="20"/>
          <w:lang w:val="en-GB"/>
        </w:rPr>
        <w:t>.</w:t>
      </w:r>
      <w:r w:rsidRPr="00567D26">
        <w:rPr>
          <w:rFonts w:asciiTheme="minorHAnsi" w:hAnsiTheme="minorHAnsi"/>
          <w:sz w:val="20"/>
          <w:szCs w:val="20"/>
          <w:lang w:val="en-GB"/>
        </w:rPr>
        <w:t xml:space="preserve"> </w:t>
      </w:r>
    </w:p>
    <w:p w:rsidR="007517C6" w:rsidRPr="00567D26" w:rsidRDefault="00A45730" w:rsidP="00607A29">
      <w:pPr>
        <w:spacing w:line="288" w:lineRule="auto"/>
        <w:ind w:left="426"/>
        <w:jc w:val="both"/>
        <w:rPr>
          <w:rFonts w:asciiTheme="minorHAnsi" w:hAnsiTheme="minorHAnsi"/>
          <w:sz w:val="20"/>
          <w:szCs w:val="20"/>
          <w:lang w:val="en-GB"/>
        </w:rPr>
      </w:pPr>
      <w:r w:rsidRPr="00567D26">
        <w:rPr>
          <w:rFonts w:asciiTheme="minorHAnsi" w:hAnsiTheme="minorHAnsi"/>
          <w:sz w:val="20"/>
          <w:szCs w:val="20"/>
          <w:lang w:val="en-GB"/>
        </w:rPr>
        <w:t xml:space="preserve">b) Exploring the use of </w:t>
      </w:r>
      <w:r w:rsidRPr="00567D26">
        <w:rPr>
          <w:rFonts w:asciiTheme="minorHAnsi" w:hAnsiTheme="minorHAnsi"/>
          <w:b/>
          <w:sz w:val="20"/>
          <w:szCs w:val="20"/>
          <w:lang w:val="en-GB"/>
        </w:rPr>
        <w:t>new financial instruments</w:t>
      </w:r>
      <w:r w:rsidRPr="00567D26">
        <w:rPr>
          <w:rFonts w:asciiTheme="minorHAnsi" w:hAnsiTheme="minorHAnsi"/>
          <w:sz w:val="20"/>
          <w:szCs w:val="20"/>
          <w:lang w:val="en-GB"/>
        </w:rPr>
        <w:t xml:space="preserve"> from private and the third sector to complement public sector efforts. </w:t>
      </w:r>
    </w:p>
    <w:p w:rsidR="00A45730" w:rsidRPr="00567D26" w:rsidRDefault="00A45730" w:rsidP="00607A29">
      <w:pPr>
        <w:spacing w:line="288" w:lineRule="auto"/>
        <w:ind w:left="426"/>
        <w:jc w:val="both"/>
        <w:rPr>
          <w:rFonts w:asciiTheme="minorHAnsi" w:hAnsiTheme="minorHAnsi"/>
          <w:sz w:val="20"/>
          <w:szCs w:val="20"/>
          <w:lang w:val="en-GB"/>
        </w:rPr>
      </w:pPr>
      <w:r w:rsidRPr="00567D26">
        <w:rPr>
          <w:rFonts w:asciiTheme="minorHAnsi" w:hAnsiTheme="minorHAnsi"/>
          <w:sz w:val="20"/>
          <w:szCs w:val="20"/>
          <w:lang w:val="en-GB"/>
        </w:rPr>
        <w:t xml:space="preserve">c) </w:t>
      </w:r>
      <w:r w:rsidRPr="00567D26">
        <w:rPr>
          <w:rFonts w:asciiTheme="minorHAnsi" w:hAnsiTheme="minorHAnsi"/>
          <w:b/>
          <w:sz w:val="20"/>
          <w:szCs w:val="20"/>
          <w:lang w:val="en-GB"/>
        </w:rPr>
        <w:t>Social Impact Bonds</w:t>
      </w:r>
      <w:r w:rsidRPr="00567D26">
        <w:rPr>
          <w:rFonts w:asciiTheme="minorHAnsi" w:hAnsiTheme="minorHAnsi"/>
          <w:sz w:val="20"/>
          <w:szCs w:val="20"/>
          <w:lang w:val="en-GB"/>
        </w:rPr>
        <w:t>, ‘which incentivise private investors to finance social programmes by offering returns from the public sector if the programmes achieve positive social outcome.’</w:t>
      </w:r>
    </w:p>
    <w:p w:rsidR="007517C6" w:rsidRPr="00567D26" w:rsidRDefault="007517C6" w:rsidP="007517C6">
      <w:pPr>
        <w:spacing w:line="288" w:lineRule="auto"/>
        <w:ind w:left="720"/>
        <w:jc w:val="both"/>
        <w:rPr>
          <w:rFonts w:asciiTheme="minorHAnsi" w:hAnsiTheme="minorHAnsi"/>
          <w:sz w:val="20"/>
          <w:szCs w:val="20"/>
          <w:lang w:val="en-GB"/>
        </w:rPr>
      </w:pPr>
    </w:p>
    <w:p w:rsidR="00A45730" w:rsidRPr="00567D26" w:rsidRDefault="00A45730" w:rsidP="00D03F09">
      <w:pPr>
        <w:spacing w:line="288" w:lineRule="auto"/>
        <w:jc w:val="both"/>
        <w:rPr>
          <w:rFonts w:asciiTheme="minorHAnsi" w:hAnsiTheme="minorHAnsi"/>
          <w:sz w:val="20"/>
          <w:szCs w:val="20"/>
          <w:lang w:val="en-GB"/>
        </w:rPr>
      </w:pPr>
      <w:r w:rsidRPr="00567D26">
        <w:rPr>
          <w:rFonts w:asciiTheme="minorHAnsi" w:hAnsiTheme="minorHAnsi"/>
          <w:sz w:val="20"/>
          <w:szCs w:val="20"/>
          <w:lang w:val="en-GB"/>
        </w:rPr>
        <w:t>Junker’s approach, as his speeches demonstrate, is moving in a direction consistent with this perspective. Unfortunately, the I</w:t>
      </w:r>
      <w:r w:rsidR="005E59A0" w:rsidRPr="00567D26">
        <w:rPr>
          <w:rFonts w:asciiTheme="minorHAnsi" w:hAnsiTheme="minorHAnsi"/>
          <w:sz w:val="20"/>
          <w:szCs w:val="20"/>
          <w:lang w:val="en-GB"/>
        </w:rPr>
        <w:t>PE</w:t>
      </w:r>
      <w:r w:rsidRPr="00567D26">
        <w:rPr>
          <w:rFonts w:asciiTheme="minorHAnsi" w:hAnsiTheme="minorHAnsi"/>
          <w:sz w:val="20"/>
          <w:szCs w:val="20"/>
          <w:lang w:val="en-GB"/>
        </w:rPr>
        <w:t xml:space="preserve"> has not taken this preliminary experience into consideration, not even for principles to be applied to integrate growth and fight inequality, but it represents a way forward for the elaboration of an EFSI 3.0 to be more socially driven.</w:t>
      </w:r>
    </w:p>
    <w:p w:rsidR="00607A29" w:rsidRPr="00567D26" w:rsidRDefault="00607A29" w:rsidP="003008BF">
      <w:pPr>
        <w:autoSpaceDE w:val="0"/>
        <w:autoSpaceDN w:val="0"/>
        <w:adjustRightInd w:val="0"/>
        <w:spacing w:line="288" w:lineRule="auto"/>
        <w:jc w:val="both"/>
        <w:rPr>
          <w:rFonts w:asciiTheme="minorHAnsi" w:hAnsiTheme="minorHAnsi"/>
          <w:b/>
          <w:sz w:val="20"/>
          <w:szCs w:val="20"/>
          <w:lang w:val="en-GB"/>
        </w:rPr>
      </w:pPr>
    </w:p>
    <w:p w:rsidR="003008BF" w:rsidRPr="00567D26" w:rsidRDefault="003008BF" w:rsidP="003008BF">
      <w:pPr>
        <w:autoSpaceDE w:val="0"/>
        <w:autoSpaceDN w:val="0"/>
        <w:adjustRightInd w:val="0"/>
        <w:spacing w:line="288" w:lineRule="auto"/>
        <w:jc w:val="both"/>
        <w:rPr>
          <w:rFonts w:asciiTheme="minorHAnsi" w:hAnsiTheme="minorHAnsi"/>
          <w:b/>
          <w:sz w:val="20"/>
          <w:szCs w:val="20"/>
          <w:lang w:val="en-GB"/>
        </w:rPr>
      </w:pPr>
      <w:r w:rsidRPr="00567D26">
        <w:rPr>
          <w:rFonts w:asciiTheme="minorHAnsi" w:hAnsiTheme="minorHAnsi"/>
          <w:b/>
          <w:sz w:val="20"/>
          <w:szCs w:val="20"/>
          <w:lang w:val="en-GB"/>
        </w:rPr>
        <w:t>At the same time a risk that should be avoided is that while working on the convergence between the different EU Funds</w:t>
      </w:r>
      <w:r w:rsidR="00607A29" w:rsidRPr="00567D26">
        <w:rPr>
          <w:rFonts w:asciiTheme="minorHAnsi" w:hAnsiTheme="minorHAnsi"/>
          <w:b/>
          <w:sz w:val="20"/>
          <w:szCs w:val="20"/>
          <w:lang w:val="en-GB"/>
        </w:rPr>
        <w:t>,</w:t>
      </w:r>
      <w:r w:rsidRPr="00567D26">
        <w:rPr>
          <w:rFonts w:asciiTheme="minorHAnsi" w:hAnsiTheme="minorHAnsi"/>
          <w:b/>
          <w:sz w:val="20"/>
          <w:szCs w:val="20"/>
          <w:lang w:val="en-GB"/>
        </w:rPr>
        <w:t xml:space="preserve"> ESIF lose</w:t>
      </w:r>
      <w:r w:rsidR="00607A29" w:rsidRPr="00567D26">
        <w:rPr>
          <w:rFonts w:asciiTheme="minorHAnsi" w:hAnsiTheme="minorHAnsi"/>
          <w:b/>
          <w:sz w:val="20"/>
          <w:szCs w:val="20"/>
          <w:lang w:val="en-GB"/>
        </w:rPr>
        <w:t>s</w:t>
      </w:r>
      <w:r w:rsidRPr="00567D26">
        <w:rPr>
          <w:rFonts w:asciiTheme="minorHAnsi" w:hAnsiTheme="minorHAnsi"/>
          <w:b/>
          <w:sz w:val="20"/>
          <w:szCs w:val="20"/>
          <w:lang w:val="en-GB"/>
        </w:rPr>
        <w:t xml:space="preserve"> its specific attention to support EU social challenges through grants able to support public funding.</w:t>
      </w:r>
    </w:p>
    <w:p w:rsidR="007F3498" w:rsidRPr="00567D26" w:rsidRDefault="007F3498" w:rsidP="007F3498">
      <w:pPr>
        <w:rPr>
          <w:rFonts w:asciiTheme="minorHAnsi" w:hAnsiTheme="minorHAnsi"/>
          <w:sz w:val="20"/>
          <w:szCs w:val="20"/>
          <w:lang w:val="en-US"/>
        </w:rPr>
      </w:pPr>
      <w:bookmarkStart w:id="16" w:name="_Toc466458120"/>
    </w:p>
    <w:p w:rsidR="00607A29" w:rsidRPr="00567D26" w:rsidRDefault="00607A29" w:rsidP="007F3498">
      <w:pPr>
        <w:rPr>
          <w:rFonts w:asciiTheme="minorHAnsi" w:hAnsiTheme="minorHAnsi"/>
          <w:sz w:val="20"/>
          <w:szCs w:val="20"/>
          <w:lang w:val="en-US"/>
        </w:rPr>
      </w:pPr>
    </w:p>
    <w:p w:rsidR="00A45730" w:rsidRPr="00567D26" w:rsidRDefault="00A45730" w:rsidP="00407388">
      <w:pPr>
        <w:pStyle w:val="Nadpis3"/>
        <w:keepNext/>
        <w:rPr>
          <w:rFonts w:asciiTheme="minorHAnsi" w:hAnsiTheme="minorHAnsi"/>
          <w:sz w:val="20"/>
          <w:szCs w:val="20"/>
        </w:rPr>
      </w:pPr>
      <w:bookmarkStart w:id="17" w:name="_Toc467849892"/>
      <w:r w:rsidRPr="00567D26">
        <w:rPr>
          <w:rFonts w:asciiTheme="minorHAnsi" w:hAnsiTheme="minorHAnsi"/>
          <w:sz w:val="20"/>
          <w:szCs w:val="20"/>
        </w:rPr>
        <w:t>Long-term investment plans at national and EU levels should be introduced</w:t>
      </w:r>
      <w:bookmarkEnd w:id="16"/>
      <w:bookmarkEnd w:id="17"/>
    </w:p>
    <w:p w:rsidR="007F3498" w:rsidRPr="00567D26" w:rsidRDefault="007F3498" w:rsidP="00407388">
      <w:pPr>
        <w:keepNext/>
        <w:rPr>
          <w:rFonts w:asciiTheme="minorHAnsi" w:hAnsiTheme="minorHAnsi"/>
          <w:sz w:val="20"/>
          <w:szCs w:val="20"/>
          <w:lang w:val="en-US" w:eastAsia="en-US"/>
        </w:rPr>
      </w:pPr>
    </w:p>
    <w:p w:rsidR="00A45730" w:rsidRPr="00567D26" w:rsidRDefault="00A45730" w:rsidP="00D03F09">
      <w:pPr>
        <w:spacing w:line="288" w:lineRule="auto"/>
        <w:jc w:val="both"/>
        <w:rPr>
          <w:rFonts w:asciiTheme="minorHAnsi" w:hAnsiTheme="minorHAnsi"/>
          <w:sz w:val="20"/>
          <w:szCs w:val="20"/>
          <w:lang w:val="en-GB"/>
        </w:rPr>
      </w:pPr>
      <w:r w:rsidRPr="00567D26">
        <w:rPr>
          <w:rFonts w:asciiTheme="minorHAnsi" w:hAnsiTheme="minorHAnsi"/>
          <w:sz w:val="20"/>
          <w:szCs w:val="20"/>
          <w:lang w:val="en-GB"/>
        </w:rPr>
        <w:t xml:space="preserve">The individuation of social criteria and priorities requires the drafting of </w:t>
      </w:r>
      <w:r w:rsidRPr="00567D26">
        <w:rPr>
          <w:rFonts w:asciiTheme="minorHAnsi" w:hAnsiTheme="minorHAnsi"/>
          <w:b/>
          <w:sz w:val="20"/>
          <w:szCs w:val="20"/>
          <w:lang w:val="en-GB"/>
        </w:rPr>
        <w:t>long-term investment plans</w:t>
      </w:r>
      <w:r w:rsidRPr="00567D26">
        <w:rPr>
          <w:rFonts w:asciiTheme="minorHAnsi" w:hAnsiTheme="minorHAnsi"/>
          <w:sz w:val="20"/>
          <w:szCs w:val="20"/>
          <w:lang w:val="en-GB"/>
        </w:rPr>
        <w:t xml:space="preserve"> at national and EU levels, detailing the projects that have priority for implementation. These plans should be drawn up with the involvement of social stakeholders and social investors in order to assess what part could be funded by private investors.</w:t>
      </w:r>
    </w:p>
    <w:p w:rsidR="00A45730" w:rsidRPr="00567D26" w:rsidRDefault="00A45730" w:rsidP="00D03F09">
      <w:pPr>
        <w:spacing w:line="288" w:lineRule="auto"/>
        <w:jc w:val="both"/>
        <w:rPr>
          <w:rFonts w:asciiTheme="minorHAnsi" w:hAnsiTheme="minorHAnsi"/>
          <w:sz w:val="20"/>
          <w:szCs w:val="20"/>
          <w:lang w:val="en-GB"/>
        </w:rPr>
      </w:pPr>
      <w:r w:rsidRPr="00567D26">
        <w:rPr>
          <w:rFonts w:asciiTheme="minorHAnsi" w:hAnsiTheme="minorHAnsi"/>
          <w:sz w:val="20"/>
          <w:szCs w:val="20"/>
          <w:lang w:val="en-GB"/>
        </w:rPr>
        <w:t xml:space="preserve">EFSI projects are by definition </w:t>
      </w:r>
      <w:r w:rsidRPr="00567D26">
        <w:rPr>
          <w:rFonts w:asciiTheme="minorHAnsi" w:hAnsiTheme="minorHAnsi"/>
          <w:b/>
          <w:sz w:val="20"/>
          <w:szCs w:val="20"/>
          <w:lang w:val="en-GB"/>
        </w:rPr>
        <w:t>market driven</w:t>
      </w:r>
      <w:r w:rsidRPr="00567D26">
        <w:rPr>
          <w:rFonts w:asciiTheme="minorHAnsi" w:hAnsiTheme="minorHAnsi"/>
          <w:sz w:val="20"/>
          <w:szCs w:val="20"/>
          <w:lang w:val="en-GB"/>
        </w:rPr>
        <w:t xml:space="preserve"> and for this reason they are not expected to answer to the social challenges Europe is facing, but only to market needs: as some of the interviewees have stated, this is the role to be </w:t>
      </w:r>
      <w:r w:rsidRPr="00567D26">
        <w:rPr>
          <w:rFonts w:asciiTheme="minorHAnsi" w:hAnsiTheme="minorHAnsi"/>
          <w:sz w:val="20"/>
          <w:szCs w:val="20"/>
          <w:lang w:val="en-GB"/>
        </w:rPr>
        <w:lastRenderedPageBreak/>
        <w:t xml:space="preserve">played by public institutions and by public investments. Private investments aim to provide a revenue for investors and social infrastructures are generally not intended to pursue this objective. According to this perspective the EU is already widely supporting initiatives aimed at tackling societal challenges through ESIF. EFSI is not a suitable tool to pursue such an objective, even if </w:t>
      </w:r>
      <w:r w:rsidR="001B2063" w:rsidRPr="00567D26">
        <w:rPr>
          <w:rFonts w:asciiTheme="minorHAnsi" w:hAnsiTheme="minorHAnsi"/>
          <w:sz w:val="20"/>
          <w:szCs w:val="20"/>
          <w:lang w:val="en-GB"/>
        </w:rPr>
        <w:t>projects</w:t>
      </w:r>
      <w:r w:rsidRPr="00567D26">
        <w:rPr>
          <w:rFonts w:asciiTheme="minorHAnsi" w:hAnsiTheme="minorHAnsi"/>
          <w:sz w:val="20"/>
          <w:szCs w:val="20"/>
          <w:lang w:val="en-GB"/>
        </w:rPr>
        <w:t xml:space="preserve"> are assessed for their contribution to EFSI policy objectives. That said, projects are guaranteed by public funding and aim to promote a cohesive and sustainable growth. Even within private f</w:t>
      </w:r>
      <w:r w:rsidR="001B2063" w:rsidRPr="00567D26">
        <w:rPr>
          <w:rFonts w:asciiTheme="minorHAnsi" w:hAnsiTheme="minorHAnsi"/>
          <w:sz w:val="20"/>
          <w:szCs w:val="20"/>
          <w:lang w:val="en-GB"/>
        </w:rPr>
        <w:t>u</w:t>
      </w:r>
      <w:r w:rsidRPr="00567D26">
        <w:rPr>
          <w:rFonts w:asciiTheme="minorHAnsi" w:hAnsiTheme="minorHAnsi"/>
          <w:sz w:val="20"/>
          <w:szCs w:val="20"/>
          <w:lang w:val="en-GB"/>
        </w:rPr>
        <w:t>nding there is room to pursue social values. This happens in the real economy in any EU countr</w:t>
      </w:r>
      <w:r w:rsidR="001B2063" w:rsidRPr="00567D26">
        <w:rPr>
          <w:rFonts w:asciiTheme="minorHAnsi" w:hAnsiTheme="minorHAnsi"/>
          <w:sz w:val="20"/>
          <w:szCs w:val="20"/>
          <w:lang w:val="en-GB"/>
        </w:rPr>
        <w:t>y</w:t>
      </w:r>
      <w:r w:rsidRPr="00567D26">
        <w:rPr>
          <w:rFonts w:asciiTheme="minorHAnsi" w:hAnsiTheme="minorHAnsi"/>
          <w:sz w:val="20"/>
          <w:szCs w:val="20"/>
          <w:lang w:val="en-GB"/>
        </w:rPr>
        <w:t xml:space="preserve"> when for example to build new houses the investor and the company are asked to pay the </w:t>
      </w:r>
      <w:r w:rsidRPr="00567D26">
        <w:rPr>
          <w:rFonts w:asciiTheme="minorHAnsi" w:hAnsiTheme="minorHAnsi"/>
          <w:color w:val="222222"/>
          <w:sz w:val="20"/>
          <w:szCs w:val="20"/>
          <w:lang w:val="en-GB"/>
        </w:rPr>
        <w:t>infrastructure costs</w:t>
      </w:r>
      <w:r w:rsidRPr="00567D26">
        <w:rPr>
          <w:rFonts w:asciiTheme="minorHAnsi" w:hAnsiTheme="minorHAnsi"/>
          <w:sz w:val="20"/>
          <w:szCs w:val="20"/>
          <w:lang w:val="en-GB"/>
        </w:rPr>
        <w:t>.</w:t>
      </w:r>
    </w:p>
    <w:p w:rsidR="00A45730" w:rsidRPr="00567D26" w:rsidRDefault="00A45730" w:rsidP="00D03F09">
      <w:pPr>
        <w:spacing w:line="288" w:lineRule="auto"/>
        <w:jc w:val="both"/>
        <w:rPr>
          <w:rFonts w:asciiTheme="minorHAnsi" w:hAnsiTheme="minorHAnsi"/>
          <w:sz w:val="20"/>
          <w:szCs w:val="20"/>
          <w:lang w:val="en-GB"/>
        </w:rPr>
      </w:pPr>
      <w:r w:rsidRPr="00567D26">
        <w:rPr>
          <w:rFonts w:asciiTheme="minorHAnsi" w:hAnsiTheme="minorHAnsi"/>
          <w:sz w:val="20"/>
          <w:szCs w:val="20"/>
          <w:lang w:val="en-GB"/>
        </w:rPr>
        <w:t xml:space="preserve">A </w:t>
      </w:r>
      <w:r w:rsidRPr="00567D26">
        <w:rPr>
          <w:rFonts w:asciiTheme="minorHAnsi" w:hAnsiTheme="minorHAnsi"/>
          <w:b/>
          <w:sz w:val="20"/>
          <w:szCs w:val="20"/>
          <w:lang w:val="en-GB"/>
        </w:rPr>
        <w:t>coordination at the national level of investments</w:t>
      </w:r>
      <w:r w:rsidRPr="00567D26">
        <w:rPr>
          <w:rFonts w:asciiTheme="minorHAnsi" w:hAnsiTheme="minorHAnsi"/>
          <w:sz w:val="20"/>
          <w:szCs w:val="20"/>
          <w:lang w:val="en-GB"/>
        </w:rPr>
        <w:t xml:space="preserve"> to be supported by EFSI would represent a relevant added value. </w:t>
      </w:r>
    </w:p>
    <w:p w:rsidR="00A45730" w:rsidRPr="00567D26" w:rsidRDefault="00A45730" w:rsidP="003E6953">
      <w:pPr>
        <w:pStyle w:val="Odstavecseseznamem"/>
        <w:numPr>
          <w:ilvl w:val="0"/>
          <w:numId w:val="16"/>
        </w:numPr>
        <w:spacing w:after="0" w:line="288" w:lineRule="auto"/>
        <w:jc w:val="both"/>
        <w:rPr>
          <w:rFonts w:asciiTheme="minorHAnsi" w:hAnsiTheme="minorHAnsi" w:cs="Times New Roman"/>
          <w:sz w:val="20"/>
          <w:szCs w:val="20"/>
          <w:lang w:val="en-GB"/>
        </w:rPr>
      </w:pPr>
      <w:r w:rsidRPr="00567D26">
        <w:rPr>
          <w:rFonts w:asciiTheme="minorHAnsi" w:hAnsiTheme="minorHAnsi" w:cs="Times New Roman"/>
          <w:sz w:val="20"/>
          <w:szCs w:val="20"/>
          <w:lang w:val="en-GB"/>
        </w:rPr>
        <w:t xml:space="preserve">An assessment of </w:t>
      </w:r>
      <w:r w:rsidR="00ED659C" w:rsidRPr="00567D26">
        <w:rPr>
          <w:rFonts w:asciiTheme="minorHAnsi" w:hAnsiTheme="minorHAnsi" w:cs="Times New Roman"/>
          <w:sz w:val="20"/>
          <w:szCs w:val="20"/>
          <w:lang w:val="en-GB"/>
        </w:rPr>
        <w:t>projects</w:t>
      </w:r>
      <w:r w:rsidRPr="00567D26">
        <w:rPr>
          <w:rFonts w:asciiTheme="minorHAnsi" w:hAnsiTheme="minorHAnsi" w:cs="Times New Roman"/>
          <w:sz w:val="20"/>
          <w:szCs w:val="20"/>
          <w:lang w:val="en-GB"/>
        </w:rPr>
        <w:t xml:space="preserve"> direct and indirect social impact</w:t>
      </w:r>
      <w:r w:rsidR="00ED659C" w:rsidRPr="00567D26">
        <w:rPr>
          <w:rFonts w:asciiTheme="minorHAnsi" w:hAnsiTheme="minorHAnsi" w:cs="Times New Roman"/>
          <w:sz w:val="20"/>
          <w:szCs w:val="20"/>
          <w:lang w:val="en-GB"/>
        </w:rPr>
        <w:t>,</w:t>
      </w:r>
      <w:r w:rsidRPr="00567D26">
        <w:rPr>
          <w:rFonts w:asciiTheme="minorHAnsi" w:hAnsiTheme="minorHAnsi" w:cs="Times New Roman"/>
          <w:sz w:val="20"/>
          <w:szCs w:val="20"/>
          <w:lang w:val="en-GB"/>
        </w:rPr>
        <w:t xml:space="preserve"> to be determined through a coordination with national/local stakeholders where the projects will be deployed</w:t>
      </w:r>
      <w:r w:rsidR="00ED659C" w:rsidRPr="00567D26">
        <w:rPr>
          <w:rFonts w:asciiTheme="minorHAnsi" w:hAnsiTheme="minorHAnsi" w:cs="Times New Roman"/>
          <w:sz w:val="20"/>
          <w:szCs w:val="20"/>
          <w:lang w:val="en-GB"/>
        </w:rPr>
        <w:t>,</w:t>
      </w:r>
      <w:r w:rsidRPr="00567D26">
        <w:rPr>
          <w:rFonts w:asciiTheme="minorHAnsi" w:hAnsiTheme="minorHAnsi" w:cs="Times New Roman"/>
          <w:sz w:val="20"/>
          <w:szCs w:val="20"/>
          <w:lang w:val="en-GB"/>
        </w:rPr>
        <w:t xml:space="preserve"> could determine the creation of additional multiplier effects of funds dedicated to EFSI. </w:t>
      </w:r>
    </w:p>
    <w:p w:rsidR="00A45730" w:rsidRPr="00567D26" w:rsidRDefault="00A45730" w:rsidP="00D03F09">
      <w:pPr>
        <w:pStyle w:val="elencopuntato"/>
        <w:jc w:val="both"/>
        <w:rPr>
          <w:rFonts w:asciiTheme="minorHAnsi" w:hAnsiTheme="minorHAnsi"/>
          <w:sz w:val="20"/>
          <w:szCs w:val="20"/>
          <w:lang w:val="en-GB"/>
        </w:rPr>
      </w:pPr>
      <w:r w:rsidRPr="00567D26">
        <w:rPr>
          <w:rFonts w:asciiTheme="minorHAnsi" w:hAnsiTheme="minorHAnsi"/>
          <w:sz w:val="20"/>
          <w:szCs w:val="20"/>
          <w:lang w:val="en-GB"/>
        </w:rPr>
        <w:t xml:space="preserve">The presence at country level of a national coordination structure, or of a contact point, could help to enhance the added value of each project to the national strategy </w:t>
      </w:r>
      <w:r w:rsidR="00ED659C" w:rsidRPr="00567D26">
        <w:rPr>
          <w:rFonts w:asciiTheme="minorHAnsi" w:hAnsiTheme="minorHAnsi"/>
          <w:sz w:val="20"/>
          <w:szCs w:val="20"/>
          <w:lang w:val="en-GB"/>
        </w:rPr>
        <w:t>drawn to</w:t>
      </w:r>
      <w:r w:rsidRPr="00567D26">
        <w:rPr>
          <w:rFonts w:asciiTheme="minorHAnsi" w:hAnsiTheme="minorHAnsi"/>
          <w:sz w:val="20"/>
          <w:szCs w:val="20"/>
          <w:lang w:val="en-GB"/>
        </w:rPr>
        <w:t xml:space="preserve"> better respond to the specific challenges each country is facing, while merging the available opportunities.</w:t>
      </w:r>
    </w:p>
    <w:p w:rsidR="00567D26" w:rsidRPr="00567D26" w:rsidRDefault="00567D26" w:rsidP="008573AC">
      <w:pPr>
        <w:pStyle w:val="Normlnweb"/>
        <w:spacing w:before="0" w:beforeAutospacing="0" w:after="120" w:afterAutospacing="0" w:line="288" w:lineRule="auto"/>
        <w:jc w:val="both"/>
        <w:rPr>
          <w:rFonts w:asciiTheme="minorHAnsi" w:eastAsiaTheme="minorEastAsia" w:hAnsiTheme="minorHAnsi"/>
          <w:sz w:val="20"/>
          <w:szCs w:val="20"/>
          <w:lang w:val="en-GB" w:eastAsia="en-US"/>
        </w:rPr>
      </w:pPr>
    </w:p>
    <w:p w:rsidR="003C68D6" w:rsidRPr="0026556A" w:rsidRDefault="009453A3" w:rsidP="00407388">
      <w:pPr>
        <w:pStyle w:val="Nadpis3"/>
        <w:keepNext/>
        <w:rPr>
          <w:rFonts w:asciiTheme="minorHAnsi" w:hAnsiTheme="minorHAnsi"/>
          <w:sz w:val="20"/>
          <w:szCs w:val="20"/>
        </w:rPr>
      </w:pPr>
      <w:r w:rsidRPr="0026556A">
        <w:rPr>
          <w:rFonts w:asciiTheme="minorHAnsi" w:hAnsiTheme="minorHAnsi"/>
          <w:sz w:val="20"/>
          <w:szCs w:val="20"/>
        </w:rPr>
        <w:t>G</w:t>
      </w:r>
      <w:r w:rsidR="00A45730" w:rsidRPr="0026556A">
        <w:rPr>
          <w:rFonts w:asciiTheme="minorHAnsi" w:hAnsiTheme="minorHAnsi"/>
          <w:sz w:val="20"/>
          <w:szCs w:val="20"/>
        </w:rPr>
        <w:t>ood governance and efficient processes</w:t>
      </w:r>
      <w:r w:rsidRPr="0026556A">
        <w:rPr>
          <w:rFonts w:asciiTheme="minorHAnsi" w:hAnsiTheme="minorHAnsi"/>
          <w:sz w:val="20"/>
          <w:szCs w:val="20"/>
        </w:rPr>
        <w:t xml:space="preserve"> should be ensured</w:t>
      </w:r>
    </w:p>
    <w:p w:rsidR="007F3498" w:rsidRPr="00567D26" w:rsidRDefault="007F3498" w:rsidP="00407388">
      <w:pPr>
        <w:keepNext/>
        <w:rPr>
          <w:rFonts w:asciiTheme="minorHAnsi" w:hAnsiTheme="minorHAnsi"/>
          <w:sz w:val="20"/>
          <w:szCs w:val="20"/>
          <w:lang w:val="en-US" w:eastAsia="en-US"/>
        </w:rPr>
      </w:pPr>
    </w:p>
    <w:p w:rsidR="00CC1B88" w:rsidRPr="00567D26" w:rsidRDefault="00CC1B88" w:rsidP="00CC1B88">
      <w:pPr>
        <w:spacing w:line="288" w:lineRule="auto"/>
        <w:jc w:val="both"/>
        <w:rPr>
          <w:rFonts w:asciiTheme="minorHAnsi" w:hAnsiTheme="minorHAnsi"/>
          <w:sz w:val="20"/>
          <w:szCs w:val="20"/>
          <w:lang w:val="en-GB" w:eastAsia="en-US"/>
        </w:rPr>
      </w:pPr>
      <w:r w:rsidRPr="00567D26">
        <w:rPr>
          <w:rFonts w:asciiTheme="minorHAnsi" w:hAnsiTheme="minorHAnsi"/>
          <w:sz w:val="20"/>
          <w:szCs w:val="20"/>
          <w:lang w:val="en-GB"/>
        </w:rPr>
        <w:t xml:space="preserve">The Juncker </w:t>
      </w:r>
      <w:r w:rsidR="009453A3" w:rsidRPr="00567D26">
        <w:rPr>
          <w:rFonts w:asciiTheme="minorHAnsi" w:hAnsiTheme="minorHAnsi"/>
          <w:sz w:val="20"/>
          <w:szCs w:val="20"/>
          <w:lang w:val="en-GB"/>
        </w:rPr>
        <w:t>P</w:t>
      </w:r>
      <w:r w:rsidRPr="00567D26">
        <w:rPr>
          <w:rFonts w:asciiTheme="minorHAnsi" w:hAnsiTheme="minorHAnsi"/>
          <w:sz w:val="20"/>
          <w:szCs w:val="20"/>
          <w:lang w:val="en-GB"/>
        </w:rPr>
        <w:t>lan is conceived with a minimal need for new institutions; decisions are taken by an investment committee made up of independent market experts. According to D. Natali and B. Vanhercke (2015) ‘the general picture is that of a very simple organisational and governance structure with investment decisions well removed from direct political influence’</w:t>
      </w:r>
      <w:r w:rsidRPr="00567D26">
        <w:rPr>
          <w:rStyle w:val="Znakapoznpodarou"/>
          <w:rFonts w:asciiTheme="minorHAnsi" w:hAnsiTheme="minorHAnsi"/>
          <w:sz w:val="20"/>
          <w:szCs w:val="20"/>
          <w:lang w:val="en-GB"/>
        </w:rPr>
        <w:footnoteReference w:id="33"/>
      </w:r>
      <w:r w:rsidRPr="00567D26">
        <w:rPr>
          <w:rFonts w:asciiTheme="minorHAnsi" w:hAnsiTheme="minorHAnsi"/>
          <w:sz w:val="20"/>
          <w:szCs w:val="20"/>
          <w:lang w:val="en-GB"/>
        </w:rPr>
        <w:t>.</w:t>
      </w:r>
      <w:r w:rsidR="00ED12A8" w:rsidRPr="00567D26">
        <w:rPr>
          <w:rFonts w:asciiTheme="minorHAnsi" w:hAnsiTheme="minorHAnsi"/>
          <w:sz w:val="20"/>
          <w:szCs w:val="20"/>
          <w:lang w:val="en-GB"/>
        </w:rPr>
        <w:t xml:space="preserve"> ‘Given the time constraints to implement EFSI, the EIB endeavoured to keep additional EFSI-specific procedures as light as possible in order to avoid unnecessary additional work and administrative burden, while efficiently implementing EFSI’</w:t>
      </w:r>
      <w:r w:rsidR="00ED12A8" w:rsidRPr="00567D26">
        <w:rPr>
          <w:rStyle w:val="Znakapoznpodarou"/>
          <w:rFonts w:asciiTheme="minorHAnsi" w:hAnsiTheme="minorHAnsi"/>
          <w:sz w:val="20"/>
          <w:szCs w:val="20"/>
          <w:lang w:val="en-GB"/>
        </w:rPr>
        <w:footnoteReference w:id="34"/>
      </w:r>
      <w:r w:rsidR="00ED12A8" w:rsidRPr="00567D26">
        <w:rPr>
          <w:rFonts w:asciiTheme="minorHAnsi" w:hAnsiTheme="minorHAnsi"/>
          <w:sz w:val="20"/>
          <w:szCs w:val="20"/>
          <w:lang w:val="en-GB"/>
        </w:rPr>
        <w:t>.</w:t>
      </w:r>
    </w:p>
    <w:p w:rsidR="00CC1B88" w:rsidRPr="00567D26" w:rsidRDefault="00CC1B88" w:rsidP="003C68D6">
      <w:pPr>
        <w:rPr>
          <w:rFonts w:asciiTheme="minorHAnsi" w:hAnsiTheme="minorHAnsi"/>
          <w:sz w:val="20"/>
          <w:szCs w:val="20"/>
          <w:lang w:val="en-GB" w:eastAsia="en-US"/>
        </w:rPr>
      </w:pPr>
    </w:p>
    <w:p w:rsidR="00A45730" w:rsidRPr="00567D26" w:rsidRDefault="00A45730" w:rsidP="00407388">
      <w:pPr>
        <w:keepNext/>
        <w:jc w:val="both"/>
        <w:rPr>
          <w:rFonts w:asciiTheme="minorHAnsi" w:eastAsiaTheme="minorEastAsia" w:hAnsiTheme="minorHAnsi"/>
          <w:sz w:val="20"/>
          <w:szCs w:val="20"/>
          <w:lang w:val="en-GB" w:eastAsia="en-US"/>
        </w:rPr>
      </w:pPr>
      <w:r w:rsidRPr="00567D26">
        <w:rPr>
          <w:rFonts w:asciiTheme="minorHAnsi" w:eastAsiaTheme="minorEastAsia" w:hAnsiTheme="minorHAnsi"/>
          <w:b/>
          <w:sz w:val="20"/>
          <w:szCs w:val="20"/>
          <w:lang w:val="en-GB" w:eastAsia="en-US"/>
        </w:rPr>
        <w:t>The need for an increased transparency</w:t>
      </w:r>
      <w:r w:rsidRPr="00567D26">
        <w:rPr>
          <w:rFonts w:asciiTheme="minorHAnsi" w:eastAsiaTheme="minorEastAsia" w:hAnsiTheme="minorHAnsi"/>
          <w:sz w:val="20"/>
          <w:szCs w:val="20"/>
          <w:lang w:val="en-GB" w:eastAsia="en-US"/>
        </w:rPr>
        <w:t xml:space="preserve"> emerges from the debate at all levels.</w:t>
      </w:r>
    </w:p>
    <w:p w:rsidR="00A45730" w:rsidRPr="00567D26" w:rsidRDefault="00A45730" w:rsidP="003E6953">
      <w:pPr>
        <w:pStyle w:val="Odstavecseseznamem"/>
        <w:numPr>
          <w:ilvl w:val="0"/>
          <w:numId w:val="15"/>
        </w:numPr>
        <w:spacing w:after="0" w:line="288" w:lineRule="auto"/>
        <w:jc w:val="both"/>
        <w:rPr>
          <w:rFonts w:asciiTheme="minorHAnsi" w:hAnsiTheme="minorHAnsi" w:cs="Times New Roman"/>
          <w:sz w:val="20"/>
          <w:szCs w:val="20"/>
          <w:lang w:val="en-GB" w:eastAsia="en-US"/>
        </w:rPr>
      </w:pPr>
      <w:r w:rsidRPr="00567D26">
        <w:rPr>
          <w:rFonts w:asciiTheme="minorHAnsi" w:hAnsiTheme="minorHAnsi" w:cs="Times New Roman"/>
          <w:sz w:val="20"/>
          <w:szCs w:val="20"/>
          <w:lang w:val="en-GB"/>
        </w:rPr>
        <w:t>As evidenced by EESC ‘none of the objectives are transparent and comprehensible, or can easily be monitored by economic and social and civil society stakeholders.’</w:t>
      </w:r>
    </w:p>
    <w:p w:rsidR="00A45730" w:rsidRPr="00567D26" w:rsidRDefault="00A45730" w:rsidP="003E6953">
      <w:pPr>
        <w:pStyle w:val="Odstavecseseznamem"/>
        <w:numPr>
          <w:ilvl w:val="0"/>
          <w:numId w:val="15"/>
        </w:numPr>
        <w:spacing w:after="0" w:line="288" w:lineRule="auto"/>
        <w:jc w:val="both"/>
        <w:rPr>
          <w:rFonts w:asciiTheme="minorHAnsi" w:hAnsiTheme="minorHAnsi" w:cs="Times New Roman"/>
          <w:sz w:val="20"/>
          <w:szCs w:val="20"/>
          <w:lang w:val="en-GB" w:eastAsia="en-US"/>
        </w:rPr>
      </w:pPr>
      <w:r w:rsidRPr="00567D26">
        <w:rPr>
          <w:rFonts w:asciiTheme="minorHAnsi" w:hAnsiTheme="minorHAnsi" w:cs="Times New Roman"/>
          <w:sz w:val="20"/>
          <w:szCs w:val="20"/>
          <w:lang w:val="en-GB"/>
        </w:rPr>
        <w:t xml:space="preserve">While the Structural Funds are implemented through highly bureaucratic mechanisms supported by monitoring and analyses tools, and by implementation agencies acting at national level, ‘the new governance mechanism of the recently-established EFSI lies outside the European Commission framework … setting up a new development-oriented governance system could lead to closer coordination and open cooperation </w:t>
      </w:r>
      <w:r w:rsidR="00D97169" w:rsidRPr="00567D26">
        <w:rPr>
          <w:rFonts w:asciiTheme="minorHAnsi" w:hAnsiTheme="minorHAnsi" w:cs="Times New Roman"/>
          <w:sz w:val="20"/>
          <w:szCs w:val="20"/>
          <w:lang w:val="en-GB"/>
        </w:rPr>
        <w:t>between the relevant partners’</w:t>
      </w:r>
      <w:r w:rsidRPr="00567D26">
        <w:rPr>
          <w:rFonts w:asciiTheme="minorHAnsi" w:hAnsiTheme="minorHAnsi" w:cs="Times New Roman"/>
          <w:sz w:val="20"/>
          <w:szCs w:val="20"/>
          <w:vertAlign w:val="superscript"/>
          <w:lang w:val="en-GB"/>
        </w:rPr>
        <w:footnoteReference w:id="35"/>
      </w:r>
      <w:r w:rsidRPr="00567D26">
        <w:rPr>
          <w:rFonts w:asciiTheme="minorHAnsi" w:hAnsiTheme="minorHAnsi" w:cs="Times New Roman"/>
          <w:sz w:val="20"/>
          <w:szCs w:val="20"/>
          <w:lang w:val="en-GB"/>
        </w:rPr>
        <w:t>.</w:t>
      </w:r>
    </w:p>
    <w:p w:rsidR="00A45730" w:rsidRPr="00567D26" w:rsidRDefault="00A45730" w:rsidP="003E6953">
      <w:pPr>
        <w:pStyle w:val="Odstavecseseznamem"/>
        <w:numPr>
          <w:ilvl w:val="0"/>
          <w:numId w:val="15"/>
        </w:numPr>
        <w:spacing w:after="0" w:line="288" w:lineRule="auto"/>
        <w:jc w:val="both"/>
        <w:rPr>
          <w:rFonts w:asciiTheme="minorHAnsi" w:hAnsiTheme="minorHAnsi" w:cs="Times New Roman"/>
          <w:i/>
          <w:sz w:val="20"/>
          <w:szCs w:val="20"/>
          <w:lang w:val="en-GB"/>
        </w:rPr>
      </w:pPr>
      <w:r w:rsidRPr="00567D26">
        <w:rPr>
          <w:rFonts w:asciiTheme="minorHAnsi" w:hAnsiTheme="minorHAnsi" w:cs="Times New Roman"/>
          <w:sz w:val="20"/>
          <w:szCs w:val="20"/>
          <w:lang w:val="en-GB"/>
        </w:rPr>
        <w:t>The</w:t>
      </w:r>
      <w:r w:rsidRPr="00567D26">
        <w:rPr>
          <w:rFonts w:asciiTheme="minorHAnsi" w:hAnsiTheme="minorHAnsi" w:cs="Times New Roman"/>
          <w:i/>
          <w:sz w:val="20"/>
          <w:szCs w:val="20"/>
          <w:lang w:val="en-GB"/>
        </w:rPr>
        <w:t xml:space="preserve"> EFSI stakeholders consultation</w:t>
      </w:r>
      <w:r w:rsidRPr="00567D26">
        <w:rPr>
          <w:rStyle w:val="Znakapoznpodarou"/>
          <w:rFonts w:asciiTheme="minorHAnsi" w:hAnsiTheme="minorHAnsi" w:cs="Times New Roman"/>
          <w:sz w:val="20"/>
          <w:szCs w:val="20"/>
          <w:lang w:val="en-GB"/>
        </w:rPr>
        <w:footnoteReference w:id="36"/>
      </w:r>
      <w:r w:rsidRPr="00567D26">
        <w:rPr>
          <w:rFonts w:asciiTheme="minorHAnsi" w:hAnsiTheme="minorHAnsi" w:cs="Times New Roman"/>
          <w:i/>
          <w:sz w:val="20"/>
          <w:szCs w:val="20"/>
          <w:lang w:val="en-GB"/>
        </w:rPr>
        <w:t xml:space="preserve"> </w:t>
      </w:r>
      <w:r w:rsidRPr="00567D26">
        <w:rPr>
          <w:rFonts w:asciiTheme="minorHAnsi" w:hAnsiTheme="minorHAnsi" w:cs="Times New Roman"/>
          <w:sz w:val="20"/>
          <w:szCs w:val="20"/>
          <w:lang w:val="en-GB"/>
        </w:rPr>
        <w:t>evidences the need to disclose the project-based scoreboards to contribute to the dialogue between the institutions and external counterparts: ‘in addition, disclosing more information about the projects would showcase the additionality of EFSI financed projects.’ EIF, while evidencing that EFSI-SMEW operations are bound by confidentiality agreements with the financial intermediaries, nevertheless is making an effort to assess what type of information could be publicly disclosed.</w:t>
      </w:r>
    </w:p>
    <w:p w:rsidR="00A45730" w:rsidRPr="00567D26" w:rsidRDefault="00A45730" w:rsidP="008573AC">
      <w:pPr>
        <w:pStyle w:val="Odstavecseseznamem"/>
        <w:jc w:val="both"/>
        <w:rPr>
          <w:rFonts w:asciiTheme="minorHAnsi" w:hAnsiTheme="minorHAnsi" w:cs="Times New Roman"/>
          <w:i/>
          <w:sz w:val="20"/>
          <w:szCs w:val="20"/>
          <w:lang w:val="en-GB" w:eastAsia="en-US"/>
        </w:rPr>
      </w:pPr>
    </w:p>
    <w:p w:rsidR="00A45730" w:rsidRPr="00567D26" w:rsidRDefault="00A45730" w:rsidP="005E59A0">
      <w:pPr>
        <w:spacing w:line="288" w:lineRule="auto"/>
        <w:jc w:val="both"/>
        <w:rPr>
          <w:rFonts w:asciiTheme="minorHAnsi" w:eastAsiaTheme="minorEastAsia" w:hAnsiTheme="minorHAnsi"/>
          <w:sz w:val="20"/>
          <w:szCs w:val="20"/>
          <w:lang w:val="en-GB" w:eastAsia="en-US"/>
        </w:rPr>
      </w:pPr>
      <w:r w:rsidRPr="00567D26">
        <w:rPr>
          <w:rFonts w:asciiTheme="minorHAnsi" w:eastAsiaTheme="minorEastAsia" w:hAnsiTheme="minorHAnsi"/>
          <w:sz w:val="20"/>
          <w:szCs w:val="20"/>
          <w:lang w:val="en-GB" w:eastAsia="en-US"/>
        </w:rPr>
        <w:lastRenderedPageBreak/>
        <w:t xml:space="preserve">The request of increased transparency has been taken into account by President Juncker in his State of the Union Speech 2016: in this context he has proposed to increase transparency even further ‘by detailing exactly </w:t>
      </w:r>
      <w:r w:rsidRPr="00567D26">
        <w:rPr>
          <w:rFonts w:asciiTheme="minorHAnsi" w:eastAsiaTheme="minorEastAsia" w:hAnsiTheme="minorHAnsi"/>
          <w:b/>
          <w:sz w:val="20"/>
          <w:szCs w:val="20"/>
          <w:lang w:val="en-GB" w:eastAsia="en-US"/>
        </w:rPr>
        <w:t>why each project was chosen</w:t>
      </w:r>
      <w:r w:rsidRPr="00567D26">
        <w:rPr>
          <w:rFonts w:asciiTheme="minorHAnsi" w:eastAsiaTheme="minorEastAsia" w:hAnsiTheme="minorHAnsi"/>
          <w:sz w:val="20"/>
          <w:szCs w:val="20"/>
          <w:lang w:val="en-GB" w:eastAsia="en-US"/>
        </w:rPr>
        <w:t xml:space="preserve"> and how it meets the criteria set out in the EFSI Regulation, proving its “additionality.” To improve the EFSI further, the Commission plans </w:t>
      </w:r>
      <w:r w:rsidRPr="00567D26">
        <w:rPr>
          <w:rFonts w:asciiTheme="minorHAnsi" w:eastAsiaTheme="minorEastAsia" w:hAnsiTheme="minorHAnsi"/>
          <w:b/>
          <w:sz w:val="20"/>
          <w:szCs w:val="20"/>
          <w:lang w:val="en-GB" w:eastAsia="en-US"/>
        </w:rPr>
        <w:t>to address the issue of geographical coverage</w:t>
      </w:r>
      <w:r w:rsidRPr="00567D26">
        <w:rPr>
          <w:rFonts w:asciiTheme="minorHAnsi" w:eastAsiaTheme="minorEastAsia" w:hAnsiTheme="minorHAnsi"/>
          <w:sz w:val="20"/>
          <w:szCs w:val="20"/>
          <w:lang w:val="en-GB" w:eastAsia="en-US"/>
        </w:rPr>
        <w:t xml:space="preserve"> by placing stronger emphasis on providing local, technical assistance in the Member States for those who wish to bid for funding. It also proposes to further </w:t>
      </w:r>
      <w:r w:rsidRPr="00567D26">
        <w:rPr>
          <w:rFonts w:asciiTheme="minorHAnsi" w:eastAsiaTheme="minorEastAsia" w:hAnsiTheme="minorHAnsi"/>
          <w:b/>
          <w:sz w:val="20"/>
          <w:szCs w:val="20"/>
          <w:lang w:val="en-GB" w:eastAsia="en-US"/>
        </w:rPr>
        <w:t>simplify the combination of EFSI funding applications with other funding sources</w:t>
      </w:r>
      <w:r w:rsidRPr="00567D26">
        <w:rPr>
          <w:rFonts w:asciiTheme="minorHAnsi" w:eastAsiaTheme="minorEastAsia" w:hAnsiTheme="minorHAnsi"/>
          <w:sz w:val="20"/>
          <w:szCs w:val="20"/>
          <w:lang w:val="en-GB" w:eastAsia="en-US"/>
        </w:rPr>
        <w:t xml:space="preserve"> in the EU, such as the European Structural and Investment (ESI) funds … Furthermore, the Commission proposes to reinforce the social dimension of the EFSI by increasing the total amount of </w:t>
      </w:r>
      <w:r w:rsidRPr="00567D26">
        <w:rPr>
          <w:rFonts w:asciiTheme="minorHAnsi" w:eastAsiaTheme="minorEastAsia" w:hAnsiTheme="minorHAnsi"/>
          <w:b/>
          <w:sz w:val="20"/>
          <w:szCs w:val="20"/>
          <w:lang w:val="en-GB" w:eastAsia="en-US"/>
        </w:rPr>
        <w:t>financial instruments in support of social enterprises</w:t>
      </w:r>
      <w:r w:rsidRPr="00567D26">
        <w:rPr>
          <w:rFonts w:asciiTheme="minorHAnsi" w:eastAsiaTheme="minorEastAsia" w:hAnsiTheme="minorHAnsi"/>
          <w:sz w:val="20"/>
          <w:szCs w:val="20"/>
          <w:lang w:val="en-GB" w:eastAsia="en-US"/>
        </w:rPr>
        <w:t xml:space="preserve"> and microfinance from EUR 193 million to EUR 1 billion, which is expected to mobilise almost EUR 3 billion in overall investment.’</w:t>
      </w:r>
      <w:r w:rsidRPr="00567D26">
        <w:rPr>
          <w:rFonts w:asciiTheme="minorHAnsi" w:eastAsiaTheme="minorEastAsia" w:hAnsiTheme="minorHAnsi"/>
          <w:sz w:val="20"/>
          <w:szCs w:val="20"/>
          <w:vertAlign w:val="superscript"/>
          <w:lang w:val="en-GB"/>
        </w:rPr>
        <w:footnoteReference w:id="37"/>
      </w:r>
      <w:r w:rsidR="00D97169" w:rsidRPr="00567D26">
        <w:rPr>
          <w:rFonts w:asciiTheme="minorHAnsi" w:eastAsiaTheme="minorEastAsia" w:hAnsiTheme="minorHAnsi"/>
          <w:sz w:val="20"/>
          <w:szCs w:val="20"/>
          <w:lang w:val="en-GB" w:eastAsia="en-US"/>
        </w:rPr>
        <w:t>.</w:t>
      </w:r>
    </w:p>
    <w:p w:rsidR="00A45730" w:rsidRPr="00567D26" w:rsidRDefault="00A45730" w:rsidP="005E59A0">
      <w:pPr>
        <w:spacing w:line="288" w:lineRule="auto"/>
        <w:jc w:val="both"/>
        <w:rPr>
          <w:rFonts w:asciiTheme="minorHAnsi" w:eastAsiaTheme="minorEastAsia" w:hAnsiTheme="minorHAnsi"/>
          <w:sz w:val="20"/>
          <w:szCs w:val="20"/>
          <w:lang w:val="en-GB"/>
        </w:rPr>
      </w:pPr>
    </w:p>
    <w:p w:rsidR="00A45730" w:rsidRPr="00567D26" w:rsidRDefault="00A45730" w:rsidP="005B2A76">
      <w:pPr>
        <w:spacing w:line="288" w:lineRule="auto"/>
        <w:jc w:val="both"/>
        <w:rPr>
          <w:rFonts w:asciiTheme="minorHAnsi" w:hAnsiTheme="minorHAnsi"/>
          <w:sz w:val="20"/>
          <w:szCs w:val="20"/>
          <w:lang w:val="en-GB" w:eastAsia="en-US"/>
        </w:rPr>
      </w:pPr>
      <w:r w:rsidRPr="00567D26">
        <w:rPr>
          <w:rFonts w:asciiTheme="minorHAnsi" w:eastAsiaTheme="minorEastAsia" w:hAnsiTheme="minorHAnsi"/>
          <w:sz w:val="20"/>
          <w:szCs w:val="20"/>
          <w:lang w:val="en-GB" w:eastAsia="en-US"/>
        </w:rPr>
        <w:t>Several</w:t>
      </w:r>
      <w:r w:rsidRPr="00567D26">
        <w:rPr>
          <w:rFonts w:asciiTheme="minorHAnsi" w:eastAsiaTheme="minorEastAsia" w:hAnsiTheme="minorHAnsi"/>
          <w:sz w:val="20"/>
          <w:szCs w:val="20"/>
          <w:lang w:val="en-GB"/>
        </w:rPr>
        <w:t xml:space="preserve"> stakeholders evidence the need for a stronger central, development-oriented </w:t>
      </w:r>
      <w:r w:rsidRPr="00567D26">
        <w:rPr>
          <w:rFonts w:asciiTheme="minorHAnsi" w:eastAsiaTheme="minorEastAsia" w:hAnsiTheme="minorHAnsi"/>
          <w:b/>
          <w:sz w:val="20"/>
          <w:szCs w:val="20"/>
          <w:lang w:val="en-GB"/>
        </w:rPr>
        <w:t>governance under the European Semester</w:t>
      </w:r>
      <w:r w:rsidRPr="00567D26">
        <w:rPr>
          <w:rFonts w:asciiTheme="minorHAnsi" w:eastAsiaTheme="minorEastAsia" w:hAnsiTheme="minorHAnsi"/>
          <w:sz w:val="20"/>
          <w:szCs w:val="20"/>
          <w:vertAlign w:val="superscript"/>
          <w:lang w:val="en-GB"/>
        </w:rPr>
        <w:footnoteReference w:id="38"/>
      </w:r>
      <w:r w:rsidRPr="00567D26">
        <w:rPr>
          <w:rFonts w:asciiTheme="minorHAnsi" w:eastAsiaTheme="minorEastAsia" w:hAnsiTheme="minorHAnsi"/>
          <w:sz w:val="20"/>
          <w:szCs w:val="20"/>
          <w:lang w:val="en-GB"/>
        </w:rPr>
        <w:t xml:space="preserve">, based on a small number of clear and concise objectives. </w:t>
      </w:r>
      <w:r w:rsidRPr="00567D26">
        <w:rPr>
          <w:rFonts w:asciiTheme="minorHAnsi" w:eastAsiaTheme="minorEastAsia" w:hAnsiTheme="minorHAnsi"/>
          <w:b/>
          <w:sz w:val="20"/>
          <w:szCs w:val="20"/>
          <w:lang w:val="en-GB"/>
        </w:rPr>
        <w:t xml:space="preserve">The EU semester could be seen </w:t>
      </w:r>
      <w:r w:rsidR="00530D85" w:rsidRPr="00567D26">
        <w:rPr>
          <w:rFonts w:asciiTheme="minorHAnsi" w:eastAsiaTheme="minorEastAsia" w:hAnsiTheme="minorHAnsi"/>
          <w:b/>
          <w:sz w:val="20"/>
          <w:szCs w:val="20"/>
          <w:lang w:val="en-GB"/>
        </w:rPr>
        <w:t xml:space="preserve">also </w:t>
      </w:r>
      <w:r w:rsidRPr="00567D26">
        <w:rPr>
          <w:rFonts w:asciiTheme="minorHAnsi" w:eastAsiaTheme="minorEastAsia" w:hAnsiTheme="minorHAnsi"/>
          <w:b/>
          <w:sz w:val="20"/>
          <w:szCs w:val="20"/>
          <w:lang w:val="en-GB"/>
        </w:rPr>
        <w:t xml:space="preserve">as a tool to support an inclusive Europe: </w:t>
      </w:r>
      <w:r w:rsidRPr="00567D26">
        <w:rPr>
          <w:rFonts w:asciiTheme="minorHAnsi" w:hAnsiTheme="minorHAnsi"/>
          <w:sz w:val="20"/>
          <w:szCs w:val="20"/>
          <w:lang w:val="en-GB" w:eastAsia="en-US"/>
        </w:rPr>
        <w:t xml:space="preserve">“The set of </w:t>
      </w:r>
      <w:r w:rsidR="00BF6E2D" w:rsidRPr="00567D26">
        <w:rPr>
          <w:rFonts w:asciiTheme="minorHAnsi" w:hAnsiTheme="minorHAnsi"/>
          <w:sz w:val="20"/>
          <w:szCs w:val="20"/>
          <w:lang w:val="en-GB" w:eastAsia="en-US"/>
        </w:rPr>
        <w:t>Country-Specific R</w:t>
      </w:r>
      <w:r w:rsidRPr="00567D26">
        <w:rPr>
          <w:rFonts w:asciiTheme="minorHAnsi" w:hAnsiTheme="minorHAnsi"/>
          <w:sz w:val="20"/>
          <w:szCs w:val="20"/>
          <w:lang w:val="en-GB" w:eastAsia="en-US"/>
        </w:rPr>
        <w:t>ecommendations for the Member States adopted by the Commission put a particular focus on investment, asking where relevant to address shortfalls in investment, notably in infrastructure and in intangible assets, as well as to adopt and implement the needed structural reforms to improve the investment environment, which are complementary with action at EU level.”</w:t>
      </w:r>
      <w:r w:rsidRPr="00567D26">
        <w:rPr>
          <w:rStyle w:val="Znakapoznpodarou"/>
          <w:rFonts w:asciiTheme="minorHAnsi" w:hAnsiTheme="minorHAnsi"/>
          <w:sz w:val="20"/>
          <w:szCs w:val="20"/>
          <w:lang w:val="en-GB" w:eastAsia="en-US"/>
        </w:rPr>
        <w:footnoteReference w:id="39"/>
      </w:r>
      <w:r w:rsidRPr="00567D26">
        <w:rPr>
          <w:rFonts w:asciiTheme="minorHAnsi" w:hAnsiTheme="minorHAnsi"/>
          <w:sz w:val="20"/>
          <w:szCs w:val="20"/>
          <w:lang w:val="en-GB" w:eastAsia="en-US"/>
        </w:rPr>
        <w:t xml:space="preserve"> </w:t>
      </w:r>
      <w:r w:rsidR="005B2A76" w:rsidRPr="00567D26">
        <w:rPr>
          <w:rFonts w:asciiTheme="minorHAnsi" w:hAnsiTheme="minorHAnsi"/>
          <w:sz w:val="20"/>
          <w:szCs w:val="20"/>
          <w:lang w:val="en-GB" w:eastAsia="en-US"/>
        </w:rPr>
        <w:t xml:space="preserve">Social infrastructures could be among the infrastructures to be considered. </w:t>
      </w:r>
      <w:r w:rsidR="000F45C9" w:rsidRPr="00567D26">
        <w:rPr>
          <w:rFonts w:asciiTheme="minorHAnsi" w:hAnsiTheme="minorHAnsi"/>
          <w:sz w:val="20"/>
          <w:szCs w:val="20"/>
          <w:lang w:val="en-GB" w:eastAsia="en-US"/>
        </w:rPr>
        <w:t xml:space="preserve">The </w:t>
      </w:r>
      <w:r w:rsidR="005B2A76" w:rsidRPr="00567D26">
        <w:rPr>
          <w:rFonts w:asciiTheme="minorHAnsi" w:hAnsiTheme="minorHAnsi"/>
          <w:sz w:val="20"/>
          <w:szCs w:val="20"/>
          <w:lang w:val="en-GB" w:eastAsia="en-US"/>
        </w:rPr>
        <w:t>debate has now turned to the proposal not to calculate as part of the deficit (but</w:t>
      </w:r>
      <w:r w:rsidR="000F45C9" w:rsidRPr="00567D26">
        <w:rPr>
          <w:rFonts w:asciiTheme="minorHAnsi" w:hAnsiTheme="minorHAnsi"/>
          <w:sz w:val="20"/>
          <w:szCs w:val="20"/>
          <w:lang w:val="en-GB" w:eastAsia="en-US"/>
        </w:rPr>
        <w:t xml:space="preserve"> </w:t>
      </w:r>
      <w:r w:rsidR="005B2A76" w:rsidRPr="00567D26">
        <w:rPr>
          <w:rFonts w:asciiTheme="minorHAnsi" w:hAnsiTheme="minorHAnsi"/>
          <w:sz w:val="20"/>
          <w:szCs w:val="20"/>
          <w:lang w:val="en-GB" w:eastAsia="en-US"/>
        </w:rPr>
        <w:t xml:space="preserve">only as part of the national debt) investments in social and active inclusion of the most disadvantaged. This </w:t>
      </w:r>
      <w:r w:rsidR="000F45C9" w:rsidRPr="00567D26">
        <w:rPr>
          <w:rFonts w:asciiTheme="minorHAnsi" w:hAnsiTheme="minorHAnsi"/>
          <w:sz w:val="20"/>
          <w:szCs w:val="20"/>
          <w:lang w:val="en-GB" w:eastAsia="en-US"/>
        </w:rPr>
        <w:t>might represent</w:t>
      </w:r>
      <w:r w:rsidR="005B2A76" w:rsidRPr="00567D26">
        <w:rPr>
          <w:rFonts w:asciiTheme="minorHAnsi" w:hAnsiTheme="minorHAnsi"/>
          <w:sz w:val="20"/>
          <w:szCs w:val="20"/>
          <w:lang w:val="en-GB" w:eastAsia="en-US"/>
        </w:rPr>
        <w:t xml:space="preserve"> a</w:t>
      </w:r>
      <w:r w:rsidR="000F45C9" w:rsidRPr="00567D26">
        <w:rPr>
          <w:rFonts w:asciiTheme="minorHAnsi" w:hAnsiTheme="minorHAnsi"/>
          <w:sz w:val="20"/>
          <w:szCs w:val="20"/>
          <w:lang w:val="en-GB" w:eastAsia="en-US"/>
        </w:rPr>
        <w:t xml:space="preserve">n opportunity </w:t>
      </w:r>
      <w:r w:rsidR="005B2A76" w:rsidRPr="00567D26">
        <w:rPr>
          <w:rFonts w:asciiTheme="minorHAnsi" w:hAnsiTheme="minorHAnsi"/>
          <w:sz w:val="20"/>
          <w:szCs w:val="20"/>
          <w:lang w:val="en-GB" w:eastAsia="en-US"/>
        </w:rPr>
        <w:t>to help the less advanced Members States in particular move in the expected</w:t>
      </w:r>
      <w:r w:rsidR="000F45C9" w:rsidRPr="00567D26">
        <w:rPr>
          <w:rFonts w:asciiTheme="minorHAnsi" w:hAnsiTheme="minorHAnsi"/>
          <w:sz w:val="20"/>
          <w:szCs w:val="20"/>
          <w:lang w:val="en-GB" w:eastAsia="en-US"/>
        </w:rPr>
        <w:t xml:space="preserve"> </w:t>
      </w:r>
      <w:r w:rsidR="005B2A76" w:rsidRPr="00567D26">
        <w:rPr>
          <w:rFonts w:asciiTheme="minorHAnsi" w:hAnsiTheme="minorHAnsi"/>
          <w:sz w:val="20"/>
          <w:szCs w:val="20"/>
          <w:lang w:val="en-GB" w:eastAsia="en-US"/>
        </w:rPr>
        <w:t>right direction</w:t>
      </w:r>
      <w:r w:rsidR="00530D85" w:rsidRPr="00567D26">
        <w:rPr>
          <w:rFonts w:asciiTheme="minorHAnsi" w:eastAsiaTheme="minorEastAsia" w:hAnsiTheme="minorHAnsi"/>
          <w:sz w:val="20"/>
          <w:szCs w:val="20"/>
          <w:vertAlign w:val="superscript"/>
          <w:lang w:val="en-GB"/>
        </w:rPr>
        <w:footnoteReference w:id="40"/>
      </w:r>
      <w:r w:rsidR="005B2A76" w:rsidRPr="00567D26">
        <w:rPr>
          <w:rFonts w:asciiTheme="minorHAnsi" w:eastAsiaTheme="minorEastAsia" w:hAnsiTheme="minorHAnsi"/>
          <w:sz w:val="20"/>
          <w:szCs w:val="20"/>
          <w:vertAlign w:val="superscript"/>
          <w:lang w:val="en-GB"/>
        </w:rPr>
        <w:t>.</w:t>
      </w:r>
      <w:r w:rsidR="005B2A76" w:rsidRPr="00567D26">
        <w:rPr>
          <w:rFonts w:asciiTheme="minorHAnsi" w:hAnsiTheme="minorHAnsi"/>
          <w:sz w:val="20"/>
          <w:szCs w:val="20"/>
          <w:lang w:val="en-GB" w:eastAsia="en-US"/>
        </w:rPr>
        <w:t xml:space="preserve"> </w:t>
      </w:r>
      <w:r w:rsidR="00FF25D0" w:rsidRPr="00567D26">
        <w:rPr>
          <w:rFonts w:asciiTheme="minorHAnsi" w:hAnsiTheme="minorHAnsi"/>
          <w:sz w:val="20"/>
          <w:szCs w:val="20"/>
          <w:lang w:val="en-GB" w:eastAsia="en-US"/>
        </w:rPr>
        <w:t>It is equally true that, as stated by an interviewed, even if not considered part of the deficit in the Stability Pack, these debts remain as debts determined by public expenditure for the following year, even though i</w:t>
      </w:r>
      <w:r w:rsidR="00967692" w:rsidRPr="00567D26">
        <w:rPr>
          <w:rFonts w:asciiTheme="minorHAnsi" w:hAnsiTheme="minorHAnsi"/>
          <w:sz w:val="20"/>
          <w:szCs w:val="20"/>
          <w:lang w:val="en-GB" w:eastAsia="en-US"/>
        </w:rPr>
        <w:t xml:space="preserve">n the same direction is the proposal of the European Commission not to take into account the contributions by the Member States to the EFSI either under the preventive or under the corrective rules of the Stability and Growth Pact. </w:t>
      </w:r>
    </w:p>
    <w:p w:rsidR="00BA26C7" w:rsidRPr="00567D26" w:rsidRDefault="00BA26C7" w:rsidP="00326104">
      <w:pPr>
        <w:spacing w:line="288" w:lineRule="auto"/>
        <w:jc w:val="both"/>
        <w:rPr>
          <w:rFonts w:asciiTheme="minorHAnsi" w:hAnsiTheme="minorHAnsi"/>
          <w:sz w:val="20"/>
          <w:szCs w:val="20"/>
          <w:lang w:val="en-GB" w:eastAsia="en-US"/>
        </w:rPr>
      </w:pPr>
    </w:p>
    <w:p w:rsidR="00A45730" w:rsidRPr="00567D26" w:rsidRDefault="00A45730" w:rsidP="008573AC">
      <w:pPr>
        <w:jc w:val="both"/>
        <w:rPr>
          <w:rFonts w:asciiTheme="minorHAnsi" w:hAnsiTheme="minorHAnsi"/>
          <w:sz w:val="20"/>
          <w:szCs w:val="20"/>
          <w:lang w:val="en-GB"/>
        </w:rPr>
      </w:pPr>
    </w:p>
    <w:p w:rsidR="00A45730" w:rsidRPr="00567D26" w:rsidRDefault="00A45730" w:rsidP="008573AC">
      <w:pPr>
        <w:jc w:val="both"/>
        <w:rPr>
          <w:rFonts w:asciiTheme="minorHAnsi" w:hAnsiTheme="minorHAnsi"/>
          <w:sz w:val="20"/>
          <w:szCs w:val="20"/>
          <w:lang w:val="en-GB" w:eastAsia="en-US"/>
        </w:rPr>
      </w:pPr>
    </w:p>
    <w:p w:rsidR="0031538E" w:rsidRPr="00567D26" w:rsidRDefault="0031538E">
      <w:pPr>
        <w:spacing w:line="288" w:lineRule="auto"/>
        <w:jc w:val="both"/>
        <w:rPr>
          <w:rFonts w:asciiTheme="minorHAnsi" w:hAnsiTheme="minorHAnsi"/>
          <w:sz w:val="20"/>
          <w:szCs w:val="20"/>
          <w:lang w:val="en-GB"/>
        </w:rPr>
      </w:pPr>
    </w:p>
    <w:p w:rsidR="0068123F" w:rsidRPr="00567D26" w:rsidRDefault="0068123F" w:rsidP="000D36FE">
      <w:pPr>
        <w:rPr>
          <w:rFonts w:asciiTheme="minorHAnsi" w:hAnsiTheme="minorHAnsi"/>
          <w:sz w:val="20"/>
          <w:szCs w:val="20"/>
          <w:lang w:val="en-GB"/>
        </w:rPr>
      </w:pPr>
    </w:p>
    <w:p w:rsidR="00356A1F" w:rsidRPr="00567D26" w:rsidRDefault="00356A1F" w:rsidP="00356A1F">
      <w:pPr>
        <w:rPr>
          <w:rFonts w:asciiTheme="minorHAnsi" w:hAnsiTheme="minorHAnsi"/>
          <w:sz w:val="20"/>
          <w:szCs w:val="20"/>
          <w:lang w:val="en-GB" w:eastAsia="en-US"/>
        </w:rPr>
      </w:pPr>
    </w:p>
    <w:p w:rsidR="00407388" w:rsidRDefault="00407388" w:rsidP="00356A1F">
      <w:pPr>
        <w:rPr>
          <w:rFonts w:asciiTheme="minorHAnsi" w:hAnsiTheme="minorHAnsi"/>
          <w:sz w:val="20"/>
          <w:szCs w:val="20"/>
          <w:lang w:val="en-GB" w:eastAsia="en-US"/>
        </w:rPr>
      </w:pPr>
      <w:r>
        <w:rPr>
          <w:rFonts w:asciiTheme="minorHAnsi" w:hAnsiTheme="minorHAnsi"/>
          <w:sz w:val="20"/>
          <w:szCs w:val="20"/>
          <w:lang w:val="en-GB" w:eastAsia="en-US"/>
        </w:rPr>
        <w:br w:type="page"/>
      </w:r>
    </w:p>
    <w:p w:rsidR="00356A1F" w:rsidRPr="00567D26" w:rsidRDefault="00356A1F" w:rsidP="00356A1F">
      <w:pPr>
        <w:rPr>
          <w:rFonts w:asciiTheme="minorHAnsi" w:hAnsiTheme="minorHAnsi"/>
          <w:sz w:val="20"/>
          <w:szCs w:val="20"/>
          <w:lang w:val="en-GB" w:eastAsia="en-US"/>
        </w:rPr>
      </w:pPr>
    </w:p>
    <w:p w:rsidR="0068123F" w:rsidRPr="00567D26" w:rsidRDefault="0068123F" w:rsidP="000B7942">
      <w:pPr>
        <w:jc w:val="center"/>
        <w:rPr>
          <w:rFonts w:asciiTheme="minorHAnsi" w:hAnsiTheme="minorHAnsi"/>
          <w:sz w:val="20"/>
          <w:szCs w:val="20"/>
          <w:lang w:val="en-GB"/>
        </w:rPr>
      </w:pPr>
    </w:p>
    <w:p w:rsidR="0068123F" w:rsidRPr="00567D26" w:rsidRDefault="0068123F" w:rsidP="000B7942">
      <w:pPr>
        <w:jc w:val="center"/>
        <w:rPr>
          <w:rFonts w:asciiTheme="minorHAnsi" w:hAnsiTheme="minorHAnsi"/>
          <w:sz w:val="20"/>
          <w:szCs w:val="20"/>
          <w:lang w:val="en-GB"/>
        </w:rPr>
      </w:pPr>
      <w:r w:rsidRPr="00567D26">
        <w:rPr>
          <w:rFonts w:asciiTheme="minorHAnsi" w:hAnsiTheme="minorHAnsi"/>
          <w:noProof/>
          <w:sz w:val="20"/>
          <w:szCs w:val="20"/>
          <w:lang w:val="cs-CZ" w:eastAsia="cs-CZ"/>
        </w:rPr>
        <w:drawing>
          <wp:inline distT="0" distB="0" distL="0" distR="0" wp14:anchorId="540931A4" wp14:editId="7FC24C9F">
            <wp:extent cx="3035808" cy="9326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N_CES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35808" cy="932688"/>
                    </a:xfrm>
                    <a:prstGeom prst="rect">
                      <a:avLst/>
                    </a:prstGeom>
                  </pic:spPr>
                </pic:pic>
              </a:graphicData>
            </a:graphic>
          </wp:inline>
        </w:drawing>
      </w:r>
    </w:p>
    <w:p w:rsidR="0068123F" w:rsidRPr="00567D26" w:rsidRDefault="0068123F" w:rsidP="000B7942">
      <w:pPr>
        <w:jc w:val="center"/>
        <w:rPr>
          <w:rFonts w:asciiTheme="minorHAnsi" w:hAnsiTheme="minorHAnsi"/>
          <w:sz w:val="20"/>
          <w:szCs w:val="20"/>
          <w:lang w:val="en-GB"/>
        </w:rPr>
      </w:pPr>
    </w:p>
    <w:p w:rsidR="0068123F" w:rsidRPr="00567D26" w:rsidRDefault="0068123F" w:rsidP="000B7942">
      <w:pPr>
        <w:jc w:val="center"/>
        <w:rPr>
          <w:rFonts w:asciiTheme="minorHAnsi" w:hAnsiTheme="minorHAnsi"/>
          <w:sz w:val="20"/>
          <w:szCs w:val="20"/>
          <w:lang w:val="en-GB"/>
        </w:rPr>
      </w:pPr>
    </w:p>
    <w:p w:rsidR="0068123F" w:rsidRPr="00567D26" w:rsidRDefault="0068123F" w:rsidP="000B7942">
      <w:pPr>
        <w:jc w:val="center"/>
        <w:rPr>
          <w:rFonts w:asciiTheme="minorHAnsi" w:hAnsiTheme="minorHAnsi"/>
          <w:sz w:val="20"/>
          <w:szCs w:val="20"/>
          <w:lang w:val="en-GB"/>
        </w:rPr>
      </w:pPr>
      <w:r w:rsidRPr="00567D26">
        <w:rPr>
          <w:rFonts w:asciiTheme="minorHAnsi" w:hAnsiTheme="minorHAnsi"/>
          <w:sz w:val="20"/>
          <w:szCs w:val="20"/>
          <w:lang w:val="en-GB"/>
        </w:rPr>
        <w:t>Rue Belliard/Belliardstraat 99</w:t>
      </w:r>
    </w:p>
    <w:p w:rsidR="0068123F" w:rsidRPr="00567D26" w:rsidRDefault="0068123F" w:rsidP="000B7942">
      <w:pPr>
        <w:jc w:val="center"/>
        <w:rPr>
          <w:rFonts w:asciiTheme="minorHAnsi" w:hAnsiTheme="minorHAnsi"/>
          <w:sz w:val="20"/>
          <w:szCs w:val="20"/>
          <w:lang w:val="en-GB"/>
        </w:rPr>
      </w:pPr>
      <w:r w:rsidRPr="00567D26">
        <w:rPr>
          <w:rFonts w:asciiTheme="minorHAnsi" w:hAnsiTheme="minorHAnsi"/>
          <w:sz w:val="20"/>
          <w:szCs w:val="20"/>
          <w:lang w:val="en-GB"/>
        </w:rPr>
        <w:t>1040 Bruxelles/Brussels</w:t>
      </w:r>
    </w:p>
    <w:p w:rsidR="0068123F" w:rsidRPr="00567D26" w:rsidRDefault="0068123F" w:rsidP="000B7942">
      <w:pPr>
        <w:jc w:val="center"/>
        <w:rPr>
          <w:rFonts w:asciiTheme="minorHAnsi" w:hAnsiTheme="minorHAnsi"/>
          <w:sz w:val="20"/>
          <w:szCs w:val="20"/>
          <w:lang w:val="en-GB"/>
        </w:rPr>
      </w:pPr>
      <w:r w:rsidRPr="00567D26">
        <w:rPr>
          <w:rFonts w:asciiTheme="minorHAnsi" w:hAnsiTheme="minorHAnsi"/>
          <w:sz w:val="20"/>
          <w:szCs w:val="20"/>
          <w:lang w:val="en-GB"/>
        </w:rPr>
        <w:t>BELGIQUE/BELGIË</w:t>
      </w:r>
    </w:p>
    <w:p w:rsidR="0068123F" w:rsidRPr="00567D26" w:rsidRDefault="00B72E7A" w:rsidP="000B7942">
      <w:pPr>
        <w:spacing w:before="240" w:after="240"/>
        <w:jc w:val="center"/>
        <w:rPr>
          <w:rFonts w:asciiTheme="minorHAnsi" w:hAnsiTheme="minorHAnsi"/>
          <w:sz w:val="20"/>
          <w:szCs w:val="20"/>
          <w:lang w:val="en-GB"/>
        </w:rPr>
      </w:pPr>
      <w:hyperlink r:id="rId16" w:history="1">
        <w:r w:rsidR="0068123F" w:rsidRPr="00567D26">
          <w:rPr>
            <w:rStyle w:val="Hypertextovodkaz"/>
            <w:rFonts w:asciiTheme="minorHAnsi" w:hAnsiTheme="minorHAnsi"/>
            <w:sz w:val="20"/>
            <w:szCs w:val="20"/>
            <w:lang w:val="en-GB"/>
          </w:rPr>
          <w:t>www.eesc.europa.eu</w:t>
        </w:r>
      </w:hyperlink>
    </w:p>
    <w:p w:rsidR="0068123F" w:rsidRPr="00567D26" w:rsidRDefault="0068123F" w:rsidP="00567D26">
      <w:pPr>
        <w:jc w:val="center"/>
        <w:rPr>
          <w:rFonts w:asciiTheme="minorHAnsi" w:hAnsiTheme="minorHAnsi"/>
          <w:sz w:val="20"/>
          <w:szCs w:val="20"/>
          <w:lang w:val="en-GB"/>
        </w:rPr>
      </w:pPr>
      <w:r w:rsidRPr="00567D26">
        <w:rPr>
          <w:rFonts w:asciiTheme="minorHAnsi" w:hAnsiTheme="minorHAnsi"/>
          <w:sz w:val="20"/>
          <w:szCs w:val="20"/>
          <w:lang w:val="en-GB"/>
        </w:rPr>
        <w:t>© European Union, 2016</w:t>
      </w:r>
      <w:r w:rsidRPr="00567D26">
        <w:rPr>
          <w:rFonts w:asciiTheme="minorHAnsi" w:hAnsiTheme="minorHAnsi"/>
          <w:sz w:val="20"/>
          <w:szCs w:val="20"/>
          <w:lang w:val="en-GB"/>
        </w:rPr>
        <w:br/>
        <w:t>Reproduction is authorised provided the source is acknowledged.</w:t>
      </w:r>
    </w:p>
    <w:p w:rsidR="001C4104" w:rsidRPr="00567D26" w:rsidRDefault="001C4104" w:rsidP="00F9016B">
      <w:pPr>
        <w:jc w:val="center"/>
        <w:rPr>
          <w:rFonts w:asciiTheme="minorHAnsi" w:hAnsiTheme="minorHAnsi"/>
          <w:sz w:val="20"/>
          <w:szCs w:val="20"/>
          <w:lang w:val="en-GB"/>
        </w:rPr>
      </w:pPr>
    </w:p>
    <w:p w:rsidR="001C4104" w:rsidRPr="00567D26" w:rsidRDefault="001C4104" w:rsidP="00F9016B">
      <w:pPr>
        <w:jc w:val="center"/>
        <w:rPr>
          <w:rFonts w:asciiTheme="minorHAnsi" w:hAnsiTheme="minorHAnsi"/>
          <w:sz w:val="20"/>
          <w:szCs w:val="20"/>
          <w:lang w:val="en-GB"/>
        </w:rPr>
      </w:pPr>
    </w:p>
    <w:sectPr w:rsidR="001C4104" w:rsidRPr="00567D26" w:rsidSect="00CC0BA2">
      <w:headerReference w:type="default" r:id="rId17"/>
      <w:footerReference w:type="default" r:id="rId18"/>
      <w:footerReference w:type="first" r:id="rId19"/>
      <w:pgSz w:w="11907" w:h="16839" w:code="9"/>
      <w:pgMar w:top="1134" w:right="1134" w:bottom="1134" w:left="1134" w:header="1020" w:footer="12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E7A" w:rsidRDefault="00B72E7A">
      <w:r>
        <w:separator/>
      </w:r>
    </w:p>
  </w:endnote>
  <w:endnote w:type="continuationSeparator" w:id="0">
    <w:p w:rsidR="00B72E7A" w:rsidRDefault="00B7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07" w:rsidRDefault="00E66707">
    <w:pPr>
      <w:pStyle w:val="Zpat"/>
      <w:rPr>
        <w:lang w:val="es-ES"/>
      </w:rPr>
    </w:pPr>
  </w:p>
  <w:sdt>
    <w:sdtPr>
      <w:id w:val="928566335"/>
      <w:docPartObj>
        <w:docPartGallery w:val="Page Numbers (Bottom of Page)"/>
        <w:docPartUnique/>
      </w:docPartObj>
    </w:sdtPr>
    <w:sdtEndPr/>
    <w:sdtContent>
      <w:p w:rsidR="00567D26" w:rsidRDefault="00567D26" w:rsidP="00567D26">
        <w:pPr>
          <w:pStyle w:val="Zpat"/>
          <w:pBdr>
            <w:top w:val="single" w:sz="4" w:space="1" w:color="auto"/>
          </w:pBdr>
          <w:jc w:val="center"/>
        </w:pPr>
        <w:r w:rsidRPr="00567D26">
          <w:rPr>
            <w:rFonts w:ascii="Tahoma" w:hAnsi="Tahoma" w:cs="Tahoma"/>
          </w:rPr>
          <w:fldChar w:fldCharType="begin"/>
        </w:r>
        <w:r w:rsidRPr="00567D26">
          <w:rPr>
            <w:rFonts w:ascii="Tahoma" w:hAnsi="Tahoma" w:cs="Tahoma"/>
          </w:rPr>
          <w:instrText xml:space="preserve"> PAGE   \* MERGEFORMAT </w:instrText>
        </w:r>
        <w:r w:rsidRPr="00567D26">
          <w:rPr>
            <w:rFonts w:ascii="Tahoma" w:hAnsi="Tahoma" w:cs="Tahoma"/>
          </w:rPr>
          <w:fldChar w:fldCharType="separate"/>
        </w:r>
        <w:r w:rsidR="00E819A7">
          <w:rPr>
            <w:rFonts w:ascii="Tahoma" w:hAnsi="Tahoma" w:cs="Tahoma"/>
            <w:noProof/>
          </w:rPr>
          <w:t>3</w:t>
        </w:r>
        <w:r w:rsidRPr="00567D26">
          <w:rPr>
            <w:rFonts w:ascii="Tahoma" w:hAnsi="Tahoma" w:cs="Tahoma"/>
            <w:noProof/>
          </w:rPr>
          <w:fldChar w:fldCharType="end"/>
        </w:r>
      </w:p>
    </w:sdtContent>
  </w:sdt>
  <w:p w:rsidR="00567D26" w:rsidRPr="00567D26" w:rsidRDefault="00567D26">
    <w:pPr>
      <w:pStyle w:val="Zpat"/>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07" w:rsidRDefault="00E66707">
    <w:pPr>
      <w:pStyle w:val="Zpat"/>
      <w:jc w:val="center"/>
    </w:pPr>
  </w:p>
  <w:p w:rsidR="00E66707" w:rsidRDefault="00E667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E7A" w:rsidRDefault="00B72E7A">
      <w:r>
        <w:separator/>
      </w:r>
    </w:p>
  </w:footnote>
  <w:footnote w:type="continuationSeparator" w:id="0">
    <w:p w:rsidR="00B72E7A" w:rsidRDefault="00B72E7A">
      <w:r>
        <w:continuationSeparator/>
      </w:r>
    </w:p>
  </w:footnote>
  <w:footnote w:id="1">
    <w:p w:rsidR="00E66707" w:rsidRPr="00EF0B55" w:rsidRDefault="00E66707" w:rsidP="003C01AC">
      <w:pPr>
        <w:pStyle w:val="Textpoznpodarou"/>
        <w:spacing w:after="0"/>
        <w:ind w:left="0" w:firstLine="0"/>
        <w:rPr>
          <w:szCs w:val="16"/>
        </w:rPr>
      </w:pPr>
      <w:r w:rsidRPr="00EF0B55">
        <w:rPr>
          <w:rStyle w:val="Znakapoznpodarou"/>
          <w:sz w:val="16"/>
          <w:szCs w:val="16"/>
        </w:rPr>
        <w:footnoteRef/>
      </w:r>
      <w:r w:rsidRPr="00EF0B55">
        <w:rPr>
          <w:szCs w:val="16"/>
        </w:rPr>
        <w:t xml:space="preserve"> Mazotte, N. </w:t>
      </w:r>
      <w:r w:rsidRPr="00EF0B55">
        <w:rPr>
          <w:i/>
          <w:szCs w:val="16"/>
        </w:rPr>
        <w:t xml:space="preserve">Striving for triple A on social issues, </w:t>
      </w:r>
      <w:r w:rsidRPr="00EF0B55">
        <w:rPr>
          <w:szCs w:val="16"/>
        </w:rPr>
        <w:t>Euroactiv.com</w:t>
      </w:r>
      <w:r w:rsidRPr="00EF0B55">
        <w:rPr>
          <w:i/>
          <w:szCs w:val="16"/>
        </w:rPr>
        <w:t xml:space="preserve"> </w:t>
      </w:r>
      <w:r w:rsidRPr="00EF0B55">
        <w:rPr>
          <w:szCs w:val="16"/>
        </w:rPr>
        <w:t xml:space="preserve">22/4/2015 </w:t>
      </w:r>
      <w:hyperlink r:id="rId1" w:history="1">
        <w:r w:rsidRPr="00EF0B55">
          <w:rPr>
            <w:rStyle w:val="Hypertextovodkaz"/>
            <w:szCs w:val="16"/>
          </w:rPr>
          <w:t>https://www.euractiv.com/section/social-europe-jobs/opinion/striving-for-triple-a-on-social-issues/</w:t>
        </w:r>
      </w:hyperlink>
    </w:p>
  </w:footnote>
  <w:footnote w:id="2">
    <w:p w:rsidR="00E66707" w:rsidRPr="00EF0B55" w:rsidRDefault="00E66707" w:rsidP="003C01AC">
      <w:pPr>
        <w:pStyle w:val="Textpoznpodarou"/>
        <w:spacing w:after="0"/>
        <w:ind w:left="0" w:firstLine="0"/>
        <w:rPr>
          <w:szCs w:val="16"/>
        </w:rPr>
      </w:pPr>
      <w:r w:rsidRPr="00EF0B55">
        <w:rPr>
          <w:rStyle w:val="Znakapoznpodarou"/>
          <w:sz w:val="16"/>
          <w:szCs w:val="16"/>
        </w:rPr>
        <w:footnoteRef/>
      </w:r>
      <w:r w:rsidRPr="00EF0B55">
        <w:rPr>
          <w:szCs w:val="16"/>
        </w:rPr>
        <w:t xml:space="preserve"> </w:t>
      </w:r>
      <w:r w:rsidRPr="009A61A6">
        <w:rPr>
          <w:szCs w:val="16"/>
        </w:rPr>
        <w:t xml:space="preserve">European Commission, Commission Communication, </w:t>
      </w:r>
      <w:r w:rsidRPr="009A61A6">
        <w:rPr>
          <w:i/>
          <w:szCs w:val="16"/>
        </w:rPr>
        <w:t>An investment plan for Europe</w:t>
      </w:r>
      <w:r w:rsidRPr="009A61A6">
        <w:rPr>
          <w:szCs w:val="16"/>
        </w:rPr>
        <w:t>, 26 November 2014. COM (2014) 903 final</w:t>
      </w:r>
      <w:r w:rsidRPr="00EF0B55">
        <w:rPr>
          <w:szCs w:val="16"/>
        </w:rPr>
        <w:t>.</w:t>
      </w:r>
    </w:p>
  </w:footnote>
  <w:footnote w:id="3">
    <w:p w:rsidR="00E66707" w:rsidRPr="00EF0B55" w:rsidRDefault="00E66707" w:rsidP="007E6BD6">
      <w:pPr>
        <w:pStyle w:val="Textpoznpodarou"/>
        <w:spacing w:after="0"/>
        <w:ind w:left="0" w:firstLine="0"/>
        <w:rPr>
          <w:szCs w:val="16"/>
        </w:rPr>
      </w:pPr>
      <w:r w:rsidRPr="00EF0B55">
        <w:rPr>
          <w:rStyle w:val="Znakapoznpodarou"/>
          <w:sz w:val="16"/>
          <w:szCs w:val="16"/>
        </w:rPr>
        <w:footnoteRef/>
      </w:r>
      <w:r w:rsidRPr="00EF0B55">
        <w:rPr>
          <w:szCs w:val="16"/>
        </w:rPr>
        <w:t xml:space="preserve"> F. Cingano</w:t>
      </w:r>
      <w:r>
        <w:rPr>
          <w:szCs w:val="16"/>
        </w:rPr>
        <w:t xml:space="preserve">, </w:t>
      </w:r>
      <w:r w:rsidRPr="00EF0B55">
        <w:rPr>
          <w:i/>
          <w:szCs w:val="16"/>
        </w:rPr>
        <w:t>Trends in income inequality and its impact on economic growth</w:t>
      </w:r>
      <w:r w:rsidRPr="00EF0B55">
        <w:rPr>
          <w:szCs w:val="16"/>
        </w:rPr>
        <w:t>, OECD Social, Employment and M</w:t>
      </w:r>
      <w:r>
        <w:rPr>
          <w:szCs w:val="16"/>
        </w:rPr>
        <w:t>igration Working Papers No. 163, 2014.</w:t>
      </w:r>
    </w:p>
  </w:footnote>
  <w:footnote w:id="4">
    <w:p w:rsidR="00E66707" w:rsidRPr="00EF0B55" w:rsidRDefault="00E66707" w:rsidP="007E6BD6">
      <w:pPr>
        <w:pStyle w:val="Textpoznpodarou"/>
        <w:spacing w:after="0"/>
        <w:ind w:left="0" w:firstLine="0"/>
        <w:rPr>
          <w:szCs w:val="16"/>
        </w:rPr>
      </w:pPr>
      <w:r w:rsidRPr="00EF0B55">
        <w:rPr>
          <w:rStyle w:val="Znakapoznpodarou"/>
          <w:sz w:val="16"/>
          <w:szCs w:val="16"/>
        </w:rPr>
        <w:footnoteRef/>
      </w:r>
      <w:r w:rsidRPr="00EF0B55">
        <w:rPr>
          <w:szCs w:val="16"/>
        </w:rPr>
        <w:t xml:space="preserve"> Oxfam, </w:t>
      </w:r>
      <w:r w:rsidRPr="00EF0B55">
        <w:rPr>
          <w:i/>
          <w:szCs w:val="16"/>
        </w:rPr>
        <w:t>A</w:t>
      </w:r>
      <w:r w:rsidRPr="00EF0B55">
        <w:rPr>
          <w:szCs w:val="16"/>
        </w:rPr>
        <w:t xml:space="preserve"> </w:t>
      </w:r>
      <w:r w:rsidRPr="00EF0B55">
        <w:rPr>
          <w:i/>
          <w:szCs w:val="16"/>
        </w:rPr>
        <w:t>Europe for the many, not the few – time to reverse the course of inequality and poverty in Europe,</w:t>
      </w:r>
      <w:r w:rsidRPr="00EF0B55">
        <w:rPr>
          <w:szCs w:val="16"/>
        </w:rPr>
        <w:t xml:space="preserve"> September 2015.</w:t>
      </w:r>
    </w:p>
  </w:footnote>
  <w:footnote w:id="5">
    <w:p w:rsidR="00E66707" w:rsidRPr="00EF0B55" w:rsidRDefault="00E66707" w:rsidP="007E5CEC">
      <w:pPr>
        <w:pStyle w:val="Textpoznpodarou"/>
        <w:spacing w:after="0"/>
        <w:ind w:left="0" w:firstLine="0"/>
        <w:rPr>
          <w:szCs w:val="16"/>
        </w:rPr>
      </w:pPr>
      <w:r w:rsidRPr="00EF0B55">
        <w:rPr>
          <w:rStyle w:val="Znakapoznpodarou"/>
          <w:sz w:val="16"/>
          <w:szCs w:val="16"/>
        </w:rPr>
        <w:footnoteRef/>
      </w:r>
      <w:r w:rsidRPr="00EF0B55">
        <w:rPr>
          <w:szCs w:val="16"/>
        </w:rPr>
        <w:t xml:space="preserve"> http://www.consilium.europa.eu/en/policies/investment-plan/strategic-investments-fund/</w:t>
      </w:r>
    </w:p>
  </w:footnote>
  <w:footnote w:id="6">
    <w:p w:rsidR="00E66707" w:rsidRPr="00EF0B55" w:rsidRDefault="00E66707" w:rsidP="00692FFD">
      <w:pPr>
        <w:pStyle w:val="Textpoznpodarou"/>
        <w:spacing w:after="0"/>
        <w:ind w:left="0" w:firstLine="0"/>
        <w:rPr>
          <w:szCs w:val="16"/>
        </w:rPr>
      </w:pPr>
      <w:r w:rsidRPr="00EF0B55">
        <w:rPr>
          <w:rStyle w:val="Znakapoznpodarou"/>
          <w:sz w:val="16"/>
          <w:szCs w:val="16"/>
        </w:rPr>
        <w:footnoteRef/>
      </w:r>
      <w:r w:rsidRPr="00EF0B55">
        <w:rPr>
          <w:szCs w:val="16"/>
        </w:rPr>
        <w:t xml:space="preserve"> EIB, Operations evaluation, </w:t>
      </w:r>
      <w:r w:rsidRPr="00EF0B55">
        <w:rPr>
          <w:i/>
          <w:szCs w:val="16"/>
        </w:rPr>
        <w:t>Evaluation of the functioning of the European Fund for Strategic Investments</w:t>
      </w:r>
      <w:r w:rsidRPr="00EF0B55">
        <w:rPr>
          <w:szCs w:val="16"/>
        </w:rPr>
        <w:t xml:space="preserve"> (EFSI)</w:t>
      </w:r>
      <w:r>
        <w:rPr>
          <w:szCs w:val="16"/>
        </w:rPr>
        <w:t>, 2016</w:t>
      </w:r>
      <w:r w:rsidRPr="00EF0B55">
        <w:rPr>
          <w:szCs w:val="16"/>
        </w:rPr>
        <w:t>.</w:t>
      </w:r>
    </w:p>
  </w:footnote>
  <w:footnote w:id="7">
    <w:p w:rsidR="00E66707" w:rsidRPr="00EF0B55" w:rsidRDefault="00E66707" w:rsidP="00152118">
      <w:pPr>
        <w:pStyle w:val="Textpoznpodarou"/>
        <w:spacing w:after="0"/>
        <w:ind w:left="0" w:firstLine="0"/>
        <w:rPr>
          <w:szCs w:val="16"/>
        </w:rPr>
      </w:pPr>
      <w:r w:rsidRPr="00EF0B55">
        <w:rPr>
          <w:rStyle w:val="Znakapoznpodarou"/>
          <w:sz w:val="16"/>
          <w:szCs w:val="16"/>
        </w:rPr>
        <w:footnoteRef/>
      </w:r>
      <w:r w:rsidRPr="00EF0B55">
        <w:rPr>
          <w:szCs w:val="16"/>
        </w:rPr>
        <w:t xml:space="preserve"> In the Commission Implementing Decision (EU) 2015/1214.</w:t>
      </w:r>
    </w:p>
  </w:footnote>
  <w:footnote w:id="8">
    <w:p w:rsidR="00E66707" w:rsidRPr="00EF0B55" w:rsidRDefault="00E66707" w:rsidP="00152118">
      <w:pPr>
        <w:pStyle w:val="Textpoznpodarou"/>
        <w:spacing w:after="0"/>
        <w:ind w:left="0" w:firstLine="0"/>
        <w:rPr>
          <w:szCs w:val="16"/>
        </w:rPr>
      </w:pPr>
      <w:r w:rsidRPr="00EF0B55">
        <w:rPr>
          <w:rStyle w:val="Znakapoznpodarou"/>
          <w:sz w:val="16"/>
          <w:szCs w:val="16"/>
        </w:rPr>
        <w:footnoteRef/>
      </w:r>
      <w:r w:rsidRPr="00EF0B55">
        <w:rPr>
          <w:szCs w:val="16"/>
        </w:rPr>
        <w:t xml:space="preserve"> Commission Communication, </w:t>
      </w:r>
      <w:r w:rsidRPr="00EF0B55">
        <w:rPr>
          <w:i/>
          <w:szCs w:val="16"/>
        </w:rPr>
        <w:t>Europe investing again – taking stock of the investment plan for Europe and next steps</w:t>
      </w:r>
      <w:r w:rsidRPr="00EF0B55">
        <w:rPr>
          <w:szCs w:val="16"/>
        </w:rPr>
        <w:t>, COM</w:t>
      </w:r>
      <w:r>
        <w:rPr>
          <w:szCs w:val="16"/>
        </w:rPr>
        <w:t xml:space="preserve"> </w:t>
      </w:r>
      <w:r w:rsidRPr="00EF0B55">
        <w:rPr>
          <w:szCs w:val="16"/>
        </w:rPr>
        <w:t>(2016) 359 final, 1 June 2016.</w:t>
      </w:r>
    </w:p>
  </w:footnote>
  <w:footnote w:id="9">
    <w:p w:rsidR="00E66707" w:rsidRPr="00EF0B55" w:rsidRDefault="00E66707" w:rsidP="007A0916">
      <w:pPr>
        <w:pStyle w:val="Textpoznpodarou"/>
        <w:spacing w:after="0"/>
        <w:ind w:left="0" w:firstLine="0"/>
        <w:rPr>
          <w:szCs w:val="16"/>
        </w:rPr>
      </w:pPr>
      <w:r w:rsidRPr="00EF0B55">
        <w:rPr>
          <w:rStyle w:val="Znakapoznpodarou"/>
          <w:sz w:val="16"/>
          <w:szCs w:val="16"/>
        </w:rPr>
        <w:footnoteRef/>
      </w:r>
      <w:r w:rsidRPr="00EF0B55">
        <w:rPr>
          <w:szCs w:val="16"/>
        </w:rPr>
        <w:t xml:space="preserve"> EIB (2016), Operations evaluation, </w:t>
      </w:r>
      <w:r w:rsidRPr="00EF0B55">
        <w:rPr>
          <w:i/>
          <w:szCs w:val="16"/>
        </w:rPr>
        <w:t>Evaluation of the functioning of the European Fund for Strategic Investments</w:t>
      </w:r>
      <w:r w:rsidRPr="00EF0B55">
        <w:rPr>
          <w:szCs w:val="16"/>
        </w:rPr>
        <w:t xml:space="preserve"> (EFSI).</w:t>
      </w:r>
    </w:p>
  </w:footnote>
  <w:footnote w:id="10">
    <w:p w:rsidR="00E66707" w:rsidRPr="00EF0B55" w:rsidRDefault="00E66707" w:rsidP="00E8260F">
      <w:pPr>
        <w:pStyle w:val="Textpoznpodarou"/>
        <w:spacing w:after="0"/>
        <w:ind w:left="0" w:firstLine="0"/>
        <w:rPr>
          <w:szCs w:val="16"/>
        </w:rPr>
      </w:pPr>
      <w:r w:rsidRPr="00EF0B55">
        <w:rPr>
          <w:rStyle w:val="Znakapoznpodarou"/>
          <w:rFonts w:eastAsiaTheme="minorEastAsia"/>
          <w:sz w:val="16"/>
          <w:szCs w:val="16"/>
        </w:rPr>
        <w:footnoteRef/>
      </w:r>
      <w:r w:rsidRPr="00EF0B55">
        <w:rPr>
          <w:szCs w:val="16"/>
        </w:rPr>
        <w:t xml:space="preserve"> COM(2016)359 final.</w:t>
      </w:r>
    </w:p>
  </w:footnote>
  <w:footnote w:id="11">
    <w:p w:rsidR="00E66707" w:rsidRPr="00B4164E" w:rsidRDefault="00E66707" w:rsidP="00B4164E">
      <w:pPr>
        <w:pStyle w:val="Textpoznpodarou"/>
        <w:spacing w:after="0"/>
      </w:pPr>
      <w:r w:rsidRPr="00B4164E">
        <w:rPr>
          <w:rStyle w:val="Znakapoznpodarou"/>
          <w:sz w:val="16"/>
          <w:szCs w:val="16"/>
        </w:rPr>
        <w:footnoteRef/>
      </w:r>
      <w:r w:rsidRPr="00B4164E">
        <w:rPr>
          <w:szCs w:val="16"/>
        </w:rPr>
        <w:t xml:space="preserve"> </w:t>
      </w:r>
      <w:r w:rsidRPr="00B4164E">
        <w:t>https://ec.europa.eu/priorities/sites/beta-political/files/2-years-on-investment-plan_en_0.pdf</w:t>
      </w:r>
    </w:p>
  </w:footnote>
  <w:footnote w:id="12">
    <w:p w:rsidR="00E66707" w:rsidRPr="00926A9A" w:rsidRDefault="00E66707" w:rsidP="00926A9A">
      <w:pPr>
        <w:pStyle w:val="elencopuntatoeesc"/>
        <w:numPr>
          <w:ilvl w:val="0"/>
          <w:numId w:val="0"/>
        </w:numPr>
        <w:jc w:val="both"/>
        <w:rPr>
          <w:sz w:val="16"/>
          <w:szCs w:val="16"/>
        </w:rPr>
      </w:pPr>
      <w:r w:rsidRPr="00926A9A">
        <w:rPr>
          <w:rStyle w:val="Znakapoznpodarou"/>
          <w:sz w:val="16"/>
          <w:szCs w:val="16"/>
        </w:rPr>
        <w:footnoteRef/>
      </w:r>
      <w:r w:rsidRPr="00926A9A">
        <w:rPr>
          <w:sz w:val="16"/>
          <w:szCs w:val="16"/>
        </w:rPr>
        <w:t xml:space="preserve"> Pillar 2: Flexible and secure labour contracts; Pillar 7: Conditions of employment; Pillar 8: Wages; Pillar 9: Health and safety at work</w:t>
      </w:r>
    </w:p>
    <w:p w:rsidR="00E66707" w:rsidRPr="007C5A8F" w:rsidRDefault="00E66707">
      <w:pPr>
        <w:pStyle w:val="Textpoznpodarou"/>
      </w:pPr>
    </w:p>
  </w:footnote>
  <w:footnote w:id="13">
    <w:p w:rsidR="00E66707" w:rsidRPr="000736BF" w:rsidRDefault="00E66707" w:rsidP="000736BF">
      <w:pPr>
        <w:pStyle w:val="Textpoznpodarou"/>
        <w:spacing w:after="0"/>
        <w:rPr>
          <w:i/>
        </w:rPr>
      </w:pPr>
      <w:r w:rsidRPr="000736BF">
        <w:rPr>
          <w:rStyle w:val="Znakapoznpodarou"/>
          <w:sz w:val="16"/>
          <w:szCs w:val="16"/>
        </w:rPr>
        <w:footnoteRef/>
      </w:r>
      <w:r w:rsidRPr="000736BF">
        <w:rPr>
          <w:szCs w:val="16"/>
        </w:rPr>
        <w:t xml:space="preserve"> </w:t>
      </w:r>
      <w:r>
        <w:t xml:space="preserve">European Commission, </w:t>
      </w:r>
      <w:r w:rsidRPr="000736BF">
        <w:rPr>
          <w:i/>
        </w:rPr>
        <w:t>The investment Plan for Europe: two years on</w:t>
      </w:r>
      <w:r>
        <w:rPr>
          <w:i/>
        </w:rPr>
        <w:t xml:space="preserve">, </w:t>
      </w:r>
      <w:r w:rsidRPr="000736BF">
        <w:t>November 2016</w:t>
      </w:r>
    </w:p>
  </w:footnote>
  <w:footnote w:id="14">
    <w:p w:rsidR="00E66707" w:rsidRPr="00EF0B55" w:rsidRDefault="00E66707" w:rsidP="000736BF">
      <w:pPr>
        <w:pStyle w:val="Textpoznpodarou"/>
        <w:spacing w:after="0"/>
        <w:ind w:left="0" w:firstLine="0"/>
        <w:rPr>
          <w:szCs w:val="16"/>
        </w:rPr>
      </w:pPr>
      <w:r w:rsidRPr="00EF0B55">
        <w:rPr>
          <w:rStyle w:val="Znakapoznpodarou"/>
          <w:sz w:val="16"/>
          <w:szCs w:val="16"/>
        </w:rPr>
        <w:footnoteRef/>
      </w:r>
      <w:r w:rsidRPr="00EF0B55">
        <w:rPr>
          <w:szCs w:val="16"/>
        </w:rPr>
        <w:t xml:space="preserve"> Commission Communication, </w:t>
      </w:r>
      <w:r w:rsidRPr="00EF0B55">
        <w:rPr>
          <w:i/>
          <w:szCs w:val="16"/>
        </w:rPr>
        <w:t>Europe investing again – taking stock of the investment plan for Europe and next steps</w:t>
      </w:r>
      <w:r w:rsidRPr="00EF0B55">
        <w:rPr>
          <w:szCs w:val="16"/>
        </w:rPr>
        <w:t>, COM(2016) 359 final, 1 June 2016.</w:t>
      </w:r>
    </w:p>
  </w:footnote>
  <w:footnote w:id="15">
    <w:p w:rsidR="00E66707" w:rsidRPr="0026556A" w:rsidRDefault="00E66707" w:rsidP="00C13BC1">
      <w:pPr>
        <w:rPr>
          <w:sz w:val="16"/>
          <w:szCs w:val="16"/>
        </w:rPr>
      </w:pPr>
      <w:r w:rsidRPr="00EF0B55">
        <w:rPr>
          <w:rStyle w:val="Znakapoznpodarou"/>
          <w:sz w:val="16"/>
          <w:szCs w:val="16"/>
        </w:rPr>
        <w:footnoteRef/>
      </w:r>
      <w:r w:rsidRPr="00EF0B55">
        <w:rPr>
          <w:sz w:val="16"/>
          <w:szCs w:val="16"/>
          <w:lang w:val="en-US"/>
        </w:rPr>
        <w:t xml:space="preserve"> </w:t>
      </w:r>
      <w:r w:rsidRPr="0026556A">
        <w:rPr>
          <w:sz w:val="16"/>
          <w:szCs w:val="16"/>
        </w:rPr>
        <w:t xml:space="preserve">EESC, </w:t>
      </w:r>
      <w:r w:rsidRPr="0026556A">
        <w:rPr>
          <w:i/>
          <w:sz w:val="16"/>
          <w:szCs w:val="16"/>
        </w:rPr>
        <w:t>New measures for development-oriented governance and implementation – evaluation of the European Structural and Investment Funds and ensuing recommendations</w:t>
      </w:r>
      <w:r w:rsidRPr="0026556A">
        <w:rPr>
          <w:sz w:val="16"/>
          <w:szCs w:val="16"/>
        </w:rPr>
        <w:t>, ECO/400, 2016.</w:t>
      </w:r>
    </w:p>
  </w:footnote>
  <w:footnote w:id="16">
    <w:p w:rsidR="00E66707" w:rsidRPr="00567CB7" w:rsidRDefault="00E66707" w:rsidP="00FA745F">
      <w:pPr>
        <w:rPr>
          <w:sz w:val="16"/>
          <w:szCs w:val="16"/>
          <w:lang w:val="en-US"/>
        </w:rPr>
      </w:pPr>
      <w:r w:rsidRPr="00EF0B55">
        <w:rPr>
          <w:rStyle w:val="Znakapoznpodarou"/>
          <w:sz w:val="16"/>
          <w:szCs w:val="16"/>
        </w:rPr>
        <w:footnoteRef/>
      </w:r>
      <w:r w:rsidRPr="00EF0B55">
        <w:rPr>
          <w:sz w:val="16"/>
          <w:szCs w:val="16"/>
          <w:lang w:val="en-US"/>
        </w:rPr>
        <w:t xml:space="preserve"> Efsi Secretariat, </w:t>
      </w:r>
      <w:r w:rsidRPr="00EF0B55">
        <w:rPr>
          <w:i/>
          <w:sz w:val="16"/>
          <w:szCs w:val="16"/>
          <w:lang w:val="en-US"/>
        </w:rPr>
        <w:t>EFSI</w:t>
      </w:r>
      <w:r w:rsidRPr="00EF0B55">
        <w:rPr>
          <w:sz w:val="16"/>
          <w:szCs w:val="16"/>
          <w:lang w:val="en-US"/>
        </w:rPr>
        <w:t xml:space="preserve"> </w:t>
      </w:r>
      <w:r w:rsidRPr="00EF0B55">
        <w:rPr>
          <w:i/>
          <w:sz w:val="16"/>
          <w:szCs w:val="16"/>
          <w:lang w:val="en-US"/>
        </w:rPr>
        <w:t>stakeholders consultation, summary report</w:t>
      </w:r>
      <w:r>
        <w:rPr>
          <w:sz w:val="16"/>
          <w:szCs w:val="16"/>
          <w:lang w:val="en-US"/>
        </w:rPr>
        <w:t>, 7/9/2016.</w:t>
      </w:r>
    </w:p>
  </w:footnote>
  <w:footnote w:id="17">
    <w:p w:rsidR="00E66707" w:rsidRPr="00EF0B55" w:rsidRDefault="00E66707" w:rsidP="0097329D">
      <w:pPr>
        <w:pStyle w:val="Textpoznpodarou"/>
        <w:spacing w:after="0"/>
        <w:ind w:left="0" w:firstLine="0"/>
        <w:rPr>
          <w:szCs w:val="16"/>
        </w:rPr>
      </w:pPr>
      <w:r w:rsidRPr="00EF0B55">
        <w:rPr>
          <w:rStyle w:val="Znakapoznpodarou"/>
          <w:sz w:val="16"/>
          <w:szCs w:val="16"/>
        </w:rPr>
        <w:footnoteRef/>
      </w:r>
      <w:r w:rsidRPr="00EF0B55">
        <w:rPr>
          <w:szCs w:val="16"/>
        </w:rPr>
        <w:t xml:space="preserve"> EU Summit in Bratislava: ETUC statement press release 23/9/2016.</w:t>
      </w:r>
    </w:p>
  </w:footnote>
  <w:footnote w:id="18">
    <w:p w:rsidR="00E66707" w:rsidRPr="00EF0B55" w:rsidRDefault="00E66707" w:rsidP="000134C5">
      <w:pPr>
        <w:pStyle w:val="Textpoznpodarou"/>
        <w:spacing w:after="0"/>
        <w:ind w:left="0" w:firstLine="0"/>
        <w:rPr>
          <w:szCs w:val="16"/>
        </w:rPr>
      </w:pPr>
      <w:r w:rsidRPr="00EF0B55">
        <w:rPr>
          <w:rStyle w:val="Znakapoznpodarou"/>
          <w:sz w:val="16"/>
          <w:szCs w:val="16"/>
        </w:rPr>
        <w:footnoteRef/>
      </w:r>
      <w:r w:rsidRPr="00EF0B55">
        <w:rPr>
          <w:szCs w:val="16"/>
        </w:rPr>
        <w:t xml:space="preserve"> European Centre of Employers and Enterprises providing public services.</w:t>
      </w:r>
    </w:p>
  </w:footnote>
  <w:footnote w:id="19">
    <w:p w:rsidR="00E66707" w:rsidRPr="00EF0B55" w:rsidRDefault="00E66707" w:rsidP="000134C5">
      <w:pPr>
        <w:pStyle w:val="Textpoznpodarou"/>
        <w:spacing w:after="0"/>
        <w:ind w:left="0" w:firstLine="0"/>
        <w:rPr>
          <w:szCs w:val="16"/>
        </w:rPr>
      </w:pPr>
      <w:r w:rsidRPr="00EF0B55">
        <w:rPr>
          <w:rStyle w:val="Znakapoznpodarou"/>
          <w:sz w:val="16"/>
          <w:szCs w:val="16"/>
        </w:rPr>
        <w:footnoteRef/>
      </w:r>
      <w:r w:rsidRPr="00EF0B55">
        <w:rPr>
          <w:szCs w:val="16"/>
        </w:rPr>
        <w:t xml:space="preserve"> Natali, D. and Vanhercke, B., </w:t>
      </w:r>
      <w:r w:rsidRPr="00EF0B55">
        <w:rPr>
          <w:i/>
          <w:szCs w:val="16"/>
        </w:rPr>
        <w:t>Social policy in the European Union: state of play 2015,</w:t>
      </w:r>
      <w:r w:rsidRPr="00EF0B55">
        <w:rPr>
          <w:szCs w:val="16"/>
        </w:rPr>
        <w:t xml:space="preserve"> OSE-ETUI, 2015.</w:t>
      </w:r>
    </w:p>
  </w:footnote>
  <w:footnote w:id="20">
    <w:p w:rsidR="00E66707" w:rsidRPr="00EF0B55" w:rsidRDefault="00E66707" w:rsidP="000134C5">
      <w:pPr>
        <w:pStyle w:val="Textpoznpodarou"/>
        <w:spacing w:after="0"/>
        <w:ind w:left="0" w:firstLine="0"/>
        <w:rPr>
          <w:szCs w:val="16"/>
        </w:rPr>
      </w:pPr>
      <w:r w:rsidRPr="00EF0B55">
        <w:rPr>
          <w:rStyle w:val="Znakapoznpodarou"/>
          <w:sz w:val="16"/>
          <w:szCs w:val="16"/>
        </w:rPr>
        <w:footnoteRef/>
      </w:r>
      <w:r w:rsidRPr="00EF0B55">
        <w:rPr>
          <w:szCs w:val="16"/>
        </w:rPr>
        <w:t xml:space="preserve"> Natali D. and Vanhercke, B. </w:t>
      </w:r>
      <w:r w:rsidRPr="00EF0B55">
        <w:rPr>
          <w:i/>
          <w:szCs w:val="16"/>
        </w:rPr>
        <w:t>Social policy in the European Union: state of play 2015</w:t>
      </w:r>
      <w:r w:rsidRPr="00EF0B55">
        <w:rPr>
          <w:szCs w:val="16"/>
        </w:rPr>
        <w:t>, OSE-ETUI 2015.</w:t>
      </w:r>
    </w:p>
  </w:footnote>
  <w:footnote w:id="21">
    <w:p w:rsidR="00E66707" w:rsidRPr="00EF0B55" w:rsidRDefault="00E66707" w:rsidP="00F93A20">
      <w:pPr>
        <w:pStyle w:val="Textpoznpodarou"/>
        <w:spacing w:after="0"/>
        <w:ind w:left="0" w:firstLine="0"/>
        <w:rPr>
          <w:szCs w:val="16"/>
        </w:rPr>
      </w:pPr>
      <w:r w:rsidRPr="00EF0B55">
        <w:rPr>
          <w:szCs w:val="16"/>
          <w:vertAlign w:val="superscript"/>
        </w:rPr>
        <w:footnoteRef/>
      </w:r>
      <w:r w:rsidRPr="00EF0B55">
        <w:rPr>
          <w:szCs w:val="16"/>
        </w:rPr>
        <w:t xml:space="preserve"> EFSI Secretariat, EFSI stakeholders consultation, Summary report, 7/9/2016.</w:t>
      </w:r>
    </w:p>
    <w:p w:rsidR="00E66707" w:rsidRPr="00EF0B55" w:rsidRDefault="00E66707" w:rsidP="00F93A20">
      <w:pPr>
        <w:pStyle w:val="Textpoznpodarou"/>
        <w:spacing w:after="0"/>
        <w:ind w:left="0" w:firstLine="0"/>
        <w:rPr>
          <w:szCs w:val="16"/>
        </w:rPr>
      </w:pPr>
    </w:p>
  </w:footnote>
  <w:footnote w:id="22">
    <w:p w:rsidR="00E66707" w:rsidRPr="00EF0B55" w:rsidRDefault="00E66707" w:rsidP="001E242B">
      <w:pPr>
        <w:pStyle w:val="Textpoznpodarou"/>
        <w:spacing w:after="0"/>
        <w:ind w:left="0" w:firstLine="0"/>
        <w:rPr>
          <w:szCs w:val="16"/>
          <w:lang w:val="en-GB"/>
        </w:rPr>
      </w:pPr>
      <w:r w:rsidRPr="00EF0B55">
        <w:rPr>
          <w:rStyle w:val="Znakapoznpodarou"/>
          <w:sz w:val="16"/>
          <w:szCs w:val="16"/>
        </w:rPr>
        <w:footnoteRef/>
      </w:r>
      <w:r w:rsidRPr="00EF0B55">
        <w:rPr>
          <w:szCs w:val="16"/>
        </w:rPr>
        <w:t xml:space="preserve"> President Juncker, State of the Union 2016</w:t>
      </w:r>
      <w:r w:rsidRPr="00EF0B55">
        <w:rPr>
          <w:szCs w:val="16"/>
          <w:lang w:val="en-GB"/>
        </w:rPr>
        <w:t>.</w:t>
      </w:r>
    </w:p>
  </w:footnote>
  <w:footnote w:id="23">
    <w:p w:rsidR="00E66707" w:rsidRPr="00EF0B55" w:rsidRDefault="00E66707" w:rsidP="00F93A20">
      <w:pPr>
        <w:pStyle w:val="Textpoznpodarou"/>
        <w:spacing w:after="0"/>
        <w:ind w:left="0" w:firstLine="0"/>
        <w:rPr>
          <w:szCs w:val="16"/>
        </w:rPr>
      </w:pPr>
      <w:r w:rsidRPr="00EF0B55">
        <w:rPr>
          <w:rStyle w:val="Znakapoznpodarou"/>
          <w:sz w:val="16"/>
          <w:szCs w:val="16"/>
        </w:rPr>
        <w:footnoteRef/>
      </w:r>
      <w:r w:rsidRPr="00EF0B55">
        <w:rPr>
          <w:szCs w:val="16"/>
        </w:rPr>
        <w:t xml:space="preserve"> ILO, </w:t>
      </w:r>
      <w:r w:rsidRPr="001013F7">
        <w:rPr>
          <w:i/>
          <w:szCs w:val="16"/>
        </w:rPr>
        <w:t>An employment-oriented investment strategy for Europe</w:t>
      </w:r>
      <w:r w:rsidRPr="00EF0B55">
        <w:rPr>
          <w:szCs w:val="16"/>
        </w:rPr>
        <w:t>, Geneva 2015.</w:t>
      </w:r>
    </w:p>
    <w:p w:rsidR="00E66707" w:rsidRPr="00EF0B55" w:rsidRDefault="00E66707" w:rsidP="00F93A20">
      <w:pPr>
        <w:pStyle w:val="Textpoznpodarou"/>
        <w:spacing w:after="0"/>
        <w:ind w:left="0" w:firstLine="0"/>
        <w:rPr>
          <w:szCs w:val="16"/>
        </w:rPr>
      </w:pPr>
      <w:r w:rsidRPr="00EF0B55">
        <w:rPr>
          <w:szCs w:val="16"/>
        </w:rPr>
        <w:t xml:space="preserve"> </w:t>
      </w:r>
      <w:hyperlink r:id="rId2" w:history="1">
        <w:r w:rsidRPr="00EF0B55">
          <w:rPr>
            <w:rStyle w:val="Hypertextovodkaz"/>
            <w:szCs w:val="16"/>
          </w:rPr>
          <w:t>http://www.ilo.org/wcmsp5/groups/public/---dgreports/---dcomm/---publ/documents/publication/wcms_338674.pdf</w:t>
        </w:r>
      </w:hyperlink>
    </w:p>
  </w:footnote>
  <w:footnote w:id="24">
    <w:p w:rsidR="00E66707" w:rsidRPr="00EF0B55" w:rsidRDefault="00E66707" w:rsidP="00F93A20">
      <w:pPr>
        <w:pStyle w:val="Textpoznpodarou"/>
        <w:spacing w:after="0"/>
        <w:ind w:left="0" w:firstLine="0"/>
        <w:rPr>
          <w:szCs w:val="16"/>
        </w:rPr>
      </w:pPr>
      <w:r w:rsidRPr="00EF0B55">
        <w:rPr>
          <w:rStyle w:val="Znakapoznpodarou"/>
          <w:sz w:val="16"/>
          <w:szCs w:val="16"/>
        </w:rPr>
        <w:footnoteRef/>
      </w:r>
      <w:r w:rsidRPr="00EF0B55">
        <w:rPr>
          <w:szCs w:val="16"/>
        </w:rPr>
        <w:t xml:space="preserve"> ETUC, </w:t>
      </w:r>
      <w:r w:rsidRPr="00EF0B55">
        <w:rPr>
          <w:i/>
          <w:szCs w:val="16"/>
        </w:rPr>
        <w:t>Position on the Annual Growth Survey 2016 – for a Europe that works for workers and citizens,</w:t>
      </w:r>
      <w:r w:rsidRPr="00EF0B55">
        <w:rPr>
          <w:szCs w:val="16"/>
        </w:rPr>
        <w:t xml:space="preserve"> October 2015.</w:t>
      </w:r>
    </w:p>
  </w:footnote>
  <w:footnote w:id="25">
    <w:p w:rsidR="00E66707" w:rsidRPr="00EF0B55" w:rsidRDefault="00E66707" w:rsidP="00F93A20">
      <w:pPr>
        <w:pStyle w:val="Textpoznpodarou"/>
        <w:spacing w:after="0"/>
        <w:ind w:left="0" w:firstLine="0"/>
        <w:rPr>
          <w:szCs w:val="16"/>
        </w:rPr>
      </w:pPr>
      <w:r w:rsidRPr="00EF0B55">
        <w:rPr>
          <w:rStyle w:val="Znakapoznpodarou"/>
          <w:sz w:val="16"/>
          <w:szCs w:val="16"/>
        </w:rPr>
        <w:footnoteRef/>
      </w:r>
      <w:r w:rsidRPr="00EF0B55">
        <w:rPr>
          <w:szCs w:val="16"/>
        </w:rPr>
        <w:t xml:space="preserve"> EIB, </w:t>
      </w:r>
      <w:r w:rsidRPr="00EF0B55">
        <w:rPr>
          <w:i/>
          <w:szCs w:val="16"/>
        </w:rPr>
        <w:t>Operations Evaluation, Evaluation of the Functioning of the European Fund for Strategic Investments</w:t>
      </w:r>
      <w:r w:rsidRPr="00EF0B55">
        <w:rPr>
          <w:szCs w:val="16"/>
        </w:rPr>
        <w:t>, (EFSI), 2016.</w:t>
      </w:r>
    </w:p>
  </w:footnote>
  <w:footnote w:id="26">
    <w:p w:rsidR="00E66707" w:rsidRPr="00EF0B55" w:rsidRDefault="00E66707" w:rsidP="003B6CB8">
      <w:pPr>
        <w:pStyle w:val="Textpoznpodarou"/>
        <w:spacing w:after="0"/>
        <w:ind w:left="0" w:firstLine="0"/>
        <w:rPr>
          <w:szCs w:val="16"/>
        </w:rPr>
      </w:pPr>
      <w:r w:rsidRPr="00EF0B55">
        <w:rPr>
          <w:rStyle w:val="Znakapoznpodarou"/>
          <w:sz w:val="16"/>
          <w:szCs w:val="16"/>
        </w:rPr>
        <w:footnoteRef/>
      </w:r>
      <w:r w:rsidRPr="00EF0B55">
        <w:rPr>
          <w:szCs w:val="16"/>
        </w:rPr>
        <w:t xml:space="preserve"> See also </w:t>
      </w:r>
      <w:r w:rsidRPr="00B809C7">
        <w:rPr>
          <w:szCs w:val="16"/>
        </w:rPr>
        <w:t>Garonna-Reviglio eds.</w:t>
      </w:r>
      <w:r>
        <w:rPr>
          <w:szCs w:val="16"/>
        </w:rPr>
        <w:t>, 2014</w:t>
      </w:r>
    </w:p>
  </w:footnote>
  <w:footnote w:id="27">
    <w:p w:rsidR="00E66707" w:rsidRPr="00EF0B55" w:rsidRDefault="00E66707" w:rsidP="00F93A20">
      <w:pPr>
        <w:pStyle w:val="Textpoznpodarou"/>
        <w:spacing w:after="0"/>
        <w:ind w:left="0" w:firstLine="0"/>
        <w:rPr>
          <w:szCs w:val="16"/>
        </w:rPr>
      </w:pPr>
      <w:r w:rsidRPr="00B809C7">
        <w:rPr>
          <w:rStyle w:val="Znakapoznpodarou"/>
          <w:sz w:val="16"/>
          <w:szCs w:val="16"/>
        </w:rPr>
        <w:footnoteRef/>
      </w:r>
      <w:r w:rsidRPr="00B809C7">
        <w:rPr>
          <w:szCs w:val="16"/>
        </w:rPr>
        <w:t xml:space="preserve"> </w:t>
      </w:r>
      <w:r>
        <w:rPr>
          <w:szCs w:val="16"/>
        </w:rPr>
        <w:t>See Garonna-Reviglio eds., 2014</w:t>
      </w:r>
    </w:p>
  </w:footnote>
  <w:footnote w:id="28">
    <w:p w:rsidR="00E66707" w:rsidRPr="00EF0B55" w:rsidRDefault="00E66707" w:rsidP="00F93A20">
      <w:pPr>
        <w:pStyle w:val="Textpoznpodarou"/>
        <w:spacing w:after="0"/>
        <w:ind w:left="0" w:firstLine="0"/>
        <w:rPr>
          <w:szCs w:val="16"/>
        </w:rPr>
      </w:pPr>
      <w:r w:rsidRPr="00EF0B55">
        <w:rPr>
          <w:rStyle w:val="Znakapoznpodarou"/>
          <w:sz w:val="16"/>
          <w:szCs w:val="16"/>
        </w:rPr>
        <w:footnoteRef/>
      </w:r>
      <w:r w:rsidRPr="00EF0B55">
        <w:rPr>
          <w:szCs w:val="16"/>
        </w:rPr>
        <w:t xml:space="preserve"> Commission Communication, </w:t>
      </w:r>
      <w:r w:rsidRPr="00EF0B55">
        <w:rPr>
          <w:i/>
          <w:szCs w:val="16"/>
        </w:rPr>
        <w:t>Europe investing again – taking stock of the Investment Plan for Europe and next steps</w:t>
      </w:r>
      <w:r w:rsidRPr="00EF0B55">
        <w:rPr>
          <w:szCs w:val="16"/>
        </w:rPr>
        <w:t>, COM(2016) 359 final, 1 June 2016.</w:t>
      </w:r>
    </w:p>
  </w:footnote>
  <w:footnote w:id="29">
    <w:p w:rsidR="00E66707" w:rsidRPr="00EF0B55" w:rsidRDefault="00E66707" w:rsidP="00F93A20">
      <w:pPr>
        <w:autoSpaceDE w:val="0"/>
        <w:autoSpaceDN w:val="0"/>
        <w:adjustRightInd w:val="0"/>
        <w:rPr>
          <w:color w:val="262626"/>
          <w:sz w:val="16"/>
          <w:szCs w:val="16"/>
          <w:lang w:val="en-US"/>
        </w:rPr>
      </w:pPr>
      <w:r w:rsidRPr="00EF0B55">
        <w:rPr>
          <w:rStyle w:val="Znakapoznpodarou"/>
          <w:sz w:val="16"/>
          <w:szCs w:val="16"/>
        </w:rPr>
        <w:footnoteRef/>
      </w:r>
      <w:r w:rsidRPr="00EF0B55">
        <w:rPr>
          <w:sz w:val="16"/>
          <w:szCs w:val="16"/>
          <w:lang w:val="en-US"/>
        </w:rPr>
        <w:t xml:space="preserve"> To this end the report </w:t>
      </w:r>
      <w:r w:rsidRPr="004A7466">
        <w:rPr>
          <w:sz w:val="16"/>
          <w:szCs w:val="16"/>
          <w:lang w:val="en-US"/>
        </w:rPr>
        <w:t xml:space="preserve">ILO, </w:t>
      </w:r>
      <w:r w:rsidRPr="004A7466">
        <w:rPr>
          <w:i/>
          <w:sz w:val="16"/>
          <w:szCs w:val="16"/>
          <w:lang w:val="en-US"/>
        </w:rPr>
        <w:t>An employment-oriented investment strategy for Europe</w:t>
      </w:r>
      <w:r w:rsidRPr="004A7466">
        <w:rPr>
          <w:sz w:val="16"/>
          <w:szCs w:val="16"/>
          <w:lang w:val="en-US"/>
        </w:rPr>
        <w:t>, Geneva, 2015</w:t>
      </w:r>
      <w:r w:rsidRPr="00EF0B55">
        <w:rPr>
          <w:sz w:val="16"/>
          <w:szCs w:val="16"/>
          <w:lang w:val="en-US"/>
        </w:rPr>
        <w:t xml:space="preserve"> suggests that </w:t>
      </w:r>
      <w:r w:rsidRPr="00EF0B55">
        <w:rPr>
          <w:color w:val="262626"/>
          <w:sz w:val="16"/>
          <w:szCs w:val="16"/>
          <w:lang w:val="en-US"/>
        </w:rPr>
        <w:t>one third of the expected EUR 315 billion be allocated according to relative size of the economy (that is, weighted by GDP), and the remaining two-thirds by levels of unemployment. In this way total employment gains are expected to be enhanced by 9.4 % compared with no attention to unemployment levels, approaching 2.0 million after three years. In addition, those countries in greatest need would experience the highest increases in employment.</w:t>
      </w:r>
    </w:p>
  </w:footnote>
  <w:footnote w:id="30">
    <w:p w:rsidR="00E66707" w:rsidRPr="00EF0B55" w:rsidRDefault="00E66707" w:rsidP="00F93A20">
      <w:pPr>
        <w:rPr>
          <w:sz w:val="16"/>
          <w:szCs w:val="16"/>
          <w:lang w:val="en-US"/>
        </w:rPr>
      </w:pPr>
      <w:r w:rsidRPr="00EF0B55">
        <w:rPr>
          <w:rStyle w:val="Znakapoznpodarou"/>
          <w:sz w:val="16"/>
          <w:szCs w:val="16"/>
        </w:rPr>
        <w:footnoteRef/>
      </w:r>
      <w:r w:rsidRPr="00EF0B55">
        <w:rPr>
          <w:sz w:val="16"/>
          <w:szCs w:val="16"/>
          <w:lang w:val="en-US"/>
        </w:rPr>
        <w:t xml:space="preserve"> </w:t>
      </w:r>
      <w:r w:rsidRPr="00EF0B55">
        <w:rPr>
          <w:rStyle w:val="TextpoznpodarouChar"/>
          <w:szCs w:val="16"/>
          <w:lang w:val="en-US"/>
        </w:rPr>
        <w:t xml:space="preserve">EESC, </w:t>
      </w:r>
      <w:r w:rsidRPr="00EF0B55">
        <w:rPr>
          <w:rStyle w:val="TextpoznpodarouChar"/>
          <w:i/>
          <w:szCs w:val="16"/>
          <w:lang w:val="en-US"/>
        </w:rPr>
        <w:t>New measures for development-oriented governance and implementation – evaluation of the European Structural and Investment Funds and ensuing recommendations</w:t>
      </w:r>
      <w:r w:rsidRPr="00EF0B55">
        <w:rPr>
          <w:rStyle w:val="TextpoznpodarouChar"/>
          <w:szCs w:val="16"/>
          <w:lang w:val="en-US"/>
        </w:rPr>
        <w:t>, ECO/400, 2016.</w:t>
      </w:r>
    </w:p>
  </w:footnote>
  <w:footnote w:id="31">
    <w:p w:rsidR="00E66707" w:rsidRPr="00EF0B55" w:rsidRDefault="00E66707" w:rsidP="00F93A20">
      <w:pPr>
        <w:pStyle w:val="Textpoznpodarou"/>
        <w:spacing w:after="0"/>
        <w:ind w:left="0" w:firstLine="0"/>
        <w:rPr>
          <w:szCs w:val="16"/>
        </w:rPr>
      </w:pPr>
      <w:r w:rsidRPr="00EF0B55">
        <w:rPr>
          <w:rStyle w:val="Znakapoznpodarou"/>
          <w:sz w:val="16"/>
          <w:szCs w:val="16"/>
        </w:rPr>
        <w:footnoteRef/>
      </w:r>
      <w:r w:rsidRPr="00EF0B55">
        <w:rPr>
          <w:szCs w:val="16"/>
        </w:rPr>
        <w:t xml:space="preserve"> Commission Communication, </w:t>
      </w:r>
      <w:r w:rsidRPr="00EF0B55">
        <w:rPr>
          <w:i/>
          <w:szCs w:val="16"/>
        </w:rPr>
        <w:t>Europe investing again – taking stock of the Investment Plan for Europe and next steps</w:t>
      </w:r>
      <w:r w:rsidRPr="00EF0B55">
        <w:rPr>
          <w:szCs w:val="16"/>
        </w:rPr>
        <w:t>, COM(2016) 359 final, 1 June 2016.</w:t>
      </w:r>
    </w:p>
  </w:footnote>
  <w:footnote w:id="32">
    <w:p w:rsidR="00E66707" w:rsidRPr="00EF0B55" w:rsidRDefault="00E66707" w:rsidP="00F93A20">
      <w:pPr>
        <w:autoSpaceDE w:val="0"/>
        <w:autoSpaceDN w:val="0"/>
        <w:adjustRightInd w:val="0"/>
        <w:rPr>
          <w:sz w:val="16"/>
          <w:szCs w:val="16"/>
          <w:lang w:val="en-US"/>
        </w:rPr>
      </w:pPr>
      <w:r w:rsidRPr="00EF0B55">
        <w:rPr>
          <w:rStyle w:val="Znakapoznpodarou"/>
          <w:sz w:val="16"/>
          <w:szCs w:val="16"/>
        </w:rPr>
        <w:footnoteRef/>
      </w:r>
      <w:r w:rsidRPr="00EF0B55">
        <w:rPr>
          <w:sz w:val="16"/>
          <w:szCs w:val="16"/>
          <w:lang w:val="en-US"/>
        </w:rPr>
        <w:t xml:space="preserve"> European Commission,</w:t>
      </w:r>
      <w:r w:rsidRPr="001758D0">
        <w:rPr>
          <w:i/>
          <w:sz w:val="16"/>
          <w:szCs w:val="16"/>
          <w:lang w:val="en-US"/>
        </w:rPr>
        <w:t xml:space="preserve"> European Structural and Investment Funds and European Fund for Strategic Investments Complementarities. Ensuring coordination, synergies and complementarity,</w:t>
      </w:r>
      <w:r w:rsidRPr="00EF0B55">
        <w:rPr>
          <w:sz w:val="16"/>
          <w:szCs w:val="16"/>
          <w:lang w:val="en-US"/>
        </w:rPr>
        <w:t xml:space="preserve"> February 2016</w:t>
      </w:r>
    </w:p>
    <w:p w:rsidR="00E66707" w:rsidRPr="00EF0B55" w:rsidRDefault="00B72E7A" w:rsidP="00F93A20">
      <w:pPr>
        <w:pStyle w:val="Textpoznpodarou"/>
        <w:spacing w:after="0"/>
        <w:ind w:left="0" w:firstLine="0"/>
        <w:rPr>
          <w:szCs w:val="16"/>
        </w:rPr>
      </w:pPr>
      <w:hyperlink r:id="rId3" w:history="1">
        <w:r w:rsidR="00E66707" w:rsidRPr="00EF0B55">
          <w:rPr>
            <w:rStyle w:val="Hypertextovodkaz"/>
            <w:szCs w:val="16"/>
          </w:rPr>
          <w:t>http://ec.europa.eu/regional_policy/sources/thefunds/fin_inst/pdf/efsi_esif_compl_en.pdf</w:t>
        </w:r>
      </w:hyperlink>
    </w:p>
    <w:p w:rsidR="00E66707" w:rsidRPr="00EF0B55" w:rsidRDefault="00E66707" w:rsidP="00F93A20">
      <w:pPr>
        <w:pStyle w:val="Textpoznpodarou"/>
        <w:spacing w:after="0"/>
        <w:ind w:left="0" w:firstLine="0"/>
        <w:rPr>
          <w:szCs w:val="16"/>
        </w:rPr>
      </w:pPr>
    </w:p>
  </w:footnote>
  <w:footnote w:id="33">
    <w:p w:rsidR="00E66707" w:rsidRPr="00EF0B55" w:rsidRDefault="00E66707" w:rsidP="00CC1B88">
      <w:pPr>
        <w:pStyle w:val="Textpoznpodarou"/>
        <w:spacing w:after="0"/>
        <w:ind w:left="0" w:firstLine="0"/>
        <w:rPr>
          <w:szCs w:val="16"/>
        </w:rPr>
      </w:pPr>
      <w:r w:rsidRPr="00EF0B55">
        <w:rPr>
          <w:rStyle w:val="Znakapoznpodarou"/>
          <w:sz w:val="16"/>
          <w:szCs w:val="16"/>
        </w:rPr>
        <w:footnoteRef/>
      </w:r>
      <w:r w:rsidRPr="00EF0B55">
        <w:rPr>
          <w:szCs w:val="16"/>
        </w:rPr>
        <w:t xml:space="preserve"> Natali, D and Vanhercke, B., </w:t>
      </w:r>
      <w:r w:rsidRPr="00EF0B55">
        <w:rPr>
          <w:i/>
          <w:szCs w:val="16"/>
        </w:rPr>
        <w:t>Social policy in the European Union: state of play 2015</w:t>
      </w:r>
      <w:r w:rsidRPr="00EF0B55">
        <w:rPr>
          <w:szCs w:val="16"/>
        </w:rPr>
        <w:t xml:space="preserve">, OSE-ETUI 2015, 2015. </w:t>
      </w:r>
    </w:p>
  </w:footnote>
  <w:footnote w:id="34">
    <w:p w:rsidR="00E66707" w:rsidRPr="00EF0B55" w:rsidRDefault="00E66707" w:rsidP="00ED12A8">
      <w:pPr>
        <w:pStyle w:val="Textpoznpodarou"/>
        <w:spacing w:after="0"/>
        <w:ind w:left="0" w:firstLine="0"/>
        <w:rPr>
          <w:szCs w:val="16"/>
        </w:rPr>
      </w:pPr>
      <w:r w:rsidRPr="00EF0B55">
        <w:rPr>
          <w:rStyle w:val="Znakapoznpodarou"/>
          <w:sz w:val="16"/>
          <w:szCs w:val="16"/>
        </w:rPr>
        <w:footnoteRef/>
      </w:r>
      <w:r w:rsidRPr="00EF0B55">
        <w:rPr>
          <w:szCs w:val="16"/>
          <w:vertAlign w:val="superscript"/>
        </w:rPr>
        <w:t xml:space="preserve"> </w:t>
      </w:r>
      <w:r w:rsidRPr="00EF0B55">
        <w:rPr>
          <w:szCs w:val="16"/>
        </w:rPr>
        <w:t xml:space="preserve">EIB, </w:t>
      </w:r>
      <w:r w:rsidRPr="00EF0B55">
        <w:rPr>
          <w:i/>
          <w:szCs w:val="16"/>
        </w:rPr>
        <w:t>Operations evaluation, evaluation of the functioning of the European Fund for Strategic Investments (EFSI</w:t>
      </w:r>
      <w:r w:rsidRPr="00EF0B55">
        <w:rPr>
          <w:szCs w:val="16"/>
        </w:rPr>
        <w:t>), 2016.</w:t>
      </w:r>
    </w:p>
  </w:footnote>
  <w:footnote w:id="35">
    <w:p w:rsidR="00E66707" w:rsidRPr="00937F54" w:rsidRDefault="00E66707" w:rsidP="00F93A20">
      <w:pPr>
        <w:rPr>
          <w:sz w:val="16"/>
          <w:szCs w:val="16"/>
        </w:rPr>
      </w:pPr>
      <w:r w:rsidRPr="00EF0B55">
        <w:rPr>
          <w:rStyle w:val="Znakapoznpodarou"/>
          <w:sz w:val="16"/>
          <w:szCs w:val="16"/>
        </w:rPr>
        <w:footnoteRef/>
      </w:r>
      <w:r w:rsidRPr="00EF0B55">
        <w:rPr>
          <w:sz w:val="16"/>
          <w:szCs w:val="16"/>
          <w:lang w:val="en-US"/>
        </w:rPr>
        <w:t xml:space="preserve"> </w:t>
      </w:r>
      <w:r w:rsidRPr="00937F54">
        <w:rPr>
          <w:sz w:val="16"/>
          <w:szCs w:val="16"/>
        </w:rPr>
        <w:t xml:space="preserve">EESC, </w:t>
      </w:r>
      <w:r w:rsidRPr="00937F54">
        <w:rPr>
          <w:i/>
          <w:sz w:val="16"/>
          <w:szCs w:val="16"/>
        </w:rPr>
        <w:t>Opinion of the European Economic and Social Committee on: new measures for development-oriented governance and implementation – evaluation of the European Structural and Investment Funds and ensuing recommendations</w:t>
      </w:r>
      <w:r w:rsidRPr="00937F54">
        <w:rPr>
          <w:sz w:val="16"/>
          <w:szCs w:val="16"/>
        </w:rPr>
        <w:t>, ECO/400, 2016.</w:t>
      </w:r>
    </w:p>
  </w:footnote>
  <w:footnote w:id="36">
    <w:p w:rsidR="00E66707" w:rsidRPr="00EF0B55" w:rsidRDefault="00E66707" w:rsidP="00F93A20">
      <w:pPr>
        <w:pStyle w:val="Textpoznpodarou"/>
        <w:spacing w:after="0"/>
        <w:ind w:left="0" w:firstLine="0"/>
        <w:rPr>
          <w:szCs w:val="16"/>
        </w:rPr>
      </w:pPr>
      <w:r w:rsidRPr="00EF0B55">
        <w:rPr>
          <w:szCs w:val="16"/>
          <w:vertAlign w:val="superscript"/>
        </w:rPr>
        <w:footnoteRef/>
      </w:r>
      <w:r w:rsidRPr="00EF0B55">
        <w:rPr>
          <w:szCs w:val="16"/>
        </w:rPr>
        <w:t xml:space="preserve"> EFSI Secretariat, EFSI stakeholders consultation, Summary report, 7/9/2016.</w:t>
      </w:r>
    </w:p>
  </w:footnote>
  <w:footnote w:id="37">
    <w:p w:rsidR="00E66707" w:rsidRPr="00EF0B55" w:rsidRDefault="00E66707" w:rsidP="00F93A20">
      <w:pPr>
        <w:pStyle w:val="Textpoznpodarou"/>
        <w:spacing w:after="0"/>
        <w:ind w:left="0" w:firstLine="0"/>
        <w:rPr>
          <w:szCs w:val="16"/>
        </w:rPr>
      </w:pPr>
      <w:r w:rsidRPr="00EF0B55">
        <w:rPr>
          <w:rStyle w:val="Znakapoznpodarou"/>
          <w:sz w:val="16"/>
          <w:szCs w:val="16"/>
        </w:rPr>
        <w:footnoteRef/>
      </w:r>
      <w:r w:rsidRPr="00EF0B55">
        <w:rPr>
          <w:szCs w:val="16"/>
        </w:rPr>
        <w:t xml:space="preserve"> European Commission press release, </w:t>
      </w:r>
      <w:r w:rsidRPr="00EF0B55">
        <w:rPr>
          <w:i/>
          <w:szCs w:val="16"/>
          <w:u w:val="single"/>
        </w:rPr>
        <w:t>State of the Union 2016: strengthening European investments for jobs and growth</w:t>
      </w:r>
      <w:r w:rsidRPr="00EF0B55">
        <w:rPr>
          <w:szCs w:val="16"/>
          <w:u w:val="single"/>
        </w:rPr>
        <w:t>, 2016.</w:t>
      </w:r>
    </w:p>
  </w:footnote>
  <w:footnote w:id="38">
    <w:p w:rsidR="00E66707" w:rsidRPr="00937F54" w:rsidRDefault="00E66707" w:rsidP="00F93A20">
      <w:pPr>
        <w:rPr>
          <w:sz w:val="16"/>
          <w:szCs w:val="16"/>
        </w:rPr>
      </w:pPr>
      <w:r w:rsidRPr="00EF0B55">
        <w:rPr>
          <w:rStyle w:val="Znakapoznpodarou"/>
          <w:sz w:val="16"/>
          <w:szCs w:val="16"/>
        </w:rPr>
        <w:footnoteRef/>
      </w:r>
      <w:r w:rsidRPr="00EF0B55">
        <w:rPr>
          <w:sz w:val="16"/>
          <w:szCs w:val="16"/>
          <w:lang w:val="en-US"/>
        </w:rPr>
        <w:t xml:space="preserve"> </w:t>
      </w:r>
      <w:r w:rsidRPr="00937F54">
        <w:rPr>
          <w:sz w:val="16"/>
          <w:szCs w:val="16"/>
        </w:rPr>
        <w:t xml:space="preserve">EESC, </w:t>
      </w:r>
      <w:r w:rsidRPr="00937F54">
        <w:rPr>
          <w:i/>
          <w:sz w:val="16"/>
          <w:szCs w:val="16"/>
        </w:rPr>
        <w:t>Opinion of the European Economic and Social Committee on: new measures for development-oriented governance and implementation – evaluation of the European Structural and Investment Funds and ensuing recommendations</w:t>
      </w:r>
      <w:r w:rsidRPr="00937F54">
        <w:rPr>
          <w:sz w:val="16"/>
          <w:szCs w:val="16"/>
        </w:rPr>
        <w:t>, ECO/400, 2016.</w:t>
      </w:r>
    </w:p>
  </w:footnote>
  <w:footnote w:id="39">
    <w:p w:rsidR="00E66707" w:rsidRPr="000F45C9" w:rsidRDefault="00E66707" w:rsidP="000F45C9">
      <w:pPr>
        <w:pStyle w:val="Textpoznpodarou"/>
        <w:spacing w:after="0"/>
        <w:ind w:left="0" w:firstLine="0"/>
        <w:rPr>
          <w:szCs w:val="16"/>
        </w:rPr>
      </w:pPr>
      <w:r w:rsidRPr="00EF0B55">
        <w:rPr>
          <w:rStyle w:val="Znakapoznpodarou"/>
          <w:sz w:val="16"/>
          <w:szCs w:val="16"/>
        </w:rPr>
        <w:footnoteRef/>
      </w:r>
      <w:r w:rsidRPr="00EF0B55">
        <w:rPr>
          <w:szCs w:val="16"/>
        </w:rPr>
        <w:t xml:space="preserve"> </w:t>
      </w:r>
      <w:r w:rsidRPr="000F45C9">
        <w:rPr>
          <w:szCs w:val="16"/>
        </w:rPr>
        <w:t xml:space="preserve">Commission Communication, </w:t>
      </w:r>
      <w:r w:rsidRPr="000F45C9">
        <w:rPr>
          <w:i/>
          <w:szCs w:val="16"/>
        </w:rPr>
        <w:t>Europe investing again – taking stock of the Investment Plan for Europe and next steps</w:t>
      </w:r>
      <w:r w:rsidRPr="000F45C9">
        <w:rPr>
          <w:szCs w:val="16"/>
        </w:rPr>
        <w:t>, COM(2016) 359 final, 1 June 2016.</w:t>
      </w:r>
    </w:p>
  </w:footnote>
  <w:footnote w:id="40">
    <w:p w:rsidR="00E66707" w:rsidRPr="000F45C9" w:rsidRDefault="00E66707" w:rsidP="00530D85">
      <w:pPr>
        <w:pStyle w:val="Textpoznpodarou"/>
        <w:spacing w:after="0"/>
        <w:rPr>
          <w:szCs w:val="16"/>
        </w:rPr>
      </w:pPr>
      <w:r w:rsidRPr="000F45C9">
        <w:rPr>
          <w:rStyle w:val="Znakapoznpodarou"/>
          <w:sz w:val="16"/>
          <w:szCs w:val="16"/>
        </w:rPr>
        <w:footnoteRef/>
      </w:r>
      <w:r w:rsidRPr="000F45C9">
        <w:rPr>
          <w:szCs w:val="16"/>
        </w:rPr>
        <w:t xml:space="preserve"> Crepaldi C., Samek M., </w:t>
      </w:r>
      <w:r w:rsidRPr="000F45C9">
        <w:rPr>
          <w:i/>
          <w:szCs w:val="16"/>
        </w:rPr>
        <w:t>Active inclusion: stocktaking of C</w:t>
      </w:r>
      <w:r>
        <w:rPr>
          <w:i/>
          <w:szCs w:val="16"/>
        </w:rPr>
        <w:t>o</w:t>
      </w:r>
      <w:r w:rsidRPr="000F45C9">
        <w:rPr>
          <w:i/>
          <w:szCs w:val="16"/>
        </w:rPr>
        <w:t xml:space="preserve">uncil Recommendation 2008, </w:t>
      </w:r>
      <w:r w:rsidRPr="000F45C9">
        <w:rPr>
          <w:szCs w:val="16"/>
        </w:rPr>
        <w:t>European Parliament,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26" w:rsidRDefault="00567D26" w:rsidP="00567D26">
    <w:pPr>
      <w:pStyle w:val="Zhlav"/>
      <w:jc w:val="center"/>
      <w:rPr>
        <w:rFonts w:asciiTheme="minorHAnsi" w:hAnsiTheme="minorHAnsi"/>
        <w:sz w:val="16"/>
        <w:szCs w:val="16"/>
        <w:lang w:val="en-GB" w:eastAsia="en-GB" w:bidi="en-GB"/>
      </w:rPr>
    </w:pPr>
    <w:r w:rsidRPr="00567D26">
      <w:rPr>
        <w:rFonts w:asciiTheme="minorHAnsi" w:hAnsiTheme="minorHAnsi"/>
        <w:sz w:val="16"/>
        <w:szCs w:val="16"/>
        <w:lang w:val="en-GB" w:eastAsia="en-GB" w:bidi="en-GB"/>
      </w:rPr>
      <w:t xml:space="preserve">«The investment plan and the Social Pillar: </w:t>
    </w:r>
    <w:r>
      <w:rPr>
        <w:rFonts w:asciiTheme="minorHAnsi" w:hAnsiTheme="minorHAnsi"/>
        <w:sz w:val="16"/>
        <w:szCs w:val="16"/>
        <w:lang w:val="en-GB" w:eastAsia="en-GB" w:bidi="en-GB"/>
      </w:rPr>
      <w:t xml:space="preserve"> </w:t>
    </w:r>
    <w:r w:rsidRPr="00567D26">
      <w:rPr>
        <w:rFonts w:asciiTheme="minorHAnsi" w:hAnsiTheme="minorHAnsi"/>
        <w:sz w:val="16"/>
        <w:szCs w:val="16"/>
        <w:lang w:val="en-GB" w:eastAsia="en-GB" w:bidi="en-GB"/>
      </w:rPr>
      <w:t>a step towards a new strategy for Europe»</w:t>
    </w:r>
  </w:p>
  <w:p w:rsidR="00567D26" w:rsidRDefault="00567D26" w:rsidP="00567D26">
    <w:pPr>
      <w:pStyle w:val="Zhlav"/>
      <w:pBdr>
        <w:bottom w:val="single" w:sz="4" w:space="1" w:color="auto"/>
      </w:pBdr>
      <w:jc w:val="center"/>
      <w:rPr>
        <w:rFonts w:asciiTheme="minorHAnsi" w:hAnsiTheme="minorHAnsi"/>
        <w:sz w:val="16"/>
        <w:szCs w:val="16"/>
        <w:lang w:val="en-GB" w:eastAsia="en-GB" w:bidi="en-GB"/>
      </w:rPr>
    </w:pPr>
  </w:p>
  <w:p w:rsidR="00567D26" w:rsidRPr="00567D26" w:rsidRDefault="00567D26" w:rsidP="00567D26">
    <w:pPr>
      <w:pStyle w:val="Zhlav"/>
      <w:jc w:val="cent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3C8C70A"/>
    <w:lvl w:ilvl="0">
      <w:start w:val="1"/>
      <w:numFmt w:val="decimal"/>
      <w:pStyle w:val="Nadpis1"/>
      <w:lvlText w:val="%1."/>
      <w:lvlJc w:val="left"/>
      <w:pPr>
        <w:ind w:left="360" w:hanging="360"/>
      </w:pPr>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02D26289"/>
    <w:multiLevelType w:val="hybridMultilevel"/>
    <w:tmpl w:val="F2346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F460AE"/>
    <w:multiLevelType w:val="hybridMultilevel"/>
    <w:tmpl w:val="6C5EDCAE"/>
    <w:lvl w:ilvl="0" w:tplc="13B6866C">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058035BF"/>
    <w:multiLevelType w:val="hybridMultilevel"/>
    <w:tmpl w:val="29DEB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3148D8"/>
    <w:multiLevelType w:val="hybridMultilevel"/>
    <w:tmpl w:val="790C230E"/>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15:restartNumberingAfterBreak="0">
    <w:nsid w:val="0C5005BF"/>
    <w:multiLevelType w:val="hybridMultilevel"/>
    <w:tmpl w:val="34422F2E"/>
    <w:lvl w:ilvl="0" w:tplc="5288C11A">
      <w:start w:val="1"/>
      <w:numFmt w:val="bullet"/>
      <w:pStyle w:val="elencopuntatoeesc"/>
      <w:lvlText w:val=""/>
      <w:lvlJc w:val="left"/>
      <w:pPr>
        <w:ind w:left="1080" w:hanging="72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4A577B"/>
    <w:multiLevelType w:val="hybridMultilevel"/>
    <w:tmpl w:val="CE86A712"/>
    <w:lvl w:ilvl="0" w:tplc="0DD6235C">
      <w:start w:val="1"/>
      <w:numFmt w:val="decimal"/>
      <w:pStyle w:val="ElenconumeratoIRS"/>
      <w:lvlText w:val="%1."/>
      <w:lvlJc w:val="left"/>
      <w:pPr>
        <w:ind w:left="717"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4F6F8F"/>
    <w:multiLevelType w:val="hybridMultilevel"/>
    <w:tmpl w:val="1E40C4B0"/>
    <w:lvl w:ilvl="0" w:tplc="FD4E4A66">
      <w:start w:val="1"/>
      <w:numFmt w:val="bullet"/>
      <w:pStyle w:val="BOX2overviewprogrammes"/>
      <w:lvlText w:val="•"/>
      <w:lvlJc w:val="left"/>
      <w:pPr>
        <w:ind w:left="720" w:hanging="360"/>
      </w:pPr>
      <w:rPr>
        <w:rFonts w:ascii="Times New Roman" w:hAnsi="Times New Roman" w:cs="Times New Roman" w:hint="default"/>
        <w:spacing w:val="2"/>
        <w:kern w:val="16"/>
        <w:position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BD3FC5"/>
    <w:multiLevelType w:val="hybridMultilevel"/>
    <w:tmpl w:val="6B8A2CAA"/>
    <w:lvl w:ilvl="0" w:tplc="13B686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2667E1"/>
    <w:multiLevelType w:val="hybridMultilevel"/>
    <w:tmpl w:val="EA741DDE"/>
    <w:lvl w:ilvl="0" w:tplc="1722DEC8">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0" w15:restartNumberingAfterBreak="0">
    <w:nsid w:val="1D8370A5"/>
    <w:multiLevelType w:val="hybridMultilevel"/>
    <w:tmpl w:val="81D69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C42C9"/>
    <w:multiLevelType w:val="hybridMultilevel"/>
    <w:tmpl w:val="E3D4B9A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292074AC"/>
    <w:multiLevelType w:val="hybridMultilevel"/>
    <w:tmpl w:val="7AD0F5AC"/>
    <w:lvl w:ilvl="0" w:tplc="76A07DE2">
      <w:start w:val="1"/>
      <w:numFmt w:val="decimal"/>
      <w:pStyle w:val="elenconumerat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A51C7F"/>
    <w:multiLevelType w:val="hybridMultilevel"/>
    <w:tmpl w:val="B1FCAC64"/>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4" w15:restartNumberingAfterBreak="0">
    <w:nsid w:val="31751FDD"/>
    <w:multiLevelType w:val="hybridMultilevel"/>
    <w:tmpl w:val="E3B2D2BC"/>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5" w15:restartNumberingAfterBreak="0">
    <w:nsid w:val="36EC2C52"/>
    <w:multiLevelType w:val="hybridMultilevel"/>
    <w:tmpl w:val="E3D4B9A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31379AA"/>
    <w:multiLevelType w:val="hybridMultilevel"/>
    <w:tmpl w:val="8C1C7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BD65F8"/>
    <w:multiLevelType w:val="hybridMultilevel"/>
    <w:tmpl w:val="338CDD1A"/>
    <w:lvl w:ilvl="0" w:tplc="2D047808">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2D047808">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454350D0"/>
    <w:multiLevelType w:val="hybridMultilevel"/>
    <w:tmpl w:val="42E0DB4A"/>
    <w:lvl w:ilvl="0" w:tplc="071AD27A">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64F1A3A"/>
    <w:multiLevelType w:val="hybridMultilevel"/>
    <w:tmpl w:val="C1AEC830"/>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47A008C7"/>
    <w:multiLevelType w:val="hybridMultilevel"/>
    <w:tmpl w:val="5EFEC598"/>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BF3834"/>
    <w:multiLevelType w:val="hybridMultilevel"/>
    <w:tmpl w:val="A0567D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58521098"/>
    <w:multiLevelType w:val="hybridMultilevel"/>
    <w:tmpl w:val="735031A2"/>
    <w:lvl w:ilvl="0" w:tplc="303609BA">
      <w:start w:val="1"/>
      <w:numFmt w:val="bullet"/>
      <w:pStyle w:val="elencopuntato"/>
      <w:lvlText w:val=""/>
      <w:lvlJc w:val="left"/>
      <w:pPr>
        <w:ind w:left="785" w:hanging="360"/>
      </w:pPr>
      <w:rPr>
        <w:rFonts w:ascii="Symbol" w:hAnsi="Symbol" w:hint="default"/>
        <w:lang w:val="en-US"/>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791066"/>
    <w:multiLevelType w:val="hybridMultilevel"/>
    <w:tmpl w:val="94945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2B2872"/>
    <w:multiLevelType w:val="hybridMultilevel"/>
    <w:tmpl w:val="C638F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F2E1F87"/>
    <w:multiLevelType w:val="hybridMultilevel"/>
    <w:tmpl w:val="7780D53A"/>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6" w15:restartNumberingAfterBreak="0">
    <w:nsid w:val="636021D4"/>
    <w:multiLevelType w:val="hybridMultilevel"/>
    <w:tmpl w:val="AD52BD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B6B3CD4"/>
    <w:multiLevelType w:val="hybridMultilevel"/>
    <w:tmpl w:val="AFBC2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D937A9"/>
    <w:multiLevelType w:val="hybridMultilevel"/>
    <w:tmpl w:val="9CB8BE60"/>
    <w:lvl w:ilvl="0" w:tplc="9F0AF4C8">
      <w:start w:val="1"/>
      <w:numFmt w:val="lowerLetter"/>
      <w:pStyle w:val="SecondTierList"/>
      <w:lvlText w:val="%1)"/>
      <w:lvlJc w:val="left"/>
      <w:pPr>
        <w:tabs>
          <w:tab w:val="num" w:pos="1247"/>
        </w:tabs>
        <w:ind w:left="1247" w:hanging="680"/>
      </w:pPr>
      <w:rPr>
        <w:rFonts w:hint="default"/>
      </w:rPr>
    </w:lvl>
    <w:lvl w:ilvl="1" w:tplc="8D466008">
      <w:start w:val="3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9B4CC6"/>
    <w:multiLevelType w:val="hybridMultilevel"/>
    <w:tmpl w:val="2B3E37B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0" w15:restartNumberingAfterBreak="0">
    <w:nsid w:val="71F801F8"/>
    <w:multiLevelType w:val="hybridMultilevel"/>
    <w:tmpl w:val="5282DF9C"/>
    <w:lvl w:ilvl="0" w:tplc="04100001">
      <w:start w:val="1"/>
      <w:numFmt w:val="bullet"/>
      <w:lvlText w:val=""/>
      <w:lvlJc w:val="left"/>
      <w:pPr>
        <w:ind w:left="2160" w:hanging="360"/>
      </w:pPr>
      <w:rPr>
        <w:rFonts w:ascii="Symbol" w:hAnsi="Symbol"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1" w15:restartNumberingAfterBreak="0">
    <w:nsid w:val="75E47559"/>
    <w:multiLevelType w:val="hybridMultilevel"/>
    <w:tmpl w:val="39CEF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2"/>
  </w:num>
  <w:num w:numId="4">
    <w:abstractNumId w:val="17"/>
  </w:num>
  <w:num w:numId="5">
    <w:abstractNumId w:val="1"/>
  </w:num>
  <w:num w:numId="6">
    <w:abstractNumId w:val="10"/>
  </w:num>
  <w:num w:numId="7">
    <w:abstractNumId w:val="7"/>
  </w:num>
  <w:num w:numId="8">
    <w:abstractNumId w:val="6"/>
  </w:num>
  <w:num w:numId="9">
    <w:abstractNumId w:val="12"/>
  </w:num>
  <w:num w:numId="10">
    <w:abstractNumId w:val="5"/>
  </w:num>
  <w:num w:numId="11">
    <w:abstractNumId w:val="9"/>
  </w:num>
  <w:num w:numId="12">
    <w:abstractNumId w:val="19"/>
  </w:num>
  <w:num w:numId="13">
    <w:abstractNumId w:val="20"/>
  </w:num>
  <w:num w:numId="14">
    <w:abstractNumId w:val="23"/>
  </w:num>
  <w:num w:numId="15">
    <w:abstractNumId w:val="27"/>
  </w:num>
  <w:num w:numId="16">
    <w:abstractNumId w:val="31"/>
  </w:num>
  <w:num w:numId="17">
    <w:abstractNumId w:val="16"/>
  </w:num>
  <w:num w:numId="18">
    <w:abstractNumId w:val="2"/>
  </w:num>
  <w:num w:numId="19">
    <w:abstractNumId w:val="8"/>
  </w:num>
  <w:num w:numId="20">
    <w:abstractNumId w:val="24"/>
  </w:num>
  <w:num w:numId="21">
    <w:abstractNumId w:val="14"/>
  </w:num>
  <w:num w:numId="22">
    <w:abstractNumId w:val="29"/>
  </w:num>
  <w:num w:numId="23">
    <w:abstractNumId w:val="3"/>
  </w:num>
  <w:num w:numId="24">
    <w:abstractNumId w:val="28"/>
  </w:num>
  <w:num w:numId="25">
    <w:abstractNumId w:val="18"/>
  </w:num>
  <w:num w:numId="26">
    <w:abstractNumId w:val="22"/>
  </w:num>
  <w:num w:numId="27">
    <w:abstractNumId w:val="15"/>
  </w:num>
  <w:num w:numId="28">
    <w:abstractNumId w:val="21"/>
  </w:num>
  <w:num w:numId="29">
    <w:abstractNumId w:val="4"/>
  </w:num>
  <w:num w:numId="30">
    <w:abstractNumId w:val="30"/>
  </w:num>
  <w:num w:numId="31">
    <w:abstractNumId w:val="13"/>
  </w:num>
  <w:num w:numId="32">
    <w:abstractNumId w:val="25"/>
  </w:num>
  <w:num w:numId="3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283"/>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A3"/>
    <w:rsid w:val="00005DE0"/>
    <w:rsid w:val="000134C5"/>
    <w:rsid w:val="00014D7A"/>
    <w:rsid w:val="00026FE9"/>
    <w:rsid w:val="00040A04"/>
    <w:rsid w:val="00042586"/>
    <w:rsid w:val="00053939"/>
    <w:rsid w:val="00066586"/>
    <w:rsid w:val="0007203F"/>
    <w:rsid w:val="000736BF"/>
    <w:rsid w:val="00076DBC"/>
    <w:rsid w:val="000851B4"/>
    <w:rsid w:val="00085DE4"/>
    <w:rsid w:val="000903D7"/>
    <w:rsid w:val="0009326B"/>
    <w:rsid w:val="000956E5"/>
    <w:rsid w:val="000B7942"/>
    <w:rsid w:val="000B7CD5"/>
    <w:rsid w:val="000D36FE"/>
    <w:rsid w:val="000E3FEA"/>
    <w:rsid w:val="000E4A03"/>
    <w:rsid w:val="000F08F2"/>
    <w:rsid w:val="000F45C9"/>
    <w:rsid w:val="000F661A"/>
    <w:rsid w:val="001013F7"/>
    <w:rsid w:val="00102CA7"/>
    <w:rsid w:val="001112C4"/>
    <w:rsid w:val="001117B2"/>
    <w:rsid w:val="00112687"/>
    <w:rsid w:val="00115398"/>
    <w:rsid w:val="001204E1"/>
    <w:rsid w:val="00125126"/>
    <w:rsid w:val="001322F7"/>
    <w:rsid w:val="00133657"/>
    <w:rsid w:val="00142EE9"/>
    <w:rsid w:val="00145244"/>
    <w:rsid w:val="001474F0"/>
    <w:rsid w:val="0015073A"/>
    <w:rsid w:val="00152118"/>
    <w:rsid w:val="001758D0"/>
    <w:rsid w:val="00182202"/>
    <w:rsid w:val="0019433D"/>
    <w:rsid w:val="001A4656"/>
    <w:rsid w:val="001B0705"/>
    <w:rsid w:val="001B2063"/>
    <w:rsid w:val="001B2645"/>
    <w:rsid w:val="001B7CE7"/>
    <w:rsid w:val="001C0347"/>
    <w:rsid w:val="001C3DE6"/>
    <w:rsid w:val="001C4104"/>
    <w:rsid w:val="001E242B"/>
    <w:rsid w:val="001E7C99"/>
    <w:rsid w:val="001F13A4"/>
    <w:rsid w:val="001F17C9"/>
    <w:rsid w:val="001F652F"/>
    <w:rsid w:val="00200E30"/>
    <w:rsid w:val="00204726"/>
    <w:rsid w:val="00207D98"/>
    <w:rsid w:val="00225687"/>
    <w:rsid w:val="0023251B"/>
    <w:rsid w:val="0024634C"/>
    <w:rsid w:val="002479D4"/>
    <w:rsid w:val="00254FD8"/>
    <w:rsid w:val="0026556A"/>
    <w:rsid w:val="00274AC0"/>
    <w:rsid w:val="002831B2"/>
    <w:rsid w:val="00292DC1"/>
    <w:rsid w:val="002A3832"/>
    <w:rsid w:val="002A5B2E"/>
    <w:rsid w:val="002A7508"/>
    <w:rsid w:val="002B0685"/>
    <w:rsid w:val="002B1CE3"/>
    <w:rsid w:val="002D1DC7"/>
    <w:rsid w:val="002D5819"/>
    <w:rsid w:val="002D5DAD"/>
    <w:rsid w:val="002D7826"/>
    <w:rsid w:val="002E4EAF"/>
    <w:rsid w:val="002F1DED"/>
    <w:rsid w:val="003008BF"/>
    <w:rsid w:val="00311E56"/>
    <w:rsid w:val="003150E0"/>
    <w:rsid w:val="0031538E"/>
    <w:rsid w:val="003157FC"/>
    <w:rsid w:val="00326104"/>
    <w:rsid w:val="00337043"/>
    <w:rsid w:val="00343844"/>
    <w:rsid w:val="00343DF4"/>
    <w:rsid w:val="003531F6"/>
    <w:rsid w:val="00356A1F"/>
    <w:rsid w:val="00370FAB"/>
    <w:rsid w:val="00386DCE"/>
    <w:rsid w:val="00387BED"/>
    <w:rsid w:val="00391F89"/>
    <w:rsid w:val="00393563"/>
    <w:rsid w:val="003A5106"/>
    <w:rsid w:val="003A5E6C"/>
    <w:rsid w:val="003B5A28"/>
    <w:rsid w:val="003B5FDD"/>
    <w:rsid w:val="003B6CB8"/>
    <w:rsid w:val="003C01AC"/>
    <w:rsid w:val="003C1DBE"/>
    <w:rsid w:val="003C3931"/>
    <w:rsid w:val="003C68D6"/>
    <w:rsid w:val="003E0D00"/>
    <w:rsid w:val="003E6953"/>
    <w:rsid w:val="003F15C5"/>
    <w:rsid w:val="003F35EC"/>
    <w:rsid w:val="003F6595"/>
    <w:rsid w:val="00407388"/>
    <w:rsid w:val="00424F6C"/>
    <w:rsid w:val="00430EA5"/>
    <w:rsid w:val="00435E78"/>
    <w:rsid w:val="00442915"/>
    <w:rsid w:val="00442D0C"/>
    <w:rsid w:val="004542F6"/>
    <w:rsid w:val="00474E33"/>
    <w:rsid w:val="004751F1"/>
    <w:rsid w:val="00475521"/>
    <w:rsid w:val="00481F03"/>
    <w:rsid w:val="004A2781"/>
    <w:rsid w:val="004A399E"/>
    <w:rsid w:val="004A48F2"/>
    <w:rsid w:val="004A58C7"/>
    <w:rsid w:val="004A653C"/>
    <w:rsid w:val="004A7466"/>
    <w:rsid w:val="004B0F20"/>
    <w:rsid w:val="004B4625"/>
    <w:rsid w:val="004C63E9"/>
    <w:rsid w:val="004D0258"/>
    <w:rsid w:val="004D0E8A"/>
    <w:rsid w:val="004D1277"/>
    <w:rsid w:val="004D2B21"/>
    <w:rsid w:val="004D2DB4"/>
    <w:rsid w:val="004D3682"/>
    <w:rsid w:val="004E2BD3"/>
    <w:rsid w:val="004F2306"/>
    <w:rsid w:val="004F745A"/>
    <w:rsid w:val="00501CE0"/>
    <w:rsid w:val="00514E5D"/>
    <w:rsid w:val="00517541"/>
    <w:rsid w:val="00520349"/>
    <w:rsid w:val="00525110"/>
    <w:rsid w:val="00530D85"/>
    <w:rsid w:val="005438BD"/>
    <w:rsid w:val="005467C8"/>
    <w:rsid w:val="005533ED"/>
    <w:rsid w:val="00555162"/>
    <w:rsid w:val="0056192A"/>
    <w:rsid w:val="00567904"/>
    <w:rsid w:val="00567CB7"/>
    <w:rsid w:val="00567D26"/>
    <w:rsid w:val="005709C1"/>
    <w:rsid w:val="0057433D"/>
    <w:rsid w:val="00580B8B"/>
    <w:rsid w:val="0058406D"/>
    <w:rsid w:val="005A4415"/>
    <w:rsid w:val="005B2A76"/>
    <w:rsid w:val="005D5463"/>
    <w:rsid w:val="005E1ACF"/>
    <w:rsid w:val="005E1D86"/>
    <w:rsid w:val="005E4E96"/>
    <w:rsid w:val="005E59A0"/>
    <w:rsid w:val="005F0A3D"/>
    <w:rsid w:val="005F7384"/>
    <w:rsid w:val="00600322"/>
    <w:rsid w:val="00602A11"/>
    <w:rsid w:val="00607A29"/>
    <w:rsid w:val="00607FBD"/>
    <w:rsid w:val="00611752"/>
    <w:rsid w:val="0061461B"/>
    <w:rsid w:val="0063166F"/>
    <w:rsid w:val="0063220D"/>
    <w:rsid w:val="006373ED"/>
    <w:rsid w:val="006425AF"/>
    <w:rsid w:val="00642BFD"/>
    <w:rsid w:val="006777C1"/>
    <w:rsid w:val="00677A56"/>
    <w:rsid w:val="0068123F"/>
    <w:rsid w:val="006879BA"/>
    <w:rsid w:val="00692FFD"/>
    <w:rsid w:val="006C6EB2"/>
    <w:rsid w:val="006E0905"/>
    <w:rsid w:val="006E7B57"/>
    <w:rsid w:val="006F099D"/>
    <w:rsid w:val="006F2971"/>
    <w:rsid w:val="006F7F46"/>
    <w:rsid w:val="00702D9B"/>
    <w:rsid w:val="00704D2F"/>
    <w:rsid w:val="00710B74"/>
    <w:rsid w:val="007153B1"/>
    <w:rsid w:val="00720F96"/>
    <w:rsid w:val="00725672"/>
    <w:rsid w:val="007336D1"/>
    <w:rsid w:val="00745179"/>
    <w:rsid w:val="007517C6"/>
    <w:rsid w:val="00752D6F"/>
    <w:rsid w:val="00760466"/>
    <w:rsid w:val="00761204"/>
    <w:rsid w:val="00766FD5"/>
    <w:rsid w:val="00776EE6"/>
    <w:rsid w:val="00792286"/>
    <w:rsid w:val="00797BA4"/>
    <w:rsid w:val="007A0916"/>
    <w:rsid w:val="007A2666"/>
    <w:rsid w:val="007A2A73"/>
    <w:rsid w:val="007C5A8F"/>
    <w:rsid w:val="007C7879"/>
    <w:rsid w:val="007D2C96"/>
    <w:rsid w:val="007D5E52"/>
    <w:rsid w:val="007E5CEC"/>
    <w:rsid w:val="007E6BD6"/>
    <w:rsid w:val="007E7699"/>
    <w:rsid w:val="007F3498"/>
    <w:rsid w:val="007F354E"/>
    <w:rsid w:val="007F7B52"/>
    <w:rsid w:val="00807CE4"/>
    <w:rsid w:val="0081046C"/>
    <w:rsid w:val="008144BE"/>
    <w:rsid w:val="00815995"/>
    <w:rsid w:val="0082515A"/>
    <w:rsid w:val="00830E05"/>
    <w:rsid w:val="00834742"/>
    <w:rsid w:val="00843B13"/>
    <w:rsid w:val="0084502D"/>
    <w:rsid w:val="00847F23"/>
    <w:rsid w:val="00852031"/>
    <w:rsid w:val="0085513E"/>
    <w:rsid w:val="008573AC"/>
    <w:rsid w:val="00861C7B"/>
    <w:rsid w:val="0086646A"/>
    <w:rsid w:val="00870905"/>
    <w:rsid w:val="00882629"/>
    <w:rsid w:val="00882978"/>
    <w:rsid w:val="00884440"/>
    <w:rsid w:val="0089393B"/>
    <w:rsid w:val="0089655F"/>
    <w:rsid w:val="008B141C"/>
    <w:rsid w:val="008B2610"/>
    <w:rsid w:val="008B2F9A"/>
    <w:rsid w:val="008C0AB4"/>
    <w:rsid w:val="008D733A"/>
    <w:rsid w:val="008E4316"/>
    <w:rsid w:val="008F068A"/>
    <w:rsid w:val="008F3A6F"/>
    <w:rsid w:val="009001FD"/>
    <w:rsid w:val="00915A41"/>
    <w:rsid w:val="00916C47"/>
    <w:rsid w:val="00922E84"/>
    <w:rsid w:val="00926A9A"/>
    <w:rsid w:val="00937B26"/>
    <w:rsid w:val="00937F54"/>
    <w:rsid w:val="009441C7"/>
    <w:rsid w:val="009453A3"/>
    <w:rsid w:val="00967692"/>
    <w:rsid w:val="009716AE"/>
    <w:rsid w:val="0097329D"/>
    <w:rsid w:val="009747AB"/>
    <w:rsid w:val="00976962"/>
    <w:rsid w:val="00987530"/>
    <w:rsid w:val="0099132C"/>
    <w:rsid w:val="009940EA"/>
    <w:rsid w:val="009A61A6"/>
    <w:rsid w:val="009A6695"/>
    <w:rsid w:val="009B4107"/>
    <w:rsid w:val="009B5966"/>
    <w:rsid w:val="009B77A4"/>
    <w:rsid w:val="009C2E36"/>
    <w:rsid w:val="009D0686"/>
    <w:rsid w:val="009D2B9B"/>
    <w:rsid w:val="009E0149"/>
    <w:rsid w:val="009E6CCB"/>
    <w:rsid w:val="009F5BA5"/>
    <w:rsid w:val="009F74EA"/>
    <w:rsid w:val="00A00A95"/>
    <w:rsid w:val="00A00F72"/>
    <w:rsid w:val="00A13393"/>
    <w:rsid w:val="00A16F38"/>
    <w:rsid w:val="00A202F9"/>
    <w:rsid w:val="00A279C6"/>
    <w:rsid w:val="00A31005"/>
    <w:rsid w:val="00A4469F"/>
    <w:rsid w:val="00A45730"/>
    <w:rsid w:val="00A47C2E"/>
    <w:rsid w:val="00A61B15"/>
    <w:rsid w:val="00A7380F"/>
    <w:rsid w:val="00A761E2"/>
    <w:rsid w:val="00A81F0A"/>
    <w:rsid w:val="00A82F38"/>
    <w:rsid w:val="00A87172"/>
    <w:rsid w:val="00A877AF"/>
    <w:rsid w:val="00A92222"/>
    <w:rsid w:val="00A9717C"/>
    <w:rsid w:val="00AA3448"/>
    <w:rsid w:val="00AC07E0"/>
    <w:rsid w:val="00AC73B9"/>
    <w:rsid w:val="00AD62D5"/>
    <w:rsid w:val="00AF3AD4"/>
    <w:rsid w:val="00AF5C06"/>
    <w:rsid w:val="00B10F75"/>
    <w:rsid w:val="00B166EC"/>
    <w:rsid w:val="00B17E64"/>
    <w:rsid w:val="00B265FC"/>
    <w:rsid w:val="00B37E5C"/>
    <w:rsid w:val="00B40052"/>
    <w:rsid w:val="00B40F84"/>
    <w:rsid w:val="00B4164E"/>
    <w:rsid w:val="00B42832"/>
    <w:rsid w:val="00B55026"/>
    <w:rsid w:val="00B565CE"/>
    <w:rsid w:val="00B637BE"/>
    <w:rsid w:val="00B72E7A"/>
    <w:rsid w:val="00B809C7"/>
    <w:rsid w:val="00B8518D"/>
    <w:rsid w:val="00B95A67"/>
    <w:rsid w:val="00B964FF"/>
    <w:rsid w:val="00B9764A"/>
    <w:rsid w:val="00BA26C7"/>
    <w:rsid w:val="00BA421A"/>
    <w:rsid w:val="00BA6AE8"/>
    <w:rsid w:val="00BB1BB2"/>
    <w:rsid w:val="00BB4E9E"/>
    <w:rsid w:val="00BB54E2"/>
    <w:rsid w:val="00BC0EDE"/>
    <w:rsid w:val="00BC2C57"/>
    <w:rsid w:val="00BD0F22"/>
    <w:rsid w:val="00BD4808"/>
    <w:rsid w:val="00BE05B2"/>
    <w:rsid w:val="00BE2A57"/>
    <w:rsid w:val="00BE33B4"/>
    <w:rsid w:val="00BE5F74"/>
    <w:rsid w:val="00BF01E7"/>
    <w:rsid w:val="00BF6E2D"/>
    <w:rsid w:val="00C03738"/>
    <w:rsid w:val="00C0730A"/>
    <w:rsid w:val="00C13BC1"/>
    <w:rsid w:val="00C13EB7"/>
    <w:rsid w:val="00C13F30"/>
    <w:rsid w:val="00C232CE"/>
    <w:rsid w:val="00C258EB"/>
    <w:rsid w:val="00C35549"/>
    <w:rsid w:val="00C427C5"/>
    <w:rsid w:val="00C47EBD"/>
    <w:rsid w:val="00C5664E"/>
    <w:rsid w:val="00C57E2C"/>
    <w:rsid w:val="00C678CA"/>
    <w:rsid w:val="00C7265E"/>
    <w:rsid w:val="00C86155"/>
    <w:rsid w:val="00C93AB6"/>
    <w:rsid w:val="00C9516D"/>
    <w:rsid w:val="00CA6644"/>
    <w:rsid w:val="00CC0BA2"/>
    <w:rsid w:val="00CC0DC3"/>
    <w:rsid w:val="00CC1B88"/>
    <w:rsid w:val="00CD14DE"/>
    <w:rsid w:val="00CD6A1B"/>
    <w:rsid w:val="00CE4828"/>
    <w:rsid w:val="00CE5130"/>
    <w:rsid w:val="00CF2607"/>
    <w:rsid w:val="00CF6DD0"/>
    <w:rsid w:val="00D01AED"/>
    <w:rsid w:val="00D0259E"/>
    <w:rsid w:val="00D03F09"/>
    <w:rsid w:val="00D22E90"/>
    <w:rsid w:val="00D37BA9"/>
    <w:rsid w:val="00D44CDA"/>
    <w:rsid w:val="00D4624B"/>
    <w:rsid w:val="00D47A8F"/>
    <w:rsid w:val="00D50152"/>
    <w:rsid w:val="00D6068C"/>
    <w:rsid w:val="00D6355F"/>
    <w:rsid w:val="00D72ECA"/>
    <w:rsid w:val="00D83246"/>
    <w:rsid w:val="00D86BCC"/>
    <w:rsid w:val="00D96AD3"/>
    <w:rsid w:val="00D97169"/>
    <w:rsid w:val="00DB7CAB"/>
    <w:rsid w:val="00DC4D2E"/>
    <w:rsid w:val="00DC7A8E"/>
    <w:rsid w:val="00DD0396"/>
    <w:rsid w:val="00DE363B"/>
    <w:rsid w:val="00DF457C"/>
    <w:rsid w:val="00E0005B"/>
    <w:rsid w:val="00E13043"/>
    <w:rsid w:val="00E261B6"/>
    <w:rsid w:val="00E313AC"/>
    <w:rsid w:val="00E35F95"/>
    <w:rsid w:val="00E472A0"/>
    <w:rsid w:val="00E51527"/>
    <w:rsid w:val="00E56E36"/>
    <w:rsid w:val="00E6063C"/>
    <w:rsid w:val="00E617D4"/>
    <w:rsid w:val="00E66707"/>
    <w:rsid w:val="00E819A7"/>
    <w:rsid w:val="00E8260F"/>
    <w:rsid w:val="00E9762F"/>
    <w:rsid w:val="00EA0FC2"/>
    <w:rsid w:val="00EA2517"/>
    <w:rsid w:val="00EA2B40"/>
    <w:rsid w:val="00EB31C0"/>
    <w:rsid w:val="00EB530B"/>
    <w:rsid w:val="00EC4582"/>
    <w:rsid w:val="00EC5BCF"/>
    <w:rsid w:val="00ED12A8"/>
    <w:rsid w:val="00ED4D65"/>
    <w:rsid w:val="00ED659C"/>
    <w:rsid w:val="00ED7436"/>
    <w:rsid w:val="00EE2EB7"/>
    <w:rsid w:val="00EE5A22"/>
    <w:rsid w:val="00EF0B55"/>
    <w:rsid w:val="00EF3256"/>
    <w:rsid w:val="00F24EEB"/>
    <w:rsid w:val="00F275A2"/>
    <w:rsid w:val="00F426F3"/>
    <w:rsid w:val="00F51912"/>
    <w:rsid w:val="00F577F4"/>
    <w:rsid w:val="00F60596"/>
    <w:rsid w:val="00F639DB"/>
    <w:rsid w:val="00F650DF"/>
    <w:rsid w:val="00F70A4B"/>
    <w:rsid w:val="00F72E33"/>
    <w:rsid w:val="00F7466E"/>
    <w:rsid w:val="00F867A3"/>
    <w:rsid w:val="00F9016B"/>
    <w:rsid w:val="00F90648"/>
    <w:rsid w:val="00F93A20"/>
    <w:rsid w:val="00F940B5"/>
    <w:rsid w:val="00FA745F"/>
    <w:rsid w:val="00FB6EDC"/>
    <w:rsid w:val="00FC7D8D"/>
    <w:rsid w:val="00FD6B99"/>
    <w:rsid w:val="00FE5DF6"/>
    <w:rsid w:val="00FF2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FD116D-4816-4D5E-9A06-B01EDFCF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EE5A22"/>
    <w:pPr>
      <w:spacing w:line="240" w:lineRule="auto"/>
      <w:jc w:val="left"/>
    </w:pPr>
    <w:rPr>
      <w:sz w:val="24"/>
      <w:szCs w:val="24"/>
      <w:lang w:val="it-IT" w:eastAsia="it-IT"/>
    </w:rPr>
  </w:style>
  <w:style w:type="paragraph" w:styleId="Nadpis1">
    <w:name w:val="heading 1"/>
    <w:aliases w:val="(Section),Large Bold,PDS TITLE,Section,Oscar Faber 1,L1,New Section,PA Chapter,heading a,Outline1,Halcrow 1,Kapittel,Numbered - 1,heading 1,Hoofdstuk,Chapter,Chapter head,CH,. (1.0),Do Not Use,Chapter Hdg,Section Heading,Heading 1 - chapter,h1"/>
    <w:basedOn w:val="Normln"/>
    <w:next w:val="Normln"/>
    <w:link w:val="Nadpis1Char"/>
    <w:qFormat/>
    <w:rsid w:val="00C9516D"/>
    <w:pPr>
      <w:numPr>
        <w:numId w:val="1"/>
      </w:numPr>
      <w:spacing w:before="240" w:after="240"/>
      <w:outlineLvl w:val="0"/>
    </w:pPr>
    <w:rPr>
      <w:b/>
      <w:color w:val="1F497D" w:themeColor="text2"/>
      <w:kern w:val="28"/>
      <w:lang w:val="en-US" w:eastAsia="en-US"/>
    </w:rPr>
  </w:style>
  <w:style w:type="paragraph" w:styleId="Nadpis2">
    <w:name w:val="heading 2"/>
    <w:aliases w:val="h2,(SubSection),Para Nos,Para,Main Heading,Main Headi,Oscar Faber 2,SUBHEADING,Heading 2a,1.1 Heading 2,Paragraaf,SZRptH2,SZRptH2 Char,Section head,L2,SH,. (1.1),Letter Level 1,Subheading,IntMemo Level 1,Bijlage,Reset numbering,Para ,Titre 2"/>
    <w:basedOn w:val="Normln"/>
    <w:next w:val="Normln"/>
    <w:link w:val="Nadpis2Char"/>
    <w:qFormat/>
    <w:rsid w:val="007F3498"/>
    <w:pPr>
      <w:numPr>
        <w:ilvl w:val="1"/>
        <w:numId w:val="1"/>
      </w:numPr>
      <w:spacing w:before="120" w:after="120"/>
      <w:ind w:left="709" w:hanging="709"/>
      <w:outlineLvl w:val="1"/>
    </w:pPr>
    <w:rPr>
      <w:b/>
      <w:color w:val="1F497D" w:themeColor="text2"/>
      <w:sz w:val="22"/>
      <w:szCs w:val="22"/>
      <w:lang w:val="en-US" w:eastAsia="en-US"/>
    </w:rPr>
  </w:style>
  <w:style w:type="paragraph" w:styleId="Nadpis3">
    <w:name w:val="heading 3"/>
    <w:basedOn w:val="Normln"/>
    <w:next w:val="Normln"/>
    <w:link w:val="Nadpis3Char"/>
    <w:qFormat/>
    <w:rsid w:val="007F3498"/>
    <w:pPr>
      <w:numPr>
        <w:ilvl w:val="2"/>
        <w:numId w:val="1"/>
      </w:numPr>
      <w:ind w:left="720" w:hanging="720"/>
      <w:outlineLvl w:val="2"/>
    </w:pPr>
    <w:rPr>
      <w:rFonts w:eastAsiaTheme="minorEastAsia"/>
      <w:i/>
      <w:sz w:val="22"/>
      <w:szCs w:val="22"/>
      <w:lang w:val="en-US" w:eastAsia="en-US"/>
    </w:rPr>
  </w:style>
  <w:style w:type="paragraph" w:styleId="Nadpis4">
    <w:name w:val="heading 4"/>
    <w:basedOn w:val="Normln"/>
    <w:next w:val="Normln"/>
    <w:link w:val="Nadpis4Char"/>
    <w:qFormat/>
    <w:rsid w:val="004751F1"/>
    <w:pPr>
      <w:numPr>
        <w:ilvl w:val="3"/>
        <w:numId w:val="1"/>
      </w:numPr>
      <w:ind w:left="720" w:hanging="720"/>
      <w:outlineLvl w:val="3"/>
    </w:pPr>
    <w:rPr>
      <w:lang w:val="en-US" w:eastAsia="en-US"/>
    </w:rPr>
  </w:style>
  <w:style w:type="paragraph" w:styleId="Nadpis5">
    <w:name w:val="heading 5"/>
    <w:basedOn w:val="Normln"/>
    <w:next w:val="Normln"/>
    <w:link w:val="Nadpis5Char"/>
    <w:qFormat/>
    <w:rsid w:val="004751F1"/>
    <w:pPr>
      <w:numPr>
        <w:ilvl w:val="4"/>
        <w:numId w:val="1"/>
      </w:numPr>
      <w:ind w:left="720" w:hanging="720"/>
      <w:outlineLvl w:val="4"/>
    </w:pPr>
    <w:rPr>
      <w:lang w:val="en-US" w:eastAsia="en-US"/>
    </w:rPr>
  </w:style>
  <w:style w:type="paragraph" w:styleId="Nadpis6">
    <w:name w:val="heading 6"/>
    <w:basedOn w:val="Normln"/>
    <w:next w:val="Normln"/>
    <w:link w:val="Nadpis6Char"/>
    <w:qFormat/>
    <w:rsid w:val="004751F1"/>
    <w:pPr>
      <w:numPr>
        <w:ilvl w:val="5"/>
        <w:numId w:val="1"/>
      </w:numPr>
      <w:ind w:left="720" w:hanging="720"/>
      <w:outlineLvl w:val="5"/>
    </w:pPr>
    <w:rPr>
      <w:lang w:val="en-US" w:eastAsia="en-US"/>
    </w:rPr>
  </w:style>
  <w:style w:type="paragraph" w:styleId="Nadpis7">
    <w:name w:val="heading 7"/>
    <w:basedOn w:val="Normln"/>
    <w:next w:val="Normln"/>
    <w:link w:val="Nadpis7Char"/>
    <w:qFormat/>
    <w:rsid w:val="004751F1"/>
    <w:pPr>
      <w:numPr>
        <w:ilvl w:val="6"/>
        <w:numId w:val="1"/>
      </w:numPr>
      <w:ind w:left="720" w:hanging="720"/>
      <w:outlineLvl w:val="6"/>
    </w:pPr>
    <w:rPr>
      <w:lang w:val="en-US" w:eastAsia="en-US"/>
    </w:rPr>
  </w:style>
  <w:style w:type="paragraph" w:styleId="Nadpis8">
    <w:name w:val="heading 8"/>
    <w:basedOn w:val="Normln"/>
    <w:next w:val="Normln"/>
    <w:link w:val="Nadpis8Char"/>
    <w:qFormat/>
    <w:rsid w:val="004751F1"/>
    <w:pPr>
      <w:numPr>
        <w:ilvl w:val="7"/>
        <w:numId w:val="1"/>
      </w:numPr>
      <w:ind w:left="720" w:hanging="720"/>
      <w:outlineLvl w:val="7"/>
    </w:pPr>
    <w:rPr>
      <w:lang w:val="en-US" w:eastAsia="en-US"/>
    </w:rPr>
  </w:style>
  <w:style w:type="paragraph" w:styleId="Nadpis9">
    <w:name w:val="heading 9"/>
    <w:basedOn w:val="Normln"/>
    <w:next w:val="Normln"/>
    <w:link w:val="Nadpis9Char"/>
    <w:qFormat/>
    <w:rsid w:val="004751F1"/>
    <w:pPr>
      <w:numPr>
        <w:ilvl w:val="8"/>
        <w:numId w:val="1"/>
      </w:numPr>
      <w:ind w:left="720" w:hanging="720"/>
      <w:outlineLvl w:val="8"/>
    </w:pPr>
    <w:rPr>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qFormat/>
    <w:rsid w:val="00916C47"/>
    <w:rPr>
      <w:lang w:eastAsia="en-US"/>
    </w:rPr>
  </w:style>
  <w:style w:type="character" w:customStyle="1" w:styleId="ZpatChar">
    <w:name w:val="Zápatí Char"/>
    <w:basedOn w:val="Standardnpsmoodstavce"/>
    <w:link w:val="Zpat"/>
    <w:uiPriority w:val="99"/>
    <w:rsid w:val="00916C47"/>
    <w:rPr>
      <w:lang w:val="en-GB"/>
    </w:rPr>
  </w:style>
  <w:style w:type="paragraph" w:styleId="Textpoznpodarou">
    <w:name w:val="footnote text"/>
    <w:aliases w:val="stile 1,Fußnotentextf,Fußnotentextr,Footnote1,Footnote2,Footnote3,Footnote4,Footnote5,Footnote6,Footnote7,Footnote8,Footnote9,Footnote10,Footnote11,Footnote21,Footnote31,Footnote41,Footnote51,Footnote61,Footnote71,Mär,o,fn,C"/>
    <w:basedOn w:val="Normln"/>
    <w:link w:val="TextpoznpodarouChar"/>
    <w:uiPriority w:val="99"/>
    <w:qFormat/>
    <w:rsid w:val="00D01AED"/>
    <w:pPr>
      <w:keepLines/>
      <w:spacing w:after="60"/>
      <w:ind w:left="720" w:hanging="720"/>
    </w:pPr>
    <w:rPr>
      <w:sz w:val="16"/>
      <w:lang w:val="en-US" w:eastAsia="en-US"/>
    </w:rPr>
  </w:style>
  <w:style w:type="character" w:customStyle="1" w:styleId="TextpoznpodarouChar">
    <w:name w:val="Text pozn. pod čarou Char"/>
    <w:aliases w:val="stile 1 Char,Fußnotentextf Char,Fußnotentextr Char,Footnote1 Char,Footnote2 Char,Footnote3 Char,Footnote4 Char,Footnote5 Char,Footnote6 Char,Footnote7 Char,Footnote8 Char,Footnote9 Char,Footnote10 Char,Footnote11 Char,Mär Char"/>
    <w:basedOn w:val="Standardnpsmoodstavce"/>
    <w:link w:val="Textpoznpodarou"/>
    <w:uiPriority w:val="99"/>
    <w:rsid w:val="00BA421A"/>
    <w:rPr>
      <w:sz w:val="16"/>
    </w:rPr>
  </w:style>
  <w:style w:type="paragraph" w:styleId="Zhlav">
    <w:name w:val="header"/>
    <w:basedOn w:val="Normln"/>
    <w:link w:val="ZhlavChar"/>
    <w:qFormat/>
    <w:rsid w:val="004751F1"/>
    <w:rPr>
      <w:lang w:val="en-US" w:eastAsia="en-US"/>
    </w:rPr>
  </w:style>
  <w:style w:type="character" w:customStyle="1" w:styleId="ZhlavChar">
    <w:name w:val="Záhlaví Char"/>
    <w:basedOn w:val="Standardnpsmoodstavce"/>
    <w:link w:val="Zhlav"/>
    <w:rsid w:val="001C4104"/>
  </w:style>
  <w:style w:type="paragraph" w:customStyle="1" w:styleId="quotes">
    <w:name w:val="quotes"/>
    <w:basedOn w:val="Normln"/>
    <w:next w:val="Normln"/>
    <w:rsid w:val="009A6695"/>
    <w:pPr>
      <w:ind w:left="720"/>
    </w:pPr>
    <w:rPr>
      <w:i/>
    </w:rPr>
  </w:style>
  <w:style w:type="character" w:styleId="Znakapoznpodarou">
    <w:name w:val="footnote reference"/>
    <w:aliases w:val="Footnote symbol,Odwołanie przypisu,Footnote Reference Number,Footnote Reference Superscript,SUPERS,Times 10 Point,Exposant 3 Point, Exposant 3 Point,Footnote,Ref,de nota al pie,-E Fußnotenzeichen,ftref,number,stylish,fr,FR"/>
    <w:basedOn w:val="Standardnpsmoodstavce"/>
    <w:link w:val="FootnotesymbolCarZchn"/>
    <w:uiPriority w:val="99"/>
    <w:unhideWhenUsed/>
    <w:qFormat/>
    <w:rsid w:val="004751F1"/>
    <w:rPr>
      <w:sz w:val="24"/>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BA421A"/>
    <w:pPr>
      <w:spacing w:before="60" w:after="160" w:line="240" w:lineRule="exact"/>
    </w:pPr>
    <w:rPr>
      <w:vertAlign w:val="superscript"/>
      <w:lang w:val="en-US" w:eastAsia="en-US"/>
    </w:rPr>
  </w:style>
  <w:style w:type="character" w:styleId="Hypertextovodkaz">
    <w:name w:val="Hyperlink"/>
    <w:uiPriority w:val="99"/>
    <w:rsid w:val="00F867A3"/>
    <w:rPr>
      <w:color w:val="0000FF"/>
      <w:u w:val="single"/>
    </w:rPr>
  </w:style>
  <w:style w:type="paragraph" w:styleId="Textbubliny">
    <w:name w:val="Balloon Text"/>
    <w:basedOn w:val="Normln"/>
    <w:link w:val="TextbublinyChar"/>
    <w:rsid w:val="00F867A3"/>
    <w:rPr>
      <w:rFonts w:ascii="Tahoma" w:hAnsi="Tahoma" w:cs="Tahoma"/>
      <w:sz w:val="16"/>
      <w:szCs w:val="16"/>
    </w:rPr>
  </w:style>
  <w:style w:type="character" w:customStyle="1" w:styleId="TextbublinyChar">
    <w:name w:val="Text bubliny Char"/>
    <w:basedOn w:val="Standardnpsmoodstavce"/>
    <w:link w:val="Textbubliny"/>
    <w:rsid w:val="00F867A3"/>
    <w:rPr>
      <w:rFonts w:ascii="Tahoma" w:hAnsi="Tahoma" w:cs="Tahoma"/>
      <w:sz w:val="16"/>
      <w:szCs w:val="16"/>
      <w:lang w:val="en-GB" w:eastAsia="en-GB" w:bidi="en-GB"/>
    </w:rPr>
  </w:style>
  <w:style w:type="paragraph" w:customStyle="1" w:styleId="TestoparagrafoIRS">
    <w:name w:val="Testo paragrafo IRS"/>
    <w:basedOn w:val="Normln"/>
    <w:qFormat/>
    <w:rsid w:val="00BA421A"/>
    <w:pPr>
      <w:spacing w:before="120" w:after="120"/>
    </w:pPr>
    <w:rPr>
      <w:rFonts w:ascii="Arial" w:eastAsiaTheme="minorEastAsia" w:hAnsi="Arial" w:cs="Arial"/>
    </w:rPr>
  </w:style>
  <w:style w:type="paragraph" w:styleId="Odstavecseseznamem">
    <w:name w:val="List Paragraph"/>
    <w:basedOn w:val="Normln"/>
    <w:link w:val="OdstavecseseznamemChar"/>
    <w:uiPriority w:val="34"/>
    <w:qFormat/>
    <w:rsid w:val="00BA421A"/>
    <w:pPr>
      <w:spacing w:after="120"/>
      <w:ind w:left="720"/>
      <w:contextualSpacing/>
    </w:pPr>
    <w:rPr>
      <w:rFonts w:ascii="Arial" w:eastAsiaTheme="minorEastAsia" w:hAnsi="Arial" w:cstheme="minorBidi"/>
    </w:rPr>
  </w:style>
  <w:style w:type="character" w:customStyle="1" w:styleId="OdstavecseseznamemChar">
    <w:name w:val="Odstavec se seznamem Char"/>
    <w:link w:val="Odstavecseseznamem"/>
    <w:uiPriority w:val="34"/>
    <w:locked/>
    <w:rsid w:val="00BA421A"/>
    <w:rPr>
      <w:rFonts w:ascii="Arial" w:eastAsiaTheme="minorEastAsia" w:hAnsi="Arial" w:cstheme="minorBidi"/>
      <w:szCs w:val="24"/>
      <w:lang w:val="en-GB" w:eastAsia="it-IT"/>
    </w:rPr>
  </w:style>
  <w:style w:type="paragraph" w:styleId="Normlnweb">
    <w:name w:val="Normal (Web)"/>
    <w:basedOn w:val="Normln"/>
    <w:uiPriority w:val="99"/>
    <w:unhideWhenUsed/>
    <w:rsid w:val="00BA421A"/>
    <w:pPr>
      <w:spacing w:before="100" w:beforeAutospacing="1" w:after="100" w:afterAutospacing="1"/>
    </w:pPr>
  </w:style>
  <w:style w:type="paragraph" w:customStyle="1" w:styleId="elencopuntato">
    <w:name w:val="elenco puntato"/>
    <w:basedOn w:val="Odstavecseseznamem"/>
    <w:link w:val="elencopuntatoCarattere"/>
    <w:qFormat/>
    <w:rsid w:val="00BA421A"/>
    <w:pPr>
      <w:numPr>
        <w:numId w:val="3"/>
      </w:numPr>
      <w:spacing w:after="0" w:line="288" w:lineRule="auto"/>
    </w:pPr>
    <w:rPr>
      <w:rFonts w:ascii="Times New Roman" w:hAnsi="Times New Roman" w:cs="Times New Roman"/>
      <w:lang w:val="en-US" w:eastAsia="en-US"/>
    </w:rPr>
  </w:style>
  <w:style w:type="character" w:customStyle="1" w:styleId="elencopuntatoCarattere">
    <w:name w:val="elenco puntato Carattere"/>
    <w:basedOn w:val="Standardnpsmoodstavce"/>
    <w:link w:val="elencopuntato"/>
    <w:rsid w:val="00BA421A"/>
    <w:rPr>
      <w:rFonts w:eastAsiaTheme="minorEastAsia"/>
      <w:sz w:val="24"/>
      <w:szCs w:val="24"/>
    </w:rPr>
  </w:style>
  <w:style w:type="table" w:styleId="Mkatabulky">
    <w:name w:val="Table Grid"/>
    <w:basedOn w:val="Normlntabulka"/>
    <w:uiPriority w:val="39"/>
    <w:rsid w:val="002B0685"/>
    <w:pPr>
      <w:spacing w:line="240" w:lineRule="auto"/>
      <w:jc w:val="left"/>
    </w:pPr>
    <w:rPr>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2B0685"/>
    <w:pPr>
      <w:spacing w:after="120"/>
    </w:pPr>
    <w:rPr>
      <w:rFonts w:ascii="Arial" w:eastAsiaTheme="minorEastAsia" w:hAnsi="Arial" w:cstheme="minorBidi"/>
    </w:rPr>
  </w:style>
  <w:style w:type="character" w:customStyle="1" w:styleId="ZkladntextChar">
    <w:name w:val="Základní text Char"/>
    <w:basedOn w:val="Standardnpsmoodstavce"/>
    <w:link w:val="Zkladntext"/>
    <w:uiPriority w:val="99"/>
    <w:rsid w:val="002B0685"/>
    <w:rPr>
      <w:rFonts w:ascii="Arial" w:eastAsiaTheme="minorEastAsia" w:hAnsi="Arial" w:cstheme="minorBidi"/>
      <w:szCs w:val="24"/>
      <w:lang w:val="en-GB" w:eastAsia="it-IT"/>
    </w:rPr>
  </w:style>
  <w:style w:type="paragraph" w:styleId="Nadpisobsahu">
    <w:name w:val="TOC Heading"/>
    <w:basedOn w:val="Nadpis1"/>
    <w:next w:val="Normln"/>
    <w:uiPriority w:val="39"/>
    <w:unhideWhenUsed/>
    <w:qFormat/>
    <w:rsid w:val="00DC7A8E"/>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it-IT"/>
    </w:rPr>
  </w:style>
  <w:style w:type="paragraph" w:styleId="Obsah1">
    <w:name w:val="toc 1"/>
    <w:basedOn w:val="Normln"/>
    <w:next w:val="Normln"/>
    <w:autoRedefine/>
    <w:uiPriority w:val="39"/>
    <w:unhideWhenUsed/>
    <w:rsid w:val="00DC7A8E"/>
    <w:pPr>
      <w:spacing w:after="100"/>
    </w:pPr>
  </w:style>
  <w:style w:type="paragraph" w:styleId="Obsah3">
    <w:name w:val="toc 3"/>
    <w:basedOn w:val="Normln"/>
    <w:next w:val="Normln"/>
    <w:autoRedefine/>
    <w:uiPriority w:val="39"/>
    <w:unhideWhenUsed/>
    <w:rsid w:val="00DC7A8E"/>
    <w:pPr>
      <w:spacing w:after="100"/>
      <w:ind w:left="440"/>
    </w:pPr>
  </w:style>
  <w:style w:type="paragraph" w:styleId="Obsah2">
    <w:name w:val="toc 2"/>
    <w:basedOn w:val="Normln"/>
    <w:next w:val="Normln"/>
    <w:autoRedefine/>
    <w:uiPriority w:val="39"/>
    <w:unhideWhenUsed/>
    <w:rsid w:val="00DC7A8E"/>
    <w:pPr>
      <w:spacing w:after="100"/>
      <w:ind w:left="220"/>
    </w:pPr>
  </w:style>
  <w:style w:type="table" w:customStyle="1" w:styleId="Sfondochiaro1">
    <w:name w:val="Sfondo chiaro1"/>
    <w:basedOn w:val="Normlntabulka"/>
    <w:uiPriority w:val="60"/>
    <w:rsid w:val="005533ED"/>
    <w:pPr>
      <w:spacing w:line="240" w:lineRule="auto"/>
      <w:jc w:val="left"/>
    </w:pPr>
    <w:rPr>
      <w:rFonts w:asciiTheme="minorHAnsi" w:eastAsiaTheme="minorEastAsia" w:hAnsiTheme="minorHAnsi" w:cstheme="minorBidi"/>
      <w:color w:val="000000" w:themeColor="text1" w:themeShade="BF"/>
      <w:sz w:val="24"/>
      <w:szCs w:val="24"/>
      <w:lang w:val="it-IT"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X2overviewprogrammes">
    <w:name w:val="BOX 2_overview programmes"/>
    <w:basedOn w:val="Normln"/>
    <w:rsid w:val="005533ED"/>
    <w:pPr>
      <w:numPr>
        <w:numId w:val="7"/>
      </w:numPr>
      <w:spacing w:after="120" w:line="360" w:lineRule="auto"/>
    </w:pPr>
    <w:rPr>
      <w:rFonts w:ascii="Georgia" w:eastAsia="Calibri" w:hAnsi="Georgia"/>
      <w:color w:val="000000"/>
      <w:sz w:val="20"/>
      <w:szCs w:val="20"/>
    </w:rPr>
  </w:style>
  <w:style w:type="paragraph" w:customStyle="1" w:styleId="ElenconumeratoIRS">
    <w:name w:val="Elenco numerato IRS"/>
    <w:basedOn w:val="Normln"/>
    <w:next w:val="Normln"/>
    <w:qFormat/>
    <w:rsid w:val="001C4104"/>
    <w:pPr>
      <w:numPr>
        <w:numId w:val="8"/>
      </w:numPr>
    </w:pPr>
    <w:rPr>
      <w:rFonts w:eastAsiaTheme="minorEastAsia" w:cs="Arial"/>
    </w:rPr>
  </w:style>
  <w:style w:type="character" w:styleId="Sledovanodkaz">
    <w:name w:val="FollowedHyperlink"/>
    <w:basedOn w:val="Standardnpsmoodstavce"/>
    <w:unhideWhenUsed/>
    <w:rsid w:val="001C4104"/>
    <w:rPr>
      <w:color w:val="800080" w:themeColor="followedHyperlink"/>
      <w:u w:val="single"/>
    </w:rPr>
  </w:style>
  <w:style w:type="paragraph" w:styleId="Obsah4">
    <w:name w:val="toc 4"/>
    <w:basedOn w:val="Normln"/>
    <w:next w:val="Normln"/>
    <w:autoRedefine/>
    <w:uiPriority w:val="39"/>
    <w:unhideWhenUsed/>
    <w:rsid w:val="001C4104"/>
    <w:pPr>
      <w:spacing w:after="100"/>
      <w:ind w:left="660"/>
    </w:pPr>
  </w:style>
  <w:style w:type="character" w:customStyle="1" w:styleId="apple-converted-space">
    <w:name w:val="apple-converted-space"/>
    <w:basedOn w:val="Standardnpsmoodstavce"/>
    <w:rsid w:val="001C4104"/>
  </w:style>
  <w:style w:type="paragraph" w:customStyle="1" w:styleId="elenconumerato">
    <w:name w:val="elenco numerato"/>
    <w:basedOn w:val="Odstavecseseznamem"/>
    <w:link w:val="elenconumeratoCarattere"/>
    <w:rsid w:val="001C4104"/>
    <w:pPr>
      <w:numPr>
        <w:numId w:val="9"/>
      </w:numPr>
      <w:spacing w:after="0" w:line="288" w:lineRule="auto"/>
      <w:ind w:left="714" w:hanging="357"/>
    </w:pPr>
    <w:rPr>
      <w:rFonts w:ascii="Times New Roman" w:hAnsi="Times New Roman" w:cs="Times New Roman"/>
    </w:rPr>
  </w:style>
  <w:style w:type="character" w:customStyle="1" w:styleId="elenconumeratoCarattere">
    <w:name w:val="elenco numerato Carattere"/>
    <w:basedOn w:val="OdstavecseseznamemChar"/>
    <w:link w:val="elenconumerato"/>
    <w:rsid w:val="001C4104"/>
    <w:rPr>
      <w:rFonts w:ascii="Arial" w:eastAsiaTheme="minorEastAsia" w:hAnsi="Arial" w:cstheme="minorBidi"/>
      <w:sz w:val="24"/>
      <w:szCs w:val="24"/>
      <w:lang w:val="it-IT" w:eastAsia="it-IT"/>
    </w:rPr>
  </w:style>
  <w:style w:type="character" w:styleId="Siln">
    <w:name w:val="Strong"/>
    <w:basedOn w:val="Standardnpsmoodstavce"/>
    <w:uiPriority w:val="22"/>
    <w:qFormat/>
    <w:rsid w:val="001C4104"/>
    <w:rPr>
      <w:b/>
      <w:bCs/>
    </w:rPr>
  </w:style>
  <w:style w:type="character" w:customStyle="1" w:styleId="span4">
    <w:name w:val="span4"/>
    <w:basedOn w:val="Standardnpsmoodstavce"/>
    <w:rsid w:val="001C4104"/>
  </w:style>
  <w:style w:type="paragraph" w:customStyle="1" w:styleId="default">
    <w:name w:val="default"/>
    <w:basedOn w:val="Normln"/>
    <w:rsid w:val="001C4104"/>
    <w:pPr>
      <w:spacing w:before="100" w:beforeAutospacing="1" w:after="100" w:afterAutospacing="1"/>
    </w:pPr>
  </w:style>
  <w:style w:type="character" w:styleId="Zdraznn">
    <w:name w:val="Emphasis"/>
    <w:basedOn w:val="Standardnpsmoodstavce"/>
    <w:uiPriority w:val="20"/>
    <w:qFormat/>
    <w:rsid w:val="001C4104"/>
    <w:rPr>
      <w:i/>
      <w:iCs/>
    </w:rPr>
  </w:style>
  <w:style w:type="paragraph" w:customStyle="1" w:styleId="default0">
    <w:name w:val="default0"/>
    <w:basedOn w:val="Normln"/>
    <w:rsid w:val="001C4104"/>
    <w:pPr>
      <w:spacing w:before="100" w:beforeAutospacing="1" w:after="100" w:afterAutospacing="1"/>
    </w:pPr>
  </w:style>
  <w:style w:type="character" w:styleId="Odkaznakoment">
    <w:name w:val="annotation reference"/>
    <w:basedOn w:val="Standardnpsmoodstavce"/>
    <w:uiPriority w:val="99"/>
    <w:unhideWhenUsed/>
    <w:rsid w:val="001C4104"/>
    <w:rPr>
      <w:sz w:val="16"/>
      <w:szCs w:val="16"/>
    </w:rPr>
  </w:style>
  <w:style w:type="paragraph" w:styleId="Textkomente">
    <w:name w:val="annotation text"/>
    <w:basedOn w:val="Normln"/>
    <w:link w:val="TextkomenteChar"/>
    <w:uiPriority w:val="99"/>
    <w:unhideWhenUsed/>
    <w:rsid w:val="001C4104"/>
    <w:rPr>
      <w:sz w:val="20"/>
      <w:szCs w:val="20"/>
    </w:rPr>
  </w:style>
  <w:style w:type="character" w:customStyle="1" w:styleId="TextkomenteChar">
    <w:name w:val="Text komentáře Char"/>
    <w:basedOn w:val="Standardnpsmoodstavce"/>
    <w:link w:val="Textkomente"/>
    <w:uiPriority w:val="99"/>
    <w:rsid w:val="001C4104"/>
    <w:rPr>
      <w:sz w:val="20"/>
      <w:szCs w:val="20"/>
      <w:lang w:val="en-GB" w:eastAsia="en-GB" w:bidi="en-GB"/>
    </w:rPr>
  </w:style>
  <w:style w:type="paragraph" w:styleId="Pedmtkomente">
    <w:name w:val="annotation subject"/>
    <w:basedOn w:val="Textkomente"/>
    <w:next w:val="Textkomente"/>
    <w:link w:val="PedmtkomenteChar"/>
    <w:unhideWhenUsed/>
    <w:rsid w:val="001C4104"/>
    <w:rPr>
      <w:b/>
      <w:bCs/>
    </w:rPr>
  </w:style>
  <w:style w:type="character" w:customStyle="1" w:styleId="PedmtkomenteChar">
    <w:name w:val="Předmět komentáře Char"/>
    <w:basedOn w:val="TextkomenteChar"/>
    <w:link w:val="Pedmtkomente"/>
    <w:rsid w:val="001C4104"/>
    <w:rPr>
      <w:b/>
      <w:bCs/>
      <w:sz w:val="20"/>
      <w:szCs w:val="20"/>
      <w:lang w:val="en-GB" w:eastAsia="en-GB" w:bidi="en-GB"/>
    </w:rPr>
  </w:style>
  <w:style w:type="paragraph" w:customStyle="1" w:styleId="elencopuntatoeesc">
    <w:name w:val="elenco puntato eesc"/>
    <w:basedOn w:val="elencopuntato"/>
    <w:link w:val="elencopuntatoeescCarattere"/>
    <w:qFormat/>
    <w:rsid w:val="001C4104"/>
    <w:pPr>
      <w:numPr>
        <w:numId w:val="10"/>
      </w:numPr>
    </w:pPr>
    <w:rPr>
      <w:rFonts w:eastAsia="Times New Roman"/>
      <w:sz w:val="20"/>
      <w:lang w:val="en-GB" w:eastAsia="it-IT"/>
    </w:rPr>
  </w:style>
  <w:style w:type="character" w:customStyle="1" w:styleId="elencopuntatoeescCarattere">
    <w:name w:val="elenco puntato eesc Carattere"/>
    <w:link w:val="elencopuntatoeesc"/>
    <w:rsid w:val="001C4104"/>
    <w:rPr>
      <w:sz w:val="20"/>
      <w:szCs w:val="24"/>
      <w:lang w:val="en-GB" w:eastAsia="it-IT"/>
    </w:rPr>
  </w:style>
  <w:style w:type="character" w:customStyle="1" w:styleId="shorttext">
    <w:name w:val="short_text"/>
    <w:basedOn w:val="Standardnpsmoodstavce"/>
    <w:rsid w:val="001C4104"/>
  </w:style>
  <w:style w:type="paragraph" w:customStyle="1" w:styleId="Default1">
    <w:name w:val="Default"/>
    <w:rsid w:val="001C4104"/>
    <w:pPr>
      <w:autoSpaceDE w:val="0"/>
      <w:autoSpaceDN w:val="0"/>
      <w:adjustRightInd w:val="0"/>
      <w:spacing w:line="240" w:lineRule="auto"/>
      <w:jc w:val="left"/>
    </w:pPr>
    <w:rPr>
      <w:rFonts w:ascii="Arial" w:hAnsi="Arial" w:cs="Arial"/>
      <w:color w:val="000000"/>
      <w:sz w:val="24"/>
      <w:szCs w:val="24"/>
      <w:lang w:val="it-IT"/>
    </w:rPr>
  </w:style>
  <w:style w:type="paragraph" w:customStyle="1" w:styleId="Pa13">
    <w:name w:val="Pa13"/>
    <w:basedOn w:val="Default1"/>
    <w:next w:val="Default1"/>
    <w:uiPriority w:val="99"/>
    <w:rsid w:val="0068123F"/>
    <w:pPr>
      <w:spacing w:line="181" w:lineRule="atLeast"/>
    </w:pPr>
    <w:rPr>
      <w:rFonts w:ascii="EC Square Sans Pro" w:eastAsiaTheme="minorHAnsi" w:hAnsi="EC Square Sans Pro" w:cstheme="minorBidi"/>
      <w:color w:val="auto"/>
    </w:rPr>
  </w:style>
  <w:style w:type="numbering" w:customStyle="1" w:styleId="Nessunelenco1">
    <w:name w:val="Nessun elenco1"/>
    <w:next w:val="Bezseznamu"/>
    <w:uiPriority w:val="99"/>
    <w:semiHidden/>
    <w:unhideWhenUsed/>
    <w:rsid w:val="0031538E"/>
  </w:style>
  <w:style w:type="character" w:customStyle="1" w:styleId="Nadpis1Char">
    <w:name w:val="Nadpis 1 Char"/>
    <w:aliases w:val="(Section) Char,Large Bold Char,PDS TITLE Char,Section Char,Oscar Faber 1 Char,L1 Char,New Section Char,PA Chapter Char,heading a Char,Outline1 Char,Halcrow 1 Char,Kapittel Char,Numbered - 1 Char,heading 1 Char,Hoofdstuk Char,Chapter Char"/>
    <w:basedOn w:val="Standardnpsmoodstavce"/>
    <w:link w:val="Nadpis1"/>
    <w:rsid w:val="0031538E"/>
    <w:rPr>
      <w:b/>
      <w:color w:val="1F497D" w:themeColor="text2"/>
      <w:kern w:val="28"/>
      <w:sz w:val="24"/>
      <w:szCs w:val="24"/>
    </w:rPr>
  </w:style>
  <w:style w:type="character" w:customStyle="1" w:styleId="Nadpis2Char">
    <w:name w:val="Nadpis 2 Char"/>
    <w:aliases w:val="h2 Char,(SubSection) Char,Para Nos Char,Para Char,Main Heading Char,Main Headi Char,Oscar Faber 2 Char,SUBHEADING Char,Heading 2a Char,1.1 Heading 2 Char,Paragraaf Char,SZRptH2 Char1,SZRptH2 Char Char,Section head Char,L2 Char,SH Char"/>
    <w:basedOn w:val="Standardnpsmoodstavce"/>
    <w:link w:val="Nadpis2"/>
    <w:rsid w:val="007F3498"/>
    <w:rPr>
      <w:b/>
      <w:color w:val="1F497D" w:themeColor="text2"/>
    </w:rPr>
  </w:style>
  <w:style w:type="character" w:customStyle="1" w:styleId="Nadpis3Char">
    <w:name w:val="Nadpis 3 Char"/>
    <w:basedOn w:val="Standardnpsmoodstavce"/>
    <w:link w:val="Nadpis3"/>
    <w:rsid w:val="007F3498"/>
    <w:rPr>
      <w:rFonts w:eastAsiaTheme="minorEastAsia"/>
      <w:i/>
    </w:rPr>
  </w:style>
  <w:style w:type="character" w:customStyle="1" w:styleId="Nadpis4Char">
    <w:name w:val="Nadpis 4 Char"/>
    <w:basedOn w:val="Standardnpsmoodstavce"/>
    <w:link w:val="Nadpis4"/>
    <w:rsid w:val="0031538E"/>
    <w:rPr>
      <w:sz w:val="24"/>
      <w:szCs w:val="24"/>
    </w:rPr>
  </w:style>
  <w:style w:type="character" w:customStyle="1" w:styleId="Nadpis5Char">
    <w:name w:val="Nadpis 5 Char"/>
    <w:basedOn w:val="Standardnpsmoodstavce"/>
    <w:link w:val="Nadpis5"/>
    <w:rsid w:val="0031538E"/>
    <w:rPr>
      <w:sz w:val="24"/>
      <w:szCs w:val="24"/>
    </w:rPr>
  </w:style>
  <w:style w:type="character" w:customStyle="1" w:styleId="Nadpis6Char">
    <w:name w:val="Nadpis 6 Char"/>
    <w:basedOn w:val="Standardnpsmoodstavce"/>
    <w:link w:val="Nadpis6"/>
    <w:rsid w:val="0031538E"/>
    <w:rPr>
      <w:sz w:val="24"/>
      <w:szCs w:val="24"/>
    </w:rPr>
  </w:style>
  <w:style w:type="character" w:customStyle="1" w:styleId="Nadpis7Char">
    <w:name w:val="Nadpis 7 Char"/>
    <w:basedOn w:val="Standardnpsmoodstavce"/>
    <w:link w:val="Nadpis7"/>
    <w:rsid w:val="0031538E"/>
    <w:rPr>
      <w:sz w:val="24"/>
      <w:szCs w:val="24"/>
    </w:rPr>
  </w:style>
  <w:style w:type="character" w:customStyle="1" w:styleId="Nadpis8Char">
    <w:name w:val="Nadpis 8 Char"/>
    <w:basedOn w:val="Standardnpsmoodstavce"/>
    <w:link w:val="Nadpis8"/>
    <w:rsid w:val="0031538E"/>
    <w:rPr>
      <w:sz w:val="24"/>
      <w:szCs w:val="24"/>
    </w:rPr>
  </w:style>
  <w:style w:type="character" w:customStyle="1" w:styleId="Nadpis9Char">
    <w:name w:val="Nadpis 9 Char"/>
    <w:basedOn w:val="Standardnpsmoodstavce"/>
    <w:link w:val="Nadpis9"/>
    <w:rsid w:val="0031538E"/>
    <w:rPr>
      <w:sz w:val="24"/>
      <w:szCs w:val="24"/>
    </w:rPr>
  </w:style>
  <w:style w:type="paragraph" w:customStyle="1" w:styleId="NOTE">
    <w:name w:val="NOTE"/>
    <w:basedOn w:val="Textpoznpodarou"/>
    <w:link w:val="NOTECarattere"/>
    <w:qFormat/>
    <w:rsid w:val="0031538E"/>
    <w:pPr>
      <w:keepLines w:val="0"/>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ind w:left="0" w:firstLine="0"/>
      <w:jc w:val="both"/>
    </w:pPr>
    <w:rPr>
      <w:rFonts w:ascii="Arial" w:hAnsi="Arial"/>
      <w:sz w:val="18"/>
      <w:szCs w:val="16"/>
      <w:lang w:val="en-GB" w:eastAsia="en-GB"/>
    </w:rPr>
  </w:style>
  <w:style w:type="character" w:customStyle="1" w:styleId="NOTECarattere">
    <w:name w:val="NOTE Carattere"/>
    <w:link w:val="NOTE"/>
    <w:rsid w:val="0031538E"/>
    <w:rPr>
      <w:rFonts w:ascii="Arial" w:hAnsi="Arial"/>
      <w:sz w:val="18"/>
      <w:szCs w:val="16"/>
      <w:lang w:val="en-GB" w:eastAsia="en-GB"/>
    </w:rPr>
  </w:style>
  <w:style w:type="paragraph" w:customStyle="1" w:styleId="SecondTierList">
    <w:name w:val="Second Tier List"/>
    <w:basedOn w:val="Normln"/>
    <w:rsid w:val="0031538E"/>
    <w:pPr>
      <w:numPr>
        <w:numId w:val="24"/>
      </w:numPr>
      <w:spacing w:before="120" w:after="120" w:line="264" w:lineRule="auto"/>
      <w:contextualSpacing/>
      <w:jc w:val="both"/>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363">
      <w:bodyDiv w:val="1"/>
      <w:marLeft w:val="0"/>
      <w:marRight w:val="0"/>
      <w:marTop w:val="0"/>
      <w:marBottom w:val="0"/>
      <w:divBdr>
        <w:top w:val="none" w:sz="0" w:space="0" w:color="auto"/>
        <w:left w:val="none" w:sz="0" w:space="0" w:color="auto"/>
        <w:bottom w:val="none" w:sz="0" w:space="0" w:color="auto"/>
        <w:right w:val="none" w:sz="0" w:space="0" w:color="auto"/>
      </w:divBdr>
    </w:div>
    <w:div w:id="569921374">
      <w:bodyDiv w:val="1"/>
      <w:marLeft w:val="0"/>
      <w:marRight w:val="0"/>
      <w:marTop w:val="0"/>
      <w:marBottom w:val="0"/>
      <w:divBdr>
        <w:top w:val="none" w:sz="0" w:space="0" w:color="auto"/>
        <w:left w:val="none" w:sz="0" w:space="0" w:color="auto"/>
        <w:bottom w:val="none" w:sz="0" w:space="0" w:color="auto"/>
        <w:right w:val="none" w:sz="0" w:space="0" w:color="auto"/>
      </w:divBdr>
    </w:div>
    <w:div w:id="662319188">
      <w:bodyDiv w:val="1"/>
      <w:marLeft w:val="0"/>
      <w:marRight w:val="0"/>
      <w:marTop w:val="0"/>
      <w:marBottom w:val="0"/>
      <w:divBdr>
        <w:top w:val="none" w:sz="0" w:space="0" w:color="auto"/>
        <w:left w:val="none" w:sz="0" w:space="0" w:color="auto"/>
        <w:bottom w:val="none" w:sz="0" w:space="0" w:color="auto"/>
        <w:right w:val="none" w:sz="0" w:space="0" w:color="auto"/>
      </w:divBdr>
    </w:div>
    <w:div w:id="1037973751">
      <w:bodyDiv w:val="1"/>
      <w:marLeft w:val="0"/>
      <w:marRight w:val="0"/>
      <w:marTop w:val="0"/>
      <w:marBottom w:val="0"/>
      <w:divBdr>
        <w:top w:val="none" w:sz="0" w:space="0" w:color="auto"/>
        <w:left w:val="none" w:sz="0" w:space="0" w:color="auto"/>
        <w:bottom w:val="none" w:sz="0" w:space="0" w:color="auto"/>
        <w:right w:val="none" w:sz="0" w:space="0" w:color="auto"/>
      </w:divBdr>
    </w:div>
    <w:div w:id="1476487823">
      <w:bodyDiv w:val="1"/>
      <w:marLeft w:val="0"/>
      <w:marRight w:val="0"/>
      <w:marTop w:val="0"/>
      <w:marBottom w:val="0"/>
      <w:divBdr>
        <w:top w:val="none" w:sz="0" w:space="0" w:color="auto"/>
        <w:left w:val="none" w:sz="0" w:space="0" w:color="auto"/>
        <w:bottom w:val="none" w:sz="0" w:space="0" w:color="auto"/>
        <w:right w:val="none" w:sz="0" w:space="0" w:color="auto"/>
      </w:divBdr>
      <w:divsChild>
        <w:div w:id="671252067">
          <w:marLeft w:val="547"/>
          <w:marRight w:val="0"/>
          <w:marTop w:val="154"/>
          <w:marBottom w:val="0"/>
          <w:divBdr>
            <w:top w:val="none" w:sz="0" w:space="0" w:color="auto"/>
            <w:left w:val="none" w:sz="0" w:space="0" w:color="auto"/>
            <w:bottom w:val="none" w:sz="0" w:space="0" w:color="auto"/>
            <w:right w:val="none" w:sz="0" w:space="0" w:color="auto"/>
          </w:divBdr>
        </w:div>
      </w:divsChild>
    </w:div>
    <w:div w:id="1683117829">
      <w:bodyDiv w:val="1"/>
      <w:marLeft w:val="0"/>
      <w:marRight w:val="0"/>
      <w:marTop w:val="0"/>
      <w:marBottom w:val="0"/>
      <w:divBdr>
        <w:top w:val="none" w:sz="0" w:space="0" w:color="auto"/>
        <w:left w:val="none" w:sz="0" w:space="0" w:color="auto"/>
        <w:bottom w:val="none" w:sz="0" w:space="0" w:color="auto"/>
        <w:right w:val="none" w:sz="0" w:space="0" w:color="auto"/>
      </w:divBdr>
    </w:div>
    <w:div w:id="1719864174">
      <w:bodyDiv w:val="1"/>
      <w:marLeft w:val="0"/>
      <w:marRight w:val="0"/>
      <w:marTop w:val="0"/>
      <w:marBottom w:val="0"/>
      <w:divBdr>
        <w:top w:val="none" w:sz="0" w:space="0" w:color="auto"/>
        <w:left w:val="none" w:sz="0" w:space="0" w:color="auto"/>
        <w:bottom w:val="none" w:sz="0" w:space="0" w:color="auto"/>
        <w:right w:val="none" w:sz="0" w:space="0" w:color="auto"/>
      </w:divBdr>
    </w:div>
    <w:div w:id="1779912190">
      <w:bodyDiv w:val="1"/>
      <w:marLeft w:val="0"/>
      <w:marRight w:val="0"/>
      <w:marTop w:val="0"/>
      <w:marBottom w:val="0"/>
      <w:divBdr>
        <w:top w:val="none" w:sz="0" w:space="0" w:color="auto"/>
        <w:left w:val="none" w:sz="0" w:space="0" w:color="auto"/>
        <w:bottom w:val="none" w:sz="0" w:space="0" w:color="auto"/>
        <w:right w:val="none" w:sz="0" w:space="0" w:color="auto"/>
      </w:divBdr>
    </w:div>
    <w:div w:id="2049253847">
      <w:bodyDiv w:val="1"/>
      <w:marLeft w:val="0"/>
      <w:marRight w:val="0"/>
      <w:marTop w:val="0"/>
      <w:marBottom w:val="0"/>
      <w:divBdr>
        <w:top w:val="none" w:sz="0" w:space="0" w:color="auto"/>
        <w:left w:val="none" w:sz="0" w:space="0" w:color="auto"/>
        <w:bottom w:val="none" w:sz="0" w:space="0" w:color="auto"/>
        <w:right w:val="none" w:sz="0" w:space="0" w:color="auto"/>
      </w:divBdr>
    </w:div>
    <w:div w:id="211721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esc.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sources/thefunds/fin_inst/pdf/efsi_esif_compl_en.pdf" TargetMode="External"/><Relationship Id="rId2" Type="http://schemas.openxmlformats.org/officeDocument/2006/relationships/hyperlink" Target="http://www.ilo.org/wcmsp5/groups/public/---dgreports/---dcomm/---publ/documents/publication/wcms_338674.pdf" TargetMode="External"/><Relationship Id="rId1" Type="http://schemas.openxmlformats.org/officeDocument/2006/relationships/hyperlink" Target="https://www.euractiv.com/section/social-europe-jobs/opinion/striving-for-triple-a-on-social-iss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WTPCSN73YJ26-3-1699</_dlc_DocId>
    <_dlc_DocIdUrl xmlns="8a3471f6-0f36-4ccf-b5ee-1ca67ea797ef">
      <Url>http://dm/EESC/2017/_layouts/DocIdRedir.aspx?ID=WTPCSN73YJ26-3-1699</Url>
      <Description>WTPCSN73YJ26-3-1699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ETU</TermName>
          <TermId xmlns="http://schemas.microsoft.com/office/infopath/2007/PartnerControls">866c8309-751d-404d-a64c-aa55fb4cfe64</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2017-01-27T12:00:00+00:00</ProductionDate>
    <DocumentNumber xmlns="08752a15-b0a7-485d-8352-b47b34a09caa">377</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5</Value>
      <Value>6</Value>
      <Value>93</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827</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Secrétariat Groupe II</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1FF4-C3A0-4387-BB3B-1742B5B7596C}">
  <ds:schemaRefs>
    <ds:schemaRef ds:uri="http://schemas.microsoft.com/sharepoint/events"/>
  </ds:schemaRefs>
</ds:datastoreItem>
</file>

<file path=customXml/itemProps2.xml><?xml version="1.0" encoding="utf-8"?>
<ds:datastoreItem xmlns:ds="http://schemas.openxmlformats.org/officeDocument/2006/customXml" ds:itemID="{E9F2BF26-92D9-4DA7-BE0C-42F504F5314E}">
  <ds:schemaRefs>
    <ds:schemaRef ds:uri="http://schemas.microsoft.com/sharepoint/v3/contenttype/forms"/>
  </ds:schemaRefs>
</ds:datastoreItem>
</file>

<file path=customXml/itemProps3.xml><?xml version="1.0" encoding="utf-8"?>
<ds:datastoreItem xmlns:ds="http://schemas.openxmlformats.org/officeDocument/2006/customXml" ds:itemID="{57D26C21-E22E-48BA-A684-04C763076C6E}">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08752a15-b0a7-485d-8352-b47b34a09caa"/>
  </ds:schemaRefs>
</ds:datastoreItem>
</file>

<file path=customXml/itemProps4.xml><?xml version="1.0" encoding="utf-8"?>
<ds:datastoreItem xmlns:ds="http://schemas.openxmlformats.org/officeDocument/2006/customXml" ds:itemID="{51E09E89-FDA7-430A-B987-B576B03A2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3B62-D4D7-4698-88BF-B0B0B31D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17</Pages>
  <Words>6489</Words>
  <Characters>38291</Characters>
  <Application>Microsoft Office Word</Application>
  <DocSecurity>0</DocSecurity>
  <Lines>319</Lines>
  <Paragraphs>89</Paragraphs>
  <ScaleCrop>false</ScaleCrop>
  <HeadingPairs>
    <vt:vector size="6" baseType="variant">
      <vt:variant>
        <vt:lpstr>Název</vt:lpstr>
      </vt:variant>
      <vt:variant>
        <vt:i4>1</vt:i4>
      </vt:variant>
      <vt:variant>
        <vt:lpstr>Title</vt:lpstr>
      </vt:variant>
      <vt:variant>
        <vt:i4>1</vt:i4>
      </vt:variant>
      <vt:variant>
        <vt:lpstr>Titolo</vt:lpstr>
      </vt:variant>
      <vt:variant>
        <vt:i4>1</vt:i4>
      </vt:variant>
    </vt:vector>
  </HeadingPairs>
  <TitlesOfParts>
    <vt:vector size="3" baseType="lpstr">
      <vt:lpstr>Study: The investment plan and the Social Pillar: a step towards a new strategy for Europe</vt:lpstr>
      <vt:lpstr/>
      <vt:lpstr/>
    </vt:vector>
  </TitlesOfParts>
  <Company>CESE-CdR</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The investment plan and the Social Pillar: a step towards a new strategy for Europe</dc:title>
  <dc:subject>Study</dc:subject>
  <dc:creator>Magdalena Patyk</dc:creator>
  <cp:keywords>EESC-2017-00377-00-00-ETU-TRA-EN</cp:keywords>
  <dc:description>Rapporteur: -  Original language: - EN Date of document: - 27/01/2017 Date of meeting: -  External documents: -  Administrator responsible: - M. Soriano Gonzalez Francisco</dc:description>
  <cp:lastModifiedBy>cmosl</cp:lastModifiedBy>
  <cp:revision>2</cp:revision>
  <cp:lastPrinted>2016-11-28T09:53:00Z</cp:lastPrinted>
  <dcterms:created xsi:type="dcterms:W3CDTF">2017-02-03T15:14:00Z</dcterms:created>
  <dcterms:modified xsi:type="dcterms:W3CDTF">2017-02-03T15:14:00Z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27/01/2017</vt:lpwstr>
  </property>
  <property fmtid="{D5CDD505-2E9C-101B-9397-08002B2CF9AE}" pid="4" name="Pref_Time">
    <vt:lpwstr>10:40:44</vt:lpwstr>
  </property>
  <property fmtid="{D5CDD505-2E9C-101B-9397-08002B2CF9AE}" pid="5" name="Pref_User">
    <vt:lpwstr>tvoc</vt:lpwstr>
  </property>
  <property fmtid="{D5CDD505-2E9C-101B-9397-08002B2CF9AE}" pid="6" name="Pref_FileName">
    <vt:lpwstr>EESC-2017-00377-00-00-ETU-ORI.docx</vt:lpwstr>
  </property>
  <property fmtid="{D5CDD505-2E9C-101B-9397-08002B2CF9AE}" pid="7" name="ContentTypeId">
    <vt:lpwstr>0x010100EA97B91038054C99906057A708A1480A00366332C33BA7D34CB4DCF73B0F12F076</vt:lpwstr>
  </property>
  <property fmtid="{D5CDD505-2E9C-101B-9397-08002B2CF9AE}" pid="8" name="_dlc_DocIdItemGuid">
    <vt:lpwstr>2033c5ed-28ee-43a6-b8c6-138d983a6fd7</vt:lpwstr>
  </property>
  <property fmtid="{D5CDD505-2E9C-101B-9397-08002B2CF9AE}" pid="9" name="DocumentType_0">
    <vt:lpwstr>ETU|866c8309-751d-404d-a64c-aa55fb4cfe64</vt:lpwstr>
  </property>
  <property fmtid="{D5CDD505-2E9C-101B-9397-08002B2CF9AE}" pid="10" name="AvailableTranslations">
    <vt:lpwstr>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377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93;#ETU|866c8309-751d-404d-a64c-aa55fb4cfe64</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Secrétariat Groupe II</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5;#Unrestricted|826e22d7-d029-4ec0-a450-0c28ff673572;#6;#Final|ea5e6674-7b27-4bac-b091-73adbb394efe;#93;#ETU|866c8309-751d-404d-a64c-aa55fb4cfe64;#4;#EN|f2175f21-25d7-44a3-96da-d6a61b075e1b;#2;#TRA|150d2a88-1431-44e6-a8ca-0bb753ab8672;#1;#EESC|422833ec-8d</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827</vt:i4>
  </property>
  <property fmtid="{D5CDD505-2E9C-101B-9397-08002B2CF9AE}" pid="34" name="DocumentYear">
    <vt:i4>2017</vt:i4>
  </property>
  <property fmtid="{D5CDD505-2E9C-101B-9397-08002B2CF9AE}" pid="35" name="DocumentLanguage">
    <vt:lpwstr>4;#EN|f2175f21-25d7-44a3-96da-d6a61b075e1b</vt:lpwstr>
  </property>
</Properties>
</file>